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color w:val="auto"/>
          <w:sz w:val="24"/>
          <w:highlight w:val="none"/>
        </w:rPr>
      </w:pPr>
    </w:p>
    <w:p>
      <w:pPr>
        <w:pStyle w:val="2"/>
        <w:spacing w:line="480" w:lineRule="auto"/>
        <w:rPr>
          <w:rFonts w:ascii="宋体" w:hAnsi="宋体" w:cs="宋体"/>
          <w:color w:val="auto"/>
          <w:szCs w:val="24"/>
          <w:highlight w:val="none"/>
        </w:rPr>
      </w:pPr>
    </w:p>
    <w:p>
      <w:pPr>
        <w:snapToGrid w:val="0"/>
        <w:spacing w:line="48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新疆维吾尔自治区农业农村厅办公室渔政执法无人机、执法记录仪</w:t>
      </w:r>
      <w:bookmarkStart w:id="32" w:name="_GoBack"/>
      <w:bookmarkEnd w:id="32"/>
      <w:r>
        <w:rPr>
          <w:rFonts w:hint="eastAsia" w:ascii="宋体" w:hAnsi="宋体" w:cs="宋体"/>
          <w:color w:val="auto"/>
          <w:sz w:val="44"/>
          <w:szCs w:val="44"/>
          <w:highlight w:val="none"/>
        </w:rPr>
        <w:t>采购项目（二次）</w:t>
      </w:r>
    </w:p>
    <w:p>
      <w:pPr>
        <w:snapToGrid w:val="0"/>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r>
        <w:rPr>
          <w:rFonts w:hint="eastAsia" w:ascii="宋体" w:hAnsi="宋体" w:cs="宋体"/>
          <w:color w:val="auto"/>
          <w:sz w:val="24"/>
          <w:highlight w:val="none"/>
        </w:rPr>
        <w:t>XJPC-2021-023-02</w:t>
      </w:r>
    </w:p>
    <w:p>
      <w:pPr>
        <w:spacing w:line="480" w:lineRule="auto"/>
        <w:rPr>
          <w:rFonts w:ascii="宋体" w:hAnsi="宋体" w:cs="宋体"/>
          <w:color w:val="auto"/>
          <w:sz w:val="44"/>
          <w:szCs w:val="44"/>
          <w:highlight w:val="none"/>
        </w:rPr>
      </w:pPr>
    </w:p>
    <w:p>
      <w:pPr>
        <w:spacing w:line="48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竞争性磋商文件</w:t>
      </w:r>
    </w:p>
    <w:p>
      <w:pPr>
        <w:snapToGrid w:val="0"/>
        <w:spacing w:line="480" w:lineRule="auto"/>
        <w:rPr>
          <w:rFonts w:ascii="宋体" w:hAnsi="宋体" w:cs="宋体"/>
          <w:color w:val="auto"/>
          <w:sz w:val="24"/>
          <w:highlight w:val="none"/>
        </w:rPr>
      </w:pPr>
    </w:p>
    <w:p>
      <w:pPr>
        <w:snapToGrid w:val="0"/>
        <w:spacing w:line="400" w:lineRule="exact"/>
        <w:rPr>
          <w:rFonts w:ascii="宋体" w:hAnsi="宋体" w:cs="宋体"/>
          <w:color w:val="auto"/>
          <w:sz w:val="24"/>
          <w:highlight w:val="none"/>
        </w:rPr>
      </w:pPr>
    </w:p>
    <w:p>
      <w:pPr>
        <w:pStyle w:val="2"/>
        <w:spacing w:line="400" w:lineRule="exact"/>
        <w:rPr>
          <w:rFonts w:ascii="宋体" w:hAnsi="宋体" w:cs="宋体"/>
          <w:color w:val="auto"/>
          <w:szCs w:val="24"/>
          <w:highlight w:val="none"/>
        </w:rPr>
      </w:pPr>
    </w:p>
    <w:p>
      <w:pPr>
        <w:spacing w:line="400" w:lineRule="exact"/>
        <w:rPr>
          <w:rFonts w:ascii="宋体" w:hAnsi="宋体" w:cs="宋体"/>
          <w:color w:val="auto"/>
          <w:sz w:val="24"/>
          <w:highlight w:val="none"/>
        </w:rPr>
      </w:pPr>
    </w:p>
    <w:p>
      <w:pPr>
        <w:snapToGrid w:val="0"/>
        <w:spacing w:line="400" w:lineRule="exact"/>
        <w:rPr>
          <w:rFonts w:ascii="宋体" w:hAnsi="宋体" w:cs="宋体"/>
          <w:color w:val="auto"/>
          <w:sz w:val="24"/>
          <w:highlight w:val="none"/>
        </w:rPr>
      </w:pPr>
    </w:p>
    <w:p>
      <w:pPr>
        <w:snapToGrid w:val="0"/>
        <w:spacing w:line="400" w:lineRule="exact"/>
        <w:rPr>
          <w:rFonts w:ascii="宋体" w:hAnsi="宋体" w:cs="宋体"/>
          <w:color w:val="auto"/>
          <w:sz w:val="24"/>
          <w:highlight w:val="none"/>
        </w:rPr>
      </w:pP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采购单位：新疆维吾尔自治区农业农村厅办公室</w:t>
      </w:r>
    </w:p>
    <w:p>
      <w:pPr>
        <w:spacing w:line="400" w:lineRule="exact"/>
        <w:rPr>
          <w:rFonts w:ascii="宋体" w:hAnsi="宋体" w:cs="宋体"/>
          <w:color w:val="auto"/>
          <w:sz w:val="24"/>
          <w:highlight w:val="none"/>
        </w:rPr>
      </w:pPr>
      <w:r>
        <w:rPr>
          <w:rFonts w:hint="eastAsia" w:ascii="宋体" w:hAnsi="宋体" w:cs="宋体"/>
          <w:color w:val="auto"/>
          <w:sz w:val="24"/>
          <w:highlight w:val="none"/>
        </w:rPr>
        <w:t>联系人：郝先生</w:t>
      </w:r>
    </w:p>
    <w:p>
      <w:pPr>
        <w:spacing w:line="400" w:lineRule="exact"/>
        <w:rPr>
          <w:rFonts w:ascii="宋体" w:hAnsi="宋体" w:cs="宋体"/>
          <w:color w:val="auto"/>
          <w:sz w:val="24"/>
          <w:highlight w:val="none"/>
        </w:rPr>
      </w:pPr>
      <w:r>
        <w:rPr>
          <w:rFonts w:hint="eastAsia" w:ascii="宋体" w:hAnsi="宋体" w:cs="宋体"/>
          <w:color w:val="auto"/>
          <w:sz w:val="24"/>
          <w:highlight w:val="none"/>
        </w:rPr>
        <w:t>联系电话：18129387009</w:t>
      </w:r>
    </w:p>
    <w:p>
      <w:pPr>
        <w:pStyle w:val="2"/>
        <w:spacing w:line="400" w:lineRule="exact"/>
        <w:rPr>
          <w:rFonts w:ascii="宋体" w:hAnsi="宋体" w:cs="宋体"/>
          <w:color w:val="auto"/>
          <w:szCs w:val="24"/>
          <w:highlight w:val="none"/>
        </w:rPr>
      </w:pP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采购代理机构：新疆谱诚项目管理咨询有限公司</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联系人：刘婧、齐欢</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联系电话：15899126306、17799228805</w:t>
      </w:r>
    </w:p>
    <w:p>
      <w:pPr>
        <w:pStyle w:val="31"/>
        <w:adjustRightInd w:val="0"/>
        <w:snapToGrid w:val="0"/>
        <w:spacing w:line="400" w:lineRule="exact"/>
        <w:ind w:left="0" w:leftChars="0"/>
        <w:rPr>
          <w:rFonts w:ascii="宋体" w:hAnsi="宋体" w:cs="宋体"/>
          <w:b/>
          <w:color w:val="auto"/>
          <w:sz w:val="24"/>
          <w:highlight w:val="none"/>
        </w:rPr>
      </w:pPr>
    </w:p>
    <w:p>
      <w:pPr>
        <w:pStyle w:val="31"/>
        <w:spacing w:line="400" w:lineRule="exact"/>
        <w:ind w:left="0" w:leftChars="0"/>
        <w:jc w:val="center"/>
        <w:rPr>
          <w:rFonts w:ascii="宋体" w:hAnsi="宋体" w:cs="宋体"/>
          <w:color w:val="auto"/>
          <w:w w:val="95"/>
          <w:sz w:val="24"/>
          <w:highlight w:val="none"/>
        </w:rPr>
      </w:pPr>
      <w:r>
        <w:rPr>
          <w:rFonts w:hint="eastAsia" w:ascii="宋体" w:hAnsi="宋体" w:cs="宋体"/>
          <w:color w:val="auto"/>
          <w:w w:val="95"/>
          <w:sz w:val="24"/>
          <w:highlight w:val="none"/>
        </w:rPr>
        <w:t>二○二一年十月</w:t>
      </w: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pStyle w:val="2"/>
        <w:rPr>
          <w:color w:val="auto"/>
          <w:highlight w:val="none"/>
        </w:rPr>
      </w:pPr>
    </w:p>
    <w:sdt>
      <w:sdtPr>
        <w:rPr>
          <w:rFonts w:hint="eastAsia" w:ascii="宋体" w:hAnsi="宋体" w:cs="宋体"/>
          <w:color w:val="auto"/>
          <w:sz w:val="24"/>
          <w:highlight w:val="none"/>
        </w:rPr>
        <w:id w:val="147455494"/>
        <w:docPartObj>
          <w:docPartGallery w:val="Table of Contents"/>
          <w:docPartUnique/>
        </w:docPartObj>
      </w:sdtPr>
      <w:sdtEndPr>
        <w:rPr>
          <w:rFonts w:hint="eastAsia" w:ascii="宋体" w:hAnsi="宋体" w:cs="宋体"/>
          <w:color w:val="auto"/>
          <w:sz w:val="24"/>
          <w:highlight w:val="none"/>
        </w:rPr>
      </w:sdtEndPr>
      <w:sdtContent>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目录</w:t>
          </w:r>
        </w:p>
        <w:p>
          <w:pPr>
            <w:pStyle w:val="404"/>
            <w:tabs>
              <w:tab w:val="right" w:leader="dot" w:pos="8312"/>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"_Toc17860" </w:instrText>
          </w:r>
          <w:r>
            <w:rPr>
              <w:color w:val="auto"/>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_Toc17860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04"/>
            <w:tabs>
              <w:tab w:val="right" w:leader="dot" w:pos="8312"/>
            </w:tabs>
            <w:spacing w:line="400"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"_Toc8919" </w:instrText>
          </w:r>
          <w:r>
            <w:rPr>
              <w:color w:val="auto"/>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04"/>
            <w:tabs>
              <w:tab w:val="right" w:leader="dot" w:pos="8312"/>
            </w:tabs>
            <w:spacing w:line="400"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"_Toc10316" </w:instrText>
          </w:r>
          <w:r>
            <w:rPr>
              <w:color w:val="auto"/>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04"/>
            <w:tabs>
              <w:tab w:val="right" w:leader="dot" w:pos="8312"/>
            </w:tabs>
            <w:spacing w:line="400"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"_Toc11193" </w:instrText>
          </w:r>
          <w:r>
            <w:rPr>
              <w:color w:val="auto"/>
              <w:highlight w:val="none"/>
            </w:rPr>
            <w:fldChar w:fldCharType="separate"/>
          </w:r>
          <w:r>
            <w:rPr>
              <w:rFonts w:hint="eastAsia" w:ascii="宋体" w:hAnsi="宋体" w:eastAsia="宋体" w:cs="宋体"/>
              <w:bCs/>
              <w:color w:val="auto"/>
              <w:sz w:val="24"/>
              <w:szCs w:val="24"/>
              <w:highlight w:val="none"/>
            </w:rPr>
            <w:t>第四章    合同格式（参考）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04"/>
            <w:tabs>
              <w:tab w:val="right" w:leader="dot" w:pos="8312"/>
            </w:tabs>
            <w:spacing w:line="400"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"_Toc16604" </w:instrText>
          </w:r>
          <w:r>
            <w:rPr>
              <w:color w:val="auto"/>
              <w:highlight w:val="none"/>
            </w:rPr>
            <w:fldChar w:fldCharType="separate"/>
          </w:r>
          <w:r>
            <w:rPr>
              <w:rFonts w:hint="eastAsia" w:ascii="宋体" w:hAnsi="宋体" w:eastAsia="宋体" w:cs="宋体"/>
              <w:bCs/>
              <w:color w:val="auto"/>
              <w:kern w:val="2"/>
              <w:sz w:val="24"/>
              <w:szCs w:val="24"/>
              <w:highlight w:val="none"/>
            </w:rPr>
            <w:t>第五章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04"/>
            <w:tabs>
              <w:tab w:val="right" w:leader="dot" w:pos="8312"/>
            </w:tabs>
            <w:spacing w:line="400" w:lineRule="exact"/>
            <w:rPr>
              <w:rFonts w:ascii="宋体" w:hAnsi="宋体" w:eastAsia="宋体" w:cs="宋体"/>
              <w:color w:val="auto"/>
              <w:sz w:val="24"/>
              <w:szCs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fldChar w:fldCharType="end"/>
          </w:r>
        </w:p>
      </w:sdtContent>
    </w:sdt>
    <w:p>
      <w:pPr>
        <w:spacing w:line="400" w:lineRule="exact"/>
        <w:rPr>
          <w:rFonts w:ascii="宋体" w:hAnsi="宋体" w:cs="宋体"/>
          <w:b/>
          <w:color w:val="auto"/>
          <w:sz w:val="24"/>
          <w:highlight w:val="none"/>
        </w:rPr>
      </w:pPr>
      <w:bookmarkStart w:id="0" w:name="_Toc17860"/>
      <w:r>
        <w:rPr>
          <w:rFonts w:hint="eastAsia" w:ascii="宋体" w:hAnsi="宋体" w:cs="宋体"/>
          <w:b/>
          <w:color w:val="auto"/>
          <w:sz w:val="24"/>
          <w:highlight w:val="none"/>
        </w:rPr>
        <w:br w:type="page"/>
      </w:r>
    </w:p>
    <w:p>
      <w:pPr>
        <w:widowControl/>
        <w:spacing w:line="40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 xml:space="preserve">第一章    </w:t>
      </w:r>
      <w:bookmarkEnd w:id="0"/>
      <w:r>
        <w:rPr>
          <w:rFonts w:hint="eastAsia" w:ascii="宋体" w:hAnsi="宋体" w:cs="宋体"/>
          <w:b/>
          <w:color w:val="auto"/>
          <w:sz w:val="24"/>
          <w:highlight w:val="none"/>
        </w:rPr>
        <w:t>竞争性磋商公告</w:t>
      </w:r>
    </w:p>
    <w:p>
      <w:pPr>
        <w:pStyle w:val="45"/>
        <w:spacing w:before="0" w:beforeAutospacing="0" w:after="0" w:afterAutospacing="0" w:line="400" w:lineRule="exact"/>
        <w:rPr>
          <w:color w:val="auto"/>
          <w:highlight w:val="none"/>
        </w:rPr>
      </w:pPr>
      <w:r>
        <w:rPr>
          <w:rFonts w:hint="eastAsia"/>
          <w:color w:val="auto"/>
          <w:highlight w:val="none"/>
        </w:rPr>
        <w:t>项目概况</w:t>
      </w:r>
    </w:p>
    <w:p>
      <w:pPr>
        <w:pStyle w:val="45"/>
        <w:spacing w:before="0" w:beforeAutospacing="0" w:after="0" w:afterAutospacing="0" w:line="400" w:lineRule="exact"/>
        <w:ind w:firstLine="480" w:firstLineChars="200"/>
        <w:rPr>
          <w:color w:val="auto"/>
          <w:highlight w:val="none"/>
        </w:rPr>
      </w:pPr>
      <w:r>
        <w:rPr>
          <w:rFonts w:hint="eastAsia"/>
          <w:color w:val="auto"/>
          <w:highlight w:val="none"/>
          <w:u w:val="single"/>
        </w:rPr>
        <w:t>新疆维吾尔自治区农业农村厅办公室渔政执法无人机、执法记录仪采购项目（二次）</w:t>
      </w:r>
      <w:r>
        <w:rPr>
          <w:rFonts w:hint="eastAsia"/>
          <w:color w:val="auto"/>
          <w:highlight w:val="none"/>
        </w:rPr>
        <w:t>的潜在投标人应在</w:t>
      </w:r>
      <w:r>
        <w:rPr>
          <w:rFonts w:hint="eastAsia"/>
          <w:color w:val="auto"/>
          <w:highlight w:val="none"/>
          <w:u w:val="single"/>
        </w:rPr>
        <w:t>乌鲁木齐市水磨沟区龙腾路1118号中央公园二期9栋商务办公楼办公用房503室</w:t>
      </w:r>
      <w:r>
        <w:rPr>
          <w:rFonts w:hint="eastAsia"/>
          <w:color w:val="auto"/>
          <w:highlight w:val="none"/>
        </w:rPr>
        <w:t>获取招标文件，并于</w:t>
      </w:r>
      <w:r>
        <w:rPr>
          <w:rFonts w:hint="eastAsia"/>
          <w:color w:val="auto"/>
          <w:highlight w:val="none"/>
          <w:u w:val="single"/>
        </w:rPr>
        <w:t>2021年10月27日 11:00</w:t>
      </w:r>
      <w:r>
        <w:rPr>
          <w:rFonts w:hint="eastAsia"/>
          <w:color w:val="auto"/>
          <w:highlight w:val="none"/>
        </w:rPr>
        <w:t>（北京时间）（北京时间）前递交投标文件。</w:t>
      </w:r>
    </w:p>
    <w:p>
      <w:pPr>
        <w:pStyle w:val="45"/>
        <w:spacing w:before="0" w:beforeAutospacing="0" w:after="0" w:afterAutospacing="0" w:line="400" w:lineRule="exact"/>
        <w:jc w:val="both"/>
        <w:rPr>
          <w:color w:val="auto"/>
          <w:highlight w:val="none"/>
        </w:rPr>
      </w:pPr>
      <w:r>
        <w:rPr>
          <w:rStyle w:val="56"/>
          <w:rFonts w:hint="eastAsia"/>
          <w:color w:val="auto"/>
          <w:highlight w:val="none"/>
        </w:rPr>
        <w:t>一、项目基本情况</w:t>
      </w:r>
    </w:p>
    <w:p>
      <w:pPr>
        <w:pStyle w:val="45"/>
        <w:spacing w:before="0" w:beforeAutospacing="0" w:after="0" w:afterAutospacing="0" w:line="400" w:lineRule="exact"/>
        <w:rPr>
          <w:color w:val="auto"/>
          <w:highlight w:val="none"/>
        </w:rPr>
      </w:pPr>
      <w:r>
        <w:rPr>
          <w:rFonts w:hint="eastAsia"/>
          <w:color w:val="auto"/>
          <w:highlight w:val="none"/>
        </w:rPr>
        <w:t>项目编号：XJPC-2021-023-02</w:t>
      </w:r>
    </w:p>
    <w:p>
      <w:pPr>
        <w:pStyle w:val="45"/>
        <w:spacing w:before="0" w:beforeAutospacing="0" w:after="0" w:afterAutospacing="0" w:line="400" w:lineRule="exact"/>
        <w:rPr>
          <w:color w:val="auto"/>
          <w:highlight w:val="none"/>
        </w:rPr>
      </w:pPr>
      <w:r>
        <w:rPr>
          <w:rFonts w:hint="eastAsia"/>
          <w:color w:val="auto"/>
          <w:highlight w:val="none"/>
        </w:rPr>
        <w:t>项目名称：新疆维吾尔自治区农业农村厅办公室渔政执法无人机、执法记录仪采购项目</w:t>
      </w:r>
      <w:r>
        <w:rPr>
          <w:rFonts w:hint="eastAsia"/>
          <w:color w:val="auto"/>
          <w:highlight w:val="none"/>
          <w:u w:val="single"/>
        </w:rPr>
        <w:t>（二次）</w:t>
      </w:r>
    </w:p>
    <w:p>
      <w:pPr>
        <w:pStyle w:val="45"/>
        <w:spacing w:before="0" w:beforeAutospacing="0" w:after="0" w:afterAutospacing="0" w:line="400" w:lineRule="exact"/>
        <w:rPr>
          <w:color w:val="auto"/>
          <w:highlight w:val="none"/>
        </w:rPr>
      </w:pPr>
      <w:r>
        <w:rPr>
          <w:rFonts w:hint="eastAsia"/>
          <w:color w:val="auto"/>
          <w:highlight w:val="none"/>
        </w:rPr>
        <w:t>预算金额（万元）11.1</w:t>
      </w:r>
    </w:p>
    <w:p>
      <w:pPr>
        <w:pStyle w:val="45"/>
        <w:spacing w:before="0" w:beforeAutospacing="0" w:after="0" w:afterAutospacing="0" w:line="400" w:lineRule="exact"/>
        <w:rPr>
          <w:color w:val="auto"/>
          <w:highlight w:val="none"/>
        </w:rPr>
      </w:pPr>
      <w:r>
        <w:rPr>
          <w:rFonts w:hint="eastAsia"/>
          <w:color w:val="auto"/>
          <w:highlight w:val="none"/>
        </w:rPr>
        <w:t>采购内容：执法记录仪20台、无人机1台（详见采购文件）</w:t>
      </w:r>
    </w:p>
    <w:p>
      <w:pPr>
        <w:pStyle w:val="45"/>
        <w:spacing w:before="0" w:beforeAutospacing="0" w:after="0" w:afterAutospacing="0" w:line="400" w:lineRule="exact"/>
        <w:rPr>
          <w:color w:val="auto"/>
          <w:highlight w:val="none"/>
        </w:rPr>
      </w:pPr>
      <w:r>
        <w:rPr>
          <w:rFonts w:hint="eastAsia"/>
          <w:color w:val="auto"/>
          <w:highlight w:val="none"/>
        </w:rPr>
        <w:t>合同履行期限：详见招标文件</w:t>
      </w:r>
    </w:p>
    <w:p>
      <w:pPr>
        <w:pStyle w:val="45"/>
        <w:spacing w:before="0" w:beforeAutospacing="0" w:after="0" w:afterAutospacing="0" w:line="400" w:lineRule="exact"/>
        <w:rPr>
          <w:color w:val="auto"/>
          <w:highlight w:val="none"/>
        </w:rPr>
      </w:pPr>
      <w:r>
        <w:rPr>
          <w:rFonts w:hint="eastAsia"/>
          <w:color w:val="auto"/>
          <w:highlight w:val="none"/>
        </w:rPr>
        <w:t>本项目（否）接受联合体投标。</w:t>
      </w:r>
    </w:p>
    <w:p>
      <w:pPr>
        <w:pStyle w:val="45"/>
        <w:spacing w:before="0" w:beforeAutospacing="0" w:after="0" w:afterAutospacing="0" w:line="400" w:lineRule="exact"/>
        <w:rPr>
          <w:color w:val="auto"/>
          <w:highlight w:val="none"/>
        </w:rPr>
      </w:pPr>
      <w:r>
        <w:rPr>
          <w:rStyle w:val="56"/>
          <w:rFonts w:hint="eastAsia"/>
          <w:color w:val="auto"/>
          <w:highlight w:val="none"/>
        </w:rPr>
        <w:t>二、申请人的资格要求：</w:t>
      </w:r>
    </w:p>
    <w:p>
      <w:pPr>
        <w:pStyle w:val="45"/>
        <w:spacing w:before="75" w:beforeAutospacing="0" w:after="75" w:afterAutospacing="0" w:line="400" w:lineRule="exact"/>
        <w:rPr>
          <w:color w:val="auto"/>
          <w:highlight w:val="none"/>
        </w:rPr>
      </w:pPr>
      <w:r>
        <w:rPr>
          <w:rFonts w:hint="eastAsia"/>
          <w:color w:val="auto"/>
          <w:highlight w:val="none"/>
        </w:rPr>
        <w:t>1.落实政府采购政策需满足的资格要求。</w:t>
      </w:r>
    </w:p>
    <w:p>
      <w:pPr>
        <w:pStyle w:val="45"/>
        <w:spacing w:before="75" w:beforeAutospacing="0" w:after="75" w:afterAutospacing="0" w:line="400" w:lineRule="exact"/>
        <w:rPr>
          <w:color w:val="auto"/>
          <w:highlight w:val="none"/>
        </w:rPr>
      </w:pPr>
      <w:r>
        <w:rPr>
          <w:rFonts w:hint="eastAsia"/>
          <w:color w:val="auto"/>
          <w:highlight w:val="none"/>
        </w:rPr>
        <w:t>2.本项目的特定资格要求：</w:t>
      </w:r>
    </w:p>
    <w:p>
      <w:pPr>
        <w:pStyle w:val="45"/>
        <w:spacing w:before="75" w:beforeAutospacing="0" w:after="75" w:afterAutospacing="0" w:line="400" w:lineRule="exact"/>
        <w:rPr>
          <w:color w:val="auto"/>
          <w:highlight w:val="none"/>
        </w:rPr>
      </w:pPr>
      <w:r>
        <w:rPr>
          <w:rFonts w:hint="eastAsia"/>
          <w:color w:val="auto"/>
          <w:highlight w:val="none"/>
        </w:rPr>
        <w:t>（1）具有有效营业执照的国内独立法人资格，具有独立承担民事责任的能力；</w:t>
      </w:r>
      <w:r>
        <w:rPr>
          <w:rFonts w:hint="eastAsia"/>
          <w:color w:val="auto"/>
          <w:highlight w:val="none"/>
        </w:rPr>
        <w:br w:type="textWrapping"/>
      </w:r>
      <w:r>
        <w:rPr>
          <w:rFonts w:hint="eastAsia"/>
          <w:color w:val="auto"/>
          <w:highlight w:val="none"/>
        </w:rPr>
        <w:t>（2）具有良好的商业信誉和健全的财务会计制度；（提供会计师事务所出具的近一年度财务审计报告或基本开户银行出具的资信证明，新成立不足一年的提供成立之日起至今的财报报表）原件或复印件加盖公章；</w:t>
      </w:r>
      <w:r>
        <w:rPr>
          <w:rFonts w:hint="eastAsia"/>
          <w:color w:val="auto"/>
          <w:highlight w:val="none"/>
        </w:rPr>
        <w:br w:type="textWrapping"/>
      </w:r>
      <w:r>
        <w:rPr>
          <w:rFonts w:hint="eastAsia"/>
          <w:color w:val="auto"/>
          <w:highlight w:val="none"/>
        </w:rPr>
        <w:t>（3）有依法缴纳税收和社会保障资金的良好纪录；（提供近三个月社保资金缴纳证明和纳税证明，新成立公司提供成立之日起至今的缴税记录及社保缴纳证明）原件或复印件加盖公章；</w:t>
      </w:r>
      <w:r>
        <w:rPr>
          <w:rFonts w:hint="eastAsia"/>
          <w:color w:val="auto"/>
          <w:highlight w:val="none"/>
        </w:rPr>
        <w:br w:type="textWrapping"/>
      </w:r>
      <w:r>
        <w:rPr>
          <w:rFonts w:hint="eastAsia"/>
          <w:color w:val="auto"/>
          <w:highlight w:val="none"/>
        </w:rPr>
        <w:t>（4）“信用中国”网站（http://www.creditchina.gov.cn/）、“中国政府采购网”网站（http://www.ccgp.gov.cn/）无违法违规行为的；（提供的查询截图，时间为投标截止时间前20天内）</w:t>
      </w:r>
      <w:r>
        <w:rPr>
          <w:rFonts w:hint="eastAsia"/>
          <w:color w:val="auto"/>
          <w:highlight w:val="none"/>
        </w:rPr>
        <w:br w:type="textWrapping"/>
      </w:r>
      <w:r>
        <w:rPr>
          <w:rFonts w:hint="eastAsia"/>
          <w:color w:val="auto"/>
          <w:highlight w:val="none"/>
        </w:rPr>
        <w:t>（5）单位负责人为同一人或者存在直接控股、管理关系的不同供应商，不得参加同一合同项下的政府采购活动；</w:t>
      </w:r>
      <w:r>
        <w:rPr>
          <w:rFonts w:hint="eastAsia"/>
          <w:color w:val="auto"/>
          <w:highlight w:val="none"/>
        </w:rPr>
        <w:br w:type="textWrapping"/>
      </w:r>
      <w:r>
        <w:rPr>
          <w:rFonts w:hint="eastAsia"/>
          <w:color w:val="auto"/>
          <w:highlight w:val="none"/>
        </w:rPr>
        <w:t>（6）具有履行合同所必需的设备和专业技术能力；</w:t>
      </w:r>
      <w:r>
        <w:rPr>
          <w:rFonts w:hint="eastAsia"/>
          <w:color w:val="auto"/>
          <w:highlight w:val="none"/>
        </w:rPr>
        <w:br w:type="textWrapping"/>
      </w:r>
      <w:r>
        <w:rPr>
          <w:rFonts w:hint="eastAsia"/>
          <w:color w:val="auto"/>
          <w:highlight w:val="none"/>
        </w:rPr>
        <w:t>（7）本项目不接受联合体投标。</w:t>
      </w:r>
      <w:r>
        <w:rPr>
          <w:rFonts w:hint="eastAsia"/>
          <w:color w:val="auto"/>
          <w:highlight w:val="none"/>
        </w:rPr>
        <w:br w:type="textWrapping"/>
      </w:r>
      <w:r>
        <w:rPr>
          <w:rFonts w:hint="eastAsia"/>
          <w:color w:val="auto"/>
          <w:highlight w:val="none"/>
        </w:rPr>
        <w:t>（8）符合国家有关法律法规的规定。</w:t>
      </w:r>
    </w:p>
    <w:p>
      <w:pPr>
        <w:pStyle w:val="45"/>
        <w:spacing w:before="0" w:beforeAutospacing="0" w:after="0" w:afterAutospacing="0" w:line="400" w:lineRule="exact"/>
        <w:rPr>
          <w:color w:val="auto"/>
          <w:highlight w:val="none"/>
        </w:rPr>
      </w:pPr>
      <w:r>
        <w:rPr>
          <w:rStyle w:val="56"/>
          <w:rFonts w:hint="eastAsia"/>
          <w:color w:val="auto"/>
          <w:highlight w:val="none"/>
        </w:rPr>
        <w:t>三、获取招标文件</w:t>
      </w:r>
    </w:p>
    <w:p>
      <w:pPr>
        <w:pStyle w:val="45"/>
        <w:spacing w:before="0" w:beforeAutospacing="0" w:after="0" w:afterAutospacing="0" w:line="400" w:lineRule="exact"/>
        <w:rPr>
          <w:color w:val="auto"/>
          <w:highlight w:val="none"/>
        </w:rPr>
      </w:pPr>
      <w:r>
        <w:rPr>
          <w:rFonts w:hint="eastAsia"/>
          <w:color w:val="auto"/>
          <w:highlight w:val="none"/>
        </w:rPr>
        <w:t>时间：</w:t>
      </w:r>
      <w:r>
        <w:rPr>
          <w:rFonts w:hint="eastAsia"/>
          <w:color w:val="auto"/>
          <w:highlight w:val="none"/>
          <w:u w:val="single"/>
        </w:rPr>
        <w:t>2021年10月18日至2021年10月22日10:00（北京时间），10:00至13:30，下午15:30至18:00（北京时间，法定节假日除外）</w:t>
      </w:r>
    </w:p>
    <w:p>
      <w:pPr>
        <w:pStyle w:val="45"/>
        <w:spacing w:before="0" w:beforeAutospacing="0" w:after="0" w:afterAutospacing="0" w:line="400" w:lineRule="exact"/>
        <w:rPr>
          <w:color w:val="auto"/>
          <w:highlight w:val="none"/>
          <w:u w:val="single"/>
        </w:rPr>
      </w:pPr>
      <w:r>
        <w:rPr>
          <w:rFonts w:hint="eastAsia"/>
          <w:color w:val="auto"/>
          <w:highlight w:val="none"/>
        </w:rPr>
        <w:t>地点：</w:t>
      </w:r>
      <w:r>
        <w:rPr>
          <w:rFonts w:hint="eastAsia"/>
          <w:color w:val="auto"/>
          <w:highlight w:val="none"/>
          <w:u w:val="single"/>
        </w:rPr>
        <w:t>乌鲁木齐市水磨沟区龙腾路1118号中央公园二期9栋商务办公楼办公用房501室</w:t>
      </w:r>
    </w:p>
    <w:p>
      <w:pPr>
        <w:pStyle w:val="45"/>
        <w:spacing w:before="0" w:beforeAutospacing="0" w:after="0" w:afterAutospacing="0" w:line="400" w:lineRule="exact"/>
        <w:rPr>
          <w:color w:val="auto"/>
          <w:highlight w:val="none"/>
        </w:rPr>
      </w:pPr>
      <w:r>
        <w:rPr>
          <w:rFonts w:hint="eastAsia"/>
          <w:color w:val="auto"/>
          <w:highlight w:val="none"/>
        </w:rPr>
        <w:t>方式：现场购买</w:t>
      </w:r>
    </w:p>
    <w:p>
      <w:pPr>
        <w:pStyle w:val="45"/>
        <w:spacing w:before="0" w:beforeAutospacing="0" w:after="0" w:afterAutospacing="0" w:line="400" w:lineRule="exact"/>
        <w:rPr>
          <w:color w:val="auto"/>
          <w:highlight w:val="none"/>
        </w:rPr>
      </w:pPr>
      <w:r>
        <w:rPr>
          <w:rFonts w:hint="eastAsia"/>
          <w:color w:val="auto"/>
          <w:highlight w:val="none"/>
        </w:rPr>
        <w:t>售价（元）：300元/份</w:t>
      </w:r>
    </w:p>
    <w:p>
      <w:pPr>
        <w:pStyle w:val="45"/>
        <w:spacing w:before="0" w:beforeAutospacing="0" w:after="0" w:afterAutospacing="0" w:line="400" w:lineRule="exact"/>
        <w:jc w:val="both"/>
        <w:rPr>
          <w:color w:val="auto"/>
          <w:highlight w:val="none"/>
        </w:rPr>
      </w:pPr>
      <w:r>
        <w:rPr>
          <w:rStyle w:val="56"/>
          <w:rFonts w:hint="eastAsia"/>
          <w:color w:val="auto"/>
          <w:highlight w:val="none"/>
        </w:rPr>
        <w:t>四、提交投标文件截止时间、开标时间和地点</w:t>
      </w:r>
    </w:p>
    <w:p>
      <w:pPr>
        <w:pStyle w:val="45"/>
        <w:spacing w:before="0" w:beforeAutospacing="0" w:after="0" w:afterAutospacing="0" w:line="400" w:lineRule="exact"/>
        <w:rPr>
          <w:color w:val="auto"/>
          <w:highlight w:val="none"/>
        </w:rPr>
      </w:pPr>
      <w:r>
        <w:rPr>
          <w:rFonts w:hint="eastAsia"/>
          <w:color w:val="auto"/>
          <w:highlight w:val="none"/>
        </w:rPr>
        <w:t>提交投标文件截止时间：</w:t>
      </w:r>
      <w:r>
        <w:rPr>
          <w:rFonts w:hint="eastAsia"/>
          <w:color w:val="auto"/>
          <w:highlight w:val="none"/>
          <w:u w:val="single"/>
        </w:rPr>
        <w:t>2021年10月27日 11:00</w:t>
      </w:r>
      <w:r>
        <w:rPr>
          <w:rFonts w:hint="eastAsia"/>
          <w:color w:val="auto"/>
          <w:highlight w:val="none"/>
        </w:rPr>
        <w:t>（北京时间）</w:t>
      </w:r>
    </w:p>
    <w:p>
      <w:pPr>
        <w:pStyle w:val="45"/>
        <w:spacing w:before="0" w:beforeAutospacing="0" w:after="0" w:afterAutospacing="0" w:line="400" w:lineRule="exact"/>
        <w:rPr>
          <w:color w:val="auto"/>
          <w:highlight w:val="none"/>
          <w:u w:val="single"/>
        </w:rPr>
      </w:pPr>
      <w:r>
        <w:rPr>
          <w:rFonts w:hint="eastAsia"/>
          <w:color w:val="auto"/>
          <w:highlight w:val="none"/>
        </w:rPr>
        <w:t>投标地点：</w:t>
      </w:r>
      <w:r>
        <w:rPr>
          <w:rFonts w:hint="eastAsia"/>
          <w:color w:val="auto"/>
          <w:highlight w:val="none"/>
          <w:u w:val="single"/>
        </w:rPr>
        <w:t>乌鲁木齐市水磨沟区龙腾路1118号中央公园二期9栋商务办公楼办公用房401室</w:t>
      </w:r>
    </w:p>
    <w:p>
      <w:pPr>
        <w:pStyle w:val="45"/>
        <w:spacing w:before="0" w:beforeAutospacing="0" w:after="0" w:afterAutospacing="0" w:line="400" w:lineRule="exact"/>
        <w:rPr>
          <w:color w:val="auto"/>
          <w:highlight w:val="none"/>
        </w:rPr>
      </w:pPr>
      <w:r>
        <w:rPr>
          <w:rFonts w:hint="eastAsia"/>
          <w:color w:val="auto"/>
          <w:highlight w:val="none"/>
        </w:rPr>
        <w:t>开标时间：</w:t>
      </w:r>
      <w:r>
        <w:rPr>
          <w:rFonts w:hint="eastAsia"/>
          <w:color w:val="auto"/>
          <w:highlight w:val="none"/>
          <w:u w:val="single"/>
        </w:rPr>
        <w:t>2021年10月27日 11:00</w:t>
      </w:r>
      <w:r>
        <w:rPr>
          <w:rFonts w:hint="eastAsia"/>
          <w:color w:val="auto"/>
          <w:highlight w:val="none"/>
        </w:rPr>
        <w:t>（北京时间））</w:t>
      </w:r>
    </w:p>
    <w:p>
      <w:pPr>
        <w:pStyle w:val="45"/>
        <w:spacing w:before="0" w:beforeAutospacing="0" w:after="0" w:afterAutospacing="0" w:line="400" w:lineRule="exact"/>
        <w:rPr>
          <w:color w:val="auto"/>
          <w:highlight w:val="none"/>
          <w:u w:val="single"/>
        </w:rPr>
      </w:pPr>
      <w:r>
        <w:rPr>
          <w:rFonts w:hint="eastAsia"/>
          <w:color w:val="auto"/>
          <w:highlight w:val="none"/>
        </w:rPr>
        <w:t>开标地点：</w:t>
      </w:r>
      <w:r>
        <w:rPr>
          <w:rFonts w:hint="eastAsia"/>
          <w:color w:val="auto"/>
          <w:highlight w:val="none"/>
          <w:u w:val="single"/>
        </w:rPr>
        <w:t>乌鲁木齐市水磨沟区龙腾路1118号中央公园二期9栋商务办公楼办公用房401室</w:t>
      </w:r>
    </w:p>
    <w:p>
      <w:pPr>
        <w:pStyle w:val="45"/>
        <w:spacing w:before="0" w:beforeAutospacing="0" w:after="0" w:afterAutospacing="0" w:line="400" w:lineRule="exact"/>
        <w:jc w:val="both"/>
        <w:rPr>
          <w:color w:val="auto"/>
          <w:highlight w:val="none"/>
        </w:rPr>
      </w:pPr>
      <w:r>
        <w:rPr>
          <w:rStyle w:val="56"/>
          <w:rFonts w:hint="eastAsia"/>
          <w:color w:val="auto"/>
          <w:highlight w:val="none"/>
        </w:rPr>
        <w:t>五、公告期限</w:t>
      </w:r>
    </w:p>
    <w:p>
      <w:pPr>
        <w:pStyle w:val="45"/>
        <w:spacing w:before="0" w:beforeAutospacing="0" w:after="0" w:afterAutospacing="0" w:line="400" w:lineRule="exact"/>
        <w:rPr>
          <w:color w:val="auto"/>
          <w:highlight w:val="none"/>
        </w:rPr>
      </w:pPr>
      <w:r>
        <w:rPr>
          <w:rFonts w:hint="eastAsia"/>
          <w:color w:val="auto"/>
          <w:highlight w:val="none"/>
        </w:rPr>
        <w:t>自本公告发布之日起5个工作日。</w:t>
      </w:r>
    </w:p>
    <w:p>
      <w:pPr>
        <w:pStyle w:val="45"/>
        <w:spacing w:before="0" w:beforeAutospacing="0" w:after="0" w:afterAutospacing="0" w:line="400" w:lineRule="exact"/>
        <w:jc w:val="both"/>
        <w:rPr>
          <w:color w:val="auto"/>
          <w:highlight w:val="none"/>
        </w:rPr>
      </w:pPr>
      <w:r>
        <w:rPr>
          <w:rStyle w:val="56"/>
          <w:rFonts w:hint="eastAsia"/>
          <w:color w:val="auto"/>
          <w:highlight w:val="none"/>
        </w:rPr>
        <w:t>六、其他补充事宜</w:t>
      </w:r>
    </w:p>
    <w:p>
      <w:pPr>
        <w:pStyle w:val="45"/>
        <w:spacing w:before="0" w:beforeAutospacing="0" w:after="0" w:afterAutospacing="0" w:line="400" w:lineRule="exact"/>
        <w:rPr>
          <w:color w:val="auto"/>
          <w:highlight w:val="none"/>
        </w:rPr>
      </w:pPr>
      <w:r>
        <w:rPr>
          <w:rFonts w:hint="eastAsia"/>
          <w:color w:val="auto"/>
          <w:highlight w:val="none"/>
        </w:rPr>
        <w:t>报名时请随身携带法定代表人授权委托书及被授权人的身份证原件或法定代表人身份证明书及法定代表人身份证原件、三证合一的《营业执照》原件、</w:t>
      </w:r>
      <w:r>
        <w:rPr>
          <w:rFonts w:hint="eastAsia"/>
          <w:color w:val="auto"/>
          <w:highlight w:val="none"/>
          <w:shd w:val="clear" w:color="auto" w:fill="FFFFFF"/>
        </w:rPr>
        <w:t>以上所有资料提供原件及复印件加盖供应商公章的复印件贰套，资料不齐不予受理。</w:t>
      </w:r>
    </w:p>
    <w:p>
      <w:pPr>
        <w:pStyle w:val="45"/>
        <w:spacing w:before="0" w:beforeAutospacing="0" w:after="0" w:afterAutospacing="0" w:line="400" w:lineRule="exact"/>
        <w:rPr>
          <w:color w:val="auto"/>
          <w:highlight w:val="none"/>
        </w:rPr>
      </w:pPr>
      <w:r>
        <w:rPr>
          <w:rStyle w:val="56"/>
          <w:rFonts w:hint="eastAsia"/>
          <w:color w:val="auto"/>
          <w:highlight w:val="none"/>
        </w:rPr>
        <w:t>七、对本次招标提出询问，请按以下方式联系。</w:t>
      </w:r>
    </w:p>
    <w:p>
      <w:pPr>
        <w:pStyle w:val="45"/>
        <w:spacing w:before="0" w:beforeAutospacing="0" w:after="0" w:afterAutospacing="0" w:line="400" w:lineRule="exact"/>
        <w:rPr>
          <w:color w:val="auto"/>
          <w:highlight w:val="none"/>
        </w:rPr>
      </w:pPr>
      <w:r>
        <w:rPr>
          <w:rFonts w:hint="eastAsia"/>
          <w:color w:val="auto"/>
          <w:highlight w:val="none"/>
        </w:rPr>
        <w:t>1.采购人信息</w:t>
      </w:r>
    </w:p>
    <w:p>
      <w:pPr>
        <w:pStyle w:val="45"/>
        <w:spacing w:before="0" w:beforeAutospacing="0" w:after="0" w:afterAutospacing="0" w:line="400" w:lineRule="exact"/>
        <w:rPr>
          <w:color w:val="auto"/>
          <w:highlight w:val="none"/>
        </w:rPr>
      </w:pPr>
      <w:r>
        <w:rPr>
          <w:rFonts w:hint="eastAsia"/>
          <w:color w:val="auto"/>
          <w:highlight w:val="none"/>
        </w:rPr>
        <w:t>名       称：新疆维吾尔自治区农业农村厅办公室</w:t>
      </w:r>
    </w:p>
    <w:p>
      <w:pPr>
        <w:pStyle w:val="45"/>
        <w:spacing w:before="0" w:beforeAutospacing="0" w:after="0" w:afterAutospacing="0" w:line="400" w:lineRule="exact"/>
        <w:rPr>
          <w:color w:val="auto"/>
          <w:highlight w:val="none"/>
        </w:rPr>
      </w:pPr>
      <w:r>
        <w:rPr>
          <w:rFonts w:hint="eastAsia"/>
          <w:color w:val="auto"/>
          <w:highlight w:val="none"/>
        </w:rPr>
        <w:t>地       址：乌鲁木齐市长江路461号</w:t>
      </w:r>
    </w:p>
    <w:p>
      <w:pPr>
        <w:spacing w:line="400" w:lineRule="exact"/>
        <w:rPr>
          <w:rFonts w:ascii="宋体" w:hAnsi="宋体" w:cs="宋体"/>
          <w:color w:val="auto"/>
          <w:sz w:val="24"/>
          <w:highlight w:val="none"/>
        </w:rPr>
      </w:pPr>
      <w:r>
        <w:rPr>
          <w:rFonts w:hint="eastAsia" w:ascii="宋体" w:hAnsi="宋体" w:cs="宋体"/>
          <w:color w:val="auto"/>
          <w:sz w:val="24"/>
          <w:highlight w:val="none"/>
        </w:rPr>
        <w:t>项目联系人：郝先生</w:t>
      </w:r>
    </w:p>
    <w:p>
      <w:pPr>
        <w:spacing w:line="400" w:lineRule="exact"/>
        <w:rPr>
          <w:rFonts w:ascii="宋体" w:hAnsi="宋体" w:cs="宋体"/>
          <w:color w:val="auto"/>
          <w:sz w:val="24"/>
          <w:highlight w:val="none"/>
        </w:rPr>
      </w:pPr>
      <w:r>
        <w:rPr>
          <w:rFonts w:hint="eastAsia" w:ascii="宋体" w:hAnsi="宋体" w:cs="宋体"/>
          <w:color w:val="auto"/>
          <w:sz w:val="24"/>
          <w:highlight w:val="none"/>
        </w:rPr>
        <w:t>项目联系电话：18129387009</w:t>
      </w:r>
    </w:p>
    <w:p>
      <w:pPr>
        <w:pStyle w:val="45"/>
        <w:spacing w:before="0" w:beforeAutospacing="0" w:after="0" w:afterAutospacing="0" w:line="400" w:lineRule="exact"/>
        <w:rPr>
          <w:color w:val="auto"/>
          <w:highlight w:val="none"/>
        </w:rPr>
      </w:pPr>
      <w:r>
        <w:rPr>
          <w:rFonts w:hint="eastAsia"/>
          <w:color w:val="auto"/>
          <w:highlight w:val="none"/>
        </w:rPr>
        <w:t>2.采购代理机构信息</w:t>
      </w:r>
    </w:p>
    <w:p>
      <w:pPr>
        <w:pStyle w:val="45"/>
        <w:spacing w:before="0" w:beforeAutospacing="0" w:after="0" w:afterAutospacing="0" w:line="400" w:lineRule="exact"/>
        <w:rPr>
          <w:color w:val="auto"/>
          <w:highlight w:val="none"/>
        </w:rPr>
      </w:pPr>
      <w:r>
        <w:rPr>
          <w:rFonts w:hint="eastAsia"/>
          <w:color w:val="auto"/>
          <w:highlight w:val="none"/>
        </w:rPr>
        <w:t>名    称：新疆谱诚项目管理咨询有限公司</w:t>
      </w:r>
    </w:p>
    <w:p>
      <w:pPr>
        <w:pStyle w:val="45"/>
        <w:spacing w:before="0" w:beforeAutospacing="0" w:after="0" w:afterAutospacing="0" w:line="400" w:lineRule="exact"/>
        <w:rPr>
          <w:color w:val="auto"/>
          <w:highlight w:val="none"/>
        </w:rPr>
      </w:pPr>
      <w:r>
        <w:rPr>
          <w:rFonts w:hint="eastAsia"/>
          <w:color w:val="auto"/>
          <w:highlight w:val="none"/>
        </w:rPr>
        <w:t>地    址：</w:t>
      </w:r>
      <w:r>
        <w:rPr>
          <w:rFonts w:hint="eastAsia"/>
          <w:color w:val="auto"/>
          <w:highlight w:val="none"/>
          <w:u w:val="single"/>
        </w:rPr>
        <w:t>乌鲁木齐市水磨沟区龙腾路1118号中央公园二期9栋商务办公楼办公用房503室</w:t>
      </w:r>
    </w:p>
    <w:p>
      <w:pPr>
        <w:pStyle w:val="45"/>
        <w:spacing w:before="0" w:beforeAutospacing="0" w:after="0" w:afterAutospacing="0" w:line="400" w:lineRule="exact"/>
        <w:rPr>
          <w:color w:val="auto"/>
          <w:highlight w:val="none"/>
        </w:rPr>
      </w:pPr>
      <w:r>
        <w:rPr>
          <w:rFonts w:hint="eastAsia"/>
          <w:color w:val="auto"/>
          <w:highlight w:val="none"/>
        </w:rPr>
        <w:t>项目联系人：刘婧、齐欢</w:t>
      </w:r>
    </w:p>
    <w:p>
      <w:pPr>
        <w:pStyle w:val="45"/>
        <w:spacing w:before="0" w:beforeAutospacing="0" w:after="0" w:afterAutospacing="0" w:line="400" w:lineRule="exact"/>
        <w:rPr>
          <w:color w:val="auto"/>
          <w:highlight w:val="none"/>
        </w:rPr>
      </w:pPr>
      <w:r>
        <w:rPr>
          <w:rFonts w:hint="eastAsia"/>
          <w:color w:val="auto"/>
          <w:highlight w:val="none"/>
        </w:rPr>
        <w:t>联系电话：15899126306、17799228805</w:t>
      </w:r>
    </w:p>
    <w:p>
      <w:pPr>
        <w:pStyle w:val="45"/>
        <w:spacing w:before="0" w:beforeAutospacing="0" w:after="0" w:afterAutospacing="0" w:line="400" w:lineRule="exact"/>
        <w:rPr>
          <w:color w:val="auto"/>
          <w:kern w:val="2"/>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2021年09月27日</w:t>
      </w:r>
    </w:p>
    <w:p>
      <w:pPr>
        <w:spacing w:line="400" w:lineRule="exact"/>
        <w:rPr>
          <w:rFonts w:ascii="宋体" w:hAnsi="宋体" w:cs="宋体"/>
          <w:color w:val="auto"/>
          <w:sz w:val="24"/>
          <w:highlight w:val="none"/>
        </w:rPr>
      </w:pPr>
    </w:p>
    <w:p>
      <w:pPr>
        <w:spacing w:line="400" w:lineRule="exact"/>
        <w:rPr>
          <w:rFonts w:ascii="宋体" w:hAnsi="宋体" w:cs="宋体"/>
          <w:b/>
          <w:color w:val="auto"/>
          <w:sz w:val="24"/>
          <w:highlight w:val="none"/>
        </w:rPr>
      </w:pPr>
      <w:r>
        <w:rPr>
          <w:rFonts w:hint="eastAsia" w:ascii="宋体" w:hAnsi="宋体" w:cs="宋体"/>
          <w:b/>
          <w:color w:val="auto"/>
          <w:sz w:val="24"/>
          <w:highlight w:val="none"/>
        </w:rPr>
        <w:br w:type="page"/>
      </w:r>
    </w:p>
    <w:p>
      <w:pPr>
        <w:widowControl/>
        <w:spacing w:line="400" w:lineRule="exact"/>
        <w:jc w:val="center"/>
        <w:outlineLvl w:val="0"/>
        <w:rPr>
          <w:rFonts w:ascii="宋体" w:hAnsi="宋体" w:cs="宋体"/>
          <w:b/>
          <w:color w:val="auto"/>
          <w:sz w:val="24"/>
          <w:highlight w:val="none"/>
        </w:rPr>
      </w:pPr>
      <w:bookmarkStart w:id="1" w:name="_Toc8919"/>
      <w:r>
        <w:rPr>
          <w:rFonts w:hint="eastAsia" w:ascii="宋体" w:hAnsi="宋体" w:cs="宋体"/>
          <w:b/>
          <w:color w:val="auto"/>
          <w:sz w:val="24"/>
          <w:highlight w:val="none"/>
        </w:rPr>
        <w:t>第二章    投标人须知</w:t>
      </w:r>
      <w:bookmarkEnd w:id="1"/>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投标人须知前附表</w:t>
      </w:r>
    </w:p>
    <w:tbl>
      <w:tblPr>
        <w:tblStyle w:val="51"/>
        <w:tblW w:w="95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项号</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内  容</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１</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项目名称</w:t>
            </w:r>
          </w:p>
        </w:tc>
        <w:tc>
          <w:tcPr>
            <w:tcW w:w="7131" w:type="dxa"/>
            <w:vAlign w:val="center"/>
          </w:tcPr>
          <w:p>
            <w:pPr>
              <w:pStyle w:val="45"/>
              <w:spacing w:before="0" w:beforeAutospacing="0" w:after="0" w:afterAutospacing="0" w:line="400" w:lineRule="exact"/>
              <w:rPr>
                <w:color w:val="auto"/>
                <w:highlight w:val="none"/>
              </w:rPr>
            </w:pPr>
            <w:r>
              <w:rPr>
                <w:rFonts w:hint="eastAsia"/>
                <w:color w:val="auto"/>
                <w:highlight w:val="none"/>
              </w:rPr>
              <w:t>新疆维吾尔自治区农业农村厅办公室渔政执法无人机、执法记录仪采购项目（二次）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00" w:lineRule="exact"/>
              <w:rPr>
                <w:rFonts w:ascii="宋体" w:hAnsi="宋体" w:cs="宋体"/>
                <w:color w:val="auto"/>
                <w:sz w:val="24"/>
                <w:highlight w:val="none"/>
              </w:rPr>
            </w:pP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项目编号</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XJPC-2021-023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675" w:type="dxa"/>
            <w:vMerge w:val="continue"/>
            <w:vAlign w:val="center"/>
          </w:tcPr>
          <w:p>
            <w:pPr>
              <w:spacing w:line="400" w:lineRule="exact"/>
              <w:rPr>
                <w:rFonts w:ascii="宋体" w:hAnsi="宋体" w:cs="宋体"/>
                <w:color w:val="auto"/>
                <w:sz w:val="24"/>
                <w:highlight w:val="none"/>
              </w:rPr>
            </w:pP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实施地点</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00" w:lineRule="exact"/>
              <w:rPr>
                <w:rFonts w:ascii="宋体" w:hAnsi="宋体" w:cs="宋体"/>
                <w:color w:val="auto"/>
                <w:sz w:val="24"/>
                <w:highlight w:val="none"/>
              </w:rPr>
            </w:pP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采购方式</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00" w:lineRule="exact"/>
              <w:rPr>
                <w:rFonts w:ascii="宋体" w:hAnsi="宋体" w:cs="宋体"/>
                <w:color w:val="auto"/>
                <w:sz w:val="24"/>
                <w:highlight w:val="none"/>
              </w:rPr>
            </w:pP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资金来源</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pacing w:line="400" w:lineRule="exact"/>
              <w:rPr>
                <w:rFonts w:ascii="宋体" w:hAnsi="宋体" w:cs="宋体"/>
                <w:color w:val="auto"/>
                <w:sz w:val="24"/>
                <w:highlight w:val="none"/>
              </w:rPr>
            </w:pP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资格审查方式</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2</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联系方式</w:t>
            </w:r>
          </w:p>
        </w:tc>
        <w:tc>
          <w:tcPr>
            <w:tcW w:w="7131" w:type="dxa"/>
            <w:vAlign w:val="center"/>
          </w:tcPr>
          <w:p>
            <w:pPr>
              <w:pStyle w:val="45"/>
              <w:spacing w:before="0" w:beforeAutospacing="0" w:after="0" w:afterAutospacing="0" w:line="400" w:lineRule="exact"/>
              <w:rPr>
                <w:color w:val="auto"/>
                <w:highlight w:val="none"/>
              </w:rPr>
            </w:pPr>
            <w:r>
              <w:rPr>
                <w:rFonts w:hint="eastAsia"/>
                <w:color w:val="auto"/>
                <w:highlight w:val="none"/>
              </w:rPr>
              <w:t>1、采购人信息</w:t>
            </w:r>
          </w:p>
          <w:p>
            <w:pPr>
              <w:pStyle w:val="45"/>
              <w:spacing w:before="0" w:beforeAutospacing="0" w:after="0" w:afterAutospacing="0" w:line="400" w:lineRule="exact"/>
              <w:rPr>
                <w:color w:val="auto"/>
                <w:highlight w:val="none"/>
              </w:rPr>
            </w:pPr>
            <w:r>
              <w:rPr>
                <w:rFonts w:hint="eastAsia"/>
                <w:color w:val="auto"/>
                <w:highlight w:val="none"/>
              </w:rPr>
              <w:t>名       称：新疆维吾尔自治区农业农村厅办公室</w:t>
            </w:r>
          </w:p>
          <w:p>
            <w:pPr>
              <w:pStyle w:val="45"/>
              <w:spacing w:before="0" w:beforeAutospacing="0" w:after="0" w:afterAutospacing="0" w:line="400" w:lineRule="exact"/>
              <w:rPr>
                <w:color w:val="auto"/>
                <w:highlight w:val="none"/>
              </w:rPr>
            </w:pPr>
            <w:r>
              <w:rPr>
                <w:rFonts w:hint="eastAsia"/>
                <w:color w:val="auto"/>
                <w:highlight w:val="none"/>
              </w:rPr>
              <w:t>地       址：乌鲁木齐市长江路461号</w:t>
            </w:r>
          </w:p>
          <w:p>
            <w:pPr>
              <w:pStyle w:val="45"/>
              <w:spacing w:before="0" w:beforeAutospacing="0" w:after="0" w:afterAutospacing="0" w:line="400" w:lineRule="exact"/>
              <w:rPr>
                <w:color w:val="auto"/>
                <w:highlight w:val="none"/>
              </w:rPr>
            </w:pPr>
            <w:r>
              <w:rPr>
                <w:rFonts w:hint="eastAsia"/>
                <w:color w:val="auto"/>
                <w:highlight w:val="none"/>
              </w:rPr>
              <w:t>项目联系人：郝先生</w:t>
            </w:r>
          </w:p>
          <w:p>
            <w:pPr>
              <w:pStyle w:val="45"/>
              <w:spacing w:before="0" w:beforeAutospacing="0" w:after="0" w:afterAutospacing="0" w:line="400" w:lineRule="exact"/>
              <w:rPr>
                <w:color w:val="auto"/>
                <w:highlight w:val="none"/>
              </w:rPr>
            </w:pPr>
            <w:r>
              <w:rPr>
                <w:rFonts w:hint="eastAsia"/>
                <w:color w:val="auto"/>
                <w:highlight w:val="none"/>
              </w:rPr>
              <w:t>项目联系方式：18129387009</w:t>
            </w:r>
          </w:p>
          <w:p>
            <w:pPr>
              <w:pStyle w:val="45"/>
              <w:spacing w:before="0" w:beforeAutospacing="0" w:after="0" w:afterAutospacing="0" w:line="400" w:lineRule="exact"/>
              <w:rPr>
                <w:color w:val="auto"/>
                <w:highlight w:val="none"/>
              </w:rPr>
            </w:pPr>
            <w:r>
              <w:rPr>
                <w:rFonts w:hint="eastAsia"/>
                <w:color w:val="auto"/>
                <w:highlight w:val="none"/>
              </w:rPr>
              <w:t>2、采购代理机构信息</w:t>
            </w:r>
          </w:p>
          <w:p>
            <w:pPr>
              <w:pStyle w:val="45"/>
              <w:spacing w:before="0" w:beforeAutospacing="0" w:after="0" w:afterAutospacing="0" w:line="400" w:lineRule="exact"/>
              <w:rPr>
                <w:color w:val="auto"/>
                <w:highlight w:val="none"/>
              </w:rPr>
            </w:pPr>
            <w:r>
              <w:rPr>
                <w:rFonts w:hint="eastAsia"/>
                <w:color w:val="auto"/>
                <w:highlight w:val="none"/>
              </w:rPr>
              <w:t>名    称：新疆谱诚项目管理咨询有限公司</w:t>
            </w:r>
          </w:p>
          <w:p>
            <w:pPr>
              <w:pStyle w:val="45"/>
              <w:spacing w:before="0" w:beforeAutospacing="0" w:after="0" w:afterAutospacing="0" w:line="400" w:lineRule="exact"/>
              <w:rPr>
                <w:color w:val="auto"/>
                <w:highlight w:val="none"/>
                <w:u w:val="single"/>
              </w:rPr>
            </w:pPr>
            <w:r>
              <w:rPr>
                <w:rFonts w:hint="eastAsia"/>
                <w:color w:val="auto"/>
                <w:highlight w:val="none"/>
              </w:rPr>
              <w:t>地    址：</w:t>
            </w:r>
            <w:r>
              <w:rPr>
                <w:rFonts w:hint="eastAsia"/>
                <w:color w:val="auto"/>
                <w:highlight w:val="none"/>
                <w:u w:val="single"/>
              </w:rPr>
              <w:t>乌鲁木齐市水磨沟区龙腾路1118号中央公园二期9栋商务办公楼办公用房501室</w:t>
            </w:r>
          </w:p>
          <w:p>
            <w:pPr>
              <w:pStyle w:val="45"/>
              <w:spacing w:before="0" w:beforeAutospacing="0" w:after="0" w:afterAutospacing="0" w:line="400" w:lineRule="exact"/>
              <w:rPr>
                <w:color w:val="auto"/>
                <w:highlight w:val="none"/>
              </w:rPr>
            </w:pPr>
            <w:r>
              <w:rPr>
                <w:rFonts w:hint="eastAsia"/>
                <w:color w:val="auto"/>
                <w:highlight w:val="none"/>
              </w:rPr>
              <w:t>项目联系人：刘婧、齐欢</w:t>
            </w:r>
          </w:p>
          <w:p>
            <w:pPr>
              <w:pStyle w:val="45"/>
              <w:spacing w:before="0" w:beforeAutospacing="0" w:after="0" w:afterAutospacing="0" w:line="400" w:lineRule="exact"/>
              <w:rPr>
                <w:color w:val="auto"/>
                <w:highlight w:val="none"/>
              </w:rPr>
            </w:pPr>
            <w:r>
              <w:rPr>
                <w:rFonts w:hint="eastAsia"/>
                <w:color w:val="auto"/>
                <w:highlight w:val="none"/>
              </w:rPr>
              <w:t>联系电话：15899126306、17799228805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3</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预算（最高限价）</w:t>
            </w:r>
          </w:p>
          <w:p>
            <w:pPr>
              <w:pStyle w:val="5"/>
              <w:spacing w:before="0" w:after="0" w:line="400" w:lineRule="exact"/>
              <w:rPr>
                <w:rFonts w:ascii="宋体" w:hAnsi="宋体" w:cs="宋体"/>
                <w:b w:val="0"/>
                <w:color w:val="auto"/>
                <w:sz w:val="24"/>
                <w:szCs w:val="24"/>
                <w:highlight w:val="none"/>
              </w:rPr>
            </w:pPr>
            <w:r>
              <w:rPr>
                <w:rFonts w:hint="eastAsia" w:ascii="宋体" w:hAnsi="宋体" w:cs="宋体"/>
                <w:b w:val="0"/>
                <w:color w:val="auto"/>
                <w:sz w:val="24"/>
                <w:szCs w:val="24"/>
                <w:highlight w:val="none"/>
              </w:rPr>
              <w:t>标项</w:t>
            </w:r>
          </w:p>
        </w:tc>
        <w:tc>
          <w:tcPr>
            <w:tcW w:w="7131" w:type="dxa"/>
            <w:vAlign w:val="center"/>
          </w:tcPr>
          <w:p>
            <w:pPr>
              <w:spacing w:line="400" w:lineRule="exact"/>
              <w:rPr>
                <w:rFonts w:ascii="宋体" w:hAnsi="宋体" w:cs="宋体"/>
                <w:bCs/>
                <w:color w:val="auto"/>
                <w:sz w:val="24"/>
                <w:highlight w:val="none"/>
              </w:rPr>
            </w:pPr>
            <w:r>
              <w:rPr>
                <w:rFonts w:hint="eastAsia" w:ascii="宋体" w:hAnsi="宋体" w:cs="宋体"/>
                <w:color w:val="auto"/>
                <w:sz w:val="24"/>
                <w:highlight w:val="none"/>
              </w:rPr>
              <w:t>预算（最高限价）</w:t>
            </w:r>
            <w:r>
              <w:rPr>
                <w:rFonts w:hint="eastAsia" w:ascii="宋体" w:hAnsi="宋体" w:cs="宋体"/>
                <w:bCs/>
                <w:color w:val="auto"/>
                <w:sz w:val="24"/>
                <w:highlight w:val="none"/>
              </w:rPr>
              <w:t>（万元）：</w:t>
            </w:r>
            <w:r>
              <w:rPr>
                <w:rFonts w:hint="eastAsia" w:ascii="宋体" w:hAnsi="宋体" w:cs="宋体"/>
                <w:color w:val="auto"/>
                <w:sz w:val="24"/>
                <w:highlight w:val="none"/>
              </w:rPr>
              <w:t>11.1</w:t>
            </w:r>
          </w:p>
          <w:p>
            <w:pPr>
              <w:spacing w:line="400" w:lineRule="exact"/>
              <w:rPr>
                <w:rFonts w:ascii="宋体" w:hAnsi="宋体" w:cs="宋体"/>
                <w:color w:val="auto"/>
                <w:sz w:val="24"/>
                <w:highlight w:val="none"/>
              </w:rPr>
            </w:pPr>
            <w:r>
              <w:rPr>
                <w:rFonts w:hint="eastAsia" w:ascii="宋体" w:hAnsi="宋体" w:cs="宋体"/>
                <w:color w:val="auto"/>
                <w:sz w:val="24"/>
                <w:highlight w:val="none"/>
              </w:rPr>
              <w:t>标项：本项目分1个标项，不分包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4</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采购需求</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执法记录仪</w:t>
            </w:r>
            <w:r>
              <w:rPr>
                <w:rFonts w:hint="eastAsia" w:cs="宋体"/>
                <w:color w:val="auto"/>
                <w:sz w:val="24"/>
                <w:highlight w:val="none"/>
              </w:rPr>
              <w:t>2</w:t>
            </w:r>
            <w:r>
              <w:rPr>
                <w:rFonts w:hint="eastAsia" w:ascii="宋体" w:hAnsi="宋体" w:cs="宋体"/>
                <w:color w:val="auto"/>
                <w:sz w:val="24"/>
                <w:highlight w:val="none"/>
              </w:rPr>
              <w:t>0台、无人机1台（详见采购文件）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5</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产品提交要求</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6</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质量标准</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合格（通过采购人组织的项目验收）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7</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供货期</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合同签订后20天完成供货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8</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投标人条件</w:t>
            </w:r>
          </w:p>
        </w:tc>
        <w:tc>
          <w:tcPr>
            <w:tcW w:w="7131" w:type="dxa"/>
            <w:vAlign w:val="center"/>
          </w:tcPr>
          <w:p>
            <w:pPr>
              <w:pStyle w:val="45"/>
              <w:spacing w:before="0" w:beforeAutospacing="0" w:after="0" w:afterAutospacing="0" w:line="400" w:lineRule="exact"/>
              <w:rPr>
                <w:color w:val="auto"/>
                <w:highlight w:val="none"/>
              </w:rPr>
            </w:pPr>
            <w:r>
              <w:rPr>
                <w:rFonts w:hint="eastAsia"/>
                <w:color w:val="auto"/>
                <w:highlight w:val="none"/>
              </w:rPr>
              <w:t>1.落实政府采购政策需满足的资格要求。</w:t>
            </w:r>
          </w:p>
          <w:p>
            <w:pPr>
              <w:pStyle w:val="45"/>
              <w:spacing w:before="0" w:beforeAutospacing="0" w:after="0" w:afterAutospacing="0" w:line="400" w:lineRule="exact"/>
              <w:rPr>
                <w:color w:val="auto"/>
                <w:highlight w:val="none"/>
              </w:rPr>
            </w:pPr>
            <w:r>
              <w:rPr>
                <w:rFonts w:hint="eastAsia"/>
                <w:color w:val="auto"/>
                <w:highlight w:val="none"/>
              </w:rPr>
              <w:t>2.本项目的特定资格要求：</w:t>
            </w:r>
          </w:p>
          <w:p>
            <w:pPr>
              <w:pStyle w:val="45"/>
              <w:spacing w:before="0" w:beforeAutospacing="0" w:after="0" w:afterAutospacing="0" w:line="400" w:lineRule="exact"/>
              <w:rPr>
                <w:color w:val="auto"/>
                <w:highlight w:val="none"/>
              </w:rPr>
            </w:pPr>
            <w:r>
              <w:rPr>
                <w:rFonts w:hint="eastAsia"/>
                <w:color w:val="auto"/>
                <w:highlight w:val="none"/>
              </w:rPr>
              <w:t>（1）具有有效营业执照的国内独立法人资格，具有独立承担民事责任的能力；</w:t>
            </w:r>
            <w:r>
              <w:rPr>
                <w:rFonts w:hint="eastAsia"/>
                <w:color w:val="auto"/>
                <w:highlight w:val="none"/>
              </w:rPr>
              <w:br w:type="textWrapping"/>
            </w:r>
            <w:r>
              <w:rPr>
                <w:rFonts w:hint="eastAsia"/>
                <w:color w:val="auto"/>
                <w:highlight w:val="none"/>
              </w:rPr>
              <w:t>（2）具有良好的商业信誉和健全的财务会计制度；（提供会计师事务所出具的近一年度财务审计报告或基本开户银行出具的资信证明，新成立不足一年的提供成立之日起至今的财报报表）原件或复印件加盖公章；</w:t>
            </w:r>
            <w:r>
              <w:rPr>
                <w:rFonts w:hint="eastAsia"/>
                <w:color w:val="auto"/>
                <w:highlight w:val="none"/>
              </w:rPr>
              <w:br w:type="textWrapping"/>
            </w:r>
            <w:r>
              <w:rPr>
                <w:rFonts w:hint="eastAsia"/>
                <w:color w:val="auto"/>
                <w:highlight w:val="none"/>
              </w:rPr>
              <w:t>（3）有依法缴纳税收和社会保障资金的良好纪录；（提供近三个月社保资金缴纳证明和纳税证明，新成立公司提供成立之日起至今的缴税记录及社保缴纳证明）原件或复印件加盖公章；</w:t>
            </w:r>
            <w:r>
              <w:rPr>
                <w:rFonts w:hint="eastAsia"/>
                <w:color w:val="auto"/>
                <w:highlight w:val="none"/>
              </w:rPr>
              <w:br w:type="textWrapping"/>
            </w:r>
            <w:r>
              <w:rPr>
                <w:rFonts w:hint="eastAsia"/>
                <w:color w:val="auto"/>
                <w:highlight w:val="none"/>
              </w:rPr>
              <w:t>（4）“信用中国”网站（http://www.creditchina.gov.cn/）、“中国政府采购网”网站（http://www.ccgp.gov.cn/）无违法违规行为的；（提供的查询截图，时间为投标截止时间前20天内）</w:t>
            </w:r>
            <w:r>
              <w:rPr>
                <w:rFonts w:hint="eastAsia"/>
                <w:color w:val="auto"/>
                <w:highlight w:val="none"/>
              </w:rPr>
              <w:br w:type="textWrapping"/>
            </w:r>
            <w:r>
              <w:rPr>
                <w:rFonts w:hint="eastAsia"/>
                <w:color w:val="auto"/>
                <w:highlight w:val="none"/>
              </w:rPr>
              <w:t>（5）单位负责人为同一人或者存在直接控股、管理关系的不同供应商，不得参加同一合同项下的政府采购活动；</w:t>
            </w:r>
            <w:r>
              <w:rPr>
                <w:rFonts w:hint="eastAsia"/>
                <w:color w:val="auto"/>
                <w:highlight w:val="none"/>
              </w:rPr>
              <w:br w:type="textWrapping"/>
            </w:r>
            <w:r>
              <w:rPr>
                <w:rFonts w:hint="eastAsia"/>
                <w:color w:val="auto"/>
                <w:highlight w:val="none"/>
              </w:rPr>
              <w:t>（6）具有履行合同所必需的设备和专业技术能力；</w:t>
            </w:r>
            <w:r>
              <w:rPr>
                <w:rFonts w:hint="eastAsia"/>
                <w:color w:val="auto"/>
                <w:highlight w:val="none"/>
              </w:rPr>
              <w:br w:type="textWrapping"/>
            </w:r>
            <w:r>
              <w:rPr>
                <w:rFonts w:hint="eastAsia"/>
                <w:color w:val="auto"/>
                <w:highlight w:val="none"/>
              </w:rPr>
              <w:t>（7）本项目不接受联合体投标。</w:t>
            </w:r>
            <w:r>
              <w:rPr>
                <w:rFonts w:hint="eastAsia"/>
                <w:color w:val="auto"/>
                <w:highlight w:val="none"/>
              </w:rPr>
              <w:br w:type="textWrapping"/>
            </w:r>
            <w:r>
              <w:rPr>
                <w:rFonts w:hint="eastAsia"/>
                <w:color w:val="auto"/>
                <w:highlight w:val="none"/>
              </w:rPr>
              <w:t>（8）符合国家有关法律法规的规定。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9</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投标文件</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本次开标：纸质版或电子版响应文件评审。投标人编制、提交的投标文件，须符合本项目采购文件要求的投标文件编制和提交要求。</w:t>
            </w:r>
          </w:p>
          <w:p>
            <w:pPr>
              <w:spacing w:line="400" w:lineRule="exact"/>
              <w:rPr>
                <w:rFonts w:ascii="宋体" w:hAnsi="宋体" w:cs="宋体"/>
                <w:color w:val="auto"/>
                <w:sz w:val="24"/>
                <w:highlight w:val="none"/>
              </w:rPr>
            </w:pPr>
            <w:r>
              <w:rPr>
                <w:rFonts w:hint="eastAsia" w:ascii="宋体" w:hAnsi="宋体" w:cs="宋体"/>
                <w:color w:val="auto"/>
                <w:sz w:val="24"/>
                <w:highlight w:val="none"/>
              </w:rPr>
              <w:t>投标文件正本一份,，副本三份。</w:t>
            </w:r>
          </w:p>
          <w:p>
            <w:pPr>
              <w:spacing w:line="400" w:lineRule="exact"/>
              <w:rPr>
                <w:rFonts w:ascii="宋体" w:hAnsi="宋体" w:cs="宋体"/>
                <w:color w:val="auto"/>
                <w:sz w:val="24"/>
                <w:highlight w:val="none"/>
              </w:rPr>
            </w:pPr>
            <w:r>
              <w:rPr>
                <w:rFonts w:hint="eastAsia" w:ascii="宋体" w:hAnsi="宋体" w:cs="宋体"/>
                <w:color w:val="auto"/>
                <w:sz w:val="24"/>
                <w:highlight w:val="none"/>
              </w:rPr>
              <w:t>电子版投标文件2份（包括u盘1份及光盘1份，并标注投标人名称)</w:t>
            </w:r>
          </w:p>
          <w:p>
            <w:pPr>
              <w:spacing w:line="400" w:lineRule="exact"/>
              <w:rPr>
                <w:rFonts w:ascii="宋体" w:hAnsi="宋体" w:cs="宋体"/>
                <w:color w:val="auto"/>
                <w:sz w:val="24"/>
                <w:highlight w:val="none"/>
              </w:rPr>
            </w:pPr>
            <w:r>
              <w:rPr>
                <w:rFonts w:hint="eastAsia" w:ascii="宋体" w:hAnsi="宋体" w:cs="宋体"/>
                <w:color w:val="auto"/>
                <w:sz w:val="24"/>
                <w:highlight w:val="none"/>
              </w:rPr>
              <w:t>开标一览表1份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10</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响应文件提交</w:t>
            </w:r>
          </w:p>
        </w:tc>
        <w:tc>
          <w:tcPr>
            <w:tcW w:w="7131" w:type="dxa"/>
            <w:vAlign w:val="center"/>
          </w:tcPr>
          <w:p>
            <w:pPr>
              <w:spacing w:line="400" w:lineRule="exact"/>
              <w:rPr>
                <w:rFonts w:hint="eastAsia"/>
                <w:color w:val="auto"/>
                <w:highlight w:val="none"/>
              </w:rPr>
            </w:pPr>
            <w:r>
              <w:rPr>
                <w:rFonts w:hint="eastAsia" w:ascii="宋体" w:hAnsi="宋体" w:cs="宋体"/>
                <w:color w:val="auto"/>
                <w:sz w:val="24"/>
                <w:highlight w:val="none"/>
              </w:rPr>
              <w:t>截止时间：</w:t>
            </w:r>
            <w:r>
              <w:rPr>
                <w:rFonts w:hint="eastAsia"/>
                <w:color w:val="auto"/>
                <w:highlight w:val="none"/>
                <w:u w:val="single"/>
              </w:rPr>
              <w:t>2021年10月27日 11:00</w:t>
            </w:r>
            <w:r>
              <w:rPr>
                <w:rFonts w:hint="eastAsia"/>
                <w:color w:val="auto"/>
                <w:highlight w:val="none"/>
              </w:rPr>
              <w:t>（北京时间）</w:t>
            </w:r>
          </w:p>
          <w:p>
            <w:pPr>
              <w:spacing w:line="400" w:lineRule="exact"/>
              <w:rPr>
                <w:color w:val="auto"/>
                <w:highlight w:val="none"/>
              </w:rPr>
            </w:pPr>
            <w:r>
              <w:rPr>
                <w:rFonts w:hint="eastAsia"/>
                <w:color w:val="auto"/>
                <w:highlight w:val="none"/>
              </w:rPr>
              <w:t>地点：</w:t>
            </w:r>
            <w:r>
              <w:rPr>
                <w:rFonts w:hint="eastAsia"/>
                <w:color w:val="auto"/>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11</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投标有效期限</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12</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开标会议</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开启时间：</w:t>
            </w:r>
            <w:r>
              <w:rPr>
                <w:rFonts w:hint="eastAsia"/>
                <w:color w:val="auto"/>
                <w:highlight w:val="none"/>
                <w:u w:val="single"/>
              </w:rPr>
              <w:t>2021年10月27日 11:00</w:t>
            </w:r>
            <w:r>
              <w:rPr>
                <w:rFonts w:hint="eastAsia"/>
                <w:color w:val="auto"/>
                <w:highlight w:val="none"/>
              </w:rPr>
              <w:t>（北京时间）</w:t>
            </w:r>
          </w:p>
          <w:p>
            <w:pPr>
              <w:spacing w:line="400" w:lineRule="exact"/>
              <w:rPr>
                <w:rFonts w:ascii="宋体" w:hAnsi="宋体" w:cs="宋体"/>
                <w:color w:val="auto"/>
                <w:sz w:val="24"/>
                <w:highlight w:val="none"/>
              </w:rPr>
            </w:pPr>
            <w:r>
              <w:rPr>
                <w:rFonts w:hint="eastAsia" w:ascii="宋体" w:hAnsi="宋体" w:cs="宋体"/>
                <w:color w:val="auto"/>
                <w:sz w:val="24"/>
                <w:highlight w:val="none"/>
              </w:rPr>
              <w:t>地点：</w:t>
            </w:r>
            <w:r>
              <w:rPr>
                <w:rFonts w:hint="eastAsia" w:ascii="宋体" w:hAnsi="宋体" w:cs="宋体"/>
                <w:color w:val="auto"/>
                <w:sz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13</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评标标准</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4"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14</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投标保证金（人民币）</w:t>
            </w:r>
          </w:p>
        </w:tc>
        <w:tc>
          <w:tcPr>
            <w:tcW w:w="7131" w:type="dxa"/>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投标保证金：</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 小写：￥2000.00元；     大写：贰仟元整</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户单位名称：新疆谱诚项目管理咨询有限公司</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开户行：中国农业银行股份有限公司乌鲁木齐南门国际城支行</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银行账号：30003101040002928</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行    号：103881000316</w:t>
            </w:r>
          </w:p>
          <w:p>
            <w:pPr>
              <w:spacing w:line="400" w:lineRule="exact"/>
              <w:rPr>
                <w:rFonts w:ascii="宋体" w:hAnsi="宋体" w:cs="宋体"/>
                <w:color w:val="auto"/>
                <w:sz w:val="24"/>
                <w:highlight w:val="none"/>
              </w:rPr>
            </w:pPr>
            <w:r>
              <w:rPr>
                <w:rFonts w:hint="eastAsia" w:ascii="宋体" w:hAnsi="宋体" w:cs="宋体"/>
                <w:color w:val="auto"/>
                <w:sz w:val="24"/>
                <w:highlight w:val="none"/>
              </w:rPr>
              <w:t>投标保证金的缴纳形式：投标保证金于投标截止时间前（北京时间，以到账时间为准)之前从投标人基本账户以银行电汇或网银形式汇至新疆谱诚项目管理咨询有限公司账户，投标人提交投标保证金应充分考虑资金在途时间。若投标人未按照上述规定缴纳投标保证金,投标文件将被拒绝评审。</w:t>
            </w:r>
          </w:p>
          <w:p>
            <w:pPr>
              <w:spacing w:line="400" w:lineRule="exact"/>
              <w:rPr>
                <w:rFonts w:ascii="宋体" w:hAnsi="宋体" w:cs="宋体"/>
                <w:b/>
                <w:color w:val="auto"/>
                <w:sz w:val="24"/>
                <w:highlight w:val="none"/>
              </w:rPr>
            </w:pPr>
            <w:r>
              <w:rPr>
                <w:rFonts w:hint="eastAsia" w:ascii="宋体" w:hAnsi="宋体" w:cs="宋体"/>
                <w:bCs/>
                <w:color w:val="auto"/>
                <w:sz w:val="24"/>
                <w:highlight w:val="none"/>
              </w:rPr>
              <w:t>（注：投标人缴纳投标保证金时，须备注注明所投“项目名称、项目编号、投标人简称”）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15</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招标文件售价</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300元/份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16</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履约担保</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履约保证金金额：合同金额的</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400" w:lineRule="exact"/>
              <w:rPr>
                <w:rFonts w:ascii="宋体" w:hAnsi="宋体" w:cs="宋体"/>
                <w:color w:val="auto"/>
                <w:sz w:val="24"/>
                <w:highlight w:val="none"/>
              </w:rPr>
            </w:pPr>
            <w:r>
              <w:rPr>
                <w:rFonts w:hint="eastAsia" w:ascii="宋体" w:hAnsi="宋体" w:cs="宋体"/>
                <w:color w:val="auto"/>
                <w:sz w:val="24"/>
                <w:highlight w:val="none"/>
              </w:rPr>
              <w:t>履约保证金递交：成交单位收到《成交通知书》，签订合同前缴纳</w:t>
            </w:r>
          </w:p>
          <w:p>
            <w:pPr>
              <w:spacing w:line="400" w:lineRule="exact"/>
              <w:rPr>
                <w:rFonts w:ascii="宋体" w:hAnsi="宋体" w:cs="宋体"/>
                <w:color w:val="auto"/>
                <w:sz w:val="24"/>
                <w:highlight w:val="none"/>
              </w:rPr>
            </w:pPr>
            <w:r>
              <w:rPr>
                <w:rFonts w:hint="eastAsia" w:ascii="宋体" w:hAnsi="宋体" w:cs="宋体"/>
                <w:color w:val="auto"/>
                <w:sz w:val="24"/>
                <w:highlight w:val="none"/>
              </w:rPr>
              <w:t>履约保证金形式：银行转账形式（成交单位未按采购文件规定缴纳履约保证金的，其投标保证金将不予退还）</w:t>
            </w:r>
          </w:p>
          <w:p>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履约保证金（质保金）退还：（1）履约保证金的有效期为该项目</w:t>
            </w:r>
            <w:r>
              <w:rPr>
                <w:rFonts w:hint="eastAsia" w:ascii="宋体" w:hAnsi="宋体" w:cs="宋体"/>
                <w:color w:val="auto"/>
                <w:sz w:val="24"/>
                <w:highlight w:val="none"/>
              </w:rPr>
              <w:t>完成供货且通过采购人组织的项目验收</w:t>
            </w:r>
            <w:r>
              <w:rPr>
                <w:rFonts w:hint="eastAsia" w:ascii="宋体" w:hAnsi="宋体" w:cs="宋体"/>
                <w:color w:val="auto"/>
                <w:sz w:val="24"/>
                <w:highlight w:val="none"/>
                <w:lang w:val="zh-CN"/>
              </w:rPr>
              <w:t>止。（2）供应商在</w:t>
            </w:r>
            <w:r>
              <w:rPr>
                <w:rFonts w:hint="eastAsia" w:ascii="宋体" w:hAnsi="宋体" w:cs="宋体"/>
                <w:color w:val="auto"/>
                <w:sz w:val="24"/>
                <w:highlight w:val="none"/>
              </w:rPr>
              <w:t>产品</w:t>
            </w:r>
            <w:r>
              <w:rPr>
                <w:rFonts w:hint="eastAsia" w:ascii="宋体" w:hAnsi="宋体" w:cs="宋体"/>
                <w:color w:val="auto"/>
                <w:sz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17</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付款方式及币种</w:t>
            </w:r>
          </w:p>
        </w:tc>
        <w:tc>
          <w:tcPr>
            <w:tcW w:w="7131" w:type="dxa"/>
            <w:vAlign w:val="center"/>
          </w:tcPr>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1、付款币种：</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本次采购所述的项目资金均以人民币支付</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2、付款方式：</w:t>
            </w:r>
          </w:p>
          <w:p>
            <w:pPr>
              <w:spacing w:line="400" w:lineRule="exact"/>
              <w:rPr>
                <w:rFonts w:ascii="宋体" w:hAnsi="宋体" w:cs="宋体"/>
                <w:color w:val="auto"/>
                <w:sz w:val="24"/>
                <w:highlight w:val="none"/>
              </w:rPr>
            </w:pPr>
            <w:r>
              <w:rPr>
                <w:rFonts w:hint="eastAsia" w:ascii="宋体" w:hAnsi="宋体" w:cs="宋体"/>
                <w:color w:val="auto"/>
                <w:sz w:val="24"/>
                <w:highlight w:val="none"/>
              </w:rPr>
              <w:t>（1）合同签订后支付合同金额的30%，设备完成供货且验收合格后，支付合同金额的65%；</w:t>
            </w:r>
          </w:p>
          <w:p>
            <w:pPr>
              <w:spacing w:line="400" w:lineRule="exact"/>
              <w:rPr>
                <w:rFonts w:ascii="宋体" w:hAnsi="宋体" w:cs="宋体"/>
                <w:color w:val="auto"/>
                <w:sz w:val="24"/>
                <w:highlight w:val="none"/>
              </w:rPr>
            </w:pPr>
            <w:r>
              <w:rPr>
                <w:rFonts w:hint="eastAsia" w:ascii="宋体" w:hAnsi="宋体" w:cs="宋体"/>
                <w:color w:val="auto"/>
                <w:sz w:val="24"/>
                <w:highlight w:val="none"/>
              </w:rPr>
              <w:t>（2）剩余当期合同金额的5%，待质保期期满无质量问题后予以支付。</w:t>
            </w:r>
          </w:p>
          <w:p>
            <w:pPr>
              <w:spacing w:line="400" w:lineRule="exact"/>
              <w:rPr>
                <w:rFonts w:ascii="宋体" w:hAnsi="宋体" w:cs="宋体"/>
                <w:color w:val="auto"/>
                <w:sz w:val="24"/>
                <w:highlight w:val="none"/>
              </w:rPr>
            </w:pPr>
            <w:r>
              <w:rPr>
                <w:rFonts w:hint="eastAsia" w:ascii="宋体" w:hAnsi="宋体" w:cs="宋体"/>
                <w:color w:val="auto"/>
                <w:sz w:val="24"/>
                <w:highlight w:val="none"/>
              </w:rPr>
              <w:t>[投标人须提供阶段付款有关发票]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18</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质保期</w:t>
            </w:r>
          </w:p>
        </w:tc>
        <w:tc>
          <w:tcPr>
            <w:tcW w:w="7131" w:type="dxa"/>
            <w:vAlign w:val="center"/>
          </w:tcPr>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成交人应提交针对本项目的</w:t>
            </w:r>
            <w:r>
              <w:rPr>
                <w:rFonts w:hint="eastAsia" w:ascii="宋体" w:hAnsi="宋体" w:cs="宋体"/>
                <w:color w:val="auto"/>
                <w:sz w:val="24"/>
                <w:highlight w:val="none"/>
              </w:rPr>
              <w:t>3年</w:t>
            </w:r>
            <w:r>
              <w:rPr>
                <w:rFonts w:hint="eastAsia" w:ascii="宋体" w:hAnsi="宋体" w:cs="宋体"/>
                <w:color w:val="auto"/>
                <w:sz w:val="24"/>
                <w:highlight w:val="none"/>
                <w:lang w:val="zh-CN"/>
              </w:rPr>
              <w:t>质保承诺书。</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质保期内，在接到</w:t>
            </w:r>
            <w:r>
              <w:rPr>
                <w:rFonts w:hint="eastAsia" w:ascii="宋体" w:hAnsi="宋体" w:cs="宋体"/>
                <w:color w:val="auto"/>
                <w:sz w:val="24"/>
                <w:highlight w:val="none"/>
              </w:rPr>
              <w:t>甲方</w:t>
            </w:r>
            <w:r>
              <w:rPr>
                <w:rFonts w:hint="eastAsia" w:ascii="宋体" w:hAnsi="宋体" w:cs="宋体"/>
                <w:color w:val="auto"/>
                <w:sz w:val="24"/>
                <w:highlight w:val="none"/>
                <w:lang w:val="zh-CN"/>
              </w:rPr>
              <w:t>的退、换、</w:t>
            </w:r>
            <w:r>
              <w:rPr>
                <w:rFonts w:hint="eastAsia" w:ascii="宋体" w:hAnsi="宋体" w:cs="宋体"/>
                <w:color w:val="auto"/>
                <w:sz w:val="24"/>
                <w:highlight w:val="none"/>
              </w:rPr>
              <w:t>维修</w:t>
            </w:r>
            <w:r>
              <w:rPr>
                <w:rFonts w:hint="eastAsia" w:ascii="宋体" w:hAnsi="宋体" w:cs="宋体"/>
                <w:color w:val="auto"/>
                <w:sz w:val="24"/>
                <w:highlight w:val="none"/>
                <w:lang w:val="zh-CN"/>
              </w:rPr>
              <w:t>通知后，要求</w:t>
            </w:r>
            <w:r>
              <w:rPr>
                <w:rFonts w:hint="eastAsia" w:ascii="宋体" w:hAnsi="宋体" w:cs="宋体"/>
                <w:color w:val="auto"/>
                <w:sz w:val="24"/>
                <w:highlight w:val="none"/>
              </w:rPr>
              <w:t>48</w:t>
            </w:r>
            <w:r>
              <w:rPr>
                <w:rFonts w:hint="eastAsia" w:ascii="宋体" w:hAnsi="宋体" w:cs="宋体"/>
                <w:color w:val="auto"/>
                <w:sz w:val="24"/>
                <w:highlight w:val="none"/>
                <w:lang w:val="zh-CN"/>
              </w:rPr>
              <w:t>个小时内到达现场给予办理，不能在指定时间内完成任务的，必须与采购人进行沟通，说明情况。</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质保期从验收合格后开始计算。质保期内所有上门服务要求免费。</w:t>
            </w:r>
          </w:p>
          <w:p>
            <w:pPr>
              <w:spacing w:line="400" w:lineRule="exact"/>
              <w:rPr>
                <w:rFonts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19</w:t>
            </w: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落实政府采购政策</w:t>
            </w:r>
          </w:p>
        </w:tc>
        <w:tc>
          <w:tcPr>
            <w:tcW w:w="713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（1）《政府采购促进中小企业发展暂行办法》（财库〔2020〕47号）（2）《财政部、司法部关于政府采购支持监狱企业发展有关问题的通知》（财库〔2014〕68号）；（3）《财政部民政部 中国残疾人联合会关于促进残疾人就业政府采购政策的通知》财库〔2017〕141号等政策，详见招标文件.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pacing w:line="400" w:lineRule="exact"/>
              <w:rPr>
                <w:rFonts w:ascii="宋体" w:hAnsi="宋体" w:cs="宋体"/>
                <w:color w:val="auto"/>
                <w:sz w:val="24"/>
                <w:highlight w:val="none"/>
              </w:rPr>
            </w:pPr>
          </w:p>
        </w:tc>
        <w:tc>
          <w:tcPr>
            <w:tcW w:w="17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低于成本价不正当竞争</w:t>
            </w:r>
          </w:p>
          <w:p>
            <w:pPr>
              <w:spacing w:line="400" w:lineRule="exact"/>
              <w:rPr>
                <w:rFonts w:ascii="宋体" w:hAnsi="宋体" w:cs="宋体"/>
                <w:color w:val="auto"/>
                <w:sz w:val="24"/>
                <w:highlight w:val="none"/>
              </w:rPr>
            </w:pPr>
            <w:r>
              <w:rPr>
                <w:rFonts w:hint="eastAsia" w:ascii="宋体" w:hAnsi="宋体" w:cs="宋体"/>
                <w:color w:val="auto"/>
                <w:sz w:val="24"/>
                <w:highlight w:val="none"/>
              </w:rPr>
              <w:t>预防措施</w:t>
            </w:r>
          </w:p>
        </w:tc>
        <w:tc>
          <w:tcPr>
            <w:tcW w:w="7131" w:type="dxa"/>
            <w:vAlign w:val="center"/>
          </w:tcPr>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①在评标过程中，采购小组认为投标人的报价明显低于其他通过符合性审查投标人的报价，有可能影响产品（成果）和服务质量或者不能诚信履约的，采购小组应当要求其在评标现场合理的时间内提供成本构成书面说明，并提交相关证明材料。供应商书面说明应当按照国家财务会计制度的规定要求，逐项就供应商提供的产品（成果）和服务质量的主营业务成本（应根据供应商企业类型予以区别）、税金及附加、销售费用、管理费用、财务费用等成本构成事项详细陈述。</w:t>
            </w: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00" w:lineRule="exact"/>
              <w:rPr>
                <w:rFonts w:ascii="宋体" w:hAnsi="宋体" w:cs="宋体"/>
                <w:color w:val="auto"/>
                <w:sz w:val="24"/>
                <w:highlight w:val="none"/>
              </w:rPr>
            </w:pPr>
            <w:r>
              <w:rPr>
                <w:rFonts w:hint="eastAsia" w:ascii="宋体" w:hAnsi="宋体" w:cs="宋体"/>
                <w:b/>
                <w:bCs/>
                <w:color w:val="auto"/>
                <w:sz w:val="24"/>
                <w:highlight w:val="none"/>
              </w:rPr>
              <w:t>③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采购小组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07" w:type="dxa"/>
            <w:gridSpan w:val="3"/>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注1）投标人所投产品等同或不得低于采购文件要求的技术要求。任何对采购文件的忽略或误解不能作为响应文件存在缺陷或瑕疵的理由，其风险由投标人承担。投标人应保证所投产品及提供服务完全符合采购文件规定的采购需求。</w:t>
            </w:r>
          </w:p>
          <w:p>
            <w:pPr>
              <w:spacing w:line="400" w:lineRule="exact"/>
              <w:rPr>
                <w:rFonts w:ascii="宋体" w:hAnsi="宋体" w:cs="宋体"/>
                <w:color w:val="auto"/>
                <w:sz w:val="24"/>
                <w:highlight w:val="none"/>
              </w:rPr>
            </w:pPr>
            <w:r>
              <w:rPr>
                <w:rFonts w:hint="eastAsia" w:ascii="宋体" w:hAnsi="宋体" w:cs="宋体"/>
                <w:color w:val="auto"/>
                <w:sz w:val="24"/>
                <w:highlight w:val="none"/>
              </w:rPr>
              <w:t>注2）本项目设有最高限价，所有投标单位报价均不得高于最高限价，否则做无效标处理。</w:t>
            </w:r>
          </w:p>
          <w:p>
            <w:pPr>
              <w:spacing w:line="400" w:lineRule="exact"/>
              <w:rPr>
                <w:rFonts w:ascii="宋体" w:hAnsi="宋体" w:cs="宋体"/>
                <w:color w:val="auto"/>
                <w:sz w:val="24"/>
                <w:highlight w:val="none"/>
              </w:rPr>
            </w:pPr>
            <w:r>
              <w:rPr>
                <w:rFonts w:hint="eastAsia" w:ascii="宋体" w:hAnsi="宋体" w:cs="宋体"/>
                <w:color w:val="auto"/>
                <w:sz w:val="24"/>
                <w:highlight w:val="none"/>
              </w:rPr>
              <w:t>注3）投标人应保证，在中华人民共和国境内使用投标成果、服务或其任何一部分时，不会产生因第三方提出侵犯其专利权或其它知识产权而引起的法律和经济纠纷。</w:t>
            </w:r>
          </w:p>
          <w:p>
            <w:pPr>
              <w:spacing w:line="400" w:lineRule="exact"/>
              <w:rPr>
                <w:rFonts w:ascii="宋体" w:hAnsi="宋体" w:cs="宋体"/>
                <w:color w:val="auto"/>
                <w:sz w:val="24"/>
                <w:highlight w:val="none"/>
              </w:rPr>
            </w:pPr>
            <w:r>
              <w:rPr>
                <w:rFonts w:hint="eastAsia" w:ascii="宋体" w:hAnsi="宋体" w:cs="宋体"/>
                <w:color w:val="auto"/>
                <w:sz w:val="24"/>
                <w:highlight w:val="none"/>
              </w:rPr>
              <w:t>注4）投标总报价须以元为单位，小数点后保留2位。</w:t>
            </w:r>
          </w:p>
          <w:p>
            <w:pPr>
              <w:spacing w:line="400" w:lineRule="exact"/>
              <w:rPr>
                <w:rFonts w:ascii="宋体" w:hAnsi="宋体" w:cs="宋体"/>
                <w:color w:val="auto"/>
                <w:sz w:val="24"/>
                <w:highlight w:val="none"/>
              </w:rPr>
            </w:pPr>
            <w:r>
              <w:rPr>
                <w:rFonts w:hint="eastAsia" w:ascii="宋体" w:hAnsi="宋体" w:cs="宋体"/>
                <w:color w:val="auto"/>
                <w:sz w:val="24"/>
                <w:highlight w:val="none"/>
              </w:rPr>
              <w:t>注5）除非另有特殊说明，若本采购文件中引用了某一品牌、型号或生产投标人名称，均是指参照该品牌、型号或生产投标人的产品或服务，所引用的品牌、型号或生产投标人不构成对投标响应的限制。若采用的外文术语与某一投标人或某一产品使用的术语相同，并非表示指定了该投标人或该产品。</w:t>
            </w:r>
          </w:p>
        </w:tc>
      </w:tr>
    </w:tbl>
    <w:p>
      <w:pPr>
        <w:snapToGrid w:val="0"/>
        <w:spacing w:line="400" w:lineRule="exact"/>
        <w:jc w:val="center"/>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napToGrid w:val="0"/>
        <w:spacing w:line="400" w:lineRule="exact"/>
        <w:outlineLvl w:val="1"/>
        <w:rPr>
          <w:rFonts w:ascii="宋体" w:hAnsi="宋体" w:cs="宋体"/>
          <w:b/>
          <w:color w:val="auto"/>
          <w:sz w:val="24"/>
          <w:highlight w:val="none"/>
        </w:rPr>
      </w:pPr>
      <w:r>
        <w:rPr>
          <w:rFonts w:hint="eastAsia" w:ascii="宋体" w:hAnsi="宋体" w:cs="宋体"/>
          <w:b/>
          <w:color w:val="auto"/>
          <w:sz w:val="24"/>
          <w:highlight w:val="none"/>
        </w:rPr>
        <w:t>一、总则</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（一）适用范围</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新疆维吾尔自治区农业农村厅办公室的新疆维吾尔自治区农业农村厅办公室渔政执法无人机、执法记录仪采购项目的招标、投标、评标、定标、验收、合同履约、付款等行为（法律、法规另有规定的，从其规定）。</w:t>
      </w:r>
    </w:p>
    <w:p>
      <w:pPr>
        <w:snapToGrid w:val="0"/>
        <w:spacing w:line="400" w:lineRule="exact"/>
        <w:ind w:firstLine="354" w:firstLineChars="147"/>
        <w:jc w:val="left"/>
        <w:outlineLvl w:val="1"/>
        <w:rPr>
          <w:rFonts w:ascii="宋体" w:hAnsi="宋体" w:cs="宋体"/>
          <w:b/>
          <w:color w:val="auto"/>
          <w:sz w:val="24"/>
          <w:highlight w:val="none"/>
        </w:rPr>
      </w:pPr>
      <w:r>
        <w:rPr>
          <w:rFonts w:hint="eastAsia" w:ascii="宋体" w:hAnsi="宋体" w:cs="宋体"/>
          <w:b/>
          <w:color w:val="auto"/>
          <w:sz w:val="24"/>
          <w:highlight w:val="none"/>
        </w:rPr>
        <w:t>（二）定义</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1.招标采购单位（“招标人”）系指组织本次招标的代理机构和采购单位。</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2.“投标人”系指向招标方提交投标文件的单位或个人。</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3.“产品”系指供方按招标文件规定，须向采购人提供的一切设备、保险、税金、备品备件、工具、手册及其它有关技术资料和材料。</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4.“服务”系指招标文件规定投标人须承担的安装、调试、技术协助、校准、培训、技术指导以及其他类似的义务。</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5.“项目”系指投标人按招标文件规定向采购人提供的产品和服务。</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6.“书面形式”包括信函、传真、电报、电子邮件等。</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（三）招标方式</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本次招标采用竞争性磋商方式进行。</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（四）投标委托</w:t>
      </w:r>
    </w:p>
    <w:p>
      <w:pPr>
        <w:snapToGrid w:val="0"/>
        <w:spacing w:line="400" w:lineRule="exact"/>
        <w:ind w:firstLine="464" w:firstLineChars="200"/>
        <w:jc w:val="left"/>
        <w:rPr>
          <w:rFonts w:ascii="宋体" w:hAnsi="宋体" w:cs="宋体"/>
          <w:color w:val="auto"/>
          <w:spacing w:val="-4"/>
          <w:sz w:val="24"/>
          <w:highlight w:val="none"/>
        </w:rPr>
      </w:pPr>
      <w:r>
        <w:rPr>
          <w:rFonts w:hint="eastAsia" w:ascii="宋体" w:hAnsi="宋体" w:cs="宋体"/>
          <w:color w:val="auto"/>
          <w:spacing w:val="-4"/>
          <w:sz w:val="24"/>
          <w:highlight w:val="none"/>
        </w:rPr>
        <w:t>投标人代表须携带身份证。如投标人代表不是法定代表人，须有法定代表人出具的授权委托书（正本用原件，副本用复印件，格式见第四部分）。</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（五）投标费用</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不论投标结果如何，投标人均应自行承担所有与投标有关的全部费用（招标文件有相反规定除外）。</w:t>
      </w:r>
    </w:p>
    <w:p>
      <w:pPr>
        <w:snapToGrid w:val="0"/>
        <w:spacing w:line="400" w:lineRule="exact"/>
        <w:ind w:firstLine="472" w:firstLineChars="196"/>
        <w:jc w:val="left"/>
        <w:rPr>
          <w:rFonts w:ascii="宋体" w:hAnsi="宋体" w:cs="宋体"/>
          <w:b/>
          <w:color w:val="auto"/>
          <w:sz w:val="24"/>
          <w:highlight w:val="none"/>
        </w:rPr>
      </w:pPr>
      <w:r>
        <w:rPr>
          <w:rFonts w:hint="eastAsia" w:ascii="宋体" w:hAnsi="宋体" w:cs="宋体"/>
          <w:b/>
          <w:color w:val="auto"/>
          <w:sz w:val="24"/>
          <w:highlight w:val="none"/>
        </w:rPr>
        <w:t>（六）联合体投标</w:t>
      </w:r>
    </w:p>
    <w:p>
      <w:pPr>
        <w:snapToGrid w:val="0"/>
        <w:spacing w:line="40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本项目不接受联合体投标。</w:t>
      </w:r>
    </w:p>
    <w:p>
      <w:pPr>
        <w:snapToGrid w:val="0"/>
        <w:spacing w:line="400" w:lineRule="exact"/>
        <w:ind w:firstLine="472" w:firstLineChars="196"/>
        <w:rPr>
          <w:rFonts w:ascii="宋体" w:hAnsi="宋体" w:cs="宋体"/>
          <w:b/>
          <w:color w:val="auto"/>
          <w:kern w:val="0"/>
          <w:sz w:val="24"/>
          <w:highlight w:val="none"/>
        </w:rPr>
      </w:pPr>
      <w:r>
        <w:rPr>
          <w:rFonts w:hint="eastAsia" w:ascii="宋体" w:hAnsi="宋体" w:cs="宋体"/>
          <w:b/>
          <w:color w:val="auto"/>
          <w:sz w:val="24"/>
          <w:highlight w:val="none"/>
        </w:rPr>
        <w:t>（七）</w:t>
      </w:r>
      <w:r>
        <w:rPr>
          <w:rFonts w:hint="eastAsia" w:ascii="宋体" w:hAnsi="宋体" w:cs="宋体"/>
          <w:b/>
          <w:color w:val="auto"/>
          <w:kern w:val="0"/>
          <w:sz w:val="24"/>
          <w:highlight w:val="none"/>
        </w:rPr>
        <w:t>转包与分包</w:t>
      </w:r>
    </w:p>
    <w:p>
      <w:pP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1.本项目不允许转包。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2.本项目不可以分包。</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（八）特别说明</w:t>
      </w:r>
    </w:p>
    <w:p>
      <w:pPr>
        <w:snapToGrid w:val="0"/>
        <w:spacing w:line="4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w:t>
      </w:r>
      <w:r>
        <w:rPr>
          <w:rFonts w:hint="eastAsia" w:ascii="宋体" w:hAnsi="宋体" w:cs="宋体"/>
          <w:color w:val="auto"/>
          <w:sz w:val="24"/>
          <w:highlight w:val="none"/>
        </w:rPr>
        <w:t>投标人投标所使用的资格、信誉、荣誉、业绩与企业认证必须为本企业所拥有。在组织商务技术评审或资格性审查时，不得将属于供应商母公司（总机构）或者同一母公司下属的其他子公司（同一总机构下属的其他分支机构）的人员、业绩、荣誉、知识产权、项目案例等，作为该供应商的资信文件予以确认或审查通过。</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2.投标人应仔细阅读招标文件的所有内容，按照招标文件的要求提交投标文件，并对所提供的全部资料的真实性承担法律责任。</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3.投标人在投标活动中提供任何虚假材料,其投标无效，并报监管部门查处。成交后发现的,将没收成交人保证金，造成其他损失的须赔偿相应损失，且民事赔偿并不免除违法投标人的行政与刑事责任。</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财政部、国家发展改革委《关于调整公布第二十三期节能产品政府采购清单的通知》的规定，节能清单中的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为政府强制采购节能产品（以“★”标注）。采购人需购买的产品属于政府强制采购节能产品范围，但在节能清单中无对应细化分类且节能清单中的产品确实无法满足工作需要的，允许在节能清单之外采购。</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若投标人所投产品在《第二十三期节能产品政府采购清单》内，则投标人须在投标文件中提供所投产品在《第二十三期节能产品政府采购清单》中所处的页码、截图等证明材料。</w:t>
      </w:r>
    </w:p>
    <w:p>
      <w:pPr>
        <w:snapToGrid w:val="0"/>
        <w:spacing w:line="4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5.根据《政府采购货物和服务招标投标管理办法》（财政部令第87号）的规定。提供相同品牌产品且通过资格审查、符合性审查的不同投标人参加同一合同项下投标的，按一家投标人计算，评审后得分最高的同品牌投标人获得成交人推荐资格；评审得分相同的，由采购人或者采购人委托评标委员会按照招标文件规定的方式确定一个投标人获得成交人推荐资格，招标文件未规定的采取随机抽取方式确定，其他同品牌投标人不作为成交候选人。</w:t>
      </w:r>
    </w:p>
    <w:p>
      <w:pPr>
        <w:snapToGrid w:val="0"/>
        <w:spacing w:line="4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非单一产品采购项目，采购人应当根据采购项目技术构成、产品价格比重等合理确定核心产品，并在招标文件中载明。多家投标人提供的核心产品品牌相同的，按前两款规定处理。</w:t>
      </w:r>
    </w:p>
    <w:p>
      <w:pPr>
        <w:snapToGrid w:val="0"/>
        <w:spacing w:line="400" w:lineRule="exact"/>
        <w:jc w:val="left"/>
        <w:outlineLvl w:val="1"/>
        <w:rPr>
          <w:rFonts w:ascii="宋体" w:hAnsi="宋体" w:cs="宋体"/>
          <w:b/>
          <w:color w:val="auto"/>
          <w:sz w:val="24"/>
          <w:highlight w:val="none"/>
        </w:rPr>
      </w:pPr>
      <w:r>
        <w:rPr>
          <w:rFonts w:hint="eastAsia" w:ascii="宋体" w:hAnsi="宋体" w:cs="宋体"/>
          <w:b/>
          <w:color w:val="auto"/>
          <w:sz w:val="24"/>
          <w:highlight w:val="none"/>
        </w:rPr>
        <w:t>（九）知识产权</w:t>
      </w:r>
    </w:p>
    <w:p>
      <w:pPr>
        <w:snapToGrid w:val="0"/>
        <w:spacing w:line="400" w:lineRule="exact"/>
        <w:ind w:firstLine="480" w:firstLineChars="200"/>
        <w:rPr>
          <w:rFonts w:ascii="宋体" w:hAnsi="宋体" w:cs="宋体"/>
          <w:bCs/>
          <w:color w:val="auto"/>
          <w:sz w:val="24"/>
          <w:highlight w:val="none"/>
          <w:lang w:val="en-GB"/>
        </w:rPr>
      </w:pPr>
      <w:r>
        <w:rPr>
          <w:rFonts w:hint="eastAsia" w:ascii="宋体" w:hAnsi="宋体" w:cs="宋体"/>
          <w:bCs/>
          <w:color w:val="auto"/>
          <w:sz w:val="24"/>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2.投标报价应包含所有应向所有权人支付的专利权、商标权或其它知识产权的一切相关费用。</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3.系统软件、通用软件必须是具有在中国境内的合法使用权或版权的正版软件，涉及到第三方提出侵权或知识产权的起诉及支付版税等费用由投标人承担所有责任及费用。</w:t>
      </w:r>
    </w:p>
    <w:p>
      <w:pPr>
        <w:snapToGrid w:val="0"/>
        <w:spacing w:line="400" w:lineRule="exact"/>
        <w:jc w:val="left"/>
        <w:outlineLvl w:val="1"/>
        <w:rPr>
          <w:rFonts w:ascii="宋体" w:hAnsi="宋体" w:cs="宋体"/>
          <w:b/>
          <w:color w:val="auto"/>
          <w:sz w:val="24"/>
          <w:highlight w:val="none"/>
        </w:rPr>
      </w:pPr>
      <w:r>
        <w:rPr>
          <w:rFonts w:hint="eastAsia" w:ascii="宋体" w:hAnsi="宋体" w:cs="宋体"/>
          <w:b/>
          <w:color w:val="auto"/>
          <w:sz w:val="24"/>
          <w:highlight w:val="none"/>
        </w:rPr>
        <w:t>（十）质疑</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质疑与投诉</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投标人认为采购文件、采购过程、成交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招标投标活动。</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2、质疑函的必备内容</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（1）投标人提交的质疑函必须注明单位名称、地址、邮编、可供查询的单位和法定代表人的电话号码、联系人电话；</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（2）质疑项目的名称、编号；</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（3）具体质疑事项和与质疑事项相关的请求；</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（4）事实依据；</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（5）提起质疑的日期；</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（6）质疑函须加盖单位公章，由法定代表人签章。</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（7）授权代理人递交质疑函的，还须提交委托质疑事项的授权委托书（附法定代表人和被授权人的身份证正反面），加盖单位公章和法定代表人签章和被授权人签字，同时出示被授权人身份证。</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3、质疑应符合下列条件：</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⑴质疑人是参与所质疑项目的采购活动的投标人；</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⑵质疑函内容符合相关的规定；</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⑶在规定的有效期限内提起质疑；</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⑷招投标监管部门规定的其他条件。</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4、采购人在收到投标人的书面质疑后七个工作日内作出答复，并以书面形式通知质疑投标人和其他有关投标人，但答复的内容不涉及商业秘密。</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（十一）投标人的资格要求</w:t>
      </w:r>
    </w:p>
    <w:p>
      <w:pPr>
        <w:snapToGrid w:val="0"/>
        <w:spacing w:line="400" w:lineRule="exact"/>
        <w:jc w:val="left"/>
        <w:outlineLvl w:val="1"/>
        <w:rPr>
          <w:rFonts w:ascii="宋体" w:hAnsi="宋体" w:cs="宋体"/>
          <w:bCs/>
          <w:color w:val="auto"/>
          <w:sz w:val="24"/>
          <w:highlight w:val="none"/>
        </w:rPr>
      </w:pPr>
      <w:r>
        <w:rPr>
          <w:rFonts w:hint="eastAsia" w:ascii="宋体" w:hAnsi="宋体" w:cs="宋体"/>
          <w:bCs/>
          <w:color w:val="auto"/>
          <w:sz w:val="24"/>
          <w:highlight w:val="none"/>
        </w:rPr>
        <w:t>1.落实政府采购政策需满足的资格要求。</w:t>
      </w:r>
    </w:p>
    <w:p>
      <w:pPr>
        <w:snapToGrid w:val="0"/>
        <w:spacing w:line="400" w:lineRule="exact"/>
        <w:jc w:val="left"/>
        <w:outlineLvl w:val="1"/>
        <w:rPr>
          <w:rFonts w:ascii="宋体" w:hAnsi="宋体" w:cs="宋体"/>
          <w:bCs/>
          <w:color w:val="auto"/>
          <w:sz w:val="24"/>
          <w:highlight w:val="none"/>
        </w:rPr>
      </w:pPr>
      <w:r>
        <w:rPr>
          <w:rFonts w:hint="eastAsia" w:ascii="宋体" w:hAnsi="宋体" w:cs="宋体"/>
          <w:bCs/>
          <w:color w:val="auto"/>
          <w:sz w:val="24"/>
          <w:highlight w:val="none"/>
        </w:rPr>
        <w:t>2.本项目的特定资格要求：</w:t>
      </w:r>
    </w:p>
    <w:p>
      <w:pPr>
        <w:snapToGrid w:val="0"/>
        <w:spacing w:line="400" w:lineRule="exact"/>
        <w:jc w:val="left"/>
        <w:outlineLvl w:val="1"/>
        <w:rPr>
          <w:rFonts w:ascii="宋体" w:hAnsi="宋体" w:cs="宋体"/>
          <w:bCs/>
          <w:color w:val="auto"/>
          <w:sz w:val="24"/>
          <w:highlight w:val="none"/>
        </w:rPr>
      </w:pPr>
      <w:r>
        <w:rPr>
          <w:rFonts w:hint="eastAsia" w:ascii="宋体" w:hAnsi="宋体" w:cs="宋体"/>
          <w:bCs/>
          <w:color w:val="auto"/>
          <w:sz w:val="24"/>
          <w:highlight w:val="none"/>
        </w:rPr>
        <w:t>（1）具有有效营业执照的国内独立法人资格，具有独立承担民事责任的能力；</w:t>
      </w:r>
      <w:r>
        <w:rPr>
          <w:rFonts w:hint="eastAsia" w:ascii="宋体" w:hAnsi="宋体" w:cs="宋体"/>
          <w:bCs/>
          <w:color w:val="auto"/>
          <w:sz w:val="24"/>
          <w:highlight w:val="none"/>
        </w:rPr>
        <w:br w:type="textWrapping"/>
      </w:r>
      <w:r>
        <w:rPr>
          <w:rFonts w:hint="eastAsia" w:ascii="宋体" w:hAnsi="宋体" w:cs="宋体"/>
          <w:bCs/>
          <w:color w:val="auto"/>
          <w:sz w:val="24"/>
          <w:highlight w:val="none"/>
        </w:rPr>
        <w:t>（2）具有良好的商业信誉和健全的财务会计制度；（提供会计师事务所出具的近一年度财务审计报告或基本开户银行出具的资信证明，新成立不足一年的提供成立之日起至今的财报报表）原件或复印件加盖公章；</w:t>
      </w:r>
      <w:r>
        <w:rPr>
          <w:rFonts w:hint="eastAsia" w:ascii="宋体" w:hAnsi="宋体" w:cs="宋体"/>
          <w:bCs/>
          <w:color w:val="auto"/>
          <w:sz w:val="24"/>
          <w:highlight w:val="none"/>
        </w:rPr>
        <w:br w:type="textWrapping"/>
      </w:r>
      <w:r>
        <w:rPr>
          <w:rFonts w:hint="eastAsia" w:ascii="宋体" w:hAnsi="宋体" w:cs="宋体"/>
          <w:bCs/>
          <w:color w:val="auto"/>
          <w:sz w:val="24"/>
          <w:highlight w:val="none"/>
        </w:rPr>
        <w:t>（3）有依法缴纳税收和社会保障资金的良好纪录；（提供近三个月社保资金缴纳证明和纳税证明，新成立公司提供成立之日起至今的缴税记录及社保缴纳证明）原件或复印件加盖公章；</w:t>
      </w:r>
      <w:r>
        <w:rPr>
          <w:rFonts w:hint="eastAsia" w:ascii="宋体" w:hAnsi="宋体" w:cs="宋体"/>
          <w:bCs/>
          <w:color w:val="auto"/>
          <w:sz w:val="24"/>
          <w:highlight w:val="none"/>
        </w:rPr>
        <w:br w:type="textWrapping"/>
      </w:r>
      <w:r>
        <w:rPr>
          <w:rFonts w:hint="eastAsia" w:ascii="宋体" w:hAnsi="宋体" w:cs="宋体"/>
          <w:bCs/>
          <w:color w:val="auto"/>
          <w:sz w:val="24"/>
          <w:highlight w:val="none"/>
        </w:rPr>
        <w:t>（4）“信用中国”网站（http://www.creditchina.gov.cn/）、“中国政府采购网”网站（http://www.ccgp.gov.cn/）无违法违规行为的；（提供的查询截图，时间为投标截止时间前20天内）</w:t>
      </w:r>
      <w:r>
        <w:rPr>
          <w:rFonts w:hint="eastAsia" w:ascii="宋体" w:hAnsi="宋体" w:cs="宋体"/>
          <w:bCs/>
          <w:color w:val="auto"/>
          <w:sz w:val="24"/>
          <w:highlight w:val="none"/>
        </w:rPr>
        <w:br w:type="textWrapping"/>
      </w:r>
      <w:r>
        <w:rPr>
          <w:rFonts w:hint="eastAsia" w:ascii="宋体" w:hAnsi="宋体" w:cs="宋体"/>
          <w:bCs/>
          <w:color w:val="auto"/>
          <w:sz w:val="24"/>
          <w:highlight w:val="none"/>
        </w:rPr>
        <w:t>（5）单位负责人为同一人或者存在直接控股、管理关系的不同供应商，不得参加同一合同项下的政府采购活动；</w:t>
      </w:r>
      <w:r>
        <w:rPr>
          <w:rFonts w:hint="eastAsia" w:ascii="宋体" w:hAnsi="宋体" w:cs="宋体"/>
          <w:bCs/>
          <w:color w:val="auto"/>
          <w:sz w:val="24"/>
          <w:highlight w:val="none"/>
        </w:rPr>
        <w:br w:type="textWrapping"/>
      </w:r>
      <w:r>
        <w:rPr>
          <w:rFonts w:hint="eastAsia" w:ascii="宋体" w:hAnsi="宋体" w:cs="宋体"/>
          <w:bCs/>
          <w:color w:val="auto"/>
          <w:sz w:val="24"/>
          <w:highlight w:val="none"/>
        </w:rPr>
        <w:t>（6）具有履行合同所必需的设备和专业技术能力；</w:t>
      </w:r>
      <w:r>
        <w:rPr>
          <w:rFonts w:hint="eastAsia" w:ascii="宋体" w:hAnsi="宋体" w:cs="宋体"/>
          <w:bCs/>
          <w:color w:val="auto"/>
          <w:sz w:val="24"/>
          <w:highlight w:val="none"/>
        </w:rPr>
        <w:br w:type="textWrapping"/>
      </w:r>
      <w:r>
        <w:rPr>
          <w:rFonts w:hint="eastAsia" w:ascii="宋体" w:hAnsi="宋体" w:cs="宋体"/>
          <w:bCs/>
          <w:color w:val="auto"/>
          <w:sz w:val="24"/>
          <w:highlight w:val="none"/>
        </w:rPr>
        <w:t>（7）本项目不接受联合体投标。</w:t>
      </w:r>
      <w:r>
        <w:rPr>
          <w:rFonts w:hint="eastAsia" w:ascii="宋体" w:hAnsi="宋体" w:cs="宋体"/>
          <w:bCs/>
          <w:color w:val="auto"/>
          <w:sz w:val="24"/>
          <w:highlight w:val="none"/>
        </w:rPr>
        <w:br w:type="textWrapping"/>
      </w:r>
      <w:r>
        <w:rPr>
          <w:rFonts w:hint="eastAsia" w:ascii="宋体" w:hAnsi="宋体" w:cs="宋体"/>
          <w:bCs/>
          <w:color w:val="auto"/>
          <w:sz w:val="24"/>
          <w:highlight w:val="none"/>
        </w:rPr>
        <w:t>（8）符合国家有关法律法规的规定。</w:t>
      </w:r>
    </w:p>
    <w:p>
      <w:pPr>
        <w:snapToGrid w:val="0"/>
        <w:spacing w:line="400" w:lineRule="exact"/>
        <w:jc w:val="center"/>
        <w:outlineLvl w:val="1"/>
        <w:rPr>
          <w:rFonts w:ascii="宋体" w:hAnsi="宋体" w:cs="宋体"/>
          <w:b/>
          <w:color w:val="auto"/>
          <w:sz w:val="24"/>
          <w:highlight w:val="none"/>
        </w:rPr>
      </w:pPr>
      <w:r>
        <w:rPr>
          <w:rFonts w:hint="eastAsia" w:ascii="宋体" w:hAnsi="宋体" w:cs="宋体"/>
          <w:b/>
          <w:color w:val="auto"/>
          <w:sz w:val="24"/>
          <w:highlight w:val="none"/>
        </w:rPr>
        <w:t>二、招标文件</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（一）招标文件的构成。本招标文件由以下部分组成：</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第一章  投标邀请函</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第二章  投标人须知</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第三章  采购需求</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第四章  合同格式（参考）</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第五章  与投标文件格式</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（二）投标人的风险</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（三）招标文件的澄清与修改</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在投标截止时间前，采购代理机构对已发出的招标文件进行必要澄清或者修改时，将依法在财政部门指定的政府采购信息发布媒体上发布更正公告，并以书面形式通知所有招标文件收受人，除书面答复以外的其他澄清方式及澄清内容均无效。该澄清或者修改的内容为招标文件的组成部分，对所有投标人有约束力。投标人在收到招标文件的澄清修改函后，应以书面形式予以确认。</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可以视采购具体情况，延长投标截止时间和开标时间，并依法在招标文件要求提交投标文件的截至时间三日前，将变更时间书面通知所有招标文件收受人，并在财政部门指定的政府采购信息发布媒体上发布变更公告。</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4.招标文件的澄清、答复、修改或补充都应该通过本代理机构以法定形式发布，采购人非通过本机构，不得擅自澄清、答复、修改或补充招标文件。</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（四）投标文件的编制</w:t>
      </w:r>
    </w:p>
    <w:p>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1、投标语言</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投标人提交的投标文件及投标人与采购代理机构就有关投标的所有来往函电均使用中文。投标人可以提交其他它语言的资料，但应附有中文注释，有差异时以中文为准。</w:t>
      </w:r>
    </w:p>
    <w:p>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2、计量单位</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pPr>
        <w:adjustRightInd w:val="0"/>
        <w:snapToGrid w:val="0"/>
        <w:spacing w:line="400" w:lineRule="exact"/>
        <w:jc w:val="left"/>
        <w:rPr>
          <w:rFonts w:ascii="宋体" w:hAnsi="宋体" w:cs="宋体"/>
          <w:color w:val="auto"/>
          <w:sz w:val="24"/>
          <w:highlight w:val="none"/>
        </w:rPr>
      </w:pPr>
      <w:r>
        <w:rPr>
          <w:rFonts w:hint="eastAsia" w:ascii="宋体" w:hAnsi="宋体" w:cs="宋体"/>
          <w:b/>
          <w:bCs/>
          <w:color w:val="auto"/>
          <w:sz w:val="24"/>
          <w:highlight w:val="none"/>
        </w:rPr>
        <w:t>3、投标文件的组成</w:t>
      </w:r>
    </w:p>
    <w:p>
      <w:pPr>
        <w:snapToGri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注：投标人应保证所提供文件资料的真实性，所有文件资料必须是针对本次投标的。如发现投标人提供了虚假文件资料，其投标将被拒绝，并自行承担相应的法律责任。</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3.1投标文件由商务、技术、经济部分组成。内容如下：</w:t>
      </w:r>
    </w:p>
    <w:p>
      <w:pPr>
        <w:spacing w:line="400" w:lineRule="exact"/>
        <w:ind w:firstLine="482" w:firstLineChars="200"/>
        <w:rPr>
          <w:rFonts w:ascii="宋体" w:hAnsi="宋体" w:cs="宋体"/>
          <w:color w:val="auto"/>
          <w:sz w:val="24"/>
          <w:highlight w:val="none"/>
        </w:rPr>
      </w:pPr>
      <w:r>
        <w:rPr>
          <w:rFonts w:hint="eastAsia" w:ascii="宋体" w:hAnsi="宋体" w:cs="宋体"/>
          <w:b/>
          <w:bCs/>
          <w:color w:val="auto"/>
          <w:kern w:val="0"/>
          <w:sz w:val="24"/>
          <w:highlight w:val="none"/>
        </w:rPr>
        <w:t>商务技术部分主要包括</w:t>
      </w:r>
      <w:r>
        <w:rPr>
          <w:rFonts w:hint="eastAsia" w:ascii="宋体" w:hAnsi="宋体" w:cs="宋体"/>
          <w:b/>
          <w:color w:val="auto"/>
          <w:sz w:val="24"/>
          <w:highlight w:val="none"/>
        </w:rPr>
        <w:t>但不限于以下内容：</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color w:val="auto"/>
          <w:sz w:val="24"/>
          <w:highlight w:val="none"/>
        </w:rPr>
        <w:t>投</w:t>
      </w:r>
      <w:r>
        <w:rPr>
          <w:rFonts w:hint="eastAsia" w:ascii="宋体" w:hAnsi="宋体" w:cs="宋体"/>
          <w:color w:val="auto"/>
          <w:kern w:val="0"/>
          <w:sz w:val="24"/>
          <w:highlight w:val="none"/>
        </w:rPr>
        <w:t>标</w:t>
      </w:r>
      <w:r>
        <w:rPr>
          <w:rFonts w:hint="eastAsia" w:ascii="宋体" w:hAnsi="宋体" w:cs="宋体"/>
          <w:color w:val="auto"/>
          <w:sz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color w:val="auto"/>
          <w:highlight w:val="none"/>
        </w:rPr>
        <w:fldChar w:fldCharType="begin"/>
      </w:r>
      <w:r>
        <w:rPr>
          <w:color w:val="auto"/>
          <w:highlight w:val="none"/>
        </w:rPr>
        <w:instrText xml:space="preserve"> HYPERLINK "http://www.caigou2003.com/" \t "_blank" </w:instrText>
      </w:r>
      <w:r>
        <w:rPr>
          <w:color w:val="auto"/>
          <w:highlight w:val="none"/>
        </w:rPr>
        <w:fldChar w:fldCharType="separate"/>
      </w:r>
      <w:r>
        <w:rPr>
          <w:rFonts w:hint="eastAsia" w:ascii="宋体" w:hAnsi="宋体" w:cs="宋体"/>
          <w:color w:val="auto"/>
          <w:sz w:val="24"/>
          <w:highlight w:val="none"/>
        </w:rPr>
        <w:t>政府采购网</w:t>
      </w:r>
      <w:r>
        <w:rPr>
          <w:rFonts w:hint="eastAsia" w:ascii="宋体" w:hAnsi="宋体" w:cs="宋体"/>
          <w:color w:val="auto"/>
          <w:sz w:val="24"/>
          <w:highlight w:val="none"/>
        </w:rPr>
        <w:fldChar w:fldCharType="end"/>
      </w:r>
      <w:r>
        <w:rPr>
          <w:rFonts w:hint="eastAsia" w:ascii="宋体" w:hAnsi="宋体" w:cs="宋体"/>
          <w:color w:val="auto"/>
          <w:sz w:val="24"/>
          <w:highlight w:val="none"/>
        </w:rPr>
        <w:t>（www.ccgp.gov.cn）、中国裁判文书网】网站的信用查询截图；采购文件要求的《中华人民共和国政府采购法》规定的资格条件证明文件复印件；采购文件采</w:t>
      </w:r>
      <w:r>
        <w:rPr>
          <w:rFonts w:hint="eastAsia" w:ascii="宋体" w:hAnsi="宋体" w:cs="宋体"/>
          <w:color w:val="auto"/>
          <w:kern w:val="0"/>
          <w:sz w:val="24"/>
          <w:highlight w:val="none"/>
        </w:rPr>
        <w:t>购人根据采购项目的特殊要求规定的特定条件证明文件复印件]；</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（2）投标函；</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（3）投标承诺书；</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（4）法定代表人身份证明书和法定代表人身份证（复印件）或者法定代表人授权委托书及被授权人身份证（复印件）；</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（5）投标保证金缴纳凭证（复印件加盖单位公章）；近三年财务状况表；</w:t>
      </w:r>
    </w:p>
    <w:p>
      <w:pPr>
        <w:autoSpaceDE w:val="0"/>
        <w:autoSpaceDN w:val="0"/>
        <w:adjustRightInd w:val="0"/>
        <w:spacing w:line="400" w:lineRule="exact"/>
        <w:ind w:left="1110" w:leftChars="228" w:hanging="631" w:hangingChars="263"/>
        <w:rPr>
          <w:rFonts w:ascii="宋体" w:hAnsi="宋体" w:cs="宋体"/>
          <w:color w:val="auto"/>
          <w:sz w:val="24"/>
          <w:highlight w:val="none"/>
          <w:lang w:val="zh-CN"/>
        </w:rPr>
      </w:pPr>
      <w:r>
        <w:rPr>
          <w:rFonts w:hint="eastAsia" w:ascii="宋体" w:hAnsi="宋体" w:cs="宋体"/>
          <w:color w:val="auto"/>
          <w:kern w:val="0"/>
          <w:sz w:val="24"/>
          <w:highlight w:val="none"/>
        </w:rPr>
        <w:t>（6</w:t>
      </w:r>
      <w:r>
        <w:rPr>
          <w:rFonts w:hint="eastAsia" w:ascii="宋体" w:hAnsi="宋体" w:cs="宋体"/>
          <w:color w:val="auto"/>
          <w:sz w:val="24"/>
          <w:highlight w:val="none"/>
          <w:lang w:val="zh-CN"/>
        </w:rPr>
        <w:t>）关于资格声明函</w:t>
      </w:r>
      <w:r>
        <w:rPr>
          <w:rFonts w:hint="eastAsia" w:ascii="宋体" w:hAnsi="宋体" w:cs="宋体"/>
          <w:color w:val="auto"/>
          <w:sz w:val="24"/>
          <w:highlight w:val="none"/>
        </w:rPr>
        <w:t>属于中小企业的相关证明资料： 1)《中小企业声明函》；2) 供应商工商行政注册地管理部门出具的小微企业证明文件；</w:t>
      </w:r>
    </w:p>
    <w:p>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sz w:val="24"/>
          <w:highlight w:val="none"/>
          <w:lang w:val="zh-CN"/>
        </w:rPr>
        <w:t>投标人投标的优惠条件、</w:t>
      </w:r>
      <w:r>
        <w:rPr>
          <w:rFonts w:hint="eastAsia" w:ascii="宋体" w:hAnsi="宋体" w:cs="宋体"/>
          <w:color w:val="auto"/>
          <w:kern w:val="0"/>
          <w:sz w:val="24"/>
          <w:highlight w:val="none"/>
        </w:rPr>
        <w:t>质量承诺、进度承诺、服务承诺、维保承诺、</w:t>
      </w:r>
    </w:p>
    <w:p>
      <w:pPr>
        <w:autoSpaceDE w:val="0"/>
        <w:autoSpaceDN w:val="0"/>
        <w:adjustRightInd w:val="0"/>
        <w:spacing w:line="400" w:lineRule="exact"/>
        <w:ind w:firstLine="482"/>
        <w:rPr>
          <w:rFonts w:ascii="宋体" w:hAnsi="宋体" w:cs="宋体"/>
          <w:color w:val="auto"/>
          <w:sz w:val="24"/>
          <w:highlight w:val="none"/>
          <w:lang w:val="zh-CN"/>
        </w:rPr>
      </w:pPr>
      <w:r>
        <w:rPr>
          <w:rFonts w:hint="eastAsia" w:ascii="宋体" w:hAnsi="宋体" w:cs="宋体"/>
          <w:color w:val="auto"/>
          <w:sz w:val="24"/>
          <w:highlight w:val="none"/>
          <w:lang w:val="zh-CN"/>
        </w:rPr>
        <w:t>供货期间所提供的服务范围。</w:t>
      </w:r>
    </w:p>
    <w:p>
      <w:pPr>
        <w:autoSpaceDE w:val="0"/>
        <w:autoSpaceDN w:val="0"/>
        <w:adjustRightInd w:val="0"/>
        <w:spacing w:line="400" w:lineRule="exact"/>
        <w:ind w:firstLine="482"/>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）近三年的业绩（提供相关证明文件复印件）</w:t>
      </w:r>
    </w:p>
    <w:p>
      <w:pPr>
        <w:autoSpaceDE w:val="0"/>
        <w:autoSpaceDN w:val="0"/>
        <w:adjustRightInd w:val="0"/>
        <w:spacing w:line="400" w:lineRule="exact"/>
        <w:ind w:firstLine="482"/>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）投标单位（供应商）反商业贿赂承诺书</w:t>
      </w:r>
    </w:p>
    <w:p>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w:t>
      </w:r>
      <w:r>
        <w:rPr>
          <w:rFonts w:hint="eastAsia" w:ascii="宋体" w:hAnsi="宋体" w:cs="宋体"/>
          <w:color w:val="auto"/>
          <w:sz w:val="24"/>
          <w:highlight w:val="none"/>
        </w:rPr>
        <w:t>投标产品执行的制造、合格标准；</w:t>
      </w:r>
      <w:r>
        <w:rPr>
          <w:rFonts w:hint="eastAsia" w:ascii="宋体" w:hAnsi="宋体" w:cs="宋体"/>
          <w:color w:val="auto"/>
          <w:kern w:val="0"/>
          <w:sz w:val="24"/>
          <w:highlight w:val="none"/>
        </w:rPr>
        <w:t>投入产品情况及相关材料；</w:t>
      </w:r>
      <w:r>
        <w:rPr>
          <w:rFonts w:hint="eastAsia" w:ascii="宋体" w:hAnsi="宋体" w:cs="宋体"/>
          <w:color w:val="auto"/>
          <w:sz w:val="24"/>
          <w:highlight w:val="none"/>
        </w:rPr>
        <w:t>投标产品的检测报告或合格证明材料（复印件）；投标产品性能、技术参数详述；</w:t>
      </w:r>
    </w:p>
    <w:p>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（11）商务条款偏离表；技术条款偏离表；</w:t>
      </w:r>
    </w:p>
    <w:p>
      <w:pPr>
        <w:autoSpaceDE w:val="0"/>
        <w:autoSpaceDN w:val="0"/>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（12）</w:t>
      </w:r>
      <w:r>
        <w:rPr>
          <w:rFonts w:hint="eastAsia" w:ascii="宋体" w:hAnsi="宋体" w:cs="宋体"/>
          <w:color w:val="auto"/>
          <w:sz w:val="24"/>
          <w:highlight w:val="none"/>
        </w:rPr>
        <w:t>投标人认为有必要提供的其他资格证明文件和商务相关资料以及技术部分资料。</w:t>
      </w:r>
    </w:p>
    <w:p>
      <w:pPr>
        <w:autoSpaceDE w:val="0"/>
        <w:autoSpaceDN w:val="0"/>
        <w:adjustRightInd w:val="0"/>
        <w:spacing w:line="400" w:lineRule="exact"/>
        <w:ind w:firstLine="482" w:firstLineChars="200"/>
        <w:jc w:val="left"/>
        <w:rPr>
          <w:rFonts w:ascii="宋体" w:hAnsi="宋体" w:cs="宋体"/>
          <w:bCs/>
          <w:color w:val="auto"/>
          <w:kern w:val="0"/>
          <w:sz w:val="24"/>
          <w:highlight w:val="none"/>
        </w:rPr>
      </w:pPr>
      <w:r>
        <w:rPr>
          <w:rFonts w:hint="eastAsia" w:ascii="宋体" w:hAnsi="宋体" w:cs="宋体"/>
          <w:b/>
          <w:bCs/>
          <w:color w:val="auto"/>
          <w:kern w:val="0"/>
          <w:sz w:val="24"/>
          <w:highlight w:val="none"/>
        </w:rPr>
        <w:t>经济部分主要包括</w:t>
      </w:r>
      <w:r>
        <w:rPr>
          <w:rFonts w:hint="eastAsia" w:ascii="宋体" w:hAnsi="宋体" w:cs="宋体"/>
          <w:b/>
          <w:color w:val="auto"/>
          <w:sz w:val="24"/>
          <w:highlight w:val="none"/>
        </w:rPr>
        <w:t>但不限于以下内容：</w:t>
      </w:r>
      <w:r>
        <w:rPr>
          <w:rFonts w:hint="eastAsia" w:ascii="宋体" w:hAnsi="宋体" w:cs="宋体"/>
          <w:bCs/>
          <w:color w:val="auto"/>
          <w:kern w:val="0"/>
          <w:sz w:val="24"/>
          <w:highlight w:val="none"/>
        </w:rPr>
        <w:tab/>
      </w:r>
    </w:p>
    <w:p>
      <w:pPr>
        <w:autoSpaceDE w:val="0"/>
        <w:autoSpaceDN w:val="0"/>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（1）投标报价表；</w:t>
      </w:r>
    </w:p>
    <w:p>
      <w:pPr>
        <w:autoSpaceDE w:val="0"/>
        <w:autoSpaceDN w:val="0"/>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（2）明细报价；</w:t>
      </w:r>
    </w:p>
    <w:p>
      <w:pPr>
        <w:autoSpaceDE w:val="0"/>
        <w:autoSpaceDN w:val="0"/>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（3）报价说明；</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（4）报价需要的其他资料。</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 投标文件内容及题目的编排顺序和编号按本章第3.1</w:t>
      </w:r>
      <w:r>
        <w:rPr>
          <w:rFonts w:hint="eastAsia" w:ascii="宋体" w:hAnsi="宋体" w:cs="宋体"/>
          <w:color w:val="auto"/>
          <w:kern w:val="0"/>
          <w:sz w:val="24"/>
          <w:highlight w:val="none"/>
          <w:lang w:val="zh-CN"/>
        </w:rPr>
        <w:t>款</w:t>
      </w:r>
      <w:r>
        <w:rPr>
          <w:rFonts w:hint="eastAsia" w:ascii="宋体" w:hAnsi="宋体" w:cs="宋体"/>
          <w:color w:val="auto"/>
          <w:sz w:val="24"/>
          <w:highlight w:val="none"/>
        </w:rPr>
        <w:t>要求的结构。</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 根据《政府采购法》第四十二条的规定，投标人无论成交与否，其投标文件不予退还。</w:t>
      </w:r>
    </w:p>
    <w:p>
      <w:pPr>
        <w:adjustRightInd w:val="0"/>
        <w:snapToGrid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3.4投标人如有投标优惠，涉及价格的，应当直接在开标一览表的投标报价中给出(即投标报价中己包含价格折扣)；涉及商务、技术内容的，应当在商务条款响应/偏离表或技术规格、参数响应/偏离表中填写。</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（五）投标报价</w:t>
      </w:r>
    </w:p>
    <w:p>
      <w:pPr>
        <w:spacing w:line="400" w:lineRule="exact"/>
        <w:rPr>
          <w:rFonts w:ascii="宋体" w:hAnsi="宋体" w:cs="宋体"/>
          <w:color w:val="auto"/>
          <w:sz w:val="24"/>
          <w:highlight w:val="none"/>
        </w:rPr>
      </w:pPr>
      <w:r>
        <w:rPr>
          <w:rFonts w:hint="eastAsia" w:ascii="宋体" w:hAnsi="宋体" w:cs="宋体"/>
          <w:color w:val="auto"/>
          <w:sz w:val="24"/>
          <w:highlight w:val="none"/>
        </w:rPr>
        <w:t>1、本采购项目使用的货币为人民币 ，实施时亦以人民币支付。</w:t>
      </w:r>
    </w:p>
    <w:p>
      <w:pPr>
        <w:spacing w:line="400" w:lineRule="exact"/>
        <w:rPr>
          <w:rFonts w:ascii="宋体" w:hAnsi="宋体" w:cs="宋体"/>
          <w:color w:val="auto"/>
          <w:sz w:val="24"/>
          <w:highlight w:val="none"/>
        </w:rPr>
      </w:pPr>
      <w:r>
        <w:rPr>
          <w:rFonts w:hint="eastAsia" w:ascii="宋体" w:hAnsi="宋体" w:cs="宋体"/>
          <w:color w:val="auto"/>
          <w:sz w:val="24"/>
          <w:highlight w:val="none"/>
        </w:rPr>
        <w:t>2、投标报价为本采购文件所确定的采购范围内的全部工作内容的价格体现。任何有选择的报价将不予接受（除非采购人另有约定），否则，在评标时将其视为无效投标。</w:t>
      </w:r>
    </w:p>
    <w:p>
      <w:pPr>
        <w:spacing w:line="400" w:lineRule="exact"/>
        <w:rPr>
          <w:rFonts w:ascii="宋体" w:hAnsi="宋体" w:cs="宋体"/>
          <w:color w:val="auto"/>
          <w:sz w:val="24"/>
          <w:highlight w:val="none"/>
        </w:rPr>
      </w:pPr>
      <w:r>
        <w:rPr>
          <w:rFonts w:hint="eastAsia" w:ascii="宋体" w:hAnsi="宋体" w:cs="宋体"/>
          <w:color w:val="auto"/>
          <w:sz w:val="24"/>
          <w:highlight w:val="none"/>
        </w:rPr>
        <w:t>3、投标价格应包括：</w:t>
      </w:r>
    </w:p>
    <w:p>
      <w:pPr>
        <w:spacing w:line="400" w:lineRule="exact"/>
        <w:rPr>
          <w:rFonts w:ascii="宋体" w:hAnsi="宋体" w:cs="宋体"/>
          <w:color w:val="auto"/>
          <w:sz w:val="24"/>
          <w:highlight w:val="none"/>
        </w:rPr>
      </w:pPr>
      <w:r>
        <w:rPr>
          <w:rFonts w:hint="eastAsia" w:ascii="宋体" w:hAnsi="宋体" w:cs="宋体"/>
          <w:color w:val="auto"/>
          <w:sz w:val="24"/>
          <w:highlight w:val="none"/>
        </w:rPr>
        <w:t>3.1投标报价包括投标人为实施提供投标产品、服务内容所包括的全部含税价格的体现。采购文件如没有特别说明的话，对每一项货物及服务仅接受一个价格。</w:t>
      </w:r>
    </w:p>
    <w:p>
      <w:pPr>
        <w:spacing w:line="400" w:lineRule="exact"/>
        <w:rPr>
          <w:rFonts w:ascii="宋体" w:hAnsi="宋体" w:cs="宋体"/>
          <w:color w:val="auto"/>
          <w:sz w:val="24"/>
          <w:highlight w:val="none"/>
        </w:rPr>
      </w:pPr>
      <w:r>
        <w:rPr>
          <w:rFonts w:hint="eastAsia" w:ascii="宋体" w:hAnsi="宋体" w:cs="宋体"/>
          <w:color w:val="auto"/>
          <w:sz w:val="24"/>
          <w:highlight w:val="none"/>
        </w:rPr>
        <w:t>3.2投标报价为含税价，报价应包含完成本采购项目发生的所有含税费用、支付给员工的工资和国家强制缴纳的各种社会保障资金、以及投标人认为需要的其他费用等。</w:t>
      </w:r>
    </w:p>
    <w:p>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投标人应充分考虑到市场价格变动，以及项目实施过程中的不可预见因素，一旦成交，总价格不变。如果有漏项，视同让利。</w:t>
      </w:r>
    </w:p>
    <w:p>
      <w:pPr>
        <w:spacing w:line="400" w:lineRule="exact"/>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b/>
          <w:color w:val="auto"/>
          <w:sz w:val="24"/>
          <w:highlight w:val="none"/>
        </w:rPr>
        <w:t>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r>
        <w:rPr>
          <w:rFonts w:hint="eastAsia" w:ascii="宋体" w:hAnsi="宋体" w:cs="宋体"/>
          <w:color w:val="auto"/>
          <w:sz w:val="24"/>
          <w:highlight w:val="none"/>
        </w:rPr>
        <w:t>。</w:t>
      </w:r>
    </w:p>
    <w:p>
      <w:pPr>
        <w:spacing w:line="400" w:lineRule="exact"/>
        <w:rPr>
          <w:rFonts w:ascii="宋体" w:hAnsi="宋体" w:cs="宋体"/>
          <w:color w:val="auto"/>
          <w:sz w:val="24"/>
          <w:highlight w:val="none"/>
        </w:rPr>
      </w:pPr>
      <w:r>
        <w:rPr>
          <w:rFonts w:hint="eastAsia" w:ascii="宋体" w:hAnsi="宋体" w:cs="宋体"/>
          <w:color w:val="auto"/>
          <w:sz w:val="24"/>
          <w:highlight w:val="none"/>
        </w:rPr>
        <w:t>3.4投标人应在《开标一览表》、《投标报价一览表》等标明投标人报价；《明细报价清单》提供明细报价。</w:t>
      </w:r>
    </w:p>
    <w:p>
      <w:pPr>
        <w:spacing w:line="400" w:lineRule="exact"/>
        <w:rPr>
          <w:rFonts w:ascii="宋体" w:hAnsi="宋体" w:cs="宋体"/>
          <w:color w:val="auto"/>
          <w:sz w:val="24"/>
          <w:highlight w:val="none"/>
        </w:rPr>
      </w:pPr>
      <w:r>
        <w:rPr>
          <w:rFonts w:hint="eastAsia" w:ascii="宋体" w:hAnsi="宋体" w:cs="宋体"/>
          <w:color w:val="auto"/>
          <w:sz w:val="24"/>
          <w:highlight w:val="none"/>
        </w:rPr>
        <w:t>4.4投标文件报价出现前后不一致的，除采购文件另有规定外，按照下列规定修正：</w:t>
      </w:r>
    </w:p>
    <w:p>
      <w:pPr>
        <w:spacing w:line="400" w:lineRule="exact"/>
        <w:rPr>
          <w:rFonts w:ascii="宋体" w:hAnsi="宋体" w:cs="宋体"/>
          <w:color w:val="auto"/>
          <w:sz w:val="24"/>
          <w:highlight w:val="none"/>
        </w:rPr>
      </w:pPr>
      <w:r>
        <w:rPr>
          <w:rFonts w:hint="eastAsia" w:ascii="宋体" w:hAnsi="宋体" w:cs="宋体"/>
          <w:color w:val="auto"/>
          <w:sz w:val="24"/>
          <w:highlight w:val="none"/>
        </w:rPr>
        <w:t>（一）投标文件中开标一览表（报价表）内容与投标文件中相应内容不一致的，以开标一览表（报价表）为准；</w:t>
      </w:r>
    </w:p>
    <w:p>
      <w:pPr>
        <w:spacing w:line="400" w:lineRule="exact"/>
        <w:rPr>
          <w:rFonts w:ascii="宋体" w:hAnsi="宋体" w:cs="宋体"/>
          <w:color w:val="auto"/>
          <w:sz w:val="24"/>
          <w:highlight w:val="none"/>
        </w:rPr>
      </w:pPr>
      <w:r>
        <w:rPr>
          <w:rFonts w:hint="eastAsia" w:ascii="宋体" w:hAnsi="宋体" w:cs="宋体"/>
          <w:color w:val="auto"/>
          <w:sz w:val="24"/>
          <w:highlight w:val="none"/>
        </w:rPr>
        <w:t>（二）大写金额和小写金额不一致的，以大写金额为准；</w:t>
      </w:r>
    </w:p>
    <w:p>
      <w:pPr>
        <w:spacing w:line="400" w:lineRule="exact"/>
        <w:rPr>
          <w:rFonts w:ascii="宋体" w:hAnsi="宋体" w:cs="宋体"/>
          <w:color w:val="auto"/>
          <w:sz w:val="24"/>
          <w:highlight w:val="none"/>
        </w:rPr>
      </w:pPr>
      <w:r>
        <w:rPr>
          <w:rFonts w:hint="eastAsia" w:ascii="宋体" w:hAnsi="宋体" w:cs="宋体"/>
          <w:color w:val="auto"/>
          <w:sz w:val="24"/>
          <w:highlight w:val="none"/>
        </w:rPr>
        <w:t>（三）单价金额小数点或者百分比有明显错位的，以开标一览表的总价为准，并修改单价；</w:t>
      </w:r>
    </w:p>
    <w:p>
      <w:pPr>
        <w:spacing w:line="400" w:lineRule="exact"/>
        <w:rPr>
          <w:rFonts w:ascii="宋体" w:hAnsi="宋体" w:cs="宋体"/>
          <w:color w:val="auto"/>
          <w:sz w:val="24"/>
          <w:highlight w:val="none"/>
        </w:rPr>
      </w:pPr>
      <w:r>
        <w:rPr>
          <w:rFonts w:hint="eastAsia" w:ascii="宋体" w:hAnsi="宋体" w:cs="宋体"/>
          <w:color w:val="auto"/>
          <w:sz w:val="24"/>
          <w:highlight w:val="none"/>
        </w:rPr>
        <w:t>（四）总价金额与按单价汇总金额不一致的，以单价金额计算结果为准。</w:t>
      </w:r>
    </w:p>
    <w:p>
      <w:pPr>
        <w:spacing w:line="400" w:lineRule="exact"/>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w:t>
      </w:r>
    </w:p>
    <w:p>
      <w:pPr>
        <w:spacing w:line="400" w:lineRule="exact"/>
        <w:rPr>
          <w:rFonts w:ascii="宋体" w:hAnsi="宋体" w:cs="宋体"/>
          <w:color w:val="auto"/>
          <w:sz w:val="24"/>
          <w:highlight w:val="none"/>
        </w:rPr>
      </w:pPr>
      <w:r>
        <w:rPr>
          <w:rFonts w:hint="eastAsia" w:ascii="宋体" w:hAnsi="宋体" w:cs="宋体"/>
          <w:color w:val="auto"/>
          <w:sz w:val="24"/>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（六）投标人的资格证明文件</w:t>
      </w:r>
    </w:p>
    <w:p>
      <w:pPr>
        <w:tabs>
          <w:tab w:val="left" w:pos="7560"/>
          <w:tab w:val="left" w:pos="7740"/>
          <w:tab w:val="left" w:pos="7920"/>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1、投标人应提交满足本章第3.1</w:t>
      </w:r>
      <w:r>
        <w:rPr>
          <w:rFonts w:hint="eastAsia" w:ascii="宋体" w:hAnsi="宋体" w:cs="宋体"/>
          <w:color w:val="auto"/>
          <w:kern w:val="0"/>
          <w:sz w:val="24"/>
          <w:highlight w:val="none"/>
          <w:lang w:val="zh-CN"/>
        </w:rPr>
        <w:t>款</w:t>
      </w:r>
      <w:r>
        <w:rPr>
          <w:rFonts w:hint="eastAsia" w:ascii="宋体" w:hAnsi="宋体" w:cs="宋体"/>
          <w:color w:val="auto"/>
          <w:sz w:val="24"/>
          <w:highlight w:val="none"/>
        </w:rPr>
        <w:t>规定的资格条件要求的证明文件,该证明文件作为投标文件的一部分。</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2、如果投标人为联合体，则应提交联合体各方资格证明文件、联合体协议。否则，在评标时将其视为无效投标。</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3、除</w:t>
      </w:r>
      <w:r>
        <w:rPr>
          <w:rFonts w:hint="eastAsia" w:ascii="宋体" w:hAnsi="宋体" w:cs="宋体"/>
          <w:b/>
          <w:color w:val="auto"/>
          <w:sz w:val="24"/>
          <w:highlight w:val="none"/>
        </w:rPr>
        <w:t>投标人须知前附表</w:t>
      </w:r>
      <w:r>
        <w:rPr>
          <w:rFonts w:hint="eastAsia" w:ascii="宋体" w:hAnsi="宋体" w:cs="宋体"/>
          <w:color w:val="auto"/>
          <w:sz w:val="24"/>
          <w:highlight w:val="none"/>
        </w:rPr>
        <w:t>另有规定外，投标人提供的货物及服务不是投标人制造或拥有的,则应当提供经销、或代理投标货物、或为投标货物提供售后服务的证明文件。否则，在评标时将其视为无效投标。</w:t>
      </w:r>
    </w:p>
    <w:p>
      <w:pPr>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（七）</w:t>
      </w:r>
      <w:r>
        <w:rPr>
          <w:rFonts w:hint="eastAsia" w:ascii="宋体" w:hAnsi="宋体" w:cs="宋体"/>
          <w:b/>
          <w:bCs/>
          <w:color w:val="auto"/>
          <w:sz w:val="24"/>
          <w:highlight w:val="none"/>
        </w:rPr>
        <w:t>投标货物符合招标文件规定的证明文件</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1、投标人应当提交其拟供的合同项下货物及其服务符合招标文件规定的证明文件,该证明文件作为投标文件的一部分。</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2、投标人在货物说明一览表中应当说明货物的品牌型号、规格参数、制造商及原产地等，交货时应出具原产地证明及出厂合格证明。</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3、上述证明文件可以是文字资料、图纸和数据，并须提供：</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（1）货物主要性能和参数的详细说明； </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（2）对照招标文件技术规格，逐条说明所提供货物和服务对招标文件的技术规格条文的响应与偏离。对有具体参数要求的指标，投标人应提供具体参数值。</w:t>
      </w:r>
    </w:p>
    <w:p>
      <w:pPr>
        <w:adjustRightInd w:val="0"/>
        <w:snapToGrid w:val="0"/>
        <w:spacing w:line="40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4、投标人须知前附表</w:t>
      </w:r>
      <w:r>
        <w:rPr>
          <w:rFonts w:hint="eastAsia" w:ascii="宋体" w:hAnsi="宋体" w:cs="宋体"/>
          <w:color w:val="auto"/>
          <w:sz w:val="24"/>
          <w:highlight w:val="none"/>
        </w:rPr>
        <w:t>规定投标人在投标时提供样品的，投标人有以下情形之一的，在评标时将其视为无效投标。</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（1）未在</w:t>
      </w:r>
      <w:r>
        <w:rPr>
          <w:rFonts w:hint="eastAsia" w:ascii="宋体" w:hAnsi="宋体" w:cs="宋体"/>
          <w:b/>
          <w:color w:val="auto"/>
          <w:sz w:val="24"/>
          <w:highlight w:val="none"/>
        </w:rPr>
        <w:t>投标人须知前附表</w:t>
      </w:r>
      <w:r>
        <w:rPr>
          <w:rFonts w:hint="eastAsia" w:ascii="宋体" w:hAnsi="宋体" w:cs="宋体"/>
          <w:color w:val="auto"/>
          <w:sz w:val="24"/>
          <w:highlight w:val="none"/>
        </w:rPr>
        <w:t>规定的提交时间、地点提交的；</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（2）投标人提供的样品与投标文件提供样品的规格、型号不一致的。</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（八）投标保证金</w:t>
      </w:r>
    </w:p>
    <w:p>
      <w:pPr>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投标人须知前附表</w:t>
      </w:r>
      <w:r>
        <w:rPr>
          <w:rFonts w:hint="eastAsia" w:ascii="宋体" w:hAnsi="宋体" w:cs="宋体"/>
          <w:color w:val="auto"/>
          <w:sz w:val="24"/>
          <w:highlight w:val="none"/>
        </w:rPr>
        <w:t>规定缴纳</w:t>
      </w:r>
      <w:r>
        <w:rPr>
          <w:rFonts w:hint="eastAsia" w:ascii="宋体" w:hAnsi="宋体" w:cs="宋体"/>
          <w:bCs/>
          <w:color w:val="auto"/>
          <w:sz w:val="24"/>
          <w:highlight w:val="none"/>
        </w:rPr>
        <w:t>投标保证金的</w:t>
      </w:r>
      <w:r>
        <w:rPr>
          <w:rFonts w:hint="eastAsia" w:ascii="宋体" w:hAnsi="宋体" w:cs="宋体"/>
          <w:color w:val="auto"/>
          <w:sz w:val="24"/>
          <w:highlight w:val="none"/>
        </w:rPr>
        <w:t>，</w:t>
      </w:r>
      <w:r>
        <w:rPr>
          <w:rFonts w:hint="eastAsia" w:ascii="宋体" w:hAnsi="宋体" w:cs="宋体"/>
          <w:bCs/>
          <w:color w:val="auto"/>
          <w:sz w:val="24"/>
          <w:highlight w:val="none"/>
        </w:rPr>
        <w:t>投标人应按</w:t>
      </w:r>
      <w:r>
        <w:rPr>
          <w:rFonts w:hint="eastAsia" w:ascii="宋体" w:hAnsi="宋体" w:cs="宋体"/>
          <w:b/>
          <w:bCs/>
          <w:color w:val="auto"/>
          <w:sz w:val="24"/>
          <w:highlight w:val="none"/>
        </w:rPr>
        <w:t>投标人须知前附表</w:t>
      </w:r>
      <w:r>
        <w:rPr>
          <w:rFonts w:hint="eastAsia" w:ascii="宋体" w:hAnsi="宋体" w:cs="宋体"/>
          <w:color w:val="auto"/>
          <w:sz w:val="24"/>
          <w:highlight w:val="none"/>
        </w:rPr>
        <w:t>规定的要求</w:t>
      </w:r>
      <w:r>
        <w:rPr>
          <w:rFonts w:hint="eastAsia" w:ascii="宋体" w:hAnsi="宋体" w:cs="宋体"/>
          <w:bCs/>
          <w:color w:val="auto"/>
          <w:sz w:val="24"/>
          <w:highlight w:val="none"/>
        </w:rPr>
        <w:t>提交保证金</w:t>
      </w:r>
      <w:r>
        <w:rPr>
          <w:rFonts w:hint="eastAsia" w:ascii="宋体" w:hAnsi="宋体" w:cs="宋体"/>
          <w:color w:val="auto"/>
          <w:sz w:val="24"/>
          <w:highlight w:val="none"/>
        </w:rPr>
        <w:t>，</w:t>
      </w:r>
      <w:r>
        <w:rPr>
          <w:rFonts w:hint="eastAsia" w:ascii="宋体" w:hAnsi="宋体" w:cs="宋体"/>
          <w:bCs/>
          <w:color w:val="auto"/>
          <w:sz w:val="24"/>
          <w:highlight w:val="none"/>
        </w:rPr>
        <w:t>投标保证金有效期应与</w:t>
      </w:r>
      <w:r>
        <w:rPr>
          <w:rFonts w:hint="eastAsia" w:ascii="宋体" w:hAnsi="宋体" w:cs="宋体"/>
          <w:color w:val="auto"/>
          <w:sz w:val="24"/>
          <w:highlight w:val="none"/>
        </w:rPr>
        <w:t>本章第6.1</w:t>
      </w:r>
      <w:r>
        <w:rPr>
          <w:rFonts w:hint="eastAsia" w:ascii="宋体" w:hAnsi="宋体" w:cs="宋体"/>
          <w:color w:val="auto"/>
          <w:kern w:val="0"/>
          <w:sz w:val="24"/>
          <w:highlight w:val="none"/>
          <w:lang w:val="zh-CN"/>
        </w:rPr>
        <w:t>款</w:t>
      </w:r>
      <w:r>
        <w:rPr>
          <w:rFonts w:hint="eastAsia" w:ascii="宋体" w:hAnsi="宋体" w:cs="宋体"/>
          <w:color w:val="auto"/>
          <w:sz w:val="24"/>
          <w:highlight w:val="none"/>
        </w:rPr>
        <w:t>规定</w:t>
      </w:r>
      <w:r>
        <w:rPr>
          <w:rFonts w:hint="eastAsia" w:ascii="宋体" w:hAnsi="宋体" w:cs="宋体"/>
          <w:bCs/>
          <w:color w:val="auto"/>
          <w:sz w:val="24"/>
          <w:highlight w:val="none"/>
        </w:rPr>
        <w:t>的投标有效期一致。投标人</w:t>
      </w:r>
      <w:r>
        <w:rPr>
          <w:rFonts w:hint="eastAsia" w:ascii="宋体" w:hAnsi="宋体" w:cs="宋体"/>
          <w:color w:val="auto"/>
          <w:sz w:val="24"/>
          <w:highlight w:val="none"/>
        </w:rPr>
        <w:t>未按照招标文件要求提交投标保证金的，</w:t>
      </w:r>
      <w:r>
        <w:rPr>
          <w:rFonts w:hint="eastAsia" w:ascii="宋体" w:hAnsi="宋体" w:cs="宋体"/>
          <w:bCs/>
          <w:color w:val="auto"/>
          <w:sz w:val="24"/>
          <w:highlight w:val="none"/>
        </w:rPr>
        <w:t>采购代理机构</w:t>
      </w:r>
      <w:r>
        <w:rPr>
          <w:rFonts w:hint="eastAsia" w:ascii="宋体" w:hAnsi="宋体" w:cs="宋体"/>
          <w:color w:val="auto"/>
          <w:sz w:val="24"/>
          <w:highlight w:val="none"/>
        </w:rPr>
        <w:t>应当拒绝接收投标人的投标文件或评标委员会在评标时将其视为无效投标。</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联合体投标的，由联合体牵头方提交投标保证金。以牵头方提交投标保证金的，对联合体各方均具有约束力。</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3、未成交的投标人的投标保证金，将在成交通知书发出后五个工作日内无息退还。</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4、成交的投标人的投标保证金，将在政府采购合同签订后五个工作日内无息退还。</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5、有以下情形之一的，投标保证金将不予退还：</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（1）投标人在本章第21.1</w:t>
      </w:r>
      <w:r>
        <w:rPr>
          <w:rFonts w:hint="eastAsia" w:ascii="宋体" w:hAnsi="宋体" w:cs="宋体"/>
          <w:color w:val="auto"/>
          <w:kern w:val="0"/>
          <w:sz w:val="24"/>
          <w:highlight w:val="none"/>
          <w:lang w:val="zh-CN"/>
        </w:rPr>
        <w:t>款</w:t>
      </w:r>
      <w:r>
        <w:rPr>
          <w:rFonts w:hint="eastAsia" w:ascii="宋体" w:hAnsi="宋体" w:cs="宋体"/>
          <w:bCs/>
          <w:color w:val="auto"/>
          <w:sz w:val="24"/>
          <w:highlight w:val="none"/>
        </w:rPr>
        <w:t>规定的</w:t>
      </w:r>
      <w:r>
        <w:rPr>
          <w:rFonts w:hint="eastAsia" w:ascii="宋体" w:hAnsi="宋体" w:cs="宋体"/>
          <w:color w:val="auto"/>
          <w:sz w:val="24"/>
          <w:highlight w:val="none"/>
        </w:rPr>
        <w:t xml:space="preserve">投标有效期内撤回或修改投标文件； </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（2）投标提供虚假材料谋取成交的；</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（3）确定为成交供应商后，成交人无正当理由放弃成交资格的；</w:t>
      </w:r>
    </w:p>
    <w:p>
      <w:pPr>
        <w:adjustRightInd w:val="0"/>
        <w:snapToGrid w:val="0"/>
        <w:spacing w:line="40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（4）成交后，无正当理由不签订合同或转让、分包项目以及拒绝履行合同义务的；</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（5）法律法规或招标文件规定的其他情形。</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（九）投标有效期</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1、投标有效期见</w:t>
      </w:r>
      <w:r>
        <w:rPr>
          <w:rFonts w:hint="eastAsia" w:ascii="宋体" w:hAnsi="宋体" w:cs="宋体"/>
          <w:b/>
          <w:color w:val="auto"/>
          <w:sz w:val="24"/>
          <w:highlight w:val="none"/>
        </w:rPr>
        <w:t>投标人须知前附表</w:t>
      </w:r>
      <w:r>
        <w:rPr>
          <w:rFonts w:hint="eastAsia" w:ascii="宋体" w:hAnsi="宋体" w:cs="宋体"/>
          <w:color w:val="auto"/>
          <w:sz w:val="24"/>
          <w:highlight w:val="none"/>
        </w:rPr>
        <w:t>，在此期间投标文件对投标人具有法律约束力，以保证采购人有足够的时间完成评标、定标以及签订合同。投标有效期从本章规定的投标截止之日起计算。投标有效期不足的，在评标时将其视为无效投标。</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（十）投标文件的签署</w:t>
      </w:r>
    </w:p>
    <w:p>
      <w:pPr>
        <w:tabs>
          <w:tab w:val="left" w:pos="570"/>
          <w:tab w:val="left" w:pos="8280"/>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1、投标文件正本一份,电子文件(包括u盘1份及光盘1份,并标注投标人名称)，副本叁份</w:t>
      </w:r>
      <w:r>
        <w:rPr>
          <w:rFonts w:hint="eastAsia" w:ascii="宋体" w:hAnsi="宋体" w:cs="宋体"/>
          <w:b/>
          <w:color w:val="auto"/>
          <w:sz w:val="24"/>
          <w:highlight w:val="none"/>
        </w:rPr>
        <w:t>。</w:t>
      </w:r>
      <w:r>
        <w:rPr>
          <w:rFonts w:hint="eastAsia" w:ascii="宋体" w:hAnsi="宋体" w:cs="宋体"/>
          <w:color w:val="auto"/>
          <w:sz w:val="24"/>
          <w:highlight w:val="none"/>
        </w:rPr>
        <w:t>正本和副本的封面应注明“正本”或“副本”的字样，当正本和副本不一致时，以正本为准。</w:t>
      </w:r>
    </w:p>
    <w:p>
      <w:pPr>
        <w:tabs>
          <w:tab w:val="left" w:pos="570"/>
          <w:tab w:val="left" w:pos="8280"/>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2、投标文件应用不褪色的材料打印或书写，并在</w:t>
      </w:r>
      <w:r>
        <w:rPr>
          <w:rFonts w:hint="eastAsia" w:ascii="宋体" w:hAnsi="宋体" w:cs="宋体"/>
          <w:bCs/>
          <w:color w:val="auto"/>
          <w:sz w:val="24"/>
          <w:highlight w:val="none"/>
        </w:rPr>
        <w:t>招标</w:t>
      </w:r>
      <w:r>
        <w:rPr>
          <w:rFonts w:hint="eastAsia" w:ascii="宋体" w:hAnsi="宋体" w:cs="宋体"/>
          <w:color w:val="auto"/>
          <w:sz w:val="24"/>
          <w:highlight w:val="none"/>
        </w:rPr>
        <w:t>文件要求签字、盖章处盖投标单位行政公章和由法定代表人或其委托代理人签字。投标文件中的任何行间插字、涂改和增删，改动之处应加盖单位行政公章或由投标人的法定代表人或其授权的代理人签字确认。不按上述要求盖章和签字的，在评标时将其视为无效投标。</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（十一）投标文件的递交</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1、投标文件的密封和标记</w:t>
      </w:r>
    </w:p>
    <w:p>
      <w:pPr>
        <w:tabs>
          <w:tab w:val="left" w:pos="570"/>
          <w:tab w:val="left" w:pos="8280"/>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按正本和副本分别密封包装(电子文件装入投标文件正本密封袋中)，注明“正本”或“副本”，在封套两端折叠封口处加贴封条，标明“正本”或“副本”、“项目名称、项目编号、投标人、授权代理人、联系电话”、标注“    年   月   日   时   分（开标时间）开标前不得开启”，并在启封处加盖公章、法定代表人印章，并应确保密封完好。不按此规定装订、密封的按无效标处理。</w:t>
      </w:r>
    </w:p>
    <w:p>
      <w:pPr>
        <w:tabs>
          <w:tab w:val="left" w:pos="570"/>
          <w:tab w:val="left" w:pos="8280"/>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电子版投标文件</w:t>
      </w:r>
      <w:r>
        <w:rPr>
          <w:rFonts w:hint="eastAsia" w:ascii="宋体" w:hAnsi="宋体" w:cs="宋体"/>
          <w:color w:val="auto"/>
          <w:sz w:val="24"/>
          <w:highlight w:val="none"/>
        </w:rPr>
        <w:t>：投标人递交纸质版投标文件时，还需同步提交电子版投标文件2份（包括u盘1份及光盘1份，并加贴标识）。</w:t>
      </w:r>
    </w:p>
    <w:p>
      <w:pPr>
        <w:tabs>
          <w:tab w:val="left" w:pos="570"/>
          <w:tab w:val="left" w:pos="8280"/>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版投标文件为纸质版投标文件正本内容全套扫描件；电子版文件须单独密封、标示后提交，并在外封套表面加贴封条：注明“电子版投标文件”、、“项目名称、项目编号、投标人、授权代理人、联系电话”、标注“    年   月   日   时   分（开标时间）开标前不得开启”，并在启封处加盖公章、法定代表人印章，并应确保密封完好。</w:t>
      </w:r>
    </w:p>
    <w:p>
      <w:pPr>
        <w:tabs>
          <w:tab w:val="left" w:pos="570"/>
          <w:tab w:val="left" w:pos="8280"/>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bCs/>
          <w:color w:val="auto"/>
          <w:sz w:val="24"/>
          <w:highlight w:val="none"/>
        </w:rPr>
        <w:t>开标一览表1份</w:t>
      </w:r>
      <w:r>
        <w:rPr>
          <w:rFonts w:hint="eastAsia" w:ascii="宋体" w:hAnsi="宋体" w:cs="宋体"/>
          <w:color w:val="auto"/>
          <w:sz w:val="24"/>
          <w:highlight w:val="none"/>
        </w:rPr>
        <w:t>。须单独密封、标示后提交，并在外封套表面加贴封条：注明“开标一览表”、、“项目名称、项目编号、投标人、授权代理人、联系电话”、标注“    年   月   日   时   分（开标时间）开标前不得开启”，并在启封处加盖公章、法定代表人印章，并应确保密封完好。</w:t>
      </w:r>
    </w:p>
    <w:p>
      <w:pPr>
        <w:spacing w:line="400" w:lineRule="exact"/>
        <w:ind w:firstLine="480" w:firstLineChars="200"/>
        <w:rPr>
          <w:rFonts w:ascii="宋体" w:hAnsi="宋体" w:cs="宋体"/>
          <w:color w:val="auto"/>
          <w:sz w:val="24"/>
          <w:highlight w:val="none"/>
        </w:rPr>
      </w:pP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4）投标文件如果未按上述规定密封和标记，采购代理机构应当拒绝接收。</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2、投标文件的递交</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1）投标文件应在本章第11.2</w:t>
      </w:r>
      <w:r>
        <w:rPr>
          <w:rFonts w:hint="eastAsia" w:ascii="宋体" w:hAnsi="宋体" w:cs="宋体"/>
          <w:color w:val="auto"/>
          <w:kern w:val="0"/>
          <w:sz w:val="24"/>
          <w:highlight w:val="none"/>
          <w:lang w:val="zh-CN"/>
        </w:rPr>
        <w:t>款</w:t>
      </w:r>
      <w:r>
        <w:rPr>
          <w:rFonts w:hint="eastAsia" w:ascii="宋体" w:hAnsi="宋体" w:cs="宋体"/>
          <w:color w:val="auto"/>
          <w:sz w:val="24"/>
          <w:highlight w:val="none"/>
        </w:rPr>
        <w:t>规定的投标截止时间之前送达</w:t>
      </w:r>
      <w:r>
        <w:rPr>
          <w:rFonts w:hint="eastAsia" w:ascii="宋体" w:hAnsi="宋体" w:cs="宋体"/>
          <w:b/>
          <w:color w:val="auto"/>
          <w:sz w:val="24"/>
          <w:highlight w:val="none"/>
        </w:rPr>
        <w:t>投标人须知前附表</w:t>
      </w:r>
      <w:r>
        <w:rPr>
          <w:rFonts w:hint="eastAsia" w:ascii="宋体" w:hAnsi="宋体" w:cs="宋体"/>
          <w:color w:val="auto"/>
          <w:sz w:val="24"/>
          <w:highlight w:val="none"/>
        </w:rPr>
        <w:t>指定的地点。</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2）逾期送达或未送达指定地点的投标文件，采购代理机构应当拒绝接收。</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3）投标人应将招标文件中第五章投标文件的组成“政府采购招标文件（商务文件）二、</w:t>
      </w:r>
      <w:r>
        <w:rPr>
          <w:rFonts w:hint="eastAsia" w:ascii="宋体" w:hAnsi="宋体" w:cs="宋体"/>
          <w:b/>
          <w:color w:val="auto"/>
          <w:sz w:val="24"/>
          <w:highlight w:val="none"/>
        </w:rPr>
        <w:t>《开标一览表》</w:t>
      </w:r>
      <w:r>
        <w:rPr>
          <w:rFonts w:hint="eastAsia" w:ascii="宋体" w:hAnsi="宋体" w:cs="宋体"/>
          <w:color w:val="auto"/>
          <w:sz w:val="24"/>
          <w:highlight w:val="none"/>
        </w:rPr>
        <w:t>和三、</w:t>
      </w:r>
      <w:r>
        <w:rPr>
          <w:rFonts w:hint="eastAsia" w:ascii="宋体" w:hAnsi="宋体" w:cs="宋体"/>
          <w:b/>
          <w:color w:val="auto"/>
          <w:sz w:val="24"/>
          <w:highlight w:val="none"/>
        </w:rPr>
        <w:t>《分项价格表》”</w:t>
      </w:r>
      <w:r>
        <w:rPr>
          <w:rFonts w:hint="eastAsia" w:ascii="宋体" w:hAnsi="宋体" w:cs="宋体"/>
          <w:color w:val="auto"/>
          <w:sz w:val="24"/>
          <w:highlight w:val="none"/>
        </w:rPr>
        <w:t>另备一份单独密封，与项目投标文件同时递交，否则视为自动放弃投标；单独密封递交的</w:t>
      </w:r>
      <w:r>
        <w:rPr>
          <w:rFonts w:hint="eastAsia" w:ascii="宋体" w:hAnsi="宋体" w:cs="宋体"/>
          <w:b/>
          <w:color w:val="auto"/>
          <w:sz w:val="24"/>
          <w:highlight w:val="none"/>
        </w:rPr>
        <w:t>《开标一览表》</w:t>
      </w:r>
      <w:r>
        <w:rPr>
          <w:rFonts w:hint="eastAsia" w:ascii="宋体" w:hAnsi="宋体" w:cs="宋体"/>
          <w:color w:val="auto"/>
          <w:sz w:val="24"/>
          <w:highlight w:val="none"/>
        </w:rPr>
        <w:t>和</w:t>
      </w:r>
      <w:r>
        <w:rPr>
          <w:rFonts w:hint="eastAsia" w:ascii="宋体" w:hAnsi="宋体" w:cs="宋体"/>
          <w:b/>
          <w:color w:val="auto"/>
          <w:sz w:val="24"/>
          <w:highlight w:val="none"/>
        </w:rPr>
        <w:t>《分项价格表》与投标文件中的表格内容不一致的，视为无效投标。</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3、投标文件的修改和撤回</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1）在本章第11.2</w:t>
      </w:r>
      <w:r>
        <w:rPr>
          <w:rFonts w:hint="eastAsia" w:ascii="宋体" w:hAnsi="宋体" w:cs="宋体"/>
          <w:color w:val="auto"/>
          <w:kern w:val="0"/>
          <w:sz w:val="24"/>
          <w:highlight w:val="none"/>
          <w:lang w:val="zh-CN"/>
        </w:rPr>
        <w:t>款</w:t>
      </w:r>
      <w:r>
        <w:rPr>
          <w:rFonts w:hint="eastAsia" w:ascii="宋体" w:hAnsi="宋体" w:cs="宋体"/>
          <w:color w:val="auto"/>
          <w:sz w:val="24"/>
          <w:highlight w:val="none"/>
        </w:rPr>
        <w:t>规定的投标截止时间前，投标人可以书面形式修改、补充或撤回己递交的投标文件，但应以书面形式通知采购代理机构。</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2）修改、补充的内容为投标文件的组成部分。修改、补充的投标文件应按本章第</w:t>
      </w:r>
      <w:r>
        <w:rPr>
          <w:rFonts w:hint="eastAsia" w:ascii="宋体" w:hAnsi="宋体" w:cs="宋体"/>
          <w:bCs/>
          <w:color w:val="auto"/>
          <w:sz w:val="24"/>
          <w:highlight w:val="none"/>
        </w:rPr>
        <w:t>22、23、24项</w:t>
      </w:r>
      <w:r>
        <w:rPr>
          <w:rFonts w:hint="eastAsia" w:ascii="宋体" w:hAnsi="宋体" w:cs="宋体"/>
          <w:color w:val="auto"/>
          <w:sz w:val="24"/>
          <w:highlight w:val="none"/>
        </w:rPr>
        <w:t>规定编制、</w:t>
      </w:r>
      <w:r>
        <w:rPr>
          <w:rFonts w:hint="eastAsia" w:ascii="宋体" w:hAnsi="宋体" w:cs="宋体"/>
          <w:bCs/>
          <w:color w:val="auto"/>
          <w:sz w:val="24"/>
          <w:highlight w:val="none"/>
        </w:rPr>
        <w:t>签署、</w:t>
      </w:r>
      <w:r>
        <w:rPr>
          <w:rFonts w:hint="eastAsia" w:ascii="宋体" w:hAnsi="宋体" w:cs="宋体"/>
          <w:color w:val="auto"/>
          <w:sz w:val="24"/>
          <w:highlight w:val="none"/>
        </w:rPr>
        <w:t>密封、标记和递交，并标明“修改、补充”字样。</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color w:val="auto"/>
          <w:sz w:val="24"/>
          <w:highlight w:val="none"/>
        </w:rPr>
        <w:t>3）投标人撤回投标文件的，采购代理机构自收到投标人书面撤回通知之日起五日内退还已收取的</w:t>
      </w:r>
      <w:r>
        <w:rPr>
          <w:rFonts w:hint="eastAsia" w:ascii="宋体" w:hAnsi="宋体" w:cs="宋体"/>
          <w:bCs/>
          <w:color w:val="auto"/>
          <w:sz w:val="24"/>
          <w:highlight w:val="none"/>
        </w:rPr>
        <w:t>投标保证金。</w:t>
      </w:r>
    </w:p>
    <w:p>
      <w:pPr>
        <w:snapToGrid w:val="0"/>
        <w:spacing w:line="400" w:lineRule="exact"/>
        <w:ind w:firstLine="472" w:firstLineChars="196"/>
        <w:jc w:val="left"/>
        <w:outlineLvl w:val="1"/>
        <w:rPr>
          <w:rFonts w:ascii="宋体" w:hAnsi="宋体" w:cs="宋体"/>
          <w:b/>
          <w:color w:val="auto"/>
          <w:sz w:val="24"/>
          <w:highlight w:val="none"/>
        </w:rPr>
      </w:pPr>
      <w:r>
        <w:rPr>
          <w:rFonts w:hint="eastAsia" w:ascii="宋体" w:hAnsi="宋体" w:cs="宋体"/>
          <w:b/>
          <w:color w:val="auto"/>
          <w:sz w:val="24"/>
          <w:highlight w:val="none"/>
        </w:rPr>
        <w:t>（十二）串通投标行为</w:t>
      </w:r>
    </w:p>
    <w:p>
      <w:pPr>
        <w:snapToGrid w:val="0"/>
        <w:spacing w:line="400" w:lineRule="exact"/>
        <w:ind w:firstLine="446" w:firstLineChars="196"/>
        <w:jc w:val="left"/>
        <w:rPr>
          <w:rFonts w:ascii="宋体" w:hAnsi="宋体" w:cs="宋体"/>
          <w:color w:val="auto"/>
          <w:sz w:val="24"/>
          <w:highlight w:val="none"/>
        </w:rPr>
      </w:pPr>
      <w:r>
        <w:rPr>
          <w:rFonts w:hint="eastAsia" w:ascii="宋体" w:hAnsi="宋体" w:cs="宋体"/>
          <w:color w:val="auto"/>
          <w:spacing w:val="-6"/>
          <w:sz w:val="24"/>
          <w:highlight w:val="none"/>
        </w:rPr>
        <w:t>12.1</w:t>
      </w:r>
      <w:r>
        <w:rPr>
          <w:rFonts w:hint="eastAsia" w:ascii="宋体" w:hAnsi="宋体" w:cs="宋体"/>
          <w:color w:val="auto"/>
          <w:sz w:val="24"/>
          <w:highlight w:val="none"/>
        </w:rPr>
        <w:t>投标人有以下情形之一的，可认定其有串通投标行为，成交无效：</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（1）投标人之间协商投标报价等投标文件的实质性内容；</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（2）投标人之间约定成交人；</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（3）投标人之间约定部分投标人放弃投标或者成交；</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（4）属于同一集团、协会、商会等组织成员的投标人按照该组织要求协同投标；</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（5）投标人之间为谋取成交或者排斥特定投标人而采取的其他联合行动；</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（6）不同投标人的投标文件由同一单位或者个人编制；</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（7）不同投标人委托同一单位或者个人办理投标事宜；</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（8）不同投标人的投标文件载明的项目管理成员为同一人；</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（9）不同投标人的投标文件异常一致或者投标报价呈规律性差异；</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（10）不同投标人的投标文件相互混装；</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（11）不同投标人的投标保证金从同一单位或者个人的账户转出；</w:t>
      </w:r>
    </w:p>
    <w:p>
      <w:pPr>
        <w:pStyle w:val="45"/>
        <w:adjustRightInd w:val="0"/>
        <w:snapToGrid w:val="0"/>
        <w:spacing w:before="0" w:beforeAutospacing="0" w:after="0" w:afterAutospacing="0" w:line="400" w:lineRule="exact"/>
        <w:ind w:firstLine="480" w:firstLineChars="200"/>
        <w:rPr>
          <w:color w:val="auto"/>
          <w:highlight w:val="none"/>
        </w:rPr>
      </w:pPr>
      <w:r>
        <w:rPr>
          <w:rFonts w:hint="eastAsia"/>
          <w:color w:val="auto"/>
          <w:highlight w:val="none"/>
        </w:rPr>
        <w:t>（12）法律、法规或规章规定的其他串通投标行为。</w:t>
      </w:r>
    </w:p>
    <w:p>
      <w:pPr>
        <w:pStyle w:val="45"/>
        <w:adjustRightInd w:val="0"/>
        <w:snapToGrid w:val="0"/>
        <w:spacing w:before="0" w:beforeAutospacing="0" w:after="0" w:afterAutospacing="0" w:line="400" w:lineRule="exact"/>
        <w:outlineLvl w:val="1"/>
        <w:rPr>
          <w:b/>
          <w:color w:val="auto"/>
          <w:kern w:val="2"/>
          <w:highlight w:val="none"/>
        </w:rPr>
      </w:pPr>
      <w:r>
        <w:rPr>
          <w:rFonts w:hint="eastAsia"/>
          <w:b/>
          <w:color w:val="auto"/>
          <w:kern w:val="2"/>
          <w:highlight w:val="none"/>
        </w:rPr>
        <w:t>（十三）开标</w:t>
      </w:r>
    </w:p>
    <w:p>
      <w:pPr>
        <w:pStyle w:val="45"/>
        <w:adjustRightInd w:val="0"/>
        <w:snapToGrid w:val="0"/>
        <w:spacing w:before="0" w:beforeAutospacing="0" w:after="0" w:afterAutospacing="0" w:line="400" w:lineRule="exact"/>
        <w:rPr>
          <w:rStyle w:val="56"/>
          <w:color w:val="auto"/>
          <w:highlight w:val="none"/>
        </w:rPr>
      </w:pPr>
      <w:r>
        <w:rPr>
          <w:rStyle w:val="56"/>
          <w:rFonts w:hint="eastAsia"/>
          <w:color w:val="auto"/>
          <w:highlight w:val="none"/>
        </w:rPr>
        <w:t>13、开标</w:t>
      </w:r>
    </w:p>
    <w:p>
      <w:pPr>
        <w:spacing w:line="400" w:lineRule="exact"/>
        <w:rPr>
          <w:rFonts w:ascii="宋体" w:hAnsi="宋体" w:cs="宋体"/>
          <w:b/>
          <w:bCs/>
          <w:color w:val="auto"/>
          <w:sz w:val="24"/>
          <w:highlight w:val="none"/>
        </w:rPr>
      </w:pPr>
      <w:r>
        <w:rPr>
          <w:rFonts w:hint="eastAsia" w:ascii="宋体" w:hAnsi="宋体" w:cs="宋体"/>
          <w:b/>
          <w:color w:val="auto"/>
          <w:sz w:val="24"/>
          <w:highlight w:val="none"/>
        </w:rPr>
        <w:t>13.1</w:t>
      </w:r>
      <w:r>
        <w:rPr>
          <w:rFonts w:hint="eastAsia" w:ascii="宋体" w:hAnsi="宋体" w:cs="宋体"/>
          <w:b/>
          <w:bCs/>
          <w:color w:val="auto"/>
          <w:sz w:val="24"/>
          <w:highlight w:val="none"/>
        </w:rPr>
        <w:t>开标仪式由招标代理机构组织，采购人代表(需提供单位授权函)、监管代表、投标人代表等参加。有关行政监督部门的工作人员将对投标人进行资格审查，如缺项将导致失去投标资格或废标。开标现场提供资格查验资料齐全、满足采购文件封装、标识、签章要求的投标人为合格有效投标人。</w:t>
      </w: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资格审查：</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开标时，投标委派的开标代表携带身份证原件并按如下要求提供有效证明材料进行资格审查。</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资格查验资料：</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（1）营业执照复印件加盖公章；</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（2）法定代表人身份证明书原件并附法定代表人身份证复印件（如委托授权代表的，仅需提供法定代表人授权委托书原件并附代理人身份证复印件）；</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（3）投标保证金缴款证明复印件加盖单位公章。</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adjustRightInd w:val="0"/>
        <w:snapToGrid w:val="0"/>
        <w:spacing w:line="400" w:lineRule="exact"/>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以上内容需单独封装、标识后提交。在外封套表面加贴封条：注明“资格审查”、“项目名称、项目编号、投标人、授权代理人、联系电话”、标注“    年   月   日   时   分（开标时间）开标前不得开启”，并在启封处加盖公章、法定代表人印章，并应确保密封完好。</w:t>
      </w:r>
    </w:p>
    <w:p>
      <w:pPr>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13.2本次招标按招标文件中投标邀请规定的时间地点进行开标，将邀请投标商的法定代表人或其授权委托人准时参加开标会。</w:t>
      </w:r>
    </w:p>
    <w:p>
      <w:pPr>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13.3宣布投标文件开启顺序。</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13.4开标时检查投标文件密封情况，确认无误后拆封唱标，唱正本</w:t>
      </w:r>
      <w:r>
        <w:rPr>
          <w:rFonts w:hint="eastAsia" w:ascii="宋体" w:hAnsi="宋体" w:cs="宋体"/>
          <w:color w:val="auto"/>
          <w:sz w:val="24"/>
          <w:highlight w:val="none"/>
        </w:rPr>
        <w:t>“开标一览表”内容，以及招标代理机构认为合适的其他内容并记录。</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13.5评标原则在开标会议上宣布。</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 对招标人的纪律要求</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招标人不得泄露招标投标活动中应当保密的情况和资料，不得与投标人串通损害国家利益、社会公共利益或者他人合法权益。</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13.7对投标人的纪律要求</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投标人不得互相串通投标或者与招标人串通投标，不得向招标人或者评标委员会成员行贿谋取成交，不得以他人名义投标或者以其他方式弄虚作假骗取成交；投标人不得以任何方式干扰、影响评标工作。</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13.8 对与评标活动有关的工作人员的纪律要求</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成交候选人的推荐情况及评标有关其他情况。在评标活动中，与评标活动有关的工作人员不得擅离职守，影响评标程序正常进行。</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13.9对评标委员会成员要求评标纪律</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13.9.1评委会应当依照有关法律法规的规定，按照招标文件确定的评标标准和办法客观、公正的对投标文件提出评审意见。招标文件设有规定的评标标准和方法不得作为评标依据。</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13.9.2评标委员会成员不得私下接触投标人，不得收受投标人给予的财务或者其他好处，不得向招标人征询确定成交人意向。</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13.9.3不得接受任何单位或个人明示或暗示提出的倾向或排斥特定投标人的要求。</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13.9.4不得有其他不客观，不公正履行职务的行为。</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13.10无效投标条款和废标条款</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13.10.1无效投标条款</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13.10.2未按要求交纳投标保证金的；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13.10.3未按照招标文件规定要求密封、签署、盖章的；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13.10.4投标人在报价时采用选择性报价；</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13.10.5投标人不具备招标文件中规定资格要求的；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13.10.6投标人的报价超过了采购预算的；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13.10.7未通过符合性检查的；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13.10.8不符合招标文件中规定的其他实质性要求和条件的；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13.10.9投标人串通投标；</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13.10.10其他法律、法规及本招标文件规定的属无效投标的情形。</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13.11废标条款：                                                                                                                                                                                                                                                                                                                                                                                                                                                                                                                                                                                                                                                                                                                                                                                                                                                                                                                                                                                                                                                                                                                                                                                                                                                                                                                                                                                                                                                                         </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13.11.1符合专业条件的供应商或者对招标文件作实质响应的供应商不足三家的；30.2.2出现影响采购公正的违法、违规行为的；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13.11.2因重大变故，采购任务取消的；</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13.11.3评标委员会认定招标文件存在歧义、 重大缺陷导致评审工作无法进行。</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13.11.4 投标截止时间结束后参加投标的供应商不足三家的处理：</w:t>
      </w:r>
    </w:p>
    <w:p>
      <w:pPr>
        <w:pStyle w:val="278"/>
        <w:adjustRightInd w:val="0"/>
        <w:snapToGrid w:val="0"/>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13.11.5如出现投标截止时间结束后参加投标的供应商或者在评标期间对招标文件做出实质响应的供应商不足三家情况，按财政部第八十七号令第四十三条的规定执行。</w:t>
      </w:r>
    </w:p>
    <w:p>
      <w:pPr>
        <w:spacing w:line="400" w:lineRule="exact"/>
        <w:rPr>
          <w:rFonts w:ascii="宋体" w:hAnsi="宋体" w:cs="宋体"/>
          <w:color w:val="auto"/>
          <w:sz w:val="24"/>
          <w:highlight w:val="none"/>
        </w:rPr>
      </w:pPr>
      <w:r>
        <w:rPr>
          <w:rFonts w:hint="eastAsia" w:ascii="宋体" w:hAnsi="宋体" w:cs="宋体"/>
          <w:color w:val="auto"/>
          <w:sz w:val="24"/>
          <w:highlight w:val="none"/>
        </w:rPr>
        <w:t>13.12磋商程序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磋商小组判断“投标文件”的响应性，仅基于“投标文件”本身而不靠外部证据。对非实质性响应的投标文件，投标人不能通过修正或撤销不符之处，而使其成为实质性响应。</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磋商小组根据竞争性磋商文件要求，讨论、通过磋商工作流程和磋商要点。围绕磋商要点，磋商小组全体成员集中与单一投标人分别进行磋商，逐家磋商一次为一个轮次，本项目磋商轮次原则上为一轮。磋商结束后，磋商小组将要求所有有效投标人在规定时间内提交最终报价及服务承诺。投标人未及时参与磋商或多次报价的，视为自动放弃参与磋商的资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磋商小组成员对需要共同认定的事项存在争议的，应当按照少数服从多数的原则作出结论。持不同意见的磋商小组成员应当在评标报告上签署不同意见及理由，否则视为同意评标报告。</w:t>
      </w:r>
    </w:p>
    <w:p>
      <w:pPr>
        <w:spacing w:line="400" w:lineRule="exact"/>
        <w:rPr>
          <w:rFonts w:ascii="宋体" w:hAnsi="宋体" w:cs="宋体"/>
          <w:color w:val="auto"/>
          <w:sz w:val="24"/>
          <w:highlight w:val="none"/>
        </w:rPr>
      </w:pPr>
      <w:r>
        <w:rPr>
          <w:rFonts w:hint="eastAsia" w:ascii="宋体" w:hAnsi="宋体" w:cs="宋体"/>
          <w:color w:val="auto"/>
          <w:sz w:val="24"/>
          <w:highlight w:val="none"/>
        </w:rPr>
        <w:t>13.12.2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spacing w:line="400" w:lineRule="exact"/>
        <w:rPr>
          <w:rFonts w:ascii="宋体" w:hAnsi="宋体" w:cs="宋体"/>
          <w:color w:val="auto"/>
          <w:sz w:val="24"/>
          <w:highlight w:val="none"/>
        </w:rPr>
      </w:pPr>
      <w:r>
        <w:rPr>
          <w:rFonts w:hint="eastAsia" w:ascii="宋体" w:hAnsi="宋体" w:cs="宋体"/>
          <w:color w:val="auto"/>
          <w:sz w:val="24"/>
          <w:highlight w:val="none"/>
        </w:rPr>
        <w:t>32.2.6评标报告由磋商小组全体成员签字。磋商小组成员对需要共同认定的事项存在争议的，应当按照少数服从多数的原则作出结论。持不同意见的磋商小组成员应当在评标报告上签署不同意见及理由，否则视为同意评标报告。</w:t>
      </w:r>
    </w:p>
    <w:p>
      <w:pPr>
        <w:pStyle w:val="45"/>
        <w:adjustRightInd w:val="0"/>
        <w:snapToGrid w:val="0"/>
        <w:spacing w:before="0" w:beforeAutospacing="0" w:after="0" w:afterAutospacing="0" w:line="400" w:lineRule="exact"/>
        <w:outlineLvl w:val="1"/>
        <w:rPr>
          <w:b/>
          <w:color w:val="auto"/>
          <w:kern w:val="2"/>
          <w:highlight w:val="none"/>
        </w:rPr>
      </w:pPr>
      <w:r>
        <w:rPr>
          <w:rFonts w:hint="eastAsia"/>
          <w:b/>
          <w:color w:val="auto"/>
          <w:kern w:val="2"/>
          <w:highlight w:val="none"/>
        </w:rPr>
        <w:t>（十四）成交信息公布与投标人质疑</w:t>
      </w:r>
    </w:p>
    <w:p>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14.成交信息公布</w:t>
      </w:r>
    </w:p>
    <w:p>
      <w:pPr>
        <w:autoSpaceDE w:val="0"/>
        <w:autoSpaceDN w:val="0"/>
        <w:adjustRightInd w:val="0"/>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14.1确定成交供应商后，成交信息将在本章指定的媒体上同步发布。</w:t>
      </w:r>
    </w:p>
    <w:p>
      <w:pPr>
        <w:adjustRightInd w:val="0"/>
        <w:snapToGrid w:val="0"/>
        <w:spacing w:line="400" w:lineRule="exact"/>
        <w:jc w:val="left"/>
        <w:rPr>
          <w:rFonts w:ascii="宋体" w:hAnsi="宋体" w:cs="宋体"/>
          <w:b/>
          <w:bCs/>
          <w:color w:val="auto"/>
          <w:sz w:val="24"/>
          <w:highlight w:val="none"/>
        </w:rPr>
      </w:pPr>
      <w:r>
        <w:rPr>
          <w:rFonts w:hint="eastAsia" w:ascii="宋体" w:hAnsi="宋体" w:cs="宋体"/>
          <w:color w:val="auto"/>
          <w:sz w:val="24"/>
          <w:highlight w:val="none"/>
        </w:rPr>
        <w:t>15.投标人质疑</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15.1投标人对政府采购活动事项有疑问的，可以向采购人或采购代理机构提出询问。采购人或采购代理机构将在三个工作日内做出答复。</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 2投标人若认为采购过程和成交结果使自己的权益受到损害，应当在下列时间内以书面形式向采购人或采购代理机构提出：</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（1）关于采购过程的质疑，应当在采购程序环节结束之日起七个工作日内提出。</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（2）关于成交结果的质疑，应当在知道或者应知其权益受到损害之日起7个工作日内提出。</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15.3投标人提出质疑的，应提供质疑书原件。采购人或采购代理机构应当向质疑供应商签收回执。</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15.4质疑书应当包括下列内容：</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（1）质疑供应商的名称、地址及有效联系方式；</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（2）质疑事项；</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（3）事实依据及相关证明材料；</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（4）相关请求及主张。</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15.5 质疑书应当由投标人法定代表人或其授权的代理人签字并加盖投标人单位行政公章，质疑书由授权的代理人签字的应附投标人法定代表人授权委托书。</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15.6 采购人或采购代理机构将在签收回执之日起七个工作日内做出书面答复，并以书面形式通知质疑投标人和其他有关的投标人。</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15.7 投标人对采购人或采购代理机构无正当理由拒绝受理质疑的，投标人可书面向政府采购行政监管部门反映情况；投标人对采购人或采购代理机构的答复不满意，或采购人或采购代理机构未在规定的期限做出答复的，可在答复期满后十五个工作日内，按政府采购相关法律法规规章的规定及程序，向同级财政部门提出投诉。</w:t>
      </w:r>
    </w:p>
    <w:p>
      <w:pPr>
        <w:pStyle w:val="45"/>
        <w:adjustRightInd w:val="0"/>
        <w:snapToGrid w:val="0"/>
        <w:spacing w:before="0" w:beforeAutospacing="0" w:after="0" w:afterAutospacing="0" w:line="400" w:lineRule="exact"/>
        <w:outlineLvl w:val="1"/>
        <w:rPr>
          <w:b/>
          <w:color w:val="auto"/>
          <w:kern w:val="2"/>
          <w:highlight w:val="none"/>
        </w:rPr>
      </w:pPr>
      <w:r>
        <w:rPr>
          <w:rFonts w:hint="eastAsia"/>
          <w:b/>
          <w:color w:val="auto"/>
          <w:kern w:val="2"/>
          <w:highlight w:val="none"/>
        </w:rPr>
        <w:t>（十五）合同签订</w:t>
      </w:r>
    </w:p>
    <w:p>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16.成交结果通知</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16.1 在本章规定的投标有效期内，采购代理机构将以书面形式向成交供应商发出《成交通知书》。成交通知书对采购人和成交供应商具有同等法律效力。  </w:t>
      </w:r>
    </w:p>
    <w:p>
      <w:pPr>
        <w:adjustRightInd w:val="0"/>
        <w:snapToGrid w:val="0"/>
        <w:spacing w:line="400" w:lineRule="exact"/>
        <w:rPr>
          <w:rFonts w:ascii="宋体" w:hAnsi="宋体" w:cs="宋体"/>
          <w:b/>
          <w:color w:val="auto"/>
          <w:kern w:val="0"/>
          <w:sz w:val="24"/>
          <w:highlight w:val="none"/>
        </w:rPr>
      </w:pPr>
      <w:r>
        <w:rPr>
          <w:rFonts w:hint="eastAsia" w:ascii="宋体" w:hAnsi="宋体" w:cs="宋体"/>
          <w:b/>
          <w:color w:val="auto"/>
          <w:kern w:val="0"/>
          <w:sz w:val="24"/>
          <w:highlight w:val="none"/>
        </w:rPr>
        <w:t>17、履约担保</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17.1</w:t>
      </w:r>
      <w:r>
        <w:rPr>
          <w:rFonts w:hint="eastAsia" w:ascii="宋体" w:hAnsi="宋体" w:cs="宋体"/>
          <w:color w:val="auto"/>
          <w:sz w:val="24"/>
          <w:highlight w:val="none"/>
        </w:rPr>
        <w:t>成交供应商在收到采购代理机构的《成交通知书》后十日内，需向采购人提交履约担保的，应按照</w:t>
      </w:r>
      <w:r>
        <w:rPr>
          <w:rFonts w:hint="eastAsia" w:ascii="宋体" w:hAnsi="宋体" w:cs="宋体"/>
          <w:b/>
          <w:color w:val="auto"/>
          <w:sz w:val="24"/>
          <w:highlight w:val="none"/>
        </w:rPr>
        <w:t>投标人须知前附表</w:t>
      </w:r>
      <w:r>
        <w:rPr>
          <w:rFonts w:hint="eastAsia" w:ascii="宋体" w:hAnsi="宋体" w:cs="宋体"/>
          <w:color w:val="auto"/>
          <w:sz w:val="24"/>
          <w:highlight w:val="none"/>
        </w:rPr>
        <w:t>的规定提交。联合体成交的，履约担保由联合体各方或联合体中牵头人的名义提交。</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成交供应商</w:t>
      </w:r>
      <w:r>
        <w:rPr>
          <w:rFonts w:hint="eastAsia" w:ascii="宋体" w:hAnsi="宋体" w:cs="宋体"/>
          <w:color w:val="auto"/>
          <w:spacing w:val="4"/>
          <w:sz w:val="24"/>
          <w:highlight w:val="none"/>
        </w:rPr>
        <w:t>没有按照本章第33.1</w:t>
      </w:r>
      <w:r>
        <w:rPr>
          <w:rFonts w:hint="eastAsia" w:ascii="宋体" w:hAnsi="宋体" w:cs="宋体"/>
          <w:color w:val="auto"/>
          <w:kern w:val="0"/>
          <w:sz w:val="24"/>
          <w:highlight w:val="none"/>
          <w:lang w:val="zh-CN"/>
        </w:rPr>
        <w:t>款</w:t>
      </w:r>
      <w:r>
        <w:rPr>
          <w:rFonts w:hint="eastAsia" w:ascii="宋体" w:hAnsi="宋体" w:cs="宋体"/>
          <w:color w:val="auto"/>
          <w:spacing w:val="4"/>
          <w:sz w:val="24"/>
          <w:highlight w:val="none"/>
        </w:rPr>
        <w:t>规定</w:t>
      </w:r>
      <w:r>
        <w:rPr>
          <w:rFonts w:hint="eastAsia" w:ascii="宋体" w:hAnsi="宋体" w:cs="宋体"/>
          <w:color w:val="auto"/>
          <w:sz w:val="24"/>
          <w:highlight w:val="none"/>
        </w:rPr>
        <w:t>提交履约担保的</w:t>
      </w:r>
      <w:r>
        <w:rPr>
          <w:rFonts w:hint="eastAsia" w:ascii="宋体" w:hAnsi="宋体" w:cs="宋体"/>
          <w:color w:val="auto"/>
          <w:spacing w:val="4"/>
          <w:sz w:val="24"/>
          <w:highlight w:val="none"/>
        </w:rPr>
        <w:t>，视为放弃成交，</w:t>
      </w:r>
      <w:r>
        <w:rPr>
          <w:rFonts w:hint="eastAsia" w:ascii="宋体" w:hAnsi="宋体" w:cs="宋体"/>
          <w:color w:val="auto"/>
          <w:spacing w:val="2"/>
          <w:sz w:val="24"/>
          <w:highlight w:val="none"/>
        </w:rPr>
        <w:t>其投标保证金不予退还。</w:t>
      </w:r>
    </w:p>
    <w:p>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18、签订合同</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18.1 采购人应自成交通知书发出之日起七日内，按指定的时间、地点与成交供应商签订政府采购合同。</w:t>
      </w:r>
    </w:p>
    <w:p>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18.2 招标文件、成交供应商的投标文件均为签订合同的依据。</w:t>
      </w:r>
    </w:p>
    <w:p>
      <w:pPr>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18.3 成交供应商</w:t>
      </w:r>
      <w:r>
        <w:rPr>
          <w:rFonts w:hint="eastAsia" w:ascii="宋体" w:hAnsi="宋体" w:cs="宋体"/>
          <w:bCs/>
          <w:color w:val="auto"/>
          <w:sz w:val="24"/>
          <w:highlight w:val="none"/>
        </w:rPr>
        <w:t>应当按照合同约定履行义务。</w:t>
      </w:r>
      <w:r>
        <w:rPr>
          <w:rFonts w:hint="eastAsia" w:ascii="宋体" w:hAnsi="宋体" w:cs="宋体"/>
          <w:color w:val="auto"/>
          <w:sz w:val="24"/>
          <w:highlight w:val="none"/>
        </w:rPr>
        <w:t>成交人</w:t>
      </w:r>
      <w:r>
        <w:rPr>
          <w:rFonts w:hint="eastAsia" w:ascii="宋体" w:hAnsi="宋体" w:cs="宋体"/>
          <w:bCs/>
          <w:color w:val="auto"/>
          <w:sz w:val="24"/>
          <w:highlight w:val="none"/>
        </w:rPr>
        <w:t>不得向他人分包成交项目（</w:t>
      </w:r>
      <w:r>
        <w:rPr>
          <w:rFonts w:hint="eastAsia" w:ascii="宋体" w:hAnsi="宋体" w:cs="宋体"/>
          <w:color w:val="auto"/>
          <w:sz w:val="24"/>
          <w:highlight w:val="none"/>
        </w:rPr>
        <w:t>政府采购支持中小企业发展等政策规定的除外</w:t>
      </w:r>
      <w:r>
        <w:rPr>
          <w:rFonts w:hint="eastAsia" w:ascii="宋体" w:hAnsi="宋体" w:cs="宋体"/>
          <w:bCs/>
          <w:color w:val="auto"/>
          <w:sz w:val="24"/>
          <w:highlight w:val="none"/>
        </w:rPr>
        <w:t>）。</w:t>
      </w:r>
    </w:p>
    <w:p>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w:t>
      </w:r>
      <w:r>
        <w:rPr>
          <w:rFonts w:hint="eastAsia" w:ascii="宋体" w:hAnsi="宋体" w:cs="宋体"/>
          <w:b/>
          <w:color w:val="auto"/>
          <w:sz w:val="24"/>
          <w:highlight w:val="none"/>
        </w:rPr>
        <w:t xml:space="preserve"> 政府采购合同履行中</w:t>
      </w:r>
      <w:r>
        <w:rPr>
          <w:rFonts w:hint="eastAsia" w:ascii="宋体" w:hAnsi="宋体" w:cs="宋体"/>
          <w:b/>
          <w:bCs/>
          <w:color w:val="auto"/>
          <w:sz w:val="24"/>
          <w:highlight w:val="none"/>
        </w:rPr>
        <w:t>数量的变更</w:t>
      </w:r>
    </w:p>
    <w:p>
      <w:pPr>
        <w:pStyle w:val="29"/>
        <w:adjustRightInd w:val="0"/>
        <w:snapToGrid w:val="0"/>
        <w:spacing w:line="400" w:lineRule="exact"/>
        <w:ind w:firstLine="480" w:firstLineChars="200"/>
        <w:jc w:val="left"/>
        <w:rPr>
          <w:rFonts w:cs="宋体"/>
          <w:color w:val="auto"/>
          <w:sz w:val="24"/>
          <w:szCs w:val="24"/>
          <w:highlight w:val="none"/>
        </w:rPr>
      </w:pPr>
      <w:r>
        <w:rPr>
          <w:rFonts w:hint="eastAsia" w:cs="宋体"/>
          <w:color w:val="auto"/>
          <w:sz w:val="24"/>
          <w:szCs w:val="24"/>
          <w:highlight w:val="none"/>
        </w:rPr>
        <w:t>19.1政府采购合同履行中，采购人需追加与合同标的相同的货物服务的，在不改变合同其他条款的前提下，可以与成交供应商协商签订补充合同，但所有补充合同的采购金额不得超过原合同采购金额的百分之十。</w:t>
      </w:r>
    </w:p>
    <w:p>
      <w:pPr>
        <w:pStyle w:val="45"/>
        <w:adjustRightInd w:val="0"/>
        <w:snapToGrid w:val="0"/>
        <w:spacing w:before="0" w:beforeAutospacing="0" w:after="0" w:afterAutospacing="0" w:line="400" w:lineRule="exact"/>
        <w:outlineLvl w:val="1"/>
        <w:rPr>
          <w:b/>
          <w:color w:val="auto"/>
          <w:kern w:val="2"/>
          <w:highlight w:val="none"/>
        </w:rPr>
      </w:pPr>
      <w:r>
        <w:rPr>
          <w:rFonts w:hint="eastAsia"/>
          <w:b/>
          <w:color w:val="auto"/>
          <w:kern w:val="2"/>
          <w:highlight w:val="none"/>
        </w:rPr>
        <w:t>（十六）其他规定</w:t>
      </w:r>
    </w:p>
    <w:p>
      <w:pPr>
        <w:tabs>
          <w:tab w:val="left" w:pos="690"/>
          <w:tab w:val="left" w:pos="7560"/>
          <w:tab w:val="left" w:pos="7740"/>
          <w:tab w:val="left" w:pos="7920"/>
        </w:tabs>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1、招标代理服务费</w:t>
      </w:r>
    </w:p>
    <w:p>
      <w:pPr>
        <w:tabs>
          <w:tab w:val="left" w:pos="420"/>
          <w:tab w:val="left" w:pos="7560"/>
          <w:tab w:val="left" w:pos="7740"/>
          <w:tab w:val="left" w:pos="7920"/>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1.1参照原国家计委《招标代理服务收费管理暂行办法的通知》（计价格［2002］1980号）文件、《国家发展改革委办公厅关于招标代理服务收费有关问题的通知》（发改办价格[2003]857号 ）中规定的收费标准计取。</w:t>
      </w:r>
    </w:p>
    <w:p>
      <w:pPr>
        <w:pStyle w:val="45"/>
        <w:adjustRightInd w:val="0"/>
        <w:snapToGrid w:val="0"/>
        <w:spacing w:before="0" w:beforeAutospacing="0" w:after="0" w:afterAutospacing="0" w:line="400" w:lineRule="exact"/>
        <w:jc w:val="both"/>
        <w:outlineLvl w:val="1"/>
        <w:rPr>
          <w:b/>
          <w:bCs/>
          <w:color w:val="auto"/>
          <w:highlight w:val="none"/>
        </w:rPr>
      </w:pPr>
      <w:bookmarkStart w:id="2" w:name="_Toc13139"/>
      <w:r>
        <w:rPr>
          <w:rFonts w:hint="eastAsia"/>
          <w:b/>
          <w:color w:val="auto"/>
          <w:kern w:val="2"/>
          <w:highlight w:val="none"/>
        </w:rPr>
        <w:t>（十七）</w:t>
      </w:r>
      <w:r>
        <w:rPr>
          <w:rFonts w:hint="eastAsia"/>
          <w:b/>
          <w:bCs/>
          <w:color w:val="auto"/>
          <w:highlight w:val="none"/>
        </w:rPr>
        <w:t>评标办法及评分标准</w:t>
      </w:r>
      <w:bookmarkEnd w:id="2"/>
    </w:p>
    <w:p>
      <w:pPr>
        <w:spacing w:line="400" w:lineRule="exact"/>
        <w:ind w:left="600" w:hanging="600" w:hangingChars="250"/>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组建评审委员会</w:t>
      </w:r>
    </w:p>
    <w:p>
      <w:pPr>
        <w:pStyle w:val="29"/>
        <w:snapToGrid w:val="0"/>
        <w:spacing w:line="400" w:lineRule="exact"/>
        <w:ind w:firstLine="480" w:firstLineChars="200"/>
        <w:rPr>
          <w:rFonts w:cs="宋体"/>
          <w:color w:val="auto"/>
          <w:sz w:val="24"/>
          <w:szCs w:val="24"/>
          <w:highlight w:val="none"/>
        </w:rPr>
      </w:pPr>
      <w:r>
        <w:rPr>
          <w:rFonts w:hint="eastAsia" w:cs="宋体"/>
          <w:color w:val="auto"/>
          <w:sz w:val="24"/>
          <w:szCs w:val="24"/>
          <w:highlight w:val="none"/>
        </w:rPr>
        <w:t>评标由依法组成的评标委员会负责。</w:t>
      </w:r>
    </w:p>
    <w:p>
      <w:pPr>
        <w:numPr>
          <w:ilvl w:val="0"/>
          <w:numId w:val="10"/>
        </w:num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评标的依据为招标文件和投标文件。</w:t>
      </w:r>
    </w:p>
    <w:p>
      <w:pPr>
        <w:numPr>
          <w:ilvl w:val="0"/>
          <w:numId w:val="10"/>
        </w:num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开标后评委会将组织审查投标文件是否完整，是否有计算错误，要求的保证金是否提供，文件是否恰当地签署。</w:t>
      </w:r>
    </w:p>
    <w:p>
      <w:pPr>
        <w:numPr>
          <w:ilvl w:val="0"/>
          <w:numId w:val="10"/>
        </w:num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在对投标文件进行详细评估之前，评委会将依据投标商提供的资格证明文件审查投标商的财务、技术和生产能力。如果确定投标商无资格履行合同，其投标将被拒绝。</w:t>
      </w:r>
    </w:p>
    <w:p>
      <w:pPr>
        <w:spacing w:line="400" w:lineRule="exact"/>
        <w:ind w:firstLine="3012" w:firstLineChars="1250"/>
        <w:rPr>
          <w:rFonts w:ascii="宋体" w:hAnsi="宋体" w:cs="宋体"/>
          <w:b/>
          <w:color w:val="auto"/>
          <w:kern w:val="0"/>
          <w:sz w:val="24"/>
          <w:highlight w:val="none"/>
        </w:rPr>
      </w:pPr>
      <w:r>
        <w:rPr>
          <w:rFonts w:hint="eastAsia" w:ascii="宋体" w:hAnsi="宋体" w:cs="宋体"/>
          <w:b/>
          <w:color w:val="auto"/>
          <w:kern w:val="0"/>
          <w:sz w:val="24"/>
          <w:highlight w:val="none"/>
        </w:rPr>
        <w:t>投标文件符合性审查表</w:t>
      </w:r>
    </w:p>
    <w:tbl>
      <w:tblPr>
        <w:tblStyle w:val="5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投标人2</w:t>
            </w: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投标人3</w:t>
            </w: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初</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步</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审</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符</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合</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性</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审</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查</w:t>
            </w:r>
          </w:p>
          <w:p>
            <w:pPr>
              <w:shd w:val="clear" w:color="auto" w:fill="FFFFFF"/>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表</w:t>
            </w:r>
          </w:p>
          <w:p>
            <w:pPr>
              <w:shd w:val="clear" w:color="auto" w:fill="FFFFFF"/>
              <w:spacing w:line="400" w:lineRule="exact"/>
              <w:jc w:val="center"/>
              <w:rPr>
                <w:rFonts w:ascii="宋体" w:hAnsi="宋体" w:cs="宋体"/>
                <w:color w:val="auto"/>
                <w:sz w:val="24"/>
                <w:highlight w:val="none"/>
              </w:rPr>
            </w:pPr>
            <w:r>
              <w:rPr>
                <w:rFonts w:hint="eastAsia" w:ascii="宋体" w:hAnsi="宋体" w:cs="宋体"/>
                <w:b/>
                <w:color w:val="auto"/>
                <w:sz w:val="24"/>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投标文件是否按采购文件要求签字盖章；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投标人是否对同一招标项目做出两个以上报价且未明确效力的；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投标文件的供货期是否满足采购文件要求；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bCs/>
                <w:color w:val="auto"/>
                <w:sz w:val="24"/>
                <w:highlight w:val="none"/>
              </w:rPr>
              <w:t>项目负责人是否符合采购文件要求、并按采购文件要求提供相关资料；拟派主要服务人员是否符合采购文件要求并按采购文件要求提供相关资料；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投标承诺书是否按采购文件规定格式完整提供、且按采购文件要求签字或盖章；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法定代表人身份证明书及法定代表人授权委托书是否按采购文件规定格式完整提供、并按采购文件要求签字或盖章。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企业信誉是否满足采购文件的要求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kern w:val="0"/>
                <w:sz w:val="24"/>
                <w:highlight w:val="none"/>
              </w:rPr>
              <w:t>技术服务等是否满足采购文件要求；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59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是否满足采购文件实质性要求的其他情形</w:t>
            </w: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b/>
                <w:color w:val="auto"/>
                <w:sz w:val="24"/>
                <w:highlight w:val="none"/>
              </w:rPr>
            </w:pPr>
            <w:r>
              <w:rPr>
                <w:rFonts w:hint="eastAsia" w:ascii="宋体" w:hAnsi="宋体" w:cs="宋体"/>
                <w:color w:val="auto"/>
                <w:sz w:val="24"/>
                <w:highlight w:val="none"/>
              </w:rPr>
              <w:t>结论：是否通过初步评审</w:t>
            </w:r>
            <w:r>
              <w:rPr>
                <w:rFonts w:hint="eastAsia" w:ascii="宋体" w:hAnsi="宋体" w:cs="宋体"/>
                <w:b/>
                <w:color w:val="auto"/>
                <w:sz w:val="24"/>
                <w:highlight w:val="none"/>
              </w:rPr>
              <w:t>（</w:t>
            </w:r>
            <w:r>
              <w:rPr>
                <w:rFonts w:hint="eastAsia" w:ascii="宋体" w:hAnsi="宋体" w:cs="宋体"/>
                <w:color w:val="auto"/>
                <w:sz w:val="24"/>
                <w:highlight w:val="none"/>
              </w:rPr>
              <w:t>初步评审合格后方可进入详细评审阶段</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831" w:type="dxa"/>
            <w:gridSpan w:val="7"/>
            <w:tcBorders>
              <w:top w:val="single" w:color="auto" w:sz="4" w:space="0"/>
              <w:left w:val="single" w:color="auto" w:sz="4" w:space="0"/>
              <w:bottom w:val="single" w:color="auto" w:sz="4" w:space="0"/>
              <w:right w:val="single" w:color="auto" w:sz="4" w:space="0"/>
            </w:tcBorders>
          </w:tcPr>
          <w:p>
            <w:pPr>
              <w:shd w:val="clear" w:color="auto" w:fill="FFFFFF"/>
              <w:spacing w:line="400" w:lineRule="exact"/>
              <w:rPr>
                <w:rFonts w:ascii="宋体" w:hAnsi="宋体" w:cs="宋体"/>
                <w:b/>
                <w:color w:val="auto"/>
                <w:sz w:val="24"/>
                <w:highlight w:val="none"/>
              </w:rPr>
            </w:pPr>
            <w:r>
              <w:rPr>
                <w:rFonts w:hint="eastAsia" w:ascii="宋体" w:hAnsi="宋体" w:cs="宋体"/>
                <w:b/>
                <w:color w:val="auto"/>
                <w:sz w:val="24"/>
                <w:highlight w:val="none"/>
              </w:rPr>
              <w:t>评标委员会成员签名：</w:t>
            </w:r>
          </w:p>
          <w:p>
            <w:pPr>
              <w:shd w:val="clear" w:color="auto" w:fill="FFFFFF"/>
              <w:spacing w:line="400" w:lineRule="exact"/>
              <w:rPr>
                <w:rFonts w:ascii="宋体" w:hAnsi="宋体" w:cs="宋体"/>
                <w:color w:val="auto"/>
                <w:sz w:val="24"/>
                <w:highlight w:val="none"/>
              </w:rPr>
            </w:pPr>
            <w:r>
              <w:rPr>
                <w:rFonts w:hint="eastAsia" w:ascii="宋体" w:hAnsi="宋体" w:cs="宋体"/>
                <w:b/>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400" w:lineRule="exact"/>
              <w:rPr>
                <w:rFonts w:ascii="宋体" w:hAnsi="宋体" w:cs="宋体"/>
                <w:b/>
                <w:color w:val="auto"/>
                <w:sz w:val="24"/>
                <w:highlight w:val="none"/>
              </w:rPr>
            </w:pPr>
            <w:r>
              <w:rPr>
                <w:rFonts w:hint="eastAsia" w:ascii="宋体" w:hAnsi="宋体" w:cs="宋体"/>
                <w:color w:val="auto"/>
                <w:sz w:val="24"/>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numPr>
          <w:ilvl w:val="0"/>
          <w:numId w:val="10"/>
        </w:num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其中，供应商的报价超出采购预算的、供应商未按招标文件要求提供完整资料的，均视为未实质性响应招标文件的要求，其投标文件可能被拒绝或导致废标。</w:t>
      </w:r>
    </w:p>
    <w:p>
      <w:pPr>
        <w:numPr>
          <w:ilvl w:val="0"/>
          <w:numId w:val="10"/>
        </w:numPr>
        <w:spacing w:line="400" w:lineRule="exact"/>
        <w:rPr>
          <w:rFonts w:ascii="宋体" w:hAnsi="宋体" w:cs="宋体"/>
          <w:color w:val="auto"/>
          <w:sz w:val="24"/>
          <w:highlight w:val="none"/>
        </w:rPr>
      </w:pPr>
      <w:r>
        <w:rPr>
          <w:rFonts w:hint="eastAsia" w:ascii="宋体" w:hAnsi="宋体" w:cs="宋体"/>
          <w:color w:val="auto"/>
          <w:sz w:val="24"/>
          <w:highlight w:val="none"/>
        </w:rPr>
        <w:t>对投标文件的评估和比较</w:t>
      </w:r>
    </w:p>
    <w:p>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w:t>
      </w:r>
    </w:p>
    <w:p>
      <w:pPr>
        <w:spacing w:line="400" w:lineRule="exact"/>
        <w:rPr>
          <w:rFonts w:ascii="宋体" w:hAnsi="宋体" w:cs="宋体"/>
          <w:color w:val="auto"/>
          <w:sz w:val="24"/>
          <w:highlight w:val="none"/>
        </w:rPr>
      </w:pPr>
      <w:r>
        <w:rPr>
          <w:rFonts w:hint="eastAsia" w:ascii="宋体" w:hAnsi="宋体" w:cs="宋体"/>
          <w:color w:val="auto"/>
          <w:sz w:val="24"/>
          <w:highlight w:val="none"/>
        </w:rPr>
        <w:t>评价指标及权重：</w:t>
      </w:r>
    </w:p>
    <w:tbl>
      <w:tblPr>
        <w:tblStyle w:val="51"/>
        <w:tblW w:w="9212" w:type="dxa"/>
        <w:jc w:val="center"/>
        <w:tblLayout w:type="fixed"/>
        <w:tblCellMar>
          <w:top w:w="0" w:type="dxa"/>
          <w:left w:w="0" w:type="dxa"/>
          <w:bottom w:w="0" w:type="dxa"/>
          <w:right w:w="0" w:type="dxa"/>
        </w:tblCellMar>
      </w:tblPr>
      <w:tblGrid>
        <w:gridCol w:w="2537"/>
        <w:gridCol w:w="2614"/>
        <w:gridCol w:w="1728"/>
        <w:gridCol w:w="2333"/>
      </w:tblGrid>
      <w:tr>
        <w:tblPrEx>
          <w:tblCellMar>
            <w:top w:w="0" w:type="dxa"/>
            <w:left w:w="0" w:type="dxa"/>
            <w:bottom w:w="0" w:type="dxa"/>
            <w:right w:w="0" w:type="dxa"/>
          </w:tblCellMar>
        </w:tblPrEx>
        <w:trPr>
          <w:trHeight w:val="38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评分项目</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技术评分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商务评分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价格评分</w:t>
            </w:r>
          </w:p>
        </w:tc>
      </w:tr>
      <w:tr>
        <w:tblPrEx>
          <w:tblCellMar>
            <w:top w:w="0" w:type="dxa"/>
            <w:left w:w="0" w:type="dxa"/>
            <w:bottom w:w="0" w:type="dxa"/>
            <w:right w:w="0" w:type="dxa"/>
          </w:tblCellMar>
        </w:tblPrEx>
        <w:trPr>
          <w:trHeight w:val="40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分值</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50分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20分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30分</w:t>
            </w:r>
          </w:p>
        </w:tc>
      </w:tr>
    </w:tbl>
    <w:p>
      <w:pPr>
        <w:spacing w:line="400" w:lineRule="exact"/>
        <w:rPr>
          <w:rFonts w:ascii="宋体" w:hAnsi="宋体" w:cs="宋体"/>
          <w:color w:val="auto"/>
          <w:sz w:val="24"/>
          <w:highlight w:val="none"/>
        </w:rPr>
      </w:pPr>
      <w:r>
        <w:rPr>
          <w:rFonts w:hint="eastAsia" w:ascii="宋体" w:hAnsi="宋体" w:cs="宋体"/>
          <w:color w:val="auto"/>
          <w:sz w:val="24"/>
          <w:highlight w:val="none"/>
        </w:rPr>
        <w:t>价格部分（30分）</w:t>
      </w:r>
    </w:p>
    <w:p>
      <w:pPr>
        <w:spacing w:line="400" w:lineRule="exact"/>
        <w:rPr>
          <w:rFonts w:ascii="宋体" w:hAnsi="宋体" w:cs="宋体"/>
          <w:b/>
          <w:color w:val="auto"/>
          <w:sz w:val="24"/>
          <w:highlight w:val="none"/>
        </w:rPr>
      </w:pPr>
      <w:r>
        <w:rPr>
          <w:rFonts w:hint="eastAsia" w:ascii="宋体" w:hAnsi="宋体" w:cs="宋体"/>
          <w:b/>
          <w:color w:val="auto"/>
          <w:sz w:val="24"/>
          <w:highlight w:val="none"/>
        </w:rPr>
        <w:t>投标报价的初步评审：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依据《中华人民共和国招投标法》第33条、第41条及财政部令第87号（以下简称87号令）第六十条、《反不正当竞争法》中相关法律条款的内容规定。投标人须积极响应相关法律条文规定。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投标报价明显低于其他投标报价时，评标委员会将对其进行重点评审。评标委员会认为低于成本价的，应当要求该投标人作出书面说明并提供证明不低于其研发、生产、制造成本的证明材料（要求：①证明材料必须能符合或优于本项目所采购货物的实际情况；②证明材料必须以扫描件的形式插入投标文件相关章节中；③证明材料的原件开标时须携带备查；④提供证明材料的期限为竞标当日评标开始至评标结束，逾期不作任何解释；⑤证明材料的真实性必须有依据，以备当场核查）。投标人不能合理说明或者不能提供相关证明材料的，由评标委员会认定该投标人以低于成本报价竞价，应当否决其投标。</w:t>
      </w:r>
    </w:p>
    <w:p>
      <w:pPr>
        <w:spacing w:line="400" w:lineRule="exact"/>
        <w:rPr>
          <w:rFonts w:ascii="宋体" w:hAnsi="宋体" w:cs="宋体"/>
          <w:b/>
          <w:color w:val="auto"/>
          <w:sz w:val="24"/>
          <w:highlight w:val="none"/>
        </w:rPr>
      </w:pPr>
      <w:r>
        <w:rPr>
          <w:rFonts w:hint="eastAsia" w:ascii="宋体" w:hAnsi="宋体" w:cs="宋体"/>
          <w:b/>
          <w:color w:val="auto"/>
          <w:sz w:val="24"/>
          <w:highlight w:val="none"/>
        </w:rPr>
        <w:t>投标报价得分的评分方法：</w:t>
      </w:r>
    </w:p>
    <w:p>
      <w:pPr>
        <w:widowControl/>
        <w:spacing w:line="400" w:lineRule="exact"/>
        <w:ind w:firstLine="544" w:firstLineChars="227"/>
        <w:jc w:val="left"/>
        <w:rPr>
          <w:rFonts w:ascii="宋体" w:hAnsi="宋体" w:cs="宋体"/>
          <w:color w:val="auto"/>
          <w:sz w:val="24"/>
          <w:highlight w:val="none"/>
        </w:rPr>
      </w:pPr>
      <w:r>
        <w:rPr>
          <w:rFonts w:hint="eastAsia" w:ascii="宋体" w:hAnsi="宋体" w:cs="宋体"/>
          <w:color w:val="auto"/>
          <w:sz w:val="24"/>
          <w:highlight w:val="none"/>
        </w:rPr>
        <w:t>只对通过评标委员会对投标报价的初步评审的投标企业进入价格得分计算；</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经磋商确定最终采购需求和提交最后报价（二次报价或多轮报价）的供应商后，由磋商小组采用综合评分法对提交最后报价（二次报价）的供应商的响应文件和最后报价（二次报价或多轮报价）进行综合评分。</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采用百分制原则：满分为100分，具体评分标准如下：</w:t>
      </w:r>
    </w:p>
    <w:p>
      <w:pPr>
        <w:widowControl/>
        <w:spacing w:line="400" w:lineRule="exact"/>
        <w:ind w:firstLine="544" w:firstLineChars="227"/>
        <w:jc w:val="left"/>
        <w:rPr>
          <w:rFonts w:ascii="宋体" w:hAnsi="宋体" w:cs="宋体"/>
          <w:color w:val="auto"/>
          <w:sz w:val="24"/>
          <w:highlight w:val="none"/>
        </w:rPr>
      </w:pPr>
      <w:r>
        <w:rPr>
          <w:rFonts w:hint="eastAsia" w:ascii="宋体" w:hAnsi="宋体" w:cs="宋体"/>
          <w:color w:val="auto"/>
          <w:sz w:val="24"/>
          <w:highlight w:val="none"/>
        </w:rPr>
        <w:t>采用低价优先法计算，即满足招标文件要求且经评审的投标价格最低的投标报价为评标基准价，其价格得分为满分。其他投标人的价格得分统一按照下列公式计算：价格得分=（评标基准价/投标报价）×30%×100，如此类推，算出所有投标供应商的价格得分。</w:t>
      </w:r>
    </w:p>
    <w:p>
      <w:pPr>
        <w:widowControl/>
        <w:spacing w:line="400" w:lineRule="exact"/>
        <w:ind w:firstLine="544" w:firstLineChars="227"/>
        <w:jc w:val="left"/>
        <w:rPr>
          <w:rFonts w:ascii="宋体" w:hAnsi="宋体" w:cs="宋体"/>
          <w:color w:val="auto"/>
          <w:sz w:val="24"/>
          <w:highlight w:val="none"/>
        </w:rPr>
      </w:pPr>
    </w:p>
    <w:p>
      <w:pPr>
        <w:widowControl/>
        <w:spacing w:line="400" w:lineRule="exact"/>
        <w:ind w:firstLine="544" w:firstLineChars="227"/>
        <w:jc w:val="left"/>
        <w:rPr>
          <w:rFonts w:ascii="宋体" w:hAnsi="宋体" w:cs="宋体"/>
          <w:color w:val="auto"/>
          <w:sz w:val="24"/>
          <w:highlight w:val="none"/>
        </w:rPr>
      </w:pPr>
      <w:r>
        <w:rPr>
          <w:rFonts w:hint="eastAsia" w:ascii="宋体" w:hAnsi="宋体" w:cs="宋体"/>
          <w:color w:val="auto"/>
          <w:sz w:val="24"/>
          <w:highlight w:val="none"/>
        </w:rPr>
        <w:t>法律、法规、规章和省级以上财政部门涉及政府采购政策功能及其他规定，见投标人须知前附表。评委会应根据招标文件规定，优先推荐节能环保产品，优先考虑中小企业。</w:t>
      </w:r>
    </w:p>
    <w:p>
      <w:pPr>
        <w:widowControl/>
        <w:spacing w:line="400" w:lineRule="exact"/>
        <w:ind w:firstLine="544" w:firstLineChars="227"/>
        <w:jc w:val="left"/>
        <w:rPr>
          <w:rFonts w:ascii="宋体" w:hAnsi="宋体" w:cs="宋体"/>
          <w:color w:val="auto"/>
          <w:sz w:val="24"/>
          <w:highlight w:val="none"/>
        </w:rPr>
      </w:pPr>
      <w:r>
        <w:rPr>
          <w:rFonts w:hint="eastAsia" w:ascii="宋体" w:hAnsi="宋体" w:cs="宋体"/>
          <w:color w:val="auto"/>
          <w:sz w:val="24"/>
          <w:highlight w:val="none"/>
        </w:rPr>
        <w:t>投标人获得相应政府采购政策优惠的，应提供相关证明材料。</w:t>
      </w:r>
    </w:p>
    <w:p>
      <w:pPr>
        <w:widowControl/>
        <w:spacing w:line="400" w:lineRule="exact"/>
        <w:ind w:firstLine="544" w:firstLineChars="227"/>
        <w:jc w:val="left"/>
        <w:rPr>
          <w:rFonts w:ascii="宋体" w:hAnsi="宋体" w:cs="宋体"/>
          <w:color w:val="auto"/>
          <w:sz w:val="24"/>
          <w:highlight w:val="none"/>
        </w:rPr>
      </w:pPr>
      <w:r>
        <w:rPr>
          <w:rFonts w:hint="eastAsia" w:ascii="宋体" w:hAnsi="宋体" w:cs="宋体"/>
          <w:color w:val="auto"/>
          <w:sz w:val="24"/>
          <w:highlight w:val="none"/>
        </w:rPr>
        <w:t>对中小微企业执行财库〔2011〕181号文件的规定，对其投标报价按6%扣除后的价格作为其评标价。不符合财库〔2011〕181号文件的规定企业的产品价格不予扣除，其投标报价即为评标价。</w:t>
      </w:r>
    </w:p>
    <w:p>
      <w:pPr>
        <w:spacing w:line="400" w:lineRule="exact"/>
        <w:rPr>
          <w:rFonts w:ascii="宋体" w:hAnsi="宋体" w:cs="宋体"/>
          <w:color w:val="auto"/>
          <w:sz w:val="24"/>
          <w:highlight w:val="none"/>
        </w:rPr>
      </w:pPr>
      <w:r>
        <w:rPr>
          <w:rFonts w:hint="eastAsia" w:ascii="宋体" w:hAnsi="宋体" w:cs="宋体"/>
          <w:color w:val="auto"/>
          <w:sz w:val="24"/>
          <w:highlight w:val="none"/>
        </w:rPr>
        <w:t>评分细则</w:t>
      </w:r>
    </w:p>
    <w:tbl>
      <w:tblPr>
        <w:tblStyle w:val="5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78"/>
        <w:gridCol w:w="851"/>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097" w:type="dxa"/>
            <w:tcBorders>
              <w:bottom w:val="single" w:color="auto" w:sz="4" w:space="0"/>
            </w:tcBorders>
            <w:vAlign w:val="center"/>
          </w:tcPr>
          <w:p>
            <w:pPr>
              <w:shd w:val="clear" w:color="auto" w:fill="FFFFFF"/>
              <w:tabs>
                <w:tab w:val="left" w:pos="749"/>
                <w:tab w:val="left" w:pos="3346"/>
                <w:tab w:val="left" w:pos="3873"/>
                <w:tab w:val="left" w:pos="9611"/>
              </w:tabs>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1178" w:type="dxa"/>
            <w:tcBorders>
              <w:bottom w:val="single" w:color="auto" w:sz="4" w:space="0"/>
            </w:tcBorders>
          </w:tcPr>
          <w:p>
            <w:pPr>
              <w:shd w:val="clear" w:color="auto" w:fill="FFFFFF"/>
              <w:tabs>
                <w:tab w:val="left" w:pos="761"/>
                <w:tab w:val="left" w:pos="1662"/>
                <w:tab w:val="left" w:pos="3363"/>
                <w:tab w:val="left" w:pos="3887"/>
                <w:tab w:val="left" w:pos="9649"/>
              </w:tabs>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评审因素</w:t>
            </w:r>
          </w:p>
        </w:tc>
        <w:tc>
          <w:tcPr>
            <w:tcW w:w="851" w:type="dxa"/>
            <w:tcBorders>
              <w:bottom w:val="single" w:color="auto" w:sz="4" w:space="0"/>
            </w:tcBorders>
            <w:vAlign w:val="center"/>
          </w:tcPr>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b/>
                <w:color w:val="auto"/>
                <w:sz w:val="24"/>
                <w:highlight w:val="none"/>
              </w:rPr>
            </w:pPr>
            <w:r>
              <w:rPr>
                <w:rFonts w:hint="eastAsia" w:ascii="宋体" w:hAnsi="宋体" w:cs="宋体"/>
                <w:b/>
                <w:color w:val="auto"/>
                <w:sz w:val="24"/>
                <w:highlight w:val="none"/>
              </w:rPr>
              <w:t>标准分</w:t>
            </w:r>
          </w:p>
        </w:tc>
        <w:tc>
          <w:tcPr>
            <w:tcW w:w="5741" w:type="dxa"/>
            <w:tcBorders>
              <w:bottom w:val="single" w:color="auto" w:sz="4" w:space="0"/>
            </w:tcBorders>
            <w:vAlign w:val="center"/>
          </w:tcPr>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b/>
                <w:color w:val="auto"/>
                <w:sz w:val="24"/>
                <w:highlight w:val="none"/>
              </w:rPr>
            </w:pPr>
            <w:r>
              <w:rPr>
                <w:rFonts w:hint="eastAsia" w:ascii="宋体" w:hAnsi="宋体" w:cs="宋体"/>
                <w:b/>
                <w:color w:val="auto"/>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97" w:type="dxa"/>
            <w:vMerge w:val="restart"/>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highlight w:val="none"/>
              </w:rPr>
              <w:t>技术标50分</w:t>
            </w:r>
          </w:p>
        </w:tc>
        <w:tc>
          <w:tcPr>
            <w:tcW w:w="1178" w:type="dxa"/>
            <w:vMerge w:val="restart"/>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实施方案</w:t>
            </w: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3</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依据提供的设备及配置清单情况综合评判，优计3分；良计2；一般计0-1。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15</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依据投标人所投货物的性能、参数等综合评判，优计10-15分；良计4-9分；一般计0-3分。带</w:t>
            </w:r>
            <w:r>
              <w:rPr>
                <w:rFonts w:hint="eastAsia" w:ascii="宋体" w:hAnsi="宋体" w:cs="宋体"/>
                <w:color w:val="auto"/>
                <w:sz w:val="24"/>
                <w:highlight w:val="none"/>
              </w:rPr>
              <w:t>★</w:t>
            </w:r>
            <w:r>
              <w:rPr>
                <w:rFonts w:hint="eastAsia" w:ascii="宋体" w:hAnsi="宋体" w:cs="宋体"/>
                <w:color w:val="auto"/>
                <w:kern w:val="0"/>
                <w:sz w:val="24"/>
                <w:highlight w:val="none"/>
              </w:rPr>
              <w:t>号参数2条不满足，计0分，不带</w:t>
            </w:r>
            <w:r>
              <w:rPr>
                <w:rFonts w:hint="eastAsia" w:ascii="宋体" w:hAnsi="宋体" w:cs="宋体"/>
                <w:color w:val="auto"/>
                <w:sz w:val="24"/>
                <w:highlight w:val="none"/>
              </w:rPr>
              <w:t>★</w:t>
            </w:r>
            <w:r>
              <w:rPr>
                <w:rFonts w:hint="eastAsia" w:ascii="宋体" w:hAnsi="宋体" w:cs="宋体"/>
                <w:color w:val="auto"/>
                <w:kern w:val="0"/>
                <w:sz w:val="24"/>
                <w:highlight w:val="none"/>
              </w:rPr>
              <w:t>号参数5条不满足计0分。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10</w:t>
            </w:r>
          </w:p>
        </w:tc>
        <w:tc>
          <w:tcPr>
            <w:tcW w:w="5741" w:type="dxa"/>
            <w:tcBorders>
              <w:bottom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投标产品质量和市场影响：评委根据设备原产地、市场占有率、信用度，产品质量的了解，对投标产品的综合评价进行降序排列。</w:t>
            </w:r>
            <w:r>
              <w:rPr>
                <w:rFonts w:hint="eastAsia" w:ascii="宋体" w:hAnsi="宋体" w:cs="宋体"/>
                <w:color w:val="auto"/>
                <w:kern w:val="0"/>
                <w:sz w:val="24"/>
                <w:highlight w:val="none"/>
              </w:rPr>
              <w:t>优计7-10分；良计3-6分；一般计0-2分。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10</w:t>
            </w:r>
          </w:p>
        </w:tc>
        <w:tc>
          <w:tcPr>
            <w:tcW w:w="5741" w:type="dxa"/>
            <w:tcBorders>
              <w:bottom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kern w:val="0"/>
                <w:sz w:val="24"/>
                <w:highlight w:val="none"/>
              </w:rPr>
              <w:t>根据投标人组织实施方案的科学性、合理性、规范性、针对性和可操作性进行评分，优计7-10分；良计3-6分；一般计0-2分。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5</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依据投标人的运行维护、培训等评判。优计4-5分；良计2-3分；一般计0-1分。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7</w:t>
            </w:r>
          </w:p>
        </w:tc>
        <w:tc>
          <w:tcPr>
            <w:tcW w:w="5741" w:type="dxa"/>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依据投标人实施方案体现的对项目的认识和理解、设备选型及实施的思路、项目完成</w:t>
            </w:r>
            <w:r>
              <w:rPr>
                <w:rFonts w:hint="eastAsia" w:ascii="宋体" w:hAnsi="宋体" w:cs="宋体"/>
                <w:color w:val="auto"/>
                <w:sz w:val="24"/>
                <w:highlight w:val="none"/>
              </w:rPr>
              <w:t>最终达到的效果等进行综合评判，</w:t>
            </w:r>
            <w:r>
              <w:rPr>
                <w:rFonts w:hint="eastAsia" w:ascii="宋体" w:hAnsi="宋体" w:cs="宋体"/>
                <w:color w:val="auto"/>
                <w:kern w:val="0"/>
                <w:sz w:val="24"/>
                <w:highlight w:val="none"/>
              </w:rPr>
              <w:t>优计4-7分；良计2-3分；一般计0-1分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3126" w:type="dxa"/>
            <w:gridSpan w:val="3"/>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position w:val="-1"/>
                <w:highlight w:val="none"/>
              </w:rPr>
              <w:t>技术得分</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p>
        </w:tc>
      </w:tr>
    </w:tbl>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rPr>
          <w:rFonts w:ascii="宋体" w:hAnsi="宋体" w:cs="宋体"/>
          <w:color w:val="auto"/>
          <w:sz w:val="24"/>
          <w:highlight w:val="none"/>
        </w:rPr>
      </w:pPr>
    </w:p>
    <w:tbl>
      <w:tblPr>
        <w:tblStyle w:val="5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78"/>
        <w:gridCol w:w="851"/>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097" w:type="dxa"/>
            <w:tcBorders>
              <w:bottom w:val="single" w:color="auto" w:sz="4" w:space="0"/>
            </w:tcBorders>
            <w:vAlign w:val="center"/>
          </w:tcPr>
          <w:p>
            <w:pPr>
              <w:shd w:val="clear" w:color="auto" w:fill="FFFFFF"/>
              <w:tabs>
                <w:tab w:val="left" w:pos="749"/>
                <w:tab w:val="left" w:pos="3346"/>
                <w:tab w:val="left" w:pos="3873"/>
                <w:tab w:val="left" w:pos="9611"/>
              </w:tabs>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1178" w:type="dxa"/>
            <w:tcBorders>
              <w:bottom w:val="single" w:color="auto" w:sz="4" w:space="0"/>
            </w:tcBorders>
          </w:tcPr>
          <w:p>
            <w:pPr>
              <w:shd w:val="clear" w:color="auto" w:fill="FFFFFF"/>
              <w:tabs>
                <w:tab w:val="left" w:pos="761"/>
                <w:tab w:val="left" w:pos="1662"/>
                <w:tab w:val="left" w:pos="3363"/>
                <w:tab w:val="left" w:pos="3887"/>
                <w:tab w:val="left" w:pos="9649"/>
              </w:tabs>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评审因素</w:t>
            </w:r>
          </w:p>
        </w:tc>
        <w:tc>
          <w:tcPr>
            <w:tcW w:w="851" w:type="dxa"/>
            <w:tcBorders>
              <w:bottom w:val="single" w:color="auto" w:sz="4" w:space="0"/>
            </w:tcBorders>
            <w:vAlign w:val="center"/>
          </w:tcPr>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b/>
                <w:color w:val="auto"/>
                <w:sz w:val="24"/>
                <w:highlight w:val="none"/>
              </w:rPr>
            </w:pPr>
            <w:r>
              <w:rPr>
                <w:rFonts w:hint="eastAsia" w:ascii="宋体" w:hAnsi="宋体" w:cs="宋体"/>
                <w:b/>
                <w:color w:val="auto"/>
                <w:sz w:val="24"/>
                <w:highlight w:val="none"/>
              </w:rPr>
              <w:t>标准分</w:t>
            </w:r>
          </w:p>
        </w:tc>
        <w:tc>
          <w:tcPr>
            <w:tcW w:w="5741" w:type="dxa"/>
            <w:tcBorders>
              <w:bottom w:val="single" w:color="auto" w:sz="4" w:space="0"/>
            </w:tcBorders>
            <w:vAlign w:val="center"/>
          </w:tcPr>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b/>
                <w:color w:val="auto"/>
                <w:sz w:val="24"/>
                <w:highlight w:val="none"/>
              </w:rPr>
            </w:pPr>
            <w:r>
              <w:rPr>
                <w:rFonts w:hint="eastAsia" w:ascii="宋体" w:hAnsi="宋体" w:cs="宋体"/>
                <w:b/>
                <w:color w:val="auto"/>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97" w:type="dxa"/>
            <w:vMerge w:val="restart"/>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highlight w:val="none"/>
              </w:rPr>
              <w:t>商务标20分</w:t>
            </w:r>
          </w:p>
        </w:tc>
        <w:tc>
          <w:tcPr>
            <w:tcW w:w="1178" w:type="dxa"/>
            <w:vMerge w:val="restart"/>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售后及服务</w:t>
            </w: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4</w:t>
            </w:r>
          </w:p>
        </w:tc>
        <w:tc>
          <w:tcPr>
            <w:tcW w:w="5741" w:type="dxa"/>
            <w:tcBorders>
              <w:bottom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kern w:val="0"/>
                <w:sz w:val="24"/>
                <w:highlight w:val="none"/>
              </w:rPr>
              <w:t>依据投标人提供的售后服务网络，售后服务方案等综合评判。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5</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依据投标人提供的售后维护、履约能力证明材料等评判。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highlight w:val="none"/>
              </w:rPr>
            </w:pPr>
          </w:p>
        </w:tc>
        <w:tc>
          <w:tcPr>
            <w:tcW w:w="1178" w:type="dxa"/>
            <w:vMerge w:val="restart"/>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财务状况</w:t>
            </w: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1</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依据投标人2020年财务报表综合实力综合评判。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1</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提供近三个月依法缴纳社会保障资金证明文件。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highlight w:val="none"/>
              </w:rPr>
            </w:pPr>
          </w:p>
        </w:tc>
        <w:tc>
          <w:tcPr>
            <w:tcW w:w="1178" w:type="dxa"/>
            <w:vMerge w:val="continue"/>
            <w:vAlign w:val="center"/>
          </w:tcPr>
          <w:p>
            <w:pPr>
              <w:pStyle w:val="397"/>
              <w:shd w:val="clear" w:color="auto" w:fill="FFFFFF"/>
              <w:snapToGrid w:val="0"/>
              <w:spacing w:line="400" w:lineRule="exact"/>
              <w:jc w:val="center"/>
              <w:rPr>
                <w:rFonts w:ascii="宋体" w:hAnsi="宋体" w:cs="宋体"/>
                <w:color w:val="auto"/>
                <w:kern w:val="2"/>
                <w:highlight w:val="none"/>
              </w:rPr>
            </w:pP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1</w:t>
            </w:r>
          </w:p>
        </w:tc>
        <w:tc>
          <w:tcPr>
            <w:tcW w:w="5741" w:type="dxa"/>
            <w:tcBorders>
              <w:bottom w:val="single" w:color="auto" w:sz="4" w:space="0"/>
            </w:tcBorders>
            <w:vAlign w:val="center"/>
          </w:tcPr>
          <w:p>
            <w:pPr>
              <w:shd w:val="clear" w:color="auto" w:fill="FFFFFF"/>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提供银行资信证明或近三个月的依法纳税证明文件。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097" w:type="dxa"/>
            <w:vMerge w:val="continue"/>
            <w:vAlign w:val="center"/>
          </w:tcPr>
          <w:p>
            <w:pPr>
              <w:pStyle w:val="397"/>
              <w:shd w:val="clear" w:color="auto" w:fill="FFFFFF"/>
              <w:snapToGrid w:val="0"/>
              <w:spacing w:line="400" w:lineRule="exact"/>
              <w:jc w:val="center"/>
              <w:rPr>
                <w:rFonts w:ascii="宋体" w:hAnsi="宋体" w:cs="宋体"/>
                <w:color w:val="auto"/>
                <w:highlight w:val="none"/>
              </w:rPr>
            </w:pPr>
          </w:p>
        </w:tc>
        <w:tc>
          <w:tcPr>
            <w:tcW w:w="1178" w:type="dxa"/>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经营业绩</w:t>
            </w:r>
          </w:p>
        </w:tc>
        <w:tc>
          <w:tcPr>
            <w:tcW w:w="851" w:type="dxa"/>
            <w:tcBorders>
              <w:bottom w:val="single" w:color="auto" w:sz="4" w:space="0"/>
            </w:tcBorders>
            <w:vAlign w:val="center"/>
          </w:tcPr>
          <w:p>
            <w:pPr>
              <w:pStyle w:val="397"/>
              <w:shd w:val="clear" w:color="auto" w:fill="FFFFFF"/>
              <w:snapToGrid w:val="0"/>
              <w:spacing w:line="400" w:lineRule="exact"/>
              <w:jc w:val="center"/>
              <w:rPr>
                <w:rFonts w:ascii="宋体" w:hAnsi="宋体" w:cs="宋体"/>
                <w:color w:val="auto"/>
                <w:kern w:val="2"/>
                <w:highlight w:val="none"/>
              </w:rPr>
            </w:pPr>
            <w:r>
              <w:rPr>
                <w:rFonts w:hint="eastAsia" w:ascii="宋体" w:hAnsi="宋体" w:cs="宋体"/>
                <w:color w:val="auto"/>
                <w:kern w:val="2"/>
                <w:highlight w:val="none"/>
              </w:rPr>
              <w:t>6</w:t>
            </w:r>
          </w:p>
        </w:tc>
        <w:tc>
          <w:tcPr>
            <w:tcW w:w="5741" w:type="dxa"/>
            <w:tcBorders>
              <w:bottom w:val="single" w:color="auto" w:sz="4" w:space="0"/>
            </w:tcBorders>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sz w:val="24"/>
                <w:highlight w:val="none"/>
              </w:rPr>
              <w:t>投标人须提供2018年1月以来类似业绩。投标人每提供一个合同得2分（</w:t>
            </w:r>
            <w:r>
              <w:rPr>
                <w:rFonts w:hint="eastAsia" w:ascii="宋体" w:hAnsi="宋体" w:cs="宋体"/>
                <w:color w:val="auto"/>
                <w:sz w:val="24"/>
                <w:highlight w:val="none"/>
                <w:lang w:val="zh-CN"/>
              </w:rPr>
              <w:t>合同复印件加盖投标人公章）</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1097" w:type="dxa"/>
            <w:vMerge w:val="continue"/>
            <w:vAlign w:val="center"/>
          </w:tcPr>
          <w:p>
            <w:pPr>
              <w:shd w:val="clear" w:color="auto" w:fill="FFFFFF"/>
              <w:tabs>
                <w:tab w:val="left" w:pos="761"/>
                <w:tab w:val="left" w:pos="1662"/>
                <w:tab w:val="left" w:pos="3363"/>
                <w:tab w:val="left" w:pos="3887"/>
                <w:tab w:val="left" w:pos="9649"/>
              </w:tabs>
              <w:spacing w:line="400" w:lineRule="exact"/>
              <w:jc w:val="center"/>
              <w:rPr>
                <w:rFonts w:ascii="宋体" w:hAnsi="宋体" w:cs="宋体"/>
                <w:color w:val="auto"/>
                <w:sz w:val="24"/>
                <w:highlight w:val="none"/>
              </w:rPr>
            </w:pPr>
          </w:p>
        </w:tc>
        <w:tc>
          <w:tcPr>
            <w:tcW w:w="1178" w:type="dxa"/>
            <w:vAlign w:val="center"/>
          </w:tcPr>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color w:val="auto"/>
                <w:sz w:val="24"/>
                <w:highlight w:val="none"/>
              </w:rPr>
            </w:pPr>
          </w:p>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color w:val="auto"/>
                <w:sz w:val="24"/>
                <w:highlight w:val="none"/>
              </w:rPr>
            </w:pPr>
            <w:r>
              <w:rPr>
                <w:rFonts w:hint="eastAsia" w:ascii="宋体" w:hAnsi="宋体" w:cs="宋体"/>
                <w:color w:val="auto"/>
                <w:sz w:val="24"/>
                <w:highlight w:val="none"/>
              </w:rPr>
              <w:t>对采购文件响应情况</w:t>
            </w:r>
          </w:p>
        </w:tc>
        <w:tc>
          <w:tcPr>
            <w:tcW w:w="851" w:type="dxa"/>
            <w:vAlign w:val="center"/>
          </w:tcPr>
          <w:p>
            <w:pPr>
              <w:shd w:val="clear" w:color="auto" w:fill="FFFFFF"/>
              <w:tabs>
                <w:tab w:val="left" w:pos="761"/>
                <w:tab w:val="left" w:pos="1662"/>
                <w:tab w:val="left" w:pos="3363"/>
                <w:tab w:val="left" w:pos="3887"/>
                <w:tab w:val="left" w:pos="9649"/>
              </w:tabs>
              <w:spacing w:line="400" w:lineRule="exact"/>
              <w:ind w:left="43"/>
              <w:jc w:val="center"/>
              <w:rPr>
                <w:rFonts w:ascii="宋体" w:hAnsi="宋体" w:cs="宋体"/>
                <w:color w:val="auto"/>
                <w:sz w:val="24"/>
                <w:highlight w:val="none"/>
              </w:rPr>
            </w:pPr>
            <w:r>
              <w:rPr>
                <w:rFonts w:hint="eastAsia" w:ascii="宋体" w:hAnsi="宋体" w:cs="宋体"/>
                <w:color w:val="auto"/>
                <w:sz w:val="24"/>
                <w:highlight w:val="none"/>
              </w:rPr>
              <w:t>2</w:t>
            </w:r>
          </w:p>
        </w:tc>
        <w:tc>
          <w:tcPr>
            <w:tcW w:w="5741" w:type="dxa"/>
            <w:vAlign w:val="center"/>
          </w:tcPr>
          <w:p>
            <w:pPr>
              <w:shd w:val="clear" w:color="auto" w:fill="FFFFFF"/>
              <w:spacing w:line="400" w:lineRule="exact"/>
              <w:rPr>
                <w:rFonts w:ascii="宋体" w:hAnsi="宋体" w:cs="宋体"/>
                <w:color w:val="auto"/>
                <w:sz w:val="24"/>
                <w:highlight w:val="none"/>
              </w:rPr>
            </w:pPr>
            <w:r>
              <w:rPr>
                <w:rFonts w:hint="eastAsia" w:ascii="宋体" w:hAnsi="宋体" w:cs="宋体"/>
                <w:color w:val="auto"/>
                <w:kern w:val="0"/>
                <w:sz w:val="24"/>
                <w:highlight w:val="none"/>
              </w:rPr>
              <w:t>根据投标文件内容和编制等对采购文件的响应程度，在0-2之间赋分。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1097" w:type="dxa"/>
            <w:vMerge w:val="continue"/>
            <w:vAlign w:val="center"/>
          </w:tcPr>
          <w:p>
            <w:pPr>
              <w:shd w:val="clear" w:color="auto" w:fill="FFFFFF"/>
              <w:tabs>
                <w:tab w:val="left" w:pos="761"/>
                <w:tab w:val="left" w:pos="1662"/>
                <w:tab w:val="left" w:pos="3363"/>
                <w:tab w:val="left" w:pos="3887"/>
                <w:tab w:val="left" w:pos="9649"/>
              </w:tabs>
              <w:spacing w:line="400" w:lineRule="exact"/>
              <w:jc w:val="center"/>
              <w:rPr>
                <w:rFonts w:ascii="宋体" w:hAnsi="宋体" w:cs="宋体"/>
                <w:color w:val="auto"/>
                <w:sz w:val="24"/>
                <w:highlight w:val="none"/>
              </w:rPr>
            </w:pPr>
          </w:p>
        </w:tc>
        <w:tc>
          <w:tcPr>
            <w:tcW w:w="1178" w:type="dxa"/>
            <w:vAlign w:val="center"/>
          </w:tcPr>
          <w:p>
            <w:pPr>
              <w:shd w:val="clear" w:color="auto" w:fill="FFFFFF"/>
              <w:tabs>
                <w:tab w:val="left" w:pos="761"/>
                <w:tab w:val="left" w:pos="1662"/>
                <w:tab w:val="left" w:pos="3363"/>
                <w:tab w:val="left" w:pos="3887"/>
                <w:tab w:val="left" w:pos="9649"/>
              </w:tabs>
              <w:spacing w:line="400" w:lineRule="exact"/>
              <w:jc w:val="center"/>
              <w:rPr>
                <w:rFonts w:ascii="宋体" w:hAnsi="宋体" w:cs="宋体"/>
                <w:color w:val="auto"/>
                <w:position w:val="-1"/>
                <w:sz w:val="24"/>
                <w:highlight w:val="none"/>
              </w:rPr>
            </w:pPr>
            <w:r>
              <w:rPr>
                <w:rFonts w:hint="eastAsia" w:ascii="宋体" w:hAnsi="宋体" w:cs="宋体"/>
                <w:color w:val="auto"/>
                <w:position w:val="-1"/>
                <w:sz w:val="24"/>
                <w:highlight w:val="none"/>
              </w:rPr>
              <w:t>商务得分</w:t>
            </w:r>
          </w:p>
        </w:tc>
        <w:tc>
          <w:tcPr>
            <w:tcW w:w="6592" w:type="dxa"/>
            <w:gridSpan w:val="2"/>
            <w:vAlign w:val="center"/>
          </w:tcPr>
          <w:p>
            <w:pPr>
              <w:shd w:val="clear" w:color="auto" w:fill="FFFFFF"/>
              <w:spacing w:line="400" w:lineRule="exact"/>
              <w:rPr>
                <w:rFonts w:ascii="宋体" w:hAnsi="宋体" w:cs="宋体"/>
                <w:color w:val="auto"/>
                <w:sz w:val="24"/>
                <w:highlight w:val="none"/>
              </w:rPr>
            </w:pPr>
          </w:p>
        </w:tc>
      </w:tr>
    </w:tbl>
    <w:p>
      <w:pPr>
        <w:spacing w:line="400" w:lineRule="exact"/>
        <w:rPr>
          <w:rFonts w:ascii="宋体" w:hAnsi="宋体" w:cs="宋体"/>
          <w:color w:val="auto"/>
          <w:sz w:val="24"/>
          <w:highlight w:val="none"/>
        </w:rPr>
      </w:pPr>
      <w:r>
        <w:rPr>
          <w:rFonts w:hint="eastAsia" w:ascii="宋体" w:hAnsi="宋体" w:cs="宋体"/>
          <w:color w:val="auto"/>
          <w:sz w:val="24"/>
          <w:highlight w:val="none"/>
        </w:rPr>
        <w:t>6、评标过程的保密性</w:t>
      </w:r>
    </w:p>
    <w:p>
      <w:pPr>
        <w:spacing w:line="400" w:lineRule="exact"/>
        <w:rPr>
          <w:rFonts w:ascii="宋体" w:hAnsi="宋体" w:cs="宋体"/>
          <w:color w:val="auto"/>
          <w:sz w:val="24"/>
          <w:highlight w:val="none"/>
        </w:rPr>
      </w:pPr>
      <w:r>
        <w:rPr>
          <w:rFonts w:hint="eastAsia" w:ascii="宋体" w:hAnsi="宋体" w:cs="宋体"/>
          <w:color w:val="auto"/>
          <w:sz w:val="24"/>
          <w:highlight w:val="none"/>
        </w:rPr>
        <w:t>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tabs>
          <w:tab w:val="left" w:pos="420"/>
        </w:tabs>
        <w:spacing w:line="400" w:lineRule="exact"/>
        <w:ind w:left="12" w:hanging="12" w:hangingChars="5"/>
        <w:rPr>
          <w:rFonts w:ascii="宋体" w:hAnsi="宋体" w:cs="宋体"/>
          <w:color w:val="auto"/>
          <w:sz w:val="24"/>
          <w:highlight w:val="none"/>
        </w:rPr>
      </w:pPr>
      <w:r>
        <w:rPr>
          <w:rFonts w:hint="eastAsia" w:ascii="宋体" w:hAnsi="宋体" w:cs="宋体"/>
          <w:color w:val="auto"/>
          <w:sz w:val="24"/>
          <w:highlight w:val="none"/>
        </w:rPr>
        <w:t>7、投标商在评标过程中，所进行的力图影响评标结果的不符合《中华人民共和国招投标法》、《中华人民共和国政府采购法》及本次招标中有关规定的活动，将被取消其成交资格。</w:t>
      </w:r>
    </w:p>
    <w:p>
      <w:pPr>
        <w:adjustRightInd w:val="0"/>
        <w:snapToGrid w:val="0"/>
        <w:spacing w:line="400" w:lineRule="exact"/>
        <w:rPr>
          <w:rFonts w:ascii="宋体" w:hAnsi="宋体" w:cs="宋体"/>
          <w:bCs/>
          <w:color w:val="auto"/>
          <w:sz w:val="24"/>
          <w:highlight w:val="none"/>
        </w:rPr>
      </w:pPr>
      <w:r>
        <w:rPr>
          <w:rFonts w:hint="eastAsia" w:ascii="宋体" w:hAnsi="宋体" w:cs="宋体"/>
          <w:b/>
          <w:bCs/>
          <w:color w:val="auto"/>
          <w:sz w:val="24"/>
          <w:highlight w:val="none"/>
        </w:rPr>
        <w:t>22澄清有关问题</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 对投标文件中含义不明确、同类问题表述不一致或者有明显文字和计算错误的内容，评标委员会将以书面形式通知投标人做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22.2投标人不得对下列内容</w:t>
      </w:r>
      <w:r>
        <w:rPr>
          <w:rFonts w:hint="eastAsia" w:ascii="宋体" w:hAnsi="宋体" w:cs="宋体"/>
          <w:bCs/>
          <w:color w:val="auto"/>
          <w:sz w:val="24"/>
          <w:highlight w:val="none"/>
        </w:rPr>
        <w:t>其进行澄清或补充：</w:t>
      </w:r>
    </w:p>
    <w:p>
      <w:pPr>
        <w:tabs>
          <w:tab w:val="left" w:pos="0"/>
        </w:tabs>
        <w:adjustRightInd w:val="0"/>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（1）开标时，</w:t>
      </w:r>
      <w:r>
        <w:rPr>
          <w:rFonts w:hint="eastAsia" w:ascii="宋体" w:hAnsi="宋体" w:cs="宋体"/>
          <w:bCs/>
          <w:color w:val="auto"/>
          <w:sz w:val="24"/>
          <w:highlight w:val="none"/>
        </w:rPr>
        <w:t>未宣读的投标价格、价格折扣和</w:t>
      </w:r>
      <w:r>
        <w:rPr>
          <w:rFonts w:hint="eastAsia" w:ascii="宋体" w:hAnsi="宋体" w:cs="宋体"/>
          <w:color w:val="auto"/>
          <w:sz w:val="24"/>
          <w:highlight w:val="none"/>
        </w:rPr>
        <w:t>第一章“投标须知”第16.3</w:t>
      </w:r>
      <w:r>
        <w:rPr>
          <w:rFonts w:hint="eastAsia" w:ascii="宋体" w:hAnsi="宋体" w:cs="宋体"/>
          <w:color w:val="auto"/>
          <w:kern w:val="0"/>
          <w:sz w:val="24"/>
          <w:highlight w:val="none"/>
          <w:lang w:val="zh-CN"/>
        </w:rPr>
        <w:t>款</w:t>
      </w:r>
      <w:r>
        <w:rPr>
          <w:rFonts w:hint="eastAsia" w:ascii="宋体" w:hAnsi="宋体" w:cs="宋体"/>
          <w:bCs/>
          <w:color w:val="auto"/>
          <w:sz w:val="24"/>
          <w:highlight w:val="none"/>
        </w:rPr>
        <w:t>允许提</w:t>
      </w:r>
      <w:r>
        <w:rPr>
          <w:rFonts w:hint="eastAsia" w:ascii="宋体" w:hAnsi="宋体" w:cs="宋体"/>
          <w:color w:val="auto"/>
          <w:sz w:val="24"/>
          <w:highlight w:val="none"/>
        </w:rPr>
        <w:t>交</w:t>
      </w:r>
      <w:r>
        <w:rPr>
          <w:rFonts w:hint="eastAsia" w:ascii="宋体" w:hAnsi="宋体" w:cs="宋体"/>
          <w:bCs/>
          <w:color w:val="auto"/>
          <w:sz w:val="24"/>
          <w:highlight w:val="none"/>
        </w:rPr>
        <w:t>的备选方案等实质性内容。</w:t>
      </w:r>
    </w:p>
    <w:p>
      <w:pPr>
        <w:tabs>
          <w:tab w:val="left" w:pos="0"/>
        </w:tabs>
        <w:adjustRightInd w:val="0"/>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（2）不满足第一章投标须知第10.2</w:t>
      </w:r>
      <w:r>
        <w:rPr>
          <w:rFonts w:hint="eastAsia" w:ascii="宋体" w:hAnsi="宋体" w:cs="宋体"/>
          <w:color w:val="auto"/>
          <w:kern w:val="0"/>
          <w:sz w:val="24"/>
          <w:highlight w:val="none"/>
          <w:lang w:val="zh-CN"/>
        </w:rPr>
        <w:t>款</w:t>
      </w:r>
      <w:r>
        <w:rPr>
          <w:rFonts w:hint="eastAsia" w:ascii="宋体" w:hAnsi="宋体" w:cs="宋体"/>
          <w:bCs/>
          <w:color w:val="auto"/>
          <w:sz w:val="24"/>
          <w:highlight w:val="none"/>
        </w:rPr>
        <w:t>规定的</w:t>
      </w:r>
      <w:r>
        <w:rPr>
          <w:rFonts w:hint="eastAsia" w:ascii="宋体" w:hAnsi="宋体" w:cs="宋体"/>
          <w:color w:val="auto"/>
          <w:sz w:val="24"/>
          <w:highlight w:val="none"/>
        </w:rPr>
        <w:t>实质性要求的</w:t>
      </w:r>
      <w:r>
        <w:rPr>
          <w:rFonts w:hint="eastAsia" w:ascii="宋体" w:hAnsi="宋体" w:cs="宋体"/>
          <w:bCs/>
          <w:color w:val="auto"/>
          <w:sz w:val="24"/>
          <w:highlight w:val="none"/>
        </w:rPr>
        <w:t>投标文件内容</w:t>
      </w:r>
      <w:r>
        <w:rPr>
          <w:rFonts w:hint="eastAsia" w:ascii="宋体" w:hAnsi="宋体" w:cs="宋体"/>
          <w:color w:val="auto"/>
          <w:sz w:val="24"/>
          <w:highlight w:val="none"/>
        </w:rPr>
        <w:t>，</w:t>
      </w:r>
    </w:p>
    <w:p>
      <w:pPr>
        <w:tabs>
          <w:tab w:val="left" w:pos="0"/>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pPr>
        <w:tabs>
          <w:tab w:val="left" w:pos="0"/>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 投标人的澄清、说明或者补正应该采用书面形式，由法定代表人或其授权的代理人签字，并按评标委员会的通知要求递交。</w:t>
      </w:r>
    </w:p>
    <w:p>
      <w:pPr>
        <w:tabs>
          <w:tab w:val="left" w:pos="0"/>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22.5 有效的书面澄清材料，是投标文件的补充材料，成为投标文件的组成部分。</w:t>
      </w:r>
    </w:p>
    <w:p>
      <w:pPr>
        <w:widowControl/>
        <w:adjustRightInd w:val="0"/>
        <w:snapToGrid w:val="0"/>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23 推荐成交候选人名单</w:t>
      </w:r>
    </w:p>
    <w:p>
      <w:pPr>
        <w:tabs>
          <w:tab w:val="left" w:pos="0"/>
        </w:tabs>
        <w:adjustRightInd w:val="0"/>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23.1</w:t>
      </w:r>
      <w:r>
        <w:rPr>
          <w:rFonts w:hint="eastAsia" w:ascii="宋体" w:hAnsi="宋体" w:cs="宋体"/>
          <w:bCs/>
          <w:color w:val="auto"/>
          <w:sz w:val="24"/>
          <w:highlight w:val="none"/>
        </w:rPr>
        <w:t>按评审后得分由高到低顺序排列。得分相同的，按投标报价由低到高顺序排列。得分且投标报价相同的，按技术指标优劣顺序排列。</w:t>
      </w:r>
    </w:p>
    <w:p>
      <w:pPr>
        <w:tabs>
          <w:tab w:val="left" w:pos="0"/>
        </w:tabs>
        <w:adjustRightInd w:val="0"/>
        <w:snapToGrid w:val="0"/>
        <w:spacing w:line="40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23.2成交候选人数量为1-3名，本次招标采购推荐的成交候选人数量见投标人须知前附表。</w:t>
      </w:r>
    </w:p>
    <w:p>
      <w:pPr>
        <w:tabs>
          <w:tab w:val="left" w:pos="0"/>
        </w:tabs>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24 编写评标报告</w:t>
      </w:r>
    </w:p>
    <w:p>
      <w:pPr>
        <w:tabs>
          <w:tab w:val="left" w:pos="0"/>
        </w:tabs>
        <w:adjustRightInd w:val="0"/>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24.1评标委员会根据全体评标成员签字的原始评标记录和评标结果编写评标报告</w:t>
      </w:r>
    </w:p>
    <w:p>
      <w:pPr>
        <w:tabs>
          <w:tab w:val="left" w:pos="0"/>
        </w:tabs>
        <w:adjustRightInd w:val="0"/>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九、合同授予</w:t>
      </w:r>
    </w:p>
    <w:p>
      <w:pPr>
        <w:tabs>
          <w:tab w:val="left" w:pos="8820"/>
          <w:tab w:val="left" w:pos="9345"/>
          <w:tab w:val="left" w:pos="9765"/>
        </w:tabs>
        <w:adjustRightInd w:val="0"/>
        <w:snapToGrid w:val="0"/>
        <w:spacing w:line="400" w:lineRule="exact"/>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定义</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1.1合同当事人</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（1）采购人(以下称甲方)是指使用财政性资金，通过政府采购程序向供应商购买货物、服务的国家机关、事业单位、团体组织。本次采购的甲方名称、地址见</w:t>
      </w:r>
      <w:r>
        <w:rPr>
          <w:rFonts w:hint="eastAsia" w:ascii="宋体" w:hAnsi="宋体" w:cs="宋体"/>
          <w:b/>
          <w:color w:val="auto"/>
          <w:sz w:val="24"/>
          <w:highlight w:val="none"/>
        </w:rPr>
        <w:t>投标人须知前附表。</w:t>
      </w:r>
    </w:p>
    <w:p>
      <w:pPr>
        <w:autoSpaceDE w:val="0"/>
        <w:autoSpaceDN w:val="0"/>
        <w:adjustRightInd w:val="0"/>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（2）供应商(以下称乙方)是指参加政府采购活动而取得成交或成交结果，并向采购人提供货物、服务的法人、其他组织或者自然人。</w:t>
      </w:r>
    </w:p>
    <w:p>
      <w:pPr>
        <w:tabs>
          <w:tab w:val="left" w:pos="570"/>
          <w:tab w:val="left" w:pos="924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1.2本合同下列术语应解释为：</w:t>
      </w:r>
    </w:p>
    <w:p>
      <w:pPr>
        <w:tabs>
          <w:tab w:val="left" w:pos="570"/>
          <w:tab w:val="left" w:pos="924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（2）“合同价”系指根据本合同规定乙方在正确地完全履行合同义务后甲方应支付给乙方的价款。</w:t>
      </w:r>
    </w:p>
    <w:p>
      <w:pPr>
        <w:tabs>
          <w:tab w:val="left" w:pos="570"/>
          <w:tab w:val="left" w:pos="924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（3）“货物”系指乙方根据本合同规定须向甲方提供的各种形态和种类的物品，包括原材料、设备、产品(包括软件)及相关的其备品备件、工具、手册及其他技术资料和材料。</w:t>
      </w:r>
    </w:p>
    <w:p>
      <w:pPr>
        <w:tabs>
          <w:tab w:val="left" w:pos="570"/>
          <w:tab w:val="left" w:pos="888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（4）“伴随服务”系指根据本合同规定乙方承担与供货有关的辅助服务，如运输、保</w:t>
      </w:r>
      <w:r>
        <w:rPr>
          <w:rFonts w:hint="eastAsia" w:ascii="宋体" w:hAnsi="宋体" w:cs="宋体"/>
          <w:color w:val="auto"/>
          <w:spacing w:val="2"/>
          <w:sz w:val="24"/>
          <w:highlight w:val="none"/>
        </w:rPr>
        <w:t>险以及其他的伴随服务，例如安装、调试、提供技术</w:t>
      </w:r>
      <w:r>
        <w:rPr>
          <w:rFonts w:hint="eastAsia" w:ascii="宋体" w:hAnsi="宋体" w:cs="宋体"/>
          <w:color w:val="auto"/>
          <w:sz w:val="24"/>
          <w:highlight w:val="none"/>
        </w:rPr>
        <w:t>协</w:t>
      </w:r>
      <w:r>
        <w:rPr>
          <w:rFonts w:hint="eastAsia" w:ascii="宋体" w:hAnsi="宋体" w:cs="宋体"/>
          <w:color w:val="auto"/>
          <w:spacing w:val="2"/>
          <w:sz w:val="24"/>
          <w:highlight w:val="none"/>
        </w:rPr>
        <w:t>助、培训和合同中规定</w:t>
      </w:r>
      <w:r>
        <w:rPr>
          <w:rFonts w:hint="eastAsia" w:ascii="宋体" w:hAnsi="宋体" w:cs="宋体"/>
          <w:color w:val="auto"/>
          <w:sz w:val="24"/>
          <w:highlight w:val="none"/>
        </w:rPr>
        <w:t>乙方应承担的其他义务。</w:t>
      </w:r>
    </w:p>
    <w:p>
      <w:pPr>
        <w:tabs>
          <w:tab w:val="left" w:pos="570"/>
          <w:tab w:val="left" w:pos="924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（5）“合同条款”系指本合同条款。</w:t>
      </w:r>
    </w:p>
    <w:p>
      <w:pPr>
        <w:tabs>
          <w:tab w:val="left" w:pos="570"/>
          <w:tab w:val="left" w:pos="9240"/>
          <w:tab w:val="left" w:pos="9555"/>
        </w:tabs>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（6）“项目现场”系指本合同项下货物安装、运行的现场，其名称在</w:t>
      </w:r>
      <w:r>
        <w:rPr>
          <w:rFonts w:hint="eastAsia" w:ascii="宋体" w:hAnsi="宋体" w:cs="宋体"/>
          <w:b/>
          <w:color w:val="auto"/>
          <w:sz w:val="24"/>
          <w:highlight w:val="none"/>
        </w:rPr>
        <w:t>投标人须知前附表</w:t>
      </w:r>
      <w:r>
        <w:rPr>
          <w:rFonts w:hint="eastAsia" w:ascii="宋体" w:hAnsi="宋体" w:cs="宋体"/>
          <w:color w:val="auto"/>
          <w:sz w:val="24"/>
          <w:highlight w:val="none"/>
        </w:rPr>
        <w:t>指明。</w:t>
      </w:r>
    </w:p>
    <w:p>
      <w:pPr>
        <w:autoSpaceDE w:val="0"/>
        <w:autoSpaceDN w:val="0"/>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2.合同的适用范围</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本合同条款适用于没有被本合同其他部分的条款所取代的范围。</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合同内容根据招标文件、投标文件而确定。</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合同标的及金额</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合同标的及金额应与成交或成交结果一致。</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color w:val="auto"/>
          <w:sz w:val="24"/>
          <w:highlight w:val="none"/>
        </w:rPr>
        <w:t>合同价款</w:t>
      </w:r>
    </w:p>
    <w:p>
      <w:pPr>
        <w:adjustRightInd w:val="0"/>
        <w:snapToGrid w:val="0"/>
        <w:spacing w:line="400" w:lineRule="exact"/>
        <w:ind w:firstLine="560"/>
        <w:rPr>
          <w:rFonts w:ascii="宋体" w:hAnsi="宋体" w:cs="宋体"/>
          <w:b/>
          <w:bCs/>
          <w:i/>
          <w:iCs/>
          <w:color w:val="auto"/>
          <w:sz w:val="24"/>
          <w:highlight w:val="none"/>
        </w:rPr>
      </w:pPr>
      <w:r>
        <w:rPr>
          <w:rFonts w:hint="eastAsia" w:ascii="宋体" w:hAnsi="宋体" w:cs="宋体"/>
          <w:color w:val="auto"/>
          <w:sz w:val="24"/>
          <w:highlight w:val="none"/>
        </w:rPr>
        <w:t>4.1具体合同价款见本合同第3.1条。乙方为履行本合同而发生的所有费用均应包含在合同价款中</w:t>
      </w:r>
      <w:r>
        <w:rPr>
          <w:rFonts w:hint="eastAsia" w:ascii="宋体" w:hAnsi="宋体" w:cs="宋体"/>
          <w:b/>
          <w:color w:val="auto"/>
          <w:sz w:val="24"/>
          <w:highlight w:val="none"/>
        </w:rPr>
        <w:t>(固定总价合同)</w:t>
      </w:r>
      <w:r>
        <w:rPr>
          <w:rFonts w:hint="eastAsia" w:ascii="宋体" w:hAnsi="宋体" w:cs="宋体"/>
          <w:color w:val="auto"/>
          <w:sz w:val="24"/>
          <w:highlight w:val="none"/>
        </w:rPr>
        <w:t>，甲方不再另行支付其他任何费用。</w:t>
      </w:r>
    </w:p>
    <w:p>
      <w:pPr>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5.履行合同的时间、地点和方式</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乙方应当在甲方确定的时间、指定的地点履行合同，具体的交货时间、地点和方式见</w:t>
      </w:r>
      <w:r>
        <w:rPr>
          <w:rFonts w:hint="eastAsia" w:ascii="宋体" w:hAnsi="宋体" w:cs="宋体"/>
          <w:b/>
          <w:color w:val="auto"/>
          <w:sz w:val="24"/>
          <w:highlight w:val="none"/>
        </w:rPr>
        <w:t>投标人须知前附表</w:t>
      </w:r>
      <w:r>
        <w:rPr>
          <w:rFonts w:hint="eastAsia" w:ascii="宋体" w:hAnsi="宋体" w:cs="宋体"/>
          <w:color w:val="auto"/>
          <w:sz w:val="24"/>
          <w:highlight w:val="none"/>
        </w:rPr>
        <w:t>。</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 乙方提供服务的应当在甲方指定的地点完成服务项目。</w:t>
      </w:r>
    </w:p>
    <w:p>
      <w:pPr>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6.</w:t>
      </w:r>
      <w:r>
        <w:rPr>
          <w:rFonts w:hint="eastAsia" w:ascii="宋体" w:hAnsi="宋体" w:cs="宋体"/>
          <w:b/>
          <w:color w:val="auto"/>
          <w:sz w:val="24"/>
          <w:highlight w:val="none"/>
        </w:rPr>
        <w:t>货物的验收</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 甲方在收到乙方交付的货物后应当及时组织验收。</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 货物的表面瑕疵，甲方应在验收时当面提出；对质量问题有异议的应在安装调试后十个工作日内提出。</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 甲方在乙方按合同规定交货或安装、调试后，无正当理由而拖延接收、验收或拒绝接收、验收的，应承担因此给乙方造成的直接损失。</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 甲方对货物进行检查验收合格后，应当收取发票并在《交货验收单》上签署验收意见及加盖单位印章。</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 大型或者复杂的货物采购项目，甲方可以邀请国家认可的质量检测机构参加验收工作，并由其出具验收报告单。</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6.7 乙方提供的进口产品，乙方应出示中华人民共和国进出口商品检验部门出具的检验证书（招标文件第三章“采购需求”另有约定的除外）。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6.8</w:t>
      </w:r>
      <w:r>
        <w:rPr>
          <w:rFonts w:hint="eastAsia" w:ascii="宋体" w:hAnsi="宋体" w:cs="宋体"/>
          <w:color w:val="auto"/>
          <w:kern w:val="0"/>
          <w:sz w:val="24"/>
          <w:highlight w:val="none"/>
        </w:rPr>
        <w:t>政府采购当事人在合同履约和验收工作中，应当自觉接受财政部门和对政府采购负有行政监督职责的政府其他有关部门的监督检查,</w:t>
      </w:r>
      <w:r>
        <w:rPr>
          <w:rFonts w:hint="eastAsia" w:ascii="宋体" w:hAnsi="宋体" w:cs="宋体"/>
          <w:color w:val="auto"/>
          <w:sz w:val="24"/>
          <w:highlight w:val="none"/>
        </w:rPr>
        <w:t>在合同履约验收工作中合同当事人有下列情形的，将追究相关违法、违纪责任：</w:t>
      </w:r>
    </w:p>
    <w:p>
      <w:pPr>
        <w:spacing w:line="400" w:lineRule="exact"/>
        <w:ind w:firstLine="552" w:firstLineChars="230"/>
        <w:rPr>
          <w:rFonts w:ascii="宋体" w:hAnsi="宋体" w:cs="宋体"/>
          <w:color w:val="auto"/>
          <w:sz w:val="24"/>
          <w:highlight w:val="none"/>
        </w:rPr>
      </w:pPr>
      <w:r>
        <w:rPr>
          <w:rFonts w:hint="eastAsia" w:ascii="宋体" w:hAnsi="宋体" w:cs="宋体"/>
          <w:color w:val="auto"/>
          <w:sz w:val="24"/>
          <w:highlight w:val="none"/>
        </w:rPr>
        <w:t>（1）甲方无正当理由推迟项目验收时间的；</w:t>
      </w:r>
    </w:p>
    <w:p>
      <w:pPr>
        <w:spacing w:line="400" w:lineRule="exact"/>
        <w:ind w:firstLine="552" w:firstLineChars="230"/>
        <w:rPr>
          <w:rFonts w:ascii="宋体" w:hAnsi="宋体" w:cs="宋体"/>
          <w:color w:val="auto"/>
          <w:sz w:val="24"/>
          <w:highlight w:val="none"/>
        </w:rPr>
      </w:pPr>
      <w:r>
        <w:rPr>
          <w:rFonts w:hint="eastAsia" w:ascii="宋体" w:hAnsi="宋体" w:cs="宋体"/>
          <w:color w:val="auto"/>
          <w:sz w:val="24"/>
          <w:highlight w:val="none"/>
        </w:rPr>
        <w:t>（2）甲乙双方相互串通通过减少货物数量、调换物品、更改配置、降低服务标准或虚开发票等手段，套取财政资金的；</w:t>
      </w:r>
    </w:p>
    <w:p>
      <w:pPr>
        <w:spacing w:line="400" w:lineRule="exact"/>
        <w:ind w:firstLine="348" w:firstLineChars="145"/>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rPr>
        <w:t>发现问题未向财政部门反映，私自与对方协商改变成交、成交结果的；</w:t>
      </w:r>
    </w:p>
    <w:p>
      <w:pPr>
        <w:spacing w:line="400" w:lineRule="exact"/>
        <w:ind w:firstLine="348" w:firstLineChars="145"/>
        <w:rPr>
          <w:rFonts w:ascii="宋体" w:hAnsi="宋体" w:cs="宋体"/>
          <w:color w:val="auto"/>
          <w:sz w:val="24"/>
          <w:highlight w:val="none"/>
        </w:rPr>
      </w:pPr>
      <w:r>
        <w:rPr>
          <w:rFonts w:hint="eastAsia" w:ascii="宋体" w:hAnsi="宋体" w:cs="宋体"/>
          <w:color w:val="auto"/>
          <w:sz w:val="24"/>
          <w:highlight w:val="none"/>
        </w:rPr>
        <w:t>（4）行贿、受贿或谋取不正当利益的；</w:t>
      </w:r>
    </w:p>
    <w:p>
      <w:pPr>
        <w:spacing w:line="400" w:lineRule="exact"/>
        <w:ind w:firstLine="348" w:firstLineChars="145"/>
        <w:rPr>
          <w:rFonts w:ascii="宋体" w:hAnsi="宋体" w:cs="宋体"/>
          <w:color w:val="auto"/>
          <w:kern w:val="0"/>
          <w:sz w:val="24"/>
          <w:highlight w:val="none"/>
        </w:rPr>
      </w:pPr>
      <w:r>
        <w:rPr>
          <w:rFonts w:hint="eastAsia" w:ascii="宋体" w:hAnsi="宋体" w:cs="宋体"/>
          <w:color w:val="auto"/>
          <w:sz w:val="24"/>
          <w:highlight w:val="none"/>
        </w:rPr>
        <w:t>（5）拒绝有关部门依法实施监督检查的。</w:t>
      </w:r>
    </w:p>
    <w:p>
      <w:pPr>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7.货物包装要求</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每一个包装箱内应附一份详细装箱单、质量证书和保修保养证书。</w:t>
      </w:r>
    </w:p>
    <w:p>
      <w:pPr>
        <w:adjustRightInd w:val="0"/>
        <w:snapToGrid w:val="0"/>
        <w:spacing w:line="400" w:lineRule="exact"/>
        <w:rPr>
          <w:rFonts w:ascii="宋体" w:hAnsi="宋体" w:cs="宋体"/>
          <w:color w:val="auto"/>
          <w:sz w:val="24"/>
          <w:highlight w:val="none"/>
        </w:rPr>
      </w:pPr>
      <w:r>
        <w:rPr>
          <w:rFonts w:hint="eastAsia" w:ascii="宋体" w:hAnsi="宋体" w:cs="宋体"/>
          <w:color w:val="auto"/>
          <w:sz w:val="24"/>
          <w:highlight w:val="none"/>
        </w:rPr>
        <w:t>8.运输和保险</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8.1乙方负责办理将货物运抵本合同第5.1条规定的交货地点的一切运输事项，相关费用应包括在合同总价中。</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8.2乙方应向保险公司投保以甲方为受益人的发运合同货物发票金额的110％运输一切险。</w:t>
      </w:r>
    </w:p>
    <w:p>
      <w:pPr>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9.质量标准和保证</w:t>
      </w:r>
    </w:p>
    <w:p>
      <w:pPr>
        <w:pStyle w:val="29"/>
        <w:adjustRightInd w:val="0"/>
        <w:snapToGrid w:val="0"/>
        <w:spacing w:line="400" w:lineRule="exact"/>
        <w:ind w:firstLine="480" w:firstLineChars="200"/>
        <w:rPr>
          <w:rFonts w:cs="宋体"/>
          <w:b/>
          <w:color w:val="auto"/>
          <w:sz w:val="24"/>
          <w:szCs w:val="24"/>
          <w:highlight w:val="none"/>
        </w:rPr>
      </w:pPr>
      <w:r>
        <w:rPr>
          <w:rFonts w:hint="eastAsia" w:cs="宋体"/>
          <w:color w:val="auto"/>
          <w:sz w:val="24"/>
          <w:szCs w:val="24"/>
          <w:highlight w:val="none"/>
        </w:rPr>
        <w:t>9.1 质量标准</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（1）本合同下交付的货物应符合第三章“采购需求”所述的标准。如果没有提及适用标准，则应符合中华人民共和国有关机构发布的最新版本的标准。</w:t>
      </w:r>
    </w:p>
    <w:p>
      <w:pPr>
        <w:pStyle w:val="29"/>
        <w:adjustRightInd w:val="0"/>
        <w:snapToGrid w:val="0"/>
        <w:spacing w:line="400" w:lineRule="exact"/>
        <w:ind w:firstLine="480" w:firstLineChars="200"/>
        <w:rPr>
          <w:rFonts w:cs="宋体"/>
          <w:color w:val="auto"/>
          <w:sz w:val="24"/>
          <w:szCs w:val="24"/>
          <w:highlight w:val="none"/>
        </w:rPr>
      </w:pPr>
      <w:r>
        <w:rPr>
          <w:rFonts w:hint="eastAsia" w:cs="宋体"/>
          <w:color w:val="auto"/>
          <w:sz w:val="24"/>
          <w:szCs w:val="24"/>
          <w:highlight w:val="none"/>
        </w:rPr>
        <w:t>（2）采用中华人民共和国法定计量单位。</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（3）乙方所出售的货物还应符合国家有关安全、环保、卫生之规定。</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 保证</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color w:val="auto"/>
          <w:sz w:val="24"/>
          <w:highlight w:val="none"/>
        </w:rPr>
        <w:t>投标人须知前附表</w:t>
      </w:r>
      <w:r>
        <w:rPr>
          <w:rFonts w:hint="eastAsia" w:ascii="宋体" w:hAnsi="宋体" w:cs="宋体"/>
          <w:color w:val="auto"/>
          <w:sz w:val="24"/>
          <w:highlight w:val="none"/>
        </w:rPr>
        <w:t>规定或乙方承诺（两者以较长的为准）的质量保证期内，本保证保持有效。</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（2）在质量保证期内所发现的缺陷，甲方应尽快以书面形式通知乙方。</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（3）乙方收到通知后应在</w:t>
      </w:r>
      <w:r>
        <w:rPr>
          <w:rFonts w:hint="eastAsia" w:ascii="宋体" w:hAnsi="宋体" w:cs="宋体"/>
          <w:b/>
          <w:color w:val="auto"/>
          <w:sz w:val="24"/>
          <w:highlight w:val="none"/>
        </w:rPr>
        <w:t>投标人须知前附表</w:t>
      </w:r>
      <w:r>
        <w:rPr>
          <w:rFonts w:hint="eastAsia" w:ascii="宋体" w:hAnsi="宋体" w:cs="宋体"/>
          <w:color w:val="auto"/>
          <w:sz w:val="24"/>
          <w:highlight w:val="none"/>
        </w:rPr>
        <w:t>规定的响应时间内以合理的速度免费维修或更换有缺陷的货物或部件。</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adjustRightInd w:val="0"/>
        <w:snapToGrid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（5）乙方在约定的时间内未能弥补缺陷，甲方可采取必要的补救措施，但其风险和费用将由乙方承担，甲方根据合同规定对乙方行使的其他权利不受影响。</w:t>
      </w:r>
    </w:p>
    <w:p>
      <w:pPr>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10.权利瑕疵担保</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 乙方保证对其出售的货物享有合法的权利。</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 乙方保证在其出售的货物上不存在任何未曾向甲方透露的担保物权，如抵押权、质押权、留置权等。</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 如甲方使用该货物构成上述侵权的，则由乙方承担全部责任。</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11.知识产权保护</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乙方对其所销售的货物应当享有知识产权或经权利人合法授权，保证没有侵犯任何第三人的知识产权和商业秘密等权利。</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甲方使用乙方提供的货物对第三人构成侵权的，应当由乙方承担全部法律责任，给甲方造成损害的，乙方应当承担赔偿责任。</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甲方委托乙方开发的产品，甲方享有知识产权，未经甲方许可不得转让任何第三人。</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12.保密义务</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甲、乙双方在采购和履行合同过程中所获悉的对方属于保密的内容，双方均有保密义务。</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13.合同价款支付</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13.1验收合格后，乙方出具正规发票给甲方，凭甲方开具的《政府采购合同验收报告单》办理合同价</w:t>
      </w:r>
      <w:r>
        <w:rPr>
          <w:rFonts w:hint="eastAsia" w:ascii="宋体" w:hAnsi="宋体" w:cs="宋体"/>
          <w:bCs/>
          <w:color w:val="auto"/>
          <w:sz w:val="24"/>
          <w:highlight w:val="none"/>
        </w:rPr>
        <w:t>款</w:t>
      </w:r>
      <w:r>
        <w:rPr>
          <w:rFonts w:hint="eastAsia" w:ascii="宋体" w:hAnsi="宋体" w:cs="宋体"/>
          <w:color w:val="auto"/>
          <w:sz w:val="24"/>
          <w:highlight w:val="none"/>
        </w:rPr>
        <w:t>结算手续。</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 合同价款构成中应当由财政支付的部分，甲方应当在货物验收合格后的十五个工作日内向国库管理部门申请支付，经国库管理部门审核后直接支付给乙方。</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 合同价款构成中应当由甲方自行支付的部分，甲方应当在货物验收合格后十五个工作内支付。</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13.4支付合同价</w:t>
      </w:r>
      <w:r>
        <w:rPr>
          <w:rFonts w:hint="eastAsia" w:ascii="宋体" w:hAnsi="宋体" w:cs="宋体"/>
          <w:bCs/>
          <w:color w:val="auto"/>
          <w:sz w:val="24"/>
          <w:highlight w:val="none"/>
        </w:rPr>
        <w:t>款</w:t>
      </w:r>
      <w:r>
        <w:rPr>
          <w:rFonts w:hint="eastAsia" w:ascii="宋体" w:hAnsi="宋体" w:cs="宋体"/>
          <w:color w:val="auto"/>
          <w:sz w:val="24"/>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 合同价款支付方式</w:t>
      </w:r>
      <w:r>
        <w:rPr>
          <w:rFonts w:hint="eastAsia" w:ascii="宋体" w:hAnsi="宋体" w:cs="宋体"/>
          <w:bCs/>
          <w:color w:val="auto"/>
          <w:sz w:val="24"/>
          <w:highlight w:val="none"/>
        </w:rPr>
        <w:t>和条件在</w:t>
      </w:r>
      <w:r>
        <w:rPr>
          <w:rFonts w:hint="eastAsia" w:ascii="宋体" w:hAnsi="宋体" w:cs="宋体"/>
          <w:b/>
          <w:color w:val="auto"/>
          <w:sz w:val="24"/>
          <w:highlight w:val="none"/>
        </w:rPr>
        <w:t>投标人须知前附表</w:t>
      </w:r>
      <w:r>
        <w:rPr>
          <w:rFonts w:hint="eastAsia" w:ascii="宋体" w:hAnsi="宋体" w:cs="宋体"/>
          <w:color w:val="auto"/>
          <w:sz w:val="24"/>
          <w:highlight w:val="none"/>
        </w:rPr>
        <w:t>中另有规定。</w:t>
      </w:r>
    </w:p>
    <w:p>
      <w:pPr>
        <w:autoSpaceDE w:val="0"/>
        <w:autoSpaceDN w:val="0"/>
        <w:adjustRightInd w:val="0"/>
        <w:snapToGrid w:val="0"/>
        <w:spacing w:line="400" w:lineRule="exact"/>
        <w:rPr>
          <w:rFonts w:ascii="宋体" w:hAnsi="宋体" w:cs="宋体"/>
          <w:b/>
          <w:color w:val="auto"/>
          <w:sz w:val="24"/>
          <w:highlight w:val="none"/>
        </w:rPr>
      </w:pPr>
      <w:r>
        <w:rPr>
          <w:rFonts w:hint="eastAsia" w:ascii="宋体" w:hAnsi="宋体" w:cs="宋体"/>
          <w:b/>
          <w:bCs/>
          <w:color w:val="auto"/>
          <w:sz w:val="24"/>
          <w:highlight w:val="none"/>
        </w:rPr>
        <w:t>14.</w:t>
      </w:r>
      <w:r>
        <w:rPr>
          <w:rFonts w:hint="eastAsia" w:ascii="宋体" w:hAnsi="宋体" w:cs="宋体"/>
          <w:b/>
          <w:color w:val="auto"/>
          <w:sz w:val="24"/>
          <w:highlight w:val="none"/>
        </w:rPr>
        <w:t>伴随服务</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乙方还应提供下列服务：</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（1）货物的现场移动、安装、调试、启动监督及技术支持；</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（2）提供货物组装和维修所需的专用工具和辅助材料；</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（3）在合同各方商定的一定期限内对所有的货物实施运行监督、维修，但前提条件是该服务并不能免除乙方在质量保证期内所承担的义务；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（4）在制造商或项目现场就货物的安装、启动、运营、维护对甲方操作人员进行培训。</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投标人须知前附表</w:t>
      </w:r>
      <w:r>
        <w:rPr>
          <w:rFonts w:hint="eastAsia" w:ascii="宋体" w:hAnsi="宋体" w:cs="宋体"/>
          <w:color w:val="auto"/>
          <w:sz w:val="24"/>
          <w:highlight w:val="none"/>
        </w:rPr>
        <w:t>与第三章“采购需求”规定的其他伴随服务</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 乙方提供的伴随服务的费用应包含在合同价款中，甲方不再另行支付。</w:t>
      </w:r>
    </w:p>
    <w:p>
      <w:pPr>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15.违约责任</w:t>
      </w:r>
    </w:p>
    <w:p>
      <w:pPr>
        <w:adjustRightInd w:val="0"/>
        <w:snapToGrid w:val="0"/>
        <w:spacing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15.1质量瑕疵的补救措施和索赔</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①乙方同意退货并将货款退还给甲方，由此发生的一切费用和损失由乙方承担。</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②根据货物的质量状况以及甲方所遭受的损失，经过甲乙双方商定降低货物的价格。</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15.2 迟延交货的违约责任</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（2）除本合同</w:t>
      </w:r>
      <w:r>
        <w:rPr>
          <w:rFonts w:hint="eastAsia" w:ascii="宋体" w:hAnsi="宋体" w:cs="宋体"/>
          <w:bCs/>
          <w:color w:val="auto"/>
          <w:sz w:val="24"/>
          <w:highlight w:val="none"/>
        </w:rPr>
        <w:t>第20条</w:t>
      </w:r>
      <w:r>
        <w:rPr>
          <w:rFonts w:hint="eastAsia" w:ascii="宋体" w:hAnsi="宋体" w:cs="宋体"/>
          <w:color w:val="auto"/>
          <w:sz w:val="24"/>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16.合同的变更</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在合同履行过程中，甲、乙双方可就合同履行的时间、地点和方式等协商进行变更。协商一致后，双方应签订书面的补充协议。</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除双方签署书面协议，并成为合同不可分割的一部分外，本合同条件不得有任何变更。</w:t>
      </w:r>
    </w:p>
    <w:p>
      <w:pPr>
        <w:autoSpaceDE w:val="0"/>
        <w:autoSpaceDN w:val="0"/>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17.合同中止与终止</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17.1合同的中止</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（1）合同在履行过程中，因采购计划调整，甲方可以要求中止履行，待计划确定后继续履行；</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（2）合同履行过程中因供应商就采购过程或结果提起投诉的，甲方认为有必要或财政部门责令中止的，应当中止合同的履行。</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17.2合同的终止</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（1）合同因有效期限届满而终止；</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（2）乙方未能依照本合同约定条件履行合同，已构成根本性违约的，甲方有权终止本合同，并追究乙方的违约责任。</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（3）如果乙方丧失履约能力或被宣告破产，甲方可在任何时候以书面形式通知乙方终止合同而不给乙方补偿。</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（5）如果合同的履行将损害国家利益或社会公共利益，甲方有权终止合同的履行，给乙方造成损失的予以相应补偿。</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18.合同转让和分包</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乙方不得以任何形式将合同约定的乙方义务转包。</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乙方未在投标文件中说明，不得将</w:t>
      </w:r>
      <w:r>
        <w:rPr>
          <w:rFonts w:hint="eastAsia" w:ascii="宋体" w:hAnsi="宋体" w:cs="宋体"/>
          <w:bCs/>
          <w:color w:val="auto"/>
          <w:sz w:val="24"/>
          <w:highlight w:val="none"/>
        </w:rPr>
        <w:t>合同约定的乙方义务</w:t>
      </w:r>
      <w:r>
        <w:rPr>
          <w:rFonts w:hint="eastAsia" w:ascii="宋体" w:hAnsi="宋体" w:cs="宋体"/>
          <w:color w:val="auto"/>
          <w:sz w:val="24"/>
          <w:highlight w:val="none"/>
        </w:rPr>
        <w:t>分包给他人。</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根据政府采购</w:t>
      </w:r>
      <w:r>
        <w:rPr>
          <w:rFonts w:hint="eastAsia" w:ascii="宋体" w:hAnsi="宋体" w:cs="宋体"/>
          <w:bCs/>
          <w:color w:val="auto"/>
          <w:kern w:val="0"/>
          <w:sz w:val="24"/>
          <w:highlight w:val="none"/>
        </w:rPr>
        <w:t>支持</w:t>
      </w:r>
      <w:r>
        <w:rPr>
          <w:rFonts w:hint="eastAsia" w:ascii="宋体" w:hAnsi="宋体" w:cs="宋体"/>
          <w:color w:val="auto"/>
          <w:sz w:val="24"/>
          <w:highlight w:val="none"/>
        </w:rPr>
        <w:t>中小企业发展政策规定，经甲方同意，获得政府采购合同的大型企业可依法向中小企业分包。</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19.供应商的广告或宣传</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 未经甲方事先书面许可，乙方不得以履行本政府采购合同为由，以广告或其他形式宣称其是政府采购指定供应商或其产品是政府采购指定产品。</w:t>
      </w:r>
    </w:p>
    <w:p>
      <w:pPr>
        <w:autoSpaceDE w:val="0"/>
        <w:autoSpaceDN w:val="0"/>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20.不可抗力</w:t>
      </w:r>
    </w:p>
    <w:p>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20.1 不可抗力是指合同双方不可预见、不可避免、不可克服的自然灾害和社会事件。</w:t>
      </w:r>
    </w:p>
    <w:p>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20.2 任何一方对由于不可抗力造成的部分或全部不能履行合同不承担违约责任。但迟延履行后发生不可抗力的，不能免除责任。</w:t>
      </w:r>
    </w:p>
    <w:p>
      <w:pPr>
        <w:pStyle w:val="278"/>
        <w:adjustRightInd w:val="0"/>
        <w:snapToGrid w:val="0"/>
        <w:spacing w:line="40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20.3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21.解决争议的方法</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调解不成可以按</w:t>
      </w:r>
      <w:r>
        <w:rPr>
          <w:rFonts w:hint="eastAsia" w:ascii="宋体" w:hAnsi="宋体" w:cs="宋体"/>
          <w:b/>
          <w:color w:val="auto"/>
          <w:sz w:val="24"/>
          <w:highlight w:val="none"/>
        </w:rPr>
        <w:t>投标人须知前附表</w:t>
      </w:r>
      <w:r>
        <w:rPr>
          <w:rFonts w:hint="eastAsia" w:ascii="宋体" w:hAnsi="宋体" w:cs="宋体"/>
          <w:color w:val="auto"/>
          <w:sz w:val="24"/>
          <w:highlight w:val="none"/>
        </w:rPr>
        <w:t>中规定下列方式之一提起仲裁或诉讼：</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（1）向甲方所在地仲裁机构提起仲裁；</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（2）向甲方所在地人民法院提起诉讼。</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如仲裁或诉讼事项不影响合同其他部分的履行，则在仲裁或诉讼期间，除正在进行仲裁或诉讼的部分外，合同的其他部分应继续执行。</w:t>
      </w:r>
    </w:p>
    <w:p>
      <w:pPr>
        <w:autoSpaceDE w:val="0"/>
        <w:autoSpaceDN w:val="0"/>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22.法律适用</w:t>
      </w:r>
    </w:p>
    <w:p>
      <w:pPr>
        <w:autoSpaceDE w:val="0"/>
        <w:autoSpaceDN w:val="0"/>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400" w:lineRule="exact"/>
        <w:rPr>
          <w:rFonts w:ascii="宋体" w:hAnsi="宋体" w:cs="宋体"/>
          <w:b/>
          <w:color w:val="auto"/>
          <w:sz w:val="24"/>
          <w:highlight w:val="none"/>
        </w:rPr>
      </w:pPr>
      <w:r>
        <w:rPr>
          <w:rFonts w:hint="eastAsia" w:ascii="宋体" w:hAnsi="宋体" w:cs="宋体"/>
          <w:b/>
          <w:bCs/>
          <w:color w:val="auto"/>
          <w:sz w:val="24"/>
          <w:highlight w:val="none"/>
        </w:rPr>
        <w:t>23.</w:t>
      </w:r>
      <w:r>
        <w:rPr>
          <w:rFonts w:hint="eastAsia" w:ascii="宋体" w:hAnsi="宋体" w:cs="宋体"/>
          <w:b/>
          <w:color w:val="auto"/>
          <w:sz w:val="24"/>
          <w:highlight w:val="none"/>
        </w:rPr>
        <w:t>通知</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23.1本合同一方给另一方的通知均应采用书面形式，传真或快递送到本合同中规定的对方的地址和办理签收手续，</w:t>
      </w:r>
    </w:p>
    <w:p>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23.2通知以送到之日或通知书中规定的生效之日起生效，两者中以较迟之日为准。</w:t>
      </w:r>
    </w:p>
    <w:p>
      <w:pPr>
        <w:adjustRightInd w:val="0"/>
        <w:snapToGrid w:val="0"/>
        <w:spacing w:line="400" w:lineRule="exact"/>
        <w:rPr>
          <w:rFonts w:ascii="宋体" w:hAnsi="宋体" w:cs="宋体"/>
          <w:b/>
          <w:bCs/>
          <w:color w:val="auto"/>
          <w:sz w:val="24"/>
          <w:highlight w:val="none"/>
        </w:rPr>
      </w:pPr>
      <w:r>
        <w:rPr>
          <w:rFonts w:hint="eastAsia" w:ascii="宋体" w:hAnsi="宋体" w:cs="宋体"/>
          <w:b/>
          <w:bCs/>
          <w:color w:val="auto"/>
          <w:sz w:val="24"/>
          <w:highlight w:val="none"/>
        </w:rPr>
        <w:t>24.合同未尽事项</w:t>
      </w:r>
    </w:p>
    <w:p>
      <w:pPr>
        <w:adjustRightInd w:val="0"/>
        <w:snapToGrid w:val="0"/>
        <w:spacing w:line="40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24.1合同未尽事项见</w:t>
      </w:r>
      <w:r>
        <w:rPr>
          <w:rFonts w:hint="eastAsia" w:ascii="宋体" w:hAnsi="宋体" w:cs="宋体"/>
          <w:b/>
          <w:color w:val="auto"/>
          <w:sz w:val="24"/>
          <w:highlight w:val="none"/>
        </w:rPr>
        <w:t>投标人须知前附表。</w:t>
      </w:r>
    </w:p>
    <w:p>
      <w:pPr>
        <w:adjustRightInd w:val="0"/>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25.合同份数及生效</w:t>
      </w:r>
    </w:p>
    <w:p>
      <w:pPr>
        <w:adjustRightInd w:val="0"/>
        <w:snapToGrid w:val="0"/>
        <w:spacing w:line="400" w:lineRule="exact"/>
        <w:ind w:firstLine="420"/>
        <w:rPr>
          <w:rFonts w:ascii="宋体" w:hAnsi="宋体" w:cs="宋体"/>
          <w:color w:val="auto"/>
          <w:sz w:val="24"/>
          <w:highlight w:val="none"/>
        </w:rPr>
      </w:pPr>
      <w:r>
        <w:rPr>
          <w:rFonts w:hint="eastAsia" w:ascii="宋体" w:hAnsi="宋体" w:cs="宋体"/>
          <w:color w:val="auto"/>
          <w:sz w:val="24"/>
          <w:highlight w:val="none"/>
        </w:rPr>
        <w:t>25.1合同份数见</w:t>
      </w:r>
      <w:r>
        <w:rPr>
          <w:rFonts w:hint="eastAsia" w:ascii="宋体" w:hAnsi="宋体" w:cs="宋体"/>
          <w:b/>
          <w:color w:val="auto"/>
          <w:sz w:val="24"/>
          <w:highlight w:val="none"/>
        </w:rPr>
        <w:t>投标人须知前附表</w:t>
      </w:r>
      <w:r>
        <w:rPr>
          <w:rFonts w:hint="eastAsia" w:ascii="宋体" w:hAnsi="宋体" w:cs="宋体"/>
          <w:color w:val="auto"/>
          <w:sz w:val="24"/>
          <w:highlight w:val="none"/>
        </w:rPr>
        <w:t>。</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25.2合同自甲乙双方法定代表人或授权代表签字并加盖单位公章之日起生效。</w:t>
      </w:r>
    </w:p>
    <w:p>
      <w:pPr>
        <w:snapToGrid w:val="0"/>
        <w:spacing w:line="400" w:lineRule="exact"/>
        <w:jc w:val="center"/>
        <w:rPr>
          <w:rFonts w:ascii="宋体" w:hAnsi="宋体" w:cs="宋体"/>
          <w:b/>
          <w:color w:val="auto"/>
          <w:sz w:val="24"/>
          <w:highlight w:val="none"/>
        </w:rPr>
      </w:pPr>
    </w:p>
    <w:p>
      <w:pPr>
        <w:snapToGrid w:val="0"/>
        <w:spacing w:line="400" w:lineRule="exact"/>
        <w:jc w:val="center"/>
        <w:rPr>
          <w:rFonts w:ascii="宋体" w:hAnsi="宋体" w:cs="宋体"/>
          <w:b/>
          <w:color w:val="auto"/>
          <w:sz w:val="24"/>
          <w:highlight w:val="none"/>
        </w:rPr>
      </w:pPr>
    </w:p>
    <w:p>
      <w:pPr>
        <w:snapToGrid w:val="0"/>
        <w:spacing w:line="400" w:lineRule="exact"/>
        <w:jc w:val="center"/>
        <w:rPr>
          <w:rFonts w:ascii="宋体" w:hAnsi="宋体" w:cs="宋体"/>
          <w:b/>
          <w:color w:val="auto"/>
          <w:sz w:val="24"/>
          <w:highlight w:val="none"/>
        </w:rPr>
      </w:pPr>
    </w:p>
    <w:p>
      <w:pPr>
        <w:widowControl/>
        <w:numPr>
          <w:ilvl w:val="0"/>
          <w:numId w:val="11"/>
        </w:numPr>
        <w:spacing w:line="400" w:lineRule="exact"/>
        <w:jc w:val="center"/>
        <w:outlineLvl w:val="0"/>
        <w:rPr>
          <w:rFonts w:ascii="宋体" w:hAnsi="宋体" w:cs="宋体"/>
          <w:b/>
          <w:color w:val="auto"/>
          <w:sz w:val="24"/>
          <w:highlight w:val="none"/>
        </w:rPr>
      </w:pPr>
      <w:bookmarkStart w:id="3" w:name="_Toc10316"/>
      <w:r>
        <w:rPr>
          <w:rFonts w:hint="eastAsia" w:ascii="宋体" w:hAnsi="宋体" w:cs="宋体"/>
          <w:b/>
          <w:color w:val="auto"/>
          <w:sz w:val="24"/>
          <w:highlight w:val="none"/>
        </w:rPr>
        <w:t>采购需求</w:t>
      </w:r>
      <w:bookmarkEnd w:id="3"/>
    </w:p>
    <w:p>
      <w:pPr>
        <w:spacing w:line="400" w:lineRule="exact"/>
        <w:rPr>
          <w:rFonts w:ascii="宋体" w:hAnsi="宋体" w:cs="宋体"/>
          <w:color w:val="auto"/>
          <w:sz w:val="24"/>
          <w:highlight w:val="none"/>
        </w:rPr>
        <w:sectPr>
          <w:headerReference r:id="rId5" w:type="first"/>
          <w:footerReference r:id="rId7" w:type="first"/>
          <w:headerReference r:id="rId3" w:type="default"/>
          <w:footerReference r:id="rId6" w:type="default"/>
          <w:headerReference r:id="rId4" w:type="even"/>
          <w:pgSz w:w="11906" w:h="16838"/>
          <w:pgMar w:top="1474" w:right="1797" w:bottom="1247" w:left="1797" w:header="851" w:footer="851" w:gutter="0"/>
          <w:cols w:space="720" w:num="1"/>
          <w:titlePg/>
          <w:docGrid w:linePitch="312" w:charSpace="0"/>
        </w:sectPr>
      </w:pPr>
      <w:bookmarkStart w:id="4" w:name="_Toc11193"/>
    </w:p>
    <w:tbl>
      <w:tblPr>
        <w:tblStyle w:val="52"/>
        <w:tblW w:w="1408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247"/>
        <w:gridCol w:w="10990"/>
        <w:gridCol w:w="884"/>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7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装备名称</w:t>
            </w:r>
          </w:p>
        </w:tc>
        <w:tc>
          <w:tcPr>
            <w:tcW w:w="1099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参数及规格</w:t>
            </w:r>
          </w:p>
        </w:tc>
        <w:tc>
          <w:tcPr>
            <w:tcW w:w="88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48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47"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执法记录仪</w:t>
            </w:r>
          </w:p>
        </w:tc>
        <w:tc>
          <w:tcPr>
            <w:tcW w:w="10990" w:type="dxa"/>
          </w:tcPr>
          <w:p>
            <w:pPr>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★结构：执法记录仪表面应光洁、平整</w:t>
            </w:r>
            <w:r>
              <w:rPr>
                <w:rFonts w:ascii="宋体" w:hAnsi="宋体" w:cs="宋体"/>
                <w:color w:val="auto"/>
                <w:sz w:val="24"/>
                <w:highlight w:val="none"/>
              </w:rPr>
              <w:t>,</w:t>
            </w:r>
            <w:r>
              <w:rPr>
                <w:rFonts w:hint="eastAsia" w:ascii="宋体" w:hAnsi="宋体" w:cs="宋体"/>
                <w:color w:val="auto"/>
                <w:sz w:val="24"/>
                <w:highlight w:val="none"/>
              </w:rPr>
              <w:t>不应有开裂、变形、划伤、毛刺、脱漆和缝隙等缺陷</w:t>
            </w:r>
            <w:r>
              <w:rPr>
                <w:rFonts w:ascii="宋体" w:hAnsi="宋体" w:cs="宋体"/>
                <w:color w:val="auto"/>
                <w:sz w:val="24"/>
                <w:highlight w:val="none"/>
              </w:rPr>
              <w:t>,</w:t>
            </w:r>
            <w:r>
              <w:rPr>
                <w:rFonts w:hint="eastAsia" w:ascii="宋体" w:hAnsi="宋体" w:cs="宋体"/>
                <w:color w:val="auto"/>
                <w:sz w:val="24"/>
                <w:highlight w:val="none"/>
              </w:rPr>
              <w:t>颜色、质地</w:t>
            </w:r>
            <w:r>
              <w:rPr>
                <w:rFonts w:ascii="宋体" w:hAnsi="宋体" w:cs="宋体"/>
                <w:color w:val="auto"/>
                <w:sz w:val="24"/>
                <w:highlight w:val="none"/>
              </w:rPr>
              <w:t>(</w:t>
            </w:r>
            <w:r>
              <w:rPr>
                <w:rFonts w:hint="eastAsia" w:ascii="宋体" w:hAnsi="宋体" w:cs="宋体"/>
                <w:color w:val="auto"/>
                <w:sz w:val="24"/>
                <w:highlight w:val="none"/>
              </w:rPr>
              <w:t>纹理</w:t>
            </w:r>
            <w:r>
              <w:rPr>
                <w:rFonts w:ascii="宋体" w:hAnsi="宋体" w:cs="宋体"/>
                <w:color w:val="auto"/>
                <w:sz w:val="24"/>
                <w:highlight w:val="none"/>
              </w:rPr>
              <w:t>)</w:t>
            </w:r>
            <w:r>
              <w:rPr>
                <w:rFonts w:hint="eastAsia" w:ascii="宋体" w:hAnsi="宋体" w:cs="宋体"/>
                <w:color w:val="auto"/>
                <w:sz w:val="24"/>
                <w:highlight w:val="none"/>
              </w:rPr>
              <w:t>不应有差异，采用内置可更换充电电池供电。</w:t>
            </w:r>
            <w:r>
              <w:rPr>
                <w:rFonts w:ascii="宋体" w:hAnsi="宋体" w:cs="宋体"/>
                <w:color w:val="auto"/>
                <w:sz w:val="24"/>
                <w:highlight w:val="none"/>
              </w:rPr>
              <w:t>2.</w:t>
            </w:r>
            <w:r>
              <w:rPr>
                <w:rFonts w:hint="eastAsia" w:ascii="宋体" w:hAnsi="宋体" w:cs="宋体"/>
                <w:color w:val="auto"/>
                <w:sz w:val="24"/>
                <w:highlight w:val="none"/>
              </w:rPr>
              <w:t xml:space="preserve"> ★视频编码格式：执法记录仪支持H.264及H.265编码格式，通过菜单可以切换编码格式。</w:t>
            </w:r>
            <w:r>
              <w:rPr>
                <w:rFonts w:ascii="宋体" w:hAnsi="宋体" w:cs="宋体"/>
                <w:color w:val="auto"/>
                <w:sz w:val="24"/>
                <w:highlight w:val="none"/>
              </w:rPr>
              <w:t>3.</w:t>
            </w:r>
            <w:r>
              <w:rPr>
                <w:rFonts w:hint="eastAsia" w:ascii="宋体" w:hAnsi="宋体" w:cs="宋体"/>
                <w:color w:val="auto"/>
                <w:sz w:val="24"/>
                <w:highlight w:val="none"/>
              </w:rPr>
              <w:t xml:space="preserve"> ★外形尺寸：≤72</w:t>
            </w:r>
            <w:r>
              <w:rPr>
                <w:rFonts w:ascii="宋体" w:hAnsi="宋体" w:cs="宋体"/>
                <w:color w:val="auto"/>
                <w:sz w:val="24"/>
                <w:highlight w:val="none"/>
              </w:rPr>
              <w:t>mm</w:t>
            </w:r>
            <w:r>
              <w:rPr>
                <w:rFonts w:hint="eastAsia" w:ascii="宋体" w:hAnsi="宋体" w:cs="宋体"/>
                <w:color w:val="auto"/>
                <w:sz w:val="24"/>
                <w:highlight w:val="none"/>
              </w:rPr>
              <w:t>×50</w:t>
            </w:r>
            <w:r>
              <w:rPr>
                <w:rFonts w:ascii="宋体" w:hAnsi="宋体" w:cs="宋体"/>
                <w:color w:val="auto"/>
                <w:sz w:val="24"/>
                <w:highlight w:val="none"/>
              </w:rPr>
              <w:t>mm</w:t>
            </w:r>
            <w:r>
              <w:rPr>
                <w:rFonts w:hint="eastAsia" w:ascii="宋体" w:hAnsi="宋体" w:cs="宋体"/>
                <w:color w:val="auto"/>
                <w:sz w:val="24"/>
                <w:highlight w:val="none"/>
              </w:rPr>
              <w:t>×29</w:t>
            </w:r>
            <w:r>
              <w:rPr>
                <w:rFonts w:ascii="宋体" w:hAnsi="宋体" w:cs="宋体"/>
                <w:color w:val="auto"/>
                <w:sz w:val="24"/>
                <w:highlight w:val="none"/>
              </w:rPr>
              <w:t>mm</w:t>
            </w:r>
            <w:r>
              <w:rPr>
                <w:rFonts w:hint="eastAsia" w:ascii="宋体" w:hAnsi="宋体" w:cs="宋体"/>
                <w:color w:val="auto"/>
                <w:sz w:val="24"/>
                <w:highlight w:val="none"/>
              </w:rPr>
              <w:t>（长X宽X高），执法记录仪质量（外接设备除外）应≤110g；4</w:t>
            </w:r>
            <w:r>
              <w:rPr>
                <w:rFonts w:ascii="宋体" w:hAnsi="宋体" w:cs="宋体"/>
                <w:color w:val="auto"/>
                <w:sz w:val="24"/>
                <w:highlight w:val="none"/>
              </w:rPr>
              <w:t>.存储：执法记录仪存储≥64GB</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外壳防护等级：应符合GB 4208-2008中IP68要求，满足水深1米下持续2小时要求。6</w:t>
            </w:r>
            <w:r>
              <w:rPr>
                <w:rFonts w:ascii="宋体" w:hAnsi="宋体" w:cs="宋体"/>
                <w:color w:val="auto"/>
                <w:sz w:val="24"/>
                <w:highlight w:val="none"/>
              </w:rPr>
              <w:t>.</w:t>
            </w:r>
            <w:r>
              <w:rPr>
                <w:rFonts w:hint="eastAsia" w:ascii="宋体" w:hAnsi="宋体" w:cs="宋体"/>
                <w:color w:val="auto"/>
                <w:sz w:val="24"/>
                <w:highlight w:val="none"/>
              </w:rPr>
              <w:t>摄录：在取景预览模式下，按下相应键，执法记录仪应自动开始记录视音频信息；按下停止键，执法记录仪应停止记录并且保存记录内容。</w:t>
            </w:r>
            <w:r>
              <w:rPr>
                <w:rFonts w:ascii="宋体" w:hAnsi="宋体" w:cs="宋体"/>
                <w:color w:val="auto"/>
                <w:sz w:val="24"/>
                <w:highlight w:val="none"/>
              </w:rPr>
              <w:t>7.</w:t>
            </w:r>
            <w:r>
              <w:rPr>
                <w:rFonts w:hint="eastAsia" w:ascii="宋体" w:hAnsi="宋体" w:cs="宋体"/>
                <w:color w:val="auto"/>
                <w:sz w:val="24"/>
                <w:highlight w:val="none"/>
              </w:rPr>
              <w:t>★执法记录仪应能在回放模式显示全场白测试信号。全场白和全场黑测试信号亮度值的比应大于或等于15</w:t>
            </w:r>
            <w:r>
              <w:rPr>
                <w:rFonts w:ascii="宋体" w:hAnsi="宋体" w:cs="宋体"/>
                <w:color w:val="auto"/>
                <w:sz w:val="24"/>
                <w:highlight w:val="none"/>
              </w:rPr>
              <w:t>00:1</w:t>
            </w:r>
            <w:r>
              <w:rPr>
                <w:rFonts w:hint="eastAsia" w:ascii="宋体" w:hAnsi="宋体" w:cs="宋体"/>
                <w:color w:val="auto"/>
                <w:sz w:val="24"/>
                <w:highlight w:val="none"/>
              </w:rPr>
              <w:t>。8</w:t>
            </w:r>
            <w:r>
              <w:rPr>
                <w:rFonts w:ascii="宋体" w:hAnsi="宋体" w:cs="宋体"/>
                <w:color w:val="auto"/>
                <w:sz w:val="24"/>
                <w:highlight w:val="none"/>
              </w:rPr>
              <w:t>.</w:t>
            </w:r>
            <w:r>
              <w:rPr>
                <w:rFonts w:hint="eastAsia" w:ascii="宋体" w:hAnsi="宋体" w:cs="宋体"/>
                <w:color w:val="auto"/>
                <w:sz w:val="24"/>
                <w:highlight w:val="none"/>
              </w:rPr>
              <w:t>本机浏览、检索和回放：执法记录仪应具有以时间等方式浏览和回放本机存储的视音频、音频、照片等信息的功能。9</w:t>
            </w:r>
            <w:r>
              <w:rPr>
                <w:rFonts w:ascii="宋体" w:hAnsi="宋体" w:cs="宋体"/>
                <w:color w:val="auto"/>
                <w:sz w:val="24"/>
                <w:highlight w:val="none"/>
              </w:rPr>
              <w:t>.</w:t>
            </w:r>
            <w:r>
              <w:rPr>
                <w:rFonts w:hint="eastAsia" w:ascii="宋体" w:hAnsi="宋体" w:cs="宋体"/>
                <w:color w:val="auto"/>
                <w:sz w:val="24"/>
                <w:highlight w:val="none"/>
              </w:rPr>
              <w:t>异常报警：执法记录仪应具有电池欠压、存储溢出报警功能，外接摄像头的执法记录仪应有视频丢失报警功能。电池欠压报警后电池剩余容量应能保证执法记录仪正常摄录不少于5min，但不超过30min。</w:t>
            </w:r>
            <w:r>
              <w:rPr>
                <w:rFonts w:ascii="宋体" w:hAnsi="宋体" w:cs="宋体"/>
                <w:color w:val="auto"/>
                <w:sz w:val="24"/>
                <w:highlight w:val="none"/>
              </w:rPr>
              <w:t>10.</w:t>
            </w:r>
            <w:r>
              <w:rPr>
                <w:rFonts w:hint="eastAsia" w:ascii="宋体" w:hAnsi="宋体" w:cs="宋体"/>
                <w:color w:val="auto"/>
                <w:sz w:val="24"/>
                <w:highlight w:val="none"/>
              </w:rPr>
              <w:t>夜视功能：执法记录仪应具有夜视功能，在开启夜视功能后，有效拍摄距离应满足说明书的要求，且不低于5m，有效拍摄距离处应能看清人物面部特征，具有红外补光功能的设备，红外补光范围3m处应覆盖摄录画面70%以上面积。1</w:t>
            </w:r>
            <w:r>
              <w:rPr>
                <w:rFonts w:ascii="宋体" w:hAnsi="宋体" w:cs="宋体"/>
                <w:color w:val="auto"/>
                <w:sz w:val="24"/>
                <w:highlight w:val="none"/>
              </w:rPr>
              <w:t>1.</w:t>
            </w:r>
            <w:r>
              <w:rPr>
                <w:rFonts w:hint="eastAsia" w:ascii="宋体" w:hAnsi="宋体" w:cs="宋体"/>
                <w:color w:val="auto"/>
                <w:sz w:val="24"/>
                <w:highlight w:val="none"/>
              </w:rPr>
              <w:t>水平视场角：执法记录仪摄像头的水平视场角在生产厂声明的所有分辨率条件下均应大于或等于120°。</w:t>
            </w:r>
            <w:r>
              <w:rPr>
                <w:rFonts w:ascii="宋体" w:hAnsi="宋体" w:cs="宋体"/>
                <w:color w:val="auto"/>
                <w:sz w:val="24"/>
                <w:highlight w:val="none"/>
              </w:rPr>
              <w:t>12.※</w:t>
            </w:r>
            <w:r>
              <w:rPr>
                <w:rFonts w:hint="eastAsia" w:ascii="宋体" w:hAnsi="宋体" w:cs="宋体"/>
                <w:color w:val="auto"/>
                <w:sz w:val="24"/>
                <w:highlight w:val="none"/>
              </w:rPr>
              <w:t>几何失真：执法记录仪的视频的生产厂声明的所有分辨率条件下几何失真应小于或等于5.5%。1</w:t>
            </w:r>
            <w:r>
              <w:rPr>
                <w:rFonts w:ascii="宋体" w:hAnsi="宋体" w:cs="宋体"/>
                <w:color w:val="auto"/>
                <w:sz w:val="24"/>
                <w:highlight w:val="none"/>
              </w:rPr>
              <w:t>3.</w:t>
            </w:r>
            <w:r>
              <w:rPr>
                <w:rFonts w:hint="eastAsia" w:ascii="宋体" w:hAnsi="宋体" w:cs="宋体"/>
                <w:color w:val="auto"/>
                <w:sz w:val="24"/>
                <w:highlight w:val="none"/>
              </w:rPr>
              <w:t>视音频预录功能：执法记录仪应能预录触发前大于或等于10s的视音频信息。1</w:t>
            </w:r>
            <w:r>
              <w:rPr>
                <w:rFonts w:ascii="宋体" w:hAnsi="宋体" w:cs="宋体"/>
                <w:color w:val="auto"/>
                <w:sz w:val="24"/>
                <w:highlight w:val="none"/>
              </w:rPr>
              <w:t>4.</w:t>
            </w:r>
            <w:r>
              <w:rPr>
                <w:rFonts w:hint="eastAsia" w:ascii="宋体" w:hAnsi="宋体" w:cs="宋体"/>
                <w:color w:val="auto"/>
                <w:sz w:val="24"/>
                <w:highlight w:val="none"/>
              </w:rPr>
              <w:t>视频分辨率：执法记录仪在视频分辨率2560X1440下，视频分辨力应≥1000线，帧率为30帧/s。1</w:t>
            </w:r>
            <w:r>
              <w:rPr>
                <w:rFonts w:ascii="宋体" w:hAnsi="宋体" w:cs="宋体"/>
                <w:color w:val="auto"/>
                <w:sz w:val="24"/>
                <w:highlight w:val="none"/>
              </w:rPr>
              <w:t>5.</w:t>
            </w:r>
            <w:r>
              <w:rPr>
                <w:rFonts w:hint="eastAsia" w:ascii="宋体" w:hAnsi="宋体" w:cs="宋体"/>
                <w:color w:val="auto"/>
                <w:sz w:val="24"/>
                <w:highlight w:val="none"/>
              </w:rPr>
              <w:t>照片分辨力：在任何分辨率下，照片分辨力≥1100线。1</w:t>
            </w:r>
            <w:r>
              <w:rPr>
                <w:rFonts w:ascii="宋体" w:hAnsi="宋体" w:cs="宋体"/>
                <w:color w:val="auto"/>
                <w:sz w:val="24"/>
                <w:highlight w:val="none"/>
              </w:rPr>
              <w:t>6.</w:t>
            </w:r>
            <w:r>
              <w:rPr>
                <w:rFonts w:hint="eastAsia" w:ascii="宋体" w:hAnsi="宋体" w:cs="宋体"/>
                <w:color w:val="auto"/>
                <w:sz w:val="24"/>
                <w:highlight w:val="none"/>
              </w:rPr>
              <w:t>最大记录间隔时间：执法记录仪采用自动分段记录方式记录时，相邻两段间最大记录间隔时间应小于等于0.05s。1</w:t>
            </w:r>
            <w:r>
              <w:rPr>
                <w:rFonts w:ascii="宋体" w:hAnsi="宋体" w:cs="宋体"/>
                <w:color w:val="auto"/>
                <w:sz w:val="24"/>
                <w:highlight w:val="none"/>
              </w:rPr>
              <w:t>7.</w:t>
            </w:r>
            <w:r>
              <w:rPr>
                <w:rFonts w:hint="eastAsia" w:ascii="宋体" w:hAnsi="宋体" w:cs="宋体"/>
                <w:color w:val="auto"/>
                <w:sz w:val="24"/>
                <w:highlight w:val="none"/>
              </w:rPr>
              <w:t>自由跌落：裸机跌落高度2000mm，水泥地面，任意6面跌落5次，试验后功能应正常。</w:t>
            </w:r>
            <w:r>
              <w:rPr>
                <w:rFonts w:ascii="宋体" w:hAnsi="宋体" w:cs="宋体"/>
                <w:color w:val="auto"/>
                <w:sz w:val="24"/>
                <w:highlight w:val="none"/>
              </w:rPr>
              <w:t>18.※</w:t>
            </w:r>
            <w:r>
              <w:rPr>
                <w:rFonts w:hint="eastAsia" w:ascii="宋体" w:hAnsi="宋体" w:cs="宋体"/>
                <w:color w:val="auto"/>
                <w:sz w:val="24"/>
                <w:highlight w:val="none"/>
              </w:rPr>
              <w:t>单块电池工作时间：执法记录仪在视频分辨率1920*1080，帧率30帧/S下，单块电池连续摄录时间≥7小时。1</w:t>
            </w:r>
            <w:r>
              <w:rPr>
                <w:rFonts w:ascii="宋体" w:hAnsi="宋体" w:cs="宋体"/>
                <w:color w:val="auto"/>
                <w:sz w:val="24"/>
                <w:highlight w:val="none"/>
              </w:rPr>
              <w:t>9.</w:t>
            </w:r>
            <w:r>
              <w:rPr>
                <w:rFonts w:hint="eastAsia" w:ascii="宋体" w:hAnsi="宋体" w:cs="宋体"/>
                <w:color w:val="auto"/>
                <w:sz w:val="24"/>
                <w:highlight w:val="none"/>
              </w:rPr>
              <w:t>语音播报：设备支持语音播报功能，在开机、录像、录音、重点文件标记时进行语音播报，具有摄录时长播报及整点播报功能。</w:t>
            </w:r>
            <w:r>
              <w:rPr>
                <w:rFonts w:ascii="宋体" w:hAnsi="宋体" w:cs="宋体"/>
                <w:color w:val="auto"/>
                <w:sz w:val="24"/>
                <w:highlight w:val="none"/>
              </w:rPr>
              <w:t>20.</w:t>
            </w:r>
            <w:r>
              <w:rPr>
                <w:rFonts w:hint="eastAsia" w:ascii="宋体" w:hAnsi="宋体" w:cs="宋体"/>
                <w:color w:val="auto"/>
                <w:sz w:val="24"/>
                <w:highlight w:val="none"/>
              </w:rPr>
              <w:t>紧急摄录功能：设备支持在摄录过程中发生撞击，可自动保存录像文件并重新进入摄录模式，支持在待机状态下发生撞击时，可自动进入摄录模式。</w:t>
            </w:r>
            <w:r>
              <w:rPr>
                <w:rFonts w:ascii="宋体" w:hAnsi="宋体" w:cs="宋体"/>
                <w:color w:val="auto"/>
                <w:sz w:val="24"/>
                <w:highlight w:val="none"/>
              </w:rPr>
              <w:t>21.</w:t>
            </w:r>
            <w:r>
              <w:rPr>
                <w:rFonts w:hint="eastAsia" w:ascii="宋体" w:hAnsi="宋体" w:cs="宋体"/>
                <w:color w:val="auto"/>
                <w:sz w:val="24"/>
                <w:highlight w:val="none"/>
              </w:rPr>
              <w:t xml:space="preserve"> ★密码保护：设备录制的视音频具有加密功能，可通过菜单控制加密功能开启/关闭，当加密功能开启后，设备能自动对摄录的视音频文件进行加密，并形成机密视频文件，经加密的视音频文件需要解密工具才能播放。2</w:t>
            </w:r>
            <w:r>
              <w:rPr>
                <w:rFonts w:ascii="宋体" w:hAnsi="宋体" w:cs="宋体"/>
                <w:color w:val="auto"/>
                <w:sz w:val="24"/>
                <w:highlight w:val="none"/>
              </w:rPr>
              <w:t>2.</w:t>
            </w:r>
            <w:r>
              <w:rPr>
                <w:rFonts w:hint="eastAsia" w:ascii="宋体" w:hAnsi="宋体" w:cs="宋体"/>
                <w:color w:val="auto"/>
                <w:sz w:val="24"/>
                <w:highlight w:val="none"/>
              </w:rPr>
              <w:t>绑定设置功能：设备支持民警或使用人“一对一”绑定设置功能。2</w:t>
            </w:r>
            <w:r>
              <w:rPr>
                <w:rFonts w:ascii="宋体" w:hAnsi="宋体" w:cs="宋体"/>
                <w:color w:val="auto"/>
                <w:sz w:val="24"/>
                <w:highlight w:val="none"/>
              </w:rPr>
              <w:t>3.</w:t>
            </w:r>
            <w:r>
              <w:rPr>
                <w:rFonts w:hint="eastAsia" w:ascii="宋体" w:hAnsi="宋体" w:cs="宋体"/>
                <w:color w:val="auto"/>
                <w:sz w:val="24"/>
                <w:highlight w:val="none"/>
              </w:rPr>
              <w:t>红蓝报警灯：设备支持红蓝声光警示。</w:t>
            </w:r>
            <w:r>
              <w:rPr>
                <w:rFonts w:ascii="宋体" w:hAnsi="宋体" w:cs="宋体"/>
                <w:color w:val="auto"/>
                <w:sz w:val="24"/>
                <w:highlight w:val="none"/>
              </w:rPr>
              <w:t>24.</w:t>
            </w:r>
            <w:r>
              <w:rPr>
                <w:rFonts w:hint="eastAsia" w:ascii="宋体" w:hAnsi="宋体" w:cs="宋体"/>
                <w:color w:val="auto"/>
                <w:sz w:val="24"/>
                <w:highlight w:val="none"/>
              </w:rPr>
              <w:t>★耐久性：对执法仪电源开关以及可动部件按照</w:t>
            </w:r>
            <w:r>
              <w:rPr>
                <w:rFonts w:ascii="宋体" w:hAnsi="宋体" w:cs="宋体"/>
                <w:color w:val="auto"/>
                <w:sz w:val="24"/>
                <w:highlight w:val="none"/>
              </w:rPr>
              <w:t>5000</w:t>
            </w:r>
            <w:r>
              <w:rPr>
                <w:rFonts w:hint="eastAsia" w:ascii="宋体" w:hAnsi="宋体" w:cs="宋体"/>
                <w:color w:val="auto"/>
                <w:sz w:val="24"/>
                <w:highlight w:val="none"/>
              </w:rPr>
              <w:t>次耐久性测试，测试后样机应能正常工作。</w:t>
            </w:r>
            <w:r>
              <w:rPr>
                <w:rFonts w:ascii="宋体" w:hAnsi="宋体" w:cs="宋体"/>
                <w:color w:val="auto"/>
                <w:sz w:val="24"/>
                <w:highlight w:val="none"/>
              </w:rPr>
              <w:t>25.</w:t>
            </w:r>
            <w:r>
              <w:rPr>
                <w:rFonts w:hint="eastAsia" w:ascii="宋体" w:hAnsi="宋体" w:cs="宋体"/>
                <w:color w:val="auto"/>
                <w:sz w:val="24"/>
                <w:highlight w:val="none"/>
              </w:rPr>
              <w:t xml:space="preserve"> ★标人需提供由公安部检测中心检测出具的符合《GA/T 947-2015单警执法视音频记录系统》行业标准的设备检测报告，投标产品规格参数以检测报告为准（复印件加盖产品制造商公章）。若投标人提供未加盖设备制造商公章的检测报告视为未提供；若某项技术规格在检测报告中未体现或者在技术规格偏离表中未标明对应的检验结果在检测报告中的页码及序号视为该项技术规格负偏离。</w:t>
            </w:r>
          </w:p>
        </w:tc>
        <w:tc>
          <w:tcPr>
            <w:tcW w:w="88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台</w:t>
            </w:r>
          </w:p>
        </w:tc>
        <w:tc>
          <w:tcPr>
            <w:tcW w:w="48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47"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无人机</w:t>
            </w:r>
          </w:p>
        </w:tc>
        <w:tc>
          <w:tcPr>
            <w:tcW w:w="10990"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★1.飞行器图传距离大于等于12公里；2.飞行器最大飞行时间大于50分钟；★3.飞行器最大水平飞行速度不低于15m/s，最大上升速度不低于5m/s；★4.飞行器最大可承受风速不低于15 m/s （7级风）5、飞行器电池支持热替换功能；</w:t>
            </w:r>
            <w:r>
              <w:rPr>
                <w:rFonts w:ascii="宋体" w:hAnsi="宋体" w:cs="宋体"/>
                <w:color w:val="auto"/>
                <w:sz w:val="24"/>
                <w:highlight w:val="none"/>
              </w:rPr>
              <w:t>6</w:t>
            </w:r>
            <w:r>
              <w:rPr>
                <w:rFonts w:hint="eastAsia" w:ascii="宋体" w:hAnsi="宋体" w:cs="宋体"/>
                <w:color w:val="auto"/>
                <w:sz w:val="24"/>
                <w:highlight w:val="none"/>
              </w:rPr>
              <w:t>、飞行器支持智能跟踪功能7、飞行器的前、后、上、下、左、右均具备双目视觉系统；探测到附近障碍物时，飞行器能发出警示信息；距离障碍物距离较近时，飞行器能主动刹停★8.飞行器能够同时支持下置双云台与上置单云台，云台相机：支持变焦功能，不低于2000 万像素、支持热成像功能，不低于640×512、9、★支持广角相机功能，不低于1200 万像素、支持激光测距功能，最大测量范围不低于1000 米、云台相机达IP44防护等级</w:t>
            </w:r>
          </w:p>
          <w:p>
            <w:pPr>
              <w:spacing w:line="400" w:lineRule="exact"/>
              <w:rPr>
                <w:rFonts w:ascii="宋体" w:hAnsi="宋体" w:cs="宋体"/>
                <w:color w:val="auto"/>
                <w:sz w:val="24"/>
                <w:highlight w:val="none"/>
              </w:rPr>
            </w:pPr>
            <w:r>
              <w:rPr>
                <w:rFonts w:hint="eastAsia" w:ascii="宋体" w:hAnsi="宋体" w:cs="宋体"/>
                <w:color w:val="auto"/>
                <w:sz w:val="24"/>
                <w:highlight w:val="none"/>
              </w:rPr>
              <w:t>9.飞行器达IP45防护等级</w:t>
            </w:r>
          </w:p>
        </w:tc>
        <w:tc>
          <w:tcPr>
            <w:tcW w:w="88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台</w:t>
            </w:r>
          </w:p>
        </w:tc>
        <w:tc>
          <w:tcPr>
            <w:tcW w:w="48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r>
    </w:tbl>
    <w:p>
      <w:pPr>
        <w:pStyle w:val="2"/>
        <w:spacing w:line="400" w:lineRule="exact"/>
        <w:rPr>
          <w:rFonts w:ascii="宋体" w:hAnsi="宋体" w:cs="宋体"/>
          <w:color w:val="auto"/>
          <w:szCs w:val="24"/>
          <w:highlight w:val="none"/>
        </w:rPr>
      </w:pPr>
    </w:p>
    <w:p>
      <w:pPr>
        <w:spacing w:line="400" w:lineRule="exact"/>
        <w:jc w:val="center"/>
        <w:outlineLvl w:val="0"/>
        <w:rPr>
          <w:rFonts w:ascii="宋体" w:hAnsi="宋体" w:cs="宋体"/>
          <w:b/>
          <w:bCs/>
          <w:color w:val="auto"/>
          <w:sz w:val="24"/>
          <w:highlight w:val="none"/>
        </w:rPr>
        <w:sectPr>
          <w:pgSz w:w="16838" w:h="11906" w:orient="landscape"/>
          <w:pgMar w:top="1797" w:right="1474" w:bottom="1797" w:left="1247" w:header="851" w:footer="851" w:gutter="0"/>
          <w:cols w:space="720" w:num="1"/>
          <w:titlePg/>
          <w:docGrid w:linePitch="312" w:charSpace="0"/>
        </w:sectPr>
      </w:pPr>
    </w:p>
    <w:p>
      <w:pPr>
        <w:spacing w:line="400" w:lineRule="exact"/>
        <w:jc w:val="center"/>
        <w:outlineLvl w:val="0"/>
        <w:rPr>
          <w:rFonts w:ascii="宋体" w:hAnsi="宋体" w:cs="宋体"/>
          <w:b/>
          <w:bCs/>
          <w:color w:val="auto"/>
          <w:sz w:val="24"/>
          <w:highlight w:val="none"/>
        </w:rPr>
        <w:sectPr>
          <w:pgSz w:w="11906" w:h="16838"/>
          <w:pgMar w:top="1474" w:right="1797" w:bottom="1247" w:left="1797" w:header="851" w:footer="851" w:gutter="0"/>
          <w:cols w:space="720" w:num="1"/>
          <w:titlePg/>
          <w:docGrid w:linePitch="312" w:charSpace="0"/>
        </w:sectPr>
      </w:pPr>
    </w:p>
    <w:p>
      <w:pPr>
        <w:spacing w:line="400" w:lineRule="exact"/>
        <w:jc w:val="center"/>
        <w:outlineLvl w:val="0"/>
        <w:rPr>
          <w:rFonts w:ascii="宋体" w:hAnsi="宋体" w:cs="宋体"/>
          <w:b/>
          <w:bCs/>
          <w:color w:val="auto"/>
          <w:sz w:val="24"/>
          <w:highlight w:val="none"/>
        </w:rPr>
      </w:pPr>
      <w:r>
        <w:rPr>
          <w:rFonts w:hint="eastAsia" w:ascii="宋体" w:hAnsi="宋体" w:cs="宋体"/>
          <w:b/>
          <w:bCs/>
          <w:color w:val="auto"/>
          <w:sz w:val="24"/>
          <w:highlight w:val="none"/>
        </w:rPr>
        <w:t>第四部分  合同格式（参考）</w:t>
      </w:r>
      <w:bookmarkEnd w:id="4"/>
    </w:p>
    <w:p>
      <w:pPr>
        <w:spacing w:line="400" w:lineRule="exact"/>
        <w:ind w:right="1680"/>
        <w:jc w:val="right"/>
        <w:rPr>
          <w:rFonts w:ascii="宋体" w:hAnsi="宋体" w:cs="宋体"/>
          <w:color w:val="auto"/>
          <w:sz w:val="24"/>
          <w:highlight w:val="none"/>
        </w:rPr>
      </w:pPr>
      <w:r>
        <w:rPr>
          <w:rFonts w:hint="eastAsia" w:ascii="宋体" w:hAnsi="宋体" w:cs="宋体"/>
          <w:color w:val="auto"/>
          <w:sz w:val="24"/>
          <w:highlight w:val="none"/>
        </w:rPr>
        <w:t xml:space="preserve">合同编号： </w:t>
      </w:r>
    </w:p>
    <w:p>
      <w:pPr>
        <w:spacing w:line="400" w:lineRule="exact"/>
        <w:ind w:right="1680"/>
        <w:rPr>
          <w:rFonts w:ascii="宋体" w:hAnsi="宋体" w:cs="宋体"/>
          <w:color w:val="auto"/>
          <w:sz w:val="24"/>
          <w:highlight w:val="none"/>
          <w:u w:val="single"/>
        </w:rPr>
      </w:pPr>
      <w:bookmarkStart w:id="5" w:name="_Toc21707"/>
      <w:r>
        <w:rPr>
          <w:rFonts w:hint="eastAsia" w:ascii="宋体" w:hAnsi="宋体" w:cs="宋体"/>
          <w:color w:val="auto"/>
          <w:sz w:val="24"/>
          <w:highlight w:val="none"/>
        </w:rPr>
        <w:t>签约地点：乌鲁木齐市</w:t>
      </w:r>
      <w:bookmarkEnd w:id="5"/>
    </w:p>
    <w:p>
      <w:pPr>
        <w:spacing w:line="400" w:lineRule="exact"/>
        <w:rPr>
          <w:rFonts w:ascii="宋体" w:hAnsi="宋体" w:cs="宋体"/>
          <w:color w:val="auto"/>
          <w:sz w:val="24"/>
          <w:highlight w:val="none"/>
        </w:rPr>
      </w:pPr>
      <w:r>
        <w:rPr>
          <w:rFonts w:hint="eastAsia" w:ascii="宋体" w:hAnsi="宋体" w:cs="宋体"/>
          <w:color w:val="auto"/>
          <w:sz w:val="24"/>
          <w:highlight w:val="none"/>
        </w:rPr>
        <w:t>甲方（买方）：新疆维吾尔自治区农业农村厅办公室</w:t>
      </w:r>
    </w:p>
    <w:p>
      <w:pPr>
        <w:spacing w:line="400" w:lineRule="exact"/>
        <w:rPr>
          <w:rFonts w:ascii="宋体" w:hAnsi="宋体" w:cs="宋体"/>
          <w:color w:val="auto"/>
          <w:sz w:val="24"/>
          <w:highlight w:val="none"/>
        </w:rPr>
      </w:pPr>
      <w:r>
        <w:rPr>
          <w:rFonts w:hint="eastAsia" w:ascii="宋体" w:hAnsi="宋体" w:cs="宋体"/>
          <w:color w:val="auto"/>
          <w:sz w:val="24"/>
          <w:highlight w:val="none"/>
        </w:rPr>
        <w:t>乙方（卖方）：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甲乙双方根据«中华人民共和国合同法»，在平等互利、协商一致的基础上，就乙方向甲方出售及授权以下设备（以下设备器械均简称设备）一事达成如下条款，并承诺共同遵守：</w:t>
      </w:r>
    </w:p>
    <w:tbl>
      <w:tblPr>
        <w:tblStyle w:val="51"/>
        <w:tblpPr w:leftFromText="180" w:rightFromText="180" w:vertAnchor="text" w:horzAnchor="page" w:tblpX="1873" w:tblpY="165"/>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03"/>
        <w:gridCol w:w="1671"/>
        <w:gridCol w:w="1005"/>
        <w:gridCol w:w="120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Align w:val="center"/>
          </w:tcPr>
          <w:p>
            <w:pPr>
              <w:spacing w:before="100" w:beforeAutospacing="1" w:line="400" w:lineRule="exact"/>
              <w:rPr>
                <w:rFonts w:ascii="宋体" w:hAnsi="宋体" w:cs="宋体"/>
                <w:b/>
                <w:bCs/>
                <w:color w:val="auto"/>
                <w:sz w:val="24"/>
                <w:highlight w:val="none"/>
              </w:rPr>
            </w:pPr>
            <w:r>
              <w:rPr>
                <w:rFonts w:hint="eastAsia" w:ascii="宋体" w:hAnsi="宋体" w:cs="宋体"/>
                <w:b/>
                <w:bCs/>
                <w:color w:val="auto"/>
                <w:sz w:val="24"/>
                <w:highlight w:val="none"/>
              </w:rPr>
              <w:t>设备名称</w:t>
            </w:r>
          </w:p>
        </w:tc>
        <w:tc>
          <w:tcPr>
            <w:tcW w:w="2003" w:type="dxa"/>
            <w:vAlign w:val="center"/>
          </w:tcPr>
          <w:p>
            <w:pPr>
              <w:spacing w:before="100" w:beforeAutospacing="1"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规格型号</w:t>
            </w:r>
          </w:p>
        </w:tc>
        <w:tc>
          <w:tcPr>
            <w:tcW w:w="1671" w:type="dxa"/>
            <w:vAlign w:val="center"/>
          </w:tcPr>
          <w:p>
            <w:pPr>
              <w:spacing w:before="100" w:beforeAutospacing="1"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厂家</w:t>
            </w:r>
          </w:p>
        </w:tc>
        <w:tc>
          <w:tcPr>
            <w:tcW w:w="1005" w:type="dxa"/>
            <w:vAlign w:val="center"/>
          </w:tcPr>
          <w:p>
            <w:pPr>
              <w:spacing w:before="100" w:beforeAutospacing="1"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201" w:type="dxa"/>
            <w:vAlign w:val="center"/>
          </w:tcPr>
          <w:p>
            <w:pPr>
              <w:spacing w:before="100" w:beforeAutospacing="1"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金额（元）</w:t>
            </w:r>
          </w:p>
        </w:tc>
        <w:tc>
          <w:tcPr>
            <w:tcW w:w="1635" w:type="dxa"/>
            <w:vAlign w:val="center"/>
          </w:tcPr>
          <w:p>
            <w:pPr>
              <w:spacing w:before="100" w:beforeAutospacing="1"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成交金额（元）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3" w:type="dxa"/>
            <w:vAlign w:val="center"/>
          </w:tcPr>
          <w:p>
            <w:pPr>
              <w:spacing w:line="400" w:lineRule="exact"/>
              <w:jc w:val="center"/>
              <w:rPr>
                <w:rFonts w:ascii="宋体" w:hAnsi="宋体" w:cs="宋体"/>
                <w:color w:val="auto"/>
                <w:sz w:val="24"/>
                <w:highlight w:val="none"/>
              </w:rPr>
            </w:pPr>
          </w:p>
        </w:tc>
        <w:tc>
          <w:tcPr>
            <w:tcW w:w="2003" w:type="dxa"/>
          </w:tcPr>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tc>
        <w:tc>
          <w:tcPr>
            <w:tcW w:w="1671" w:type="dxa"/>
            <w:vAlign w:val="center"/>
          </w:tcPr>
          <w:p>
            <w:pPr>
              <w:spacing w:before="100" w:beforeAutospacing="1" w:line="400" w:lineRule="exact"/>
              <w:jc w:val="center"/>
              <w:rPr>
                <w:rFonts w:ascii="宋体" w:hAnsi="宋体" w:cs="宋体"/>
                <w:color w:val="auto"/>
                <w:sz w:val="24"/>
                <w:highlight w:val="none"/>
              </w:rPr>
            </w:pPr>
          </w:p>
        </w:tc>
        <w:tc>
          <w:tcPr>
            <w:tcW w:w="1005" w:type="dxa"/>
            <w:vAlign w:val="center"/>
          </w:tcPr>
          <w:p>
            <w:pPr>
              <w:spacing w:before="100" w:beforeAutospacing="1" w:line="400" w:lineRule="exact"/>
              <w:jc w:val="center"/>
              <w:rPr>
                <w:rFonts w:ascii="宋体" w:hAnsi="宋体" w:cs="宋体"/>
                <w:color w:val="auto"/>
                <w:sz w:val="24"/>
                <w:highlight w:val="none"/>
              </w:rPr>
            </w:pPr>
          </w:p>
        </w:tc>
        <w:tc>
          <w:tcPr>
            <w:tcW w:w="1201" w:type="dxa"/>
            <w:vAlign w:val="center"/>
          </w:tcPr>
          <w:p>
            <w:pPr>
              <w:spacing w:before="100" w:beforeAutospacing="1" w:line="400" w:lineRule="exact"/>
              <w:jc w:val="center"/>
              <w:rPr>
                <w:rFonts w:ascii="宋体" w:hAnsi="宋体" w:cs="宋体"/>
                <w:color w:val="auto"/>
                <w:sz w:val="24"/>
                <w:highlight w:val="none"/>
              </w:rPr>
            </w:pPr>
          </w:p>
        </w:tc>
        <w:tc>
          <w:tcPr>
            <w:tcW w:w="1635" w:type="dxa"/>
            <w:vAlign w:val="center"/>
          </w:tcPr>
          <w:p>
            <w:pPr>
              <w:spacing w:before="100" w:beforeAutospacing="1"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28" w:type="dxa"/>
            <w:gridSpan w:val="6"/>
            <w:vAlign w:val="center"/>
          </w:tcPr>
          <w:p>
            <w:pPr>
              <w:spacing w:before="100" w:beforeAutospacing="1" w:line="400" w:lineRule="exact"/>
              <w:jc w:val="left"/>
              <w:rPr>
                <w:rFonts w:ascii="宋体" w:hAnsi="宋体" w:cs="宋体"/>
                <w:color w:val="auto"/>
                <w:sz w:val="24"/>
                <w:highlight w:val="none"/>
              </w:rPr>
            </w:pPr>
            <w:r>
              <w:rPr>
                <w:rFonts w:hint="eastAsia" w:ascii="宋体" w:hAnsi="宋体" w:cs="宋体"/>
                <w:color w:val="auto"/>
                <w:sz w:val="24"/>
                <w:highlight w:val="none"/>
              </w:rPr>
              <w:t>合计成交金额人民币（大写）：</w:t>
            </w:r>
          </w:p>
          <w:p>
            <w:pPr>
              <w:spacing w:before="100" w:beforeAutospacing="1" w:line="400" w:lineRule="exact"/>
              <w:jc w:val="left"/>
              <w:rPr>
                <w:rFonts w:ascii="宋体" w:hAnsi="宋体" w:cs="宋体"/>
                <w:color w:val="auto"/>
                <w:sz w:val="24"/>
                <w:highlight w:val="none"/>
              </w:rPr>
            </w:pPr>
            <w:r>
              <w:rPr>
                <w:rFonts w:hint="eastAsia" w:ascii="宋体" w:hAnsi="宋体" w:cs="宋体"/>
                <w:color w:val="auto"/>
                <w:sz w:val="24"/>
                <w:highlight w:val="none"/>
              </w:rPr>
              <w:t>该价款为含税价。</w:t>
            </w:r>
          </w:p>
        </w:tc>
      </w:tr>
    </w:tbl>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购买设备清单及价款：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乙方保证所提供的所有设备完全符合乙方投标文件所承诺的品牌名称、生产厂家、质量标准、规格、型号、性能参数、数量、单价、金额等条件，并全面响应标书及答疑文件，合同附件应包括所售产品配置清单。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本合同若有详细的双方签字的配置清单，请详见附件。</w:t>
      </w:r>
    </w:p>
    <w:p>
      <w:pPr>
        <w:numPr>
          <w:ilvl w:val="0"/>
          <w:numId w:val="12"/>
        </w:numPr>
        <w:spacing w:line="40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设备的交付期</w:t>
      </w:r>
    </w:p>
    <w:p>
      <w:pPr>
        <w:spacing w:line="400" w:lineRule="exact"/>
        <w:ind w:left="420"/>
        <w:rPr>
          <w:rFonts w:ascii="宋体" w:hAnsi="宋体" w:cs="宋体"/>
          <w:color w:val="auto"/>
          <w:sz w:val="24"/>
          <w:highlight w:val="none"/>
        </w:rPr>
      </w:pPr>
      <w:r>
        <w:rPr>
          <w:rFonts w:hint="eastAsia" w:ascii="宋体" w:hAnsi="宋体" w:cs="宋体"/>
          <w:color w:val="auto"/>
          <w:sz w:val="24"/>
          <w:highlight w:val="none"/>
        </w:rPr>
        <w:t xml:space="preserve">    乙方在合同生效后，按甲方指定时间交付全部设备。</w:t>
      </w:r>
    </w:p>
    <w:p>
      <w:pPr>
        <w:numPr>
          <w:ilvl w:val="0"/>
          <w:numId w:val="12"/>
        </w:numPr>
        <w:spacing w:line="400" w:lineRule="exact"/>
        <w:ind w:left="0" w:firstLine="480" w:firstLineChars="200"/>
        <w:rPr>
          <w:rFonts w:ascii="宋体" w:hAnsi="宋体" w:cs="宋体"/>
          <w:color w:val="auto"/>
          <w:sz w:val="24"/>
          <w:highlight w:val="none"/>
        </w:rPr>
      </w:pPr>
      <w:r>
        <w:rPr>
          <w:rFonts w:hint="eastAsia" w:ascii="宋体" w:hAnsi="宋体" w:cs="宋体"/>
          <w:color w:val="auto"/>
          <w:sz w:val="24"/>
          <w:highlight w:val="none"/>
        </w:rPr>
        <w:t xml:space="preserve">设备运输、安装和验收  </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（1）乙方确保设备安全无损地运抵甲方指定现场，并承担设备增常使用前的包装、运费、装卸费、保险、安装调试等所有费用。</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2）设备全部到达现场后，乙方提前一个工作日告知甲方设备处及使用科室，以便甲方安排接收。经甲乙双方共同对设备进行开箱清点、外观检查验收，如果发现数量不足、与装箱清单信息不符或外观毁损等问题，乙方应在</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天内，按照甲方的要求，采取补足、更换或退货等处理措施。</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甲方不接受部分交付。设备部分到场或乙方补足、调换部分设备期间，已到场的设备由乙方自行保管并承担由此发生的一切责任和损失及费用。</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甲方收货时对产品的外观检查或开箱清点，不能免除乙方对产品内在质量的责任。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（3）设备全部到货外观检验合格，乙方接到甲方通知后，一般设备在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天内，特大型设备在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天内安装调试完成。</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（4）安装调试完毕，甲、乙双方根据国家相关技术标准和技术验收条件、流程（合同的技术标准见附表）在90日内进行技术验收，验收合格后，双方在甲方«技术验收合格单»上签字确认。</w:t>
      </w:r>
    </w:p>
    <w:p>
      <w:pPr>
        <w:spacing w:line="400" w:lineRule="exact"/>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3.付款方式</w:t>
      </w:r>
      <w:r>
        <w:rPr>
          <w:rFonts w:hint="eastAsia" w:ascii="宋体" w:hAnsi="宋体" w:cs="宋体"/>
          <w:color w:val="auto"/>
          <w:sz w:val="24"/>
          <w:highlight w:val="none"/>
          <w:u w:val="single"/>
        </w:rPr>
        <w:t xml:space="preserve">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4、伴随服务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（1）乙方应提供设备的技术文件，包括相应的图纸、操作手册、维护手册、质量保证文件、服务指南等，这些文件应随同设备一起交付给甲方。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（2）乙方还应免费提供下列服务：</w:t>
      </w:r>
    </w:p>
    <w:p>
      <w:pPr>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A、设备的现场安装和调试.乙方负责联系质检部门对特种设备进行安全检验检定，承担检定费，提供本合同特种设备相关部门认可使用的检定合格证。</w:t>
      </w:r>
    </w:p>
    <w:p>
      <w:pPr>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B、提供设备安装和维修所需的专用工具和辅助材料</w:t>
      </w:r>
    </w:p>
    <w:p>
      <w:pPr>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C、乙方应派专业技术人员在项目现场对甲方使用人员进行培训或指导，在使用一段时间后可根据甲方的要求另行安排培训计划。</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5、质量保证及售后服务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（1）乙方应保证所供的是在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月）后生产的全新、未使用过，并符合合同约定技术标准要求的设备。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质量保证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（2）乙方应提供主机质保期</w:t>
      </w:r>
      <w:r>
        <w:rPr>
          <w:rFonts w:hint="eastAsia" w:ascii="宋体" w:hAnsi="宋体" w:cs="宋体"/>
          <w:color w:val="auto"/>
          <w:sz w:val="24"/>
          <w:highlight w:val="none"/>
          <w:u w:val="single"/>
        </w:rPr>
        <w:t xml:space="preserve"> 36 个</w:t>
      </w:r>
      <w:r>
        <w:rPr>
          <w:rFonts w:hint="eastAsia" w:ascii="宋体" w:hAnsi="宋体" w:cs="宋体"/>
          <w:color w:val="auto"/>
          <w:sz w:val="24"/>
          <w:highlight w:val="none"/>
        </w:rPr>
        <w:t>月，自甲乙双方的技术验收合格之日起计算，质保期内免费更换零配件及工时费。设备质保期内发生短时间内无法修复的故障时，甲乙双方应协商由乙方免费提供备用机以保证甲方工作的正常开展。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（3）报修响应时间</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小时，到场时间</w:t>
      </w:r>
      <w:r>
        <w:rPr>
          <w:rFonts w:hint="eastAsia" w:ascii="宋体" w:hAnsi="宋体" w:cs="宋体"/>
          <w:color w:val="auto"/>
          <w:sz w:val="24"/>
          <w:highlight w:val="none"/>
          <w:u w:val="single"/>
        </w:rPr>
        <w:t xml:space="preserve">  8  </w:t>
      </w:r>
      <w:r>
        <w:rPr>
          <w:rFonts w:hint="eastAsia" w:ascii="宋体" w:hAnsi="宋体" w:cs="宋体"/>
          <w:color w:val="auto"/>
          <w:sz w:val="24"/>
          <w:highlight w:val="none"/>
        </w:rPr>
        <w:t>小时（不可抗拒力量下除外）。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（4）年度定期预防性维护保养次数，不少于</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（5）乙方负责设备的终身免费维修并应继续提供优质的服务，储备足够的零配件备库，质保期满后，以厂家批发价格供应维修零配件，消耗品的供应由双方另设协议决定。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（6）乙方对设备的维护保养须告知甲方设备处维修人员到场，否则所实施的售后行为不计入年度预防性维护保养次数，乙方自行承担发生的一切费用。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6、索赔条款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（1）如经检验确认货物不符合本合同约定，买方有权选择下列方式之一要求卖方进行补救；</w:t>
      </w:r>
    </w:p>
    <w:p>
      <w:pPr>
        <w:spacing w:line="400" w:lineRule="exact"/>
        <w:rPr>
          <w:rFonts w:ascii="宋体" w:hAnsi="宋体" w:cs="宋体"/>
          <w:color w:val="auto"/>
          <w:sz w:val="24"/>
          <w:highlight w:val="none"/>
        </w:rPr>
      </w:pPr>
      <w:r>
        <w:rPr>
          <w:rFonts w:hint="eastAsia" w:ascii="宋体" w:hAnsi="宋体" w:cs="宋体"/>
          <w:color w:val="auto"/>
          <w:sz w:val="24"/>
          <w:highlight w:val="none"/>
        </w:rPr>
        <w:t>A、接受买方退货，并将全额货款偿还买方，并负担因退货而发生的一切直接损失和费用。</w:t>
      </w:r>
    </w:p>
    <w:p>
      <w:pPr>
        <w:spacing w:line="400" w:lineRule="exact"/>
        <w:rPr>
          <w:rFonts w:ascii="宋体" w:hAnsi="宋体" w:cs="宋体"/>
          <w:color w:val="auto"/>
          <w:sz w:val="24"/>
          <w:highlight w:val="none"/>
        </w:rPr>
      </w:pPr>
      <w:r>
        <w:rPr>
          <w:rFonts w:hint="eastAsia" w:ascii="宋体" w:hAnsi="宋体" w:cs="宋体"/>
          <w:color w:val="auto"/>
          <w:sz w:val="24"/>
          <w:highlight w:val="none"/>
        </w:rPr>
        <w:t>B、按照货物的疵劣程度、损坏的范围和买方所遭受的损失，将货物贬值，情节严重，甲方有权终止合同。</w:t>
      </w:r>
    </w:p>
    <w:p>
      <w:pPr>
        <w:spacing w:line="40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C、调换有瑕疵的货物，换货必须全新并符合本合同规定的规格，质量标准和性能，卖方同时负责因此而产生和一切费用和买方的一切直接损失。</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乙方没有按照合同规定的时间交货和提供服务，甲方应从货款或质保金中扣除误期赔偿费而不影响合同项下的其他补救方法，延期交货和延期服务的赔偿费按每日迟交仪器的合同价的百分之零点五（0.5%）计收，直至交货、提供服务或甲方解除合同为止。延期交货十天以上，甲方有权解除合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（3）乙方应保证甲方和使用单位在使用该设备或其任何一部分时免受第三方提出侵犯其专利权、商标权或工业产权的起诉。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7、争端的解决</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双方如在履行合同中发生纠纷，首先应友好协商，协商不成，双方均应向甲方所在地人民法院起诉。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8、合同生效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（1）本合同在甲、乙双方签字盖章后生效。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（2）本合同一式肆份，签约双方甲方执二份，乙方执二份，具有相同的法律效应。</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9、合同附件   合同附件是合同的不可分割的组成部分，与合同具有同等法律效力。</w:t>
      </w:r>
    </w:p>
    <w:p>
      <w:pPr>
        <w:spacing w:line="400" w:lineRule="exact"/>
        <w:ind w:firstLine="480" w:firstLineChars="200"/>
        <w:rPr>
          <w:rFonts w:ascii="宋体" w:hAnsi="宋体" w:cs="宋体"/>
          <w:color w:val="auto"/>
          <w:sz w:val="24"/>
          <w:highlight w:val="none"/>
        </w:rPr>
      </w:pPr>
      <w:bookmarkStart w:id="6" w:name="_Toc27875"/>
      <w:r>
        <w:rPr>
          <w:rFonts w:hint="eastAsia" w:ascii="宋体" w:hAnsi="宋体" w:cs="宋体"/>
          <w:color w:val="auto"/>
          <w:sz w:val="24"/>
          <w:highlight w:val="none"/>
        </w:rPr>
        <w:t>（1）配置清单     □设备的配置清单</w:t>
      </w:r>
      <w:bookmarkEnd w:id="6"/>
    </w:p>
    <w:p>
      <w:pPr>
        <w:spacing w:line="400" w:lineRule="exact"/>
        <w:ind w:firstLine="480" w:firstLineChars="200"/>
        <w:rPr>
          <w:rFonts w:ascii="宋体" w:hAnsi="宋体" w:cs="宋体"/>
          <w:color w:val="auto"/>
          <w:sz w:val="24"/>
          <w:highlight w:val="none"/>
        </w:rPr>
      </w:pPr>
      <w:bookmarkStart w:id="7" w:name="_Toc32541"/>
      <w:r>
        <w:rPr>
          <w:rFonts w:hint="eastAsia" w:ascii="宋体" w:hAnsi="宋体" w:cs="宋体"/>
          <w:color w:val="auto"/>
          <w:sz w:val="24"/>
          <w:highlight w:val="none"/>
        </w:rPr>
        <w:t>（2）技术标准     □投标文件的技术响应  □设备技术说明</w:t>
      </w:r>
      <w:bookmarkEnd w:id="7"/>
    </w:p>
    <w:p>
      <w:pPr>
        <w:numPr>
          <w:ilvl w:val="0"/>
          <w:numId w:val="13"/>
        </w:num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特别约定：                                </w:t>
      </w:r>
    </w:p>
    <w:p>
      <w:pPr>
        <w:spacing w:line="400" w:lineRule="exact"/>
        <w:ind w:firstLine="480" w:firstLineChars="200"/>
        <w:rPr>
          <w:rFonts w:ascii="宋体" w:hAnsi="宋体" w:cs="宋体"/>
          <w:color w:val="auto"/>
          <w:sz w:val="24"/>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甲方：新疆维吾尔自治区                     乙方：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农业农村厅办公室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甲方工作电子邮箱：                      乙方工作电子邮箱：    </w:t>
      </w:r>
    </w:p>
    <w:p>
      <w:pPr>
        <w:spacing w:line="40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（盖章）                                       （盖章）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甲方法定代表人或授权委托人：          乙方法定代表人或授权委托人：</w:t>
      </w:r>
    </w:p>
    <w:p>
      <w:pPr>
        <w:spacing w:line="400" w:lineRule="exact"/>
        <w:ind w:firstLine="480" w:firstLineChars="200"/>
        <w:rPr>
          <w:rFonts w:ascii="宋体" w:hAnsi="宋体" w:cs="宋体"/>
          <w:color w:val="auto"/>
          <w:sz w:val="24"/>
          <w:highlight w:val="none"/>
          <w:u w:val="single"/>
          <w:bdr w:val="single" w:color="auto" w:sz="4" w:space="0"/>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bdr w:val="single" w:color="auto" w:sz="4" w:space="0"/>
        </w:rPr>
        <w:t xml:space="preserve">         </w:t>
      </w:r>
    </w:p>
    <w:p>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p>
    <w:p>
      <w:pPr>
        <w:spacing w:line="400" w:lineRule="exact"/>
        <w:ind w:firstLine="480" w:firstLineChars="200"/>
        <w:jc w:val="right"/>
        <w:rPr>
          <w:rFonts w:ascii="宋体" w:hAnsi="宋体" w:cs="宋体"/>
          <w:color w:val="auto"/>
          <w:sz w:val="24"/>
          <w:highlight w:val="none"/>
        </w:rPr>
      </w:pP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br w:type="page"/>
      </w:r>
    </w:p>
    <w:p>
      <w:pPr>
        <w:widowControl/>
        <w:spacing w:line="400" w:lineRule="exact"/>
        <w:jc w:val="center"/>
        <w:outlineLvl w:val="0"/>
        <w:rPr>
          <w:rFonts w:ascii="宋体" w:hAnsi="宋体" w:cs="宋体"/>
          <w:b/>
          <w:bCs/>
          <w:color w:val="auto"/>
          <w:sz w:val="24"/>
          <w:highlight w:val="none"/>
        </w:rPr>
      </w:pPr>
      <w:bookmarkStart w:id="8" w:name="_Toc16604"/>
      <w:r>
        <w:rPr>
          <w:rFonts w:hint="eastAsia" w:ascii="宋体" w:hAnsi="宋体" w:cs="宋体"/>
          <w:b/>
          <w:bCs/>
          <w:color w:val="auto"/>
          <w:sz w:val="24"/>
          <w:highlight w:val="none"/>
        </w:rPr>
        <w:t>第五部分  投标文件格式</w:t>
      </w:r>
      <w:bookmarkEnd w:id="8"/>
    </w:p>
    <w:p>
      <w:pPr>
        <w:widowControl/>
        <w:spacing w:line="400" w:lineRule="exact"/>
        <w:jc w:val="left"/>
        <w:rPr>
          <w:rFonts w:ascii="宋体" w:hAnsi="宋体" w:cs="宋体"/>
          <w:color w:val="auto"/>
          <w:sz w:val="24"/>
          <w:highlight w:val="none"/>
        </w:rPr>
      </w:pPr>
    </w:p>
    <w:p>
      <w:pPr>
        <w:spacing w:line="400" w:lineRule="exact"/>
        <w:jc w:val="center"/>
        <w:rPr>
          <w:rFonts w:ascii="宋体" w:hAnsi="宋体" w:cs="宋体"/>
          <w:color w:val="auto"/>
          <w:sz w:val="24"/>
          <w:highlight w:val="none"/>
        </w:rPr>
      </w:pPr>
      <w:bookmarkStart w:id="9" w:name="_Toc14986"/>
      <w:r>
        <w:rPr>
          <w:rFonts w:hint="eastAsia" w:ascii="宋体" w:hAnsi="宋体" w:cs="宋体"/>
          <w:color w:val="auto"/>
          <w:sz w:val="24"/>
          <w:highlight w:val="none"/>
        </w:rPr>
        <w:t>开标一览表</w:t>
      </w:r>
      <w:bookmarkEnd w:id="9"/>
    </w:p>
    <w:p>
      <w:pPr>
        <w:spacing w:line="40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bCs/>
          <w:color w:val="auto"/>
          <w:sz w:val="24"/>
          <w:highlight w:val="none"/>
        </w:rPr>
        <w:t xml:space="preserve">                            </w:t>
      </w:r>
      <w:r>
        <w:rPr>
          <w:rFonts w:hint="eastAsia" w:ascii="宋体" w:hAnsi="宋体" w:cs="宋体"/>
          <w:color w:val="auto"/>
          <w:sz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18"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w:t>
            </w:r>
          </w:p>
        </w:tc>
        <w:tc>
          <w:tcPr>
            <w:tcW w:w="680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总价</w:t>
            </w:r>
          </w:p>
        </w:tc>
        <w:tc>
          <w:tcPr>
            <w:tcW w:w="68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（小写）</w:t>
            </w:r>
          </w:p>
          <w:p>
            <w:pPr>
              <w:spacing w:line="400" w:lineRule="exact"/>
              <w:rPr>
                <w:rFonts w:ascii="宋体" w:hAnsi="宋体" w:cs="宋体"/>
                <w:color w:val="auto"/>
                <w:sz w:val="24"/>
                <w:highlight w:val="none"/>
              </w:rPr>
            </w:pPr>
            <w:r>
              <w:rPr>
                <w:rFonts w:hint="eastAsia" w:ascii="宋体" w:hAnsi="宋体" w:cs="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2</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供货期</w:t>
            </w:r>
          </w:p>
        </w:tc>
        <w:tc>
          <w:tcPr>
            <w:tcW w:w="6801" w:type="dxa"/>
            <w:vAlign w:val="center"/>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3</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质量标准</w:t>
            </w:r>
          </w:p>
        </w:tc>
        <w:tc>
          <w:tcPr>
            <w:tcW w:w="6801" w:type="dxa"/>
            <w:vAlign w:val="center"/>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4</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质保期</w:t>
            </w:r>
          </w:p>
        </w:tc>
        <w:tc>
          <w:tcPr>
            <w:tcW w:w="6801" w:type="dxa"/>
            <w:vAlign w:val="center"/>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5</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报价说明</w:t>
            </w:r>
          </w:p>
        </w:tc>
        <w:tc>
          <w:tcPr>
            <w:tcW w:w="6801" w:type="dxa"/>
            <w:vAlign w:val="center"/>
          </w:tcPr>
          <w:p>
            <w:pPr>
              <w:spacing w:line="400" w:lineRule="exact"/>
              <w:rPr>
                <w:rFonts w:ascii="宋体" w:hAnsi="宋体" w:cs="宋体"/>
                <w:color w:val="auto"/>
                <w:sz w:val="24"/>
                <w:highlight w:val="none"/>
              </w:rPr>
            </w:pPr>
          </w:p>
        </w:tc>
      </w:tr>
    </w:tbl>
    <w:p>
      <w:pPr>
        <w:spacing w:line="40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00" w:lineRule="exact"/>
        <w:rPr>
          <w:rFonts w:ascii="宋体" w:hAnsi="宋体" w:cs="宋体"/>
          <w:color w:val="auto"/>
          <w:sz w:val="24"/>
          <w:highlight w:val="none"/>
        </w:rPr>
      </w:pPr>
      <w:r>
        <w:rPr>
          <w:rFonts w:hint="eastAsia" w:ascii="宋体" w:hAnsi="宋体" w:cs="宋体"/>
          <w:color w:val="auto"/>
          <w:sz w:val="24"/>
          <w:highlight w:val="none"/>
        </w:rPr>
        <w:t>1、投标总价应为各分项报价之和。报价须以元为单位，小数点后保留2位。</w:t>
      </w:r>
    </w:p>
    <w:p>
      <w:pPr>
        <w:spacing w:line="400" w:lineRule="exact"/>
        <w:rPr>
          <w:rFonts w:ascii="宋体" w:hAnsi="宋体" w:cs="宋体"/>
          <w:color w:val="auto"/>
          <w:sz w:val="24"/>
          <w:highlight w:val="none"/>
        </w:rPr>
      </w:pPr>
      <w:r>
        <w:rPr>
          <w:rFonts w:hint="eastAsia" w:ascii="宋体" w:hAnsi="宋体" w:cs="宋体"/>
          <w:color w:val="auto"/>
          <w:sz w:val="24"/>
          <w:highlight w:val="none"/>
        </w:rPr>
        <w:t>2、投标报价包括投标人为实施本项目提供投标产品及服务内容所包括的全部含税价格的体现。</w:t>
      </w:r>
    </w:p>
    <w:p>
      <w:pPr>
        <w:spacing w:line="400" w:lineRule="exact"/>
        <w:rPr>
          <w:rFonts w:ascii="宋体" w:hAnsi="宋体" w:cs="宋体"/>
          <w:color w:val="auto"/>
          <w:sz w:val="24"/>
          <w:highlight w:val="none"/>
        </w:rPr>
      </w:pPr>
      <w:r>
        <w:rPr>
          <w:rFonts w:hint="eastAsia" w:ascii="宋体" w:hAnsi="宋体" w:cs="宋体"/>
          <w:color w:val="auto"/>
          <w:sz w:val="24"/>
          <w:highlight w:val="none"/>
        </w:rPr>
        <w:t>3、投标人必须自行考虑本项目在实施期间的一切可能产生的费用。在合同执行过程中，采购人将不再另行支付与本项目相关的任何费用（非本项目要求的其它内容除外）。</w:t>
      </w:r>
    </w:p>
    <w:p>
      <w:pPr>
        <w:spacing w:line="400" w:lineRule="exact"/>
        <w:rPr>
          <w:rFonts w:ascii="宋体" w:hAnsi="宋体" w:cs="宋体"/>
          <w:color w:val="auto"/>
          <w:sz w:val="24"/>
          <w:highlight w:val="none"/>
        </w:rPr>
      </w:pPr>
      <w:r>
        <w:rPr>
          <w:rFonts w:hint="eastAsia" w:ascii="宋体" w:hAnsi="宋体" w:cs="宋体"/>
          <w:color w:val="auto"/>
          <w:sz w:val="24"/>
          <w:highlight w:val="none"/>
        </w:rPr>
        <w:t>4、本表须按采购文件要求，单独封装、标识后提交。</w:t>
      </w: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widowControl/>
        <w:spacing w:line="400" w:lineRule="exact"/>
        <w:jc w:val="lef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zh-CN"/>
        </w:rPr>
        <w:t>封面示例</w:t>
      </w:r>
      <w:r>
        <w:rPr>
          <w:rFonts w:hint="eastAsia" w:ascii="宋体" w:hAnsi="宋体" w:cs="宋体"/>
          <w:color w:val="auto"/>
          <w:sz w:val="24"/>
          <w:highlight w:val="none"/>
        </w:rPr>
        <w:t>）</w:t>
      </w:r>
    </w:p>
    <w:p>
      <w:pPr>
        <w:spacing w:line="400" w:lineRule="exact"/>
        <w:jc w:val="right"/>
        <w:rPr>
          <w:rFonts w:ascii="宋体" w:hAnsi="宋体" w:cs="宋体"/>
          <w:color w:val="auto"/>
          <w:sz w:val="24"/>
          <w:highlight w:val="none"/>
          <w:lang w:val="zh-CN"/>
        </w:rPr>
      </w:pPr>
      <w:r>
        <w:rPr>
          <w:rFonts w:hint="eastAsia" w:ascii="宋体" w:hAnsi="宋体" w:cs="宋体"/>
          <w:color w:val="auto"/>
          <w:sz w:val="24"/>
          <w:highlight w:val="none"/>
          <w:lang w:val="zh-CN"/>
        </w:rPr>
        <w:t>正本</w:t>
      </w:r>
    </w:p>
    <w:p>
      <w:pPr>
        <w:spacing w:line="400" w:lineRule="exact"/>
        <w:rPr>
          <w:rFonts w:ascii="宋体" w:hAnsi="宋体" w:cs="宋体"/>
          <w:color w:val="auto"/>
          <w:sz w:val="24"/>
          <w:highlight w:val="none"/>
          <w:lang w:val="zh-CN"/>
        </w:rPr>
      </w:pPr>
    </w:p>
    <w:p>
      <w:pPr>
        <w:spacing w:line="400" w:lineRule="exact"/>
        <w:jc w:val="center"/>
        <w:rPr>
          <w:rFonts w:ascii="宋体" w:hAnsi="宋体" w:cs="宋体"/>
          <w:color w:val="auto"/>
          <w:sz w:val="24"/>
          <w:highlight w:val="none"/>
          <w:lang w:val="zh-CN"/>
        </w:rPr>
      </w:pPr>
      <w:bookmarkStart w:id="10" w:name="_Toc22576"/>
      <w:r>
        <w:rPr>
          <w:rFonts w:hint="eastAsia" w:ascii="宋体" w:hAnsi="宋体" w:cs="宋体"/>
          <w:color w:val="auto"/>
          <w:sz w:val="24"/>
          <w:highlight w:val="none"/>
          <w:lang w:val="zh-CN"/>
        </w:rPr>
        <w:t>投 标 文 件</w:t>
      </w:r>
      <w:bookmarkEnd w:id="10"/>
    </w:p>
    <w:p>
      <w:pPr>
        <w:spacing w:line="400" w:lineRule="exact"/>
        <w:jc w:val="center"/>
        <w:rPr>
          <w:rFonts w:ascii="宋体" w:hAnsi="宋体" w:cs="宋体"/>
          <w:color w:val="auto"/>
          <w:sz w:val="24"/>
          <w:highlight w:val="none"/>
          <w:lang w:val="zh-CN"/>
        </w:rPr>
      </w:pPr>
    </w:p>
    <w:p>
      <w:pPr>
        <w:spacing w:line="400" w:lineRule="exact"/>
        <w:rPr>
          <w:rFonts w:ascii="宋体" w:hAnsi="宋体" w:cs="宋体"/>
          <w:color w:val="auto"/>
          <w:sz w:val="24"/>
          <w:highlight w:val="none"/>
          <w:lang w:val="zh-CN"/>
        </w:rPr>
      </w:pPr>
    </w:p>
    <w:p>
      <w:pPr>
        <w:spacing w:line="400" w:lineRule="exact"/>
        <w:rPr>
          <w:rFonts w:ascii="宋体" w:hAnsi="宋体" w:cs="宋体"/>
          <w:color w:val="auto"/>
          <w:sz w:val="24"/>
          <w:highlight w:val="none"/>
          <w:lang w:val="zh-CN"/>
        </w:rPr>
      </w:pPr>
    </w:p>
    <w:p>
      <w:pPr>
        <w:spacing w:line="400" w:lineRule="exact"/>
        <w:rPr>
          <w:rFonts w:ascii="宋体" w:hAnsi="宋体" w:cs="宋体"/>
          <w:color w:val="auto"/>
          <w:sz w:val="24"/>
          <w:highlight w:val="none"/>
          <w:lang w:val="zh-CN"/>
        </w:rPr>
      </w:pPr>
    </w:p>
    <w:p>
      <w:pPr>
        <w:spacing w:line="400" w:lineRule="exact"/>
        <w:rPr>
          <w:rFonts w:ascii="宋体" w:hAnsi="宋体" w:cs="宋体"/>
          <w:color w:val="auto"/>
          <w:sz w:val="24"/>
          <w:highlight w:val="none"/>
          <w:lang w:val="zh-CN"/>
        </w:rPr>
      </w:pPr>
    </w:p>
    <w:p>
      <w:pPr>
        <w:spacing w:line="400" w:lineRule="exact"/>
        <w:rPr>
          <w:rFonts w:ascii="宋体" w:hAnsi="宋体" w:cs="宋体"/>
          <w:color w:val="auto"/>
          <w:sz w:val="24"/>
          <w:highlight w:val="none"/>
          <w:lang w:val="zh-CN"/>
        </w:rPr>
      </w:pP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项目名称：</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项目编号：</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投标人（盖公章）：×××公司</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法定代表人（签字或盖章）:</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授权代理人（签字）:</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地址：</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联系电话：</w:t>
      </w:r>
    </w:p>
    <w:p>
      <w:pPr>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编制时间：×年×月×日</w:t>
      </w:r>
    </w:p>
    <w:p>
      <w:pPr>
        <w:spacing w:line="400" w:lineRule="exact"/>
        <w:rPr>
          <w:rFonts w:ascii="宋体" w:hAnsi="宋体" w:cs="宋体"/>
          <w:color w:val="auto"/>
          <w:sz w:val="24"/>
          <w:highlight w:val="none"/>
        </w:rPr>
      </w:pPr>
      <w:r>
        <w:rPr>
          <w:rFonts w:hint="eastAsia" w:ascii="宋体" w:hAnsi="宋体" w:cs="宋体"/>
          <w:color w:val="auto"/>
          <w:sz w:val="24"/>
          <w:highlight w:val="none"/>
          <w:lang w:val="zh-CN"/>
        </w:rPr>
        <w:br w:type="page"/>
      </w:r>
    </w:p>
    <w:p>
      <w:pPr>
        <w:spacing w:line="400" w:lineRule="exact"/>
        <w:rPr>
          <w:rFonts w:ascii="宋体" w:hAnsi="宋体" w:cs="宋体"/>
          <w:b/>
          <w:color w:val="auto"/>
          <w:sz w:val="24"/>
          <w:highlight w:val="none"/>
        </w:rPr>
      </w:pPr>
      <w:r>
        <w:rPr>
          <w:rFonts w:hint="eastAsia" w:ascii="宋体" w:hAnsi="宋体" w:cs="宋体"/>
          <w:b/>
          <w:color w:val="auto"/>
          <w:sz w:val="24"/>
          <w:highlight w:val="none"/>
        </w:rPr>
        <w:t>投标文件主要包括但不限于以下内容：</w:t>
      </w:r>
    </w:p>
    <w:p>
      <w:pPr>
        <w:spacing w:line="400" w:lineRule="exact"/>
        <w:ind w:firstLine="482" w:firstLineChars="200"/>
        <w:rPr>
          <w:rFonts w:ascii="宋体" w:hAnsi="宋体" w:cs="宋体"/>
          <w:color w:val="auto"/>
          <w:sz w:val="24"/>
          <w:highlight w:val="none"/>
        </w:rPr>
      </w:pPr>
      <w:r>
        <w:rPr>
          <w:rFonts w:hint="eastAsia" w:ascii="宋体" w:hAnsi="宋体" w:cs="宋体"/>
          <w:b/>
          <w:bCs/>
          <w:color w:val="auto"/>
          <w:kern w:val="0"/>
          <w:sz w:val="24"/>
          <w:highlight w:val="none"/>
        </w:rPr>
        <w:t>商务技术部分主要包括</w:t>
      </w:r>
      <w:r>
        <w:rPr>
          <w:rFonts w:hint="eastAsia" w:ascii="宋体" w:hAnsi="宋体" w:cs="宋体"/>
          <w:b/>
          <w:color w:val="auto"/>
          <w:sz w:val="24"/>
          <w:highlight w:val="none"/>
        </w:rPr>
        <w:t>但不限于以下内容：</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color w:val="auto"/>
          <w:sz w:val="24"/>
          <w:highlight w:val="none"/>
        </w:rPr>
        <w:t>投</w:t>
      </w:r>
      <w:r>
        <w:rPr>
          <w:rFonts w:hint="eastAsia" w:ascii="宋体" w:hAnsi="宋体" w:cs="宋体"/>
          <w:color w:val="auto"/>
          <w:kern w:val="0"/>
          <w:sz w:val="24"/>
          <w:highlight w:val="none"/>
        </w:rPr>
        <w:t>标</w:t>
      </w:r>
      <w:r>
        <w:rPr>
          <w:rFonts w:hint="eastAsia" w:ascii="宋体" w:hAnsi="宋体" w:cs="宋体"/>
          <w:color w:val="auto"/>
          <w:sz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color w:val="auto"/>
          <w:highlight w:val="none"/>
        </w:rPr>
        <w:fldChar w:fldCharType="begin"/>
      </w:r>
      <w:r>
        <w:rPr>
          <w:color w:val="auto"/>
          <w:highlight w:val="none"/>
        </w:rPr>
        <w:instrText xml:space="preserve"> HYPERLINK "http://www.caigou2003.com/" \t "_blank" </w:instrText>
      </w:r>
      <w:r>
        <w:rPr>
          <w:color w:val="auto"/>
          <w:highlight w:val="none"/>
        </w:rPr>
        <w:fldChar w:fldCharType="separate"/>
      </w:r>
      <w:r>
        <w:rPr>
          <w:rFonts w:hint="eastAsia" w:ascii="宋体" w:hAnsi="宋体" w:cs="宋体"/>
          <w:color w:val="auto"/>
          <w:sz w:val="24"/>
          <w:highlight w:val="none"/>
        </w:rPr>
        <w:t>政府采购网</w:t>
      </w:r>
      <w:r>
        <w:rPr>
          <w:rFonts w:hint="eastAsia" w:ascii="宋体" w:hAnsi="宋体" w:cs="宋体"/>
          <w:color w:val="auto"/>
          <w:sz w:val="24"/>
          <w:highlight w:val="none"/>
        </w:rPr>
        <w:fldChar w:fldCharType="end"/>
      </w:r>
      <w:r>
        <w:rPr>
          <w:rFonts w:hint="eastAsia" w:ascii="宋体" w:hAnsi="宋体" w:cs="宋体"/>
          <w:color w:val="auto"/>
          <w:sz w:val="24"/>
          <w:highlight w:val="none"/>
        </w:rPr>
        <w:t>（www.ccgp.gov.cn）、中国裁判文书网】网站的信用查询截图；采购文件要求的《中华人民共和国政府采购法》规定的资格条件证明文件复印件；采购文件采</w:t>
      </w:r>
      <w:r>
        <w:rPr>
          <w:rFonts w:hint="eastAsia" w:ascii="宋体" w:hAnsi="宋体" w:cs="宋体"/>
          <w:color w:val="auto"/>
          <w:kern w:val="0"/>
          <w:sz w:val="24"/>
          <w:highlight w:val="none"/>
        </w:rPr>
        <w:t>购人根据采购项目的特殊要求规定的特定条件证明文件复印件]；</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（2）投标函；</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（3）投标承诺书；</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（4）法定代表人身份证明书和法定代表人身份证（复印件）或者法定代表人授权委托书及被授权人身份证（复印件）；</w:t>
      </w:r>
    </w:p>
    <w:p>
      <w:pPr>
        <w:spacing w:line="400" w:lineRule="exact"/>
        <w:ind w:left="660" w:leftChars="20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（5）投标保证金缴纳凭证（复印件加盖单位公章）；近三年财务状况表；</w:t>
      </w:r>
    </w:p>
    <w:p>
      <w:pPr>
        <w:autoSpaceDE w:val="0"/>
        <w:autoSpaceDN w:val="0"/>
        <w:adjustRightInd w:val="0"/>
        <w:spacing w:line="400" w:lineRule="exact"/>
        <w:ind w:left="1110" w:leftChars="228" w:hanging="631" w:hangingChars="263"/>
        <w:rPr>
          <w:rFonts w:ascii="宋体" w:hAnsi="宋体" w:cs="宋体"/>
          <w:color w:val="auto"/>
          <w:sz w:val="24"/>
          <w:highlight w:val="none"/>
          <w:lang w:val="zh-CN"/>
        </w:rPr>
      </w:pPr>
      <w:r>
        <w:rPr>
          <w:rFonts w:hint="eastAsia" w:ascii="宋体" w:hAnsi="宋体" w:cs="宋体"/>
          <w:color w:val="auto"/>
          <w:kern w:val="0"/>
          <w:sz w:val="24"/>
          <w:highlight w:val="none"/>
        </w:rPr>
        <w:t>（6</w:t>
      </w:r>
      <w:r>
        <w:rPr>
          <w:rFonts w:hint="eastAsia" w:ascii="宋体" w:hAnsi="宋体" w:cs="宋体"/>
          <w:color w:val="auto"/>
          <w:sz w:val="24"/>
          <w:highlight w:val="none"/>
          <w:lang w:val="zh-CN"/>
        </w:rPr>
        <w:t>）关于资格声明函</w:t>
      </w:r>
      <w:r>
        <w:rPr>
          <w:rFonts w:hint="eastAsia" w:ascii="宋体" w:hAnsi="宋体" w:cs="宋体"/>
          <w:color w:val="auto"/>
          <w:sz w:val="24"/>
          <w:highlight w:val="none"/>
        </w:rPr>
        <w:t>属于中小企业的相关证明资料： 1)《中小企业声明函》；2) 供应商工商行政注册地管理部门出具的小微企业证明文件；</w:t>
      </w:r>
    </w:p>
    <w:p>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sz w:val="24"/>
          <w:highlight w:val="none"/>
          <w:lang w:val="zh-CN"/>
        </w:rPr>
        <w:t>投标人投标的优惠条件、</w:t>
      </w:r>
      <w:r>
        <w:rPr>
          <w:rFonts w:hint="eastAsia" w:ascii="宋体" w:hAnsi="宋体" w:cs="宋体"/>
          <w:color w:val="auto"/>
          <w:kern w:val="0"/>
          <w:sz w:val="24"/>
          <w:highlight w:val="none"/>
        </w:rPr>
        <w:t>质量承诺、进度承诺、服务承诺、维保承诺、</w:t>
      </w:r>
    </w:p>
    <w:p>
      <w:pPr>
        <w:autoSpaceDE w:val="0"/>
        <w:autoSpaceDN w:val="0"/>
        <w:adjustRightInd w:val="0"/>
        <w:spacing w:line="400" w:lineRule="exact"/>
        <w:ind w:firstLine="482"/>
        <w:rPr>
          <w:rFonts w:ascii="宋体" w:hAnsi="宋体" w:cs="宋体"/>
          <w:color w:val="auto"/>
          <w:sz w:val="24"/>
          <w:highlight w:val="none"/>
          <w:lang w:val="zh-CN"/>
        </w:rPr>
      </w:pPr>
      <w:r>
        <w:rPr>
          <w:rFonts w:hint="eastAsia" w:ascii="宋体" w:hAnsi="宋体" w:cs="宋体"/>
          <w:color w:val="auto"/>
          <w:sz w:val="24"/>
          <w:highlight w:val="none"/>
          <w:lang w:val="zh-CN"/>
        </w:rPr>
        <w:t>供货期间所提供的服务范围。</w:t>
      </w:r>
    </w:p>
    <w:p>
      <w:pPr>
        <w:autoSpaceDE w:val="0"/>
        <w:autoSpaceDN w:val="0"/>
        <w:adjustRightInd w:val="0"/>
        <w:spacing w:line="400" w:lineRule="exact"/>
        <w:ind w:firstLine="482"/>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）近三年的业绩（提供相关证明文件复印件）</w:t>
      </w:r>
    </w:p>
    <w:p>
      <w:pPr>
        <w:autoSpaceDE w:val="0"/>
        <w:autoSpaceDN w:val="0"/>
        <w:adjustRightInd w:val="0"/>
        <w:spacing w:line="400" w:lineRule="exact"/>
        <w:ind w:firstLine="482"/>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）投标单位（供应商）反商业贿赂承诺书</w:t>
      </w:r>
    </w:p>
    <w:p>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w:t>
      </w:r>
      <w:r>
        <w:rPr>
          <w:rFonts w:hint="eastAsia" w:ascii="宋体" w:hAnsi="宋体" w:cs="宋体"/>
          <w:color w:val="auto"/>
          <w:sz w:val="24"/>
          <w:highlight w:val="none"/>
        </w:rPr>
        <w:t>投标产品执行的制造、合格标准；</w:t>
      </w:r>
      <w:r>
        <w:rPr>
          <w:rFonts w:hint="eastAsia" w:ascii="宋体" w:hAnsi="宋体" w:cs="宋体"/>
          <w:color w:val="auto"/>
          <w:kern w:val="0"/>
          <w:sz w:val="24"/>
          <w:highlight w:val="none"/>
        </w:rPr>
        <w:t>投入产品情况及相关材料；</w:t>
      </w:r>
      <w:r>
        <w:rPr>
          <w:rFonts w:hint="eastAsia" w:ascii="宋体" w:hAnsi="宋体" w:cs="宋体"/>
          <w:color w:val="auto"/>
          <w:sz w:val="24"/>
          <w:highlight w:val="none"/>
        </w:rPr>
        <w:t>投标产品的检测报告或合格证明材料（复印件）；投标产品性能、技术参数详述；</w:t>
      </w:r>
    </w:p>
    <w:p>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（11）商务条款偏离表；技术条款偏离表；</w:t>
      </w:r>
    </w:p>
    <w:p>
      <w:pPr>
        <w:autoSpaceDE w:val="0"/>
        <w:autoSpaceDN w:val="0"/>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（12）</w:t>
      </w:r>
      <w:r>
        <w:rPr>
          <w:rFonts w:hint="eastAsia" w:ascii="宋体" w:hAnsi="宋体" w:cs="宋体"/>
          <w:color w:val="auto"/>
          <w:sz w:val="24"/>
          <w:highlight w:val="none"/>
        </w:rPr>
        <w:t>投标人认为有必要提供的其他资格证明文件和商务相关资料以及技术部分资料。</w:t>
      </w:r>
    </w:p>
    <w:p>
      <w:pPr>
        <w:autoSpaceDE w:val="0"/>
        <w:autoSpaceDN w:val="0"/>
        <w:adjustRightInd w:val="0"/>
        <w:spacing w:line="400" w:lineRule="exact"/>
        <w:ind w:firstLine="482" w:firstLineChars="200"/>
        <w:jc w:val="left"/>
        <w:rPr>
          <w:rFonts w:ascii="宋体" w:hAnsi="宋体" w:cs="宋体"/>
          <w:bCs/>
          <w:color w:val="auto"/>
          <w:kern w:val="0"/>
          <w:sz w:val="24"/>
          <w:highlight w:val="none"/>
        </w:rPr>
      </w:pPr>
      <w:r>
        <w:rPr>
          <w:rFonts w:hint="eastAsia" w:ascii="宋体" w:hAnsi="宋体" w:cs="宋体"/>
          <w:b/>
          <w:bCs/>
          <w:color w:val="auto"/>
          <w:kern w:val="0"/>
          <w:sz w:val="24"/>
          <w:highlight w:val="none"/>
        </w:rPr>
        <w:t>经济部分主要包括</w:t>
      </w:r>
      <w:r>
        <w:rPr>
          <w:rFonts w:hint="eastAsia" w:ascii="宋体" w:hAnsi="宋体" w:cs="宋体"/>
          <w:b/>
          <w:color w:val="auto"/>
          <w:sz w:val="24"/>
          <w:highlight w:val="none"/>
        </w:rPr>
        <w:t>但不限于以下内容：</w:t>
      </w:r>
      <w:r>
        <w:rPr>
          <w:rFonts w:hint="eastAsia" w:ascii="宋体" w:hAnsi="宋体" w:cs="宋体"/>
          <w:bCs/>
          <w:color w:val="auto"/>
          <w:kern w:val="0"/>
          <w:sz w:val="24"/>
          <w:highlight w:val="none"/>
        </w:rPr>
        <w:tab/>
      </w:r>
    </w:p>
    <w:p>
      <w:pPr>
        <w:autoSpaceDE w:val="0"/>
        <w:autoSpaceDN w:val="0"/>
        <w:adjustRightInd w:val="0"/>
        <w:spacing w:line="400" w:lineRule="exact"/>
        <w:ind w:firstLine="480" w:firstLineChars="200"/>
        <w:jc w:val="left"/>
        <w:rPr>
          <w:rFonts w:ascii="宋体" w:hAnsi="宋体" w:cs="宋体"/>
          <w:color w:val="auto"/>
          <w:sz w:val="24"/>
          <w:highlight w:val="none"/>
        </w:rPr>
      </w:pPr>
      <w:bookmarkStart w:id="11" w:name="_Toc18658"/>
      <w:r>
        <w:rPr>
          <w:rFonts w:hint="eastAsia" w:ascii="宋体" w:hAnsi="宋体" w:cs="宋体"/>
          <w:color w:val="auto"/>
          <w:sz w:val="24"/>
          <w:highlight w:val="none"/>
        </w:rPr>
        <w:t>（1）投标报价表；</w:t>
      </w:r>
      <w:bookmarkEnd w:id="11"/>
    </w:p>
    <w:p>
      <w:pPr>
        <w:autoSpaceDE w:val="0"/>
        <w:autoSpaceDN w:val="0"/>
        <w:adjustRightInd w:val="0"/>
        <w:spacing w:line="400" w:lineRule="exact"/>
        <w:ind w:firstLine="480" w:firstLineChars="200"/>
        <w:jc w:val="left"/>
        <w:rPr>
          <w:rFonts w:ascii="宋体" w:hAnsi="宋体" w:cs="宋体"/>
          <w:color w:val="auto"/>
          <w:sz w:val="24"/>
          <w:highlight w:val="none"/>
        </w:rPr>
      </w:pPr>
      <w:bookmarkStart w:id="12" w:name="_Toc7374"/>
      <w:r>
        <w:rPr>
          <w:rFonts w:hint="eastAsia" w:ascii="宋体" w:hAnsi="宋体" w:cs="宋体"/>
          <w:color w:val="auto"/>
          <w:sz w:val="24"/>
          <w:highlight w:val="none"/>
        </w:rPr>
        <w:t>（2）明细报价；</w:t>
      </w:r>
      <w:bookmarkEnd w:id="12"/>
    </w:p>
    <w:p>
      <w:pPr>
        <w:autoSpaceDE w:val="0"/>
        <w:autoSpaceDN w:val="0"/>
        <w:adjustRightInd w:val="0"/>
        <w:spacing w:line="400" w:lineRule="exact"/>
        <w:ind w:firstLine="480" w:firstLineChars="200"/>
        <w:jc w:val="left"/>
        <w:rPr>
          <w:rFonts w:ascii="宋体" w:hAnsi="宋体" w:cs="宋体"/>
          <w:color w:val="auto"/>
          <w:sz w:val="24"/>
          <w:highlight w:val="none"/>
        </w:rPr>
      </w:pPr>
      <w:bookmarkStart w:id="13" w:name="_Toc26158"/>
      <w:r>
        <w:rPr>
          <w:rFonts w:hint="eastAsia" w:ascii="宋体" w:hAnsi="宋体" w:cs="宋体"/>
          <w:color w:val="auto"/>
          <w:sz w:val="24"/>
          <w:highlight w:val="none"/>
        </w:rPr>
        <w:t>（3）报价说明；</w:t>
      </w:r>
      <w:bookmarkEnd w:id="13"/>
    </w:p>
    <w:p>
      <w:pPr>
        <w:spacing w:line="400" w:lineRule="exact"/>
        <w:ind w:firstLine="480" w:firstLineChars="200"/>
        <w:rPr>
          <w:rFonts w:ascii="宋体" w:hAnsi="宋体" w:cs="宋体"/>
          <w:color w:val="auto"/>
          <w:sz w:val="24"/>
          <w:highlight w:val="none"/>
        </w:rPr>
      </w:pPr>
      <w:bookmarkStart w:id="14" w:name="_Toc21778"/>
      <w:r>
        <w:rPr>
          <w:rFonts w:hint="eastAsia" w:ascii="宋体" w:hAnsi="宋体" w:cs="宋体"/>
          <w:color w:val="auto"/>
          <w:sz w:val="24"/>
          <w:highlight w:val="none"/>
        </w:rPr>
        <w:t>（4）报价需要的其他资料。</w:t>
      </w:r>
      <w:bookmarkEnd w:id="14"/>
    </w:p>
    <w:p>
      <w:pPr>
        <w:spacing w:line="400" w:lineRule="exact"/>
        <w:rPr>
          <w:rFonts w:ascii="宋体" w:hAnsi="宋体" w:cs="宋体"/>
          <w:color w:val="auto"/>
          <w:sz w:val="24"/>
          <w:highlight w:val="none"/>
        </w:rPr>
      </w:pPr>
      <w:r>
        <w:rPr>
          <w:rFonts w:hint="eastAsia" w:ascii="宋体" w:hAnsi="宋体" w:cs="宋体"/>
          <w:color w:val="auto"/>
          <w:sz w:val="24"/>
          <w:highlight w:val="none"/>
        </w:rPr>
        <w:t>（注：投标人提供的投标文件应当使用采购文件所提供投标文件格式（表格可按照同样格式扩展）。未提供格式的，需要时由投标人用文字或者表格、图片等其它形式提供。）</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rPr>
          <w:rFonts w:ascii="宋体" w:hAnsi="宋体" w:cs="宋体"/>
          <w:color w:val="auto"/>
          <w:sz w:val="24"/>
          <w:highlight w:val="none"/>
        </w:rPr>
      </w:pPr>
      <w:r>
        <w:rPr>
          <w:rFonts w:hint="eastAsia" w:ascii="宋体" w:hAnsi="宋体" w:cs="宋体"/>
          <w:color w:val="auto"/>
          <w:sz w:val="24"/>
          <w:highlight w:val="none"/>
        </w:rPr>
        <w:t>附件：</w:t>
      </w:r>
    </w:p>
    <w:p>
      <w:pPr>
        <w:spacing w:line="400" w:lineRule="exact"/>
        <w:jc w:val="center"/>
        <w:rPr>
          <w:rFonts w:ascii="宋体" w:hAnsi="宋体" w:cs="宋体"/>
          <w:color w:val="auto"/>
          <w:sz w:val="24"/>
          <w:highlight w:val="none"/>
        </w:rPr>
      </w:pPr>
      <w:bookmarkStart w:id="15" w:name="_Toc6154"/>
      <w:r>
        <w:rPr>
          <w:rFonts w:hint="eastAsia" w:ascii="宋体" w:hAnsi="宋体" w:cs="宋体"/>
          <w:color w:val="auto"/>
          <w:sz w:val="24"/>
          <w:highlight w:val="none"/>
        </w:rPr>
        <w:t>投标报价一览表</w:t>
      </w:r>
      <w:bookmarkEnd w:id="15"/>
    </w:p>
    <w:p>
      <w:pPr>
        <w:spacing w:line="40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bCs/>
          <w:color w:val="auto"/>
          <w:sz w:val="24"/>
          <w:highlight w:val="none"/>
        </w:rPr>
        <w:t xml:space="preserve">                            </w:t>
      </w:r>
      <w:r>
        <w:rPr>
          <w:rFonts w:hint="eastAsia" w:ascii="宋体" w:hAnsi="宋体" w:cs="宋体"/>
          <w:color w:val="auto"/>
          <w:sz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18"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w:t>
            </w:r>
          </w:p>
        </w:tc>
        <w:tc>
          <w:tcPr>
            <w:tcW w:w="6801"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总价</w:t>
            </w:r>
          </w:p>
        </w:tc>
        <w:tc>
          <w:tcPr>
            <w:tcW w:w="6801"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（小写）</w:t>
            </w:r>
          </w:p>
          <w:p>
            <w:pPr>
              <w:spacing w:line="400" w:lineRule="exact"/>
              <w:rPr>
                <w:rFonts w:ascii="宋体" w:hAnsi="宋体" w:cs="宋体"/>
                <w:color w:val="auto"/>
                <w:sz w:val="24"/>
                <w:highlight w:val="none"/>
              </w:rPr>
            </w:pPr>
            <w:r>
              <w:rPr>
                <w:rFonts w:hint="eastAsia" w:ascii="宋体" w:hAnsi="宋体" w:cs="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2</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工期</w:t>
            </w:r>
          </w:p>
        </w:tc>
        <w:tc>
          <w:tcPr>
            <w:tcW w:w="6801" w:type="dxa"/>
            <w:vAlign w:val="center"/>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3</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质量标准</w:t>
            </w:r>
          </w:p>
        </w:tc>
        <w:tc>
          <w:tcPr>
            <w:tcW w:w="6801" w:type="dxa"/>
            <w:vAlign w:val="center"/>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4</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质保期</w:t>
            </w:r>
          </w:p>
        </w:tc>
        <w:tc>
          <w:tcPr>
            <w:tcW w:w="6801" w:type="dxa"/>
            <w:vAlign w:val="center"/>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5</w:t>
            </w:r>
          </w:p>
        </w:tc>
        <w:tc>
          <w:tcPr>
            <w:tcW w:w="1418"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报价说明</w:t>
            </w:r>
          </w:p>
        </w:tc>
        <w:tc>
          <w:tcPr>
            <w:tcW w:w="6801" w:type="dxa"/>
            <w:vAlign w:val="center"/>
          </w:tcPr>
          <w:p>
            <w:pPr>
              <w:spacing w:line="400" w:lineRule="exact"/>
              <w:rPr>
                <w:rFonts w:ascii="宋体" w:hAnsi="宋体" w:cs="宋体"/>
                <w:color w:val="auto"/>
                <w:sz w:val="24"/>
                <w:highlight w:val="none"/>
              </w:rPr>
            </w:pPr>
          </w:p>
        </w:tc>
      </w:tr>
    </w:tbl>
    <w:p>
      <w:pPr>
        <w:spacing w:line="40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00" w:lineRule="exact"/>
        <w:rPr>
          <w:rFonts w:ascii="宋体" w:hAnsi="宋体" w:cs="宋体"/>
          <w:color w:val="auto"/>
          <w:sz w:val="24"/>
          <w:highlight w:val="none"/>
        </w:rPr>
      </w:pPr>
      <w:r>
        <w:rPr>
          <w:rFonts w:hint="eastAsia" w:ascii="宋体" w:hAnsi="宋体" w:cs="宋体"/>
          <w:color w:val="auto"/>
          <w:sz w:val="24"/>
          <w:highlight w:val="none"/>
        </w:rPr>
        <w:t>1、投标总价应为各分项报价之和。报价须以元为单位，小数点后保留2位。</w:t>
      </w:r>
    </w:p>
    <w:p>
      <w:pPr>
        <w:spacing w:line="400" w:lineRule="exact"/>
        <w:rPr>
          <w:rFonts w:ascii="宋体" w:hAnsi="宋体" w:cs="宋体"/>
          <w:color w:val="auto"/>
          <w:sz w:val="24"/>
          <w:highlight w:val="none"/>
        </w:rPr>
      </w:pPr>
      <w:r>
        <w:rPr>
          <w:rFonts w:hint="eastAsia" w:ascii="宋体" w:hAnsi="宋体" w:cs="宋体"/>
          <w:color w:val="auto"/>
          <w:sz w:val="24"/>
          <w:highlight w:val="none"/>
        </w:rPr>
        <w:t>2、投标报价包括投标人为实施本项目提供投标产品及服务内容所包括的全部含税价格的体现。</w:t>
      </w:r>
    </w:p>
    <w:p>
      <w:pPr>
        <w:spacing w:line="400" w:lineRule="exact"/>
        <w:rPr>
          <w:rFonts w:ascii="宋体" w:hAnsi="宋体" w:cs="宋体"/>
          <w:color w:val="auto"/>
          <w:sz w:val="24"/>
          <w:highlight w:val="none"/>
        </w:rPr>
      </w:pPr>
      <w:r>
        <w:rPr>
          <w:rFonts w:hint="eastAsia" w:ascii="宋体" w:hAnsi="宋体" w:cs="宋体"/>
          <w:color w:val="auto"/>
          <w:sz w:val="24"/>
          <w:highlight w:val="none"/>
        </w:rPr>
        <w:t>3、投标人必须自行考虑本项目在实施期间的一切可能产生的费用。在合同执行过程中，招标人将不再另行支付与本项目相关的任何费用（非本项目要求的其它内容除外）。</w:t>
      </w: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spacing w:line="400" w:lineRule="exact"/>
        <w:jc w:val="righ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rPr>
          <w:rFonts w:ascii="宋体" w:hAnsi="宋体" w:cs="宋体"/>
          <w:color w:val="auto"/>
          <w:sz w:val="24"/>
          <w:highlight w:val="none"/>
        </w:rPr>
      </w:pPr>
      <w:r>
        <w:rPr>
          <w:rFonts w:hint="eastAsia" w:ascii="宋体" w:hAnsi="宋体" w:cs="宋体"/>
          <w:color w:val="auto"/>
          <w:sz w:val="24"/>
          <w:highlight w:val="none"/>
        </w:rPr>
        <w:t>附件：</w:t>
      </w:r>
    </w:p>
    <w:p>
      <w:pPr>
        <w:spacing w:line="400" w:lineRule="exact"/>
        <w:jc w:val="center"/>
        <w:rPr>
          <w:rFonts w:ascii="宋体" w:hAnsi="宋体" w:cs="宋体"/>
          <w:b/>
          <w:bCs/>
          <w:color w:val="auto"/>
          <w:sz w:val="24"/>
          <w:highlight w:val="none"/>
        </w:rPr>
      </w:pPr>
      <w:bookmarkStart w:id="16" w:name="_Toc3627"/>
      <w:r>
        <w:rPr>
          <w:rFonts w:hint="eastAsia" w:ascii="宋体" w:hAnsi="宋体" w:cs="宋体"/>
          <w:b/>
          <w:bCs/>
          <w:color w:val="auto"/>
          <w:sz w:val="24"/>
          <w:highlight w:val="none"/>
        </w:rPr>
        <w:t>明细报价单</w:t>
      </w:r>
      <w:bookmarkEnd w:id="16"/>
    </w:p>
    <w:tbl>
      <w:tblPr>
        <w:tblStyle w:val="51"/>
        <w:tblpPr w:leftFromText="180" w:rightFromText="180" w:vertAnchor="page" w:horzAnchor="page" w:tblpX="1070" w:tblpY="2559"/>
        <w:tblOverlap w:val="never"/>
        <w:tblW w:w="10021" w:type="dxa"/>
        <w:tblInd w:w="0" w:type="dxa"/>
        <w:tblLayout w:type="fixed"/>
        <w:tblCellMar>
          <w:top w:w="0" w:type="dxa"/>
          <w:left w:w="108" w:type="dxa"/>
          <w:bottom w:w="0" w:type="dxa"/>
          <w:right w:w="108" w:type="dxa"/>
        </w:tblCellMar>
      </w:tblPr>
      <w:tblGrid>
        <w:gridCol w:w="929"/>
        <w:gridCol w:w="1340"/>
        <w:gridCol w:w="805"/>
        <w:gridCol w:w="1484"/>
        <w:gridCol w:w="1106"/>
        <w:gridCol w:w="726"/>
        <w:gridCol w:w="919"/>
        <w:gridCol w:w="1320"/>
        <w:gridCol w:w="887"/>
        <w:gridCol w:w="505"/>
      </w:tblGrid>
      <w:tr>
        <w:tblPrEx>
          <w:tblCellMar>
            <w:top w:w="0" w:type="dxa"/>
            <w:left w:w="108" w:type="dxa"/>
            <w:bottom w:w="0" w:type="dxa"/>
            <w:right w:w="108" w:type="dxa"/>
          </w:tblCellMar>
        </w:tblPrEx>
        <w:trPr>
          <w:trHeight w:val="9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序号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产品名称</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厂家</w:t>
            </w: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规格参数</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品牌</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数量</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单价（元）</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备注</w:t>
            </w:r>
          </w:p>
        </w:tc>
      </w:tr>
      <w:tr>
        <w:tblPrEx>
          <w:tblCellMar>
            <w:top w:w="0" w:type="dxa"/>
            <w:left w:w="108" w:type="dxa"/>
            <w:bottom w:w="0" w:type="dxa"/>
            <w:right w:w="108" w:type="dxa"/>
          </w:tblCellMar>
        </w:tblPrEx>
        <w:trPr>
          <w:trHeight w:val="562"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b/>
                <w:bCs/>
                <w:color w:val="auto"/>
                <w:kern w:val="0"/>
                <w:sz w:val="24"/>
                <w:highlight w:val="none"/>
                <w:lang w:bidi="ar"/>
              </w:rPr>
              <w:t>...</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auto"/>
                <w:kern w:val="0"/>
                <w:sz w:val="24"/>
                <w:highlight w:val="none"/>
                <w:lang w:bidi="ar"/>
              </w:rPr>
            </w:pPr>
          </w:p>
        </w:tc>
      </w:tr>
    </w:tbl>
    <w:p>
      <w:pPr>
        <w:spacing w:line="400" w:lineRule="exact"/>
        <w:rPr>
          <w:rFonts w:ascii="宋体" w:hAnsi="宋体" w:cs="宋体"/>
          <w:color w:val="auto"/>
          <w:sz w:val="24"/>
          <w:highlight w:val="none"/>
          <w:lang w:val="en-GB"/>
        </w:rPr>
      </w:pPr>
      <w:r>
        <w:rPr>
          <w:rFonts w:hint="eastAsia" w:ascii="宋体" w:hAnsi="宋体" w:cs="宋体"/>
          <w:color w:val="auto"/>
          <w:sz w:val="24"/>
          <w:highlight w:val="none"/>
        </w:rPr>
        <w:t>注：本供货及服务范围如有任何漏项，但确实是采购人采购范围中应该有的，是满足技术规范及国家或行业有关标准要求所必须的，均应由投标人负责将漏项补齐并填报在对应分项的“其它”栏中，在备注栏中予以说明。合同签订后如发现仍有遗漏，仍由投标人无偿提供补齐。</w:t>
      </w:r>
    </w:p>
    <w:p>
      <w:pPr>
        <w:spacing w:line="400" w:lineRule="exact"/>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rPr>
          <w:rFonts w:ascii="宋体" w:hAnsi="宋体" w:cs="宋体"/>
          <w:color w:val="auto"/>
          <w:sz w:val="24"/>
          <w:highlight w:val="none"/>
        </w:rPr>
      </w:pPr>
      <w:r>
        <w:rPr>
          <w:rFonts w:hint="eastAsia" w:ascii="宋体" w:hAnsi="宋体" w:cs="宋体"/>
          <w:color w:val="auto"/>
          <w:sz w:val="24"/>
          <w:highlight w:val="none"/>
        </w:rPr>
        <w:t>附件：</w:t>
      </w:r>
    </w:p>
    <w:p>
      <w:pPr>
        <w:spacing w:line="400" w:lineRule="exact"/>
        <w:rPr>
          <w:rFonts w:ascii="宋体" w:hAnsi="宋体" w:cs="宋体"/>
          <w:color w:val="auto"/>
          <w:sz w:val="24"/>
          <w:highlight w:val="none"/>
        </w:rPr>
      </w:pPr>
    </w:p>
    <w:p>
      <w:pPr>
        <w:spacing w:line="400" w:lineRule="exact"/>
        <w:jc w:val="center"/>
        <w:rPr>
          <w:rFonts w:ascii="宋体" w:hAnsi="宋体" w:cs="宋体"/>
          <w:color w:val="auto"/>
          <w:sz w:val="24"/>
          <w:highlight w:val="none"/>
        </w:rPr>
      </w:pPr>
      <w:bookmarkStart w:id="17" w:name="_Toc25825"/>
      <w:r>
        <w:rPr>
          <w:rFonts w:hint="eastAsia" w:ascii="宋体" w:hAnsi="宋体" w:cs="宋体"/>
          <w:color w:val="auto"/>
          <w:sz w:val="24"/>
          <w:highlight w:val="none"/>
        </w:rPr>
        <w:t>投  标  人  企  业  简  介</w:t>
      </w:r>
      <w:bookmarkEnd w:id="17"/>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bookmarkStart w:id="18" w:name="_Toc4836"/>
      <w:r>
        <w:rPr>
          <w:rFonts w:hint="eastAsia" w:ascii="宋体" w:hAnsi="宋体" w:cs="宋体"/>
          <w:color w:val="auto"/>
          <w:sz w:val="24"/>
          <w:highlight w:val="none"/>
        </w:rPr>
        <w:t>1、投标人(盖公章)：</w:t>
      </w:r>
      <w:bookmarkEnd w:id="18"/>
    </w:p>
    <w:p>
      <w:pPr>
        <w:spacing w:line="400" w:lineRule="exact"/>
        <w:rPr>
          <w:rFonts w:ascii="宋体" w:hAnsi="宋体" w:cs="宋体"/>
          <w:color w:val="auto"/>
          <w:sz w:val="24"/>
          <w:highlight w:val="none"/>
        </w:rPr>
      </w:pPr>
      <w:bookmarkStart w:id="19" w:name="_Toc6678"/>
      <w:r>
        <w:rPr>
          <w:rFonts w:hint="eastAsia" w:ascii="宋体" w:hAnsi="宋体" w:cs="宋体"/>
          <w:color w:val="auto"/>
          <w:sz w:val="24"/>
          <w:highlight w:val="none"/>
        </w:rPr>
        <w:t>2、投标单位地址：</w:t>
      </w:r>
      <w:bookmarkEnd w:id="19"/>
      <w:r>
        <w:rPr>
          <w:rFonts w:hint="eastAsia" w:ascii="宋体" w:hAnsi="宋体" w:cs="宋体"/>
          <w:color w:val="auto"/>
          <w:sz w:val="24"/>
          <w:highlight w:val="none"/>
        </w:rPr>
        <w:tab/>
      </w:r>
    </w:p>
    <w:p>
      <w:pPr>
        <w:spacing w:line="400" w:lineRule="exact"/>
        <w:rPr>
          <w:rFonts w:ascii="宋体" w:hAnsi="宋体" w:cs="宋体"/>
          <w:color w:val="auto"/>
          <w:sz w:val="24"/>
          <w:highlight w:val="none"/>
        </w:rPr>
      </w:pPr>
      <w:bookmarkStart w:id="20" w:name="_Toc6584"/>
      <w:r>
        <w:rPr>
          <w:rFonts w:hint="eastAsia" w:ascii="宋体" w:hAnsi="宋体" w:cs="宋体"/>
          <w:color w:val="auto"/>
          <w:sz w:val="24"/>
          <w:highlight w:val="none"/>
        </w:rPr>
        <w:t>3、经营范围：</w:t>
      </w:r>
      <w:bookmarkEnd w:id="20"/>
      <w:r>
        <w:rPr>
          <w:rFonts w:hint="eastAsia" w:ascii="宋体" w:hAnsi="宋体" w:cs="宋体"/>
          <w:color w:val="auto"/>
          <w:sz w:val="24"/>
          <w:highlight w:val="none"/>
        </w:rPr>
        <w:tab/>
      </w:r>
    </w:p>
    <w:p>
      <w:pPr>
        <w:spacing w:line="400" w:lineRule="exact"/>
        <w:rPr>
          <w:rFonts w:ascii="宋体" w:hAnsi="宋体" w:cs="宋体"/>
          <w:color w:val="auto"/>
          <w:sz w:val="24"/>
          <w:highlight w:val="none"/>
        </w:rPr>
      </w:pPr>
      <w:bookmarkStart w:id="21" w:name="_Toc16476"/>
      <w:r>
        <w:rPr>
          <w:rFonts w:hint="eastAsia" w:ascii="宋体" w:hAnsi="宋体" w:cs="宋体"/>
          <w:color w:val="auto"/>
          <w:sz w:val="24"/>
          <w:highlight w:val="none"/>
        </w:rPr>
        <w:t>4、投标人自我介绍：</w:t>
      </w:r>
      <w:bookmarkEnd w:id="21"/>
      <w:r>
        <w:rPr>
          <w:rFonts w:hint="eastAsia" w:ascii="宋体" w:hAnsi="宋体" w:cs="宋体"/>
          <w:color w:val="auto"/>
          <w:sz w:val="24"/>
          <w:highlight w:val="none"/>
        </w:rPr>
        <w:tab/>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jc w:val="center"/>
        <w:rPr>
          <w:rFonts w:ascii="宋体" w:hAnsi="宋体" w:cs="宋体"/>
          <w:b/>
          <w:bCs/>
          <w:color w:val="auto"/>
          <w:sz w:val="24"/>
          <w:highlight w:val="none"/>
        </w:rPr>
      </w:pPr>
      <w:bookmarkStart w:id="22" w:name="_Toc27716"/>
      <w:r>
        <w:rPr>
          <w:rFonts w:hint="eastAsia" w:ascii="宋体" w:hAnsi="宋体" w:cs="宋体"/>
          <w:b/>
          <w:bCs/>
          <w:color w:val="auto"/>
          <w:sz w:val="24"/>
          <w:highlight w:val="none"/>
        </w:rPr>
        <w:t>投标函</w:t>
      </w:r>
    </w:p>
    <w:p>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根据________(项目名称)(项目编号：________)的投标邀请，________(姓名、职务)代表供应商________(供应商名称、地址)参加本项目招标的有关活动。据此函，作如下承诺：</w:t>
      </w:r>
    </w:p>
    <w:p>
      <w:pPr>
        <w:spacing w:line="400" w:lineRule="exact"/>
        <w:rPr>
          <w:rFonts w:ascii="宋体" w:hAnsi="宋体" w:cs="宋体"/>
          <w:color w:val="auto"/>
          <w:sz w:val="24"/>
          <w:highlight w:val="none"/>
        </w:rPr>
      </w:pPr>
      <w:r>
        <w:rPr>
          <w:rFonts w:hint="eastAsia" w:ascii="宋体" w:hAnsi="宋体" w:cs="宋体"/>
          <w:color w:val="auto"/>
          <w:sz w:val="24"/>
          <w:highlight w:val="none"/>
        </w:rPr>
        <w:t>1.同意在本项目招标文件中规定的开标日起______天遵守本投标文件中的承诺，且在期满之前均具有约束力。</w:t>
      </w:r>
    </w:p>
    <w:p>
      <w:pPr>
        <w:spacing w:line="400" w:lineRule="exact"/>
        <w:rPr>
          <w:rFonts w:ascii="宋体" w:hAnsi="宋体" w:cs="宋体"/>
          <w:color w:val="auto"/>
          <w:sz w:val="24"/>
          <w:highlight w:val="none"/>
        </w:rPr>
      </w:pPr>
      <w:r>
        <w:rPr>
          <w:rFonts w:hint="eastAsia" w:ascii="宋体" w:hAnsi="宋体" w:cs="宋体"/>
          <w:color w:val="auto"/>
          <w:sz w:val="24"/>
          <w:highlight w:val="none"/>
        </w:rPr>
        <w:t>2.具备政府采购相关法律法规规定的参加政府采购活动的供应商应当具备的条件：</w:t>
      </w:r>
    </w:p>
    <w:p>
      <w:pPr>
        <w:spacing w:line="400" w:lineRule="exact"/>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line="400" w:lineRule="exact"/>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400" w:lineRule="exact"/>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line="400" w:lineRule="exact"/>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400" w:lineRule="exact"/>
        <w:rPr>
          <w:rFonts w:ascii="宋体" w:hAnsi="宋体" w:cs="宋体"/>
          <w:color w:val="auto"/>
          <w:sz w:val="24"/>
          <w:highlight w:val="none"/>
        </w:rPr>
      </w:pPr>
      <w:r>
        <w:rPr>
          <w:rFonts w:hint="eastAsia" w:ascii="宋体" w:hAnsi="宋体" w:cs="宋体"/>
          <w:color w:val="auto"/>
          <w:sz w:val="24"/>
          <w:highlight w:val="none"/>
        </w:rPr>
        <w:t>(5)参加此项采购活动前3年内，在经营活动中没有重大违法记录。</w:t>
      </w:r>
    </w:p>
    <w:p>
      <w:pPr>
        <w:spacing w:line="400" w:lineRule="exact"/>
        <w:rPr>
          <w:rFonts w:ascii="宋体" w:hAnsi="宋体" w:cs="宋体"/>
          <w:color w:val="auto"/>
          <w:sz w:val="24"/>
          <w:highlight w:val="none"/>
        </w:rPr>
      </w:pPr>
      <w:r>
        <w:rPr>
          <w:rFonts w:hint="eastAsia" w:ascii="宋体" w:hAnsi="宋体" w:cs="宋体"/>
          <w:color w:val="auto"/>
          <w:sz w:val="24"/>
          <w:highlight w:val="none"/>
        </w:rPr>
        <w:t>3.具备本项目招标文件中规定的其他资格条件。</w:t>
      </w:r>
    </w:p>
    <w:p>
      <w:pPr>
        <w:spacing w:line="400" w:lineRule="exact"/>
        <w:rPr>
          <w:rFonts w:ascii="宋体" w:hAnsi="宋体" w:cs="宋体"/>
          <w:color w:val="auto"/>
          <w:sz w:val="24"/>
          <w:highlight w:val="none"/>
        </w:rPr>
      </w:pPr>
      <w:r>
        <w:rPr>
          <w:rFonts w:hint="eastAsia" w:ascii="宋体" w:hAnsi="宋体" w:cs="宋体"/>
          <w:color w:val="auto"/>
          <w:sz w:val="24"/>
          <w:highlight w:val="none"/>
        </w:rPr>
        <w:t>4.提供供应商须知规定的全部投标文件，包括投标文件正本______份，副本______份，电子文档______份，开标一览表(投标报价表)______份。</w:t>
      </w:r>
    </w:p>
    <w:p>
      <w:pPr>
        <w:spacing w:line="400" w:lineRule="exact"/>
        <w:rPr>
          <w:rFonts w:ascii="宋体" w:hAnsi="宋体" w:cs="宋体"/>
          <w:color w:val="auto"/>
          <w:sz w:val="24"/>
          <w:highlight w:val="none"/>
        </w:rPr>
      </w:pPr>
      <w:r>
        <w:rPr>
          <w:rFonts w:hint="eastAsia" w:ascii="宋体" w:hAnsi="宋体" w:cs="宋体"/>
          <w:color w:val="auto"/>
          <w:sz w:val="24"/>
          <w:highlight w:val="none"/>
        </w:rPr>
        <w:t>5.已详细审阅全部招标文件(包括招标文件澄清函)，理解供应商须知的所有条款。</w:t>
      </w:r>
    </w:p>
    <w:p>
      <w:pPr>
        <w:spacing w:line="400" w:lineRule="exact"/>
        <w:rPr>
          <w:rFonts w:ascii="宋体" w:hAnsi="宋体" w:cs="宋体"/>
          <w:color w:val="auto"/>
          <w:sz w:val="24"/>
          <w:highlight w:val="none"/>
        </w:rPr>
      </w:pPr>
      <w:r>
        <w:rPr>
          <w:rFonts w:hint="eastAsia" w:ascii="宋体" w:hAnsi="宋体" w:cs="宋体"/>
          <w:color w:val="auto"/>
          <w:sz w:val="24"/>
          <w:highlight w:val="none"/>
        </w:rPr>
        <w:t>6.完全理解综合评分法不以“最高报价不能作为成交的保证”的规定。</w:t>
      </w:r>
    </w:p>
    <w:p>
      <w:pPr>
        <w:spacing w:line="400" w:lineRule="exact"/>
        <w:rPr>
          <w:rFonts w:ascii="宋体" w:hAnsi="宋体" w:cs="宋体"/>
          <w:color w:val="auto"/>
          <w:sz w:val="24"/>
          <w:highlight w:val="none"/>
        </w:rPr>
      </w:pPr>
      <w:r>
        <w:rPr>
          <w:rFonts w:hint="eastAsia" w:ascii="宋体" w:hAnsi="宋体" w:cs="宋体"/>
          <w:color w:val="auto"/>
          <w:sz w:val="24"/>
          <w:highlight w:val="none"/>
        </w:rPr>
        <w:t>7.接受招标文件中全部合同条款，且无任何异议；保证忠实地执行双方所签订的合同，并承担合同规定的责任和义务。</w:t>
      </w:r>
    </w:p>
    <w:p>
      <w:pPr>
        <w:spacing w:line="400" w:lineRule="exact"/>
        <w:rPr>
          <w:rFonts w:ascii="宋体" w:hAnsi="宋体" w:cs="宋体"/>
          <w:color w:val="auto"/>
          <w:sz w:val="24"/>
          <w:highlight w:val="none"/>
        </w:rPr>
      </w:pPr>
      <w:r>
        <w:rPr>
          <w:rFonts w:hint="eastAsia" w:ascii="宋体" w:hAnsi="宋体" w:cs="宋体"/>
          <w:color w:val="auto"/>
          <w:sz w:val="24"/>
          <w:highlight w:val="none"/>
        </w:rPr>
        <w:t>8.完全满足和响应招标文件中的各项商务和技术要求，若有偏差，已在投标文件中明确说明。</w:t>
      </w:r>
    </w:p>
    <w:p>
      <w:pPr>
        <w:spacing w:line="400" w:lineRule="exact"/>
        <w:rPr>
          <w:rFonts w:ascii="宋体" w:hAnsi="宋体" w:cs="宋体"/>
          <w:color w:val="auto"/>
          <w:sz w:val="24"/>
          <w:highlight w:val="none"/>
        </w:rPr>
      </w:pPr>
      <w:r>
        <w:rPr>
          <w:rFonts w:hint="eastAsia" w:ascii="宋体" w:hAnsi="宋体" w:cs="宋体"/>
          <w:color w:val="auto"/>
          <w:sz w:val="24"/>
          <w:highlight w:val="none"/>
        </w:rPr>
        <w:t>9.如果在开标后规定的投标有效期内撤回投标，贵方可不予退还我方的投标保证金。</w:t>
      </w:r>
    </w:p>
    <w:p>
      <w:pPr>
        <w:spacing w:line="400" w:lineRule="exact"/>
        <w:rPr>
          <w:rFonts w:ascii="宋体" w:hAnsi="宋体" w:cs="宋体"/>
          <w:color w:val="auto"/>
          <w:sz w:val="24"/>
          <w:highlight w:val="none"/>
        </w:rPr>
      </w:pPr>
      <w:r>
        <w:rPr>
          <w:rFonts w:hint="eastAsia" w:ascii="宋体" w:hAnsi="宋体" w:cs="宋体"/>
          <w:color w:val="auto"/>
          <w:sz w:val="24"/>
          <w:highlight w:val="none"/>
        </w:rPr>
        <w:t>10.愿意提供任何与投标有关的数据、情况和技术资料等。</w:t>
      </w:r>
    </w:p>
    <w:p>
      <w:pPr>
        <w:spacing w:line="400" w:lineRule="exact"/>
        <w:rPr>
          <w:rFonts w:ascii="宋体" w:hAnsi="宋体" w:cs="宋体"/>
          <w:color w:val="auto"/>
          <w:sz w:val="24"/>
          <w:highlight w:val="none"/>
        </w:rPr>
      </w:pPr>
      <w:r>
        <w:rPr>
          <w:rFonts w:hint="eastAsia" w:ascii="宋体" w:hAnsi="宋体" w:cs="宋体"/>
          <w:color w:val="auto"/>
          <w:sz w:val="24"/>
          <w:highlight w:val="none"/>
        </w:rPr>
        <w:t>11.我方已详细审核全部投标文件、参考资料及有关附件，确认无误。</w:t>
      </w:r>
    </w:p>
    <w:p>
      <w:pPr>
        <w:spacing w:line="400" w:lineRule="exact"/>
        <w:rPr>
          <w:rFonts w:ascii="宋体" w:hAnsi="宋体" w:cs="宋体"/>
          <w:color w:val="auto"/>
          <w:sz w:val="24"/>
          <w:highlight w:val="none"/>
        </w:rPr>
      </w:pPr>
      <w:r>
        <w:rPr>
          <w:rFonts w:hint="eastAsia" w:ascii="宋体" w:hAnsi="宋体" w:cs="宋体"/>
          <w:color w:val="auto"/>
          <w:sz w:val="24"/>
          <w:highlight w:val="none"/>
        </w:rPr>
        <w:t>12.对本次招标内容及与本项目有关的知识产权、技术资料、商业秘密及相关信息保密。</w:t>
      </w:r>
    </w:p>
    <w:p>
      <w:pPr>
        <w:spacing w:line="400" w:lineRule="exact"/>
        <w:rPr>
          <w:rFonts w:ascii="宋体" w:hAnsi="宋体" w:cs="宋体"/>
          <w:color w:val="auto"/>
          <w:sz w:val="24"/>
          <w:highlight w:val="none"/>
        </w:rPr>
      </w:pPr>
      <w:r>
        <w:rPr>
          <w:rFonts w:hint="eastAsia" w:ascii="宋体" w:hAnsi="宋体" w:cs="宋体"/>
          <w:color w:val="auto"/>
          <w:sz w:val="24"/>
          <w:highlight w:val="none"/>
        </w:rPr>
        <w:t>13.与采购人和采购代理机构无任何的隶属关系或者其他利害关系。</w:t>
      </w: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投标承诺书（一）</w:t>
      </w:r>
      <w:bookmarkEnd w:id="22"/>
    </w:p>
    <w:p>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pPr>
        <w:spacing w:line="400" w:lineRule="exact"/>
        <w:rPr>
          <w:rFonts w:ascii="宋体" w:hAnsi="宋体" w:cs="宋体"/>
          <w:color w:val="auto"/>
          <w:sz w:val="24"/>
          <w:highlight w:val="none"/>
        </w:rPr>
      </w:pPr>
      <w:r>
        <w:rPr>
          <w:rFonts w:hint="eastAsia" w:ascii="宋体" w:hAnsi="宋体" w:cs="宋体"/>
          <w:color w:val="auto"/>
          <w:sz w:val="24"/>
          <w:highlight w:val="none"/>
        </w:rPr>
        <w:t>我方收到并研究了贵方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（项目名称、项目编号）项目的采购文件，愿意按照采购文件规定的内容承担该项目的投标任务，严格执行我方所承诺的责任和义务。为此，我方郑重声明以下诸点，并负法律责任。</w:t>
      </w:r>
    </w:p>
    <w:p>
      <w:pPr>
        <w:spacing w:line="400" w:lineRule="exact"/>
        <w:rPr>
          <w:rFonts w:ascii="宋体" w:hAnsi="宋体" w:cs="宋体"/>
          <w:color w:val="auto"/>
          <w:sz w:val="24"/>
          <w:highlight w:val="none"/>
        </w:rPr>
      </w:pPr>
      <w:r>
        <w:rPr>
          <w:rFonts w:hint="eastAsia" w:ascii="宋体" w:hAnsi="宋体" w:cs="宋体"/>
          <w:color w:val="auto"/>
          <w:sz w:val="24"/>
          <w:highlight w:val="none"/>
        </w:rPr>
        <w:t>1、我方按采购要求提交投标文件；我方愿按《中华人民共和国政府采购法》及其他有关法律、法规的规定，自觉履行自己的全部责任。</w:t>
      </w:r>
    </w:p>
    <w:p>
      <w:pPr>
        <w:spacing w:line="400" w:lineRule="exact"/>
        <w:rPr>
          <w:rFonts w:ascii="宋体" w:hAnsi="宋体" w:cs="宋体"/>
          <w:color w:val="auto"/>
          <w:sz w:val="24"/>
          <w:highlight w:val="none"/>
        </w:rPr>
      </w:pPr>
      <w:r>
        <w:rPr>
          <w:rFonts w:hint="eastAsia" w:ascii="宋体" w:hAnsi="宋体" w:cs="宋体"/>
          <w:color w:val="auto"/>
          <w:sz w:val="24"/>
          <w:highlight w:val="none"/>
        </w:rPr>
        <w:t>2、我方同意在投标有效期内遵守本投标文件，在此期限期满前的任何时间，本投标文件一直对我们具有约束力；</w:t>
      </w:r>
    </w:p>
    <w:p>
      <w:pPr>
        <w:spacing w:line="400" w:lineRule="exact"/>
        <w:rPr>
          <w:rFonts w:ascii="宋体" w:hAnsi="宋体" w:cs="宋体"/>
          <w:color w:val="auto"/>
          <w:sz w:val="24"/>
          <w:highlight w:val="none"/>
        </w:rPr>
      </w:pPr>
      <w:r>
        <w:rPr>
          <w:rFonts w:hint="eastAsia" w:ascii="宋体" w:hAnsi="宋体" w:cs="宋体"/>
          <w:color w:val="auto"/>
          <w:sz w:val="24"/>
          <w:highlight w:val="none"/>
        </w:rPr>
        <w:t>3、如果我方投标文件被接受，我方将按照采购文件的规定，我方保证将按招标要求和投标文件中的承诺按期、按质、按量交付使用方；</w:t>
      </w:r>
    </w:p>
    <w:p>
      <w:pPr>
        <w:spacing w:line="400" w:lineRule="exact"/>
        <w:rPr>
          <w:rFonts w:ascii="宋体" w:hAnsi="宋体" w:cs="宋体"/>
          <w:color w:val="auto"/>
          <w:sz w:val="24"/>
          <w:highlight w:val="none"/>
        </w:rPr>
      </w:pPr>
      <w:r>
        <w:rPr>
          <w:rFonts w:hint="eastAsia" w:ascii="宋体" w:hAnsi="宋体" w:cs="宋体"/>
          <w:color w:val="auto"/>
          <w:sz w:val="24"/>
          <w:highlight w:val="none"/>
        </w:rPr>
        <w:t>4、如果我方成交，我方将在采购文件规定的时间内签订委托合同并按招标要求提供履约担保。如果我方违约，除投标保证金不予退还外，贵方有权终止我方成交并选择其它成交人。</w:t>
      </w:r>
    </w:p>
    <w:p>
      <w:pPr>
        <w:spacing w:line="400" w:lineRule="exact"/>
        <w:rPr>
          <w:rFonts w:ascii="宋体" w:hAnsi="宋体" w:cs="宋体"/>
          <w:color w:val="auto"/>
          <w:sz w:val="24"/>
          <w:highlight w:val="none"/>
        </w:rPr>
      </w:pPr>
      <w:r>
        <w:rPr>
          <w:rFonts w:hint="eastAsia" w:ascii="宋体" w:hAnsi="宋体" w:cs="宋体"/>
          <w:color w:val="auto"/>
          <w:sz w:val="24"/>
          <w:highlight w:val="none"/>
        </w:rPr>
        <w:t>5、如果我方成交，我方将在采购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spacing w:line="400" w:lineRule="exact"/>
        <w:rPr>
          <w:rFonts w:ascii="宋体" w:hAnsi="宋体" w:cs="宋体"/>
          <w:color w:val="auto"/>
          <w:sz w:val="24"/>
          <w:highlight w:val="none"/>
        </w:rPr>
      </w:pPr>
      <w:r>
        <w:rPr>
          <w:rFonts w:hint="eastAsia" w:ascii="宋体" w:hAnsi="宋体" w:cs="宋体"/>
          <w:color w:val="auto"/>
          <w:sz w:val="24"/>
          <w:highlight w:val="none"/>
        </w:rPr>
        <w:t>6、一旦我方成交，我方愿意按采购要求承担招标代理服务费。</w:t>
      </w:r>
    </w:p>
    <w:p>
      <w:pPr>
        <w:spacing w:line="400" w:lineRule="exact"/>
        <w:rPr>
          <w:rFonts w:ascii="宋体" w:hAnsi="宋体" w:cs="宋体"/>
          <w:color w:val="auto"/>
          <w:sz w:val="24"/>
          <w:highlight w:val="none"/>
        </w:rPr>
      </w:pPr>
      <w:r>
        <w:rPr>
          <w:rFonts w:hint="eastAsia" w:ascii="宋体" w:hAnsi="宋体" w:cs="宋体"/>
          <w:color w:val="auto"/>
          <w:sz w:val="24"/>
          <w:highlight w:val="none"/>
        </w:rPr>
        <w:t>7、贵方的成交通知书和本投标文件将构成约束双方的合同。</w:t>
      </w:r>
    </w:p>
    <w:p>
      <w:pPr>
        <w:spacing w:line="400" w:lineRule="exact"/>
        <w:rPr>
          <w:rFonts w:ascii="宋体" w:hAnsi="宋体" w:cs="宋体"/>
          <w:color w:val="auto"/>
          <w:sz w:val="24"/>
          <w:highlight w:val="none"/>
        </w:rPr>
      </w:pPr>
      <w:r>
        <w:rPr>
          <w:rFonts w:hint="eastAsia" w:ascii="宋体" w:hAnsi="宋体" w:cs="宋体"/>
          <w:color w:val="auto"/>
          <w:sz w:val="24"/>
          <w:highlight w:val="none"/>
        </w:rPr>
        <w:t>8、如果我方未成交，贵方没有必要对我方做出任何解释和说明，我方将充分尊重和理解贵方的选择。</w:t>
      </w:r>
    </w:p>
    <w:p>
      <w:pPr>
        <w:spacing w:line="400" w:lineRule="exact"/>
        <w:rPr>
          <w:rFonts w:ascii="宋体" w:hAnsi="宋体" w:cs="宋体"/>
          <w:color w:val="auto"/>
          <w:sz w:val="24"/>
          <w:highlight w:val="none"/>
        </w:rPr>
      </w:pPr>
      <w:r>
        <w:rPr>
          <w:rFonts w:hint="eastAsia" w:ascii="宋体" w:hAnsi="宋体" w:cs="宋体"/>
          <w:color w:val="auto"/>
          <w:sz w:val="24"/>
          <w:highlight w:val="none"/>
        </w:rPr>
        <w:t>9、我方的投标响应文件自提交投标文件截止之日起有效期为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spacing w:line="400" w:lineRule="exact"/>
        <w:jc w:val="righ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br w:type="page"/>
      </w:r>
    </w:p>
    <w:p>
      <w:pPr>
        <w:pageBreakBefore/>
        <w:autoSpaceDE w:val="0"/>
        <w:autoSpaceDN w:val="0"/>
        <w:adjustRightInd w:val="0"/>
        <w:spacing w:line="400" w:lineRule="exact"/>
        <w:ind w:firstLine="482" w:firstLineChars="200"/>
        <w:jc w:val="center"/>
        <w:rPr>
          <w:rFonts w:ascii="宋体" w:hAnsi="宋体" w:cs="宋体"/>
          <w:b/>
          <w:bCs/>
          <w:color w:val="auto"/>
          <w:sz w:val="24"/>
          <w:highlight w:val="none"/>
          <w:lang w:val="zh-CN"/>
        </w:rPr>
      </w:pPr>
      <w:bookmarkStart w:id="23" w:name="_Toc6082"/>
      <w:r>
        <w:rPr>
          <w:rFonts w:hint="eastAsia" w:ascii="宋体" w:hAnsi="宋体" w:cs="宋体"/>
          <w:b/>
          <w:bCs/>
          <w:color w:val="auto"/>
          <w:sz w:val="24"/>
          <w:highlight w:val="none"/>
          <w:lang w:val="zh-CN"/>
        </w:rPr>
        <w:t>法定代表人身份证明书</w:t>
      </w:r>
      <w:bookmarkEnd w:id="23"/>
    </w:p>
    <w:p>
      <w:pPr>
        <w:spacing w:line="400" w:lineRule="exact"/>
        <w:jc w:val="center"/>
        <w:rPr>
          <w:rFonts w:ascii="宋体" w:hAnsi="宋体" w:cs="宋体"/>
          <w:b/>
          <w:color w:val="auto"/>
          <w:sz w:val="24"/>
          <w:highlight w:val="none"/>
        </w:rPr>
      </w:pPr>
    </w:p>
    <w:p>
      <w:pPr>
        <w:spacing w:line="400" w:lineRule="exact"/>
        <w:jc w:val="center"/>
        <w:rPr>
          <w:rFonts w:ascii="宋体" w:hAnsi="宋体" w:cs="宋体"/>
          <w:color w:val="auto"/>
          <w:sz w:val="24"/>
          <w:highlight w:val="none"/>
        </w:rPr>
      </w:pPr>
    </w:p>
    <w:p>
      <w:pPr>
        <w:spacing w:line="400" w:lineRule="exact"/>
        <w:jc w:val="center"/>
        <w:rPr>
          <w:rFonts w:ascii="宋体" w:hAnsi="宋体" w:cs="宋体"/>
          <w:color w:val="auto"/>
          <w:sz w:val="24"/>
          <w:highlight w:val="none"/>
        </w:rPr>
      </w:pPr>
    </w:p>
    <w:p>
      <w:pPr>
        <w:spacing w:line="4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企业名称：</w:t>
      </w:r>
    </w:p>
    <w:p>
      <w:pPr>
        <w:spacing w:line="400" w:lineRule="exact"/>
        <w:ind w:firstLine="720" w:firstLineChars="300"/>
        <w:rPr>
          <w:rFonts w:ascii="宋体" w:hAnsi="宋体" w:cs="宋体"/>
          <w:color w:val="auto"/>
          <w:sz w:val="24"/>
          <w:highlight w:val="none"/>
          <w:u w:val="single"/>
        </w:rPr>
      </w:pPr>
    </w:p>
    <w:p>
      <w:pPr>
        <w:spacing w:line="4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企业类型：</w:t>
      </w:r>
    </w:p>
    <w:p>
      <w:pPr>
        <w:spacing w:line="400" w:lineRule="exact"/>
        <w:ind w:firstLine="720" w:firstLineChars="300"/>
        <w:rPr>
          <w:rFonts w:ascii="宋体" w:hAnsi="宋体" w:cs="宋体"/>
          <w:color w:val="auto"/>
          <w:sz w:val="24"/>
          <w:highlight w:val="none"/>
        </w:rPr>
      </w:pPr>
    </w:p>
    <w:p>
      <w:pPr>
        <w:spacing w:line="4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地    址：</w:t>
      </w:r>
    </w:p>
    <w:p>
      <w:pPr>
        <w:spacing w:line="400" w:lineRule="exact"/>
        <w:ind w:firstLine="720" w:firstLineChars="300"/>
        <w:rPr>
          <w:rFonts w:ascii="宋体" w:hAnsi="宋体" w:cs="宋体"/>
          <w:color w:val="auto"/>
          <w:sz w:val="24"/>
          <w:highlight w:val="none"/>
        </w:rPr>
      </w:pPr>
    </w:p>
    <w:p>
      <w:pPr>
        <w:spacing w:line="4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营业期限：</w:t>
      </w:r>
    </w:p>
    <w:p>
      <w:pPr>
        <w:spacing w:line="400" w:lineRule="exact"/>
        <w:ind w:firstLine="720" w:firstLineChars="300"/>
        <w:rPr>
          <w:rFonts w:ascii="宋体" w:hAnsi="宋体" w:cs="宋体"/>
          <w:color w:val="auto"/>
          <w:sz w:val="24"/>
          <w:highlight w:val="none"/>
        </w:rPr>
      </w:pPr>
    </w:p>
    <w:p>
      <w:pPr>
        <w:spacing w:line="4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成立时间：</w:t>
      </w:r>
    </w:p>
    <w:p>
      <w:pPr>
        <w:spacing w:line="400" w:lineRule="exact"/>
        <w:ind w:firstLine="720" w:firstLineChars="300"/>
        <w:rPr>
          <w:rFonts w:ascii="宋体" w:hAnsi="宋体" w:cs="宋体"/>
          <w:color w:val="auto"/>
          <w:sz w:val="24"/>
          <w:highlight w:val="none"/>
          <w:u w:val="single"/>
        </w:rPr>
      </w:pPr>
    </w:p>
    <w:p>
      <w:pPr>
        <w:spacing w:line="400" w:lineRule="exact"/>
        <w:rPr>
          <w:rFonts w:ascii="宋体" w:hAnsi="宋体" w:cs="宋体"/>
          <w:color w:val="auto"/>
          <w:sz w:val="24"/>
          <w:highlight w:val="none"/>
          <w:u w:val="single"/>
        </w:rPr>
      </w:pPr>
    </w:p>
    <w:p>
      <w:pPr>
        <w:spacing w:line="400" w:lineRule="exact"/>
        <w:rPr>
          <w:rFonts w:ascii="宋体" w:hAnsi="宋体" w:cs="宋体"/>
          <w:color w:val="auto"/>
          <w:sz w:val="24"/>
          <w:highlight w:val="none"/>
          <w:u w:val="single"/>
        </w:rPr>
      </w:pPr>
    </w:p>
    <w:p>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    性别：   年龄：  职务：</w:t>
      </w:r>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（项目名称和项目编号）采购项目的投标活动。</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特此证明。</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tbl>
      <w:tblPr>
        <w:tblStyle w:val="51"/>
        <w:tblW w:w="917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4"/>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41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法人身份证正面</w:t>
            </w:r>
          </w:p>
        </w:tc>
        <w:tc>
          <w:tcPr>
            <w:tcW w:w="4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法人身份证反面</w:t>
            </w:r>
          </w:p>
        </w:tc>
      </w:tr>
    </w:tbl>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spacing w:line="400" w:lineRule="exact"/>
        <w:ind w:firstLine="3226" w:firstLineChars="1339"/>
        <w:rPr>
          <w:rFonts w:ascii="宋体" w:hAnsi="宋体" w:cs="宋体"/>
          <w:b/>
          <w:color w:val="auto"/>
          <w:sz w:val="24"/>
          <w:highlight w:val="none"/>
        </w:rPr>
      </w:pPr>
      <w:bookmarkStart w:id="24" w:name="_Toc7067"/>
      <w:r>
        <w:rPr>
          <w:rFonts w:hint="eastAsia" w:ascii="宋体" w:hAnsi="宋体" w:cs="宋体"/>
          <w:b/>
          <w:color w:val="auto"/>
          <w:sz w:val="24"/>
          <w:highlight w:val="none"/>
        </w:rPr>
        <w:t>法人代表授权书格式</w:t>
      </w:r>
      <w:bookmarkEnd w:id="2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本授权书声明：注册于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（地区的名称）的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为我的代理人，以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（项目名称和项目编号）采购项目的投标活动。代理人在参加整个招标投标活动所签署的一切文件和处理与之相关的一切事物，我均予承认。</w:t>
      </w:r>
    </w:p>
    <w:p>
      <w:pPr>
        <w:spacing w:line="400" w:lineRule="exact"/>
        <w:rPr>
          <w:rFonts w:ascii="宋体" w:hAnsi="宋体" w:cs="宋体"/>
          <w:color w:val="auto"/>
          <w:sz w:val="24"/>
          <w:highlight w:val="none"/>
        </w:rPr>
      </w:pPr>
      <w:r>
        <w:rPr>
          <w:rFonts w:hint="eastAsia" w:ascii="宋体" w:hAnsi="宋体" w:cs="宋体"/>
          <w:color w:val="auto"/>
          <w:sz w:val="24"/>
          <w:highlight w:val="none"/>
        </w:rPr>
        <w:t>代理人：   性别：  年龄：</w:t>
      </w:r>
    </w:p>
    <w:p>
      <w:pPr>
        <w:spacing w:line="400" w:lineRule="exact"/>
        <w:rPr>
          <w:rFonts w:ascii="宋体" w:hAnsi="宋体" w:cs="宋体"/>
          <w:color w:val="auto"/>
          <w:sz w:val="24"/>
          <w:highlight w:val="none"/>
        </w:rPr>
      </w:pPr>
      <w:r>
        <w:rPr>
          <w:rFonts w:hint="eastAsia" w:ascii="宋体" w:hAnsi="宋体" w:cs="宋体"/>
          <w:color w:val="auto"/>
          <w:sz w:val="24"/>
          <w:highlight w:val="none"/>
        </w:rPr>
        <w:t>部  门：   职务：</w:t>
      </w:r>
    </w:p>
    <w:p>
      <w:pPr>
        <w:spacing w:line="400" w:lineRule="exact"/>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AGWmR2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f&#10;cOaEpYbffP1y8+3HzffP7G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AGWmR2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SZXpe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5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SZXpe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pPr>
        <w:adjustRightInd w:val="0"/>
        <w:snapToGrid w:val="0"/>
        <w:spacing w:line="400" w:lineRule="exact"/>
        <w:jc w:val="center"/>
        <w:rPr>
          <w:rFonts w:ascii="宋体" w:hAnsi="宋体" w:cs="宋体"/>
          <w:b/>
          <w:color w:val="auto"/>
          <w:sz w:val="24"/>
          <w:highlight w:val="none"/>
        </w:rPr>
      </w:pPr>
      <w:bookmarkStart w:id="25" w:name="_Toc12308"/>
      <w:r>
        <w:rPr>
          <w:rFonts w:hint="eastAsia" w:ascii="宋体" w:hAnsi="宋体" w:cs="宋体"/>
          <w:b/>
          <w:color w:val="auto"/>
          <w:sz w:val="24"/>
          <w:highlight w:val="none"/>
        </w:rPr>
        <w:t>属于中小企业的相关证明资料</w:t>
      </w:r>
      <w:bookmarkEnd w:id="25"/>
    </w:p>
    <w:p>
      <w:pPr>
        <w:pBdr>
          <w:top w:val="single" w:color="auto" w:sz="4" w:space="0"/>
          <w:left w:val="single" w:color="auto" w:sz="4" w:space="0"/>
          <w:bottom w:val="single" w:color="auto" w:sz="4" w:space="0"/>
          <w:right w:val="single" w:color="auto" w:sz="4" w:space="0"/>
        </w:pBdr>
        <w:adjustRightInd w:val="0"/>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中小企业声明函</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504" w:firstLineChars="200"/>
        <w:jc w:val="left"/>
        <w:rPr>
          <w:rFonts w:ascii="宋体" w:hAnsi="宋体" w:cs="宋体"/>
          <w:color w:val="auto"/>
          <w:sz w:val="24"/>
          <w:highlight w:val="none"/>
        </w:rPr>
      </w:pPr>
      <w:r>
        <w:rPr>
          <w:rFonts w:hint="eastAsia" w:ascii="宋体" w:hAnsi="宋体" w:cs="宋体"/>
          <w:color w:val="auto"/>
          <w:spacing w:val="6"/>
          <w:sz w:val="24"/>
          <w:highlight w:val="none"/>
        </w:rPr>
        <w:t>本公司郑重声明，根据《政府采购促进中小企业发展暂行办法》（财库[2011]181号）的规定，本公司为（请填写：中型、小型、微型）企业。即，本公司同时满足以下条件：</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504" w:firstLineChars="200"/>
        <w:jc w:val="left"/>
        <w:rPr>
          <w:rFonts w:ascii="宋体" w:hAnsi="宋体" w:cs="宋体"/>
          <w:color w:val="auto"/>
          <w:sz w:val="24"/>
          <w:highlight w:val="none"/>
        </w:rPr>
      </w:pPr>
      <w:r>
        <w:rPr>
          <w:rFonts w:hint="eastAsia" w:ascii="宋体" w:hAnsi="宋体" w:cs="宋体"/>
          <w:color w:val="auto"/>
          <w:spacing w:val="6"/>
          <w:sz w:val="24"/>
          <w:highlight w:val="none"/>
        </w:rPr>
        <w:t>1.根据《工业和信息化部、国家统计局、国家发展和改革委员会、财政部关于印发中小企业划型标准规定的通知》（工信部联企业[2011]300号）规定的划分标准，本公司为（请填写：中型、小型、微型）企业。</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504" w:firstLineChars="200"/>
        <w:jc w:val="left"/>
        <w:rPr>
          <w:rFonts w:ascii="宋体" w:hAnsi="宋体" w:cs="宋体"/>
          <w:color w:val="auto"/>
          <w:sz w:val="24"/>
          <w:highlight w:val="none"/>
        </w:rPr>
      </w:pPr>
      <w:r>
        <w:rPr>
          <w:rFonts w:hint="eastAsia" w:ascii="宋体" w:hAnsi="宋体" w:cs="宋体"/>
          <w:color w:val="auto"/>
          <w:spacing w:val="6"/>
          <w:sz w:val="24"/>
          <w:highlight w:val="none"/>
        </w:rPr>
        <w:t>2.本公司参加单位的 项目采购活动提供本企业制造的货物，由本企业承担工程、提供服务，或者提供其他（请填写：中型、小型、微型）企业制造的货物。本条所称货物不包括使用大型企业注册商标的货物。</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504" w:firstLineChars="200"/>
        <w:jc w:val="left"/>
        <w:rPr>
          <w:rFonts w:ascii="宋体" w:hAnsi="宋体" w:cs="宋体"/>
          <w:color w:val="auto"/>
          <w:sz w:val="24"/>
          <w:highlight w:val="none"/>
        </w:rPr>
      </w:pPr>
      <w:r>
        <w:rPr>
          <w:rFonts w:hint="eastAsia" w:ascii="宋体" w:hAnsi="宋体" w:cs="宋体"/>
          <w:color w:val="auto"/>
          <w:spacing w:val="6"/>
          <w:sz w:val="24"/>
          <w:highlight w:val="none"/>
        </w:rPr>
        <w:t>本公司对上述声明的真实性负责。如有虚假，将依法承担相应责任。</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480" w:firstLineChars="200"/>
        <w:jc w:val="left"/>
        <w:rPr>
          <w:rFonts w:ascii="宋体" w:hAnsi="宋体" w:cs="宋体"/>
          <w:color w:val="auto"/>
          <w:sz w:val="24"/>
          <w:highlight w:val="none"/>
        </w:rPr>
      </w:pPr>
    </w:p>
    <w:p>
      <w:pPr>
        <w:pBdr>
          <w:top w:val="single" w:color="auto" w:sz="4" w:space="0"/>
          <w:left w:val="single" w:color="auto" w:sz="4" w:space="0"/>
          <w:bottom w:val="single" w:color="auto" w:sz="4" w:space="0"/>
          <w:right w:val="single" w:color="auto" w:sz="4" w:space="0"/>
        </w:pBdr>
        <w:adjustRightInd w:val="0"/>
        <w:snapToGrid w:val="0"/>
        <w:spacing w:line="400" w:lineRule="exact"/>
        <w:ind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投标人名称（盖单位章）： </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504" w:firstLineChars="200"/>
        <w:jc w:val="center"/>
        <w:rPr>
          <w:rFonts w:ascii="宋体" w:hAnsi="宋体" w:cs="宋体"/>
          <w:color w:val="auto"/>
          <w:sz w:val="24"/>
          <w:highlight w:val="none"/>
        </w:rPr>
      </w:pPr>
      <w:r>
        <w:rPr>
          <w:rFonts w:hint="eastAsia" w:ascii="宋体" w:hAnsi="宋体" w:cs="宋体"/>
          <w:color w:val="auto"/>
          <w:spacing w:val="6"/>
          <w:sz w:val="24"/>
          <w:highlight w:val="none"/>
        </w:rPr>
        <w:t xml:space="preserve">             日期：</w:t>
      </w:r>
      <w:r>
        <w:rPr>
          <w:rFonts w:hint="eastAsia" w:ascii="宋体" w:hAnsi="宋体" w:cs="宋体"/>
          <w:color w:val="auto"/>
          <w:sz w:val="24"/>
          <w:highlight w:val="none"/>
        </w:rPr>
        <w:t>年月日</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说明：1、填写前请认真阅读</w:t>
      </w:r>
      <w:r>
        <w:rPr>
          <w:rFonts w:hint="eastAsia" w:ascii="宋体" w:hAnsi="宋体" w:cs="宋体"/>
          <w:color w:val="auto"/>
          <w:spacing w:val="6"/>
          <w:sz w:val="24"/>
          <w:highlight w:val="none"/>
        </w:rPr>
        <w:t>《工业和信息化部、国家统计局、国家发展和改革委员会、财政部关于印发中小企业划型标准规定的通知》（工信部联企业[2011]300号）和《财政部工业和信息化部</w:t>
      </w:r>
      <w:r>
        <w:rPr>
          <w:rFonts w:hint="eastAsia" w:ascii="宋体" w:hAnsi="宋体" w:cs="宋体"/>
          <w:bCs/>
          <w:color w:val="auto"/>
          <w:sz w:val="24"/>
          <w:highlight w:val="none"/>
        </w:rPr>
        <w:t>关于印发＜政府采购促进中小企业发展暂行办法＞的通知》(</w:t>
      </w:r>
      <w:r>
        <w:rPr>
          <w:rFonts w:hint="eastAsia" w:ascii="宋体" w:hAnsi="宋体" w:cs="宋体"/>
          <w:color w:val="auto"/>
          <w:sz w:val="24"/>
          <w:highlight w:val="none"/>
        </w:rPr>
        <w:t>财库[2011]181号)相关规定。</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2、中小企业部分提供其他中小企业制造货物的应另附说明，并与后面的报价一栏表保持一致。</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3、未按上述要求提供、填写的，评审时不予以考虑。</w:t>
      </w:r>
    </w:p>
    <w:p>
      <w:pPr>
        <w:pBdr>
          <w:top w:val="single" w:color="auto" w:sz="4" w:space="0"/>
          <w:left w:val="single" w:color="auto" w:sz="4" w:space="0"/>
          <w:bottom w:val="single" w:color="auto" w:sz="4" w:space="0"/>
          <w:right w:val="single" w:color="auto" w:sz="4" w:space="0"/>
        </w:pBdr>
        <w:adjustRightInd w:val="0"/>
        <w:snapToGrid w:val="0"/>
        <w:spacing w:line="400" w:lineRule="exact"/>
        <w:jc w:val="center"/>
        <w:rPr>
          <w:rFonts w:ascii="宋体" w:hAnsi="宋体" w:cs="宋体"/>
          <w:b/>
          <w:color w:val="auto"/>
          <w:sz w:val="24"/>
          <w:highlight w:val="none"/>
        </w:rPr>
      </w:pPr>
    </w:p>
    <w:p>
      <w:pPr>
        <w:pBdr>
          <w:top w:val="single" w:color="auto" w:sz="4" w:space="0"/>
          <w:left w:val="single" w:color="auto" w:sz="4" w:space="0"/>
          <w:bottom w:val="single" w:color="auto" w:sz="4" w:space="0"/>
          <w:right w:val="single" w:color="auto" w:sz="4" w:space="0"/>
        </w:pBdr>
        <w:adjustRightInd w:val="0"/>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中小企业证明材料</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1.投标人工商行政注册地管理部门出具的小微企业证明材料；</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2.如属于监狱和戒毒企业，需提供由省级以上监狱管理局、戒毒管理局（含新疆生产建设兵团）出具的属于监狱企业的证明文件.</w:t>
      </w:r>
    </w:p>
    <w:p>
      <w:pPr>
        <w:pBdr>
          <w:top w:val="single" w:color="auto" w:sz="4" w:space="0"/>
          <w:left w:val="single" w:color="auto" w:sz="4" w:space="0"/>
          <w:bottom w:val="single" w:color="auto" w:sz="4" w:space="0"/>
          <w:right w:val="single" w:color="auto" w:sz="4" w:space="0"/>
        </w:pBdr>
        <w:adjustRightInd w:val="0"/>
        <w:snapToGrid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3.证明材料加盖投标人公章。</w:t>
      </w: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bookmarkStart w:id="26" w:name="_Toc10735"/>
      <w:r>
        <w:rPr>
          <w:rFonts w:hint="eastAsia" w:ascii="宋体" w:hAnsi="宋体" w:cs="宋体"/>
          <w:b/>
          <w:color w:val="auto"/>
          <w:sz w:val="24"/>
          <w:highlight w:val="none"/>
        </w:rPr>
        <w:t>质量认证（有关部门出具的合格证）</w:t>
      </w:r>
      <w:bookmarkEnd w:id="26"/>
    </w:p>
    <w:p>
      <w:pPr>
        <w:spacing w:line="400" w:lineRule="exact"/>
        <w:rPr>
          <w:rFonts w:ascii="宋体" w:hAnsi="宋体" w:cs="宋体"/>
          <w:b/>
          <w:color w:val="auto"/>
          <w:sz w:val="24"/>
          <w:highlight w:val="none"/>
        </w:rPr>
      </w:pPr>
      <w:r>
        <w:rPr>
          <w:rFonts w:hint="eastAsia" w:ascii="宋体" w:hAnsi="宋体" w:cs="宋体"/>
          <w:color w:val="auto"/>
          <w:sz w:val="24"/>
          <w:highlight w:val="none"/>
        </w:rPr>
        <w:t>1、有关投标产品的合格证复印件（加盖公章）</w:t>
      </w: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spacing w:line="400" w:lineRule="exact"/>
        <w:jc w:val="center"/>
        <w:rPr>
          <w:rFonts w:ascii="宋体" w:hAnsi="宋体" w:cs="宋体"/>
          <w:b/>
          <w:color w:val="auto"/>
          <w:sz w:val="24"/>
          <w:highlight w:val="none"/>
        </w:rPr>
      </w:pPr>
      <w:bookmarkStart w:id="27" w:name="_Toc30840"/>
      <w:r>
        <w:rPr>
          <w:rFonts w:hint="eastAsia" w:ascii="宋体" w:hAnsi="宋体" w:cs="宋体"/>
          <w:b/>
          <w:color w:val="auto"/>
          <w:sz w:val="24"/>
          <w:highlight w:val="none"/>
        </w:rPr>
        <w:t>关于资格的声明函</w:t>
      </w:r>
      <w:bookmarkEnd w:id="27"/>
    </w:p>
    <w:p>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（招标代理机构）</w:t>
      </w:r>
    </w:p>
    <w:p>
      <w:pPr>
        <w:topLinePunct/>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关于贵方“</w:t>
      </w:r>
      <w:r>
        <w:rPr>
          <w:rFonts w:hint="eastAsia" w:ascii="宋体" w:hAnsi="宋体" w:cs="宋体"/>
          <w:color w:val="auto"/>
          <w:sz w:val="24"/>
          <w:highlight w:val="none"/>
          <w:u w:val="single"/>
        </w:rPr>
        <w:t>　　　　　　　　</w:t>
      </w:r>
      <w:r>
        <w:rPr>
          <w:rFonts w:hint="eastAsia" w:ascii="宋体" w:hAnsi="宋体" w:cs="宋体"/>
          <w:color w:val="auto"/>
          <w:sz w:val="24"/>
          <w:highlight w:val="none"/>
        </w:rPr>
        <w:t>（项目名称和项目编号）”的招标项目，本签字人愿意参加投标，并有能力完成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 ，并保证我单位与采购人无政府采购实施条例第九条应回避的关系，在投标报名及投标全过程中提供的企业证明文件、证件、签章及有关附件等资料的原件及复印件是真实、有效的，无伪造、编造、变造、篡改和隐瞒等虚假内容，且复印件与原件一致，若提供虚假内容，我单位将承担全部责任，并承担由此造成的全部损失。</w:t>
      </w:r>
    </w:p>
    <w:p>
      <w:pPr>
        <w:topLinePunct/>
        <w:spacing w:line="400" w:lineRule="exact"/>
        <w:ind w:firstLine="480" w:firstLineChars="200"/>
        <w:rPr>
          <w:rFonts w:ascii="宋体" w:hAnsi="宋体" w:cs="宋体"/>
          <w:color w:val="auto"/>
          <w:sz w:val="24"/>
          <w:highlight w:val="none"/>
        </w:rPr>
      </w:pPr>
    </w:p>
    <w:p>
      <w:pPr>
        <w:spacing w:line="400" w:lineRule="exact"/>
        <w:jc w:val="center"/>
        <w:rPr>
          <w:rFonts w:ascii="宋体" w:hAnsi="宋体" w:cs="宋体"/>
          <w:color w:val="auto"/>
          <w:sz w:val="24"/>
          <w:highlight w:val="none"/>
        </w:rPr>
      </w:pPr>
      <w:bookmarkStart w:id="28" w:name="_Toc11196"/>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日  期：  年  月  日</w:t>
      </w: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p>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缴纳投标保证金证明的复印件</w:t>
      </w:r>
      <w:bookmarkEnd w:id="28"/>
    </w:p>
    <w:p>
      <w:pPr>
        <w:spacing w:line="400" w:lineRule="exact"/>
        <w:rPr>
          <w:rFonts w:ascii="宋体" w:hAnsi="宋体" w:cs="宋体"/>
          <w:color w:val="auto"/>
          <w:sz w:val="24"/>
          <w:highlight w:val="none"/>
        </w:rPr>
      </w:pP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此处应附缴纳投标保证金证明的复印件（加盖公章）</w:t>
      </w:r>
    </w:p>
    <w:p>
      <w:pPr>
        <w:adjustRightInd w:val="0"/>
        <w:snapToGrid w:val="0"/>
        <w:spacing w:line="400" w:lineRule="exact"/>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adjustRightInd w:val="0"/>
        <w:snapToGrid w:val="0"/>
        <w:spacing w:line="400" w:lineRule="exact"/>
        <w:jc w:val="center"/>
        <w:rPr>
          <w:rFonts w:ascii="宋体" w:hAnsi="宋体" w:cs="宋体"/>
          <w:bCs/>
          <w:color w:val="auto"/>
          <w:sz w:val="24"/>
          <w:highlight w:val="none"/>
        </w:rPr>
      </w:pPr>
    </w:p>
    <w:p>
      <w:pPr>
        <w:spacing w:line="400" w:lineRule="exact"/>
        <w:jc w:val="center"/>
        <w:rPr>
          <w:rFonts w:ascii="宋体" w:hAnsi="宋体" w:cs="宋体"/>
          <w:b/>
          <w:color w:val="auto"/>
          <w:sz w:val="24"/>
          <w:highlight w:val="none"/>
        </w:rPr>
      </w:pPr>
      <w:bookmarkStart w:id="29" w:name="_Toc15073"/>
      <w:bookmarkStart w:id="30" w:name="_Toc294206743"/>
      <w:bookmarkStart w:id="31" w:name="_Toc294186060"/>
      <w:r>
        <w:rPr>
          <w:rFonts w:hint="eastAsia" w:ascii="宋体" w:hAnsi="宋体" w:cs="宋体"/>
          <w:b/>
          <w:color w:val="auto"/>
          <w:sz w:val="24"/>
          <w:highlight w:val="none"/>
        </w:rPr>
        <w:t>（13）近三年的业绩</w:t>
      </w:r>
      <w:bookmarkEnd w:id="29"/>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51"/>
        <w:tblW w:w="90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197"/>
        <w:gridCol w:w="1936"/>
        <w:gridCol w:w="162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3" w:type="dxa"/>
            <w:tcBorders>
              <w:top w:val="single" w:color="auto" w:sz="4" w:space="0"/>
              <w:left w:val="single" w:color="auto" w:sz="4" w:space="0"/>
              <w:bottom w:val="single" w:color="auto" w:sz="4" w:space="0"/>
              <w:right w:val="single" w:color="auto" w:sz="4" w:space="0"/>
            </w:tcBorders>
            <w:vAlign w:val="center"/>
          </w:tcPr>
          <w:p>
            <w:pPr>
              <w:pStyle w:val="397"/>
              <w:spacing w:line="400" w:lineRule="exact"/>
              <w:jc w:val="center"/>
              <w:rPr>
                <w:rFonts w:ascii="宋体" w:hAnsi="宋体" w:cs="宋体"/>
                <w:color w:val="auto"/>
                <w:highlight w:val="none"/>
              </w:rPr>
            </w:pPr>
            <w:r>
              <w:rPr>
                <w:rFonts w:hint="eastAsia" w:ascii="宋体" w:hAnsi="宋体" w:cs="宋体"/>
                <w:color w:val="auto"/>
                <w:highlight w:val="none"/>
              </w:rPr>
              <w:t>地　　区</w:t>
            </w:r>
          </w:p>
        </w:tc>
        <w:tc>
          <w:tcPr>
            <w:tcW w:w="2197" w:type="dxa"/>
            <w:tcBorders>
              <w:top w:val="single" w:color="auto" w:sz="4" w:space="0"/>
              <w:left w:val="single" w:color="auto" w:sz="4" w:space="0"/>
              <w:bottom w:val="single" w:color="auto" w:sz="4" w:space="0"/>
              <w:right w:val="single" w:color="auto" w:sz="4" w:space="0"/>
            </w:tcBorders>
            <w:vAlign w:val="center"/>
          </w:tcPr>
          <w:p>
            <w:pPr>
              <w:pStyle w:val="397"/>
              <w:spacing w:line="400" w:lineRule="exact"/>
              <w:jc w:val="center"/>
              <w:rPr>
                <w:rFonts w:ascii="宋体" w:hAnsi="宋体" w:cs="宋体"/>
                <w:color w:val="auto"/>
                <w:highlight w:val="none"/>
              </w:rPr>
            </w:pPr>
            <w:r>
              <w:rPr>
                <w:rFonts w:hint="eastAsia" w:ascii="宋体" w:hAnsi="宋体" w:cs="宋体"/>
                <w:color w:val="auto"/>
                <w:highlight w:val="none"/>
              </w:rPr>
              <w:t>产品名称</w:t>
            </w:r>
          </w:p>
        </w:tc>
        <w:tc>
          <w:tcPr>
            <w:tcW w:w="1936" w:type="dxa"/>
            <w:tcBorders>
              <w:top w:val="single" w:color="auto" w:sz="4" w:space="0"/>
              <w:left w:val="single" w:color="auto" w:sz="4" w:space="0"/>
              <w:bottom w:val="single" w:color="auto" w:sz="4" w:space="0"/>
              <w:right w:val="single" w:color="auto" w:sz="4" w:space="0"/>
            </w:tcBorders>
            <w:vAlign w:val="center"/>
          </w:tcPr>
          <w:p>
            <w:pPr>
              <w:pStyle w:val="397"/>
              <w:spacing w:line="400" w:lineRule="exact"/>
              <w:ind w:firstLine="720" w:firstLineChars="300"/>
              <w:jc w:val="center"/>
              <w:rPr>
                <w:rFonts w:ascii="宋体" w:hAnsi="宋体" w:cs="宋体"/>
                <w:color w:val="auto"/>
                <w:highlight w:val="none"/>
              </w:rPr>
            </w:pPr>
            <w:r>
              <w:rPr>
                <w:rFonts w:hint="eastAsia" w:ascii="宋体" w:hAnsi="宋体" w:cs="宋体"/>
                <w:color w:val="auto"/>
                <w:highlight w:val="none"/>
              </w:rPr>
              <w:t>类型</w:t>
            </w:r>
          </w:p>
        </w:tc>
        <w:tc>
          <w:tcPr>
            <w:tcW w:w="1628" w:type="dxa"/>
            <w:tcBorders>
              <w:top w:val="single" w:color="auto" w:sz="4" w:space="0"/>
              <w:left w:val="single" w:color="auto" w:sz="4" w:space="0"/>
              <w:bottom w:val="single" w:color="auto" w:sz="4" w:space="0"/>
              <w:right w:val="single" w:color="auto" w:sz="4" w:space="0"/>
            </w:tcBorders>
            <w:vAlign w:val="center"/>
          </w:tcPr>
          <w:p>
            <w:pPr>
              <w:pStyle w:val="397"/>
              <w:spacing w:line="400" w:lineRule="exact"/>
              <w:jc w:val="center"/>
              <w:rPr>
                <w:rFonts w:ascii="宋体" w:hAnsi="宋体" w:cs="宋体"/>
                <w:color w:val="auto"/>
                <w:highlight w:val="none"/>
              </w:rPr>
            </w:pPr>
            <w:r>
              <w:rPr>
                <w:rFonts w:hint="eastAsia" w:ascii="宋体" w:hAnsi="宋体" w:cs="宋体"/>
                <w:color w:val="auto"/>
                <w:highlight w:val="none"/>
              </w:rPr>
              <w:t>数 量</w:t>
            </w:r>
          </w:p>
        </w:tc>
        <w:tc>
          <w:tcPr>
            <w:tcW w:w="1753" w:type="dxa"/>
            <w:tcBorders>
              <w:top w:val="single" w:color="auto" w:sz="4" w:space="0"/>
              <w:left w:val="single" w:color="auto" w:sz="4" w:space="0"/>
              <w:bottom w:val="single" w:color="auto" w:sz="4" w:space="0"/>
              <w:right w:val="single" w:color="auto" w:sz="4" w:space="0"/>
            </w:tcBorders>
            <w:vAlign w:val="center"/>
          </w:tcPr>
          <w:p>
            <w:pPr>
              <w:pStyle w:val="397"/>
              <w:spacing w:line="400" w:lineRule="exact"/>
              <w:jc w:val="center"/>
              <w:rPr>
                <w:rFonts w:ascii="宋体" w:hAnsi="宋体" w:cs="宋体"/>
                <w:color w:val="auto"/>
                <w:highlight w:val="none"/>
              </w:rPr>
            </w:pPr>
            <w:r>
              <w:rPr>
                <w:rFonts w:hint="eastAsia" w:ascii="宋体" w:hAnsi="宋体" w:cs="宋体"/>
                <w:color w:val="auto"/>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219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93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62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c>
          <w:tcPr>
            <w:tcW w:w="17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highlight w:val="none"/>
              </w:rPr>
            </w:pPr>
          </w:p>
        </w:tc>
      </w:tr>
    </w:tbl>
    <w:p>
      <w:pPr>
        <w:spacing w:line="400" w:lineRule="exact"/>
        <w:rPr>
          <w:rFonts w:ascii="宋体" w:hAnsi="宋体" w:cs="宋体"/>
          <w:color w:val="auto"/>
          <w:sz w:val="24"/>
          <w:highlight w:val="none"/>
        </w:rPr>
      </w:pP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投标人（盖章）：</w:t>
      </w:r>
    </w:p>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法定代表人或授权代理人（签字盖章）：</w:t>
      </w:r>
    </w:p>
    <w:p>
      <w:pPr>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日  期：  年  月  日</w:t>
      </w:r>
    </w:p>
    <w:p>
      <w:pPr>
        <w:pStyle w:val="2"/>
        <w:spacing w:line="400" w:lineRule="exact"/>
        <w:ind w:firstLine="480"/>
        <w:rPr>
          <w:rFonts w:ascii="宋体" w:hAnsi="宋体" w:cs="宋体"/>
          <w:color w:val="auto"/>
          <w:szCs w:val="24"/>
          <w:highlight w:val="none"/>
        </w:rPr>
      </w:pP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rPr>
        <w:t>注：须附投标人需提供成交通知书（成交通知书）、采购合同或协议（含首页、采购设备品牌型号页、配置清单、售后服务及数量页、签字盖章页）复印件，否则业绩不予认可。等证明材料。</w:t>
      </w:r>
    </w:p>
    <w:bookmarkEnd w:id="30"/>
    <w:bookmarkEnd w:id="31"/>
    <w:p>
      <w:pPr>
        <w:spacing w:line="400" w:lineRule="exact"/>
        <w:rPr>
          <w:rFonts w:ascii="宋体" w:hAnsi="宋体" w:cs="宋体"/>
          <w:color w:val="auto"/>
          <w:sz w:val="24"/>
          <w:highlight w:val="none"/>
        </w:rPr>
      </w:pPr>
    </w:p>
    <w:sectPr>
      <w:pgSz w:w="11906" w:h="16838"/>
      <w:pgMar w:top="1474" w:right="1797" w:bottom="1247" w:left="1797"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Song">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ouYuan">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STFangsong">
    <w:altName w:val="宋体"/>
    <w:panose1 w:val="02010600040101010101"/>
    <w:charset w:val="86"/>
    <w:family w:val="auto"/>
    <w:pitch w:val="default"/>
    <w:sig w:usb0="00000000" w:usb1="00000000" w:usb2="00000010" w:usb3="00000000" w:csb0="0004009F" w:csb1="00000000"/>
  </w:font>
  <w:font w:name="Helvetica">
    <w:altName w:val="Arial"/>
    <w:panose1 w:val="020B05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STZhongsong">
    <w:altName w:val="宋体"/>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firstLine="480"/>
      <w:jc w:val="left"/>
      <w:rPr>
        <w:rFonts w:ascii="宋体"/>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rPr>
                              <w:rStyle w:val="57"/>
                            </w:rPr>
                          </w:pPr>
                          <w:r>
                            <w:fldChar w:fldCharType="begin"/>
                          </w:r>
                          <w:r>
                            <w:rPr>
                              <w:rStyle w:val="57"/>
                            </w:rPr>
                            <w:instrText xml:space="preserve">PAGE  </w:instrText>
                          </w:r>
                          <w:r>
                            <w:fldChar w:fldCharType="separate"/>
                          </w:r>
                          <w:r>
                            <w:rPr>
                              <w:rStyle w:val="57"/>
                            </w:rPr>
                            <w:t>27</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5PnvetgBAACwAwAADgAAAAAAAAABACAA&#10;AAAfAQAAZHJzL2Uyb0RvYy54bWxQSwUGAAAAAAYABgBZAQAAaQUAAAAA&#10;">
              <v:fill on="f" focussize="0,0"/>
              <v:stroke on="f" weight="0.5pt"/>
              <v:imagedata o:title=""/>
              <o:lock v:ext="edit" aspectratio="f"/>
              <v:textbox inset="0mm,0mm,0mm,0mm" style="mso-fit-shape-to-text:t;">
                <w:txbxContent>
                  <w:p>
                    <w:pPr>
                      <w:pStyle w:val="34"/>
                      <w:rPr>
                        <w:rStyle w:val="57"/>
                      </w:rPr>
                    </w:pPr>
                    <w:r>
                      <w:fldChar w:fldCharType="begin"/>
                    </w:r>
                    <w:r>
                      <w:rPr>
                        <w:rStyle w:val="57"/>
                      </w:rPr>
                      <w:instrText xml:space="preserve">PAGE  </w:instrText>
                    </w:r>
                    <w:r>
                      <w:fldChar w:fldCharType="separate"/>
                    </w:r>
                    <w:r>
                      <w:rPr>
                        <w:rStyle w:val="57"/>
                      </w:rP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rPr>
                              <w:sz w:val="18"/>
                            </w:rPr>
                            <w:t>39</w:t>
                          </w:r>
                          <w:r>
                            <w:rPr>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Oyq/o7cAQAArwMAAA4AAAAAAAAA&#10;AQAgAAAAHwEAAGRycy9lMm9Eb2MueG1sUEsFBgAAAAAGAAYAWQEAAG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39</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E3AGt4BAACyAwAADgAAAAAA&#10;AAABACAAAAAfAQAAZHJzL2Uyb0RvYy54bWxQSwUGAAAAAAYABgBZAQAAb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firstLine="480"/>
      <w:jc w:val="left"/>
      <w:rPr>
        <w:rFonts w:ascii="宋体"/>
        <w:kern w:val="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CFDB"/>
    <w:multiLevelType w:val="singleLevel"/>
    <w:tmpl w:val="9602CFDB"/>
    <w:lvl w:ilvl="0" w:tentative="0">
      <w:start w:val="1"/>
      <w:numFmt w:val="decimal"/>
      <w:suff w:val="nothing"/>
      <w:lvlText w:val="%1．"/>
      <w:lvlJc w:val="left"/>
      <w:pPr>
        <w:ind w:left="0" w:firstLine="400"/>
      </w:pPr>
      <w:rPr>
        <w:rFonts w:hint="default"/>
      </w:rPr>
    </w:lvl>
  </w:abstractNum>
  <w:abstractNum w:abstractNumId="1">
    <w:nsid w:val="9700EEA9"/>
    <w:multiLevelType w:val="singleLevel"/>
    <w:tmpl w:val="9700EEA9"/>
    <w:lvl w:ilvl="0" w:tentative="0">
      <w:start w:val="10"/>
      <w:numFmt w:val="decimal"/>
      <w:suff w:val="nothing"/>
      <w:lvlText w:val="%1、"/>
      <w:lvlJc w:val="left"/>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DB639E9"/>
    <w:multiLevelType w:val="multilevel"/>
    <w:tmpl w:val="0DB639E9"/>
    <w:lvl w:ilvl="0" w:tentative="0">
      <w:start w:val="1"/>
      <w:numFmt w:val="decimal"/>
      <w:pStyle w:val="161"/>
      <w:lvlText w:val="%1"/>
      <w:lvlJc w:val="left"/>
      <w:pPr>
        <w:tabs>
          <w:tab w:val="left" w:pos="360"/>
        </w:tabs>
        <w:ind w:left="0" w:firstLine="0"/>
      </w:pPr>
    </w:lvl>
    <w:lvl w:ilvl="1" w:tentative="0">
      <w:start w:val="1"/>
      <w:numFmt w:val="decimal"/>
      <w:pStyle w:val="36"/>
      <w:isLgl/>
      <w:lvlText w:val="%1.%2"/>
      <w:lvlJc w:val="left"/>
      <w:pPr>
        <w:tabs>
          <w:tab w:val="left" w:pos="720"/>
        </w:tabs>
        <w:ind w:left="0" w:firstLine="0"/>
      </w:pPr>
    </w:lvl>
    <w:lvl w:ilvl="2" w:tentative="0">
      <w:start w:val="1"/>
      <w:numFmt w:val="decimal"/>
      <w:isLgl/>
      <w:lvlText w:val="%1.%2.%3"/>
      <w:lvlJc w:val="left"/>
      <w:pPr>
        <w:tabs>
          <w:tab w:val="left" w:pos="1440"/>
        </w:tabs>
        <w:ind w:left="0" w:firstLine="0"/>
      </w:pPr>
    </w:lvl>
    <w:lvl w:ilvl="3" w:tentative="0">
      <w:start w:val="1"/>
      <w:numFmt w:val="decimal"/>
      <w:isLgl/>
      <w:lvlText w:val="%1.%2.%3.%4"/>
      <w:lvlJc w:val="left"/>
      <w:pPr>
        <w:tabs>
          <w:tab w:val="left" w:pos="1800"/>
        </w:tabs>
        <w:ind w:left="0" w:firstLine="0"/>
      </w:pPr>
    </w:lvl>
    <w:lvl w:ilvl="4" w:tentative="0">
      <w:start w:val="1"/>
      <w:numFmt w:val="decimal"/>
      <w:isLgl/>
      <w:lvlText w:val="%1.%2.%3.%4.%5"/>
      <w:lvlJc w:val="left"/>
      <w:pPr>
        <w:tabs>
          <w:tab w:val="left" w:pos="570"/>
        </w:tabs>
        <w:ind w:left="570" w:hanging="570"/>
      </w:pPr>
    </w:lvl>
    <w:lvl w:ilvl="5" w:tentative="0">
      <w:start w:val="1"/>
      <w:numFmt w:val="decimal"/>
      <w:isLgl/>
      <w:lvlText w:val="%1.%2.%3.%4.%5.%6"/>
      <w:lvlJc w:val="left"/>
      <w:pPr>
        <w:tabs>
          <w:tab w:val="left" w:pos="570"/>
        </w:tabs>
        <w:ind w:left="570" w:hanging="570"/>
      </w:pPr>
    </w:lvl>
    <w:lvl w:ilvl="6" w:tentative="0">
      <w:start w:val="1"/>
      <w:numFmt w:val="decimal"/>
      <w:isLgl/>
      <w:lvlText w:val="%1.%2.%3.%4.%5.%6.%7"/>
      <w:lvlJc w:val="left"/>
      <w:pPr>
        <w:tabs>
          <w:tab w:val="left" w:pos="570"/>
        </w:tabs>
        <w:ind w:left="570" w:hanging="570"/>
      </w:pPr>
    </w:lvl>
    <w:lvl w:ilvl="7" w:tentative="0">
      <w:start w:val="1"/>
      <w:numFmt w:val="decimal"/>
      <w:isLgl/>
      <w:lvlText w:val="%1.%2.%3.%4.%5.%6.%7.%8"/>
      <w:lvlJc w:val="left"/>
      <w:pPr>
        <w:tabs>
          <w:tab w:val="left" w:pos="570"/>
        </w:tabs>
        <w:ind w:left="570" w:hanging="570"/>
      </w:pPr>
    </w:lvl>
    <w:lvl w:ilvl="8" w:tentative="0">
      <w:start w:val="1"/>
      <w:numFmt w:val="decimal"/>
      <w:isLgl/>
      <w:lvlText w:val="%1.%2.%3.%4.%5.%6.%7.%8.%9"/>
      <w:lvlJc w:val="left"/>
      <w:pPr>
        <w:tabs>
          <w:tab w:val="left" w:pos="570"/>
        </w:tabs>
        <w:ind w:left="570" w:hanging="570"/>
      </w:pPr>
    </w:lvl>
  </w:abstractNum>
  <w:abstractNum w:abstractNumId="4">
    <w:nsid w:val="10635673"/>
    <w:multiLevelType w:val="multilevel"/>
    <w:tmpl w:val="10635673"/>
    <w:lvl w:ilvl="0" w:tentative="0">
      <w:start w:val="1"/>
      <w:numFmt w:val="decimal"/>
      <w:pStyle w:val="44"/>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5">
    <w:nsid w:val="171359DD"/>
    <w:multiLevelType w:val="multilevel"/>
    <w:tmpl w:val="171359D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24"/>
      <w:lvlText w:val=""/>
      <w:lvlJc w:val="left"/>
      <w:pPr>
        <w:tabs>
          <w:tab w:val="left" w:pos="3780"/>
        </w:tabs>
        <w:ind w:left="3780" w:hanging="420"/>
      </w:pPr>
      <w:rPr>
        <w:rFonts w:hint="default" w:ascii="Wingdings" w:hAnsi="Wingdings"/>
      </w:rPr>
    </w:lvl>
  </w:abstractNum>
  <w:abstractNum w:abstractNumId="6">
    <w:nsid w:val="17486058"/>
    <w:multiLevelType w:val="multilevel"/>
    <w:tmpl w:val="1748605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29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F1468F9"/>
    <w:multiLevelType w:val="multilevel"/>
    <w:tmpl w:val="1F1468F9"/>
    <w:lvl w:ilvl="0" w:tentative="0">
      <w:start w:val="1"/>
      <w:numFmt w:val="japaneseCounting"/>
      <w:pStyle w:val="210"/>
      <w:lvlText w:val="%1、"/>
      <w:lvlJc w:val="left"/>
      <w:pPr>
        <w:tabs>
          <w:tab w:val="left" w:pos="1360"/>
        </w:tabs>
        <w:ind w:left="1360" w:hanging="720"/>
      </w:pPr>
      <w:rPr>
        <w:rFonts w:hint="default"/>
      </w:rPr>
    </w:lvl>
    <w:lvl w:ilvl="1" w:tentative="0">
      <w:start w:val="1"/>
      <w:numFmt w:val="lowerLetter"/>
      <w:pStyle w:val="217"/>
      <w:lvlText w:val="%2)"/>
      <w:lvlJc w:val="left"/>
      <w:pPr>
        <w:tabs>
          <w:tab w:val="left" w:pos="1480"/>
        </w:tabs>
        <w:ind w:left="1480" w:hanging="420"/>
      </w:pPr>
    </w:lvl>
    <w:lvl w:ilvl="2" w:tentative="0">
      <w:start w:val="1"/>
      <w:numFmt w:val="lowerRoman"/>
      <w:pStyle w:val="207"/>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8">
    <w:nsid w:val="211C7829"/>
    <w:multiLevelType w:val="multilevel"/>
    <w:tmpl w:val="211C7829"/>
    <w:lvl w:ilvl="0" w:tentative="0">
      <w:start w:val="1"/>
      <w:numFmt w:val="decimal"/>
      <w:lvlText w:val="%1、"/>
      <w:lvlJc w:val="left"/>
      <w:pPr>
        <w:tabs>
          <w:tab w:val="left" w:pos="360"/>
        </w:tabs>
        <w:ind w:left="360" w:hanging="360"/>
      </w:pPr>
      <w:rPr>
        <w:rFonts w:hint="eastAsia"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6845082"/>
    <w:multiLevelType w:val="multilevel"/>
    <w:tmpl w:val="26845082"/>
    <w:lvl w:ilvl="0" w:tentative="0">
      <w:start w:val="1"/>
      <w:numFmt w:val="decimal"/>
      <w:pStyle w:val="220"/>
      <w:lvlText w:val="%1."/>
      <w:lvlJc w:val="left"/>
      <w:pPr>
        <w:ind w:left="420" w:hanging="420"/>
      </w:pPr>
    </w:lvl>
    <w:lvl w:ilvl="1" w:tentative="0">
      <w:start w:val="1"/>
      <w:numFmt w:val="decimal"/>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B9C813"/>
    <w:multiLevelType w:val="singleLevel"/>
    <w:tmpl w:val="2DB9C813"/>
    <w:lvl w:ilvl="0" w:tentative="0">
      <w:start w:val="3"/>
      <w:numFmt w:val="chineseCounting"/>
      <w:suff w:val="space"/>
      <w:lvlText w:val="第%1章"/>
      <w:lvlJc w:val="left"/>
      <w:rPr>
        <w:rFonts w:hint="eastAsia"/>
      </w:rPr>
    </w:lvl>
  </w:abstractNum>
  <w:abstractNum w:abstractNumId="11">
    <w:nsid w:val="6A9A5F31"/>
    <w:multiLevelType w:val="multilevel"/>
    <w:tmpl w:val="6A9A5F31"/>
    <w:lvl w:ilvl="0" w:tentative="0">
      <w:start w:val="1"/>
      <w:numFmt w:val="decimal"/>
      <w:pStyle w:val="329"/>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pStyle w:val="183"/>
      <w:lvlText w:val="%9."/>
      <w:lvlJc w:val="right"/>
      <w:pPr>
        <w:tabs>
          <w:tab w:val="left" w:pos="4420"/>
        </w:tabs>
        <w:ind w:left="4420" w:hanging="420"/>
      </w:pPr>
    </w:lvl>
  </w:abstractNum>
  <w:abstractNum w:abstractNumId="12">
    <w:nsid w:val="6D9F4248"/>
    <w:multiLevelType w:val="singleLevel"/>
    <w:tmpl w:val="6D9F4248"/>
    <w:lvl w:ilvl="0" w:tentative="0">
      <w:start w:val="1"/>
      <w:numFmt w:val="decimal"/>
      <w:pStyle w:val="364"/>
      <w:lvlText w:val="%1）"/>
      <w:lvlJc w:val="left"/>
      <w:pPr>
        <w:tabs>
          <w:tab w:val="left" w:pos="1050"/>
        </w:tabs>
        <w:ind w:left="1050" w:hanging="450"/>
      </w:pPr>
      <w:rPr>
        <w:rFonts w:hint="eastAsia"/>
      </w:r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9"/>
  </w:num>
  <w:num w:numId="8">
    <w:abstractNumId w:val="6"/>
  </w:num>
  <w:num w:numId="9">
    <w:abstractNumId w:val="12"/>
  </w:num>
  <w:num w:numId="10">
    <w:abstractNumId w:val="0"/>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CD"/>
    <w:rsid w:val="00000AEA"/>
    <w:rsid w:val="00000DDA"/>
    <w:rsid w:val="00003DF0"/>
    <w:rsid w:val="000102F3"/>
    <w:rsid w:val="000134DD"/>
    <w:rsid w:val="000136D3"/>
    <w:rsid w:val="00014327"/>
    <w:rsid w:val="00015D1E"/>
    <w:rsid w:val="000167E6"/>
    <w:rsid w:val="00020F60"/>
    <w:rsid w:val="00022A20"/>
    <w:rsid w:val="00022D26"/>
    <w:rsid w:val="00024560"/>
    <w:rsid w:val="00030505"/>
    <w:rsid w:val="0003278E"/>
    <w:rsid w:val="00034A43"/>
    <w:rsid w:val="000352C5"/>
    <w:rsid w:val="00035885"/>
    <w:rsid w:val="00036222"/>
    <w:rsid w:val="00043900"/>
    <w:rsid w:val="000449B9"/>
    <w:rsid w:val="00044D2B"/>
    <w:rsid w:val="00047A39"/>
    <w:rsid w:val="000546D5"/>
    <w:rsid w:val="00056544"/>
    <w:rsid w:val="000612C4"/>
    <w:rsid w:val="0006152D"/>
    <w:rsid w:val="000625F2"/>
    <w:rsid w:val="0006428E"/>
    <w:rsid w:val="000656E6"/>
    <w:rsid w:val="000705D3"/>
    <w:rsid w:val="0007163E"/>
    <w:rsid w:val="00075AD1"/>
    <w:rsid w:val="00076211"/>
    <w:rsid w:val="00086AC1"/>
    <w:rsid w:val="00092CBF"/>
    <w:rsid w:val="000A0583"/>
    <w:rsid w:val="000A06AE"/>
    <w:rsid w:val="000A102D"/>
    <w:rsid w:val="000A22E2"/>
    <w:rsid w:val="000A41BE"/>
    <w:rsid w:val="000B11EF"/>
    <w:rsid w:val="000C56DE"/>
    <w:rsid w:val="000D1E04"/>
    <w:rsid w:val="000D3357"/>
    <w:rsid w:val="000D368C"/>
    <w:rsid w:val="000E11DE"/>
    <w:rsid w:val="000E4367"/>
    <w:rsid w:val="000E4CCF"/>
    <w:rsid w:val="000E4D22"/>
    <w:rsid w:val="000E4DA1"/>
    <w:rsid w:val="000E5E87"/>
    <w:rsid w:val="000E7C87"/>
    <w:rsid w:val="000E7DF6"/>
    <w:rsid w:val="000F0F00"/>
    <w:rsid w:val="000F5E09"/>
    <w:rsid w:val="000F6DD6"/>
    <w:rsid w:val="001003EC"/>
    <w:rsid w:val="00102E7D"/>
    <w:rsid w:val="001048A5"/>
    <w:rsid w:val="00105061"/>
    <w:rsid w:val="001073BD"/>
    <w:rsid w:val="00112CFC"/>
    <w:rsid w:val="00122E6E"/>
    <w:rsid w:val="00125224"/>
    <w:rsid w:val="00126CDC"/>
    <w:rsid w:val="001304E5"/>
    <w:rsid w:val="0013061C"/>
    <w:rsid w:val="0013418A"/>
    <w:rsid w:val="00136683"/>
    <w:rsid w:val="00136B1C"/>
    <w:rsid w:val="001405FB"/>
    <w:rsid w:val="00140736"/>
    <w:rsid w:val="001479B2"/>
    <w:rsid w:val="00150B0B"/>
    <w:rsid w:val="001578DD"/>
    <w:rsid w:val="0015792D"/>
    <w:rsid w:val="001615CB"/>
    <w:rsid w:val="00165B27"/>
    <w:rsid w:val="00166AAC"/>
    <w:rsid w:val="00167545"/>
    <w:rsid w:val="00170F86"/>
    <w:rsid w:val="001739F4"/>
    <w:rsid w:val="00191086"/>
    <w:rsid w:val="001929EC"/>
    <w:rsid w:val="001944BA"/>
    <w:rsid w:val="00195435"/>
    <w:rsid w:val="001A3269"/>
    <w:rsid w:val="001A432C"/>
    <w:rsid w:val="001B0FD7"/>
    <w:rsid w:val="001B26E8"/>
    <w:rsid w:val="001B3765"/>
    <w:rsid w:val="001B523D"/>
    <w:rsid w:val="001B5C95"/>
    <w:rsid w:val="001C00B2"/>
    <w:rsid w:val="001C03B4"/>
    <w:rsid w:val="001C244E"/>
    <w:rsid w:val="001C42FE"/>
    <w:rsid w:val="001C553D"/>
    <w:rsid w:val="001C5C1A"/>
    <w:rsid w:val="001C6827"/>
    <w:rsid w:val="001E1023"/>
    <w:rsid w:val="001E4953"/>
    <w:rsid w:val="001E7482"/>
    <w:rsid w:val="001F7BE4"/>
    <w:rsid w:val="00200216"/>
    <w:rsid w:val="00200317"/>
    <w:rsid w:val="00203A5E"/>
    <w:rsid w:val="00204228"/>
    <w:rsid w:val="00211E9C"/>
    <w:rsid w:val="00212250"/>
    <w:rsid w:val="00216CED"/>
    <w:rsid w:val="002171EC"/>
    <w:rsid w:val="00217849"/>
    <w:rsid w:val="002207F9"/>
    <w:rsid w:val="00227536"/>
    <w:rsid w:val="00230CA6"/>
    <w:rsid w:val="00235122"/>
    <w:rsid w:val="0023520A"/>
    <w:rsid w:val="00241E50"/>
    <w:rsid w:val="00243DA6"/>
    <w:rsid w:val="00245676"/>
    <w:rsid w:val="00245EF3"/>
    <w:rsid w:val="00247CF6"/>
    <w:rsid w:val="00251FBF"/>
    <w:rsid w:val="0025215D"/>
    <w:rsid w:val="0025498D"/>
    <w:rsid w:val="0026102C"/>
    <w:rsid w:val="00264A32"/>
    <w:rsid w:val="00264F51"/>
    <w:rsid w:val="00271EAD"/>
    <w:rsid w:val="00273E2E"/>
    <w:rsid w:val="00274117"/>
    <w:rsid w:val="0027419C"/>
    <w:rsid w:val="0028196F"/>
    <w:rsid w:val="00281F9F"/>
    <w:rsid w:val="0028293E"/>
    <w:rsid w:val="00283C51"/>
    <w:rsid w:val="00290391"/>
    <w:rsid w:val="0029194B"/>
    <w:rsid w:val="00292185"/>
    <w:rsid w:val="0029293F"/>
    <w:rsid w:val="00292DB0"/>
    <w:rsid w:val="002A0E05"/>
    <w:rsid w:val="002A1A24"/>
    <w:rsid w:val="002A4B2D"/>
    <w:rsid w:val="002A53F6"/>
    <w:rsid w:val="002A56D7"/>
    <w:rsid w:val="002A58FF"/>
    <w:rsid w:val="002C2E0E"/>
    <w:rsid w:val="002C5179"/>
    <w:rsid w:val="002C52A3"/>
    <w:rsid w:val="002C56BE"/>
    <w:rsid w:val="002C5E72"/>
    <w:rsid w:val="002C768C"/>
    <w:rsid w:val="002D1385"/>
    <w:rsid w:val="002D16D4"/>
    <w:rsid w:val="002D23E7"/>
    <w:rsid w:val="002D4B10"/>
    <w:rsid w:val="002D546F"/>
    <w:rsid w:val="002E0006"/>
    <w:rsid w:val="002E038E"/>
    <w:rsid w:val="002E255C"/>
    <w:rsid w:val="002E40F4"/>
    <w:rsid w:val="002E42C0"/>
    <w:rsid w:val="002E519F"/>
    <w:rsid w:val="002E5283"/>
    <w:rsid w:val="002F084A"/>
    <w:rsid w:val="002F6610"/>
    <w:rsid w:val="002F6FB9"/>
    <w:rsid w:val="002F7BF0"/>
    <w:rsid w:val="003023DD"/>
    <w:rsid w:val="003042C5"/>
    <w:rsid w:val="00334591"/>
    <w:rsid w:val="003351A8"/>
    <w:rsid w:val="00335618"/>
    <w:rsid w:val="00336405"/>
    <w:rsid w:val="00337220"/>
    <w:rsid w:val="00341F88"/>
    <w:rsid w:val="003426A9"/>
    <w:rsid w:val="0034295F"/>
    <w:rsid w:val="00342B32"/>
    <w:rsid w:val="00344970"/>
    <w:rsid w:val="00346BCF"/>
    <w:rsid w:val="0034724F"/>
    <w:rsid w:val="00347CD0"/>
    <w:rsid w:val="0035602D"/>
    <w:rsid w:val="00361CF9"/>
    <w:rsid w:val="003629E4"/>
    <w:rsid w:val="0036410A"/>
    <w:rsid w:val="003707C8"/>
    <w:rsid w:val="00375776"/>
    <w:rsid w:val="00376997"/>
    <w:rsid w:val="00376BEC"/>
    <w:rsid w:val="00382375"/>
    <w:rsid w:val="00382B8A"/>
    <w:rsid w:val="003834AF"/>
    <w:rsid w:val="00383817"/>
    <w:rsid w:val="0038713F"/>
    <w:rsid w:val="00393790"/>
    <w:rsid w:val="003A41CB"/>
    <w:rsid w:val="003B0DCE"/>
    <w:rsid w:val="003B1831"/>
    <w:rsid w:val="003B38A8"/>
    <w:rsid w:val="003B3B19"/>
    <w:rsid w:val="003B69B0"/>
    <w:rsid w:val="003C16B9"/>
    <w:rsid w:val="003C1FA9"/>
    <w:rsid w:val="003C2723"/>
    <w:rsid w:val="003C555C"/>
    <w:rsid w:val="003C5C65"/>
    <w:rsid w:val="003C759F"/>
    <w:rsid w:val="003C7FDE"/>
    <w:rsid w:val="003D0E6D"/>
    <w:rsid w:val="003D2FC1"/>
    <w:rsid w:val="003E3071"/>
    <w:rsid w:val="003E3DAC"/>
    <w:rsid w:val="003E3F41"/>
    <w:rsid w:val="003E55C2"/>
    <w:rsid w:val="003F71ED"/>
    <w:rsid w:val="003F7D41"/>
    <w:rsid w:val="004004EA"/>
    <w:rsid w:val="0040075F"/>
    <w:rsid w:val="0040537A"/>
    <w:rsid w:val="0040696B"/>
    <w:rsid w:val="0041036E"/>
    <w:rsid w:val="00413A28"/>
    <w:rsid w:val="004201C2"/>
    <w:rsid w:val="00421DE0"/>
    <w:rsid w:val="00422ECF"/>
    <w:rsid w:val="004250E5"/>
    <w:rsid w:val="004307DA"/>
    <w:rsid w:val="00436CD1"/>
    <w:rsid w:val="0043799B"/>
    <w:rsid w:val="00443853"/>
    <w:rsid w:val="00451AC1"/>
    <w:rsid w:val="004572F7"/>
    <w:rsid w:val="004577E0"/>
    <w:rsid w:val="00460766"/>
    <w:rsid w:val="00465C92"/>
    <w:rsid w:val="00466CDE"/>
    <w:rsid w:val="00467BCB"/>
    <w:rsid w:val="00472DCE"/>
    <w:rsid w:val="0047332B"/>
    <w:rsid w:val="004777C0"/>
    <w:rsid w:val="00490378"/>
    <w:rsid w:val="00490EB6"/>
    <w:rsid w:val="00491671"/>
    <w:rsid w:val="004917A2"/>
    <w:rsid w:val="0049544D"/>
    <w:rsid w:val="004A389E"/>
    <w:rsid w:val="004A40E2"/>
    <w:rsid w:val="004A5EE5"/>
    <w:rsid w:val="004B4757"/>
    <w:rsid w:val="004B4F30"/>
    <w:rsid w:val="004B4F5D"/>
    <w:rsid w:val="004B5B6A"/>
    <w:rsid w:val="004B7B78"/>
    <w:rsid w:val="004C1170"/>
    <w:rsid w:val="004C11A4"/>
    <w:rsid w:val="004C209B"/>
    <w:rsid w:val="004C278A"/>
    <w:rsid w:val="004C522A"/>
    <w:rsid w:val="004C6AE5"/>
    <w:rsid w:val="004D3651"/>
    <w:rsid w:val="004D6CBC"/>
    <w:rsid w:val="004D7DA3"/>
    <w:rsid w:val="004E615D"/>
    <w:rsid w:val="004E6914"/>
    <w:rsid w:val="004F0562"/>
    <w:rsid w:val="004F1888"/>
    <w:rsid w:val="004F7549"/>
    <w:rsid w:val="004F7E5B"/>
    <w:rsid w:val="00500D26"/>
    <w:rsid w:val="005024CA"/>
    <w:rsid w:val="005047D8"/>
    <w:rsid w:val="00512955"/>
    <w:rsid w:val="00512B57"/>
    <w:rsid w:val="00514B7C"/>
    <w:rsid w:val="005168A2"/>
    <w:rsid w:val="00517FFA"/>
    <w:rsid w:val="00520252"/>
    <w:rsid w:val="00521633"/>
    <w:rsid w:val="00526058"/>
    <w:rsid w:val="00532C70"/>
    <w:rsid w:val="005332A3"/>
    <w:rsid w:val="00533AD3"/>
    <w:rsid w:val="00534579"/>
    <w:rsid w:val="00534DB3"/>
    <w:rsid w:val="005364E1"/>
    <w:rsid w:val="005404AB"/>
    <w:rsid w:val="00540FFD"/>
    <w:rsid w:val="00541FC4"/>
    <w:rsid w:val="00551AE8"/>
    <w:rsid w:val="005534F2"/>
    <w:rsid w:val="005549B3"/>
    <w:rsid w:val="00555E57"/>
    <w:rsid w:val="00561655"/>
    <w:rsid w:val="0056293B"/>
    <w:rsid w:val="00562BE0"/>
    <w:rsid w:val="00563232"/>
    <w:rsid w:val="00565621"/>
    <w:rsid w:val="00566F13"/>
    <w:rsid w:val="0056796B"/>
    <w:rsid w:val="00570F8D"/>
    <w:rsid w:val="00571CC4"/>
    <w:rsid w:val="00573964"/>
    <w:rsid w:val="00576987"/>
    <w:rsid w:val="00580C33"/>
    <w:rsid w:val="00580C50"/>
    <w:rsid w:val="00581369"/>
    <w:rsid w:val="00583843"/>
    <w:rsid w:val="00585770"/>
    <w:rsid w:val="00590B02"/>
    <w:rsid w:val="00590EAD"/>
    <w:rsid w:val="00594C11"/>
    <w:rsid w:val="0059502F"/>
    <w:rsid w:val="005A6E37"/>
    <w:rsid w:val="005B0E24"/>
    <w:rsid w:val="005B3B7D"/>
    <w:rsid w:val="005B7DE3"/>
    <w:rsid w:val="005C0200"/>
    <w:rsid w:val="005C6264"/>
    <w:rsid w:val="005C7FD4"/>
    <w:rsid w:val="005D15C4"/>
    <w:rsid w:val="005D2471"/>
    <w:rsid w:val="005D28D5"/>
    <w:rsid w:val="005E0521"/>
    <w:rsid w:val="005E3E88"/>
    <w:rsid w:val="005E3EA9"/>
    <w:rsid w:val="005E4FF6"/>
    <w:rsid w:val="005F056E"/>
    <w:rsid w:val="005F1F99"/>
    <w:rsid w:val="005F5405"/>
    <w:rsid w:val="005F6E83"/>
    <w:rsid w:val="006034DD"/>
    <w:rsid w:val="00610574"/>
    <w:rsid w:val="00610D13"/>
    <w:rsid w:val="00611E40"/>
    <w:rsid w:val="006132FB"/>
    <w:rsid w:val="00616421"/>
    <w:rsid w:val="00617BFD"/>
    <w:rsid w:val="006212F7"/>
    <w:rsid w:val="006246B9"/>
    <w:rsid w:val="006254B1"/>
    <w:rsid w:val="0062599E"/>
    <w:rsid w:val="00625E54"/>
    <w:rsid w:val="006266E2"/>
    <w:rsid w:val="00630AF0"/>
    <w:rsid w:val="00634877"/>
    <w:rsid w:val="006443CE"/>
    <w:rsid w:val="00645328"/>
    <w:rsid w:val="006457D0"/>
    <w:rsid w:val="00646FC1"/>
    <w:rsid w:val="0064780F"/>
    <w:rsid w:val="006505B8"/>
    <w:rsid w:val="00660F16"/>
    <w:rsid w:val="006620AF"/>
    <w:rsid w:val="00664F0C"/>
    <w:rsid w:val="006668B6"/>
    <w:rsid w:val="00670A57"/>
    <w:rsid w:val="00670AE4"/>
    <w:rsid w:val="006721C0"/>
    <w:rsid w:val="0067363E"/>
    <w:rsid w:val="00673B9A"/>
    <w:rsid w:val="00675331"/>
    <w:rsid w:val="00676E72"/>
    <w:rsid w:val="00683023"/>
    <w:rsid w:val="0069131F"/>
    <w:rsid w:val="006919B2"/>
    <w:rsid w:val="006926A8"/>
    <w:rsid w:val="00694755"/>
    <w:rsid w:val="006A30E5"/>
    <w:rsid w:val="006A502F"/>
    <w:rsid w:val="006B121E"/>
    <w:rsid w:val="006B18E7"/>
    <w:rsid w:val="006B2B21"/>
    <w:rsid w:val="006B36F6"/>
    <w:rsid w:val="006C1C88"/>
    <w:rsid w:val="006C6E9D"/>
    <w:rsid w:val="006D0F48"/>
    <w:rsid w:val="006D1905"/>
    <w:rsid w:val="006D2865"/>
    <w:rsid w:val="006D5447"/>
    <w:rsid w:val="006D6482"/>
    <w:rsid w:val="006D6CF4"/>
    <w:rsid w:val="006D7196"/>
    <w:rsid w:val="006D7565"/>
    <w:rsid w:val="006E08B3"/>
    <w:rsid w:val="006F267E"/>
    <w:rsid w:val="006F5E01"/>
    <w:rsid w:val="00701ED3"/>
    <w:rsid w:val="00702269"/>
    <w:rsid w:val="007022CE"/>
    <w:rsid w:val="00702F4D"/>
    <w:rsid w:val="0071327B"/>
    <w:rsid w:val="0071555E"/>
    <w:rsid w:val="00716D64"/>
    <w:rsid w:val="00717ABF"/>
    <w:rsid w:val="00720121"/>
    <w:rsid w:val="00720758"/>
    <w:rsid w:val="00722EA2"/>
    <w:rsid w:val="007373C0"/>
    <w:rsid w:val="00737833"/>
    <w:rsid w:val="00740BC7"/>
    <w:rsid w:val="00741A91"/>
    <w:rsid w:val="007422A3"/>
    <w:rsid w:val="007446BA"/>
    <w:rsid w:val="00747D7F"/>
    <w:rsid w:val="00754010"/>
    <w:rsid w:val="00756FAE"/>
    <w:rsid w:val="00757CDD"/>
    <w:rsid w:val="00764E5E"/>
    <w:rsid w:val="00766F7C"/>
    <w:rsid w:val="00770DEC"/>
    <w:rsid w:val="00771411"/>
    <w:rsid w:val="0077384C"/>
    <w:rsid w:val="007771AB"/>
    <w:rsid w:val="007814CD"/>
    <w:rsid w:val="0078669A"/>
    <w:rsid w:val="0079167A"/>
    <w:rsid w:val="007942B8"/>
    <w:rsid w:val="00795068"/>
    <w:rsid w:val="007954DF"/>
    <w:rsid w:val="00795BA6"/>
    <w:rsid w:val="00797539"/>
    <w:rsid w:val="007A00B2"/>
    <w:rsid w:val="007A15F9"/>
    <w:rsid w:val="007A3609"/>
    <w:rsid w:val="007A5C8E"/>
    <w:rsid w:val="007A6ADC"/>
    <w:rsid w:val="007A7A17"/>
    <w:rsid w:val="007B34C7"/>
    <w:rsid w:val="007B4BD3"/>
    <w:rsid w:val="007B725C"/>
    <w:rsid w:val="007C2B26"/>
    <w:rsid w:val="007C52E1"/>
    <w:rsid w:val="007C55EA"/>
    <w:rsid w:val="007C5E07"/>
    <w:rsid w:val="007C62DA"/>
    <w:rsid w:val="007D13E2"/>
    <w:rsid w:val="007D2215"/>
    <w:rsid w:val="007D32C3"/>
    <w:rsid w:val="007D686C"/>
    <w:rsid w:val="007E00DD"/>
    <w:rsid w:val="007E72A9"/>
    <w:rsid w:val="007E7600"/>
    <w:rsid w:val="007F391D"/>
    <w:rsid w:val="007F3B0C"/>
    <w:rsid w:val="007F4559"/>
    <w:rsid w:val="007F4862"/>
    <w:rsid w:val="007F5877"/>
    <w:rsid w:val="007F6F11"/>
    <w:rsid w:val="007F7114"/>
    <w:rsid w:val="007F7139"/>
    <w:rsid w:val="007F71DA"/>
    <w:rsid w:val="0080278D"/>
    <w:rsid w:val="00807932"/>
    <w:rsid w:val="00810D53"/>
    <w:rsid w:val="00816388"/>
    <w:rsid w:val="00817EAB"/>
    <w:rsid w:val="0082048A"/>
    <w:rsid w:val="00830F55"/>
    <w:rsid w:val="00835EDC"/>
    <w:rsid w:val="008413AC"/>
    <w:rsid w:val="00845198"/>
    <w:rsid w:val="0084746C"/>
    <w:rsid w:val="00847BFC"/>
    <w:rsid w:val="00851B27"/>
    <w:rsid w:val="00856503"/>
    <w:rsid w:val="00857A41"/>
    <w:rsid w:val="008601D6"/>
    <w:rsid w:val="00870424"/>
    <w:rsid w:val="0087583B"/>
    <w:rsid w:val="00876777"/>
    <w:rsid w:val="00883400"/>
    <w:rsid w:val="00883CCD"/>
    <w:rsid w:val="00885B3C"/>
    <w:rsid w:val="00885B7C"/>
    <w:rsid w:val="0088652F"/>
    <w:rsid w:val="00891216"/>
    <w:rsid w:val="00893BFB"/>
    <w:rsid w:val="00893F42"/>
    <w:rsid w:val="008941CB"/>
    <w:rsid w:val="00894C19"/>
    <w:rsid w:val="008952CE"/>
    <w:rsid w:val="008A041A"/>
    <w:rsid w:val="008A2299"/>
    <w:rsid w:val="008A38D7"/>
    <w:rsid w:val="008A4C64"/>
    <w:rsid w:val="008B110B"/>
    <w:rsid w:val="008B2F2D"/>
    <w:rsid w:val="008B426E"/>
    <w:rsid w:val="008C30D3"/>
    <w:rsid w:val="008D317E"/>
    <w:rsid w:val="008D71BD"/>
    <w:rsid w:val="008E2A4B"/>
    <w:rsid w:val="008E6152"/>
    <w:rsid w:val="008E65F7"/>
    <w:rsid w:val="008F43DC"/>
    <w:rsid w:val="008F4A93"/>
    <w:rsid w:val="008F6F81"/>
    <w:rsid w:val="009005ED"/>
    <w:rsid w:val="0090616A"/>
    <w:rsid w:val="00911664"/>
    <w:rsid w:val="00917B95"/>
    <w:rsid w:val="009210CF"/>
    <w:rsid w:val="00923682"/>
    <w:rsid w:val="0092654C"/>
    <w:rsid w:val="00930768"/>
    <w:rsid w:val="0093109B"/>
    <w:rsid w:val="00932B76"/>
    <w:rsid w:val="00934356"/>
    <w:rsid w:val="00935971"/>
    <w:rsid w:val="00941969"/>
    <w:rsid w:val="009540EE"/>
    <w:rsid w:val="00955B82"/>
    <w:rsid w:val="00960765"/>
    <w:rsid w:val="00960C00"/>
    <w:rsid w:val="00961CEE"/>
    <w:rsid w:val="00961F1A"/>
    <w:rsid w:val="00964B8C"/>
    <w:rsid w:val="00964C41"/>
    <w:rsid w:val="00965466"/>
    <w:rsid w:val="00965488"/>
    <w:rsid w:val="00966114"/>
    <w:rsid w:val="00970299"/>
    <w:rsid w:val="00970622"/>
    <w:rsid w:val="00971F3C"/>
    <w:rsid w:val="0097270E"/>
    <w:rsid w:val="0097295B"/>
    <w:rsid w:val="00974886"/>
    <w:rsid w:val="0097524E"/>
    <w:rsid w:val="00980606"/>
    <w:rsid w:val="009809B2"/>
    <w:rsid w:val="00985DF9"/>
    <w:rsid w:val="00993F87"/>
    <w:rsid w:val="009953F0"/>
    <w:rsid w:val="00995BB7"/>
    <w:rsid w:val="00997269"/>
    <w:rsid w:val="009A03F2"/>
    <w:rsid w:val="009B573A"/>
    <w:rsid w:val="009C35B0"/>
    <w:rsid w:val="009D0F53"/>
    <w:rsid w:val="009D2478"/>
    <w:rsid w:val="009D5546"/>
    <w:rsid w:val="009E1923"/>
    <w:rsid w:val="009E4564"/>
    <w:rsid w:val="009E4AA0"/>
    <w:rsid w:val="009E505E"/>
    <w:rsid w:val="00A0033A"/>
    <w:rsid w:val="00A01127"/>
    <w:rsid w:val="00A040F7"/>
    <w:rsid w:val="00A04136"/>
    <w:rsid w:val="00A05775"/>
    <w:rsid w:val="00A05BFE"/>
    <w:rsid w:val="00A05DE9"/>
    <w:rsid w:val="00A1208F"/>
    <w:rsid w:val="00A150B4"/>
    <w:rsid w:val="00A15FB3"/>
    <w:rsid w:val="00A22FDE"/>
    <w:rsid w:val="00A24349"/>
    <w:rsid w:val="00A266B4"/>
    <w:rsid w:val="00A363C0"/>
    <w:rsid w:val="00A40E43"/>
    <w:rsid w:val="00A41258"/>
    <w:rsid w:val="00A41DA0"/>
    <w:rsid w:val="00A435BD"/>
    <w:rsid w:val="00A44C17"/>
    <w:rsid w:val="00A47A4E"/>
    <w:rsid w:val="00A54B2B"/>
    <w:rsid w:val="00A57223"/>
    <w:rsid w:val="00A574B7"/>
    <w:rsid w:val="00A61A22"/>
    <w:rsid w:val="00A64F2E"/>
    <w:rsid w:val="00A6590F"/>
    <w:rsid w:val="00A66B5D"/>
    <w:rsid w:val="00A67661"/>
    <w:rsid w:val="00A70A19"/>
    <w:rsid w:val="00A70BDC"/>
    <w:rsid w:val="00A7288C"/>
    <w:rsid w:val="00A73B00"/>
    <w:rsid w:val="00A80A75"/>
    <w:rsid w:val="00A8119B"/>
    <w:rsid w:val="00A82AFE"/>
    <w:rsid w:val="00A84755"/>
    <w:rsid w:val="00A84912"/>
    <w:rsid w:val="00A84D56"/>
    <w:rsid w:val="00A863E1"/>
    <w:rsid w:val="00A86EF4"/>
    <w:rsid w:val="00A87D4D"/>
    <w:rsid w:val="00A906A1"/>
    <w:rsid w:val="00A949F2"/>
    <w:rsid w:val="00AA4907"/>
    <w:rsid w:val="00AA4C88"/>
    <w:rsid w:val="00AA698B"/>
    <w:rsid w:val="00AB1B73"/>
    <w:rsid w:val="00AB2B68"/>
    <w:rsid w:val="00AB5BC7"/>
    <w:rsid w:val="00AB734E"/>
    <w:rsid w:val="00AB764C"/>
    <w:rsid w:val="00AC0293"/>
    <w:rsid w:val="00AC0C3C"/>
    <w:rsid w:val="00AC1DF7"/>
    <w:rsid w:val="00AC30FA"/>
    <w:rsid w:val="00AC55ED"/>
    <w:rsid w:val="00AD2362"/>
    <w:rsid w:val="00AD3B93"/>
    <w:rsid w:val="00AD3C57"/>
    <w:rsid w:val="00AD59A6"/>
    <w:rsid w:val="00AF3D22"/>
    <w:rsid w:val="00AF7C7E"/>
    <w:rsid w:val="00B01220"/>
    <w:rsid w:val="00B01BE4"/>
    <w:rsid w:val="00B03AD3"/>
    <w:rsid w:val="00B07097"/>
    <w:rsid w:val="00B100D9"/>
    <w:rsid w:val="00B1264A"/>
    <w:rsid w:val="00B13213"/>
    <w:rsid w:val="00B13B9C"/>
    <w:rsid w:val="00B16A30"/>
    <w:rsid w:val="00B220DF"/>
    <w:rsid w:val="00B23411"/>
    <w:rsid w:val="00B25BAE"/>
    <w:rsid w:val="00B269C9"/>
    <w:rsid w:val="00B2770C"/>
    <w:rsid w:val="00B30663"/>
    <w:rsid w:val="00B31017"/>
    <w:rsid w:val="00B367E1"/>
    <w:rsid w:val="00B36D03"/>
    <w:rsid w:val="00B41DAF"/>
    <w:rsid w:val="00B41EFC"/>
    <w:rsid w:val="00B43209"/>
    <w:rsid w:val="00B43A3C"/>
    <w:rsid w:val="00B50C39"/>
    <w:rsid w:val="00B51C11"/>
    <w:rsid w:val="00B548E6"/>
    <w:rsid w:val="00B57963"/>
    <w:rsid w:val="00B6165F"/>
    <w:rsid w:val="00B61B6B"/>
    <w:rsid w:val="00B622C7"/>
    <w:rsid w:val="00B636EF"/>
    <w:rsid w:val="00B647AB"/>
    <w:rsid w:val="00B65CBF"/>
    <w:rsid w:val="00B6739D"/>
    <w:rsid w:val="00B674A8"/>
    <w:rsid w:val="00B7207A"/>
    <w:rsid w:val="00B72FFF"/>
    <w:rsid w:val="00B76B4F"/>
    <w:rsid w:val="00B80428"/>
    <w:rsid w:val="00B829FF"/>
    <w:rsid w:val="00B82DBD"/>
    <w:rsid w:val="00B82F3A"/>
    <w:rsid w:val="00B85161"/>
    <w:rsid w:val="00B8519C"/>
    <w:rsid w:val="00B90C52"/>
    <w:rsid w:val="00B91888"/>
    <w:rsid w:val="00B91A85"/>
    <w:rsid w:val="00BA146E"/>
    <w:rsid w:val="00BA29A1"/>
    <w:rsid w:val="00BA3078"/>
    <w:rsid w:val="00BA7116"/>
    <w:rsid w:val="00BA7214"/>
    <w:rsid w:val="00BB2C27"/>
    <w:rsid w:val="00BB2CA4"/>
    <w:rsid w:val="00BB557F"/>
    <w:rsid w:val="00BB74D8"/>
    <w:rsid w:val="00BC0687"/>
    <w:rsid w:val="00BC19D9"/>
    <w:rsid w:val="00BC1A74"/>
    <w:rsid w:val="00BC417B"/>
    <w:rsid w:val="00BC42E0"/>
    <w:rsid w:val="00BD54AF"/>
    <w:rsid w:val="00BE5B8F"/>
    <w:rsid w:val="00BF00A6"/>
    <w:rsid w:val="00BF04FF"/>
    <w:rsid w:val="00BF0E3B"/>
    <w:rsid w:val="00BF1518"/>
    <w:rsid w:val="00BF183B"/>
    <w:rsid w:val="00BF4434"/>
    <w:rsid w:val="00C00684"/>
    <w:rsid w:val="00C029C2"/>
    <w:rsid w:val="00C0690B"/>
    <w:rsid w:val="00C12996"/>
    <w:rsid w:val="00C12CF2"/>
    <w:rsid w:val="00C1414E"/>
    <w:rsid w:val="00C14198"/>
    <w:rsid w:val="00C30F9C"/>
    <w:rsid w:val="00C32C62"/>
    <w:rsid w:val="00C330B0"/>
    <w:rsid w:val="00C343B9"/>
    <w:rsid w:val="00C3511C"/>
    <w:rsid w:val="00C377BD"/>
    <w:rsid w:val="00C37B28"/>
    <w:rsid w:val="00C44F36"/>
    <w:rsid w:val="00C44FC5"/>
    <w:rsid w:val="00C46028"/>
    <w:rsid w:val="00C460FC"/>
    <w:rsid w:val="00C50DB0"/>
    <w:rsid w:val="00C50EC9"/>
    <w:rsid w:val="00C529A7"/>
    <w:rsid w:val="00C53F37"/>
    <w:rsid w:val="00C54814"/>
    <w:rsid w:val="00C57F06"/>
    <w:rsid w:val="00C61748"/>
    <w:rsid w:val="00C61FA3"/>
    <w:rsid w:val="00C6206A"/>
    <w:rsid w:val="00C62BEC"/>
    <w:rsid w:val="00C7052C"/>
    <w:rsid w:val="00C70581"/>
    <w:rsid w:val="00C7121C"/>
    <w:rsid w:val="00C73C7E"/>
    <w:rsid w:val="00C7634A"/>
    <w:rsid w:val="00C76FA8"/>
    <w:rsid w:val="00C77AEB"/>
    <w:rsid w:val="00C8055E"/>
    <w:rsid w:val="00C81907"/>
    <w:rsid w:val="00C826C2"/>
    <w:rsid w:val="00C83197"/>
    <w:rsid w:val="00C91A7B"/>
    <w:rsid w:val="00C9253B"/>
    <w:rsid w:val="00C9318B"/>
    <w:rsid w:val="00C93278"/>
    <w:rsid w:val="00C9367C"/>
    <w:rsid w:val="00C9467F"/>
    <w:rsid w:val="00C96277"/>
    <w:rsid w:val="00CA1091"/>
    <w:rsid w:val="00CA1C39"/>
    <w:rsid w:val="00CA2668"/>
    <w:rsid w:val="00CA2CC5"/>
    <w:rsid w:val="00CA47A9"/>
    <w:rsid w:val="00CA7A04"/>
    <w:rsid w:val="00CB1BF6"/>
    <w:rsid w:val="00CB2833"/>
    <w:rsid w:val="00CB3496"/>
    <w:rsid w:val="00CB41B1"/>
    <w:rsid w:val="00CB66E6"/>
    <w:rsid w:val="00CB690D"/>
    <w:rsid w:val="00CB74B0"/>
    <w:rsid w:val="00CC359A"/>
    <w:rsid w:val="00CC372B"/>
    <w:rsid w:val="00CC44A2"/>
    <w:rsid w:val="00CC5794"/>
    <w:rsid w:val="00CC6952"/>
    <w:rsid w:val="00CC733D"/>
    <w:rsid w:val="00CC786E"/>
    <w:rsid w:val="00CD0CF2"/>
    <w:rsid w:val="00CD51D0"/>
    <w:rsid w:val="00CD7809"/>
    <w:rsid w:val="00CE3FA2"/>
    <w:rsid w:val="00CE46AB"/>
    <w:rsid w:val="00CE4996"/>
    <w:rsid w:val="00CE53D0"/>
    <w:rsid w:val="00CE651E"/>
    <w:rsid w:val="00CE6B38"/>
    <w:rsid w:val="00CF2C00"/>
    <w:rsid w:val="00CF746D"/>
    <w:rsid w:val="00D034D5"/>
    <w:rsid w:val="00D17C38"/>
    <w:rsid w:val="00D22E91"/>
    <w:rsid w:val="00D22FD6"/>
    <w:rsid w:val="00D25D49"/>
    <w:rsid w:val="00D315FE"/>
    <w:rsid w:val="00D33800"/>
    <w:rsid w:val="00D36B96"/>
    <w:rsid w:val="00D40C5D"/>
    <w:rsid w:val="00D473C2"/>
    <w:rsid w:val="00D52167"/>
    <w:rsid w:val="00D52673"/>
    <w:rsid w:val="00D52A88"/>
    <w:rsid w:val="00D533F2"/>
    <w:rsid w:val="00D565B2"/>
    <w:rsid w:val="00D57BB3"/>
    <w:rsid w:val="00D64159"/>
    <w:rsid w:val="00D65E20"/>
    <w:rsid w:val="00D66C4F"/>
    <w:rsid w:val="00D70994"/>
    <w:rsid w:val="00D71E82"/>
    <w:rsid w:val="00D8376F"/>
    <w:rsid w:val="00D870E4"/>
    <w:rsid w:val="00D92759"/>
    <w:rsid w:val="00D975AC"/>
    <w:rsid w:val="00DA0A93"/>
    <w:rsid w:val="00DA47F5"/>
    <w:rsid w:val="00DB040D"/>
    <w:rsid w:val="00DB36E2"/>
    <w:rsid w:val="00DB4070"/>
    <w:rsid w:val="00DB7C22"/>
    <w:rsid w:val="00DC0E1D"/>
    <w:rsid w:val="00DC1DC6"/>
    <w:rsid w:val="00DC3CCD"/>
    <w:rsid w:val="00DC58F7"/>
    <w:rsid w:val="00DD0A8D"/>
    <w:rsid w:val="00DD2142"/>
    <w:rsid w:val="00DD23B8"/>
    <w:rsid w:val="00DD27EB"/>
    <w:rsid w:val="00DD2C47"/>
    <w:rsid w:val="00DD3EBB"/>
    <w:rsid w:val="00DE1178"/>
    <w:rsid w:val="00DE3B0B"/>
    <w:rsid w:val="00DE5F9B"/>
    <w:rsid w:val="00DF08DE"/>
    <w:rsid w:val="00DF2E1C"/>
    <w:rsid w:val="00DF3540"/>
    <w:rsid w:val="00DF778F"/>
    <w:rsid w:val="00E00C89"/>
    <w:rsid w:val="00E02C6C"/>
    <w:rsid w:val="00E03BC6"/>
    <w:rsid w:val="00E063AE"/>
    <w:rsid w:val="00E11914"/>
    <w:rsid w:val="00E11E6F"/>
    <w:rsid w:val="00E126DC"/>
    <w:rsid w:val="00E1278F"/>
    <w:rsid w:val="00E15292"/>
    <w:rsid w:val="00E168DA"/>
    <w:rsid w:val="00E17A7E"/>
    <w:rsid w:val="00E20684"/>
    <w:rsid w:val="00E23450"/>
    <w:rsid w:val="00E34FCD"/>
    <w:rsid w:val="00E3558F"/>
    <w:rsid w:val="00E359DC"/>
    <w:rsid w:val="00E36D47"/>
    <w:rsid w:val="00E37A23"/>
    <w:rsid w:val="00E43A77"/>
    <w:rsid w:val="00E45FF7"/>
    <w:rsid w:val="00E50392"/>
    <w:rsid w:val="00E50A7E"/>
    <w:rsid w:val="00E51A9B"/>
    <w:rsid w:val="00E51D6C"/>
    <w:rsid w:val="00E558A5"/>
    <w:rsid w:val="00E572C4"/>
    <w:rsid w:val="00E6683C"/>
    <w:rsid w:val="00E74A2A"/>
    <w:rsid w:val="00E7625B"/>
    <w:rsid w:val="00E83DCC"/>
    <w:rsid w:val="00E85174"/>
    <w:rsid w:val="00E92DAE"/>
    <w:rsid w:val="00E93BA6"/>
    <w:rsid w:val="00E97D7F"/>
    <w:rsid w:val="00EA1B66"/>
    <w:rsid w:val="00EA2425"/>
    <w:rsid w:val="00EA2BDD"/>
    <w:rsid w:val="00EA5E8D"/>
    <w:rsid w:val="00EB1B58"/>
    <w:rsid w:val="00EB27A6"/>
    <w:rsid w:val="00EB335A"/>
    <w:rsid w:val="00EB34B8"/>
    <w:rsid w:val="00EB6208"/>
    <w:rsid w:val="00EB76A8"/>
    <w:rsid w:val="00EB7B14"/>
    <w:rsid w:val="00EC749E"/>
    <w:rsid w:val="00EC7841"/>
    <w:rsid w:val="00ED0AEE"/>
    <w:rsid w:val="00ED30BC"/>
    <w:rsid w:val="00ED4158"/>
    <w:rsid w:val="00ED5C9D"/>
    <w:rsid w:val="00ED6D53"/>
    <w:rsid w:val="00EF2474"/>
    <w:rsid w:val="00EF28EF"/>
    <w:rsid w:val="00EF36E1"/>
    <w:rsid w:val="00EF3F5A"/>
    <w:rsid w:val="00EF42B2"/>
    <w:rsid w:val="00F029EF"/>
    <w:rsid w:val="00F06ED6"/>
    <w:rsid w:val="00F079DD"/>
    <w:rsid w:val="00F109AE"/>
    <w:rsid w:val="00F10CC1"/>
    <w:rsid w:val="00F12B25"/>
    <w:rsid w:val="00F155B4"/>
    <w:rsid w:val="00F15F87"/>
    <w:rsid w:val="00F16F41"/>
    <w:rsid w:val="00F2048D"/>
    <w:rsid w:val="00F25837"/>
    <w:rsid w:val="00F25BF7"/>
    <w:rsid w:val="00F32612"/>
    <w:rsid w:val="00F33776"/>
    <w:rsid w:val="00F37180"/>
    <w:rsid w:val="00F42432"/>
    <w:rsid w:val="00F43CFD"/>
    <w:rsid w:val="00F458A2"/>
    <w:rsid w:val="00F52281"/>
    <w:rsid w:val="00F64445"/>
    <w:rsid w:val="00F65CCF"/>
    <w:rsid w:val="00F6704C"/>
    <w:rsid w:val="00F71ACC"/>
    <w:rsid w:val="00F7287D"/>
    <w:rsid w:val="00F83254"/>
    <w:rsid w:val="00F90EE2"/>
    <w:rsid w:val="00F91D16"/>
    <w:rsid w:val="00F93859"/>
    <w:rsid w:val="00F95A79"/>
    <w:rsid w:val="00F961E6"/>
    <w:rsid w:val="00FA0B49"/>
    <w:rsid w:val="00FA2214"/>
    <w:rsid w:val="00FA2A21"/>
    <w:rsid w:val="00FA31E4"/>
    <w:rsid w:val="00FA3547"/>
    <w:rsid w:val="00FA73D6"/>
    <w:rsid w:val="00FB20E9"/>
    <w:rsid w:val="00FB2CEF"/>
    <w:rsid w:val="00FB7981"/>
    <w:rsid w:val="00FC0D0D"/>
    <w:rsid w:val="00FC22F7"/>
    <w:rsid w:val="00FC69EA"/>
    <w:rsid w:val="00FC7A43"/>
    <w:rsid w:val="00FD2C49"/>
    <w:rsid w:val="00FD2E32"/>
    <w:rsid w:val="00FD36C5"/>
    <w:rsid w:val="00FD7644"/>
    <w:rsid w:val="00FD7CBA"/>
    <w:rsid w:val="00FE0BB0"/>
    <w:rsid w:val="00FE38E6"/>
    <w:rsid w:val="00FF0B2D"/>
    <w:rsid w:val="0107000F"/>
    <w:rsid w:val="01CC4DE7"/>
    <w:rsid w:val="01F44BAA"/>
    <w:rsid w:val="026D4E26"/>
    <w:rsid w:val="02A92A79"/>
    <w:rsid w:val="03C33200"/>
    <w:rsid w:val="03EC5701"/>
    <w:rsid w:val="04C27C98"/>
    <w:rsid w:val="04E60AB3"/>
    <w:rsid w:val="04F91BFF"/>
    <w:rsid w:val="04FC7BC9"/>
    <w:rsid w:val="05A92F49"/>
    <w:rsid w:val="064A280D"/>
    <w:rsid w:val="06C92DA5"/>
    <w:rsid w:val="07A20FE4"/>
    <w:rsid w:val="08652EDE"/>
    <w:rsid w:val="0A290583"/>
    <w:rsid w:val="0A7259C6"/>
    <w:rsid w:val="0AAE4AE9"/>
    <w:rsid w:val="0B0222F7"/>
    <w:rsid w:val="0BB72938"/>
    <w:rsid w:val="0BE83AA0"/>
    <w:rsid w:val="0C515952"/>
    <w:rsid w:val="0C8B0472"/>
    <w:rsid w:val="0D9E3D3D"/>
    <w:rsid w:val="0DF040F7"/>
    <w:rsid w:val="0EDC52DC"/>
    <w:rsid w:val="0F2B556D"/>
    <w:rsid w:val="114D729E"/>
    <w:rsid w:val="117E083E"/>
    <w:rsid w:val="12A45F1C"/>
    <w:rsid w:val="13DA26B3"/>
    <w:rsid w:val="13F44E24"/>
    <w:rsid w:val="1439311D"/>
    <w:rsid w:val="146B27EE"/>
    <w:rsid w:val="15195987"/>
    <w:rsid w:val="160D2E2D"/>
    <w:rsid w:val="170C2FA8"/>
    <w:rsid w:val="174F4DAE"/>
    <w:rsid w:val="17FA1625"/>
    <w:rsid w:val="183F68B3"/>
    <w:rsid w:val="18B7158F"/>
    <w:rsid w:val="18E1190C"/>
    <w:rsid w:val="19646885"/>
    <w:rsid w:val="198A52C8"/>
    <w:rsid w:val="1A312889"/>
    <w:rsid w:val="1A4417C7"/>
    <w:rsid w:val="1A5430FD"/>
    <w:rsid w:val="1B6D4BF7"/>
    <w:rsid w:val="1CBA7746"/>
    <w:rsid w:val="1CDC17BD"/>
    <w:rsid w:val="1E5250B1"/>
    <w:rsid w:val="1E554701"/>
    <w:rsid w:val="1EC677CA"/>
    <w:rsid w:val="1F3000C7"/>
    <w:rsid w:val="1F4A1019"/>
    <w:rsid w:val="1F9A5B1F"/>
    <w:rsid w:val="215A7D54"/>
    <w:rsid w:val="23875E85"/>
    <w:rsid w:val="26560327"/>
    <w:rsid w:val="26B63C78"/>
    <w:rsid w:val="275058EB"/>
    <w:rsid w:val="285E17C7"/>
    <w:rsid w:val="287731A2"/>
    <w:rsid w:val="28A81925"/>
    <w:rsid w:val="28EB3E76"/>
    <w:rsid w:val="29961D8A"/>
    <w:rsid w:val="2A4E7C51"/>
    <w:rsid w:val="2A8A732C"/>
    <w:rsid w:val="2AF336AF"/>
    <w:rsid w:val="2D5F0A48"/>
    <w:rsid w:val="2DB256F9"/>
    <w:rsid w:val="2E995ECC"/>
    <w:rsid w:val="2EBC10D1"/>
    <w:rsid w:val="2F6D304C"/>
    <w:rsid w:val="2F906966"/>
    <w:rsid w:val="309E2809"/>
    <w:rsid w:val="30CF12A6"/>
    <w:rsid w:val="30CF7939"/>
    <w:rsid w:val="31176982"/>
    <w:rsid w:val="31D64CFB"/>
    <w:rsid w:val="32260BAB"/>
    <w:rsid w:val="33ED1360"/>
    <w:rsid w:val="34272472"/>
    <w:rsid w:val="34EA4FB4"/>
    <w:rsid w:val="34F768F8"/>
    <w:rsid w:val="356345BC"/>
    <w:rsid w:val="36573B47"/>
    <w:rsid w:val="37B41AB0"/>
    <w:rsid w:val="37B93FC6"/>
    <w:rsid w:val="384F1543"/>
    <w:rsid w:val="386971DF"/>
    <w:rsid w:val="387D7A2E"/>
    <w:rsid w:val="397D305E"/>
    <w:rsid w:val="39BF3D88"/>
    <w:rsid w:val="39FE3F9F"/>
    <w:rsid w:val="3A155E8D"/>
    <w:rsid w:val="3A310E38"/>
    <w:rsid w:val="3A403C41"/>
    <w:rsid w:val="3AC06FC9"/>
    <w:rsid w:val="3AE44EB8"/>
    <w:rsid w:val="3B032217"/>
    <w:rsid w:val="3BE8072D"/>
    <w:rsid w:val="3CC65832"/>
    <w:rsid w:val="3CE81860"/>
    <w:rsid w:val="3D6D2828"/>
    <w:rsid w:val="3D9D19C7"/>
    <w:rsid w:val="3DF3160D"/>
    <w:rsid w:val="3E7A4107"/>
    <w:rsid w:val="3EAE3388"/>
    <w:rsid w:val="3F430F65"/>
    <w:rsid w:val="3F905757"/>
    <w:rsid w:val="402368D7"/>
    <w:rsid w:val="41053798"/>
    <w:rsid w:val="410604BD"/>
    <w:rsid w:val="417A41E3"/>
    <w:rsid w:val="42302D64"/>
    <w:rsid w:val="43684640"/>
    <w:rsid w:val="438155C0"/>
    <w:rsid w:val="4396088C"/>
    <w:rsid w:val="43DE7393"/>
    <w:rsid w:val="43EF3C61"/>
    <w:rsid w:val="447F107A"/>
    <w:rsid w:val="44EA1FB1"/>
    <w:rsid w:val="4529576A"/>
    <w:rsid w:val="45815C74"/>
    <w:rsid w:val="461510A5"/>
    <w:rsid w:val="46AB5221"/>
    <w:rsid w:val="46C90CAA"/>
    <w:rsid w:val="46FA4F87"/>
    <w:rsid w:val="472D2E3A"/>
    <w:rsid w:val="48276070"/>
    <w:rsid w:val="48DA7033"/>
    <w:rsid w:val="49443335"/>
    <w:rsid w:val="49CD5D7F"/>
    <w:rsid w:val="4A050F74"/>
    <w:rsid w:val="4A1A0AE2"/>
    <w:rsid w:val="4AD574C8"/>
    <w:rsid w:val="4B140480"/>
    <w:rsid w:val="4B2244CF"/>
    <w:rsid w:val="4B7E3875"/>
    <w:rsid w:val="4BB12D23"/>
    <w:rsid w:val="4C762A25"/>
    <w:rsid w:val="4C791780"/>
    <w:rsid w:val="4C7E15D8"/>
    <w:rsid w:val="4D3D02D8"/>
    <w:rsid w:val="4E061A01"/>
    <w:rsid w:val="4E6D2E5C"/>
    <w:rsid w:val="4EB53B1E"/>
    <w:rsid w:val="4FCD10E5"/>
    <w:rsid w:val="507575E2"/>
    <w:rsid w:val="50B7530E"/>
    <w:rsid w:val="521D516F"/>
    <w:rsid w:val="52261A7D"/>
    <w:rsid w:val="528A6A9C"/>
    <w:rsid w:val="52D903CE"/>
    <w:rsid w:val="5343550A"/>
    <w:rsid w:val="537E5450"/>
    <w:rsid w:val="53D4279D"/>
    <w:rsid w:val="549C70AD"/>
    <w:rsid w:val="54C91F96"/>
    <w:rsid w:val="554E0167"/>
    <w:rsid w:val="557E2E39"/>
    <w:rsid w:val="559713DE"/>
    <w:rsid w:val="55A738F6"/>
    <w:rsid w:val="56C25FA1"/>
    <w:rsid w:val="56E81357"/>
    <w:rsid w:val="57004BA7"/>
    <w:rsid w:val="571436D6"/>
    <w:rsid w:val="574447B2"/>
    <w:rsid w:val="57484B1C"/>
    <w:rsid w:val="57E83C0C"/>
    <w:rsid w:val="580A0CA6"/>
    <w:rsid w:val="5AC27FFF"/>
    <w:rsid w:val="5B175243"/>
    <w:rsid w:val="5BDD6503"/>
    <w:rsid w:val="5C103970"/>
    <w:rsid w:val="5C136002"/>
    <w:rsid w:val="5C3C438A"/>
    <w:rsid w:val="5C7850B1"/>
    <w:rsid w:val="5C933046"/>
    <w:rsid w:val="5D163ED3"/>
    <w:rsid w:val="5D7239B6"/>
    <w:rsid w:val="5E444AB4"/>
    <w:rsid w:val="5E7950B1"/>
    <w:rsid w:val="5F895024"/>
    <w:rsid w:val="5FA168E1"/>
    <w:rsid w:val="604C39D3"/>
    <w:rsid w:val="60F35361"/>
    <w:rsid w:val="62BC594B"/>
    <w:rsid w:val="6356053C"/>
    <w:rsid w:val="63691224"/>
    <w:rsid w:val="64DC6FA6"/>
    <w:rsid w:val="659C10AF"/>
    <w:rsid w:val="66C23E51"/>
    <w:rsid w:val="672659B9"/>
    <w:rsid w:val="69171C0A"/>
    <w:rsid w:val="69923C87"/>
    <w:rsid w:val="699C796E"/>
    <w:rsid w:val="69A062F1"/>
    <w:rsid w:val="6A1E1239"/>
    <w:rsid w:val="6A283910"/>
    <w:rsid w:val="6AB15824"/>
    <w:rsid w:val="6AEF4EE6"/>
    <w:rsid w:val="6B787D2D"/>
    <w:rsid w:val="6C50257B"/>
    <w:rsid w:val="6E154949"/>
    <w:rsid w:val="6F120FC2"/>
    <w:rsid w:val="6F77291C"/>
    <w:rsid w:val="6F7E501F"/>
    <w:rsid w:val="6FCF0299"/>
    <w:rsid w:val="70F6454D"/>
    <w:rsid w:val="71D47987"/>
    <w:rsid w:val="723C47A4"/>
    <w:rsid w:val="728734FD"/>
    <w:rsid w:val="73B60A4F"/>
    <w:rsid w:val="73C969CF"/>
    <w:rsid w:val="747B0E41"/>
    <w:rsid w:val="74A822FF"/>
    <w:rsid w:val="78C83934"/>
    <w:rsid w:val="7BF3102E"/>
    <w:rsid w:val="7C987EFF"/>
    <w:rsid w:val="7CF46AAB"/>
    <w:rsid w:val="7D0D2DB0"/>
    <w:rsid w:val="7D52156E"/>
    <w:rsid w:val="7D870704"/>
    <w:rsid w:val="7D9D2930"/>
    <w:rsid w:val="7DE22A86"/>
    <w:rsid w:val="7EB54216"/>
    <w:rsid w:val="7F427B7E"/>
    <w:rsid w:val="7F48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adjustRightInd w:val="0"/>
      <w:spacing w:beforeLines="50" w:afterLines="50"/>
      <w:ind w:firstLine="200" w:firstLineChars="200"/>
      <w:jc w:val="left"/>
      <w:textAlignment w:val="baseline"/>
      <w:outlineLvl w:val="1"/>
    </w:pPr>
    <w:rPr>
      <w:rFonts w:ascii="Arial" w:hAnsi="Arial" w:eastAsia="黑体"/>
      <w:b/>
      <w:kern w:val="0"/>
      <w:sz w:val="24"/>
    </w:rPr>
  </w:style>
  <w:style w:type="paragraph" w:styleId="5">
    <w:name w:val="heading 3"/>
    <w:basedOn w:val="1"/>
    <w:next w:val="1"/>
    <w:link w:val="89"/>
    <w:qFormat/>
    <w:uiPriority w:val="0"/>
    <w:pPr>
      <w:keepNext/>
      <w:keepLines/>
      <w:spacing w:before="260" w:after="260" w:line="415" w:lineRule="auto"/>
      <w:outlineLvl w:val="2"/>
    </w:pPr>
    <w:rPr>
      <w:b/>
      <w:bCs/>
      <w:sz w:val="32"/>
      <w:szCs w:val="32"/>
    </w:rPr>
  </w:style>
  <w:style w:type="paragraph" w:styleId="6">
    <w:name w:val="heading 4"/>
    <w:basedOn w:val="5"/>
    <w:next w:val="1"/>
    <w:link w:val="130"/>
    <w:qFormat/>
    <w:uiPriority w:val="0"/>
    <w:pPr>
      <w:autoSpaceDE w:val="0"/>
      <w:autoSpaceDN w:val="0"/>
      <w:adjustRightInd w:val="0"/>
      <w:spacing w:before="280" w:after="290" w:line="376" w:lineRule="atLeast"/>
      <w:jc w:val="left"/>
      <w:textAlignment w:val="baseline"/>
      <w:outlineLvl w:val="3"/>
    </w:pPr>
    <w:rPr>
      <w:rFonts w:ascii="黑体" w:hAnsi="黑体" w:eastAsia="黑体"/>
      <w:kern w:val="0"/>
      <w:sz w:val="28"/>
      <w:szCs w:val="20"/>
    </w:rPr>
  </w:style>
  <w:style w:type="paragraph" w:styleId="7">
    <w:name w:val="heading 5"/>
    <w:basedOn w:val="1"/>
    <w:next w:val="1"/>
    <w:link w:val="115"/>
    <w:qFormat/>
    <w:uiPriority w:val="0"/>
    <w:pPr>
      <w:spacing w:before="240" w:after="60"/>
      <w:outlineLvl w:val="4"/>
    </w:pPr>
    <w:rPr>
      <w:sz w:val="22"/>
      <w:szCs w:val="20"/>
    </w:rPr>
  </w:style>
  <w:style w:type="paragraph" w:styleId="8">
    <w:name w:val="heading 6"/>
    <w:basedOn w:val="1"/>
    <w:next w:val="1"/>
    <w:link w:val="70"/>
    <w:qFormat/>
    <w:uiPriority w:val="0"/>
    <w:pPr>
      <w:spacing w:before="240" w:after="60"/>
      <w:outlineLvl w:val="5"/>
    </w:pPr>
    <w:rPr>
      <w:i/>
      <w:iCs/>
      <w:sz w:val="22"/>
      <w:szCs w:val="20"/>
    </w:rPr>
  </w:style>
  <w:style w:type="paragraph" w:styleId="9">
    <w:name w:val="heading 7"/>
    <w:basedOn w:val="1"/>
    <w:next w:val="1"/>
    <w:link w:val="105"/>
    <w:qFormat/>
    <w:uiPriority w:val="0"/>
    <w:pPr>
      <w:spacing w:before="240" w:after="60"/>
      <w:outlineLvl w:val="6"/>
    </w:pPr>
    <w:rPr>
      <w:rFonts w:ascii="Arial" w:hAnsi="Arial"/>
      <w:sz w:val="20"/>
      <w:szCs w:val="20"/>
    </w:rPr>
  </w:style>
  <w:style w:type="paragraph" w:styleId="10">
    <w:name w:val="heading 8"/>
    <w:basedOn w:val="1"/>
    <w:next w:val="1"/>
    <w:link w:val="92"/>
    <w:qFormat/>
    <w:uiPriority w:val="0"/>
    <w:pPr>
      <w:spacing w:before="240" w:after="60"/>
      <w:outlineLvl w:val="7"/>
    </w:pPr>
    <w:rPr>
      <w:rFonts w:ascii="Arial" w:hAnsi="Arial"/>
      <w:i/>
      <w:iCs/>
      <w:sz w:val="20"/>
      <w:szCs w:val="20"/>
    </w:rPr>
  </w:style>
  <w:style w:type="paragraph" w:styleId="11">
    <w:name w:val="heading 9"/>
    <w:basedOn w:val="1"/>
    <w:next w:val="1"/>
    <w:link w:val="129"/>
    <w:qFormat/>
    <w:uiPriority w:val="0"/>
    <w:pPr>
      <w:spacing w:before="240" w:after="60"/>
      <w:outlineLvl w:val="8"/>
    </w:pPr>
    <w:rPr>
      <w:rFonts w:ascii="Arial" w:hAnsi="Arial"/>
      <w:b/>
      <w:i/>
      <w:iCs/>
      <w:sz w:val="18"/>
      <w:szCs w:val="20"/>
    </w:rPr>
  </w:style>
  <w:style w:type="character" w:default="1" w:styleId="55">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line="360" w:lineRule="auto"/>
    </w:pPr>
    <w:rPr>
      <w:sz w:val="24"/>
      <w:szCs w:val="20"/>
    </w:rPr>
  </w:style>
  <w:style w:type="paragraph" w:styleId="12">
    <w:name w:val="toc 7"/>
    <w:basedOn w:val="1"/>
    <w:next w:val="1"/>
    <w:qFormat/>
    <w:uiPriority w:val="0"/>
    <w:pPr>
      <w:ind w:left="1680"/>
      <w:jc w:val="left"/>
    </w:pPr>
    <w:rPr>
      <w:rFonts w:ascii="Calibri" w:hAnsi="Calibri"/>
      <w:sz w:val="18"/>
      <w:szCs w:val="20"/>
    </w:rPr>
  </w:style>
  <w:style w:type="paragraph" w:styleId="13">
    <w:name w:val="List Number"/>
    <w:basedOn w:val="1"/>
    <w:qFormat/>
    <w:uiPriority w:val="0"/>
    <w:pPr>
      <w:spacing w:line="360" w:lineRule="auto"/>
      <w:ind w:firstLine="425"/>
    </w:pPr>
    <w:rPr>
      <w:sz w:val="24"/>
      <w:szCs w:val="20"/>
    </w:rPr>
  </w:style>
  <w:style w:type="paragraph" w:styleId="14">
    <w:name w:val="Normal Indent"/>
    <w:basedOn w:val="1"/>
    <w:link w:val="124"/>
    <w:qFormat/>
    <w:uiPriority w:val="0"/>
    <w:pPr>
      <w:spacing w:line="360" w:lineRule="auto"/>
      <w:ind w:firstLine="420"/>
    </w:pPr>
    <w:rPr>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pPr>
  </w:style>
  <w:style w:type="paragraph" w:styleId="17">
    <w:name w:val="toa heading"/>
    <w:basedOn w:val="1"/>
    <w:next w:val="1"/>
    <w:qFormat/>
    <w:uiPriority w:val="0"/>
    <w:pPr>
      <w:spacing w:before="200"/>
      <w:jc w:val="center"/>
    </w:pPr>
    <w:rPr>
      <w:rFonts w:ascii="Arial" w:hAnsi="Arial" w:eastAsia="黑体"/>
      <w:sz w:val="44"/>
    </w:rPr>
  </w:style>
  <w:style w:type="paragraph" w:styleId="18">
    <w:name w:val="annotation text"/>
    <w:basedOn w:val="1"/>
    <w:link w:val="84"/>
    <w:qFormat/>
    <w:uiPriority w:val="0"/>
    <w:pPr>
      <w:jc w:val="left"/>
    </w:pPr>
  </w:style>
  <w:style w:type="paragraph" w:styleId="19">
    <w:name w:val="Salutation"/>
    <w:basedOn w:val="1"/>
    <w:next w:val="1"/>
    <w:link w:val="121"/>
    <w:qFormat/>
    <w:uiPriority w:val="0"/>
    <w:pPr>
      <w:spacing w:line="520" w:lineRule="exact"/>
    </w:pPr>
    <w:rPr>
      <w:rFonts w:ascii="STSong" w:hAnsi="Arial Unicode MS" w:eastAsia="STSong"/>
      <w:sz w:val="24"/>
      <w:szCs w:val="20"/>
    </w:rPr>
  </w:style>
  <w:style w:type="paragraph" w:styleId="20">
    <w:name w:val="Body Text 3"/>
    <w:basedOn w:val="1"/>
    <w:link w:val="106"/>
    <w:qFormat/>
    <w:uiPriority w:val="0"/>
    <w:pPr>
      <w:spacing w:after="120"/>
      <w:ind w:left="283"/>
    </w:pPr>
    <w:rPr>
      <w:rFonts w:ascii="Arial" w:hAnsi="Arial"/>
      <w:szCs w:val="20"/>
    </w:rPr>
  </w:style>
  <w:style w:type="paragraph" w:styleId="21">
    <w:name w:val="Body Text Indent"/>
    <w:basedOn w:val="1"/>
    <w:link w:val="123"/>
    <w:qFormat/>
    <w:uiPriority w:val="0"/>
    <w:pPr>
      <w:autoSpaceDE w:val="0"/>
      <w:autoSpaceDN w:val="0"/>
      <w:adjustRightInd w:val="0"/>
      <w:spacing w:line="360" w:lineRule="auto"/>
      <w:ind w:firstLine="480"/>
      <w:jc w:val="left"/>
    </w:pPr>
    <w:rPr>
      <w:rFonts w:eastAsia="仿宋_GB2312"/>
      <w:b/>
      <w:bCs/>
      <w:color w:val="000000"/>
      <w:kern w:val="0"/>
      <w:sz w:val="32"/>
      <w:szCs w:val="28"/>
    </w:rPr>
  </w:style>
  <w:style w:type="paragraph" w:styleId="22">
    <w:name w:val="List Number 3"/>
    <w:basedOn w:val="1"/>
    <w:qFormat/>
    <w:uiPriority w:val="0"/>
    <w:pPr>
      <w:numPr>
        <w:ilvl w:val="0"/>
        <w:numId w:val="1"/>
      </w:numPr>
    </w:pPr>
  </w:style>
  <w:style w:type="paragraph" w:styleId="23">
    <w:name w:val="List 2"/>
    <w:basedOn w:val="1"/>
    <w:qFormat/>
    <w:uiPriority w:val="0"/>
    <w:pPr>
      <w:ind w:left="100" w:leftChars="200" w:hanging="200" w:hangingChars="200"/>
    </w:pPr>
    <w:rPr>
      <w:sz w:val="28"/>
    </w:rPr>
  </w:style>
  <w:style w:type="paragraph" w:styleId="24">
    <w:name w:val="List Continue"/>
    <w:basedOn w:val="1"/>
    <w:qFormat/>
    <w:uiPriority w:val="0"/>
    <w:pPr>
      <w:numPr>
        <w:ilvl w:val="8"/>
        <w:numId w:val="2"/>
      </w:numPr>
      <w:tabs>
        <w:tab w:val="clear" w:pos="3780"/>
      </w:tabs>
      <w:spacing w:after="120"/>
      <w:ind w:left="420" w:leftChars="200" w:firstLine="0"/>
    </w:pPr>
  </w:style>
  <w:style w:type="paragraph" w:styleId="25">
    <w:name w:val="Block Text"/>
    <w:basedOn w:val="1"/>
    <w:qFormat/>
    <w:uiPriority w:val="0"/>
    <w:pPr>
      <w:ind w:left="1200" w:right="-72" w:hanging="30"/>
    </w:pPr>
    <w:rPr>
      <w:rFonts w:ascii="Arial" w:hAnsi="Arial" w:eastAsia="YouYuan" w:cs="Arial"/>
      <w:sz w:val="22"/>
      <w:szCs w:val="20"/>
    </w:rPr>
  </w:style>
  <w:style w:type="paragraph" w:styleId="26">
    <w:name w:val="HTML Address"/>
    <w:basedOn w:val="1"/>
    <w:qFormat/>
    <w:uiPriority w:val="0"/>
    <w:rPr>
      <w:sz w:val="24"/>
    </w:rPr>
  </w:style>
  <w:style w:type="paragraph" w:styleId="27">
    <w:name w:val="toc 5"/>
    <w:basedOn w:val="1"/>
    <w:next w:val="1"/>
    <w:qFormat/>
    <w:uiPriority w:val="0"/>
    <w:pPr>
      <w:ind w:left="1120"/>
      <w:jc w:val="left"/>
    </w:pPr>
    <w:rPr>
      <w:rFonts w:ascii="Calibri" w:hAnsi="Calibri"/>
      <w:sz w:val="18"/>
      <w:szCs w:val="20"/>
    </w:rPr>
  </w:style>
  <w:style w:type="paragraph" w:styleId="28">
    <w:name w:val="toc 3"/>
    <w:basedOn w:val="1"/>
    <w:next w:val="1"/>
    <w:qFormat/>
    <w:uiPriority w:val="0"/>
    <w:pPr>
      <w:ind w:left="560"/>
      <w:jc w:val="left"/>
    </w:pPr>
    <w:rPr>
      <w:rFonts w:ascii="Calibri" w:hAnsi="Calibri"/>
      <w:i/>
      <w:sz w:val="20"/>
      <w:szCs w:val="20"/>
    </w:rPr>
  </w:style>
  <w:style w:type="paragraph" w:styleId="29">
    <w:name w:val="Plain Text"/>
    <w:basedOn w:val="1"/>
    <w:link w:val="119"/>
    <w:qFormat/>
    <w:uiPriority w:val="0"/>
    <w:rPr>
      <w:rFonts w:ascii="宋体" w:hAnsi="宋体"/>
      <w:szCs w:val="21"/>
    </w:rPr>
  </w:style>
  <w:style w:type="paragraph" w:styleId="30">
    <w:name w:val="toc 8"/>
    <w:basedOn w:val="1"/>
    <w:next w:val="1"/>
    <w:qFormat/>
    <w:uiPriority w:val="0"/>
    <w:pPr>
      <w:ind w:left="1960"/>
      <w:jc w:val="left"/>
    </w:pPr>
    <w:rPr>
      <w:rFonts w:ascii="Calibri" w:hAnsi="Calibri"/>
      <w:sz w:val="18"/>
      <w:szCs w:val="20"/>
    </w:rPr>
  </w:style>
  <w:style w:type="paragraph" w:styleId="31">
    <w:name w:val="Date"/>
    <w:basedOn w:val="1"/>
    <w:next w:val="1"/>
    <w:link w:val="104"/>
    <w:qFormat/>
    <w:uiPriority w:val="0"/>
    <w:pPr>
      <w:ind w:left="100" w:leftChars="2500"/>
    </w:pPr>
  </w:style>
  <w:style w:type="paragraph" w:styleId="32">
    <w:name w:val="Body Text Indent 2"/>
    <w:basedOn w:val="1"/>
    <w:link w:val="120"/>
    <w:qFormat/>
    <w:uiPriority w:val="0"/>
    <w:pPr>
      <w:autoSpaceDE w:val="0"/>
      <w:autoSpaceDN w:val="0"/>
      <w:adjustRightInd w:val="0"/>
      <w:spacing w:line="620" w:lineRule="exact"/>
      <w:ind w:firstLine="480"/>
    </w:pPr>
    <w:rPr>
      <w:rFonts w:eastAsia="仿宋_GB2312"/>
      <w:color w:val="000000"/>
      <w:kern w:val="0"/>
      <w:sz w:val="32"/>
      <w:szCs w:val="28"/>
    </w:rPr>
  </w:style>
  <w:style w:type="paragraph" w:styleId="33">
    <w:name w:val="Balloon Text"/>
    <w:basedOn w:val="1"/>
    <w:link w:val="111"/>
    <w:qFormat/>
    <w:uiPriority w:val="0"/>
    <w:rPr>
      <w:sz w:val="18"/>
      <w:szCs w:val="18"/>
    </w:rPr>
  </w:style>
  <w:style w:type="paragraph" w:styleId="34">
    <w:name w:val="footer"/>
    <w:basedOn w:val="1"/>
    <w:link w:val="114"/>
    <w:qFormat/>
    <w:uiPriority w:val="99"/>
    <w:pPr>
      <w:tabs>
        <w:tab w:val="center" w:pos="4153"/>
        <w:tab w:val="right" w:pos="8306"/>
      </w:tabs>
      <w:snapToGrid w:val="0"/>
      <w:jc w:val="left"/>
    </w:pPr>
    <w:rPr>
      <w:sz w:val="18"/>
      <w:szCs w:val="18"/>
    </w:rPr>
  </w:style>
  <w:style w:type="paragraph" w:styleId="35">
    <w:name w:val="header"/>
    <w:basedOn w:val="1"/>
    <w:link w:val="85"/>
    <w:qFormat/>
    <w:uiPriority w:val="99"/>
    <w:pPr>
      <w:pBdr>
        <w:bottom w:val="single" w:color="auto" w:sz="6" w:space="1"/>
      </w:pBdr>
      <w:tabs>
        <w:tab w:val="center" w:pos="4153"/>
        <w:tab w:val="right" w:pos="8306"/>
      </w:tabs>
      <w:snapToGrid w:val="0"/>
      <w:ind w:firstLine="200" w:firstLineChars="200"/>
      <w:jc w:val="center"/>
    </w:pPr>
    <w:rPr>
      <w:sz w:val="18"/>
      <w:szCs w:val="21"/>
    </w:rPr>
  </w:style>
  <w:style w:type="paragraph" w:styleId="36">
    <w:name w:val="toc 1"/>
    <w:basedOn w:val="1"/>
    <w:next w:val="1"/>
    <w:qFormat/>
    <w:uiPriority w:val="39"/>
    <w:pPr>
      <w:numPr>
        <w:ilvl w:val="1"/>
        <w:numId w:val="3"/>
      </w:numPr>
      <w:tabs>
        <w:tab w:val="right" w:leader="dot" w:pos="9060"/>
        <w:tab w:val="clear" w:pos="720"/>
      </w:tabs>
      <w:snapToGrid w:val="0"/>
      <w:spacing w:beforeLines="20" w:afterLines="20" w:line="288" w:lineRule="auto"/>
      <w:ind w:firstLine="200" w:firstLineChars="200"/>
      <w:jc w:val="left"/>
    </w:pPr>
    <w:rPr>
      <w:rFonts w:eastAsia="黑体"/>
      <w:caps/>
      <w:szCs w:val="21"/>
    </w:rPr>
  </w:style>
  <w:style w:type="paragraph" w:styleId="37">
    <w:name w:val="toc 4"/>
    <w:basedOn w:val="1"/>
    <w:next w:val="1"/>
    <w:qFormat/>
    <w:uiPriority w:val="0"/>
    <w:pPr>
      <w:ind w:left="840"/>
      <w:jc w:val="left"/>
    </w:pPr>
    <w:rPr>
      <w:rFonts w:ascii="Calibri" w:hAnsi="Calibri"/>
      <w:sz w:val="18"/>
      <w:szCs w:val="20"/>
    </w:rPr>
  </w:style>
  <w:style w:type="paragraph" w:styleId="38">
    <w:name w:val="Subtitle"/>
    <w:basedOn w:val="1"/>
    <w:link w:val="387"/>
    <w:qFormat/>
    <w:uiPriority w:val="0"/>
    <w:pPr>
      <w:spacing w:after="60"/>
      <w:jc w:val="center"/>
    </w:pPr>
    <w:rPr>
      <w:rFonts w:ascii="Arial" w:hAnsi="Arial" w:eastAsia="黑体"/>
      <w:i/>
    </w:rPr>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0"/>
    <w:pPr>
      <w:ind w:left="1400"/>
      <w:jc w:val="left"/>
    </w:pPr>
    <w:rPr>
      <w:rFonts w:ascii="Calibri" w:hAnsi="Calibri"/>
      <w:sz w:val="18"/>
      <w:szCs w:val="20"/>
    </w:rPr>
  </w:style>
  <w:style w:type="paragraph" w:styleId="41">
    <w:name w:val="Body Text Indent 3"/>
    <w:basedOn w:val="1"/>
    <w:link w:val="117"/>
    <w:qFormat/>
    <w:uiPriority w:val="0"/>
    <w:pPr>
      <w:spacing w:line="620" w:lineRule="exact"/>
      <w:ind w:firstLine="640" w:firstLineChars="200"/>
    </w:pPr>
    <w:rPr>
      <w:rFonts w:eastAsia="仿宋_GB2312"/>
      <w:sz w:val="32"/>
    </w:rPr>
  </w:style>
  <w:style w:type="paragraph" w:styleId="42">
    <w:name w:val="toc 2"/>
    <w:basedOn w:val="1"/>
    <w:next w:val="1"/>
    <w:qFormat/>
    <w:uiPriority w:val="39"/>
    <w:pPr>
      <w:tabs>
        <w:tab w:val="right" w:leader="dot" w:pos="9060"/>
      </w:tabs>
      <w:snapToGrid w:val="0"/>
      <w:spacing w:line="288" w:lineRule="auto"/>
      <w:ind w:left="210" w:firstLine="200" w:firstLineChars="200"/>
      <w:jc w:val="left"/>
    </w:pPr>
    <w:rPr>
      <w:smallCaps/>
      <w:sz w:val="20"/>
      <w:szCs w:val="21"/>
    </w:rPr>
  </w:style>
  <w:style w:type="paragraph" w:styleId="43">
    <w:name w:val="toc 9"/>
    <w:basedOn w:val="1"/>
    <w:next w:val="1"/>
    <w:qFormat/>
    <w:uiPriority w:val="0"/>
    <w:pPr>
      <w:ind w:left="2240"/>
      <w:jc w:val="left"/>
    </w:pPr>
    <w:rPr>
      <w:rFonts w:ascii="Calibri" w:hAnsi="Calibri"/>
      <w:sz w:val="18"/>
      <w:szCs w:val="20"/>
    </w:rPr>
  </w:style>
  <w:style w:type="paragraph" w:styleId="44">
    <w:name w:val="Body Text 2"/>
    <w:basedOn w:val="1"/>
    <w:link w:val="107"/>
    <w:qFormat/>
    <w:uiPriority w:val="0"/>
    <w:pPr>
      <w:numPr>
        <w:ilvl w:val="0"/>
        <w:numId w:val="4"/>
      </w:numPr>
      <w:spacing w:line="360" w:lineRule="auto"/>
    </w:pPr>
    <w:rPr>
      <w:sz w:val="24"/>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360" w:lineRule="auto"/>
      <w:jc w:val="center"/>
    </w:pPr>
    <w:rPr>
      <w:rFonts w:ascii="宋体" w:hAnsi="宋体"/>
      <w:bCs/>
    </w:rPr>
  </w:style>
  <w:style w:type="paragraph" w:styleId="47">
    <w:name w:val="Title"/>
    <w:basedOn w:val="29"/>
    <w:next w:val="29"/>
    <w:link w:val="73"/>
    <w:qFormat/>
    <w:uiPriority w:val="0"/>
    <w:pPr>
      <w:spacing w:before="240" w:after="60"/>
    </w:pPr>
    <w:rPr>
      <w:rFonts w:ascii="Arial" w:hAnsi="Arial"/>
      <w:b/>
      <w:kern w:val="18"/>
      <w:sz w:val="30"/>
      <w:szCs w:val="20"/>
    </w:rPr>
  </w:style>
  <w:style w:type="paragraph" w:styleId="48">
    <w:name w:val="annotation subject"/>
    <w:basedOn w:val="18"/>
    <w:next w:val="18"/>
    <w:link w:val="108"/>
    <w:qFormat/>
    <w:uiPriority w:val="0"/>
    <w:rPr>
      <w:b/>
      <w:bCs/>
    </w:rPr>
  </w:style>
  <w:style w:type="paragraph" w:styleId="49">
    <w:name w:val="Body Text First Indent"/>
    <w:basedOn w:val="2"/>
    <w:next w:val="1"/>
    <w:link w:val="79"/>
    <w:qFormat/>
    <w:uiPriority w:val="0"/>
    <w:pPr>
      <w:spacing w:after="120" w:line="520" w:lineRule="exact"/>
      <w:ind w:firstLine="100" w:firstLineChars="100"/>
      <w:jc w:val="left"/>
    </w:pPr>
    <w:rPr>
      <w:sz w:val="28"/>
    </w:rPr>
  </w:style>
  <w:style w:type="paragraph" w:styleId="50">
    <w:name w:val="Body Text First Indent 2"/>
    <w:basedOn w:val="21"/>
    <w:link w:val="383"/>
    <w:qFormat/>
    <w:uiPriority w:val="0"/>
    <w:pPr>
      <w:autoSpaceDE/>
      <w:autoSpaceDN/>
      <w:adjustRightInd/>
      <w:spacing w:after="120" w:line="240" w:lineRule="auto"/>
      <w:ind w:left="420" w:leftChars="200" w:firstLine="420" w:firstLineChars="200"/>
      <w:jc w:val="both"/>
    </w:pPr>
    <w:rPr>
      <w:rFonts w:eastAsia="宋体"/>
      <w:b w:val="0"/>
      <w:bCs w:val="0"/>
      <w:color w:val="auto"/>
      <w:kern w:val="2"/>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Elegant"/>
    <w:basedOn w:val="5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6">
    <w:name w:val="Strong"/>
    <w:basedOn w:val="55"/>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line number"/>
    <w:basedOn w:val="55"/>
    <w:qFormat/>
    <w:uiPriority w:val="0"/>
  </w:style>
  <w:style w:type="character" w:styleId="61">
    <w:name w:val="Hyperlink"/>
    <w:basedOn w:val="55"/>
    <w:qFormat/>
    <w:uiPriority w:val="99"/>
    <w:rPr>
      <w:color w:val="000000"/>
      <w:sz w:val="18"/>
      <w:szCs w:val="18"/>
      <w:u w:val="none"/>
    </w:rPr>
  </w:style>
  <w:style w:type="character" w:styleId="62">
    <w:name w:val="annotation reference"/>
    <w:qFormat/>
    <w:uiPriority w:val="0"/>
    <w:rPr>
      <w:sz w:val="21"/>
      <w:szCs w:val="21"/>
    </w:rPr>
  </w:style>
  <w:style w:type="character" w:customStyle="1" w:styleId="63">
    <w:name w:val="unnamed11"/>
    <w:qFormat/>
    <w:uiPriority w:val="0"/>
    <w:rPr>
      <w:sz w:val="26"/>
    </w:rPr>
  </w:style>
  <w:style w:type="character" w:customStyle="1" w:styleId="64">
    <w:name w:val="正文文本 Char"/>
    <w:link w:val="2"/>
    <w:qFormat/>
    <w:uiPriority w:val="0"/>
    <w:rPr>
      <w:rFonts w:eastAsia="宋体"/>
      <w:kern w:val="2"/>
      <w:sz w:val="24"/>
      <w:lang w:bidi="ar-SA"/>
    </w:rPr>
  </w:style>
  <w:style w:type="character" w:customStyle="1" w:styleId="65">
    <w:name w:val="para1"/>
    <w:qFormat/>
    <w:uiPriority w:val="0"/>
    <w:rPr>
      <w:rFonts w:hint="default" w:ascii="Arial" w:hAnsi="Arial"/>
      <w:sz w:val="18"/>
    </w:rPr>
  </w:style>
  <w:style w:type="character" w:customStyle="1" w:styleId="66">
    <w:name w:val="标题 4 Char1"/>
    <w:qFormat/>
    <w:uiPriority w:val="0"/>
    <w:rPr>
      <w:rFonts w:ascii="Arial" w:hAnsi="Arial" w:eastAsia="黑体"/>
      <w:b/>
      <w:kern w:val="2"/>
      <w:sz w:val="28"/>
      <w:lang w:val="en-US" w:eastAsia="zh-CN"/>
    </w:rPr>
  </w:style>
  <w:style w:type="character" w:customStyle="1" w:styleId="67">
    <w:name w:val="彩色列表 - 着色 1 Char"/>
    <w:qFormat/>
    <w:locked/>
    <w:uiPriority w:val="0"/>
    <w:rPr>
      <w:rFonts w:ascii="Calibri" w:hAnsi="Calibri" w:eastAsia="宋体"/>
      <w:kern w:val="2"/>
      <w:sz w:val="21"/>
      <w:szCs w:val="22"/>
      <w:lang w:val="en-US" w:eastAsia="zh-CN" w:bidi="ar-SA"/>
    </w:rPr>
  </w:style>
  <w:style w:type="character" w:customStyle="1" w:styleId="68">
    <w:name w:val="标题 1 Char Char"/>
    <w:qFormat/>
    <w:uiPriority w:val="0"/>
    <w:rPr>
      <w:rFonts w:eastAsia="宋体"/>
      <w:b/>
      <w:spacing w:val="-2"/>
      <w:sz w:val="24"/>
      <w:lang w:val="en-US" w:eastAsia="zh-CN" w:bidi="ar-SA"/>
    </w:rPr>
  </w:style>
  <w:style w:type="character" w:customStyle="1" w:styleId="69">
    <w:name w:val="Heading 2 Hidden Char1"/>
    <w:qFormat/>
    <w:uiPriority w:val="0"/>
    <w:rPr>
      <w:rFonts w:ascii="Arial" w:hAnsi="Arial" w:eastAsia="黑体" w:cs="Arial"/>
      <w:b/>
      <w:sz w:val="24"/>
      <w:szCs w:val="24"/>
    </w:rPr>
  </w:style>
  <w:style w:type="character" w:customStyle="1" w:styleId="70">
    <w:name w:val="标题 6 Char"/>
    <w:link w:val="8"/>
    <w:qFormat/>
    <w:uiPriority w:val="0"/>
    <w:rPr>
      <w:rFonts w:eastAsia="宋体"/>
      <w:i/>
      <w:iCs/>
      <w:kern w:val="2"/>
      <w:sz w:val="22"/>
      <w:lang w:bidi="ar-SA"/>
    </w:rPr>
  </w:style>
  <w:style w:type="character" w:customStyle="1" w:styleId="71">
    <w:name w:val="Heading 1 Char"/>
    <w:qFormat/>
    <w:locked/>
    <w:uiPriority w:val="0"/>
    <w:rPr>
      <w:rFonts w:cs="Times New Roman"/>
      <w:b/>
      <w:bCs/>
      <w:kern w:val="44"/>
      <w:sz w:val="44"/>
      <w:szCs w:val="44"/>
    </w:rPr>
  </w:style>
  <w:style w:type="character" w:customStyle="1" w:styleId="72">
    <w:name w:val="a-标题3 Char"/>
    <w:qFormat/>
    <w:uiPriority w:val="0"/>
    <w:rPr>
      <w:rFonts w:ascii="楷体_GB2312" w:eastAsia="楷体_GB2312"/>
      <w:b/>
      <w:bCs/>
      <w:kern w:val="2"/>
      <w:sz w:val="28"/>
      <w:lang w:val="en-US" w:eastAsia="zh-CN" w:bidi="ar-SA"/>
    </w:rPr>
  </w:style>
  <w:style w:type="character" w:customStyle="1" w:styleId="73">
    <w:name w:val="标题 Char"/>
    <w:link w:val="47"/>
    <w:qFormat/>
    <w:uiPriority w:val="0"/>
    <w:rPr>
      <w:rFonts w:ascii="Arial" w:hAnsi="Arial" w:eastAsia="宋体"/>
      <w:b/>
      <w:kern w:val="18"/>
      <w:sz w:val="30"/>
      <w:lang w:bidi="ar-SA"/>
    </w:rPr>
  </w:style>
  <w:style w:type="character" w:customStyle="1" w:styleId="74">
    <w:name w:val="标题 2 Char"/>
    <w:link w:val="4"/>
    <w:qFormat/>
    <w:uiPriority w:val="0"/>
    <w:rPr>
      <w:rFonts w:ascii="Arial" w:hAnsi="Arial" w:eastAsia="黑体"/>
      <w:b/>
      <w:sz w:val="24"/>
      <w:szCs w:val="24"/>
      <w:lang w:bidi="ar-SA"/>
    </w:rPr>
  </w:style>
  <w:style w:type="character" w:customStyle="1" w:styleId="75">
    <w:name w:val="正文文本样式 Char Char"/>
    <w:link w:val="76"/>
    <w:qFormat/>
    <w:uiPriority w:val="0"/>
    <w:rPr>
      <w:rFonts w:eastAsia="宋体"/>
      <w:sz w:val="24"/>
      <w:lang w:bidi="ar-SA"/>
    </w:rPr>
  </w:style>
  <w:style w:type="paragraph" w:customStyle="1" w:styleId="76">
    <w:name w:val="正文文本样式"/>
    <w:basedOn w:val="1"/>
    <w:link w:val="75"/>
    <w:qFormat/>
    <w:uiPriority w:val="0"/>
    <w:pPr>
      <w:spacing w:line="360" w:lineRule="auto"/>
      <w:ind w:firstLine="482"/>
    </w:pPr>
    <w:rPr>
      <w:kern w:val="0"/>
      <w:sz w:val="24"/>
      <w:szCs w:val="20"/>
    </w:rPr>
  </w:style>
  <w:style w:type="character" w:customStyle="1" w:styleId="77">
    <w:name w:val="无间隔 Char"/>
    <w:link w:val="78"/>
    <w:qFormat/>
    <w:uiPriority w:val="0"/>
    <w:rPr>
      <w:rFonts w:ascii="Calibri" w:hAnsi="Calibri"/>
      <w:sz w:val="22"/>
      <w:szCs w:val="22"/>
      <w:lang w:val="en-US" w:eastAsia="zh-CN" w:bidi="ar-SA"/>
    </w:rPr>
  </w:style>
  <w:style w:type="paragraph" w:customStyle="1" w:styleId="78">
    <w:name w:val="无间隔1"/>
    <w:link w:val="77"/>
    <w:qFormat/>
    <w:uiPriority w:val="0"/>
    <w:rPr>
      <w:rFonts w:ascii="Calibri" w:hAnsi="Calibri" w:eastAsia="宋体" w:cs="Times New Roman"/>
      <w:sz w:val="22"/>
      <w:szCs w:val="22"/>
      <w:lang w:val="en-US" w:eastAsia="zh-CN" w:bidi="ar-SA"/>
    </w:rPr>
  </w:style>
  <w:style w:type="character" w:customStyle="1" w:styleId="79">
    <w:name w:val="正文首行缩进 Char"/>
    <w:link w:val="49"/>
    <w:qFormat/>
    <w:uiPriority w:val="0"/>
    <w:rPr>
      <w:rFonts w:eastAsia="宋体"/>
      <w:kern w:val="2"/>
      <w:sz w:val="28"/>
      <w:lang w:bidi="ar-SA"/>
    </w:rPr>
  </w:style>
  <w:style w:type="character" w:customStyle="1" w:styleId="80">
    <w:name w:val="列出段落 Char"/>
    <w:link w:val="81"/>
    <w:qFormat/>
    <w:locked/>
    <w:uiPriority w:val="0"/>
    <w:rPr>
      <w:rFonts w:ascii="Calibri" w:hAnsi="Calibri" w:eastAsia="宋体"/>
      <w:kern w:val="2"/>
      <w:sz w:val="21"/>
      <w:szCs w:val="22"/>
      <w:lang w:val="en-US" w:eastAsia="zh-CN" w:bidi="ar-SA"/>
    </w:rPr>
  </w:style>
  <w:style w:type="paragraph" w:customStyle="1" w:styleId="81">
    <w:name w:val="列出段落21"/>
    <w:basedOn w:val="1"/>
    <w:link w:val="80"/>
    <w:qFormat/>
    <w:uiPriority w:val="0"/>
    <w:pPr>
      <w:ind w:firstLine="420" w:firstLineChars="200"/>
    </w:pPr>
    <w:rPr>
      <w:rFonts w:ascii="Calibri" w:hAnsi="Calibri"/>
      <w:szCs w:val="22"/>
    </w:rPr>
  </w:style>
  <w:style w:type="character" w:customStyle="1" w:styleId="82">
    <w:name w:val="Header Char"/>
    <w:qFormat/>
    <w:locked/>
    <w:uiPriority w:val="0"/>
    <w:rPr>
      <w:rFonts w:cs="Times New Roman"/>
      <w:sz w:val="18"/>
      <w:szCs w:val="18"/>
    </w:rPr>
  </w:style>
  <w:style w:type="character" w:customStyle="1" w:styleId="83">
    <w:name w:val="style15"/>
    <w:basedOn w:val="55"/>
    <w:qFormat/>
    <w:uiPriority w:val="0"/>
  </w:style>
  <w:style w:type="character" w:customStyle="1" w:styleId="84">
    <w:name w:val="批注文字 Char"/>
    <w:link w:val="18"/>
    <w:qFormat/>
    <w:uiPriority w:val="0"/>
    <w:rPr>
      <w:rFonts w:eastAsia="宋体"/>
      <w:kern w:val="2"/>
      <w:sz w:val="21"/>
      <w:szCs w:val="24"/>
      <w:lang w:bidi="ar-SA"/>
    </w:rPr>
  </w:style>
  <w:style w:type="character" w:customStyle="1" w:styleId="85">
    <w:name w:val="页眉 Char"/>
    <w:link w:val="35"/>
    <w:qFormat/>
    <w:uiPriority w:val="99"/>
    <w:rPr>
      <w:rFonts w:eastAsia="宋体"/>
      <w:kern w:val="2"/>
      <w:sz w:val="18"/>
      <w:szCs w:val="21"/>
      <w:lang w:bidi="ar-SA"/>
    </w:rPr>
  </w:style>
  <w:style w:type="character" w:customStyle="1" w:styleId="86">
    <w:name w:val="Footer Char"/>
    <w:qFormat/>
    <w:locked/>
    <w:uiPriority w:val="0"/>
    <w:rPr>
      <w:rFonts w:cs="Times New Roman"/>
      <w:sz w:val="18"/>
      <w:szCs w:val="18"/>
    </w:rPr>
  </w:style>
  <w:style w:type="character" w:customStyle="1" w:styleId="87">
    <w:name w:val="marklong"/>
    <w:qFormat/>
    <w:uiPriority w:val="0"/>
  </w:style>
  <w:style w:type="character" w:customStyle="1" w:styleId="88">
    <w:name w:val="Balloon Text Char"/>
    <w:semiHidden/>
    <w:qFormat/>
    <w:locked/>
    <w:uiPriority w:val="0"/>
    <w:rPr>
      <w:rFonts w:ascii="Calibri" w:hAnsi="Calibri" w:eastAsia="宋体" w:cs="Times New Roman"/>
      <w:sz w:val="18"/>
      <w:szCs w:val="18"/>
    </w:rPr>
  </w:style>
  <w:style w:type="character" w:customStyle="1" w:styleId="89">
    <w:name w:val="标题 3 Char"/>
    <w:link w:val="5"/>
    <w:qFormat/>
    <w:uiPriority w:val="0"/>
    <w:rPr>
      <w:rFonts w:eastAsia="宋体"/>
      <w:b/>
      <w:bCs/>
      <w:kern w:val="2"/>
      <w:sz w:val="32"/>
      <w:szCs w:val="32"/>
      <w:lang w:bidi="ar-SA"/>
    </w:rPr>
  </w:style>
  <w:style w:type="character" w:customStyle="1" w:styleId="90">
    <w:name w:val="List Paragraph Char"/>
    <w:link w:val="91"/>
    <w:qFormat/>
    <w:uiPriority w:val="0"/>
    <w:rPr>
      <w:rFonts w:eastAsia="宋体"/>
      <w:kern w:val="2"/>
      <w:sz w:val="21"/>
      <w:lang w:val="en-US" w:eastAsia="zh-CN" w:bidi="ar-SA"/>
    </w:rPr>
  </w:style>
  <w:style w:type="paragraph" w:customStyle="1" w:styleId="91">
    <w:name w:val="列出段落1"/>
    <w:basedOn w:val="1"/>
    <w:link w:val="90"/>
    <w:qFormat/>
    <w:uiPriority w:val="0"/>
    <w:pPr>
      <w:ind w:firstLine="200" w:firstLineChars="200"/>
    </w:pPr>
    <w:rPr>
      <w:szCs w:val="20"/>
    </w:rPr>
  </w:style>
  <w:style w:type="character" w:customStyle="1" w:styleId="92">
    <w:name w:val="标题 8 Char"/>
    <w:link w:val="10"/>
    <w:qFormat/>
    <w:uiPriority w:val="0"/>
    <w:rPr>
      <w:rFonts w:ascii="Arial" w:hAnsi="Arial" w:eastAsia="宋体"/>
      <w:i/>
      <w:iCs/>
      <w:kern w:val="2"/>
      <w:lang w:bidi="ar-SA"/>
    </w:rPr>
  </w:style>
  <w:style w:type="character" w:customStyle="1" w:styleId="93">
    <w:name w:val="标准文本 Char"/>
    <w:link w:val="94"/>
    <w:qFormat/>
    <w:locked/>
    <w:uiPriority w:val="0"/>
    <w:rPr>
      <w:rFonts w:ascii="宋体" w:hAnsi="宋体"/>
      <w:color w:val="000000"/>
      <w:szCs w:val="21"/>
      <w:lang w:bidi="ar-SA"/>
    </w:rPr>
  </w:style>
  <w:style w:type="paragraph" w:customStyle="1" w:styleId="94">
    <w:name w:val="标准文本"/>
    <w:basedOn w:val="1"/>
    <w:link w:val="93"/>
    <w:qFormat/>
    <w:uiPriority w:val="0"/>
    <w:pPr>
      <w:tabs>
        <w:tab w:val="left" w:pos="3060"/>
        <w:tab w:val="left" w:pos="6048"/>
        <w:tab w:val="left" w:pos="7668"/>
      </w:tabs>
      <w:spacing w:line="312" w:lineRule="auto"/>
      <w:ind w:firstLine="420" w:firstLineChars="200"/>
    </w:pPr>
    <w:rPr>
      <w:rFonts w:ascii="宋体" w:hAnsi="宋体"/>
      <w:color w:val="000000"/>
      <w:kern w:val="0"/>
      <w:sz w:val="20"/>
      <w:szCs w:val="21"/>
    </w:rPr>
  </w:style>
  <w:style w:type="character" w:customStyle="1" w:styleId="95">
    <w:name w:val="font3"/>
    <w:qFormat/>
    <w:uiPriority w:val="0"/>
  </w:style>
  <w:style w:type="character" w:customStyle="1" w:styleId="96">
    <w:name w:val="自定义正文 Char Char"/>
    <w:link w:val="97"/>
    <w:qFormat/>
    <w:uiPriority w:val="0"/>
    <w:rPr>
      <w:rFonts w:ascii="宋体" w:hAnsi="宋体" w:eastAsia="宋体"/>
      <w:kern w:val="2"/>
      <w:sz w:val="24"/>
      <w:szCs w:val="24"/>
      <w:lang w:bidi="ar-SA"/>
    </w:rPr>
  </w:style>
  <w:style w:type="paragraph" w:customStyle="1" w:styleId="97">
    <w:name w:val="自定义正文"/>
    <w:basedOn w:val="1"/>
    <w:link w:val="96"/>
    <w:qFormat/>
    <w:uiPriority w:val="0"/>
    <w:pPr>
      <w:spacing w:after="60" w:line="360" w:lineRule="auto"/>
      <w:ind w:firstLine="200" w:firstLineChars="200"/>
      <w:jc w:val="left"/>
    </w:pPr>
    <w:rPr>
      <w:rFonts w:ascii="宋体" w:hAnsi="宋体"/>
      <w:sz w:val="24"/>
    </w:rPr>
  </w:style>
  <w:style w:type="character" w:customStyle="1" w:styleId="98">
    <w:name w:val="H1 Char"/>
    <w:qFormat/>
    <w:uiPriority w:val="0"/>
    <w:rPr>
      <w:b/>
      <w:bCs/>
      <w:kern w:val="44"/>
      <w:sz w:val="44"/>
      <w:szCs w:val="44"/>
    </w:rPr>
  </w:style>
  <w:style w:type="character" w:customStyle="1" w:styleId="99">
    <w:name w:val="text-content11"/>
    <w:qFormat/>
    <w:uiPriority w:val="0"/>
    <w:rPr>
      <w:rFonts w:hint="default" w:ascii="Tahoma" w:hAnsi="Tahoma" w:cs="Tahoma"/>
      <w:color w:val="555555"/>
      <w:sz w:val="18"/>
      <w:szCs w:val="18"/>
    </w:rPr>
  </w:style>
  <w:style w:type="character" w:customStyle="1" w:styleId="100">
    <w:name w:val="纯文本 Char"/>
    <w:qFormat/>
    <w:uiPriority w:val="0"/>
    <w:rPr>
      <w:rFonts w:ascii="宋体" w:hAnsi="Courier New" w:cs="Courier New"/>
      <w:kern w:val="2"/>
      <w:sz w:val="21"/>
      <w:szCs w:val="21"/>
    </w:rPr>
  </w:style>
  <w:style w:type="character" w:customStyle="1" w:styleId="101">
    <w:name w:val="style31"/>
    <w:qFormat/>
    <w:uiPriority w:val="0"/>
    <w:rPr>
      <w:sz w:val="18"/>
    </w:rPr>
  </w:style>
  <w:style w:type="character" w:customStyle="1" w:styleId="102">
    <w:name w:val="引文目录标题 Char"/>
    <w:qFormat/>
    <w:uiPriority w:val="0"/>
    <w:rPr>
      <w:rFonts w:ascii="Arial" w:hAnsi="Arial" w:eastAsia="宋体"/>
      <w:kern w:val="2"/>
      <w:sz w:val="24"/>
      <w:lang w:val="en-US" w:eastAsia="zh-CN"/>
    </w:rPr>
  </w:style>
  <w:style w:type="character" w:customStyle="1" w:styleId="103">
    <w:name w:val="Comment Text Char"/>
    <w:semiHidden/>
    <w:qFormat/>
    <w:locked/>
    <w:uiPriority w:val="0"/>
    <w:rPr>
      <w:rFonts w:cs="Times New Roman"/>
    </w:rPr>
  </w:style>
  <w:style w:type="character" w:customStyle="1" w:styleId="104">
    <w:name w:val="日期 Char"/>
    <w:link w:val="31"/>
    <w:qFormat/>
    <w:uiPriority w:val="0"/>
    <w:rPr>
      <w:rFonts w:eastAsia="宋体"/>
      <w:kern w:val="2"/>
      <w:sz w:val="21"/>
      <w:szCs w:val="24"/>
      <w:lang w:bidi="ar-SA"/>
    </w:rPr>
  </w:style>
  <w:style w:type="character" w:customStyle="1" w:styleId="105">
    <w:name w:val="标题 7 Char"/>
    <w:link w:val="9"/>
    <w:qFormat/>
    <w:uiPriority w:val="0"/>
    <w:rPr>
      <w:rFonts w:ascii="Arial" w:hAnsi="Arial" w:eastAsia="宋体"/>
      <w:kern w:val="2"/>
      <w:lang w:bidi="ar-SA"/>
    </w:rPr>
  </w:style>
  <w:style w:type="character" w:customStyle="1" w:styleId="106">
    <w:name w:val="正文文本 3 Char"/>
    <w:link w:val="20"/>
    <w:qFormat/>
    <w:uiPriority w:val="0"/>
    <w:rPr>
      <w:rFonts w:ascii="Arial" w:hAnsi="Arial" w:eastAsia="宋体"/>
      <w:kern w:val="2"/>
      <w:sz w:val="21"/>
      <w:lang w:bidi="ar-SA"/>
    </w:rPr>
  </w:style>
  <w:style w:type="character" w:customStyle="1" w:styleId="107">
    <w:name w:val="正文文本 2 Char"/>
    <w:link w:val="44"/>
    <w:qFormat/>
    <w:uiPriority w:val="0"/>
    <w:rPr>
      <w:rFonts w:eastAsia="宋体"/>
      <w:kern w:val="2"/>
      <w:sz w:val="24"/>
      <w:lang w:val="en-US" w:eastAsia="zh-CN" w:bidi="ar-SA"/>
    </w:rPr>
  </w:style>
  <w:style w:type="character" w:customStyle="1" w:styleId="108">
    <w:name w:val="批注主题 Char"/>
    <w:link w:val="48"/>
    <w:qFormat/>
    <w:uiPriority w:val="0"/>
    <w:rPr>
      <w:b/>
      <w:bCs/>
      <w:kern w:val="2"/>
      <w:sz w:val="21"/>
      <w:szCs w:val="24"/>
    </w:rPr>
  </w:style>
  <w:style w:type="character" w:customStyle="1" w:styleId="109">
    <w:name w:val="small"/>
    <w:qFormat/>
    <w:uiPriority w:val="0"/>
  </w:style>
  <w:style w:type="character" w:customStyle="1" w:styleId="110">
    <w:name w:val="批注文字 Char Char"/>
    <w:qFormat/>
    <w:uiPriority w:val="0"/>
    <w:rPr>
      <w:kern w:val="2"/>
      <w:sz w:val="21"/>
    </w:rPr>
  </w:style>
  <w:style w:type="character" w:customStyle="1" w:styleId="111">
    <w:name w:val="批注框文本 Char"/>
    <w:link w:val="33"/>
    <w:qFormat/>
    <w:uiPriority w:val="0"/>
    <w:rPr>
      <w:rFonts w:eastAsia="宋体"/>
      <w:kern w:val="2"/>
      <w:sz w:val="18"/>
      <w:szCs w:val="18"/>
      <w:lang w:bidi="ar-SA"/>
    </w:rPr>
  </w:style>
  <w:style w:type="character" w:customStyle="1" w:styleId="112">
    <w:name w:val="正文2 Char"/>
    <w:link w:val="113"/>
    <w:qFormat/>
    <w:uiPriority w:val="0"/>
    <w:rPr>
      <w:kern w:val="2"/>
      <w:sz w:val="24"/>
      <w:lang w:bidi="ar-SA"/>
    </w:rPr>
  </w:style>
  <w:style w:type="paragraph" w:customStyle="1" w:styleId="113">
    <w:name w:val="正文2"/>
    <w:basedOn w:val="1"/>
    <w:link w:val="112"/>
    <w:qFormat/>
    <w:uiPriority w:val="0"/>
    <w:pPr>
      <w:spacing w:before="156" w:line="360" w:lineRule="auto"/>
      <w:ind w:firstLine="510" w:firstLineChars="200"/>
    </w:pPr>
    <w:rPr>
      <w:sz w:val="24"/>
      <w:szCs w:val="20"/>
    </w:rPr>
  </w:style>
  <w:style w:type="character" w:customStyle="1" w:styleId="114">
    <w:name w:val="页脚 Char"/>
    <w:link w:val="34"/>
    <w:qFormat/>
    <w:uiPriority w:val="99"/>
    <w:rPr>
      <w:rFonts w:eastAsia="宋体"/>
      <w:kern w:val="2"/>
      <w:sz w:val="18"/>
      <w:szCs w:val="18"/>
      <w:lang w:bidi="ar-SA"/>
    </w:rPr>
  </w:style>
  <w:style w:type="character" w:customStyle="1" w:styleId="115">
    <w:name w:val="标题 5 Char"/>
    <w:link w:val="7"/>
    <w:qFormat/>
    <w:uiPriority w:val="0"/>
    <w:rPr>
      <w:rFonts w:eastAsia="宋体"/>
      <w:kern w:val="2"/>
      <w:sz w:val="22"/>
      <w:lang w:bidi="ar-SA"/>
    </w:rPr>
  </w:style>
  <w:style w:type="character" w:customStyle="1" w:styleId="116">
    <w:name w:val="标题 1 Char"/>
    <w:link w:val="3"/>
    <w:qFormat/>
    <w:uiPriority w:val="0"/>
    <w:rPr>
      <w:rFonts w:eastAsia="宋体"/>
      <w:b/>
      <w:bCs/>
      <w:kern w:val="44"/>
      <w:sz w:val="44"/>
      <w:szCs w:val="44"/>
      <w:lang w:bidi="ar-SA"/>
    </w:rPr>
  </w:style>
  <w:style w:type="character" w:customStyle="1" w:styleId="117">
    <w:name w:val="正文文本缩进 3 Char"/>
    <w:link w:val="41"/>
    <w:qFormat/>
    <w:uiPriority w:val="0"/>
    <w:rPr>
      <w:rFonts w:eastAsia="仿宋_GB2312"/>
      <w:kern w:val="2"/>
      <w:sz w:val="32"/>
      <w:szCs w:val="24"/>
      <w:lang w:bidi="ar-SA"/>
    </w:rPr>
  </w:style>
  <w:style w:type="character" w:customStyle="1" w:styleId="118">
    <w:name w:val="Heading 2 Hidden Char"/>
    <w:qFormat/>
    <w:uiPriority w:val="0"/>
    <w:rPr>
      <w:rFonts w:ascii="Arial" w:hAnsi="Arial" w:eastAsia="黑体"/>
      <w:b/>
      <w:kern w:val="2"/>
      <w:sz w:val="32"/>
      <w:lang w:val="en-US" w:eastAsia="zh-CN"/>
    </w:rPr>
  </w:style>
  <w:style w:type="character" w:customStyle="1" w:styleId="119">
    <w:name w:val="纯文本 Char1"/>
    <w:link w:val="29"/>
    <w:qFormat/>
    <w:uiPriority w:val="0"/>
    <w:rPr>
      <w:rFonts w:ascii="宋体" w:hAnsi="宋体" w:eastAsia="宋体"/>
      <w:kern w:val="2"/>
      <w:sz w:val="21"/>
      <w:szCs w:val="21"/>
      <w:lang w:bidi="ar-SA"/>
    </w:rPr>
  </w:style>
  <w:style w:type="character" w:customStyle="1" w:styleId="120">
    <w:name w:val="正文文本缩进 2 Char"/>
    <w:link w:val="32"/>
    <w:qFormat/>
    <w:uiPriority w:val="0"/>
    <w:rPr>
      <w:rFonts w:eastAsia="仿宋_GB2312"/>
      <w:color w:val="000000"/>
      <w:sz w:val="32"/>
      <w:szCs w:val="28"/>
      <w:lang w:bidi="ar-SA"/>
    </w:rPr>
  </w:style>
  <w:style w:type="character" w:customStyle="1" w:styleId="121">
    <w:name w:val="称呼 Char"/>
    <w:link w:val="19"/>
    <w:qFormat/>
    <w:uiPriority w:val="0"/>
    <w:rPr>
      <w:rFonts w:ascii="STSong" w:hAnsi="Arial Unicode MS" w:eastAsia="STSong"/>
      <w:kern w:val="2"/>
      <w:sz w:val="24"/>
      <w:lang w:bidi="ar-SA"/>
    </w:rPr>
  </w:style>
  <w:style w:type="character" w:customStyle="1" w:styleId="122">
    <w:name w:val="apple-converted-space"/>
    <w:basedOn w:val="55"/>
    <w:qFormat/>
    <w:uiPriority w:val="0"/>
  </w:style>
  <w:style w:type="character" w:customStyle="1" w:styleId="123">
    <w:name w:val="正文文本缩进 Char"/>
    <w:link w:val="21"/>
    <w:qFormat/>
    <w:uiPriority w:val="0"/>
    <w:rPr>
      <w:rFonts w:eastAsia="仿宋_GB2312"/>
      <w:b/>
      <w:bCs/>
      <w:color w:val="000000"/>
      <w:sz w:val="32"/>
      <w:szCs w:val="28"/>
      <w:lang w:bidi="ar-SA"/>
    </w:rPr>
  </w:style>
  <w:style w:type="character" w:customStyle="1" w:styleId="124">
    <w:name w:val="正文缩进 Char"/>
    <w:link w:val="14"/>
    <w:qFormat/>
    <w:locked/>
    <w:uiPriority w:val="0"/>
    <w:rPr>
      <w:rFonts w:eastAsia="宋体"/>
      <w:kern w:val="2"/>
      <w:sz w:val="24"/>
      <w:lang w:bidi="ar-SA"/>
    </w:rPr>
  </w:style>
  <w:style w:type="character" w:customStyle="1" w:styleId="125">
    <w:name w:val="Level 3 Head Char"/>
    <w:qFormat/>
    <w:uiPriority w:val="0"/>
    <w:rPr>
      <w:b/>
      <w:bCs/>
      <w:kern w:val="2"/>
      <w:sz w:val="32"/>
      <w:szCs w:val="32"/>
    </w:rPr>
  </w:style>
  <w:style w:type="character" w:customStyle="1" w:styleId="126">
    <w:name w:val="文档结构图 Char"/>
    <w:link w:val="16"/>
    <w:qFormat/>
    <w:uiPriority w:val="0"/>
    <w:rPr>
      <w:rFonts w:eastAsia="宋体"/>
      <w:kern w:val="2"/>
      <w:sz w:val="21"/>
      <w:szCs w:val="24"/>
      <w:lang w:bidi="ar-SA"/>
    </w:rPr>
  </w:style>
  <w:style w:type="character" w:customStyle="1" w:styleId="127">
    <w:name w:val="正文缩进 Char1"/>
    <w:link w:val="128"/>
    <w:qFormat/>
    <w:uiPriority w:val="0"/>
    <w:rPr>
      <w:rFonts w:eastAsia="宋体"/>
      <w:kern w:val="2"/>
      <w:sz w:val="21"/>
      <w:lang w:val="en-US" w:eastAsia="zh-CN" w:bidi="ar-SA"/>
    </w:rPr>
  </w:style>
  <w:style w:type="paragraph" w:customStyle="1" w:styleId="128">
    <w:name w:val="正文缩进1"/>
    <w:basedOn w:val="1"/>
    <w:link w:val="127"/>
    <w:qFormat/>
    <w:uiPriority w:val="0"/>
    <w:pPr>
      <w:ind w:firstLine="420" w:firstLineChars="200"/>
    </w:pPr>
    <w:rPr>
      <w:szCs w:val="20"/>
    </w:rPr>
  </w:style>
  <w:style w:type="character" w:customStyle="1" w:styleId="129">
    <w:name w:val="标题 9 Char"/>
    <w:link w:val="11"/>
    <w:qFormat/>
    <w:uiPriority w:val="0"/>
    <w:rPr>
      <w:rFonts w:ascii="Arial" w:hAnsi="Arial" w:eastAsia="宋体"/>
      <w:b/>
      <w:i/>
      <w:iCs/>
      <w:kern w:val="2"/>
      <w:sz w:val="18"/>
      <w:lang w:bidi="ar-SA"/>
    </w:rPr>
  </w:style>
  <w:style w:type="character" w:customStyle="1" w:styleId="130">
    <w:name w:val="标题 4 Char"/>
    <w:link w:val="6"/>
    <w:qFormat/>
    <w:uiPriority w:val="0"/>
    <w:rPr>
      <w:rFonts w:ascii="黑体" w:hAnsi="黑体" w:eastAsia="黑体"/>
      <w:b/>
      <w:sz w:val="28"/>
      <w:lang w:bidi="ar-SA"/>
    </w:rPr>
  </w:style>
  <w:style w:type="paragraph" w:customStyle="1" w:styleId="131">
    <w:name w:val="a-标题3"/>
    <w:basedOn w:val="1"/>
    <w:qFormat/>
    <w:uiPriority w:val="0"/>
    <w:pPr>
      <w:spacing w:line="440" w:lineRule="exact"/>
      <w:jc w:val="left"/>
    </w:pPr>
    <w:rPr>
      <w:rFonts w:ascii="楷体_GB2312" w:hAnsi="Arial Unicode MS" w:eastAsia="楷体_GB2312" w:cs="Arial Unicode MS"/>
      <w:b/>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33">
    <w:name w:val="xl109"/>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4">
    <w:name w:val="样式2"/>
    <w:basedOn w:val="2"/>
    <w:qFormat/>
    <w:uiPriority w:val="0"/>
    <w:pPr>
      <w:spacing w:line="400" w:lineRule="exact"/>
      <w:jc w:val="center"/>
    </w:pPr>
    <w:rPr>
      <w:rFonts w:ascii="宋体" w:hAnsi="宋体"/>
    </w:rPr>
  </w:style>
  <w:style w:type="paragraph" w:customStyle="1" w:styleId="13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6">
    <w:name w:val="xl141"/>
    <w:basedOn w:val="1"/>
    <w:qFormat/>
    <w:uiPriority w:val="0"/>
    <w:pPr>
      <w:widowControl/>
      <w:pBdr>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37">
    <w:name w:val="彩色列表 - 强调文字颜色 11"/>
    <w:basedOn w:val="1"/>
    <w:qFormat/>
    <w:uiPriority w:val="0"/>
    <w:pPr>
      <w:ind w:firstLine="420" w:firstLineChars="200"/>
    </w:pPr>
    <w:rPr>
      <w:rFonts w:ascii="Calibri" w:hAnsi="Calibri"/>
      <w:szCs w:val="22"/>
    </w:rPr>
  </w:style>
  <w:style w:type="paragraph" w:customStyle="1" w:styleId="138">
    <w:name w:val="Char Char Char Char Char Char"/>
    <w:basedOn w:val="1"/>
    <w:qFormat/>
    <w:uiPriority w:val="0"/>
    <w:pPr>
      <w:jc w:val="center"/>
    </w:pPr>
    <w:rPr>
      <w:rFonts w:ascii="Tahoma" w:hAnsi="Tahoma"/>
      <w:sz w:val="24"/>
      <w:szCs w:val="20"/>
    </w:rPr>
  </w:style>
  <w:style w:type="paragraph" w:customStyle="1" w:styleId="13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40">
    <w:name w:val="xl133"/>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1">
    <w:name w:val="xl72"/>
    <w:basedOn w:val="1"/>
    <w:qFormat/>
    <w:uiPriority w:val="0"/>
    <w:pPr>
      <w:widowControl/>
      <w:pBdr>
        <w:top w:val="single" w:color="auto" w:sz="4" w:space="0"/>
      </w:pBdr>
      <w:spacing w:before="100" w:beforeAutospacing="1" w:after="100" w:afterAutospacing="1"/>
      <w:jc w:val="left"/>
    </w:pPr>
    <w:rPr>
      <w:rFonts w:ascii="宋体" w:hAnsi="宋体"/>
      <w:kern w:val="0"/>
      <w:sz w:val="24"/>
      <w:szCs w:val="20"/>
    </w:rPr>
  </w:style>
  <w:style w:type="paragraph" w:customStyle="1" w:styleId="142">
    <w:name w:val="xl57"/>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143">
    <w:name w:val="样式1"/>
    <w:basedOn w:val="3"/>
    <w:qFormat/>
    <w:uiPriority w:val="0"/>
    <w:pPr>
      <w:adjustRightInd w:val="0"/>
      <w:spacing w:before="240" w:after="240" w:line="360" w:lineRule="auto"/>
      <w:jc w:val="left"/>
      <w:textAlignment w:val="baseline"/>
    </w:pPr>
    <w:rPr>
      <w:rFonts w:ascii="宋体" w:hAnsi="宋体" w:cs="Arial Unicode MS"/>
      <w:bCs w:val="0"/>
      <w:sz w:val="32"/>
      <w:szCs w:val="20"/>
    </w:rPr>
  </w:style>
  <w:style w:type="paragraph" w:customStyle="1" w:styleId="14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45">
    <w:name w:val="xl79"/>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146">
    <w:name w:val="批注框文本 Char Char"/>
    <w:basedOn w:val="1"/>
    <w:qFormat/>
    <w:uiPriority w:val="0"/>
    <w:rPr>
      <w:sz w:val="18"/>
      <w:szCs w:val="20"/>
    </w:rPr>
  </w:style>
  <w:style w:type="paragraph" w:customStyle="1" w:styleId="147">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8">
    <w:name w:val="xl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149">
    <w:name w:val="样式 正文"/>
    <w:basedOn w:val="1"/>
    <w:next w:val="1"/>
    <w:qFormat/>
    <w:uiPriority w:val="0"/>
    <w:pPr>
      <w:widowControl/>
      <w:spacing w:beforeLines="50" w:afterLines="50"/>
      <w:jc w:val="left"/>
    </w:pPr>
    <w:rPr>
      <w:rFonts w:ascii="宋体" w:cs="宋体"/>
      <w:snapToGrid w:val="0"/>
      <w:kern w:val="0"/>
      <w:szCs w:val="20"/>
    </w:rPr>
  </w:style>
  <w:style w:type="paragraph" w:customStyle="1" w:styleId="150">
    <w:name w:val="xl115"/>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ST20_17"/>
    <w:basedOn w:val="6"/>
    <w:qFormat/>
    <w:uiPriority w:val="0"/>
    <w:pPr>
      <w:spacing w:before="0" w:after="0" w:line="240" w:lineRule="atLeast"/>
      <w:jc w:val="both"/>
      <w:outlineLvl w:val="9"/>
    </w:pPr>
    <w:rPr>
      <w:rFonts w:ascii="宋体" w:hAnsi="宋体" w:eastAsia="宋体" w:cs="Arial Unicode MS"/>
      <w:b w:val="0"/>
      <w:sz w:val="24"/>
    </w:rPr>
  </w:style>
  <w:style w:type="paragraph" w:customStyle="1" w:styleId="152">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5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154">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5">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_Style 29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xl60"/>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58">
    <w:name w:val="xl44"/>
    <w:basedOn w:val="1"/>
    <w:qFormat/>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159">
    <w:name w:val="font19"/>
    <w:basedOn w:val="1"/>
    <w:qFormat/>
    <w:uiPriority w:val="0"/>
    <w:pPr>
      <w:widowControl/>
      <w:spacing w:before="100" w:beforeAutospacing="1" w:after="100" w:afterAutospacing="1"/>
      <w:jc w:val="left"/>
    </w:pPr>
    <w:rPr>
      <w:rFonts w:ascii="宋体" w:hAnsi="宋体" w:cs="宋体"/>
      <w:b/>
      <w:bCs/>
      <w:color w:val="DD0806"/>
      <w:kern w:val="0"/>
      <w:sz w:val="20"/>
      <w:szCs w:val="20"/>
    </w:rPr>
  </w:style>
  <w:style w:type="paragraph" w:customStyle="1" w:styleId="160">
    <w:name w:val="h3"/>
    <w:basedOn w:val="1"/>
    <w:qFormat/>
    <w:uiPriority w:val="0"/>
    <w:pPr>
      <w:widowControl/>
      <w:jc w:val="left"/>
    </w:pPr>
    <w:rPr>
      <w:rFonts w:ascii="宋体" w:hAnsi="宋体"/>
      <w:kern w:val="0"/>
      <w:sz w:val="24"/>
      <w:szCs w:val="20"/>
    </w:rPr>
  </w:style>
  <w:style w:type="paragraph" w:customStyle="1" w:styleId="161">
    <w:name w:val="项目符号2"/>
    <w:basedOn w:val="76"/>
    <w:qFormat/>
    <w:uiPriority w:val="0"/>
    <w:pPr>
      <w:numPr>
        <w:ilvl w:val="0"/>
        <w:numId w:val="3"/>
      </w:numPr>
    </w:pPr>
  </w:style>
  <w:style w:type="paragraph" w:customStyle="1" w:styleId="162">
    <w:name w:val="样式 样式 标题 2 + 段前: 0.5 行 段后: 0.5 行 + 首行缩进:  2 字符 段前: 0.5 行 段后: 0..."/>
    <w:basedOn w:val="163"/>
    <w:qFormat/>
    <w:uiPriority w:val="0"/>
    <w:pPr>
      <w:spacing w:before="50" w:after="50"/>
      <w:ind w:firstLine="0" w:firstLineChars="0"/>
    </w:pPr>
    <w:rPr>
      <w:rFonts w:cs="Times New Roman"/>
      <w:bCs w:val="0"/>
      <w:szCs w:val="20"/>
    </w:rPr>
  </w:style>
  <w:style w:type="paragraph" w:customStyle="1" w:styleId="163">
    <w:name w:val="样式 标题 2 + 段前: 0.5 行 段后: 0.5 行"/>
    <w:basedOn w:val="4"/>
    <w:qFormat/>
    <w:uiPriority w:val="0"/>
    <w:pPr>
      <w:spacing w:beforeLines="0" w:afterLines="0"/>
    </w:pPr>
    <w:rPr>
      <w:rFonts w:ascii="Times New Roman" w:hAnsi="Times New Roman" w:cs="宋体"/>
      <w:b w:val="0"/>
      <w:bCs/>
      <w:sz w:val="21"/>
      <w:szCs w:val="21"/>
    </w:rPr>
  </w:style>
  <w:style w:type="paragraph" w:customStyle="1" w:styleId="16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5">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166">
    <w:name w:val="xl67"/>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67">
    <w:name w:val="样式 标题 21.1 + 小四"/>
    <w:basedOn w:val="4"/>
    <w:qFormat/>
    <w:uiPriority w:val="0"/>
    <w:pPr>
      <w:tabs>
        <w:tab w:val="left" w:pos="720"/>
      </w:tabs>
      <w:snapToGrid w:val="0"/>
      <w:spacing w:beforeLines="0" w:afterLines="0" w:line="360" w:lineRule="auto"/>
      <w:ind w:firstLine="0" w:firstLineChars="0"/>
      <w:jc w:val="both"/>
    </w:pPr>
    <w:rPr>
      <w:rFonts w:ascii="Times New Roman" w:hAnsi="Times New Roman" w:eastAsia="宋体"/>
      <w:b w:val="0"/>
      <w:szCs w:val="20"/>
    </w:rPr>
  </w:style>
  <w:style w:type="paragraph" w:customStyle="1" w:styleId="1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9">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70">
    <w:name w:val="xl26"/>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73">
    <w:name w:val="xl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4">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75">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正文小4号"/>
    <w:basedOn w:val="1"/>
    <w:qFormat/>
    <w:uiPriority w:val="0"/>
    <w:pPr>
      <w:spacing w:line="360" w:lineRule="auto"/>
      <w:ind w:firstLine="200" w:firstLineChars="200"/>
    </w:pPr>
    <w:rPr>
      <w:sz w:val="24"/>
    </w:rPr>
  </w:style>
  <w:style w:type="paragraph" w:customStyle="1" w:styleId="177">
    <w:name w:val="Char Char1 Char"/>
    <w:basedOn w:val="1"/>
    <w:qFormat/>
    <w:uiPriority w:val="0"/>
    <w:rPr>
      <w:rFonts w:ascii="仿宋_GB2312" w:eastAsia="仿宋_GB2312"/>
      <w:b/>
      <w:sz w:val="32"/>
      <w:szCs w:val="32"/>
    </w:rPr>
  </w:style>
  <w:style w:type="paragraph" w:customStyle="1" w:styleId="178">
    <w:name w:val="正文1 New"/>
    <w:basedOn w:val="1"/>
    <w:qFormat/>
    <w:uiPriority w:val="0"/>
    <w:pPr>
      <w:spacing w:line="360" w:lineRule="auto"/>
      <w:ind w:left="1260" w:leftChars="600" w:firstLine="540" w:firstLineChars="257"/>
    </w:pPr>
    <w:rPr>
      <w:rFonts w:ascii="宋体" w:hAnsi="宋体"/>
    </w:rPr>
  </w:style>
  <w:style w:type="paragraph" w:customStyle="1" w:styleId="179">
    <w:name w:val="xl76"/>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80">
    <w:name w:val="图表文字"/>
    <w:qFormat/>
    <w:uiPriority w:val="0"/>
    <w:pPr>
      <w:tabs>
        <w:tab w:val="left" w:pos="3850"/>
      </w:tabs>
      <w:spacing w:line="320" w:lineRule="exact"/>
      <w:jc w:val="both"/>
    </w:pPr>
    <w:rPr>
      <w:rFonts w:ascii="Times New Roman" w:hAnsi="Times New Roman" w:eastAsia="宋体" w:cs="Times New Roman"/>
      <w:sz w:val="21"/>
      <w:szCs w:val="21"/>
      <w:lang w:val="en-US" w:eastAsia="zh-CN" w:bidi="ar-SA"/>
    </w:rPr>
  </w:style>
  <w:style w:type="paragraph" w:customStyle="1" w:styleId="181">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82">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列表延续"/>
    <w:basedOn w:val="1"/>
    <w:qFormat/>
    <w:uiPriority w:val="0"/>
    <w:pPr>
      <w:numPr>
        <w:ilvl w:val="8"/>
        <w:numId w:val="5"/>
      </w:numPr>
      <w:adjustRightInd w:val="0"/>
      <w:spacing w:line="360" w:lineRule="auto"/>
      <w:textAlignment w:val="baseline"/>
    </w:pPr>
    <w:rPr>
      <w:rFonts w:eastAsia="楷体_GB2312"/>
      <w:kern w:val="28"/>
      <w:sz w:val="28"/>
      <w:szCs w:val="20"/>
    </w:rPr>
  </w:style>
  <w:style w:type="paragraph" w:customStyle="1" w:styleId="184">
    <w:name w:val="Table Paragraph"/>
    <w:basedOn w:val="1"/>
    <w:qFormat/>
    <w:uiPriority w:val="1"/>
    <w:rPr>
      <w:rFonts w:ascii="宋体" w:hAnsi="宋体" w:cs="宋体"/>
      <w:lang w:val="zh-CN" w:bidi="zh-CN"/>
    </w:rPr>
  </w:style>
  <w:style w:type="paragraph" w:customStyle="1" w:styleId="185">
    <w:name w:val="Char Char Char Char Char Char1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186">
    <w:name w:val="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7">
    <w:name w:val="xl78"/>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188">
    <w:name w:val="A正文"/>
    <w:basedOn w:val="1"/>
    <w:qFormat/>
    <w:uiPriority w:val="0"/>
    <w:pPr>
      <w:widowControl/>
      <w:overflowPunct w:val="0"/>
      <w:autoSpaceDE w:val="0"/>
      <w:autoSpaceDN w:val="0"/>
      <w:adjustRightInd w:val="0"/>
      <w:spacing w:line="360" w:lineRule="auto"/>
      <w:ind w:firstLine="200" w:firstLineChars="200"/>
      <w:jc w:val="left"/>
      <w:textAlignment w:val="baseline"/>
    </w:pPr>
    <w:rPr>
      <w:rFonts w:eastAsia="仿宋_GB2312"/>
      <w:kern w:val="0"/>
      <w:sz w:val="24"/>
      <w:szCs w:val="20"/>
    </w:rPr>
  </w:style>
  <w:style w:type="paragraph" w:customStyle="1" w:styleId="18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0">
    <w:name w:val="表格文字"/>
    <w:basedOn w:val="1"/>
    <w:qFormat/>
    <w:uiPriority w:val="0"/>
    <w:pPr>
      <w:spacing w:before="25" w:after="25"/>
      <w:jc w:val="left"/>
    </w:pPr>
    <w:rPr>
      <w:bCs/>
      <w:spacing w:val="10"/>
      <w:kern w:val="0"/>
      <w:sz w:val="24"/>
      <w:szCs w:val="20"/>
    </w:rPr>
  </w:style>
  <w:style w:type="paragraph" w:customStyle="1" w:styleId="191">
    <w:name w:val="标3"/>
    <w:basedOn w:val="1"/>
    <w:qFormat/>
    <w:uiPriority w:val="0"/>
    <w:pPr>
      <w:tabs>
        <w:tab w:val="left" w:pos="1200"/>
      </w:tabs>
      <w:adjustRightInd w:val="0"/>
      <w:snapToGrid w:val="0"/>
      <w:spacing w:before="50"/>
      <w:ind w:left="1200" w:leftChars="400" w:hanging="360" w:hangingChars="200"/>
      <w:outlineLvl w:val="2"/>
    </w:pPr>
    <w:rPr>
      <w:rFonts w:ascii="Arial Narrow" w:hAnsi="Arial Narrow" w:eastAsia="仿宋_GB2312"/>
      <w:sz w:val="28"/>
      <w:szCs w:val="20"/>
    </w:rPr>
  </w:style>
  <w:style w:type="paragraph" w:customStyle="1" w:styleId="192">
    <w:name w:val="xl14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94">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5">
    <w:name w:val="排版"/>
    <w:basedOn w:val="1"/>
    <w:next w:val="2"/>
    <w:qFormat/>
    <w:uiPriority w:val="0"/>
    <w:pPr>
      <w:spacing w:line="600" w:lineRule="exact"/>
    </w:pPr>
    <w:rPr>
      <w:rFonts w:eastAsia="STFangsong"/>
      <w:spacing w:val="6"/>
      <w:sz w:val="32"/>
      <w:szCs w:val="20"/>
    </w:rPr>
  </w:style>
  <w:style w:type="paragraph" w:customStyle="1" w:styleId="196">
    <w:name w:val="页脚1"/>
    <w:basedOn w:val="1"/>
    <w:qFormat/>
    <w:uiPriority w:val="0"/>
    <w:pPr>
      <w:widowControl/>
      <w:tabs>
        <w:tab w:val="center" w:pos="4153"/>
        <w:tab w:val="right" w:pos="8306"/>
      </w:tabs>
      <w:snapToGrid w:val="0"/>
      <w:spacing w:beforeLines="50" w:afterLines="50"/>
      <w:jc w:val="left"/>
    </w:pPr>
    <w:rPr>
      <w:sz w:val="18"/>
      <w:szCs w:val="18"/>
    </w:rPr>
  </w:style>
  <w:style w:type="paragraph" w:customStyle="1" w:styleId="197">
    <w:name w:val="font7"/>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198">
    <w:name w:val="表格"/>
    <w:basedOn w:val="1"/>
    <w:qFormat/>
    <w:uiPriority w:val="0"/>
    <w:pPr>
      <w:adjustRightInd w:val="0"/>
      <w:spacing w:line="360" w:lineRule="atLeast"/>
    </w:pPr>
    <w:rPr>
      <w:rFonts w:ascii="黑体" w:hAnsi="黑体" w:eastAsia="黑体" w:cs="Arial Unicode MS"/>
      <w:szCs w:val="21"/>
    </w:rPr>
  </w:style>
  <w:style w:type="paragraph" w:customStyle="1" w:styleId="1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01">
    <w:name w:val="xl80"/>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202">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0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5">
    <w:name w:val="Char Char Char 字元 字元"/>
    <w:basedOn w:val="1"/>
    <w:qFormat/>
    <w:uiPriority w:val="0"/>
    <w:pPr>
      <w:spacing w:line="360" w:lineRule="auto"/>
      <w:ind w:firstLine="200" w:firstLineChars="200"/>
    </w:pPr>
    <w:rPr>
      <w:szCs w:val="20"/>
    </w:rPr>
  </w:style>
  <w:style w:type="paragraph" w:customStyle="1" w:styleId="206">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说明书3级标题"/>
    <w:basedOn w:val="1"/>
    <w:next w:val="1"/>
    <w:qFormat/>
    <w:uiPriority w:val="0"/>
    <w:pPr>
      <w:numPr>
        <w:ilvl w:val="2"/>
        <w:numId w:val="6"/>
      </w:numPr>
      <w:spacing w:line="360" w:lineRule="auto"/>
    </w:pPr>
    <w:rPr>
      <w:rFonts w:eastAsia="黑体"/>
      <w:sz w:val="24"/>
    </w:rPr>
  </w:style>
  <w:style w:type="paragraph" w:customStyle="1" w:styleId="20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9">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项目符号1"/>
    <w:basedOn w:val="76"/>
    <w:qFormat/>
    <w:uiPriority w:val="0"/>
    <w:pPr>
      <w:numPr>
        <w:ilvl w:val="0"/>
        <w:numId w:val="6"/>
      </w:numPr>
    </w:pPr>
  </w:style>
  <w:style w:type="paragraph" w:customStyle="1" w:styleId="211">
    <w:name w:val="font14"/>
    <w:basedOn w:val="1"/>
    <w:qFormat/>
    <w:uiPriority w:val="0"/>
    <w:pPr>
      <w:widowControl/>
      <w:spacing w:before="100" w:beforeAutospacing="1" w:after="100" w:afterAutospacing="1"/>
      <w:jc w:val="left"/>
    </w:pPr>
    <w:rPr>
      <w:kern w:val="0"/>
      <w:sz w:val="24"/>
      <w:szCs w:val="20"/>
    </w:rPr>
  </w:style>
  <w:style w:type="paragraph" w:customStyle="1" w:styleId="212">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3">
    <w:name w:val="xl62"/>
    <w:basedOn w:val="1"/>
    <w:qFormat/>
    <w:uiPriority w:val="0"/>
    <w:pPr>
      <w:widowControl/>
      <w:pBdr>
        <w:bottom w:val="single" w:color="auto" w:sz="4" w:space="0"/>
      </w:pBdr>
      <w:spacing w:before="100" w:beforeAutospacing="1" w:after="100" w:afterAutospacing="1"/>
      <w:jc w:val="center"/>
    </w:pPr>
    <w:rPr>
      <w:rFonts w:ascii="宋体" w:hAnsi="宋体"/>
      <w:kern w:val="0"/>
      <w:sz w:val="22"/>
      <w:szCs w:val="20"/>
    </w:rPr>
  </w:style>
  <w:style w:type="paragraph" w:customStyle="1" w:styleId="214">
    <w:name w:val="xl52"/>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1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1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文2"/>
    <w:basedOn w:val="1"/>
    <w:qFormat/>
    <w:uiPriority w:val="0"/>
    <w:pPr>
      <w:numPr>
        <w:ilvl w:val="1"/>
        <w:numId w:val="6"/>
      </w:numPr>
      <w:adjustRightInd w:val="0"/>
      <w:spacing w:before="60" w:after="60" w:line="400" w:lineRule="atLeast"/>
      <w:textAlignment w:val="baseline"/>
    </w:pPr>
    <w:rPr>
      <w:b/>
      <w:kern w:val="0"/>
      <w:sz w:val="24"/>
      <w:szCs w:val="20"/>
    </w:rPr>
  </w:style>
  <w:style w:type="paragraph" w:customStyle="1" w:styleId="21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技标2"/>
    <w:basedOn w:val="5"/>
    <w:qFormat/>
    <w:uiPriority w:val="0"/>
    <w:pPr>
      <w:keepNext w:val="0"/>
      <w:keepLines w:val="0"/>
      <w:adjustRightInd w:val="0"/>
      <w:snapToGrid w:val="0"/>
      <w:spacing w:before="600" w:after="240" w:line="420" w:lineRule="atLeast"/>
      <w:jc w:val="center"/>
      <w:textAlignment w:val="baseline"/>
    </w:pPr>
    <w:rPr>
      <w:bCs w:val="0"/>
      <w:kern w:val="0"/>
      <w:sz w:val="28"/>
      <w:szCs w:val="20"/>
    </w:rPr>
  </w:style>
  <w:style w:type="paragraph" w:customStyle="1" w:styleId="220">
    <w:name w:val="样式 标题 3 + 宋体 小四 段前: 0 磅 段后: 0 磅 行距: 1.5 倍行距"/>
    <w:basedOn w:val="5"/>
    <w:qFormat/>
    <w:uiPriority w:val="0"/>
    <w:pPr>
      <w:numPr>
        <w:ilvl w:val="0"/>
        <w:numId w:val="7"/>
      </w:numPr>
      <w:spacing w:before="0" w:after="0" w:line="360" w:lineRule="auto"/>
    </w:pPr>
    <w:rPr>
      <w:rFonts w:ascii="宋体" w:hAnsi="宋体" w:cs="宋体"/>
      <w:kern w:val="0"/>
      <w:sz w:val="24"/>
      <w:szCs w:val="20"/>
    </w:rPr>
  </w:style>
  <w:style w:type="paragraph" w:customStyle="1" w:styleId="221">
    <w:name w:val="xl9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61"/>
    <w:basedOn w:val="1"/>
    <w:qFormat/>
    <w:uiPriority w:val="0"/>
    <w:pPr>
      <w:widowControl/>
      <w:pBdr>
        <w:bottom w:val="single" w:color="auto" w:sz="4" w:space="0"/>
      </w:pBdr>
      <w:spacing w:before="100" w:beforeAutospacing="1" w:after="100" w:afterAutospacing="1"/>
      <w:jc w:val="center"/>
    </w:pPr>
    <w:rPr>
      <w:kern w:val="0"/>
      <w:sz w:val="22"/>
      <w:szCs w:val="20"/>
    </w:rPr>
  </w:style>
  <w:style w:type="paragraph" w:customStyle="1" w:styleId="22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无间隔11"/>
    <w:qFormat/>
    <w:uiPriority w:val="0"/>
    <w:rPr>
      <w:rFonts w:ascii="Calibri" w:hAnsi="Calibri" w:eastAsia="宋体" w:cs="Times New Roman"/>
      <w:sz w:val="22"/>
      <w:szCs w:val="22"/>
      <w:lang w:val="en-US" w:eastAsia="en-US" w:bidi="ar-SA"/>
    </w:rPr>
  </w:style>
  <w:style w:type="paragraph" w:customStyle="1" w:styleId="225">
    <w:name w:val="Char1 Char Char Char Char"/>
    <w:basedOn w:val="16"/>
    <w:qFormat/>
    <w:uiPriority w:val="0"/>
    <w:pPr>
      <w:widowControl/>
      <w:spacing w:beforeLines="50" w:afterLines="50"/>
      <w:jc w:val="left"/>
    </w:pPr>
    <w:rPr>
      <w:szCs w:val="20"/>
    </w:rPr>
  </w:style>
  <w:style w:type="paragraph" w:customStyle="1" w:styleId="226">
    <w:name w:val="xl131"/>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2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0">
    <w:name w:val="xl153"/>
    <w:basedOn w:val="1"/>
    <w:qFormat/>
    <w:uiPriority w:val="0"/>
    <w:pPr>
      <w:widowControl/>
      <w:pBdr>
        <w:top w:val="single" w:color="auto" w:sz="4" w:space="0"/>
        <w:bottom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2">
    <w:name w:val="xl114"/>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51"/>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0"/>
      <w:szCs w:val="20"/>
    </w:rPr>
  </w:style>
  <w:style w:type="paragraph" w:customStyle="1" w:styleId="235">
    <w:name w:val="CM58"/>
    <w:basedOn w:val="1"/>
    <w:next w:val="1"/>
    <w:qFormat/>
    <w:uiPriority w:val="0"/>
    <w:pPr>
      <w:autoSpaceDE w:val="0"/>
      <w:autoSpaceDN w:val="0"/>
      <w:adjustRightInd w:val="0"/>
      <w:spacing w:after="298"/>
      <w:jc w:val="left"/>
    </w:pPr>
    <w:rPr>
      <w:rFonts w:ascii="宋体" w:hAnsi="宋体" w:cs="Arial Unicode MS"/>
      <w:kern w:val="0"/>
      <w:sz w:val="24"/>
    </w:rPr>
  </w:style>
  <w:style w:type="paragraph" w:customStyle="1" w:styleId="236">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7">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3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9">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Char19"/>
    <w:basedOn w:val="1"/>
    <w:qFormat/>
    <w:uiPriority w:val="0"/>
    <w:rPr>
      <w:szCs w:val="20"/>
    </w:rPr>
  </w:style>
  <w:style w:type="paragraph" w:customStyle="1" w:styleId="241">
    <w:name w:val="IBM 正文"/>
    <w:basedOn w:val="1"/>
    <w:qFormat/>
    <w:uiPriority w:val="0"/>
    <w:pPr>
      <w:spacing w:line="360" w:lineRule="atLeast"/>
    </w:pPr>
    <w:rPr>
      <w:sz w:val="24"/>
      <w:szCs w:val="20"/>
    </w:rPr>
  </w:style>
  <w:style w:type="paragraph" w:customStyle="1" w:styleId="242">
    <w:name w:val="xl12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3">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44">
    <w:name w:val="2"/>
    <w:basedOn w:val="1"/>
    <w:qFormat/>
    <w:uiPriority w:val="0"/>
    <w:pPr>
      <w:adjustRightInd w:val="0"/>
      <w:spacing w:before="60" w:after="60" w:line="420" w:lineRule="atLeast"/>
      <w:ind w:left="454" w:firstLine="454"/>
      <w:textAlignment w:val="baseline"/>
    </w:pPr>
    <w:rPr>
      <w:kern w:val="0"/>
      <w:position w:val="5"/>
      <w:szCs w:val="20"/>
    </w:rPr>
  </w:style>
  <w:style w:type="paragraph" w:customStyle="1" w:styleId="2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8">
    <w:name w:val="xl24"/>
    <w:basedOn w:val="1"/>
    <w:qFormat/>
    <w:uiPriority w:val="0"/>
    <w:pPr>
      <w:widowControl/>
      <w:spacing w:before="100" w:beforeAutospacing="1" w:after="100" w:afterAutospacing="1"/>
      <w:jc w:val="left"/>
    </w:pPr>
    <w:rPr>
      <w:rFonts w:ascii="宋体" w:hAnsi="宋体"/>
      <w:kern w:val="0"/>
      <w:sz w:val="22"/>
      <w:szCs w:val="20"/>
    </w:rPr>
  </w:style>
  <w:style w:type="paragraph" w:customStyle="1" w:styleId="249">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50">
    <w:name w:val="xl5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0"/>
      <w:szCs w:val="20"/>
    </w:rPr>
  </w:style>
  <w:style w:type="paragraph" w:customStyle="1" w:styleId="25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52">
    <w:name w:val="默认段落字体 Para Char Char Char Char Char Char Char"/>
    <w:basedOn w:val="1"/>
    <w:qFormat/>
    <w:uiPriority w:val="0"/>
    <w:pPr>
      <w:spacing w:line="360" w:lineRule="auto"/>
      <w:ind w:firstLine="200" w:firstLineChars="200"/>
    </w:pPr>
    <w:rPr>
      <w:rFonts w:ascii="Tahoma" w:hAnsi="Tahoma"/>
      <w:sz w:val="24"/>
      <w:szCs w:val="2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4">
    <w:name w:val="xl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55">
    <w:name w:val="xl157"/>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24"/>
    </w:rPr>
  </w:style>
  <w:style w:type="paragraph" w:customStyle="1" w:styleId="256">
    <w:name w:val="标准"/>
    <w:basedOn w:val="1"/>
    <w:qFormat/>
    <w:uiPriority w:val="0"/>
    <w:pPr>
      <w:autoSpaceDE w:val="0"/>
      <w:autoSpaceDN w:val="0"/>
      <w:adjustRightInd w:val="0"/>
      <w:spacing w:line="312" w:lineRule="auto"/>
      <w:jc w:val="center"/>
      <w:textAlignment w:val="baseline"/>
    </w:pPr>
    <w:rPr>
      <w:rFonts w:ascii="宋体" w:hAnsi="宋体" w:cs="Arial Unicode MS"/>
      <w:color w:val="000000"/>
      <w:kern w:val="0"/>
      <w:sz w:val="24"/>
      <w:szCs w:val="20"/>
    </w:rPr>
  </w:style>
  <w:style w:type="paragraph" w:customStyle="1" w:styleId="257">
    <w:name w:val="样式 首行缩进:  0 字符"/>
    <w:basedOn w:val="1"/>
    <w:qFormat/>
    <w:uiPriority w:val="0"/>
    <w:pPr>
      <w:spacing w:line="360" w:lineRule="auto"/>
      <w:ind w:firstLine="200" w:firstLineChars="200"/>
    </w:pPr>
    <w:rPr>
      <w:rFonts w:cs="宋体"/>
      <w:sz w:val="24"/>
      <w:szCs w:val="20"/>
    </w:rPr>
  </w:style>
  <w:style w:type="paragraph" w:customStyle="1" w:styleId="258">
    <w:name w:val="xl25"/>
    <w:basedOn w:val="1"/>
    <w:qFormat/>
    <w:uiPriority w:val="0"/>
    <w:pPr>
      <w:widowControl/>
      <w:spacing w:before="100" w:beforeAutospacing="1" w:after="100" w:afterAutospacing="1"/>
      <w:jc w:val="center"/>
    </w:pPr>
    <w:rPr>
      <w:rFonts w:ascii="宋体" w:hAnsi="宋体" w:cs="Arial Unicode MS"/>
      <w:kern w:val="0"/>
      <w:sz w:val="24"/>
    </w:rPr>
  </w:style>
  <w:style w:type="paragraph" w:customStyle="1" w:styleId="25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60">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261">
    <w:name w:val="修订1"/>
    <w:qFormat/>
    <w:uiPriority w:val="0"/>
    <w:rPr>
      <w:rFonts w:ascii="Times New Roman" w:hAnsi="Times New Roman" w:eastAsia="宋体" w:cs="Times New Roman"/>
      <w:kern w:val="2"/>
      <w:sz w:val="21"/>
      <w:szCs w:val="24"/>
      <w:lang w:val="en-US" w:eastAsia="zh-CN" w:bidi="ar-SA"/>
    </w:rPr>
  </w:style>
  <w:style w:type="paragraph" w:customStyle="1" w:styleId="2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3">
    <w:name w:val="正文文本样式 加粗"/>
    <w:basedOn w:val="76"/>
    <w:qFormat/>
    <w:uiPriority w:val="0"/>
    <w:rPr>
      <w:b/>
    </w:rPr>
  </w:style>
  <w:style w:type="paragraph" w:customStyle="1" w:styleId="264">
    <w:name w:val="封面标准文稿类别"/>
    <w:qFormat/>
    <w:uiPriority w:val="0"/>
    <w:pPr>
      <w:spacing w:before="440" w:line="400" w:lineRule="exact"/>
      <w:jc w:val="center"/>
    </w:pPr>
    <w:rPr>
      <w:rFonts w:ascii="宋体" w:hAnsi="宋体" w:eastAsia="宋体" w:cs="Times New Roman"/>
      <w:sz w:val="24"/>
      <w:lang w:val="en-US" w:eastAsia="zh-CN" w:bidi="ar-SA"/>
    </w:rPr>
  </w:style>
  <w:style w:type="paragraph" w:customStyle="1" w:styleId="26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1"/>
    <w:basedOn w:val="1"/>
    <w:next w:val="29"/>
    <w:qFormat/>
    <w:uiPriority w:val="0"/>
    <w:rPr>
      <w:rFonts w:ascii="宋体" w:hAnsi="宋体" w:cs="Arial Unicode MS"/>
      <w:szCs w:val="20"/>
    </w:rPr>
  </w:style>
  <w:style w:type="paragraph" w:customStyle="1" w:styleId="267">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8">
    <w:name w:val="xl27"/>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69">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2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1">
    <w:name w:val="xl59"/>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272">
    <w:name w:val="表1"/>
    <w:basedOn w:val="1"/>
    <w:qFormat/>
    <w:uiPriority w:val="0"/>
    <w:pPr>
      <w:tabs>
        <w:tab w:val="left" w:pos="780"/>
      </w:tabs>
      <w:overflowPunct w:val="0"/>
      <w:autoSpaceDE w:val="0"/>
      <w:autoSpaceDN w:val="0"/>
      <w:adjustRightInd w:val="0"/>
      <w:spacing w:before="200" w:line="320" w:lineRule="atLeast"/>
      <w:textAlignment w:val="baseline"/>
    </w:pPr>
    <w:rPr>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_Style 103"/>
    <w:basedOn w:val="1"/>
    <w:next w:val="14"/>
    <w:qFormat/>
    <w:uiPriority w:val="0"/>
    <w:pPr>
      <w:ind w:firstLine="420"/>
    </w:pPr>
    <w:rPr>
      <w:rFonts w:eastAsia="仿宋_GB2312"/>
      <w:sz w:val="32"/>
      <w:szCs w:val="20"/>
    </w:rPr>
  </w:style>
  <w:style w:type="paragraph" w:customStyle="1" w:styleId="275">
    <w:name w:val="font9"/>
    <w:basedOn w:val="1"/>
    <w:qFormat/>
    <w:uiPriority w:val="0"/>
    <w:pPr>
      <w:widowControl/>
      <w:spacing w:before="100" w:beforeAutospacing="1" w:after="100" w:afterAutospacing="1"/>
      <w:jc w:val="left"/>
    </w:pPr>
    <w:rPr>
      <w:kern w:val="0"/>
      <w:sz w:val="20"/>
      <w:szCs w:val="20"/>
    </w:rPr>
  </w:style>
  <w:style w:type="paragraph" w:customStyle="1" w:styleId="276">
    <w:name w:val="xl142"/>
    <w:basedOn w:val="1"/>
    <w:qFormat/>
    <w:uiPriority w:val="0"/>
    <w:pPr>
      <w:widowControl/>
      <w:pBdr>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77">
    <w:name w:val="CCTV文档正文"/>
    <w:basedOn w:val="1"/>
    <w:qFormat/>
    <w:uiPriority w:val="0"/>
    <w:pPr>
      <w:spacing w:line="360" w:lineRule="auto"/>
      <w:jc w:val="left"/>
    </w:pPr>
    <w:rPr>
      <w:sz w:val="24"/>
      <w:szCs w:val="21"/>
    </w:rPr>
  </w:style>
  <w:style w:type="paragraph" w:customStyle="1" w:styleId="278">
    <w:name w:val="列出段落2"/>
    <w:basedOn w:val="1"/>
    <w:qFormat/>
    <w:uiPriority w:val="0"/>
    <w:pPr>
      <w:ind w:firstLine="420" w:firstLineChars="200"/>
    </w:pPr>
    <w:rPr>
      <w:rFonts w:ascii="Calibri" w:hAnsi="Calibri"/>
      <w:szCs w:val="22"/>
    </w:rPr>
  </w:style>
  <w:style w:type="paragraph" w:customStyle="1" w:styleId="279">
    <w:name w:val="标准正文"/>
    <w:basedOn w:val="21"/>
    <w:qFormat/>
    <w:uiPriority w:val="0"/>
    <w:pPr>
      <w:widowControl/>
      <w:autoSpaceDE/>
      <w:autoSpaceDN/>
      <w:adjustRightInd/>
      <w:spacing w:beforeLines="50" w:afterLines="50"/>
      <w:ind w:firstLine="482"/>
      <w:jc w:val="both"/>
    </w:pPr>
    <w:rPr>
      <w:rFonts w:ascii="Arial" w:hAnsi="Arial" w:eastAsia="宋体"/>
      <w:b w:val="0"/>
      <w:bCs w:val="0"/>
      <w:color w:val="auto"/>
      <w:kern w:val="2"/>
      <w:sz w:val="24"/>
      <w:szCs w:val="20"/>
    </w:rPr>
  </w:style>
  <w:style w:type="paragraph" w:customStyle="1" w:styleId="280">
    <w:name w:val="xl46"/>
    <w:basedOn w:val="1"/>
    <w:qFormat/>
    <w:uiPriority w:val="0"/>
    <w:pPr>
      <w:widowControl/>
      <w:spacing w:before="100" w:beforeAutospacing="1" w:after="100" w:afterAutospacing="1"/>
      <w:jc w:val="center"/>
      <w:textAlignment w:val="center"/>
    </w:pPr>
    <w:rPr>
      <w:kern w:val="0"/>
      <w:sz w:val="20"/>
      <w:szCs w:val="20"/>
    </w:rPr>
  </w:style>
  <w:style w:type="paragraph" w:customStyle="1" w:styleId="281">
    <w:name w:val="Char Char Char Char Char Char Char Char"/>
    <w:basedOn w:val="1"/>
    <w:qFormat/>
    <w:uiPriority w:val="0"/>
    <w:rPr>
      <w:rFonts w:eastAsia="仿宋_GB2312"/>
      <w:sz w:val="28"/>
    </w:rPr>
  </w:style>
  <w:style w:type="paragraph" w:customStyle="1" w:styleId="282">
    <w:name w:val="font10"/>
    <w:basedOn w:val="1"/>
    <w:qFormat/>
    <w:uiPriority w:val="0"/>
    <w:pPr>
      <w:widowControl/>
      <w:spacing w:before="100" w:beforeAutospacing="1" w:after="100" w:afterAutospacing="1"/>
      <w:jc w:val="left"/>
    </w:pPr>
    <w:rPr>
      <w:kern w:val="0"/>
      <w:sz w:val="22"/>
      <w:szCs w:val="20"/>
    </w:rPr>
  </w:style>
  <w:style w:type="paragraph" w:customStyle="1" w:styleId="283">
    <w:name w:val="xl55"/>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18"/>
      <w:szCs w:val="20"/>
    </w:rPr>
  </w:style>
  <w:style w:type="paragraph" w:customStyle="1" w:styleId="284">
    <w:name w:val="标题6"/>
    <w:basedOn w:val="1"/>
    <w:next w:val="3"/>
    <w:qFormat/>
    <w:uiPriority w:val="0"/>
    <w:pPr>
      <w:widowControl/>
      <w:snapToGrid w:val="0"/>
      <w:spacing w:beforeLines="50" w:afterLines="50" w:line="520" w:lineRule="atLeast"/>
      <w:ind w:firstLine="200" w:firstLineChars="200"/>
    </w:pPr>
  </w:style>
  <w:style w:type="paragraph" w:customStyle="1" w:styleId="285">
    <w:name w:val="正文文本缩进 31"/>
    <w:basedOn w:val="1"/>
    <w:qFormat/>
    <w:uiPriority w:val="0"/>
    <w:pPr>
      <w:adjustRightInd w:val="0"/>
      <w:spacing w:line="360" w:lineRule="auto"/>
      <w:ind w:firstLine="420"/>
      <w:textAlignment w:val="baseline"/>
    </w:pPr>
    <w:rPr>
      <w:sz w:val="24"/>
      <w:szCs w:val="20"/>
    </w:rPr>
  </w:style>
  <w:style w:type="paragraph" w:customStyle="1" w:styleId="286">
    <w:name w:val="xl154"/>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8">
    <w:name w:val="xl10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9">
    <w:name w:val="font11"/>
    <w:basedOn w:val="1"/>
    <w:qFormat/>
    <w:uiPriority w:val="0"/>
    <w:pPr>
      <w:widowControl/>
      <w:spacing w:before="100" w:beforeAutospacing="1" w:after="100" w:afterAutospacing="1"/>
      <w:jc w:val="left"/>
    </w:pPr>
    <w:rPr>
      <w:kern w:val="0"/>
      <w:sz w:val="36"/>
      <w:szCs w:val="20"/>
    </w:rPr>
  </w:style>
  <w:style w:type="paragraph" w:customStyle="1" w:styleId="290">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1">
    <w:name w:val="说明书2级标题"/>
    <w:basedOn w:val="1"/>
    <w:next w:val="207"/>
    <w:qFormat/>
    <w:uiPriority w:val="0"/>
    <w:pPr>
      <w:numPr>
        <w:ilvl w:val="2"/>
        <w:numId w:val="8"/>
      </w:numPr>
      <w:spacing w:beforeLines="100"/>
    </w:pPr>
    <w:rPr>
      <w:rFonts w:eastAsia="黑体"/>
      <w:sz w:val="28"/>
      <w:szCs w:val="28"/>
    </w:rPr>
  </w:style>
  <w:style w:type="paragraph" w:customStyle="1" w:styleId="292">
    <w:name w:val="xl152"/>
    <w:basedOn w:val="1"/>
    <w:qFormat/>
    <w:uiPriority w:val="0"/>
    <w:pPr>
      <w:widowControl/>
      <w:pBdr>
        <w:top w:val="single" w:color="auto" w:sz="4" w:space="0"/>
        <w:left w:val="single" w:color="auto" w:sz="4" w:space="0"/>
        <w:bottom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93">
    <w:name w:val="p"/>
    <w:basedOn w:val="1"/>
    <w:qFormat/>
    <w:uiPriority w:val="0"/>
    <w:pPr>
      <w:widowControl/>
      <w:spacing w:after="167"/>
      <w:jc w:val="left"/>
    </w:pPr>
    <w:rPr>
      <w:rFonts w:ascii="宋体" w:hAnsi="宋体" w:cs="宋体"/>
      <w:kern w:val="0"/>
      <w:sz w:val="24"/>
    </w:rPr>
  </w:style>
  <w:style w:type="paragraph" w:customStyle="1" w:styleId="294">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9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6">
    <w:name w:val="Char Char Char Char Char Char1 Char Char Char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297">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8">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12"/>
    <w:basedOn w:val="1"/>
    <w:qFormat/>
    <w:uiPriority w:val="0"/>
    <w:pPr>
      <w:widowControl/>
      <w:spacing w:before="100" w:beforeAutospacing="1" w:after="100" w:afterAutospacing="1"/>
      <w:jc w:val="left"/>
    </w:pPr>
    <w:rPr>
      <w:kern w:val="0"/>
      <w:sz w:val="18"/>
      <w:szCs w:val="20"/>
    </w:rPr>
  </w:style>
  <w:style w:type="paragraph" w:customStyle="1" w:styleId="30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02">
    <w:name w:val="xl134"/>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textAlignment w:val="center"/>
    </w:pPr>
    <w:rPr>
      <w:b/>
      <w:bCs/>
      <w:kern w:val="0"/>
      <w:sz w:val="20"/>
      <w:szCs w:val="20"/>
    </w:rPr>
  </w:style>
  <w:style w:type="paragraph" w:customStyle="1" w:styleId="3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
    <w:name w:val="Body Text(ch)"/>
    <w:basedOn w:val="1"/>
    <w:next w:val="2"/>
    <w:qFormat/>
    <w:uiPriority w:val="0"/>
    <w:pPr>
      <w:spacing w:line="500" w:lineRule="exact"/>
      <w:jc w:val="center"/>
    </w:pPr>
    <w:rPr>
      <w:szCs w:val="20"/>
    </w:rPr>
  </w:style>
  <w:style w:type="paragraph" w:customStyle="1" w:styleId="305">
    <w:name w:val="p0"/>
    <w:basedOn w:val="1"/>
    <w:qFormat/>
    <w:uiPriority w:val="0"/>
    <w:pPr>
      <w:widowControl/>
      <w:spacing w:line="520" w:lineRule="atLeast"/>
    </w:pPr>
    <w:rPr>
      <w:kern w:val="0"/>
      <w:sz w:val="28"/>
      <w:szCs w:val="28"/>
    </w:rPr>
  </w:style>
  <w:style w:type="paragraph" w:customStyle="1" w:styleId="30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font8"/>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08">
    <w:name w:val="Char1 Char Char Char"/>
    <w:basedOn w:val="1"/>
    <w:qFormat/>
    <w:uiPriority w:val="0"/>
    <w:rPr>
      <w:rFonts w:eastAsia="仿宋_GB2312"/>
      <w:sz w:val="28"/>
      <w:szCs w:val="20"/>
    </w:rPr>
  </w:style>
  <w:style w:type="paragraph" w:customStyle="1" w:styleId="309">
    <w:name w:val="Char"/>
    <w:basedOn w:val="1"/>
    <w:qFormat/>
    <w:uiPriority w:val="0"/>
    <w:pPr>
      <w:widowControl/>
      <w:spacing w:after="160" w:line="240" w:lineRule="exact"/>
      <w:jc w:val="left"/>
    </w:pPr>
    <w:rPr>
      <w:rFonts w:ascii="Verdana" w:hAnsi="Verdana" w:eastAsia="仿宋_GB2312" w:cs="Arial Unicode MS"/>
      <w:kern w:val="0"/>
      <w:sz w:val="24"/>
      <w:szCs w:val="20"/>
      <w:lang w:eastAsia="en-US"/>
    </w:rPr>
  </w:style>
  <w:style w:type="paragraph" w:customStyle="1" w:styleId="310">
    <w:name w:val="xl8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31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
    <w:name w:val="xl75"/>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313">
    <w:name w:val="xl140"/>
    <w:basedOn w:val="1"/>
    <w:qFormat/>
    <w:uiPriority w:val="0"/>
    <w:pPr>
      <w:widowControl/>
      <w:pBdr>
        <w:top w:val="single" w:color="auto" w:sz="4" w:space="0"/>
        <w:left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314">
    <w:name w:val="xl156"/>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31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6">
    <w:name w:val="xl68"/>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317">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318">
    <w:name w:val="列出段落3"/>
    <w:basedOn w:val="1"/>
    <w:qFormat/>
    <w:uiPriority w:val="0"/>
    <w:pPr>
      <w:ind w:firstLine="420" w:firstLineChars="200"/>
    </w:pPr>
    <w:rPr>
      <w:rFonts w:ascii="Calibri" w:hAnsi="Calibri"/>
      <w:szCs w:val="22"/>
    </w:rPr>
  </w:style>
  <w:style w:type="paragraph" w:customStyle="1" w:styleId="319">
    <w:name w:val="a-标题2"/>
    <w:basedOn w:val="1"/>
    <w:qFormat/>
    <w:uiPriority w:val="0"/>
    <w:pPr>
      <w:spacing w:line="440" w:lineRule="exact"/>
      <w:jc w:val="left"/>
    </w:pPr>
    <w:rPr>
      <w:rFonts w:ascii="楷体_GB2312" w:hAnsi="Arial Unicode MS" w:eastAsia="楷体_GB2312" w:cs="Arial Unicode MS"/>
      <w:b/>
      <w:sz w:val="30"/>
      <w:szCs w:val="20"/>
    </w:rPr>
  </w:style>
  <w:style w:type="paragraph" w:customStyle="1" w:styleId="320">
    <w:name w:val="xl11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1">
    <w:name w:val="xl42"/>
    <w:basedOn w:val="1"/>
    <w:qFormat/>
    <w:uiPriority w:val="0"/>
    <w:pPr>
      <w:widowControl/>
      <w:spacing w:before="100" w:beforeAutospacing="1" w:after="100" w:afterAutospacing="1"/>
      <w:jc w:val="center"/>
      <w:textAlignment w:val="center"/>
    </w:pPr>
    <w:rPr>
      <w:rFonts w:ascii="宋体" w:hAnsi="宋体"/>
      <w:kern w:val="0"/>
      <w:sz w:val="20"/>
      <w:szCs w:val="20"/>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3">
    <w:name w:val="二级-章"/>
    <w:qFormat/>
    <w:uiPriority w:val="0"/>
    <w:pPr>
      <w:tabs>
        <w:tab w:val="left" w:pos="1000"/>
      </w:tabs>
      <w:ind w:left="1000" w:hanging="360"/>
      <w:jc w:val="center"/>
      <w:outlineLvl w:val="1"/>
    </w:pPr>
    <w:rPr>
      <w:rFonts w:ascii="黑体" w:hAnsi="Times New Roman" w:eastAsia="黑体" w:cs="Times New Roman"/>
      <w:sz w:val="36"/>
      <w:szCs w:val="36"/>
      <w:lang w:val="en-US" w:eastAsia="zh-CN" w:bidi="ar-SA"/>
    </w:rPr>
  </w:style>
  <w:style w:type="paragraph" w:customStyle="1" w:styleId="3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25">
    <w:name w:val="正文文本 21"/>
    <w:basedOn w:val="1"/>
    <w:qFormat/>
    <w:uiPriority w:val="0"/>
    <w:pPr>
      <w:adjustRightInd w:val="0"/>
      <w:spacing w:line="300" w:lineRule="auto"/>
      <w:jc w:val="center"/>
    </w:pPr>
    <w:rPr>
      <w:rFonts w:hint="eastAsia" w:ascii="宋体" w:hAnsi="宋体"/>
      <w:sz w:val="24"/>
      <w:szCs w:val="20"/>
    </w:rPr>
  </w:style>
  <w:style w:type="paragraph" w:customStyle="1" w:styleId="326">
    <w:name w:val="xl74"/>
    <w:basedOn w:val="1"/>
    <w:qFormat/>
    <w:uiPriority w:val="0"/>
    <w:pPr>
      <w:widowControl/>
      <w:spacing w:before="100" w:beforeAutospacing="1" w:after="100" w:afterAutospacing="1"/>
      <w:jc w:val="left"/>
    </w:pPr>
    <w:rPr>
      <w:kern w:val="0"/>
      <w:sz w:val="24"/>
      <w:szCs w:val="20"/>
    </w:rPr>
  </w:style>
  <w:style w:type="paragraph" w:customStyle="1" w:styleId="327">
    <w:name w:val="页眉1"/>
    <w:basedOn w:val="1"/>
    <w:qFormat/>
    <w:uiPriority w:val="0"/>
    <w:pPr>
      <w:widowControl/>
      <w:pBdr>
        <w:bottom w:val="single" w:color="auto" w:sz="6" w:space="1"/>
      </w:pBdr>
      <w:tabs>
        <w:tab w:val="center" w:pos="4153"/>
        <w:tab w:val="right" w:pos="8306"/>
      </w:tabs>
      <w:snapToGrid w:val="0"/>
      <w:spacing w:beforeLines="50" w:afterLines="50"/>
      <w:jc w:val="center"/>
    </w:pPr>
    <w:rPr>
      <w:sz w:val="18"/>
      <w:szCs w:val="18"/>
    </w:rPr>
  </w:style>
  <w:style w:type="paragraph" w:customStyle="1" w:styleId="32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29">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33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1">
    <w:name w:val="font15"/>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32">
    <w:name w:val="Char Char Char Char Char Char Char"/>
    <w:basedOn w:val="1"/>
    <w:qFormat/>
    <w:uiPriority w:val="0"/>
    <w:rPr>
      <w:szCs w:val="20"/>
    </w:rPr>
  </w:style>
  <w:style w:type="paragraph" w:customStyle="1" w:styleId="333">
    <w:name w:val="font2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4">
    <w:name w:val="xl15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36">
    <w:name w:val="xl1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7">
    <w:name w:val="表文字左边"/>
    <w:basedOn w:val="1"/>
    <w:qFormat/>
    <w:uiPriority w:val="0"/>
    <w:pPr>
      <w:autoSpaceDE w:val="0"/>
      <w:autoSpaceDN w:val="0"/>
      <w:spacing w:line="320" w:lineRule="exact"/>
      <w:jc w:val="left"/>
      <w:textAlignment w:val="bottom"/>
    </w:pPr>
    <w:rPr>
      <w:rFonts w:ascii="宋体" w:hAnsi="宋体" w:cs="Arial Unicode MS"/>
      <w:sz w:val="28"/>
      <w:szCs w:val="20"/>
    </w:rPr>
  </w:style>
  <w:style w:type="paragraph" w:customStyle="1" w:styleId="338">
    <w:name w:val="No Spacing1"/>
    <w:qFormat/>
    <w:uiPriority w:val="0"/>
    <w:rPr>
      <w:rFonts w:ascii="Calibri" w:hAnsi="Calibri" w:eastAsia="宋体" w:cs="Times New Roman"/>
      <w:sz w:val="22"/>
      <w:szCs w:val="22"/>
      <w:lang w:val="en-US" w:eastAsia="en-US" w:bidi="ar-SA"/>
    </w:rPr>
  </w:style>
  <w:style w:type="paragraph" w:customStyle="1" w:styleId="33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40">
    <w:name w:val="font17"/>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41">
    <w:name w:val="标准标题2"/>
    <w:basedOn w:val="4"/>
    <w:qFormat/>
    <w:uiPriority w:val="0"/>
    <w:pPr>
      <w:adjustRightInd/>
      <w:spacing w:beforeLines="0" w:afterLines="0" w:line="360" w:lineRule="auto"/>
      <w:ind w:firstLine="0" w:firstLineChars="0"/>
      <w:jc w:val="both"/>
      <w:textAlignment w:val="auto"/>
    </w:pPr>
    <w:rPr>
      <w:rFonts w:eastAsia="仿宋_GB2312"/>
      <w:kern w:val="2"/>
      <w:sz w:val="28"/>
      <w:szCs w:val="32"/>
    </w:rPr>
  </w:style>
  <w:style w:type="paragraph" w:customStyle="1" w:styleId="342">
    <w:name w:val="xl47"/>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343">
    <w:name w:val="表中"/>
    <w:basedOn w:val="1"/>
    <w:qFormat/>
    <w:uiPriority w:val="0"/>
    <w:pPr>
      <w:adjustRightInd w:val="0"/>
      <w:spacing w:line="360" w:lineRule="atLeast"/>
      <w:jc w:val="center"/>
      <w:textAlignment w:val="baseline"/>
    </w:pPr>
    <w:rPr>
      <w:kern w:val="0"/>
      <w:szCs w:val="20"/>
    </w:rPr>
  </w:style>
  <w:style w:type="paragraph" w:customStyle="1" w:styleId="344">
    <w:name w:val="xl28"/>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5">
    <w:name w:val="xl77"/>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3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47">
    <w:name w:val="xl58"/>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348">
    <w:name w:val="xl7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49">
    <w:name w:val="正文段"/>
    <w:basedOn w:val="1"/>
    <w:qFormat/>
    <w:uiPriority w:val="0"/>
    <w:pPr>
      <w:widowControl/>
      <w:snapToGrid w:val="0"/>
      <w:spacing w:afterLines="50"/>
      <w:ind w:firstLine="200" w:firstLineChars="200"/>
    </w:pPr>
    <w:rPr>
      <w:kern w:val="0"/>
      <w:sz w:val="24"/>
      <w:szCs w:val="20"/>
    </w:rPr>
  </w:style>
  <w:style w:type="paragraph" w:customStyle="1" w:styleId="350">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1">
    <w:name w:val="Char1"/>
    <w:basedOn w:val="1"/>
    <w:qFormat/>
    <w:uiPriority w:val="0"/>
    <w:rPr>
      <w:rFonts w:ascii="Tahoma" w:hAnsi="Tahoma"/>
      <w:sz w:val="24"/>
      <w:szCs w:val="20"/>
    </w:rPr>
  </w:style>
  <w:style w:type="paragraph" w:customStyle="1" w:styleId="35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3">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54">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0"/>
    </w:rPr>
  </w:style>
  <w:style w:type="paragraph" w:customStyle="1" w:styleId="3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6">
    <w:name w:val="正文1"/>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customStyle="1" w:styleId="35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8">
    <w:name w:val="xl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9">
    <w:name w:val="xl43"/>
    <w:basedOn w:val="1"/>
    <w:qFormat/>
    <w:uiPriority w:val="0"/>
    <w:pPr>
      <w:widowControl/>
      <w:spacing w:before="100" w:beforeAutospacing="1" w:after="100" w:afterAutospacing="1"/>
      <w:jc w:val="right"/>
      <w:textAlignment w:val="center"/>
    </w:pPr>
    <w:rPr>
      <w:kern w:val="0"/>
      <w:sz w:val="20"/>
      <w:szCs w:val="20"/>
    </w:rPr>
  </w:style>
  <w:style w:type="paragraph" w:customStyle="1" w:styleId="360">
    <w:name w:val="默认段落字体 Para Char Char Char Char Char Char Char Char Char1 Char Char Char Char"/>
    <w:basedOn w:val="1"/>
    <w:qFormat/>
    <w:uiPriority w:val="0"/>
    <w:rPr>
      <w:rFonts w:ascii="Tahoma" w:hAnsi="Tahoma"/>
      <w:sz w:val="24"/>
      <w:szCs w:val="20"/>
    </w:rPr>
  </w:style>
  <w:style w:type="paragraph" w:customStyle="1" w:styleId="361">
    <w:name w:val="xl1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62">
    <w:name w:val="font6"/>
    <w:basedOn w:val="1"/>
    <w:qFormat/>
    <w:uiPriority w:val="0"/>
    <w:pPr>
      <w:widowControl/>
      <w:spacing w:before="100" w:beforeAutospacing="1" w:after="100" w:afterAutospacing="1"/>
      <w:jc w:val="left"/>
    </w:pPr>
    <w:rPr>
      <w:rFonts w:hint="eastAsia" w:ascii="黑体" w:hAnsi="宋体" w:eastAsia="黑体"/>
      <w:kern w:val="0"/>
      <w:sz w:val="36"/>
      <w:szCs w:val="20"/>
    </w:rPr>
  </w:style>
  <w:style w:type="paragraph" w:customStyle="1" w:styleId="3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标准标题3"/>
    <w:basedOn w:val="5"/>
    <w:qFormat/>
    <w:uiPriority w:val="0"/>
    <w:pPr>
      <w:numPr>
        <w:ilvl w:val="0"/>
        <w:numId w:val="9"/>
      </w:numPr>
      <w:spacing w:line="240" w:lineRule="auto"/>
      <w:ind w:left="0" w:leftChars="-258" w:firstLine="0"/>
    </w:pPr>
    <w:rPr>
      <w:rFonts w:eastAsia="仿宋_GB2312"/>
      <w:sz w:val="28"/>
    </w:rPr>
  </w:style>
  <w:style w:type="paragraph" w:customStyle="1" w:styleId="36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6">
    <w:name w:val="文档正文"/>
    <w:basedOn w:val="1"/>
    <w:qFormat/>
    <w:uiPriority w:val="0"/>
    <w:pPr>
      <w:adjustRightInd w:val="0"/>
      <w:spacing w:line="312" w:lineRule="atLeast"/>
      <w:ind w:firstLine="567"/>
    </w:pPr>
    <w:rPr>
      <w:rFonts w:ascii="Arial" w:eastAsia="长城仿宋"/>
      <w:kern w:val="0"/>
      <w:sz w:val="28"/>
      <w:szCs w:val="20"/>
    </w:rPr>
  </w:style>
  <w:style w:type="paragraph" w:customStyle="1" w:styleId="367">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9">
    <w:name w:val="xl13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0">
    <w:name w:val="font13"/>
    <w:basedOn w:val="1"/>
    <w:qFormat/>
    <w:uiPriority w:val="0"/>
    <w:pPr>
      <w:widowControl/>
      <w:spacing w:before="100" w:beforeAutospacing="1" w:after="100" w:afterAutospacing="1"/>
      <w:jc w:val="left"/>
    </w:pPr>
    <w:rPr>
      <w:kern w:val="0"/>
      <w:sz w:val="18"/>
      <w:szCs w:val="20"/>
    </w:rPr>
  </w:style>
  <w:style w:type="paragraph" w:customStyle="1" w:styleId="37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2">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4">
    <w:name w:val="列出段落11"/>
    <w:basedOn w:val="1"/>
    <w:qFormat/>
    <w:uiPriority w:val="0"/>
    <w:pPr>
      <w:widowControl/>
      <w:spacing w:beforeLines="50" w:afterLines="50"/>
      <w:ind w:firstLine="420" w:firstLineChars="200"/>
      <w:jc w:val="left"/>
    </w:pPr>
  </w:style>
  <w:style w:type="table" w:customStyle="1" w:styleId="375">
    <w:name w:val="中等深浅列表 1 - 强调文字颜色 51"/>
    <w:basedOn w:val="51"/>
    <w:qFormat/>
    <w:uiPriority w:val="0"/>
    <w:rPr>
      <w:color w:val="000000"/>
    </w:rPr>
    <w:tblPr>
      <w:tblBorders>
        <w:top w:val="single" w:color="4BACC6" w:sz="8" w:space="0"/>
        <w:bottom w:val="single" w:color="4BACC6" w:sz="8" w:space="0"/>
      </w:tblBorders>
    </w:tblPr>
    <w:tblStylePr w:type="firstRow">
      <w:rPr>
        <w:rFonts w:eastAsia="Wingdings" w:cs="Times New Roman"/>
      </w:rPr>
      <w:tcPr>
        <w:tcBorders>
          <w:top w:val="nil"/>
          <w:left w:val="nil"/>
          <w:bottom w:val="single" w:color="4BACC6" w:sz="8" w:space="0"/>
          <w:right w:val="nil"/>
          <w:insideH w:val="nil"/>
          <w:insideV w:val="nil"/>
          <w:tl2br w:val="nil"/>
          <w:tr2bl w:val="nil"/>
        </w:tcBorders>
      </w:tcPr>
    </w:tblStylePr>
    <w:tblStylePr w:type="lastRow">
      <w:rPr>
        <w:b/>
        <w:bCs/>
        <w:color w:val="1F497D"/>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cPr>
        <w:tcBorders>
          <w:top w:val="single" w:color="4BACC6" w:sz="8" w:space="0"/>
          <w:left w:val="nil"/>
          <w:bottom w:val="single" w:color="4BACC6" w:sz="8" w:space="0"/>
          <w:right w:val="nil"/>
          <w:insideH w:val="nil"/>
          <w:insideV w:val="nil"/>
          <w:tl2br w:val="nil"/>
          <w:tr2bl w:val="nil"/>
        </w:tcBorders>
      </w:tcPr>
    </w:tblStylePr>
    <w:tblStylePr w:type="band1Vert">
      <w:tcPr>
        <w:shd w:val="clear" w:color="auto" w:fill="D2EAF1"/>
      </w:tcPr>
    </w:tblStylePr>
    <w:tblStylePr w:type="band1Horz">
      <w:tcPr>
        <w:shd w:val="clear" w:color="auto" w:fill="D2EAF1"/>
      </w:tcPr>
    </w:tblStylePr>
  </w:style>
  <w:style w:type="table" w:customStyle="1" w:styleId="376">
    <w:name w:val="彩色底纹 - 强调文字颜色 51"/>
    <w:basedOn w:val="51"/>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cPr>
        <w:tcBorders>
          <w:top w:val="nil"/>
          <w:left w:val="nil"/>
          <w:bottom w:val="nil"/>
          <w:right w:val="nil"/>
          <w:insideH w:val="nil"/>
          <w:insideV w:val="nil"/>
          <w:tl2br w:val="nil"/>
          <w:tr2bl w:val="nil"/>
        </w:tcBorders>
        <w:shd w:val="clear" w:color="auto" w:fill="276A7C"/>
      </w:tcPr>
    </w:tblStylePr>
    <w:tblStylePr w:type="band1Vert">
      <w:tcPr>
        <w:shd w:val="clear" w:color="auto" w:fill="B6DDE8"/>
      </w:tcPr>
    </w:tblStylePr>
    <w:tblStylePr w:type="band1Horz">
      <w:tcPr>
        <w:shd w:val="clear" w:color="auto" w:fill="A5D5E2"/>
      </w:tcPr>
    </w:tblStylePr>
    <w:tblStylePr w:type="neCell">
      <w:rPr>
        <w:color w:val="000000"/>
      </w:rPr>
    </w:tblStylePr>
    <w:tblStylePr w:type="nwCell">
      <w:rPr>
        <w:color w:val="000000"/>
      </w:rPr>
    </w:tblStylePr>
  </w:style>
  <w:style w:type="table" w:customStyle="1" w:styleId="377">
    <w:name w:val="彩色网格 - 强调文字颜色 51"/>
    <w:basedOn w:val="51"/>
    <w:qFormat/>
    <w:uiPriority w:val="0"/>
    <w:rPr>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78">
    <w:name w:val="中等深浅网格 1 - 强调文字颜色 51"/>
    <w:basedOn w:val="51"/>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379">
    <w:name w:val="彩色列表 - 着色 11"/>
    <w:basedOn w:val="51"/>
    <w:qFormat/>
    <w:uiPriority w:val="0"/>
    <w:rPr>
      <w:rFonts w:ascii="Calibri" w:hAnsi="Calibri"/>
      <w:kern w:val="2"/>
      <w:sz w:val="21"/>
      <w:szCs w:val="22"/>
    </w:rPr>
    <w:tcPr>
      <w:shd w:val="clear" w:color="auto" w:fill="EEF5FB"/>
    </w:tcPr>
    <w:tblStylePr w:type="firstRow">
      <w:tcPr>
        <w:tcBorders>
          <w:top w:val="nil"/>
          <w:left w:val="nil"/>
          <w:bottom w:val="single" w:color="FFFFFF" w:sz="12" w:space="0"/>
          <w:right w:val="nil"/>
          <w:insideH w:val="nil"/>
          <w:insideV w:val="nil"/>
          <w:tl2br w:val="nil"/>
          <w:tr2bl w:val="nil"/>
        </w:tcBorders>
        <w:shd w:val="clear" w:color="auto" w:fill="D25F12"/>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380">
    <w:name w:val="Table Normal1"/>
    <w:semiHidden/>
    <w:qFormat/>
    <w:uiPriority w:val="0"/>
    <w:rPr>
      <w:rFonts w:eastAsia="Times New Roman"/>
    </w:rPr>
    <w:tblPr>
      <w:tblCellMar>
        <w:top w:w="0" w:type="dxa"/>
        <w:left w:w="108" w:type="dxa"/>
        <w:bottom w:w="0" w:type="dxa"/>
        <w:right w:w="108" w:type="dxa"/>
      </w:tblCellMar>
    </w:tblPr>
  </w:style>
  <w:style w:type="table" w:customStyle="1" w:styleId="381">
    <w:name w:val="Table Normal"/>
    <w:semiHidden/>
    <w:qFormat/>
    <w:uiPriority w:val="0"/>
    <w:rPr>
      <w:rFonts w:eastAsia="Times New Roman"/>
    </w:rPr>
    <w:tblPr>
      <w:tblCellMar>
        <w:top w:w="0" w:type="dxa"/>
        <w:left w:w="108" w:type="dxa"/>
        <w:bottom w:w="0" w:type="dxa"/>
        <w:right w:w="108" w:type="dxa"/>
      </w:tblCellMar>
    </w:tblPr>
  </w:style>
  <w:style w:type="paragraph" w:customStyle="1" w:styleId="382">
    <w:name w:val="flNote"/>
    <w:basedOn w:val="1"/>
    <w:qFormat/>
    <w:uiPriority w:val="0"/>
    <w:pPr>
      <w:spacing w:before="320" w:after="160" w:line="360" w:lineRule="auto"/>
      <w:jc w:val="center"/>
    </w:pPr>
    <w:rPr>
      <w:rFonts w:ascii="Arial" w:eastAsia="黑体"/>
      <w:sz w:val="30"/>
    </w:rPr>
  </w:style>
  <w:style w:type="character" w:customStyle="1" w:styleId="383">
    <w:name w:val="正文首行缩进 2 Char"/>
    <w:basedOn w:val="123"/>
    <w:link w:val="50"/>
    <w:qFormat/>
    <w:uiPriority w:val="0"/>
    <w:rPr>
      <w:rFonts w:eastAsia="仿宋_GB2312"/>
      <w:color w:val="000000"/>
      <w:kern w:val="2"/>
      <w:sz w:val="21"/>
      <w:szCs w:val="24"/>
      <w:lang w:bidi="ar-SA"/>
    </w:rPr>
  </w:style>
  <w:style w:type="paragraph" w:customStyle="1" w:styleId="384">
    <w:name w:val="standdate"/>
    <w:basedOn w:val="34"/>
    <w:semiHidden/>
    <w:qFormat/>
    <w:uiPriority w:val="0"/>
    <w:pPr>
      <w:tabs>
        <w:tab w:val="clear" w:pos="4153"/>
        <w:tab w:val="clear" w:pos="8306"/>
      </w:tabs>
      <w:snapToGrid/>
      <w:spacing w:line="340" w:lineRule="atLeast"/>
      <w:ind w:left="255" w:right="255"/>
      <w:jc w:val="center"/>
      <w:textAlignment w:val="center"/>
    </w:pPr>
    <w:rPr>
      <w:rFonts w:eastAsia="STZhongsong"/>
      <w:b/>
      <w:spacing w:val="-4"/>
      <w:sz w:val="32"/>
      <w:szCs w:val="24"/>
    </w:rPr>
  </w:style>
  <w:style w:type="paragraph" w:customStyle="1" w:styleId="385">
    <w:name w:val="flName"/>
    <w:basedOn w:val="382"/>
    <w:qFormat/>
    <w:uiPriority w:val="0"/>
    <w:rPr>
      <w:sz w:val="32"/>
    </w:rPr>
  </w:style>
  <w:style w:type="paragraph" w:customStyle="1" w:styleId="386">
    <w:name w:val="flType"/>
    <w:basedOn w:val="385"/>
    <w:qFormat/>
    <w:uiPriority w:val="0"/>
    <w:pPr>
      <w:spacing w:before="560" w:after="120"/>
    </w:pPr>
    <w:rPr>
      <w:sz w:val="28"/>
    </w:rPr>
  </w:style>
  <w:style w:type="character" w:customStyle="1" w:styleId="387">
    <w:name w:val="副标题 Char"/>
    <w:basedOn w:val="55"/>
    <w:link w:val="38"/>
    <w:qFormat/>
    <w:uiPriority w:val="0"/>
    <w:rPr>
      <w:rFonts w:ascii="Arial" w:hAnsi="Arial" w:eastAsia="黑体"/>
      <w:i/>
      <w:kern w:val="2"/>
      <w:sz w:val="21"/>
      <w:szCs w:val="24"/>
    </w:rPr>
  </w:style>
  <w:style w:type="paragraph" w:customStyle="1" w:styleId="388">
    <w:name w:val="正文文字1"/>
    <w:basedOn w:val="2"/>
    <w:semiHidden/>
    <w:qFormat/>
    <w:uiPriority w:val="0"/>
    <w:pPr>
      <w:spacing w:line="240" w:lineRule="auto"/>
      <w:ind w:left="72" w:leftChars="30" w:right="72" w:rightChars="30"/>
    </w:pPr>
    <w:rPr>
      <w:sz w:val="21"/>
      <w:szCs w:val="24"/>
    </w:rPr>
  </w:style>
  <w:style w:type="paragraph" w:customStyle="1" w:styleId="389">
    <w:name w:val="注"/>
    <w:basedOn w:val="1"/>
    <w:semiHidden/>
    <w:qFormat/>
    <w:uiPriority w:val="0"/>
    <w:pPr>
      <w:ind w:left="840" w:hanging="420"/>
    </w:pPr>
  </w:style>
  <w:style w:type="paragraph" w:customStyle="1" w:styleId="390">
    <w:name w:val="正文文字2"/>
    <w:basedOn w:val="2"/>
    <w:semiHidden/>
    <w:qFormat/>
    <w:uiPriority w:val="0"/>
    <w:pPr>
      <w:spacing w:after="60" w:line="240" w:lineRule="auto"/>
      <w:ind w:left="72" w:leftChars="30" w:right="72" w:rightChars="30"/>
      <w:jc w:val="center"/>
    </w:pPr>
    <w:rPr>
      <w:rFonts w:ascii="Arial" w:eastAsia="黑体"/>
      <w:sz w:val="21"/>
      <w:szCs w:val="24"/>
    </w:rPr>
  </w:style>
  <w:style w:type="paragraph" w:customStyle="1" w:styleId="391">
    <w:name w:val="空半行"/>
    <w:basedOn w:val="1"/>
    <w:semiHidden/>
    <w:qFormat/>
    <w:uiPriority w:val="0"/>
    <w:pPr>
      <w:spacing w:line="120" w:lineRule="exact"/>
    </w:pPr>
    <w:rPr>
      <w:rFonts w:eastAsia="仿宋_GB2312"/>
      <w:color w:val="FFFFFF"/>
      <w:sz w:val="30"/>
    </w:rPr>
  </w:style>
  <w:style w:type="paragraph" w:customStyle="1" w:styleId="392">
    <w:name w:val="2 Char Char Char Char Char Char Char"/>
    <w:basedOn w:val="1"/>
    <w:semiHidden/>
    <w:qFormat/>
    <w:uiPriority w:val="0"/>
    <w:rPr>
      <w:rFonts w:ascii="Tahoma" w:hAnsi="Tahoma"/>
    </w:rPr>
  </w:style>
  <w:style w:type="paragraph" w:customStyle="1" w:styleId="393">
    <w:name w:val="Char1 Char Char Char Char1"/>
    <w:basedOn w:val="1"/>
    <w:semiHidden/>
    <w:qFormat/>
    <w:uiPriority w:val="0"/>
    <w:rPr>
      <w:rFonts w:ascii="Tahoma" w:hAnsi="Tahoma"/>
    </w:rPr>
  </w:style>
  <w:style w:type="paragraph" w:customStyle="1" w:styleId="394">
    <w:name w:val="CM103"/>
    <w:basedOn w:val="1"/>
    <w:next w:val="1"/>
    <w:semiHidden/>
    <w:qFormat/>
    <w:uiPriority w:val="0"/>
    <w:pPr>
      <w:autoSpaceDE w:val="0"/>
      <w:autoSpaceDN w:val="0"/>
      <w:spacing w:after="180"/>
      <w:jc w:val="left"/>
    </w:pPr>
    <w:rPr>
      <w:rFonts w:ascii="PMingLiU" w:eastAsia="PMingLiU"/>
    </w:rPr>
  </w:style>
  <w:style w:type="paragraph" w:customStyle="1" w:styleId="395">
    <w:name w:val="Char Char"/>
    <w:basedOn w:val="1"/>
    <w:semiHidden/>
    <w:qFormat/>
    <w:uiPriority w:val="0"/>
    <w:pPr>
      <w:widowControl/>
      <w:spacing w:line="400" w:lineRule="exact"/>
      <w:jc w:val="center"/>
    </w:pPr>
    <w:rPr>
      <w:rFonts w:ascii="Verdana" w:hAnsi="Verdana"/>
      <w:lang w:eastAsia="en-US"/>
    </w:rPr>
  </w:style>
  <w:style w:type="paragraph" w:customStyle="1" w:styleId="396">
    <w:name w:val="Char Char1"/>
    <w:basedOn w:val="1"/>
    <w:semiHidden/>
    <w:qFormat/>
    <w:uiPriority w:val="0"/>
    <w:pPr>
      <w:spacing w:line="400" w:lineRule="exact"/>
      <w:jc w:val="center"/>
    </w:pPr>
    <w:rPr>
      <w:rFonts w:ascii="Verdana" w:hAnsi="Verdana"/>
      <w:lang w:eastAsia="en-US"/>
    </w:rPr>
  </w:style>
  <w:style w:type="paragraph" w:customStyle="1" w:styleId="3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9">
    <w:name w:val="List Paragraph"/>
    <w:basedOn w:val="1"/>
    <w:unhideWhenUsed/>
    <w:qFormat/>
    <w:uiPriority w:val="34"/>
    <w:pPr>
      <w:ind w:firstLine="420" w:firstLineChars="200"/>
    </w:pPr>
  </w:style>
  <w:style w:type="character" w:customStyle="1" w:styleId="40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401">
    <w:name w:val="CharAttribute0"/>
    <w:qFormat/>
    <w:uiPriority w:val="0"/>
    <w:rPr>
      <w:rFonts w:ascii="Times New Roman" w:eastAsia="宋体"/>
      <w:sz w:val="21"/>
    </w:rPr>
  </w:style>
  <w:style w:type="character" w:customStyle="1" w:styleId="402">
    <w:name w:val="font21"/>
    <w:basedOn w:val="55"/>
    <w:qFormat/>
    <w:uiPriority w:val="0"/>
    <w:rPr>
      <w:rFonts w:hint="eastAsia" w:ascii="宋体" w:hAnsi="宋体" w:eastAsia="宋体" w:cs="宋体"/>
      <w:color w:val="000000"/>
      <w:sz w:val="22"/>
      <w:szCs w:val="22"/>
      <w:u w:val="none"/>
    </w:rPr>
  </w:style>
  <w:style w:type="character" w:customStyle="1" w:styleId="403">
    <w:name w:val="font01"/>
    <w:basedOn w:val="55"/>
    <w:qFormat/>
    <w:uiPriority w:val="0"/>
    <w:rPr>
      <w:rFonts w:ascii="Tahoma" w:hAnsi="Tahoma" w:eastAsia="Tahoma" w:cs="Tahoma"/>
      <w:color w:val="000000"/>
      <w:sz w:val="22"/>
      <w:szCs w:val="22"/>
      <w:u w:val="none"/>
    </w:rPr>
  </w:style>
  <w:style w:type="paragraph" w:customStyle="1" w:styleId="404">
    <w:name w:val="WPSOffice手动目录 1"/>
    <w:qFormat/>
    <w:uiPriority w:val="0"/>
    <w:rPr>
      <w:rFonts w:asciiTheme="minorHAnsi" w:hAnsiTheme="minorHAnsi" w:eastAsiaTheme="minorEastAsia" w:cstheme="minorBidi"/>
      <w:lang w:val="en-US" w:eastAsia="zh-CN" w:bidi="ar-SA"/>
    </w:rPr>
  </w:style>
  <w:style w:type="character" w:customStyle="1" w:styleId="405">
    <w:name w:val="font51"/>
    <w:basedOn w:val="55"/>
    <w:qFormat/>
    <w:uiPriority w:val="0"/>
    <w:rPr>
      <w:rFonts w:hint="default" w:ascii="Tahoma" w:hAnsi="Tahoma" w:eastAsia="Tahoma" w:cs="Tahoma"/>
      <w:color w:val="000000"/>
      <w:sz w:val="22"/>
      <w:szCs w:val="22"/>
      <w:u w:val="none"/>
    </w:rPr>
  </w:style>
  <w:style w:type="character" w:customStyle="1" w:styleId="406">
    <w:name w:val="font61"/>
    <w:basedOn w:val="55"/>
    <w:qFormat/>
    <w:uiPriority w:val="0"/>
    <w:rPr>
      <w:rFonts w:hint="eastAsia" w:ascii="宋体" w:hAnsi="宋体" w:eastAsia="宋体" w:cs="宋体"/>
      <w:color w:val="000000"/>
      <w:sz w:val="22"/>
      <w:szCs w:val="22"/>
      <w:u w:val="none"/>
    </w:rPr>
  </w:style>
  <w:style w:type="paragraph" w:customStyle="1" w:styleId="407">
    <w:name w:val="首行缩进"/>
    <w:basedOn w:val="1"/>
    <w:qFormat/>
    <w:uiPriority w:val="0"/>
    <w:pPr>
      <w:autoSpaceDE w:val="0"/>
      <w:autoSpaceDN w:val="0"/>
      <w:spacing w:line="360" w:lineRule="auto"/>
      <w:ind w:firstLine="720" w:firstLineChars="20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AE2A0-D45C-468C-842B-08A86907A370}">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54</Pages>
  <Words>32398</Words>
  <Characters>6055</Characters>
  <Lines>50</Lines>
  <Paragraphs>76</Paragraphs>
  <TotalTime>3</TotalTime>
  <ScaleCrop>false</ScaleCrop>
  <LinksUpToDate>false</LinksUpToDate>
  <CharactersWithSpaces>38377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2018-12-03T07:15:00Z</dcterms:created>
  <dc:creator>Van Helsing</dc:creator>
  <cp:lastModifiedBy> </cp:lastModifiedBy>
  <cp:lastPrinted>2021-08-06T05:24:00Z</cp:lastPrinted>
  <dcterms:modified xsi:type="dcterms:W3CDTF">2021-10-28T16:13:16Z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99EAA0E6C96340C4847D4EFE10BCFF4D</vt:lpwstr>
  </property>
</Properties>
</file>