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ind w:firstLine="964"/>
        <w:jc w:val="center"/>
        <w:rPr>
          <w:b/>
          <w:bCs/>
          <w:sz w:val="48"/>
          <w:szCs w:val="48"/>
        </w:rPr>
      </w:pPr>
    </w:p>
    <w:p>
      <w:pPr>
        <w:ind w:firstLine="0" w:firstLineChars="0"/>
        <w:jc w:val="center"/>
        <w:rPr>
          <w:rFonts w:ascii="方正小标宋简体" w:hAnsi="方正小标宋简体" w:eastAsia="方正小标宋简体" w:cs="方正小标宋简体"/>
          <w:b/>
          <w:sz w:val="44"/>
          <w:szCs w:val="44"/>
        </w:rPr>
      </w:pPr>
    </w:p>
    <w:p>
      <w:pPr>
        <w:ind w:firstLine="0" w:firstLineChars="0"/>
        <w:jc w:val="center"/>
        <w:rPr>
          <w:rFonts w:ascii="方正小标宋简体" w:hAnsi="方正小标宋简体" w:eastAsia="方正小标宋简体" w:cs="方正小标宋简体"/>
          <w:b/>
          <w:sz w:val="44"/>
          <w:szCs w:val="44"/>
        </w:rPr>
      </w:pPr>
    </w:p>
    <w:p>
      <w:pPr>
        <w:ind w:firstLine="0" w:firstLineChars="0"/>
        <w:jc w:val="center"/>
        <w:rPr>
          <w:rFonts w:ascii="方正小标宋简体" w:hAnsi="方正小标宋简体" w:eastAsia="方正小标宋简体" w:cs="方正小标宋简体"/>
          <w:b/>
          <w:sz w:val="44"/>
          <w:szCs w:val="44"/>
        </w:rPr>
      </w:pPr>
    </w:p>
    <w:p>
      <w:pPr>
        <w:pStyle w:val="15"/>
        <w:ind w:left="0" w:leftChars="0" w:firstLine="0" w:firstLineChars="0"/>
        <w:jc w:val="center"/>
        <w:rPr>
          <w:rFonts w:hint="eastAsia" w:ascii="方正小标宋简体" w:hAnsi="方正小标宋简体" w:eastAsia="方正小标宋简体" w:cs="方正小标宋简体"/>
          <w:b w:val="0"/>
          <w:bCs/>
          <w:color w:val="auto"/>
          <w:kern w:val="2"/>
          <w:sz w:val="44"/>
          <w:szCs w:val="44"/>
          <w:lang w:val="en-US" w:eastAsia="zh-CN" w:bidi="ar-SA"/>
        </w:rPr>
      </w:pPr>
      <w:r>
        <w:rPr>
          <w:rFonts w:hint="eastAsia" w:eastAsia="宋体" w:cs="宋体"/>
          <w:b/>
          <w:bCs w:val="0"/>
          <w:kern w:val="2"/>
          <w:sz w:val="52"/>
          <w:szCs w:val="52"/>
          <w:lang w:val="en-US" w:eastAsia="zh-CN" w:bidi="ar-SA"/>
        </w:rPr>
        <w:t xml:space="preserve"> </w:t>
      </w:r>
      <w:r>
        <w:rPr>
          <w:rFonts w:hint="eastAsia" w:ascii="方正小标宋简体" w:hAnsi="方正小标宋简体" w:eastAsia="方正小标宋简体" w:cs="方正小标宋简体"/>
          <w:b/>
          <w:bCs/>
          <w:color w:val="auto"/>
          <w:w w:val="100"/>
          <w:sz w:val="44"/>
          <w:szCs w:val="44"/>
        </w:rPr>
        <w:t>新疆</w:t>
      </w:r>
      <w:r>
        <w:rPr>
          <w:rFonts w:hint="eastAsia" w:ascii="方正小标宋简体" w:hAnsi="方正小标宋简体" w:eastAsia="方正小标宋简体" w:cs="方正小标宋简体"/>
          <w:b/>
          <w:bCs/>
          <w:color w:val="auto"/>
          <w:w w:val="100"/>
          <w:sz w:val="44"/>
          <w:szCs w:val="44"/>
          <w:lang w:eastAsia="zh-CN"/>
        </w:rPr>
        <w:t>维吾尔</w:t>
      </w:r>
      <w:r>
        <w:rPr>
          <w:rFonts w:hint="eastAsia" w:ascii="方正小标宋简体" w:hAnsi="方正小标宋简体" w:eastAsia="方正小标宋简体" w:cs="方正小标宋简体"/>
          <w:b/>
          <w:bCs/>
          <w:color w:val="auto"/>
          <w:w w:val="100"/>
          <w:sz w:val="44"/>
          <w:szCs w:val="44"/>
        </w:rPr>
        <w:t>自治区公共机构节能管理系统</w:t>
      </w:r>
      <w:r>
        <w:rPr>
          <w:rFonts w:hint="eastAsia" w:ascii="方正小标宋简体" w:hAnsi="方正小标宋简体" w:eastAsia="方正小标宋简体" w:cs="方正小标宋简体"/>
          <w:b/>
          <w:bCs/>
          <w:color w:val="auto"/>
          <w:w w:val="100"/>
          <w:sz w:val="44"/>
          <w:szCs w:val="44"/>
          <w:lang w:eastAsia="zh-CN"/>
        </w:rPr>
        <w:t>（二期）建设</w:t>
      </w:r>
      <w:r>
        <w:rPr>
          <w:rFonts w:hint="eastAsia" w:ascii="方正小标宋简体" w:hAnsi="方正小标宋简体" w:eastAsia="方正小标宋简体" w:cs="方正小标宋简体"/>
          <w:b/>
          <w:bCs/>
          <w:color w:val="auto"/>
          <w:w w:val="100"/>
          <w:sz w:val="44"/>
          <w:szCs w:val="44"/>
        </w:rPr>
        <w:t>项目</w:t>
      </w:r>
    </w:p>
    <w:p>
      <w:pPr>
        <w:ind w:firstLine="0" w:firstLineChars="0"/>
        <w:jc w:val="center"/>
        <w:rPr>
          <w:rFonts w:hint="eastAsia" w:ascii="宋体" w:hAnsi="宋体" w:eastAsia="宋体" w:cs="宋体"/>
          <w:b/>
          <w:bCs w:val="0"/>
          <w:sz w:val="52"/>
          <w:szCs w:val="52"/>
        </w:rPr>
      </w:pPr>
    </w:p>
    <w:p>
      <w:pPr>
        <w:ind w:firstLine="880"/>
        <w:jc w:val="center"/>
        <w:rPr>
          <w:rFonts w:ascii="方正小标宋简体" w:hAnsi="方正小标宋简体" w:eastAsia="方正小标宋简体" w:cs="方正小标宋简体"/>
          <w:sz w:val="44"/>
          <w:szCs w:val="44"/>
        </w:rPr>
      </w:pPr>
    </w:p>
    <w:p>
      <w:pPr>
        <w:ind w:firstLine="880"/>
        <w:jc w:val="center"/>
        <w:rPr>
          <w:rFonts w:ascii="方正小标宋简体" w:hAnsi="方正小标宋简体" w:eastAsia="方正小标宋简体" w:cs="方正小标宋简体"/>
          <w:sz w:val="44"/>
          <w:szCs w:val="44"/>
        </w:rPr>
      </w:pPr>
    </w:p>
    <w:p>
      <w:pPr>
        <w:ind w:firstLine="0" w:firstLineChars="0"/>
        <w:jc w:val="center"/>
        <w:rPr>
          <w:rFonts w:hint="eastAsia" w:ascii="宋体" w:hAnsi="宋体" w:eastAsia="宋体" w:cs="宋体"/>
          <w:b/>
          <w:sz w:val="52"/>
          <w:szCs w:val="52"/>
        </w:rPr>
      </w:pPr>
    </w:p>
    <w:p>
      <w:pPr>
        <w:ind w:firstLine="0" w:firstLineChars="0"/>
        <w:jc w:val="both"/>
        <w:rPr>
          <w:rFonts w:hint="eastAsia" w:ascii="宋体" w:hAnsi="宋体" w:eastAsia="宋体" w:cs="宋体"/>
          <w:b/>
          <w:sz w:val="52"/>
          <w:szCs w:val="52"/>
        </w:rPr>
      </w:pPr>
      <w:r>
        <w:rPr>
          <w:rFonts w:hint="eastAsia" w:eastAsia="宋体" w:cs="宋体"/>
          <w:b/>
          <w:sz w:val="52"/>
          <w:szCs w:val="52"/>
          <w:lang w:val="en-US" w:eastAsia="zh-CN"/>
        </w:rPr>
        <w:t xml:space="preserve">        </w:t>
      </w:r>
      <w:r>
        <w:rPr>
          <w:rFonts w:hint="eastAsia" w:eastAsia="宋体" w:cs="宋体"/>
          <w:b/>
          <w:sz w:val="52"/>
          <w:szCs w:val="52"/>
          <w:lang w:eastAsia="zh-CN"/>
        </w:rPr>
        <w:t>公开招标</w:t>
      </w:r>
      <w:r>
        <w:rPr>
          <w:rFonts w:hint="eastAsia" w:ascii="宋体" w:hAnsi="宋体" w:eastAsia="宋体" w:cs="宋体"/>
          <w:b/>
          <w:sz w:val="52"/>
          <w:szCs w:val="52"/>
        </w:rPr>
        <w:t>文件</w:t>
      </w:r>
    </w:p>
    <w:p>
      <w:pPr>
        <w:adjustRightInd w:val="0"/>
        <w:snapToGrid w:val="0"/>
        <w:spacing w:line="360" w:lineRule="auto"/>
        <w:ind w:firstLine="643"/>
        <w:jc w:val="center"/>
        <w:rPr>
          <w:b/>
        </w:rPr>
      </w:pPr>
    </w:p>
    <w:p>
      <w:pPr>
        <w:pStyle w:val="35"/>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pStyle w:val="35"/>
        <w:jc w:val="both"/>
        <w:rPr>
          <w:rFonts w:hint="eastAsia" w:ascii="仿宋_GB2312" w:hAnsi="仿宋_GB2312" w:eastAsia="仿宋_GB2312" w:cs="仿宋_GB2312"/>
          <w:sz w:val="32"/>
          <w:szCs w:val="32"/>
          <w:lang w:val="en-US" w:eastAsia="zh-CN"/>
        </w:rPr>
      </w:pPr>
    </w:p>
    <w:p>
      <w:pPr>
        <w:pStyle w:val="35"/>
        <w:jc w:val="both"/>
        <w:rPr>
          <w:rFonts w:hint="eastAsia" w:ascii="仿宋_GB2312" w:hAnsi="仿宋_GB2312" w:eastAsia="仿宋_GB2312" w:cs="仿宋_GB2312"/>
          <w:sz w:val="32"/>
          <w:szCs w:val="32"/>
          <w:lang w:val="en-US" w:eastAsia="zh-CN"/>
        </w:rPr>
      </w:pPr>
    </w:p>
    <w:p>
      <w:pPr>
        <w:pStyle w:val="35"/>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rPr>
        <w:t>招标编号：</w:t>
      </w:r>
      <w:r>
        <w:rPr>
          <w:rFonts w:hint="eastAsia" w:ascii="仿宋_GB2312" w:hAnsi="仿宋_GB2312" w:eastAsia="仿宋_GB2312" w:cs="仿宋_GB2312"/>
          <w:b/>
          <w:bCs/>
          <w:sz w:val="32"/>
          <w:szCs w:val="32"/>
          <w:lang w:val="en-US" w:eastAsia="zh-CN"/>
        </w:rPr>
        <w:t>XJCY-2021-FW-004</w:t>
      </w:r>
    </w:p>
    <w:p>
      <w:pPr>
        <w:adjustRightInd w:val="0"/>
        <w:snapToGrid w:val="0"/>
        <w:spacing w:line="360" w:lineRule="auto"/>
        <w:ind w:firstLine="560"/>
        <w:rPr>
          <w:sz w:val="28"/>
        </w:rPr>
      </w:pPr>
    </w:p>
    <w:p>
      <w:pPr>
        <w:ind w:firstLine="560"/>
        <w:rPr>
          <w:sz w:val="28"/>
          <w:szCs w:val="28"/>
        </w:rPr>
      </w:pPr>
    </w:p>
    <w:p>
      <w:pPr>
        <w:ind w:firstLine="560"/>
        <w:rPr>
          <w:sz w:val="28"/>
          <w:szCs w:val="28"/>
        </w:rPr>
      </w:pPr>
    </w:p>
    <w:p>
      <w:pPr>
        <w:adjustRightInd w:val="0"/>
        <w:snapToGrid w:val="0"/>
        <w:spacing w:line="360" w:lineRule="auto"/>
        <w:ind w:firstLine="0" w:firstLineChars="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b/>
          <w:sz w:val="32"/>
          <w:szCs w:val="32"/>
        </w:rPr>
        <w:t>招标人：新疆维吾尔自治区机关事务管理局</w:t>
      </w:r>
    </w:p>
    <w:p>
      <w:pPr>
        <w:adjustRightInd w:val="0"/>
        <w:snapToGrid w:val="0"/>
        <w:spacing w:line="360" w:lineRule="auto"/>
        <w:ind w:firstLine="602"/>
        <w:jc w:val="both"/>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lang w:val="en-US" w:eastAsia="zh-CN"/>
        </w:rPr>
        <w:t xml:space="preserve"> 招标代理：新疆崇业招标代理有限公司</w:t>
      </w:r>
    </w:p>
    <w:p>
      <w:pPr>
        <w:adjustRightInd w:val="0"/>
        <w:snapToGrid w:val="0"/>
        <w:spacing w:line="360" w:lineRule="auto"/>
        <w:ind w:firstLine="602"/>
        <w:rPr>
          <w:rFonts w:hint="eastAsia" w:ascii="仿宋_GB2312" w:hAnsi="仿宋_GB2312" w:eastAsia="仿宋_GB2312" w:cs="仿宋_GB2312"/>
          <w:b/>
          <w:sz w:val="32"/>
          <w:szCs w:val="32"/>
        </w:rPr>
      </w:pPr>
    </w:p>
    <w:p>
      <w:pPr>
        <w:ind w:firstLine="0" w:firstLineChars="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二〇二一年</w:t>
      </w:r>
      <w:r>
        <w:rPr>
          <w:rFonts w:hint="eastAsia" w:ascii="仿宋_GB2312" w:hAnsi="仿宋_GB2312" w:eastAsia="仿宋_GB2312" w:cs="仿宋_GB2312"/>
          <w:sz w:val="32"/>
          <w:szCs w:val="32"/>
          <w:lang w:val="en-US" w:eastAsia="zh-CN"/>
        </w:rPr>
        <w:t>十</w:t>
      </w:r>
      <w:r>
        <w:rPr>
          <w:rFonts w:hint="eastAsia" w:ascii="仿宋_GB2312" w:hAnsi="仿宋_GB2312" w:eastAsia="仿宋_GB2312" w:cs="仿宋_GB2312"/>
          <w:sz w:val="32"/>
          <w:szCs w:val="32"/>
        </w:rPr>
        <w:t>月</w:t>
      </w:r>
    </w:p>
    <w:p>
      <w:pPr>
        <w:ind w:firstLine="0" w:firstLineChars="0"/>
        <w:jc w:val="center"/>
        <w:rPr>
          <w:rFonts w:hint="eastAsia" w:ascii="仿宋_GB2312" w:hAnsi="仿宋_GB2312" w:eastAsia="仿宋_GB2312" w:cs="仿宋_GB2312"/>
          <w:sz w:val="32"/>
          <w:szCs w:val="32"/>
          <w:lang w:val="en-US" w:eastAsia="zh-CN"/>
        </w:rPr>
      </w:pPr>
    </w:p>
    <w:p>
      <w:pPr>
        <w:spacing w:before="0" w:after="0" w:line="240" w:lineRule="auto"/>
        <w:ind w:left="0" w:leftChars="0" w:right="0" w:firstLine="0" w:firstLineChars="0"/>
        <w:jc w:val="center"/>
      </w:pPr>
      <w:bookmarkStart w:id="0" w:name="_Toc11093_WPSOffice_Type2"/>
      <w:r>
        <w:rPr>
          <w:rFonts w:ascii="宋体" w:hAnsi="宋体" w:eastAsia="宋体"/>
          <w:sz w:val="44"/>
          <w:szCs w:val="44"/>
        </w:rPr>
        <w:t>目</w:t>
      </w:r>
      <w:r>
        <w:rPr>
          <w:rFonts w:hint="eastAsia" w:eastAsia="宋体"/>
          <w:sz w:val="44"/>
          <w:szCs w:val="44"/>
          <w:lang w:val="en-US" w:eastAsia="zh-CN"/>
        </w:rPr>
        <w:t xml:space="preserve"> </w:t>
      </w:r>
      <w:r>
        <w:rPr>
          <w:rFonts w:ascii="宋体" w:hAnsi="宋体" w:eastAsia="宋体"/>
          <w:sz w:val="44"/>
          <w:szCs w:val="44"/>
        </w:rPr>
        <w:t>录</w:t>
      </w:r>
    </w:p>
    <w:p>
      <w:pPr>
        <w:pStyle w:val="29"/>
        <w:numPr>
          <w:ilvl w:val="0"/>
          <w:numId w:val="3"/>
        </w:num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招标公告.................................7</w:t>
      </w:r>
    </w:p>
    <w:p>
      <w:pPr>
        <w:numPr>
          <w:numId w:val="0"/>
        </w:num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一.项目基本情况......................................7</w:t>
      </w:r>
    </w:p>
    <w:p>
      <w:pPr>
        <w:pStyle w:val="29"/>
        <w:numPr>
          <w:numId w:val="0"/>
        </w:num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二.申请人的资格要求..................................8</w:t>
      </w:r>
    </w:p>
    <w:p>
      <w:pPr>
        <w:ind w:left="0" w:leftChars="0" w:firstLine="0" w:firstLine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三.获取招标文件......................................9</w:t>
      </w:r>
    </w:p>
    <w:p>
      <w:pPr>
        <w:pStyle w:val="29"/>
        <w:ind w:left="0" w:leftChars="0" w:firstLine="0" w:firstLine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四.提交投标文件截止时间，开标时间和地点..............9</w:t>
      </w:r>
    </w:p>
    <w:p>
      <w:pPr>
        <w:ind w:left="0" w:leftChars="0" w:firstLine="0" w:firstLine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五．公告期限.........................................9</w:t>
      </w:r>
    </w:p>
    <w:p>
      <w:pPr>
        <w:pStyle w:val="29"/>
        <w:ind w:left="0" w:leftChars="0" w:firstLine="0" w:firstLine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六．其他补充事宜.....................................10</w:t>
      </w:r>
    </w:p>
    <w:p>
      <w:pPr>
        <w:ind w:left="0" w:leftChars="0" w:firstLine="0" w:firstLine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七.对本次采购提出询问，请按以下方式联系..............11</w:t>
      </w:r>
    </w:p>
    <w:p>
      <w:pPr>
        <w:numPr>
          <w:numId w:val="0"/>
        </w:numPr>
        <w:ind w:left="0" w:hangingChars="13724" w:firstLine="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第二章  投标须知.................................12</w:t>
      </w:r>
    </w:p>
    <w:p>
      <w:pPr>
        <w:pStyle w:val="2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一．投标须知前附表...............................12</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二．投标须知正文.................................20</w:t>
      </w:r>
    </w:p>
    <w:p>
      <w:pPr>
        <w:pStyle w:val="2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（一）总则.......................................20</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（二）招标文件...................................26</w:t>
      </w:r>
    </w:p>
    <w:p>
      <w:pPr>
        <w:pStyle w:val="2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（三）投标文件...................................28</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（四）投标文件的递交.............................33</w:t>
      </w:r>
    </w:p>
    <w:p>
      <w:pPr>
        <w:pStyle w:val="2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（五）开标和评标.................................35</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（六）中标结果信息公布与授予合同.................50</w:t>
      </w:r>
    </w:p>
    <w:p>
      <w:pPr>
        <w:pStyle w:val="2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（七）其他规定...................................54</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第三章  评标标准.................................56</w:t>
      </w:r>
    </w:p>
    <w:p>
      <w:pPr>
        <w:pStyle w:val="29"/>
        <w:ind w:left="0" w:leftChars="0" w:firstLine="0" w:firstLine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一．总则.............................................56</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1.评标委员会.....................................56</w:t>
      </w:r>
    </w:p>
    <w:p>
      <w:pPr>
        <w:pStyle w:val="2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2.评标方法.......................................57</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3.评标原则和评标纪律.............................57</w:t>
      </w:r>
    </w:p>
    <w:p>
      <w:pPr>
        <w:pStyle w:val="29"/>
        <w:ind w:left="0" w:leftChars="0" w:firstLine="0" w:firstLine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二．评标程序.........................................59</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4.投标文件的初步评标.............................59</w:t>
      </w:r>
    </w:p>
    <w:p>
      <w:pPr>
        <w:pStyle w:val="2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5.澄清有关问题...................................62</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6.详细评标.......................................64</w:t>
      </w:r>
    </w:p>
    <w:p>
      <w:pPr>
        <w:pStyle w:val="2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7.推荐中标候选人名单.............................67</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第四章  政府采购合同范本.........................69</w:t>
      </w:r>
    </w:p>
    <w:p>
      <w:pPr>
        <w:pStyle w:val="2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1.定义...........................................69</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2.合同标的.......................................70</w:t>
      </w:r>
    </w:p>
    <w:p>
      <w:pPr>
        <w:pStyle w:val="2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3.供货范围.......................................70</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4.合同价格.......................................71</w:t>
      </w:r>
    </w:p>
    <w:p>
      <w:pPr>
        <w:pStyle w:val="2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5.付款方式.......................................71</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6.实施周期.......................................71</w:t>
      </w:r>
    </w:p>
    <w:p>
      <w:pPr>
        <w:pStyle w:val="2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7.交货地点.......................................72</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8.专利权.........................................72</w:t>
      </w:r>
    </w:p>
    <w:p>
      <w:pPr>
        <w:pStyle w:val="2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9.技术资料的交付.................................72</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10.维护与索赔....................................72</w:t>
      </w:r>
    </w:p>
    <w:p>
      <w:pPr>
        <w:pStyle w:val="2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11.安装调试......................................73</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12.培训..........................................73</w:t>
      </w:r>
    </w:p>
    <w:p>
      <w:pPr>
        <w:pStyle w:val="2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13.检验..........................................73</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14.违约责任......................................74</w:t>
      </w:r>
    </w:p>
    <w:p>
      <w:pPr>
        <w:pStyle w:val="2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15.合同的变更，修改，中止和终止...................72</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16.不可抗力.......................................73</w:t>
      </w:r>
    </w:p>
    <w:p>
      <w:pPr>
        <w:pStyle w:val="2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17.合同争议的解决.................................74</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18.其它...........................................74</w:t>
      </w:r>
    </w:p>
    <w:p>
      <w:pPr>
        <w:pStyle w:val="2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第五章  采购需求..................................78</w:t>
      </w:r>
    </w:p>
    <w:p>
      <w:pPr>
        <w:ind w:left="0" w:leftChars="0" w:firstLine="0" w:firstLineChars="0"/>
        <w:rPr>
          <w:rFonts w:hint="eastAsia"/>
          <w:sz w:val="28"/>
          <w:szCs w:val="28"/>
          <w:lang w:val="en-US" w:eastAsia="zh-CN"/>
        </w:rPr>
      </w:pPr>
      <w:r>
        <w:rPr>
          <w:rFonts w:hint="eastAsia"/>
          <w:sz w:val="28"/>
          <w:szCs w:val="28"/>
          <w:lang w:val="en-US" w:eastAsia="zh-CN"/>
        </w:rPr>
        <w:t xml:space="preserve">    一．项目名称......................................78</w:t>
      </w:r>
    </w:p>
    <w:p>
      <w:pPr>
        <w:pStyle w:val="29"/>
        <w:ind w:left="0" w:leftChars="0" w:firstLine="0" w:firstLine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二．建设目标......................................78</w:t>
      </w:r>
    </w:p>
    <w:p>
      <w:pPr>
        <w:pStyle w:val="29"/>
        <w:ind w:left="0" w:leftChars="0" w:firstLine="0" w:firstLine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三．建设内容......................................78</w:t>
      </w:r>
    </w:p>
    <w:p>
      <w:pPr>
        <w:ind w:left="0" w:leftChars="0" w:firstLine="0" w:firstLine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四．项目建设周期..................................90</w:t>
      </w:r>
    </w:p>
    <w:p>
      <w:pPr>
        <w:pStyle w:val="29"/>
        <w:numPr>
          <w:numId w:val="0"/>
        </w:numPr>
        <w:ind w:left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五. 总体性能要求..................................90</w:t>
      </w:r>
    </w:p>
    <w:p>
      <w:pPr>
        <w:pStyle w:val="29"/>
        <w:numPr>
          <w:ilvl w:val="0"/>
          <w:numId w:val="4"/>
        </w:num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项目需遵循的有关标准和规范....................91</w:t>
      </w:r>
    </w:p>
    <w:p>
      <w:pPr>
        <w:pStyle w:val="29"/>
        <w:numPr>
          <w:ilvl w:val="0"/>
          <w:numId w:val="4"/>
        </w:num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安全要求......................................95</w:t>
      </w:r>
    </w:p>
    <w:p>
      <w:pPr>
        <w:numPr>
          <w:numId w:val="0"/>
        </w:numPr>
        <w:ind w:left="0" w:hangingChars="13724" w:firstLine="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八. 安装、调试、售后服务及技术支持................96</w:t>
      </w:r>
      <w:bookmarkEnd w:id="0"/>
    </w:p>
    <w:p>
      <w:pPr>
        <w:pStyle w:val="38"/>
        <w:tabs>
          <w:tab w:val="right" w:leader="dot" w:pos="8306"/>
        </w:tabs>
      </w:pPr>
    </w:p>
    <w:p>
      <w:pPr>
        <w:pStyle w:val="38"/>
        <w:tabs>
          <w:tab w:val="right" w:leader="dot" w:pos="8306"/>
        </w:tabs>
      </w:pPr>
    </w:p>
    <w:p>
      <w:pPr>
        <w:pStyle w:val="29"/>
        <w:numPr>
          <w:ilvl w:val="0"/>
          <w:numId w:val="5"/>
        </w:num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投标文件格式..............................98</w:t>
      </w:r>
    </w:p>
    <w:p>
      <w:pPr>
        <w:numPr>
          <w:numId w:val="0"/>
        </w:num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一．投标函.........................................100</w:t>
      </w:r>
    </w:p>
    <w:p>
      <w:pPr>
        <w:pStyle w:val="29"/>
        <w:numPr>
          <w:numId w:val="0"/>
        </w:numPr>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sz w:val="28"/>
          <w:szCs w:val="28"/>
          <w:lang w:val="en-US" w:eastAsia="zh-CN"/>
        </w:rPr>
        <w:t xml:space="preserve">   二．</w:t>
      </w:r>
      <w:r>
        <w:rPr>
          <w:rFonts w:hint="eastAsia" w:ascii="仿宋_GB2312" w:hAnsi="仿宋_GB2312" w:eastAsia="仿宋_GB2312" w:cs="仿宋_GB2312"/>
          <w:b w:val="0"/>
          <w:bCs/>
          <w:sz w:val="28"/>
          <w:szCs w:val="28"/>
        </w:rPr>
        <w:t>法定人代表身份证明及法定代表人授权委托书</w:t>
      </w:r>
      <w:r>
        <w:rPr>
          <w:rFonts w:hint="eastAsia" w:ascii="仿宋_GB2312" w:hAnsi="仿宋_GB2312" w:eastAsia="仿宋_GB2312" w:cs="仿宋_GB2312"/>
          <w:b w:val="0"/>
          <w:bCs/>
          <w:sz w:val="28"/>
          <w:szCs w:val="28"/>
          <w:lang w:val="en-US" w:eastAsia="zh-CN"/>
        </w:rPr>
        <w:t>.......101</w:t>
      </w:r>
    </w:p>
    <w:p>
      <w:pPr>
        <w:numPr>
          <w:numId w:val="0"/>
        </w:numPr>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 xml:space="preserve">   三．</w:t>
      </w:r>
      <w:r>
        <w:rPr>
          <w:rFonts w:hint="eastAsia" w:ascii="仿宋_GB2312" w:hAnsi="仿宋_GB2312" w:eastAsia="仿宋_GB2312" w:cs="仿宋_GB2312"/>
          <w:b w:val="0"/>
          <w:bCs/>
          <w:sz w:val="28"/>
          <w:szCs w:val="28"/>
        </w:rPr>
        <w:t>开标一览表</w:t>
      </w:r>
      <w:r>
        <w:rPr>
          <w:rFonts w:hint="eastAsia" w:ascii="仿宋_GB2312" w:hAnsi="仿宋_GB2312" w:eastAsia="仿宋_GB2312" w:cs="仿宋_GB2312"/>
          <w:b w:val="0"/>
          <w:bCs/>
          <w:sz w:val="28"/>
          <w:szCs w:val="28"/>
          <w:lang w:val="en-US" w:eastAsia="zh-CN"/>
        </w:rPr>
        <w:t>.....................................103</w:t>
      </w:r>
    </w:p>
    <w:p>
      <w:pPr>
        <w:pStyle w:val="29"/>
        <w:numPr>
          <w:numId w:val="0"/>
        </w:numPr>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 xml:space="preserve">   四．</w:t>
      </w:r>
      <w:r>
        <w:rPr>
          <w:rFonts w:hint="eastAsia" w:ascii="仿宋_GB2312" w:hAnsi="仿宋_GB2312" w:eastAsia="仿宋_GB2312" w:cs="仿宋_GB2312"/>
          <w:b w:val="0"/>
          <w:bCs/>
          <w:color w:val="000000"/>
          <w:sz w:val="28"/>
          <w:szCs w:val="28"/>
          <w:lang w:eastAsia="zh-CN"/>
        </w:rPr>
        <w:t>招标</w:t>
      </w:r>
      <w:r>
        <w:rPr>
          <w:rFonts w:hint="eastAsia" w:ascii="仿宋_GB2312" w:hAnsi="仿宋_GB2312" w:eastAsia="仿宋_GB2312" w:cs="仿宋_GB2312"/>
          <w:b w:val="0"/>
          <w:bCs/>
          <w:color w:val="000000"/>
          <w:sz w:val="28"/>
          <w:szCs w:val="28"/>
        </w:rPr>
        <w:t>保证金提交证明</w:t>
      </w:r>
      <w:r>
        <w:rPr>
          <w:rFonts w:hint="eastAsia" w:ascii="仿宋_GB2312" w:hAnsi="仿宋_GB2312" w:eastAsia="仿宋_GB2312" w:cs="仿宋_GB2312"/>
          <w:b w:val="0"/>
          <w:bCs/>
          <w:sz w:val="28"/>
          <w:szCs w:val="28"/>
          <w:lang w:val="en-US" w:eastAsia="zh-CN"/>
        </w:rPr>
        <w:t>.............................104</w:t>
      </w:r>
    </w:p>
    <w:p>
      <w:pPr>
        <w:numPr>
          <w:numId w:val="0"/>
        </w:numPr>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 xml:space="preserve">   五．</w:t>
      </w:r>
      <w:r>
        <w:rPr>
          <w:rFonts w:hint="eastAsia" w:ascii="仿宋_GB2312" w:hAnsi="仿宋_GB2312" w:eastAsia="仿宋_GB2312" w:cs="仿宋_GB2312"/>
          <w:b w:val="0"/>
          <w:bCs/>
          <w:sz w:val="28"/>
          <w:szCs w:val="28"/>
        </w:rPr>
        <w:t>投标供应商资格证明文件</w:t>
      </w:r>
      <w:r>
        <w:rPr>
          <w:rFonts w:hint="eastAsia" w:ascii="仿宋_GB2312" w:hAnsi="仿宋_GB2312" w:eastAsia="仿宋_GB2312" w:cs="仿宋_GB2312"/>
          <w:b w:val="0"/>
          <w:bCs/>
          <w:sz w:val="28"/>
          <w:szCs w:val="28"/>
          <w:lang w:val="en-US" w:eastAsia="zh-CN"/>
        </w:rPr>
        <w:t>.........................105</w:t>
      </w:r>
    </w:p>
    <w:p>
      <w:pPr>
        <w:pStyle w:val="29"/>
        <w:numPr>
          <w:numId w:val="0"/>
        </w:numPr>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 xml:space="preserve">   六．</w:t>
      </w:r>
      <w:r>
        <w:rPr>
          <w:rFonts w:hint="eastAsia" w:ascii="仿宋_GB2312" w:hAnsi="仿宋_GB2312" w:eastAsia="仿宋_GB2312" w:cs="仿宋_GB2312"/>
          <w:b w:val="0"/>
          <w:bCs/>
          <w:sz w:val="28"/>
          <w:szCs w:val="28"/>
        </w:rPr>
        <w:t>项目整体服务方案</w:t>
      </w:r>
      <w:r>
        <w:rPr>
          <w:rFonts w:hint="eastAsia" w:ascii="仿宋_GB2312" w:hAnsi="仿宋_GB2312" w:eastAsia="仿宋_GB2312" w:cs="仿宋_GB2312"/>
          <w:b w:val="0"/>
          <w:bCs/>
          <w:sz w:val="28"/>
          <w:szCs w:val="28"/>
          <w:lang w:val="en-US" w:eastAsia="zh-CN"/>
        </w:rPr>
        <w:t>...............................109</w:t>
      </w:r>
    </w:p>
    <w:p>
      <w:pPr>
        <w:numPr>
          <w:numId w:val="0"/>
        </w:numPr>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 xml:space="preserve">   七．</w:t>
      </w:r>
      <w:r>
        <w:rPr>
          <w:rFonts w:hint="eastAsia" w:ascii="仿宋_GB2312" w:hAnsi="仿宋_GB2312" w:eastAsia="仿宋_GB2312" w:cs="仿宋_GB2312"/>
          <w:b w:val="0"/>
          <w:bCs/>
          <w:color w:val="000000"/>
          <w:sz w:val="28"/>
          <w:szCs w:val="28"/>
        </w:rPr>
        <w:t>项目负责人简历表及拟投入本项目主要成员表</w:t>
      </w:r>
      <w:r>
        <w:rPr>
          <w:rFonts w:hint="eastAsia" w:ascii="仿宋_GB2312" w:hAnsi="仿宋_GB2312" w:eastAsia="仿宋_GB2312" w:cs="仿宋_GB2312"/>
          <w:b w:val="0"/>
          <w:bCs/>
          <w:sz w:val="28"/>
          <w:szCs w:val="28"/>
          <w:lang w:val="en-US" w:eastAsia="zh-CN"/>
        </w:rPr>
        <w:t>.......110</w:t>
      </w:r>
    </w:p>
    <w:p>
      <w:pPr>
        <w:pStyle w:val="27"/>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八.</w:t>
      </w:r>
      <w:r>
        <w:rPr>
          <w:rFonts w:hint="eastAsia" w:ascii="仿宋_GB2312" w:hAnsi="仿宋_GB2312" w:eastAsia="仿宋_GB2312" w:cs="仿宋_GB2312"/>
          <w:b w:val="0"/>
          <w:bCs/>
          <w:sz w:val="28"/>
          <w:szCs w:val="28"/>
        </w:rPr>
        <w:t>服务承诺书</w:t>
      </w:r>
      <w:r>
        <w:rPr>
          <w:rFonts w:hint="eastAsia" w:ascii="仿宋_GB2312" w:hAnsi="仿宋_GB2312" w:eastAsia="仿宋_GB2312" w:cs="仿宋_GB2312"/>
          <w:b w:val="0"/>
          <w:bCs/>
          <w:sz w:val="28"/>
          <w:szCs w:val="28"/>
          <w:lang w:val="en-US" w:eastAsia="zh-CN"/>
        </w:rPr>
        <w:t>....................................111</w:t>
      </w:r>
    </w:p>
    <w:p>
      <w:pPr>
        <w:pStyle w:val="27"/>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九.</w:t>
      </w:r>
      <w:r>
        <w:rPr>
          <w:rFonts w:hint="eastAsia" w:ascii="仿宋_GB2312" w:hAnsi="仿宋_GB2312" w:eastAsia="仿宋_GB2312" w:cs="仿宋_GB2312"/>
          <w:b w:val="0"/>
          <w:bCs/>
          <w:sz w:val="28"/>
          <w:szCs w:val="28"/>
        </w:rPr>
        <w:t>偏离表</w:t>
      </w:r>
      <w:r>
        <w:rPr>
          <w:rFonts w:hint="eastAsia" w:ascii="仿宋_GB2312" w:hAnsi="仿宋_GB2312" w:eastAsia="仿宋_GB2312" w:cs="仿宋_GB2312"/>
          <w:b w:val="0"/>
          <w:bCs/>
          <w:sz w:val="28"/>
          <w:szCs w:val="28"/>
          <w:lang w:val="en-US" w:eastAsia="zh-CN"/>
        </w:rPr>
        <w:t>........................................114</w:t>
      </w:r>
    </w:p>
    <w:p>
      <w:pPr>
        <w:pStyle w:val="27"/>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十.</w:t>
      </w:r>
      <w:r>
        <w:rPr>
          <w:rFonts w:hint="eastAsia" w:ascii="仿宋_GB2312" w:hAnsi="仿宋_GB2312" w:eastAsia="仿宋_GB2312" w:cs="仿宋_GB2312"/>
          <w:b w:val="0"/>
          <w:bCs/>
          <w:sz w:val="28"/>
          <w:szCs w:val="28"/>
        </w:rPr>
        <w:t>其他有利资料</w:t>
      </w:r>
      <w:r>
        <w:rPr>
          <w:rFonts w:hint="eastAsia" w:ascii="仿宋_GB2312" w:hAnsi="仿宋_GB2312" w:eastAsia="仿宋_GB2312" w:cs="仿宋_GB2312"/>
          <w:b w:val="0"/>
          <w:bCs/>
          <w:sz w:val="28"/>
          <w:szCs w:val="28"/>
          <w:lang w:val="en-US" w:eastAsia="zh-CN"/>
        </w:rPr>
        <w:t>..................................115</w:t>
      </w:r>
    </w:p>
    <w:p>
      <w:pPr>
        <w:pStyle w:val="27"/>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十一.</w:t>
      </w:r>
      <w:r>
        <w:rPr>
          <w:rFonts w:hint="eastAsia" w:ascii="仿宋_GB2312" w:hAnsi="仿宋_GB2312" w:eastAsia="仿宋_GB2312" w:cs="仿宋_GB2312"/>
          <w:b w:val="0"/>
          <w:bCs/>
          <w:sz w:val="28"/>
          <w:szCs w:val="28"/>
        </w:rPr>
        <w:t>投标单位反商业贿赂承诺书</w:t>
      </w:r>
      <w:r>
        <w:rPr>
          <w:rFonts w:hint="eastAsia" w:ascii="仿宋_GB2312" w:hAnsi="仿宋_GB2312" w:eastAsia="仿宋_GB2312" w:cs="仿宋_GB2312"/>
          <w:b w:val="0"/>
          <w:bCs/>
          <w:sz w:val="28"/>
          <w:szCs w:val="28"/>
          <w:lang w:val="en-US" w:eastAsia="zh-CN"/>
        </w:rPr>
        <w:t>....................116</w:t>
      </w:r>
    </w:p>
    <w:p>
      <w:pPr>
        <w:spacing w:line="440" w:lineRule="exact"/>
        <w:ind w:left="0" w:leftChars="0" w:firstLine="560" w:firstLineChars="20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十二.中</w:t>
      </w:r>
      <w:r>
        <w:rPr>
          <w:rFonts w:hint="eastAsia" w:ascii="仿宋_GB2312" w:hAnsi="仿宋_GB2312" w:eastAsia="仿宋_GB2312" w:cs="仿宋_GB2312"/>
          <w:b w:val="0"/>
          <w:bCs w:val="0"/>
          <w:sz w:val="28"/>
          <w:szCs w:val="28"/>
        </w:rPr>
        <w:t>小微企业声明函</w:t>
      </w:r>
      <w:r>
        <w:rPr>
          <w:rFonts w:hint="eastAsia" w:ascii="仿宋_GB2312" w:hAnsi="仿宋_GB2312" w:eastAsia="仿宋_GB2312" w:cs="仿宋_GB2312"/>
          <w:b w:val="0"/>
          <w:bCs w:val="0"/>
          <w:sz w:val="28"/>
          <w:szCs w:val="28"/>
          <w:lang w:val="en-US" w:eastAsia="zh-CN"/>
        </w:rPr>
        <w:t>............................118</w:t>
      </w:r>
    </w:p>
    <w:p>
      <w:pPr>
        <w:spacing w:line="588" w:lineRule="exact"/>
        <w:jc w:val="both"/>
        <w:rPr>
          <w:rFonts w:hint="eastAsia" w:ascii="仿宋_GB2312" w:hAnsi="仿宋_GB2312" w:eastAsia="仿宋_GB2312" w:cs="仿宋_GB2312"/>
          <w:b w:val="0"/>
          <w:bCs/>
          <w:spacing w:val="6"/>
          <w:sz w:val="28"/>
          <w:szCs w:val="28"/>
        </w:rPr>
      </w:pPr>
      <w:r>
        <w:rPr>
          <w:rFonts w:hint="eastAsia" w:ascii="仿宋_GB2312" w:hAnsi="仿宋_GB2312" w:eastAsia="仿宋_GB2312" w:cs="仿宋_GB2312"/>
          <w:b w:val="0"/>
          <w:bCs/>
          <w:spacing w:val="6"/>
          <w:sz w:val="28"/>
          <w:szCs w:val="28"/>
          <w:lang w:val="en-US" w:eastAsia="zh-CN"/>
        </w:rPr>
        <w:t>十三.</w:t>
      </w:r>
      <w:r>
        <w:rPr>
          <w:rFonts w:hint="eastAsia" w:ascii="仿宋_GB2312" w:hAnsi="仿宋_GB2312" w:eastAsia="仿宋_GB2312" w:cs="仿宋_GB2312"/>
          <w:b w:val="0"/>
          <w:bCs/>
          <w:spacing w:val="6"/>
          <w:sz w:val="28"/>
          <w:szCs w:val="28"/>
        </w:rPr>
        <w:t>残疾人福利性单位声明函</w:t>
      </w:r>
      <w:r>
        <w:rPr>
          <w:rFonts w:hint="eastAsia" w:ascii="仿宋_GB2312" w:hAnsi="仿宋_GB2312" w:eastAsia="仿宋_GB2312" w:cs="仿宋_GB2312"/>
          <w:b w:val="0"/>
          <w:bCs/>
          <w:spacing w:val="6"/>
          <w:sz w:val="28"/>
          <w:szCs w:val="28"/>
          <w:lang w:val="en-US" w:eastAsia="zh-CN"/>
        </w:rPr>
        <w:t>....................121</w:t>
      </w:r>
    </w:p>
    <w:p>
      <w:pPr>
        <w:pStyle w:val="29"/>
        <w:numPr>
          <w:numId w:val="0"/>
        </w:numPr>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val="0"/>
          <w:kern w:val="0"/>
          <w:sz w:val="28"/>
          <w:szCs w:val="28"/>
          <w:lang w:val="en-US" w:eastAsia="zh-CN"/>
        </w:rPr>
        <w:t xml:space="preserve">    十四.</w:t>
      </w:r>
      <w:r>
        <w:rPr>
          <w:rFonts w:hint="eastAsia" w:ascii="仿宋_GB2312" w:hAnsi="仿宋_GB2312" w:eastAsia="仿宋_GB2312" w:cs="仿宋_GB2312"/>
          <w:b w:val="0"/>
          <w:bCs w:val="0"/>
          <w:kern w:val="0"/>
          <w:sz w:val="28"/>
          <w:szCs w:val="28"/>
        </w:rPr>
        <w:t>节能、环境标志产品加分明细表</w:t>
      </w:r>
      <w:r>
        <w:rPr>
          <w:rFonts w:hint="eastAsia" w:ascii="仿宋_GB2312" w:hAnsi="仿宋_GB2312" w:eastAsia="仿宋_GB2312" w:cs="仿宋_GB2312"/>
          <w:b w:val="0"/>
          <w:bCs w:val="0"/>
          <w:kern w:val="0"/>
          <w:sz w:val="28"/>
          <w:szCs w:val="28"/>
          <w:lang w:val="en-US" w:eastAsia="zh-CN"/>
        </w:rPr>
        <w:t>................122</w:t>
      </w:r>
    </w:p>
    <w:p>
      <w:pPr>
        <w:pStyle w:val="29"/>
        <w:ind w:left="0" w:hangingChars="13724" w:firstLine="27109"/>
        <w:rPr>
          <w:rFonts w:hint="eastAsia" w:ascii="仿宋_GB2312" w:hAnsi="仿宋_GB2312" w:eastAsia="仿宋_GB2312" w:cs="仿宋_GB2312"/>
          <w:sz w:val="28"/>
          <w:szCs w:val="28"/>
          <w:lang w:val="en-US" w:eastAsia="zh-CN"/>
        </w:rPr>
      </w:pPr>
    </w:p>
    <w:p>
      <w:pPr>
        <w:pStyle w:val="29"/>
        <w:rPr>
          <w:rFonts w:hint="eastAsia" w:ascii="仿宋_GB2312" w:hAnsi="仿宋_GB2312" w:eastAsia="仿宋_GB2312" w:cs="仿宋_GB2312"/>
          <w:sz w:val="28"/>
          <w:szCs w:val="28"/>
          <w:lang w:val="en-US" w:eastAsia="zh-CN"/>
        </w:rPr>
      </w:pPr>
    </w:p>
    <w:p>
      <w:pPr>
        <w:pStyle w:val="29"/>
        <w:rPr>
          <w:rFonts w:hint="eastAsia" w:ascii="仿宋_GB2312" w:hAnsi="仿宋_GB2312" w:eastAsia="仿宋_GB2312" w:cs="仿宋_GB2312"/>
          <w:sz w:val="28"/>
          <w:szCs w:val="28"/>
          <w:lang w:val="en-US" w:eastAsia="zh-CN"/>
        </w:rPr>
      </w:pPr>
    </w:p>
    <w:p>
      <w:pPr>
        <w:pStyle w:val="29"/>
        <w:rPr>
          <w:rFonts w:hint="eastAsia" w:ascii="仿宋_GB2312" w:hAnsi="仿宋_GB2312" w:eastAsia="仿宋_GB2312" w:cs="仿宋_GB2312"/>
          <w:sz w:val="28"/>
          <w:szCs w:val="28"/>
          <w:lang w:val="en-US" w:eastAsia="zh-CN"/>
        </w:rPr>
      </w:pPr>
    </w:p>
    <w:p>
      <w:pPr>
        <w:sectPr>
          <w:headerReference r:id="rId4" w:type="default"/>
          <w:footerReference r:id="rId5" w:type="default"/>
          <w:pgSz w:w="11906" w:h="16838"/>
          <w:pgMar w:top="1440" w:right="1800" w:bottom="1440" w:left="1800" w:header="851" w:footer="992" w:gutter="0"/>
          <w:pgNumType w:fmt="decimal"/>
          <w:cols w:space="720" w:num="1"/>
          <w:docGrid w:type="lines" w:linePitch="312"/>
        </w:sectPr>
      </w:pPr>
    </w:p>
    <w:p>
      <w:pPr>
        <w:rPr>
          <w:rFonts w:hint="eastAsia"/>
          <w:lang w:val="en-US" w:eastAsia="zh-CN"/>
        </w:rPr>
      </w:pPr>
    </w:p>
    <w:p>
      <w:pPr>
        <w:pStyle w:val="40"/>
        <w:jc w:val="both"/>
        <w:rPr>
          <w:rFonts w:hint="eastAsia" w:ascii="宋体" w:hAnsi="宋体" w:cs="仿宋"/>
          <w:b/>
          <w:color w:val="auto"/>
          <w:sz w:val="36"/>
          <w:szCs w:val="36"/>
          <w:lang w:val="en-US" w:eastAsia="zh-CN"/>
        </w:rPr>
      </w:pPr>
      <w:r>
        <w:rPr>
          <w:rFonts w:hint="eastAsia" w:ascii="宋体" w:hAnsi="宋体" w:cs="仿宋"/>
          <w:b/>
          <w:color w:val="auto"/>
          <w:sz w:val="36"/>
          <w:szCs w:val="36"/>
          <w:lang w:val="en-US" w:eastAsia="zh-CN"/>
        </w:rPr>
        <w:t xml:space="preserve">                  </w:t>
      </w:r>
    </w:p>
    <w:p>
      <w:pPr>
        <w:pStyle w:val="40"/>
        <w:jc w:val="both"/>
        <w:rPr>
          <w:rFonts w:ascii="宋体" w:hAnsi="宋体" w:cs="仿宋"/>
          <w:b/>
          <w:color w:val="auto"/>
          <w:sz w:val="36"/>
          <w:szCs w:val="36"/>
        </w:rPr>
      </w:pPr>
      <w:r>
        <w:rPr>
          <w:rFonts w:hint="eastAsia" w:ascii="宋体" w:hAnsi="宋体" w:cs="仿宋"/>
          <w:b/>
          <w:color w:val="auto"/>
          <w:sz w:val="36"/>
          <w:szCs w:val="36"/>
          <w:lang w:val="en-US" w:eastAsia="zh-CN"/>
        </w:rPr>
        <w:t xml:space="preserve">                 </w:t>
      </w:r>
      <w:bookmarkStart w:id="1" w:name="_Toc17829_WPSOffice_Level2"/>
      <w:bookmarkStart w:id="2" w:name="_Toc21026_WPSOffice_Level1"/>
      <w:r>
        <w:rPr>
          <w:rFonts w:hint="eastAsia" w:ascii="宋体" w:hAnsi="宋体" w:cs="仿宋"/>
          <w:b/>
          <w:color w:val="auto"/>
          <w:sz w:val="36"/>
          <w:szCs w:val="36"/>
        </w:rPr>
        <w:t>特</w:t>
      </w:r>
      <w:r>
        <w:rPr>
          <w:rFonts w:ascii="宋体" w:hAnsi="宋体" w:cs="仿宋"/>
          <w:b/>
          <w:color w:val="auto"/>
          <w:sz w:val="36"/>
          <w:szCs w:val="36"/>
        </w:rPr>
        <w:t xml:space="preserve"> </w:t>
      </w:r>
      <w:r>
        <w:rPr>
          <w:rFonts w:hint="eastAsia" w:ascii="宋体" w:hAnsi="宋体" w:cs="仿宋"/>
          <w:b/>
          <w:color w:val="auto"/>
          <w:sz w:val="36"/>
          <w:szCs w:val="36"/>
        </w:rPr>
        <w:t>别</w:t>
      </w:r>
      <w:r>
        <w:rPr>
          <w:rFonts w:ascii="宋体" w:hAnsi="宋体" w:cs="仿宋"/>
          <w:b/>
          <w:color w:val="auto"/>
          <w:sz w:val="36"/>
          <w:szCs w:val="36"/>
        </w:rPr>
        <w:t xml:space="preserve"> </w:t>
      </w:r>
      <w:r>
        <w:rPr>
          <w:rFonts w:hint="eastAsia" w:ascii="宋体" w:hAnsi="宋体" w:cs="仿宋"/>
          <w:b/>
          <w:color w:val="auto"/>
          <w:sz w:val="36"/>
          <w:szCs w:val="36"/>
        </w:rPr>
        <w:t>提</w:t>
      </w:r>
      <w:r>
        <w:rPr>
          <w:rFonts w:ascii="宋体" w:hAnsi="宋体" w:cs="仿宋"/>
          <w:b/>
          <w:color w:val="auto"/>
          <w:sz w:val="36"/>
          <w:szCs w:val="36"/>
        </w:rPr>
        <w:t xml:space="preserve"> </w:t>
      </w:r>
      <w:r>
        <w:rPr>
          <w:rFonts w:hint="eastAsia" w:ascii="宋体" w:hAnsi="宋体" w:cs="仿宋"/>
          <w:b/>
          <w:color w:val="auto"/>
          <w:sz w:val="36"/>
          <w:szCs w:val="36"/>
        </w:rPr>
        <w:t>示</w:t>
      </w:r>
      <w:bookmarkEnd w:id="1"/>
      <w:bookmarkEnd w:id="2"/>
    </w:p>
    <w:p>
      <w:pPr>
        <w:pStyle w:val="40"/>
        <w:jc w:val="center"/>
        <w:rPr>
          <w:rFonts w:ascii="宋体" w:hAnsi="宋体" w:cs="仿宋"/>
          <w:b/>
          <w:color w:val="auto"/>
          <w:sz w:val="36"/>
          <w:szCs w:val="36"/>
        </w:rPr>
      </w:pPr>
    </w:p>
    <w:p>
      <w:pPr>
        <w:pStyle w:val="40"/>
        <w:spacing w:line="360" w:lineRule="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各投标人：</w:t>
      </w:r>
    </w:p>
    <w:p>
      <w:pPr>
        <w:pStyle w:val="40"/>
        <w:spacing w:line="360" w:lineRule="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 xml:space="preserve">    在参与本次招标项目投标时，请按招标文件中规定的可能导致无效投标、废标要求或黑体字、加注“</w:t>
      </w:r>
      <w:r>
        <w:rPr>
          <w:rFonts w:hint="eastAsia" w:ascii="仿宋_GB2312" w:hAnsi="仿宋_GB2312" w:eastAsia="仿宋_GB2312" w:cs="仿宋_GB2312"/>
          <w:b/>
          <w:color w:val="auto"/>
          <w:sz w:val="32"/>
          <w:szCs w:val="32"/>
          <w:lang w:val="en-US" w:eastAsia="zh-CN"/>
        </w:rPr>
        <w:t>★</w:t>
      </w:r>
      <w:r>
        <w:rPr>
          <w:rFonts w:hint="eastAsia" w:ascii="仿宋_GB2312" w:hAnsi="仿宋_GB2312" w:eastAsia="仿宋_GB2312" w:cs="仿宋_GB2312"/>
          <w:b/>
          <w:color w:val="auto"/>
          <w:sz w:val="32"/>
          <w:szCs w:val="32"/>
        </w:rPr>
        <w:t>”“</w:t>
      </w:r>
      <w:r>
        <w:rPr>
          <w:rFonts w:hint="eastAsia" w:ascii="仿宋_GB2312" w:hAnsi="仿宋_GB2312" w:eastAsia="仿宋_GB2312" w:cs="仿宋_GB2312"/>
          <w:b/>
          <w:color w:val="auto"/>
          <w:sz w:val="32"/>
          <w:szCs w:val="32"/>
          <w:lang w:val="en-US" w:eastAsia="zh-CN"/>
        </w:rPr>
        <w:t>▲</w:t>
      </w:r>
      <w:r>
        <w:rPr>
          <w:rFonts w:hint="eastAsia" w:ascii="仿宋_GB2312" w:hAnsi="仿宋_GB2312" w:eastAsia="仿宋_GB2312" w:cs="仿宋_GB2312"/>
          <w:b/>
          <w:color w:val="auto"/>
          <w:sz w:val="32"/>
          <w:szCs w:val="32"/>
        </w:rPr>
        <w:t>”“</w:t>
      </w:r>
      <w:r>
        <w:rPr>
          <w:rFonts w:hint="eastAsia" w:ascii="仿宋_GB2312" w:hAnsi="仿宋_GB2312" w:eastAsia="仿宋_GB2312" w:cs="仿宋_GB2312"/>
          <w:b/>
          <w:color w:val="auto"/>
          <w:sz w:val="32"/>
          <w:szCs w:val="32"/>
          <w:lang w:val="en-US" w:eastAsia="zh-CN"/>
        </w:rPr>
        <w:t>＊</w:t>
      </w:r>
      <w:r>
        <w:rPr>
          <w:rFonts w:hint="eastAsia" w:ascii="仿宋_GB2312" w:hAnsi="仿宋_GB2312" w:eastAsia="仿宋_GB2312" w:cs="仿宋_GB2312"/>
          <w:b/>
          <w:color w:val="auto"/>
          <w:sz w:val="32"/>
          <w:szCs w:val="32"/>
        </w:rPr>
        <w:t>”符号的内容应符合要求或响应,若不符合要求或不响应将导致的后果由投标人自行承担。</w:t>
      </w:r>
    </w:p>
    <w:p>
      <w:pPr>
        <w:ind w:firstLine="0" w:firstLineChars="0"/>
        <w:jc w:val="both"/>
        <w:rPr>
          <w:rFonts w:hint="eastAsia" w:ascii="仿宋_GB2312" w:hAnsi="仿宋_GB2312" w:eastAsia="仿宋_GB2312" w:cs="仿宋_GB2312"/>
          <w:sz w:val="32"/>
          <w:szCs w:val="32"/>
        </w:rPr>
      </w:pPr>
    </w:p>
    <w:p>
      <w:pPr>
        <w:ind w:firstLine="0" w:firstLineChars="0"/>
        <w:jc w:val="center"/>
        <w:rPr>
          <w:rFonts w:hint="eastAsia" w:ascii="黑体" w:hAnsi="黑体" w:eastAsia="黑体" w:cs="黑体"/>
          <w:b w:val="0"/>
          <w:bCs w:val="0"/>
          <w:sz w:val="32"/>
          <w:szCs w:val="32"/>
        </w:rPr>
      </w:pPr>
      <w:r>
        <w:rPr>
          <w:rFonts w:hint="eastAsia" w:ascii="仿宋_GB2312" w:hAnsi="仿宋_GB2312" w:eastAsia="仿宋_GB2312" w:cs="仿宋_GB2312"/>
          <w:sz w:val="32"/>
          <w:szCs w:val="32"/>
        </w:rPr>
        <w:br w:type="page"/>
      </w:r>
      <w:bookmarkStart w:id="3" w:name="_Toc531706616"/>
      <w:bookmarkStart w:id="4" w:name="_Toc9305"/>
      <w:bookmarkStart w:id="5" w:name="_Toc3741_WPSOffice_Level1"/>
      <w:bookmarkStart w:id="6" w:name="_Toc531706271"/>
      <w:bookmarkStart w:id="7" w:name="_Toc26850"/>
      <w:bookmarkStart w:id="8" w:name="_Toc15451"/>
      <w:r>
        <w:rPr>
          <w:rFonts w:hint="eastAsia" w:ascii="黑体" w:hAnsi="黑体" w:eastAsia="黑体" w:cs="黑体"/>
          <w:b w:val="0"/>
          <w:bCs w:val="0"/>
          <w:sz w:val="32"/>
          <w:szCs w:val="32"/>
        </w:rPr>
        <w:t>第一章 招标公告</w:t>
      </w:r>
      <w:bookmarkEnd w:id="3"/>
      <w:bookmarkEnd w:id="4"/>
      <w:bookmarkEnd w:id="5"/>
      <w:bookmarkEnd w:id="6"/>
      <w:bookmarkEnd w:id="7"/>
    </w:p>
    <w:p>
      <w:pPr>
        <w:widowControl/>
        <w:wordWrap/>
        <w:adjustRightInd/>
        <w:snapToGrid/>
        <w:spacing w:line="560" w:lineRule="exact"/>
        <w:ind w:left="0" w:leftChars="0" w:right="0" w:firstLine="0" w:firstLineChars="0"/>
        <w:jc w:val="center"/>
        <w:textAlignment w:val="auto"/>
        <w:outlineLvl w:val="9"/>
        <w:rPr>
          <w:rFonts w:hint="eastAsia" w:ascii="宋体" w:hAnsi="宋体" w:eastAsia="宋体" w:cs="宋体"/>
          <w:b/>
          <w:bCs/>
          <w:color w:val="auto"/>
          <w:kern w:val="0"/>
          <w:sz w:val="32"/>
          <w:szCs w:val="32"/>
          <w:lang w:eastAsia="zh-CN"/>
        </w:rPr>
      </w:pPr>
      <w:bookmarkStart w:id="9" w:name="_Toc4226_WPSOffice_Level2"/>
      <w:r>
        <w:rPr>
          <w:rFonts w:hint="eastAsia" w:ascii="仿宋_GB2312" w:hAnsi="仿宋_GB2312" w:eastAsia="仿宋_GB2312" w:cs="仿宋_GB2312"/>
          <w:b/>
          <w:bCs/>
          <w:color w:val="auto"/>
          <w:w w:val="100"/>
          <w:sz w:val="32"/>
          <w:szCs w:val="32"/>
        </w:rPr>
        <w:t>新疆</w:t>
      </w:r>
      <w:r>
        <w:rPr>
          <w:rFonts w:hint="eastAsia" w:ascii="仿宋_GB2312" w:hAnsi="仿宋_GB2312" w:eastAsia="仿宋_GB2312" w:cs="仿宋_GB2312"/>
          <w:b/>
          <w:bCs/>
          <w:color w:val="auto"/>
          <w:w w:val="100"/>
          <w:sz w:val="32"/>
          <w:szCs w:val="32"/>
          <w:lang w:eastAsia="zh-CN"/>
        </w:rPr>
        <w:t>维吾尔</w:t>
      </w:r>
      <w:r>
        <w:rPr>
          <w:rFonts w:hint="eastAsia" w:ascii="仿宋_GB2312" w:hAnsi="仿宋_GB2312" w:eastAsia="仿宋_GB2312" w:cs="仿宋_GB2312"/>
          <w:b/>
          <w:bCs/>
          <w:color w:val="auto"/>
          <w:w w:val="100"/>
          <w:sz w:val="32"/>
          <w:szCs w:val="32"/>
        </w:rPr>
        <w:t>自治区公共机构节能管理系统</w:t>
      </w:r>
      <w:r>
        <w:rPr>
          <w:rFonts w:hint="eastAsia" w:ascii="仿宋_GB2312" w:hAnsi="仿宋_GB2312" w:eastAsia="仿宋_GB2312" w:cs="仿宋_GB2312"/>
          <w:b/>
          <w:bCs/>
          <w:color w:val="auto"/>
          <w:w w:val="100"/>
          <w:sz w:val="32"/>
          <w:szCs w:val="32"/>
          <w:lang w:eastAsia="zh-CN"/>
        </w:rPr>
        <w:t>（二期）建设</w:t>
      </w:r>
      <w:r>
        <w:rPr>
          <w:rFonts w:hint="eastAsia" w:ascii="仿宋_GB2312" w:hAnsi="仿宋_GB2312" w:eastAsia="仿宋_GB2312" w:cs="仿宋_GB2312"/>
          <w:b/>
          <w:bCs/>
          <w:color w:val="auto"/>
          <w:w w:val="100"/>
          <w:sz w:val="32"/>
          <w:szCs w:val="32"/>
        </w:rPr>
        <w:t>项目</w:t>
      </w:r>
      <w:bookmarkEnd w:id="9"/>
    </w:p>
    <w:p>
      <w:pPr>
        <w:ind w:firstLine="723"/>
        <w:jc w:val="center"/>
        <w:rPr>
          <w:rFonts w:hint="eastAsia" w:ascii="宋体" w:hAnsi="宋体" w:eastAsia="宋体" w:cs="宋体"/>
          <w:b/>
          <w:bCs/>
          <w:sz w:val="32"/>
          <w:szCs w:val="32"/>
        </w:rPr>
      </w:pPr>
      <w:bookmarkStart w:id="10" w:name="_Toc7552_WPSOffice_Level2"/>
      <w:r>
        <w:rPr>
          <w:rFonts w:hint="eastAsia" w:ascii="宋体" w:hAnsi="宋体" w:eastAsia="宋体" w:cs="宋体"/>
          <w:b/>
          <w:bCs/>
          <w:sz w:val="32"/>
          <w:szCs w:val="32"/>
        </w:rPr>
        <w:t>招标公告</w:t>
      </w:r>
      <w:bookmarkEnd w:id="10"/>
    </w:p>
    <w:p>
      <w:pPr>
        <w:widowControl w:val="0"/>
        <w:wordWrap/>
        <w:adjustRightInd/>
        <w:snapToGrid/>
        <w:spacing w:before="0" w:after="0" w:line="560" w:lineRule="exact"/>
        <w:ind w:left="0" w:leftChars="0" w:right="0" w:firstLine="640"/>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项目概况</w:t>
      </w:r>
    </w:p>
    <w:p>
      <w:pPr>
        <w:pBdr>
          <w:top w:val="single" w:color="auto" w:sz="4" w:space="1"/>
          <w:left w:val="single" w:color="auto" w:sz="4" w:space="4"/>
          <w:bottom w:val="single" w:color="auto" w:sz="4" w:space="1"/>
          <w:right w:val="single" w:color="auto" w:sz="4" w:space="4"/>
        </w:pBdr>
        <w:rPr>
          <w:rFonts w:hint="eastAsia" w:ascii="仿宋_GB2312" w:hAnsi="仿宋_GB2312" w:eastAsia="仿宋_GB2312" w:cs="仿宋_GB2312"/>
          <w:color w:val="000080"/>
          <w:sz w:val="32"/>
          <w:szCs w:val="32"/>
        </w:rPr>
      </w:pPr>
      <w:r>
        <w:rPr>
          <w:rFonts w:hint="eastAsia" w:ascii="仿宋_GB2312" w:hAnsi="仿宋_GB2312" w:eastAsia="仿宋_GB2312" w:cs="仿宋_GB2312"/>
          <w:b w:val="0"/>
          <w:bCs w:val="0"/>
          <w:color w:val="000000"/>
          <w:w w:val="100"/>
          <w:sz w:val="32"/>
          <w:szCs w:val="32"/>
        </w:rPr>
        <w:t>新疆</w:t>
      </w:r>
      <w:r>
        <w:rPr>
          <w:rFonts w:hint="eastAsia" w:ascii="仿宋_GB2312" w:hAnsi="仿宋_GB2312" w:eastAsia="仿宋_GB2312" w:cs="仿宋_GB2312"/>
          <w:b w:val="0"/>
          <w:bCs w:val="0"/>
          <w:color w:val="000000"/>
          <w:w w:val="100"/>
          <w:sz w:val="32"/>
          <w:szCs w:val="32"/>
          <w:lang w:eastAsia="zh-CN"/>
        </w:rPr>
        <w:t>维吾尔</w:t>
      </w:r>
      <w:r>
        <w:rPr>
          <w:rFonts w:hint="eastAsia" w:ascii="仿宋_GB2312" w:hAnsi="仿宋_GB2312" w:eastAsia="仿宋_GB2312" w:cs="仿宋_GB2312"/>
          <w:b w:val="0"/>
          <w:bCs w:val="0"/>
          <w:color w:val="000000"/>
          <w:w w:val="100"/>
          <w:sz w:val="32"/>
          <w:szCs w:val="32"/>
        </w:rPr>
        <w:t>自治区公共机构节能管理系统</w:t>
      </w:r>
      <w:r>
        <w:rPr>
          <w:rFonts w:hint="eastAsia" w:ascii="仿宋_GB2312" w:hAnsi="仿宋_GB2312" w:eastAsia="仿宋_GB2312" w:cs="仿宋_GB2312"/>
          <w:b w:val="0"/>
          <w:bCs w:val="0"/>
          <w:color w:val="000000"/>
          <w:w w:val="100"/>
          <w:sz w:val="32"/>
          <w:szCs w:val="32"/>
          <w:lang w:eastAsia="zh-CN"/>
        </w:rPr>
        <w:t>（二期）建设</w:t>
      </w:r>
      <w:r>
        <w:rPr>
          <w:rFonts w:hint="eastAsia" w:ascii="仿宋_GB2312" w:hAnsi="仿宋_GB2312" w:eastAsia="仿宋_GB2312" w:cs="仿宋_GB2312"/>
          <w:b w:val="0"/>
          <w:bCs w:val="0"/>
          <w:color w:val="000000"/>
          <w:w w:val="100"/>
          <w:sz w:val="32"/>
          <w:szCs w:val="32"/>
        </w:rPr>
        <w:t>项目</w:t>
      </w:r>
      <w:r>
        <w:rPr>
          <w:rFonts w:hint="eastAsia" w:ascii="仿宋_GB2312" w:hAnsi="仿宋_GB2312" w:eastAsia="仿宋_GB2312" w:cs="仿宋_GB2312"/>
          <w:sz w:val="32"/>
          <w:szCs w:val="32"/>
          <w:highlight w:val="none"/>
        </w:rPr>
        <w:t>的潜在</w:t>
      </w:r>
      <w:r>
        <w:rPr>
          <w:rFonts w:hint="eastAsia" w:ascii="仿宋_GB2312" w:hAnsi="仿宋_GB2312" w:eastAsia="仿宋_GB2312" w:cs="仿宋_GB2312"/>
          <w:sz w:val="32"/>
          <w:szCs w:val="32"/>
          <w:highlight w:val="none"/>
          <w:lang w:val="en-US" w:eastAsia="zh-CN"/>
        </w:rPr>
        <w:t>服务</w:t>
      </w:r>
      <w:r>
        <w:rPr>
          <w:rFonts w:hint="eastAsia" w:ascii="仿宋_GB2312" w:hAnsi="仿宋_GB2312" w:eastAsia="仿宋_GB2312" w:cs="仿宋_GB2312"/>
          <w:sz w:val="32"/>
          <w:szCs w:val="32"/>
          <w:highlight w:val="none"/>
        </w:rPr>
        <w:t>商应在</w:t>
      </w:r>
      <w:r>
        <w:rPr>
          <w:rFonts w:hint="eastAsia" w:ascii="仿宋_GB2312" w:hAnsi="仿宋_GB2312" w:eastAsia="仿宋_GB2312" w:cs="仿宋_GB2312"/>
          <w:bCs/>
          <w:color w:val="auto"/>
          <w:kern w:val="0"/>
          <w:sz w:val="32"/>
          <w:szCs w:val="32"/>
          <w:u w:val="single" w:color="auto"/>
          <w:lang w:val="en-US" w:eastAsia="zh-CN"/>
        </w:rPr>
        <w:t xml:space="preserve">新疆崇业招标代理有限公司 </w:t>
      </w:r>
      <w:r>
        <w:rPr>
          <w:rFonts w:hint="eastAsia" w:ascii="仿宋_GB2312" w:hAnsi="仿宋_GB2312" w:eastAsia="仿宋_GB2312" w:cs="仿宋_GB2312"/>
          <w:sz w:val="32"/>
          <w:szCs w:val="32"/>
          <w:highlight w:val="none"/>
          <w:u w:val="single" w:color="auto"/>
          <w:lang w:val="en-US" w:eastAsia="zh-CN"/>
        </w:rPr>
        <w:t>地址：</w:t>
      </w:r>
      <w:r>
        <w:rPr>
          <w:rFonts w:hint="eastAsia" w:ascii="仿宋_GB2312" w:hAnsi="仿宋_GB2312" w:eastAsia="仿宋_GB2312" w:cs="仿宋_GB2312"/>
          <w:sz w:val="32"/>
          <w:szCs w:val="32"/>
          <w:u w:val="single" w:color="auto"/>
          <w:shd w:val="clear" w:color="auto" w:fill="FFFFFF"/>
          <w:lang w:val="en-US" w:eastAsia="zh-CN"/>
        </w:rPr>
        <w:t>乌鲁木齐高新区（新市区）北京南</w:t>
      </w:r>
      <w:r>
        <w:rPr>
          <w:rFonts w:hint="eastAsia" w:ascii="仿宋_GB2312" w:hAnsi="仿宋_GB2312" w:eastAsia="仿宋_GB2312" w:cs="仿宋_GB2312"/>
          <w:color w:val="000000"/>
          <w:sz w:val="32"/>
          <w:szCs w:val="32"/>
          <w:u w:val="single" w:color="auto"/>
          <w:shd w:val="clear" w:color="auto" w:fill="FFFFFF"/>
          <w:lang w:val="en-US" w:eastAsia="zh-CN"/>
        </w:rPr>
        <w:t>路591号自治区广播电视局高层南楼1203室</w:t>
      </w:r>
      <w:r>
        <w:rPr>
          <w:rFonts w:hint="eastAsia" w:ascii="仿宋_GB2312" w:hAnsi="仿宋_GB2312" w:eastAsia="仿宋_GB2312" w:cs="仿宋_GB2312"/>
          <w:color w:val="000000"/>
          <w:sz w:val="32"/>
          <w:szCs w:val="32"/>
          <w:highlight w:val="none"/>
        </w:rPr>
        <w:t>获取采购文件，并于</w:t>
      </w:r>
      <w:r>
        <w:rPr>
          <w:rFonts w:hint="eastAsia" w:ascii="仿宋_GB2312" w:hAnsi="仿宋_GB2312" w:eastAsia="仿宋_GB2312" w:cs="仿宋_GB2312"/>
          <w:color w:val="FF0000"/>
          <w:sz w:val="32"/>
          <w:szCs w:val="32"/>
          <w:highlight w:val="none"/>
          <w:u w:val="single"/>
          <w:lang w:val="en-US" w:eastAsia="zh-CN"/>
        </w:rPr>
        <w:t>2021</w:t>
      </w:r>
      <w:r>
        <w:rPr>
          <w:rFonts w:hint="eastAsia" w:ascii="仿宋_GB2312" w:hAnsi="仿宋_GB2312" w:eastAsia="仿宋_GB2312" w:cs="仿宋_GB2312"/>
          <w:bCs/>
          <w:color w:val="FF0000"/>
          <w:sz w:val="32"/>
          <w:szCs w:val="32"/>
          <w:highlight w:val="none"/>
          <w:u w:val="single"/>
        </w:rPr>
        <w:t>年</w:t>
      </w:r>
      <w:r>
        <w:rPr>
          <w:rFonts w:hint="eastAsia" w:ascii="仿宋_GB2312" w:hAnsi="仿宋_GB2312" w:eastAsia="仿宋_GB2312" w:cs="仿宋_GB2312"/>
          <w:bCs/>
          <w:color w:val="FF0000"/>
          <w:sz w:val="32"/>
          <w:szCs w:val="32"/>
          <w:highlight w:val="none"/>
          <w:u w:val="single"/>
          <w:lang w:val="en-US" w:eastAsia="zh-CN"/>
        </w:rPr>
        <w:t>10</w:t>
      </w:r>
      <w:r>
        <w:rPr>
          <w:rFonts w:hint="eastAsia" w:ascii="仿宋_GB2312" w:hAnsi="仿宋_GB2312" w:eastAsia="仿宋_GB2312" w:cs="仿宋_GB2312"/>
          <w:bCs/>
          <w:color w:val="FF0000"/>
          <w:sz w:val="32"/>
          <w:szCs w:val="32"/>
          <w:highlight w:val="none"/>
          <w:u w:val="single"/>
        </w:rPr>
        <w:t>月</w:t>
      </w:r>
      <w:r>
        <w:rPr>
          <w:rFonts w:hint="eastAsia" w:ascii="仿宋_GB2312" w:hAnsi="仿宋_GB2312" w:eastAsia="仿宋_GB2312" w:cs="仿宋_GB2312"/>
          <w:bCs/>
          <w:color w:val="FF0000"/>
          <w:sz w:val="32"/>
          <w:szCs w:val="32"/>
          <w:highlight w:val="none"/>
          <w:u w:val="single"/>
          <w:lang w:val="en-US" w:eastAsia="zh-CN"/>
        </w:rPr>
        <w:t>28</w:t>
      </w:r>
      <w:r>
        <w:rPr>
          <w:rFonts w:hint="eastAsia" w:ascii="仿宋_GB2312" w:hAnsi="仿宋_GB2312" w:eastAsia="仿宋_GB2312" w:cs="仿宋_GB2312"/>
          <w:bCs/>
          <w:color w:val="FF0000"/>
          <w:sz w:val="32"/>
          <w:szCs w:val="32"/>
          <w:highlight w:val="none"/>
          <w:u w:val="single"/>
        </w:rPr>
        <w:t>日</w:t>
      </w:r>
      <w:r>
        <w:rPr>
          <w:rFonts w:hint="eastAsia" w:ascii="仿宋_GB2312" w:hAnsi="仿宋_GB2312" w:eastAsia="仿宋_GB2312" w:cs="仿宋_GB2312"/>
          <w:bCs/>
          <w:color w:val="FF0000"/>
          <w:sz w:val="32"/>
          <w:szCs w:val="32"/>
          <w:highlight w:val="none"/>
          <w:u w:val="single"/>
          <w:lang w:val="en-US" w:eastAsia="zh-CN"/>
        </w:rPr>
        <w:t>11</w:t>
      </w:r>
      <w:r>
        <w:rPr>
          <w:rFonts w:hint="eastAsia" w:ascii="仿宋_GB2312" w:hAnsi="仿宋_GB2312" w:eastAsia="仿宋_GB2312" w:cs="仿宋_GB2312"/>
          <w:bCs/>
          <w:color w:val="FF0000"/>
          <w:sz w:val="32"/>
          <w:szCs w:val="32"/>
          <w:highlight w:val="none"/>
          <w:u w:val="single"/>
        </w:rPr>
        <w:t>点</w:t>
      </w:r>
      <w:r>
        <w:rPr>
          <w:rFonts w:hint="eastAsia" w:ascii="仿宋_GB2312" w:hAnsi="仿宋_GB2312" w:eastAsia="仿宋_GB2312" w:cs="仿宋_GB2312"/>
          <w:bCs/>
          <w:color w:val="FF0000"/>
          <w:sz w:val="32"/>
          <w:szCs w:val="32"/>
          <w:highlight w:val="none"/>
          <w:u w:val="single"/>
          <w:lang w:val="en-US" w:eastAsia="zh-CN"/>
        </w:rPr>
        <w:t>00</w:t>
      </w:r>
      <w:r>
        <w:rPr>
          <w:rFonts w:hint="eastAsia" w:ascii="仿宋_GB2312" w:hAnsi="仿宋_GB2312" w:eastAsia="仿宋_GB2312" w:cs="仿宋_GB2312"/>
          <w:bCs/>
          <w:color w:val="FF0000"/>
          <w:sz w:val="32"/>
          <w:szCs w:val="32"/>
          <w:highlight w:val="none"/>
          <w:u w:val="single"/>
        </w:rPr>
        <w:t>分</w:t>
      </w:r>
      <w:r>
        <w:rPr>
          <w:rFonts w:hint="eastAsia" w:ascii="仿宋_GB2312" w:hAnsi="仿宋_GB2312" w:eastAsia="仿宋_GB2312" w:cs="仿宋_GB2312"/>
          <w:bCs/>
          <w:color w:val="FF0000"/>
          <w:sz w:val="32"/>
          <w:szCs w:val="32"/>
          <w:highlight w:val="none"/>
        </w:rPr>
        <w:t>（北京时间）</w:t>
      </w:r>
      <w:r>
        <w:rPr>
          <w:rFonts w:hint="eastAsia" w:ascii="仿宋_GB2312" w:hAnsi="仿宋_GB2312" w:eastAsia="仿宋_GB2312" w:cs="仿宋_GB2312"/>
          <w:bCs/>
          <w:color w:val="000000"/>
          <w:sz w:val="32"/>
          <w:szCs w:val="32"/>
          <w:highlight w:val="none"/>
        </w:rPr>
        <w:t>前提交</w:t>
      </w:r>
      <w:r>
        <w:rPr>
          <w:rFonts w:hint="eastAsia" w:ascii="仿宋_GB2312" w:hAnsi="仿宋_GB2312" w:eastAsia="仿宋_GB2312" w:cs="仿宋_GB2312"/>
          <w:bCs/>
          <w:color w:val="000000"/>
          <w:sz w:val="32"/>
          <w:szCs w:val="32"/>
          <w:highlight w:val="none"/>
          <w:lang w:eastAsia="zh-CN"/>
        </w:rPr>
        <w:t>公开招标</w:t>
      </w:r>
      <w:r>
        <w:rPr>
          <w:rFonts w:hint="eastAsia" w:ascii="仿宋_GB2312" w:hAnsi="仿宋_GB2312" w:eastAsia="仿宋_GB2312" w:cs="仿宋_GB2312"/>
          <w:bCs/>
          <w:color w:val="000000"/>
          <w:sz w:val="32"/>
          <w:szCs w:val="32"/>
          <w:highlight w:val="none"/>
        </w:rPr>
        <w:t>响应文件</w:t>
      </w:r>
      <w:r>
        <w:rPr>
          <w:rFonts w:hint="eastAsia" w:ascii="仿宋_GB2312" w:hAnsi="仿宋_GB2312" w:eastAsia="仿宋_GB2312" w:cs="仿宋_GB2312"/>
          <w:color w:val="000000"/>
          <w:sz w:val="32"/>
          <w:szCs w:val="32"/>
          <w:highlight w:val="none"/>
        </w:rPr>
        <w:t>。</w:t>
      </w:r>
    </w:p>
    <w:p>
      <w:pPr>
        <w:widowControl w:val="0"/>
        <w:wordWrap/>
        <w:adjustRightInd/>
        <w:snapToGrid/>
        <w:spacing w:before="0" w:after="0" w:line="560" w:lineRule="exact"/>
        <w:ind w:left="0" w:leftChars="0" w:right="0"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bookmarkStart w:id="11" w:name="_Toc21616_WPSOffice_Level2"/>
      <w:r>
        <w:rPr>
          <w:rFonts w:hint="eastAsia" w:ascii="仿宋_GB2312" w:hAnsi="仿宋_GB2312" w:eastAsia="仿宋_GB2312" w:cs="仿宋_GB2312"/>
          <w:b/>
          <w:bCs/>
          <w:sz w:val="32"/>
          <w:szCs w:val="32"/>
        </w:rPr>
        <w:t>一.项目基本情况</w:t>
      </w:r>
      <w:bookmarkEnd w:id="11"/>
    </w:p>
    <w:p>
      <w:pPr>
        <w:widowControl w:val="0"/>
        <w:wordWrap/>
        <w:adjustRightInd/>
        <w:snapToGrid/>
        <w:spacing w:line="560" w:lineRule="exact"/>
        <w:ind w:right="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项目编号：</w:t>
      </w:r>
      <w:r>
        <w:rPr>
          <w:rFonts w:hint="eastAsia" w:ascii="仿宋_GB2312" w:hAnsi="仿宋_GB2312" w:eastAsia="仿宋_GB2312" w:cs="仿宋_GB2312"/>
          <w:color w:val="FF0000"/>
          <w:sz w:val="32"/>
          <w:szCs w:val="32"/>
          <w:highlight w:val="none"/>
        </w:rPr>
        <w:t>XJ</w:t>
      </w:r>
      <w:r>
        <w:rPr>
          <w:rFonts w:hint="eastAsia" w:ascii="仿宋_GB2312" w:hAnsi="仿宋_GB2312" w:eastAsia="仿宋_GB2312" w:cs="仿宋_GB2312"/>
          <w:color w:val="FF0000"/>
          <w:sz w:val="32"/>
          <w:szCs w:val="32"/>
          <w:highlight w:val="none"/>
          <w:lang w:val="en-US" w:eastAsia="zh-CN"/>
        </w:rPr>
        <w:t>CY-</w:t>
      </w:r>
      <w:r>
        <w:rPr>
          <w:rFonts w:hint="eastAsia" w:ascii="仿宋_GB2312" w:hAnsi="仿宋_GB2312" w:eastAsia="仿宋_GB2312" w:cs="仿宋_GB2312"/>
          <w:color w:val="FF0000"/>
          <w:sz w:val="32"/>
          <w:szCs w:val="32"/>
          <w:highlight w:val="none"/>
        </w:rPr>
        <w:t>202</w:t>
      </w:r>
      <w:r>
        <w:rPr>
          <w:rFonts w:hint="eastAsia" w:ascii="仿宋_GB2312" w:hAnsi="仿宋_GB2312" w:eastAsia="仿宋_GB2312" w:cs="仿宋_GB2312"/>
          <w:color w:val="FF0000"/>
          <w:sz w:val="32"/>
          <w:szCs w:val="32"/>
          <w:highlight w:val="none"/>
          <w:lang w:val="en-US" w:eastAsia="zh-CN"/>
        </w:rPr>
        <w:t>1</w:t>
      </w:r>
      <w:r>
        <w:rPr>
          <w:rFonts w:hint="eastAsia" w:ascii="仿宋_GB2312" w:hAnsi="仿宋_GB2312" w:eastAsia="仿宋_GB2312" w:cs="仿宋_GB2312"/>
          <w:color w:val="FF0000"/>
          <w:sz w:val="32"/>
          <w:szCs w:val="32"/>
          <w:highlight w:val="none"/>
        </w:rPr>
        <w:t>-</w:t>
      </w:r>
      <w:r>
        <w:rPr>
          <w:rFonts w:hint="eastAsia" w:ascii="仿宋_GB2312" w:hAnsi="仿宋_GB2312" w:eastAsia="仿宋_GB2312" w:cs="仿宋_GB2312"/>
          <w:color w:val="FF0000"/>
          <w:sz w:val="32"/>
          <w:szCs w:val="32"/>
          <w:highlight w:val="none"/>
          <w:lang w:val="en-US" w:eastAsia="zh-CN"/>
        </w:rPr>
        <w:t>FW-004</w:t>
      </w:r>
    </w:p>
    <w:p>
      <w:pPr>
        <w:widowControl w:val="0"/>
        <w:wordWrap/>
        <w:adjustRightInd/>
        <w:snapToGrid/>
        <w:spacing w:before="0" w:after="0" w:line="560" w:lineRule="exact"/>
        <w:ind w:left="0" w:leftChars="0" w:right="0" w:firstLine="64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项目名称：</w:t>
      </w:r>
      <w:r>
        <w:rPr>
          <w:rFonts w:hint="eastAsia" w:ascii="仿宋_GB2312" w:hAnsi="仿宋_GB2312" w:eastAsia="仿宋_GB2312" w:cs="仿宋_GB2312"/>
          <w:b w:val="0"/>
          <w:bCs w:val="0"/>
          <w:color w:val="auto"/>
          <w:w w:val="100"/>
          <w:sz w:val="32"/>
          <w:szCs w:val="32"/>
        </w:rPr>
        <w:t>新疆</w:t>
      </w:r>
      <w:r>
        <w:rPr>
          <w:rFonts w:hint="eastAsia" w:ascii="仿宋_GB2312" w:hAnsi="仿宋_GB2312" w:eastAsia="仿宋_GB2312" w:cs="仿宋_GB2312"/>
          <w:b w:val="0"/>
          <w:bCs w:val="0"/>
          <w:color w:val="auto"/>
          <w:w w:val="100"/>
          <w:sz w:val="32"/>
          <w:szCs w:val="32"/>
          <w:lang w:eastAsia="zh-CN"/>
        </w:rPr>
        <w:t>维吾尔</w:t>
      </w:r>
      <w:r>
        <w:rPr>
          <w:rFonts w:hint="eastAsia" w:ascii="仿宋_GB2312" w:hAnsi="仿宋_GB2312" w:eastAsia="仿宋_GB2312" w:cs="仿宋_GB2312"/>
          <w:b w:val="0"/>
          <w:bCs w:val="0"/>
          <w:color w:val="auto"/>
          <w:w w:val="100"/>
          <w:sz w:val="32"/>
          <w:szCs w:val="32"/>
        </w:rPr>
        <w:t>自治区公共机构节能管理系统</w:t>
      </w:r>
      <w:r>
        <w:rPr>
          <w:rFonts w:hint="eastAsia" w:ascii="仿宋_GB2312" w:hAnsi="仿宋_GB2312" w:eastAsia="仿宋_GB2312" w:cs="仿宋_GB2312"/>
          <w:b w:val="0"/>
          <w:bCs w:val="0"/>
          <w:color w:val="auto"/>
          <w:w w:val="100"/>
          <w:sz w:val="32"/>
          <w:szCs w:val="32"/>
          <w:lang w:eastAsia="zh-CN"/>
        </w:rPr>
        <w:t>（二期）建设</w:t>
      </w:r>
      <w:r>
        <w:rPr>
          <w:rFonts w:hint="eastAsia" w:ascii="仿宋_GB2312" w:hAnsi="仿宋_GB2312" w:eastAsia="仿宋_GB2312" w:cs="仿宋_GB2312"/>
          <w:b w:val="0"/>
          <w:bCs w:val="0"/>
          <w:color w:val="auto"/>
          <w:w w:val="100"/>
          <w:sz w:val="32"/>
          <w:szCs w:val="32"/>
        </w:rPr>
        <w:t>项目</w:t>
      </w:r>
    </w:p>
    <w:p>
      <w:pPr>
        <w:widowControl w:val="0"/>
        <w:wordWrap/>
        <w:adjustRightInd/>
        <w:snapToGrid/>
        <w:spacing w:line="560"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rPr>
        <w:t>采购方式：</w:t>
      </w:r>
      <w:r>
        <w:rPr>
          <w:rFonts w:hint="eastAsia" w:ascii="仿宋_GB2312" w:hAnsi="仿宋_GB2312" w:eastAsia="仿宋_GB2312" w:cs="仿宋_GB2312"/>
          <w:sz w:val="32"/>
          <w:szCs w:val="32"/>
          <w:highlight w:val="none"/>
          <w:lang w:eastAsia="zh-CN"/>
        </w:rPr>
        <w:sym w:font="Wingdings 2" w:char="0052"/>
      </w:r>
      <w:r>
        <w:rPr>
          <w:rFonts w:hint="eastAsia" w:ascii="仿宋_GB2312" w:hAnsi="仿宋_GB2312" w:eastAsia="仿宋_GB2312" w:cs="仿宋_GB2312"/>
          <w:sz w:val="32"/>
          <w:szCs w:val="32"/>
          <w:highlight w:val="none"/>
          <w:lang w:val="en-US" w:eastAsia="zh-CN"/>
        </w:rPr>
        <w:t xml:space="preserve">公开招标 </w:t>
      </w:r>
      <w:r>
        <w:rPr>
          <w:rFonts w:hint="eastAsia" w:ascii="仿宋_GB2312" w:hAnsi="仿宋_GB2312" w:eastAsia="仿宋_GB2312" w:cs="仿宋_GB2312"/>
          <w:sz w:val="32"/>
          <w:szCs w:val="32"/>
          <w:highlight w:val="none"/>
          <w:lang w:eastAsia="zh-CN"/>
        </w:rPr>
        <w:sym w:font="Wingdings 2" w:char="00A3"/>
      </w:r>
      <w:r>
        <w:rPr>
          <w:rFonts w:hint="eastAsia" w:ascii="仿宋_GB2312" w:hAnsi="仿宋_GB2312" w:eastAsia="仿宋_GB2312" w:cs="仿宋_GB2312"/>
          <w:sz w:val="32"/>
          <w:szCs w:val="32"/>
          <w:highlight w:val="none"/>
        </w:rPr>
        <w:t>竞争性谈判</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 xml:space="preserve"> </w:t>
      </w:r>
    </w:p>
    <w:p>
      <w:pPr>
        <w:widowControl w:val="0"/>
        <w:wordWrap/>
        <w:adjustRightInd/>
        <w:snapToGrid/>
        <w:spacing w:before="0" w:after="0" w:line="560" w:lineRule="exact"/>
        <w:ind w:left="0" w:leftChars="0" w:right="0" w:firstLine="64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预算金额（元）：</w:t>
      </w:r>
      <w:r>
        <w:rPr>
          <w:rFonts w:hint="eastAsia" w:ascii="仿宋_GB2312" w:hAnsi="仿宋_GB2312" w:eastAsia="仿宋_GB2312" w:cs="仿宋_GB2312"/>
          <w:color w:val="auto"/>
          <w:sz w:val="32"/>
          <w:szCs w:val="32"/>
          <w:lang w:val="en-US" w:eastAsia="zh-CN"/>
        </w:rPr>
        <w:t>130万元</w:t>
      </w:r>
    </w:p>
    <w:p>
      <w:pPr>
        <w:pStyle w:val="31"/>
        <w:rPr>
          <w:rFonts w:hint="eastAsia" w:eastAsia="仿宋"/>
          <w:color w:val="auto"/>
          <w:szCs w:val="21"/>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采购需求：</w:t>
      </w:r>
      <w:r>
        <w:rPr>
          <w:rFonts w:hint="eastAsia" w:ascii="仿宋_GB2312" w:hAnsi="仿宋_GB2312" w:eastAsia="仿宋_GB2312" w:cs="仿宋_GB2312"/>
          <w:color w:val="auto"/>
          <w:sz w:val="32"/>
          <w:szCs w:val="32"/>
          <w:lang w:val="en-US" w:eastAsia="zh-CN"/>
        </w:rPr>
        <w:t>基于</w:t>
      </w:r>
      <w:r>
        <w:rPr>
          <w:rFonts w:hint="eastAsia"/>
          <w:color w:val="auto"/>
          <w:szCs w:val="21"/>
          <w:lang w:eastAsia="zh-CN"/>
        </w:rPr>
        <w:t>自治区公共机构节能管理系统（一期）</w:t>
      </w:r>
      <w:r>
        <w:rPr>
          <w:rFonts w:hint="eastAsia"/>
          <w:color w:val="auto"/>
          <w:szCs w:val="21"/>
          <w:lang w:val="en-US" w:eastAsia="zh-CN"/>
        </w:rPr>
        <w:t>建设基</w:t>
      </w:r>
      <w:r>
        <w:rPr>
          <w:rFonts w:hint="eastAsia" w:ascii="仿宋" w:hAnsi="仿宋" w:eastAsia="仿宋" w:cs="仿宋"/>
          <w:color w:val="auto"/>
          <w:sz w:val="32"/>
          <w:szCs w:val="32"/>
          <w:lang w:val="en-US" w:eastAsia="zh-CN"/>
        </w:rPr>
        <w:t>础，根据实际业务管理需求，新建开发</w:t>
      </w:r>
      <w:r>
        <w:rPr>
          <w:rFonts w:hint="eastAsia" w:ascii="仿宋" w:hAnsi="仿宋" w:eastAsia="仿宋" w:cs="仿宋"/>
          <w:color w:val="auto"/>
          <w:sz w:val="32"/>
          <w:szCs w:val="32"/>
        </w:rPr>
        <w:t>数据展示分析、组织架构、创建管理、能源资源消费统计、垃圾分类管理、项目管理、机关运行成本管理和系统管理</w:t>
      </w:r>
      <w:r>
        <w:rPr>
          <w:rFonts w:hint="eastAsia" w:ascii="仿宋" w:hAnsi="仿宋" w:eastAsia="仿宋" w:cs="仿宋"/>
          <w:color w:val="auto"/>
          <w:sz w:val="32"/>
          <w:szCs w:val="32"/>
          <w:lang w:val="en-US" w:eastAsia="zh-CN"/>
        </w:rPr>
        <w:t>等8个</w:t>
      </w:r>
      <w:r>
        <w:rPr>
          <w:rFonts w:hint="eastAsia" w:ascii="仿宋" w:hAnsi="仿宋" w:eastAsia="仿宋" w:cs="仿宋"/>
          <w:color w:val="auto"/>
          <w:sz w:val="32"/>
          <w:szCs w:val="32"/>
        </w:rPr>
        <w:t>功能模块</w:t>
      </w:r>
      <w:r>
        <w:rPr>
          <w:rFonts w:hint="eastAsia" w:ascii="仿宋" w:hAnsi="仿宋" w:eastAsia="仿宋" w:cs="仿宋"/>
          <w:color w:val="auto"/>
          <w:sz w:val="32"/>
          <w:szCs w:val="32"/>
          <w:lang w:eastAsia="zh-CN"/>
        </w:rPr>
        <w:t>，</w:t>
      </w:r>
      <w:r>
        <w:rPr>
          <w:rFonts w:hint="eastAsia"/>
          <w:color w:val="auto"/>
          <w:szCs w:val="21"/>
        </w:rPr>
        <w:t>新增政策法规、通知公告、档案管理和节能产品技术目录库等功能</w:t>
      </w:r>
      <w:r>
        <w:rPr>
          <w:rFonts w:hint="eastAsia"/>
          <w:color w:val="auto"/>
          <w:szCs w:val="21"/>
          <w:lang w:eastAsia="zh-CN"/>
        </w:rPr>
        <w:t>，</w:t>
      </w:r>
      <w:r>
        <w:rPr>
          <w:rFonts w:hint="eastAsia"/>
          <w:color w:val="auto"/>
          <w:szCs w:val="21"/>
          <w:lang w:val="en-US" w:eastAsia="zh-CN"/>
        </w:rPr>
        <w:t>优化完善</w:t>
      </w:r>
      <w:r>
        <w:rPr>
          <w:rFonts w:hint="eastAsia"/>
          <w:color w:val="auto"/>
          <w:szCs w:val="21"/>
        </w:rPr>
        <w:t>组织机构管理模块和基础数据模块，</w:t>
      </w:r>
      <w:r>
        <w:rPr>
          <w:rFonts w:hint="eastAsia"/>
          <w:color w:val="auto"/>
          <w:szCs w:val="21"/>
          <w:lang w:val="en-US" w:eastAsia="zh-CN"/>
        </w:rPr>
        <w:t>完成</w:t>
      </w:r>
      <w:r>
        <w:rPr>
          <w:rFonts w:hint="eastAsia" w:ascii="仿宋" w:hAnsi="仿宋" w:eastAsia="仿宋" w:cs="仿宋"/>
          <w:color w:val="auto"/>
          <w:sz w:val="32"/>
          <w:szCs w:val="32"/>
        </w:rPr>
        <w:t>能源资源消费统计</w:t>
      </w:r>
      <w:r>
        <w:rPr>
          <w:rFonts w:hint="eastAsia" w:ascii="仿宋" w:hAnsi="仿宋" w:cs="仿宋"/>
          <w:color w:val="auto"/>
          <w:sz w:val="32"/>
          <w:szCs w:val="32"/>
          <w:lang w:val="en-US" w:eastAsia="zh-CN"/>
        </w:rPr>
        <w:t>系统既往数据的清洗、迁移和导入工作，实现与国管局</w:t>
      </w:r>
      <w:r>
        <w:rPr>
          <w:rFonts w:hint="eastAsia"/>
          <w:color w:val="auto"/>
          <w:szCs w:val="21"/>
        </w:rPr>
        <w:t>公共机构能源资源统计信息系统</w:t>
      </w:r>
      <w:r>
        <w:rPr>
          <w:rFonts w:hint="eastAsia"/>
          <w:color w:val="auto"/>
          <w:szCs w:val="21"/>
          <w:lang w:val="en-US" w:eastAsia="zh-CN"/>
        </w:rPr>
        <w:t>和自治区机关事务信息化中台数据对接。</w:t>
      </w:r>
    </w:p>
    <w:p>
      <w:pPr>
        <w:widowControl w:val="0"/>
        <w:wordWrap/>
        <w:adjustRightInd/>
        <w:snapToGrid/>
        <w:spacing w:before="0" w:after="0" w:line="560" w:lineRule="exact"/>
        <w:ind w:left="0" w:leftChars="0" w:right="0"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本项目（否）接受联合体投标。</w:t>
      </w:r>
    </w:p>
    <w:p>
      <w:pPr>
        <w:widowControl/>
        <w:numPr>
          <w:numId w:val="0"/>
        </w:numPr>
        <w:wordWrap/>
        <w:adjustRightInd/>
        <w:snapToGrid/>
        <w:spacing w:before="0" w:after="0" w:afterAutospacing="0" w:line="560" w:lineRule="exact"/>
        <w:ind w:leftChars="0" w:right="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lang w:val="en-US" w:eastAsia="zh-CN"/>
        </w:rPr>
        <w:t xml:space="preserve"> </w:t>
      </w:r>
      <w:bookmarkStart w:id="12" w:name="_Toc5139_WPSOffice_Level2"/>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rPr>
        <w:t>.申请人的资格要求：</w:t>
      </w:r>
      <w:bookmarkEnd w:id="12"/>
    </w:p>
    <w:p>
      <w:pPr>
        <w:widowControl/>
        <w:wordWrap/>
        <w:adjustRightInd/>
        <w:snapToGrid/>
        <w:spacing w:before="0" w:after="0" w:line="560" w:lineRule="exact"/>
        <w:ind w:left="3" w:leftChars="0" w:right="0" w:firstLine="560"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color w:val="393939"/>
          <w:kern w:val="0"/>
          <w:sz w:val="28"/>
          <w:szCs w:val="28"/>
          <w:lang w:val="en-US" w:eastAsia="zh-CN"/>
        </w:rPr>
        <w:t xml:space="preserve"> </w:t>
      </w:r>
      <w:r>
        <w:rPr>
          <w:rFonts w:hint="eastAsia" w:ascii="仿宋_GB2312" w:hAnsi="仿宋_GB2312" w:eastAsia="仿宋_GB2312" w:cs="仿宋_GB2312"/>
          <w:color w:val="393939"/>
          <w:kern w:val="0"/>
          <w:sz w:val="32"/>
          <w:szCs w:val="32"/>
          <w:lang w:val="en-US" w:eastAsia="zh-CN"/>
        </w:rPr>
        <w:t xml:space="preserve"> </w:t>
      </w:r>
      <w:r>
        <w:rPr>
          <w:rFonts w:hint="eastAsia" w:ascii="仿宋_GB2312" w:hAnsi="仿宋_GB2312" w:eastAsia="仿宋_GB2312" w:cs="仿宋_GB2312"/>
          <w:kern w:val="0"/>
          <w:sz w:val="32"/>
          <w:szCs w:val="32"/>
        </w:rPr>
        <w:t>1.满足《中华人民共和国政府采购法》第二十二条规定；</w:t>
      </w:r>
    </w:p>
    <w:p>
      <w:pPr>
        <w:widowControl/>
        <w:wordWrap/>
        <w:adjustRightInd/>
        <w:snapToGrid/>
        <w:spacing w:before="0" w:after="0" w:line="560" w:lineRule="exact"/>
        <w:ind w:left="3" w:leftChars="0" w:right="0" w:firstLine="640"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.本项目的特定资格要求：</w:t>
      </w:r>
    </w:p>
    <w:p>
      <w:pPr>
        <w:widowControl/>
        <w:wordWrap/>
        <w:adjustRightInd/>
        <w:snapToGrid/>
        <w:spacing w:before="0" w:after="0" w:line="560" w:lineRule="exact"/>
        <w:ind w:left="3" w:leftChars="0" w:right="0" w:firstLine="640"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（1）供应商必须拥有统一社会信用代码的营业执照，有能力提供本项目全部采购内容及服务能力；</w:t>
      </w:r>
    </w:p>
    <w:p>
      <w:pPr>
        <w:widowControl/>
        <w:wordWrap/>
        <w:adjustRightInd/>
        <w:snapToGrid/>
        <w:spacing w:before="0" w:after="0" w:line="560" w:lineRule="exact"/>
        <w:ind w:left="3" w:leftChars="0" w:right="0" w:firstLine="640"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（2）供应商具有相应的货物供货和安装、调试能力，并有良好的技术支持能力和较强的售后服务能力；</w:t>
      </w:r>
    </w:p>
    <w:p>
      <w:pPr>
        <w:widowControl/>
        <w:wordWrap/>
        <w:adjustRightInd/>
        <w:snapToGrid/>
        <w:spacing w:before="0" w:after="0" w:line="560" w:lineRule="exact"/>
        <w:ind w:left="3" w:leftChars="0" w:right="0" w:firstLine="640"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根据《关于在政府采购活动中查询及使用信用记录有关问题的通知》(财库[2016]125号)的规定，对被列入“失信被执行人”、“重大税收违法案件当事人名单”、“政府采购严重违法失信行为记录名单”的供应商，拒绝参与本项目政府采购活动【查询渠道：“信用中国”网站（www.creditchina.gov.cn）、中国政府采购网（http://www.ccgp.gov.cn/）。</w:t>
      </w:r>
    </w:p>
    <w:p>
      <w:pPr>
        <w:widowControl/>
        <w:wordWrap/>
        <w:adjustRightInd/>
        <w:snapToGrid/>
        <w:spacing w:before="0" w:after="0" w:line="560" w:lineRule="exact"/>
        <w:ind w:left="0" w:leftChars="0" w:right="0" w:firstLine="0" w:firstLineChars="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 xml:space="preserve">  3</w:t>
      </w:r>
      <w:r>
        <w:rPr>
          <w:rFonts w:hint="eastAsia" w:ascii="仿宋_GB2312" w:hAnsi="仿宋_GB2312" w:eastAsia="仿宋_GB2312" w:cs="仿宋_GB2312"/>
          <w:kern w:val="0"/>
          <w:sz w:val="32"/>
          <w:szCs w:val="32"/>
        </w:rPr>
        <w:t>.供应商不得存在下列情形之一：</w:t>
      </w:r>
    </w:p>
    <w:p>
      <w:pPr>
        <w:widowControl/>
        <w:wordWrap/>
        <w:adjustRightInd/>
        <w:snapToGrid/>
        <w:spacing w:before="0" w:after="0" w:line="560" w:lineRule="exact"/>
        <w:ind w:left="3" w:leftChars="0" w:right="0" w:firstLine="640"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（l）与采购人、采购代理机构存在隶属关系或者其他利害关系。</w:t>
      </w:r>
    </w:p>
    <w:p>
      <w:pPr>
        <w:widowControl/>
        <w:wordWrap/>
        <w:adjustRightInd/>
        <w:snapToGrid/>
        <w:spacing w:before="0" w:after="0" w:line="560" w:lineRule="exact"/>
        <w:ind w:left="3" w:leftChars="0" w:right="0" w:firstLine="640"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与其他供应商的法定代表人（或者负责人）为同一人；或者与其他供应商存在控股、关联关系；为采购项目提供整体设计、规范编制或者项目管理、监理、检测等服务的供应商，不得再参加本项目的采购活动。</w:t>
      </w:r>
    </w:p>
    <w:p>
      <w:pPr>
        <w:widowControl/>
        <w:wordWrap/>
        <w:adjustRightInd/>
        <w:snapToGrid/>
        <w:spacing w:before="0" w:after="0" w:line="560" w:lineRule="exact"/>
        <w:ind w:left="3" w:leftChars="0" w:right="0" w:firstLine="640"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受到刑事处罚，或者受到三万元以上的罚款、责令停产停业、在一至三年内禁止参加政府采购活动、暂扣或者吊销许可证、暂扣或者吊销执照等情形之一的行政处罚，或者存在财政部门认定的其他重大违法记录。</w:t>
      </w:r>
    </w:p>
    <w:p>
      <w:pPr>
        <w:widowControl/>
        <w:wordWrap/>
        <w:adjustRightInd/>
        <w:snapToGrid/>
        <w:spacing w:afterAutospacing="0" w:line="560" w:lineRule="exact"/>
        <w:ind w:left="0" w:leftChars="0" w:right="0"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5</w:t>
      </w:r>
      <w:r>
        <w:rPr>
          <w:rFonts w:hint="eastAsia" w:ascii="仿宋_GB2312" w:hAnsi="仿宋_GB2312" w:eastAsia="仿宋_GB2312" w:cs="仿宋_GB2312"/>
          <w:sz w:val="28"/>
          <w:szCs w:val="28"/>
        </w:rPr>
        <w:t>.</w:t>
      </w:r>
      <w:r>
        <w:rPr>
          <w:rFonts w:hint="eastAsia" w:ascii="仿宋_GB2312" w:hAnsi="仿宋_GB2312" w:eastAsia="仿宋_GB2312" w:cs="仿宋_GB2312"/>
          <w:sz w:val="32"/>
          <w:szCs w:val="32"/>
        </w:rPr>
        <w:t>本次招标不接受联合体投标。</w:t>
      </w:r>
    </w:p>
    <w:p>
      <w:pPr>
        <w:widowControl w:val="0"/>
        <w:wordWrap/>
        <w:adjustRightInd/>
        <w:snapToGrid/>
        <w:spacing w:before="0" w:after="0" w:line="560" w:lineRule="exact"/>
        <w:ind w:left="0" w:leftChars="0" w:right="0" w:firstLine="64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32"/>
          <w:szCs w:val="32"/>
        </w:rPr>
        <w:t>本次招标拟采用的资格审查办法为：资格后审。</w:t>
      </w:r>
    </w:p>
    <w:p>
      <w:pPr>
        <w:widowControl w:val="0"/>
        <w:wordWrap/>
        <w:adjustRightInd/>
        <w:snapToGrid/>
        <w:spacing w:before="0" w:after="0" w:line="560" w:lineRule="exact"/>
        <w:ind w:left="0" w:leftChars="0" w:right="0" w:firstLine="640"/>
        <w:textAlignment w:val="auto"/>
        <w:outlineLvl w:val="9"/>
        <w:rPr>
          <w:rFonts w:hint="eastAsia" w:ascii="仿宋_GB2312" w:hAnsi="仿宋_GB2312" w:eastAsia="仿宋_GB2312" w:cs="仿宋_GB2312"/>
          <w:b/>
          <w:bCs/>
          <w:sz w:val="32"/>
          <w:szCs w:val="32"/>
        </w:rPr>
      </w:pPr>
      <w:bookmarkStart w:id="13" w:name="_Toc27971_WPSOffice_Level2"/>
      <w:r>
        <w:rPr>
          <w:rFonts w:hint="eastAsia" w:ascii="仿宋_GB2312" w:hAnsi="仿宋_GB2312" w:eastAsia="仿宋_GB2312" w:cs="仿宋_GB2312"/>
          <w:b/>
          <w:bCs/>
          <w:sz w:val="32"/>
          <w:szCs w:val="32"/>
        </w:rPr>
        <w:t>三.获取招标文件</w:t>
      </w:r>
      <w:bookmarkEnd w:id="13"/>
    </w:p>
    <w:p>
      <w:pPr>
        <w:widowControl w:val="0"/>
        <w:wordWrap/>
        <w:adjustRightInd/>
        <w:snapToGrid/>
        <w:spacing w:line="560" w:lineRule="exact"/>
        <w:ind w:right="0" w:firstLine="5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FF0000"/>
          <w:sz w:val="32"/>
          <w:szCs w:val="32"/>
          <w:highlight w:val="none"/>
          <w:lang w:eastAsia="zh-CN"/>
        </w:rPr>
        <w:t>采购文件获取</w:t>
      </w:r>
      <w:r>
        <w:rPr>
          <w:rFonts w:hint="eastAsia" w:ascii="仿宋_GB2312" w:hAnsi="仿宋_GB2312" w:eastAsia="仿宋_GB2312" w:cs="仿宋_GB2312"/>
          <w:color w:val="FF0000"/>
          <w:sz w:val="32"/>
          <w:szCs w:val="32"/>
          <w:highlight w:val="none"/>
        </w:rPr>
        <w:t>时间：</w:t>
      </w:r>
      <w:r>
        <w:rPr>
          <w:rFonts w:hint="eastAsia" w:ascii="仿宋_GB2312" w:hAnsi="仿宋_GB2312" w:eastAsia="仿宋_GB2312" w:cs="仿宋_GB2312"/>
          <w:color w:val="FF0000"/>
          <w:sz w:val="32"/>
          <w:szCs w:val="32"/>
          <w:highlight w:val="none"/>
          <w:u w:val="single"/>
          <w:lang w:val="en-US" w:eastAsia="zh-CN"/>
        </w:rPr>
        <w:t>2021</w:t>
      </w:r>
      <w:r>
        <w:rPr>
          <w:rFonts w:hint="eastAsia" w:ascii="仿宋_GB2312" w:hAnsi="仿宋_GB2312" w:eastAsia="仿宋_GB2312" w:cs="仿宋_GB2312"/>
          <w:color w:val="FF0000"/>
          <w:sz w:val="32"/>
          <w:szCs w:val="32"/>
          <w:highlight w:val="none"/>
          <w:u w:val="single"/>
        </w:rPr>
        <w:t>年</w:t>
      </w:r>
      <w:r>
        <w:rPr>
          <w:rFonts w:hint="eastAsia" w:ascii="仿宋_GB2312" w:hAnsi="仿宋_GB2312" w:eastAsia="仿宋_GB2312" w:cs="仿宋_GB2312"/>
          <w:color w:val="FF0000"/>
          <w:sz w:val="32"/>
          <w:szCs w:val="32"/>
          <w:highlight w:val="none"/>
          <w:u w:val="single"/>
          <w:lang w:val="en-US" w:eastAsia="zh-CN"/>
        </w:rPr>
        <w:t>10</w:t>
      </w:r>
      <w:r>
        <w:rPr>
          <w:rFonts w:hint="eastAsia" w:ascii="仿宋_GB2312" w:hAnsi="仿宋_GB2312" w:eastAsia="仿宋_GB2312" w:cs="仿宋_GB2312"/>
          <w:color w:val="FF0000"/>
          <w:sz w:val="32"/>
          <w:szCs w:val="32"/>
          <w:highlight w:val="none"/>
          <w:u w:val="single"/>
        </w:rPr>
        <w:t>月</w:t>
      </w:r>
      <w:r>
        <w:rPr>
          <w:rFonts w:hint="eastAsia" w:ascii="仿宋_GB2312" w:hAnsi="仿宋_GB2312" w:eastAsia="仿宋_GB2312" w:cs="仿宋_GB2312"/>
          <w:color w:val="FF0000"/>
          <w:sz w:val="32"/>
          <w:szCs w:val="32"/>
          <w:highlight w:val="none"/>
          <w:u w:val="single"/>
          <w:lang w:val="en-US" w:eastAsia="zh-CN"/>
        </w:rPr>
        <w:t>08</w:t>
      </w:r>
      <w:r>
        <w:rPr>
          <w:rFonts w:hint="eastAsia" w:ascii="仿宋_GB2312" w:hAnsi="仿宋_GB2312" w:eastAsia="仿宋_GB2312" w:cs="仿宋_GB2312"/>
          <w:color w:val="FF0000"/>
          <w:sz w:val="32"/>
          <w:szCs w:val="32"/>
          <w:highlight w:val="none"/>
          <w:u w:val="single"/>
        </w:rPr>
        <w:t>日</w:t>
      </w:r>
      <w:r>
        <w:rPr>
          <w:rFonts w:hint="eastAsia" w:ascii="仿宋_GB2312" w:hAnsi="仿宋_GB2312" w:eastAsia="仿宋_GB2312" w:cs="仿宋_GB2312"/>
          <w:color w:val="FF0000"/>
          <w:sz w:val="32"/>
          <w:szCs w:val="32"/>
          <w:highlight w:val="none"/>
        </w:rPr>
        <w:t>至</w:t>
      </w:r>
      <w:r>
        <w:rPr>
          <w:rFonts w:hint="eastAsia" w:ascii="仿宋_GB2312" w:hAnsi="仿宋_GB2312" w:eastAsia="仿宋_GB2312" w:cs="仿宋_GB2312"/>
          <w:color w:val="FF0000"/>
          <w:sz w:val="32"/>
          <w:szCs w:val="32"/>
          <w:highlight w:val="none"/>
          <w:u w:val="single"/>
          <w:lang w:val="en-US" w:eastAsia="zh-CN"/>
        </w:rPr>
        <w:t>2021</w:t>
      </w:r>
      <w:r>
        <w:rPr>
          <w:rFonts w:hint="eastAsia" w:ascii="仿宋_GB2312" w:hAnsi="仿宋_GB2312" w:eastAsia="仿宋_GB2312" w:cs="仿宋_GB2312"/>
          <w:color w:val="FF0000"/>
          <w:sz w:val="32"/>
          <w:szCs w:val="32"/>
          <w:highlight w:val="none"/>
          <w:u w:val="single"/>
        </w:rPr>
        <w:t>年</w:t>
      </w:r>
      <w:r>
        <w:rPr>
          <w:rFonts w:hint="eastAsia" w:ascii="仿宋_GB2312" w:hAnsi="仿宋_GB2312" w:eastAsia="仿宋_GB2312" w:cs="仿宋_GB2312"/>
          <w:color w:val="FF0000"/>
          <w:sz w:val="32"/>
          <w:szCs w:val="32"/>
          <w:highlight w:val="none"/>
          <w:u w:val="single"/>
          <w:lang w:val="en-US" w:eastAsia="zh-CN"/>
        </w:rPr>
        <w:t>10</w:t>
      </w:r>
      <w:r>
        <w:rPr>
          <w:rFonts w:hint="eastAsia" w:ascii="仿宋_GB2312" w:hAnsi="仿宋_GB2312" w:eastAsia="仿宋_GB2312" w:cs="仿宋_GB2312"/>
          <w:color w:val="FF0000"/>
          <w:sz w:val="32"/>
          <w:szCs w:val="32"/>
          <w:highlight w:val="none"/>
          <w:u w:val="single"/>
        </w:rPr>
        <w:t>月</w:t>
      </w:r>
      <w:r>
        <w:rPr>
          <w:rFonts w:hint="eastAsia" w:ascii="仿宋_GB2312" w:hAnsi="仿宋_GB2312" w:eastAsia="仿宋_GB2312" w:cs="仿宋_GB2312"/>
          <w:color w:val="FF0000"/>
          <w:sz w:val="32"/>
          <w:szCs w:val="32"/>
          <w:highlight w:val="none"/>
          <w:u w:val="single"/>
          <w:lang w:val="en-US" w:eastAsia="zh-CN"/>
        </w:rPr>
        <w:t>14</w:t>
      </w:r>
      <w:r>
        <w:rPr>
          <w:rFonts w:hint="eastAsia" w:ascii="仿宋_GB2312" w:hAnsi="仿宋_GB2312" w:eastAsia="仿宋_GB2312" w:cs="仿宋_GB2312"/>
          <w:color w:val="FF0000"/>
          <w:sz w:val="32"/>
          <w:szCs w:val="32"/>
          <w:highlight w:val="none"/>
          <w:u w:val="single"/>
        </w:rPr>
        <w:t>日</w:t>
      </w:r>
      <w:r>
        <w:rPr>
          <w:rFonts w:hint="eastAsia" w:ascii="仿宋_GB2312" w:hAnsi="仿宋_GB2312" w:eastAsia="仿宋_GB2312" w:cs="仿宋_GB2312"/>
          <w:color w:val="FF0000"/>
          <w:sz w:val="32"/>
          <w:szCs w:val="32"/>
          <w:highlight w:val="none"/>
        </w:rPr>
        <w:t>，每天上午</w:t>
      </w:r>
      <w:r>
        <w:rPr>
          <w:rFonts w:hint="eastAsia" w:ascii="仿宋_GB2312" w:hAnsi="仿宋_GB2312" w:eastAsia="仿宋_GB2312" w:cs="仿宋_GB2312"/>
          <w:color w:val="FF0000"/>
          <w:sz w:val="32"/>
          <w:szCs w:val="32"/>
          <w:highlight w:val="none"/>
          <w:u w:val="single"/>
          <w:lang w:val="en-US" w:eastAsia="zh-CN"/>
        </w:rPr>
        <w:t>10：30</w:t>
      </w:r>
      <w:r>
        <w:rPr>
          <w:rFonts w:hint="eastAsia" w:ascii="仿宋_GB2312" w:hAnsi="仿宋_GB2312" w:eastAsia="仿宋_GB2312" w:cs="仿宋_GB2312"/>
          <w:color w:val="FF0000"/>
          <w:sz w:val="32"/>
          <w:szCs w:val="32"/>
          <w:highlight w:val="none"/>
        </w:rPr>
        <w:t>至</w:t>
      </w:r>
      <w:r>
        <w:rPr>
          <w:rFonts w:hint="eastAsia" w:ascii="仿宋_GB2312" w:hAnsi="仿宋_GB2312" w:eastAsia="仿宋_GB2312" w:cs="仿宋_GB2312"/>
          <w:color w:val="FF0000"/>
          <w:sz w:val="32"/>
          <w:szCs w:val="32"/>
          <w:highlight w:val="none"/>
          <w:u w:val="single"/>
          <w:lang w:val="en-US" w:eastAsia="zh-CN"/>
        </w:rPr>
        <w:t>13：30</w:t>
      </w:r>
      <w:r>
        <w:rPr>
          <w:rFonts w:hint="eastAsia" w:ascii="仿宋_GB2312" w:hAnsi="仿宋_GB2312" w:eastAsia="仿宋_GB2312" w:cs="仿宋_GB2312"/>
          <w:color w:val="FF0000"/>
          <w:sz w:val="32"/>
          <w:szCs w:val="32"/>
          <w:highlight w:val="none"/>
        </w:rPr>
        <w:t>，下</w:t>
      </w:r>
      <w:r>
        <w:rPr>
          <w:rFonts w:hint="eastAsia" w:ascii="仿宋_GB2312" w:hAnsi="仿宋_GB2312" w:eastAsia="仿宋_GB2312" w:cs="仿宋_GB2312"/>
          <w:color w:val="FF0000"/>
          <w:sz w:val="32"/>
          <w:szCs w:val="32"/>
          <w:highlight w:val="none"/>
          <w:lang w:val="en-US" w:eastAsia="zh-CN"/>
        </w:rPr>
        <w:t>午:</w:t>
      </w:r>
      <w:r>
        <w:rPr>
          <w:rFonts w:hint="eastAsia" w:ascii="仿宋_GB2312" w:hAnsi="仿宋_GB2312" w:eastAsia="仿宋_GB2312" w:cs="仿宋_GB2312"/>
          <w:color w:val="FF0000"/>
          <w:sz w:val="32"/>
          <w:szCs w:val="32"/>
          <w:highlight w:val="none"/>
          <w:u w:val="single"/>
          <w:lang w:val="en-US" w:eastAsia="zh-CN"/>
        </w:rPr>
        <w:t>15:30</w:t>
      </w:r>
      <w:r>
        <w:rPr>
          <w:rFonts w:hint="eastAsia" w:ascii="仿宋_GB2312" w:hAnsi="仿宋_GB2312" w:eastAsia="仿宋_GB2312" w:cs="仿宋_GB2312"/>
          <w:color w:val="FF0000"/>
          <w:sz w:val="32"/>
          <w:szCs w:val="32"/>
          <w:highlight w:val="none"/>
        </w:rPr>
        <w:t>至</w:t>
      </w:r>
      <w:r>
        <w:rPr>
          <w:rFonts w:hint="eastAsia" w:ascii="仿宋_GB2312" w:hAnsi="仿宋_GB2312" w:eastAsia="仿宋_GB2312" w:cs="仿宋_GB2312"/>
          <w:color w:val="FF0000"/>
          <w:sz w:val="32"/>
          <w:szCs w:val="32"/>
          <w:highlight w:val="none"/>
          <w:u w:val="single" w:color="auto"/>
          <w:lang w:val="en-US" w:eastAsia="zh-CN"/>
        </w:rPr>
        <w:t>19：</w:t>
      </w:r>
      <w:r>
        <w:rPr>
          <w:rFonts w:hint="eastAsia" w:ascii="仿宋_GB2312" w:hAnsi="仿宋_GB2312" w:eastAsia="仿宋_GB2312" w:cs="仿宋_GB2312"/>
          <w:color w:val="FF0000"/>
          <w:sz w:val="32"/>
          <w:szCs w:val="32"/>
          <w:highlight w:val="none"/>
          <w:u w:val="single"/>
          <w:lang w:val="en-US" w:eastAsia="zh-CN"/>
        </w:rPr>
        <w:t>30</w:t>
      </w:r>
      <w:r>
        <w:rPr>
          <w:rFonts w:hint="eastAsia" w:ascii="仿宋_GB2312" w:hAnsi="仿宋_GB2312" w:eastAsia="仿宋_GB2312" w:cs="仿宋_GB2312"/>
          <w:color w:val="FF0000"/>
          <w:sz w:val="32"/>
          <w:szCs w:val="32"/>
          <w:highlight w:val="none"/>
        </w:rPr>
        <w:t>（北京时间，法定节假日除外 ）</w:t>
      </w:r>
      <w:r>
        <w:rPr>
          <w:rFonts w:hint="eastAsia" w:ascii="仿宋_GB2312" w:hAnsi="仿宋_GB2312" w:eastAsia="仿宋_GB2312" w:cs="仿宋_GB2312"/>
          <w:color w:val="FF0000"/>
          <w:sz w:val="32"/>
          <w:szCs w:val="32"/>
          <w:highlight w:val="none"/>
          <w:lang w:eastAsia="zh-CN"/>
        </w:rPr>
        <w:t>。</w:t>
      </w:r>
    </w:p>
    <w:p>
      <w:pPr>
        <w:widowControl w:val="0"/>
        <w:wordWrap/>
        <w:adjustRightInd/>
        <w:snapToGrid/>
        <w:spacing w:line="560" w:lineRule="exact"/>
        <w:ind w:right="0"/>
        <w:textAlignment w:val="auto"/>
        <w:rPr>
          <w:rFonts w:hint="eastAsia" w:ascii="仿宋_GB2312" w:hAnsi="仿宋_GB2312" w:eastAsia="仿宋_GB2312" w:cs="仿宋_GB2312"/>
          <w:sz w:val="32"/>
          <w:szCs w:val="32"/>
          <w:highlight w:val="none"/>
          <w:u w:val="single"/>
        </w:rPr>
      </w:pPr>
      <w:r>
        <w:rPr>
          <w:rFonts w:hint="eastAsia" w:ascii="仿宋_GB2312" w:hAnsi="仿宋_GB2312" w:eastAsia="仿宋_GB2312" w:cs="仿宋_GB2312"/>
          <w:sz w:val="32"/>
          <w:szCs w:val="32"/>
          <w:highlight w:val="none"/>
          <w:lang w:eastAsia="zh-CN"/>
        </w:rPr>
        <w:t>采购文件获取</w:t>
      </w:r>
      <w:r>
        <w:rPr>
          <w:rFonts w:hint="eastAsia" w:ascii="仿宋_GB2312" w:hAnsi="仿宋_GB2312" w:eastAsia="仿宋_GB2312" w:cs="仿宋_GB2312"/>
          <w:sz w:val="32"/>
          <w:szCs w:val="32"/>
          <w:highlight w:val="none"/>
        </w:rPr>
        <w:t>地点：</w:t>
      </w:r>
      <w:r>
        <w:rPr>
          <w:rFonts w:hint="eastAsia" w:ascii="仿宋_GB2312" w:hAnsi="仿宋_GB2312" w:eastAsia="仿宋_GB2312" w:cs="仿宋_GB2312"/>
          <w:sz w:val="32"/>
          <w:szCs w:val="32"/>
          <w:shd w:val="clear" w:color="auto" w:fill="FFFFFF"/>
          <w:lang w:val="en-US" w:eastAsia="zh-CN"/>
        </w:rPr>
        <w:t>乌鲁木齐高新区（新市区）北京南路591号自治区广播电视局高层南楼1203室。</w:t>
      </w:r>
    </w:p>
    <w:p>
      <w:pPr>
        <w:widowControl w:val="0"/>
        <w:wordWrap/>
        <w:adjustRightInd/>
        <w:snapToGrid/>
        <w:spacing w:line="560" w:lineRule="exact"/>
        <w:ind w:right="0" w:firstLine="5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highlight w:val="none"/>
          <w:lang w:eastAsia="zh-CN"/>
        </w:rPr>
        <w:t>采购文件获取</w:t>
      </w:r>
      <w:r>
        <w:rPr>
          <w:rFonts w:hint="eastAsia" w:ascii="仿宋_GB2312" w:hAnsi="仿宋_GB2312" w:eastAsia="仿宋_GB2312" w:cs="仿宋_GB2312"/>
          <w:sz w:val="32"/>
          <w:szCs w:val="32"/>
          <w:highlight w:val="none"/>
        </w:rPr>
        <w:t>方式：</w:t>
      </w:r>
      <w:r>
        <w:rPr>
          <w:rFonts w:hint="eastAsia" w:ascii="仿宋_GB2312" w:hAnsi="仿宋_GB2312" w:eastAsia="仿宋_GB2312" w:cs="仿宋_GB2312"/>
          <w:sz w:val="32"/>
          <w:szCs w:val="32"/>
          <w:highlight w:val="none"/>
          <w:lang w:val="en-US" w:eastAsia="zh-CN"/>
        </w:rPr>
        <w:t>线下获取，现场报名。</w:t>
      </w:r>
    </w:p>
    <w:p>
      <w:pPr>
        <w:widowControl w:val="0"/>
        <w:wordWrap/>
        <w:adjustRightInd/>
        <w:snapToGrid/>
        <w:spacing w:before="0" w:after="0" w:line="560" w:lineRule="exact"/>
        <w:ind w:left="0" w:leftChars="0" w:right="0" w:firstLine="64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售价（元）：</w:t>
      </w:r>
      <w:r>
        <w:rPr>
          <w:rFonts w:hint="eastAsia" w:ascii="仿宋_GB2312" w:hAnsi="仿宋_GB2312" w:eastAsia="仿宋_GB2312" w:cs="仿宋_GB2312"/>
          <w:color w:val="000000"/>
          <w:sz w:val="32"/>
          <w:szCs w:val="32"/>
          <w:lang w:val="en-US" w:eastAsia="zh-CN"/>
        </w:rPr>
        <w:t>300元人民币/份，售后不退。</w:t>
      </w:r>
    </w:p>
    <w:p>
      <w:pPr>
        <w:widowControl w:val="0"/>
        <w:wordWrap/>
        <w:adjustRightInd/>
        <w:snapToGrid/>
        <w:spacing w:before="0" w:after="0" w:line="560" w:lineRule="exact"/>
        <w:ind w:left="0" w:leftChars="0" w:right="0" w:firstLine="640"/>
        <w:textAlignment w:val="auto"/>
        <w:outlineLvl w:val="9"/>
        <w:rPr>
          <w:rFonts w:hint="eastAsia" w:ascii="仿宋_GB2312" w:hAnsi="仿宋_GB2312" w:eastAsia="仿宋_GB2312" w:cs="仿宋_GB2312"/>
          <w:b/>
          <w:bCs/>
          <w:color w:val="000000"/>
          <w:sz w:val="32"/>
          <w:szCs w:val="32"/>
        </w:rPr>
      </w:pPr>
      <w:bookmarkStart w:id="14" w:name="_Toc2332_WPSOffice_Level2"/>
      <w:r>
        <w:rPr>
          <w:rFonts w:hint="eastAsia" w:ascii="仿宋_GB2312" w:hAnsi="仿宋_GB2312" w:eastAsia="仿宋_GB2312" w:cs="仿宋_GB2312"/>
          <w:b/>
          <w:bCs/>
          <w:color w:val="000000"/>
          <w:sz w:val="32"/>
          <w:szCs w:val="32"/>
        </w:rPr>
        <w:t>四</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color w:val="000000"/>
          <w:sz w:val="32"/>
          <w:szCs w:val="32"/>
        </w:rPr>
        <w:t>提交投标文件截止时间、开标时间和地点</w:t>
      </w:r>
      <w:bookmarkEnd w:id="14"/>
    </w:p>
    <w:p>
      <w:pPr>
        <w:widowControl w:val="0"/>
        <w:wordWrap/>
        <w:adjustRightInd/>
        <w:snapToGrid/>
        <w:spacing w:line="560" w:lineRule="exact"/>
        <w:ind w:right="0" w:firstLine="640" w:firstLineChars="200"/>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color w:val="FF0000"/>
          <w:sz w:val="32"/>
          <w:szCs w:val="32"/>
          <w:highlight w:val="none"/>
        </w:rPr>
        <w:t>截止时间：</w:t>
      </w:r>
      <w:r>
        <w:rPr>
          <w:rFonts w:hint="eastAsia" w:ascii="仿宋_GB2312" w:hAnsi="仿宋_GB2312" w:eastAsia="仿宋_GB2312" w:cs="仿宋_GB2312"/>
          <w:color w:val="FF0000"/>
          <w:sz w:val="32"/>
          <w:szCs w:val="32"/>
          <w:highlight w:val="none"/>
          <w:u w:val="single"/>
          <w:lang w:val="en-US" w:eastAsia="zh-CN"/>
        </w:rPr>
        <w:t>2021</w:t>
      </w:r>
      <w:r>
        <w:rPr>
          <w:rFonts w:hint="eastAsia" w:ascii="仿宋_GB2312" w:hAnsi="仿宋_GB2312" w:eastAsia="仿宋_GB2312" w:cs="仿宋_GB2312"/>
          <w:bCs/>
          <w:color w:val="FF0000"/>
          <w:sz w:val="32"/>
          <w:szCs w:val="32"/>
          <w:highlight w:val="none"/>
          <w:u w:val="single"/>
        </w:rPr>
        <w:t>年</w:t>
      </w:r>
      <w:r>
        <w:rPr>
          <w:rFonts w:hint="eastAsia" w:ascii="仿宋_GB2312" w:hAnsi="仿宋_GB2312" w:eastAsia="仿宋_GB2312" w:cs="仿宋_GB2312"/>
          <w:bCs/>
          <w:color w:val="FF0000"/>
          <w:sz w:val="32"/>
          <w:szCs w:val="32"/>
          <w:highlight w:val="none"/>
          <w:u w:val="single"/>
          <w:lang w:val="en-US" w:eastAsia="zh-CN"/>
        </w:rPr>
        <w:t>10</w:t>
      </w:r>
      <w:r>
        <w:rPr>
          <w:rFonts w:hint="eastAsia" w:ascii="仿宋_GB2312" w:hAnsi="仿宋_GB2312" w:eastAsia="仿宋_GB2312" w:cs="仿宋_GB2312"/>
          <w:bCs/>
          <w:color w:val="FF0000"/>
          <w:sz w:val="32"/>
          <w:szCs w:val="32"/>
          <w:highlight w:val="none"/>
          <w:u w:val="single"/>
        </w:rPr>
        <w:t>月</w:t>
      </w:r>
      <w:r>
        <w:rPr>
          <w:rFonts w:hint="eastAsia" w:ascii="仿宋_GB2312" w:hAnsi="仿宋_GB2312" w:eastAsia="仿宋_GB2312" w:cs="仿宋_GB2312"/>
          <w:bCs/>
          <w:color w:val="FF0000"/>
          <w:sz w:val="32"/>
          <w:szCs w:val="32"/>
          <w:highlight w:val="none"/>
          <w:u w:val="single"/>
          <w:lang w:val="en-US" w:eastAsia="zh-CN"/>
        </w:rPr>
        <w:t>28</w:t>
      </w:r>
      <w:r>
        <w:rPr>
          <w:rFonts w:hint="eastAsia" w:ascii="仿宋_GB2312" w:hAnsi="仿宋_GB2312" w:eastAsia="仿宋_GB2312" w:cs="仿宋_GB2312"/>
          <w:bCs/>
          <w:color w:val="FF0000"/>
          <w:sz w:val="32"/>
          <w:szCs w:val="32"/>
          <w:highlight w:val="none"/>
          <w:u w:val="single"/>
        </w:rPr>
        <w:t>日</w:t>
      </w:r>
      <w:r>
        <w:rPr>
          <w:rFonts w:hint="eastAsia" w:ascii="仿宋_GB2312" w:hAnsi="仿宋_GB2312" w:eastAsia="仿宋_GB2312" w:cs="仿宋_GB2312"/>
          <w:bCs/>
          <w:color w:val="FF0000"/>
          <w:sz w:val="32"/>
          <w:szCs w:val="32"/>
          <w:highlight w:val="none"/>
          <w:u w:val="single"/>
          <w:lang w:val="en-US" w:eastAsia="zh-CN"/>
        </w:rPr>
        <w:t>11</w:t>
      </w:r>
      <w:r>
        <w:rPr>
          <w:rFonts w:hint="eastAsia" w:ascii="仿宋_GB2312" w:hAnsi="仿宋_GB2312" w:eastAsia="仿宋_GB2312" w:cs="仿宋_GB2312"/>
          <w:bCs/>
          <w:color w:val="FF0000"/>
          <w:sz w:val="32"/>
          <w:szCs w:val="32"/>
          <w:highlight w:val="none"/>
          <w:u w:val="single"/>
        </w:rPr>
        <w:t>点</w:t>
      </w:r>
      <w:r>
        <w:rPr>
          <w:rFonts w:hint="eastAsia" w:ascii="仿宋_GB2312" w:hAnsi="仿宋_GB2312" w:eastAsia="仿宋_GB2312" w:cs="仿宋_GB2312"/>
          <w:bCs/>
          <w:color w:val="FF0000"/>
          <w:sz w:val="32"/>
          <w:szCs w:val="32"/>
          <w:highlight w:val="none"/>
          <w:u w:val="single"/>
          <w:lang w:val="en-US" w:eastAsia="zh-CN"/>
        </w:rPr>
        <w:t>00</w:t>
      </w:r>
      <w:r>
        <w:rPr>
          <w:rFonts w:hint="eastAsia" w:ascii="仿宋_GB2312" w:hAnsi="仿宋_GB2312" w:eastAsia="仿宋_GB2312" w:cs="仿宋_GB2312"/>
          <w:bCs/>
          <w:color w:val="FF0000"/>
          <w:sz w:val="32"/>
          <w:szCs w:val="32"/>
          <w:highlight w:val="none"/>
          <w:u w:val="single"/>
        </w:rPr>
        <w:t>分</w:t>
      </w:r>
      <w:r>
        <w:rPr>
          <w:rFonts w:hint="eastAsia" w:ascii="仿宋_GB2312" w:hAnsi="仿宋_GB2312" w:eastAsia="仿宋_GB2312" w:cs="仿宋_GB2312"/>
          <w:bCs/>
          <w:color w:val="FF0000"/>
          <w:sz w:val="32"/>
          <w:szCs w:val="32"/>
          <w:highlight w:val="none"/>
        </w:rPr>
        <w:t>（北京时间）</w:t>
      </w:r>
    </w:p>
    <w:p>
      <w:pPr>
        <w:widowControl w:val="0"/>
        <w:wordWrap/>
        <w:adjustRightInd/>
        <w:snapToGrid/>
        <w:spacing w:line="560" w:lineRule="exact"/>
        <w:ind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rPr>
        <w:t>投标</w:t>
      </w:r>
      <w:r>
        <w:rPr>
          <w:rFonts w:hint="eastAsia" w:ascii="仿宋_GB2312" w:hAnsi="仿宋_GB2312" w:eastAsia="仿宋_GB2312" w:cs="仿宋_GB2312"/>
          <w:sz w:val="32"/>
          <w:szCs w:val="32"/>
          <w:highlight w:val="none"/>
        </w:rPr>
        <w:t>地点：</w:t>
      </w:r>
      <w:r>
        <w:rPr>
          <w:rFonts w:hint="eastAsia" w:ascii="仿宋_GB2312" w:hAnsi="仿宋_GB2312" w:eastAsia="仿宋_GB2312" w:cs="仿宋_GB2312"/>
          <w:sz w:val="32"/>
          <w:szCs w:val="32"/>
          <w:shd w:val="clear" w:color="auto" w:fill="FFFFFF"/>
          <w:lang w:val="en-US" w:eastAsia="zh-CN"/>
        </w:rPr>
        <w:t>乌鲁木齐高新区（新市区）北京南路591号自治区广播电视局高层南楼1203室</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eastAsia="zh-CN"/>
        </w:rPr>
        <w:t>。</w:t>
      </w:r>
    </w:p>
    <w:p>
      <w:pPr>
        <w:widowControl w:val="0"/>
        <w:wordWrap/>
        <w:adjustRightInd/>
        <w:snapToGrid/>
        <w:spacing w:line="560" w:lineRule="exact"/>
        <w:ind w:right="0" w:firstLine="640" w:firstLineChars="200"/>
        <w:textAlignment w:val="auto"/>
        <w:rPr>
          <w:rFonts w:hint="eastAsia" w:ascii="仿宋_GB2312" w:hAnsi="仿宋_GB2312" w:eastAsia="仿宋_GB2312" w:cs="仿宋_GB2312"/>
          <w:bCs/>
          <w:color w:val="FF0000"/>
          <w:sz w:val="32"/>
          <w:szCs w:val="32"/>
          <w:highlight w:val="none"/>
        </w:rPr>
      </w:pPr>
      <w:r>
        <w:rPr>
          <w:rFonts w:hint="eastAsia" w:ascii="仿宋_GB2312" w:hAnsi="仿宋_GB2312" w:eastAsia="仿宋_GB2312" w:cs="仿宋_GB2312"/>
          <w:color w:val="FF0000"/>
          <w:sz w:val="32"/>
          <w:szCs w:val="32"/>
          <w:highlight w:val="none"/>
          <w:lang w:eastAsia="zh-CN"/>
        </w:rPr>
        <w:t>开标</w:t>
      </w:r>
      <w:r>
        <w:rPr>
          <w:rFonts w:hint="eastAsia" w:ascii="仿宋_GB2312" w:hAnsi="仿宋_GB2312" w:eastAsia="仿宋_GB2312" w:cs="仿宋_GB2312"/>
          <w:color w:val="FF0000"/>
          <w:sz w:val="32"/>
          <w:szCs w:val="32"/>
          <w:highlight w:val="none"/>
        </w:rPr>
        <w:t>时间</w:t>
      </w:r>
      <w:r>
        <w:rPr>
          <w:rFonts w:hint="eastAsia" w:ascii="仿宋_GB2312" w:hAnsi="仿宋_GB2312" w:eastAsia="仿宋_GB2312" w:cs="仿宋_GB2312"/>
          <w:color w:val="FF0000"/>
          <w:sz w:val="32"/>
          <w:szCs w:val="32"/>
          <w:highlight w:val="none"/>
          <w:lang w:eastAsia="zh-CN"/>
        </w:rPr>
        <w:t>：</w:t>
      </w:r>
      <w:r>
        <w:rPr>
          <w:rFonts w:hint="eastAsia" w:ascii="仿宋_GB2312" w:hAnsi="仿宋_GB2312" w:eastAsia="仿宋_GB2312" w:cs="仿宋_GB2312"/>
          <w:color w:val="FF0000"/>
          <w:sz w:val="32"/>
          <w:szCs w:val="32"/>
          <w:highlight w:val="none"/>
          <w:u w:val="single"/>
          <w:lang w:val="en-US" w:eastAsia="zh-CN"/>
        </w:rPr>
        <w:t>2021</w:t>
      </w:r>
      <w:r>
        <w:rPr>
          <w:rFonts w:hint="eastAsia" w:ascii="仿宋_GB2312" w:hAnsi="仿宋_GB2312" w:eastAsia="仿宋_GB2312" w:cs="仿宋_GB2312"/>
          <w:bCs/>
          <w:color w:val="FF0000"/>
          <w:sz w:val="32"/>
          <w:szCs w:val="32"/>
          <w:highlight w:val="none"/>
          <w:u w:val="single"/>
        </w:rPr>
        <w:t>年</w:t>
      </w:r>
      <w:r>
        <w:rPr>
          <w:rFonts w:hint="eastAsia" w:ascii="仿宋_GB2312" w:hAnsi="仿宋_GB2312" w:eastAsia="仿宋_GB2312" w:cs="仿宋_GB2312"/>
          <w:bCs/>
          <w:color w:val="FF0000"/>
          <w:sz w:val="32"/>
          <w:szCs w:val="32"/>
          <w:highlight w:val="none"/>
          <w:u w:val="single"/>
          <w:lang w:val="en-US" w:eastAsia="zh-CN"/>
        </w:rPr>
        <w:t>10</w:t>
      </w:r>
      <w:r>
        <w:rPr>
          <w:rFonts w:hint="eastAsia" w:ascii="仿宋_GB2312" w:hAnsi="仿宋_GB2312" w:eastAsia="仿宋_GB2312" w:cs="仿宋_GB2312"/>
          <w:bCs/>
          <w:color w:val="FF0000"/>
          <w:sz w:val="32"/>
          <w:szCs w:val="32"/>
          <w:highlight w:val="none"/>
          <w:u w:val="single"/>
        </w:rPr>
        <w:t>月</w:t>
      </w:r>
      <w:r>
        <w:rPr>
          <w:rFonts w:hint="eastAsia" w:ascii="仿宋_GB2312" w:hAnsi="仿宋_GB2312" w:eastAsia="仿宋_GB2312" w:cs="仿宋_GB2312"/>
          <w:bCs/>
          <w:color w:val="FF0000"/>
          <w:sz w:val="32"/>
          <w:szCs w:val="32"/>
          <w:highlight w:val="none"/>
          <w:u w:val="single"/>
          <w:lang w:val="en-US" w:eastAsia="zh-CN"/>
        </w:rPr>
        <w:t>28</w:t>
      </w:r>
      <w:r>
        <w:rPr>
          <w:rFonts w:hint="eastAsia" w:ascii="仿宋_GB2312" w:hAnsi="仿宋_GB2312" w:eastAsia="仿宋_GB2312" w:cs="仿宋_GB2312"/>
          <w:bCs/>
          <w:color w:val="FF0000"/>
          <w:sz w:val="32"/>
          <w:szCs w:val="32"/>
          <w:highlight w:val="none"/>
          <w:u w:val="single"/>
        </w:rPr>
        <w:t>日</w:t>
      </w:r>
      <w:r>
        <w:rPr>
          <w:rFonts w:hint="eastAsia" w:ascii="仿宋_GB2312" w:hAnsi="仿宋_GB2312" w:eastAsia="仿宋_GB2312" w:cs="仿宋_GB2312"/>
          <w:bCs/>
          <w:color w:val="FF0000"/>
          <w:sz w:val="32"/>
          <w:szCs w:val="32"/>
          <w:highlight w:val="none"/>
          <w:u w:val="single"/>
          <w:lang w:val="en-US" w:eastAsia="zh-CN"/>
        </w:rPr>
        <w:t>11</w:t>
      </w:r>
      <w:r>
        <w:rPr>
          <w:rFonts w:hint="eastAsia" w:ascii="仿宋_GB2312" w:hAnsi="仿宋_GB2312" w:eastAsia="仿宋_GB2312" w:cs="仿宋_GB2312"/>
          <w:bCs/>
          <w:color w:val="FF0000"/>
          <w:sz w:val="32"/>
          <w:szCs w:val="32"/>
          <w:highlight w:val="none"/>
          <w:u w:val="single"/>
        </w:rPr>
        <w:t>点</w:t>
      </w:r>
      <w:r>
        <w:rPr>
          <w:rFonts w:hint="eastAsia" w:ascii="仿宋_GB2312" w:hAnsi="仿宋_GB2312" w:eastAsia="仿宋_GB2312" w:cs="仿宋_GB2312"/>
          <w:bCs/>
          <w:color w:val="FF0000"/>
          <w:sz w:val="32"/>
          <w:szCs w:val="32"/>
          <w:highlight w:val="none"/>
          <w:u w:val="single"/>
          <w:lang w:val="en-US" w:eastAsia="zh-CN"/>
        </w:rPr>
        <w:t>00</w:t>
      </w:r>
      <w:r>
        <w:rPr>
          <w:rFonts w:hint="eastAsia" w:ascii="仿宋_GB2312" w:hAnsi="仿宋_GB2312" w:eastAsia="仿宋_GB2312" w:cs="仿宋_GB2312"/>
          <w:bCs/>
          <w:color w:val="FF0000"/>
          <w:sz w:val="32"/>
          <w:szCs w:val="32"/>
          <w:highlight w:val="none"/>
          <w:u w:val="single"/>
        </w:rPr>
        <w:t>分</w:t>
      </w:r>
      <w:r>
        <w:rPr>
          <w:rFonts w:hint="eastAsia" w:ascii="仿宋_GB2312" w:hAnsi="仿宋_GB2312" w:eastAsia="仿宋_GB2312" w:cs="仿宋_GB2312"/>
          <w:bCs/>
          <w:color w:val="FF0000"/>
          <w:sz w:val="32"/>
          <w:szCs w:val="32"/>
          <w:highlight w:val="none"/>
        </w:rPr>
        <w:t>（北京时间）</w:t>
      </w:r>
    </w:p>
    <w:p>
      <w:pPr>
        <w:widowControl w:val="0"/>
        <w:wordWrap/>
        <w:adjustRightInd/>
        <w:snapToGrid/>
        <w:spacing w:line="560" w:lineRule="exact"/>
        <w:ind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开标地点：</w:t>
      </w:r>
      <w:r>
        <w:rPr>
          <w:rFonts w:hint="eastAsia" w:ascii="仿宋_GB2312" w:hAnsi="仿宋_GB2312" w:eastAsia="仿宋_GB2312" w:cs="仿宋_GB2312"/>
          <w:sz w:val="32"/>
          <w:szCs w:val="32"/>
          <w:shd w:val="clear" w:color="auto" w:fill="FFFFFF"/>
          <w:lang w:val="en-US" w:eastAsia="zh-CN"/>
        </w:rPr>
        <w:t>乌鲁木齐高新区（新市区）北京南路591号自治区广播电视局高层南楼1203室</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eastAsia="zh-CN"/>
        </w:rPr>
        <w:t>。</w:t>
      </w:r>
    </w:p>
    <w:p>
      <w:pPr>
        <w:widowControl w:val="0"/>
        <w:wordWrap/>
        <w:adjustRightInd/>
        <w:snapToGrid/>
        <w:spacing w:before="0" w:after="0" w:line="560" w:lineRule="exact"/>
        <w:ind w:left="0" w:leftChars="0" w:right="0" w:firstLine="640"/>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五.公告期限</w:t>
      </w:r>
    </w:p>
    <w:p>
      <w:pPr>
        <w:widowControl w:val="0"/>
        <w:wordWrap/>
        <w:adjustRightInd/>
        <w:snapToGrid/>
        <w:spacing w:before="0" w:after="0" w:line="560" w:lineRule="exact"/>
        <w:ind w:left="0" w:leftChars="0" w:right="0"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自本公告发布之日起5个工作日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i w:val="0"/>
          <w:color w:val="000000"/>
          <w:sz w:val="32"/>
          <w:szCs w:val="32"/>
        </w:rPr>
        <w:t>发布于新疆政府采购网</w:t>
      </w:r>
      <w:r>
        <w:rPr>
          <w:rFonts w:hint="eastAsia" w:ascii="仿宋_GB2312" w:hAnsi="仿宋_GB2312" w:eastAsia="仿宋_GB2312" w:cs="仿宋_GB2312"/>
          <w:b w:val="0"/>
          <w:i w:val="0"/>
          <w:color w:val="000000"/>
          <w:sz w:val="32"/>
          <w:szCs w:val="32"/>
          <w:lang w:eastAsia="zh-CN"/>
        </w:rPr>
        <w:t>。</w:t>
      </w:r>
    </w:p>
    <w:p>
      <w:pPr>
        <w:widowControl w:val="0"/>
        <w:numPr>
          <w:numId w:val="0"/>
        </w:numPr>
        <w:tabs>
          <w:tab w:val="left" w:pos="955"/>
        </w:tabs>
        <w:wordWrap/>
        <w:adjustRightInd/>
        <w:snapToGrid/>
        <w:spacing w:line="560" w:lineRule="exact"/>
        <w:ind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bookmarkStart w:id="15" w:name="_Toc12361_WPSOffice_Level2"/>
      <w:r>
        <w:rPr>
          <w:rFonts w:hint="eastAsia" w:ascii="仿宋_GB2312" w:hAnsi="仿宋_GB2312" w:eastAsia="仿宋_GB2312" w:cs="仿宋_GB2312"/>
          <w:b/>
          <w:bCs/>
          <w:sz w:val="32"/>
          <w:szCs w:val="32"/>
          <w:lang w:val="en-US" w:eastAsia="zh-CN"/>
        </w:rPr>
        <w:t>六</w:t>
      </w:r>
      <w:r>
        <w:rPr>
          <w:rFonts w:hint="eastAsia" w:ascii="仿宋_GB2312" w:hAnsi="仿宋_GB2312" w:eastAsia="仿宋_GB2312" w:cs="仿宋_GB2312"/>
          <w:b/>
          <w:bCs/>
          <w:sz w:val="32"/>
          <w:szCs w:val="32"/>
        </w:rPr>
        <w:t>.其他补充事宜</w:t>
      </w:r>
      <w:bookmarkEnd w:id="15"/>
    </w:p>
    <w:p>
      <w:pPr>
        <w:widowControl w:val="0"/>
        <w:numPr>
          <w:numId w:val="0"/>
        </w:numPr>
        <w:wordWrap/>
        <w:adjustRightInd/>
        <w:snapToGrid/>
        <w:spacing w:line="560" w:lineRule="exact"/>
        <w:ind w:right="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32"/>
          <w:szCs w:val="32"/>
          <w:highlight w:val="none"/>
          <w:lang w:val="en-US" w:eastAsia="zh-CN"/>
        </w:rPr>
        <w:t xml:space="preserve"> 1.领取公开招标文件时须携带法定代表人身份证及身份证复印件或法定代表人授权委托书及被授权人身份证、有效期内营业执照、“信用中国”网站</w:t>
      </w:r>
      <w:r>
        <w:rPr>
          <w:rFonts w:hint="eastAsia" w:ascii="仿宋_GB2312" w:hAnsi="仿宋_GB2312" w:eastAsia="仿宋_GB2312" w:cs="仿宋_GB2312"/>
          <w:sz w:val="32"/>
          <w:szCs w:val="32"/>
          <w:lang w:val="en-US" w:eastAsia="zh-CN"/>
        </w:rPr>
        <w:t>被列入失信被执行人、重大税收违法案件当事人名单，</w:t>
      </w:r>
      <w:r>
        <w:rPr>
          <w:rFonts w:hint="eastAsia" w:ascii="仿宋_GB2312" w:hAnsi="仿宋_GB2312" w:eastAsia="仿宋_GB2312" w:cs="仿宋_GB2312"/>
          <w:sz w:val="32"/>
          <w:szCs w:val="32"/>
          <w:highlight w:val="none"/>
          <w:lang w:val="en-US" w:eastAsia="zh-CN"/>
        </w:rPr>
        <w:t>中国政府采购网被列入严重违法失信行为记录名单的（尚在处罚期内的）企业，将拒绝其参加本次政府采购活动﹙投标人网上自行查询打印后加盖投标单位公章）。</w:t>
      </w:r>
    </w:p>
    <w:p>
      <w:pPr>
        <w:widowControl w:val="0"/>
        <w:wordWrap/>
        <w:adjustRightInd/>
        <w:snapToGrid/>
        <w:spacing w:line="560" w:lineRule="exact"/>
        <w:ind w:right="0" w:firstLine="643"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注：领取公开招标文件</w:t>
      </w:r>
      <w:r>
        <w:rPr>
          <w:rFonts w:hint="eastAsia" w:ascii="仿宋_GB2312" w:hAnsi="仿宋_GB2312" w:eastAsia="仿宋_GB2312" w:cs="仿宋_GB2312"/>
          <w:b/>
          <w:bCs/>
          <w:sz w:val="32"/>
          <w:szCs w:val="32"/>
          <w:highlight w:val="none"/>
          <w:lang w:val="zh-CN" w:eastAsia="zh-CN"/>
        </w:rPr>
        <w:t>时需携带以上资料原件、留复印件并加盖公章。</w:t>
      </w:r>
      <w:r>
        <w:rPr>
          <w:rFonts w:hint="eastAsia" w:ascii="仿宋_GB2312" w:hAnsi="仿宋_GB2312" w:eastAsia="仿宋_GB2312" w:cs="仿宋_GB2312"/>
          <w:b/>
          <w:bCs/>
          <w:sz w:val="32"/>
          <w:szCs w:val="32"/>
          <w:highlight w:val="none"/>
          <w:lang w:val="en-US" w:eastAsia="zh-CN"/>
        </w:rPr>
        <w:t>以上资料、证件及资料提供不齐全者，将不予发放公开招标文件。未向采购代理机构购买公开招标文件的潜在服务商均无资格参加投标响应。（</w:t>
      </w:r>
      <w:r>
        <w:rPr>
          <w:rFonts w:hint="eastAsia" w:ascii="仿宋_GB2312" w:hAnsi="仿宋_GB2312" w:eastAsia="仿宋_GB2312" w:cs="仿宋_GB2312"/>
          <w:b/>
          <w:bCs/>
          <w:i w:val="0"/>
          <w:color w:val="000000"/>
          <w:sz w:val="32"/>
          <w:szCs w:val="32"/>
          <w:lang w:eastAsia="zh-CN"/>
        </w:rPr>
        <w:t>领取招标文件时的资料查验不代表资格审查的最终通过或合格，投标人最终资格的确认以开标现场查验结果为准。）</w:t>
      </w:r>
    </w:p>
    <w:p>
      <w:pPr>
        <w:widowControl w:val="0"/>
        <w:wordWrap/>
        <w:adjustRightInd/>
        <w:snapToGrid/>
        <w:spacing w:line="560" w:lineRule="exact"/>
        <w:ind w:right="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2.投标保证金：投标人在</w:t>
      </w:r>
      <w:r>
        <w:rPr>
          <w:rFonts w:hint="eastAsia" w:ascii="仿宋_GB2312" w:hAnsi="仿宋_GB2312" w:eastAsia="仿宋_GB2312" w:cs="仿宋_GB2312"/>
          <w:bCs/>
          <w:kern w:val="0"/>
          <w:sz w:val="32"/>
          <w:szCs w:val="32"/>
          <w:lang w:val="en-US" w:eastAsia="zh-CN"/>
        </w:rPr>
        <w:t>投标截止之日</w:t>
      </w:r>
      <w:r>
        <w:rPr>
          <w:rFonts w:hint="eastAsia" w:ascii="仿宋_GB2312" w:hAnsi="仿宋_GB2312" w:eastAsia="仿宋_GB2312" w:cs="仿宋_GB2312"/>
          <w:sz w:val="32"/>
          <w:szCs w:val="32"/>
          <w:highlight w:val="none"/>
          <w:lang w:val="en-US" w:eastAsia="zh-CN"/>
        </w:rPr>
        <w:t>前，应提交投标保证金（电汇或网银转账）,投标保证金须从投标人基本账户汇出。</w:t>
      </w:r>
    </w:p>
    <w:p>
      <w:pPr>
        <w:widowControl w:val="0"/>
        <w:wordWrap/>
        <w:adjustRightInd/>
        <w:snapToGrid/>
        <w:spacing w:line="560" w:lineRule="exact"/>
        <w:ind w:right="0" w:firstLine="640" w:firstLineChars="200"/>
        <w:textAlignment w:val="auto"/>
        <w:rPr>
          <w:rFonts w:hint="eastAsia" w:ascii="仿宋_GB2312" w:hAnsi="仿宋_GB2312" w:eastAsia="仿宋_GB2312" w:cs="仿宋_GB2312"/>
          <w:color w:val="FF0000"/>
          <w:sz w:val="32"/>
          <w:szCs w:val="32"/>
          <w:highlight w:val="none"/>
          <w:lang w:val="en-US" w:eastAsia="zh-CN"/>
        </w:rPr>
      </w:pPr>
      <w:r>
        <w:rPr>
          <w:rFonts w:hint="eastAsia" w:ascii="仿宋_GB2312" w:hAnsi="仿宋_GB2312" w:eastAsia="仿宋_GB2312" w:cs="仿宋_GB2312"/>
          <w:color w:val="FF0000"/>
          <w:sz w:val="32"/>
          <w:szCs w:val="32"/>
          <w:highlight w:val="none"/>
          <w:lang w:val="en-US" w:eastAsia="zh-CN"/>
        </w:rPr>
        <w:t>保证金金额：贰万元整（¥20000.00）</w:t>
      </w:r>
    </w:p>
    <w:p>
      <w:pPr>
        <w:widowControl w:val="0"/>
        <w:wordWrap/>
        <w:adjustRightInd/>
        <w:snapToGrid/>
        <w:spacing w:line="560" w:lineRule="exact"/>
        <w:ind w:right="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账户名称：</w:t>
      </w:r>
      <w:r>
        <w:rPr>
          <w:rFonts w:hint="eastAsia" w:ascii="仿宋_GB2312" w:hAnsi="仿宋_GB2312" w:eastAsia="仿宋_GB2312" w:cs="仿宋_GB2312"/>
          <w:bCs/>
          <w:kern w:val="0"/>
          <w:sz w:val="32"/>
          <w:szCs w:val="32"/>
        </w:rPr>
        <w:t>新疆</w:t>
      </w:r>
      <w:r>
        <w:rPr>
          <w:rFonts w:hint="eastAsia" w:ascii="仿宋_GB2312" w:hAnsi="仿宋_GB2312" w:eastAsia="仿宋_GB2312" w:cs="仿宋_GB2312"/>
          <w:bCs/>
          <w:kern w:val="0"/>
          <w:sz w:val="32"/>
          <w:szCs w:val="32"/>
          <w:lang w:val="en-US" w:eastAsia="zh-CN"/>
        </w:rPr>
        <w:t>崇业招标代理有限公司</w:t>
      </w:r>
    </w:p>
    <w:p>
      <w:pPr>
        <w:widowControl w:val="0"/>
        <w:wordWrap/>
        <w:adjustRightInd/>
        <w:snapToGrid/>
        <w:spacing w:line="560" w:lineRule="exact"/>
        <w:ind w:right="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帐    号：</w:t>
      </w:r>
      <w:r>
        <w:rPr>
          <w:rFonts w:hint="eastAsia" w:ascii="仿宋_GB2312" w:hAnsi="仿宋_GB2312" w:eastAsia="仿宋_GB2312" w:cs="仿宋_GB2312"/>
          <w:bCs/>
          <w:sz w:val="32"/>
          <w:szCs w:val="32"/>
          <w:lang w:val="en-US" w:eastAsia="zh-CN"/>
        </w:rPr>
        <w:t>65050188863700001562</w:t>
      </w:r>
    </w:p>
    <w:p>
      <w:pPr>
        <w:widowControl w:val="0"/>
        <w:wordWrap/>
        <w:adjustRightInd/>
        <w:snapToGrid/>
        <w:spacing w:line="560" w:lineRule="exact"/>
        <w:ind w:right="0" w:firstLine="640" w:firstLineChars="200"/>
        <w:textAlignment w:val="auto"/>
        <w:rPr>
          <w:rFonts w:hint="eastAsia" w:ascii="仿宋_GB2312" w:hAnsi="仿宋_GB2312" w:eastAsia="仿宋_GB2312" w:cs="仿宋_GB2312"/>
          <w:bCs/>
          <w:kern w:val="0"/>
          <w:sz w:val="32"/>
          <w:szCs w:val="32"/>
          <w:lang w:val="en-US" w:eastAsia="zh-CN"/>
        </w:rPr>
      </w:pPr>
      <w:r>
        <w:rPr>
          <w:rFonts w:hint="eastAsia" w:ascii="仿宋_GB2312" w:hAnsi="仿宋_GB2312" w:eastAsia="仿宋_GB2312" w:cs="仿宋_GB2312"/>
          <w:sz w:val="32"/>
          <w:szCs w:val="32"/>
          <w:highlight w:val="none"/>
          <w:lang w:val="en-US" w:eastAsia="zh-CN"/>
        </w:rPr>
        <w:t>开户行名称：</w:t>
      </w:r>
      <w:r>
        <w:rPr>
          <w:rFonts w:hint="eastAsia" w:ascii="仿宋_GB2312" w:hAnsi="仿宋_GB2312" w:eastAsia="仿宋_GB2312" w:cs="仿宋_GB2312"/>
          <w:bCs/>
          <w:kern w:val="0"/>
          <w:sz w:val="32"/>
          <w:szCs w:val="32"/>
          <w:lang w:val="en-US" w:eastAsia="zh-CN"/>
        </w:rPr>
        <w:t>中国建设银行股份有限公司乌鲁木齐高新区支行</w:t>
      </w:r>
    </w:p>
    <w:p>
      <w:pPr>
        <w:widowControl w:val="0"/>
        <w:wordWrap/>
        <w:adjustRightInd/>
        <w:snapToGrid/>
        <w:spacing w:line="560" w:lineRule="exact"/>
        <w:ind w:right="0" w:firstLine="640" w:firstLineChars="200"/>
        <w:textAlignment w:val="auto"/>
        <w:rPr>
          <w:rFonts w:hint="eastAsia" w:ascii="仿宋_GB2312" w:hAnsi="仿宋_GB2312" w:eastAsia="仿宋_GB2312" w:cs="仿宋_GB2312"/>
          <w:bCs/>
          <w:kern w:val="0"/>
          <w:sz w:val="32"/>
          <w:szCs w:val="32"/>
          <w:lang w:val="en-US" w:eastAsia="zh-CN"/>
        </w:rPr>
      </w:pPr>
      <w:r>
        <w:rPr>
          <w:rFonts w:hint="eastAsia" w:ascii="仿宋_GB2312" w:hAnsi="仿宋_GB2312" w:eastAsia="仿宋_GB2312" w:cs="仿宋_GB2312"/>
          <w:bCs/>
          <w:kern w:val="0"/>
          <w:sz w:val="32"/>
          <w:szCs w:val="32"/>
          <w:lang w:val="en-US" w:eastAsia="zh-CN"/>
        </w:rPr>
        <w:t>开户行行号：105881000833</w:t>
      </w:r>
    </w:p>
    <w:p>
      <w:pPr>
        <w:widowControl w:val="0"/>
        <w:wordWrap/>
        <w:adjustRightInd/>
        <w:snapToGrid/>
        <w:spacing w:line="560" w:lineRule="exact"/>
        <w:ind w:right="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highlight w:val="none"/>
          <w:lang w:val="en-US" w:eastAsia="zh-CN"/>
        </w:rPr>
        <w:t>注：投标保证金不得以现金的方式和其他的形式缴纳，不得以分公司、办事处或其他机构名义缴纳，投标人在缴纳保证金时，需在进账凭证上明确投标项目。</w:t>
      </w:r>
    </w:p>
    <w:p>
      <w:pPr>
        <w:widowControl w:val="0"/>
        <w:wordWrap/>
        <w:adjustRightInd/>
        <w:snapToGrid/>
        <w:spacing w:before="0" w:after="0" w:line="560" w:lineRule="exact"/>
        <w:ind w:left="0" w:leftChars="0" w:right="0" w:firstLine="640"/>
        <w:textAlignment w:val="auto"/>
        <w:outlineLvl w:val="9"/>
        <w:rPr>
          <w:rFonts w:hint="eastAsia" w:ascii="仿宋_GB2312" w:hAnsi="仿宋_GB2312" w:eastAsia="仿宋_GB2312" w:cs="仿宋_GB2312"/>
          <w:b/>
          <w:bCs/>
          <w:sz w:val="32"/>
          <w:szCs w:val="32"/>
        </w:rPr>
      </w:pPr>
      <w:bookmarkStart w:id="16" w:name="_Toc14277_WPSOffice_Level2"/>
      <w:r>
        <w:rPr>
          <w:rFonts w:hint="eastAsia" w:ascii="仿宋_GB2312" w:hAnsi="仿宋_GB2312" w:eastAsia="仿宋_GB2312" w:cs="仿宋_GB2312"/>
          <w:b/>
          <w:bCs/>
          <w:sz w:val="32"/>
          <w:szCs w:val="32"/>
        </w:rPr>
        <w:t>七.对本次招标提出询问，请按以下方式联系。</w:t>
      </w:r>
      <w:bookmarkEnd w:id="16"/>
    </w:p>
    <w:p>
      <w:pPr>
        <w:widowControl w:val="0"/>
        <w:wordWrap/>
        <w:adjustRightInd/>
        <w:snapToGrid/>
        <w:spacing w:before="0" w:after="0" w:line="560" w:lineRule="exact"/>
        <w:ind w:left="0" w:leftChars="0" w:right="0"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1.采购人信息</w:t>
      </w:r>
    </w:p>
    <w:p>
      <w:pPr>
        <w:widowControl w:val="0"/>
        <w:wordWrap/>
        <w:adjustRightInd/>
        <w:snapToGrid/>
        <w:spacing w:before="0" w:after="0" w:line="560" w:lineRule="exact"/>
        <w:ind w:left="0" w:leftChars="0" w:right="0"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名称：新疆维吾尔自治区机关事务管理局</w:t>
      </w:r>
    </w:p>
    <w:p>
      <w:pPr>
        <w:widowControl w:val="0"/>
        <w:wordWrap/>
        <w:adjustRightInd/>
        <w:snapToGrid/>
        <w:spacing w:before="0" w:after="0" w:line="560" w:lineRule="exact"/>
        <w:ind w:left="0" w:leftChars="0" w:right="0"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地址：新疆维吾尔自治区乌鲁木齐市天山区和平北路1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号</w:t>
      </w:r>
    </w:p>
    <w:p>
      <w:pPr>
        <w:widowControl w:val="0"/>
        <w:wordWrap/>
        <w:adjustRightInd/>
        <w:snapToGrid/>
        <w:spacing w:before="0" w:after="0" w:line="560" w:lineRule="exact"/>
        <w:ind w:left="0" w:leftChars="0" w:right="0"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项目联系人：胡</w:t>
      </w:r>
      <w:r>
        <w:rPr>
          <w:rFonts w:hint="eastAsia" w:ascii="仿宋_GB2312" w:hAnsi="仿宋_GB2312" w:eastAsia="仿宋_GB2312" w:cs="仿宋_GB2312"/>
          <w:sz w:val="32"/>
          <w:szCs w:val="32"/>
          <w:lang w:val="en-US" w:eastAsia="zh-CN"/>
        </w:rPr>
        <w:t>文诏</w:t>
      </w:r>
    </w:p>
    <w:p>
      <w:pPr>
        <w:widowControl w:val="0"/>
        <w:wordWrap/>
        <w:adjustRightInd/>
        <w:snapToGrid/>
        <w:spacing w:before="0" w:after="0" w:line="560" w:lineRule="exact"/>
        <w:ind w:left="0" w:leftChars="0" w:right="0" w:firstLine="640"/>
        <w:textAlignment w:val="auto"/>
        <w:outlineLvl w:val="9"/>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rPr>
        <w:t>项目联系方式：0991-2391001</w:t>
      </w:r>
    </w:p>
    <w:p>
      <w:pPr>
        <w:widowControl w:val="0"/>
        <w:wordWrap/>
        <w:adjustRightInd/>
        <w:snapToGrid/>
        <w:spacing w:before="0" w:after="0" w:line="560" w:lineRule="exact"/>
        <w:ind w:left="0" w:leftChars="0" w:right="0"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2.采购代理机构信息</w:t>
      </w:r>
    </w:p>
    <w:p>
      <w:pPr>
        <w:widowControl w:val="0"/>
        <w:wordWrap/>
        <w:adjustRightInd/>
        <w:snapToGrid/>
        <w:spacing w:before="0" w:after="0" w:line="560" w:lineRule="exact"/>
        <w:ind w:left="0" w:leftChars="0" w:right="0"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名称：</w:t>
      </w:r>
      <w:r>
        <w:rPr>
          <w:rFonts w:hint="eastAsia" w:ascii="仿宋_GB2312" w:hAnsi="仿宋_GB2312" w:eastAsia="仿宋_GB2312" w:cs="仿宋_GB2312"/>
          <w:bCs/>
          <w:color w:val="auto"/>
          <w:kern w:val="0"/>
          <w:sz w:val="32"/>
          <w:szCs w:val="32"/>
          <w:lang w:val="en-US" w:eastAsia="zh-CN"/>
        </w:rPr>
        <w:t>新疆崇业招标代理有限公司</w:t>
      </w:r>
    </w:p>
    <w:p>
      <w:pPr>
        <w:widowControl w:val="0"/>
        <w:wordWrap/>
        <w:adjustRightInd/>
        <w:snapToGrid/>
        <w:spacing w:before="0" w:after="0" w:line="560" w:lineRule="exact"/>
        <w:ind w:left="0" w:leftChars="0" w:right="0" w:firstLine="640"/>
        <w:textAlignment w:val="auto"/>
        <w:outlineLvl w:val="9"/>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rPr>
        <w:t>地址：</w:t>
      </w:r>
      <w:r>
        <w:rPr>
          <w:rFonts w:hint="eastAsia" w:ascii="仿宋_GB2312" w:hAnsi="仿宋_GB2312" w:eastAsia="仿宋_GB2312" w:cs="仿宋_GB2312"/>
          <w:sz w:val="32"/>
          <w:szCs w:val="32"/>
          <w:shd w:val="clear" w:color="auto" w:fill="FFFFFF"/>
          <w:lang w:val="en-US" w:eastAsia="zh-CN"/>
        </w:rPr>
        <w:t>乌鲁木齐高新区（新市区）北京南路591号自治区广播电视局高层南楼1203室</w:t>
      </w:r>
    </w:p>
    <w:p>
      <w:pPr>
        <w:widowControl w:val="0"/>
        <w:wordWrap/>
        <w:adjustRightInd/>
        <w:snapToGrid/>
        <w:spacing w:before="0" w:after="0" w:line="560" w:lineRule="exact"/>
        <w:ind w:left="0" w:leftChars="0" w:right="0"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项目联系人：</w:t>
      </w:r>
      <w:r>
        <w:rPr>
          <w:rFonts w:hint="eastAsia" w:ascii="仿宋_GB2312" w:hAnsi="仿宋_GB2312" w:eastAsia="仿宋_GB2312" w:cs="仿宋_GB2312"/>
          <w:sz w:val="32"/>
          <w:szCs w:val="32"/>
          <w:lang w:val="en-US" w:eastAsia="zh-CN"/>
        </w:rPr>
        <w:t>李媛媛</w:t>
      </w:r>
    </w:p>
    <w:p>
      <w:pPr>
        <w:widowControl w:val="0"/>
        <w:wordWrap/>
        <w:adjustRightInd/>
        <w:snapToGrid/>
        <w:spacing w:before="0" w:after="0" w:line="560" w:lineRule="exact"/>
        <w:ind w:left="0" w:leftChars="0" w:right="0"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项目联系方式：0991-</w:t>
      </w:r>
      <w:r>
        <w:rPr>
          <w:rFonts w:hint="eastAsia" w:ascii="仿宋_GB2312" w:hAnsi="仿宋_GB2312" w:eastAsia="仿宋_GB2312" w:cs="仿宋_GB2312"/>
          <w:sz w:val="32"/>
          <w:szCs w:val="32"/>
          <w:lang w:val="en-US" w:eastAsia="zh-CN"/>
        </w:rPr>
        <w:t>4639656   13209949869</w:t>
      </w:r>
    </w:p>
    <w:p>
      <w:pPr>
        <w:widowControl w:val="0"/>
        <w:wordWrap/>
        <w:adjustRightInd/>
        <w:snapToGrid/>
        <w:spacing w:before="0" w:after="0" w:line="560" w:lineRule="exact"/>
        <w:ind w:left="0" w:leftChars="0" w:right="0" w:firstLine="640"/>
        <w:textAlignment w:val="auto"/>
        <w:outlineLvl w:val="9"/>
      </w:pPr>
      <w:r>
        <w:rPr>
          <w:rFonts w:hint="eastAsia" w:ascii="仿宋_GB2312" w:hAnsi="仿宋_GB2312" w:eastAsia="仿宋_GB2312" w:cs="仿宋_GB2312"/>
          <w:sz w:val="32"/>
          <w:szCs w:val="32"/>
        </w:rPr>
        <w:br w:type="page"/>
      </w:r>
    </w:p>
    <w:p>
      <w:pPr>
        <w:pStyle w:val="22"/>
        <w:spacing w:before="0" w:after="0"/>
        <w:rPr>
          <w:rFonts w:hint="eastAsia" w:ascii="黑体" w:hAnsi="黑体" w:eastAsia="黑体" w:cs="黑体"/>
          <w:b w:val="0"/>
          <w:bCs w:val="0"/>
          <w:sz w:val="32"/>
          <w:szCs w:val="32"/>
        </w:rPr>
      </w:pPr>
      <w:bookmarkStart w:id="17" w:name="_Toc8888_WPSOffice_Level1"/>
      <w:bookmarkStart w:id="18" w:name="_Toc531706624"/>
      <w:bookmarkStart w:id="19" w:name="_Toc32263"/>
      <w:bookmarkStart w:id="20" w:name="_Toc531706625"/>
      <w:bookmarkStart w:id="21" w:name="_Toc499725005"/>
      <w:r>
        <w:rPr>
          <w:rFonts w:hint="eastAsia" w:ascii="黑体" w:hAnsi="黑体" w:eastAsia="黑体" w:cs="黑体"/>
          <w:b w:val="0"/>
          <w:bCs w:val="0"/>
          <w:sz w:val="32"/>
          <w:szCs w:val="32"/>
        </w:rPr>
        <w:t>第二章 投标须知</w:t>
      </w:r>
      <w:bookmarkEnd w:id="17"/>
      <w:bookmarkEnd w:id="18"/>
      <w:bookmarkEnd w:id="19"/>
    </w:p>
    <w:p>
      <w:pPr>
        <w:tabs>
          <w:tab w:val="left" w:pos="420"/>
        </w:tabs>
        <w:ind w:firstLine="0" w:firstLineChars="0"/>
        <w:jc w:val="center"/>
        <w:rPr>
          <w:rFonts w:hint="eastAsia" w:ascii="宋体" w:hAnsi="宋体" w:eastAsia="宋体" w:cs="宋体"/>
          <w:b/>
        </w:rPr>
      </w:pPr>
      <w:bookmarkStart w:id="22" w:name="_Toc13403_WPSOffice_Level2"/>
      <w:r>
        <w:rPr>
          <w:rFonts w:hint="eastAsia" w:ascii="宋体" w:hAnsi="宋体" w:eastAsia="宋体" w:cs="宋体"/>
          <w:b/>
        </w:rPr>
        <w:t>投标须知前附表</w:t>
      </w:r>
      <w:bookmarkEnd w:id="20"/>
      <w:bookmarkEnd w:id="21"/>
      <w:bookmarkEnd w:id="22"/>
    </w:p>
    <w:tbl>
      <w:tblPr>
        <w:tblW w:w="8941"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53"/>
        <w:gridCol w:w="63"/>
        <w:gridCol w:w="1695"/>
        <w:gridCol w:w="6030"/>
      </w:tblGrid>
      <w:tr>
        <w:trPr>
          <w:trHeight w:val="567" w:hRule="atLeast"/>
          <w:tblHeader/>
        </w:trPr>
        <w:tc>
          <w:tcPr>
            <w:tcW w:w="1153" w:type="dxa"/>
            <w:vAlign w:val="center"/>
          </w:tcPr>
          <w:p>
            <w:pPr>
              <w:pStyle w:val="3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条款号</w:t>
            </w:r>
          </w:p>
        </w:tc>
        <w:tc>
          <w:tcPr>
            <w:tcW w:w="1758" w:type="dxa"/>
            <w:gridSpan w:val="2"/>
            <w:tcBorders>
              <w:right w:val="single" w:color="auto" w:sz="4" w:space="0"/>
            </w:tcBorders>
            <w:vAlign w:val="center"/>
          </w:tcPr>
          <w:p>
            <w:pPr>
              <w:pStyle w:val="3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条款名称</w:t>
            </w:r>
          </w:p>
        </w:tc>
        <w:tc>
          <w:tcPr>
            <w:tcW w:w="6030" w:type="dxa"/>
            <w:tcBorders>
              <w:left w:val="single" w:color="auto" w:sz="4" w:space="0"/>
            </w:tcBorders>
            <w:vAlign w:val="center"/>
          </w:tcPr>
          <w:p>
            <w:pPr>
              <w:pStyle w:val="3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编列内容</w:t>
            </w:r>
          </w:p>
        </w:tc>
      </w:tr>
      <w:tr>
        <w:trPr>
          <w:trHeight w:val="567" w:hRule="atLeast"/>
        </w:trPr>
        <w:tc>
          <w:tcPr>
            <w:tcW w:w="8941" w:type="dxa"/>
            <w:gridSpan w:val="4"/>
            <w:vAlign w:val="center"/>
          </w:tcPr>
          <w:p>
            <w:pPr>
              <w:pStyle w:val="3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w:t>
            </w:r>
            <w:r>
              <w:rPr>
                <w:rFonts w:hint="eastAsia" w:ascii="仿宋_GB2312" w:hAnsi="仿宋_GB2312" w:eastAsia="仿宋_GB2312" w:cs="仿宋_GB2312"/>
                <w:b/>
                <w:kern w:val="0"/>
                <w:sz w:val="28"/>
                <w:szCs w:val="28"/>
              </w:rPr>
              <w:t xml:space="preserve">. </w:t>
            </w:r>
            <w:r>
              <w:rPr>
                <w:rFonts w:hint="eastAsia" w:ascii="仿宋_GB2312" w:hAnsi="仿宋_GB2312" w:eastAsia="仿宋_GB2312" w:cs="仿宋_GB2312"/>
                <w:sz w:val="28"/>
                <w:szCs w:val="28"/>
              </w:rPr>
              <w:t>总则</w:t>
            </w:r>
          </w:p>
        </w:tc>
      </w:tr>
      <w:tr>
        <w:trPr>
          <w:trHeight w:val="567" w:hRule="atLeast"/>
        </w:trPr>
        <w:tc>
          <w:tcPr>
            <w:tcW w:w="1153" w:type="dxa"/>
            <w:vAlign w:val="center"/>
          </w:tcPr>
          <w:p>
            <w:pPr>
              <w:pStyle w:val="3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w:t>
            </w:r>
          </w:p>
        </w:tc>
        <w:tc>
          <w:tcPr>
            <w:tcW w:w="1758" w:type="dxa"/>
            <w:gridSpan w:val="2"/>
            <w:tcBorders>
              <w:right w:val="single" w:color="auto" w:sz="4" w:space="0"/>
            </w:tcBorders>
            <w:vAlign w:val="center"/>
          </w:tcPr>
          <w:p>
            <w:pPr>
              <w:pStyle w:val="3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项目名称</w:t>
            </w:r>
          </w:p>
        </w:tc>
        <w:tc>
          <w:tcPr>
            <w:tcW w:w="6030" w:type="dxa"/>
            <w:tcBorders>
              <w:left w:val="single" w:color="auto" w:sz="4" w:space="0"/>
            </w:tcBorders>
            <w:vAlign w:val="center"/>
          </w:tcPr>
          <w:p>
            <w:pPr>
              <w:pStyle w:val="34"/>
              <w:widowControl w:val="0"/>
              <w:wordWrap/>
              <w:adjustRightInd/>
              <w:snapToGrid/>
              <w:spacing w:before="0" w:after="0" w:line="560" w:lineRule="exact"/>
              <w:ind w:left="0" w:leftChars="0" w:right="0" w:firstLine="0" w:firstLineChars="0"/>
              <w:jc w:val="left"/>
              <w:textAlignment w:val="auto"/>
              <w:outlineLvl w:val="9"/>
              <w:rPr>
                <w:rFonts w:hint="eastAsia" w:ascii="仿宋_GB2312" w:hAnsi="仿宋_GB2312" w:eastAsia="仿宋_GB2312" w:cs="仿宋_GB2312"/>
                <w:color w:val="FF0000"/>
                <w:sz w:val="28"/>
                <w:szCs w:val="28"/>
                <w:lang w:eastAsia="zh-CN"/>
              </w:rPr>
            </w:pPr>
            <w:r>
              <w:rPr>
                <w:rFonts w:hint="eastAsia" w:ascii="仿宋_GB2312" w:hAnsi="仿宋_GB2312" w:eastAsia="仿宋_GB2312" w:cs="仿宋_GB2312"/>
                <w:b w:val="0"/>
                <w:bCs w:val="0"/>
                <w:color w:val="000000"/>
                <w:w w:val="100"/>
                <w:sz w:val="28"/>
                <w:szCs w:val="28"/>
              </w:rPr>
              <w:t>新疆</w:t>
            </w:r>
            <w:r>
              <w:rPr>
                <w:rFonts w:hint="eastAsia" w:ascii="仿宋_GB2312" w:hAnsi="仿宋_GB2312" w:eastAsia="仿宋_GB2312" w:cs="仿宋_GB2312"/>
                <w:b w:val="0"/>
                <w:bCs w:val="0"/>
                <w:color w:val="000000"/>
                <w:w w:val="100"/>
                <w:sz w:val="28"/>
                <w:szCs w:val="28"/>
                <w:lang w:eastAsia="zh-CN"/>
              </w:rPr>
              <w:t>维吾尔</w:t>
            </w:r>
            <w:r>
              <w:rPr>
                <w:rFonts w:hint="eastAsia" w:ascii="仿宋_GB2312" w:hAnsi="仿宋_GB2312" w:eastAsia="仿宋_GB2312" w:cs="仿宋_GB2312"/>
                <w:b w:val="0"/>
                <w:bCs w:val="0"/>
                <w:color w:val="000000"/>
                <w:w w:val="100"/>
                <w:sz w:val="28"/>
                <w:szCs w:val="28"/>
              </w:rPr>
              <w:t>自治区公共机构节能管理系统</w:t>
            </w:r>
            <w:r>
              <w:rPr>
                <w:rFonts w:hint="eastAsia" w:ascii="仿宋_GB2312" w:hAnsi="仿宋_GB2312" w:eastAsia="仿宋_GB2312" w:cs="仿宋_GB2312"/>
                <w:b w:val="0"/>
                <w:bCs w:val="0"/>
                <w:color w:val="000000"/>
                <w:w w:val="100"/>
                <w:sz w:val="28"/>
                <w:szCs w:val="28"/>
                <w:lang w:eastAsia="zh-CN"/>
              </w:rPr>
              <w:t>（二期）建设</w:t>
            </w:r>
            <w:r>
              <w:rPr>
                <w:rFonts w:hint="eastAsia" w:ascii="仿宋_GB2312" w:hAnsi="仿宋_GB2312" w:eastAsia="仿宋_GB2312" w:cs="仿宋_GB2312"/>
                <w:b w:val="0"/>
                <w:bCs w:val="0"/>
                <w:color w:val="000000"/>
                <w:w w:val="100"/>
                <w:sz w:val="28"/>
                <w:szCs w:val="28"/>
              </w:rPr>
              <w:t>项目</w:t>
            </w:r>
          </w:p>
        </w:tc>
      </w:tr>
      <w:tr>
        <w:trPr>
          <w:trHeight w:val="5593" w:hRule="atLeast"/>
        </w:trPr>
        <w:tc>
          <w:tcPr>
            <w:tcW w:w="1153" w:type="dxa"/>
            <w:vAlign w:val="center"/>
          </w:tcPr>
          <w:p>
            <w:pPr>
              <w:pStyle w:val="3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w:t>
            </w:r>
          </w:p>
        </w:tc>
        <w:tc>
          <w:tcPr>
            <w:tcW w:w="1758" w:type="dxa"/>
            <w:gridSpan w:val="2"/>
            <w:tcBorders>
              <w:right w:val="single" w:color="auto" w:sz="4" w:space="0"/>
            </w:tcBorders>
            <w:vAlign w:val="center"/>
          </w:tcPr>
          <w:p>
            <w:pPr>
              <w:pStyle w:val="3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招标范围</w:t>
            </w:r>
          </w:p>
        </w:tc>
        <w:tc>
          <w:tcPr>
            <w:tcW w:w="6030" w:type="dxa"/>
            <w:tcBorders>
              <w:left w:val="single" w:color="auto" w:sz="4" w:space="0"/>
            </w:tcBorders>
            <w:vAlign w:val="center"/>
          </w:tcPr>
          <w:p>
            <w:pPr>
              <w:pStyle w:val="31"/>
              <w:ind w:left="0" w:leftChars="0" w:firstLine="0" w:firstLineChars="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基于</w:t>
            </w:r>
            <w:r>
              <w:rPr>
                <w:rFonts w:hint="eastAsia"/>
                <w:color w:val="000000"/>
                <w:sz w:val="28"/>
                <w:szCs w:val="28"/>
                <w:lang w:eastAsia="zh-CN"/>
              </w:rPr>
              <w:t>自治区公共机构节能管理系统（一期）</w:t>
            </w:r>
            <w:r>
              <w:rPr>
                <w:rFonts w:hint="eastAsia"/>
                <w:color w:val="000000"/>
                <w:sz w:val="28"/>
                <w:szCs w:val="28"/>
                <w:lang w:val="en-US" w:eastAsia="zh-CN"/>
              </w:rPr>
              <w:t>建设基</w:t>
            </w:r>
            <w:r>
              <w:rPr>
                <w:rFonts w:hint="eastAsia" w:ascii="仿宋" w:hAnsi="仿宋" w:eastAsia="仿宋" w:cs="仿宋"/>
                <w:color w:val="000000"/>
                <w:sz w:val="28"/>
                <w:szCs w:val="28"/>
                <w:lang w:val="en-US" w:eastAsia="zh-CN"/>
              </w:rPr>
              <w:t>础，根据实际业务管理需求，新建开发</w:t>
            </w:r>
            <w:r>
              <w:rPr>
                <w:rFonts w:hint="eastAsia" w:ascii="仿宋" w:hAnsi="仿宋" w:eastAsia="仿宋" w:cs="仿宋"/>
                <w:color w:val="000000"/>
                <w:sz w:val="28"/>
                <w:szCs w:val="28"/>
              </w:rPr>
              <w:t>数据展示分析、组织架构、创建管理、能源资源消费统计、垃圾分类管理、项目管理、机关运行成本管理和系统管理</w:t>
            </w:r>
            <w:r>
              <w:rPr>
                <w:rFonts w:hint="eastAsia" w:ascii="仿宋" w:hAnsi="仿宋" w:eastAsia="仿宋" w:cs="仿宋"/>
                <w:color w:val="000000"/>
                <w:sz w:val="28"/>
                <w:szCs w:val="28"/>
                <w:lang w:val="en-US" w:eastAsia="zh-CN"/>
              </w:rPr>
              <w:t>等8个</w:t>
            </w:r>
            <w:r>
              <w:rPr>
                <w:rFonts w:hint="eastAsia" w:ascii="仿宋" w:hAnsi="仿宋" w:eastAsia="仿宋" w:cs="仿宋"/>
                <w:color w:val="000000"/>
                <w:sz w:val="28"/>
                <w:szCs w:val="28"/>
              </w:rPr>
              <w:t>功能模块</w:t>
            </w:r>
            <w:r>
              <w:rPr>
                <w:rFonts w:hint="eastAsia" w:ascii="仿宋" w:hAnsi="仿宋" w:eastAsia="仿宋" w:cs="仿宋"/>
                <w:color w:val="000000"/>
                <w:sz w:val="28"/>
                <w:szCs w:val="28"/>
                <w:lang w:eastAsia="zh-CN"/>
              </w:rPr>
              <w:t>，</w:t>
            </w:r>
            <w:r>
              <w:rPr>
                <w:rFonts w:hint="eastAsia"/>
                <w:color w:val="000000"/>
                <w:sz w:val="28"/>
                <w:szCs w:val="28"/>
              </w:rPr>
              <w:t>新增政策法规、通知公告、档案管理和节能产品技术目录库等功能</w:t>
            </w:r>
            <w:r>
              <w:rPr>
                <w:rFonts w:hint="eastAsia"/>
                <w:color w:val="000000"/>
                <w:sz w:val="28"/>
                <w:szCs w:val="28"/>
                <w:lang w:eastAsia="zh-CN"/>
              </w:rPr>
              <w:t>，</w:t>
            </w:r>
            <w:r>
              <w:rPr>
                <w:rFonts w:hint="eastAsia"/>
                <w:color w:val="000000"/>
                <w:sz w:val="28"/>
                <w:szCs w:val="28"/>
                <w:lang w:val="en-US" w:eastAsia="zh-CN"/>
              </w:rPr>
              <w:t>优化完善</w:t>
            </w:r>
            <w:r>
              <w:rPr>
                <w:rFonts w:hint="eastAsia"/>
                <w:color w:val="000000"/>
                <w:sz w:val="28"/>
                <w:szCs w:val="28"/>
              </w:rPr>
              <w:t>组织机构管理模块和基础数据模块，</w:t>
            </w:r>
            <w:r>
              <w:rPr>
                <w:rFonts w:hint="eastAsia"/>
                <w:color w:val="000000"/>
                <w:sz w:val="28"/>
                <w:szCs w:val="28"/>
                <w:lang w:val="en-US" w:eastAsia="zh-CN"/>
              </w:rPr>
              <w:t>完成</w:t>
            </w:r>
            <w:r>
              <w:rPr>
                <w:rFonts w:hint="eastAsia" w:ascii="仿宋" w:hAnsi="仿宋" w:eastAsia="仿宋" w:cs="仿宋"/>
                <w:color w:val="000000"/>
                <w:sz w:val="28"/>
                <w:szCs w:val="28"/>
              </w:rPr>
              <w:t>能源资源消费统计</w:t>
            </w:r>
            <w:r>
              <w:rPr>
                <w:rFonts w:hint="eastAsia" w:ascii="仿宋" w:hAnsi="仿宋" w:cs="仿宋"/>
                <w:color w:val="000000"/>
                <w:sz w:val="28"/>
                <w:szCs w:val="28"/>
                <w:lang w:val="en-US" w:eastAsia="zh-CN"/>
              </w:rPr>
              <w:t>系统既往数据的清洗、迁移和导入工作，实现与国管局</w:t>
            </w:r>
            <w:r>
              <w:rPr>
                <w:rFonts w:hint="eastAsia"/>
                <w:color w:val="000000"/>
                <w:sz w:val="28"/>
                <w:szCs w:val="28"/>
              </w:rPr>
              <w:t>公共机构能源资源统计信息系统</w:t>
            </w:r>
            <w:r>
              <w:rPr>
                <w:rFonts w:hint="eastAsia"/>
                <w:color w:val="000000"/>
                <w:sz w:val="28"/>
                <w:szCs w:val="28"/>
                <w:lang w:val="en-US" w:eastAsia="zh-CN"/>
              </w:rPr>
              <w:t>和自治区机关事务信息化中台数据对接。</w:t>
            </w:r>
          </w:p>
        </w:tc>
      </w:tr>
      <w:tr>
        <w:trPr>
          <w:trHeight w:val="567" w:hRule="atLeast"/>
        </w:trPr>
        <w:tc>
          <w:tcPr>
            <w:tcW w:w="1153" w:type="dxa"/>
            <w:vAlign w:val="center"/>
          </w:tcPr>
          <w:p>
            <w:pPr>
              <w:pStyle w:val="3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w:t>
            </w:r>
          </w:p>
        </w:tc>
        <w:tc>
          <w:tcPr>
            <w:tcW w:w="1758" w:type="dxa"/>
            <w:gridSpan w:val="2"/>
            <w:tcBorders>
              <w:right w:val="single" w:color="auto" w:sz="4" w:space="0"/>
            </w:tcBorders>
            <w:vAlign w:val="center"/>
          </w:tcPr>
          <w:p>
            <w:pPr>
              <w:pStyle w:val="3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项目地点</w:t>
            </w:r>
          </w:p>
        </w:tc>
        <w:tc>
          <w:tcPr>
            <w:tcW w:w="6030" w:type="dxa"/>
            <w:tcBorders>
              <w:left w:val="single" w:color="auto" w:sz="4" w:space="0"/>
            </w:tcBorders>
            <w:vAlign w:val="center"/>
          </w:tcPr>
          <w:p>
            <w:pPr>
              <w:pStyle w:val="3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新疆维吾尔自治区机关事务管理局</w:t>
            </w:r>
          </w:p>
        </w:tc>
      </w:tr>
      <w:tr>
        <w:trPr>
          <w:trHeight w:val="567" w:hRule="atLeast"/>
        </w:trPr>
        <w:tc>
          <w:tcPr>
            <w:tcW w:w="1153" w:type="dxa"/>
            <w:vAlign w:val="center"/>
          </w:tcPr>
          <w:p>
            <w:pPr>
              <w:pStyle w:val="3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1.4</w:t>
            </w:r>
          </w:p>
        </w:tc>
        <w:tc>
          <w:tcPr>
            <w:tcW w:w="1758" w:type="dxa"/>
            <w:gridSpan w:val="2"/>
            <w:tcBorders>
              <w:right w:val="single" w:color="auto" w:sz="4" w:space="0"/>
            </w:tcBorders>
            <w:vAlign w:val="center"/>
          </w:tcPr>
          <w:p>
            <w:pPr>
              <w:pStyle w:val="3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招标方式</w:t>
            </w:r>
          </w:p>
        </w:tc>
        <w:tc>
          <w:tcPr>
            <w:tcW w:w="6030" w:type="dxa"/>
            <w:tcBorders>
              <w:left w:val="single" w:color="auto" w:sz="4" w:space="0"/>
            </w:tcBorders>
            <w:vAlign w:val="center"/>
          </w:tcPr>
          <w:p>
            <w:pPr>
              <w:pStyle w:val="34"/>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公开招标</w:t>
            </w:r>
          </w:p>
        </w:tc>
      </w:tr>
      <w:tr>
        <w:trPr>
          <w:trHeight w:val="567" w:hRule="atLeast"/>
        </w:trPr>
        <w:tc>
          <w:tcPr>
            <w:tcW w:w="1153" w:type="dxa"/>
            <w:vAlign w:val="center"/>
          </w:tcPr>
          <w:p>
            <w:pPr>
              <w:pStyle w:val="3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w:t>
            </w:r>
          </w:p>
        </w:tc>
        <w:tc>
          <w:tcPr>
            <w:tcW w:w="1758" w:type="dxa"/>
            <w:gridSpan w:val="2"/>
            <w:tcBorders>
              <w:right w:val="single" w:color="auto" w:sz="4" w:space="0"/>
            </w:tcBorders>
            <w:vAlign w:val="center"/>
          </w:tcPr>
          <w:p>
            <w:pPr>
              <w:pStyle w:val="3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交货期</w:t>
            </w:r>
          </w:p>
        </w:tc>
        <w:tc>
          <w:tcPr>
            <w:tcW w:w="6030" w:type="dxa"/>
            <w:tcBorders>
              <w:left w:val="single" w:color="auto" w:sz="4" w:space="0"/>
            </w:tcBorders>
            <w:vAlign w:val="center"/>
          </w:tcPr>
          <w:p>
            <w:pPr>
              <w:pStyle w:val="34"/>
              <w:rPr>
                <w:rFonts w:hint="eastAsia" w:ascii="仿宋_GB2312" w:hAnsi="仿宋_GB2312" w:eastAsia="仿宋_GB2312" w:cs="仿宋_GB2312"/>
                <w:sz w:val="28"/>
                <w:szCs w:val="28"/>
              </w:rPr>
            </w:pPr>
            <w:r>
              <w:rPr>
                <w:rFonts w:hint="eastAsia" w:ascii="仿宋_GB2312" w:hAnsi="仿宋_GB2312" w:eastAsia="仿宋_GB2312" w:cs="仿宋_GB2312"/>
                <w:color w:val="000000"/>
                <w:szCs w:val="21"/>
                <w:highlight w:val="none"/>
              </w:rPr>
              <w:t>签订合同后</w:t>
            </w:r>
            <w:r>
              <w:rPr>
                <w:rFonts w:hint="eastAsia" w:ascii="仿宋_GB2312" w:hAnsi="仿宋_GB2312" w:eastAsia="仿宋_GB2312" w:cs="仿宋_GB2312"/>
                <w:color w:val="000000"/>
                <w:szCs w:val="21"/>
                <w:highlight w:val="none"/>
                <w:lang w:val="en-US" w:eastAsia="zh-CN"/>
              </w:rPr>
              <w:t>贰</w:t>
            </w:r>
            <w:r>
              <w:rPr>
                <w:rFonts w:hint="eastAsia" w:ascii="仿宋_GB2312" w:hAnsi="仿宋_GB2312" w:eastAsia="仿宋_GB2312" w:cs="仿宋_GB2312"/>
                <w:color w:val="000000"/>
                <w:szCs w:val="21"/>
                <w:highlight w:val="none"/>
              </w:rPr>
              <w:t>个月内</w:t>
            </w:r>
          </w:p>
        </w:tc>
      </w:tr>
      <w:tr>
        <w:trPr>
          <w:trHeight w:val="567" w:hRule="atLeast"/>
        </w:trPr>
        <w:tc>
          <w:tcPr>
            <w:tcW w:w="1153" w:type="dxa"/>
            <w:vAlign w:val="center"/>
          </w:tcPr>
          <w:p>
            <w:pPr>
              <w:pStyle w:val="3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1.6</w:t>
            </w:r>
          </w:p>
        </w:tc>
        <w:tc>
          <w:tcPr>
            <w:tcW w:w="1758" w:type="dxa"/>
            <w:gridSpan w:val="2"/>
            <w:tcBorders>
              <w:right w:val="single" w:color="auto" w:sz="4" w:space="0"/>
            </w:tcBorders>
            <w:vAlign w:val="center"/>
          </w:tcPr>
          <w:p>
            <w:pPr>
              <w:pStyle w:val="3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质保期</w:t>
            </w:r>
          </w:p>
        </w:tc>
        <w:tc>
          <w:tcPr>
            <w:tcW w:w="6030" w:type="dxa"/>
            <w:tcBorders>
              <w:left w:val="single" w:color="auto" w:sz="4" w:space="0"/>
            </w:tcBorders>
            <w:vAlign w:val="center"/>
          </w:tcPr>
          <w:p>
            <w:pPr>
              <w:pStyle w:val="34"/>
              <w:rPr>
                <w:rFonts w:hint="eastAsia" w:ascii="仿宋_GB2312" w:hAnsi="仿宋_GB2312" w:eastAsia="仿宋_GB2312" w:cs="仿宋_GB2312"/>
                <w:sz w:val="28"/>
                <w:szCs w:val="28"/>
              </w:rPr>
            </w:pPr>
            <w:r>
              <w:rPr>
                <w:rFonts w:hint="eastAsia" w:ascii="仿宋_GB2312" w:hAnsi="仿宋_GB2312" w:eastAsia="仿宋_GB2312" w:cs="仿宋_GB2312"/>
                <w:color w:val="auto"/>
                <w:szCs w:val="21"/>
                <w:highlight w:val="none"/>
              </w:rPr>
              <w:t>提供</w:t>
            </w:r>
            <w:r>
              <w:rPr>
                <w:rFonts w:hint="eastAsia" w:ascii="仿宋_GB2312" w:hAnsi="仿宋_GB2312" w:eastAsia="仿宋_GB2312" w:cs="仿宋_GB2312"/>
                <w:color w:val="auto"/>
                <w:szCs w:val="21"/>
                <w:highlight w:val="none"/>
                <w:lang w:val="en-US" w:eastAsia="zh-CN"/>
              </w:rPr>
              <w:t>1</w:t>
            </w:r>
            <w:r>
              <w:rPr>
                <w:rFonts w:hint="eastAsia" w:ascii="仿宋_GB2312" w:hAnsi="仿宋_GB2312" w:eastAsia="仿宋_GB2312" w:cs="仿宋_GB2312"/>
                <w:color w:val="auto"/>
                <w:szCs w:val="21"/>
                <w:highlight w:val="none"/>
              </w:rPr>
              <w:t>年免费</w:t>
            </w:r>
            <w:r>
              <w:rPr>
                <w:rFonts w:hint="eastAsia" w:ascii="仿宋_GB2312" w:hAnsi="仿宋_GB2312" w:eastAsia="仿宋_GB2312" w:cs="仿宋_GB2312"/>
                <w:color w:val="auto"/>
                <w:szCs w:val="21"/>
                <w:highlight w:val="none"/>
                <w:lang w:eastAsia="zh-CN"/>
              </w:rPr>
              <w:t>维护（</w:t>
            </w:r>
            <w:r>
              <w:rPr>
                <w:rFonts w:hint="eastAsia" w:ascii="仿宋_GB2312" w:hAnsi="仿宋_GB2312" w:eastAsia="仿宋_GB2312" w:cs="仿宋_GB2312"/>
                <w:color w:val="auto"/>
                <w:szCs w:val="21"/>
                <w:highlight w:val="none"/>
                <w:lang w:val="en-US" w:eastAsia="zh-CN"/>
              </w:rPr>
              <w:t>365日历日</w:t>
            </w:r>
            <w:r>
              <w:rPr>
                <w:rFonts w:hint="eastAsia" w:ascii="仿宋_GB2312" w:hAnsi="仿宋_GB2312" w:eastAsia="仿宋_GB2312" w:cs="仿宋_GB2312"/>
                <w:color w:val="auto"/>
                <w:szCs w:val="21"/>
                <w:highlight w:val="none"/>
                <w:lang w:eastAsia="zh-CN"/>
              </w:rPr>
              <w:t>）</w:t>
            </w:r>
          </w:p>
        </w:tc>
      </w:tr>
      <w:tr>
        <w:trPr>
          <w:trHeight w:val="567" w:hRule="atLeast"/>
        </w:trPr>
        <w:tc>
          <w:tcPr>
            <w:tcW w:w="1153" w:type="dxa"/>
            <w:vAlign w:val="center"/>
          </w:tcPr>
          <w:p>
            <w:pPr>
              <w:pStyle w:val="3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2.1</w:t>
            </w:r>
          </w:p>
        </w:tc>
        <w:tc>
          <w:tcPr>
            <w:tcW w:w="1758" w:type="dxa"/>
            <w:gridSpan w:val="2"/>
            <w:tcBorders>
              <w:right w:val="single" w:color="auto" w:sz="4" w:space="0"/>
            </w:tcBorders>
            <w:vAlign w:val="center"/>
          </w:tcPr>
          <w:p>
            <w:pPr>
              <w:pStyle w:val="3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采购人</w:t>
            </w:r>
          </w:p>
        </w:tc>
        <w:tc>
          <w:tcPr>
            <w:tcW w:w="6030" w:type="dxa"/>
            <w:tcBorders>
              <w:left w:val="single" w:color="auto" w:sz="4" w:space="0"/>
            </w:tcBorders>
            <w:vAlign w:val="center"/>
          </w:tcPr>
          <w:p>
            <w:pPr>
              <w:pStyle w:val="3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采购人名称：新疆维吾尔自治区机关事务管理局</w:t>
            </w:r>
          </w:p>
          <w:p>
            <w:pPr>
              <w:pStyle w:val="34"/>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联系人：胡</w:t>
            </w:r>
            <w:r>
              <w:rPr>
                <w:rFonts w:hint="eastAsia" w:ascii="仿宋_GB2312" w:hAnsi="仿宋_GB2312" w:eastAsia="仿宋_GB2312" w:cs="仿宋_GB2312"/>
                <w:sz w:val="28"/>
                <w:szCs w:val="28"/>
                <w:lang w:val="en-US" w:eastAsia="zh-CN"/>
              </w:rPr>
              <w:t>文诏</w:t>
            </w:r>
          </w:p>
          <w:p>
            <w:pPr>
              <w:pStyle w:val="3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联系电话：0991-2391001</w:t>
            </w:r>
          </w:p>
          <w:p>
            <w:pPr>
              <w:pStyle w:val="3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地址：新疆维吾尔自治区乌鲁木齐市天山区和平北路</w:t>
            </w:r>
            <w:r>
              <w:rPr>
                <w:rFonts w:hint="eastAsia" w:ascii="仿宋_GB2312" w:hAnsi="仿宋_GB2312" w:eastAsia="仿宋_GB2312" w:cs="仿宋_GB2312"/>
                <w:color w:val="000000"/>
                <w:sz w:val="28"/>
                <w:szCs w:val="28"/>
                <w:lang w:val="en-US" w:eastAsia="zh-CN"/>
              </w:rPr>
              <w:t>12</w:t>
            </w:r>
            <w:r>
              <w:rPr>
                <w:rFonts w:hint="eastAsia" w:ascii="仿宋_GB2312" w:hAnsi="仿宋_GB2312" w:eastAsia="仿宋_GB2312" w:cs="仿宋_GB2312"/>
                <w:sz w:val="28"/>
                <w:szCs w:val="28"/>
              </w:rPr>
              <w:t>号</w:t>
            </w:r>
          </w:p>
        </w:tc>
      </w:tr>
      <w:tr>
        <w:trPr>
          <w:trHeight w:val="567" w:hRule="atLeast"/>
        </w:trPr>
        <w:tc>
          <w:tcPr>
            <w:tcW w:w="1153" w:type="dxa"/>
            <w:vAlign w:val="center"/>
          </w:tcPr>
          <w:p>
            <w:pPr>
              <w:pStyle w:val="3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2.2</w:t>
            </w:r>
          </w:p>
        </w:tc>
        <w:tc>
          <w:tcPr>
            <w:tcW w:w="1758" w:type="dxa"/>
            <w:gridSpan w:val="2"/>
            <w:tcBorders>
              <w:right w:val="single" w:color="auto" w:sz="4" w:space="0"/>
            </w:tcBorders>
            <w:vAlign w:val="center"/>
          </w:tcPr>
          <w:p>
            <w:pPr>
              <w:pStyle w:val="3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采购代理机构</w:t>
            </w:r>
          </w:p>
        </w:tc>
        <w:tc>
          <w:tcPr>
            <w:tcW w:w="6030" w:type="dxa"/>
            <w:tcBorders>
              <w:left w:val="single" w:color="auto" w:sz="4" w:space="0"/>
            </w:tcBorders>
            <w:vAlign w:val="center"/>
          </w:tcPr>
          <w:p>
            <w:pPr>
              <w:widowControl w:val="0"/>
              <w:wordWrap/>
              <w:spacing w:line="440" w:lineRule="exact"/>
              <w:ind w:left="0" w:leftChars="0" w:firstLine="0" w:firstLineChars="0"/>
              <w:textAlignment w:val="auto"/>
              <w:rPr>
                <w:rFonts w:hint="eastAsia" w:ascii="仿宋_GB2312" w:hAnsi="仿宋_GB2312" w:eastAsia="仿宋_GB2312" w:cs="仿宋_GB2312"/>
                <w:sz w:val="28"/>
                <w:szCs w:val="28"/>
                <w:shd w:val="clear" w:color="auto" w:fill="FFFFFF"/>
              </w:rPr>
            </w:pPr>
            <w:r>
              <w:rPr>
                <w:rFonts w:hint="eastAsia" w:ascii="仿宋_GB2312" w:hAnsi="仿宋_GB2312" w:eastAsia="仿宋_GB2312" w:cs="仿宋_GB2312"/>
                <w:color w:val="auto"/>
                <w:sz w:val="28"/>
                <w:szCs w:val="28"/>
                <w:lang w:val="zh-CN"/>
              </w:rPr>
              <w:t>名称：</w:t>
            </w:r>
            <w:r>
              <w:rPr>
                <w:rFonts w:hint="eastAsia" w:ascii="仿宋_GB2312" w:hAnsi="仿宋_GB2312" w:eastAsia="仿宋_GB2312" w:cs="仿宋_GB2312"/>
                <w:sz w:val="28"/>
                <w:szCs w:val="28"/>
                <w:shd w:val="clear" w:color="auto" w:fill="FFFFFF"/>
              </w:rPr>
              <w:t>新疆</w:t>
            </w:r>
            <w:r>
              <w:rPr>
                <w:rFonts w:hint="eastAsia" w:ascii="仿宋_GB2312" w:hAnsi="仿宋_GB2312" w:eastAsia="仿宋_GB2312" w:cs="仿宋_GB2312"/>
                <w:sz w:val="28"/>
                <w:szCs w:val="28"/>
                <w:shd w:val="clear" w:color="auto" w:fill="FFFFFF"/>
                <w:lang w:val="en-US" w:eastAsia="zh-CN"/>
              </w:rPr>
              <w:t>崇业招标代理</w:t>
            </w:r>
            <w:r>
              <w:rPr>
                <w:rFonts w:hint="eastAsia" w:ascii="仿宋_GB2312" w:hAnsi="仿宋_GB2312" w:eastAsia="仿宋_GB2312" w:cs="仿宋_GB2312"/>
                <w:sz w:val="28"/>
                <w:szCs w:val="28"/>
                <w:shd w:val="clear" w:color="auto" w:fill="FFFFFF"/>
              </w:rPr>
              <w:t>有限公司</w:t>
            </w:r>
          </w:p>
          <w:p>
            <w:pPr>
              <w:widowControl w:val="0"/>
              <w:wordWrap/>
              <w:spacing w:line="440" w:lineRule="exact"/>
              <w:ind w:left="0" w:leftChars="0" w:firstLine="0" w:firstLineChars="0"/>
              <w:textAlignment w:val="auto"/>
              <w:rPr>
                <w:rFonts w:hint="eastAsia" w:ascii="仿宋_GB2312" w:hAnsi="仿宋_GB2312" w:eastAsia="仿宋_GB2312" w:cs="仿宋_GB2312"/>
                <w:sz w:val="28"/>
                <w:szCs w:val="28"/>
                <w:shd w:val="clear" w:color="auto" w:fill="FFFFFF"/>
                <w:lang w:val="en-US" w:eastAsia="zh-CN"/>
              </w:rPr>
            </w:pPr>
            <w:r>
              <w:rPr>
                <w:rFonts w:hint="eastAsia" w:ascii="仿宋_GB2312" w:hAnsi="仿宋_GB2312" w:eastAsia="仿宋_GB2312" w:cs="仿宋_GB2312"/>
                <w:color w:val="auto"/>
                <w:sz w:val="28"/>
                <w:szCs w:val="28"/>
                <w:lang w:val="zh-CN"/>
              </w:rPr>
              <w:t>地址：</w:t>
            </w:r>
            <w:r>
              <w:rPr>
                <w:rFonts w:hint="eastAsia" w:ascii="仿宋_GB2312" w:hAnsi="仿宋_GB2312" w:eastAsia="仿宋_GB2312" w:cs="仿宋_GB2312"/>
                <w:sz w:val="28"/>
                <w:szCs w:val="28"/>
                <w:shd w:val="clear" w:color="auto" w:fill="FFFFFF"/>
                <w:lang w:val="en-US" w:eastAsia="zh-CN"/>
              </w:rPr>
              <w:t>乌鲁木齐高新区（新市区）北京南路591号自治区广播电视局高层南楼1203室</w:t>
            </w:r>
          </w:p>
          <w:p>
            <w:pPr>
              <w:pStyle w:val="34"/>
              <w:rPr>
                <w:rFonts w:hint="eastAsia" w:ascii="仿宋_GB2312" w:hAnsi="仿宋_GB2312" w:eastAsia="仿宋_GB2312" w:cs="仿宋_GB2312"/>
                <w:sz w:val="28"/>
                <w:szCs w:val="28"/>
                <w:highlight w:val="yellow"/>
              </w:rPr>
            </w:pPr>
            <w:r>
              <w:rPr>
                <w:rFonts w:hint="eastAsia" w:ascii="仿宋_GB2312" w:hAnsi="仿宋_GB2312" w:eastAsia="仿宋_GB2312" w:cs="仿宋_GB2312"/>
                <w:color w:val="auto"/>
                <w:sz w:val="28"/>
                <w:szCs w:val="28"/>
                <w:lang w:val="zh-CN"/>
              </w:rPr>
              <w:t>联系人：</w:t>
            </w:r>
            <w:r>
              <w:rPr>
                <w:rFonts w:hint="eastAsia" w:ascii="仿宋_GB2312" w:hAnsi="仿宋_GB2312" w:eastAsia="仿宋_GB2312" w:cs="仿宋_GB2312"/>
                <w:color w:val="auto"/>
                <w:sz w:val="28"/>
                <w:szCs w:val="28"/>
                <w:lang w:val="en-US" w:eastAsia="zh-CN"/>
              </w:rPr>
              <w:t xml:space="preserve">李媛媛 </w:t>
            </w:r>
            <w:r>
              <w:rPr>
                <w:rFonts w:hint="eastAsia" w:ascii="仿宋_GB2312" w:hAnsi="仿宋_GB2312" w:eastAsia="仿宋_GB2312" w:cs="仿宋_GB2312"/>
                <w:color w:val="auto"/>
                <w:sz w:val="28"/>
                <w:szCs w:val="28"/>
              </w:rPr>
              <w:t>电话</w:t>
            </w:r>
            <w:r>
              <w:rPr>
                <w:rFonts w:hint="eastAsia" w:ascii="仿宋_GB2312" w:hAnsi="仿宋_GB2312" w:eastAsia="仿宋_GB2312" w:cs="仿宋_GB2312"/>
                <w:color w:val="auto"/>
                <w:sz w:val="28"/>
                <w:szCs w:val="28"/>
                <w:lang w:eastAsia="zh-CN"/>
              </w:rPr>
              <w:t>：0991-4639656  13209949869</w:t>
            </w:r>
          </w:p>
        </w:tc>
      </w:tr>
      <w:tr>
        <w:trPr>
          <w:trHeight w:val="567" w:hRule="atLeast"/>
        </w:trPr>
        <w:tc>
          <w:tcPr>
            <w:tcW w:w="1153" w:type="dxa"/>
            <w:vAlign w:val="center"/>
          </w:tcPr>
          <w:p>
            <w:pPr>
              <w:pStyle w:val="3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3.1</w:t>
            </w:r>
          </w:p>
        </w:tc>
        <w:tc>
          <w:tcPr>
            <w:tcW w:w="1758" w:type="dxa"/>
            <w:gridSpan w:val="2"/>
            <w:tcBorders>
              <w:right w:val="single" w:color="auto" w:sz="4" w:space="0"/>
            </w:tcBorders>
            <w:vAlign w:val="center"/>
          </w:tcPr>
          <w:p>
            <w:pPr>
              <w:pStyle w:val="3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投标人资格条件</w:t>
            </w:r>
          </w:p>
        </w:tc>
        <w:tc>
          <w:tcPr>
            <w:tcW w:w="6030" w:type="dxa"/>
            <w:tcBorders>
              <w:left w:val="single" w:color="auto" w:sz="4" w:space="0"/>
            </w:tcBorders>
            <w:vAlign w:val="center"/>
          </w:tcPr>
          <w:p>
            <w:pPr>
              <w:adjustRightInd w:val="0"/>
              <w:snapToGrid w:val="0"/>
              <w:ind w:left="0" w:leftChars="0"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1.供应商须满足《中华人民共和国政府采购法》第二十二条款规定。</w:t>
            </w:r>
          </w:p>
          <w:p>
            <w:pPr>
              <w:adjustRightInd w:val="0"/>
              <w:snapToGrid w:val="0"/>
              <w:ind w:left="0" w:leftChars="0"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2.供应商必须拥有统一社会信用代码的营业执照，有能力提供本项目全部采购内容及服务能力；</w:t>
            </w:r>
          </w:p>
          <w:p>
            <w:pPr>
              <w:adjustRightInd w:val="0"/>
              <w:snapToGrid w:val="0"/>
              <w:ind w:left="0" w:leftChars="0"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3.供应商具有相应的货物供货和安装、调试能力，并有良好的技术支持能力和较强的售后服务能力；</w:t>
            </w:r>
          </w:p>
          <w:p>
            <w:pPr>
              <w:adjustRightInd w:val="0"/>
              <w:snapToGrid w:val="0"/>
              <w:ind w:left="0" w:leftChars="0"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根据《关于在政府采购活动中查询及使用信用记录有关问题的通知》(财库[2016]125号)的规定，对被列入“失信被执行人”、“重大税收违法案件当事人名单”、“政府采购严重违法失信行为记录名单”的供应商，拒绝参与本项目政府采购活动【查询渠道：“信用中国”网站（www.creditchina.gov.cn）、中国政府采购网（http://www.ccgp.gov.cn/）。</w:t>
            </w:r>
          </w:p>
          <w:p>
            <w:pPr>
              <w:adjustRightInd w:val="0"/>
              <w:snapToGrid w:val="0"/>
              <w:ind w:left="0" w:leftChars="0"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5.供应商不得存在下列情形之一：</w:t>
            </w:r>
          </w:p>
          <w:p>
            <w:pPr>
              <w:pStyle w:val="28"/>
              <w:ind w:left="0" w:leftChars="0" w:firstLine="0" w:firstLineChars="0"/>
              <w:rPr>
                <w:rFonts w:hint="eastAsia" w:ascii="仿宋_GB2312" w:hAnsi="仿宋_GB2312" w:eastAsia="仿宋_GB2312" w:cs="仿宋_GB2312"/>
                <w:kern w:val="2"/>
                <w:sz w:val="28"/>
                <w:szCs w:val="28"/>
                <w:lang w:val="en-US" w:eastAsia="zh-CN"/>
              </w:rPr>
            </w:pPr>
            <w:r>
              <w:rPr>
                <w:rFonts w:hint="eastAsia" w:ascii="仿宋_GB2312" w:hAnsi="仿宋_GB2312" w:eastAsia="仿宋_GB2312" w:cs="仿宋_GB2312"/>
                <w:kern w:val="2"/>
                <w:sz w:val="28"/>
                <w:szCs w:val="28"/>
                <w:lang w:val="en-US" w:eastAsia="zh-CN"/>
              </w:rPr>
              <w:t>（l）与采购人、采购代理机构存在隶属关系或者其他利害关系。</w:t>
            </w:r>
          </w:p>
          <w:p>
            <w:pPr>
              <w:pStyle w:val="28"/>
              <w:numPr>
                <w:ilvl w:val="0"/>
                <w:numId w:val="6"/>
              </w:numPr>
              <w:ind w:left="0" w:leftChars="0" w:firstLine="0" w:firstLineChars="0"/>
              <w:rPr>
                <w:rFonts w:hint="eastAsia" w:ascii="仿宋_GB2312" w:hAnsi="仿宋_GB2312" w:eastAsia="仿宋_GB2312" w:cs="仿宋_GB2312"/>
                <w:kern w:val="2"/>
                <w:sz w:val="28"/>
                <w:szCs w:val="28"/>
                <w:lang w:val="en-US" w:eastAsia="zh-CN"/>
              </w:rPr>
            </w:pPr>
            <w:r>
              <w:rPr>
                <w:rFonts w:hint="eastAsia" w:ascii="仿宋_GB2312" w:hAnsi="仿宋_GB2312" w:eastAsia="仿宋_GB2312" w:cs="仿宋_GB2312"/>
                <w:kern w:val="2"/>
                <w:sz w:val="28"/>
                <w:szCs w:val="28"/>
                <w:lang w:val="en-US" w:eastAsia="zh-CN"/>
              </w:rPr>
              <w:t>与其他供应商的法定代表人（或者负责人）为同一人；或者与其他供应商存在控股、关联关系；为采购项目提供整体设计、规范编制或者项目管理、监理、检测等服务的供应商，不得再参加本项目的采购活动。</w:t>
            </w:r>
          </w:p>
          <w:p>
            <w:pPr>
              <w:pStyle w:val="28"/>
              <w:numPr>
                <w:numId w:val="0"/>
              </w:numPr>
              <w:ind w:leftChars="0"/>
              <w:rPr>
                <w:rFonts w:hint="eastAsia" w:ascii="仿宋_GB2312" w:hAnsi="仿宋_GB2312" w:eastAsia="仿宋_GB2312" w:cs="仿宋_GB2312"/>
                <w:kern w:val="2"/>
                <w:sz w:val="28"/>
                <w:szCs w:val="28"/>
                <w:lang w:val="en-US" w:eastAsia="zh-CN"/>
              </w:rPr>
            </w:pPr>
            <w:r>
              <w:rPr>
                <w:rFonts w:hint="eastAsia" w:ascii="仿宋_GB2312" w:hAnsi="仿宋_GB2312" w:eastAsia="仿宋_GB2312" w:cs="仿宋_GB2312"/>
                <w:kern w:val="2"/>
                <w:sz w:val="28"/>
                <w:szCs w:val="28"/>
                <w:lang w:val="en-US" w:eastAsia="zh-CN"/>
              </w:rPr>
              <w:t>（3）受到刑事处罚，或者受到三万元以上的罚款、责令停产停业、在一至三年内禁止参加政府采购活动、暂扣或者吊销许可证、暂扣或者吊销执照等情形之一的行政处罚，或者存在财政部门认定的其他重大违法记录。</w:t>
            </w:r>
          </w:p>
          <w:p>
            <w:pPr>
              <w:pStyle w:val="34"/>
              <w:rPr>
                <w:rFonts w:hint="eastAsia" w:ascii="仿宋_GB2312" w:hAnsi="仿宋_GB2312" w:eastAsia="仿宋_GB2312" w:cs="仿宋_GB2312"/>
                <w:kern w:val="2"/>
                <w:sz w:val="28"/>
                <w:szCs w:val="28"/>
                <w:lang w:val="en-US" w:eastAsia="zh-CN"/>
              </w:rPr>
            </w:pPr>
            <w:r>
              <w:rPr>
                <w:rFonts w:hint="eastAsia" w:ascii="仿宋_GB2312" w:hAnsi="仿宋_GB2312" w:eastAsia="仿宋_GB2312" w:cs="仿宋_GB2312"/>
                <w:b/>
                <w:bCs/>
                <w:kern w:val="2"/>
                <w:sz w:val="28"/>
                <w:szCs w:val="28"/>
                <w:lang w:val="en-US" w:eastAsia="zh-CN"/>
              </w:rPr>
              <w:t>注：上述资格审查材料，是否响应文件的组成部分，投标人须在响应文件中提供，若响应文件中未按规定提供，投标人有可能承担评审时资格审查被否决</w:t>
            </w:r>
          </w:p>
        </w:tc>
      </w:tr>
      <w:tr>
        <w:trPr>
          <w:trHeight w:val="669" w:hRule="atLeast"/>
        </w:trPr>
        <w:tc>
          <w:tcPr>
            <w:tcW w:w="1153" w:type="dxa"/>
            <w:vAlign w:val="center"/>
          </w:tcPr>
          <w:p>
            <w:pPr>
              <w:pStyle w:val="3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6.1</w:t>
            </w:r>
          </w:p>
        </w:tc>
        <w:tc>
          <w:tcPr>
            <w:tcW w:w="1758" w:type="dxa"/>
            <w:gridSpan w:val="2"/>
            <w:tcBorders>
              <w:right w:val="single" w:color="auto" w:sz="4" w:space="0"/>
            </w:tcBorders>
            <w:vAlign w:val="center"/>
          </w:tcPr>
          <w:p>
            <w:pPr>
              <w:pStyle w:val="3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联合体形式</w:t>
            </w:r>
          </w:p>
        </w:tc>
        <w:tc>
          <w:tcPr>
            <w:tcW w:w="6030" w:type="dxa"/>
            <w:tcBorders>
              <w:left w:val="single" w:color="auto" w:sz="4" w:space="0"/>
            </w:tcBorders>
            <w:vAlign w:val="center"/>
          </w:tcPr>
          <w:p>
            <w:pPr>
              <w:pStyle w:val="3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 xml:space="preserve">接受        </w:t>
            </w:r>
            <w:r>
              <w:rPr>
                <w:rFonts w:hint="eastAsia" w:ascii="仿宋_GB2312" w:hAnsi="仿宋_GB2312" w:eastAsia="仿宋_GB2312" w:cs="仿宋_GB2312"/>
                <w:sz w:val="28"/>
                <w:szCs w:val="28"/>
              </w:rPr>
              <w:sym w:font="Wingdings 2" w:char="0052"/>
            </w:r>
            <w:r>
              <w:rPr>
                <w:rFonts w:hint="eastAsia" w:ascii="仿宋_GB2312" w:hAnsi="仿宋_GB2312" w:eastAsia="仿宋_GB2312" w:cs="仿宋_GB2312"/>
                <w:sz w:val="28"/>
                <w:szCs w:val="28"/>
              </w:rPr>
              <w:t>不接受</w:t>
            </w:r>
          </w:p>
        </w:tc>
      </w:tr>
      <w:tr>
        <w:trPr>
          <w:trHeight w:val="567" w:hRule="atLeast"/>
        </w:trPr>
        <w:tc>
          <w:tcPr>
            <w:tcW w:w="1153" w:type="dxa"/>
            <w:vAlign w:val="center"/>
          </w:tcPr>
          <w:p>
            <w:pPr>
              <w:pStyle w:val="3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6.2</w:t>
            </w:r>
          </w:p>
        </w:tc>
        <w:tc>
          <w:tcPr>
            <w:tcW w:w="1758" w:type="dxa"/>
            <w:gridSpan w:val="2"/>
            <w:tcBorders>
              <w:right w:val="single" w:color="auto" w:sz="4" w:space="0"/>
            </w:tcBorders>
            <w:vAlign w:val="center"/>
          </w:tcPr>
          <w:p>
            <w:pPr>
              <w:pStyle w:val="3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对联合体各方的要求</w:t>
            </w:r>
          </w:p>
        </w:tc>
        <w:tc>
          <w:tcPr>
            <w:tcW w:w="6030" w:type="dxa"/>
            <w:tcBorders>
              <w:left w:val="single" w:color="auto" w:sz="4" w:space="0"/>
            </w:tcBorders>
            <w:vAlign w:val="center"/>
          </w:tcPr>
          <w:p>
            <w:pPr>
              <w:pStyle w:val="3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无</w:t>
            </w:r>
          </w:p>
        </w:tc>
      </w:tr>
      <w:tr>
        <w:trPr>
          <w:trHeight w:val="567" w:hRule="atLeast"/>
        </w:trPr>
        <w:tc>
          <w:tcPr>
            <w:tcW w:w="1153" w:type="dxa"/>
            <w:vAlign w:val="center"/>
          </w:tcPr>
          <w:p>
            <w:pPr>
              <w:pStyle w:val="3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7.1</w:t>
            </w:r>
          </w:p>
        </w:tc>
        <w:tc>
          <w:tcPr>
            <w:tcW w:w="1758" w:type="dxa"/>
            <w:gridSpan w:val="2"/>
            <w:tcBorders>
              <w:right w:val="single" w:color="auto" w:sz="4" w:space="0"/>
            </w:tcBorders>
            <w:vAlign w:val="center"/>
          </w:tcPr>
          <w:p>
            <w:pPr>
              <w:pStyle w:val="3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现场考察或者召开开标前答疑会</w:t>
            </w:r>
          </w:p>
        </w:tc>
        <w:tc>
          <w:tcPr>
            <w:tcW w:w="6030" w:type="dxa"/>
            <w:tcBorders>
              <w:left w:val="single" w:color="auto" w:sz="4" w:space="0"/>
            </w:tcBorders>
            <w:vAlign w:val="center"/>
          </w:tcPr>
          <w:p>
            <w:pPr>
              <w:pStyle w:val="3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sym w:font="Wingdings 2" w:char="0052"/>
            </w:r>
            <w:r>
              <w:rPr>
                <w:rFonts w:hint="eastAsia" w:ascii="仿宋_GB2312" w:hAnsi="仿宋_GB2312" w:eastAsia="仿宋_GB2312" w:cs="仿宋_GB2312"/>
                <w:sz w:val="28"/>
                <w:szCs w:val="28"/>
              </w:rPr>
              <w:t>不采用</w:t>
            </w:r>
          </w:p>
          <w:p>
            <w:pPr>
              <w:pStyle w:val="3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□采用</w:t>
            </w:r>
          </w:p>
          <w:p>
            <w:pPr>
              <w:pStyle w:val="3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现场考察或者召开开标前答疑会时间：/</w:t>
            </w:r>
          </w:p>
          <w:p>
            <w:pPr>
              <w:pStyle w:val="3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现场考察或者召开开标前答疑会地点：/</w:t>
            </w:r>
          </w:p>
        </w:tc>
      </w:tr>
      <w:tr>
        <w:trPr>
          <w:trHeight w:val="567" w:hRule="atLeast"/>
        </w:trPr>
        <w:tc>
          <w:tcPr>
            <w:tcW w:w="1153" w:type="dxa"/>
            <w:vAlign w:val="center"/>
          </w:tcPr>
          <w:p>
            <w:pPr>
              <w:pStyle w:val="34"/>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8.1</w:t>
            </w:r>
          </w:p>
        </w:tc>
        <w:tc>
          <w:tcPr>
            <w:tcW w:w="1758" w:type="dxa"/>
            <w:gridSpan w:val="2"/>
            <w:tcBorders>
              <w:right w:val="single" w:color="auto" w:sz="4" w:space="0"/>
            </w:tcBorders>
            <w:vAlign w:val="center"/>
          </w:tcPr>
          <w:p>
            <w:pPr>
              <w:pStyle w:val="3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采购进口产品</w:t>
            </w:r>
          </w:p>
        </w:tc>
        <w:tc>
          <w:tcPr>
            <w:tcW w:w="6030" w:type="dxa"/>
            <w:tcBorders>
              <w:left w:val="single" w:color="auto" w:sz="4" w:space="0"/>
            </w:tcBorders>
            <w:vAlign w:val="center"/>
          </w:tcPr>
          <w:p>
            <w:pPr>
              <w:pStyle w:val="3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允许</w:t>
            </w:r>
          </w:p>
          <w:p>
            <w:pPr>
              <w:pStyle w:val="3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sym w:font="Wingdings 2" w:char="0052"/>
            </w:r>
            <w:r>
              <w:rPr>
                <w:rFonts w:hint="eastAsia" w:ascii="仿宋_GB2312" w:hAnsi="仿宋_GB2312" w:eastAsia="仿宋_GB2312" w:cs="仿宋_GB2312"/>
                <w:sz w:val="28"/>
                <w:szCs w:val="28"/>
              </w:rPr>
              <w:t>不允许</w:t>
            </w:r>
          </w:p>
        </w:tc>
      </w:tr>
      <w:tr>
        <w:trPr>
          <w:trHeight w:val="567" w:hRule="atLeast"/>
        </w:trPr>
        <w:tc>
          <w:tcPr>
            <w:tcW w:w="1153" w:type="dxa"/>
            <w:vAlign w:val="center"/>
          </w:tcPr>
          <w:p>
            <w:pPr>
              <w:pStyle w:val="34"/>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9.1</w:t>
            </w:r>
          </w:p>
        </w:tc>
        <w:tc>
          <w:tcPr>
            <w:tcW w:w="1758" w:type="dxa"/>
            <w:gridSpan w:val="2"/>
            <w:tcBorders>
              <w:right w:val="single" w:color="auto" w:sz="4" w:space="0"/>
            </w:tcBorders>
            <w:vAlign w:val="center"/>
          </w:tcPr>
          <w:p>
            <w:pPr>
              <w:pStyle w:val="34"/>
              <w:widowControl w:val="0"/>
              <w:wordWrap/>
              <w:adjustRightInd/>
              <w:snapToGrid/>
              <w:spacing w:before="0" w:after="0" w:line="560" w:lineRule="exact"/>
              <w:ind w:left="0" w:leftChars="0" w:right="0" w:firstLine="0" w:firstLineChars="0"/>
              <w:jc w:val="lef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color w:val="auto"/>
                <w:sz w:val="28"/>
                <w:szCs w:val="28"/>
              </w:rPr>
              <w:t>支持中小企业发展</w:t>
            </w:r>
          </w:p>
        </w:tc>
        <w:tc>
          <w:tcPr>
            <w:tcW w:w="6030" w:type="dxa"/>
            <w:tcBorders>
              <w:left w:val="single" w:color="auto" w:sz="4" w:space="0"/>
            </w:tcBorders>
            <w:vAlign w:val="center"/>
          </w:tcPr>
          <w:p>
            <w:pPr>
              <w:pStyle w:val="34"/>
              <w:widowControl w:val="0"/>
              <w:wordWrap/>
              <w:adjustRightInd/>
              <w:snapToGrid/>
              <w:spacing w:before="0" w:after="0" w:line="560" w:lineRule="exact"/>
              <w:ind w:left="0" w:leftChars="0" w:right="0" w:firstLine="0" w:firstLineChars="0"/>
              <w:jc w:val="lef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color w:val="auto"/>
                <w:sz w:val="28"/>
                <w:szCs w:val="28"/>
              </w:rPr>
              <w:t>给予小型和微型企业产品的价格给予6%-10%的扣除，用扣除后的价格参与评标，</w:t>
            </w:r>
            <w:r>
              <w:rPr>
                <w:rFonts w:hint="eastAsia" w:ascii="仿宋_GB2312" w:hAnsi="仿宋_GB2312" w:eastAsia="仿宋_GB2312" w:cs="仿宋_GB2312"/>
                <w:b/>
                <w:bCs/>
                <w:color w:val="auto"/>
                <w:sz w:val="28"/>
                <w:szCs w:val="28"/>
              </w:rPr>
              <w:t>本项目具体扣除比例为</w:t>
            </w:r>
            <w:r>
              <w:rPr>
                <w:rFonts w:hint="eastAsia" w:ascii="仿宋_GB2312" w:hAnsi="仿宋_GB2312" w:eastAsia="仿宋_GB2312" w:cs="仿宋_GB2312"/>
                <w:b/>
                <w:bCs/>
                <w:color w:val="auto"/>
                <w:sz w:val="28"/>
                <w:szCs w:val="28"/>
                <w:u w:val="single"/>
              </w:rPr>
              <w:t>6%</w:t>
            </w:r>
            <w:r>
              <w:rPr>
                <w:rFonts w:hint="eastAsia" w:ascii="仿宋_GB2312" w:hAnsi="仿宋_GB2312" w:eastAsia="仿宋_GB2312" w:cs="仿宋_GB2312"/>
                <w:b/>
                <w:bCs/>
                <w:color w:val="auto"/>
                <w:sz w:val="28"/>
                <w:szCs w:val="28"/>
              </w:rPr>
              <w:t>。</w:t>
            </w:r>
            <w:r>
              <w:rPr>
                <w:rFonts w:hint="eastAsia" w:ascii="仿宋_GB2312" w:hAnsi="仿宋_GB2312" w:eastAsia="仿宋_GB2312" w:cs="仿宋_GB2312"/>
                <w:bCs/>
                <w:color w:val="auto"/>
                <w:sz w:val="28"/>
                <w:szCs w:val="28"/>
              </w:rPr>
              <w:t>监狱企业视同小微企业享受本项优惠政策。</w:t>
            </w:r>
          </w:p>
        </w:tc>
      </w:tr>
      <w:tr>
        <w:trPr>
          <w:trHeight w:val="567" w:hRule="atLeast"/>
        </w:trPr>
        <w:tc>
          <w:tcPr>
            <w:tcW w:w="1153" w:type="dxa"/>
            <w:vAlign w:val="center"/>
          </w:tcPr>
          <w:p>
            <w:pPr>
              <w:pStyle w:val="34"/>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9.2</w:t>
            </w:r>
          </w:p>
        </w:tc>
        <w:tc>
          <w:tcPr>
            <w:tcW w:w="1758" w:type="dxa"/>
            <w:gridSpan w:val="2"/>
            <w:tcBorders>
              <w:right w:val="single" w:color="auto" w:sz="4" w:space="0"/>
            </w:tcBorders>
            <w:vAlign w:val="center"/>
          </w:tcPr>
          <w:p>
            <w:pPr>
              <w:pStyle w:val="34"/>
              <w:widowControl w:val="0"/>
              <w:wordWrap/>
              <w:adjustRightInd/>
              <w:snapToGrid/>
              <w:spacing w:before="0" w:after="0" w:line="560" w:lineRule="exact"/>
              <w:ind w:left="0" w:leftChars="0" w:right="0" w:firstLine="0" w:firstLineChars="0"/>
              <w:jc w:val="lef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color w:val="auto"/>
                <w:sz w:val="28"/>
                <w:szCs w:val="28"/>
              </w:rPr>
              <w:t>政府采购信用担保</w:t>
            </w:r>
          </w:p>
        </w:tc>
        <w:tc>
          <w:tcPr>
            <w:tcW w:w="6030" w:type="dxa"/>
            <w:tcBorders>
              <w:left w:val="single" w:color="auto" w:sz="4" w:space="0"/>
            </w:tcBorders>
            <w:vAlign w:val="center"/>
          </w:tcPr>
          <w:p>
            <w:pPr>
              <w:pStyle w:val="34"/>
              <w:widowControl w:val="0"/>
              <w:wordWrap/>
              <w:adjustRightInd/>
              <w:snapToGrid/>
              <w:spacing w:before="0" w:after="0" w:line="560" w:lineRule="exact"/>
              <w:ind w:left="0" w:leftChars="0" w:right="0" w:firstLine="0" w:firstLineChars="0"/>
              <w:jc w:val="lef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color w:val="auto"/>
                <w:sz w:val="28"/>
                <w:szCs w:val="28"/>
              </w:rPr>
              <w:t>中小企业在融资、投标保证、履约保证等方面有需求的，可查询当地政府采购管理部门相关政策，通过专业化的担保途径解决。</w:t>
            </w:r>
          </w:p>
        </w:tc>
      </w:tr>
      <w:tr>
        <w:trPr>
          <w:trHeight w:val="567" w:hRule="atLeast"/>
        </w:trPr>
        <w:tc>
          <w:tcPr>
            <w:tcW w:w="1153" w:type="dxa"/>
            <w:vAlign w:val="center"/>
          </w:tcPr>
          <w:p>
            <w:pPr>
              <w:pStyle w:val="34"/>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9.3</w:t>
            </w:r>
          </w:p>
        </w:tc>
        <w:tc>
          <w:tcPr>
            <w:tcW w:w="1758" w:type="dxa"/>
            <w:gridSpan w:val="2"/>
            <w:tcBorders>
              <w:right w:val="single" w:color="auto" w:sz="4" w:space="0"/>
            </w:tcBorders>
            <w:vAlign w:val="center"/>
          </w:tcPr>
          <w:p>
            <w:pPr>
              <w:pStyle w:val="34"/>
              <w:widowControl w:val="0"/>
              <w:wordWrap/>
              <w:adjustRightInd/>
              <w:snapToGrid/>
              <w:spacing w:before="0" w:after="0" w:line="560" w:lineRule="exact"/>
              <w:ind w:left="0" w:leftChars="0" w:right="0" w:firstLine="0" w:firstLineChars="0"/>
              <w:jc w:val="left"/>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政府采购促进残疾人就业</w:t>
            </w:r>
          </w:p>
        </w:tc>
        <w:tc>
          <w:tcPr>
            <w:tcW w:w="6030" w:type="dxa"/>
            <w:tcBorders>
              <w:left w:val="single" w:color="auto" w:sz="4" w:space="0"/>
            </w:tcBorders>
            <w:vAlign w:val="center"/>
          </w:tcPr>
          <w:p>
            <w:pPr>
              <w:pStyle w:val="34"/>
              <w:widowControl w:val="0"/>
              <w:wordWrap/>
              <w:adjustRightInd/>
              <w:snapToGrid/>
              <w:spacing w:before="0" w:after="0" w:line="560" w:lineRule="exact"/>
              <w:ind w:left="0" w:leftChars="0" w:right="0" w:firstLine="0" w:firstLineChars="0"/>
              <w:jc w:val="left"/>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kern w:val="0"/>
                <w:sz w:val="28"/>
                <w:szCs w:val="28"/>
              </w:rPr>
              <w:t>符合条件的残疾人福利性单位在参加政府采购活动时，应当提供规定的《残疾人福利性单位声明函》（见附件），并对声明的真实性负责。任何单位或者个人在政府采购活动中均不得要求残疾人福利性单位提供其他证明声明函内容的材</w:t>
            </w:r>
          </w:p>
        </w:tc>
      </w:tr>
      <w:tr>
        <w:trPr>
          <w:trHeight w:val="567" w:hRule="atLeast"/>
        </w:trPr>
        <w:tc>
          <w:tcPr>
            <w:tcW w:w="1153" w:type="dxa"/>
            <w:vAlign w:val="center"/>
          </w:tcPr>
          <w:p>
            <w:pPr>
              <w:pStyle w:val="34"/>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9.4</w:t>
            </w:r>
          </w:p>
        </w:tc>
        <w:tc>
          <w:tcPr>
            <w:tcW w:w="1758" w:type="dxa"/>
            <w:gridSpan w:val="2"/>
            <w:tcBorders>
              <w:right w:val="single" w:color="auto" w:sz="4" w:space="0"/>
            </w:tcBorders>
            <w:vAlign w:val="center"/>
          </w:tcPr>
          <w:p>
            <w:pPr>
              <w:pStyle w:val="34"/>
              <w:rPr>
                <w:rFonts w:hint="eastAsia" w:ascii="仿宋_GB2312" w:hAnsi="仿宋_GB2312" w:eastAsia="仿宋_GB2312" w:cs="仿宋_GB2312"/>
                <w:sz w:val="28"/>
                <w:szCs w:val="28"/>
              </w:rPr>
            </w:pPr>
            <w:r>
              <w:rPr>
                <w:rFonts w:hint="eastAsia" w:ascii="仿宋_GB2312" w:hAnsi="仿宋_GB2312" w:eastAsia="仿宋_GB2312" w:cs="仿宋_GB2312"/>
                <w:color w:val="auto"/>
                <w:sz w:val="28"/>
                <w:szCs w:val="28"/>
              </w:rPr>
              <w:t>节能产品、环境标志产品</w:t>
            </w:r>
          </w:p>
        </w:tc>
        <w:tc>
          <w:tcPr>
            <w:tcW w:w="6030" w:type="dxa"/>
            <w:tcBorders>
              <w:left w:val="single" w:color="auto" w:sz="4" w:space="0"/>
            </w:tcBorders>
            <w:vAlign w:val="center"/>
          </w:tcPr>
          <w:p>
            <w:pPr>
              <w:pStyle w:val="34"/>
              <w:rPr>
                <w:rFonts w:hint="eastAsia" w:ascii="仿宋_GB2312" w:hAnsi="仿宋_GB2312" w:eastAsia="仿宋_GB2312" w:cs="仿宋_GB2312"/>
                <w:color w:val="auto"/>
                <w:sz w:val="28"/>
                <w:szCs w:val="28"/>
              </w:rPr>
            </w:pPr>
            <w:r>
              <w:rPr>
                <w:rFonts w:hint="eastAsia" w:ascii="仿宋_GB2312" w:hAnsi="仿宋_GB2312" w:eastAsia="仿宋_GB2312" w:cs="仿宋_GB2312"/>
                <w:kern w:val="0"/>
                <w:sz w:val="28"/>
                <w:szCs w:val="28"/>
              </w:rPr>
              <w:t>按国家有关节能、环保政策执行</w:t>
            </w:r>
          </w:p>
        </w:tc>
      </w:tr>
      <w:tr>
        <w:trPr>
          <w:trHeight w:val="567" w:hRule="atLeast"/>
        </w:trPr>
        <w:tc>
          <w:tcPr>
            <w:tcW w:w="8941" w:type="dxa"/>
            <w:gridSpan w:val="4"/>
            <w:vAlign w:val="center"/>
          </w:tcPr>
          <w:p>
            <w:pPr>
              <w:pStyle w:val="3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w:t>
            </w:r>
            <w:r>
              <w:rPr>
                <w:rFonts w:hint="eastAsia" w:ascii="仿宋_GB2312" w:hAnsi="仿宋_GB2312" w:eastAsia="仿宋_GB2312" w:cs="仿宋_GB2312"/>
                <w:b/>
                <w:kern w:val="0"/>
                <w:sz w:val="28"/>
                <w:szCs w:val="28"/>
              </w:rPr>
              <w:t xml:space="preserve">. </w:t>
            </w:r>
            <w:r>
              <w:rPr>
                <w:rFonts w:hint="eastAsia" w:ascii="仿宋_GB2312" w:hAnsi="仿宋_GB2312" w:eastAsia="仿宋_GB2312" w:cs="仿宋_GB2312"/>
                <w:sz w:val="28"/>
                <w:szCs w:val="28"/>
              </w:rPr>
              <w:t>招标文件</w:t>
            </w:r>
          </w:p>
        </w:tc>
      </w:tr>
      <w:tr>
        <w:trPr>
          <w:trHeight w:val="567" w:hRule="atLeast"/>
        </w:trPr>
        <w:tc>
          <w:tcPr>
            <w:tcW w:w="1153" w:type="dxa"/>
            <w:vAlign w:val="center"/>
          </w:tcPr>
          <w:p>
            <w:pPr>
              <w:pStyle w:val="3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11.1</w:t>
            </w:r>
          </w:p>
        </w:tc>
        <w:tc>
          <w:tcPr>
            <w:tcW w:w="1758" w:type="dxa"/>
            <w:gridSpan w:val="2"/>
            <w:tcBorders>
              <w:right w:val="single" w:color="auto" w:sz="4" w:space="0"/>
            </w:tcBorders>
            <w:vAlign w:val="center"/>
          </w:tcPr>
          <w:p>
            <w:pPr>
              <w:pStyle w:val="34"/>
              <w:rPr>
                <w:rFonts w:hint="eastAsia" w:ascii="仿宋_GB2312" w:hAnsi="仿宋_GB2312" w:eastAsia="仿宋_GB2312" w:cs="仿宋_GB2312"/>
                <w:sz w:val="28"/>
                <w:szCs w:val="28"/>
              </w:rPr>
            </w:pPr>
            <w:r>
              <w:rPr>
                <w:rFonts w:hint="eastAsia" w:ascii="仿宋_GB2312" w:hAnsi="仿宋_GB2312" w:eastAsia="仿宋_GB2312" w:cs="仿宋_GB2312"/>
                <w:color w:val="auto"/>
                <w:sz w:val="28"/>
                <w:szCs w:val="28"/>
              </w:rPr>
              <w:t>响应文件递交截止及开标时间</w:t>
            </w:r>
          </w:p>
        </w:tc>
        <w:tc>
          <w:tcPr>
            <w:tcW w:w="6030" w:type="dxa"/>
            <w:tcBorders>
              <w:left w:val="single" w:color="auto" w:sz="4" w:space="0"/>
            </w:tcBorders>
            <w:vAlign w:val="center"/>
          </w:tcPr>
          <w:p>
            <w:pPr>
              <w:pStyle w:val="34"/>
              <w:rPr>
                <w:rFonts w:hint="eastAsia" w:ascii="仿宋_GB2312" w:hAnsi="仿宋_GB2312" w:eastAsia="仿宋_GB2312" w:cs="仿宋_GB2312"/>
                <w:sz w:val="28"/>
                <w:szCs w:val="28"/>
                <w:highlight w:val="yellow"/>
              </w:rPr>
            </w:pPr>
            <w:r>
              <w:rPr>
                <w:rFonts w:hint="eastAsia" w:ascii="仿宋_GB2312" w:hAnsi="仿宋_GB2312" w:eastAsia="仿宋_GB2312" w:cs="仿宋_GB2312"/>
                <w:color w:val="FF0000"/>
                <w:sz w:val="28"/>
                <w:szCs w:val="28"/>
                <w:lang w:val="zh-CN"/>
              </w:rPr>
              <w:t>时间：</w:t>
            </w:r>
            <w:r>
              <w:rPr>
                <w:rFonts w:hint="eastAsia" w:ascii="仿宋_GB2312" w:hAnsi="仿宋_GB2312" w:eastAsia="仿宋_GB2312" w:cs="仿宋_GB2312"/>
                <w:color w:val="FF0000"/>
                <w:sz w:val="28"/>
                <w:szCs w:val="28"/>
              </w:rPr>
              <w:t>20</w:t>
            </w:r>
            <w:r>
              <w:rPr>
                <w:rFonts w:hint="eastAsia" w:ascii="仿宋_GB2312" w:hAnsi="仿宋_GB2312" w:eastAsia="仿宋_GB2312" w:cs="仿宋_GB2312"/>
                <w:color w:val="FF0000"/>
                <w:sz w:val="28"/>
                <w:szCs w:val="28"/>
                <w:lang w:val="en-US" w:eastAsia="zh-CN"/>
              </w:rPr>
              <w:t>21</w:t>
            </w:r>
            <w:r>
              <w:rPr>
                <w:rFonts w:hint="eastAsia" w:ascii="仿宋_GB2312" w:hAnsi="仿宋_GB2312" w:eastAsia="仿宋_GB2312" w:cs="仿宋_GB2312"/>
                <w:color w:val="FF0000"/>
                <w:sz w:val="28"/>
                <w:szCs w:val="28"/>
                <w:lang w:val="zh-CN"/>
              </w:rPr>
              <w:t>年</w:t>
            </w:r>
            <w:r>
              <w:rPr>
                <w:rFonts w:hint="eastAsia" w:ascii="仿宋_GB2312" w:hAnsi="仿宋_GB2312" w:eastAsia="仿宋_GB2312" w:cs="仿宋_GB2312"/>
                <w:color w:val="FF0000"/>
                <w:sz w:val="28"/>
                <w:szCs w:val="28"/>
                <w:lang w:val="en-US" w:eastAsia="zh-CN"/>
              </w:rPr>
              <w:t>10月28日</w:t>
            </w:r>
            <w:r>
              <w:rPr>
                <w:rFonts w:hint="eastAsia" w:ascii="仿宋_GB2312" w:hAnsi="仿宋_GB2312" w:eastAsia="仿宋_GB2312" w:cs="仿宋_GB2312"/>
                <w:color w:val="FF0000"/>
                <w:sz w:val="28"/>
                <w:szCs w:val="28"/>
                <w:lang w:val="zh-CN"/>
              </w:rPr>
              <w:t>上午</w:t>
            </w:r>
            <w:r>
              <w:rPr>
                <w:rFonts w:hint="eastAsia" w:ascii="仿宋_GB2312" w:hAnsi="仿宋_GB2312" w:eastAsia="仿宋_GB2312" w:cs="仿宋_GB2312"/>
                <w:color w:val="FF0000"/>
                <w:sz w:val="28"/>
                <w:szCs w:val="28"/>
              </w:rPr>
              <w:t>1</w:t>
            </w:r>
            <w:r>
              <w:rPr>
                <w:rFonts w:hint="eastAsia" w:ascii="仿宋_GB2312" w:hAnsi="仿宋_GB2312" w:eastAsia="仿宋_GB2312" w:cs="仿宋_GB2312"/>
                <w:color w:val="FF0000"/>
                <w:sz w:val="28"/>
                <w:szCs w:val="28"/>
                <w:lang w:val="en-US" w:eastAsia="zh-CN"/>
              </w:rPr>
              <w:t>1</w:t>
            </w:r>
            <w:r>
              <w:rPr>
                <w:rFonts w:hint="eastAsia" w:ascii="仿宋_GB2312" w:hAnsi="仿宋_GB2312" w:eastAsia="仿宋_GB2312" w:cs="仿宋_GB2312"/>
                <w:color w:val="FF0000"/>
                <w:sz w:val="28"/>
                <w:szCs w:val="28"/>
              </w:rPr>
              <w:t>时</w:t>
            </w:r>
            <w:r>
              <w:rPr>
                <w:rFonts w:hint="eastAsia" w:ascii="仿宋_GB2312" w:hAnsi="仿宋_GB2312" w:eastAsia="仿宋_GB2312" w:cs="仿宋_GB2312"/>
                <w:color w:val="FF0000"/>
                <w:sz w:val="28"/>
                <w:szCs w:val="28"/>
                <w:lang w:val="en-US" w:eastAsia="zh-CN"/>
              </w:rPr>
              <w:t>0</w:t>
            </w:r>
            <w:r>
              <w:rPr>
                <w:rFonts w:hint="eastAsia" w:ascii="仿宋_GB2312" w:hAnsi="仿宋_GB2312" w:eastAsia="仿宋_GB2312" w:cs="仿宋_GB2312"/>
                <w:color w:val="FF0000"/>
                <w:sz w:val="28"/>
                <w:szCs w:val="28"/>
              </w:rPr>
              <w:t>0分</w:t>
            </w:r>
            <w:r>
              <w:rPr>
                <w:rFonts w:hint="eastAsia" w:ascii="仿宋_GB2312" w:hAnsi="仿宋_GB2312" w:eastAsia="仿宋_GB2312" w:cs="仿宋_GB2312"/>
                <w:bCs/>
                <w:color w:val="FF0000"/>
                <w:kern w:val="0"/>
                <w:sz w:val="28"/>
                <w:szCs w:val="28"/>
              </w:rPr>
              <w:t>（北京时间）</w:t>
            </w:r>
            <w:r>
              <w:rPr>
                <w:rFonts w:hint="eastAsia" w:ascii="仿宋_GB2312" w:hAnsi="仿宋_GB2312" w:eastAsia="仿宋_GB2312" w:cs="仿宋_GB2312"/>
                <w:color w:val="FF0000"/>
                <w:sz w:val="28"/>
                <w:szCs w:val="28"/>
              </w:rPr>
              <w:t>，</w:t>
            </w:r>
            <w:r>
              <w:rPr>
                <w:rFonts w:hint="eastAsia" w:ascii="仿宋_GB2312" w:hAnsi="仿宋_GB2312" w:eastAsia="仿宋_GB2312" w:cs="仿宋_GB2312"/>
                <w:color w:val="FF0000"/>
                <w:spacing w:val="-16"/>
                <w:sz w:val="28"/>
                <w:szCs w:val="28"/>
              </w:rPr>
              <w:t>逾期作自动放弃。</w:t>
            </w:r>
          </w:p>
        </w:tc>
      </w:tr>
      <w:tr>
        <w:trPr>
          <w:trHeight w:val="567" w:hRule="atLeast"/>
        </w:trPr>
        <w:tc>
          <w:tcPr>
            <w:tcW w:w="8941" w:type="dxa"/>
            <w:gridSpan w:val="4"/>
            <w:vAlign w:val="center"/>
          </w:tcPr>
          <w:p>
            <w:pPr>
              <w:pStyle w:val="3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w:t>
            </w:r>
            <w:r>
              <w:rPr>
                <w:rFonts w:hint="eastAsia" w:ascii="仿宋_GB2312" w:hAnsi="仿宋_GB2312" w:eastAsia="仿宋_GB2312" w:cs="仿宋_GB2312"/>
                <w:b/>
                <w:kern w:val="0"/>
                <w:sz w:val="28"/>
                <w:szCs w:val="28"/>
              </w:rPr>
              <w:t xml:space="preserve">. </w:t>
            </w:r>
            <w:r>
              <w:rPr>
                <w:rFonts w:hint="eastAsia" w:ascii="仿宋_GB2312" w:hAnsi="仿宋_GB2312" w:eastAsia="仿宋_GB2312" w:cs="仿宋_GB2312"/>
                <w:sz w:val="28"/>
                <w:szCs w:val="28"/>
              </w:rPr>
              <w:t>投标文件</w:t>
            </w:r>
          </w:p>
        </w:tc>
      </w:tr>
      <w:tr>
        <w:trPr>
          <w:trHeight w:val="567" w:hRule="atLeast"/>
        </w:trPr>
        <w:tc>
          <w:tcPr>
            <w:tcW w:w="1153" w:type="dxa"/>
            <w:vAlign w:val="center"/>
          </w:tcPr>
          <w:p>
            <w:pPr>
              <w:pStyle w:val="3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15.5</w:t>
            </w:r>
          </w:p>
        </w:tc>
        <w:tc>
          <w:tcPr>
            <w:tcW w:w="1758" w:type="dxa"/>
            <w:gridSpan w:val="2"/>
            <w:tcBorders>
              <w:right w:val="single" w:color="auto" w:sz="4" w:space="0"/>
            </w:tcBorders>
            <w:vAlign w:val="center"/>
          </w:tcPr>
          <w:p>
            <w:pPr>
              <w:pStyle w:val="3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采购预算资金</w:t>
            </w:r>
          </w:p>
        </w:tc>
        <w:tc>
          <w:tcPr>
            <w:tcW w:w="6030" w:type="dxa"/>
            <w:tcBorders>
              <w:left w:val="single" w:color="auto" w:sz="4" w:space="0"/>
            </w:tcBorders>
            <w:vAlign w:val="center"/>
          </w:tcPr>
          <w:p>
            <w:pPr>
              <w:pStyle w:val="34"/>
              <w:wordWrap/>
              <w:adjustRightInd/>
              <w:snapToGrid/>
              <w:spacing w:before="0" w:after="0" w:line="560" w:lineRule="exact"/>
              <w:ind w:left="0" w:leftChars="0" w:right="0" w:firstLine="0" w:firstLineChars="0"/>
              <w:jc w:val="left"/>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b w:val="0"/>
                <w:bCs w:val="0"/>
                <w:color w:val="000000"/>
                <w:kern w:val="0"/>
                <w:sz w:val="28"/>
                <w:szCs w:val="28"/>
              </w:rPr>
              <w:t>预算金额（元）：</w:t>
            </w:r>
            <w:r>
              <w:rPr>
                <w:rFonts w:hint="eastAsia" w:ascii="仿宋_GB2312" w:hAnsi="仿宋_GB2312" w:eastAsia="仿宋_GB2312" w:cs="仿宋_GB2312"/>
                <w:color w:val="000000"/>
                <w:sz w:val="28"/>
                <w:szCs w:val="28"/>
                <w:lang w:val="en-US" w:eastAsia="zh-CN"/>
              </w:rPr>
              <w:t>130</w:t>
            </w:r>
            <w:r>
              <w:rPr>
                <w:rFonts w:hint="eastAsia" w:ascii="仿宋_GB2312" w:hAnsi="仿宋_GB2312" w:eastAsia="仿宋_GB2312" w:cs="仿宋_GB2312"/>
                <w:color w:val="000000"/>
                <w:sz w:val="28"/>
                <w:szCs w:val="28"/>
              </w:rPr>
              <w:t>万元</w:t>
            </w:r>
          </w:p>
          <w:p>
            <w:pPr>
              <w:pStyle w:val="34"/>
              <w:wordWrap/>
              <w:adjustRightInd/>
              <w:snapToGrid/>
              <w:spacing w:before="0" w:after="0" w:line="560" w:lineRule="exact"/>
              <w:ind w:left="0" w:leftChars="0" w:right="0" w:firstLine="0" w:firstLineChars="0"/>
              <w:jc w:val="lef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投标人的报价不得高于采购预算，否则将被视为无效投标。</w:t>
            </w:r>
          </w:p>
        </w:tc>
      </w:tr>
      <w:tr>
        <w:trPr>
          <w:trHeight w:val="567" w:hRule="atLeast"/>
        </w:trPr>
        <w:tc>
          <w:tcPr>
            <w:tcW w:w="1153" w:type="dxa"/>
            <w:vAlign w:val="center"/>
          </w:tcPr>
          <w:p>
            <w:pPr>
              <w:pStyle w:val="3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15.6</w:t>
            </w:r>
          </w:p>
        </w:tc>
        <w:tc>
          <w:tcPr>
            <w:tcW w:w="1758" w:type="dxa"/>
            <w:gridSpan w:val="2"/>
            <w:tcBorders>
              <w:right w:val="single" w:color="auto" w:sz="4" w:space="0"/>
            </w:tcBorders>
            <w:vAlign w:val="center"/>
          </w:tcPr>
          <w:p>
            <w:pPr>
              <w:pStyle w:val="3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经费来源</w:t>
            </w:r>
          </w:p>
        </w:tc>
        <w:tc>
          <w:tcPr>
            <w:tcW w:w="6030" w:type="dxa"/>
            <w:tcBorders>
              <w:left w:val="single" w:color="auto" w:sz="4" w:space="0"/>
            </w:tcBorders>
            <w:vAlign w:val="center"/>
          </w:tcPr>
          <w:p>
            <w:pPr>
              <w:pStyle w:val="34"/>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自治区</w:t>
            </w:r>
            <w:r>
              <w:rPr>
                <w:rFonts w:hint="eastAsia" w:ascii="仿宋_GB2312" w:hAnsi="仿宋_GB2312" w:eastAsia="仿宋_GB2312" w:cs="仿宋_GB2312"/>
                <w:sz w:val="28"/>
                <w:szCs w:val="28"/>
                <w:lang w:val="en-US" w:eastAsia="zh-CN"/>
              </w:rPr>
              <w:t>预算内资金</w:t>
            </w:r>
          </w:p>
        </w:tc>
      </w:tr>
      <w:tr>
        <w:trPr>
          <w:trHeight w:val="567" w:hRule="atLeast"/>
        </w:trPr>
        <w:tc>
          <w:tcPr>
            <w:tcW w:w="1153" w:type="dxa"/>
            <w:vAlign w:val="center"/>
          </w:tcPr>
          <w:p>
            <w:pPr>
              <w:pStyle w:val="3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17.1</w:t>
            </w:r>
          </w:p>
        </w:tc>
        <w:tc>
          <w:tcPr>
            <w:tcW w:w="1758" w:type="dxa"/>
            <w:gridSpan w:val="2"/>
            <w:tcBorders>
              <w:right w:val="single" w:color="auto" w:sz="4" w:space="0"/>
            </w:tcBorders>
            <w:vAlign w:val="center"/>
          </w:tcPr>
          <w:p>
            <w:pPr>
              <w:pStyle w:val="3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投标保证金</w:t>
            </w:r>
          </w:p>
        </w:tc>
        <w:tc>
          <w:tcPr>
            <w:tcW w:w="6030" w:type="dxa"/>
            <w:tcBorders>
              <w:left w:val="single" w:color="auto" w:sz="4" w:space="0"/>
            </w:tcBorders>
            <w:vAlign w:val="center"/>
          </w:tcPr>
          <w:p>
            <w:pPr>
              <w:widowControl w:val="0"/>
              <w:wordWrap/>
              <w:adjustRightInd w:val="0"/>
              <w:spacing w:line="440" w:lineRule="exact"/>
              <w:ind w:left="0" w:leftChars="0" w:firstLine="0" w:firstLineChars="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bCs/>
                <w:kern w:val="0"/>
                <w:sz w:val="28"/>
                <w:szCs w:val="28"/>
              </w:rPr>
              <w:t>投标人应</w:t>
            </w:r>
            <w:r>
              <w:rPr>
                <w:rFonts w:hint="eastAsia" w:ascii="仿宋_GB2312" w:hAnsi="仿宋_GB2312" w:eastAsia="仿宋_GB2312" w:cs="仿宋_GB2312"/>
                <w:bCs/>
                <w:kern w:val="0"/>
                <w:sz w:val="28"/>
                <w:szCs w:val="28"/>
                <w:lang w:val="en-US" w:eastAsia="zh-CN"/>
              </w:rPr>
              <w:t>在投标截止之日前</w:t>
            </w:r>
            <w:r>
              <w:rPr>
                <w:rFonts w:hint="eastAsia" w:ascii="仿宋_GB2312" w:hAnsi="仿宋_GB2312" w:eastAsia="仿宋_GB2312" w:cs="仿宋_GB2312"/>
                <w:bCs/>
                <w:kern w:val="0"/>
                <w:sz w:val="28"/>
                <w:szCs w:val="28"/>
              </w:rPr>
              <w:t>从基本账户以转账或汇款形式汇至指定账户</w:t>
            </w:r>
          </w:p>
          <w:p>
            <w:pPr>
              <w:pStyle w:val="40"/>
              <w:widowControl w:val="0"/>
              <w:wordWrap/>
              <w:snapToGrid w:val="0"/>
              <w:spacing w:line="440" w:lineRule="exact"/>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color w:val="FF0000"/>
                <w:sz w:val="28"/>
                <w:szCs w:val="28"/>
                <w:lang w:eastAsia="zh-CN"/>
              </w:rPr>
              <w:t>投标保证金金额：</w:t>
            </w:r>
            <w:r>
              <w:rPr>
                <w:rFonts w:hint="eastAsia" w:ascii="仿宋_GB2312" w:hAnsi="仿宋_GB2312" w:eastAsia="仿宋_GB2312" w:cs="仿宋_GB2312"/>
                <w:color w:val="FF0000"/>
                <w:sz w:val="28"/>
                <w:szCs w:val="28"/>
                <w:lang w:val="en-US" w:eastAsia="zh-CN"/>
              </w:rPr>
              <w:t>贰万元整</w:t>
            </w:r>
            <w:r>
              <w:rPr>
                <w:rFonts w:hint="eastAsia" w:ascii="仿宋_GB2312" w:hAnsi="仿宋_GB2312" w:eastAsia="仿宋_GB2312" w:cs="仿宋_GB2312"/>
                <w:color w:val="FF0000"/>
                <w:sz w:val="28"/>
                <w:szCs w:val="28"/>
                <w:lang w:eastAsia="zh-CN"/>
              </w:rPr>
              <w:t>（￥</w:t>
            </w:r>
            <w:r>
              <w:rPr>
                <w:rFonts w:hint="eastAsia" w:ascii="仿宋_GB2312" w:hAnsi="仿宋_GB2312" w:eastAsia="仿宋_GB2312" w:cs="仿宋_GB2312"/>
                <w:color w:val="FF0000"/>
                <w:sz w:val="28"/>
                <w:szCs w:val="28"/>
                <w:lang w:val="en-US" w:eastAsia="zh-CN"/>
              </w:rPr>
              <w:t>20000</w:t>
            </w:r>
            <w:r>
              <w:rPr>
                <w:rFonts w:hint="eastAsia" w:ascii="仿宋_GB2312" w:hAnsi="仿宋_GB2312" w:eastAsia="仿宋_GB2312" w:cs="仿宋_GB2312"/>
                <w:color w:val="FF0000"/>
                <w:sz w:val="28"/>
                <w:szCs w:val="28"/>
                <w:lang w:eastAsia="zh-CN"/>
              </w:rPr>
              <w:t>.00）</w:t>
            </w:r>
          </w:p>
          <w:p>
            <w:pPr>
              <w:widowControl w:val="0"/>
              <w:wordWrap/>
              <w:adjustRightInd w:val="0"/>
              <w:snapToGrid w:val="0"/>
              <w:spacing w:line="440" w:lineRule="exact"/>
              <w:ind w:left="0" w:leftChars="0" w:firstLine="0" w:firstLineChars="0"/>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开户名称：新疆</w:t>
            </w:r>
            <w:r>
              <w:rPr>
                <w:rFonts w:hint="eastAsia" w:ascii="仿宋_GB2312" w:hAnsi="仿宋_GB2312" w:eastAsia="仿宋_GB2312" w:cs="仿宋_GB2312"/>
                <w:bCs/>
                <w:kern w:val="0"/>
                <w:sz w:val="28"/>
                <w:szCs w:val="28"/>
                <w:lang w:val="en-US" w:eastAsia="zh-CN"/>
              </w:rPr>
              <w:t>崇业招标代理有限公司</w:t>
            </w:r>
            <w:r>
              <w:rPr>
                <w:rFonts w:hint="eastAsia" w:ascii="仿宋_GB2312" w:hAnsi="仿宋_GB2312" w:eastAsia="仿宋_GB2312" w:cs="仿宋_GB2312"/>
                <w:bCs/>
                <w:kern w:val="0"/>
                <w:sz w:val="28"/>
                <w:szCs w:val="28"/>
              </w:rPr>
              <w:t>；</w:t>
            </w:r>
          </w:p>
          <w:p>
            <w:pPr>
              <w:widowControl w:val="0"/>
              <w:wordWrap/>
              <w:adjustRightInd w:val="0"/>
              <w:snapToGrid w:val="0"/>
              <w:spacing w:line="440" w:lineRule="exact"/>
              <w:ind w:left="0" w:leftChars="0" w:firstLine="0" w:firstLineChars="0"/>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开户银行：</w:t>
            </w:r>
            <w:r>
              <w:rPr>
                <w:rFonts w:hint="eastAsia" w:ascii="仿宋_GB2312" w:hAnsi="仿宋_GB2312" w:eastAsia="仿宋_GB2312" w:cs="仿宋_GB2312"/>
                <w:bCs/>
                <w:kern w:val="0"/>
                <w:sz w:val="28"/>
                <w:szCs w:val="28"/>
                <w:lang w:val="en-US" w:eastAsia="zh-CN"/>
              </w:rPr>
              <w:t>中国建设银行股份有限公司乌鲁木齐高新区支行</w:t>
            </w:r>
          </w:p>
          <w:p>
            <w:pPr>
              <w:pStyle w:val="41"/>
              <w:widowControl w:val="0"/>
              <w:wordWrap/>
              <w:adjustRightInd w:val="0"/>
              <w:snapToGrid w:val="0"/>
              <w:spacing w:line="440" w:lineRule="exact"/>
              <w:ind w:left="0" w:leftChars="0" w:firstLine="0" w:firstLineChars="0"/>
              <w:jc w:val="both"/>
              <w:textAlignment w:val="auto"/>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lang w:eastAsia="zh-CN"/>
              </w:rPr>
              <w:t>开户账号：</w:t>
            </w:r>
            <w:r>
              <w:rPr>
                <w:rFonts w:hint="eastAsia" w:ascii="仿宋_GB2312" w:hAnsi="仿宋_GB2312" w:eastAsia="仿宋_GB2312" w:cs="仿宋_GB2312"/>
                <w:bCs/>
                <w:sz w:val="28"/>
                <w:szCs w:val="28"/>
                <w:lang w:val="en-US" w:eastAsia="zh-CN"/>
              </w:rPr>
              <w:t>65050188863700001562</w:t>
            </w:r>
          </w:p>
          <w:p>
            <w:pPr>
              <w:pStyle w:val="40"/>
              <w:widowControl w:val="0"/>
              <w:wordWrap/>
              <w:snapToGrid w:val="0"/>
              <w:spacing w:line="440" w:lineRule="exact"/>
              <w:jc w:val="both"/>
              <w:textAlignment w:val="auto"/>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招标代理服务费缴纳账号：（同上）</w:t>
            </w:r>
          </w:p>
          <w:p>
            <w:pPr>
              <w:widowControl w:val="0"/>
              <w:wordWrap/>
              <w:adjustRightInd/>
              <w:snapToGrid/>
              <w:spacing w:line="560" w:lineRule="exact"/>
              <w:ind w:left="0" w:leftChars="0" w:right="0" w:firstLine="0" w:firstLineChars="0"/>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注：1</w:t>
            </w:r>
            <w:r>
              <w:rPr>
                <w:rFonts w:hint="eastAsia" w:ascii="仿宋_GB2312" w:hAnsi="仿宋_GB2312" w:eastAsia="仿宋_GB2312" w:cs="仿宋_GB2312"/>
                <w:b/>
                <w:bCs/>
                <w:color w:val="auto"/>
                <w:sz w:val="28"/>
                <w:szCs w:val="28"/>
                <w:lang w:val="en-US" w:eastAsia="zh-CN"/>
              </w:rPr>
              <w:t>.</w:t>
            </w:r>
            <w:r>
              <w:rPr>
                <w:rFonts w:hint="eastAsia" w:ascii="仿宋_GB2312" w:hAnsi="仿宋_GB2312" w:eastAsia="仿宋_GB2312" w:cs="仿宋_GB2312"/>
                <w:b/>
                <w:bCs/>
                <w:sz w:val="28"/>
                <w:szCs w:val="28"/>
                <w:highlight w:val="none"/>
                <w:lang w:val="en-US" w:eastAsia="zh-CN"/>
              </w:rPr>
              <w:t>投标保证金不得以现金的方式和其他的形式缴纳，不得以分公司、办事处或其他机构名义缴纳，投标人在缴纳保证金时，需在进账凭证上明确投标项目。</w:t>
            </w:r>
          </w:p>
          <w:p>
            <w:pPr>
              <w:pStyle w:val="40"/>
              <w:widowControl w:val="0"/>
              <w:wordWrap/>
              <w:snapToGrid w:val="0"/>
              <w:spacing w:line="440" w:lineRule="exact"/>
              <w:jc w:val="both"/>
              <w:textAlignment w:val="auto"/>
              <w:rPr>
                <w:rFonts w:hint="eastAsia" w:ascii="仿宋_GB2312" w:hAnsi="仿宋_GB2312" w:eastAsia="仿宋_GB2312" w:cs="仿宋_GB2312"/>
                <w:b/>
                <w:bCs/>
                <w:color w:val="auto"/>
                <w:kern w:val="0"/>
                <w:sz w:val="28"/>
                <w:szCs w:val="28"/>
              </w:rPr>
            </w:pPr>
            <w:r>
              <w:rPr>
                <w:rFonts w:hint="eastAsia" w:ascii="仿宋_GB2312" w:hAnsi="仿宋_GB2312" w:eastAsia="仿宋_GB2312" w:cs="仿宋_GB2312"/>
                <w:b/>
                <w:bCs/>
                <w:color w:val="auto"/>
                <w:sz w:val="28"/>
                <w:szCs w:val="28"/>
                <w:lang w:val="en-US" w:eastAsia="zh-CN"/>
              </w:rPr>
              <w:t xml:space="preserve">   2.</w:t>
            </w:r>
            <w:r>
              <w:rPr>
                <w:rFonts w:hint="eastAsia" w:ascii="仿宋_GB2312" w:hAnsi="仿宋_GB2312" w:eastAsia="仿宋_GB2312" w:cs="仿宋_GB2312"/>
                <w:b/>
                <w:bCs/>
                <w:color w:val="auto"/>
                <w:sz w:val="28"/>
                <w:szCs w:val="28"/>
              </w:rPr>
              <w:t>投标保证金有效期同投标有效期一致。</w:t>
            </w:r>
          </w:p>
          <w:p>
            <w:pPr>
              <w:pStyle w:val="34"/>
              <w:rPr>
                <w:rFonts w:hint="eastAsia" w:ascii="仿宋_GB2312" w:hAnsi="仿宋_GB2312" w:eastAsia="仿宋_GB2312" w:cs="仿宋_GB2312"/>
                <w:sz w:val="28"/>
                <w:szCs w:val="28"/>
              </w:rPr>
            </w:pPr>
            <w:r>
              <w:rPr>
                <w:rFonts w:hint="eastAsia" w:ascii="仿宋_GB2312" w:hAnsi="仿宋_GB2312" w:eastAsia="仿宋_GB2312" w:cs="仿宋_GB2312"/>
                <w:b/>
                <w:bCs/>
                <w:color w:val="auto"/>
                <w:sz w:val="28"/>
                <w:szCs w:val="28"/>
                <w:lang w:val="en-US" w:eastAsia="zh-CN"/>
              </w:rPr>
              <w:t xml:space="preserve">   3.</w:t>
            </w:r>
            <w:r>
              <w:rPr>
                <w:rFonts w:hint="eastAsia" w:ascii="仿宋_GB2312" w:hAnsi="仿宋_GB2312" w:eastAsia="仿宋_GB2312" w:cs="仿宋_GB2312"/>
                <w:b/>
                <w:bCs/>
                <w:color w:val="auto"/>
                <w:kern w:val="0"/>
                <w:sz w:val="28"/>
                <w:szCs w:val="28"/>
              </w:rPr>
              <w:t>未按上述时间规定提交投标保证金的视为弃标。</w:t>
            </w:r>
          </w:p>
        </w:tc>
      </w:tr>
      <w:tr>
        <w:trPr>
          <w:trHeight w:val="567" w:hRule="atLeast"/>
        </w:trPr>
        <w:tc>
          <w:tcPr>
            <w:tcW w:w="1153" w:type="dxa"/>
            <w:vAlign w:val="center"/>
          </w:tcPr>
          <w:p>
            <w:pPr>
              <w:pStyle w:val="3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18.1</w:t>
            </w:r>
          </w:p>
        </w:tc>
        <w:tc>
          <w:tcPr>
            <w:tcW w:w="1758" w:type="dxa"/>
            <w:gridSpan w:val="2"/>
            <w:tcBorders>
              <w:right w:val="single" w:color="auto" w:sz="4" w:space="0"/>
            </w:tcBorders>
            <w:vAlign w:val="center"/>
          </w:tcPr>
          <w:p>
            <w:pPr>
              <w:pStyle w:val="3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投标有效期</w:t>
            </w:r>
          </w:p>
        </w:tc>
        <w:tc>
          <w:tcPr>
            <w:tcW w:w="6030" w:type="dxa"/>
            <w:tcBorders>
              <w:left w:val="single" w:color="auto" w:sz="4" w:space="0"/>
            </w:tcBorders>
            <w:vAlign w:val="center"/>
          </w:tcPr>
          <w:p>
            <w:pPr>
              <w:pStyle w:val="3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自投标截止时间之日起90日历日</w:t>
            </w:r>
          </w:p>
        </w:tc>
      </w:tr>
      <w:tr>
        <w:trPr>
          <w:trHeight w:val="567" w:hRule="atLeast"/>
        </w:trPr>
        <w:tc>
          <w:tcPr>
            <w:tcW w:w="1153" w:type="dxa"/>
            <w:vAlign w:val="center"/>
          </w:tcPr>
          <w:p>
            <w:pPr>
              <w:pStyle w:val="3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19.1</w:t>
            </w:r>
          </w:p>
        </w:tc>
        <w:tc>
          <w:tcPr>
            <w:tcW w:w="1758" w:type="dxa"/>
            <w:gridSpan w:val="2"/>
            <w:tcBorders>
              <w:right w:val="single" w:color="auto" w:sz="4" w:space="0"/>
            </w:tcBorders>
            <w:vAlign w:val="center"/>
          </w:tcPr>
          <w:p>
            <w:pPr>
              <w:pStyle w:val="3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投标文件份数</w:t>
            </w:r>
          </w:p>
        </w:tc>
        <w:tc>
          <w:tcPr>
            <w:tcW w:w="6030" w:type="dxa"/>
            <w:tcBorders>
              <w:left w:val="single" w:color="auto" w:sz="4" w:space="0"/>
            </w:tcBorders>
            <w:vAlign w:val="center"/>
          </w:tcPr>
          <w:p>
            <w:pPr>
              <w:pStyle w:val="34"/>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纸质版文件</w:t>
            </w:r>
            <w:r>
              <w:rPr>
                <w:rFonts w:hint="eastAsia" w:ascii="仿宋_GB2312" w:hAnsi="仿宋_GB2312" w:eastAsia="仿宋_GB2312" w:cs="仿宋_GB2312"/>
                <w:sz w:val="28"/>
                <w:szCs w:val="28"/>
              </w:rPr>
              <w:t>：资格证明文件正本1份，</w:t>
            </w:r>
          </w:p>
          <w:p>
            <w:pPr>
              <w:pStyle w:val="3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投标文件正本1份、副本</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份，</w:t>
            </w:r>
          </w:p>
          <w:p>
            <w:pPr>
              <w:pStyle w:val="34"/>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电子版文件</w:t>
            </w:r>
            <w:r>
              <w:rPr>
                <w:rFonts w:hint="eastAsia" w:ascii="仿宋_GB2312" w:hAnsi="仿宋_GB2312" w:eastAsia="仿宋_GB2312" w:cs="仿宋_GB2312"/>
                <w:sz w:val="28"/>
                <w:szCs w:val="28"/>
              </w:rPr>
              <w:t>：壹份（以U盘形式递交）；</w:t>
            </w:r>
          </w:p>
          <w:p>
            <w:pPr>
              <w:pStyle w:val="3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投标文件电子版要求包含投标文件全部内容，投标文件电子版与纸质版文件不一致时以纸质版文件为准，凡进入开标、唱标程序的投标文件概不退还。</w:t>
            </w:r>
            <w:r>
              <w:rPr>
                <w:rFonts w:hint="eastAsia" w:ascii="仿宋_GB2312" w:hAnsi="仿宋_GB2312" w:eastAsia="仿宋_GB2312" w:cs="仿宋_GB2312"/>
                <w:b/>
                <w:sz w:val="28"/>
                <w:szCs w:val="28"/>
              </w:rPr>
              <w:t>投标文件必须使用胶粘装订，如果出现拉杆或活页装订将导致投标无效。</w:t>
            </w:r>
          </w:p>
        </w:tc>
      </w:tr>
      <w:tr>
        <w:trPr>
          <w:trHeight w:val="567" w:hRule="atLeast"/>
        </w:trPr>
        <w:tc>
          <w:tcPr>
            <w:tcW w:w="8941" w:type="dxa"/>
            <w:gridSpan w:val="4"/>
            <w:vAlign w:val="center"/>
          </w:tcPr>
          <w:p>
            <w:pPr>
              <w:pStyle w:val="3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w:t>
            </w:r>
            <w:r>
              <w:rPr>
                <w:rFonts w:hint="eastAsia" w:ascii="仿宋_GB2312" w:hAnsi="仿宋_GB2312" w:eastAsia="仿宋_GB2312" w:cs="仿宋_GB2312"/>
                <w:b/>
                <w:kern w:val="0"/>
                <w:sz w:val="28"/>
                <w:szCs w:val="28"/>
              </w:rPr>
              <w:t xml:space="preserve">. </w:t>
            </w:r>
            <w:r>
              <w:rPr>
                <w:rFonts w:hint="eastAsia" w:ascii="仿宋_GB2312" w:hAnsi="仿宋_GB2312" w:eastAsia="仿宋_GB2312" w:cs="仿宋_GB2312"/>
                <w:sz w:val="28"/>
                <w:szCs w:val="28"/>
              </w:rPr>
              <w:t>投标文件的递交</w:t>
            </w:r>
          </w:p>
        </w:tc>
      </w:tr>
      <w:tr>
        <w:trPr>
          <w:trHeight w:val="567" w:hRule="atLeast"/>
        </w:trPr>
        <w:tc>
          <w:tcPr>
            <w:tcW w:w="1153" w:type="dxa"/>
            <w:vAlign w:val="center"/>
          </w:tcPr>
          <w:p>
            <w:pPr>
              <w:pStyle w:val="3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20.2</w:t>
            </w:r>
          </w:p>
        </w:tc>
        <w:tc>
          <w:tcPr>
            <w:tcW w:w="1758" w:type="dxa"/>
            <w:gridSpan w:val="2"/>
            <w:tcBorders>
              <w:right w:val="single" w:color="auto" w:sz="4" w:space="0"/>
            </w:tcBorders>
            <w:vAlign w:val="center"/>
          </w:tcPr>
          <w:p>
            <w:pPr>
              <w:pStyle w:val="3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封套上应载明的信息</w:t>
            </w:r>
          </w:p>
        </w:tc>
        <w:tc>
          <w:tcPr>
            <w:tcW w:w="6030" w:type="dxa"/>
            <w:tcBorders>
              <w:left w:val="single" w:color="auto" w:sz="4" w:space="0"/>
            </w:tcBorders>
            <w:vAlign w:val="center"/>
          </w:tcPr>
          <w:p>
            <w:pPr>
              <w:pStyle w:val="3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项目名称：投标文件正本／副本／电子版</w:t>
            </w:r>
          </w:p>
          <w:p>
            <w:pPr>
              <w:pStyle w:val="3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项目编号：</w:t>
            </w:r>
          </w:p>
          <w:p>
            <w:pPr>
              <w:pStyle w:val="3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投标人名称：</w:t>
            </w:r>
          </w:p>
          <w:p>
            <w:pPr>
              <w:pStyle w:val="3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投标人地址：</w:t>
            </w:r>
          </w:p>
          <w:p>
            <w:pPr>
              <w:pStyle w:val="3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联系人：</w:t>
            </w:r>
          </w:p>
          <w:p>
            <w:pPr>
              <w:pStyle w:val="3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在投标截止时间    年  月  日  （北京时间）前不得启封</w:t>
            </w:r>
          </w:p>
        </w:tc>
      </w:tr>
      <w:tr>
        <w:trPr>
          <w:trHeight w:val="567" w:hRule="atLeast"/>
        </w:trPr>
        <w:tc>
          <w:tcPr>
            <w:tcW w:w="1153" w:type="dxa"/>
            <w:vAlign w:val="center"/>
          </w:tcPr>
          <w:p>
            <w:pPr>
              <w:pStyle w:val="3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22.1</w:t>
            </w:r>
          </w:p>
        </w:tc>
        <w:tc>
          <w:tcPr>
            <w:tcW w:w="1758" w:type="dxa"/>
            <w:gridSpan w:val="2"/>
            <w:tcBorders>
              <w:right w:val="single" w:color="auto" w:sz="4" w:space="0"/>
            </w:tcBorders>
            <w:vAlign w:val="center"/>
          </w:tcPr>
          <w:p>
            <w:pPr>
              <w:pStyle w:val="3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投标文件的递交地点</w:t>
            </w:r>
          </w:p>
        </w:tc>
        <w:tc>
          <w:tcPr>
            <w:tcW w:w="6030" w:type="dxa"/>
            <w:tcBorders>
              <w:left w:val="single" w:color="auto" w:sz="4" w:space="0"/>
            </w:tcBorders>
            <w:vAlign w:val="center"/>
          </w:tcPr>
          <w:p>
            <w:pPr>
              <w:widowControl w:val="0"/>
              <w:wordWrap/>
              <w:spacing w:line="440" w:lineRule="exact"/>
              <w:ind w:left="0" w:leftChars="0"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lang w:val="en-US" w:eastAsia="zh-CN"/>
              </w:rPr>
              <w:t>乌鲁木齐高新区（新市区）北京南路591号自治区广播电视局高层南楼1203室</w:t>
            </w:r>
          </w:p>
        </w:tc>
      </w:tr>
      <w:tr>
        <w:trPr>
          <w:trHeight w:val="567" w:hRule="atLeast"/>
        </w:trPr>
        <w:tc>
          <w:tcPr>
            <w:tcW w:w="1153" w:type="dxa"/>
            <w:vAlign w:val="center"/>
          </w:tcPr>
          <w:p>
            <w:pPr>
              <w:pStyle w:val="3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22.2</w:t>
            </w:r>
          </w:p>
        </w:tc>
        <w:tc>
          <w:tcPr>
            <w:tcW w:w="1758" w:type="dxa"/>
            <w:gridSpan w:val="2"/>
            <w:tcBorders>
              <w:right w:val="single" w:color="auto" w:sz="4" w:space="0"/>
            </w:tcBorders>
            <w:vAlign w:val="center"/>
          </w:tcPr>
          <w:p>
            <w:pPr>
              <w:pStyle w:val="3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样品</w:t>
            </w:r>
          </w:p>
        </w:tc>
        <w:tc>
          <w:tcPr>
            <w:tcW w:w="6030" w:type="dxa"/>
            <w:tcBorders>
              <w:left w:val="single" w:color="auto" w:sz="4" w:space="0"/>
            </w:tcBorders>
            <w:vAlign w:val="center"/>
          </w:tcPr>
          <w:p>
            <w:pPr>
              <w:pStyle w:val="3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sym w:font="Wingdings 2" w:char="0052"/>
            </w:r>
            <w:r>
              <w:rPr>
                <w:rFonts w:hint="eastAsia" w:ascii="仿宋_GB2312" w:hAnsi="仿宋_GB2312" w:eastAsia="仿宋_GB2312" w:cs="仿宋_GB2312"/>
                <w:sz w:val="28"/>
                <w:szCs w:val="28"/>
              </w:rPr>
              <w:t>无</w:t>
            </w:r>
          </w:p>
          <w:p>
            <w:pPr>
              <w:pStyle w:val="3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有</w:t>
            </w:r>
          </w:p>
        </w:tc>
      </w:tr>
      <w:tr>
        <w:trPr>
          <w:trHeight w:val="567" w:hRule="atLeast"/>
        </w:trPr>
        <w:tc>
          <w:tcPr>
            <w:tcW w:w="8941" w:type="dxa"/>
            <w:gridSpan w:val="4"/>
            <w:vAlign w:val="center"/>
          </w:tcPr>
          <w:p>
            <w:pPr>
              <w:pStyle w:val="3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w:t>
            </w:r>
            <w:r>
              <w:rPr>
                <w:rFonts w:hint="eastAsia" w:ascii="仿宋_GB2312" w:hAnsi="仿宋_GB2312" w:eastAsia="仿宋_GB2312" w:cs="仿宋_GB2312"/>
                <w:b/>
                <w:kern w:val="0"/>
                <w:sz w:val="28"/>
                <w:szCs w:val="28"/>
              </w:rPr>
              <w:t xml:space="preserve">. </w:t>
            </w:r>
            <w:r>
              <w:rPr>
                <w:rFonts w:hint="eastAsia" w:ascii="仿宋_GB2312" w:hAnsi="仿宋_GB2312" w:eastAsia="仿宋_GB2312" w:cs="仿宋_GB2312"/>
                <w:sz w:val="28"/>
                <w:szCs w:val="28"/>
              </w:rPr>
              <w:t>开标和评标</w:t>
            </w:r>
          </w:p>
        </w:tc>
      </w:tr>
      <w:tr>
        <w:trPr>
          <w:trHeight w:val="567" w:hRule="atLeast"/>
        </w:trPr>
        <w:tc>
          <w:tcPr>
            <w:tcW w:w="1216" w:type="dxa"/>
            <w:gridSpan w:val="2"/>
            <w:vAlign w:val="center"/>
          </w:tcPr>
          <w:p>
            <w:pPr>
              <w:pStyle w:val="3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23.1</w:t>
            </w:r>
          </w:p>
        </w:tc>
        <w:tc>
          <w:tcPr>
            <w:tcW w:w="1695" w:type="dxa"/>
            <w:vAlign w:val="center"/>
          </w:tcPr>
          <w:p>
            <w:pPr>
              <w:pStyle w:val="3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开标时间和地点</w:t>
            </w:r>
          </w:p>
        </w:tc>
        <w:tc>
          <w:tcPr>
            <w:tcW w:w="6030" w:type="dxa"/>
            <w:vAlign w:val="center"/>
          </w:tcPr>
          <w:p>
            <w:pPr>
              <w:pStyle w:val="34"/>
              <w:rPr>
                <w:rFonts w:hint="eastAsia" w:ascii="仿宋_GB2312" w:hAnsi="仿宋_GB2312" w:eastAsia="仿宋_GB2312" w:cs="仿宋_GB2312"/>
                <w:color w:val="auto"/>
                <w:spacing w:val="-16"/>
                <w:sz w:val="28"/>
                <w:szCs w:val="28"/>
              </w:rPr>
            </w:pPr>
            <w:r>
              <w:rPr>
                <w:rFonts w:hint="eastAsia" w:ascii="仿宋_GB2312" w:hAnsi="仿宋_GB2312" w:eastAsia="仿宋_GB2312" w:cs="仿宋_GB2312"/>
                <w:color w:val="auto"/>
                <w:sz w:val="28"/>
                <w:szCs w:val="28"/>
                <w:lang w:val="en-US" w:eastAsia="zh-CN"/>
              </w:rPr>
              <w:t>开标</w:t>
            </w:r>
            <w:r>
              <w:rPr>
                <w:rFonts w:hint="eastAsia" w:ascii="仿宋_GB2312" w:hAnsi="仿宋_GB2312" w:eastAsia="仿宋_GB2312" w:cs="仿宋_GB2312"/>
                <w:color w:val="auto"/>
                <w:sz w:val="28"/>
                <w:szCs w:val="28"/>
                <w:lang w:val="zh-CN"/>
              </w:rPr>
              <w:t>时间：</w:t>
            </w:r>
            <w:r>
              <w:rPr>
                <w:rFonts w:hint="eastAsia" w:ascii="仿宋_GB2312" w:hAnsi="仿宋_GB2312" w:eastAsia="仿宋_GB2312" w:cs="仿宋_GB2312"/>
                <w:color w:val="FF0000"/>
                <w:sz w:val="28"/>
                <w:szCs w:val="28"/>
              </w:rPr>
              <w:t>20</w:t>
            </w:r>
            <w:r>
              <w:rPr>
                <w:rFonts w:hint="eastAsia" w:ascii="仿宋_GB2312" w:hAnsi="仿宋_GB2312" w:eastAsia="仿宋_GB2312" w:cs="仿宋_GB2312"/>
                <w:color w:val="FF0000"/>
                <w:sz w:val="28"/>
                <w:szCs w:val="28"/>
                <w:lang w:val="en-US" w:eastAsia="zh-CN"/>
              </w:rPr>
              <w:t>21</w:t>
            </w:r>
            <w:r>
              <w:rPr>
                <w:rFonts w:hint="eastAsia" w:ascii="仿宋_GB2312" w:hAnsi="仿宋_GB2312" w:eastAsia="仿宋_GB2312" w:cs="仿宋_GB2312"/>
                <w:color w:val="FF0000"/>
                <w:sz w:val="28"/>
                <w:szCs w:val="28"/>
                <w:lang w:val="zh-CN"/>
              </w:rPr>
              <w:t>年</w:t>
            </w:r>
            <w:r>
              <w:rPr>
                <w:rFonts w:hint="eastAsia" w:ascii="仿宋_GB2312" w:hAnsi="仿宋_GB2312" w:eastAsia="仿宋_GB2312" w:cs="仿宋_GB2312"/>
                <w:color w:val="FF0000"/>
                <w:sz w:val="28"/>
                <w:szCs w:val="28"/>
                <w:lang w:val="en-US" w:eastAsia="zh-CN"/>
              </w:rPr>
              <w:t>10月28</w:t>
            </w:r>
            <w:bookmarkStart w:id="169" w:name="_GoBack"/>
            <w:bookmarkEnd w:id="169"/>
            <w:r>
              <w:rPr>
                <w:rFonts w:hint="eastAsia" w:ascii="仿宋_GB2312" w:hAnsi="仿宋_GB2312" w:eastAsia="仿宋_GB2312" w:cs="仿宋_GB2312"/>
                <w:color w:val="FF0000"/>
                <w:sz w:val="28"/>
                <w:szCs w:val="28"/>
                <w:lang w:val="en-US" w:eastAsia="zh-CN"/>
              </w:rPr>
              <w:t>日</w:t>
            </w:r>
            <w:r>
              <w:rPr>
                <w:rFonts w:hint="eastAsia" w:ascii="仿宋_GB2312" w:hAnsi="仿宋_GB2312" w:eastAsia="仿宋_GB2312" w:cs="仿宋_GB2312"/>
                <w:color w:val="FF0000"/>
                <w:sz w:val="28"/>
                <w:szCs w:val="28"/>
                <w:lang w:val="zh-CN"/>
              </w:rPr>
              <w:t>上午</w:t>
            </w:r>
            <w:r>
              <w:rPr>
                <w:rFonts w:hint="eastAsia" w:ascii="仿宋_GB2312" w:hAnsi="仿宋_GB2312" w:eastAsia="仿宋_GB2312" w:cs="仿宋_GB2312"/>
                <w:color w:val="FF0000"/>
                <w:sz w:val="28"/>
                <w:szCs w:val="28"/>
              </w:rPr>
              <w:t>1</w:t>
            </w:r>
            <w:r>
              <w:rPr>
                <w:rFonts w:hint="eastAsia" w:ascii="仿宋_GB2312" w:hAnsi="仿宋_GB2312" w:eastAsia="仿宋_GB2312" w:cs="仿宋_GB2312"/>
                <w:color w:val="FF0000"/>
                <w:sz w:val="28"/>
                <w:szCs w:val="28"/>
                <w:lang w:val="en-US" w:eastAsia="zh-CN"/>
              </w:rPr>
              <w:t>1</w:t>
            </w:r>
            <w:r>
              <w:rPr>
                <w:rFonts w:hint="eastAsia" w:ascii="仿宋_GB2312" w:hAnsi="仿宋_GB2312" w:eastAsia="仿宋_GB2312" w:cs="仿宋_GB2312"/>
                <w:color w:val="FF0000"/>
                <w:sz w:val="28"/>
                <w:szCs w:val="28"/>
              </w:rPr>
              <w:t>时</w:t>
            </w:r>
            <w:r>
              <w:rPr>
                <w:rFonts w:hint="eastAsia" w:ascii="仿宋_GB2312" w:hAnsi="仿宋_GB2312" w:eastAsia="仿宋_GB2312" w:cs="仿宋_GB2312"/>
                <w:color w:val="FF0000"/>
                <w:sz w:val="28"/>
                <w:szCs w:val="28"/>
                <w:lang w:val="en-US" w:eastAsia="zh-CN"/>
              </w:rPr>
              <w:t>0</w:t>
            </w:r>
            <w:r>
              <w:rPr>
                <w:rFonts w:hint="eastAsia" w:ascii="仿宋_GB2312" w:hAnsi="仿宋_GB2312" w:eastAsia="仿宋_GB2312" w:cs="仿宋_GB2312"/>
                <w:color w:val="FF0000"/>
                <w:sz w:val="28"/>
                <w:szCs w:val="28"/>
              </w:rPr>
              <w:t>0分</w:t>
            </w:r>
            <w:r>
              <w:rPr>
                <w:rFonts w:hint="eastAsia" w:ascii="仿宋_GB2312" w:hAnsi="仿宋_GB2312" w:eastAsia="仿宋_GB2312" w:cs="仿宋_GB2312"/>
                <w:bCs/>
                <w:color w:val="FF0000"/>
                <w:kern w:val="0"/>
                <w:sz w:val="28"/>
                <w:szCs w:val="28"/>
              </w:rPr>
              <w:t>（北京时间）</w:t>
            </w:r>
            <w:r>
              <w:rPr>
                <w:rFonts w:hint="eastAsia" w:ascii="仿宋_GB2312" w:hAnsi="仿宋_GB2312" w:eastAsia="仿宋_GB2312" w:cs="仿宋_GB2312"/>
                <w:color w:val="FF0000"/>
                <w:sz w:val="28"/>
                <w:szCs w:val="28"/>
              </w:rPr>
              <w:t>，</w:t>
            </w:r>
            <w:r>
              <w:rPr>
                <w:rFonts w:hint="eastAsia" w:ascii="仿宋_GB2312" w:hAnsi="仿宋_GB2312" w:eastAsia="仿宋_GB2312" w:cs="仿宋_GB2312"/>
                <w:color w:val="auto"/>
                <w:spacing w:val="-16"/>
                <w:sz w:val="28"/>
                <w:szCs w:val="28"/>
              </w:rPr>
              <w:t>逾期作自动放弃。</w:t>
            </w:r>
          </w:p>
          <w:p>
            <w:pPr>
              <w:pStyle w:val="34"/>
              <w:rPr>
                <w:rFonts w:hint="eastAsia" w:ascii="仿宋_GB2312" w:hAnsi="仿宋_GB2312" w:eastAsia="仿宋_GB2312" w:cs="仿宋_GB2312"/>
                <w:sz w:val="28"/>
                <w:szCs w:val="28"/>
                <w:highlight w:val="yellow"/>
              </w:rPr>
            </w:pPr>
            <w:r>
              <w:rPr>
                <w:rFonts w:hint="eastAsia" w:ascii="仿宋_GB2312" w:hAnsi="仿宋_GB2312" w:eastAsia="仿宋_GB2312" w:cs="仿宋_GB2312"/>
                <w:color w:val="auto"/>
                <w:spacing w:val="-16"/>
                <w:sz w:val="28"/>
                <w:szCs w:val="28"/>
                <w:lang w:val="en-US" w:eastAsia="zh-CN"/>
              </w:rPr>
              <w:t>开标地点：</w:t>
            </w:r>
            <w:r>
              <w:rPr>
                <w:rFonts w:hint="eastAsia" w:ascii="仿宋_GB2312" w:hAnsi="仿宋_GB2312" w:eastAsia="仿宋_GB2312" w:cs="仿宋_GB2312"/>
                <w:sz w:val="28"/>
                <w:szCs w:val="28"/>
                <w:shd w:val="clear" w:color="auto" w:fill="FFFFFF"/>
                <w:lang w:val="en-US" w:eastAsia="zh-CN"/>
              </w:rPr>
              <w:t>乌鲁木齐高新区（新市区）北京南路591号自治区广播电视局高层南楼1203室</w:t>
            </w:r>
          </w:p>
        </w:tc>
      </w:tr>
      <w:tr>
        <w:trPr>
          <w:trHeight w:val="567" w:hRule="atLeast"/>
        </w:trPr>
        <w:tc>
          <w:tcPr>
            <w:tcW w:w="1216" w:type="dxa"/>
            <w:gridSpan w:val="2"/>
            <w:vAlign w:val="center"/>
          </w:tcPr>
          <w:p>
            <w:pPr>
              <w:pStyle w:val="3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25.1</w:t>
            </w:r>
          </w:p>
        </w:tc>
        <w:tc>
          <w:tcPr>
            <w:tcW w:w="1695" w:type="dxa"/>
            <w:tcBorders>
              <w:right w:val="single" w:color="auto" w:sz="4" w:space="0"/>
            </w:tcBorders>
            <w:vAlign w:val="center"/>
          </w:tcPr>
          <w:p>
            <w:pPr>
              <w:pStyle w:val="3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评标办法</w:t>
            </w:r>
          </w:p>
        </w:tc>
        <w:tc>
          <w:tcPr>
            <w:tcW w:w="6030" w:type="dxa"/>
            <w:tcBorders>
              <w:left w:val="single" w:color="auto" w:sz="4" w:space="0"/>
            </w:tcBorders>
            <w:vAlign w:val="center"/>
          </w:tcPr>
          <w:p>
            <w:pPr>
              <w:pStyle w:val="3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sym w:font="Wingdings 2" w:char="0052"/>
            </w:r>
            <w:r>
              <w:rPr>
                <w:rFonts w:hint="eastAsia" w:ascii="仿宋_GB2312" w:hAnsi="仿宋_GB2312" w:eastAsia="仿宋_GB2312" w:cs="仿宋_GB2312"/>
                <w:sz w:val="28"/>
                <w:szCs w:val="28"/>
              </w:rPr>
              <w:t>综合评分法</w:t>
            </w:r>
          </w:p>
          <w:p>
            <w:pPr>
              <w:pStyle w:val="3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□最低评标价法</w:t>
            </w:r>
          </w:p>
        </w:tc>
      </w:tr>
      <w:tr>
        <w:trPr>
          <w:trHeight w:val="567" w:hRule="atLeast"/>
        </w:trPr>
        <w:tc>
          <w:tcPr>
            <w:tcW w:w="1216" w:type="dxa"/>
            <w:gridSpan w:val="2"/>
            <w:vAlign w:val="center"/>
          </w:tcPr>
          <w:p>
            <w:pPr>
              <w:pStyle w:val="3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26.3</w:t>
            </w:r>
          </w:p>
        </w:tc>
        <w:tc>
          <w:tcPr>
            <w:tcW w:w="1695" w:type="dxa"/>
            <w:tcBorders>
              <w:right w:val="single" w:color="auto" w:sz="4" w:space="0"/>
            </w:tcBorders>
            <w:vAlign w:val="center"/>
          </w:tcPr>
          <w:p>
            <w:pPr>
              <w:pStyle w:val="3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推荐的中标候选人数量</w:t>
            </w:r>
          </w:p>
        </w:tc>
        <w:tc>
          <w:tcPr>
            <w:tcW w:w="6030" w:type="dxa"/>
            <w:tcBorders>
              <w:left w:val="single" w:color="auto" w:sz="4" w:space="0"/>
            </w:tcBorders>
            <w:vAlign w:val="center"/>
          </w:tcPr>
          <w:p>
            <w:pPr>
              <w:pStyle w:val="3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3个</w:t>
            </w:r>
          </w:p>
        </w:tc>
      </w:tr>
      <w:tr>
        <w:trPr>
          <w:trHeight w:val="567" w:hRule="atLeast"/>
        </w:trPr>
        <w:tc>
          <w:tcPr>
            <w:tcW w:w="8941" w:type="dxa"/>
            <w:gridSpan w:val="4"/>
            <w:vAlign w:val="center"/>
          </w:tcPr>
          <w:p>
            <w:pPr>
              <w:pStyle w:val="3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w:t>
            </w:r>
            <w:r>
              <w:rPr>
                <w:rFonts w:hint="eastAsia" w:ascii="仿宋_GB2312" w:hAnsi="仿宋_GB2312" w:eastAsia="仿宋_GB2312" w:cs="仿宋_GB2312"/>
                <w:b/>
                <w:kern w:val="0"/>
                <w:sz w:val="28"/>
                <w:szCs w:val="28"/>
              </w:rPr>
              <w:t xml:space="preserve">. </w:t>
            </w:r>
            <w:r>
              <w:rPr>
                <w:rFonts w:hint="eastAsia" w:ascii="仿宋_GB2312" w:hAnsi="仿宋_GB2312" w:eastAsia="仿宋_GB2312" w:cs="仿宋_GB2312"/>
                <w:sz w:val="28"/>
                <w:szCs w:val="28"/>
              </w:rPr>
              <w:t>中标结果信息公布与授予合同</w:t>
            </w:r>
          </w:p>
        </w:tc>
      </w:tr>
      <w:tr>
        <w:trPr>
          <w:trHeight w:val="567" w:hRule="atLeast"/>
        </w:trPr>
        <w:tc>
          <w:tcPr>
            <w:tcW w:w="1216" w:type="dxa"/>
            <w:gridSpan w:val="2"/>
            <w:vAlign w:val="center"/>
          </w:tcPr>
          <w:p>
            <w:pPr>
              <w:pStyle w:val="3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30.1</w:t>
            </w:r>
          </w:p>
        </w:tc>
        <w:tc>
          <w:tcPr>
            <w:tcW w:w="1695" w:type="dxa"/>
            <w:tcBorders>
              <w:right w:val="single" w:color="auto" w:sz="4" w:space="0"/>
            </w:tcBorders>
            <w:vAlign w:val="center"/>
          </w:tcPr>
          <w:p>
            <w:pPr>
              <w:pStyle w:val="3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财政部门指定的媒体</w:t>
            </w:r>
          </w:p>
        </w:tc>
        <w:tc>
          <w:tcPr>
            <w:tcW w:w="6030" w:type="dxa"/>
            <w:tcBorders>
              <w:left w:val="single" w:color="auto" w:sz="4" w:space="0"/>
            </w:tcBorders>
            <w:vAlign w:val="center"/>
          </w:tcPr>
          <w:p>
            <w:pPr>
              <w:pStyle w:val="3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新疆维吾尔自治区政府采购网</w:t>
            </w:r>
          </w:p>
        </w:tc>
      </w:tr>
      <w:tr>
        <w:trPr>
          <w:trHeight w:val="567" w:hRule="atLeast"/>
        </w:trPr>
        <w:tc>
          <w:tcPr>
            <w:tcW w:w="8941" w:type="dxa"/>
            <w:gridSpan w:val="4"/>
            <w:vAlign w:val="center"/>
          </w:tcPr>
          <w:p>
            <w:pPr>
              <w:pStyle w:val="3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七、其他规定</w:t>
            </w:r>
          </w:p>
        </w:tc>
      </w:tr>
      <w:tr>
        <w:trPr>
          <w:trHeight w:val="567" w:hRule="atLeast"/>
        </w:trPr>
        <w:tc>
          <w:tcPr>
            <w:tcW w:w="1153" w:type="dxa"/>
            <w:vAlign w:val="center"/>
          </w:tcPr>
          <w:p>
            <w:pPr>
              <w:pStyle w:val="3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35.1</w:t>
            </w:r>
          </w:p>
        </w:tc>
        <w:tc>
          <w:tcPr>
            <w:tcW w:w="1758" w:type="dxa"/>
            <w:gridSpan w:val="2"/>
            <w:tcBorders>
              <w:right w:val="single" w:color="auto" w:sz="4" w:space="0"/>
            </w:tcBorders>
            <w:vAlign w:val="center"/>
          </w:tcPr>
          <w:p>
            <w:pPr>
              <w:pStyle w:val="3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采购代理费</w:t>
            </w:r>
          </w:p>
        </w:tc>
        <w:tc>
          <w:tcPr>
            <w:tcW w:w="6030" w:type="dxa"/>
            <w:tcBorders>
              <w:left w:val="single" w:color="auto" w:sz="4" w:space="0"/>
            </w:tcBorders>
            <w:vAlign w:val="center"/>
          </w:tcPr>
          <w:p>
            <w:pPr>
              <w:pStyle w:val="3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中标人在收到中标通知书后，须向</w:t>
            </w:r>
            <w:r>
              <w:rPr>
                <w:rFonts w:hint="eastAsia" w:ascii="仿宋_GB2312" w:hAnsi="仿宋_GB2312" w:eastAsia="仿宋_GB2312" w:cs="仿宋_GB2312"/>
                <w:sz w:val="28"/>
                <w:szCs w:val="28"/>
                <w:lang w:val="en-US" w:eastAsia="zh-CN"/>
              </w:rPr>
              <w:t>新疆崇业招标代理有限公司</w:t>
            </w:r>
            <w:r>
              <w:rPr>
                <w:rFonts w:hint="eastAsia" w:ascii="仿宋_GB2312" w:hAnsi="仿宋_GB2312" w:eastAsia="仿宋_GB2312" w:cs="仿宋_GB2312"/>
                <w:sz w:val="28"/>
                <w:szCs w:val="28"/>
              </w:rPr>
              <w:t>支付采购代理费。</w:t>
            </w:r>
          </w:p>
          <w:p>
            <w:pPr>
              <w:pStyle w:val="34"/>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zh-CN"/>
              </w:rPr>
              <w:t>收费标准：按照国家计委计价格[2002]1980号文件《招标代理服务收费管理暂行办法》、《发改办价格〔2011〕534号》和国家发改办价格[2003]857号《关于招标代理服务收费有关问题的通知》的收费标准下浮35%执行（货物、服务低于</w:t>
            </w:r>
            <w:r>
              <w:rPr>
                <w:rFonts w:hint="eastAsia" w:ascii="仿宋_GB2312" w:hAnsi="仿宋_GB2312" w:eastAsia="仿宋_GB2312" w:cs="仿宋_GB2312"/>
                <w:sz w:val="28"/>
                <w:szCs w:val="28"/>
              </w:rPr>
              <w:t>30万、工程低于50万</w:t>
            </w:r>
            <w:r>
              <w:rPr>
                <w:rFonts w:hint="eastAsia" w:ascii="仿宋_GB2312" w:hAnsi="仿宋_GB2312" w:eastAsia="仿宋_GB2312" w:cs="仿宋_GB2312"/>
                <w:sz w:val="28"/>
                <w:szCs w:val="28"/>
                <w:lang w:val="zh-CN"/>
              </w:rPr>
              <w:t>按2000元收取）。</w:t>
            </w:r>
          </w:p>
        </w:tc>
      </w:tr>
      <w:tr>
        <w:trPr>
          <w:trHeight w:val="567" w:hRule="atLeast"/>
        </w:trPr>
        <w:tc>
          <w:tcPr>
            <w:tcW w:w="1153" w:type="dxa"/>
            <w:vAlign w:val="center"/>
          </w:tcPr>
          <w:p>
            <w:pPr>
              <w:pStyle w:val="3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35.2</w:t>
            </w:r>
          </w:p>
        </w:tc>
        <w:tc>
          <w:tcPr>
            <w:tcW w:w="1758" w:type="dxa"/>
            <w:gridSpan w:val="2"/>
            <w:tcBorders>
              <w:right w:val="single" w:color="auto" w:sz="4" w:space="0"/>
            </w:tcBorders>
            <w:vAlign w:val="center"/>
          </w:tcPr>
          <w:p>
            <w:pPr>
              <w:pStyle w:val="3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招标会现场投标人需提供的证件复印件加盖公章</w:t>
            </w:r>
          </w:p>
        </w:tc>
        <w:tc>
          <w:tcPr>
            <w:tcW w:w="6030" w:type="dxa"/>
            <w:tcBorders>
              <w:left w:val="single" w:color="auto" w:sz="4" w:space="0"/>
            </w:tcBorders>
            <w:vAlign w:val="center"/>
          </w:tcPr>
          <w:p>
            <w:pPr>
              <w:pStyle w:val="3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开标前，将由监标人员和招标人审查投标人下列资格证件复印件加盖公章：</w:t>
            </w:r>
          </w:p>
          <w:p>
            <w:pPr>
              <w:pStyle w:val="3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（1）企业法人营业执照副本复印件加盖公章（未办理三证合一的同时提供税务登记证和组织机构代码证复印件加盖公章）；</w:t>
            </w:r>
          </w:p>
          <w:p>
            <w:pPr>
              <w:pStyle w:val="3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（2）法人授权委托书原件及法人身份证或授权委托书及被授权人身份证原件。</w:t>
            </w:r>
          </w:p>
          <w:p>
            <w:pPr>
              <w:pStyle w:val="3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上述要求（1）--（2）投标人必须</w:t>
            </w:r>
            <w:r>
              <w:rPr>
                <w:rFonts w:hint="eastAsia" w:ascii="仿宋_GB2312" w:hAnsi="仿宋_GB2312" w:eastAsia="仿宋_GB2312" w:cs="仿宋_GB2312"/>
                <w:color w:val="FF0000"/>
                <w:sz w:val="28"/>
                <w:szCs w:val="28"/>
              </w:rPr>
              <w:t>提供</w:t>
            </w:r>
            <w:r>
              <w:rPr>
                <w:rFonts w:hint="eastAsia" w:ascii="仿宋_GB2312" w:hAnsi="仿宋_GB2312" w:eastAsia="仿宋_GB2312" w:cs="仿宋_GB2312"/>
                <w:sz w:val="28"/>
                <w:szCs w:val="28"/>
              </w:rPr>
              <w:t>，否则投标无效。</w:t>
            </w:r>
          </w:p>
        </w:tc>
      </w:tr>
      <w:tr>
        <w:trPr>
          <w:trHeight w:val="567" w:hRule="atLeast"/>
        </w:trPr>
        <w:tc>
          <w:tcPr>
            <w:tcW w:w="1153" w:type="dxa"/>
            <w:vAlign w:val="center"/>
          </w:tcPr>
          <w:p>
            <w:pPr>
              <w:pStyle w:val="3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35.3</w:t>
            </w:r>
          </w:p>
        </w:tc>
        <w:tc>
          <w:tcPr>
            <w:tcW w:w="1758" w:type="dxa"/>
            <w:gridSpan w:val="2"/>
            <w:tcBorders>
              <w:right w:val="single" w:color="auto" w:sz="4" w:space="0"/>
            </w:tcBorders>
            <w:vAlign w:val="center"/>
          </w:tcPr>
          <w:p>
            <w:pPr>
              <w:pStyle w:val="34"/>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其他</w:t>
            </w:r>
          </w:p>
        </w:tc>
        <w:tc>
          <w:tcPr>
            <w:tcW w:w="6030" w:type="dxa"/>
            <w:tcBorders>
              <w:left w:val="single" w:color="auto" w:sz="4" w:space="0"/>
            </w:tcBorders>
            <w:vAlign w:val="center"/>
          </w:tcPr>
          <w:p>
            <w:pPr>
              <w:pStyle w:val="34"/>
              <w:widowControl w:val="0"/>
              <w:wordWrap/>
              <w:adjustRightInd/>
              <w:snapToGrid/>
              <w:spacing w:before="0" w:after="0" w:line="560" w:lineRule="exact"/>
              <w:ind w:left="0" w:leftChars="0" w:right="0" w:firstLine="0" w:firstLineChars="0"/>
              <w:jc w:val="lef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除法律、法规和规章规定外，招标文件中用“拒绝”、“不接受”、“无效”、“不得”等文字规定或标注“★”符号的条款为实质性要求条款（重要条款），对其中任何一条的偏离，在评标时将其视为无效投标。未用上述文字规定或符号标注的条款为非实质性要求条款（一般条款）。</w:t>
            </w:r>
          </w:p>
        </w:tc>
      </w:tr>
      <w:tr>
        <w:trPr>
          <w:trHeight w:val="1120" w:hRule="atLeast"/>
        </w:trPr>
        <w:tc>
          <w:tcPr>
            <w:tcW w:w="1153" w:type="dxa"/>
            <w:vAlign w:val="center"/>
          </w:tcPr>
          <w:p>
            <w:pPr>
              <w:pStyle w:val="34"/>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36</w:t>
            </w:r>
          </w:p>
        </w:tc>
        <w:tc>
          <w:tcPr>
            <w:tcW w:w="1758" w:type="dxa"/>
            <w:gridSpan w:val="2"/>
            <w:tcBorders>
              <w:right w:val="single" w:color="auto" w:sz="4" w:space="0"/>
            </w:tcBorders>
            <w:vAlign w:val="center"/>
          </w:tcPr>
          <w:p>
            <w:pPr>
              <w:pStyle w:val="34"/>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备注</w:t>
            </w:r>
          </w:p>
        </w:tc>
        <w:tc>
          <w:tcPr>
            <w:tcW w:w="6030" w:type="dxa"/>
            <w:tcBorders>
              <w:left w:val="single" w:color="auto" w:sz="4" w:space="0"/>
            </w:tcBorders>
            <w:vAlign w:val="center"/>
          </w:tcPr>
          <w:p>
            <w:pPr>
              <w:pStyle w:val="34"/>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auto"/>
                <w:sz w:val="28"/>
                <w:szCs w:val="28"/>
                <w:lang w:val="en-US" w:eastAsia="zh-CN"/>
              </w:rPr>
              <w:t>投标人</w:t>
            </w:r>
            <w:r>
              <w:rPr>
                <w:rFonts w:hint="eastAsia" w:ascii="仿宋_GB2312" w:hAnsi="仿宋_GB2312" w:eastAsia="仿宋_GB2312" w:cs="仿宋_GB2312"/>
                <w:color w:val="auto"/>
                <w:sz w:val="28"/>
                <w:szCs w:val="28"/>
                <w:lang w:val="zh-CN"/>
              </w:rPr>
              <w:t>应认真阅读招标文件所有的事项、格式、条款等，如</w:t>
            </w:r>
            <w:r>
              <w:rPr>
                <w:rFonts w:hint="eastAsia" w:ascii="仿宋_GB2312" w:hAnsi="仿宋_GB2312" w:eastAsia="仿宋_GB2312" w:cs="仿宋_GB2312"/>
                <w:color w:val="auto"/>
                <w:sz w:val="28"/>
                <w:szCs w:val="28"/>
                <w:lang w:val="en-US" w:eastAsia="zh-CN"/>
              </w:rPr>
              <w:t>投标人</w:t>
            </w:r>
            <w:r>
              <w:rPr>
                <w:rFonts w:hint="eastAsia" w:ascii="仿宋_GB2312" w:hAnsi="仿宋_GB2312" w:eastAsia="仿宋_GB2312" w:cs="仿宋_GB2312"/>
                <w:color w:val="auto"/>
                <w:sz w:val="28"/>
                <w:szCs w:val="28"/>
                <w:lang w:val="zh-CN"/>
              </w:rPr>
              <w:t>没有按照招标文件要求提交资料，或者响应文件没有对招标文件做出实质性响应，可能导致其响应文件被认定为无效响应。为节能减排、保护环境，倡议响应文件双面打印。</w:t>
            </w:r>
          </w:p>
        </w:tc>
      </w:tr>
    </w:tbl>
    <w:p>
      <w:pPr>
        <w:pStyle w:val="40"/>
        <w:jc w:val="center"/>
        <w:outlineLvl w:val="1"/>
        <w:rPr>
          <w:rFonts w:ascii="宋体" w:hAnsi="宋体" w:cs="仿宋"/>
          <w:b/>
          <w:color w:val="auto"/>
          <w:sz w:val="36"/>
        </w:rPr>
      </w:pPr>
      <w:r>
        <w:rPr>
          <w:rFonts w:hint="eastAsia" w:ascii="仿宋" w:hAnsi="仿宋" w:eastAsia="仿宋" w:cs="仿宋"/>
          <w:b/>
          <w:color w:val="auto"/>
          <w:sz w:val="36"/>
        </w:rPr>
        <w:br w:type="page"/>
      </w:r>
      <w:bookmarkStart w:id="23" w:name="_Toc17383_WPSOffice_Level2"/>
      <w:r>
        <w:rPr>
          <w:rFonts w:hint="eastAsia" w:ascii="宋体" w:hAnsi="宋体" w:eastAsia="宋体" w:cs="宋体"/>
          <w:b/>
          <w:color w:val="auto"/>
          <w:sz w:val="32"/>
          <w:szCs w:val="32"/>
        </w:rPr>
        <w:t>投标须知正文</w:t>
      </w:r>
      <w:bookmarkEnd w:id="23"/>
    </w:p>
    <w:p>
      <w:pPr>
        <w:pStyle w:val="40"/>
        <w:spacing w:line="460" w:lineRule="exact"/>
        <w:jc w:val="both"/>
        <w:outlineLvl w:val="1"/>
        <w:rPr>
          <w:rFonts w:ascii="宋体" w:hAnsi="宋体" w:cs="仿宋"/>
          <w:b/>
          <w:bCs/>
          <w:color w:val="auto"/>
          <w:sz w:val="32"/>
          <w:szCs w:val="32"/>
        </w:rPr>
      </w:pPr>
      <w:bookmarkStart w:id="24" w:name="_Toc21524_WPSOffice_Level2"/>
      <w:r>
        <w:rPr>
          <w:rFonts w:hint="eastAsia" w:ascii="宋体" w:hAnsi="宋体" w:cs="仿宋"/>
          <w:b/>
          <w:bCs/>
          <w:color w:val="auto"/>
          <w:sz w:val="32"/>
          <w:szCs w:val="32"/>
        </w:rPr>
        <w:t>一</w:t>
      </w:r>
      <w:r>
        <w:rPr>
          <w:rFonts w:hint="eastAsia" w:ascii="仿宋_GB2312" w:hAnsi="仿宋_GB2312" w:eastAsia="仿宋_GB2312" w:cs="仿宋_GB2312"/>
          <w:b/>
          <w:kern w:val="0"/>
          <w:sz w:val="28"/>
          <w:szCs w:val="28"/>
        </w:rPr>
        <w:t xml:space="preserve">. </w:t>
      </w:r>
      <w:r>
        <w:rPr>
          <w:rFonts w:hint="eastAsia" w:ascii="宋体" w:hAnsi="宋体" w:cs="仿宋"/>
          <w:b/>
          <w:bCs/>
          <w:color w:val="auto"/>
          <w:sz w:val="32"/>
          <w:szCs w:val="32"/>
        </w:rPr>
        <w:t>总  则</w:t>
      </w:r>
      <w:bookmarkEnd w:id="24"/>
    </w:p>
    <w:p>
      <w:pPr>
        <w:wordWrap/>
        <w:adjustRightInd w:val="0"/>
        <w:snapToGrid w:val="0"/>
        <w:spacing w:before="0" w:after="0" w:line="560" w:lineRule="exact"/>
        <w:ind w:left="0" w:leftChars="0" w:right="0" w:firstLine="562" w:firstLineChars="200"/>
        <w:textAlignment w:val="auto"/>
        <w:outlineLvl w:val="9"/>
        <w:rPr>
          <w:rFonts w:hint="eastAsia"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1．项目概况</w:t>
      </w:r>
    </w:p>
    <w:p>
      <w:pPr>
        <w:pStyle w:val="40"/>
        <w:wordWrap/>
        <w:adjustRightInd w:val="0"/>
        <w:snapToGrid w:val="0"/>
        <w:spacing w:before="0" w:after="0" w:line="560" w:lineRule="exact"/>
        <w:ind w:left="0" w:leftChars="0" w:right="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1.1 项目名称：详见</w:t>
      </w:r>
      <w:r>
        <w:rPr>
          <w:rFonts w:hint="eastAsia" w:ascii="仿宋_GB2312" w:hAnsi="仿宋_GB2312" w:eastAsia="仿宋_GB2312" w:cs="仿宋_GB2312"/>
          <w:b/>
          <w:bCs/>
          <w:color w:val="auto"/>
          <w:sz w:val="28"/>
          <w:szCs w:val="28"/>
        </w:rPr>
        <w:t>投标须知前附表</w:t>
      </w:r>
      <w:r>
        <w:rPr>
          <w:rFonts w:hint="eastAsia" w:ascii="仿宋_GB2312" w:hAnsi="仿宋_GB2312" w:eastAsia="仿宋_GB2312" w:cs="仿宋_GB2312"/>
          <w:color w:val="auto"/>
          <w:sz w:val="28"/>
          <w:szCs w:val="28"/>
        </w:rPr>
        <w:t>；</w:t>
      </w:r>
    </w:p>
    <w:p>
      <w:pPr>
        <w:pStyle w:val="40"/>
        <w:wordWrap/>
        <w:adjustRightInd w:val="0"/>
        <w:snapToGrid w:val="0"/>
        <w:spacing w:before="0" w:after="0" w:line="560" w:lineRule="exact"/>
        <w:ind w:left="0" w:leftChars="0" w:right="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1.2 招标范围：详见</w:t>
      </w:r>
      <w:r>
        <w:rPr>
          <w:rFonts w:hint="eastAsia" w:ascii="仿宋_GB2312" w:hAnsi="仿宋_GB2312" w:eastAsia="仿宋_GB2312" w:cs="仿宋_GB2312"/>
          <w:b/>
          <w:bCs/>
          <w:color w:val="auto"/>
          <w:sz w:val="28"/>
          <w:szCs w:val="28"/>
        </w:rPr>
        <w:t>投标须知前附表</w:t>
      </w:r>
      <w:r>
        <w:rPr>
          <w:rFonts w:hint="eastAsia" w:ascii="仿宋_GB2312" w:hAnsi="仿宋_GB2312" w:eastAsia="仿宋_GB2312" w:cs="仿宋_GB2312"/>
          <w:color w:val="auto"/>
          <w:sz w:val="28"/>
          <w:szCs w:val="28"/>
        </w:rPr>
        <w:t>；</w:t>
      </w:r>
    </w:p>
    <w:p>
      <w:pPr>
        <w:pStyle w:val="40"/>
        <w:wordWrap/>
        <w:adjustRightInd w:val="0"/>
        <w:snapToGrid w:val="0"/>
        <w:spacing w:before="0" w:after="0" w:line="560" w:lineRule="exact"/>
        <w:ind w:left="0" w:leftChars="0" w:right="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1.3 项目地点：详见</w:t>
      </w:r>
      <w:r>
        <w:rPr>
          <w:rFonts w:hint="eastAsia" w:ascii="仿宋_GB2312" w:hAnsi="仿宋_GB2312" w:eastAsia="仿宋_GB2312" w:cs="仿宋_GB2312"/>
          <w:b/>
          <w:bCs/>
          <w:color w:val="auto"/>
          <w:sz w:val="28"/>
          <w:szCs w:val="28"/>
        </w:rPr>
        <w:t>投标须知前附表</w:t>
      </w:r>
      <w:r>
        <w:rPr>
          <w:rFonts w:hint="eastAsia" w:ascii="仿宋_GB2312" w:hAnsi="仿宋_GB2312" w:eastAsia="仿宋_GB2312" w:cs="仿宋_GB2312"/>
          <w:color w:val="auto"/>
          <w:sz w:val="28"/>
          <w:szCs w:val="28"/>
        </w:rPr>
        <w:t>；</w:t>
      </w:r>
    </w:p>
    <w:p>
      <w:pPr>
        <w:pStyle w:val="40"/>
        <w:wordWrap/>
        <w:adjustRightInd w:val="0"/>
        <w:snapToGrid w:val="0"/>
        <w:spacing w:before="0" w:after="0" w:line="560" w:lineRule="exact"/>
        <w:ind w:left="0" w:leftChars="0" w:right="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1.4 招标方式：详见</w:t>
      </w:r>
      <w:r>
        <w:rPr>
          <w:rFonts w:hint="eastAsia" w:ascii="仿宋_GB2312" w:hAnsi="仿宋_GB2312" w:eastAsia="仿宋_GB2312" w:cs="仿宋_GB2312"/>
          <w:b/>
          <w:bCs/>
          <w:color w:val="auto"/>
          <w:sz w:val="28"/>
          <w:szCs w:val="28"/>
        </w:rPr>
        <w:t>投标须知前附表</w:t>
      </w:r>
      <w:r>
        <w:rPr>
          <w:rFonts w:hint="eastAsia" w:ascii="仿宋_GB2312" w:hAnsi="仿宋_GB2312" w:eastAsia="仿宋_GB2312" w:cs="仿宋_GB2312"/>
          <w:color w:val="auto"/>
          <w:sz w:val="28"/>
          <w:szCs w:val="28"/>
        </w:rPr>
        <w:t>；</w:t>
      </w:r>
    </w:p>
    <w:p>
      <w:pPr>
        <w:pStyle w:val="40"/>
        <w:wordWrap/>
        <w:adjustRightInd w:val="0"/>
        <w:snapToGrid w:val="0"/>
        <w:spacing w:before="0" w:after="0" w:line="560" w:lineRule="exact"/>
        <w:ind w:left="0" w:leftChars="0" w:right="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1.5 交 货 期：详见</w:t>
      </w:r>
      <w:r>
        <w:rPr>
          <w:rFonts w:hint="eastAsia" w:ascii="仿宋_GB2312" w:hAnsi="仿宋_GB2312" w:eastAsia="仿宋_GB2312" w:cs="仿宋_GB2312"/>
          <w:b/>
          <w:bCs/>
          <w:color w:val="auto"/>
          <w:sz w:val="28"/>
          <w:szCs w:val="28"/>
        </w:rPr>
        <w:t>投标须知前附表</w:t>
      </w:r>
      <w:r>
        <w:rPr>
          <w:rFonts w:hint="eastAsia" w:ascii="仿宋_GB2312" w:hAnsi="仿宋_GB2312" w:eastAsia="仿宋_GB2312" w:cs="仿宋_GB2312"/>
          <w:color w:val="auto"/>
          <w:sz w:val="28"/>
          <w:szCs w:val="28"/>
        </w:rPr>
        <w:t>。</w:t>
      </w:r>
    </w:p>
    <w:p>
      <w:pPr>
        <w:wordWrap/>
        <w:adjustRightInd w:val="0"/>
        <w:snapToGrid w:val="0"/>
        <w:spacing w:before="0" w:after="0" w:line="560" w:lineRule="exact"/>
        <w:ind w:left="0" w:leftChars="0" w:right="0" w:firstLine="562" w:firstLineChars="200"/>
        <w:textAlignment w:val="auto"/>
        <w:outlineLvl w:val="9"/>
        <w:rPr>
          <w:rFonts w:hint="eastAsia"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2. 定义</w:t>
      </w:r>
    </w:p>
    <w:p>
      <w:pPr>
        <w:pStyle w:val="40"/>
        <w:wordWrap/>
        <w:adjustRightInd w:val="0"/>
        <w:snapToGrid w:val="0"/>
        <w:spacing w:before="0" w:after="0" w:line="560" w:lineRule="exact"/>
        <w:ind w:left="0" w:leftChars="0" w:right="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2.1 “采购人”是指依法进行政府采购的国家机关、事业单位、团体组织。采购人名称、地址、电话、联系人见</w:t>
      </w:r>
      <w:r>
        <w:rPr>
          <w:rFonts w:hint="eastAsia" w:ascii="仿宋_GB2312" w:hAnsi="仿宋_GB2312" w:eastAsia="仿宋_GB2312" w:cs="仿宋_GB2312"/>
          <w:b/>
          <w:bCs/>
          <w:color w:val="auto"/>
          <w:sz w:val="28"/>
          <w:szCs w:val="28"/>
        </w:rPr>
        <w:t>投标须知前附表</w:t>
      </w:r>
      <w:r>
        <w:rPr>
          <w:rFonts w:hint="eastAsia" w:ascii="仿宋_GB2312" w:hAnsi="仿宋_GB2312" w:eastAsia="仿宋_GB2312" w:cs="仿宋_GB2312"/>
          <w:color w:val="auto"/>
          <w:sz w:val="28"/>
          <w:szCs w:val="28"/>
        </w:rPr>
        <w:t>。</w:t>
      </w:r>
    </w:p>
    <w:p>
      <w:pPr>
        <w:pStyle w:val="40"/>
        <w:wordWrap/>
        <w:adjustRightInd w:val="0"/>
        <w:snapToGrid w:val="0"/>
        <w:spacing w:before="0" w:after="0" w:line="560" w:lineRule="exact"/>
        <w:ind w:left="0" w:leftChars="0" w:right="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2.2 “采购代理机构”是指接受采购人委托，代理采购项目的集中采购机构和其他招标代理机构。采购代理机构名称、地址、电话、联系人见</w:t>
      </w:r>
      <w:r>
        <w:rPr>
          <w:rFonts w:hint="eastAsia" w:ascii="仿宋_GB2312" w:hAnsi="仿宋_GB2312" w:eastAsia="仿宋_GB2312" w:cs="仿宋_GB2312"/>
          <w:b/>
          <w:bCs/>
          <w:color w:val="auto"/>
          <w:sz w:val="28"/>
          <w:szCs w:val="28"/>
        </w:rPr>
        <w:t>投标须知前附表</w:t>
      </w:r>
      <w:r>
        <w:rPr>
          <w:rFonts w:hint="eastAsia" w:ascii="仿宋_GB2312" w:hAnsi="仿宋_GB2312" w:eastAsia="仿宋_GB2312" w:cs="仿宋_GB2312"/>
          <w:color w:val="auto"/>
          <w:sz w:val="28"/>
          <w:szCs w:val="28"/>
        </w:rPr>
        <w:t>。</w:t>
      </w:r>
    </w:p>
    <w:p>
      <w:pPr>
        <w:pStyle w:val="40"/>
        <w:wordWrap/>
        <w:adjustRightInd w:val="0"/>
        <w:snapToGrid w:val="0"/>
        <w:spacing w:before="0" w:after="0" w:line="560" w:lineRule="exact"/>
        <w:ind w:left="0" w:leftChars="0" w:right="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2.3 “投标人”是指响应招标、参加投标竞争的法人、其他组织或者自然人。</w:t>
      </w:r>
    </w:p>
    <w:p>
      <w:pPr>
        <w:pStyle w:val="40"/>
        <w:wordWrap/>
        <w:adjustRightInd w:val="0"/>
        <w:snapToGrid w:val="0"/>
        <w:spacing w:before="0" w:after="0" w:line="560" w:lineRule="exact"/>
        <w:ind w:left="0" w:leftChars="0" w:right="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2.4 “货物”是指各种形态和种类的物品，包括原材料、燃料、设备、产品等，详见《政府采购品目分类目录》（财库[2013]189号）。</w:t>
      </w:r>
    </w:p>
    <w:p>
      <w:pPr>
        <w:pStyle w:val="40"/>
        <w:wordWrap/>
        <w:adjustRightInd w:val="0"/>
        <w:snapToGrid w:val="0"/>
        <w:spacing w:before="0" w:after="0" w:line="560" w:lineRule="exact"/>
        <w:ind w:left="0" w:leftChars="0" w:right="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2.5 “节能产品”或者“环保产品”是指财政部发布的《节能产品政府采购清单》或者《环境标志产品政府采购清单》的产品。</w:t>
      </w:r>
    </w:p>
    <w:p>
      <w:pPr>
        <w:pStyle w:val="40"/>
        <w:wordWrap/>
        <w:adjustRightInd w:val="0"/>
        <w:snapToGrid w:val="0"/>
        <w:spacing w:before="0" w:after="0" w:line="560" w:lineRule="exact"/>
        <w:ind w:left="0" w:leftChars="0" w:right="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2.6 “进口产品”是指通过中国海关报关验放进入中国境内且产自关境外的产品，详见《中华人民共和国财政部办公厅关于政府采购进口产品管理有关问题的通知》财办库[2008]248号及《政府采购进口产品管理办法》财库〔2007〕119号。</w:t>
      </w:r>
    </w:p>
    <w:p>
      <w:pPr>
        <w:pStyle w:val="40"/>
        <w:wordWrap/>
        <w:adjustRightInd w:val="0"/>
        <w:snapToGrid w:val="0"/>
        <w:spacing w:before="0" w:after="0" w:line="560" w:lineRule="exact"/>
        <w:ind w:left="0" w:leftChars="0" w:right="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2.7 偏离</w:t>
      </w:r>
    </w:p>
    <w:p>
      <w:pPr>
        <w:pStyle w:val="40"/>
        <w:wordWrap/>
        <w:adjustRightInd w:val="0"/>
        <w:snapToGrid w:val="0"/>
        <w:spacing w:before="0" w:after="0" w:line="560" w:lineRule="exact"/>
        <w:ind w:left="0" w:leftChars="0" w:right="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2.7.1 本条所称偏离为投标文件对招标文伴的偏离，即不满足、或不响应招标文件的要求。偏离分为对招标文件的实质性要求条款偏离和对招标文件的一般商务和技术条款偏离。</w:t>
      </w:r>
    </w:p>
    <w:p>
      <w:pPr>
        <w:pStyle w:val="40"/>
        <w:wordWrap/>
        <w:adjustRightInd w:val="0"/>
        <w:snapToGrid w:val="0"/>
        <w:spacing w:before="0" w:after="0" w:line="560" w:lineRule="exact"/>
        <w:ind w:left="0" w:leftChars="0" w:right="0" w:firstLine="562"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2.7.2 除法律、法规和规章规定外，招标文件中用“拒绝”、“不接受”、“无效”、“不得”等文字规定或标注“★”符号的条款为实质性要求条款（即重要条款），对其中任何一条的偏离，在评标时将其视为无效投标</w:t>
      </w:r>
      <w:r>
        <w:rPr>
          <w:rFonts w:hint="eastAsia" w:ascii="仿宋_GB2312" w:hAnsi="仿宋_GB2312" w:eastAsia="仿宋_GB2312" w:cs="仿宋_GB2312"/>
          <w:color w:val="auto"/>
          <w:sz w:val="28"/>
          <w:szCs w:val="28"/>
        </w:rPr>
        <w:t>。未用上述文字规定或符号标注的条款为非实质性要求条款（即一般条款）。</w:t>
      </w:r>
    </w:p>
    <w:p>
      <w:pPr>
        <w:widowControl/>
        <w:wordWrap/>
        <w:adjustRightInd w:val="0"/>
        <w:snapToGrid w:val="0"/>
        <w:spacing w:before="0" w:after="0" w:line="560" w:lineRule="exact"/>
        <w:ind w:left="0" w:leftChars="0" w:right="0" w:firstLine="560" w:firstLineChars="200"/>
        <w:jc w:val="left"/>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2.8 </w:t>
      </w:r>
      <w:r>
        <w:rPr>
          <w:rFonts w:hint="eastAsia" w:ascii="仿宋_GB2312" w:hAnsi="仿宋_GB2312" w:eastAsia="仿宋_GB2312" w:cs="仿宋_GB2312"/>
          <w:spacing w:val="-13"/>
          <w:kern w:val="0"/>
          <w:sz w:val="28"/>
          <w:szCs w:val="28"/>
        </w:rPr>
        <w:t>若采购人员及相关人员与供应商（即投标人）有下列利害关系之一的，应当回避：</w:t>
      </w:r>
    </w:p>
    <w:p>
      <w:pPr>
        <w:widowControl/>
        <w:wordWrap/>
        <w:adjustRightInd w:val="0"/>
        <w:snapToGrid w:val="0"/>
        <w:spacing w:before="0" w:after="0" w:line="560" w:lineRule="exact"/>
        <w:ind w:left="0" w:leftChars="0" w:right="0" w:firstLine="560" w:firstLineChars="200"/>
        <w:jc w:val="left"/>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2.8.1参加采购活动前3年内与供应商存在劳动关系；</w:t>
      </w:r>
    </w:p>
    <w:p>
      <w:pPr>
        <w:widowControl/>
        <w:wordWrap/>
        <w:adjustRightInd w:val="0"/>
        <w:snapToGrid w:val="0"/>
        <w:spacing w:before="0" w:after="0" w:line="560" w:lineRule="exact"/>
        <w:ind w:left="0" w:leftChars="0" w:right="0" w:firstLine="560" w:firstLineChars="200"/>
        <w:jc w:val="left"/>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2.8.2参加采购活动前3年内担任供应商的董事、监事；</w:t>
      </w:r>
    </w:p>
    <w:p>
      <w:pPr>
        <w:widowControl/>
        <w:wordWrap/>
        <w:adjustRightInd w:val="0"/>
        <w:snapToGrid w:val="0"/>
        <w:spacing w:before="0" w:after="0" w:line="560" w:lineRule="exact"/>
        <w:ind w:left="0" w:leftChars="0" w:right="0" w:firstLine="560" w:firstLineChars="200"/>
        <w:jc w:val="left"/>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2.8.3参加采购活动前3年内是供应商的控股股东或者实际控制人；</w:t>
      </w:r>
    </w:p>
    <w:p>
      <w:pPr>
        <w:widowControl/>
        <w:wordWrap/>
        <w:adjustRightInd w:val="0"/>
        <w:snapToGrid w:val="0"/>
        <w:spacing w:before="0" w:after="0" w:line="560" w:lineRule="exact"/>
        <w:ind w:left="0" w:leftChars="0" w:right="0" w:firstLine="560" w:firstLineChars="200"/>
        <w:jc w:val="left"/>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2.8.4与供应商的法定代表人或者负责人有夫妻、直系血亲、三代以内旁系血亲或者近姻亲关系；</w:t>
      </w:r>
    </w:p>
    <w:p>
      <w:pPr>
        <w:widowControl/>
        <w:wordWrap/>
        <w:adjustRightInd w:val="0"/>
        <w:snapToGrid w:val="0"/>
        <w:spacing w:before="0" w:after="0" w:line="560" w:lineRule="exact"/>
        <w:ind w:left="0" w:leftChars="0" w:right="0" w:firstLine="560" w:firstLineChars="200"/>
        <w:jc w:val="left"/>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2.8.5与供应商有其他可能影响政府采购活动公平、公正进行的关系;</w:t>
      </w:r>
    </w:p>
    <w:p>
      <w:pPr>
        <w:widowControl/>
        <w:wordWrap/>
        <w:adjustRightInd w:val="0"/>
        <w:snapToGrid w:val="0"/>
        <w:spacing w:before="0" w:after="0" w:line="560" w:lineRule="exact"/>
        <w:ind w:left="0" w:leftChars="0" w:right="0" w:firstLine="560" w:firstLineChars="200"/>
        <w:jc w:val="left"/>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2.8.6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pPr>
        <w:widowControl/>
        <w:wordWrap/>
        <w:adjustRightInd w:val="0"/>
        <w:snapToGrid w:val="0"/>
        <w:spacing w:before="0" w:after="0" w:line="560" w:lineRule="exact"/>
        <w:ind w:left="0" w:leftChars="0" w:right="0" w:firstLine="560" w:firstLineChars="200"/>
        <w:jc w:val="left"/>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2.9 采购人或者采购代理机构有下列情形之一的，属于以不合理的条件对供应商（即投标人）实行差别待遇或者歧视待遇：</w:t>
      </w:r>
    </w:p>
    <w:p>
      <w:pPr>
        <w:widowControl/>
        <w:wordWrap/>
        <w:adjustRightInd w:val="0"/>
        <w:snapToGrid w:val="0"/>
        <w:spacing w:before="0" w:after="0" w:line="560" w:lineRule="exact"/>
        <w:ind w:left="0" w:leftChars="0" w:right="0" w:firstLine="560" w:firstLineChars="200"/>
        <w:jc w:val="left"/>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2.9.1就同一采购项目向供应商提供有差别的项目信息；</w:t>
      </w:r>
    </w:p>
    <w:p>
      <w:pPr>
        <w:widowControl/>
        <w:wordWrap/>
        <w:adjustRightInd w:val="0"/>
        <w:snapToGrid w:val="0"/>
        <w:spacing w:before="0" w:after="0" w:line="560" w:lineRule="exact"/>
        <w:ind w:left="0" w:leftChars="0" w:right="0" w:firstLine="560" w:firstLineChars="200"/>
        <w:jc w:val="left"/>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2.9.2设定的资格、技术、商务条件与采购项目的具体特点和实际需要不相适应或者与合同履行无关；</w:t>
      </w:r>
    </w:p>
    <w:p>
      <w:pPr>
        <w:widowControl/>
        <w:wordWrap/>
        <w:adjustRightInd w:val="0"/>
        <w:snapToGrid w:val="0"/>
        <w:spacing w:before="0" w:after="0" w:line="560" w:lineRule="exact"/>
        <w:ind w:left="0" w:leftChars="0" w:right="0" w:firstLine="560" w:firstLineChars="200"/>
        <w:jc w:val="left"/>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2.9.3采购需求中的技术、服务等要求指向特定供应商、特定产品；</w:t>
      </w:r>
    </w:p>
    <w:p>
      <w:pPr>
        <w:widowControl/>
        <w:wordWrap/>
        <w:adjustRightInd w:val="0"/>
        <w:snapToGrid w:val="0"/>
        <w:spacing w:before="0" w:after="0" w:line="560" w:lineRule="exact"/>
        <w:ind w:left="0" w:leftChars="0" w:right="0" w:firstLine="560" w:firstLineChars="200"/>
        <w:jc w:val="left"/>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2.9.4对供应商采取不同的资格审查或者评标标准；</w:t>
      </w:r>
    </w:p>
    <w:p>
      <w:pPr>
        <w:widowControl/>
        <w:wordWrap/>
        <w:adjustRightInd w:val="0"/>
        <w:snapToGrid w:val="0"/>
        <w:spacing w:before="0" w:after="0" w:line="560" w:lineRule="exact"/>
        <w:ind w:left="0" w:leftChars="0" w:right="0" w:firstLine="560" w:firstLineChars="200"/>
        <w:jc w:val="left"/>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2.9.5限定或者指定特定的专利、商标、品牌或者供应商；</w:t>
      </w:r>
    </w:p>
    <w:p>
      <w:pPr>
        <w:widowControl/>
        <w:wordWrap/>
        <w:adjustRightInd w:val="0"/>
        <w:snapToGrid w:val="0"/>
        <w:spacing w:before="0" w:after="0" w:line="560" w:lineRule="exact"/>
        <w:ind w:left="0" w:leftChars="0" w:right="0" w:firstLine="560" w:firstLineChars="200"/>
        <w:jc w:val="left"/>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2.9.6非法限定供应商的所有制形式、组织形式或者所在地；</w:t>
      </w:r>
    </w:p>
    <w:p>
      <w:pPr>
        <w:widowControl/>
        <w:wordWrap/>
        <w:adjustRightInd w:val="0"/>
        <w:snapToGrid w:val="0"/>
        <w:spacing w:before="0" w:after="0" w:line="560" w:lineRule="exact"/>
        <w:ind w:left="0" w:leftChars="0" w:right="0" w:firstLine="560" w:firstLineChars="200"/>
        <w:jc w:val="left"/>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2.9.7以其他不合理条件限制或者排斥潜在供应商。</w:t>
      </w:r>
    </w:p>
    <w:p>
      <w:pPr>
        <w:pStyle w:val="40"/>
        <w:wordWrap/>
        <w:adjustRightInd w:val="0"/>
        <w:snapToGrid w:val="0"/>
        <w:spacing w:before="0" w:after="0" w:line="560" w:lineRule="exact"/>
        <w:ind w:left="0" w:leftChars="0" w:right="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2.10 特别说明</w:t>
      </w:r>
    </w:p>
    <w:p>
      <w:pPr>
        <w:pStyle w:val="40"/>
        <w:wordWrap/>
        <w:adjustRightInd w:val="0"/>
        <w:snapToGrid w:val="0"/>
        <w:spacing w:before="0" w:after="0" w:line="560" w:lineRule="exact"/>
        <w:ind w:left="0" w:leftChars="0" w:right="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2.10.1 投标人在本次招标活动中，必须遵循《中华人民共和国政府采购法》、《中华人民共和国政府采购法实施条例》、《政府采购货物和服务招标投标管理办法》（财政部令第84号）等相关法律、法规的规定。凡参加投标的投标人必须具有履行本招标文件规定的有关要求的能力，信誉良好；</w:t>
      </w:r>
    </w:p>
    <w:p>
      <w:pPr>
        <w:pStyle w:val="40"/>
        <w:wordWrap/>
        <w:adjustRightInd w:val="0"/>
        <w:snapToGrid w:val="0"/>
        <w:spacing w:before="0" w:after="0" w:line="560" w:lineRule="exact"/>
        <w:ind w:left="0" w:leftChars="0" w:right="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2.10.2 投标人参加投标所使用的资格、信誉、荣誉与相关认证等必须为投标人所拥有；</w:t>
      </w:r>
    </w:p>
    <w:p>
      <w:pPr>
        <w:pStyle w:val="40"/>
        <w:wordWrap/>
        <w:adjustRightInd w:val="0"/>
        <w:snapToGrid w:val="0"/>
        <w:spacing w:before="0" w:after="0" w:line="560" w:lineRule="exact"/>
        <w:ind w:left="0" w:leftChars="0" w:right="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2.10.3 投标人应仔细阅读招标文件的所有内容，按照招标文件的要求提交投标文件，并对所提供的全部资料的真实性承担法律责任;</w:t>
      </w:r>
    </w:p>
    <w:p>
      <w:pPr>
        <w:pStyle w:val="40"/>
        <w:wordWrap/>
        <w:adjustRightInd w:val="0"/>
        <w:snapToGrid w:val="0"/>
        <w:spacing w:before="0" w:after="0" w:line="560" w:lineRule="exact"/>
        <w:ind w:left="0" w:leftChars="0" w:right="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2.10.4 投标人在投标活动中提供任何虚假材料，其</w:t>
      </w:r>
      <w:r>
        <w:rPr>
          <w:rFonts w:hint="eastAsia" w:ascii="仿宋_GB2312" w:hAnsi="仿宋_GB2312" w:eastAsia="仿宋_GB2312" w:cs="仿宋_GB2312"/>
          <w:b/>
          <w:bCs/>
          <w:color w:val="auto"/>
          <w:sz w:val="28"/>
          <w:szCs w:val="28"/>
        </w:rPr>
        <w:t>投标无效</w:t>
      </w:r>
      <w:r>
        <w:rPr>
          <w:rFonts w:hint="eastAsia" w:ascii="仿宋_GB2312" w:hAnsi="仿宋_GB2312" w:eastAsia="仿宋_GB2312" w:cs="仿宋_GB2312"/>
          <w:color w:val="auto"/>
          <w:sz w:val="28"/>
          <w:szCs w:val="28"/>
        </w:rPr>
        <w:t>并承担相应法律责任。</w:t>
      </w:r>
    </w:p>
    <w:p>
      <w:pPr>
        <w:wordWrap/>
        <w:adjustRightInd w:val="0"/>
        <w:snapToGrid w:val="0"/>
        <w:spacing w:before="0" w:after="0" w:line="560" w:lineRule="exact"/>
        <w:ind w:left="0" w:leftChars="0" w:right="0" w:firstLine="562" w:firstLineChars="200"/>
        <w:textAlignment w:val="auto"/>
        <w:outlineLvl w:val="9"/>
        <w:rPr>
          <w:rFonts w:hint="eastAsia"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3. 投标人的资格要求</w:t>
      </w:r>
    </w:p>
    <w:p>
      <w:pPr>
        <w:pStyle w:val="40"/>
        <w:wordWrap/>
        <w:adjustRightInd w:val="0"/>
        <w:snapToGrid w:val="0"/>
        <w:spacing w:before="0" w:after="0" w:line="560" w:lineRule="exact"/>
        <w:ind w:left="0" w:leftChars="0" w:right="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3.1 投标人应当符合</w:t>
      </w:r>
      <w:r>
        <w:rPr>
          <w:rFonts w:hint="eastAsia" w:ascii="仿宋_GB2312" w:hAnsi="仿宋_GB2312" w:eastAsia="仿宋_GB2312" w:cs="仿宋_GB2312"/>
          <w:b/>
          <w:bCs/>
          <w:color w:val="auto"/>
          <w:sz w:val="28"/>
          <w:szCs w:val="28"/>
        </w:rPr>
        <w:t>投标须知前附表</w:t>
      </w:r>
      <w:r>
        <w:rPr>
          <w:rFonts w:hint="eastAsia" w:ascii="仿宋_GB2312" w:hAnsi="仿宋_GB2312" w:eastAsia="仿宋_GB2312" w:cs="仿宋_GB2312"/>
          <w:color w:val="auto"/>
          <w:sz w:val="28"/>
          <w:szCs w:val="28"/>
        </w:rPr>
        <w:t>中规定及下列要求：</w:t>
      </w:r>
    </w:p>
    <w:p>
      <w:pPr>
        <w:pStyle w:val="40"/>
        <w:wordWrap/>
        <w:adjustRightInd w:val="0"/>
        <w:snapToGrid w:val="0"/>
        <w:spacing w:before="0" w:after="0" w:line="560" w:lineRule="exact"/>
        <w:ind w:left="0" w:leftChars="0" w:right="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3.1.1 《中华人民共和国政府采购法》第二十二条第一款规定的供应商基本资格条件；</w:t>
      </w:r>
    </w:p>
    <w:p>
      <w:pPr>
        <w:pStyle w:val="40"/>
        <w:wordWrap/>
        <w:adjustRightInd w:val="0"/>
        <w:snapToGrid w:val="0"/>
        <w:spacing w:before="0" w:after="0" w:line="560" w:lineRule="exact"/>
        <w:ind w:left="0" w:leftChars="0" w:right="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3.1.2 招标文件规定的投标人特定资格条件；</w:t>
      </w:r>
    </w:p>
    <w:p>
      <w:pPr>
        <w:pStyle w:val="34"/>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3.1.3 投标人必须是在中华人民共和国境内注册的独立法人或其他组织，能独立承担民事责任，拥有有效的法人营业执照，拥有完成本招标项目的专业技术能力和技术人员。</w:t>
      </w:r>
    </w:p>
    <w:p>
      <w:pPr>
        <w:wordWrap/>
        <w:adjustRightInd w:val="0"/>
        <w:snapToGrid w:val="0"/>
        <w:spacing w:before="0" w:after="0" w:line="560" w:lineRule="exact"/>
        <w:ind w:left="0" w:leftChars="0" w:right="0" w:firstLine="560" w:firstLineChars="200"/>
        <w:jc w:val="lef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3.1.4 单位负责人为同一人或者存在直接控股、管理关系的不同供应商，不得参加同一合同项下的政府采购活动。</w:t>
      </w:r>
    </w:p>
    <w:p>
      <w:pPr>
        <w:wordWrap/>
        <w:adjustRightInd w:val="0"/>
        <w:snapToGrid w:val="0"/>
        <w:spacing w:before="0" w:after="0" w:line="560" w:lineRule="exact"/>
        <w:ind w:left="0" w:leftChars="0" w:right="0" w:firstLine="560" w:firstLineChars="200"/>
        <w:jc w:val="lef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为采购项目提供整体设计、规范编制或者项目管理、监理、检测等服务的法人、其它组织或自然人，不得再参加该采购项目的投标。</w:t>
      </w:r>
    </w:p>
    <w:p>
      <w:pPr>
        <w:pStyle w:val="40"/>
        <w:wordWrap/>
        <w:adjustRightInd w:val="0"/>
        <w:snapToGrid w:val="0"/>
        <w:spacing w:before="0" w:after="0" w:line="560" w:lineRule="exact"/>
        <w:ind w:left="0" w:leftChars="0" w:right="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3.2 投标人不得存在下列情形之一：</w:t>
      </w:r>
    </w:p>
    <w:p>
      <w:pPr>
        <w:pStyle w:val="40"/>
        <w:wordWrap/>
        <w:adjustRightInd w:val="0"/>
        <w:snapToGrid w:val="0"/>
        <w:spacing w:before="0" w:after="0" w:line="560" w:lineRule="exact"/>
        <w:ind w:left="0" w:leftChars="0" w:right="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3.2.1 与采购人、采购代理机构存在利害关系;</w:t>
      </w:r>
    </w:p>
    <w:p>
      <w:pPr>
        <w:pStyle w:val="40"/>
        <w:wordWrap/>
        <w:adjustRightInd w:val="0"/>
        <w:snapToGrid w:val="0"/>
        <w:spacing w:before="0" w:after="0" w:line="560" w:lineRule="exact"/>
        <w:ind w:left="0" w:leftChars="0" w:right="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3.2.2 受到刑事处罚，或者受到3万元以上的罚款、责令停产停业、在1至3年内禁止参加政府采购活动、暂扣或者吊销许可证、暂扣或者吊销执照等情形之一的行政处罚，或者存在财政部门认定的其他重大违法记录。</w:t>
      </w:r>
    </w:p>
    <w:p>
      <w:pPr>
        <w:pStyle w:val="40"/>
        <w:wordWrap/>
        <w:adjustRightInd w:val="0"/>
        <w:snapToGrid w:val="0"/>
        <w:spacing w:before="0" w:after="0" w:line="560" w:lineRule="exact"/>
        <w:ind w:left="0" w:leftChars="0" w:right="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3.3 投标人具有履行合同所必需的设备和专业技术能力，在人员、设备、资金等方面具有相应能力；投标人提供的的产品必须是成熟产品；在项目地具有技术支持和后续服务等能力。</w:t>
      </w:r>
    </w:p>
    <w:p>
      <w:pPr>
        <w:pStyle w:val="40"/>
        <w:wordWrap/>
        <w:adjustRightInd w:val="0"/>
        <w:snapToGrid w:val="0"/>
        <w:spacing w:before="0" w:after="0" w:line="560" w:lineRule="exact"/>
        <w:ind w:left="0" w:leftChars="0" w:right="0" w:firstLine="562"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3.4 使用综合评分法的采购项目</w:t>
      </w:r>
      <w:r>
        <w:rPr>
          <w:rFonts w:hint="eastAsia" w:ascii="仿宋_GB2312" w:hAnsi="仿宋_GB2312" w:eastAsia="仿宋_GB2312" w:cs="仿宋_GB2312"/>
          <w:color w:val="auto"/>
          <w:sz w:val="28"/>
          <w:szCs w:val="28"/>
        </w:rPr>
        <w:t>，提供相同品牌产品且通过资格审查、符合性审查的不同投标人参加同一合同项下投标的，按一家投标人计算，评标后得分最高的同品牌投标人获得中标人推荐资格；评标得分相同的，由采购人或者采购人委托评标委员会按照招标文件规定的方式确定一个投标人获得中标人推荐资格，招标文件未规定的采取随机抽取方式确定，其他同品牌投标人不作为中标候选人。</w:t>
      </w:r>
    </w:p>
    <w:p>
      <w:pPr>
        <w:pStyle w:val="40"/>
        <w:wordWrap/>
        <w:adjustRightInd w:val="0"/>
        <w:snapToGrid w:val="0"/>
        <w:spacing w:before="0" w:after="0" w:line="560" w:lineRule="exact"/>
        <w:ind w:left="0" w:leftChars="0" w:right="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非单一产品采购项目，采购人应当根据采购项目技术构成、产品价格比重等合理确定核心产品，并在招标文件中载明。多家投标人提供的核心产品品牌相同的，同上处理。</w:t>
      </w:r>
    </w:p>
    <w:p>
      <w:pPr>
        <w:wordWrap/>
        <w:adjustRightInd w:val="0"/>
        <w:snapToGrid w:val="0"/>
        <w:spacing w:before="0" w:after="0" w:line="560" w:lineRule="exact"/>
        <w:ind w:left="0" w:leftChars="0" w:right="0" w:firstLine="562" w:firstLineChars="200"/>
        <w:textAlignment w:val="auto"/>
        <w:outlineLvl w:val="9"/>
        <w:rPr>
          <w:rFonts w:hint="eastAsia"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4．投标费用和知识产权</w:t>
      </w:r>
    </w:p>
    <w:p>
      <w:pPr>
        <w:pStyle w:val="40"/>
        <w:wordWrap/>
        <w:adjustRightInd w:val="0"/>
        <w:snapToGrid w:val="0"/>
        <w:spacing w:before="0" w:after="0" w:line="560" w:lineRule="exact"/>
        <w:ind w:left="0" w:leftChars="0" w:right="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4.1 投标人应承担其参加本招标活动自身所发生的费用。招标文件所提供的资料，是采购人现有的能被投标人利用的资料，采购人对投标人做出的任何推论、理解和结论均不负责任。</w:t>
      </w:r>
    </w:p>
    <w:p>
      <w:pPr>
        <w:pStyle w:val="40"/>
        <w:wordWrap/>
        <w:adjustRightInd w:val="0"/>
        <w:snapToGrid w:val="0"/>
        <w:spacing w:before="0" w:after="0" w:line="560" w:lineRule="exact"/>
        <w:ind w:left="0" w:leftChars="0" w:right="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4.2 投标人应保证，在中华人民共和国境内使用投标成果、服务或其任何一部分时，不会产生因第三方提出侵犯其专利权或其它知识产权而引起的法律和经济纠纷。如投标人不拥有相应的知识产权，则在报价中须包括合法获取该知识产权的相关费用。</w:t>
      </w:r>
    </w:p>
    <w:p>
      <w:pPr>
        <w:wordWrap/>
        <w:adjustRightInd w:val="0"/>
        <w:snapToGrid w:val="0"/>
        <w:spacing w:before="0" w:after="0" w:line="560" w:lineRule="exact"/>
        <w:ind w:left="0" w:leftChars="0" w:right="0" w:firstLine="562" w:firstLineChars="200"/>
        <w:textAlignment w:val="auto"/>
        <w:outlineLvl w:val="9"/>
        <w:rPr>
          <w:rFonts w:hint="eastAsia"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5. 授权委托</w:t>
      </w:r>
    </w:p>
    <w:p>
      <w:pPr>
        <w:pStyle w:val="40"/>
        <w:wordWrap/>
        <w:adjustRightInd w:val="0"/>
        <w:snapToGrid w:val="0"/>
        <w:spacing w:before="0" w:after="0" w:line="560" w:lineRule="exact"/>
        <w:ind w:left="0" w:leftChars="0" w:right="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5.1 投标人代表为投标人法定代表人的，应持有法定代表人身份证明。投标人代表不是投标人法定代表人的，应持有法定代表人授权书。</w:t>
      </w:r>
    </w:p>
    <w:p>
      <w:pPr>
        <w:wordWrap/>
        <w:adjustRightInd w:val="0"/>
        <w:snapToGrid w:val="0"/>
        <w:spacing w:before="0" w:after="0" w:line="560" w:lineRule="exact"/>
        <w:ind w:left="0" w:leftChars="0" w:right="0" w:firstLine="562" w:firstLineChars="200"/>
        <w:textAlignment w:val="auto"/>
        <w:outlineLvl w:val="9"/>
        <w:rPr>
          <w:rFonts w:hint="eastAsia"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6. 联合体投标</w:t>
      </w:r>
    </w:p>
    <w:p>
      <w:pPr>
        <w:pStyle w:val="40"/>
        <w:wordWrap/>
        <w:adjustRightInd w:val="0"/>
        <w:snapToGrid w:val="0"/>
        <w:spacing w:before="0" w:after="0" w:line="560" w:lineRule="exact"/>
        <w:ind w:left="0" w:leftChars="0" w:right="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6.1 除</w:t>
      </w:r>
      <w:r>
        <w:rPr>
          <w:rFonts w:hint="eastAsia" w:ascii="仿宋_GB2312" w:hAnsi="仿宋_GB2312" w:eastAsia="仿宋_GB2312" w:cs="仿宋_GB2312"/>
          <w:b/>
          <w:bCs/>
          <w:color w:val="auto"/>
          <w:sz w:val="28"/>
          <w:szCs w:val="28"/>
        </w:rPr>
        <w:t>投标须知前附表</w:t>
      </w:r>
      <w:r>
        <w:rPr>
          <w:rFonts w:hint="eastAsia" w:ascii="仿宋_GB2312" w:hAnsi="仿宋_GB2312" w:eastAsia="仿宋_GB2312" w:cs="仿宋_GB2312"/>
          <w:color w:val="auto"/>
          <w:sz w:val="28"/>
          <w:szCs w:val="28"/>
        </w:rPr>
        <w:t>中另有规定，本次招标采购不接受以联合体形式投标的投标人。</w:t>
      </w:r>
    </w:p>
    <w:p>
      <w:pPr>
        <w:pStyle w:val="40"/>
        <w:wordWrap/>
        <w:adjustRightInd w:val="0"/>
        <w:snapToGrid w:val="0"/>
        <w:spacing w:before="0" w:after="0" w:line="560" w:lineRule="exact"/>
        <w:ind w:left="0" w:leftChars="0" w:right="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6.2 两个以上的法人、其他组织或者自然人可以组成一个联合体，以一个投标人的身份共同参加政府采购活动。投标人为联合体形式的，除应符合本章第3条规定外，还应遵守以下规定：</w:t>
      </w:r>
    </w:p>
    <w:p>
      <w:pPr>
        <w:pStyle w:val="40"/>
        <w:wordWrap/>
        <w:adjustRightInd w:val="0"/>
        <w:snapToGrid w:val="0"/>
        <w:spacing w:before="0" w:after="0" w:line="560" w:lineRule="exact"/>
        <w:ind w:left="0" w:leftChars="0" w:right="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6.2.1 联合体各方必须签订联合体协议书，明确联合体牵头人和各方的义务、工作、合同工作量比例；</w:t>
      </w:r>
    </w:p>
    <w:p>
      <w:pPr>
        <w:pStyle w:val="40"/>
        <w:wordWrap/>
        <w:adjustRightInd w:val="0"/>
        <w:snapToGrid w:val="0"/>
        <w:spacing w:before="0" w:after="0" w:line="560" w:lineRule="exact"/>
        <w:ind w:left="0" w:leftChars="0" w:right="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6.2.2 联合体各方均应当符合本章第3.1款规定的投标人基本资格条件；联合体中有同类资质的投标人按照联合体分工承担相同工作的，按照资质等级较低的投标人确定资质等级。</w:t>
      </w:r>
    </w:p>
    <w:p>
      <w:pPr>
        <w:pStyle w:val="40"/>
        <w:wordWrap/>
        <w:adjustRightInd w:val="0"/>
        <w:snapToGrid w:val="0"/>
        <w:spacing w:before="0" w:after="0" w:line="560" w:lineRule="exact"/>
        <w:ind w:left="0" w:leftChars="0" w:right="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6.2.3 除</w:t>
      </w:r>
      <w:r>
        <w:rPr>
          <w:rFonts w:hint="eastAsia" w:ascii="仿宋_GB2312" w:hAnsi="仿宋_GB2312" w:eastAsia="仿宋_GB2312" w:cs="仿宋_GB2312"/>
          <w:b/>
          <w:bCs/>
          <w:color w:val="auto"/>
          <w:sz w:val="28"/>
          <w:szCs w:val="28"/>
        </w:rPr>
        <w:t>投标须知前附表</w:t>
      </w:r>
      <w:r>
        <w:rPr>
          <w:rFonts w:hint="eastAsia" w:ascii="仿宋_GB2312" w:hAnsi="仿宋_GB2312" w:eastAsia="仿宋_GB2312" w:cs="仿宋_GB2312"/>
          <w:color w:val="auto"/>
          <w:sz w:val="28"/>
          <w:szCs w:val="28"/>
        </w:rPr>
        <w:t>中另有规定，联合体各方中至少有一方应当符合本章第3.1款规定的投标人特定资格条件。</w:t>
      </w:r>
    </w:p>
    <w:p>
      <w:pPr>
        <w:pStyle w:val="40"/>
        <w:wordWrap/>
        <w:adjustRightInd w:val="0"/>
        <w:snapToGrid w:val="0"/>
        <w:spacing w:before="0" w:after="0" w:line="560" w:lineRule="exact"/>
        <w:ind w:left="0" w:leftChars="0" w:right="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6.3 大中型企业和其他自然人、法人或者其他组织与小型、微型企业组成联合体，联合体协议中约定，小型、微型企业的协议合同金额占到联合体协议合同总金额30%以上的，可给予联合体2%的价格扣除。</w:t>
      </w:r>
    </w:p>
    <w:p>
      <w:pPr>
        <w:pStyle w:val="40"/>
        <w:wordWrap/>
        <w:adjustRightInd w:val="0"/>
        <w:snapToGrid w:val="0"/>
        <w:spacing w:before="0" w:after="0" w:line="560" w:lineRule="exact"/>
        <w:ind w:left="0" w:leftChars="0" w:right="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联合体各方均为小型、微型企业的，联合体视同为小型、微型企业享受扶持政策。</w:t>
      </w:r>
    </w:p>
    <w:p>
      <w:pPr>
        <w:pStyle w:val="40"/>
        <w:wordWrap/>
        <w:adjustRightInd w:val="0"/>
        <w:snapToGrid w:val="0"/>
        <w:spacing w:before="0" w:after="0" w:line="560" w:lineRule="exact"/>
        <w:ind w:left="0" w:leftChars="0" w:right="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组成联合体的大中型企业和其他自然人、法人或者其他组织，与小型、微型企业之间不得存在投资关系，并附协议书。</w:t>
      </w:r>
    </w:p>
    <w:p>
      <w:pPr>
        <w:pStyle w:val="40"/>
        <w:wordWrap/>
        <w:adjustRightInd w:val="0"/>
        <w:snapToGrid w:val="0"/>
        <w:spacing w:before="0" w:after="0" w:line="560" w:lineRule="exact"/>
        <w:ind w:left="0" w:leftChars="0" w:right="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6.4 以联合体形式参加政府采购活动的，联合体各方不得再单独参加或者与其他投标人另外组成联合体参加同一合同项下的政府采购活动。</w:t>
      </w:r>
    </w:p>
    <w:p>
      <w:pPr>
        <w:wordWrap/>
        <w:adjustRightInd w:val="0"/>
        <w:snapToGrid w:val="0"/>
        <w:spacing w:before="0" w:after="0" w:line="560" w:lineRule="exact"/>
        <w:ind w:left="0" w:leftChars="0" w:right="0" w:firstLine="562" w:firstLineChars="200"/>
        <w:textAlignment w:val="auto"/>
        <w:outlineLvl w:val="9"/>
        <w:rPr>
          <w:rFonts w:hint="eastAsia"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7. 现场考察</w:t>
      </w:r>
    </w:p>
    <w:p>
      <w:pPr>
        <w:pStyle w:val="40"/>
        <w:wordWrap/>
        <w:adjustRightInd w:val="0"/>
        <w:snapToGrid w:val="0"/>
        <w:spacing w:before="0" w:after="0" w:line="560" w:lineRule="exact"/>
        <w:ind w:left="0" w:leftChars="0" w:right="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7.1 投标人应按</w:t>
      </w:r>
      <w:r>
        <w:rPr>
          <w:rFonts w:hint="eastAsia" w:ascii="仿宋_GB2312" w:hAnsi="仿宋_GB2312" w:eastAsia="仿宋_GB2312" w:cs="仿宋_GB2312"/>
          <w:b/>
          <w:bCs/>
          <w:color w:val="auto"/>
          <w:sz w:val="28"/>
          <w:szCs w:val="28"/>
        </w:rPr>
        <w:t>投标须知前附表</w:t>
      </w:r>
      <w:r>
        <w:rPr>
          <w:rFonts w:hint="eastAsia" w:ascii="仿宋_GB2312" w:hAnsi="仿宋_GB2312" w:eastAsia="仿宋_GB2312" w:cs="仿宋_GB2312"/>
          <w:color w:val="auto"/>
          <w:sz w:val="28"/>
          <w:szCs w:val="28"/>
        </w:rPr>
        <w:t>中规定对招标采购项目现场和周围环境进行现场考察或者参加开标前答疑会。</w:t>
      </w:r>
    </w:p>
    <w:p>
      <w:pPr>
        <w:pStyle w:val="40"/>
        <w:wordWrap/>
        <w:adjustRightInd w:val="0"/>
        <w:snapToGrid w:val="0"/>
        <w:spacing w:before="0" w:after="0" w:line="560" w:lineRule="exact"/>
        <w:ind w:left="0" w:leftChars="0" w:right="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7.2 </w:t>
      </w:r>
      <w:r>
        <w:rPr>
          <w:rFonts w:hint="eastAsia" w:ascii="仿宋_GB2312" w:hAnsi="仿宋_GB2312" w:eastAsia="仿宋_GB2312" w:cs="仿宋_GB2312"/>
          <w:color w:val="auto"/>
          <w:spacing w:val="-9"/>
          <w:sz w:val="28"/>
          <w:szCs w:val="28"/>
        </w:rPr>
        <w:t>现场考察或者参加开标前答疑会的费用由</w:t>
      </w:r>
      <w:r>
        <w:rPr>
          <w:rFonts w:hint="eastAsia" w:ascii="仿宋_GB2312" w:hAnsi="仿宋_GB2312" w:eastAsia="仿宋_GB2312" w:cs="仿宋_GB2312"/>
          <w:color w:val="auto"/>
          <w:sz w:val="28"/>
          <w:szCs w:val="28"/>
        </w:rPr>
        <w:t>投标人</w:t>
      </w:r>
      <w:r>
        <w:rPr>
          <w:rFonts w:hint="eastAsia" w:ascii="仿宋_GB2312" w:hAnsi="仿宋_GB2312" w:eastAsia="仿宋_GB2312" w:cs="仿宋_GB2312"/>
          <w:color w:val="auto"/>
          <w:spacing w:val="-9"/>
          <w:sz w:val="28"/>
          <w:szCs w:val="28"/>
        </w:rPr>
        <w:t>自行承担，现场考察或者参加开标前答疑会期间所发生的人身伤害及财产损失由投标人自行负责。</w:t>
      </w:r>
    </w:p>
    <w:p>
      <w:pPr>
        <w:pStyle w:val="40"/>
        <w:wordWrap/>
        <w:adjustRightInd w:val="0"/>
        <w:snapToGrid w:val="0"/>
        <w:spacing w:before="0" w:after="0" w:line="560" w:lineRule="exact"/>
        <w:ind w:left="0" w:leftChars="0" w:right="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7.3 采购人不对投标人据此而做出的推论、理解和结论负责。如果中标，投标人不得以任何借口，而提出额外补偿，或延长合同期限的要求。</w:t>
      </w:r>
    </w:p>
    <w:p>
      <w:pPr>
        <w:wordWrap/>
        <w:adjustRightInd w:val="0"/>
        <w:snapToGrid w:val="0"/>
        <w:spacing w:before="0" w:after="0" w:line="560" w:lineRule="exact"/>
        <w:ind w:left="0" w:leftChars="0" w:right="0" w:firstLine="562" w:firstLineChars="200"/>
        <w:textAlignment w:val="auto"/>
        <w:outlineLvl w:val="9"/>
        <w:rPr>
          <w:rFonts w:hint="eastAsia"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8. 采购进口产品</w:t>
      </w:r>
    </w:p>
    <w:p>
      <w:pPr>
        <w:pStyle w:val="40"/>
        <w:wordWrap/>
        <w:adjustRightInd w:val="0"/>
        <w:snapToGrid w:val="0"/>
        <w:spacing w:before="0" w:after="0" w:line="560" w:lineRule="exact"/>
        <w:ind w:left="0" w:leftChars="0" w:right="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8.1 </w:t>
      </w:r>
      <w:r>
        <w:rPr>
          <w:rFonts w:hint="eastAsia" w:ascii="仿宋_GB2312" w:hAnsi="仿宋_GB2312" w:eastAsia="仿宋_GB2312" w:cs="仿宋_GB2312"/>
          <w:b/>
          <w:color w:val="auto"/>
          <w:sz w:val="28"/>
          <w:szCs w:val="28"/>
        </w:rPr>
        <w:t>除投标须知前附表另有规定外</w:t>
      </w:r>
      <w:r>
        <w:rPr>
          <w:rFonts w:hint="eastAsia" w:ascii="仿宋_GB2312" w:hAnsi="仿宋_GB2312" w:eastAsia="仿宋_GB2312" w:cs="仿宋_GB2312"/>
          <w:color w:val="auto"/>
          <w:sz w:val="28"/>
          <w:szCs w:val="28"/>
        </w:rPr>
        <w:t>,本项目拒绝进口产品参加招标采购活动。</w:t>
      </w:r>
    </w:p>
    <w:p>
      <w:pPr>
        <w:pStyle w:val="40"/>
        <w:wordWrap/>
        <w:adjustRightInd w:val="0"/>
        <w:snapToGrid w:val="0"/>
        <w:spacing w:before="0" w:after="0" w:line="560" w:lineRule="exact"/>
        <w:ind w:left="0" w:leftChars="0" w:right="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8.2 本章第8.1款规定同意购买进口产品的，本项目采购活动不限制满足招标文件要求的国内产品参与招标。</w:t>
      </w:r>
    </w:p>
    <w:p>
      <w:pPr>
        <w:pStyle w:val="40"/>
        <w:wordWrap/>
        <w:adjustRightInd w:val="0"/>
        <w:snapToGrid w:val="0"/>
        <w:spacing w:before="0" w:after="0" w:line="560" w:lineRule="exact"/>
        <w:ind w:left="0" w:leftChars="0" w:right="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8.3 采购人采购进口产品的，必须在采购活动开始前向财政部门提出申请并获得财政部门审核同意后，才能开展采购活动。在采购活动开始前没有获得财政部门同意而开展采购活动的，应当进行国内公开招标,并拒绝进口产品参加投标。</w:t>
      </w:r>
    </w:p>
    <w:p>
      <w:pPr>
        <w:pStyle w:val="40"/>
        <w:ind w:firstLine="560" w:firstLineChars="200"/>
        <w:jc w:val="both"/>
        <w:outlineLvl w:val="1"/>
        <w:rPr>
          <w:rFonts w:hint="eastAsia" w:ascii="仿宋_GB2312" w:hAnsi="仿宋_GB2312" w:eastAsia="仿宋_GB2312" w:cs="仿宋_GB2312"/>
          <w:color w:val="auto"/>
          <w:sz w:val="28"/>
          <w:szCs w:val="28"/>
        </w:rPr>
      </w:pPr>
      <w:r>
        <w:rPr>
          <w:rFonts w:hint="eastAsia" w:ascii="仿宋_GB2312" w:hAnsi="仿宋_GB2312" w:eastAsia="仿宋_GB2312" w:cs="仿宋_GB2312"/>
          <w:b w:val="0"/>
          <w:bCs w:val="0"/>
          <w:color w:val="auto"/>
          <w:sz w:val="28"/>
          <w:szCs w:val="28"/>
          <w:lang w:val="en-US" w:eastAsia="zh-CN"/>
        </w:rPr>
        <w:t xml:space="preserve">9.1 </w:t>
      </w:r>
      <w:r>
        <w:rPr>
          <w:rFonts w:hint="eastAsia" w:ascii="仿宋_GB2312" w:hAnsi="仿宋_GB2312" w:eastAsia="仿宋_GB2312" w:cs="仿宋_GB2312"/>
          <w:color w:val="auto"/>
          <w:sz w:val="28"/>
          <w:szCs w:val="28"/>
        </w:rPr>
        <w:t>支持中小企业发展</w:t>
      </w:r>
      <w:r>
        <w:rPr>
          <w:rFonts w:hint="eastAsia" w:ascii="仿宋_GB2312" w:hAnsi="仿宋_GB2312" w:eastAsia="仿宋_GB2312" w:cs="仿宋_GB2312"/>
          <w:color w:val="auto"/>
          <w:sz w:val="28"/>
          <w:szCs w:val="28"/>
          <w:lang w:eastAsia="zh-CN"/>
        </w:rPr>
        <w:t>。</w:t>
      </w:r>
    </w:p>
    <w:p>
      <w:pPr>
        <w:pStyle w:val="40"/>
        <w:ind w:firstLine="560" w:firstLineChars="200"/>
        <w:jc w:val="both"/>
        <w:outlineLvl w:val="1"/>
        <w:rPr>
          <w:rFonts w:hint="eastAsia" w:ascii="仿宋_GB2312" w:hAnsi="仿宋_GB2312" w:eastAsia="仿宋_GB2312" w:cs="仿宋_GB2312"/>
          <w:color w:val="auto"/>
          <w:sz w:val="28"/>
          <w:szCs w:val="28"/>
        </w:rPr>
      </w:pPr>
      <w:r>
        <w:rPr>
          <w:rFonts w:hint="eastAsia" w:ascii="仿宋_GB2312" w:hAnsi="仿宋_GB2312" w:eastAsia="仿宋_GB2312" w:cs="仿宋_GB2312"/>
          <w:b w:val="0"/>
          <w:bCs w:val="0"/>
          <w:color w:val="auto"/>
          <w:sz w:val="28"/>
          <w:szCs w:val="28"/>
          <w:lang w:val="en-US" w:eastAsia="zh-CN"/>
        </w:rPr>
        <w:t>9.2</w:t>
      </w:r>
      <w:r>
        <w:rPr>
          <w:rFonts w:hint="eastAsia" w:ascii="仿宋_GB2312" w:hAnsi="仿宋_GB2312" w:eastAsia="仿宋_GB2312" w:cs="仿宋_GB2312"/>
          <w:b/>
          <w:bCs/>
          <w:color w:val="auto"/>
          <w:sz w:val="28"/>
          <w:szCs w:val="28"/>
          <w:lang w:val="en-US" w:eastAsia="zh-CN"/>
        </w:rPr>
        <w:t xml:space="preserve"> </w:t>
      </w:r>
      <w:r>
        <w:rPr>
          <w:rFonts w:hint="eastAsia" w:ascii="仿宋_GB2312" w:hAnsi="仿宋_GB2312" w:eastAsia="仿宋_GB2312" w:cs="仿宋_GB2312"/>
          <w:color w:val="auto"/>
          <w:sz w:val="28"/>
          <w:szCs w:val="28"/>
        </w:rPr>
        <w:t>政府采购信用担保</w:t>
      </w:r>
      <w:r>
        <w:rPr>
          <w:rFonts w:hint="eastAsia" w:ascii="仿宋_GB2312" w:hAnsi="仿宋_GB2312" w:eastAsia="仿宋_GB2312" w:cs="仿宋_GB2312"/>
          <w:color w:val="auto"/>
          <w:sz w:val="28"/>
          <w:szCs w:val="28"/>
          <w:lang w:eastAsia="zh-CN"/>
        </w:rPr>
        <w:t>。</w:t>
      </w:r>
    </w:p>
    <w:p>
      <w:pPr>
        <w:pStyle w:val="40"/>
        <w:ind w:firstLine="560" w:firstLineChars="200"/>
        <w:jc w:val="both"/>
        <w:outlineLvl w:val="1"/>
        <w:rPr>
          <w:rFonts w:hint="eastAsia" w:ascii="仿宋_GB2312" w:hAnsi="仿宋_GB2312" w:eastAsia="仿宋_GB2312" w:cs="仿宋_GB2312"/>
          <w:color w:val="auto"/>
          <w:sz w:val="28"/>
          <w:szCs w:val="28"/>
        </w:rPr>
      </w:pPr>
      <w:r>
        <w:rPr>
          <w:rFonts w:hint="eastAsia" w:ascii="仿宋_GB2312" w:hAnsi="仿宋_GB2312" w:eastAsia="仿宋_GB2312" w:cs="仿宋_GB2312"/>
          <w:b w:val="0"/>
          <w:bCs w:val="0"/>
          <w:color w:val="auto"/>
          <w:sz w:val="28"/>
          <w:szCs w:val="28"/>
          <w:lang w:val="en-US" w:eastAsia="zh-CN"/>
        </w:rPr>
        <w:t>9.3</w:t>
      </w:r>
      <w:r>
        <w:rPr>
          <w:rFonts w:hint="eastAsia" w:ascii="仿宋_GB2312" w:hAnsi="仿宋_GB2312" w:eastAsia="仿宋_GB2312" w:cs="仿宋_GB2312"/>
          <w:b/>
          <w:bCs/>
          <w:color w:val="auto"/>
          <w:sz w:val="28"/>
          <w:szCs w:val="28"/>
          <w:lang w:val="en-US" w:eastAsia="zh-CN"/>
        </w:rPr>
        <w:t xml:space="preserve"> </w:t>
      </w:r>
      <w:r>
        <w:rPr>
          <w:rFonts w:hint="eastAsia" w:ascii="仿宋_GB2312" w:hAnsi="仿宋_GB2312" w:eastAsia="仿宋_GB2312" w:cs="仿宋_GB2312"/>
          <w:color w:val="auto"/>
          <w:sz w:val="28"/>
          <w:szCs w:val="28"/>
        </w:rPr>
        <w:t>政府采购促进残疾人就业</w:t>
      </w:r>
      <w:r>
        <w:rPr>
          <w:rFonts w:hint="eastAsia" w:ascii="仿宋_GB2312" w:hAnsi="仿宋_GB2312" w:eastAsia="仿宋_GB2312" w:cs="仿宋_GB2312"/>
          <w:color w:val="auto"/>
          <w:sz w:val="28"/>
          <w:szCs w:val="28"/>
          <w:lang w:eastAsia="zh-CN"/>
        </w:rPr>
        <w:t>。</w:t>
      </w:r>
    </w:p>
    <w:p>
      <w:pPr>
        <w:pStyle w:val="40"/>
        <w:ind w:firstLine="560" w:firstLineChars="200"/>
        <w:jc w:val="both"/>
        <w:outlineLvl w:val="1"/>
        <w:rPr>
          <w:rFonts w:hint="eastAsia" w:ascii="宋体" w:hAnsi="宋体" w:eastAsia="宋体" w:cs="宋体"/>
          <w:color w:val="auto"/>
          <w:sz w:val="32"/>
          <w:szCs w:val="32"/>
        </w:rPr>
      </w:pPr>
      <w:r>
        <w:rPr>
          <w:rFonts w:hint="eastAsia" w:ascii="仿宋_GB2312" w:hAnsi="仿宋_GB2312" w:eastAsia="仿宋_GB2312" w:cs="仿宋_GB2312"/>
          <w:b w:val="0"/>
          <w:bCs w:val="0"/>
          <w:color w:val="auto"/>
          <w:sz w:val="28"/>
          <w:szCs w:val="28"/>
          <w:lang w:val="en-US" w:eastAsia="zh-CN"/>
        </w:rPr>
        <w:t xml:space="preserve">9.4 </w:t>
      </w:r>
      <w:r>
        <w:rPr>
          <w:rFonts w:hint="eastAsia" w:ascii="仿宋_GB2312" w:hAnsi="仿宋_GB2312" w:eastAsia="仿宋_GB2312" w:cs="仿宋_GB2312"/>
          <w:color w:val="auto"/>
          <w:sz w:val="28"/>
          <w:szCs w:val="28"/>
        </w:rPr>
        <w:t>节能产品、环境标志产品</w:t>
      </w:r>
      <w:r>
        <w:rPr>
          <w:rFonts w:hint="eastAsia" w:ascii="仿宋_GB2312" w:hAnsi="仿宋_GB2312" w:eastAsia="仿宋_GB2312" w:cs="仿宋_GB2312"/>
          <w:color w:val="auto"/>
          <w:sz w:val="28"/>
          <w:szCs w:val="28"/>
          <w:lang w:eastAsia="zh-CN"/>
        </w:rPr>
        <w:t>。</w:t>
      </w:r>
      <w:r>
        <w:rPr>
          <w:rFonts w:hint="eastAsia" w:ascii="宋体" w:hAnsi="宋体" w:eastAsia="宋体" w:cs="宋体"/>
          <w:b/>
          <w:bCs/>
          <w:color w:val="auto"/>
          <w:sz w:val="32"/>
          <w:szCs w:val="32"/>
        </w:rPr>
        <w:br w:type="page"/>
      </w:r>
      <w:bookmarkStart w:id="25" w:name="_Toc654_WPSOffice_Level2"/>
      <w:r>
        <w:rPr>
          <w:rFonts w:hint="eastAsia" w:ascii="宋体" w:hAnsi="宋体" w:eastAsia="宋体" w:cs="宋体"/>
          <w:b/>
          <w:bCs/>
          <w:color w:val="auto"/>
          <w:sz w:val="32"/>
          <w:szCs w:val="32"/>
        </w:rPr>
        <w:t>二</w:t>
      </w:r>
      <w:r>
        <w:rPr>
          <w:rFonts w:hint="eastAsia" w:ascii="仿宋_GB2312" w:hAnsi="仿宋_GB2312" w:eastAsia="仿宋_GB2312" w:cs="仿宋_GB2312"/>
          <w:b/>
          <w:kern w:val="0"/>
          <w:sz w:val="28"/>
          <w:szCs w:val="28"/>
        </w:rPr>
        <w:t xml:space="preserve">. </w:t>
      </w:r>
      <w:r>
        <w:rPr>
          <w:rFonts w:hint="eastAsia" w:ascii="宋体" w:hAnsi="宋体" w:eastAsia="宋体" w:cs="宋体"/>
          <w:b/>
          <w:bCs/>
          <w:color w:val="auto"/>
          <w:sz w:val="32"/>
          <w:szCs w:val="32"/>
        </w:rPr>
        <w:t>招标文件</w:t>
      </w:r>
      <w:bookmarkEnd w:id="25"/>
    </w:p>
    <w:p>
      <w:pPr>
        <w:adjustRightInd w:val="0"/>
        <w:snapToGrid w:val="0"/>
        <w:spacing w:line="360" w:lineRule="auto"/>
        <w:ind w:firstLine="562"/>
        <w:rPr>
          <w:rFonts w:hint="eastAsia"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10. 招标文件的组成</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10.1 招标文件用以阐明所需货物和服务、招标投标程序和商务合同主要条款，本招标文件由下列文件组成：</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第一章 招标公告</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第二章 投标须知</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第三章 评标标准</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第四章 政府采购合同</w:t>
      </w:r>
      <w:r>
        <w:rPr>
          <w:rFonts w:hint="eastAsia" w:ascii="仿宋_GB2312" w:hAnsi="仿宋_GB2312" w:eastAsia="仿宋_GB2312" w:cs="仿宋_GB2312"/>
          <w:kern w:val="0"/>
          <w:sz w:val="28"/>
          <w:szCs w:val="28"/>
          <w:lang w:val="en-US" w:eastAsia="zh-CN"/>
        </w:rPr>
        <w:t>范本</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笫五章 采购需求</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第六章 投标文件格式</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10.2 本章第11.1款规定的提交投标文件截止时间前对招标文件澄清或者修改内容，是招标文件的组成部分。</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10.3 投标人应仔细阅读招标文件的全部内容，按照招标文件要求编制投标文件。任何对招标文件的忽略或误解不能作为投标文件存在缺陷或瑕疵的理由，如果没有按照招标文件要求提交全部资料或者投标文件没有对招标文件做出实质性响应，其投标文件可能被拒绝，其风险由投标人承担。</w:t>
      </w:r>
    </w:p>
    <w:p>
      <w:pPr>
        <w:adjustRightInd w:val="0"/>
        <w:snapToGrid w:val="0"/>
        <w:spacing w:line="360" w:lineRule="auto"/>
        <w:ind w:firstLine="562"/>
        <w:rPr>
          <w:rFonts w:hint="eastAsia"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11. 提交投标文件的截止时间</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11.1 </w:t>
      </w:r>
      <w:r>
        <w:rPr>
          <w:rFonts w:hint="eastAsia" w:ascii="仿宋_GB2312" w:hAnsi="仿宋_GB2312" w:eastAsia="仿宋_GB2312" w:cs="仿宋_GB2312"/>
          <w:sz w:val="28"/>
          <w:szCs w:val="28"/>
        </w:rPr>
        <w:t>投标人</w:t>
      </w:r>
      <w:r>
        <w:rPr>
          <w:rFonts w:hint="eastAsia" w:ascii="仿宋_GB2312" w:hAnsi="仿宋_GB2312" w:eastAsia="仿宋_GB2312" w:cs="仿宋_GB2312"/>
          <w:kern w:val="0"/>
          <w:sz w:val="28"/>
          <w:szCs w:val="28"/>
        </w:rPr>
        <w:t>提交投标文件的截止时间见投标须知前附表。</w:t>
      </w:r>
    </w:p>
    <w:p>
      <w:pPr>
        <w:adjustRightInd w:val="0"/>
        <w:snapToGrid w:val="0"/>
        <w:spacing w:line="360" w:lineRule="auto"/>
        <w:ind w:firstLine="562"/>
        <w:rPr>
          <w:rFonts w:hint="eastAsia"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12. 招标文件的澄清或者修改</w:t>
      </w:r>
    </w:p>
    <w:p>
      <w:pPr>
        <w:adjustRightInd w:val="0"/>
        <w:snapToGrid w:val="0"/>
        <w:spacing w:line="360" w:lineRule="auto"/>
        <w:ind w:firstLine="48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12.1 采购人或者采购代理机构对己发出的招标文件进行必要澄清或者修改的，澄清或者修改的内容可能影响投标文件编制的，采购人或者采购代理机构应当在投标截止时间至少15日前，以书面形式通知所有获取招标文件的潜在</w:t>
      </w:r>
      <w:r>
        <w:rPr>
          <w:rFonts w:hint="eastAsia" w:ascii="仿宋_GB2312" w:hAnsi="仿宋_GB2312" w:eastAsia="仿宋_GB2312" w:cs="仿宋_GB2312"/>
          <w:sz w:val="28"/>
          <w:szCs w:val="28"/>
        </w:rPr>
        <w:t>投标人</w:t>
      </w:r>
      <w:r>
        <w:rPr>
          <w:rFonts w:hint="eastAsia" w:ascii="仿宋_GB2312" w:hAnsi="仿宋_GB2312" w:eastAsia="仿宋_GB2312" w:cs="仿宋_GB2312"/>
          <w:kern w:val="0"/>
          <w:sz w:val="28"/>
          <w:szCs w:val="28"/>
        </w:rPr>
        <w:t>，并在财政部门指定的政府采购信息发布媒体上发布更正公告。该澄清或者修改的内容为招标文件的组成部分。</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12.2 如果澄清或者修改发出的时间距规定的投标截止时间不足15日且可能影响投标人编制投标文件，采购人将相应顺延投标截止时间。</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12.3 投标人认为招标文件存在歧视性条款或其它异议，应在收到招标文件之日或者招标文件公告期限届满之日起7个工作日内以书面形式向采购人或者采购代理机构提出。</w:t>
      </w:r>
    </w:p>
    <w:p>
      <w:pPr>
        <w:pStyle w:val="40"/>
        <w:jc w:val="both"/>
        <w:outlineLvl w:val="1"/>
        <w:rPr>
          <w:rFonts w:hint="eastAsia" w:ascii="宋体" w:hAnsi="宋体" w:eastAsia="宋体" w:cs="宋体"/>
          <w:b/>
          <w:bCs/>
          <w:color w:val="auto"/>
          <w:sz w:val="32"/>
          <w:szCs w:val="32"/>
        </w:rPr>
      </w:pPr>
      <w:r>
        <w:rPr>
          <w:rFonts w:hint="eastAsia" w:ascii="宋体" w:hAnsi="宋体" w:eastAsia="宋体" w:cs="宋体"/>
          <w:b/>
          <w:bCs/>
          <w:color w:val="auto"/>
          <w:sz w:val="32"/>
          <w:szCs w:val="32"/>
        </w:rPr>
        <w:br w:type="page"/>
      </w:r>
      <w:bookmarkStart w:id="26" w:name="_Toc18385_WPSOffice_Level2"/>
      <w:r>
        <w:rPr>
          <w:rFonts w:hint="eastAsia" w:ascii="宋体" w:hAnsi="宋体" w:eastAsia="宋体" w:cs="宋体"/>
          <w:b/>
          <w:bCs/>
          <w:color w:val="auto"/>
          <w:sz w:val="32"/>
          <w:szCs w:val="32"/>
        </w:rPr>
        <w:t>三</w:t>
      </w:r>
      <w:r>
        <w:rPr>
          <w:rFonts w:hint="eastAsia" w:ascii="仿宋_GB2312" w:hAnsi="仿宋_GB2312" w:eastAsia="仿宋_GB2312" w:cs="仿宋_GB2312"/>
          <w:b/>
          <w:kern w:val="0"/>
          <w:sz w:val="28"/>
          <w:szCs w:val="28"/>
        </w:rPr>
        <w:t xml:space="preserve">. </w:t>
      </w:r>
      <w:r>
        <w:rPr>
          <w:rFonts w:hint="eastAsia" w:ascii="宋体" w:hAnsi="宋体" w:eastAsia="宋体" w:cs="宋体"/>
          <w:b/>
          <w:bCs/>
          <w:color w:val="auto"/>
          <w:sz w:val="32"/>
          <w:szCs w:val="32"/>
        </w:rPr>
        <w:t>投标文件</w:t>
      </w:r>
      <w:bookmarkEnd w:id="26"/>
    </w:p>
    <w:p>
      <w:pPr>
        <w:adjustRightInd w:val="0"/>
        <w:snapToGrid w:val="0"/>
        <w:spacing w:line="360" w:lineRule="auto"/>
        <w:ind w:firstLine="562"/>
        <w:rPr>
          <w:rFonts w:hint="eastAsia"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13. 一般要求</w:t>
      </w:r>
    </w:p>
    <w:p>
      <w:pPr>
        <w:adjustRightInd w:val="0"/>
        <w:snapToGrid w:val="0"/>
        <w:spacing w:line="360" w:lineRule="auto"/>
        <w:ind w:firstLine="480"/>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13.1 投标人应仔细阅读招标文件的所有内容，</w:t>
      </w:r>
      <w:r>
        <w:rPr>
          <w:rFonts w:hint="eastAsia" w:ascii="仿宋_GB2312" w:hAnsi="仿宋_GB2312" w:eastAsia="仿宋_GB2312" w:cs="仿宋_GB2312"/>
          <w:sz w:val="28"/>
          <w:szCs w:val="28"/>
        </w:rPr>
        <w:t>在充分理解招标文件提出的各项条款和要求后，制作投标文件。</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sz w:val="28"/>
          <w:szCs w:val="28"/>
        </w:rPr>
        <w:t>13.2 投标人制作的投标文件应当对招标文件作出实质性响应，且</w:t>
      </w:r>
      <w:r>
        <w:rPr>
          <w:rFonts w:hint="eastAsia" w:ascii="仿宋_GB2312" w:hAnsi="仿宋_GB2312" w:eastAsia="仿宋_GB2312" w:cs="仿宋_GB2312"/>
          <w:kern w:val="0"/>
          <w:sz w:val="28"/>
          <w:szCs w:val="28"/>
        </w:rPr>
        <w:t>投标人应保证所提供的全部资料的真实性。</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13.3 </w:t>
      </w:r>
      <w:r>
        <w:rPr>
          <w:rFonts w:hint="eastAsia" w:ascii="仿宋_GB2312" w:hAnsi="仿宋_GB2312" w:eastAsia="仿宋_GB2312" w:cs="仿宋_GB2312"/>
          <w:sz w:val="28"/>
          <w:szCs w:val="28"/>
        </w:rPr>
        <w:t>投标人对招标文件所要求的任何条款有偏离的，均应按本招标文件所附的技术或商务偏离表格式逐一填报，如未在偏离表中填报，则采购人/采购代理机构有充分理由认为投标人已响应或满足招标文件的部分或全部条款。</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13.2 投标语言</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13.2.1 投标人提交的投标文件及投标人与采购人或采购代理机构就有关招标活动的所有来往函电均应使用中文。</w:t>
      </w:r>
      <w:r>
        <w:rPr>
          <w:rFonts w:hint="eastAsia" w:ascii="仿宋_GB2312" w:hAnsi="仿宋_GB2312" w:eastAsia="仿宋_GB2312" w:cs="仿宋_GB2312"/>
          <w:sz w:val="28"/>
          <w:szCs w:val="28"/>
        </w:rPr>
        <w:t>如果投标人提供的文件资料以其它语言书写，投标人应将其译成中文作为投标的语言，如有差异，以中文为准。</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13.3 计量单位</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13.3.1 投标文件应使用我国法定计量单位，未注明计量单位的默认为我国法定计量单位。</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13.4 投标文件应采用书面形式，传真、电子邮件形式的投标文件概不接受。</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13.5 </w:t>
      </w:r>
      <w:r>
        <w:rPr>
          <w:rFonts w:hint="eastAsia" w:ascii="仿宋_GB2312" w:hAnsi="仿宋_GB2312" w:eastAsia="仿宋_GB2312" w:cs="仿宋_GB2312"/>
          <w:sz w:val="28"/>
          <w:szCs w:val="28"/>
        </w:rPr>
        <w:t>投标人</w:t>
      </w:r>
      <w:r>
        <w:rPr>
          <w:rFonts w:hint="eastAsia" w:ascii="仿宋_GB2312" w:hAnsi="仿宋_GB2312" w:eastAsia="仿宋_GB2312" w:cs="仿宋_GB2312"/>
          <w:kern w:val="0"/>
          <w:sz w:val="28"/>
          <w:szCs w:val="28"/>
        </w:rPr>
        <w:t>应按招标文件中提供的投标文件格式填写。</w:t>
      </w:r>
      <w:r>
        <w:rPr>
          <w:rFonts w:hint="eastAsia" w:ascii="仿宋_GB2312" w:hAnsi="仿宋_GB2312" w:eastAsia="仿宋_GB2312" w:cs="仿宋_GB2312"/>
          <w:sz w:val="28"/>
          <w:szCs w:val="28"/>
        </w:rPr>
        <w:t>本招标文件提供了一部分用于编制投标文件时的必要格式，投标人应按所提供的格式填报，格式可扩展。对于招标文件中未提供格式的投标内容，由投标人自行编制。</w:t>
      </w:r>
    </w:p>
    <w:p>
      <w:pPr>
        <w:adjustRightInd w:val="0"/>
        <w:snapToGrid w:val="0"/>
        <w:spacing w:line="360" w:lineRule="auto"/>
        <w:ind w:firstLine="562"/>
        <w:rPr>
          <w:rFonts w:hint="eastAsia"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14. 投标文件的组成</w:t>
      </w:r>
      <w:r>
        <w:rPr>
          <w:rFonts w:hint="eastAsia" w:ascii="仿宋_GB2312" w:hAnsi="仿宋_GB2312" w:eastAsia="仿宋_GB2312" w:cs="仿宋_GB2312"/>
          <w:b/>
          <w:kern w:val="0"/>
          <w:sz w:val="28"/>
          <w:szCs w:val="28"/>
          <w:lang w:val="en-US" w:eastAsia="zh-CN"/>
        </w:rPr>
        <w:t>及编制</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14.1 投标文件包括下列内容，</w:t>
      </w:r>
      <w:r>
        <w:rPr>
          <w:rFonts w:hint="eastAsia" w:ascii="仿宋_GB2312" w:hAnsi="仿宋_GB2312" w:eastAsia="仿宋_GB2312" w:cs="仿宋_GB2312"/>
          <w:sz w:val="28"/>
          <w:szCs w:val="28"/>
        </w:rPr>
        <w:t>投标人应按照下列顺序编制投标文件（若未按顺序编写，由此可能产生的不利后果由投标人自行承担）</w:t>
      </w:r>
      <w:r>
        <w:rPr>
          <w:rFonts w:hint="eastAsia" w:ascii="仿宋_GB2312" w:hAnsi="仿宋_GB2312" w:eastAsia="仿宋_GB2312" w:cs="仿宋_GB2312"/>
          <w:kern w:val="0"/>
          <w:sz w:val="28"/>
          <w:szCs w:val="28"/>
        </w:rPr>
        <w:t>：</w:t>
      </w:r>
    </w:p>
    <w:p>
      <w:pPr>
        <w:spacing w:line="440" w:lineRule="exact"/>
        <w:ind w:firstLine="480"/>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14.1.1 </w:t>
      </w:r>
      <w:r>
        <w:rPr>
          <w:rFonts w:hint="eastAsia" w:ascii="仿宋_GB2312" w:hAnsi="仿宋_GB2312" w:eastAsia="仿宋_GB2312" w:cs="仿宋_GB2312"/>
          <w:sz w:val="28"/>
          <w:szCs w:val="28"/>
        </w:rPr>
        <w:t>投标函；</w:t>
      </w:r>
    </w:p>
    <w:p>
      <w:pPr>
        <w:spacing w:line="440" w:lineRule="exact"/>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14.1.2</w:t>
      </w:r>
      <w:r>
        <w:rPr>
          <w:rFonts w:hint="eastAsia" w:ascii="仿宋_GB2312" w:hAnsi="仿宋_GB2312" w:eastAsia="仿宋_GB2312" w:cs="仿宋_GB2312"/>
          <w:sz w:val="28"/>
          <w:szCs w:val="28"/>
        </w:rPr>
        <w:t>法定代表人身份证明或法定代表人授权委托书；</w:t>
      </w:r>
    </w:p>
    <w:p>
      <w:pPr>
        <w:spacing w:line="440" w:lineRule="exact"/>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14.1.3</w:t>
      </w:r>
      <w:r>
        <w:rPr>
          <w:rFonts w:hint="eastAsia" w:ascii="仿宋_GB2312" w:hAnsi="仿宋_GB2312" w:eastAsia="仿宋_GB2312" w:cs="仿宋_GB2312"/>
          <w:sz w:val="28"/>
          <w:szCs w:val="28"/>
        </w:rPr>
        <w:t>开标一览表；</w:t>
      </w:r>
    </w:p>
    <w:p>
      <w:pPr>
        <w:spacing w:line="440" w:lineRule="exact"/>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14.1.4</w:t>
      </w:r>
      <w:r>
        <w:rPr>
          <w:rFonts w:hint="eastAsia" w:ascii="仿宋_GB2312" w:hAnsi="仿宋_GB2312" w:eastAsia="仿宋_GB2312" w:cs="仿宋_GB2312"/>
          <w:sz w:val="28"/>
          <w:szCs w:val="28"/>
          <w:lang w:eastAsia="zh-CN"/>
        </w:rPr>
        <w:t>招标</w:t>
      </w:r>
      <w:r>
        <w:rPr>
          <w:rFonts w:hint="eastAsia" w:ascii="仿宋_GB2312" w:hAnsi="仿宋_GB2312" w:eastAsia="仿宋_GB2312" w:cs="仿宋_GB2312"/>
          <w:sz w:val="28"/>
          <w:szCs w:val="28"/>
        </w:rPr>
        <w:t>保证金提交证明；</w:t>
      </w:r>
    </w:p>
    <w:p>
      <w:pPr>
        <w:spacing w:line="440" w:lineRule="exact"/>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14.1.5</w:t>
      </w:r>
      <w:r>
        <w:rPr>
          <w:rFonts w:hint="eastAsia" w:ascii="仿宋_GB2312" w:hAnsi="仿宋_GB2312" w:eastAsia="仿宋_GB2312" w:cs="仿宋_GB2312"/>
          <w:sz w:val="28"/>
          <w:szCs w:val="28"/>
        </w:rPr>
        <w:t>投标供应商资格证明文件，包括：</w:t>
      </w:r>
    </w:p>
    <w:p>
      <w:pPr>
        <w:spacing w:line="440" w:lineRule="exact"/>
        <w:ind w:firstLine="840" w:firstLineChars="3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① 关于资格的声明函；</w:t>
      </w:r>
    </w:p>
    <w:p>
      <w:pPr>
        <w:spacing w:line="440" w:lineRule="exact"/>
        <w:ind w:firstLine="840" w:firstLineChars="3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② 投标人基本情况表；</w:t>
      </w:r>
    </w:p>
    <w:p>
      <w:pPr>
        <w:spacing w:line="440" w:lineRule="exact"/>
        <w:ind w:firstLine="840" w:firstLineChars="3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③ 信用查询记录；</w:t>
      </w:r>
    </w:p>
    <w:p>
      <w:pPr>
        <w:spacing w:line="440" w:lineRule="exact"/>
        <w:ind w:firstLine="840" w:firstLineChars="3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④ 近三年内已完成的类似项目业绩；</w:t>
      </w:r>
    </w:p>
    <w:p>
      <w:pPr>
        <w:spacing w:line="440" w:lineRule="exact"/>
        <w:ind w:firstLine="543" w:firstLineChars="194"/>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14.1.6</w:t>
      </w:r>
      <w:r>
        <w:rPr>
          <w:rFonts w:hint="eastAsia" w:ascii="仿宋_GB2312" w:hAnsi="仿宋_GB2312" w:eastAsia="仿宋_GB2312" w:cs="仿宋_GB2312"/>
          <w:bCs/>
          <w:sz w:val="28"/>
          <w:szCs w:val="28"/>
        </w:rPr>
        <w:t xml:space="preserve"> 项目整体服务方案；</w:t>
      </w:r>
    </w:p>
    <w:p>
      <w:pPr>
        <w:spacing w:line="440" w:lineRule="exact"/>
        <w:ind w:firstLine="543" w:firstLineChars="194"/>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14.1.7</w:t>
      </w:r>
      <w:r>
        <w:rPr>
          <w:rFonts w:hint="eastAsia" w:ascii="仿宋_GB2312" w:hAnsi="仿宋_GB2312" w:eastAsia="仿宋_GB2312" w:cs="仿宋_GB2312"/>
          <w:bCs/>
          <w:sz w:val="28"/>
          <w:szCs w:val="28"/>
        </w:rPr>
        <w:t>项目负责人简历表及拟投入本项目主要成员表；</w:t>
      </w:r>
    </w:p>
    <w:p>
      <w:pPr>
        <w:spacing w:line="440" w:lineRule="exact"/>
        <w:ind w:firstLine="543" w:firstLineChars="194"/>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14.1.8</w:t>
      </w:r>
      <w:r>
        <w:rPr>
          <w:rFonts w:hint="eastAsia" w:ascii="仿宋_GB2312" w:hAnsi="仿宋_GB2312" w:eastAsia="仿宋_GB2312" w:cs="仿宋_GB2312"/>
          <w:bCs/>
          <w:sz w:val="28"/>
          <w:szCs w:val="28"/>
        </w:rPr>
        <w:t xml:space="preserve"> 服务承诺书；</w:t>
      </w:r>
    </w:p>
    <w:p>
      <w:pPr>
        <w:spacing w:line="440" w:lineRule="exact"/>
        <w:ind w:firstLine="48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14.1.9</w:t>
      </w:r>
      <w:r>
        <w:rPr>
          <w:rFonts w:hint="eastAsia" w:ascii="仿宋_GB2312" w:hAnsi="仿宋_GB2312" w:eastAsia="仿宋_GB2312" w:cs="仿宋_GB2312"/>
          <w:bCs/>
          <w:sz w:val="28"/>
          <w:szCs w:val="28"/>
        </w:rPr>
        <w:t>偏离表；</w:t>
      </w:r>
    </w:p>
    <w:p>
      <w:pPr>
        <w:spacing w:line="440" w:lineRule="exact"/>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14.1.10</w:t>
      </w:r>
      <w:r>
        <w:rPr>
          <w:rFonts w:hint="eastAsia" w:ascii="仿宋_GB2312" w:hAnsi="仿宋_GB2312" w:eastAsia="仿宋_GB2312" w:cs="仿宋_GB2312"/>
          <w:sz w:val="28"/>
          <w:szCs w:val="28"/>
        </w:rPr>
        <w:t xml:space="preserve"> 其他有利资料；</w:t>
      </w:r>
    </w:p>
    <w:p>
      <w:pPr>
        <w:spacing w:line="440" w:lineRule="exact"/>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14.1.11</w:t>
      </w:r>
      <w:r>
        <w:rPr>
          <w:rFonts w:hint="eastAsia" w:ascii="仿宋_GB2312" w:hAnsi="仿宋_GB2312" w:eastAsia="仿宋_GB2312" w:cs="仿宋_GB2312"/>
          <w:sz w:val="28"/>
          <w:szCs w:val="28"/>
        </w:rPr>
        <w:t xml:space="preserve"> 投标单位反商业贿赂承诺书。</w:t>
      </w:r>
    </w:p>
    <w:p>
      <w:pPr>
        <w:spacing w:line="440" w:lineRule="exact"/>
        <w:ind w:left="0" w:leftChars="0" w:firstLine="560" w:firstLineChars="200"/>
        <w:rPr>
          <w:rFonts w:hint="eastAsia" w:ascii="仿宋_GB2312" w:hAnsi="仿宋_GB2312" w:eastAsia="仿宋_GB2312" w:cs="仿宋_GB2312"/>
          <w:b w:val="0"/>
          <w:bCs w:val="0"/>
          <w:sz w:val="28"/>
          <w:szCs w:val="28"/>
        </w:rPr>
      </w:pPr>
      <w:r>
        <w:rPr>
          <w:rFonts w:hint="eastAsia" w:ascii="仿宋_GB2312" w:hAnsi="仿宋_GB2312" w:eastAsia="仿宋_GB2312" w:cs="仿宋_GB2312"/>
          <w:sz w:val="28"/>
          <w:szCs w:val="28"/>
          <w:lang w:val="en-US" w:eastAsia="zh-CN"/>
        </w:rPr>
        <w:t>14.1.12</w:t>
      </w:r>
      <w:r>
        <w:rPr>
          <w:rFonts w:hint="eastAsia" w:ascii="仿宋_GB2312" w:hAnsi="仿宋_GB2312" w:eastAsia="仿宋_GB2312" w:cs="仿宋_GB2312"/>
          <w:b w:val="0"/>
          <w:bCs w:val="0"/>
          <w:sz w:val="28"/>
          <w:szCs w:val="28"/>
          <w:lang w:val="en-US" w:eastAsia="zh-CN"/>
        </w:rPr>
        <w:t>中</w:t>
      </w:r>
      <w:r>
        <w:rPr>
          <w:rFonts w:hint="eastAsia" w:ascii="仿宋_GB2312" w:hAnsi="仿宋_GB2312" w:eastAsia="仿宋_GB2312" w:cs="仿宋_GB2312"/>
          <w:b w:val="0"/>
          <w:bCs w:val="0"/>
          <w:sz w:val="28"/>
          <w:szCs w:val="28"/>
        </w:rPr>
        <w:t>小微企业声明函</w:t>
      </w:r>
    </w:p>
    <w:p>
      <w:pPr>
        <w:spacing w:line="440" w:lineRule="exact"/>
        <w:ind w:left="0" w:leftChars="0"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14.1.13</w:t>
      </w:r>
      <w:r>
        <w:rPr>
          <w:rFonts w:hint="eastAsia" w:ascii="仿宋_GB2312" w:hAnsi="仿宋_GB2312" w:eastAsia="仿宋_GB2312" w:cs="仿宋_GB2312"/>
          <w:b w:val="0"/>
          <w:bCs/>
          <w:spacing w:val="6"/>
          <w:sz w:val="28"/>
          <w:szCs w:val="28"/>
        </w:rPr>
        <w:t>残疾人福利性单位声明函</w:t>
      </w:r>
    </w:p>
    <w:p>
      <w:pPr>
        <w:spacing w:line="440" w:lineRule="exact"/>
        <w:ind w:firstLine="48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14.1.14</w:t>
      </w:r>
      <w:r>
        <w:rPr>
          <w:rFonts w:hint="eastAsia" w:ascii="仿宋_GB2312" w:hAnsi="仿宋_GB2312" w:eastAsia="仿宋_GB2312" w:cs="仿宋_GB2312"/>
          <w:b w:val="0"/>
          <w:bCs w:val="0"/>
          <w:kern w:val="0"/>
          <w:sz w:val="28"/>
          <w:szCs w:val="28"/>
        </w:rPr>
        <w:t>节能、环境标志产品加分明细表</w:t>
      </w:r>
    </w:p>
    <w:p>
      <w:pPr>
        <w:adjustRightInd w:val="0"/>
        <w:snapToGrid w:val="0"/>
        <w:spacing w:line="360" w:lineRule="auto"/>
        <w:ind w:firstLine="480"/>
        <w:rPr>
          <w:rFonts w:hint="eastAsia" w:ascii="仿宋_GB2312" w:hAnsi="仿宋_GB2312" w:eastAsia="仿宋_GB2312" w:cs="仿宋_GB2312"/>
          <w:b/>
          <w:sz w:val="28"/>
          <w:szCs w:val="28"/>
        </w:rPr>
      </w:pPr>
      <w:r>
        <w:rPr>
          <w:rFonts w:hint="eastAsia" w:ascii="仿宋_GB2312" w:hAnsi="仿宋_GB2312" w:eastAsia="仿宋_GB2312" w:cs="仿宋_GB2312"/>
          <w:kern w:val="0"/>
          <w:sz w:val="28"/>
          <w:szCs w:val="28"/>
        </w:rPr>
        <w:t>14.2 ▲</w:t>
      </w:r>
      <w:r>
        <w:rPr>
          <w:rFonts w:hint="eastAsia" w:ascii="仿宋_GB2312" w:hAnsi="仿宋_GB2312" w:eastAsia="仿宋_GB2312" w:cs="仿宋_GB2312"/>
          <w:b/>
          <w:sz w:val="28"/>
          <w:szCs w:val="28"/>
        </w:rPr>
        <w:t>上述所列内容，投标文件正、副本中均应包含。正本中，投标人自行编制的内容应为原件，各种资格证书、证件均须为加盖投标人公章的复印件；副本应当是正本的复印件或影印件，且内容应一致。如果正本与副本不符，以正本为准，如因投标文件正、副本内容不一致对投标人产生不利影响，由投标人自行负责。</w:t>
      </w:r>
    </w:p>
    <w:p>
      <w:pPr>
        <w:adjustRightInd w:val="0"/>
        <w:snapToGrid w:val="0"/>
        <w:spacing w:line="360" w:lineRule="auto"/>
        <w:ind w:firstLine="480"/>
        <w:rPr>
          <w:rFonts w:hint="eastAsia" w:ascii="仿宋_GB2312" w:hAnsi="仿宋_GB2312" w:eastAsia="仿宋_GB2312" w:cs="仿宋_GB2312"/>
          <w:b/>
          <w:sz w:val="28"/>
          <w:szCs w:val="28"/>
        </w:rPr>
      </w:pPr>
      <w:r>
        <w:rPr>
          <w:rFonts w:hint="eastAsia" w:ascii="仿宋_GB2312" w:hAnsi="仿宋_GB2312" w:eastAsia="仿宋_GB2312" w:cs="仿宋_GB2312"/>
          <w:sz w:val="28"/>
          <w:szCs w:val="28"/>
        </w:rPr>
        <w:t>14.3 上述14.1款所列内容▲</w:t>
      </w:r>
      <w:r>
        <w:rPr>
          <w:rFonts w:hint="eastAsia" w:ascii="仿宋_GB2312" w:hAnsi="仿宋_GB2312" w:eastAsia="仿宋_GB2312" w:cs="仿宋_GB2312"/>
          <w:b/>
          <w:sz w:val="28"/>
          <w:szCs w:val="28"/>
        </w:rPr>
        <w:t>应当统一装订成一册，按投标人所投标包/标段独立装订成册。如果投标人同时参加2个或以上标包/标段投标，则投标文件必须按标包/标段分别独立制作，不得混作。</w:t>
      </w:r>
    </w:p>
    <w:p>
      <w:pPr>
        <w:adjustRightInd w:val="0"/>
        <w:snapToGrid w:val="0"/>
        <w:spacing w:line="360" w:lineRule="auto"/>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14.4 ▲</w:t>
      </w:r>
      <w:r>
        <w:rPr>
          <w:rFonts w:hint="eastAsia" w:ascii="仿宋_GB2312" w:hAnsi="仿宋_GB2312" w:eastAsia="仿宋_GB2312" w:cs="仿宋_GB2312"/>
          <w:b/>
          <w:sz w:val="28"/>
          <w:szCs w:val="28"/>
        </w:rPr>
        <w:t>投标文件不得采用活页装订</w:t>
      </w:r>
      <w:r>
        <w:rPr>
          <w:rFonts w:hint="eastAsia" w:ascii="仿宋_GB2312" w:hAnsi="仿宋_GB2312" w:eastAsia="仿宋_GB2312" w:cs="仿宋_GB2312"/>
          <w:sz w:val="28"/>
          <w:szCs w:val="28"/>
        </w:rPr>
        <w:t>（推荐使用胶装），并在首页编制“投标文件目录”并标注准确的页码索引。投标文件封面应标明采购项目名称、采购内容、招标编号、所投“标包/标段号”、“标包/标段内容”、采购人名称、投标人名称等内容。</w:t>
      </w:r>
    </w:p>
    <w:p>
      <w:pPr>
        <w:adjustRightInd w:val="0"/>
        <w:snapToGrid w:val="0"/>
        <w:spacing w:line="360" w:lineRule="auto"/>
        <w:ind w:firstLine="480"/>
        <w:rPr>
          <w:rFonts w:hint="eastAsia" w:ascii="仿宋_GB2312" w:hAnsi="仿宋_GB2312" w:eastAsia="仿宋_GB2312" w:cs="仿宋_GB2312"/>
          <w:kern w:val="0"/>
          <w:sz w:val="28"/>
          <w:szCs w:val="28"/>
          <w:highlight w:val="magenta"/>
        </w:rPr>
      </w:pPr>
      <w:r>
        <w:rPr>
          <w:rFonts w:hint="eastAsia" w:ascii="仿宋_GB2312" w:hAnsi="仿宋_GB2312" w:eastAsia="仿宋_GB2312" w:cs="仿宋_GB2312"/>
          <w:sz w:val="28"/>
          <w:szCs w:val="28"/>
        </w:rPr>
        <w:t>14.5 投标人应按《投标人须知前附表》要求的份数提供投标文件。在每本投标文件的封面右上角标明“正本”或“副本”。</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14.6 根据《中华人民共和国政府采购法》第四十二条的规定，投标人无论中标与否，其投标文件均不予退还。</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14.7 投标人根据招标文件的规定和采购项目的实际情况，拟在中标后将中标项目的非主体、非关键性工作分包的，应当在投标文件中载明分包承担主体，分包承担主体应当具备相应资质条件且不得再次分包，该部分应与“投标人的资格证明材料”编制在同一章节，列表说明拟分包项目的具体内容、分包承担主体及其资质条件，并附入分包承担主体的法人营业执照副本、资质证书及其它资质证明文件。</w:t>
      </w:r>
    </w:p>
    <w:p>
      <w:pPr>
        <w:adjustRightInd w:val="0"/>
        <w:snapToGrid w:val="0"/>
        <w:spacing w:line="360" w:lineRule="auto"/>
        <w:ind w:firstLine="562"/>
        <w:rPr>
          <w:rFonts w:hint="eastAsia"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15. 投标报价</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15.1 投标货币</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以人民币报价，以元为单位，保留小数点后两位。</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15.2 投标报价是履行合同的最终价格，应包括为完成本项目招标范围内所有货物（含配套件、备品备件、专用工具）及其供货、运输、安装调试、检验、培训、保险、税金及技术服务等全部费用。</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15.3 投标报价应按填报准确、齐全，</w:t>
      </w:r>
      <w:r>
        <w:rPr>
          <w:rFonts w:hint="eastAsia" w:ascii="仿宋_GB2312" w:hAnsi="仿宋_GB2312" w:eastAsia="仿宋_GB2312" w:cs="仿宋_GB2312"/>
          <w:sz w:val="28"/>
          <w:szCs w:val="28"/>
        </w:rPr>
        <w:t>投标人免费提供的项目，应注明免费。</w:t>
      </w:r>
      <w:r>
        <w:rPr>
          <w:rFonts w:hint="eastAsia" w:ascii="仿宋_GB2312" w:hAnsi="仿宋_GB2312" w:eastAsia="仿宋_GB2312" w:cs="仿宋_GB2312"/>
          <w:kern w:val="0"/>
          <w:sz w:val="28"/>
          <w:szCs w:val="28"/>
        </w:rPr>
        <w:t>投标人漏报、少报的费用，视为已包含在其他报价中，中标后不予调整。▲</w:t>
      </w:r>
      <w:r>
        <w:rPr>
          <w:rFonts w:hint="eastAsia" w:ascii="仿宋_GB2312" w:hAnsi="仿宋_GB2312" w:eastAsia="仿宋_GB2312" w:cs="仿宋_GB2312"/>
          <w:b/>
          <w:kern w:val="0"/>
          <w:sz w:val="28"/>
          <w:szCs w:val="28"/>
        </w:rPr>
        <w:t>任何有选择性的投标报价将被认为未实质响应招标文件而被视为投标无效。</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15.3 投标人应按第六章“投标文件格式”所提供的报价表格式填写，所投货物须满足第五章“采购需求”要求。若投标人在本章第11.1款规定的提交投标文件截止时间前修改开标一览表中的报价，应同时修改其按第六章要求填写的相应报价表中的报价。此修改须符合本章第21.1款的有关要求。</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15.4 投标文件中标明的价格在合同执行过程中是固定不变的，投标人不得以任何理由予以变更。</w:t>
      </w:r>
    </w:p>
    <w:p>
      <w:pPr>
        <w:adjustRightInd w:val="0"/>
        <w:snapToGrid w:val="0"/>
        <w:spacing w:line="360" w:lineRule="auto"/>
        <w:ind w:firstLine="480"/>
        <w:rPr>
          <w:rFonts w:hint="eastAsia" w:ascii="仿宋_GB2312" w:hAnsi="仿宋_GB2312" w:eastAsia="仿宋_GB2312" w:cs="仿宋_GB2312"/>
          <w:b/>
          <w:kern w:val="0"/>
          <w:sz w:val="28"/>
          <w:szCs w:val="28"/>
        </w:rPr>
      </w:pPr>
      <w:r>
        <w:rPr>
          <w:rFonts w:hint="eastAsia" w:ascii="仿宋_GB2312" w:hAnsi="仿宋_GB2312" w:eastAsia="仿宋_GB2312" w:cs="仿宋_GB2312"/>
          <w:kern w:val="0"/>
          <w:sz w:val="28"/>
          <w:szCs w:val="28"/>
        </w:rPr>
        <w:t>15.5 本采购项目预算详见投标须知前附表，▲</w:t>
      </w:r>
      <w:r>
        <w:rPr>
          <w:rFonts w:hint="eastAsia" w:ascii="仿宋_GB2312" w:hAnsi="仿宋_GB2312" w:eastAsia="仿宋_GB2312" w:cs="仿宋_GB2312"/>
          <w:b/>
          <w:kern w:val="0"/>
          <w:sz w:val="28"/>
          <w:szCs w:val="28"/>
        </w:rPr>
        <w:t>投标人的报价不得超过采购项目预算，否则投标无效。</w:t>
      </w:r>
    </w:p>
    <w:p>
      <w:pPr>
        <w:adjustRightInd w:val="0"/>
        <w:snapToGrid w:val="0"/>
        <w:spacing w:line="360" w:lineRule="auto"/>
        <w:ind w:firstLine="562"/>
        <w:rPr>
          <w:rFonts w:hint="eastAsia"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16. 投标人符合招标文件规定的证明文件</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16.1 投标人应提供资格证明材料，以证实其各项条件能满足本章第3.1款规定的投标人资格条件要求。</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16.2 投标人为联合体形式的，则应提交联合体各方资格文件、联合体协议，否则将视为非实质投标而被拒绝。</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16.3 投标人在货物说明中应当说明货物的品牌型号、规格参数、制造商及原产地等，交货时应出具原产地证明及出厂合格证明。</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16.4 上述证明文件可以是文字资料、图纸和数据，并须提供：</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16.4.1 货物主要性能和参数的详细说明；</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16.4.2 对照招标文件技术规格，逐条说明所提供货物和服务对招标文件的技术规格条文的响应与偏离。对有具体参数要求的指标，投标人应提供具体参数值。</w:t>
      </w:r>
    </w:p>
    <w:p>
      <w:pPr>
        <w:adjustRightInd w:val="0"/>
        <w:snapToGrid w:val="0"/>
        <w:spacing w:line="360" w:lineRule="auto"/>
        <w:ind w:firstLine="562"/>
        <w:rPr>
          <w:rFonts w:hint="eastAsia"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17. 投标保证金</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17.1 ▲</w:t>
      </w:r>
      <w:r>
        <w:rPr>
          <w:rFonts w:hint="eastAsia" w:ascii="仿宋_GB2312" w:hAnsi="仿宋_GB2312" w:eastAsia="仿宋_GB2312" w:cs="仿宋_GB2312"/>
          <w:b/>
          <w:kern w:val="0"/>
          <w:sz w:val="28"/>
          <w:szCs w:val="28"/>
        </w:rPr>
        <w:t>投标须知前附表规定提交投标保证金的，供应商应按投标须知前附表规定的形式、金额，在本章第11.1款规定的提交投标文件截止时间前，提交投标保证金。投标保证金有效期应当与本章第18.1款规定的投标文件有效期一致。</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17.2 投标人为联合体的，可以由联合体中的主办方或者联合体各方共同提交投标保证金，其提交的投标保证金，对联合体各方均具有约束力。</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17.3 投标人在投标截止时间前撤回已递交的投标文件的，采购人或者采购代理机构应当自收到投标人书面撤回通知之日起５个工作日内，退还已收取的投标保证金，但因投标人自身原因导致无法及时退还的除外。</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采购人或者采购代理机构应当自中标通知书发出之日起5个工作日内退还未中标人的投标保证金，自采购合同签订之日起5个工作日内退还中标人的投标保证金或者转为中标人的履约保证金。</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17.4 ▲</w:t>
      </w:r>
      <w:r>
        <w:rPr>
          <w:rFonts w:hint="eastAsia" w:ascii="仿宋_GB2312" w:hAnsi="仿宋_GB2312" w:eastAsia="仿宋_GB2312" w:cs="仿宋_GB2312"/>
          <w:b/>
          <w:kern w:val="0"/>
          <w:sz w:val="28"/>
          <w:szCs w:val="28"/>
        </w:rPr>
        <w:t>有下列情形之一的，投标保证金不予退还：</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17.4.1 投标人在投标有效期内撤销投标文件的；</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17.4.2 中标后无正当理由不与采购人签订合同的;</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17.4.3 将中标项目转让给他人，或者在投标文件中未说明，且未经采购人同意，将中标项目转包或部分分包给他人的;</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17.4.4 中标人未按招标文件规定缴纳履约保证金的；</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17.4.5 拒绝履行合同义务的。</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17.4.6 投标人恶意串通，妨碍其他投标人的竞争行为，损害采购人或者其他投标人的合法权益的。</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17.4.7 投标人出现本章23.7款所述情形之一的，视为投标人串通投标，其投标无效。</w:t>
      </w:r>
    </w:p>
    <w:p>
      <w:pPr>
        <w:adjustRightInd w:val="0"/>
        <w:snapToGrid w:val="0"/>
        <w:spacing w:line="360" w:lineRule="auto"/>
        <w:ind w:firstLine="562"/>
        <w:rPr>
          <w:rFonts w:hint="eastAsia"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18. 投标有效期</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18.1 投标有效期见投标须知前附表，在此期间投标文件对投标人具有法律约束力，从本章第11.1款规定的提交投标文件截止时间之日起计算。▲</w:t>
      </w:r>
      <w:r>
        <w:rPr>
          <w:rFonts w:hint="eastAsia" w:ascii="仿宋_GB2312" w:hAnsi="仿宋_GB2312" w:eastAsia="仿宋_GB2312" w:cs="仿宋_GB2312"/>
          <w:b/>
          <w:kern w:val="0"/>
          <w:sz w:val="28"/>
          <w:szCs w:val="28"/>
        </w:rPr>
        <w:t>投标有效期不足的投标将被视为无效投标</w:t>
      </w:r>
      <w:r>
        <w:rPr>
          <w:rFonts w:hint="eastAsia" w:ascii="仿宋_GB2312" w:hAnsi="仿宋_GB2312" w:eastAsia="仿宋_GB2312" w:cs="仿宋_GB2312"/>
          <w:kern w:val="0"/>
          <w:sz w:val="28"/>
          <w:szCs w:val="28"/>
        </w:rPr>
        <w:t>。</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18.2 投标文件中承诺的投标有效期应当不少于招标文件中载明的投标有效期。投标有效期内投标人撤销投标文件的，采购人或者采购代理机构可以不退还投标保证金。</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18.3 若遇特殊情况，采购人/采购代理机构可要求投标人同意延长投标有效期。相应的要求应以书面、电传、传真形式送达投标人，投标人应在规定的时间内书面答复采购人/采购代理机构。如果投标人接受延期，投标保证金的有效期也应相应延长。投标人也可以拒绝延期要求而无须以其投标保证金为抵押。任何同意延期的投标人都不会被要求或被允许修改其投标文件。</w:t>
      </w:r>
    </w:p>
    <w:p>
      <w:pPr>
        <w:adjustRightInd w:val="0"/>
        <w:snapToGrid w:val="0"/>
        <w:spacing w:line="360" w:lineRule="auto"/>
        <w:ind w:firstLine="562"/>
        <w:rPr>
          <w:rFonts w:hint="eastAsia"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19. 投标文件的签署</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19.1 ▲</w:t>
      </w:r>
      <w:r>
        <w:rPr>
          <w:rFonts w:hint="eastAsia" w:ascii="仿宋_GB2312" w:hAnsi="仿宋_GB2312" w:eastAsia="仿宋_GB2312" w:cs="仿宋_GB2312"/>
          <w:b/>
          <w:kern w:val="0"/>
          <w:sz w:val="28"/>
          <w:szCs w:val="28"/>
        </w:rPr>
        <w:t>投标文件正本和副本应按招标文件要求签章处盖单位公章和由法定代表人或其授权代表签字；任何行间插字、涂改、增删处，均应由法定代表人或其授权代表在旁边签字并加盖单位公章。否则，将导致投标文件无效。</w:t>
      </w:r>
    </w:p>
    <w:p>
      <w:pPr>
        <w:adjustRightInd w:val="0"/>
        <w:snapToGrid w:val="0"/>
        <w:spacing w:line="360" w:lineRule="auto"/>
        <w:ind w:firstLine="480"/>
        <w:rPr>
          <w:rFonts w:hint="eastAsia" w:ascii="仿宋_GB2312" w:hAnsi="仿宋_GB2312" w:eastAsia="仿宋_GB2312" w:cs="仿宋_GB2312"/>
          <w:b/>
          <w:bCs/>
          <w:sz w:val="28"/>
          <w:szCs w:val="28"/>
        </w:rPr>
      </w:pPr>
      <w:r>
        <w:rPr>
          <w:rFonts w:hint="eastAsia" w:ascii="仿宋_GB2312" w:hAnsi="仿宋_GB2312" w:eastAsia="仿宋_GB2312" w:cs="仿宋_GB2312"/>
          <w:kern w:val="0"/>
          <w:sz w:val="28"/>
          <w:szCs w:val="28"/>
        </w:rPr>
        <w:t>19.2 ▲</w:t>
      </w:r>
      <w:r>
        <w:rPr>
          <w:rFonts w:hint="eastAsia" w:ascii="仿宋_GB2312" w:hAnsi="仿宋_GB2312" w:eastAsia="仿宋_GB2312" w:cs="仿宋_GB2312"/>
          <w:b/>
          <w:kern w:val="0"/>
          <w:sz w:val="28"/>
          <w:szCs w:val="28"/>
        </w:rPr>
        <w:t>投标文件正本和副本封面投标人落款处必须加盖投标人单位公章，需由法定代表人或其授权代表签字处均须由法定代表人或其授权代表签字。否则，将导致投标文件无效。</w:t>
      </w:r>
      <w:r>
        <w:rPr>
          <w:rFonts w:hint="eastAsia" w:ascii="仿宋_GB2312" w:hAnsi="仿宋_GB2312" w:eastAsia="仿宋_GB2312" w:cs="仿宋_GB2312"/>
          <w:b/>
          <w:kern w:val="0"/>
          <w:sz w:val="28"/>
          <w:szCs w:val="28"/>
          <w:lang w:eastAsia="zh-CN"/>
        </w:rPr>
        <w:t>（</w:t>
      </w:r>
      <w:r>
        <w:rPr>
          <w:rFonts w:hint="eastAsia" w:ascii="仿宋_GB2312" w:hAnsi="仿宋_GB2312" w:eastAsia="仿宋_GB2312" w:cs="仿宋_GB2312"/>
          <w:b/>
          <w:kern w:val="0"/>
          <w:sz w:val="28"/>
          <w:szCs w:val="28"/>
          <w:lang w:val="en-US" w:eastAsia="zh-CN"/>
        </w:rPr>
        <w:t>投标文件正本须逐页盖单位公章，副本可为正本的复印件）</w:t>
      </w:r>
    </w:p>
    <w:p>
      <w:pPr>
        <w:pStyle w:val="40"/>
        <w:jc w:val="both"/>
        <w:outlineLvl w:val="1"/>
        <w:rPr>
          <w:rFonts w:hint="eastAsia" w:ascii="宋体" w:hAnsi="宋体" w:eastAsia="宋体" w:cs="宋体"/>
          <w:b/>
          <w:bCs/>
          <w:color w:val="auto"/>
          <w:sz w:val="32"/>
          <w:szCs w:val="32"/>
        </w:rPr>
      </w:pPr>
      <w:bookmarkStart w:id="27" w:name="_Toc31974_WPSOffice_Level2"/>
      <w:r>
        <w:rPr>
          <w:rFonts w:hint="eastAsia" w:ascii="宋体" w:hAnsi="宋体" w:eastAsia="宋体" w:cs="宋体"/>
          <w:b/>
          <w:bCs/>
          <w:color w:val="auto"/>
          <w:sz w:val="32"/>
          <w:szCs w:val="32"/>
        </w:rPr>
        <w:t>四</w:t>
      </w:r>
      <w:r>
        <w:rPr>
          <w:rFonts w:hint="eastAsia" w:ascii="仿宋_GB2312" w:hAnsi="仿宋_GB2312" w:eastAsia="仿宋_GB2312" w:cs="仿宋_GB2312"/>
          <w:b/>
          <w:kern w:val="0"/>
          <w:sz w:val="28"/>
          <w:szCs w:val="28"/>
        </w:rPr>
        <w:t xml:space="preserve">. </w:t>
      </w:r>
      <w:r>
        <w:rPr>
          <w:rFonts w:hint="eastAsia" w:ascii="宋体" w:hAnsi="宋体" w:eastAsia="宋体" w:cs="宋体"/>
          <w:b/>
          <w:bCs/>
          <w:color w:val="auto"/>
          <w:sz w:val="32"/>
          <w:szCs w:val="32"/>
        </w:rPr>
        <w:t>投标文件的递交</w:t>
      </w:r>
      <w:bookmarkEnd w:id="27"/>
    </w:p>
    <w:p>
      <w:pPr>
        <w:adjustRightInd w:val="0"/>
        <w:snapToGrid w:val="0"/>
        <w:spacing w:line="360" w:lineRule="auto"/>
        <w:ind w:firstLine="562"/>
        <w:rPr>
          <w:rFonts w:hint="eastAsia"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20. 投标文件的密封和标记</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20.1 投标文件应密封包装，加贴封条，并在封套的封口处（封套两端折叠封口处）盖投标人单位章或密封章。</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20.2 投标文件封套上应写明的内容见投标须知前附表。</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20.3 投标文件如果未按上述规定密封、标记，采购人或采购代理机构将拒绝接收。</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20.4 《招标文件》中要求单独密封递交的文件，投标人必须按上述要求单独密封和递交。</w:t>
      </w:r>
    </w:p>
    <w:p>
      <w:pPr>
        <w:adjustRightInd w:val="0"/>
        <w:snapToGrid w:val="0"/>
        <w:spacing w:line="360" w:lineRule="auto"/>
        <w:ind w:firstLine="562"/>
        <w:rPr>
          <w:rFonts w:hint="eastAsia"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21. 投标文件的补充、修改和撤回</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21.1 投标人在投标截止时间前，可以对所提交的投标文件进行补充、修改或者撤回，并书面通知采购人或者采购代理机构，该通知应由投标人法定代表人或其授权代表签字并加盖投标人单位公章。补充、修改的内容应当按照招标文件要求签署、盖章、密封后，作为投标文件的组成部分。</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21.2 补充、修改的内容与投标文件不一致时，以补充、修改的内容为准。</w:t>
      </w:r>
    </w:p>
    <w:p>
      <w:pPr>
        <w:adjustRightInd w:val="0"/>
        <w:snapToGrid w:val="0"/>
        <w:spacing w:line="360" w:lineRule="auto"/>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21.3 除非采购人/采购代理机构要求，投标人在投标截止时间后不得修改和补充其投标文件。</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sz w:val="28"/>
          <w:szCs w:val="28"/>
        </w:rPr>
        <w:t>21.4 投标人不得在投标截止时间起至投标文件有效期满前撤回投标文件，否则其投标保证金将不予退还。</w:t>
      </w:r>
    </w:p>
    <w:p>
      <w:pPr>
        <w:adjustRightInd w:val="0"/>
        <w:snapToGrid w:val="0"/>
        <w:spacing w:line="360" w:lineRule="auto"/>
        <w:ind w:firstLine="562"/>
        <w:rPr>
          <w:rFonts w:hint="eastAsia"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22. 投标文件的递交</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22.1 投标人应在投标截止时间前，将投标文件送达投标须知前附表中指定的投标地点。在投标截止时间后送达的投标文件，采购人、采购代理机构应当拒收。</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22.2 如投标须知前附表中要求提供样品的，应按要求提供样品及相关资料，并在递交投标文件时一起提交。</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采购活动结束后，对于未中标人提供的样品，应当及时退还或者经未中标人同意后自行处理；对于中标人提供的样品，应当按照招标文件的规定进行保管、封存，并作为履约验收的参考。</w:t>
      </w:r>
    </w:p>
    <w:p>
      <w:pPr>
        <w:pStyle w:val="40"/>
        <w:jc w:val="both"/>
        <w:outlineLvl w:val="1"/>
        <w:rPr>
          <w:rFonts w:ascii="宋体" w:hAnsi="宋体" w:cs="仿宋"/>
          <w:b/>
          <w:bCs/>
          <w:color w:val="auto"/>
          <w:sz w:val="32"/>
          <w:szCs w:val="32"/>
        </w:rPr>
      </w:pPr>
      <w:bookmarkStart w:id="28" w:name="_Toc10815_WPSOffice_Level2"/>
      <w:r>
        <w:rPr>
          <w:rFonts w:hint="eastAsia" w:ascii="宋体" w:hAnsi="宋体" w:cs="仿宋"/>
          <w:b/>
          <w:bCs/>
          <w:color w:val="auto"/>
          <w:sz w:val="32"/>
          <w:szCs w:val="32"/>
        </w:rPr>
        <w:t>五</w:t>
      </w:r>
      <w:r>
        <w:rPr>
          <w:rFonts w:hint="eastAsia" w:ascii="仿宋_GB2312" w:hAnsi="仿宋_GB2312" w:eastAsia="仿宋_GB2312" w:cs="仿宋_GB2312"/>
          <w:b/>
          <w:kern w:val="0"/>
          <w:sz w:val="28"/>
          <w:szCs w:val="28"/>
        </w:rPr>
        <w:t xml:space="preserve">. </w:t>
      </w:r>
      <w:r>
        <w:rPr>
          <w:rFonts w:hint="eastAsia" w:ascii="宋体" w:hAnsi="宋体" w:cs="仿宋"/>
          <w:b/>
          <w:bCs/>
          <w:color w:val="auto"/>
          <w:sz w:val="32"/>
          <w:szCs w:val="32"/>
        </w:rPr>
        <w:t>开标和评标</w:t>
      </w:r>
      <w:bookmarkEnd w:id="28"/>
    </w:p>
    <w:p>
      <w:pPr>
        <w:adjustRightInd w:val="0"/>
        <w:snapToGrid w:val="0"/>
        <w:spacing w:line="360" w:lineRule="auto"/>
        <w:ind w:firstLine="562"/>
        <w:rPr>
          <w:rFonts w:hint="eastAsia"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23. 开标</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23.1 采购代理机构在招标文件规定的投标截止时间的同一时间即开标时间和规定的地点组织公开开标，开标由采购人或者采购代理机构主持，并邀请所有投标人法定代表人或其授权代表参加。参加开标的投标人代表应签名以证明其出席。评标委员会成员不得参加开标活动。</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23.2 </w:t>
      </w:r>
      <w:r>
        <w:rPr>
          <w:rFonts w:hint="eastAsia" w:ascii="仿宋_GB2312" w:hAnsi="仿宋_GB2312" w:eastAsia="仿宋_GB2312" w:cs="仿宋_GB2312"/>
          <w:bCs/>
          <w:color w:val="000000"/>
          <w:sz w:val="28"/>
          <w:szCs w:val="28"/>
        </w:rPr>
        <w:t>开标前，采购代理机构将会同监督人员或公证人员进行验标（检查投标人报名及保证金交纳情况），确认无误后开标。</w:t>
      </w:r>
      <w:r>
        <w:rPr>
          <w:rFonts w:hint="eastAsia" w:ascii="仿宋_GB2312" w:hAnsi="仿宋_GB2312" w:eastAsia="仿宋_GB2312" w:cs="仿宋_GB2312"/>
          <w:kern w:val="0"/>
          <w:sz w:val="28"/>
          <w:szCs w:val="28"/>
        </w:rPr>
        <w:t>开标时，应当由投标人或者其推选的代表检查投标文件的密封情况；经确认无误后，由采购人或者采购代理机构工作人员当众拆封，宣布投标人名称、投标价格和招标文件规定的需要宣布的其他内容，并记录在案。</w:t>
      </w:r>
    </w:p>
    <w:p>
      <w:pPr>
        <w:adjustRightInd w:val="0"/>
        <w:snapToGrid w:val="0"/>
        <w:spacing w:line="360" w:lineRule="auto"/>
        <w:ind w:firstLine="482"/>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如果递交投标文件的投标人不足3家，将不进行开标，采购人将依法重新组织招标或采用其它采购方式采购。</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23.3 开标过程由采购代理机构负责记录，由参加开标的各投标人代表、采购人代表、监督人、记录人和相关工作人员签字确认后随采购文件一并存档。</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投标人未参加开标的，视同认可开标结果。</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23.4 公开招标数额标准以上的采购项目，投标截止时间后投标人不足3家或者通过资格审查或符合性审查的投标人不足3家的，除采购任务取消情形外，按照以下方式处理：</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23.4.1 招标文件存在不合理条款或者招标程序不符合规定的，采购人、采购代理机构改正后依法重新招标；</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23.4.2 招标文件没有不合理条款、招标程序符合规定，需要采用其他采购方式采购的，采购人应当依法报财政部门批准。</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23.5 开标结束后，采购人或者采购代理机构应当依法对投标人的资格进行审查。</w:t>
      </w:r>
    </w:p>
    <w:p>
      <w:pPr>
        <w:adjustRightInd w:val="0"/>
        <w:snapToGrid w:val="0"/>
        <w:spacing w:line="360" w:lineRule="auto"/>
        <w:ind w:firstLine="482"/>
        <w:rPr>
          <w:rFonts w:hint="eastAsia"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如果资格审查合格的投标人不足3家，将不进行评标，</w:t>
      </w:r>
      <w:r>
        <w:rPr>
          <w:rFonts w:hint="eastAsia" w:ascii="仿宋_GB2312" w:hAnsi="仿宋_GB2312" w:eastAsia="仿宋_GB2312" w:cs="仿宋_GB2312"/>
          <w:b/>
          <w:sz w:val="28"/>
          <w:szCs w:val="28"/>
        </w:rPr>
        <w:t>采购人将依法重新组织招标或采用其它采购方式采购。</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23.6 投标人应当遵循公平竞争的原则，不得恶意串通，不得妨碍其他投标人的竞争行为，不得损害采购人或者其他投标人的合法权益。</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在评标过程中发现投标人有上述情形的，评标委员会应当认定其</w:t>
      </w:r>
      <w:r>
        <w:rPr>
          <w:rFonts w:hint="eastAsia" w:ascii="仿宋_GB2312" w:hAnsi="仿宋_GB2312" w:eastAsia="仿宋_GB2312" w:cs="仿宋_GB2312"/>
          <w:b/>
          <w:kern w:val="0"/>
          <w:sz w:val="28"/>
          <w:szCs w:val="28"/>
        </w:rPr>
        <w:t>投标无效</w:t>
      </w:r>
      <w:r>
        <w:rPr>
          <w:rFonts w:hint="eastAsia" w:ascii="仿宋_GB2312" w:hAnsi="仿宋_GB2312" w:eastAsia="仿宋_GB2312" w:cs="仿宋_GB2312"/>
          <w:kern w:val="0"/>
          <w:sz w:val="28"/>
          <w:szCs w:val="28"/>
        </w:rPr>
        <w:t>，并书面报告本级财政部门。</w:t>
      </w:r>
    </w:p>
    <w:p>
      <w:pPr>
        <w:adjustRightInd w:val="0"/>
        <w:snapToGrid w:val="0"/>
        <w:spacing w:line="360" w:lineRule="auto"/>
        <w:ind w:firstLine="482"/>
        <w:rPr>
          <w:rFonts w:hint="eastAsia"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23.7 ▲有下列情形之一的，视为投标人串通投标，其投标无效,并对投标人依照《政府采购法》第七十七条的规定追究法律责任：</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23.7.1 不同投标人的投标文件由同一单位或者个人编制；</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23.7.2 不同投标人委托同一单位或者个人办理投标事宜；</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23.7.3 不同投标人的投标文件载明的项目管理成员或者联系人员为同一人；</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23.7.4 不同投标人的投标文件异常一致或者投标报价呈规律性差异；</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23.7.5 不同投标人的投标文件相互混装；</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23.7.6 不同投标人的投标保证金从同一单位或者个人的账户转出。</w:t>
      </w:r>
    </w:p>
    <w:p>
      <w:pPr>
        <w:adjustRightInd w:val="0"/>
        <w:snapToGrid w:val="0"/>
        <w:spacing w:line="360" w:lineRule="auto"/>
        <w:ind w:firstLine="562"/>
        <w:rPr>
          <w:rFonts w:hint="eastAsia"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24. 评标委员会</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24.1 采购人或者采购代理机构负责组织评标工作，并履行下列职责：</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24.1.1核对评标专家身份和采购人代表授权函，对评标专家在政府采购活动中的职责履行情况予以记录，并及时将有关违法违规行为向财政部门报告；</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24.1.2宣布评标纪律；</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24.1.3公布投标人名单，告知评标专家应当回避的情形；</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24.1.4组织评标委员会推选评标组长,采购人代表不得担任组长；</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24.1.5在评标期间采取必要的通讯管理措施,保证评标活动不受外界干扰；</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24.1.6根据评标委员会的要求介绍政府采购相关政策法规、招标文件；</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24.1.7维护评标秩序，监督评标委员会依照招标文件规定的评标程序、方法和标准进行独立评标，及时制止和纠正采购人代表、评标专家的倾向性言论或者违法违规行为；</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24.1.8核对评标结果，有本招标文件投标须知正文第25.10条规定情形的，要求评标委员会复核或者书面说明理由，评标委员会拒绝的，应予记录并向本级财政部门报告；</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24.1.9评标工作完成后，按照规定向评标专家支付劳务报酬和异地评标差旅费，不得向评标专家以外的其他人员支付评标劳务报酬；</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24.1.10处理与评标有关的其他事项。</w:t>
      </w:r>
    </w:p>
    <w:p>
      <w:pPr>
        <w:adjustRightInd w:val="0"/>
        <w:snapToGrid w:val="0"/>
        <w:spacing w:line="360" w:lineRule="auto"/>
        <w:ind w:firstLine="482"/>
        <w:rPr>
          <w:rFonts w:hint="eastAsia"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采购人可以在评标前说明项目背景和采购需求，说明内容不得含有歧视性、倾向性意见，不得超出招标文件所述范围。说明应当提交书面材料，并随采购文件一并存档。</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24.2 评标委员会负责具体评标事务，并独立履行下列职责：</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24.2.1审查、评价投标文件是否符合招标文件的商务、技术等实质性要求；</w:t>
      </w:r>
    </w:p>
    <w:p>
      <w:pPr>
        <w:adjustRightInd w:val="0"/>
        <w:snapToGrid w:val="0"/>
        <w:spacing w:line="360" w:lineRule="auto"/>
        <w:ind w:firstLine="480"/>
        <w:rPr>
          <w:rFonts w:hint="eastAsia" w:ascii="仿宋_GB2312" w:hAnsi="仿宋_GB2312" w:eastAsia="仿宋_GB2312" w:cs="仿宋_GB2312"/>
          <w:kern w:val="0"/>
          <w:sz w:val="28"/>
          <w:szCs w:val="28"/>
        </w:rPr>
      </w:pPr>
      <w:bookmarkStart w:id="29" w:name="OLE_LINK4"/>
      <w:r>
        <w:rPr>
          <w:rFonts w:hint="eastAsia" w:ascii="仿宋_GB2312" w:hAnsi="仿宋_GB2312" w:eastAsia="仿宋_GB2312" w:cs="仿宋_GB2312"/>
          <w:kern w:val="0"/>
          <w:sz w:val="28"/>
          <w:szCs w:val="28"/>
        </w:rPr>
        <w:t>24.2.</w:t>
      </w:r>
      <w:bookmarkEnd w:id="29"/>
      <w:r>
        <w:rPr>
          <w:rFonts w:hint="eastAsia" w:ascii="仿宋_GB2312" w:hAnsi="仿宋_GB2312" w:eastAsia="仿宋_GB2312" w:cs="仿宋_GB2312"/>
          <w:kern w:val="0"/>
          <w:sz w:val="28"/>
          <w:szCs w:val="28"/>
        </w:rPr>
        <w:t>2要求投标人对投标文件有关事项作出澄清或者说明；</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24.2.3对投标文件进行比较和评价；</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24.2.4确定中标候选人名单，或者根据采购人委托直接确定中标人；</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24.2.5向采购人、采购代理机构或者有关部门报告评标中发现的违法行为。</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24.3 评标委员会由采购人代表和评标专家组成，成员人数应当为5人以上单数，其中评标专家不得少于成员总数的三分之二。评标委员会成员与投标人存在利害关系的，应当回避。</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24.3.1 采购项目符合下列情形之一的，评标委员会成员人数应当为7人以上单数：</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（1）采购预算金额在1000万元以上；</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（2）技术复杂；</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（3）社会影响较大。</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24.3.2 评标专家对本单位的采购项目只能作为采购人代表参与评标，对技术复杂、专业性强的采购项目，通过随机方式难以确定合适评标专家的，经主管预算单位同意，采购人可以自行选定相应专业领域的评标专家情形除外。采购代理机构工作人员不得参加由本机构代理的政府采购项目的评标。</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24.3.3 评标委员会成员名单在评标结果公告前应当保密。</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24.4 采购人或者采购代理机构应当从省级以上财政部门设立的政府采购评标专家库中，通过随机方式抽取评标专家。</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对技术复杂、专业性强的采购项目，通过随机方式难以确定合适评标专家的，经主管预算单位同意，采购人可以自行选定相应专业领域的评标专家。</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24.5 评标中因评标委员会成员缺席、回避或者健康等特殊原因导致评标委员会组成不符合《中华人民共和国政府采购法》、《中华人民共和国政府采购法实施条例》、《政府采购货物和服务招标投标管理办法》相关规定的，采购人或者采购代理机构应当依法补足后继续评标。被更换的评标委员会成员所作出的评标意见无效。</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无法及时补足评标委员会成员的，采购人或者采购代理机构应当停止评标活动，封存所有投标文件和开标、评标资料，依法重新组建评标委员会进行评标。原评标委员会所作出的评标意见无效。</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采购人或者采购代理机构应当将变更、重新组建评标委员会的情况予以记录，并随采购文件一并存档。</w:t>
      </w:r>
    </w:p>
    <w:p>
      <w:pPr>
        <w:adjustRightInd w:val="0"/>
        <w:snapToGrid w:val="0"/>
        <w:spacing w:line="360" w:lineRule="auto"/>
        <w:ind w:firstLine="482"/>
        <w:rPr>
          <w:rFonts w:hint="eastAsia"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24.6  采购人委派代表参加评标委员会的，应当向采购代理机构出具授权函，采购人代表不得担任评标委员会主任委员。除授权代表外，采购人可以委派纪检监察等相关人员进入评标现场，对评标工作实施监督，但不得超过２人。</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24.7  评标委员会成员应认真执行《中华人民共和国政府采购法》、《中华人民共和国政府采购法实施条例》、《政府采购货物和服务招标投标管理办法》及相关法规规定，同时维护采购人与投标人的合法权益。</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24.8 评标委员会及其成员不得有下列行为：</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（1）确定参与评标至评标结束前私自接触投标人；</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（2）接受投标人提出的与投标文件不一致的澄清或者说明，本招标文件投标须知正文第25.2条规定的情形除外；</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（3）违反评标纪律发表倾向性意见或者征询采购人的倾向性意见；</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（4）对需要专业判断的主观评标因素协商评分；</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（5）在评标过程中擅离职守，影响评标程序正常进行的；</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（6）记录、复制或者带走任何评标资料；</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（7）其他不遵守评标纪律的行为。</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评标委员会成员有以上第1至5项行为之一的，其评标意见无效，并不得获取评标劳务报酬和报销异地评标差旅费。</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24.9评标委员会成员要严格遵守评标时间，主动出具身份证明，遵守评标工作纪律和评标回避的相关规定。在评标工作开始前，将手机等通讯工具或相关电子设备交由采购人或采购代理机构统一保管，拒不上交的，采购人或采购代理机构可以拒绝其参加评标工作并向财政部门报告。</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评标委员会成员和评标工作有关人员不得干预或者影响正常评标工作，不得明示或者暗示其倾向性、引导性意见，不得修改或细化采购文件确定的评标程序、评标方法、评标因素和评标标准，不得接受投标人主动提出的澄清和解释，不得征询采购人代表的倾向性意见，不得协商评分，不得记录、复制或带走任何评标资料。评标结果汇总完成后，采购人、采购代理机构和评标委员会均不得修改评标结果或者要求重新评标，但资格性检查认定错误、分值汇总计算错误、分项评分超出评分标准范围、客观分评分不一致、经评标委员会一致认定评分畸高、畸低的情形除外。出现上述除外情形的，评标委员会应当现场修改评标结果，并在评标报告中明确记载。</w:t>
      </w:r>
    </w:p>
    <w:p>
      <w:pPr>
        <w:adjustRightInd w:val="0"/>
        <w:snapToGrid w:val="0"/>
        <w:spacing w:line="360" w:lineRule="auto"/>
        <w:ind w:firstLine="562"/>
        <w:rPr>
          <w:rFonts w:hint="eastAsia"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25. 评标</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25.1 评标委员会按照第三章“评标方法及标准”规定的评标方法、评标因素、标准和程序以及有关法律、法规及规章对投标文件进行评标，评标委员会应当对符合资格的投标人的投标文件进行符合性审查，以确定其是否满足招标文件的实质性要求。</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25.2 对于投标文件中含义不明确、同类问题表述不一致或者有明显文字和计算错误的内容，评标委员会应当以书面形式要求投标人作出必要的澄清、说明或者补正。</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投标人的澄清、说明或者补正应当采用书面形式，并加盖公章或者由法定代表人或其授权的代表签字。投标人的澄清、说明或者补正不得超出投标文件的范围或者改变投标文件的实质性内容。</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25.3 投标文件报价出现前后不一致的，除招标文件另有规定外，按照下列规定修正：</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25.3.1 投标文件中开标一览表（报价表）内容与投标文件中相应内容不一致的，以开标一览表（报价表）为准；</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25.3.2 大写金额和小写金额不一致的，以大写金额为准；</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25.3.3 单价金额小数点或者百分比有明显错位的，以开标一览表的总价为准，并修改单价；</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25.3.4 总价金额与按单价汇总金额不一致的，以单价金额计算结果为准。</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同时出现两种以上不一致的，按照前款规定的顺序修正。修正后的报价按照本招标文件投标须知正文第25.2款的规定经投标人确认后产生约束力，▲</w:t>
      </w:r>
      <w:r>
        <w:rPr>
          <w:rFonts w:hint="eastAsia" w:ascii="仿宋_GB2312" w:hAnsi="仿宋_GB2312" w:eastAsia="仿宋_GB2312" w:cs="仿宋_GB2312"/>
          <w:b/>
          <w:kern w:val="0"/>
          <w:sz w:val="28"/>
          <w:szCs w:val="28"/>
        </w:rPr>
        <w:t>投标人拒绝确认的，其投标无效</w:t>
      </w:r>
      <w:r>
        <w:rPr>
          <w:rFonts w:hint="eastAsia" w:ascii="仿宋_GB2312" w:hAnsi="仿宋_GB2312" w:eastAsia="仿宋_GB2312" w:cs="仿宋_GB2312"/>
          <w:kern w:val="0"/>
          <w:sz w:val="28"/>
          <w:szCs w:val="28"/>
        </w:rPr>
        <w:t>。</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25.4 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仿宋_GB2312" w:hAnsi="仿宋_GB2312" w:eastAsia="仿宋_GB2312" w:cs="仿宋_GB2312"/>
          <w:b/>
          <w:kern w:val="0"/>
          <w:sz w:val="28"/>
          <w:szCs w:val="28"/>
        </w:rPr>
        <w:t>投标人不能证明其报价合理性的，评标委员会应当将其作为无效投标处理</w:t>
      </w:r>
      <w:r>
        <w:rPr>
          <w:rFonts w:hint="eastAsia" w:ascii="仿宋_GB2312" w:hAnsi="仿宋_GB2312" w:eastAsia="仿宋_GB2312" w:cs="仿宋_GB2312"/>
          <w:kern w:val="0"/>
          <w:sz w:val="28"/>
          <w:szCs w:val="28"/>
        </w:rPr>
        <w:t>。</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25.5 评标委员会成员对需要共同认定的事项存在争议的，应当按照少数服从多数的原则作出结论。持不同意见的评标委员会成员应当在评标报告上签署不同意见及理由，否则视为同意评标报告。</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25.6 评标委员会应当按照招标文件中规定的评标方法和标准，对资格性审查、符合性审查合格的投标文件进行商务和技术评估，综合比较与评价。</w:t>
      </w:r>
    </w:p>
    <w:p>
      <w:pPr>
        <w:adjustRightInd w:val="0"/>
        <w:snapToGrid w:val="0"/>
        <w:spacing w:line="360" w:lineRule="auto"/>
        <w:ind w:firstLine="482"/>
        <w:rPr>
          <w:rFonts w:hint="eastAsia"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25.7 本项目评标方法为：综合评分法。</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25.7.1 </w:t>
      </w:r>
      <w:r>
        <w:rPr>
          <w:rFonts w:hint="eastAsia" w:ascii="仿宋_GB2312" w:hAnsi="仿宋_GB2312" w:eastAsia="仿宋_GB2312" w:cs="仿宋_GB2312"/>
          <w:b/>
          <w:kern w:val="0"/>
          <w:sz w:val="28"/>
          <w:szCs w:val="28"/>
        </w:rPr>
        <w:t>综合评分法</w:t>
      </w:r>
      <w:r>
        <w:rPr>
          <w:rFonts w:hint="eastAsia" w:ascii="仿宋_GB2312" w:hAnsi="仿宋_GB2312" w:eastAsia="仿宋_GB2312" w:cs="仿宋_GB2312"/>
          <w:kern w:val="0"/>
          <w:sz w:val="28"/>
          <w:szCs w:val="28"/>
        </w:rPr>
        <w:t>，是投标文件满足招标文件全部实质性要求，且按照评标因素的量化指标评标得分最高的投标人为中标候选人的评标方法。</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评标因素的设定与投标人所提供货物服务的质量相关，包括投标报价、技术或者服务水平、履约能力、售后服务等。资格条件不得作为评标因素。</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25.7.2 评标时，评标委员会各成员应当独立对每个投标人的投标文件进行评价，并汇总每个投标人的得分。</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25.7.3 评标过程中，不得去掉报价中的最高报价和最低报价。</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25.8 评标结果按评标后得分由高到低顺序排列，得分相同的，按投标报价由低到高顺序排列。得分且投标报价相同的并列。投标文件满足招标文件全部实质性要求，且按照评标因素的量化指标评标得分最高的投标人为排名第一的中标候选人。</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25.9 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25.10 评标结果汇总完成后，除下列情形外，任何人不得修改评标结果：</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（1）分值汇总计算错误的；</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（2）分项评分超出评分标准范围的；</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（3）评标委员会成员对客观评标因素评分不一致的；</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（4）经评标委员会认定评分畸高、畸低的。</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评标报告签署前，经复核发现存在以上情形之一的，评标委员会应当当场修改评标结果，并在评标报告中记载；评标报告签署后，采购人或者采购代理机构发现存在以上情形之一的，应当组织原评标委员会进行重新评标，重新评标改变评标结果的，书面报告本级财政部门。</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投标人对上述(1)～(4)项提出质疑的，采购人或者采购代理机构可以组织原评标委员会进行重新评标，重新评标改变评标结果的，应当书面报告本级财政部门。</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25.11 评标委员会根据全体评标成员签字的原始评标记录和评标结果编写评标报告。评标报告应当包括以下内容：</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（1）招标公告刊登的媒体名称、开标日期和地点；</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（2）投标人名单和评标委员会成员名单；</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（3）评标方法和标准；</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（4）开标记录和评标情况及说明，包括无效投标人名单及原因；</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（5）评标结果，确定的中标候选人名单或者经采购人委托直接确定的中标人；</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（6）其他需要说明的情况，包括评标过程中投标人根据评标委员会要求进行的澄清、说明或者补正，评标委员会成员的更换等。</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25.12 采购人、采购代理机构应当采取必要措施加强评标现场管理，与评标工作无关的人员不得进入评标现场，保证评标在严格保密的情况下进行。除采购人代表、评标现场组织人员外，采购人的其他工作人员以及与评标工作无关的人员不得进入评标现场。评标委员会成员及其它有关人员对评标情况以及在评标过程中获悉的国家秘密、商业秘密负有保密责任。</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25.13 评标委员会或者其成员存在下列情形导致评标结果无效的，采购人、采购代理机构可以重新组建评标委员会进行评标，并书面报告本级财政部门，但采购合同已经履行的除外：</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（1）评标委员会组成不符合本招标文件规定的；</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（2）有《政府采购货物和服务招标投标管理办法》（财政部令第87号）第六十二条第一至五项（即：本招标文件投标须知正文第24.8条第（1）至（5）项）情形的；</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（3）评标委员会及其成员独立评标受到非法干预的；</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（4）有《政府采购法实施条例》第七十五条规定的违法行为的。</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有违法违规行为的原评标委员会成员不得参加重新组建的评标委员会。</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25.14 评标委员会发现采购文件存在歧义、重大缺陷导致评标工作无法进行，或者采购文件内容违反国家有关规定的，要停止评标工作并向采购人或采购代理机构书面说明情况，采购人或采购代理机构应当修改采购文件后重新组织采购活动；发现投标人提供虚假材料、串通等违法违规行为的，要及时向采购人或采购代理机构报告。</w:t>
      </w:r>
    </w:p>
    <w:p>
      <w:pPr>
        <w:adjustRightInd w:val="0"/>
        <w:snapToGrid w:val="0"/>
        <w:spacing w:line="360" w:lineRule="auto"/>
        <w:ind w:firstLine="562"/>
        <w:rPr>
          <w:rFonts w:hint="eastAsia"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26. 确定中标人</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26.1 定标</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26.1.1 采购代理机构应当在评标结束后2个工作日内将评标报告送采购人。</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26.1.2 采购人应当自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26.1.3 采购人应当确定排名第一的中标候选人为中标人。排名第一的中标候选人拒绝签订合同而放弃中标、或因不可抗力提出不能履行合同，或者招标文件规定应当提交履约保证金而在规定的期限内未能提交的，采购人可以确定排名第二的中标候选人为中标人，以此类推。</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26.1.4 采购人在收到评标报告5个工作日内未按评标报告推荐的中标候选人顺序确定中标人，又不能说明合法理由的，视同按评标报告推荐的顺序确定排名第一的中标候选人为中标人。</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26.2 中标结果公告</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26.2.1 采购人或者采购代理机构应当自中标人确定之日起2个工作日内，在省级以上财政部门指定的媒体上公告中标结果，招标文件应当随中标结果同时公告。</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26.2.2 中标结果公告内容应当包括采购人及其委托的采购代理机构的名称、地址、联系方式，项目名称和项目编号，中标人名称、地址和中标金额，主要中标标的的名称、规格型号、数量、单价、服务要求，中标公告期限以及评标专家名单。</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26.2.3 中标公告期限为1个工作日。</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26.2.4 在公告中标结果的同时，采购人或者采购代理机构应当向中标人发出中标通知书；对未通过资格审查的投标人，应当告知其未通过的原因；采用综合评分法评标的，还应当告知未中标人本人的评标得分与排序。</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26.3 采购人不保证将合同授予最低投标报价的投标人。</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26.4 在确定中标人前，招标采购单位不得与投标人就投标价格、投标方案等实质性内容进行谈判。</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26.5 采购人有权在定标之前拒绝任何有不正当行为或扰乱正常招标工作的投标人，由此对投标人造成的损失不负任何责任，同时对此也不做任何解释。</w:t>
      </w:r>
    </w:p>
    <w:p>
      <w:pPr>
        <w:adjustRightInd w:val="0"/>
        <w:snapToGrid w:val="0"/>
        <w:spacing w:line="360" w:lineRule="auto"/>
        <w:ind w:firstLine="562"/>
        <w:rPr>
          <w:rFonts w:hint="eastAsia"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27. 招标终止</w:t>
      </w:r>
    </w:p>
    <w:p>
      <w:pPr>
        <w:adjustRightInd w:val="0"/>
        <w:snapToGrid w:val="0"/>
        <w:spacing w:line="360" w:lineRule="auto"/>
        <w:ind w:firstLine="482"/>
        <w:rPr>
          <w:rFonts w:hint="eastAsia"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27.1 在招标采购中，出现下列情形之一的，应予废标：</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（1）符合专业条件的投标人或者对招标文件作实质响应的投标人不足三家的；</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（2）出现影响采购公正的违法、违规行为的；</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（3）投标人的报价均超过了采购预算，采购人不能支付的；</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（4）因重大变故，采购任务取消的。</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废标后，采购人应当将废标理由通知所有投标人。</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废标后，除采购任务取消情形外，应当重新组织招标；需要采取其他方式采购的，应当在采购活动开始前获得设区的市、自治州以上人民政府采购监督管理部门或者政府有关部门批准。</w:t>
      </w:r>
    </w:p>
    <w:p>
      <w:pPr>
        <w:adjustRightInd w:val="0"/>
        <w:snapToGrid w:val="0"/>
        <w:spacing w:line="360" w:lineRule="auto"/>
        <w:ind w:firstLine="482"/>
        <w:rPr>
          <w:rFonts w:hint="eastAsia"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27.2 出现下列情形之一的，采购人或者采购代理机构应当终止招标采购活动，在财政部门指定的媒体上发布项目终止公告并说明原因，重新开展采购活动：</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27.2.1 因情况变化，不再符合规定的招标采购方式适用情形的；</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27.2.2 出现影响采购公正的违法、违规行为的；</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27.2.3 已确定中标人但尚未签订政府采购合同的，中标结果无效，需从合格的中标候选人中另行确定中标人但没有合格的中标候选人的；</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27.2.4 政府采购合同已签订但尚未履行的，撤销合同，需从合格的中标候选人中另行确定中标人但没有合格的中标候选人的；</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27.2.5 因重大变故，采购任务取消的。</w:t>
      </w:r>
    </w:p>
    <w:p>
      <w:pPr>
        <w:adjustRightInd w:val="0"/>
        <w:snapToGrid w:val="0"/>
        <w:spacing w:line="360" w:lineRule="auto"/>
        <w:ind w:firstLine="562"/>
        <w:rPr>
          <w:rFonts w:hint="eastAsia"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28. 重新评标</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28.1 除本须知第25.10所述情形外，采购人或者采购代理机构不能以任何理由组织重新评标。采购人、采购代理机构发现评标委员会未按照招标文件规定的评标标准进行评标的，应当重新开展采购活动，并同时书面报告本级财政部门。</w:t>
      </w:r>
    </w:p>
    <w:p>
      <w:pPr>
        <w:adjustRightInd w:val="0"/>
        <w:snapToGrid w:val="0"/>
        <w:spacing w:line="360" w:lineRule="auto"/>
        <w:ind w:firstLine="562"/>
        <w:rPr>
          <w:rFonts w:hint="eastAsia"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29. 保密与纪律事项</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29.1 评标委员会成员以及与评标工作有关的人员不得泄露评标情况以及评标过程中获悉的国家秘密、商业秘密。</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评标过程保密是指评标开始后评标委员会对投标人资格审查开始至中标公告期结束、中标通知书发出等与项目相关所有的文字、评标委员会的对话、音视频等相关资料的保密，如与采购项目相关的采购人、采购代理机构、评标委员会及公共资源交易中心人员及其他相关人员泄密，从而导致评标结果出现不公正性，有关行政主管部门将根据《政府采购法》、《政府采购法实施条例》及相关法律法规规定将责任人提请上级行政主管部门追究其责任；构成犯罪的，将提请司法机关依法追究其刑事责任。</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29.2 投标人不得与采购人、采购代理机构、其他投标人恶意串通；不得向采购人、采购代理机构或者评标委员会成员行贿或者提供其他不正当利益；不得提供虚假材料谋取中标；不得以任何方式干扰、影响采购工作。</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29.3 有下列情形之一的，属于恶意串通，投标无效，并依照《政府采购法》第七十七条的规定追究法律责任：</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（1）投标人直接或者间接从采购人、采购代理机构获得其他投标人的投标情况，并修改其投标文件的；</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（2）投标人按照采购人或采购代理机构授意撤换、修改投标文件的；</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（3）投标人之间协商技术方案、合同条款以及报价等投标文件实质性内容的;</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（4）属于同一集团、协会、商会等组织成员的投标人按照该组织要求协同参加政府采购活动的；</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（5）投标人之间事先约定由某一特定投标人中标的；</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（6）投标人之间商定部分投标人放弃提交投标文件或者退出招标或者放弃中标的；</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（7）投标人与采购人、采购代理机构以及评标委员会成员之间、投标人相互之间，为谋求特定投标人中标或者排斥其他投标人的其他串通行为的。</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（8）法律、行政法规或规章规定的其他串通行为。</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29.4 投标人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（1）提供虚假材料谋取中标的；</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（2）采取不正当手段诋毁、排挤其他投标人的；</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（3）与采购人、其他投标人或者采购代理机构恶意串通的；</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（4）向采购人、采购代理机构行贿或者提供其他不正当利益的；</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（5）在招标采购过程中与采购人进行协商谈判的；</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（6）拒绝有关部门监督检查或者提供虚假情况的。</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供应商有上述第（1）至（5）项情形之一的，中标无效。</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29.5 投标人有下列情形之一的，依照《政府采购法》第七十七条第一款的规定追究法律责任：</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（1）向评标委员会成员行贿或者提供其他不正当利益；</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（2）中标后无正当理由拒不与采购人签订政府采购合同；</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（3）未按照采购文件确定的事项签订政府采购合同；</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（4）将政府采购合同转包；</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（5）提供假冒伪劣产品；</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（6）擅自变更、中止或者终止政府采购合同。</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投标人有上述第一项规定情形的，中标无效。评标阶段资格发生变化，投标人未依照《政府采购法实施条例》第二十一条的规定通知采购人和采购代理机构的，处以采购金额5‰的罚款，列入不良行为记录名单，中标无效。</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29.6 投标人捏造事实、提供虚假材料或者以非法手段取得证明材料进行投诉的，由财政部门列入不良行为记录名单，禁止其1至3年内参加政府采购活动。</w:t>
      </w:r>
    </w:p>
    <w:p>
      <w:pPr>
        <w:pStyle w:val="40"/>
        <w:jc w:val="both"/>
        <w:outlineLvl w:val="1"/>
        <w:rPr>
          <w:rFonts w:ascii="宋体" w:hAnsi="宋体" w:cs="仿宋"/>
          <w:b/>
          <w:bCs/>
          <w:color w:val="auto"/>
          <w:sz w:val="32"/>
          <w:szCs w:val="32"/>
        </w:rPr>
      </w:pPr>
      <w:bookmarkStart w:id="30" w:name="_Toc27353_WPSOffice_Level2"/>
      <w:r>
        <w:rPr>
          <w:rFonts w:hint="eastAsia" w:ascii="宋体" w:hAnsi="宋体" w:cs="仿宋"/>
          <w:b/>
          <w:bCs/>
          <w:color w:val="auto"/>
          <w:sz w:val="32"/>
          <w:szCs w:val="32"/>
        </w:rPr>
        <w:t>六</w:t>
      </w:r>
      <w:r>
        <w:rPr>
          <w:rFonts w:hint="eastAsia" w:ascii="仿宋_GB2312" w:hAnsi="仿宋_GB2312" w:eastAsia="仿宋_GB2312" w:cs="仿宋_GB2312"/>
          <w:b/>
          <w:kern w:val="0"/>
          <w:sz w:val="28"/>
          <w:szCs w:val="28"/>
        </w:rPr>
        <w:t xml:space="preserve">. </w:t>
      </w:r>
      <w:r>
        <w:rPr>
          <w:rFonts w:hint="eastAsia" w:ascii="宋体" w:hAnsi="宋体" w:cs="仿宋"/>
          <w:b/>
          <w:bCs/>
          <w:color w:val="auto"/>
          <w:sz w:val="32"/>
          <w:szCs w:val="32"/>
        </w:rPr>
        <w:t>中标结果信息公布与授予合同</w:t>
      </w:r>
      <w:bookmarkEnd w:id="30"/>
    </w:p>
    <w:p>
      <w:pPr>
        <w:adjustRightInd w:val="0"/>
        <w:snapToGrid w:val="0"/>
        <w:spacing w:line="360" w:lineRule="auto"/>
        <w:ind w:firstLine="562"/>
        <w:rPr>
          <w:rFonts w:hint="eastAsia"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30. 中标信息的公布</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30.1 采购人或者采购代理机构应当自中标人确定之日起2个工作日内，发出中标通知书，并在省级以上人民政府财政部门指定的媒体上公告中标结果，招标文件随中标结果同时公告。</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30.2 中标通知书对采购人和中标人具有同等法律效力。</w:t>
      </w:r>
    </w:p>
    <w:p>
      <w:pPr>
        <w:adjustRightInd w:val="0"/>
        <w:snapToGrid w:val="0"/>
        <w:spacing w:line="360" w:lineRule="auto"/>
        <w:ind w:firstLine="562"/>
        <w:rPr>
          <w:rFonts w:hint="eastAsia"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31. 询问及质疑</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31.1 投标人对政府采购活动事项有疑问的，可以向采购人或采购代理机构提出询问，采购人或采购代理机构将在三个工作日内作出答复。</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31.2 投标人若认为招标文件、招标过程和中标结果使自己的权益受到损害，应当在下列时间内以书面形式向采购人或采购代理机构提出：</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31.2.1 对可以质疑的招标文件提出质疑的，应在收到招标文件之日7个工作日内。</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31.2.2 对采购过程提出质疑的，应在该采购程序环节结束之日起7个工作日内提出。</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31.2.3 关于中标结果的质疑，应在中标结果信息发布后7个工作日内提出。</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31.3 投标人提出质疑的，应提供质疑书原件。采购人或采购代理机构应当向质疑投标人签收回执。</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31.4 质疑书应当包括下列内容：</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31.4.1 质疑投标人的名称、地址及有效联系方式；</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31.4.2 质疑事项；</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31.4.3 事实依据及相关证明材料；</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31.4.4 相关请求及主张。</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31.5 质疑书应当由投标人法定代表人或其授权代表签字并加盖投标人单位章，质疑书由授权代表签字的应附投标人法定代表人委托授权书。</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31.6 采购人或采购代理机构将在签收回执之日起7个工作日内作出书面答复，并以书面形式通知质疑投标投标人和其他有关的投标人。</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31.7 投标人对采购人或采购代理机构的答复不满意，或者采购人或采购代理机构未在规定的期限作出答复的，可在答复期满后15个工作日内，按政府采购相关法律法规的规定及程序，向同级财政部门提出投诉。</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31.8 参与政府采购活动的投标人对评标过程或者结果提出质疑的，采购人或采购代理机构可以组织原评标委员会协助处理质疑事项，并依据评标委员会出具的意见进行答复。质疑答复导致中标结果改变的，采购人或采购代理机构应当将相关情况报财政部门备案。</w:t>
      </w:r>
    </w:p>
    <w:p>
      <w:pPr>
        <w:adjustRightInd w:val="0"/>
        <w:snapToGrid w:val="0"/>
        <w:spacing w:line="360" w:lineRule="auto"/>
        <w:ind w:firstLine="562"/>
        <w:rPr>
          <w:rFonts w:hint="eastAsia"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32. 中标通知</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32.1 中标人确定后，采购人或采购代理机构将以书面形式向中标人发出中标通知书。中标通知书对采购人和中标人具有同等法律效力。中标通知书发出后，采购人不得违法改变中标结果，中标人无正当理由不得放弃中标。</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32.2 中标人在收到中标通知书后10日内，应按照投标须知前附表的规定，向采购人提交履约担保。联合体中标的，履约担保由联合体各方或联合体中牵头人的名义提交。</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32.3 招标文件要求中标人提交履约保证金的，中标人应当以电汇、支票、汇票、本票或者金融机构、担保机构出具的保函等非现金形式提交。中标人没有按照规定提交履约担保的，视为放弃中标资格，其投标保证金不予退还。</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32.4 中标人拒绝与采购人签订合同的，采购人可以按照评标报告推荐的中标候选人名单排序，确定下一候选人为中标人，也可以重新开展政府采购活动。</w:t>
      </w:r>
    </w:p>
    <w:p>
      <w:pPr>
        <w:adjustRightInd w:val="0"/>
        <w:snapToGrid w:val="0"/>
        <w:spacing w:line="360" w:lineRule="auto"/>
        <w:ind w:firstLine="562"/>
        <w:rPr>
          <w:rFonts w:hint="eastAsia"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33. 签订合同</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33.1 采购人应当自中标通知书发出之日起</w:t>
      </w:r>
      <w:r>
        <w:rPr>
          <w:rFonts w:hint="eastAsia" w:ascii="仿宋_GB2312" w:hAnsi="仿宋_GB2312" w:eastAsia="仿宋_GB2312" w:cs="仿宋_GB2312"/>
          <w:kern w:val="0"/>
          <w:sz w:val="28"/>
          <w:szCs w:val="28"/>
          <w:lang w:val="en-US" w:eastAsia="zh-CN"/>
        </w:rPr>
        <w:t>2</w:t>
      </w:r>
      <w:r>
        <w:rPr>
          <w:rFonts w:hint="eastAsia" w:ascii="仿宋_GB2312" w:hAnsi="仿宋_GB2312" w:eastAsia="仿宋_GB2312" w:cs="仿宋_GB2312"/>
          <w:kern w:val="0"/>
          <w:sz w:val="28"/>
          <w:szCs w:val="28"/>
        </w:rPr>
        <w:t>0日内，按照招标文件和中标人投标文件的规定，与中标人签订书面合同。所签订的合同不得对招标文件确定的事项和中标人投标文件作实质性修改。中标通知书是合同文件的组成部分。</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采购人不得向中标人提出任何不合理的要求作为签订合同的条件。</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33.2 政府采购合同应当包括采购人与中标人的名称和住所、标的、数量、质量、价款或者报酬、履行期限及地点和方式、验收要求、违约责任、解决争议的方法等内容。</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33.3 采购人与中标人应当根据合同的约定依法履行合同义务。</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政府采购合同的履行、违约责任和解决争议的方法等适用《中华人民共和国合同法》。</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33.4 采购人应当及时对采购项目进行验收。采购人可以邀请参加本项目的其他投标人或者第三方机构参与验收。参与验收的投标人或者第三方机构的意见作为验收书的参考资料一并存档。</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33.5 采购人应当加强对中标人的履约管理，并按照采购合同约定，及时向中标人支付采购资金。对于中标人违反采购合同约定的行为，采购人应当及时处理，依法追究其违约责任。</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33.6 中标人应当按照合同约定履行义务。中标人不得向他人转让中标项目，也不得将中标项目分包后分别向他人转让。合同分包需在投标文件中予以说明，并需经采购人同意。否则，采购人有权取消中标人的中标资格。</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33.7 中标人有下列情形之一的，责令限期改正，情节严重的，列入不良行为记录名单，在1至3年内禁止参加政府采购活动，并予以通报：</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33.7.1 中标后无正当理由不与采购人签订合同的；</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33.7.2 未按照招标文件确定的事项签订政府采购合同，或者与采购人另行订立背离合同实质性内容的协议的；</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33.7.3 拒绝履行合同义务的；</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33.7.4 违反法律、规章、规范性文件规定的。</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33.8 政府采购合同的双方当事人不得擅自变更、中止或者终止合同。</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政府采购合同继续履行将损害国家利益和社会公共利益的，双方当事人应当变更、中止或者终止合同。有过错的一方应当承担赔偿责任，双方都有过错的，各自承担相应的责任。</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33.9 采购人应当自政府采购合同签订之日起2个工作日内,将政府采购合同在省级以上人民政府财政部门指定的媒体上公告,但政府采购合同中涉及国家秘密、商业秘密的内容除外。</w:t>
      </w:r>
    </w:p>
    <w:p>
      <w:pPr>
        <w:adjustRightInd w:val="0"/>
        <w:snapToGrid w:val="0"/>
        <w:spacing w:line="360" w:lineRule="auto"/>
        <w:ind w:firstLine="562"/>
        <w:rPr>
          <w:rFonts w:hint="eastAsia"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34. 政府采购合同履行中数量的变更</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34.1 政府采购合同履行中，采购人需追加与合同标的相同的货物、工程或者服务的，在不改变合同其他条款的前提下，可以与中标人协商签订补充合同，但所有补充合同的采购金额不得超过原合同采购金额的10%。</w:t>
      </w:r>
    </w:p>
    <w:p>
      <w:pPr>
        <w:pStyle w:val="40"/>
        <w:jc w:val="both"/>
        <w:outlineLvl w:val="1"/>
        <w:rPr>
          <w:rFonts w:ascii="宋体" w:hAnsi="宋体" w:cs="仿宋"/>
          <w:b/>
          <w:bCs/>
          <w:color w:val="auto"/>
          <w:sz w:val="32"/>
          <w:szCs w:val="32"/>
        </w:rPr>
      </w:pPr>
      <w:bookmarkStart w:id="31" w:name="_Toc971_WPSOffice_Level2"/>
      <w:r>
        <w:rPr>
          <w:rFonts w:hint="eastAsia" w:ascii="宋体" w:hAnsi="宋体" w:cs="仿宋"/>
          <w:b/>
          <w:bCs/>
          <w:color w:val="auto"/>
          <w:sz w:val="32"/>
          <w:szCs w:val="32"/>
        </w:rPr>
        <w:t>七</w:t>
      </w:r>
      <w:r>
        <w:rPr>
          <w:rFonts w:hint="eastAsia" w:ascii="仿宋_GB2312" w:hAnsi="仿宋_GB2312" w:eastAsia="仿宋_GB2312" w:cs="仿宋_GB2312"/>
          <w:b/>
          <w:kern w:val="0"/>
          <w:sz w:val="28"/>
          <w:szCs w:val="28"/>
        </w:rPr>
        <w:t xml:space="preserve">. </w:t>
      </w:r>
      <w:r>
        <w:rPr>
          <w:rFonts w:hint="eastAsia" w:ascii="宋体" w:hAnsi="宋体" w:cs="仿宋"/>
          <w:b/>
          <w:bCs/>
          <w:color w:val="auto"/>
          <w:sz w:val="32"/>
          <w:szCs w:val="32"/>
        </w:rPr>
        <w:t>其他规定</w:t>
      </w:r>
      <w:bookmarkEnd w:id="31"/>
    </w:p>
    <w:p>
      <w:pPr>
        <w:adjustRightInd w:val="0"/>
        <w:snapToGrid w:val="0"/>
        <w:spacing w:line="360" w:lineRule="auto"/>
        <w:ind w:firstLine="562"/>
        <w:rPr>
          <w:rFonts w:hint="eastAsia"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35. 招标代理服务费</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35.1 中标人应按投标须知前附表规定交纳招标代理服务费。</w:t>
      </w:r>
    </w:p>
    <w:p>
      <w:pPr>
        <w:widowControl w:val="0"/>
        <w:wordWrap/>
        <w:adjustRightInd w:val="0"/>
        <w:snapToGrid w:val="0"/>
        <w:spacing w:before="0" w:after="0" w:line="560" w:lineRule="exact"/>
        <w:ind w:left="0" w:leftChars="0" w:right="0" w:firstLine="562" w:firstLineChars="200"/>
        <w:jc w:val="both"/>
        <w:textAlignment w:val="auto"/>
        <w:outlineLvl w:val="9"/>
        <w:rPr>
          <w:rFonts w:hint="eastAsia"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lang w:val="en-US" w:eastAsia="zh-CN"/>
        </w:rPr>
        <w:t xml:space="preserve">  36.</w:t>
      </w:r>
      <w:r>
        <w:rPr>
          <w:rFonts w:hint="eastAsia" w:ascii="仿宋_GB2312" w:hAnsi="仿宋_GB2312" w:eastAsia="仿宋_GB2312" w:cs="仿宋_GB2312"/>
          <w:b/>
          <w:kern w:val="0"/>
          <w:sz w:val="28"/>
          <w:szCs w:val="28"/>
        </w:rPr>
        <w:t>其他规定</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w:t>
      </w:r>
      <w:r>
        <w:rPr>
          <w:rFonts w:hint="eastAsia" w:ascii="仿宋_GB2312" w:hAnsi="仿宋_GB2312" w:eastAsia="仿宋_GB2312" w:cs="仿宋_GB2312"/>
          <w:kern w:val="0"/>
          <w:sz w:val="28"/>
          <w:szCs w:val="28"/>
          <w:lang w:val="en-US" w:eastAsia="zh-CN"/>
        </w:rPr>
        <w:t>6</w:t>
      </w:r>
      <w:r>
        <w:rPr>
          <w:rFonts w:hint="eastAsia" w:ascii="仿宋_GB2312" w:hAnsi="仿宋_GB2312" w:eastAsia="仿宋_GB2312" w:cs="仿宋_GB2312"/>
          <w:kern w:val="0"/>
          <w:sz w:val="28"/>
          <w:szCs w:val="28"/>
        </w:rPr>
        <w:t>.1 采购人、采购代理机构应当建立真实完整的招标采购档案，妥善保存每项采购活动的采购文件。</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w:t>
      </w:r>
      <w:r>
        <w:rPr>
          <w:rFonts w:hint="eastAsia" w:ascii="仿宋_GB2312" w:hAnsi="仿宋_GB2312" w:eastAsia="仿宋_GB2312" w:cs="仿宋_GB2312"/>
          <w:kern w:val="0"/>
          <w:sz w:val="28"/>
          <w:szCs w:val="28"/>
          <w:lang w:val="en-US" w:eastAsia="zh-CN"/>
        </w:rPr>
        <w:t>6</w:t>
      </w:r>
      <w:r>
        <w:rPr>
          <w:rFonts w:hint="eastAsia" w:ascii="仿宋_GB2312" w:hAnsi="仿宋_GB2312" w:eastAsia="仿宋_GB2312" w:cs="仿宋_GB2312"/>
          <w:kern w:val="0"/>
          <w:sz w:val="28"/>
          <w:szCs w:val="28"/>
        </w:rPr>
        <w:t>.2 招标文件的其他规定见投标须知前附表。</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w:t>
      </w:r>
      <w:r>
        <w:rPr>
          <w:rFonts w:hint="eastAsia" w:ascii="仿宋_GB2312" w:hAnsi="仿宋_GB2312" w:eastAsia="仿宋_GB2312" w:cs="仿宋_GB2312"/>
          <w:kern w:val="0"/>
          <w:sz w:val="28"/>
          <w:szCs w:val="28"/>
          <w:lang w:val="en-US" w:eastAsia="zh-CN"/>
        </w:rPr>
        <w:t>6</w:t>
      </w:r>
      <w:r>
        <w:rPr>
          <w:rFonts w:hint="eastAsia" w:ascii="仿宋_GB2312" w:hAnsi="仿宋_GB2312" w:eastAsia="仿宋_GB2312" w:cs="仿宋_GB2312"/>
          <w:kern w:val="0"/>
          <w:sz w:val="28"/>
          <w:szCs w:val="28"/>
        </w:rPr>
        <w:t>.3 本招标文件是根据《中华人民共和国政府采购法》、《中华人民共和国政府采购法实施条例》和《政府采购货物和服务招标投标管理办法》（财政部令第87号）的规定编制，解释权属</w:t>
      </w:r>
      <w:r>
        <w:rPr>
          <w:rFonts w:hint="eastAsia" w:ascii="仿宋_GB2312" w:hAnsi="仿宋_GB2312" w:eastAsia="仿宋_GB2312" w:cs="仿宋_GB2312"/>
          <w:bCs/>
          <w:kern w:val="0"/>
          <w:sz w:val="28"/>
          <w:szCs w:val="28"/>
        </w:rPr>
        <w:t>新疆</w:t>
      </w:r>
      <w:r>
        <w:rPr>
          <w:rFonts w:hint="eastAsia" w:ascii="仿宋_GB2312" w:hAnsi="仿宋_GB2312" w:eastAsia="仿宋_GB2312" w:cs="仿宋_GB2312"/>
          <w:bCs/>
          <w:kern w:val="0"/>
          <w:sz w:val="28"/>
          <w:szCs w:val="28"/>
          <w:lang w:val="en-US" w:eastAsia="zh-CN"/>
        </w:rPr>
        <w:t>崇业招标代理有限公司</w:t>
      </w:r>
      <w:r>
        <w:rPr>
          <w:rFonts w:hint="eastAsia" w:ascii="仿宋_GB2312" w:hAnsi="仿宋_GB2312" w:eastAsia="仿宋_GB2312" w:cs="仿宋_GB2312"/>
          <w:kern w:val="0"/>
          <w:sz w:val="28"/>
          <w:szCs w:val="28"/>
        </w:rPr>
        <w:t>。</w:t>
      </w:r>
    </w:p>
    <w:p>
      <w:pPr>
        <w:adjustRightInd w:val="0"/>
        <w:snapToGrid w:val="0"/>
        <w:spacing w:line="360" w:lineRule="auto"/>
        <w:ind w:firstLine="48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w:t>
      </w:r>
      <w:r>
        <w:rPr>
          <w:rFonts w:hint="eastAsia" w:ascii="仿宋_GB2312" w:hAnsi="仿宋_GB2312" w:eastAsia="仿宋_GB2312" w:cs="仿宋_GB2312"/>
          <w:kern w:val="0"/>
          <w:sz w:val="28"/>
          <w:szCs w:val="28"/>
          <w:lang w:val="en-US" w:eastAsia="zh-CN"/>
        </w:rPr>
        <w:t>6</w:t>
      </w:r>
      <w:r>
        <w:rPr>
          <w:rFonts w:hint="eastAsia" w:ascii="仿宋_GB2312" w:hAnsi="仿宋_GB2312" w:eastAsia="仿宋_GB2312" w:cs="仿宋_GB2312"/>
          <w:kern w:val="0"/>
          <w:sz w:val="28"/>
          <w:szCs w:val="28"/>
        </w:rPr>
        <w:t>.</w:t>
      </w:r>
      <w:r>
        <w:rPr>
          <w:rFonts w:hint="eastAsia" w:ascii="仿宋_GB2312" w:hAnsi="仿宋_GB2312" w:eastAsia="仿宋_GB2312" w:cs="仿宋_GB2312"/>
          <w:kern w:val="0"/>
          <w:sz w:val="28"/>
          <w:szCs w:val="28"/>
          <w:lang w:val="en-US" w:eastAsia="zh-CN"/>
        </w:rPr>
        <w:t>4</w:t>
      </w:r>
      <w:r>
        <w:rPr>
          <w:rFonts w:hint="eastAsia" w:ascii="仿宋_GB2312" w:hAnsi="仿宋_GB2312" w:eastAsia="仿宋_GB2312" w:cs="仿宋_GB2312"/>
          <w:kern w:val="0"/>
          <w:sz w:val="28"/>
          <w:szCs w:val="28"/>
        </w:rPr>
        <w:t>参与本次招标的投标人应当派商务、技术人员参加开标会议，并对评标委员会提出的商务、技术问题进行答疑和澄清。</w:t>
      </w:r>
    </w:p>
    <w:p>
      <w:pPr>
        <w:ind w:firstLine="640"/>
        <w:jc w:val="center"/>
        <w:rPr>
          <w:rFonts w:hint="eastAsia" w:ascii="黑体" w:hAnsi="黑体" w:eastAsia="黑体" w:cs="黑体"/>
          <w:b w:val="0"/>
          <w:bCs w:val="0"/>
          <w:sz w:val="32"/>
          <w:szCs w:val="32"/>
        </w:rPr>
      </w:pPr>
      <w:r>
        <w:rPr>
          <w:rFonts w:hint="eastAsia" w:ascii="仿宋_GB2312" w:hAnsi="仿宋_GB2312" w:eastAsia="仿宋_GB2312" w:cs="仿宋_GB2312"/>
          <w:sz w:val="28"/>
          <w:szCs w:val="28"/>
        </w:rPr>
        <w:br w:type="page"/>
      </w:r>
      <w:bookmarkStart w:id="32" w:name="_Toc19109_WPSOffice_Level1"/>
      <w:bookmarkStart w:id="33" w:name="_Toc6248"/>
      <w:r>
        <w:rPr>
          <w:rFonts w:hint="eastAsia" w:ascii="黑体" w:hAnsi="黑体" w:eastAsia="黑体" w:cs="黑体"/>
          <w:b w:val="0"/>
          <w:bCs w:val="0"/>
          <w:sz w:val="32"/>
          <w:szCs w:val="32"/>
        </w:rPr>
        <w:t>第三章 评标标准</w:t>
      </w:r>
      <w:bookmarkEnd w:id="8"/>
      <w:bookmarkEnd w:id="32"/>
      <w:bookmarkEnd w:id="33"/>
    </w:p>
    <w:p>
      <w:pPr>
        <w:pStyle w:val="3"/>
        <w:widowControl w:val="0"/>
        <w:numPr>
          <w:ilvl w:val="1"/>
          <w:numId w:val="0"/>
        </w:numPr>
        <w:wordWrap/>
        <w:spacing w:line="560" w:lineRule="exact"/>
        <w:ind w:right="0"/>
        <w:textAlignment w:val="auto"/>
        <w:rPr>
          <w:rFonts w:hint="eastAsia" w:ascii="仿宋_GB2312" w:hAnsi="仿宋_GB2312" w:eastAsia="仿宋_GB2312" w:cs="仿宋_GB2312"/>
          <w:sz w:val="28"/>
          <w:szCs w:val="28"/>
        </w:rPr>
      </w:pPr>
      <w:bookmarkStart w:id="34" w:name="_Toc26131"/>
      <w:bookmarkStart w:id="35" w:name="_Toc6965_WPSOffice_Level2"/>
      <w:r>
        <w:rPr>
          <w:rFonts w:hint="eastAsia" w:ascii="仿宋_GB2312" w:hAnsi="仿宋_GB2312" w:eastAsia="仿宋_GB2312" w:cs="仿宋_GB2312"/>
          <w:sz w:val="28"/>
          <w:szCs w:val="28"/>
        </w:rPr>
        <w:t>一</w:t>
      </w:r>
      <w:r>
        <w:rPr>
          <w:rFonts w:hint="eastAsia" w:ascii="仿宋_GB2312" w:hAnsi="仿宋_GB2312" w:eastAsia="仿宋_GB2312" w:cs="仿宋_GB2312"/>
          <w:b/>
          <w:kern w:val="0"/>
          <w:sz w:val="28"/>
          <w:szCs w:val="28"/>
        </w:rPr>
        <w:t xml:space="preserve">. </w:t>
      </w:r>
      <w:r>
        <w:rPr>
          <w:rFonts w:hint="eastAsia" w:ascii="仿宋_GB2312" w:hAnsi="仿宋_GB2312" w:eastAsia="仿宋_GB2312" w:cs="仿宋_GB2312"/>
          <w:sz w:val="28"/>
          <w:szCs w:val="28"/>
        </w:rPr>
        <w:t>总则</w:t>
      </w:r>
      <w:bookmarkEnd w:id="34"/>
      <w:bookmarkEnd w:id="35"/>
    </w:p>
    <w:p>
      <w:pPr>
        <w:pStyle w:val="4"/>
        <w:widowControl w:val="0"/>
        <w:numPr>
          <w:ilvl w:val="2"/>
          <w:numId w:val="0"/>
        </w:numPr>
        <w:tabs>
          <w:tab w:val="left" w:pos="468"/>
        </w:tabs>
        <w:wordWrap/>
        <w:spacing w:line="560" w:lineRule="exact"/>
        <w:ind w:left="640" w:leftChars="200" w:right="0"/>
        <w:textAlignment w:val="auto"/>
        <w:rPr>
          <w:rFonts w:hint="eastAsia" w:ascii="仿宋_GB2312" w:hAnsi="仿宋_GB2312" w:eastAsia="仿宋_GB2312" w:cs="仿宋_GB2312"/>
          <w:sz w:val="28"/>
          <w:szCs w:val="28"/>
        </w:rPr>
      </w:pPr>
      <w:bookmarkStart w:id="36" w:name="_Toc23716"/>
      <w:r>
        <w:rPr>
          <w:rFonts w:hint="eastAsia" w:ascii="仿宋_GB2312" w:hAnsi="仿宋_GB2312" w:eastAsia="仿宋_GB2312" w:cs="仿宋_GB2312"/>
          <w:sz w:val="28"/>
          <w:szCs w:val="28"/>
        </w:rPr>
        <w:t>1.评标委员会</w:t>
      </w:r>
      <w:bookmarkEnd w:id="36"/>
    </w:p>
    <w:p>
      <w:pPr>
        <w:widowControl w:val="0"/>
        <w:wordWrap/>
        <w:spacing w:line="560" w:lineRule="exact"/>
        <w:ind w:right="0"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1.1评标由依法组建的评标委员会负责,其成员构成方式详见投标须知正文。</w:t>
      </w:r>
    </w:p>
    <w:p>
      <w:pPr>
        <w:pStyle w:val="4"/>
        <w:widowControl w:val="0"/>
        <w:numPr>
          <w:ilvl w:val="2"/>
          <w:numId w:val="0"/>
        </w:numPr>
        <w:tabs>
          <w:tab w:val="left" w:pos="468"/>
        </w:tabs>
        <w:wordWrap/>
        <w:spacing w:line="560" w:lineRule="exact"/>
        <w:ind w:left="640" w:leftChars="200" w:right="0"/>
        <w:textAlignment w:val="auto"/>
        <w:rPr>
          <w:rFonts w:hint="eastAsia" w:ascii="仿宋_GB2312" w:hAnsi="仿宋_GB2312" w:eastAsia="仿宋_GB2312" w:cs="仿宋_GB2312"/>
          <w:sz w:val="28"/>
          <w:szCs w:val="28"/>
        </w:rPr>
      </w:pPr>
      <w:bookmarkStart w:id="37" w:name="_Toc762"/>
      <w:r>
        <w:rPr>
          <w:rFonts w:hint="eastAsia" w:ascii="仿宋_GB2312" w:hAnsi="仿宋_GB2312" w:eastAsia="仿宋_GB2312" w:cs="仿宋_GB2312"/>
          <w:sz w:val="28"/>
          <w:szCs w:val="28"/>
        </w:rPr>
        <w:t>2.评标方法</w:t>
      </w:r>
      <w:bookmarkEnd w:id="37"/>
    </w:p>
    <w:p>
      <w:pPr>
        <w:widowControl w:val="0"/>
        <w:wordWrap/>
        <w:spacing w:line="560" w:lineRule="exact"/>
        <w:ind w:right="0"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2.1本项目评标方法为：综合评分法。</w:t>
      </w:r>
    </w:p>
    <w:p>
      <w:pPr>
        <w:widowControl w:val="0"/>
        <w:wordWrap/>
        <w:spacing w:line="560" w:lineRule="exact"/>
        <w:ind w:right="0"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2.1.1综合评分法，是投标文件满足招标文件全部实质性要求，且按照评标因素的量化指标评标得分最高的投标人为中标候选人的评标方法。</w:t>
      </w:r>
    </w:p>
    <w:p>
      <w:pPr>
        <w:widowControl w:val="0"/>
        <w:wordWrap/>
        <w:spacing w:line="560" w:lineRule="exact"/>
        <w:ind w:right="0"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评标因素的设定与投标人所提供货物服务的质量相关，包括投标报价、技术或者服务水平、履约能力、售后服务等。资格条件不得作为评标因素。</w:t>
      </w:r>
    </w:p>
    <w:p>
      <w:pPr>
        <w:widowControl w:val="0"/>
        <w:wordWrap/>
        <w:spacing w:line="560" w:lineRule="exact"/>
        <w:ind w:right="0"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2.1.2评标时，评标委员会各成员应当独立对每个投标人的投标文件进行评价，并汇总每个投标人的得分。</w:t>
      </w:r>
    </w:p>
    <w:p>
      <w:pPr>
        <w:widowControl w:val="0"/>
        <w:wordWrap/>
        <w:spacing w:line="560" w:lineRule="exact"/>
        <w:ind w:right="0"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2.1.3评标过程中，不得去掉报价中的最高报价和最低报价。</w:t>
      </w:r>
    </w:p>
    <w:p>
      <w:pPr>
        <w:widowControl w:val="0"/>
        <w:wordWrap/>
        <w:spacing w:line="560" w:lineRule="exact"/>
        <w:ind w:right="0"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2.1.4因落实政府采购政策进行价格调整的，以调整后的价格计算评标基准价和投标报价。</w:t>
      </w:r>
    </w:p>
    <w:p>
      <w:pPr>
        <w:widowControl w:val="0"/>
        <w:wordWrap/>
        <w:spacing w:line="560" w:lineRule="exact"/>
        <w:ind w:right="0"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2.2评标结果按评标后得分由高到低顺序排列，得分相同的，按投标报价由低到高顺序排列。得分且投标报价相同的并列。投标文件满足招标文件全部实质性要求，且按照评标因素的量化指标评标得分最高的投标人为排名第一的中标候选人。</w:t>
      </w:r>
    </w:p>
    <w:p>
      <w:pPr>
        <w:pStyle w:val="4"/>
        <w:widowControl w:val="0"/>
        <w:numPr>
          <w:ilvl w:val="2"/>
          <w:numId w:val="0"/>
        </w:numPr>
        <w:tabs>
          <w:tab w:val="left" w:pos="468"/>
        </w:tabs>
        <w:wordWrap/>
        <w:spacing w:line="560" w:lineRule="exact"/>
        <w:ind w:left="640" w:leftChars="200" w:right="0"/>
        <w:textAlignment w:val="auto"/>
        <w:rPr>
          <w:rFonts w:hint="eastAsia" w:ascii="仿宋_GB2312" w:hAnsi="仿宋_GB2312" w:eastAsia="仿宋_GB2312" w:cs="仿宋_GB2312"/>
          <w:sz w:val="28"/>
          <w:szCs w:val="28"/>
        </w:rPr>
      </w:pPr>
      <w:bookmarkStart w:id="38" w:name="_Toc586"/>
      <w:r>
        <w:rPr>
          <w:rFonts w:hint="eastAsia" w:ascii="仿宋_GB2312" w:hAnsi="仿宋_GB2312" w:eastAsia="仿宋_GB2312" w:cs="仿宋_GB2312"/>
          <w:sz w:val="28"/>
          <w:szCs w:val="28"/>
        </w:rPr>
        <w:t>3.评标原则和评标纪律</w:t>
      </w:r>
      <w:bookmarkEnd w:id="38"/>
    </w:p>
    <w:p>
      <w:pPr>
        <w:widowControl w:val="0"/>
        <w:wordWrap/>
        <w:spacing w:line="560" w:lineRule="exact"/>
        <w:ind w:right="0"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3.1评标委员会成员应当按照客观、公正、审慎的原则，根据招标文件规定的评标程序、评标方法和评标标准进行独立评标。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pPr>
        <w:widowControl w:val="0"/>
        <w:wordWrap/>
        <w:spacing w:line="560" w:lineRule="exact"/>
        <w:ind w:right="0"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3.2评标委员会成员应当在评标报告上签字，对自己的评标意见承担法律责任。评标委员会成员对需要共同认定的事项存在争议的，应当按照少数服从多数的原则作出结论。持不同意见的评标委员会成员应当在评标报告上签署不同意见及理由，否则视为同意评标报告。</w:t>
      </w:r>
    </w:p>
    <w:p>
      <w:pPr>
        <w:widowControl w:val="0"/>
        <w:wordWrap/>
        <w:spacing w:line="560" w:lineRule="exact"/>
        <w:ind w:right="0"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3.3评标纪律</w:t>
      </w:r>
    </w:p>
    <w:p>
      <w:pPr>
        <w:widowControl w:val="0"/>
        <w:wordWrap/>
        <w:spacing w:line="560" w:lineRule="exact"/>
        <w:ind w:right="0"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3.3.1采购人委派代表参加评标委员会的，应当向采购代理机构出具授权函。除授权代表外，采购人可以委派纪检监察等相关人员进入评标现场，对评标工作实施监督，但不得超过２人。采购人需要在评标前介绍项目背景和技术需求的，应当事先提交书面介绍材料，介绍内容不得存在歧视性、倾向性意见，不得超出采购文件所述范围，书面介绍材料作为采购项目文件随其他文件一并存档。评标委员会应当推选组长，但采购人代表不得担任组长。</w:t>
      </w:r>
    </w:p>
    <w:p>
      <w:pPr>
        <w:widowControl w:val="0"/>
        <w:wordWrap/>
        <w:spacing w:line="560" w:lineRule="exact"/>
        <w:ind w:right="0"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3.3.2评标委员会成员要严格遵守评标时间，主动出具身份证明，遵守评标工作纪律和评标回避的相关规定。在评标工作开始前，将手机等通讯工具或相关电子设备交由采购人或采购代理机构统一保管，拒不上交的，采购人或采购代理机构可以拒绝其参加评标工作并向财政部门报告。</w:t>
      </w:r>
    </w:p>
    <w:p>
      <w:pPr>
        <w:widowControl w:val="0"/>
        <w:wordWrap/>
        <w:spacing w:line="560" w:lineRule="exact"/>
        <w:ind w:right="0"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3.3.3评标委员会成员和评标工作有关人员不得干预或者影响正常评标工作，不得明示或者暗示其倾向性、引导性意见，不得修改或细化采购文件确定的评标程序、评标方法、评标因素和评标标准，不得接受投标人主动提出的澄清和解释，不得征询采购人代表的倾向性意见，不得协商评分，不得记录、复制或带走任何评标资料。评标结果汇总完成后，采购人、采购代理机构和评标委员会均不得修改评标结果或者要求重新评标，但资格性检查认定错误、分值汇总计算错误、分项评分超出评分标准范围、客观分评分不一致、经评标委员会一致认定评分畸高、畸低的情形除外。出现上述除外情形的，评标委员会应当现场修改评标结果，并在评标报告中明确记载。</w:t>
      </w:r>
    </w:p>
    <w:p>
      <w:pPr>
        <w:widowControl w:val="0"/>
        <w:wordWrap/>
        <w:spacing w:line="560" w:lineRule="exact"/>
        <w:ind w:right="0"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3.3.4评标委员会成员不得私自泄露评标内容。评标过程应严格遵守保密制度。开标后,直到授予中标人合同止，凡是属于审查、澄清、评价和比较的有关资料以及授标建议等均不得向投标人或其他无关的人员透露。</w:t>
      </w:r>
    </w:p>
    <w:p>
      <w:pPr>
        <w:widowControl w:val="0"/>
        <w:wordWrap/>
        <w:spacing w:line="560" w:lineRule="exact"/>
        <w:ind w:right="0"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3.3.5采购人、采购代理机构要加强评标现场管理，与评标工作无关的人员不得进入评标现场。各级财政部门对评标活动相关各方违反评标工作纪律及要求的行为，将依法严肃处理。</w:t>
      </w:r>
    </w:p>
    <w:p>
      <w:pPr>
        <w:widowControl w:val="0"/>
        <w:wordWrap/>
        <w:spacing w:line="560" w:lineRule="exact"/>
        <w:ind w:right="0"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3.4评标委员会成员应当履行的义务</w:t>
      </w:r>
    </w:p>
    <w:p>
      <w:pPr>
        <w:widowControl w:val="0"/>
        <w:wordWrap/>
        <w:spacing w:line="560" w:lineRule="exact"/>
        <w:ind w:right="0"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3.4.1评标委员会成员应根据政府采购法律法规和采购文件所载明的评标方法、标准进行评标，遵纪守法，客观、公正、廉洁地履行职责。</w:t>
      </w:r>
    </w:p>
    <w:p>
      <w:pPr>
        <w:widowControl w:val="0"/>
        <w:wordWrap/>
        <w:spacing w:line="560" w:lineRule="exact"/>
        <w:ind w:right="0"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3.4.2评标委员会成员应熟悉和理解采购文件，认真阅读所有投标人的投标文件，对所有投标文件逐一进行资格性、符合性检查，按采购文件规定的评标方法和标准，进行比较和评价；</w:t>
      </w:r>
    </w:p>
    <w:p>
      <w:pPr>
        <w:widowControl w:val="0"/>
        <w:wordWrap/>
        <w:spacing w:line="560" w:lineRule="exact"/>
        <w:ind w:right="0"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3.4.3对投标人的价格分等客观评分项的评分应当一致，对其他需要借助专业知识评判的主观评分项，应当严格按照评分细则公正评分。</w:t>
      </w:r>
    </w:p>
    <w:p>
      <w:pPr>
        <w:widowControl w:val="0"/>
        <w:wordWrap/>
        <w:spacing w:line="560" w:lineRule="exact"/>
        <w:ind w:right="0"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3.4.4评标委员会如需要投标人对投标文件有关事项作出澄清的，应当给予投标人必要的反馈时间，但澄清事项不得超出投标文件的范围，不得实质性改变投标文件的内容，不得通过澄清等方式对投标人实行差别对待。</w:t>
      </w:r>
    </w:p>
    <w:p>
      <w:pPr>
        <w:widowControl w:val="0"/>
        <w:wordWrap/>
        <w:spacing w:line="560" w:lineRule="exact"/>
        <w:ind w:right="0"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3.4.5评标委员会应对评分汇总情况进行复核，特别是对排名第一的、报价最低的投标或相应文件被认定为无效的情形进行重点复核，并根据评标结果推荐中标候选人，或者根据采购人委托协议规定直接确定中标人，起草并签署评标报告。</w:t>
      </w:r>
    </w:p>
    <w:p>
      <w:pPr>
        <w:widowControl w:val="0"/>
        <w:wordWrap/>
        <w:spacing w:line="560" w:lineRule="exact"/>
        <w:ind w:right="0"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3.4.6评标委员会应在采购项目招标失败时，出具招标文件是否存在不合理条款的论证意见，并协助采购人、采购代理机构、财政部门答复质疑或处理投诉事项。</w:t>
      </w:r>
    </w:p>
    <w:p>
      <w:pPr>
        <w:widowControl w:val="0"/>
        <w:wordWrap/>
        <w:spacing w:line="560" w:lineRule="exact"/>
        <w:ind w:right="0"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3.4.7评标委员会应对评标过程和结果以及投标人的商业秘密保密。</w:t>
      </w:r>
    </w:p>
    <w:p>
      <w:pPr>
        <w:pStyle w:val="3"/>
        <w:widowControl w:val="0"/>
        <w:numPr>
          <w:ilvl w:val="1"/>
          <w:numId w:val="0"/>
        </w:numPr>
        <w:wordWrap/>
        <w:spacing w:line="560" w:lineRule="exact"/>
        <w:ind w:right="0"/>
        <w:textAlignment w:val="auto"/>
        <w:rPr>
          <w:rFonts w:hint="eastAsia" w:ascii="仿宋_GB2312" w:hAnsi="仿宋_GB2312" w:eastAsia="仿宋_GB2312" w:cs="仿宋_GB2312"/>
          <w:sz w:val="28"/>
          <w:szCs w:val="28"/>
        </w:rPr>
      </w:pPr>
      <w:bookmarkStart w:id="39" w:name="_Toc15375"/>
      <w:bookmarkStart w:id="40" w:name="_Toc27550_WPSOffice_Level2"/>
      <w:r>
        <w:rPr>
          <w:rFonts w:hint="eastAsia" w:ascii="仿宋_GB2312" w:hAnsi="仿宋_GB2312" w:eastAsia="仿宋_GB2312" w:cs="仿宋_GB2312"/>
          <w:sz w:val="28"/>
          <w:szCs w:val="28"/>
        </w:rPr>
        <w:t>二</w:t>
      </w:r>
      <w:r>
        <w:rPr>
          <w:rFonts w:hint="eastAsia" w:ascii="仿宋_GB2312" w:hAnsi="仿宋_GB2312" w:eastAsia="仿宋_GB2312" w:cs="仿宋_GB2312"/>
          <w:b/>
          <w:kern w:val="0"/>
          <w:sz w:val="28"/>
          <w:szCs w:val="28"/>
        </w:rPr>
        <w:t xml:space="preserve">. </w:t>
      </w:r>
      <w:r>
        <w:rPr>
          <w:rFonts w:hint="eastAsia" w:ascii="仿宋_GB2312" w:hAnsi="仿宋_GB2312" w:eastAsia="仿宋_GB2312" w:cs="仿宋_GB2312"/>
          <w:sz w:val="28"/>
          <w:szCs w:val="28"/>
        </w:rPr>
        <w:t>评标程序</w:t>
      </w:r>
      <w:bookmarkEnd w:id="39"/>
      <w:bookmarkEnd w:id="40"/>
    </w:p>
    <w:p>
      <w:pPr>
        <w:pStyle w:val="4"/>
        <w:widowControl w:val="0"/>
        <w:numPr>
          <w:ilvl w:val="2"/>
          <w:numId w:val="0"/>
        </w:numPr>
        <w:tabs>
          <w:tab w:val="left" w:pos="468"/>
        </w:tabs>
        <w:wordWrap/>
        <w:spacing w:line="560" w:lineRule="exact"/>
        <w:ind w:left="640" w:leftChars="200" w:right="0"/>
        <w:textAlignment w:val="auto"/>
        <w:rPr>
          <w:rFonts w:hint="eastAsia" w:ascii="仿宋_GB2312" w:hAnsi="仿宋_GB2312" w:eastAsia="仿宋_GB2312" w:cs="仿宋_GB2312"/>
          <w:sz w:val="28"/>
          <w:szCs w:val="28"/>
        </w:rPr>
      </w:pPr>
      <w:bookmarkStart w:id="41" w:name="_Toc31634"/>
      <w:r>
        <w:rPr>
          <w:rFonts w:hint="eastAsia" w:ascii="仿宋_GB2312" w:hAnsi="仿宋_GB2312" w:eastAsia="仿宋_GB2312" w:cs="仿宋_GB2312"/>
          <w:sz w:val="28"/>
          <w:szCs w:val="28"/>
        </w:rPr>
        <w:t>4.投标文件的初步评标</w:t>
      </w:r>
      <w:bookmarkEnd w:id="41"/>
    </w:p>
    <w:p>
      <w:pPr>
        <w:widowControl w:val="0"/>
        <w:wordWrap/>
        <w:spacing w:line="560" w:lineRule="exact"/>
        <w:ind w:right="0"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4.1初步评标分为资格性检查和符合性检查。</w:t>
      </w:r>
    </w:p>
    <w:p>
      <w:pPr>
        <w:widowControl w:val="0"/>
        <w:wordWrap/>
        <w:spacing w:line="560" w:lineRule="exact"/>
        <w:ind w:right="0"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4.1.1资格性检查</w:t>
      </w:r>
    </w:p>
    <w:p>
      <w:pPr>
        <w:widowControl w:val="0"/>
        <w:wordWrap/>
        <w:spacing w:line="560" w:lineRule="exact"/>
        <w:ind w:right="0"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根据法律法规和招标文件的规定，对投标文件中的资格证明文件、投标保证金等进行审查，以确定投标投标人是否具备投标资格。</w:t>
      </w:r>
      <w:r>
        <w:rPr>
          <w:rFonts w:hint="eastAsia" w:ascii="仿宋_GB2312" w:hAnsi="仿宋_GB2312" w:eastAsia="仿宋_GB2312" w:cs="仿宋_GB2312"/>
          <w:b/>
          <w:bCs/>
          <w:sz w:val="28"/>
          <w:szCs w:val="28"/>
          <w:lang w:val="en-US" w:eastAsia="zh-CN"/>
        </w:rPr>
        <w:t>一</w:t>
      </w:r>
      <w:r>
        <w:rPr>
          <w:rFonts w:hint="eastAsia" w:ascii="仿宋_GB2312" w:hAnsi="仿宋_GB2312" w:eastAsia="仿宋_GB2312" w:cs="仿宋_GB2312"/>
          <w:b/>
          <w:bCs/>
          <w:sz w:val="28"/>
          <w:szCs w:val="28"/>
        </w:rPr>
        <w:t>.资格性</w:t>
      </w:r>
      <w:r>
        <w:rPr>
          <w:rFonts w:hint="eastAsia" w:ascii="仿宋_GB2312" w:hAnsi="仿宋_GB2312" w:eastAsia="仿宋_GB2312" w:cs="仿宋_GB2312"/>
          <w:b/>
          <w:bCs/>
          <w:sz w:val="28"/>
          <w:szCs w:val="28"/>
          <w:lang w:val="en-US" w:eastAsia="zh-CN"/>
        </w:rPr>
        <w:t>审</w:t>
      </w:r>
      <w:r>
        <w:rPr>
          <w:rFonts w:hint="eastAsia" w:ascii="仿宋_GB2312" w:hAnsi="仿宋_GB2312" w:eastAsia="仿宋_GB2312" w:cs="仿宋_GB2312"/>
          <w:b/>
          <w:bCs/>
          <w:sz w:val="28"/>
          <w:szCs w:val="28"/>
        </w:rPr>
        <w:t>查</w:t>
      </w:r>
      <w:r>
        <w:rPr>
          <w:rFonts w:hint="eastAsia" w:ascii="仿宋_GB2312" w:hAnsi="仿宋_GB2312" w:eastAsia="仿宋_GB2312" w:cs="仿宋_GB2312"/>
          <w:b/>
          <w:bCs/>
          <w:sz w:val="28"/>
          <w:szCs w:val="28"/>
          <w:lang w:val="en-US" w:eastAsia="zh-CN"/>
        </w:rPr>
        <w:t>表</w:t>
      </w:r>
    </w:p>
    <w:tbl>
      <w:tblPr>
        <w:tblpPr w:leftFromText="180" w:rightFromText="180" w:vertAnchor="text" w:horzAnchor="page" w:tblpX="1508" w:tblpY="240"/>
        <w:tblOverlap w:val="never"/>
        <w:tblW w:w="92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gridCol w:w="668"/>
        <w:gridCol w:w="7101"/>
        <w:gridCol w:w="945"/>
      </w:tblGrid>
      <w:tr>
        <w:trPr>
          <w:trHeight w:val="614" w:hRule="atLeast"/>
        </w:trPr>
        <w:tc>
          <w:tcPr>
            <w:tcW w:w="517" w:type="dxa"/>
            <w:vMerge w:val="restart"/>
            <w:vAlign w:val="center"/>
          </w:tcPr>
          <w:p>
            <w:pPr>
              <w:pStyle w:val="17"/>
              <w:spacing w:line="500" w:lineRule="exact"/>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资格性审查</w:t>
            </w:r>
          </w:p>
          <w:p>
            <w:pPr>
              <w:pStyle w:val="17"/>
              <w:spacing w:line="500" w:lineRule="exact"/>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 xml:space="preserve">  </w:t>
            </w:r>
          </w:p>
          <w:p>
            <w:pPr>
              <w:pStyle w:val="17"/>
              <w:spacing w:line="500" w:lineRule="exact"/>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 xml:space="preserve">  </w:t>
            </w:r>
          </w:p>
          <w:p>
            <w:pPr>
              <w:pStyle w:val="17"/>
              <w:spacing w:line="500" w:lineRule="exact"/>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 xml:space="preserve">  </w:t>
            </w:r>
          </w:p>
          <w:p>
            <w:pPr>
              <w:pStyle w:val="17"/>
              <w:spacing w:line="50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 xml:space="preserve">  </w:t>
            </w:r>
          </w:p>
        </w:tc>
        <w:tc>
          <w:tcPr>
            <w:tcW w:w="668" w:type="dxa"/>
            <w:vAlign w:val="center"/>
          </w:tcPr>
          <w:p>
            <w:pPr>
              <w:pStyle w:val="17"/>
              <w:spacing w:line="50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序号</w:t>
            </w:r>
          </w:p>
        </w:tc>
        <w:tc>
          <w:tcPr>
            <w:tcW w:w="7101" w:type="dxa"/>
            <w:vAlign w:val="center"/>
          </w:tcPr>
          <w:p>
            <w:pPr>
              <w:pStyle w:val="17"/>
              <w:spacing w:line="500" w:lineRule="exact"/>
              <w:jc w:val="center"/>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内容</w:t>
            </w:r>
          </w:p>
        </w:tc>
        <w:tc>
          <w:tcPr>
            <w:tcW w:w="945" w:type="dxa"/>
            <w:vAlign w:val="center"/>
          </w:tcPr>
          <w:p>
            <w:pPr>
              <w:pStyle w:val="17"/>
              <w:spacing w:line="500" w:lineRule="exact"/>
              <w:jc w:val="both"/>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是否通</w:t>
            </w:r>
            <w:r>
              <w:rPr>
                <w:rFonts w:hint="eastAsia" w:ascii="仿宋_GB2312" w:hAnsi="仿宋_GB2312" w:eastAsia="仿宋_GB2312" w:cs="仿宋_GB2312"/>
                <w:b/>
                <w:bCs/>
                <w:color w:val="auto"/>
                <w:sz w:val="28"/>
                <w:szCs w:val="28"/>
                <w:lang w:val="en-US" w:eastAsia="zh-CN"/>
              </w:rPr>
              <w:t xml:space="preserve"> </w:t>
            </w:r>
            <w:r>
              <w:rPr>
                <w:rFonts w:hint="eastAsia" w:ascii="仿宋_GB2312" w:hAnsi="仿宋_GB2312" w:eastAsia="仿宋_GB2312" w:cs="仿宋_GB2312"/>
                <w:b/>
                <w:bCs/>
                <w:color w:val="auto"/>
                <w:sz w:val="28"/>
                <w:szCs w:val="28"/>
              </w:rPr>
              <w:t>过</w:t>
            </w:r>
          </w:p>
        </w:tc>
      </w:tr>
      <w:tr>
        <w:tc>
          <w:tcPr>
            <w:tcW w:w="517" w:type="dxa"/>
            <w:vMerge w:val="continue"/>
            <w:vAlign w:val="center"/>
          </w:tcPr>
          <w:p>
            <w:pPr>
              <w:pStyle w:val="17"/>
              <w:spacing w:line="500" w:lineRule="exact"/>
              <w:rPr>
                <w:rFonts w:hint="eastAsia" w:ascii="仿宋_GB2312" w:hAnsi="仿宋_GB2312" w:eastAsia="仿宋_GB2312" w:cs="仿宋_GB2312"/>
                <w:color w:val="auto"/>
                <w:sz w:val="28"/>
                <w:szCs w:val="28"/>
              </w:rPr>
            </w:pPr>
          </w:p>
        </w:tc>
        <w:tc>
          <w:tcPr>
            <w:tcW w:w="668" w:type="dxa"/>
            <w:vAlign w:val="center"/>
          </w:tcPr>
          <w:p>
            <w:pPr>
              <w:pStyle w:val="17"/>
              <w:spacing w:line="500" w:lineRule="exact"/>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w:t>
            </w:r>
          </w:p>
        </w:tc>
        <w:tc>
          <w:tcPr>
            <w:tcW w:w="7101" w:type="dxa"/>
            <w:vAlign w:val="center"/>
          </w:tcPr>
          <w:p>
            <w:pPr>
              <w:widowControl/>
              <w:wordWrap/>
              <w:adjustRightInd/>
              <w:snapToGrid/>
              <w:spacing w:afterAutospacing="0" w:line="560" w:lineRule="exact"/>
              <w:ind w:left="0" w:leftChars="0" w:right="0" w:firstLine="0" w:firstLineChars="0"/>
              <w:jc w:val="left"/>
              <w:textAlignment w:val="auto"/>
              <w:outlineLvl w:val="9"/>
              <w:rPr>
                <w:rFonts w:hint="eastAsia" w:ascii="仿宋_GB2312" w:hAnsi="仿宋_GB2312" w:eastAsia="仿宋_GB2312" w:cs="仿宋_GB2312"/>
                <w:kern w:val="2"/>
                <w:sz w:val="28"/>
                <w:szCs w:val="28"/>
                <w:lang w:val="en-US" w:eastAsia="zh-CN" w:bidi="ar-SA"/>
              </w:rPr>
            </w:pPr>
            <w:r>
              <w:rPr>
                <w:rFonts w:hint="eastAsia"/>
                <w:sz w:val="28"/>
                <w:szCs w:val="28"/>
              </w:rPr>
              <w:t>供应商必须是中华人民共和国境内注册，具有有效的“三证合一”或“一照一码”的营业执照，具有独立订立合同的权利，能独立承担民事责任的能力</w:t>
            </w:r>
            <w:r>
              <w:rPr>
                <w:rFonts w:hint="eastAsia"/>
                <w:sz w:val="28"/>
                <w:szCs w:val="28"/>
                <w:lang w:eastAsia="zh-CN"/>
              </w:rPr>
              <w:t>；</w:t>
            </w:r>
          </w:p>
        </w:tc>
        <w:tc>
          <w:tcPr>
            <w:tcW w:w="945" w:type="dxa"/>
            <w:vAlign w:val="center"/>
          </w:tcPr>
          <w:p>
            <w:pPr>
              <w:pStyle w:val="17"/>
              <w:spacing w:line="500" w:lineRule="exact"/>
              <w:rPr>
                <w:rFonts w:hint="eastAsia" w:ascii="仿宋_GB2312" w:hAnsi="仿宋_GB2312" w:eastAsia="仿宋_GB2312" w:cs="仿宋_GB2312"/>
                <w:color w:val="auto"/>
                <w:sz w:val="28"/>
                <w:szCs w:val="28"/>
              </w:rPr>
            </w:pPr>
          </w:p>
        </w:tc>
      </w:tr>
      <w:tr>
        <w:trPr>
          <w:trHeight w:val="1060" w:hRule="atLeast"/>
        </w:trPr>
        <w:tc>
          <w:tcPr>
            <w:tcW w:w="517" w:type="dxa"/>
            <w:vMerge w:val="continue"/>
            <w:vAlign w:val="center"/>
          </w:tcPr>
          <w:p>
            <w:pPr>
              <w:pStyle w:val="17"/>
              <w:spacing w:line="500" w:lineRule="exact"/>
              <w:rPr>
                <w:rFonts w:hint="eastAsia" w:ascii="仿宋_GB2312" w:hAnsi="仿宋_GB2312" w:eastAsia="仿宋_GB2312" w:cs="仿宋_GB2312"/>
                <w:color w:val="auto"/>
                <w:sz w:val="28"/>
                <w:szCs w:val="28"/>
              </w:rPr>
            </w:pPr>
          </w:p>
        </w:tc>
        <w:tc>
          <w:tcPr>
            <w:tcW w:w="668" w:type="dxa"/>
            <w:vAlign w:val="center"/>
          </w:tcPr>
          <w:p>
            <w:pPr>
              <w:pStyle w:val="17"/>
              <w:spacing w:line="500" w:lineRule="exact"/>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w:t>
            </w:r>
          </w:p>
        </w:tc>
        <w:tc>
          <w:tcPr>
            <w:tcW w:w="7101" w:type="dxa"/>
            <w:vAlign w:val="center"/>
          </w:tcPr>
          <w:p>
            <w:pPr>
              <w:widowControl/>
              <w:wordWrap/>
              <w:adjustRightInd/>
              <w:snapToGrid/>
              <w:spacing w:afterAutospacing="0" w:line="560" w:lineRule="exact"/>
              <w:ind w:left="0" w:leftChars="0" w:right="0" w:firstLine="0" w:firstLineChars="0"/>
              <w:jc w:val="left"/>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法定代表人或者委托代理人是否携带本人身份证和法定代表人授权委托书（委托代理人携带）是否齐全有效；</w:t>
            </w:r>
          </w:p>
        </w:tc>
        <w:tc>
          <w:tcPr>
            <w:tcW w:w="945" w:type="dxa"/>
            <w:vAlign w:val="center"/>
          </w:tcPr>
          <w:p>
            <w:pPr>
              <w:pStyle w:val="17"/>
              <w:spacing w:line="500" w:lineRule="exact"/>
              <w:rPr>
                <w:rFonts w:hint="eastAsia" w:ascii="仿宋_GB2312" w:hAnsi="仿宋_GB2312" w:eastAsia="仿宋_GB2312" w:cs="仿宋_GB2312"/>
                <w:color w:val="auto"/>
                <w:sz w:val="28"/>
                <w:szCs w:val="28"/>
              </w:rPr>
            </w:pPr>
          </w:p>
        </w:tc>
      </w:tr>
      <w:tr>
        <w:trPr>
          <w:trHeight w:val="768" w:hRule="atLeast"/>
        </w:trPr>
        <w:tc>
          <w:tcPr>
            <w:tcW w:w="517" w:type="dxa"/>
            <w:vMerge w:val="continue"/>
            <w:vAlign w:val="center"/>
          </w:tcPr>
          <w:p>
            <w:pPr>
              <w:pStyle w:val="17"/>
              <w:spacing w:line="500" w:lineRule="exact"/>
              <w:rPr>
                <w:rFonts w:hint="eastAsia" w:ascii="仿宋_GB2312" w:hAnsi="仿宋_GB2312" w:eastAsia="仿宋_GB2312" w:cs="仿宋_GB2312"/>
                <w:color w:val="auto"/>
                <w:sz w:val="28"/>
                <w:szCs w:val="28"/>
              </w:rPr>
            </w:pPr>
          </w:p>
        </w:tc>
        <w:tc>
          <w:tcPr>
            <w:tcW w:w="668" w:type="dxa"/>
            <w:vAlign w:val="center"/>
          </w:tcPr>
          <w:p>
            <w:pPr>
              <w:pStyle w:val="17"/>
              <w:spacing w:line="500" w:lineRule="exact"/>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w:t>
            </w:r>
          </w:p>
        </w:tc>
        <w:tc>
          <w:tcPr>
            <w:tcW w:w="7101" w:type="dxa"/>
            <w:vAlign w:val="center"/>
          </w:tcPr>
          <w:p>
            <w:pPr>
              <w:widowControl/>
              <w:wordWrap/>
              <w:adjustRightInd/>
              <w:snapToGrid/>
              <w:spacing w:afterAutospacing="0" w:line="560" w:lineRule="exact"/>
              <w:ind w:left="0" w:leftChars="0" w:right="0" w:firstLine="0" w:firstLineChars="0"/>
              <w:jc w:val="left"/>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投标文件密封是否满足招标文件要求；</w:t>
            </w:r>
          </w:p>
        </w:tc>
        <w:tc>
          <w:tcPr>
            <w:tcW w:w="945" w:type="dxa"/>
            <w:vAlign w:val="center"/>
          </w:tcPr>
          <w:p>
            <w:pPr>
              <w:pStyle w:val="17"/>
              <w:spacing w:line="500" w:lineRule="exact"/>
              <w:rPr>
                <w:rFonts w:hint="eastAsia" w:ascii="仿宋_GB2312" w:hAnsi="仿宋_GB2312" w:eastAsia="仿宋_GB2312" w:cs="仿宋_GB2312"/>
                <w:color w:val="auto"/>
                <w:sz w:val="28"/>
                <w:szCs w:val="28"/>
              </w:rPr>
            </w:pPr>
          </w:p>
        </w:tc>
      </w:tr>
      <w:tr>
        <w:tc>
          <w:tcPr>
            <w:tcW w:w="517" w:type="dxa"/>
            <w:vMerge w:val="continue"/>
            <w:vAlign w:val="center"/>
          </w:tcPr>
          <w:p>
            <w:pPr>
              <w:pStyle w:val="17"/>
              <w:spacing w:line="500" w:lineRule="exact"/>
              <w:rPr>
                <w:rFonts w:hint="eastAsia" w:ascii="仿宋_GB2312" w:hAnsi="仿宋_GB2312" w:eastAsia="仿宋_GB2312" w:cs="仿宋_GB2312"/>
                <w:color w:val="auto"/>
                <w:sz w:val="28"/>
                <w:szCs w:val="28"/>
              </w:rPr>
            </w:pPr>
          </w:p>
        </w:tc>
        <w:tc>
          <w:tcPr>
            <w:tcW w:w="668" w:type="dxa"/>
            <w:vAlign w:val="center"/>
          </w:tcPr>
          <w:p>
            <w:pPr>
              <w:pStyle w:val="17"/>
              <w:spacing w:line="500" w:lineRule="exact"/>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w:t>
            </w:r>
          </w:p>
        </w:tc>
        <w:tc>
          <w:tcPr>
            <w:tcW w:w="7101" w:type="dxa"/>
            <w:vAlign w:val="center"/>
          </w:tcPr>
          <w:p>
            <w:pPr>
              <w:pStyle w:val="17"/>
              <w:spacing w:line="500" w:lineRule="exact"/>
              <w:jc w:val="both"/>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kern w:val="2"/>
                <w:sz w:val="28"/>
                <w:szCs w:val="28"/>
                <w:lang w:val="en-US" w:eastAsia="zh-CN" w:bidi="ar-SA"/>
              </w:rPr>
              <w:t>1</w:t>
            </w:r>
            <w:r>
              <w:rPr>
                <w:rFonts w:hint="eastAsia" w:ascii="仿宋_GB2312" w:hAnsi="仿宋_GB2312" w:eastAsia="仿宋_GB2312" w:cs="仿宋_GB2312"/>
                <w:color w:val="000000"/>
                <w:kern w:val="2"/>
                <w:sz w:val="28"/>
                <w:szCs w:val="28"/>
                <w:lang w:val="en-US" w:eastAsia="zh-CN" w:bidi="ar-SA"/>
              </w:rPr>
              <w:t xml:space="preserve">.未被“信用中国”网站（ </w:t>
            </w:r>
            <w:r>
              <w:rPr>
                <w:rFonts w:hint="eastAsia" w:ascii="仿宋_GB2312" w:hAnsi="仿宋_GB2312" w:eastAsia="仿宋_GB2312" w:cs="仿宋_GB2312"/>
                <w:color w:val="000000"/>
                <w:kern w:val="2"/>
                <w:sz w:val="28"/>
                <w:szCs w:val="28"/>
                <w:lang w:val="en-US" w:eastAsia="zh-CN" w:bidi="ar-SA"/>
              </w:rPr>
              <w:fldChar w:fldCharType="begin"/>
            </w:r>
            <w:r>
              <w:rPr>
                <w:rFonts w:hint="eastAsia" w:ascii="仿宋_GB2312" w:hAnsi="仿宋_GB2312" w:eastAsia="仿宋_GB2312" w:cs="仿宋_GB2312"/>
                <w:color w:val="000000"/>
                <w:kern w:val="2"/>
                <w:sz w:val="28"/>
                <w:szCs w:val="28"/>
                <w:lang w:val="en-US" w:eastAsia="zh-CN" w:bidi="ar-SA"/>
              </w:rPr>
              <w:instrText xml:space="preserve"> HYPERLINK "http://www.creditchina.gov.cn）、中国政府采购网（www.ccgp.gov.cn）被列入失信被执行人、重大税收违法案件当事人名单、政府采购严重违法失信行为记录名单的（尚在处罚期内的），将拒绝其参加本次政府采购活动;（须自竞争性磋商公告发布之日起至首次提交响应文件截止时间内）；" </w:instrText>
            </w:r>
            <w:r>
              <w:rPr>
                <w:rFonts w:hint="eastAsia" w:ascii="仿宋_GB2312" w:hAnsi="仿宋_GB2312" w:eastAsia="仿宋_GB2312" w:cs="仿宋_GB2312"/>
                <w:color w:val="000000"/>
                <w:kern w:val="2"/>
                <w:sz w:val="28"/>
                <w:szCs w:val="28"/>
                <w:lang w:val="en-US" w:eastAsia="zh-CN" w:bidi="ar-SA"/>
              </w:rPr>
              <w:fldChar w:fldCharType="separate"/>
            </w:r>
            <w:r>
              <w:rPr>
                <w:rStyle w:val="25"/>
                <w:rFonts w:hint="eastAsia" w:ascii="仿宋_GB2312" w:hAnsi="仿宋_GB2312" w:eastAsia="仿宋_GB2312" w:cs="仿宋_GB2312"/>
                <w:color w:val="000000"/>
                <w:kern w:val="2"/>
                <w:sz w:val="28"/>
                <w:szCs w:val="28"/>
                <w:lang w:val="en-US" w:eastAsia="zh-CN" w:bidi="ar-SA"/>
              </w:rPr>
              <w:t>www.creditchina.gov.cn）、中国政府采购网（www.ccgp.gov.cn）被列入失信被执行人、重大税收违法案件当事人名单、政府采购严重违法失信行为记录名单的（尚在处罚期内的），将拒绝其参加本次政府采购活动;（须自公开招标公告发布之日起至首次提交响应文件截止时间内）；</w:t>
            </w:r>
            <w:r>
              <w:rPr>
                <w:rFonts w:hint="eastAsia" w:ascii="仿宋_GB2312" w:hAnsi="仿宋_GB2312" w:eastAsia="仿宋_GB2312" w:cs="仿宋_GB2312"/>
                <w:color w:val="000000"/>
                <w:kern w:val="2"/>
                <w:sz w:val="28"/>
                <w:szCs w:val="28"/>
                <w:lang w:val="en-US" w:eastAsia="zh-CN" w:bidi="ar-SA"/>
              </w:rPr>
              <w:fldChar w:fldCharType="end"/>
            </w:r>
          </w:p>
          <w:p>
            <w:pPr>
              <w:pStyle w:val="17"/>
              <w:spacing w:line="500" w:lineRule="exact"/>
              <w:jc w:val="both"/>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2.添加企业近2年财务审计报告。</w:t>
            </w:r>
          </w:p>
        </w:tc>
        <w:tc>
          <w:tcPr>
            <w:tcW w:w="945" w:type="dxa"/>
            <w:vAlign w:val="center"/>
          </w:tcPr>
          <w:p>
            <w:pPr>
              <w:pStyle w:val="17"/>
              <w:spacing w:line="500" w:lineRule="exact"/>
              <w:rPr>
                <w:rFonts w:hint="eastAsia" w:ascii="仿宋_GB2312" w:hAnsi="仿宋_GB2312" w:eastAsia="仿宋_GB2312" w:cs="仿宋_GB2312"/>
                <w:color w:val="auto"/>
                <w:sz w:val="28"/>
                <w:szCs w:val="28"/>
              </w:rPr>
            </w:pPr>
          </w:p>
        </w:tc>
      </w:tr>
    </w:tbl>
    <w:p>
      <w:pPr>
        <w:widowControl w:val="0"/>
        <w:wordWrap/>
        <w:spacing w:line="560" w:lineRule="exact"/>
        <w:ind w:right="0" w:firstLine="640"/>
        <w:textAlignment w:val="auto"/>
        <w:rPr>
          <w:rFonts w:hint="eastAsia" w:ascii="仿宋_GB2312" w:hAnsi="仿宋_GB2312" w:eastAsia="仿宋_GB2312" w:cs="仿宋_GB2312"/>
          <w:sz w:val="28"/>
          <w:szCs w:val="28"/>
        </w:rPr>
      </w:pPr>
    </w:p>
    <w:p>
      <w:pPr>
        <w:spacing w:line="360" w:lineRule="auto"/>
        <w:ind w:firstLine="562" w:firstLineChars="200"/>
        <w:rPr>
          <w:rFonts w:hint="eastAsia" w:ascii="仿宋_GB2312" w:hAnsi="仿宋_GB2312" w:eastAsia="仿宋_GB2312" w:cs="仿宋_GB2312"/>
          <w:b/>
          <w:bCs/>
          <w:color w:val="auto"/>
          <w:sz w:val="28"/>
          <w:szCs w:val="28"/>
        </w:rPr>
      </w:pPr>
    </w:p>
    <w:p>
      <w:pPr>
        <w:spacing w:line="360" w:lineRule="auto"/>
        <w:ind w:firstLine="562" w:firstLineChars="200"/>
        <w:rPr>
          <w:rFonts w:hint="eastAsia" w:ascii="仿宋_GB2312" w:hAnsi="仿宋_GB2312" w:eastAsia="仿宋_GB2312" w:cs="仿宋_GB2312"/>
          <w:b/>
          <w:bCs/>
          <w:color w:val="auto"/>
          <w:sz w:val="28"/>
          <w:szCs w:val="28"/>
        </w:rPr>
      </w:pPr>
    </w:p>
    <w:p>
      <w:pPr>
        <w:spacing w:line="360" w:lineRule="auto"/>
        <w:ind w:firstLine="562" w:firstLineChars="200"/>
        <w:rPr>
          <w:rFonts w:hint="eastAsia" w:ascii="仿宋_GB2312" w:hAnsi="仿宋_GB2312" w:eastAsia="仿宋_GB2312" w:cs="仿宋_GB2312"/>
          <w:b/>
          <w:bCs/>
          <w:color w:val="auto"/>
          <w:sz w:val="28"/>
          <w:szCs w:val="28"/>
        </w:rPr>
      </w:pPr>
    </w:p>
    <w:p>
      <w:pPr>
        <w:spacing w:line="360" w:lineRule="auto"/>
        <w:ind w:firstLine="562" w:firstLineChars="200"/>
        <w:rPr>
          <w:rFonts w:hint="eastAsia" w:ascii="仿宋_GB2312" w:hAnsi="仿宋_GB2312" w:eastAsia="仿宋_GB2312" w:cs="仿宋_GB2312"/>
          <w:b/>
          <w:bCs/>
          <w:color w:val="auto"/>
          <w:sz w:val="28"/>
          <w:szCs w:val="28"/>
        </w:rPr>
      </w:pPr>
    </w:p>
    <w:p>
      <w:pPr>
        <w:pStyle w:val="27"/>
        <w:rPr>
          <w:rFonts w:hint="eastAsia"/>
        </w:rPr>
      </w:pPr>
    </w:p>
    <w:p>
      <w:pPr>
        <w:spacing w:line="360" w:lineRule="auto"/>
        <w:ind w:firstLine="562" w:firstLineChars="200"/>
        <w:rPr>
          <w:rFonts w:hint="eastAsia" w:ascii="仿宋_GB2312" w:hAnsi="仿宋_GB2312" w:eastAsia="仿宋_GB2312" w:cs="仿宋_GB2312"/>
          <w:b/>
          <w:bCs/>
          <w:color w:val="auto"/>
          <w:sz w:val="28"/>
          <w:szCs w:val="28"/>
        </w:rPr>
      </w:pPr>
    </w:p>
    <w:p>
      <w:pPr>
        <w:spacing w:line="360" w:lineRule="auto"/>
        <w:ind w:firstLine="562" w:firstLineChars="200"/>
        <w:rPr>
          <w:rFonts w:hint="eastAsia" w:ascii="仿宋_GB2312" w:hAnsi="仿宋_GB2312" w:eastAsia="仿宋_GB2312" w:cs="仿宋_GB2312"/>
          <w:b/>
          <w:bCs/>
          <w:color w:val="auto"/>
          <w:sz w:val="28"/>
          <w:szCs w:val="28"/>
        </w:rPr>
      </w:pPr>
    </w:p>
    <w:p>
      <w:pPr>
        <w:spacing w:line="360" w:lineRule="auto"/>
        <w:ind w:left="0" w:leftChars="0" w:firstLine="0" w:firstLineChars="0"/>
        <w:rPr>
          <w:rFonts w:hint="eastAsia" w:ascii="仿宋_GB2312" w:hAnsi="仿宋_GB2312" w:eastAsia="仿宋_GB2312" w:cs="仿宋_GB2312"/>
          <w:b/>
          <w:bCs/>
          <w:color w:val="auto"/>
          <w:sz w:val="28"/>
          <w:szCs w:val="28"/>
        </w:rPr>
      </w:pPr>
    </w:p>
    <w:p>
      <w:pPr>
        <w:spacing w:line="360" w:lineRule="auto"/>
        <w:ind w:firstLine="562" w:firstLineChars="200"/>
        <w:jc w:val="center"/>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二</w:t>
      </w:r>
      <w:r>
        <w:rPr>
          <w:rFonts w:hint="eastAsia" w:ascii="仿宋_GB2312" w:hAnsi="仿宋_GB2312" w:eastAsia="仿宋_GB2312" w:cs="仿宋_GB2312"/>
          <w:sz w:val="28"/>
          <w:szCs w:val="28"/>
        </w:rPr>
        <w:t>.</w:t>
      </w:r>
      <w:r>
        <w:rPr>
          <w:rFonts w:hint="eastAsia" w:ascii="仿宋_GB2312" w:hAnsi="仿宋_GB2312" w:eastAsia="仿宋_GB2312" w:cs="仿宋_GB2312"/>
          <w:b/>
          <w:bCs/>
          <w:color w:val="auto"/>
          <w:sz w:val="28"/>
          <w:szCs w:val="28"/>
        </w:rPr>
        <w:t>符合性评审表</w:t>
      </w:r>
    </w:p>
    <w:tbl>
      <w:tblPr>
        <w:tblpPr w:leftFromText="180" w:rightFromText="180" w:vertAnchor="text" w:horzAnchor="page" w:tblpX="1508" w:tblpY="240"/>
        <w:tblOverlap w:val="never"/>
        <w:tblW w:w="92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gridCol w:w="668"/>
        <w:gridCol w:w="7101"/>
        <w:gridCol w:w="945"/>
      </w:tblGrid>
      <w:tr>
        <w:trPr>
          <w:trHeight w:val="614" w:hRule="atLeast"/>
        </w:trPr>
        <w:tc>
          <w:tcPr>
            <w:tcW w:w="517" w:type="dxa"/>
            <w:vMerge w:val="restart"/>
            <w:vAlign w:val="center"/>
          </w:tcPr>
          <w:p>
            <w:pPr>
              <w:pStyle w:val="17"/>
              <w:spacing w:line="500" w:lineRule="exact"/>
              <w:jc w:val="center"/>
              <w:rPr>
                <w:rFonts w:hint="eastAsia" w:ascii="仿宋_GB2312" w:hAnsi="仿宋_GB2312" w:eastAsia="仿宋_GB2312" w:cs="仿宋_GB2312"/>
                <w:b/>
                <w:bCs/>
                <w:color w:val="auto"/>
                <w:sz w:val="28"/>
                <w:szCs w:val="28"/>
              </w:rPr>
            </w:pPr>
          </w:p>
          <w:p>
            <w:pPr>
              <w:pStyle w:val="17"/>
              <w:spacing w:line="500" w:lineRule="exact"/>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符</w:t>
            </w:r>
          </w:p>
          <w:p>
            <w:pPr>
              <w:pStyle w:val="17"/>
              <w:spacing w:line="500" w:lineRule="exact"/>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 xml:space="preserve">  合</w:t>
            </w:r>
          </w:p>
          <w:p>
            <w:pPr>
              <w:pStyle w:val="17"/>
              <w:spacing w:line="500" w:lineRule="exact"/>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 xml:space="preserve">  性</w:t>
            </w:r>
          </w:p>
          <w:p>
            <w:pPr>
              <w:pStyle w:val="17"/>
              <w:spacing w:line="500" w:lineRule="exact"/>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 xml:space="preserve">  评</w:t>
            </w:r>
          </w:p>
          <w:p>
            <w:pPr>
              <w:pStyle w:val="17"/>
              <w:spacing w:line="50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 xml:space="preserve">  审</w:t>
            </w:r>
          </w:p>
        </w:tc>
        <w:tc>
          <w:tcPr>
            <w:tcW w:w="668" w:type="dxa"/>
            <w:vAlign w:val="center"/>
          </w:tcPr>
          <w:p>
            <w:pPr>
              <w:pStyle w:val="17"/>
              <w:spacing w:line="50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序号</w:t>
            </w:r>
          </w:p>
        </w:tc>
        <w:tc>
          <w:tcPr>
            <w:tcW w:w="7101" w:type="dxa"/>
            <w:vAlign w:val="center"/>
          </w:tcPr>
          <w:p>
            <w:pPr>
              <w:pStyle w:val="17"/>
              <w:spacing w:line="500" w:lineRule="exact"/>
              <w:jc w:val="center"/>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内容</w:t>
            </w:r>
          </w:p>
        </w:tc>
        <w:tc>
          <w:tcPr>
            <w:tcW w:w="945" w:type="dxa"/>
            <w:vAlign w:val="center"/>
          </w:tcPr>
          <w:p>
            <w:pPr>
              <w:pStyle w:val="17"/>
              <w:spacing w:line="500" w:lineRule="exact"/>
              <w:jc w:val="both"/>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是否通</w:t>
            </w:r>
            <w:r>
              <w:rPr>
                <w:rFonts w:hint="eastAsia" w:ascii="仿宋_GB2312" w:hAnsi="仿宋_GB2312" w:eastAsia="仿宋_GB2312" w:cs="仿宋_GB2312"/>
                <w:b/>
                <w:bCs/>
                <w:color w:val="auto"/>
                <w:sz w:val="28"/>
                <w:szCs w:val="28"/>
                <w:lang w:val="en-US" w:eastAsia="zh-CN"/>
              </w:rPr>
              <w:t xml:space="preserve"> </w:t>
            </w:r>
            <w:r>
              <w:rPr>
                <w:rFonts w:hint="eastAsia" w:ascii="仿宋_GB2312" w:hAnsi="仿宋_GB2312" w:eastAsia="仿宋_GB2312" w:cs="仿宋_GB2312"/>
                <w:b/>
                <w:bCs/>
                <w:color w:val="auto"/>
                <w:sz w:val="28"/>
                <w:szCs w:val="28"/>
              </w:rPr>
              <w:t>过</w:t>
            </w:r>
          </w:p>
        </w:tc>
      </w:tr>
      <w:tr>
        <w:tc>
          <w:tcPr>
            <w:tcW w:w="517" w:type="dxa"/>
            <w:vMerge w:val="continue"/>
            <w:vAlign w:val="center"/>
          </w:tcPr>
          <w:p>
            <w:pPr>
              <w:pStyle w:val="17"/>
              <w:spacing w:line="500" w:lineRule="exact"/>
              <w:rPr>
                <w:rFonts w:hint="eastAsia" w:ascii="仿宋_GB2312" w:hAnsi="仿宋_GB2312" w:eastAsia="仿宋_GB2312" w:cs="仿宋_GB2312"/>
                <w:color w:val="auto"/>
                <w:sz w:val="28"/>
                <w:szCs w:val="28"/>
              </w:rPr>
            </w:pPr>
          </w:p>
        </w:tc>
        <w:tc>
          <w:tcPr>
            <w:tcW w:w="668" w:type="dxa"/>
            <w:vAlign w:val="center"/>
          </w:tcPr>
          <w:p>
            <w:pPr>
              <w:pStyle w:val="17"/>
              <w:spacing w:line="500" w:lineRule="exact"/>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w:t>
            </w:r>
          </w:p>
        </w:tc>
        <w:tc>
          <w:tcPr>
            <w:tcW w:w="7101" w:type="dxa"/>
            <w:vAlign w:val="center"/>
          </w:tcPr>
          <w:p>
            <w:pPr>
              <w:pStyle w:val="17"/>
              <w:spacing w:line="500" w:lineRule="exact"/>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凡</w:t>
            </w:r>
            <w:r>
              <w:rPr>
                <w:rFonts w:hint="eastAsia" w:ascii="仿宋_GB2312" w:hAnsi="仿宋_GB2312" w:eastAsia="仿宋_GB2312" w:cs="仿宋_GB2312"/>
                <w:color w:val="000000"/>
                <w:sz w:val="28"/>
                <w:szCs w:val="28"/>
                <w:lang w:eastAsia="zh-CN"/>
              </w:rPr>
              <w:t>公开招标</w:t>
            </w:r>
            <w:r>
              <w:rPr>
                <w:rFonts w:hint="eastAsia" w:ascii="仿宋_GB2312" w:hAnsi="仿宋_GB2312" w:eastAsia="仿宋_GB2312" w:cs="仿宋_GB2312"/>
                <w:color w:val="auto"/>
                <w:sz w:val="28"/>
                <w:szCs w:val="28"/>
              </w:rPr>
              <w:t>文件中要求盖章处，是否按要求加盖单位公章、法定代表人章的</w:t>
            </w:r>
            <w:r>
              <w:rPr>
                <w:rFonts w:hint="eastAsia" w:ascii="仿宋_GB2312" w:hAnsi="仿宋_GB2312" w:eastAsia="仿宋_GB2312" w:cs="仿宋_GB2312"/>
                <w:color w:val="auto"/>
                <w:sz w:val="28"/>
                <w:szCs w:val="28"/>
                <w:lang w:eastAsia="zh-CN"/>
              </w:rPr>
              <w:t>；</w:t>
            </w:r>
          </w:p>
        </w:tc>
        <w:tc>
          <w:tcPr>
            <w:tcW w:w="945" w:type="dxa"/>
            <w:vAlign w:val="center"/>
          </w:tcPr>
          <w:p>
            <w:pPr>
              <w:pStyle w:val="17"/>
              <w:spacing w:line="500" w:lineRule="exact"/>
              <w:rPr>
                <w:rFonts w:hint="eastAsia" w:ascii="仿宋_GB2312" w:hAnsi="仿宋_GB2312" w:eastAsia="仿宋_GB2312" w:cs="仿宋_GB2312"/>
                <w:color w:val="auto"/>
                <w:sz w:val="28"/>
                <w:szCs w:val="28"/>
              </w:rPr>
            </w:pPr>
          </w:p>
        </w:tc>
      </w:tr>
      <w:tr>
        <w:tc>
          <w:tcPr>
            <w:tcW w:w="517" w:type="dxa"/>
            <w:vMerge w:val="continue"/>
            <w:vAlign w:val="center"/>
          </w:tcPr>
          <w:p>
            <w:pPr>
              <w:pStyle w:val="17"/>
              <w:spacing w:line="500" w:lineRule="exact"/>
              <w:rPr>
                <w:rFonts w:hint="eastAsia" w:ascii="仿宋_GB2312" w:hAnsi="仿宋_GB2312" w:eastAsia="仿宋_GB2312" w:cs="仿宋_GB2312"/>
                <w:color w:val="auto"/>
                <w:sz w:val="28"/>
                <w:szCs w:val="28"/>
              </w:rPr>
            </w:pPr>
          </w:p>
        </w:tc>
        <w:tc>
          <w:tcPr>
            <w:tcW w:w="668" w:type="dxa"/>
            <w:vAlign w:val="center"/>
          </w:tcPr>
          <w:p>
            <w:pPr>
              <w:pStyle w:val="17"/>
              <w:spacing w:line="500" w:lineRule="exact"/>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w:t>
            </w:r>
          </w:p>
        </w:tc>
        <w:tc>
          <w:tcPr>
            <w:tcW w:w="7101" w:type="dxa"/>
            <w:vAlign w:val="center"/>
          </w:tcPr>
          <w:p>
            <w:pPr>
              <w:pStyle w:val="17"/>
              <w:spacing w:line="500" w:lineRule="exact"/>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响应文件中是否按招标文件要求提供法定代表人身份证明或法定代表人授权委托书或者与现场提供不一致的；</w:t>
            </w:r>
          </w:p>
        </w:tc>
        <w:tc>
          <w:tcPr>
            <w:tcW w:w="945" w:type="dxa"/>
            <w:vAlign w:val="center"/>
          </w:tcPr>
          <w:p>
            <w:pPr>
              <w:pStyle w:val="17"/>
              <w:spacing w:line="500" w:lineRule="exact"/>
              <w:rPr>
                <w:rFonts w:hint="eastAsia" w:ascii="仿宋_GB2312" w:hAnsi="仿宋_GB2312" w:eastAsia="仿宋_GB2312" w:cs="仿宋_GB2312"/>
                <w:color w:val="auto"/>
                <w:sz w:val="28"/>
                <w:szCs w:val="28"/>
              </w:rPr>
            </w:pPr>
          </w:p>
        </w:tc>
      </w:tr>
      <w:tr>
        <w:trPr>
          <w:trHeight w:val="90" w:hRule="atLeast"/>
        </w:trPr>
        <w:tc>
          <w:tcPr>
            <w:tcW w:w="517" w:type="dxa"/>
            <w:vMerge w:val="continue"/>
            <w:vAlign w:val="center"/>
          </w:tcPr>
          <w:p>
            <w:pPr>
              <w:pStyle w:val="17"/>
              <w:spacing w:line="500" w:lineRule="exact"/>
              <w:rPr>
                <w:rFonts w:hint="eastAsia" w:ascii="仿宋_GB2312" w:hAnsi="仿宋_GB2312" w:eastAsia="仿宋_GB2312" w:cs="仿宋_GB2312"/>
                <w:color w:val="auto"/>
                <w:sz w:val="28"/>
                <w:szCs w:val="28"/>
              </w:rPr>
            </w:pPr>
          </w:p>
        </w:tc>
        <w:tc>
          <w:tcPr>
            <w:tcW w:w="668" w:type="dxa"/>
            <w:vAlign w:val="center"/>
          </w:tcPr>
          <w:p>
            <w:pPr>
              <w:pStyle w:val="17"/>
              <w:spacing w:line="500" w:lineRule="exact"/>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w:t>
            </w:r>
          </w:p>
        </w:tc>
        <w:tc>
          <w:tcPr>
            <w:tcW w:w="7101" w:type="dxa"/>
            <w:vAlign w:val="center"/>
          </w:tcPr>
          <w:p>
            <w:pPr>
              <w:pStyle w:val="17"/>
              <w:spacing w:line="500" w:lineRule="exact"/>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响应</w:t>
            </w:r>
            <w:r>
              <w:rPr>
                <w:rFonts w:hint="eastAsia" w:ascii="仿宋_GB2312" w:hAnsi="仿宋_GB2312" w:eastAsia="仿宋_GB2312" w:cs="仿宋_GB2312"/>
                <w:color w:val="auto"/>
                <w:sz w:val="28"/>
                <w:szCs w:val="28"/>
              </w:rPr>
              <w:t>文件是否按</w:t>
            </w:r>
            <w:r>
              <w:rPr>
                <w:rFonts w:hint="eastAsia" w:ascii="仿宋_GB2312" w:hAnsi="仿宋_GB2312" w:eastAsia="仿宋_GB2312" w:cs="仿宋_GB2312"/>
                <w:color w:val="auto"/>
                <w:sz w:val="28"/>
                <w:szCs w:val="28"/>
                <w:lang w:val="en-US" w:eastAsia="zh-CN"/>
              </w:rPr>
              <w:t>招标文件</w:t>
            </w:r>
            <w:r>
              <w:rPr>
                <w:rFonts w:hint="eastAsia" w:ascii="仿宋_GB2312" w:hAnsi="仿宋_GB2312" w:eastAsia="仿宋_GB2312" w:cs="仿宋_GB2312"/>
                <w:color w:val="auto"/>
                <w:sz w:val="28"/>
                <w:szCs w:val="28"/>
              </w:rPr>
              <w:t>规定密封、装订、胶印的；</w:t>
            </w:r>
          </w:p>
        </w:tc>
        <w:tc>
          <w:tcPr>
            <w:tcW w:w="945" w:type="dxa"/>
            <w:vAlign w:val="center"/>
          </w:tcPr>
          <w:p>
            <w:pPr>
              <w:pStyle w:val="17"/>
              <w:spacing w:line="500" w:lineRule="exact"/>
              <w:rPr>
                <w:rFonts w:hint="eastAsia" w:ascii="仿宋_GB2312" w:hAnsi="仿宋_GB2312" w:eastAsia="仿宋_GB2312" w:cs="仿宋_GB2312"/>
                <w:color w:val="auto"/>
                <w:sz w:val="28"/>
                <w:szCs w:val="28"/>
              </w:rPr>
            </w:pPr>
          </w:p>
        </w:tc>
      </w:tr>
      <w:tr>
        <w:tc>
          <w:tcPr>
            <w:tcW w:w="517" w:type="dxa"/>
            <w:vMerge w:val="continue"/>
            <w:vAlign w:val="center"/>
          </w:tcPr>
          <w:p>
            <w:pPr>
              <w:pStyle w:val="17"/>
              <w:spacing w:line="500" w:lineRule="exact"/>
              <w:rPr>
                <w:rFonts w:hint="eastAsia" w:ascii="仿宋_GB2312" w:hAnsi="仿宋_GB2312" w:eastAsia="仿宋_GB2312" w:cs="仿宋_GB2312"/>
                <w:color w:val="auto"/>
                <w:sz w:val="28"/>
                <w:szCs w:val="28"/>
              </w:rPr>
            </w:pPr>
          </w:p>
        </w:tc>
        <w:tc>
          <w:tcPr>
            <w:tcW w:w="668" w:type="dxa"/>
            <w:vAlign w:val="center"/>
          </w:tcPr>
          <w:p>
            <w:pPr>
              <w:pStyle w:val="17"/>
              <w:spacing w:line="500" w:lineRule="exact"/>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w:t>
            </w:r>
          </w:p>
        </w:tc>
        <w:tc>
          <w:tcPr>
            <w:tcW w:w="7101" w:type="dxa"/>
            <w:vAlign w:val="center"/>
          </w:tcPr>
          <w:p>
            <w:pPr>
              <w:pStyle w:val="17"/>
              <w:spacing w:line="500" w:lineRule="exact"/>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响应文件</w:t>
            </w:r>
            <w:r>
              <w:rPr>
                <w:rFonts w:hint="eastAsia" w:ascii="仿宋_GB2312" w:hAnsi="仿宋_GB2312" w:eastAsia="仿宋_GB2312" w:cs="仿宋_GB2312"/>
                <w:color w:val="auto"/>
                <w:sz w:val="28"/>
                <w:szCs w:val="28"/>
              </w:rPr>
              <w:t>格式是否按照</w:t>
            </w:r>
            <w:r>
              <w:rPr>
                <w:rFonts w:hint="eastAsia" w:ascii="仿宋_GB2312" w:hAnsi="仿宋_GB2312" w:eastAsia="仿宋_GB2312" w:cs="仿宋_GB2312"/>
                <w:color w:val="auto"/>
                <w:sz w:val="28"/>
                <w:szCs w:val="28"/>
                <w:lang w:val="en-US" w:eastAsia="zh-CN"/>
              </w:rPr>
              <w:t>招标文件</w:t>
            </w:r>
            <w:r>
              <w:rPr>
                <w:rFonts w:hint="eastAsia" w:ascii="仿宋_GB2312" w:hAnsi="仿宋_GB2312" w:eastAsia="仿宋_GB2312" w:cs="仿宋_GB2312"/>
                <w:color w:val="auto"/>
                <w:sz w:val="28"/>
                <w:szCs w:val="28"/>
              </w:rPr>
              <w:t>规定格式填写，内容不全或关键字迹模糊、无法辨认的；</w:t>
            </w:r>
          </w:p>
        </w:tc>
        <w:tc>
          <w:tcPr>
            <w:tcW w:w="945" w:type="dxa"/>
            <w:vAlign w:val="center"/>
          </w:tcPr>
          <w:p>
            <w:pPr>
              <w:pStyle w:val="17"/>
              <w:spacing w:line="500" w:lineRule="exact"/>
              <w:rPr>
                <w:rFonts w:hint="eastAsia" w:ascii="仿宋_GB2312" w:hAnsi="仿宋_GB2312" w:eastAsia="仿宋_GB2312" w:cs="仿宋_GB2312"/>
                <w:color w:val="auto"/>
                <w:sz w:val="28"/>
                <w:szCs w:val="28"/>
              </w:rPr>
            </w:pPr>
          </w:p>
        </w:tc>
      </w:tr>
      <w:tr>
        <w:trPr>
          <w:trHeight w:val="465" w:hRule="atLeast"/>
        </w:trPr>
        <w:tc>
          <w:tcPr>
            <w:tcW w:w="517" w:type="dxa"/>
            <w:vMerge w:val="continue"/>
            <w:vAlign w:val="center"/>
          </w:tcPr>
          <w:p>
            <w:pPr>
              <w:pStyle w:val="17"/>
              <w:spacing w:line="500" w:lineRule="exact"/>
              <w:rPr>
                <w:rFonts w:hint="eastAsia" w:ascii="仿宋_GB2312" w:hAnsi="仿宋_GB2312" w:eastAsia="仿宋_GB2312" w:cs="仿宋_GB2312"/>
                <w:color w:val="auto"/>
                <w:sz w:val="28"/>
                <w:szCs w:val="28"/>
              </w:rPr>
            </w:pPr>
          </w:p>
        </w:tc>
        <w:tc>
          <w:tcPr>
            <w:tcW w:w="668" w:type="dxa"/>
            <w:vAlign w:val="center"/>
          </w:tcPr>
          <w:p>
            <w:pPr>
              <w:pStyle w:val="17"/>
              <w:spacing w:line="500" w:lineRule="exact"/>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w:t>
            </w:r>
          </w:p>
        </w:tc>
        <w:tc>
          <w:tcPr>
            <w:tcW w:w="7101" w:type="dxa"/>
            <w:vAlign w:val="center"/>
          </w:tcPr>
          <w:p>
            <w:pPr>
              <w:pStyle w:val="17"/>
              <w:spacing w:line="500" w:lineRule="exact"/>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000000"/>
                <w:sz w:val="28"/>
                <w:szCs w:val="28"/>
              </w:rPr>
              <w:t>最终报价是否超出所设定</w:t>
            </w:r>
            <w:r>
              <w:rPr>
                <w:rFonts w:hint="eastAsia" w:ascii="仿宋_GB2312" w:hAnsi="仿宋_GB2312" w:eastAsia="仿宋_GB2312" w:cs="仿宋_GB2312"/>
                <w:color w:val="000000"/>
                <w:sz w:val="28"/>
                <w:szCs w:val="28"/>
                <w:lang w:eastAsia="zh-CN"/>
              </w:rPr>
              <w:t>预算</w:t>
            </w:r>
            <w:r>
              <w:rPr>
                <w:rFonts w:hint="eastAsia" w:ascii="仿宋_GB2312" w:hAnsi="仿宋_GB2312" w:eastAsia="仿宋_GB2312" w:cs="仿宋_GB2312"/>
                <w:color w:val="000000"/>
                <w:sz w:val="28"/>
                <w:szCs w:val="28"/>
              </w:rPr>
              <w:t>价的；</w:t>
            </w:r>
          </w:p>
        </w:tc>
        <w:tc>
          <w:tcPr>
            <w:tcW w:w="945" w:type="dxa"/>
            <w:vAlign w:val="center"/>
          </w:tcPr>
          <w:p>
            <w:pPr>
              <w:pStyle w:val="17"/>
              <w:spacing w:line="500" w:lineRule="exact"/>
              <w:rPr>
                <w:rFonts w:hint="eastAsia" w:ascii="仿宋_GB2312" w:hAnsi="仿宋_GB2312" w:eastAsia="仿宋_GB2312" w:cs="仿宋_GB2312"/>
                <w:color w:val="auto"/>
                <w:sz w:val="28"/>
                <w:szCs w:val="28"/>
              </w:rPr>
            </w:pPr>
          </w:p>
        </w:tc>
      </w:tr>
      <w:tr>
        <w:tc>
          <w:tcPr>
            <w:tcW w:w="517" w:type="dxa"/>
            <w:vMerge w:val="continue"/>
            <w:vAlign w:val="center"/>
          </w:tcPr>
          <w:p>
            <w:pPr>
              <w:pStyle w:val="17"/>
              <w:spacing w:line="500" w:lineRule="exact"/>
              <w:rPr>
                <w:rFonts w:hint="eastAsia" w:ascii="仿宋_GB2312" w:hAnsi="仿宋_GB2312" w:eastAsia="仿宋_GB2312" w:cs="仿宋_GB2312"/>
                <w:color w:val="auto"/>
                <w:sz w:val="28"/>
                <w:szCs w:val="28"/>
              </w:rPr>
            </w:pPr>
          </w:p>
        </w:tc>
        <w:tc>
          <w:tcPr>
            <w:tcW w:w="668" w:type="dxa"/>
            <w:vAlign w:val="center"/>
          </w:tcPr>
          <w:p>
            <w:pPr>
              <w:pStyle w:val="17"/>
              <w:spacing w:line="500" w:lineRule="exact"/>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w:t>
            </w:r>
          </w:p>
        </w:tc>
        <w:tc>
          <w:tcPr>
            <w:tcW w:w="7101" w:type="dxa"/>
            <w:vAlign w:val="center"/>
          </w:tcPr>
          <w:p>
            <w:pPr>
              <w:pStyle w:val="17"/>
              <w:spacing w:line="500" w:lineRule="exact"/>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000000"/>
                <w:sz w:val="28"/>
                <w:szCs w:val="28"/>
              </w:rPr>
              <w:t>按</w:t>
            </w:r>
            <w:r>
              <w:rPr>
                <w:rFonts w:hint="eastAsia" w:ascii="仿宋_GB2312" w:hAnsi="仿宋_GB2312" w:eastAsia="仿宋_GB2312" w:cs="仿宋_GB2312"/>
                <w:color w:val="000000"/>
                <w:sz w:val="28"/>
                <w:szCs w:val="28"/>
                <w:lang w:eastAsia="zh-CN"/>
              </w:rPr>
              <w:t>招标文件</w:t>
            </w:r>
            <w:r>
              <w:rPr>
                <w:rFonts w:hint="eastAsia" w:ascii="仿宋_GB2312" w:hAnsi="仿宋_GB2312" w:eastAsia="仿宋_GB2312" w:cs="仿宋_GB2312"/>
                <w:color w:val="000000"/>
                <w:sz w:val="28"/>
                <w:szCs w:val="28"/>
              </w:rPr>
              <w:t>要求的提交</w:t>
            </w:r>
            <w:r>
              <w:rPr>
                <w:rFonts w:hint="eastAsia" w:ascii="仿宋_GB2312" w:hAnsi="仿宋_GB2312" w:eastAsia="仿宋_GB2312" w:cs="仿宋_GB2312"/>
                <w:color w:val="000000"/>
                <w:sz w:val="28"/>
                <w:szCs w:val="28"/>
                <w:lang w:eastAsia="zh-CN"/>
              </w:rPr>
              <w:t>投标</w:t>
            </w:r>
            <w:r>
              <w:rPr>
                <w:rFonts w:hint="eastAsia" w:ascii="仿宋_GB2312" w:hAnsi="仿宋_GB2312" w:eastAsia="仿宋_GB2312" w:cs="仿宋_GB2312"/>
                <w:color w:val="000000"/>
                <w:sz w:val="28"/>
                <w:szCs w:val="28"/>
              </w:rPr>
              <w:t>保证金</w:t>
            </w:r>
            <w:r>
              <w:rPr>
                <w:rFonts w:hint="eastAsia" w:ascii="仿宋_GB2312" w:hAnsi="仿宋_GB2312" w:eastAsia="仿宋_GB2312" w:cs="仿宋_GB2312"/>
                <w:color w:val="000000"/>
                <w:sz w:val="28"/>
                <w:szCs w:val="28"/>
                <w:lang w:val="en-US" w:eastAsia="zh-CN"/>
              </w:rPr>
              <w:t>;</w:t>
            </w:r>
          </w:p>
        </w:tc>
        <w:tc>
          <w:tcPr>
            <w:tcW w:w="945" w:type="dxa"/>
            <w:vAlign w:val="center"/>
          </w:tcPr>
          <w:p>
            <w:pPr>
              <w:pStyle w:val="17"/>
              <w:spacing w:line="500" w:lineRule="exact"/>
              <w:rPr>
                <w:rFonts w:hint="eastAsia" w:ascii="仿宋_GB2312" w:hAnsi="仿宋_GB2312" w:eastAsia="仿宋_GB2312" w:cs="仿宋_GB2312"/>
                <w:color w:val="auto"/>
                <w:sz w:val="28"/>
                <w:szCs w:val="28"/>
              </w:rPr>
            </w:pPr>
          </w:p>
        </w:tc>
      </w:tr>
      <w:tr>
        <w:tc>
          <w:tcPr>
            <w:tcW w:w="517" w:type="dxa"/>
            <w:vMerge w:val="continue"/>
            <w:vAlign w:val="center"/>
          </w:tcPr>
          <w:p>
            <w:pPr>
              <w:pStyle w:val="17"/>
              <w:spacing w:line="500" w:lineRule="exact"/>
              <w:rPr>
                <w:rFonts w:hint="eastAsia" w:ascii="仿宋_GB2312" w:hAnsi="仿宋_GB2312" w:eastAsia="仿宋_GB2312" w:cs="仿宋_GB2312"/>
                <w:color w:val="auto"/>
                <w:sz w:val="28"/>
                <w:szCs w:val="28"/>
              </w:rPr>
            </w:pPr>
          </w:p>
        </w:tc>
        <w:tc>
          <w:tcPr>
            <w:tcW w:w="668" w:type="dxa"/>
            <w:vAlign w:val="center"/>
          </w:tcPr>
          <w:p>
            <w:pPr>
              <w:pStyle w:val="17"/>
              <w:spacing w:line="500" w:lineRule="exact"/>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7</w:t>
            </w:r>
          </w:p>
        </w:tc>
        <w:tc>
          <w:tcPr>
            <w:tcW w:w="7101" w:type="dxa"/>
            <w:vAlign w:val="center"/>
          </w:tcPr>
          <w:p>
            <w:pPr>
              <w:pStyle w:val="17"/>
              <w:spacing w:line="500" w:lineRule="exact"/>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响应文件中有关材料未存在弄虚作假</w:t>
            </w:r>
            <w:r>
              <w:rPr>
                <w:rFonts w:hint="eastAsia" w:ascii="仿宋_GB2312" w:hAnsi="仿宋_GB2312" w:eastAsia="仿宋_GB2312" w:cs="仿宋_GB2312"/>
                <w:color w:val="auto"/>
                <w:sz w:val="28"/>
                <w:szCs w:val="28"/>
                <w:lang w:val="en-US" w:eastAsia="zh-CN"/>
              </w:rPr>
              <w:t>;</w:t>
            </w:r>
          </w:p>
        </w:tc>
        <w:tc>
          <w:tcPr>
            <w:tcW w:w="945" w:type="dxa"/>
            <w:vAlign w:val="center"/>
          </w:tcPr>
          <w:p>
            <w:pPr>
              <w:pStyle w:val="17"/>
              <w:spacing w:line="500" w:lineRule="exact"/>
              <w:rPr>
                <w:rFonts w:hint="eastAsia" w:ascii="仿宋_GB2312" w:hAnsi="仿宋_GB2312" w:eastAsia="仿宋_GB2312" w:cs="仿宋_GB2312"/>
                <w:color w:val="auto"/>
                <w:sz w:val="28"/>
                <w:szCs w:val="28"/>
              </w:rPr>
            </w:pPr>
          </w:p>
        </w:tc>
      </w:tr>
      <w:tr>
        <w:tc>
          <w:tcPr>
            <w:tcW w:w="517" w:type="dxa"/>
            <w:vMerge w:val="continue"/>
            <w:vAlign w:val="center"/>
          </w:tcPr>
          <w:p>
            <w:pPr>
              <w:pStyle w:val="17"/>
              <w:spacing w:line="500" w:lineRule="exact"/>
              <w:rPr>
                <w:rFonts w:hint="eastAsia" w:ascii="仿宋_GB2312" w:hAnsi="仿宋_GB2312" w:eastAsia="仿宋_GB2312" w:cs="仿宋_GB2312"/>
                <w:color w:val="auto"/>
                <w:sz w:val="28"/>
                <w:szCs w:val="28"/>
              </w:rPr>
            </w:pPr>
          </w:p>
        </w:tc>
        <w:tc>
          <w:tcPr>
            <w:tcW w:w="668" w:type="dxa"/>
            <w:vAlign w:val="center"/>
          </w:tcPr>
          <w:p>
            <w:pPr>
              <w:pStyle w:val="17"/>
              <w:spacing w:line="500" w:lineRule="exact"/>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8</w:t>
            </w:r>
          </w:p>
        </w:tc>
        <w:tc>
          <w:tcPr>
            <w:tcW w:w="7101" w:type="dxa"/>
            <w:vAlign w:val="center"/>
          </w:tcPr>
          <w:p>
            <w:pPr>
              <w:pStyle w:val="17"/>
              <w:spacing w:line="500" w:lineRule="exact"/>
              <w:jc w:val="both"/>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投标人是否对同一招标项目作出两个以上报价未明确效力的；</w:t>
            </w:r>
          </w:p>
        </w:tc>
        <w:tc>
          <w:tcPr>
            <w:tcW w:w="945" w:type="dxa"/>
            <w:vAlign w:val="center"/>
          </w:tcPr>
          <w:p>
            <w:pPr>
              <w:pStyle w:val="17"/>
              <w:spacing w:line="500" w:lineRule="exact"/>
              <w:rPr>
                <w:rFonts w:hint="eastAsia" w:ascii="仿宋_GB2312" w:hAnsi="仿宋_GB2312" w:eastAsia="仿宋_GB2312" w:cs="仿宋_GB2312"/>
                <w:color w:val="auto"/>
                <w:sz w:val="28"/>
                <w:szCs w:val="28"/>
              </w:rPr>
            </w:pPr>
          </w:p>
        </w:tc>
      </w:tr>
      <w:tr>
        <w:tc>
          <w:tcPr>
            <w:tcW w:w="517" w:type="dxa"/>
            <w:vMerge w:val="continue"/>
            <w:vAlign w:val="center"/>
          </w:tcPr>
          <w:p>
            <w:pPr>
              <w:pStyle w:val="17"/>
              <w:spacing w:line="500" w:lineRule="exact"/>
              <w:rPr>
                <w:rFonts w:hint="eastAsia" w:ascii="仿宋_GB2312" w:hAnsi="仿宋_GB2312" w:eastAsia="仿宋_GB2312" w:cs="仿宋_GB2312"/>
                <w:color w:val="auto"/>
                <w:sz w:val="28"/>
                <w:szCs w:val="28"/>
              </w:rPr>
            </w:pPr>
          </w:p>
        </w:tc>
        <w:tc>
          <w:tcPr>
            <w:tcW w:w="668" w:type="dxa"/>
            <w:vAlign w:val="center"/>
          </w:tcPr>
          <w:p>
            <w:pPr>
              <w:pStyle w:val="17"/>
              <w:spacing w:line="500" w:lineRule="exact"/>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9</w:t>
            </w:r>
          </w:p>
        </w:tc>
        <w:tc>
          <w:tcPr>
            <w:tcW w:w="7101" w:type="dxa"/>
            <w:vAlign w:val="center"/>
          </w:tcPr>
          <w:p>
            <w:pPr>
              <w:pStyle w:val="17"/>
              <w:spacing w:line="500" w:lineRule="exact"/>
              <w:jc w:val="both"/>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是否采用人民币报价或者未按照</w:t>
            </w:r>
            <w:r>
              <w:rPr>
                <w:rFonts w:hint="eastAsia" w:ascii="仿宋_GB2312" w:hAnsi="仿宋_GB2312" w:eastAsia="仿宋_GB2312" w:cs="仿宋_GB2312"/>
                <w:color w:val="auto"/>
                <w:sz w:val="28"/>
                <w:szCs w:val="28"/>
                <w:lang w:val="en-US" w:eastAsia="zh-CN"/>
              </w:rPr>
              <w:t>招标</w:t>
            </w:r>
            <w:r>
              <w:rPr>
                <w:rFonts w:hint="eastAsia" w:ascii="仿宋_GB2312" w:hAnsi="仿宋_GB2312" w:eastAsia="仿宋_GB2312" w:cs="仿宋_GB2312"/>
                <w:color w:val="auto"/>
                <w:sz w:val="28"/>
                <w:szCs w:val="28"/>
              </w:rPr>
              <w:t>文件标明的币种报价的；</w:t>
            </w:r>
          </w:p>
        </w:tc>
        <w:tc>
          <w:tcPr>
            <w:tcW w:w="945" w:type="dxa"/>
            <w:vAlign w:val="center"/>
          </w:tcPr>
          <w:p>
            <w:pPr>
              <w:pStyle w:val="17"/>
              <w:spacing w:line="500" w:lineRule="exact"/>
              <w:rPr>
                <w:rFonts w:hint="eastAsia" w:ascii="仿宋_GB2312" w:hAnsi="仿宋_GB2312" w:eastAsia="仿宋_GB2312" w:cs="仿宋_GB2312"/>
                <w:color w:val="auto"/>
                <w:sz w:val="28"/>
                <w:szCs w:val="28"/>
              </w:rPr>
            </w:pPr>
          </w:p>
        </w:tc>
      </w:tr>
      <w:tr>
        <w:tc>
          <w:tcPr>
            <w:tcW w:w="517" w:type="dxa"/>
            <w:vMerge w:val="continue"/>
            <w:vAlign w:val="center"/>
          </w:tcPr>
          <w:p>
            <w:pPr>
              <w:pStyle w:val="17"/>
              <w:spacing w:line="500" w:lineRule="exact"/>
              <w:rPr>
                <w:rFonts w:hint="eastAsia" w:ascii="仿宋_GB2312" w:hAnsi="仿宋_GB2312" w:eastAsia="仿宋_GB2312" w:cs="仿宋_GB2312"/>
                <w:color w:val="auto"/>
                <w:sz w:val="28"/>
                <w:szCs w:val="28"/>
              </w:rPr>
            </w:pPr>
          </w:p>
        </w:tc>
        <w:tc>
          <w:tcPr>
            <w:tcW w:w="668" w:type="dxa"/>
            <w:vAlign w:val="center"/>
          </w:tcPr>
          <w:p>
            <w:pPr>
              <w:pStyle w:val="17"/>
              <w:spacing w:line="500" w:lineRule="exact"/>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10</w:t>
            </w:r>
          </w:p>
        </w:tc>
        <w:tc>
          <w:tcPr>
            <w:tcW w:w="7101" w:type="dxa"/>
            <w:vAlign w:val="center"/>
          </w:tcPr>
          <w:p>
            <w:pPr>
              <w:pStyle w:val="17"/>
              <w:spacing w:line="500" w:lineRule="exact"/>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是否满足招标文件实质性要求；</w:t>
            </w:r>
          </w:p>
        </w:tc>
        <w:tc>
          <w:tcPr>
            <w:tcW w:w="945" w:type="dxa"/>
            <w:vAlign w:val="center"/>
          </w:tcPr>
          <w:p>
            <w:pPr>
              <w:pStyle w:val="17"/>
              <w:spacing w:line="500" w:lineRule="exact"/>
              <w:rPr>
                <w:rFonts w:hint="eastAsia" w:ascii="仿宋_GB2312" w:hAnsi="仿宋_GB2312" w:eastAsia="仿宋_GB2312" w:cs="仿宋_GB2312"/>
                <w:color w:val="auto"/>
                <w:sz w:val="28"/>
                <w:szCs w:val="28"/>
              </w:rPr>
            </w:pPr>
          </w:p>
        </w:tc>
      </w:tr>
      <w:tr>
        <w:tc>
          <w:tcPr>
            <w:tcW w:w="517" w:type="dxa"/>
            <w:vMerge w:val="continue"/>
            <w:vAlign w:val="center"/>
          </w:tcPr>
          <w:p>
            <w:pPr>
              <w:pStyle w:val="17"/>
              <w:spacing w:line="500" w:lineRule="exact"/>
              <w:rPr>
                <w:rFonts w:hint="eastAsia" w:ascii="仿宋_GB2312" w:hAnsi="仿宋_GB2312" w:eastAsia="仿宋_GB2312" w:cs="仿宋_GB2312"/>
                <w:color w:val="auto"/>
                <w:sz w:val="28"/>
                <w:szCs w:val="28"/>
              </w:rPr>
            </w:pPr>
          </w:p>
        </w:tc>
        <w:tc>
          <w:tcPr>
            <w:tcW w:w="668" w:type="dxa"/>
            <w:vAlign w:val="center"/>
          </w:tcPr>
          <w:p>
            <w:pPr>
              <w:pStyle w:val="17"/>
              <w:spacing w:line="500" w:lineRule="exact"/>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11</w:t>
            </w:r>
          </w:p>
        </w:tc>
        <w:tc>
          <w:tcPr>
            <w:tcW w:w="7101" w:type="dxa"/>
            <w:vAlign w:val="center"/>
          </w:tcPr>
          <w:p>
            <w:pPr>
              <w:snapToGrid w:val="0"/>
              <w:spacing w:line="500" w:lineRule="exact"/>
              <w:ind w:left="0" w:leftChars="0" w:firstLine="0" w:firstLineChars="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响应</w:t>
            </w:r>
            <w:r>
              <w:rPr>
                <w:rFonts w:hint="eastAsia" w:ascii="仿宋_GB2312" w:hAnsi="仿宋_GB2312" w:eastAsia="仿宋_GB2312" w:cs="仿宋_GB2312"/>
                <w:color w:val="auto"/>
                <w:sz w:val="28"/>
                <w:szCs w:val="28"/>
              </w:rPr>
              <w:t>文件是否附有</w:t>
            </w:r>
            <w:r>
              <w:rPr>
                <w:rFonts w:hint="eastAsia" w:ascii="仿宋_GB2312" w:hAnsi="仿宋_GB2312" w:eastAsia="仿宋_GB2312" w:cs="仿宋_GB2312"/>
                <w:color w:val="auto"/>
                <w:sz w:val="28"/>
                <w:szCs w:val="28"/>
                <w:lang w:eastAsia="zh-CN"/>
              </w:rPr>
              <w:t>采购人</w:t>
            </w:r>
            <w:r>
              <w:rPr>
                <w:rFonts w:hint="eastAsia" w:ascii="仿宋_GB2312" w:hAnsi="仿宋_GB2312" w:eastAsia="仿宋_GB2312" w:cs="仿宋_GB2312"/>
                <w:color w:val="auto"/>
                <w:sz w:val="28"/>
                <w:szCs w:val="28"/>
              </w:rPr>
              <w:t>不能接受条件的；</w:t>
            </w:r>
          </w:p>
        </w:tc>
        <w:tc>
          <w:tcPr>
            <w:tcW w:w="945" w:type="dxa"/>
            <w:vAlign w:val="center"/>
          </w:tcPr>
          <w:p>
            <w:pPr>
              <w:pStyle w:val="17"/>
              <w:spacing w:line="500" w:lineRule="exact"/>
              <w:rPr>
                <w:rFonts w:hint="eastAsia" w:ascii="仿宋_GB2312" w:hAnsi="仿宋_GB2312" w:eastAsia="仿宋_GB2312" w:cs="仿宋_GB2312"/>
                <w:color w:val="auto"/>
                <w:sz w:val="28"/>
                <w:szCs w:val="28"/>
              </w:rPr>
            </w:pPr>
          </w:p>
        </w:tc>
      </w:tr>
      <w:tr>
        <w:tc>
          <w:tcPr>
            <w:tcW w:w="517" w:type="dxa"/>
            <w:vAlign w:val="center"/>
          </w:tcPr>
          <w:p>
            <w:pPr>
              <w:pStyle w:val="17"/>
              <w:spacing w:line="500" w:lineRule="exact"/>
              <w:rPr>
                <w:rFonts w:hint="eastAsia" w:ascii="仿宋_GB2312" w:hAnsi="仿宋_GB2312" w:eastAsia="仿宋_GB2312" w:cs="仿宋_GB2312"/>
                <w:color w:val="auto"/>
                <w:sz w:val="28"/>
                <w:szCs w:val="28"/>
              </w:rPr>
            </w:pPr>
          </w:p>
        </w:tc>
        <w:tc>
          <w:tcPr>
            <w:tcW w:w="668" w:type="dxa"/>
            <w:vAlign w:val="center"/>
          </w:tcPr>
          <w:p>
            <w:pPr>
              <w:pStyle w:val="17"/>
              <w:spacing w:line="500" w:lineRule="exact"/>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12</w:t>
            </w:r>
          </w:p>
        </w:tc>
        <w:tc>
          <w:tcPr>
            <w:tcW w:w="7101" w:type="dxa"/>
            <w:vAlign w:val="center"/>
          </w:tcPr>
          <w:p>
            <w:pPr>
              <w:snapToGrid w:val="0"/>
              <w:spacing w:line="500" w:lineRule="exact"/>
              <w:ind w:left="0" w:leftChars="0" w:firstLine="0" w:firstLineChars="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sz w:val="28"/>
                <w:szCs w:val="28"/>
                <w:lang w:val="en-US" w:eastAsia="zh-CN"/>
              </w:rPr>
              <w:t>未存在不符合法律、法规和招标文件中规定的其</w:t>
            </w:r>
            <w:r>
              <w:rPr>
                <w:rFonts w:hint="eastAsia" w:ascii="仿宋_GB2312" w:hAnsi="仿宋_GB2312" w:eastAsia="仿宋_GB2312" w:cs="仿宋_GB2312"/>
                <w:kern w:val="0"/>
                <w:sz w:val="28"/>
                <w:szCs w:val="28"/>
                <w:lang w:val="en-US" w:eastAsia="zh-CN"/>
              </w:rPr>
              <w:t>他</w:t>
            </w:r>
            <w:r>
              <w:rPr>
                <w:rFonts w:hint="eastAsia" w:ascii="仿宋_GB2312" w:hAnsi="仿宋_GB2312" w:eastAsia="仿宋_GB2312" w:cs="仿宋_GB2312"/>
                <w:sz w:val="28"/>
                <w:szCs w:val="28"/>
                <w:lang w:val="en-US" w:eastAsia="zh-CN"/>
              </w:rPr>
              <w:t>实质性要求，以及其他招标小组认为不能实质上满足招标文件要求的；</w:t>
            </w:r>
          </w:p>
        </w:tc>
        <w:tc>
          <w:tcPr>
            <w:tcW w:w="945" w:type="dxa"/>
            <w:vAlign w:val="center"/>
          </w:tcPr>
          <w:p>
            <w:pPr>
              <w:pStyle w:val="17"/>
              <w:spacing w:line="500" w:lineRule="exact"/>
              <w:rPr>
                <w:rFonts w:hint="eastAsia" w:ascii="仿宋_GB2312" w:hAnsi="仿宋_GB2312" w:eastAsia="仿宋_GB2312" w:cs="仿宋_GB2312"/>
                <w:color w:val="auto"/>
                <w:sz w:val="28"/>
                <w:szCs w:val="28"/>
              </w:rPr>
            </w:pPr>
          </w:p>
        </w:tc>
      </w:tr>
      <w:tr>
        <w:tc>
          <w:tcPr>
            <w:tcW w:w="9231" w:type="dxa"/>
            <w:gridSpan w:val="4"/>
            <w:vAlign w:val="center"/>
          </w:tcPr>
          <w:p>
            <w:pPr>
              <w:pStyle w:val="17"/>
              <w:spacing w:line="50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kern w:val="2"/>
                <w:sz w:val="24"/>
                <w:szCs w:val="24"/>
                <w:lang w:val="en-US" w:eastAsia="zh-CN" w:bidi="ar-SA"/>
              </w:rPr>
              <w:t>备注：资格审查及符合性审查中有一项不满足评审标准的，评标委员会将认定该投标人不通过完备性及符合性审查，不得进入下一阶段评审。并且不允许投标人通过修改或撤销其不符合要求的差异或保留，使之成为具有响应性的投标。</w:t>
            </w:r>
          </w:p>
        </w:tc>
      </w:tr>
    </w:tbl>
    <w:p>
      <w:pPr>
        <w:widowControl w:val="0"/>
        <w:wordWrap/>
        <w:spacing w:line="560" w:lineRule="exact"/>
        <w:ind w:right="0"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4.1.2符合性检查</w:t>
      </w:r>
    </w:p>
    <w:p>
      <w:pPr>
        <w:widowControl w:val="0"/>
        <w:wordWrap/>
        <w:spacing w:line="560" w:lineRule="exact"/>
        <w:ind w:right="0"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4.1.2.1依据招标文件的规定，从投标文件的有效性、完整性和对招标文件的响应程度进行审查，以确定是否对招标文件的实质性要求作出响应。评标委员会评标投标文件的响应性只根据投标文件真实无误的内容，而不依据外部的证据，但投标文件有不真实、不正确的内容时除外。</w:t>
      </w:r>
    </w:p>
    <w:p>
      <w:pPr>
        <w:widowControl w:val="0"/>
        <w:wordWrap/>
        <w:spacing w:line="560" w:lineRule="exact"/>
        <w:ind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4.1.2.2投标人不得通过修正或撤销不符合要求的偏离从而使其投标成为实质上响应的投标。</w:t>
      </w:r>
    </w:p>
    <w:p>
      <w:pPr>
        <w:widowControl w:val="0"/>
        <w:wordWrap/>
        <w:spacing w:line="560" w:lineRule="exact"/>
        <w:ind w:left="0" w:leftChars="0" w:right="0"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4.2有下列情形之一时,评标委员会应予废标,并将理由通知所有投标人:</w:t>
      </w:r>
    </w:p>
    <w:p>
      <w:pPr>
        <w:widowControl w:val="0"/>
        <w:wordWrap/>
        <w:spacing w:line="560" w:lineRule="exact"/>
        <w:ind w:right="0"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(1)符合专业条件的投标人或者对招标文件作实质性响应的投标人不足三家的；</w:t>
      </w:r>
    </w:p>
    <w:p>
      <w:pPr>
        <w:widowControl w:val="0"/>
        <w:wordWrap/>
        <w:spacing w:line="560" w:lineRule="exact"/>
        <w:ind w:right="0"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(2)出现影响招标公正的违法、违规行为的；</w:t>
      </w:r>
    </w:p>
    <w:p>
      <w:pPr>
        <w:widowControl w:val="0"/>
        <w:wordWrap/>
        <w:spacing w:line="560" w:lineRule="exact"/>
        <w:ind w:right="0"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(3)投标人的报份均超过了采购预算,采购人不能支付的；</w:t>
      </w:r>
    </w:p>
    <w:p>
      <w:pPr>
        <w:widowControl w:val="0"/>
        <w:wordWrap/>
        <w:spacing w:line="560" w:lineRule="exact"/>
        <w:ind w:right="0"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(4)因重大变故，采购任务取消的。</w:t>
      </w:r>
    </w:p>
    <w:p>
      <w:pPr>
        <w:widowControl w:val="0"/>
        <w:wordWrap/>
        <w:spacing w:line="560" w:lineRule="exact"/>
        <w:ind w:right="0"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4.3废标后，除采购任务取消情形外，招标采购单位应当重新组织招标。需要采取其他采购方式的，应当在采购活动开始前获得设区的市、自治州以上人民政府财政部门的批准。</w:t>
      </w:r>
    </w:p>
    <w:p>
      <w:pPr>
        <w:pStyle w:val="4"/>
        <w:widowControl w:val="0"/>
        <w:numPr>
          <w:ilvl w:val="2"/>
          <w:numId w:val="0"/>
        </w:numPr>
        <w:tabs>
          <w:tab w:val="left" w:pos="468"/>
        </w:tabs>
        <w:wordWrap/>
        <w:spacing w:line="560" w:lineRule="exact"/>
        <w:ind w:left="640" w:leftChars="200" w:right="0"/>
        <w:textAlignment w:val="auto"/>
        <w:rPr>
          <w:rFonts w:hint="eastAsia" w:ascii="仿宋_GB2312" w:hAnsi="仿宋_GB2312" w:eastAsia="仿宋_GB2312" w:cs="仿宋_GB2312"/>
          <w:sz w:val="28"/>
          <w:szCs w:val="28"/>
        </w:rPr>
      </w:pPr>
      <w:bookmarkStart w:id="42" w:name="_Toc31425"/>
      <w:r>
        <w:rPr>
          <w:rFonts w:hint="eastAsia" w:ascii="仿宋_GB2312" w:hAnsi="仿宋_GB2312" w:eastAsia="仿宋_GB2312" w:cs="仿宋_GB2312"/>
          <w:sz w:val="28"/>
          <w:szCs w:val="28"/>
        </w:rPr>
        <w:t>5.澄清有关问题</w:t>
      </w:r>
      <w:bookmarkEnd w:id="42"/>
    </w:p>
    <w:p>
      <w:pPr>
        <w:widowControl w:val="0"/>
        <w:wordWrap/>
        <w:spacing w:line="560" w:lineRule="exact"/>
        <w:ind w:right="0"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5.1对于投标文件中含义不明确、同类问题表述不一致或者有明显文字和计算错误的内容，评标委员会应当以书面形式要求投标人作出必要的澄清、说明或者补正。</w:t>
      </w:r>
    </w:p>
    <w:p>
      <w:pPr>
        <w:widowControl w:val="0"/>
        <w:wordWrap/>
        <w:spacing w:line="560" w:lineRule="exact"/>
        <w:ind w:right="0"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投标人的澄清、说明或者补正应当采用书面形式，并加盖公章，或者由法定代表人或其授权的代表签字。投标人的澄清、说明或者补正不得超出投标文件的范围或者改变投标文件的实质性内容。</w:t>
      </w:r>
    </w:p>
    <w:p>
      <w:pPr>
        <w:widowControl w:val="0"/>
        <w:wordWrap/>
        <w:spacing w:line="560" w:lineRule="exact"/>
        <w:ind w:right="0"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5.2投标人不得对下列内容进行澄清或补充：</w:t>
      </w:r>
    </w:p>
    <w:p>
      <w:pPr>
        <w:widowControl w:val="0"/>
        <w:wordWrap/>
        <w:spacing w:line="560" w:lineRule="exact"/>
        <w:ind w:right="0"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(1)投标报价、质量标准、合同履行期限等实质性内容。</w:t>
      </w:r>
    </w:p>
    <w:p>
      <w:pPr>
        <w:widowControl w:val="0"/>
        <w:wordWrap/>
        <w:spacing w:line="560" w:lineRule="exact"/>
        <w:ind w:right="0"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(2)不满足第二章投标须知第2.10款规定的实质性要求的投标文件内容。</w:t>
      </w:r>
    </w:p>
    <w:p>
      <w:pPr>
        <w:widowControl w:val="0"/>
        <w:wordWrap/>
        <w:spacing w:line="560" w:lineRule="exact"/>
        <w:ind w:right="0"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5.3投标文件报价出现前后不一致的，除招标文件另有规定外，按照下列规定修正：</w:t>
      </w:r>
    </w:p>
    <w:p>
      <w:pPr>
        <w:widowControl w:val="0"/>
        <w:wordWrap/>
        <w:spacing w:line="560" w:lineRule="exact"/>
        <w:ind w:right="0"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（1）投标文件中开标一览表（报价表）内容与投标文件中相应内容不一致的，以开标一览表（报价表）为准；</w:t>
      </w:r>
    </w:p>
    <w:p>
      <w:pPr>
        <w:widowControl w:val="0"/>
        <w:wordWrap/>
        <w:spacing w:line="560" w:lineRule="exact"/>
        <w:ind w:right="0"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（2）大写金额和小写金额不一致的，以大写金额为准；</w:t>
      </w:r>
    </w:p>
    <w:p>
      <w:pPr>
        <w:widowControl w:val="0"/>
        <w:wordWrap/>
        <w:spacing w:line="560" w:lineRule="exact"/>
        <w:ind w:right="0"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（3）单价金额小数点或者百分比有明显错位的，以开标一览表的总价为准，并修改单价；</w:t>
      </w:r>
    </w:p>
    <w:p>
      <w:pPr>
        <w:widowControl w:val="0"/>
        <w:wordWrap/>
        <w:spacing w:line="560" w:lineRule="exact"/>
        <w:ind w:right="0"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（4）总价金额与按单价汇总金额不一致的，以单价金额计算结果为准。</w:t>
      </w:r>
    </w:p>
    <w:p>
      <w:pPr>
        <w:widowControl w:val="0"/>
        <w:wordWrap/>
        <w:spacing w:line="560" w:lineRule="exact"/>
        <w:ind w:right="0" w:firstLine="640"/>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sz w:val="28"/>
          <w:szCs w:val="28"/>
        </w:rPr>
        <w:t>同时出现两种以上不一致的，按照前款规定的顺序修正。修正后的报价按照本</w:t>
      </w:r>
      <w:r>
        <w:rPr>
          <w:rFonts w:hint="eastAsia" w:ascii="仿宋_GB2312" w:hAnsi="仿宋_GB2312" w:eastAsia="仿宋_GB2312" w:cs="仿宋_GB2312"/>
          <w:kern w:val="0"/>
          <w:sz w:val="28"/>
          <w:szCs w:val="28"/>
        </w:rPr>
        <w:t>章5.1款的规定经投标人确认后产生约束力，▲</w:t>
      </w:r>
      <w:r>
        <w:rPr>
          <w:rFonts w:hint="eastAsia" w:ascii="仿宋_GB2312" w:hAnsi="仿宋_GB2312" w:eastAsia="仿宋_GB2312" w:cs="仿宋_GB2312"/>
          <w:b/>
          <w:kern w:val="0"/>
          <w:sz w:val="28"/>
          <w:szCs w:val="28"/>
        </w:rPr>
        <w:t>投标人不确认或拒绝修正的，其投标无效</w:t>
      </w:r>
      <w:r>
        <w:rPr>
          <w:rFonts w:hint="eastAsia" w:ascii="仿宋_GB2312" w:hAnsi="仿宋_GB2312" w:eastAsia="仿宋_GB2312" w:cs="仿宋_GB2312"/>
          <w:kern w:val="0"/>
          <w:sz w:val="28"/>
          <w:szCs w:val="28"/>
        </w:rPr>
        <w:t>。</w:t>
      </w:r>
    </w:p>
    <w:p>
      <w:pPr>
        <w:widowControl w:val="0"/>
        <w:wordWrap/>
        <w:spacing w:line="560" w:lineRule="exact"/>
        <w:ind w:right="0"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5.4投标人按照评标委员会要求提供的有效书面澄清材料，是投标文件的补充材料，成为其投标文件的组成部分。</w:t>
      </w:r>
    </w:p>
    <w:p>
      <w:pPr>
        <w:widowControl w:val="0"/>
        <w:wordWrap/>
        <w:spacing w:line="560" w:lineRule="exact"/>
        <w:ind w:right="0" w:firstLine="640"/>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sz w:val="28"/>
          <w:szCs w:val="28"/>
        </w:rPr>
        <w:t>5.5评标委员会认为投标人的报价明显低于其他通过符合性审查投标人的报价，有可能影响产品质量或者不能诚信履约的，应当要求其在评标现场合理的时间</w:t>
      </w:r>
      <w:r>
        <w:rPr>
          <w:rFonts w:hint="eastAsia" w:ascii="仿宋_GB2312" w:hAnsi="仿宋_GB2312" w:eastAsia="仿宋_GB2312" w:cs="仿宋_GB2312"/>
          <w:kern w:val="0"/>
          <w:sz w:val="28"/>
          <w:szCs w:val="28"/>
        </w:rPr>
        <w:t>内提供书面说明，必要时提交相关证明材料；▲</w:t>
      </w:r>
      <w:r>
        <w:rPr>
          <w:rFonts w:hint="eastAsia" w:ascii="仿宋_GB2312" w:hAnsi="仿宋_GB2312" w:eastAsia="仿宋_GB2312" w:cs="仿宋_GB2312"/>
          <w:b/>
          <w:kern w:val="0"/>
          <w:sz w:val="28"/>
          <w:szCs w:val="28"/>
        </w:rPr>
        <w:t>投标人规定的时间内不能证明其报价合理性的，评标委员会应当将其作为无效投标处理</w:t>
      </w:r>
      <w:r>
        <w:rPr>
          <w:rFonts w:hint="eastAsia" w:ascii="仿宋_GB2312" w:hAnsi="仿宋_GB2312" w:eastAsia="仿宋_GB2312" w:cs="仿宋_GB2312"/>
          <w:kern w:val="0"/>
          <w:sz w:val="28"/>
          <w:szCs w:val="28"/>
        </w:rPr>
        <w:t>。</w:t>
      </w:r>
    </w:p>
    <w:p>
      <w:pPr>
        <w:pStyle w:val="4"/>
        <w:widowControl w:val="0"/>
        <w:numPr>
          <w:ilvl w:val="2"/>
          <w:numId w:val="0"/>
        </w:numPr>
        <w:tabs>
          <w:tab w:val="left" w:pos="468"/>
        </w:tabs>
        <w:wordWrap/>
        <w:spacing w:line="560" w:lineRule="exact"/>
        <w:ind w:left="640" w:leftChars="200" w:right="0"/>
        <w:textAlignment w:val="auto"/>
        <w:rPr>
          <w:rFonts w:hint="eastAsia" w:ascii="仿宋_GB2312" w:hAnsi="仿宋_GB2312" w:eastAsia="仿宋_GB2312" w:cs="仿宋_GB2312"/>
          <w:sz w:val="28"/>
          <w:szCs w:val="28"/>
        </w:rPr>
      </w:pPr>
      <w:bookmarkStart w:id="43" w:name="_Toc30594"/>
      <w:r>
        <w:rPr>
          <w:rFonts w:hint="eastAsia" w:ascii="仿宋_GB2312" w:hAnsi="仿宋_GB2312" w:eastAsia="仿宋_GB2312" w:cs="仿宋_GB2312"/>
          <w:sz w:val="28"/>
          <w:szCs w:val="28"/>
        </w:rPr>
        <w:t>6.详细评标</w:t>
      </w:r>
      <w:bookmarkEnd w:id="43"/>
    </w:p>
    <w:p>
      <w:pPr>
        <w:widowControl w:val="0"/>
        <w:wordWrap/>
        <w:spacing w:line="560" w:lineRule="exact"/>
        <w:ind w:right="0"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6.1评标委员会应按照招标文件中规定的评标方法、标准和评标因素，对资格性检查和符合性检查合格的投标文件进行商务和技术评估，综合比较与评价。</w:t>
      </w:r>
    </w:p>
    <w:p>
      <w:pPr>
        <w:widowControl w:val="0"/>
        <w:wordWrap/>
        <w:spacing w:line="560" w:lineRule="exact"/>
        <w:ind w:right="0"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6.2评标时，评标委员会各成员应当独立对每个投标人的投标文件进行评价、评分，然后汇总每个投标人每项评分因素的得分。</w:t>
      </w:r>
    </w:p>
    <w:p>
      <w:pPr>
        <w:widowControl w:val="0"/>
        <w:wordWrap/>
        <w:spacing w:before="0" w:after="0" w:line="560" w:lineRule="exact"/>
        <w:ind w:left="0" w:leftChars="0" w:right="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6.3投标人在评标过程中，所进行的试图影响评标结果的不符合招标规则的活动，可能导致其被取消中标资格。</w:t>
      </w:r>
    </w:p>
    <w:p>
      <w:pPr>
        <w:widowControl w:val="0"/>
        <w:wordWrap/>
        <w:adjustRightInd w:val="0"/>
        <w:snapToGrid w:val="0"/>
        <w:spacing w:before="0" w:after="0" w:line="560" w:lineRule="exact"/>
        <w:ind w:left="0" w:leftChars="0" w:right="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6.4</w:t>
      </w:r>
      <w:r>
        <w:rPr>
          <w:rFonts w:hint="eastAsia" w:ascii="仿宋_GB2312" w:hAnsi="仿宋_GB2312" w:eastAsia="仿宋_GB2312" w:cs="仿宋_GB2312"/>
          <w:kern w:val="0"/>
          <w:sz w:val="28"/>
          <w:szCs w:val="28"/>
        </w:rPr>
        <w:t>评分标准：各投标人的总评分：报价评分</w:t>
      </w:r>
      <w:r>
        <w:rPr>
          <w:rFonts w:hint="eastAsia" w:ascii="仿宋_GB2312" w:hAnsi="仿宋_GB2312" w:eastAsia="仿宋_GB2312" w:cs="仿宋_GB2312"/>
          <w:color w:val="000000"/>
          <w:kern w:val="0"/>
          <w:sz w:val="28"/>
          <w:szCs w:val="28"/>
        </w:rPr>
        <w:t>（</w:t>
      </w:r>
      <w:r>
        <w:rPr>
          <w:rFonts w:hint="eastAsia" w:ascii="仿宋_GB2312" w:hAnsi="仿宋_GB2312" w:eastAsia="仿宋_GB2312" w:cs="仿宋_GB2312"/>
          <w:color w:val="000000"/>
          <w:kern w:val="0"/>
          <w:sz w:val="28"/>
          <w:szCs w:val="28"/>
          <w:lang w:val="en-US" w:eastAsia="zh-CN"/>
        </w:rPr>
        <w:t>20</w:t>
      </w:r>
      <w:r>
        <w:rPr>
          <w:rFonts w:hint="eastAsia" w:ascii="仿宋_GB2312" w:hAnsi="仿宋_GB2312" w:eastAsia="仿宋_GB2312" w:cs="仿宋_GB2312"/>
          <w:color w:val="000000"/>
          <w:kern w:val="0"/>
          <w:sz w:val="28"/>
          <w:szCs w:val="28"/>
        </w:rPr>
        <w:t>分）+技术评分（</w:t>
      </w:r>
      <w:r>
        <w:rPr>
          <w:rFonts w:hint="eastAsia" w:ascii="仿宋_GB2312" w:hAnsi="仿宋_GB2312" w:eastAsia="仿宋_GB2312" w:cs="仿宋_GB2312"/>
          <w:color w:val="000000"/>
          <w:kern w:val="0"/>
          <w:sz w:val="28"/>
          <w:szCs w:val="28"/>
          <w:lang w:val="en-US" w:eastAsia="zh-CN"/>
        </w:rPr>
        <w:t>60</w:t>
      </w:r>
      <w:r>
        <w:rPr>
          <w:rFonts w:hint="eastAsia" w:ascii="仿宋_GB2312" w:hAnsi="仿宋_GB2312" w:eastAsia="仿宋_GB2312" w:cs="仿宋_GB2312"/>
          <w:color w:val="000000"/>
          <w:kern w:val="0"/>
          <w:sz w:val="28"/>
          <w:szCs w:val="28"/>
        </w:rPr>
        <w:t>分）+商务评分（20分）=100分，</w:t>
      </w:r>
      <w:r>
        <w:rPr>
          <w:rFonts w:hint="eastAsia" w:ascii="仿宋_GB2312" w:hAnsi="仿宋_GB2312" w:eastAsia="仿宋_GB2312" w:cs="仿宋_GB2312"/>
          <w:sz w:val="28"/>
          <w:szCs w:val="28"/>
        </w:rPr>
        <w:t>具体评分细则如下：</w:t>
      </w:r>
    </w:p>
    <w:p>
      <w:pPr>
        <w:pStyle w:val="4"/>
        <w:widowControl w:val="0"/>
        <w:numPr>
          <w:ilvl w:val="2"/>
          <w:numId w:val="0"/>
        </w:numPr>
        <w:tabs>
          <w:tab w:val="left" w:pos="468"/>
        </w:tabs>
        <w:wordWrap/>
        <w:spacing w:line="560" w:lineRule="exact"/>
        <w:ind w:left="640" w:leftChars="200" w:right="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rPr>
        <w:t>6.4</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b/>
          <w:bCs/>
          <w:sz w:val="28"/>
          <w:szCs w:val="28"/>
        </w:rPr>
        <w:t>详细评标表（满分100分）</w:t>
      </w:r>
      <w:bookmarkStart w:id="44" w:name="_Toc14342"/>
      <w:bookmarkStart w:id="45" w:name="_Toc8467"/>
      <w:r>
        <w:rPr>
          <w:rFonts w:hint="eastAsia" w:ascii="仿宋_GB2312" w:hAnsi="仿宋_GB2312" w:eastAsia="仿宋_GB2312" w:cs="仿宋_GB2312"/>
          <w:b/>
          <w:bCs/>
          <w:sz w:val="28"/>
          <w:szCs w:val="28"/>
        </w:rPr>
        <w:br/>
      </w:r>
    </w:p>
    <w:tbl>
      <w:tblPr>
        <w:tblW w:w="871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140"/>
        <w:gridCol w:w="1238"/>
        <w:gridCol w:w="5570"/>
        <w:gridCol w:w="764"/>
      </w:tblGrid>
      <w:tr>
        <w:trPr>
          <w:trHeight w:val="757" w:hRule="atLeast"/>
        </w:trPr>
        <w:tc>
          <w:tcPr>
            <w:tcW w:w="2378" w:type="dxa"/>
            <w:gridSpan w:val="2"/>
            <w:tcBorders>
              <w:top w:val="single" w:color="000000" w:sz="4" w:space="0"/>
              <w:left w:val="single" w:color="000000" w:sz="4" w:space="0"/>
              <w:bottom w:val="single" w:color="000000" w:sz="4" w:space="0"/>
              <w:right w:val="single" w:color="000000" w:sz="4" w:space="0"/>
            </w:tcBorders>
            <w:vAlign w:val="center"/>
          </w:tcPr>
          <w:p>
            <w:pPr>
              <w:widowControl/>
              <w:ind w:left="0" w:leftChars="0" w:firstLine="0" w:firstLineChars="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rPr>
              <w:t>评审项目</w:t>
            </w:r>
          </w:p>
        </w:tc>
        <w:tc>
          <w:tcPr>
            <w:tcW w:w="5570" w:type="dxa"/>
            <w:tcBorders>
              <w:top w:val="single" w:color="000000" w:sz="4" w:space="0"/>
              <w:left w:val="single" w:color="000000" w:sz="4" w:space="0"/>
              <w:bottom w:val="single" w:color="000000" w:sz="4" w:space="0"/>
              <w:right w:val="single" w:color="000000" w:sz="4" w:space="0"/>
            </w:tcBorders>
            <w:vAlign w:val="center"/>
          </w:tcPr>
          <w:p>
            <w:pPr>
              <w:widowControl/>
              <w:ind w:left="0" w:leftChars="0" w:firstLine="0" w:firstLineChars="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rPr>
              <w:t>评审因素</w:t>
            </w:r>
          </w:p>
        </w:tc>
        <w:tc>
          <w:tcPr>
            <w:tcW w:w="764" w:type="dxa"/>
            <w:tcBorders>
              <w:top w:val="single" w:color="000000" w:sz="4" w:space="0"/>
              <w:left w:val="single" w:color="000000" w:sz="4" w:space="0"/>
              <w:bottom w:val="single" w:color="000000" w:sz="4" w:space="0"/>
              <w:right w:val="single" w:color="000000" w:sz="4" w:space="0"/>
            </w:tcBorders>
            <w:vAlign w:val="center"/>
          </w:tcPr>
          <w:p>
            <w:pPr>
              <w:widowControl/>
              <w:ind w:left="0" w:leftChars="0" w:firstLine="0" w:firstLineChars="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rPr>
              <w:t xml:space="preserve"> 分值</w:t>
            </w:r>
          </w:p>
        </w:tc>
      </w:tr>
      <w:tr>
        <w:trPr>
          <w:trHeight w:val="1993" w:hRule="atLeast"/>
        </w:trPr>
        <w:tc>
          <w:tcPr>
            <w:tcW w:w="1140" w:type="dxa"/>
            <w:tcBorders>
              <w:top w:val="single" w:color="000000" w:sz="4" w:space="0"/>
              <w:left w:val="single" w:color="000000" w:sz="4" w:space="0"/>
              <w:bottom w:val="single" w:color="000000" w:sz="4" w:space="0"/>
              <w:right w:val="single" w:color="000000" w:sz="4" w:space="0"/>
            </w:tcBorders>
            <w:vAlign w:val="center"/>
          </w:tcPr>
          <w:p>
            <w:pPr>
              <w:widowControl/>
              <w:ind w:left="0" w:leftChars="0"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价格评审</w:t>
            </w:r>
            <w:r>
              <w:rPr>
                <w:rFonts w:hint="eastAsia" w:ascii="宋体" w:hAnsi="宋体" w:eastAsia="宋体" w:cs="宋体"/>
                <w:i w:val="0"/>
                <w:color w:val="000000"/>
                <w:kern w:val="0"/>
                <w:sz w:val="24"/>
                <w:szCs w:val="24"/>
                <w:u w:val="none"/>
                <w:lang w:val="en-US" w:eastAsia="zh-CN"/>
              </w:rPr>
              <w:br/>
            </w:r>
            <w:r>
              <w:rPr>
                <w:rFonts w:hint="eastAsia" w:ascii="宋体" w:hAnsi="宋体" w:eastAsia="宋体" w:cs="宋体"/>
                <w:i w:val="0"/>
                <w:color w:val="000000"/>
                <w:kern w:val="0"/>
                <w:sz w:val="24"/>
                <w:szCs w:val="24"/>
                <w:u w:val="none"/>
                <w:lang w:val="en-US" w:eastAsia="zh-CN"/>
              </w:rPr>
              <w:t>20分</w:t>
            </w:r>
          </w:p>
        </w:tc>
        <w:tc>
          <w:tcPr>
            <w:tcW w:w="123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557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评标基准价 =有效投标报价的最低值，有效投标报价等于基准值的得满分；</w:t>
            </w:r>
            <w:r>
              <w:rPr>
                <w:rFonts w:hint="eastAsia" w:ascii="宋体" w:hAnsi="宋体" w:eastAsia="宋体" w:cs="宋体"/>
                <w:i w:val="0"/>
                <w:color w:val="000000"/>
                <w:kern w:val="0"/>
                <w:sz w:val="24"/>
                <w:szCs w:val="24"/>
                <w:u w:val="none"/>
                <w:lang w:val="en-US" w:eastAsia="zh-CN"/>
              </w:rPr>
              <w:br/>
            </w:r>
            <w:r>
              <w:rPr>
                <w:rFonts w:hint="eastAsia" w:ascii="宋体" w:hAnsi="宋体" w:eastAsia="宋体" w:cs="宋体"/>
                <w:i w:val="0"/>
                <w:color w:val="000000"/>
                <w:kern w:val="0"/>
                <w:sz w:val="24"/>
                <w:szCs w:val="24"/>
                <w:u w:val="none"/>
                <w:lang w:val="en-US" w:eastAsia="zh-CN"/>
              </w:rPr>
              <w:t>投标报价得分= （评标基准价/投标报价）×20。有效投标报价为通过初步审查的供应商报价；</w:t>
            </w:r>
            <w:r>
              <w:rPr>
                <w:rFonts w:hint="eastAsia" w:ascii="宋体" w:hAnsi="宋体" w:eastAsia="宋体" w:cs="宋体"/>
                <w:i w:val="0"/>
                <w:color w:val="000000"/>
                <w:kern w:val="0"/>
                <w:sz w:val="24"/>
                <w:szCs w:val="24"/>
                <w:u w:val="none"/>
                <w:lang w:val="en-US" w:eastAsia="zh-CN"/>
              </w:rPr>
              <w:br/>
            </w:r>
            <w:r>
              <w:rPr>
                <w:rFonts w:hint="eastAsia" w:ascii="宋体" w:hAnsi="宋体" w:eastAsia="宋体" w:cs="宋体"/>
                <w:i w:val="0"/>
                <w:color w:val="000000"/>
                <w:kern w:val="0"/>
                <w:sz w:val="24"/>
                <w:szCs w:val="24"/>
                <w:u w:val="none"/>
                <w:lang w:val="en-US" w:eastAsia="zh-CN"/>
              </w:rPr>
              <w:t>计算公式的计算结果值在小数点后均保留两位小数，后余位数四舍五入计，当计算结果为负数时，计为零分。</w:t>
            </w:r>
          </w:p>
        </w:tc>
        <w:tc>
          <w:tcPr>
            <w:tcW w:w="764" w:type="dxa"/>
            <w:tcBorders>
              <w:top w:val="single" w:color="000000" w:sz="4" w:space="0"/>
              <w:left w:val="single" w:color="000000" w:sz="4" w:space="0"/>
              <w:bottom w:val="single" w:color="000000" w:sz="4" w:space="0"/>
              <w:right w:val="single" w:color="000000" w:sz="4" w:space="0"/>
            </w:tcBorders>
            <w:vAlign w:val="center"/>
          </w:tcPr>
          <w:p>
            <w:pPr>
              <w:widowControl/>
              <w:ind w:left="0" w:leftChars="0"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20</w:t>
            </w:r>
          </w:p>
        </w:tc>
      </w:tr>
      <w:tr>
        <w:trPr>
          <w:trHeight w:val="1206" w:hRule="atLeast"/>
        </w:trPr>
        <w:tc>
          <w:tcPr>
            <w:tcW w:w="1140" w:type="dxa"/>
            <w:vMerge w:val="restart"/>
            <w:tcBorders>
              <w:top w:val="single" w:color="000000" w:sz="4" w:space="0"/>
              <w:left w:val="single" w:color="000000" w:sz="4" w:space="0"/>
              <w:bottom w:val="single" w:color="000000" w:sz="4" w:space="0"/>
              <w:right w:val="single" w:color="000000" w:sz="4" w:space="0"/>
            </w:tcBorders>
            <w:vAlign w:val="center"/>
          </w:tcPr>
          <w:p>
            <w:pPr>
              <w:widowControl/>
              <w:ind w:left="0" w:leftChars="0"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商务评分20分</w:t>
            </w:r>
          </w:p>
        </w:tc>
        <w:tc>
          <w:tcPr>
            <w:tcW w:w="1238" w:type="dxa"/>
            <w:tcBorders>
              <w:top w:val="single" w:color="000000" w:sz="4" w:space="0"/>
              <w:left w:val="single" w:color="000000" w:sz="4" w:space="0"/>
              <w:bottom w:val="single" w:color="000000" w:sz="4" w:space="0"/>
              <w:right w:val="single" w:color="000000" w:sz="4" w:space="0"/>
            </w:tcBorders>
            <w:vAlign w:val="center"/>
          </w:tcPr>
          <w:p>
            <w:pPr>
              <w:widowControl/>
              <w:ind w:left="0" w:leftChars="0"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企业业绩</w:t>
            </w:r>
          </w:p>
        </w:tc>
        <w:tc>
          <w:tcPr>
            <w:tcW w:w="5570"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投标人近3年（2018年07月01日至投标截止时间）全国范围内平台类信息系统集成案例，每提供一个加2分，最高得10分，以提供的合同复印件为准，与时限要求不符、未盖章或盖章不清晰、总金额不清晰的合同均无效。</w:t>
            </w:r>
          </w:p>
        </w:tc>
        <w:tc>
          <w:tcPr>
            <w:tcW w:w="764" w:type="dxa"/>
            <w:tcBorders>
              <w:top w:val="single" w:color="000000" w:sz="4" w:space="0"/>
              <w:left w:val="single" w:color="000000" w:sz="4" w:space="0"/>
              <w:bottom w:val="single" w:color="000000" w:sz="4" w:space="0"/>
              <w:right w:val="single" w:color="000000" w:sz="4" w:space="0"/>
            </w:tcBorders>
            <w:vAlign w:val="center"/>
          </w:tcPr>
          <w:p>
            <w:pPr>
              <w:widowControl/>
              <w:ind w:left="0" w:leftChars="0"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10</w:t>
            </w:r>
          </w:p>
        </w:tc>
      </w:tr>
      <w:tr>
        <w:trPr>
          <w:trHeight w:val="2881" w:hRule="atLeast"/>
        </w:trPr>
        <w:tc>
          <w:tcPr>
            <w:tcW w:w="11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238" w:type="dxa"/>
            <w:tcBorders>
              <w:top w:val="single" w:color="000000" w:sz="4" w:space="0"/>
              <w:left w:val="single" w:color="000000" w:sz="4" w:space="0"/>
              <w:bottom w:val="single" w:color="000000" w:sz="4" w:space="0"/>
              <w:right w:val="single" w:color="000000" w:sz="4" w:space="0"/>
            </w:tcBorders>
            <w:vAlign w:val="center"/>
          </w:tcPr>
          <w:p>
            <w:pPr>
              <w:widowControl/>
              <w:ind w:left="0" w:leftChars="0"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企业资质</w:t>
            </w:r>
          </w:p>
        </w:tc>
        <w:tc>
          <w:tcPr>
            <w:tcW w:w="5570" w:type="dxa"/>
            <w:tcBorders>
              <w:top w:val="single" w:color="000000" w:sz="4" w:space="0"/>
              <w:left w:val="single" w:color="000000" w:sz="4" w:space="0"/>
              <w:bottom w:val="single" w:color="000000" w:sz="4" w:space="0"/>
              <w:right w:val="single" w:color="000000" w:sz="4" w:space="0"/>
            </w:tcBorders>
            <w:vAlign w:val="top"/>
          </w:tcPr>
          <w:p>
            <w:pPr>
              <w:widowControl/>
              <w:ind w:left="0" w:leftChars="0" w:firstLine="0" w:firstLineChars="0"/>
              <w:jc w:val="both"/>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1、投标人具有信息安全管理体系认证证书的得2分；</w:t>
            </w:r>
            <w:r>
              <w:rPr>
                <w:rFonts w:hint="eastAsia" w:ascii="宋体" w:hAnsi="宋体" w:eastAsia="宋体" w:cs="宋体"/>
                <w:i w:val="0"/>
                <w:color w:val="000000"/>
                <w:kern w:val="0"/>
                <w:sz w:val="24"/>
                <w:szCs w:val="24"/>
                <w:u w:val="none"/>
                <w:lang w:val="en-US" w:eastAsia="zh-CN"/>
              </w:rPr>
              <w:br/>
            </w:r>
            <w:r>
              <w:rPr>
                <w:rFonts w:hint="eastAsia" w:ascii="宋体" w:hAnsi="宋体" w:eastAsia="宋体" w:cs="宋体"/>
                <w:i w:val="0"/>
                <w:color w:val="000000"/>
                <w:kern w:val="0"/>
                <w:sz w:val="24"/>
                <w:szCs w:val="24"/>
                <w:u w:val="none"/>
                <w:lang w:val="en-US" w:eastAsia="zh-CN"/>
              </w:rPr>
              <w:t>2、投标人具有CMMI三级以上证书的得2分；</w:t>
            </w:r>
            <w:r>
              <w:rPr>
                <w:rFonts w:hint="eastAsia" w:ascii="宋体" w:hAnsi="宋体" w:eastAsia="宋体" w:cs="宋体"/>
                <w:i w:val="0"/>
                <w:color w:val="000000"/>
                <w:kern w:val="0"/>
                <w:sz w:val="24"/>
                <w:szCs w:val="24"/>
                <w:u w:val="none"/>
                <w:lang w:val="en-US" w:eastAsia="zh-CN"/>
              </w:rPr>
              <w:br/>
            </w:r>
            <w:r>
              <w:rPr>
                <w:rFonts w:hint="eastAsia" w:ascii="宋体" w:hAnsi="宋体" w:eastAsia="宋体" w:cs="宋体"/>
                <w:i w:val="0"/>
                <w:color w:val="000000"/>
                <w:kern w:val="0"/>
                <w:sz w:val="24"/>
                <w:szCs w:val="24"/>
                <w:u w:val="none"/>
                <w:lang w:val="en-US" w:eastAsia="zh-CN"/>
              </w:rPr>
              <w:t>3、投标人具有电子与智能化工程专业承包三级以上资质证书的得</w:t>
            </w:r>
            <w:r>
              <w:rPr>
                <w:rFonts w:hint="eastAsia" w:eastAsia="宋体" w:cs="宋体"/>
                <w:i w:val="0"/>
                <w:color w:val="000000"/>
                <w:kern w:val="0"/>
                <w:sz w:val="24"/>
                <w:szCs w:val="24"/>
                <w:u w:val="none"/>
                <w:lang w:val="en-US" w:eastAsia="zh-CN"/>
              </w:rPr>
              <w:t>2</w:t>
            </w:r>
            <w:r>
              <w:rPr>
                <w:rFonts w:hint="eastAsia" w:ascii="宋体" w:hAnsi="宋体" w:eastAsia="宋体" w:cs="宋体"/>
                <w:i w:val="0"/>
                <w:color w:val="000000"/>
                <w:kern w:val="0"/>
                <w:sz w:val="24"/>
                <w:szCs w:val="24"/>
                <w:u w:val="none"/>
                <w:lang w:val="en-US" w:eastAsia="zh-CN"/>
              </w:rPr>
              <w:t>分；</w:t>
            </w:r>
            <w:r>
              <w:rPr>
                <w:rFonts w:hint="eastAsia" w:ascii="宋体" w:hAnsi="宋体" w:eastAsia="宋体" w:cs="宋体"/>
                <w:i w:val="0"/>
                <w:color w:val="000000"/>
                <w:kern w:val="0"/>
                <w:sz w:val="24"/>
                <w:szCs w:val="24"/>
                <w:u w:val="none"/>
                <w:lang w:val="en-US" w:eastAsia="zh-CN"/>
              </w:rPr>
              <w:br/>
            </w:r>
            <w:r>
              <w:rPr>
                <w:rFonts w:hint="eastAsia" w:ascii="宋体" w:hAnsi="宋体" w:eastAsia="宋体" w:cs="宋体"/>
                <w:i w:val="0"/>
                <w:color w:val="000000"/>
                <w:kern w:val="0"/>
                <w:sz w:val="24"/>
                <w:szCs w:val="24"/>
                <w:u w:val="none"/>
                <w:lang w:val="en-US" w:eastAsia="zh-CN"/>
              </w:rPr>
              <w:t>4、投标人具有国家相关部门颁发的信息技术服务运行维护标准符合性证书的得</w:t>
            </w:r>
            <w:r>
              <w:rPr>
                <w:rFonts w:hint="eastAsia" w:eastAsia="宋体" w:cs="宋体"/>
                <w:i w:val="0"/>
                <w:color w:val="000000"/>
                <w:kern w:val="0"/>
                <w:sz w:val="24"/>
                <w:szCs w:val="24"/>
                <w:u w:val="none"/>
                <w:lang w:val="en-US" w:eastAsia="zh-CN"/>
              </w:rPr>
              <w:t>2</w:t>
            </w:r>
            <w:r>
              <w:rPr>
                <w:rFonts w:hint="eastAsia" w:ascii="宋体" w:hAnsi="宋体" w:eastAsia="宋体" w:cs="宋体"/>
                <w:i w:val="0"/>
                <w:color w:val="000000"/>
                <w:kern w:val="0"/>
                <w:sz w:val="24"/>
                <w:szCs w:val="24"/>
                <w:u w:val="none"/>
                <w:lang w:val="en-US" w:eastAsia="zh-CN"/>
              </w:rPr>
              <w:t>分；</w:t>
            </w:r>
            <w:r>
              <w:rPr>
                <w:rFonts w:hint="eastAsia" w:ascii="宋体" w:hAnsi="宋体" w:eastAsia="宋体" w:cs="宋体"/>
                <w:i w:val="0"/>
                <w:color w:val="000000"/>
                <w:kern w:val="0"/>
                <w:sz w:val="24"/>
                <w:szCs w:val="24"/>
                <w:u w:val="none"/>
                <w:lang w:val="en-US" w:eastAsia="zh-CN"/>
              </w:rPr>
              <w:br/>
            </w:r>
            <w:r>
              <w:rPr>
                <w:rFonts w:hint="eastAsia" w:ascii="宋体" w:hAnsi="宋体" w:eastAsia="宋体" w:cs="宋体"/>
                <w:i w:val="0"/>
                <w:color w:val="000000"/>
                <w:kern w:val="0"/>
                <w:sz w:val="24"/>
                <w:szCs w:val="24"/>
                <w:u w:val="none"/>
                <w:lang w:val="en-US" w:eastAsia="zh-CN"/>
              </w:rPr>
              <w:t>5、投标人为高新技术企业的得</w:t>
            </w:r>
            <w:r>
              <w:rPr>
                <w:rFonts w:hint="eastAsia" w:eastAsia="宋体" w:cs="宋体"/>
                <w:i w:val="0"/>
                <w:color w:val="000000"/>
                <w:kern w:val="0"/>
                <w:sz w:val="24"/>
                <w:szCs w:val="24"/>
                <w:u w:val="none"/>
                <w:lang w:val="en-US" w:eastAsia="zh-CN"/>
              </w:rPr>
              <w:t>2</w:t>
            </w:r>
            <w:r>
              <w:rPr>
                <w:rFonts w:hint="eastAsia" w:ascii="宋体" w:hAnsi="宋体" w:eastAsia="宋体" w:cs="宋体"/>
                <w:i w:val="0"/>
                <w:color w:val="000000"/>
                <w:kern w:val="0"/>
                <w:sz w:val="24"/>
                <w:szCs w:val="24"/>
                <w:u w:val="none"/>
                <w:lang w:val="en-US" w:eastAsia="zh-CN"/>
              </w:rPr>
              <w:t>分；</w:t>
            </w:r>
            <w:r>
              <w:rPr>
                <w:rFonts w:hint="eastAsia" w:ascii="宋体" w:hAnsi="宋体" w:eastAsia="宋体" w:cs="宋体"/>
                <w:i w:val="0"/>
                <w:color w:val="000000"/>
                <w:kern w:val="0"/>
                <w:sz w:val="24"/>
                <w:szCs w:val="24"/>
                <w:u w:val="none"/>
                <w:lang w:val="en-US" w:eastAsia="zh-CN"/>
              </w:rPr>
              <w:br/>
            </w:r>
            <w:r>
              <w:rPr>
                <w:rFonts w:hint="eastAsia" w:ascii="宋体" w:hAnsi="宋体" w:eastAsia="宋体" w:cs="宋体"/>
                <w:i w:val="0"/>
                <w:color w:val="000000"/>
                <w:kern w:val="0"/>
                <w:sz w:val="24"/>
                <w:szCs w:val="24"/>
                <w:u w:val="none"/>
                <w:lang w:val="en-US" w:eastAsia="zh-CN"/>
              </w:rPr>
              <w:t>注：以上证书需在有效期内，并提供相应证书的扫描件，否则不得分</w:t>
            </w:r>
          </w:p>
        </w:tc>
        <w:tc>
          <w:tcPr>
            <w:tcW w:w="764" w:type="dxa"/>
            <w:tcBorders>
              <w:top w:val="single" w:color="000000" w:sz="4" w:space="0"/>
              <w:left w:val="single" w:color="000000" w:sz="4" w:space="0"/>
              <w:bottom w:val="single" w:color="000000" w:sz="4" w:space="0"/>
              <w:right w:val="single" w:color="000000" w:sz="4" w:space="0"/>
            </w:tcBorders>
            <w:vAlign w:val="center"/>
          </w:tcPr>
          <w:p>
            <w:pPr>
              <w:widowControl/>
              <w:ind w:left="0" w:leftChars="0" w:firstLine="0" w:firstLineChars="0"/>
              <w:jc w:val="center"/>
              <w:textAlignment w:val="center"/>
              <w:rPr>
                <w:rFonts w:hint="eastAsia" w:ascii="宋体" w:hAnsi="宋体" w:eastAsia="宋体" w:cs="宋体"/>
                <w:i w:val="0"/>
                <w:color w:val="000000"/>
                <w:sz w:val="24"/>
                <w:szCs w:val="24"/>
                <w:u w:val="none"/>
                <w:lang w:val="en-US"/>
              </w:rPr>
            </w:pPr>
            <w:r>
              <w:rPr>
                <w:rFonts w:hint="eastAsia" w:eastAsia="宋体" w:cs="宋体"/>
                <w:i w:val="0"/>
                <w:color w:val="000000"/>
                <w:kern w:val="0"/>
                <w:sz w:val="24"/>
                <w:szCs w:val="24"/>
                <w:u w:val="none"/>
                <w:lang w:val="en-US" w:eastAsia="zh-CN"/>
              </w:rPr>
              <w:t>10</w:t>
            </w:r>
          </w:p>
        </w:tc>
      </w:tr>
      <w:tr>
        <w:trPr>
          <w:trHeight w:val="1873" w:hRule="atLeast"/>
        </w:trPr>
        <w:tc>
          <w:tcPr>
            <w:tcW w:w="1140" w:type="dxa"/>
            <w:vMerge w:val="restart"/>
            <w:tcBorders>
              <w:top w:val="single" w:color="000000" w:sz="4" w:space="0"/>
              <w:left w:val="single" w:color="000000" w:sz="4" w:space="0"/>
              <w:bottom w:val="single" w:color="000000" w:sz="4" w:space="0"/>
              <w:right w:val="single" w:color="000000" w:sz="4" w:space="0"/>
            </w:tcBorders>
            <w:vAlign w:val="center"/>
          </w:tcPr>
          <w:p>
            <w:pPr>
              <w:widowControl/>
              <w:ind w:left="0" w:leftChars="0"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技术评审</w:t>
            </w:r>
            <w:r>
              <w:rPr>
                <w:rFonts w:hint="eastAsia" w:ascii="宋体" w:hAnsi="宋体" w:eastAsia="宋体" w:cs="宋体"/>
                <w:i w:val="0"/>
                <w:color w:val="000000"/>
                <w:kern w:val="0"/>
                <w:sz w:val="24"/>
                <w:szCs w:val="24"/>
                <w:u w:val="none"/>
                <w:lang w:val="en-US" w:eastAsia="zh-CN"/>
              </w:rPr>
              <w:br/>
            </w:r>
            <w:r>
              <w:rPr>
                <w:rFonts w:hint="eastAsia" w:ascii="宋体" w:hAnsi="宋体" w:eastAsia="宋体" w:cs="宋体"/>
                <w:i w:val="0"/>
                <w:color w:val="000000"/>
                <w:kern w:val="0"/>
                <w:sz w:val="24"/>
                <w:szCs w:val="24"/>
                <w:u w:val="none"/>
                <w:lang w:val="en-US" w:eastAsia="zh-CN"/>
              </w:rPr>
              <w:t>60分</w:t>
            </w:r>
          </w:p>
        </w:tc>
        <w:tc>
          <w:tcPr>
            <w:tcW w:w="1238" w:type="dxa"/>
            <w:tcBorders>
              <w:top w:val="single" w:color="000000" w:sz="4" w:space="0"/>
              <w:left w:val="single" w:color="000000" w:sz="4" w:space="0"/>
              <w:bottom w:val="single" w:color="000000" w:sz="4" w:space="0"/>
              <w:right w:val="single" w:color="000000" w:sz="4" w:space="0"/>
            </w:tcBorders>
            <w:vAlign w:val="center"/>
          </w:tcPr>
          <w:p>
            <w:pPr>
              <w:widowControl/>
              <w:ind w:left="0" w:leftChars="0"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技术力量</w:t>
            </w:r>
          </w:p>
        </w:tc>
        <w:tc>
          <w:tcPr>
            <w:tcW w:w="55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投标人项目技术负责人具有高级工程师证书或具有信息系统项目管理师证书的得3分；投入本项目的人员（不含项目负责人）具有信息类中级工程师或PMP证书的，每增加一名加1分，最高10分。（提供人员名单、证书复印件和2021年连续6个月缴纳社保证明）</w:t>
            </w:r>
          </w:p>
        </w:tc>
        <w:tc>
          <w:tcPr>
            <w:tcW w:w="764" w:type="dxa"/>
            <w:tcBorders>
              <w:top w:val="single" w:color="000000" w:sz="4" w:space="0"/>
              <w:left w:val="single" w:color="000000" w:sz="4" w:space="0"/>
              <w:bottom w:val="single" w:color="000000" w:sz="4" w:space="0"/>
              <w:right w:val="single" w:color="000000" w:sz="4" w:space="0"/>
            </w:tcBorders>
            <w:vAlign w:val="center"/>
          </w:tcPr>
          <w:p>
            <w:pPr>
              <w:widowControl/>
              <w:ind w:left="0" w:leftChars="0"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13</w:t>
            </w:r>
          </w:p>
        </w:tc>
      </w:tr>
      <w:tr>
        <w:trPr>
          <w:trHeight w:val="2950" w:hRule="atLeast"/>
        </w:trPr>
        <w:tc>
          <w:tcPr>
            <w:tcW w:w="11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238" w:type="dxa"/>
            <w:tcBorders>
              <w:top w:val="single" w:color="000000" w:sz="4" w:space="0"/>
              <w:left w:val="single" w:color="000000" w:sz="4" w:space="0"/>
              <w:bottom w:val="single" w:color="000000" w:sz="4" w:space="0"/>
              <w:right w:val="single" w:color="000000" w:sz="4" w:space="0"/>
            </w:tcBorders>
            <w:vAlign w:val="center"/>
          </w:tcPr>
          <w:p>
            <w:pPr>
              <w:widowControl/>
              <w:ind w:left="0" w:leftChars="0"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总体方案  设计</w:t>
            </w:r>
          </w:p>
        </w:tc>
        <w:tc>
          <w:tcPr>
            <w:tcW w:w="557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根据投标文件的采购需求书中的建设目标和建设内容，逐项进行深化设计：</w:t>
            </w:r>
            <w:r>
              <w:rPr>
                <w:rFonts w:hint="eastAsia" w:ascii="宋体" w:hAnsi="宋体" w:eastAsia="宋体" w:cs="宋体"/>
                <w:i w:val="0"/>
                <w:color w:val="000000"/>
                <w:kern w:val="0"/>
                <w:sz w:val="24"/>
                <w:szCs w:val="24"/>
                <w:u w:val="none"/>
                <w:lang w:val="en-US" w:eastAsia="zh-CN"/>
              </w:rPr>
              <w:br/>
            </w:r>
            <w:r>
              <w:rPr>
                <w:rFonts w:hint="eastAsia" w:ascii="宋体" w:hAnsi="宋体" w:eastAsia="宋体" w:cs="宋体"/>
                <w:i w:val="0"/>
                <w:color w:val="000000"/>
                <w:kern w:val="0"/>
                <w:sz w:val="24"/>
                <w:szCs w:val="24"/>
                <w:u w:val="none"/>
                <w:lang w:val="en-US" w:eastAsia="zh-CN"/>
              </w:rPr>
              <w:t>1.总体方案覆盖全面、划分合理，充分满足项目需求，阐述透彻，与招标人现状和需求深度结合，具有良好的前瞻性和可扩展性的，得21-30分；</w:t>
            </w:r>
            <w:r>
              <w:rPr>
                <w:rFonts w:hint="eastAsia" w:ascii="宋体" w:hAnsi="宋体" w:eastAsia="宋体" w:cs="宋体"/>
                <w:i w:val="0"/>
                <w:color w:val="000000"/>
                <w:kern w:val="0"/>
                <w:sz w:val="24"/>
                <w:szCs w:val="24"/>
                <w:u w:val="none"/>
                <w:lang w:val="en-US" w:eastAsia="zh-CN"/>
              </w:rPr>
              <w:br/>
            </w:r>
            <w:r>
              <w:rPr>
                <w:rFonts w:hint="eastAsia" w:ascii="宋体" w:hAnsi="宋体" w:eastAsia="宋体" w:cs="宋体"/>
                <w:i w:val="0"/>
                <w:color w:val="000000"/>
                <w:kern w:val="0"/>
                <w:sz w:val="24"/>
                <w:szCs w:val="24"/>
                <w:u w:val="none"/>
                <w:lang w:val="en-US" w:eastAsia="zh-CN"/>
              </w:rPr>
              <w:t>2.总体方案较合理、较完备、可执行，基本满足项目需求，具有解决方案特点，能够与招标人现状结合，具有一定的前瞻性和可扩展性的，得11-19分；</w:t>
            </w:r>
            <w:r>
              <w:rPr>
                <w:rFonts w:hint="eastAsia" w:ascii="宋体" w:hAnsi="宋体" w:eastAsia="宋体" w:cs="宋体"/>
                <w:i w:val="0"/>
                <w:color w:val="000000"/>
                <w:kern w:val="0"/>
                <w:sz w:val="24"/>
                <w:szCs w:val="24"/>
                <w:u w:val="none"/>
                <w:lang w:val="en-US" w:eastAsia="zh-CN"/>
              </w:rPr>
              <w:br/>
            </w:r>
            <w:r>
              <w:rPr>
                <w:rFonts w:hint="eastAsia" w:ascii="宋体" w:hAnsi="宋体" w:eastAsia="宋体" w:cs="宋体"/>
                <w:i w:val="0"/>
                <w:color w:val="000000"/>
                <w:kern w:val="0"/>
                <w:sz w:val="24"/>
                <w:szCs w:val="24"/>
                <w:u w:val="none"/>
                <w:lang w:val="en-US" w:eastAsia="zh-CN"/>
              </w:rPr>
              <w:t>3.总体方案制定一般，对需求内容和服务质量的应答和保障措施有瑕疵，实现项目需求存在一定难度的，与招标人现状相关性不强的，得6-10分；</w:t>
            </w:r>
            <w:r>
              <w:rPr>
                <w:rFonts w:hint="eastAsia" w:ascii="宋体" w:hAnsi="宋体" w:eastAsia="宋体" w:cs="宋体"/>
                <w:i w:val="0"/>
                <w:color w:val="000000"/>
                <w:kern w:val="0"/>
                <w:sz w:val="24"/>
                <w:szCs w:val="24"/>
                <w:u w:val="none"/>
                <w:lang w:val="en-US" w:eastAsia="zh-CN"/>
              </w:rPr>
              <w:br/>
            </w:r>
            <w:r>
              <w:rPr>
                <w:rFonts w:hint="eastAsia" w:ascii="宋体" w:hAnsi="宋体" w:eastAsia="宋体" w:cs="宋体"/>
                <w:i w:val="0"/>
                <w:color w:val="000000"/>
                <w:kern w:val="0"/>
                <w:sz w:val="24"/>
                <w:szCs w:val="24"/>
                <w:u w:val="none"/>
                <w:lang w:val="en-US" w:eastAsia="zh-CN"/>
              </w:rPr>
              <w:t>4.方案制定较差，存在一定缺陷，较难实现项目需求的或未提供内容的，得0-5分;</w:t>
            </w:r>
          </w:p>
        </w:tc>
        <w:tc>
          <w:tcPr>
            <w:tcW w:w="764" w:type="dxa"/>
            <w:tcBorders>
              <w:top w:val="single" w:color="000000" w:sz="4" w:space="0"/>
              <w:left w:val="single" w:color="000000" w:sz="4" w:space="0"/>
              <w:bottom w:val="single" w:color="000000" w:sz="4" w:space="0"/>
              <w:right w:val="single" w:color="000000" w:sz="4" w:space="0"/>
            </w:tcBorders>
            <w:vAlign w:val="center"/>
          </w:tcPr>
          <w:p>
            <w:pPr>
              <w:widowControl/>
              <w:ind w:left="0" w:leftChars="0"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30</w:t>
            </w:r>
          </w:p>
        </w:tc>
      </w:tr>
      <w:tr>
        <w:trPr>
          <w:trHeight w:val="2701" w:hRule="atLeast"/>
        </w:trPr>
        <w:tc>
          <w:tcPr>
            <w:tcW w:w="11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238" w:type="dxa"/>
            <w:tcBorders>
              <w:top w:val="single" w:color="000000" w:sz="4" w:space="0"/>
              <w:left w:val="single" w:color="000000" w:sz="4" w:space="0"/>
              <w:bottom w:val="single" w:color="000000" w:sz="4" w:space="0"/>
              <w:right w:val="single" w:color="000000" w:sz="4" w:space="0"/>
            </w:tcBorders>
            <w:vAlign w:val="center"/>
          </w:tcPr>
          <w:p>
            <w:pPr>
              <w:widowControl/>
              <w:ind w:left="0" w:leftChars="0"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系统安全</w:t>
            </w:r>
          </w:p>
        </w:tc>
        <w:tc>
          <w:tcPr>
            <w:tcW w:w="5570"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根据投标文件的关于系统安全要求进行评分：</w:t>
            </w:r>
            <w:r>
              <w:rPr>
                <w:rFonts w:hint="eastAsia" w:ascii="宋体" w:hAnsi="宋体" w:eastAsia="宋体" w:cs="宋体"/>
                <w:i w:val="0"/>
                <w:color w:val="000000"/>
                <w:kern w:val="0"/>
                <w:sz w:val="24"/>
                <w:szCs w:val="24"/>
                <w:u w:val="none"/>
                <w:lang w:val="en-US" w:eastAsia="zh-CN"/>
              </w:rPr>
              <w:br/>
            </w:r>
            <w:r>
              <w:rPr>
                <w:rFonts w:hint="eastAsia" w:ascii="宋体" w:hAnsi="宋体" w:eastAsia="宋体" w:cs="宋体"/>
                <w:i w:val="0"/>
                <w:color w:val="000000"/>
                <w:kern w:val="0"/>
                <w:sz w:val="24"/>
                <w:szCs w:val="24"/>
                <w:u w:val="none"/>
                <w:lang w:val="en-US" w:eastAsia="zh-CN"/>
              </w:rPr>
              <w:t>1.方案完整、合理，充分考虑采购人系统自主可控和数据安全需要，满足自主可控，数据、应用及网络等安全的需求，得5-6分;</w:t>
            </w:r>
            <w:r>
              <w:rPr>
                <w:rFonts w:hint="eastAsia" w:ascii="宋体" w:hAnsi="宋体" w:eastAsia="宋体" w:cs="宋体"/>
                <w:i w:val="0"/>
                <w:color w:val="000000"/>
                <w:kern w:val="0"/>
                <w:sz w:val="24"/>
                <w:szCs w:val="24"/>
                <w:u w:val="none"/>
                <w:lang w:val="en-US" w:eastAsia="zh-CN"/>
              </w:rPr>
              <w:br/>
            </w:r>
            <w:r>
              <w:rPr>
                <w:rFonts w:hint="eastAsia" w:ascii="宋体" w:hAnsi="宋体" w:eastAsia="宋体" w:cs="宋体"/>
                <w:i w:val="0"/>
                <w:color w:val="000000"/>
                <w:kern w:val="0"/>
                <w:sz w:val="24"/>
                <w:szCs w:val="24"/>
                <w:u w:val="none"/>
                <w:lang w:val="en-US" w:eastAsia="zh-CN"/>
              </w:rPr>
              <w:t>2.方案较完整、较合理、可执行，能够基本满足招标人数据安全需求，得3-4分;</w:t>
            </w:r>
            <w:r>
              <w:rPr>
                <w:rFonts w:hint="eastAsia" w:ascii="宋体" w:hAnsi="宋体" w:eastAsia="宋体" w:cs="宋体"/>
                <w:i w:val="0"/>
                <w:color w:val="000000"/>
                <w:kern w:val="0"/>
                <w:sz w:val="24"/>
                <w:szCs w:val="24"/>
                <w:u w:val="none"/>
                <w:lang w:val="en-US" w:eastAsia="zh-CN"/>
              </w:rPr>
              <w:br/>
            </w:r>
            <w:r>
              <w:rPr>
                <w:rFonts w:hint="eastAsia" w:ascii="宋体" w:hAnsi="宋体" w:eastAsia="宋体" w:cs="宋体"/>
                <w:i w:val="0"/>
                <w:color w:val="000000"/>
                <w:kern w:val="0"/>
                <w:sz w:val="24"/>
                <w:szCs w:val="24"/>
                <w:u w:val="none"/>
                <w:lang w:val="en-US" w:eastAsia="zh-CN"/>
              </w:rPr>
              <w:t>3.方案制定较差，存在一定缺陷，较难实现项目需求的或未提供内容的，得0-2分;</w:t>
            </w:r>
          </w:p>
        </w:tc>
        <w:tc>
          <w:tcPr>
            <w:tcW w:w="764" w:type="dxa"/>
            <w:tcBorders>
              <w:top w:val="single" w:color="000000" w:sz="4" w:space="0"/>
              <w:left w:val="single" w:color="000000" w:sz="4" w:space="0"/>
              <w:bottom w:val="single" w:color="000000" w:sz="4" w:space="0"/>
              <w:right w:val="single" w:color="000000" w:sz="4" w:space="0"/>
            </w:tcBorders>
            <w:vAlign w:val="center"/>
          </w:tcPr>
          <w:p>
            <w:pPr>
              <w:widowControl/>
              <w:ind w:left="0" w:leftChars="0"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6</w:t>
            </w:r>
          </w:p>
        </w:tc>
      </w:tr>
      <w:tr>
        <w:trPr>
          <w:trHeight w:val="1693" w:hRule="atLeast"/>
        </w:trPr>
        <w:tc>
          <w:tcPr>
            <w:tcW w:w="11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238" w:type="dxa"/>
            <w:tcBorders>
              <w:top w:val="single" w:color="000000" w:sz="4" w:space="0"/>
              <w:left w:val="single" w:color="000000" w:sz="4" w:space="0"/>
              <w:bottom w:val="single" w:color="000000" w:sz="4" w:space="0"/>
              <w:right w:val="single" w:color="000000" w:sz="4" w:space="0"/>
            </w:tcBorders>
            <w:vAlign w:val="center"/>
          </w:tcPr>
          <w:p>
            <w:pPr>
              <w:widowControl/>
              <w:ind w:left="0" w:leftChars="0"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施工组织</w:t>
            </w:r>
          </w:p>
        </w:tc>
        <w:tc>
          <w:tcPr>
            <w:tcW w:w="557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按投标人从方案设计-研制开发-系统调试-项目验收的全过程实施方案的合理性、可操作性、组织施工方案详细程度进行排名对比，最优得标准分，其余依次递减0.5分。</w:t>
            </w:r>
          </w:p>
        </w:tc>
        <w:tc>
          <w:tcPr>
            <w:tcW w:w="764" w:type="dxa"/>
            <w:tcBorders>
              <w:top w:val="single" w:color="000000" w:sz="4" w:space="0"/>
              <w:left w:val="single" w:color="000000" w:sz="4" w:space="0"/>
              <w:bottom w:val="single" w:color="000000" w:sz="4" w:space="0"/>
              <w:right w:val="single" w:color="000000" w:sz="4" w:space="0"/>
            </w:tcBorders>
            <w:vAlign w:val="center"/>
          </w:tcPr>
          <w:p>
            <w:pPr>
              <w:widowControl/>
              <w:ind w:left="0" w:leftChars="0"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4</w:t>
            </w:r>
          </w:p>
        </w:tc>
      </w:tr>
      <w:tr>
        <w:trPr>
          <w:trHeight w:val="900" w:hRule="atLeast"/>
        </w:trPr>
        <w:tc>
          <w:tcPr>
            <w:tcW w:w="11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238" w:type="dxa"/>
            <w:vMerge w:val="restart"/>
            <w:tcBorders>
              <w:top w:val="single" w:color="000000" w:sz="4" w:space="0"/>
              <w:left w:val="single" w:color="000000" w:sz="4" w:space="0"/>
              <w:bottom w:val="single" w:color="000000" w:sz="4" w:space="0"/>
              <w:right w:val="single" w:color="000000" w:sz="4" w:space="0"/>
            </w:tcBorders>
            <w:vAlign w:val="center"/>
          </w:tcPr>
          <w:p>
            <w:pPr>
              <w:widowControl/>
              <w:ind w:left="0" w:leftChars="0"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售后服务</w:t>
            </w:r>
          </w:p>
        </w:tc>
        <w:tc>
          <w:tcPr>
            <w:tcW w:w="5570" w:type="dxa"/>
            <w:tcBorders>
              <w:top w:val="single" w:color="000000" w:sz="4" w:space="0"/>
              <w:left w:val="single" w:color="000000" w:sz="4" w:space="0"/>
              <w:bottom w:val="single" w:color="000000" w:sz="4" w:space="0"/>
              <w:right w:val="single" w:color="000000" w:sz="4" w:space="0"/>
            </w:tcBorders>
            <w:vAlign w:val="top"/>
          </w:tcPr>
          <w:p>
            <w:pPr>
              <w:widowControl/>
              <w:jc w:val="left"/>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投标人在疆内有常驻售后服务网点及工程师的得2分，</w:t>
            </w:r>
            <w:r>
              <w:rPr>
                <w:rFonts w:hint="eastAsia" w:ascii="宋体" w:hAnsi="宋体" w:eastAsia="宋体" w:cs="宋体"/>
                <w:i w:val="0"/>
                <w:color w:val="FF0000"/>
                <w:kern w:val="0"/>
                <w:sz w:val="24"/>
                <w:szCs w:val="24"/>
                <w:u w:val="none"/>
                <w:lang w:val="en-US" w:eastAsia="zh-CN"/>
              </w:rPr>
              <w:t>需提供证明材料</w:t>
            </w:r>
            <w:r>
              <w:rPr>
                <w:rFonts w:hint="eastAsia" w:ascii="宋体" w:hAnsi="宋体" w:eastAsia="宋体" w:cs="宋体"/>
                <w:i w:val="0"/>
                <w:color w:val="000000"/>
                <w:kern w:val="0"/>
                <w:sz w:val="24"/>
                <w:szCs w:val="24"/>
                <w:u w:val="none"/>
                <w:lang w:val="en-US" w:eastAsia="zh-CN"/>
              </w:rPr>
              <w:t>，否则不得分</w:t>
            </w:r>
          </w:p>
        </w:tc>
        <w:tc>
          <w:tcPr>
            <w:tcW w:w="764" w:type="dxa"/>
            <w:tcBorders>
              <w:top w:val="single" w:color="000000" w:sz="4" w:space="0"/>
              <w:left w:val="single" w:color="000000" w:sz="4" w:space="0"/>
              <w:bottom w:val="single" w:color="000000" w:sz="4" w:space="0"/>
              <w:right w:val="single" w:color="000000" w:sz="4" w:space="0"/>
            </w:tcBorders>
            <w:vAlign w:val="center"/>
          </w:tcPr>
          <w:p>
            <w:pPr>
              <w:widowControl/>
              <w:ind w:left="0" w:leftChars="0"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2</w:t>
            </w:r>
          </w:p>
        </w:tc>
      </w:tr>
      <w:tr>
        <w:trPr>
          <w:trHeight w:val="900" w:hRule="atLeast"/>
        </w:trPr>
        <w:tc>
          <w:tcPr>
            <w:tcW w:w="11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2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557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维修响应时间：根据投标文件承诺及响应时间符合招标文件要求得（1分），否则不得分;</w:t>
            </w:r>
          </w:p>
        </w:tc>
        <w:tc>
          <w:tcPr>
            <w:tcW w:w="764" w:type="dxa"/>
            <w:tcBorders>
              <w:top w:val="single" w:color="000000" w:sz="4" w:space="0"/>
              <w:left w:val="single" w:color="000000" w:sz="4" w:space="0"/>
              <w:bottom w:val="single" w:color="000000" w:sz="4" w:space="0"/>
              <w:right w:val="single" w:color="000000" w:sz="4" w:space="0"/>
            </w:tcBorders>
            <w:vAlign w:val="center"/>
          </w:tcPr>
          <w:p>
            <w:pPr>
              <w:widowControl/>
              <w:ind w:left="0" w:leftChars="0"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1</w:t>
            </w:r>
          </w:p>
        </w:tc>
      </w:tr>
      <w:tr>
        <w:trPr>
          <w:trHeight w:val="960" w:hRule="atLeast"/>
        </w:trPr>
        <w:tc>
          <w:tcPr>
            <w:tcW w:w="11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238" w:type="dxa"/>
            <w:tcBorders>
              <w:top w:val="single" w:color="000000" w:sz="4" w:space="0"/>
              <w:left w:val="single" w:color="000000" w:sz="4" w:space="0"/>
              <w:bottom w:val="single" w:color="000000" w:sz="4" w:space="0"/>
              <w:right w:val="single" w:color="000000" w:sz="4" w:space="0"/>
            </w:tcBorders>
            <w:vAlign w:val="center"/>
          </w:tcPr>
          <w:p>
            <w:pPr>
              <w:widowControl/>
              <w:ind w:left="0" w:leftChars="0"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培训计划</w:t>
            </w:r>
          </w:p>
        </w:tc>
        <w:tc>
          <w:tcPr>
            <w:tcW w:w="557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培训计划合理完善、操作流程及内容通俗易懂，完全符合该要求得3分，基本满足要求得2分，培训计划一般得1分，没有不得分。</w:t>
            </w:r>
          </w:p>
        </w:tc>
        <w:tc>
          <w:tcPr>
            <w:tcW w:w="764" w:type="dxa"/>
            <w:tcBorders>
              <w:top w:val="single" w:color="000000" w:sz="4" w:space="0"/>
              <w:left w:val="single" w:color="000000" w:sz="4" w:space="0"/>
              <w:bottom w:val="single" w:color="000000" w:sz="4" w:space="0"/>
              <w:right w:val="single" w:color="000000" w:sz="4" w:space="0"/>
            </w:tcBorders>
            <w:vAlign w:val="center"/>
          </w:tcPr>
          <w:p>
            <w:pPr>
              <w:widowControl/>
              <w:ind w:left="0" w:leftChars="0"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3</w:t>
            </w:r>
          </w:p>
        </w:tc>
      </w:tr>
      <w:tr>
        <w:trPr>
          <w:trHeight w:val="960" w:hRule="atLeast"/>
        </w:trPr>
        <w:tc>
          <w:tcPr>
            <w:tcW w:w="8712"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rPr>
              <w:t>注：1.计算过程中，算术平均值保留2位小数，第三位小数四舍五入;</w:t>
            </w:r>
            <w:r>
              <w:rPr>
                <w:rFonts w:hint="eastAsia" w:ascii="宋体" w:hAnsi="宋体" w:eastAsia="宋体" w:cs="宋体"/>
                <w:b/>
                <w:i w:val="0"/>
                <w:color w:val="000000"/>
                <w:kern w:val="0"/>
                <w:sz w:val="24"/>
                <w:szCs w:val="24"/>
                <w:u w:val="none"/>
                <w:lang w:val="en-US" w:eastAsia="zh-CN"/>
              </w:rPr>
              <w:br/>
            </w:r>
            <w:r>
              <w:rPr>
                <w:rFonts w:hint="eastAsia" w:ascii="宋体" w:hAnsi="宋体" w:eastAsia="宋体" w:cs="宋体"/>
                <w:b/>
                <w:i w:val="0"/>
                <w:color w:val="000000"/>
                <w:kern w:val="0"/>
                <w:sz w:val="24"/>
                <w:szCs w:val="24"/>
                <w:u w:val="none"/>
                <w:lang w:val="en-US" w:eastAsia="zh-CN"/>
              </w:rPr>
              <w:t xml:space="preserve">   2.投标人的最终得分为：所有评委对其评分的算术平均值;</w:t>
            </w:r>
          </w:p>
        </w:tc>
      </w:tr>
    </w:tbl>
    <w:p>
      <w:pPr>
        <w:pStyle w:val="4"/>
        <w:widowControl w:val="0"/>
        <w:numPr>
          <w:ilvl w:val="2"/>
          <w:numId w:val="0"/>
        </w:numPr>
        <w:tabs>
          <w:tab w:val="left" w:pos="0"/>
          <w:tab w:val="clear" w:pos="420"/>
        </w:tabs>
        <w:wordWrap/>
        <w:spacing w:line="560" w:lineRule="exact"/>
        <w:ind w:left="0" w:leftChars="0" w:right="0"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7.推荐中标候选人名单</w:t>
      </w:r>
      <w:bookmarkEnd w:id="44"/>
    </w:p>
    <w:p>
      <w:pPr>
        <w:widowControl w:val="0"/>
        <w:wordWrap/>
        <w:spacing w:line="560" w:lineRule="exact"/>
        <w:ind w:right="0"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7.1评标结果按评标后得分由高到低顺序排列。得分相同的，按投标报价由低到高顺序排列。得分且投标报价相同的并列。投标文件满足招标文件全部实质性要求，且按照评标因素的量化指标评标得分最高的投标人为排名第一的中标候选人。</w:t>
      </w:r>
    </w:p>
    <w:p>
      <w:pPr>
        <w:widowControl w:val="0"/>
        <w:wordWrap/>
        <w:spacing w:line="560" w:lineRule="exact"/>
        <w:ind w:right="0"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7.2评标结果汇总完成后，除下列情形外，任何人不得修改评标结果：</w:t>
      </w:r>
    </w:p>
    <w:p>
      <w:pPr>
        <w:widowControl w:val="0"/>
        <w:wordWrap/>
        <w:spacing w:line="560" w:lineRule="exact"/>
        <w:ind w:right="0"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(1)分值汇总计算错误的；</w:t>
      </w:r>
    </w:p>
    <w:p>
      <w:pPr>
        <w:widowControl w:val="0"/>
        <w:wordWrap/>
        <w:spacing w:line="560" w:lineRule="exact"/>
        <w:ind w:right="0"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(2)分项评分超出评分标准范围的；</w:t>
      </w:r>
    </w:p>
    <w:p>
      <w:pPr>
        <w:widowControl w:val="0"/>
        <w:wordWrap/>
        <w:spacing w:line="560" w:lineRule="exact"/>
        <w:ind w:right="0"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(3)评标委员会成员对客观评标因素评分不一致的；</w:t>
      </w:r>
    </w:p>
    <w:p>
      <w:pPr>
        <w:widowControl w:val="0"/>
        <w:wordWrap/>
        <w:spacing w:line="560" w:lineRule="exact"/>
        <w:ind w:right="0"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(4)经评标委员会认定评分畸高、畸低的。</w:t>
      </w:r>
    </w:p>
    <w:p>
      <w:pPr>
        <w:widowControl w:val="0"/>
        <w:wordWrap/>
        <w:spacing w:line="560" w:lineRule="exact"/>
        <w:ind w:right="0"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评标报告签署前，经复核发现存在以上情形之一的，评标委员会应当当场修改评标结果，并在评标报告中记载；评标报告签署后，采购人或者采购代理机构发现存在以上情形之一的，应当组织原评标委员会进行重新评标，重新评标改变评标结果的，书面报告本级财政部门。</w:t>
      </w:r>
    </w:p>
    <w:p>
      <w:pPr>
        <w:widowControl w:val="0"/>
        <w:wordWrap/>
        <w:spacing w:line="560" w:lineRule="exact"/>
        <w:ind w:right="0"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投标人对上述(1)～(4)提出质疑的，采购人或者采购代理机构可以组织原评标委员会进行重新评标，重新评标改变评标结果的，应当书面报告本级财政部门。</w:t>
      </w:r>
    </w:p>
    <w:p>
      <w:pPr>
        <w:widowControl w:val="0"/>
        <w:wordWrap/>
        <w:spacing w:line="560" w:lineRule="exact"/>
        <w:ind w:right="0"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7.3评标委员会根据全体评标成员签字的原始评标记录和评标结果编写评标报告。评标报告应当包括以下内容：</w:t>
      </w:r>
    </w:p>
    <w:p>
      <w:pPr>
        <w:widowControl w:val="0"/>
        <w:wordWrap/>
        <w:spacing w:line="560" w:lineRule="exact"/>
        <w:ind w:right="0"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（1）招标公告刊登的媒体名称、开标日期和地点；</w:t>
      </w:r>
    </w:p>
    <w:p>
      <w:pPr>
        <w:widowControl w:val="0"/>
        <w:wordWrap/>
        <w:spacing w:line="560" w:lineRule="exact"/>
        <w:ind w:right="0"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（2）投标人名单和评标委员会成员名单；</w:t>
      </w:r>
    </w:p>
    <w:p>
      <w:pPr>
        <w:widowControl w:val="0"/>
        <w:wordWrap/>
        <w:spacing w:line="560" w:lineRule="exact"/>
        <w:ind w:right="0"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（3）评标方法和标准；</w:t>
      </w:r>
    </w:p>
    <w:p>
      <w:pPr>
        <w:widowControl w:val="0"/>
        <w:wordWrap/>
        <w:spacing w:line="560" w:lineRule="exact"/>
        <w:ind w:right="0"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（4）开标记录和评标情况及说明，包括无效投标人名单及原因；</w:t>
      </w:r>
    </w:p>
    <w:p>
      <w:pPr>
        <w:widowControl w:val="0"/>
        <w:wordWrap/>
        <w:spacing w:line="560" w:lineRule="exact"/>
        <w:ind w:right="0"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（5）评标结果，确定的中标候选人名单或者经采购人委托直接确定的中标人；</w:t>
      </w:r>
    </w:p>
    <w:p>
      <w:pPr>
        <w:widowControl w:val="0"/>
        <w:wordWrap/>
        <w:spacing w:line="560" w:lineRule="exact"/>
        <w:ind w:right="0"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（6）其他需要说明的情况，包括评标过程中投标人根据评标委员会要求进行的澄清、说明或者补正，评标委员会成员的更换等。</w:t>
      </w:r>
    </w:p>
    <w:p>
      <w:pPr>
        <w:widowControl w:val="0"/>
        <w:wordWrap/>
        <w:spacing w:line="560" w:lineRule="exact"/>
        <w:ind w:right="0"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7.4本次招标采购推荐的中标候选人数量见投标须知前附表。</w:t>
      </w:r>
    </w:p>
    <w:p>
      <w:pPr>
        <w:ind w:firstLine="640"/>
        <w:jc w:val="center"/>
        <w:rPr>
          <w:rFonts w:hint="eastAsia" w:ascii="黑体" w:hAnsi="黑体" w:eastAsia="黑体" w:cs="黑体"/>
          <w:b w:val="0"/>
          <w:bCs w:val="0"/>
          <w:sz w:val="32"/>
          <w:szCs w:val="32"/>
        </w:rPr>
      </w:pPr>
      <w:r>
        <w:rPr>
          <w:rFonts w:hint="eastAsia"/>
        </w:rPr>
        <w:br w:type="page"/>
      </w:r>
      <w:bookmarkStart w:id="46" w:name="_Toc531706627"/>
      <w:bookmarkStart w:id="47" w:name="_Toc12295"/>
      <w:bookmarkStart w:id="48" w:name="_Toc24525_WPSOffice_Level1"/>
      <w:r>
        <w:rPr>
          <w:rFonts w:hint="eastAsia" w:ascii="黑体" w:hAnsi="黑体" w:eastAsia="黑体" w:cs="黑体"/>
          <w:b w:val="0"/>
          <w:bCs w:val="0"/>
          <w:sz w:val="32"/>
          <w:szCs w:val="32"/>
        </w:rPr>
        <w:t xml:space="preserve">第四章 </w:t>
      </w:r>
      <w:bookmarkEnd w:id="46"/>
      <w:r>
        <w:rPr>
          <w:rFonts w:hint="eastAsia" w:ascii="黑体" w:hAnsi="黑体" w:eastAsia="黑体" w:cs="黑体"/>
          <w:b w:val="0"/>
          <w:bCs w:val="0"/>
          <w:sz w:val="32"/>
          <w:szCs w:val="32"/>
        </w:rPr>
        <w:t>政府采购合同</w:t>
      </w:r>
      <w:bookmarkEnd w:id="47"/>
      <w:r>
        <w:rPr>
          <w:rFonts w:hint="eastAsia" w:ascii="黑体" w:hAnsi="黑体" w:eastAsia="黑体" w:cs="黑体"/>
          <w:b w:val="0"/>
          <w:bCs w:val="0"/>
          <w:color w:val="auto"/>
          <w:sz w:val="32"/>
          <w:szCs w:val="32"/>
          <w:lang w:val="en-US" w:eastAsia="zh-CN"/>
        </w:rPr>
        <w:t>范本（仅供参考）</w:t>
      </w:r>
      <w:bookmarkEnd w:id="48"/>
    </w:p>
    <w:p>
      <w:pPr>
        <w:pStyle w:val="30"/>
        <w:adjustRightInd w:val="0"/>
        <w:snapToGrid w:val="0"/>
        <w:spacing w:line="360" w:lineRule="auto"/>
        <w:ind w:firstLine="700" w:firstLineChars="250"/>
        <w:rPr>
          <w:rFonts w:hint="eastAsia" w:ascii="仿宋_GB2312" w:hAnsi="仿宋_GB2312" w:eastAsia="仿宋_GB2312" w:cs="仿宋_GB2312"/>
          <w:sz w:val="28"/>
          <w:szCs w:val="28"/>
        </w:rPr>
      </w:pPr>
    </w:p>
    <w:p>
      <w:pPr>
        <w:pStyle w:val="30"/>
        <w:widowControl w:val="0"/>
        <w:wordWrap/>
        <w:adjustRightInd w:val="0"/>
        <w:snapToGrid w:val="0"/>
        <w:spacing w:before="0" w:after="0" w:line="560" w:lineRule="exact"/>
        <w:ind w:left="0" w:leftChars="0" w:right="0" w:firstLine="700" w:firstLineChars="25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____________________（下称甲方）和</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（下称乙方）就</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事宜，经双方友好协商，一致同意依照中华人民共和国《合同法》签订本合同。</w:t>
      </w:r>
    </w:p>
    <w:p>
      <w:pPr>
        <w:widowControl w:val="0"/>
        <w:wordWrap/>
        <w:spacing w:before="0" w:after="0" w:line="560" w:lineRule="exact"/>
        <w:ind w:left="0" w:leftChars="0" w:right="0" w:firstLine="616" w:firstLineChars="219"/>
        <w:jc w:val="both"/>
        <w:textAlignment w:val="auto"/>
        <w:outlineLvl w:val="9"/>
        <w:rPr>
          <w:rFonts w:hint="eastAsia" w:ascii="仿宋_GB2312" w:hAnsi="仿宋_GB2312" w:eastAsia="仿宋_GB2312" w:cs="仿宋_GB2312"/>
          <w:b/>
          <w:sz w:val="28"/>
          <w:szCs w:val="28"/>
        </w:rPr>
      </w:pPr>
      <w:bookmarkStart w:id="49" w:name="_Toc4079_WPSOffice_Level2"/>
      <w:r>
        <w:rPr>
          <w:rFonts w:hint="eastAsia" w:ascii="仿宋_GB2312" w:hAnsi="仿宋_GB2312" w:eastAsia="仿宋_GB2312" w:cs="仿宋_GB2312"/>
          <w:b/>
          <w:sz w:val="28"/>
          <w:szCs w:val="28"/>
        </w:rPr>
        <w:t>1．定义</w:t>
      </w:r>
      <w:bookmarkEnd w:id="49"/>
    </w:p>
    <w:p>
      <w:pPr>
        <w:widowControl w:val="0"/>
        <w:wordWrap/>
        <w:spacing w:before="0" w:after="0" w:line="560" w:lineRule="exact"/>
        <w:ind w:left="0" w:leftChars="0" w:right="0" w:firstLine="613" w:firstLineChars="219"/>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 在此合同中按照说明解释下列术语：</w:t>
      </w:r>
    </w:p>
    <w:p>
      <w:pPr>
        <w:widowControl w:val="0"/>
        <w:wordWrap/>
        <w:spacing w:before="0" w:after="0" w:line="560" w:lineRule="exact"/>
        <w:ind w:left="0" w:leftChars="0" w:right="0" w:firstLine="613" w:firstLineChars="219"/>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1.1.1 “合同”指的是甲方和乙方之间的协议，它被记录在双方签订的合同里，包括所有的附件和由证明体现的所有文件，包括其投标期间的所有文件及承诺。</w:t>
      </w:r>
    </w:p>
    <w:p>
      <w:pPr>
        <w:widowControl w:val="0"/>
        <w:wordWrap/>
        <w:spacing w:before="0" w:after="0" w:line="560" w:lineRule="exact"/>
        <w:ind w:left="0" w:leftChars="0" w:right="0" w:firstLine="613" w:firstLineChars="219"/>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1.1.2 “合同价格”是指在合同下可付给乙方的全部正确履行合同义务的价格。</w:t>
      </w:r>
    </w:p>
    <w:p>
      <w:pPr>
        <w:widowControl w:val="0"/>
        <w:wordWrap/>
        <w:spacing w:before="0" w:after="0" w:line="560" w:lineRule="exact"/>
        <w:ind w:left="0" w:leftChars="0" w:right="0" w:firstLine="613" w:firstLineChars="219"/>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1.1.3 “合同产品”是指乙方根据合同向甲方提供的产品、机器、装置、仪器、备品备件、专用工具、材料和所有各种物品。</w:t>
      </w:r>
    </w:p>
    <w:p>
      <w:pPr>
        <w:widowControl w:val="0"/>
        <w:wordWrap/>
        <w:spacing w:before="0" w:after="0" w:line="560" w:lineRule="exact"/>
        <w:ind w:left="0" w:leftChars="0" w:right="0" w:firstLine="613" w:firstLineChars="219"/>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1.1.4 “技术文件”是指与合同产品相关的设计、开发、制造、监造、检验、施工、安装、调试、性能验收试验、验收和技术指导等文件（包括图纸和各种文字说明、标准），用于甲方对合同产品进行正确运行和维护的文件。</w:t>
      </w:r>
    </w:p>
    <w:p>
      <w:pPr>
        <w:widowControl w:val="0"/>
        <w:wordWrap/>
        <w:spacing w:before="0" w:after="0" w:line="560" w:lineRule="exact"/>
        <w:ind w:left="0" w:leftChars="0" w:right="0" w:firstLine="613" w:firstLineChars="219"/>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1.1.5 “服务”是指由乙方提供的与设计、制造、检验、施工、安装、调试、性能验收试验、验收直至最终验收证书签发相关的技术指导、技术配合等（包括人员培训）全过程的服务。</w:t>
      </w:r>
    </w:p>
    <w:p>
      <w:pPr>
        <w:widowControl w:val="0"/>
        <w:wordWrap/>
        <w:spacing w:before="0" w:after="0" w:line="560" w:lineRule="exact"/>
        <w:ind w:left="0" w:leftChars="0" w:right="0" w:firstLine="613" w:firstLineChars="219"/>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1.1.6 “免费服务期”是指合同产品到货，安装调试完毕并通过验收合格之日起</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壹年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pPr>
        <w:widowControl w:val="0"/>
        <w:wordWrap/>
        <w:spacing w:before="0" w:after="0" w:line="560" w:lineRule="exact"/>
        <w:ind w:left="0" w:leftChars="0" w:right="0" w:firstLine="613" w:firstLineChars="219"/>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1.1.7 “甲方”指的是</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eastAsia="zh-CN"/>
        </w:rPr>
        <w:t>新疆维吾尔自治区机关事务管理局</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pPr>
        <w:widowControl w:val="0"/>
        <w:wordWrap/>
        <w:spacing w:before="0" w:after="0" w:line="560" w:lineRule="exact"/>
        <w:ind w:left="0" w:leftChars="0" w:right="0" w:firstLine="613" w:firstLineChars="219"/>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1.1.8 “乙方”指的是提供本合同项下所有产品及服务的制造厂商或供货商。</w:t>
      </w:r>
    </w:p>
    <w:p>
      <w:pPr>
        <w:widowControl w:val="0"/>
        <w:wordWrap/>
        <w:spacing w:before="0" w:after="0" w:line="560" w:lineRule="exact"/>
        <w:ind w:left="0" w:leftChars="0" w:right="0" w:firstLine="613" w:firstLineChars="219"/>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1.1.9 “验收”系指甲方依据技术规格规定接受合同产品所依据的程序和条件。</w:t>
      </w:r>
    </w:p>
    <w:p>
      <w:pPr>
        <w:widowControl w:val="0"/>
        <w:wordWrap/>
        <w:spacing w:before="0" w:after="0" w:line="560" w:lineRule="exact"/>
        <w:ind w:left="0" w:leftChars="0" w:right="0" w:firstLine="616" w:firstLineChars="219"/>
        <w:jc w:val="both"/>
        <w:textAlignment w:val="auto"/>
        <w:outlineLvl w:val="9"/>
        <w:rPr>
          <w:rFonts w:hint="eastAsia" w:ascii="仿宋_GB2312" w:hAnsi="仿宋_GB2312" w:eastAsia="仿宋_GB2312" w:cs="仿宋_GB2312"/>
          <w:b/>
          <w:sz w:val="28"/>
          <w:szCs w:val="28"/>
        </w:rPr>
      </w:pPr>
      <w:bookmarkStart w:id="50" w:name="_Toc25255_WPSOffice_Level2"/>
      <w:bookmarkStart w:id="51" w:name="_Toc374636931"/>
      <w:r>
        <w:rPr>
          <w:rFonts w:hint="eastAsia" w:ascii="仿宋_GB2312" w:hAnsi="仿宋_GB2312" w:eastAsia="仿宋_GB2312" w:cs="仿宋_GB2312"/>
          <w:b/>
          <w:sz w:val="28"/>
          <w:szCs w:val="28"/>
        </w:rPr>
        <w:t>2．合同标的</w:t>
      </w:r>
      <w:bookmarkEnd w:id="50"/>
      <w:bookmarkEnd w:id="51"/>
    </w:p>
    <w:p>
      <w:pPr>
        <w:widowControl w:val="0"/>
        <w:wordWrap/>
        <w:spacing w:before="0" w:after="0" w:line="560" w:lineRule="exact"/>
        <w:ind w:left="0" w:leftChars="0" w:right="0" w:firstLine="613" w:firstLineChars="219"/>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乙方同意向甲方出售合同产品，甲方同意从乙方购买合同产品。</w:t>
      </w:r>
    </w:p>
    <w:p>
      <w:pPr>
        <w:widowControl w:val="0"/>
        <w:wordWrap/>
        <w:spacing w:before="0" w:after="0" w:line="560" w:lineRule="exact"/>
        <w:ind w:left="0" w:leftChars="0" w:right="0" w:firstLine="613" w:firstLineChars="219"/>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2.1 产品名称：</w:t>
      </w:r>
      <w:r>
        <w:rPr>
          <w:rFonts w:hint="eastAsia" w:ascii="仿宋_GB2312" w:hAnsi="仿宋_GB2312" w:eastAsia="仿宋_GB2312" w:cs="仿宋_GB2312"/>
          <w:b w:val="0"/>
          <w:bCs w:val="0"/>
          <w:color w:val="000000"/>
          <w:w w:val="100"/>
          <w:sz w:val="28"/>
          <w:szCs w:val="28"/>
          <w:u w:val="single" w:color="auto"/>
        </w:rPr>
        <w:t>新疆</w:t>
      </w:r>
      <w:r>
        <w:rPr>
          <w:rFonts w:hint="eastAsia" w:ascii="仿宋_GB2312" w:hAnsi="仿宋_GB2312" w:eastAsia="仿宋_GB2312" w:cs="仿宋_GB2312"/>
          <w:b w:val="0"/>
          <w:bCs w:val="0"/>
          <w:color w:val="000000"/>
          <w:w w:val="100"/>
          <w:sz w:val="28"/>
          <w:szCs w:val="28"/>
          <w:u w:val="single" w:color="auto"/>
          <w:lang w:eastAsia="zh-CN"/>
        </w:rPr>
        <w:t>维吾尔</w:t>
      </w:r>
      <w:r>
        <w:rPr>
          <w:rFonts w:hint="eastAsia" w:ascii="仿宋_GB2312" w:hAnsi="仿宋_GB2312" w:eastAsia="仿宋_GB2312" w:cs="仿宋_GB2312"/>
          <w:b w:val="0"/>
          <w:bCs w:val="0"/>
          <w:color w:val="000000"/>
          <w:w w:val="100"/>
          <w:sz w:val="28"/>
          <w:szCs w:val="28"/>
          <w:u w:val="single" w:color="auto"/>
        </w:rPr>
        <w:t>自治区公共机构节能管理系统</w:t>
      </w:r>
      <w:r>
        <w:rPr>
          <w:rFonts w:hint="eastAsia" w:ascii="仿宋_GB2312" w:hAnsi="仿宋_GB2312" w:eastAsia="仿宋_GB2312" w:cs="仿宋_GB2312"/>
          <w:b w:val="0"/>
          <w:bCs w:val="0"/>
          <w:sz w:val="28"/>
          <w:szCs w:val="28"/>
          <w:u w:val="single" w:color="auto"/>
          <w:lang w:eastAsia="zh-CN"/>
        </w:rPr>
        <w:t>软件</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u w:val="single" w:color="auto"/>
        </w:rPr>
        <w:t xml:space="preserve"> </w:t>
      </w:r>
      <w:r>
        <w:rPr>
          <w:rFonts w:hint="eastAsia" w:ascii="仿宋_GB2312" w:hAnsi="仿宋_GB2312" w:eastAsia="仿宋_GB2312" w:cs="仿宋_GB2312"/>
          <w:sz w:val="28"/>
          <w:szCs w:val="28"/>
          <w:u w:val="single"/>
        </w:rPr>
        <w:t xml:space="preserve">                             </w:t>
      </w:r>
    </w:p>
    <w:p>
      <w:pPr>
        <w:widowControl w:val="0"/>
        <w:wordWrap/>
        <w:spacing w:before="0" w:after="0" w:line="560" w:lineRule="exact"/>
        <w:ind w:left="0" w:leftChars="0" w:right="0" w:firstLine="613" w:firstLineChars="219"/>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2.2 凡乙方供应的产品均应是全新、安全、经济、技术先进并且是成熟可靠的。</w:t>
      </w:r>
    </w:p>
    <w:p>
      <w:pPr>
        <w:widowControl w:val="0"/>
        <w:wordWrap/>
        <w:spacing w:before="0" w:after="0" w:line="560" w:lineRule="exact"/>
        <w:ind w:left="0" w:leftChars="0" w:right="0" w:firstLine="613" w:firstLineChars="219"/>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2.3 合同产品的技术规范、技术经济指标和性能按双方签订的《技术协议》（如果有的话）、乙方的《投标文件》及《招标文件》有关要求执行。</w:t>
      </w:r>
    </w:p>
    <w:p>
      <w:pPr>
        <w:widowControl w:val="0"/>
        <w:wordWrap/>
        <w:spacing w:before="0" w:after="0" w:line="560" w:lineRule="exact"/>
        <w:ind w:left="0" w:leftChars="0" w:right="0" w:firstLine="613" w:firstLineChars="219"/>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2.4 乙方提供合同产品的供货范围按乙方在投标文件报出的并经甲方同意认可的供货范围执行。</w:t>
      </w:r>
    </w:p>
    <w:p>
      <w:pPr>
        <w:widowControl w:val="0"/>
        <w:wordWrap/>
        <w:spacing w:before="0" w:after="0" w:line="560" w:lineRule="exact"/>
        <w:ind w:left="0" w:leftChars="0" w:right="0" w:firstLine="613" w:firstLineChars="219"/>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2.5 乙方负责合同产品的运输及保险。</w:t>
      </w:r>
    </w:p>
    <w:p>
      <w:pPr>
        <w:widowControl w:val="0"/>
        <w:wordWrap/>
        <w:spacing w:before="0" w:after="0" w:line="560" w:lineRule="exact"/>
        <w:ind w:left="0" w:leftChars="0" w:right="0" w:firstLine="616" w:firstLineChars="219"/>
        <w:jc w:val="both"/>
        <w:textAlignment w:val="auto"/>
        <w:outlineLvl w:val="9"/>
        <w:rPr>
          <w:rFonts w:hint="eastAsia" w:ascii="仿宋_GB2312" w:hAnsi="仿宋_GB2312" w:eastAsia="仿宋_GB2312" w:cs="仿宋_GB2312"/>
          <w:b/>
          <w:sz w:val="28"/>
          <w:szCs w:val="28"/>
        </w:rPr>
      </w:pPr>
      <w:bookmarkStart w:id="52" w:name="_Toc374636932"/>
      <w:bookmarkStart w:id="53" w:name="_Toc26004_WPSOffice_Level2"/>
      <w:r>
        <w:rPr>
          <w:rFonts w:hint="eastAsia" w:ascii="仿宋_GB2312" w:hAnsi="仿宋_GB2312" w:eastAsia="仿宋_GB2312" w:cs="仿宋_GB2312"/>
          <w:b/>
          <w:sz w:val="28"/>
          <w:szCs w:val="28"/>
        </w:rPr>
        <w:t>3．供货范围</w:t>
      </w:r>
      <w:bookmarkEnd w:id="52"/>
      <w:bookmarkEnd w:id="53"/>
    </w:p>
    <w:p>
      <w:pPr>
        <w:widowControl w:val="0"/>
        <w:wordWrap/>
        <w:spacing w:before="0" w:after="0" w:line="560" w:lineRule="exact"/>
        <w:ind w:left="0" w:leftChars="0" w:right="0" w:firstLine="613" w:firstLineChars="219"/>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3.1 合同供货范围包括了所有产品、技术资料、人员培训及技术协调、技术服务及技术指导,但在执行合同过程中如发现有任何漏项和短缺，在发货清单中并未列入而且确实是乙方供货范围中应该有的,并且是满足《招标文件》,均应由乙方负责将所缺的产品、技术资料、人员培训及技术协调、技术服务及技术指导等补上，且不发生费用问题。</w:t>
      </w:r>
    </w:p>
    <w:p>
      <w:pPr>
        <w:widowControl w:val="0"/>
        <w:wordWrap/>
        <w:spacing w:before="0" w:after="0" w:line="560" w:lineRule="exact"/>
        <w:ind w:left="0" w:leftChars="0" w:right="0" w:firstLine="613" w:firstLineChars="219"/>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3.2 在执行合同过程中，如发现不属技术规范中漏设或招标文件要求中漏项所造成的任何遗漏和缺项，而纯属乙方的不慎所造成，不管其漏项和短缺的产品的金额是多少，均由乙方补齐，费用由乙方承担。</w:t>
      </w:r>
    </w:p>
    <w:p>
      <w:pPr>
        <w:widowControl w:val="0"/>
        <w:wordWrap/>
        <w:spacing w:before="0" w:after="0" w:line="560" w:lineRule="exact"/>
        <w:ind w:left="0" w:leftChars="0" w:right="0" w:firstLine="613" w:firstLineChars="219"/>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 产品供应清单</w:t>
      </w:r>
    </w:p>
    <w:p>
      <w:pPr>
        <w:widowControl w:val="0"/>
        <w:wordWrap/>
        <w:spacing w:before="0" w:after="0" w:line="560" w:lineRule="exact"/>
        <w:ind w:left="0" w:leftChars="0" w:right="0" w:firstLine="613" w:firstLineChars="219"/>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3.3.1 合同谈判时，甲方有权根据实际需要，对合同产品及服务进行适当的调整，具体增减幅度不超过中标价格的10%,如果本次</w:t>
      </w:r>
      <w:r>
        <w:rPr>
          <w:rFonts w:hint="eastAsia" w:ascii="仿宋_GB2312" w:hAnsi="仿宋_GB2312" w:eastAsia="仿宋_GB2312" w:cs="仿宋_GB2312"/>
          <w:sz w:val="28"/>
          <w:szCs w:val="28"/>
          <w:lang w:eastAsia="zh-CN"/>
        </w:rPr>
        <w:t>公开招标</w:t>
      </w:r>
      <w:r>
        <w:rPr>
          <w:rFonts w:hint="eastAsia" w:ascii="仿宋_GB2312" w:hAnsi="仿宋_GB2312" w:eastAsia="仿宋_GB2312" w:cs="仿宋_GB2312"/>
          <w:sz w:val="28"/>
          <w:szCs w:val="28"/>
        </w:rPr>
        <w:t>采购的所有投标报价均超过招标人的项目预算，招标人保留废标的权利。</w:t>
      </w:r>
    </w:p>
    <w:p>
      <w:pPr>
        <w:widowControl w:val="0"/>
        <w:wordWrap/>
        <w:spacing w:before="0" w:after="0" w:line="560" w:lineRule="exact"/>
        <w:ind w:left="0" w:leftChars="0" w:right="0" w:firstLine="613" w:firstLineChars="219"/>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3.3.2 合同产品的供应清单按双方签订的《技术协议》（如果有的话）、乙方的《投标文件》及《招标文件》有关要求执行。</w:t>
      </w:r>
    </w:p>
    <w:p>
      <w:pPr>
        <w:widowControl w:val="0"/>
        <w:wordWrap/>
        <w:spacing w:before="0" w:after="0" w:line="560" w:lineRule="exact"/>
        <w:ind w:left="0" w:leftChars="0" w:right="0" w:firstLine="616" w:firstLineChars="219"/>
        <w:jc w:val="both"/>
        <w:textAlignment w:val="auto"/>
        <w:outlineLvl w:val="9"/>
        <w:rPr>
          <w:rFonts w:hint="eastAsia" w:ascii="仿宋_GB2312" w:hAnsi="仿宋_GB2312" w:eastAsia="仿宋_GB2312" w:cs="仿宋_GB2312"/>
          <w:b/>
          <w:sz w:val="28"/>
          <w:szCs w:val="28"/>
        </w:rPr>
      </w:pPr>
      <w:bookmarkStart w:id="54" w:name="_Toc15935_WPSOffice_Level2"/>
      <w:r>
        <w:rPr>
          <w:rFonts w:hint="eastAsia" w:ascii="仿宋_GB2312" w:hAnsi="仿宋_GB2312" w:eastAsia="仿宋_GB2312" w:cs="仿宋_GB2312"/>
          <w:b/>
          <w:sz w:val="28"/>
          <w:szCs w:val="28"/>
        </w:rPr>
        <w:t>4．合同价格</w:t>
      </w:r>
      <w:bookmarkEnd w:id="54"/>
    </w:p>
    <w:p>
      <w:pPr>
        <w:widowControl w:val="0"/>
        <w:wordWrap/>
        <w:spacing w:before="0" w:after="0" w:line="560" w:lineRule="exact"/>
        <w:ind w:left="0" w:leftChars="0" w:right="0" w:firstLine="613" w:firstLineChars="219"/>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4.1 本合同价格即合同总价为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万元（大写：</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pPr>
        <w:widowControl w:val="0"/>
        <w:wordWrap/>
        <w:spacing w:before="0" w:after="0" w:line="560" w:lineRule="exact"/>
        <w:ind w:left="0" w:leftChars="0" w:right="0" w:firstLine="613" w:firstLineChars="219"/>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本合同价格包括合同产品、税费、运杂费、保险费、技术资料、服务、验收等与合同有关的所有费用。</w:t>
      </w:r>
    </w:p>
    <w:p>
      <w:pPr>
        <w:widowControl w:val="0"/>
        <w:wordWrap/>
        <w:spacing w:before="0" w:after="0" w:line="560" w:lineRule="exact"/>
        <w:ind w:left="0" w:leftChars="0" w:right="0" w:firstLine="613" w:firstLineChars="219"/>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4.1.1 合同产品价格为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万元。</w:t>
      </w:r>
    </w:p>
    <w:p>
      <w:pPr>
        <w:widowControl w:val="0"/>
        <w:wordWrap/>
        <w:spacing w:before="0" w:after="0" w:line="560" w:lineRule="exact"/>
        <w:ind w:left="0" w:leftChars="0" w:right="0" w:firstLine="613" w:firstLineChars="219"/>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4.2 上述合同价格是合同产品安装调试完成且验收合格后的固定不变价格，借任何理由调价都是不允许的。</w:t>
      </w:r>
    </w:p>
    <w:p>
      <w:pPr>
        <w:widowControl w:val="0"/>
        <w:wordWrap/>
        <w:spacing w:before="0" w:after="0" w:line="560" w:lineRule="exact"/>
        <w:ind w:left="0" w:leftChars="0" w:right="0" w:firstLine="616" w:firstLineChars="219"/>
        <w:jc w:val="both"/>
        <w:textAlignment w:val="auto"/>
        <w:outlineLvl w:val="9"/>
        <w:rPr>
          <w:rFonts w:hint="eastAsia" w:ascii="仿宋_GB2312" w:hAnsi="仿宋_GB2312" w:eastAsia="仿宋_GB2312" w:cs="仿宋_GB2312"/>
          <w:b/>
          <w:sz w:val="28"/>
          <w:szCs w:val="28"/>
        </w:rPr>
      </w:pPr>
      <w:bookmarkStart w:id="55" w:name="_Toc22491_WPSOffice_Level2"/>
      <w:r>
        <w:rPr>
          <w:rFonts w:hint="eastAsia" w:ascii="仿宋_GB2312" w:hAnsi="仿宋_GB2312" w:eastAsia="仿宋_GB2312" w:cs="仿宋_GB2312"/>
          <w:b/>
          <w:sz w:val="28"/>
          <w:szCs w:val="28"/>
        </w:rPr>
        <w:t>5．付款方式</w:t>
      </w:r>
      <w:bookmarkEnd w:id="55"/>
    </w:p>
    <w:p>
      <w:pPr>
        <w:widowControl w:val="0"/>
        <w:wordWrap/>
        <w:adjustRightInd/>
        <w:snapToGrid/>
        <w:spacing w:before="0" w:after="0" w:line="560" w:lineRule="exact"/>
        <w:ind w:left="0" w:leftChars="0" w:right="0" w:firstLine="613" w:firstLineChars="219"/>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sz w:val="28"/>
          <w:szCs w:val="28"/>
        </w:rPr>
        <w:t>5.1</w:t>
      </w:r>
      <w:r>
        <w:rPr>
          <w:rFonts w:hint="eastAsia" w:ascii="宋体" w:hAnsi="宋体" w:cs="宋体"/>
          <w:sz w:val="24"/>
        </w:rPr>
        <w:t xml:space="preserve"> </w:t>
      </w:r>
      <w:r>
        <w:rPr>
          <w:rFonts w:hint="eastAsia" w:ascii="仿宋_GB2312" w:hAnsi="仿宋_GB2312" w:eastAsia="仿宋_GB2312" w:cs="仿宋_GB2312"/>
          <w:color w:val="auto"/>
          <w:sz w:val="28"/>
          <w:szCs w:val="28"/>
        </w:rPr>
        <w:t>签订合同五个工作日内</w:t>
      </w:r>
      <w:r>
        <w:rPr>
          <w:rFonts w:hint="eastAsia" w:ascii="仿宋_GB2312" w:hAnsi="仿宋_GB2312" w:eastAsia="仿宋_GB2312" w:cs="仿宋_GB2312"/>
          <w:color w:val="auto"/>
          <w:sz w:val="28"/>
          <w:szCs w:val="28"/>
          <w:lang w:eastAsia="zh-CN"/>
        </w:rPr>
        <w:t>支</w:t>
      </w:r>
      <w:r>
        <w:rPr>
          <w:rFonts w:hint="eastAsia" w:ascii="仿宋_GB2312" w:hAnsi="仿宋_GB2312" w:eastAsia="仿宋_GB2312" w:cs="仿宋_GB2312"/>
          <w:color w:val="auto"/>
          <w:sz w:val="28"/>
          <w:szCs w:val="28"/>
        </w:rPr>
        <w:t>付合同总金额的</w:t>
      </w: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rPr>
        <w:t>0%，</w:t>
      </w:r>
      <w:r>
        <w:rPr>
          <w:rFonts w:hint="eastAsia" w:ascii="仿宋_GB2312" w:hAnsi="仿宋_GB2312" w:eastAsia="仿宋_GB2312" w:cs="仿宋_GB2312"/>
          <w:color w:val="auto"/>
          <w:sz w:val="28"/>
          <w:szCs w:val="28"/>
          <w:lang w:eastAsia="zh-CN"/>
        </w:rPr>
        <w:t>软件安装</w:t>
      </w:r>
      <w:r>
        <w:rPr>
          <w:rFonts w:hint="eastAsia" w:ascii="仿宋_GB2312" w:hAnsi="仿宋_GB2312" w:eastAsia="仿宋_GB2312" w:cs="仿宋_GB2312"/>
          <w:color w:val="auto"/>
          <w:sz w:val="28"/>
          <w:szCs w:val="28"/>
        </w:rPr>
        <w:t>完毕并</w:t>
      </w:r>
      <w:r>
        <w:rPr>
          <w:rFonts w:hint="eastAsia" w:ascii="仿宋_GB2312" w:hAnsi="仿宋_GB2312" w:eastAsia="仿宋_GB2312" w:cs="仿宋_GB2312"/>
          <w:color w:val="auto"/>
          <w:sz w:val="28"/>
          <w:szCs w:val="28"/>
          <w:lang w:eastAsia="zh-CN"/>
        </w:rPr>
        <w:t>测试通过</w:t>
      </w:r>
      <w:r>
        <w:rPr>
          <w:rFonts w:hint="eastAsia" w:ascii="仿宋_GB2312" w:hAnsi="仿宋_GB2312" w:eastAsia="仿宋_GB2312" w:cs="仿宋_GB2312"/>
          <w:color w:val="auto"/>
          <w:sz w:val="28"/>
          <w:szCs w:val="28"/>
        </w:rPr>
        <w:t>后</w:t>
      </w:r>
      <w:r>
        <w:rPr>
          <w:rFonts w:hint="eastAsia" w:ascii="仿宋_GB2312" w:hAnsi="仿宋_GB2312" w:eastAsia="仿宋_GB2312" w:cs="仿宋_GB2312"/>
          <w:color w:val="auto"/>
          <w:sz w:val="28"/>
          <w:szCs w:val="28"/>
          <w:lang w:eastAsia="zh-CN"/>
        </w:rPr>
        <w:t>支</w:t>
      </w:r>
      <w:r>
        <w:rPr>
          <w:rFonts w:hint="eastAsia" w:ascii="仿宋_GB2312" w:hAnsi="仿宋_GB2312" w:eastAsia="仿宋_GB2312" w:cs="仿宋_GB2312"/>
          <w:color w:val="auto"/>
          <w:sz w:val="28"/>
          <w:szCs w:val="28"/>
        </w:rPr>
        <w:t>付合同总金额的</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0%，</w:t>
      </w:r>
      <w:r>
        <w:rPr>
          <w:rFonts w:hint="eastAsia" w:ascii="仿宋_GB2312" w:hAnsi="仿宋_GB2312" w:eastAsia="仿宋_GB2312" w:cs="仿宋_GB2312"/>
          <w:color w:val="auto"/>
          <w:sz w:val="28"/>
          <w:szCs w:val="28"/>
          <w:lang w:eastAsia="zh-CN"/>
        </w:rPr>
        <w:t>最终验收通过后支付</w:t>
      </w:r>
      <w:r>
        <w:rPr>
          <w:rFonts w:hint="eastAsia" w:ascii="仿宋_GB2312" w:hAnsi="仿宋_GB2312" w:eastAsia="仿宋_GB2312" w:cs="仿宋_GB2312"/>
          <w:color w:val="auto"/>
          <w:sz w:val="28"/>
          <w:szCs w:val="28"/>
        </w:rPr>
        <w:t>剩余10%。</w:t>
      </w:r>
    </w:p>
    <w:p>
      <w:pPr>
        <w:widowControl w:val="0"/>
        <w:wordWrap/>
        <w:adjustRightInd/>
        <w:snapToGrid/>
        <w:spacing w:before="0" w:after="0" w:line="560" w:lineRule="exact"/>
        <w:ind w:left="0" w:leftChars="0" w:right="0" w:firstLine="616" w:firstLineChars="219"/>
        <w:jc w:val="both"/>
        <w:textAlignment w:val="auto"/>
        <w:outlineLvl w:val="9"/>
        <w:rPr>
          <w:rFonts w:hint="eastAsia" w:ascii="仿宋_GB2312" w:hAnsi="仿宋_GB2312" w:eastAsia="仿宋_GB2312" w:cs="仿宋_GB2312"/>
          <w:b/>
          <w:sz w:val="28"/>
          <w:szCs w:val="28"/>
        </w:rPr>
      </w:pPr>
      <w:bookmarkStart w:id="56" w:name="_Toc2146_WPSOffice_Level2"/>
      <w:r>
        <w:rPr>
          <w:rFonts w:hint="eastAsia" w:ascii="仿宋_GB2312" w:hAnsi="仿宋_GB2312" w:eastAsia="仿宋_GB2312" w:cs="仿宋_GB2312"/>
          <w:b/>
          <w:sz w:val="28"/>
          <w:szCs w:val="28"/>
        </w:rPr>
        <w:t>6．实施周期</w:t>
      </w:r>
      <w:bookmarkEnd w:id="56"/>
    </w:p>
    <w:p>
      <w:pPr>
        <w:spacing w:line="360" w:lineRule="auto"/>
        <w:ind w:firstLine="613" w:firstLineChars="21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签订合同后</w:t>
      </w:r>
      <w:r>
        <w:rPr>
          <w:rFonts w:hint="eastAsia" w:ascii="仿宋_GB2312" w:hAnsi="仿宋_GB2312" w:eastAsia="仿宋_GB2312" w:cs="仿宋_GB2312"/>
          <w:color w:val="auto"/>
          <w:sz w:val="28"/>
          <w:szCs w:val="28"/>
          <w:lang w:eastAsia="zh-CN"/>
        </w:rPr>
        <w:t>肆</w:t>
      </w:r>
      <w:r>
        <w:rPr>
          <w:rFonts w:hint="eastAsia" w:ascii="仿宋_GB2312" w:hAnsi="仿宋_GB2312" w:eastAsia="仿宋_GB2312" w:cs="仿宋_GB2312"/>
          <w:color w:val="auto"/>
          <w:sz w:val="28"/>
          <w:szCs w:val="28"/>
        </w:rPr>
        <w:t>个月内，乙方必须保证完成合同内的所有内容</w:t>
      </w:r>
      <w:r>
        <w:rPr>
          <w:rFonts w:hint="eastAsia" w:ascii="仿宋_GB2312" w:hAnsi="仿宋_GB2312" w:eastAsia="仿宋_GB2312" w:cs="仿宋_GB2312"/>
          <w:color w:val="auto"/>
          <w:sz w:val="28"/>
          <w:szCs w:val="28"/>
          <w:lang w:eastAsia="zh-CN"/>
        </w:rPr>
        <w:t>，但因甲方原因造成的工期延后除外</w:t>
      </w:r>
      <w:r>
        <w:rPr>
          <w:rFonts w:hint="eastAsia" w:ascii="仿宋_GB2312" w:hAnsi="仿宋_GB2312" w:eastAsia="仿宋_GB2312" w:cs="仿宋_GB2312"/>
          <w:color w:val="auto"/>
          <w:sz w:val="28"/>
          <w:szCs w:val="28"/>
        </w:rPr>
        <w:t>。</w:t>
      </w:r>
    </w:p>
    <w:p>
      <w:pPr>
        <w:widowControl w:val="0"/>
        <w:wordWrap/>
        <w:spacing w:before="0" w:after="0" w:line="560" w:lineRule="exact"/>
        <w:ind w:left="0" w:leftChars="0" w:right="0" w:firstLine="616" w:firstLineChars="219"/>
        <w:jc w:val="both"/>
        <w:textAlignment w:val="auto"/>
        <w:outlineLvl w:val="9"/>
        <w:rPr>
          <w:rFonts w:hint="eastAsia" w:ascii="仿宋_GB2312" w:hAnsi="仿宋_GB2312" w:eastAsia="仿宋_GB2312" w:cs="仿宋_GB2312"/>
          <w:b/>
          <w:sz w:val="28"/>
          <w:szCs w:val="28"/>
        </w:rPr>
      </w:pPr>
      <w:bookmarkStart w:id="57" w:name="_Toc1579_WPSOffice_Level2"/>
      <w:r>
        <w:rPr>
          <w:rFonts w:hint="eastAsia" w:ascii="仿宋_GB2312" w:hAnsi="仿宋_GB2312" w:eastAsia="仿宋_GB2312" w:cs="仿宋_GB2312"/>
          <w:b/>
          <w:sz w:val="28"/>
          <w:szCs w:val="28"/>
        </w:rPr>
        <w:t>7．交货地点</w:t>
      </w:r>
      <w:bookmarkEnd w:id="57"/>
    </w:p>
    <w:p>
      <w:pPr>
        <w:widowControl w:val="0"/>
        <w:wordWrap/>
        <w:adjustRightInd/>
        <w:snapToGrid/>
        <w:spacing w:before="0" w:after="0" w:line="560" w:lineRule="exact"/>
        <w:ind w:left="0" w:leftChars="0" w:right="0" w:firstLine="613" w:firstLineChars="219"/>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按照招标人要求。</w:t>
      </w:r>
    </w:p>
    <w:p>
      <w:pPr>
        <w:widowControl w:val="0"/>
        <w:numPr>
          <w:ilvl w:val="0"/>
          <w:numId w:val="7"/>
        </w:numPr>
        <w:wordWrap/>
        <w:adjustRightInd/>
        <w:snapToGrid/>
        <w:spacing w:line="560" w:lineRule="exact"/>
        <w:ind w:right="0" w:firstLine="616" w:firstLineChars="219"/>
        <w:textAlignment w:val="auto"/>
        <w:rPr>
          <w:rFonts w:hint="eastAsia" w:ascii="仿宋_GB2312" w:hAnsi="仿宋_GB2312" w:eastAsia="仿宋_GB2312" w:cs="仿宋_GB2312"/>
          <w:b/>
          <w:sz w:val="28"/>
          <w:szCs w:val="28"/>
        </w:rPr>
      </w:pPr>
      <w:bookmarkStart w:id="58" w:name="_Toc2147_WPSOffice_Level2"/>
      <w:r>
        <w:rPr>
          <w:rFonts w:hint="eastAsia" w:ascii="仿宋_GB2312" w:hAnsi="仿宋_GB2312" w:eastAsia="仿宋_GB2312" w:cs="仿宋_GB2312"/>
          <w:b/>
          <w:sz w:val="28"/>
          <w:szCs w:val="28"/>
        </w:rPr>
        <w:t>专利权</w:t>
      </w:r>
      <w:bookmarkEnd w:id="58"/>
    </w:p>
    <w:p>
      <w:pPr>
        <w:widowControl w:val="0"/>
        <w:numPr>
          <w:numId w:val="0"/>
        </w:numPr>
        <w:wordWrap/>
        <w:adjustRightInd/>
        <w:snapToGrid/>
        <w:spacing w:line="560" w:lineRule="exact"/>
        <w:ind w:right="0"/>
        <w:textAlignment w:val="auto"/>
        <w:rPr>
          <w:rFonts w:hint="eastAsia"/>
        </w:rPr>
      </w:pPr>
      <w:r>
        <w:rPr>
          <w:rFonts w:hint="eastAsia" w:cs="宋体"/>
          <w:sz w:val="24"/>
          <w:lang w:val="en-US" w:eastAsia="zh-CN"/>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乙方</w:t>
      </w:r>
      <w:r>
        <w:rPr>
          <w:rFonts w:hint="eastAsia" w:ascii="仿宋_GB2312" w:hAnsi="仿宋_GB2312" w:eastAsia="仿宋_GB2312" w:cs="仿宋_GB2312"/>
          <w:sz w:val="28"/>
          <w:szCs w:val="28"/>
          <w:lang w:eastAsia="zh-CN"/>
        </w:rPr>
        <w:t>开发完软件通过最终验收，且甲方付清全部合同款后，</w:t>
      </w:r>
      <w:r>
        <w:rPr>
          <w:rFonts w:hint="eastAsia" w:ascii="仿宋_GB2312" w:hAnsi="仿宋_GB2312" w:eastAsia="仿宋_GB2312" w:cs="仿宋_GB2312"/>
          <w:sz w:val="28"/>
          <w:szCs w:val="28"/>
        </w:rPr>
        <w:t>乙方应</w:t>
      </w:r>
      <w:r>
        <w:rPr>
          <w:rFonts w:hint="eastAsia" w:ascii="仿宋_GB2312" w:hAnsi="仿宋_GB2312" w:eastAsia="仿宋_GB2312" w:cs="仿宋_GB2312"/>
          <w:sz w:val="28"/>
          <w:szCs w:val="28"/>
          <w:lang w:eastAsia="zh-CN"/>
        </w:rPr>
        <w:t>将软件全部源代码移交给</w:t>
      </w:r>
      <w:r>
        <w:rPr>
          <w:rFonts w:hint="eastAsia" w:ascii="仿宋_GB2312" w:hAnsi="仿宋_GB2312" w:eastAsia="仿宋_GB2312" w:cs="仿宋_GB2312"/>
          <w:sz w:val="28"/>
          <w:szCs w:val="28"/>
        </w:rPr>
        <w:t>甲方</w:t>
      </w:r>
      <w:r>
        <w:rPr>
          <w:rFonts w:hint="eastAsia" w:ascii="仿宋_GB2312" w:hAnsi="仿宋_GB2312" w:eastAsia="仿宋_GB2312" w:cs="仿宋_GB2312"/>
          <w:sz w:val="28"/>
          <w:szCs w:val="28"/>
          <w:lang w:eastAsia="zh-CN"/>
        </w:rPr>
        <w:t>，软件知识产权由甲方单独享有</w:t>
      </w:r>
      <w:r>
        <w:rPr>
          <w:rFonts w:hint="eastAsia" w:ascii="仿宋_GB2312" w:hAnsi="仿宋_GB2312" w:eastAsia="仿宋_GB2312" w:cs="仿宋_GB2312"/>
          <w:sz w:val="28"/>
          <w:szCs w:val="28"/>
        </w:rPr>
        <w:t>。</w:t>
      </w:r>
    </w:p>
    <w:p>
      <w:pPr>
        <w:widowControl w:val="0"/>
        <w:wordWrap/>
        <w:spacing w:before="0" w:after="0" w:line="560" w:lineRule="exact"/>
        <w:ind w:left="0" w:leftChars="0" w:right="0" w:firstLine="0" w:firstLineChars="0"/>
        <w:jc w:val="both"/>
        <w:textAlignment w:val="auto"/>
        <w:outlineLvl w:val="9"/>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lang w:val="en-US" w:eastAsia="zh-CN"/>
        </w:rPr>
        <w:t xml:space="preserve">     </w:t>
      </w:r>
      <w:bookmarkStart w:id="59" w:name="_Toc20976_WPSOffice_Level2"/>
      <w:r>
        <w:rPr>
          <w:rFonts w:hint="eastAsia" w:ascii="仿宋_GB2312" w:hAnsi="仿宋_GB2312" w:eastAsia="仿宋_GB2312" w:cs="仿宋_GB2312"/>
          <w:b/>
          <w:sz w:val="28"/>
          <w:szCs w:val="28"/>
        </w:rPr>
        <w:t>9．技术资料的交付</w:t>
      </w:r>
      <w:bookmarkEnd w:id="59"/>
    </w:p>
    <w:p>
      <w:pPr>
        <w:widowControl w:val="0"/>
        <w:wordWrap/>
        <w:spacing w:before="0" w:after="0" w:line="560" w:lineRule="exact"/>
        <w:ind w:left="0" w:leftChars="0" w:right="0" w:firstLine="613" w:firstLineChars="219"/>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9.1 乙方应向甲方交付全套技术资料。</w:t>
      </w:r>
    </w:p>
    <w:p>
      <w:pPr>
        <w:widowControl w:val="0"/>
        <w:wordWrap/>
        <w:spacing w:before="0" w:after="0" w:line="560" w:lineRule="exact"/>
        <w:ind w:left="0" w:leftChars="0" w:right="0" w:firstLine="616" w:firstLineChars="219"/>
        <w:jc w:val="both"/>
        <w:textAlignment w:val="auto"/>
        <w:outlineLvl w:val="9"/>
        <w:rPr>
          <w:rFonts w:hint="eastAsia" w:ascii="仿宋_GB2312" w:hAnsi="仿宋_GB2312" w:eastAsia="仿宋_GB2312" w:cs="仿宋_GB2312"/>
          <w:b/>
          <w:sz w:val="28"/>
          <w:szCs w:val="28"/>
        </w:rPr>
      </w:pPr>
      <w:bookmarkStart w:id="60" w:name="_Toc31708_WPSOffice_Level2"/>
      <w:r>
        <w:rPr>
          <w:rFonts w:hint="eastAsia" w:ascii="仿宋_GB2312" w:hAnsi="仿宋_GB2312" w:eastAsia="仿宋_GB2312" w:cs="仿宋_GB2312"/>
          <w:b/>
          <w:sz w:val="28"/>
          <w:szCs w:val="28"/>
        </w:rPr>
        <w:t>10．维护与索赔</w:t>
      </w:r>
      <w:bookmarkEnd w:id="60"/>
    </w:p>
    <w:p>
      <w:pPr>
        <w:widowControl w:val="0"/>
        <w:wordWrap/>
        <w:spacing w:before="0" w:after="0" w:line="560" w:lineRule="exact"/>
        <w:ind w:left="0" w:leftChars="0" w:right="0" w:firstLine="613" w:firstLineChars="219"/>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10.1免费服务期（包含相关设备质保）</w:t>
      </w:r>
    </w:p>
    <w:p>
      <w:pPr>
        <w:widowControl w:val="0"/>
        <w:wordWrap/>
        <w:adjustRightInd/>
        <w:snapToGrid/>
        <w:spacing w:before="0" w:after="0" w:line="560" w:lineRule="exact"/>
        <w:ind w:left="0" w:leftChars="0" w:right="0" w:firstLine="613" w:firstLineChars="219"/>
        <w:jc w:val="both"/>
        <w:textAlignment w:val="auto"/>
        <w:outlineLvl w:val="9"/>
        <w:rPr>
          <w:rFonts w:hint="eastAsia" w:ascii="仿宋_GB2312" w:hAnsi="仿宋_GB2312" w:eastAsia="仿宋_GB2312" w:cs="仿宋_GB2312"/>
          <w:color w:val="FF0000"/>
          <w:sz w:val="28"/>
          <w:szCs w:val="28"/>
        </w:rPr>
      </w:pPr>
      <w:r>
        <w:rPr>
          <w:rFonts w:hint="eastAsia" w:ascii="仿宋_GB2312" w:hAnsi="仿宋_GB2312" w:eastAsia="仿宋_GB2312" w:cs="仿宋_GB2312"/>
          <w:sz w:val="28"/>
          <w:szCs w:val="28"/>
        </w:rPr>
        <w:t>10.1.1</w:t>
      </w:r>
      <w:r>
        <w:rPr>
          <w:rFonts w:hint="eastAsia" w:ascii="仿宋_GB2312" w:hAnsi="仿宋_GB2312" w:eastAsia="仿宋_GB2312" w:cs="仿宋_GB2312"/>
          <w:color w:val="auto"/>
          <w:sz w:val="28"/>
          <w:szCs w:val="28"/>
        </w:rPr>
        <w:t>免费服务期是指合同产品安装、调试检测完毕并经验收合格之日开始计算周期，</w:t>
      </w:r>
      <w:r>
        <w:rPr>
          <w:rFonts w:hint="eastAsia" w:ascii="仿宋_GB2312" w:hAnsi="仿宋_GB2312" w:eastAsia="仿宋_GB2312" w:cs="仿宋_GB2312"/>
          <w:color w:val="auto"/>
          <w:sz w:val="28"/>
          <w:szCs w:val="28"/>
          <w:lang w:eastAsia="zh-CN"/>
        </w:rPr>
        <w:t>软件</w:t>
      </w:r>
      <w:r>
        <w:rPr>
          <w:rFonts w:hint="eastAsia" w:ascii="仿宋_GB2312" w:hAnsi="仿宋_GB2312" w:eastAsia="仿宋_GB2312" w:cs="仿宋_GB2312"/>
          <w:color w:val="auto"/>
          <w:sz w:val="28"/>
          <w:szCs w:val="28"/>
        </w:rPr>
        <w:t>免费</w:t>
      </w:r>
      <w:r>
        <w:rPr>
          <w:rFonts w:hint="eastAsia" w:ascii="仿宋_GB2312" w:hAnsi="仿宋_GB2312" w:eastAsia="仿宋_GB2312" w:cs="仿宋_GB2312"/>
          <w:color w:val="auto"/>
          <w:sz w:val="28"/>
          <w:szCs w:val="28"/>
          <w:lang w:eastAsia="zh-CN"/>
        </w:rPr>
        <w:t>维护期一</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lang w:eastAsia="zh-CN"/>
        </w:rPr>
        <w:t>（但不包括甲方在系统软件开展正常业务的运行维护）</w:t>
      </w:r>
      <w:r>
        <w:rPr>
          <w:rFonts w:hint="eastAsia" w:ascii="仿宋_GB2312" w:hAnsi="仿宋_GB2312" w:eastAsia="仿宋_GB2312" w:cs="仿宋_GB2312"/>
          <w:color w:val="auto"/>
          <w:sz w:val="28"/>
          <w:szCs w:val="28"/>
        </w:rPr>
        <w:t>。</w:t>
      </w:r>
    </w:p>
    <w:p>
      <w:pPr>
        <w:widowControl w:val="0"/>
        <w:wordWrap/>
        <w:spacing w:before="0" w:after="0" w:line="560" w:lineRule="exact"/>
        <w:ind w:left="0" w:leftChars="0" w:right="0" w:firstLine="613" w:firstLineChars="219"/>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10.1.2 在此服务期内，乙方应对合同产品发生的任何不足或故障负责，费用由乙方负担。</w:t>
      </w:r>
    </w:p>
    <w:p>
      <w:pPr>
        <w:widowControl w:val="0"/>
        <w:wordWrap/>
        <w:spacing w:before="0" w:after="0" w:line="560" w:lineRule="exact"/>
        <w:ind w:left="0" w:leftChars="0" w:right="0" w:firstLine="613" w:firstLineChars="219"/>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10.2 在服务期内，如发现乙方提供的产品有缺陷，不符合本合同规定时，甲方认为如属乙方责任，则甲方有权向乙方提出索赔。乙方在接到甲方索赔文件后，应立即无偿调试、升级、赔款，由此产生的到现场的费用由乙方负担。</w:t>
      </w:r>
    </w:p>
    <w:p>
      <w:pPr>
        <w:widowControl w:val="0"/>
        <w:wordWrap/>
        <w:spacing w:before="0" w:after="0" w:line="560" w:lineRule="exact"/>
        <w:ind w:left="0" w:leftChars="0" w:right="0" w:firstLine="613" w:firstLineChars="219"/>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10.3 如由于乙方责任需要更换、修理有缺陷的产品，而使合同产品停运时，则免费服务期按实际调试或升级、换货所延误的时间做相应的延长，且新更换或修理的产品，其免费服务期应重新计算。</w:t>
      </w:r>
    </w:p>
    <w:p>
      <w:pPr>
        <w:widowControl w:val="0"/>
        <w:wordWrap/>
        <w:spacing w:before="0" w:after="0" w:line="560" w:lineRule="exact"/>
        <w:ind w:left="0" w:leftChars="0" w:right="0" w:firstLine="613" w:firstLineChars="219"/>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10.4 如果乙方在收到通知后</w:t>
      </w:r>
      <w:r>
        <w:rPr>
          <w:rFonts w:hint="eastAsia" w:ascii="仿宋_GB2312" w:hAnsi="仿宋_GB2312" w:eastAsia="仿宋_GB2312" w:cs="仿宋_GB2312"/>
          <w:sz w:val="28"/>
          <w:szCs w:val="28"/>
          <w:u w:val="single"/>
        </w:rPr>
        <w:t xml:space="preserve"> 三 </w:t>
      </w:r>
      <w:r>
        <w:rPr>
          <w:rFonts w:hint="eastAsia" w:ascii="仿宋_GB2312" w:hAnsi="仿宋_GB2312" w:eastAsia="仿宋_GB2312" w:cs="仿宋_GB2312"/>
          <w:sz w:val="28"/>
          <w:szCs w:val="28"/>
        </w:rPr>
        <w:t>天内没有弥补缺陷，甲方可采取必要的补救措施，但风险和费用将由乙方承担。</w:t>
      </w:r>
    </w:p>
    <w:p>
      <w:pPr>
        <w:widowControl w:val="0"/>
        <w:wordWrap/>
        <w:spacing w:before="0" w:after="0" w:line="560" w:lineRule="exact"/>
        <w:ind w:left="0" w:leftChars="0" w:right="0" w:firstLine="613" w:firstLineChars="219"/>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10.5 由于乙方原因未能按本合同规定的实施周期将产品交付使用时（不可抗力除外），甲方有权按下列比例向乙方收取违约金：</w:t>
      </w:r>
    </w:p>
    <w:p>
      <w:pPr>
        <w:widowControl w:val="0"/>
        <w:wordWrap/>
        <w:spacing w:before="0" w:after="0" w:line="560" w:lineRule="exact"/>
        <w:ind w:left="0" w:leftChars="0" w:right="0" w:firstLine="613" w:firstLineChars="219"/>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迟交1～7天，支付迟交产品合同总金额的0.5%，不满7天按7天计算；迟交违约金的额度不得超过迟交产品合同金额的5%；乙方支付迟交违约金，并不解除乙方按照合同继续交货的义务。</w:t>
      </w:r>
    </w:p>
    <w:p>
      <w:pPr>
        <w:widowControl w:val="0"/>
        <w:wordWrap/>
        <w:spacing w:before="0" w:after="0" w:line="560" w:lineRule="exact"/>
        <w:ind w:left="0" w:leftChars="0" w:right="0" w:firstLine="616" w:firstLineChars="219"/>
        <w:jc w:val="both"/>
        <w:textAlignment w:val="auto"/>
        <w:outlineLvl w:val="9"/>
        <w:rPr>
          <w:rFonts w:hint="eastAsia" w:ascii="仿宋_GB2312" w:hAnsi="仿宋_GB2312" w:eastAsia="仿宋_GB2312" w:cs="仿宋_GB2312"/>
          <w:b/>
          <w:sz w:val="28"/>
          <w:szCs w:val="28"/>
        </w:rPr>
      </w:pPr>
      <w:bookmarkStart w:id="61" w:name="_Toc17614_WPSOffice_Level2"/>
      <w:r>
        <w:rPr>
          <w:rFonts w:hint="eastAsia" w:ascii="仿宋_GB2312" w:hAnsi="仿宋_GB2312" w:eastAsia="仿宋_GB2312" w:cs="仿宋_GB2312"/>
          <w:b/>
          <w:sz w:val="28"/>
          <w:szCs w:val="28"/>
        </w:rPr>
        <w:t>11．安装调试</w:t>
      </w:r>
      <w:bookmarkEnd w:id="61"/>
    </w:p>
    <w:p>
      <w:pPr>
        <w:widowControl w:val="0"/>
        <w:wordWrap/>
        <w:spacing w:before="0" w:after="0" w:line="560" w:lineRule="exact"/>
        <w:ind w:left="0" w:leftChars="0" w:right="0" w:firstLine="613" w:firstLineChars="219"/>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11.1 乙方必须在合同签订后将所有的安装调试条件、需甲方配合的事项以书面方式通知甲方；</w:t>
      </w:r>
    </w:p>
    <w:p>
      <w:pPr>
        <w:widowControl w:val="0"/>
        <w:wordWrap/>
        <w:spacing w:before="0" w:after="0" w:line="560" w:lineRule="exact"/>
        <w:ind w:left="0" w:leftChars="0" w:right="0" w:firstLine="613" w:firstLineChars="219"/>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11.2 乙方免费负责合同产品在甲方的安装、调试，甲方协助开展工作；</w:t>
      </w:r>
    </w:p>
    <w:p>
      <w:pPr>
        <w:widowControl w:val="0"/>
        <w:wordWrap/>
        <w:spacing w:before="0" w:after="0" w:line="560" w:lineRule="exact"/>
        <w:ind w:left="0" w:leftChars="0" w:right="0" w:firstLine="613" w:firstLineChars="219"/>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11.3 乙方安装调试的专业技术人员应及时到达甲方现场，直至安装调试结束、通过验收；</w:t>
      </w:r>
    </w:p>
    <w:p>
      <w:pPr>
        <w:widowControl w:val="0"/>
        <w:wordWrap/>
        <w:spacing w:before="0" w:after="0" w:line="560" w:lineRule="exact"/>
        <w:ind w:left="0" w:leftChars="0" w:right="0" w:firstLine="613" w:firstLineChars="219"/>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11.4乙方负责安装调试期间产生的和合同产品有关的任何费用；</w:t>
      </w:r>
    </w:p>
    <w:p>
      <w:pPr>
        <w:widowControl w:val="0"/>
        <w:wordWrap/>
        <w:spacing w:before="0" w:after="0" w:line="560" w:lineRule="exact"/>
        <w:ind w:left="0" w:leftChars="0" w:right="0" w:firstLine="613" w:firstLineChars="219"/>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11.5上述安装调试完成后，甲方按相应的乙方在投标文件中所提供的技术指标进行验收；</w:t>
      </w:r>
    </w:p>
    <w:p>
      <w:pPr>
        <w:widowControl w:val="0"/>
        <w:wordWrap/>
        <w:spacing w:before="0" w:after="0" w:line="560" w:lineRule="exact"/>
        <w:ind w:left="0" w:leftChars="0" w:right="0" w:firstLine="613" w:firstLineChars="219"/>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11.6 乙方如不能按时完成安装、调试工作，应赔偿由此甲方造成的所有损失；</w:t>
      </w:r>
    </w:p>
    <w:p>
      <w:pPr>
        <w:widowControl w:val="0"/>
        <w:wordWrap/>
        <w:spacing w:before="0" w:after="0" w:line="560" w:lineRule="exact"/>
        <w:ind w:left="0" w:leftChars="0" w:right="0" w:firstLine="613" w:firstLineChars="219"/>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11.7最终的测试验收报告由甲乙双方代表签字认可后生效。</w:t>
      </w:r>
    </w:p>
    <w:p>
      <w:pPr>
        <w:widowControl w:val="0"/>
        <w:wordWrap/>
        <w:spacing w:before="0" w:after="0" w:line="560" w:lineRule="exact"/>
        <w:ind w:left="0" w:leftChars="0" w:right="0" w:firstLine="616" w:firstLineChars="219"/>
        <w:jc w:val="both"/>
        <w:textAlignment w:val="auto"/>
        <w:outlineLvl w:val="9"/>
        <w:rPr>
          <w:rFonts w:hint="eastAsia" w:ascii="仿宋_GB2312" w:hAnsi="仿宋_GB2312" w:eastAsia="仿宋_GB2312" w:cs="仿宋_GB2312"/>
          <w:b/>
          <w:sz w:val="28"/>
          <w:szCs w:val="28"/>
        </w:rPr>
      </w:pPr>
      <w:bookmarkStart w:id="62" w:name="_Toc18058_WPSOffice_Level2"/>
      <w:r>
        <w:rPr>
          <w:rFonts w:hint="eastAsia" w:ascii="仿宋_GB2312" w:hAnsi="仿宋_GB2312" w:eastAsia="仿宋_GB2312" w:cs="仿宋_GB2312"/>
          <w:b/>
          <w:sz w:val="28"/>
          <w:szCs w:val="28"/>
        </w:rPr>
        <w:t>12．培训</w:t>
      </w:r>
      <w:bookmarkEnd w:id="62"/>
    </w:p>
    <w:p>
      <w:pPr>
        <w:widowControl w:val="0"/>
        <w:wordWrap/>
        <w:spacing w:before="0" w:after="0" w:line="560" w:lineRule="exact"/>
        <w:ind w:left="0" w:leftChars="0" w:right="0" w:firstLine="613" w:firstLineChars="219"/>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12.1 乙方的安装调试人员有义务对甲方的设备维修人员及使用人员进行培训，使维修人员能对设备进行日常维护和一般性故障的查找及故障的排除，使用人员能够熟练掌握设备的各项功能和操作。</w:t>
      </w:r>
    </w:p>
    <w:p>
      <w:pPr>
        <w:widowControl w:val="0"/>
        <w:wordWrap/>
        <w:spacing w:before="0" w:after="0" w:line="560" w:lineRule="exact"/>
        <w:ind w:left="0" w:leftChars="0" w:right="0" w:firstLine="616" w:firstLineChars="219"/>
        <w:jc w:val="both"/>
        <w:textAlignment w:val="auto"/>
        <w:outlineLvl w:val="9"/>
        <w:rPr>
          <w:rFonts w:hint="eastAsia" w:ascii="仿宋_GB2312" w:hAnsi="仿宋_GB2312" w:eastAsia="仿宋_GB2312" w:cs="仿宋_GB2312"/>
          <w:b/>
          <w:sz w:val="28"/>
          <w:szCs w:val="28"/>
        </w:rPr>
      </w:pPr>
      <w:bookmarkStart w:id="63" w:name="_Toc22925_WPSOffice_Level2"/>
      <w:r>
        <w:rPr>
          <w:rFonts w:hint="eastAsia" w:ascii="仿宋_GB2312" w:hAnsi="仿宋_GB2312" w:eastAsia="仿宋_GB2312" w:cs="仿宋_GB2312"/>
          <w:b/>
          <w:sz w:val="28"/>
          <w:szCs w:val="28"/>
        </w:rPr>
        <w:t>13．检验</w:t>
      </w:r>
      <w:bookmarkEnd w:id="63"/>
    </w:p>
    <w:p>
      <w:pPr>
        <w:widowControl w:val="0"/>
        <w:wordWrap/>
        <w:spacing w:before="0" w:after="0" w:line="560" w:lineRule="exact"/>
        <w:ind w:left="0" w:leftChars="0" w:right="0" w:firstLine="613" w:firstLineChars="219"/>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13.1 对于乙方提供的所有产品, 甲方可委派相关人员进行检验，验收合格后，所产生的费用由甲方承担，经检验不合格时，所产生的费用由乙方承担。</w:t>
      </w:r>
    </w:p>
    <w:p>
      <w:pPr>
        <w:widowControl w:val="0"/>
        <w:wordWrap/>
        <w:spacing w:before="0" w:after="0" w:line="560" w:lineRule="exact"/>
        <w:ind w:left="0" w:leftChars="0" w:right="0" w:firstLine="613" w:firstLineChars="219"/>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13.2 具体的检验标准按乙方在投标文件中承诺的并经甲方确认的规定执行。</w:t>
      </w:r>
    </w:p>
    <w:p>
      <w:pPr>
        <w:widowControl w:val="0"/>
        <w:wordWrap/>
        <w:spacing w:before="0" w:after="0" w:line="560" w:lineRule="exact"/>
        <w:ind w:left="0" w:leftChars="0" w:right="0" w:firstLine="616" w:firstLineChars="219"/>
        <w:jc w:val="both"/>
        <w:textAlignment w:val="auto"/>
        <w:outlineLvl w:val="9"/>
        <w:rPr>
          <w:rFonts w:hint="eastAsia" w:ascii="仿宋_GB2312" w:hAnsi="仿宋_GB2312" w:eastAsia="仿宋_GB2312" w:cs="仿宋_GB2312"/>
          <w:b/>
          <w:sz w:val="28"/>
          <w:szCs w:val="28"/>
        </w:rPr>
      </w:pPr>
      <w:bookmarkStart w:id="64" w:name="_Toc3596_WPSOffice_Level2"/>
      <w:r>
        <w:rPr>
          <w:rFonts w:hint="eastAsia" w:ascii="仿宋_GB2312" w:hAnsi="仿宋_GB2312" w:eastAsia="仿宋_GB2312" w:cs="仿宋_GB2312"/>
          <w:b/>
          <w:sz w:val="28"/>
          <w:szCs w:val="28"/>
        </w:rPr>
        <w:t>14．违约责任</w:t>
      </w:r>
      <w:bookmarkEnd w:id="64"/>
    </w:p>
    <w:p>
      <w:pPr>
        <w:widowControl w:val="0"/>
        <w:wordWrap/>
        <w:spacing w:before="0" w:after="0" w:line="560" w:lineRule="exact"/>
        <w:ind w:left="0" w:leftChars="0" w:right="0" w:firstLine="613" w:firstLineChars="219"/>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14.1 由于乙方原因未能按本合同规定的实施周期将产品交付使用时（不可抗力除外），招标人有权按下列比例向乙方收取违约金：</w:t>
      </w:r>
    </w:p>
    <w:p>
      <w:pPr>
        <w:widowControl w:val="0"/>
        <w:wordWrap/>
        <w:spacing w:before="0" w:after="0" w:line="560" w:lineRule="exact"/>
        <w:ind w:left="0" w:leftChars="0" w:right="0" w:firstLine="613" w:firstLineChars="219"/>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迟交1～4周，每周支付迟交产品合同总金额的1%；</w:t>
      </w:r>
    </w:p>
    <w:p>
      <w:pPr>
        <w:widowControl w:val="0"/>
        <w:wordWrap/>
        <w:spacing w:before="0" w:after="0" w:line="560" w:lineRule="exact"/>
        <w:ind w:left="0" w:leftChars="0" w:right="0" w:firstLine="613" w:firstLineChars="219"/>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迟交5～8周，每周支付迟交产品合同总金额的1.5％；</w:t>
      </w:r>
    </w:p>
    <w:p>
      <w:pPr>
        <w:widowControl w:val="0"/>
        <w:wordWrap/>
        <w:spacing w:before="0" w:after="0" w:line="560" w:lineRule="exact"/>
        <w:ind w:left="0" w:leftChars="0" w:right="0" w:firstLine="613" w:firstLineChars="219"/>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迟交9周以上，每周支付迟交产品合同总金额的2%；</w:t>
      </w:r>
    </w:p>
    <w:p>
      <w:pPr>
        <w:widowControl w:val="0"/>
        <w:wordWrap/>
        <w:spacing w:before="0" w:after="0" w:line="560" w:lineRule="exact"/>
        <w:ind w:left="0" w:leftChars="0" w:right="0" w:firstLine="613" w:firstLineChars="219"/>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不满一周按一周计算。</w:t>
      </w:r>
    </w:p>
    <w:p>
      <w:pPr>
        <w:widowControl w:val="0"/>
        <w:wordWrap/>
        <w:spacing w:before="0" w:after="0" w:line="560" w:lineRule="exact"/>
        <w:ind w:left="0" w:leftChars="0" w:right="0" w:firstLine="613" w:firstLineChars="219"/>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乙方支付迟交违约金，并不解除乙方按照合同继续交货的义务。</w:t>
      </w:r>
    </w:p>
    <w:p>
      <w:pPr>
        <w:widowControl w:val="0"/>
        <w:wordWrap/>
        <w:spacing w:before="0" w:after="0" w:line="560" w:lineRule="exact"/>
        <w:ind w:left="0" w:leftChars="0" w:right="0" w:firstLine="613" w:firstLineChars="219"/>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14.2 乙方对于根据本合同承担的赔偿和违约责任不论单项或多项累计将不超过合同总价的10%。</w:t>
      </w:r>
    </w:p>
    <w:p>
      <w:pPr>
        <w:widowControl w:val="0"/>
        <w:wordWrap/>
        <w:spacing w:before="0" w:after="0" w:line="560" w:lineRule="exact"/>
        <w:ind w:left="0" w:leftChars="0" w:right="0" w:firstLine="616" w:firstLineChars="219"/>
        <w:jc w:val="both"/>
        <w:textAlignment w:val="auto"/>
        <w:outlineLvl w:val="9"/>
        <w:rPr>
          <w:rFonts w:hint="eastAsia" w:ascii="仿宋_GB2312" w:hAnsi="仿宋_GB2312" w:eastAsia="仿宋_GB2312" w:cs="仿宋_GB2312"/>
          <w:b/>
          <w:sz w:val="28"/>
          <w:szCs w:val="28"/>
        </w:rPr>
      </w:pPr>
      <w:bookmarkStart w:id="65" w:name="_Toc17765_WPSOffice_Level2"/>
      <w:r>
        <w:rPr>
          <w:rFonts w:hint="eastAsia" w:ascii="仿宋_GB2312" w:hAnsi="仿宋_GB2312" w:eastAsia="仿宋_GB2312" w:cs="仿宋_GB2312"/>
          <w:b/>
          <w:sz w:val="28"/>
          <w:szCs w:val="28"/>
        </w:rPr>
        <w:t>15．合同的变更、修改、中止和终止</w:t>
      </w:r>
      <w:bookmarkEnd w:id="65"/>
    </w:p>
    <w:p>
      <w:pPr>
        <w:widowControl w:val="0"/>
        <w:wordWrap/>
        <w:spacing w:before="0" w:after="0" w:line="560" w:lineRule="exact"/>
        <w:ind w:left="0" w:leftChars="0" w:right="0" w:firstLine="613" w:firstLineChars="219"/>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15.1 本合同一经生效，合同双方均不得擅自对本合同的内容（包括附件）作任何单方修改。但任何一方均可以对合同内容以书面形式提出变更、修改、取消或补充的建议。该项建议由一方按顺序编号的修改通知书向对方签发，修改通知书副本经对方签署人会签后返还给修改通知书一方。如果双方共同认为该项修改会对合同价格和交货进度有重大影响时，乙方应在收到上述修改通知书后的14个工作日内，提出影响合同价格和/或交货（完工）期的详细说明。双方同意后经双方法人代表或授权代表签字并经主管部门审核盖章后生效。将修改后的有关部分抄送原合同有关单位。</w:t>
      </w:r>
    </w:p>
    <w:p>
      <w:pPr>
        <w:widowControl w:val="0"/>
        <w:wordWrap/>
        <w:spacing w:before="0" w:after="0" w:line="560" w:lineRule="exact"/>
        <w:ind w:left="0" w:leftChars="0" w:right="0" w:firstLine="613" w:firstLineChars="219"/>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15.2 如果乙方有违反或拒绝执行本合同规定的行为时，甲方将用书面通知乙方，乙方在接到通知书后5个工作日内确认无误后应对违反或拒绝作出修正，如果认为在5个工作日内来不及纠正时，应提出修正计划。如果得不到纠正或提不出修正计划，甲方将保留暂停履行本合同的一部份或全部的权利。对于这种暂停，甲方将不出具变更通知书，由此而发生的一切费用、损失和索赔将由乙方负担。</w:t>
      </w:r>
    </w:p>
    <w:p>
      <w:pPr>
        <w:widowControl w:val="0"/>
        <w:wordWrap/>
        <w:spacing w:before="0" w:after="0" w:line="560" w:lineRule="exact"/>
        <w:ind w:left="0" w:leftChars="0" w:right="0" w:firstLine="613" w:firstLineChars="219"/>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15.3 根据14.2条款规定，如果甲方行使暂停权利后，甲方有权停付到期应向乙方支付暂停部分的款项，并有权将在执行合同中，预付给乙方的暂停部分款项索回。</w:t>
      </w:r>
    </w:p>
    <w:p>
      <w:pPr>
        <w:widowControl w:val="0"/>
        <w:wordWrap/>
        <w:spacing w:before="0" w:after="0" w:line="560" w:lineRule="exact"/>
        <w:ind w:left="0" w:leftChars="0" w:right="0" w:firstLine="613" w:firstLineChars="219"/>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15.4 在合同执行过程中，若因国家计划调整而引起本合同无法正常执行时，乙方或甲方可以向对方提出暂停执行合同或修改合同有关条款的建议，与之有关的事宜双方协商办理。</w:t>
      </w:r>
    </w:p>
    <w:p>
      <w:pPr>
        <w:widowControl w:val="0"/>
        <w:wordWrap/>
        <w:spacing w:before="0" w:after="0" w:line="560" w:lineRule="exact"/>
        <w:ind w:left="0" w:leftChars="0" w:right="0" w:firstLine="613" w:firstLineChars="219"/>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15.5 在合同执行过程中，若因乙方产品质量低劣或合同履行困难，甲方有权利终止合同并另择供货人。</w:t>
      </w:r>
    </w:p>
    <w:p>
      <w:pPr>
        <w:widowControl w:val="0"/>
        <w:wordWrap/>
        <w:spacing w:before="0" w:after="0" w:line="560" w:lineRule="exact"/>
        <w:ind w:left="0" w:leftChars="0" w:right="0" w:firstLine="616" w:firstLineChars="219"/>
        <w:jc w:val="both"/>
        <w:textAlignment w:val="auto"/>
        <w:outlineLvl w:val="9"/>
        <w:rPr>
          <w:rFonts w:hint="eastAsia" w:ascii="仿宋_GB2312" w:hAnsi="仿宋_GB2312" w:eastAsia="仿宋_GB2312" w:cs="仿宋_GB2312"/>
          <w:b/>
          <w:sz w:val="28"/>
          <w:szCs w:val="28"/>
        </w:rPr>
      </w:pPr>
      <w:bookmarkStart w:id="66" w:name="_Toc2184_WPSOffice_Level2"/>
      <w:r>
        <w:rPr>
          <w:rFonts w:hint="eastAsia" w:ascii="仿宋_GB2312" w:hAnsi="仿宋_GB2312" w:eastAsia="仿宋_GB2312" w:cs="仿宋_GB2312"/>
          <w:b/>
          <w:sz w:val="28"/>
          <w:szCs w:val="28"/>
        </w:rPr>
        <w:t>16．不可抗力</w:t>
      </w:r>
      <w:bookmarkEnd w:id="66"/>
    </w:p>
    <w:p>
      <w:pPr>
        <w:widowControl w:val="0"/>
        <w:wordWrap/>
        <w:spacing w:before="0" w:after="0" w:line="560" w:lineRule="exact"/>
        <w:ind w:left="0" w:leftChars="0" w:right="0" w:firstLine="613" w:firstLineChars="219"/>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16.1 不可抗力是合同签字生效后发生的非有关方所能控制的，并非合同方过失的、无法中止的、不能预防的社会和自然事件，包括但不限于：严重的自然灾害（如台风、洪水、地震、火灾、爆炸等），战争（不论是否宣战）、叛乱、破坏、动乱、社会敌视行为、正式罢工等等。合同双方的任何一方，由于不可抗力而影响合同义务执行时，则延迟合同义务的期限相当于不可抗力事件的时间，但是不能因为不可抗力的延迟而调整价格。</w:t>
      </w:r>
    </w:p>
    <w:p>
      <w:pPr>
        <w:widowControl w:val="0"/>
        <w:wordWrap/>
        <w:spacing w:before="0" w:after="0" w:line="560" w:lineRule="exact"/>
        <w:ind w:left="0" w:leftChars="0" w:right="0" w:firstLine="613" w:firstLineChars="219"/>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16.2 受到不可抗力影响的一方应在不可抗力事件发生后，尽快将所发生的不可抗力事件的情况以传真和电报通知另一方审阅确认，受影响的一方同时应尽量设法缩小这种影响和由此而引起的延误，一旦不可抗力的影响消除后，应将此情况立即通知对方。</w:t>
      </w:r>
    </w:p>
    <w:p>
      <w:pPr>
        <w:widowControl w:val="0"/>
        <w:wordWrap/>
        <w:spacing w:before="0" w:after="0" w:line="560" w:lineRule="exact"/>
        <w:ind w:left="0" w:leftChars="0" w:right="0" w:firstLine="613" w:firstLineChars="219"/>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16.3 如双方对不可抗力事件的影响估计将延续到一百二十天以上时，双方应通过友好协商解决本合同的执行问题（包括交货、试运行和验收等问题）。</w:t>
      </w:r>
    </w:p>
    <w:p>
      <w:pPr>
        <w:widowControl w:val="0"/>
        <w:wordWrap/>
        <w:spacing w:before="0" w:after="0" w:line="560" w:lineRule="exact"/>
        <w:ind w:left="0" w:leftChars="0" w:right="0" w:firstLine="613" w:firstLineChars="219"/>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16.4 如果不可抗力使交货时间严重影响了工程进度，甲方有权终止合同，遗留问题由双方通过友好协商妥善解决。</w:t>
      </w:r>
    </w:p>
    <w:p>
      <w:pPr>
        <w:widowControl w:val="0"/>
        <w:wordWrap/>
        <w:spacing w:before="0" w:after="0" w:line="560" w:lineRule="exact"/>
        <w:ind w:left="0" w:leftChars="0" w:right="0" w:firstLine="616" w:firstLineChars="219"/>
        <w:jc w:val="both"/>
        <w:textAlignment w:val="auto"/>
        <w:outlineLvl w:val="9"/>
        <w:rPr>
          <w:rFonts w:hint="eastAsia" w:ascii="仿宋_GB2312" w:hAnsi="仿宋_GB2312" w:eastAsia="仿宋_GB2312" w:cs="仿宋_GB2312"/>
          <w:b/>
          <w:sz w:val="28"/>
          <w:szCs w:val="28"/>
        </w:rPr>
      </w:pPr>
      <w:bookmarkStart w:id="67" w:name="_Toc3208_WPSOffice_Level2"/>
      <w:r>
        <w:rPr>
          <w:rFonts w:hint="eastAsia" w:ascii="仿宋_GB2312" w:hAnsi="仿宋_GB2312" w:eastAsia="仿宋_GB2312" w:cs="仿宋_GB2312"/>
          <w:b/>
          <w:sz w:val="28"/>
          <w:szCs w:val="28"/>
        </w:rPr>
        <w:t>17．合同争议的解决</w:t>
      </w:r>
      <w:bookmarkEnd w:id="67"/>
    </w:p>
    <w:p>
      <w:pPr>
        <w:widowControl w:val="0"/>
        <w:wordWrap/>
        <w:spacing w:before="0" w:after="0" w:line="560" w:lineRule="exact"/>
        <w:ind w:left="0" w:leftChars="0" w:right="0" w:firstLine="613" w:firstLineChars="219"/>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17.1 本合同适用法律为中华人民共和国法律。</w:t>
      </w:r>
    </w:p>
    <w:p>
      <w:pPr>
        <w:widowControl w:val="0"/>
        <w:wordWrap/>
        <w:spacing w:before="0" w:after="0" w:line="560" w:lineRule="exact"/>
        <w:ind w:left="0" w:leftChars="0" w:right="0" w:firstLine="613" w:firstLineChars="219"/>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17.2 凡与本合同有关而引起的一切争议，双方应通过友好协商解决，如经协商仍不能达成协议时，任何一方均有权将争议提交人民法院审理。</w:t>
      </w:r>
    </w:p>
    <w:p>
      <w:pPr>
        <w:widowControl w:val="0"/>
        <w:wordWrap/>
        <w:spacing w:before="0" w:after="0" w:line="560" w:lineRule="exact"/>
        <w:ind w:left="0" w:leftChars="0" w:right="0" w:firstLine="613" w:firstLineChars="219"/>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17.3 双方约定的有审判管辖权的审判机关为：</w:t>
      </w:r>
      <w:r>
        <w:rPr>
          <w:rFonts w:hint="eastAsia" w:ascii="仿宋_GB2312" w:hAnsi="仿宋_GB2312" w:eastAsia="仿宋_GB2312" w:cs="仿宋_GB2312"/>
          <w:sz w:val="28"/>
          <w:szCs w:val="28"/>
          <w:u w:val="single"/>
        </w:rPr>
        <w:t xml:space="preserve">                         </w:t>
      </w:r>
    </w:p>
    <w:p>
      <w:pPr>
        <w:widowControl w:val="0"/>
        <w:wordWrap/>
        <w:spacing w:before="0" w:after="0" w:line="560" w:lineRule="exact"/>
        <w:ind w:left="0" w:leftChars="0" w:right="0" w:firstLine="613" w:firstLineChars="219"/>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17.4 法院判决对双方都有约束力。</w:t>
      </w:r>
    </w:p>
    <w:p>
      <w:pPr>
        <w:widowControl w:val="0"/>
        <w:wordWrap/>
        <w:spacing w:before="0" w:after="0" w:line="560" w:lineRule="exact"/>
        <w:ind w:left="0" w:leftChars="0" w:right="0" w:firstLine="613" w:firstLineChars="219"/>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17.5 上述过程发生的费用除另有规定外，应由败诉方承担。</w:t>
      </w:r>
    </w:p>
    <w:p>
      <w:pPr>
        <w:widowControl w:val="0"/>
        <w:wordWrap/>
        <w:spacing w:before="0" w:after="0" w:line="560" w:lineRule="exact"/>
        <w:ind w:left="0" w:leftChars="0" w:right="0" w:firstLine="613" w:firstLineChars="219"/>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17.6 在法院判决期间，除提交法院判决的事项外，合同仍应继续履行。</w:t>
      </w:r>
    </w:p>
    <w:p>
      <w:pPr>
        <w:widowControl w:val="0"/>
        <w:wordWrap/>
        <w:spacing w:before="0" w:after="0" w:line="560" w:lineRule="exact"/>
        <w:ind w:left="0" w:leftChars="0" w:right="0" w:firstLine="616" w:firstLineChars="219"/>
        <w:jc w:val="both"/>
        <w:textAlignment w:val="auto"/>
        <w:outlineLvl w:val="9"/>
        <w:rPr>
          <w:rFonts w:hint="eastAsia" w:ascii="仿宋_GB2312" w:hAnsi="仿宋_GB2312" w:eastAsia="仿宋_GB2312" w:cs="仿宋_GB2312"/>
          <w:b/>
          <w:sz w:val="28"/>
          <w:szCs w:val="28"/>
        </w:rPr>
      </w:pPr>
      <w:bookmarkStart w:id="68" w:name="_Toc15743_WPSOffice_Level2"/>
      <w:r>
        <w:rPr>
          <w:rFonts w:hint="eastAsia" w:ascii="仿宋_GB2312" w:hAnsi="仿宋_GB2312" w:eastAsia="仿宋_GB2312" w:cs="仿宋_GB2312"/>
          <w:b/>
          <w:sz w:val="28"/>
          <w:szCs w:val="28"/>
        </w:rPr>
        <w:t>18．其它</w:t>
      </w:r>
      <w:bookmarkEnd w:id="68"/>
    </w:p>
    <w:p>
      <w:pPr>
        <w:widowControl w:val="0"/>
        <w:wordWrap/>
        <w:spacing w:before="0" w:after="0" w:line="560" w:lineRule="exact"/>
        <w:ind w:left="0" w:leftChars="0" w:right="0" w:firstLine="613" w:firstLineChars="219"/>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18.1 本合同于</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日由甲乙双方法人代表或授权代表在</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签字。本合同经双方法人或授权代表签字并加盖合同章后生效。</w:t>
      </w:r>
    </w:p>
    <w:p>
      <w:pPr>
        <w:widowControl w:val="0"/>
        <w:wordWrap/>
        <w:spacing w:before="0" w:after="0" w:line="560" w:lineRule="exact"/>
        <w:ind w:left="0" w:leftChars="0" w:right="0" w:firstLine="613" w:firstLineChars="219"/>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18.2 本合同一式正本</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份，副本</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份，其中乙方执正本</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份，副本</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份；甲方执正本</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份，副本</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份。</w:t>
      </w:r>
    </w:p>
    <w:p>
      <w:pPr>
        <w:widowControl w:val="0"/>
        <w:wordWrap/>
        <w:spacing w:before="0" w:after="0" w:line="560" w:lineRule="exact"/>
        <w:ind w:left="0" w:leftChars="0" w:right="0" w:firstLine="613" w:firstLineChars="219"/>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18.3 双方任何一方未取得另一方事先同意前，不得将本合同项下的部分或全部权利或义务转让给第三方。</w:t>
      </w:r>
    </w:p>
    <w:p>
      <w:pPr>
        <w:widowControl w:val="0"/>
        <w:wordWrap/>
        <w:spacing w:before="0" w:after="0" w:line="560" w:lineRule="exact"/>
        <w:ind w:left="0" w:leftChars="0" w:right="0" w:firstLine="613" w:firstLineChars="219"/>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18.4 乙方在取得甲方同意后所选定的分包商应被视为同乙方一样为履行本合同对甲方承担责任。其过失疏忽或其它任何违反合同的行为，应由乙方直接承担。</w:t>
      </w:r>
    </w:p>
    <w:p>
      <w:pPr>
        <w:widowControl w:val="0"/>
        <w:wordWrap/>
        <w:spacing w:before="0" w:after="0" w:line="560" w:lineRule="exact"/>
        <w:ind w:left="0" w:leftChars="0" w:right="0" w:firstLine="613" w:firstLineChars="219"/>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18.5 本合同项下双方相互提供的文件、资料、双方除为履行合同的目的外，均不得泄露给与工程无关的第三方。</w:t>
      </w:r>
    </w:p>
    <w:p>
      <w:pPr>
        <w:widowControl w:val="0"/>
        <w:wordWrap/>
        <w:spacing w:before="0" w:after="0" w:line="560" w:lineRule="exact"/>
        <w:ind w:left="0" w:leftChars="0" w:right="0" w:firstLine="613" w:firstLineChars="219"/>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18.6 本合同明确了双方全部的权利和义务。任何一方不享有或承担合同规定以外的权利和义务。</w:t>
      </w:r>
    </w:p>
    <w:p>
      <w:pPr>
        <w:widowControl w:val="0"/>
        <w:wordWrap/>
        <w:spacing w:before="0" w:after="0" w:line="560" w:lineRule="exact"/>
        <w:ind w:left="0" w:leftChars="0" w:right="0" w:firstLine="613" w:firstLineChars="219"/>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18.7 甲、乙双方签订的《技术协议》（如果有的话）、乙方的评标答疑记录、乙方的《投标文件》、《招标文件》及其澄清函、变更函（或通知等）均为本合同的补充文件，是与本合同不可分割的一部分，与本合同同等具有法律效力。</w:t>
      </w:r>
    </w:p>
    <w:p>
      <w:pPr>
        <w:widowControl w:val="0"/>
        <w:wordWrap/>
        <w:spacing w:before="0" w:after="0" w:line="560" w:lineRule="exact"/>
        <w:ind w:right="0"/>
        <w:jc w:val="both"/>
        <w:textAlignment w:val="auto"/>
        <w:outlineLvl w:val="9"/>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18.8 双方全部的权利和义务以中标后签署的文件为准，未尽事宜双方协商解决。</w:t>
      </w:r>
    </w:p>
    <w:p>
      <w:pPr>
        <w:ind w:firstLine="723"/>
        <w:jc w:val="center"/>
        <w:rPr>
          <w:rFonts w:cs="宋体"/>
          <w:b/>
          <w:color w:val="000000"/>
          <w:sz w:val="36"/>
          <w:szCs w:val="36"/>
        </w:rPr>
      </w:pPr>
    </w:p>
    <w:p>
      <w:pPr>
        <w:ind w:firstLine="480"/>
      </w:pPr>
    </w:p>
    <w:p>
      <w:pPr>
        <w:pStyle w:val="22"/>
        <w:rPr>
          <w:rFonts w:hint="eastAsia" w:ascii="宋体" w:hAnsi="宋体" w:eastAsia="宋体" w:cs="宋体"/>
        </w:rPr>
      </w:pPr>
      <w:bookmarkStart w:id="69" w:name="_Toc6229"/>
    </w:p>
    <w:p>
      <w:pPr>
        <w:pStyle w:val="22"/>
        <w:rPr>
          <w:rFonts w:hint="eastAsia" w:ascii="宋体" w:hAnsi="宋体" w:eastAsia="宋体" w:cs="宋体"/>
        </w:rPr>
      </w:pPr>
    </w:p>
    <w:p>
      <w:pPr>
        <w:pStyle w:val="22"/>
        <w:rPr>
          <w:rFonts w:hint="eastAsia" w:ascii="宋体" w:hAnsi="宋体" w:eastAsia="宋体" w:cs="宋体"/>
        </w:rPr>
      </w:pPr>
    </w:p>
    <w:p>
      <w:pPr>
        <w:pStyle w:val="22"/>
        <w:rPr>
          <w:rFonts w:hint="eastAsia" w:ascii="宋体" w:hAnsi="宋体" w:eastAsia="宋体" w:cs="宋体"/>
        </w:rPr>
      </w:pPr>
    </w:p>
    <w:p>
      <w:pPr>
        <w:rPr>
          <w:rFonts w:hint="eastAsia" w:ascii="宋体" w:hAnsi="宋体" w:eastAsia="宋体" w:cs="宋体"/>
        </w:rPr>
      </w:pPr>
    </w:p>
    <w:p>
      <w:pPr>
        <w:pStyle w:val="29"/>
        <w:rPr>
          <w:rFonts w:hint="eastAsia"/>
        </w:rPr>
      </w:pPr>
    </w:p>
    <w:p>
      <w:pPr>
        <w:pStyle w:val="22"/>
        <w:numPr>
          <w:numId w:val="0"/>
        </w:numPr>
        <w:jc w:val="both"/>
        <w:rPr>
          <w:rFonts w:hint="eastAsia" w:ascii="黑体" w:hAnsi="黑体" w:eastAsia="黑体" w:cs="黑体"/>
        </w:rPr>
      </w:pPr>
      <w:r>
        <w:rPr>
          <w:rFonts w:hint="eastAsia" w:ascii="黑体" w:hAnsi="黑体" w:eastAsia="黑体" w:cs="黑体"/>
          <w:b w:val="0"/>
          <w:bCs w:val="0"/>
          <w:sz w:val="32"/>
          <w:szCs w:val="32"/>
          <w:lang w:val="en-US" w:eastAsia="zh-CN"/>
        </w:rPr>
        <w:t xml:space="preserve">                     </w:t>
      </w:r>
      <w:bookmarkStart w:id="70" w:name="_Toc17439_WPSOffice_Level1"/>
      <w:r>
        <w:rPr>
          <w:rFonts w:hint="eastAsia" w:ascii="黑体" w:hAnsi="黑体" w:eastAsia="黑体" w:cs="黑体"/>
          <w:b w:val="0"/>
          <w:bCs w:val="0"/>
          <w:sz w:val="32"/>
          <w:szCs w:val="32"/>
          <w:lang w:val="en-US" w:eastAsia="zh-CN"/>
        </w:rPr>
        <w:t xml:space="preserve">第五章 </w:t>
      </w:r>
      <w:r>
        <w:rPr>
          <w:rFonts w:hint="eastAsia" w:ascii="黑体" w:hAnsi="黑体" w:eastAsia="黑体" w:cs="黑体"/>
          <w:b w:val="0"/>
          <w:bCs w:val="0"/>
          <w:sz w:val="32"/>
          <w:szCs w:val="32"/>
        </w:rPr>
        <w:t>采购需求</w:t>
      </w:r>
      <w:bookmarkEnd w:id="45"/>
      <w:bookmarkEnd w:id="69"/>
      <w:bookmarkEnd w:id="70"/>
    </w:p>
    <w:p>
      <w:pPr>
        <w:pStyle w:val="3"/>
        <w:numPr>
          <w:ilvl w:val="1"/>
          <w:numId w:val="0"/>
        </w:numPr>
        <w:rPr>
          <w:rFonts w:hint="eastAsia" w:ascii="黑体" w:hAnsi="黑体" w:eastAsia="黑体" w:cs="黑体"/>
          <w:color w:val="auto"/>
          <w:sz w:val="28"/>
          <w:szCs w:val="28"/>
        </w:rPr>
      </w:pPr>
      <w:bookmarkStart w:id="71" w:name="_Toc344"/>
      <w:bookmarkStart w:id="72" w:name="_Toc12901_WPSOffice_Level2"/>
      <w:bookmarkStart w:id="73" w:name="_Toc19276"/>
      <w:r>
        <w:rPr>
          <w:rFonts w:hint="eastAsia" w:ascii="黑体" w:hAnsi="黑体" w:eastAsia="黑体" w:cs="黑体"/>
          <w:color w:val="auto"/>
          <w:sz w:val="28"/>
          <w:szCs w:val="28"/>
        </w:rPr>
        <w:t>一</w:t>
      </w:r>
      <w:r>
        <w:rPr>
          <w:rFonts w:hint="eastAsia" w:ascii="黑体" w:hAnsi="黑体" w:eastAsia="黑体" w:cs="黑体"/>
          <w:color w:val="auto"/>
          <w:sz w:val="28"/>
          <w:szCs w:val="28"/>
          <w:lang w:val="en-US" w:eastAsia="zh-CN"/>
        </w:rPr>
        <w:t>.</w:t>
      </w:r>
      <w:r>
        <w:rPr>
          <w:rFonts w:hint="eastAsia" w:ascii="黑体" w:hAnsi="黑体" w:eastAsia="黑体" w:cs="黑体"/>
          <w:color w:val="auto"/>
          <w:sz w:val="28"/>
          <w:szCs w:val="28"/>
        </w:rPr>
        <w:t>项目名称</w:t>
      </w:r>
      <w:bookmarkEnd w:id="71"/>
      <w:bookmarkEnd w:id="72"/>
      <w:bookmarkEnd w:id="73"/>
    </w:p>
    <w:p>
      <w:pPr>
        <w:widowControl w:val="0"/>
        <w:adjustRightInd/>
        <w:snapToGrid/>
        <w:spacing w:line="360" w:lineRule="auto"/>
        <w:ind w:firstLine="560" w:firstLineChars="200"/>
        <w:jc w:val="both"/>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eastAsia="zh-CN"/>
        </w:rPr>
        <w:t>新疆维吾尔自治区</w:t>
      </w:r>
      <w:r>
        <w:rPr>
          <w:rFonts w:hint="eastAsia" w:ascii="仿宋_GB2312" w:hAnsi="仿宋_GB2312" w:eastAsia="仿宋_GB2312" w:cs="仿宋_GB2312"/>
          <w:b w:val="0"/>
          <w:bCs w:val="0"/>
          <w:color w:val="000000"/>
          <w:sz w:val="28"/>
          <w:szCs w:val="28"/>
        </w:rPr>
        <w:t>自治区公共机构节能管理系统</w:t>
      </w:r>
      <w:r>
        <w:rPr>
          <w:rFonts w:hint="eastAsia" w:ascii="仿宋_GB2312" w:hAnsi="仿宋_GB2312" w:eastAsia="仿宋_GB2312" w:cs="仿宋_GB2312"/>
          <w:b w:val="0"/>
          <w:bCs w:val="0"/>
          <w:color w:val="000000"/>
          <w:sz w:val="28"/>
          <w:szCs w:val="28"/>
          <w:lang w:eastAsia="zh-CN"/>
        </w:rPr>
        <w:t>（二期）</w:t>
      </w:r>
      <w:r>
        <w:rPr>
          <w:rFonts w:hint="eastAsia" w:ascii="仿宋_GB2312" w:hAnsi="仿宋_GB2312" w:eastAsia="仿宋_GB2312" w:cs="仿宋_GB2312"/>
          <w:color w:val="000000"/>
          <w:sz w:val="28"/>
          <w:szCs w:val="28"/>
        </w:rPr>
        <w:t>建设项目。</w:t>
      </w:r>
    </w:p>
    <w:p>
      <w:pPr>
        <w:pStyle w:val="4"/>
        <w:numPr>
          <w:ilvl w:val="2"/>
          <w:numId w:val="0"/>
        </w:numPr>
        <w:tabs>
          <w:tab w:val="left" w:pos="468"/>
          <w:tab w:val="clear" w:pos="420"/>
        </w:tabs>
        <w:spacing w:before="120" w:after="120"/>
        <w:rPr>
          <w:rFonts w:hint="eastAsia" w:ascii="仿宋_GB2312" w:hAnsi="仿宋_GB2312" w:eastAsia="仿宋_GB2312" w:cs="仿宋_GB2312"/>
          <w:color w:val="auto"/>
          <w:sz w:val="28"/>
          <w:szCs w:val="28"/>
          <w:lang w:val="en-US" w:eastAsia="zh-CN"/>
        </w:rPr>
      </w:pPr>
      <w:bookmarkStart w:id="74" w:name="_Toc29634"/>
      <w:bookmarkStart w:id="75" w:name="_Toc6212"/>
      <w:bookmarkStart w:id="76" w:name="_Toc13590_WPSOffice_Level2"/>
      <w:r>
        <w:rPr>
          <w:rFonts w:hint="eastAsia" w:ascii="黑体" w:hAnsi="黑体" w:eastAsia="黑体" w:cs="黑体"/>
          <w:color w:val="auto"/>
          <w:sz w:val="28"/>
          <w:szCs w:val="28"/>
        </w:rPr>
        <w:t>二</w:t>
      </w:r>
      <w:r>
        <w:rPr>
          <w:rFonts w:hint="eastAsia" w:ascii="黑体" w:hAnsi="黑体" w:eastAsia="黑体" w:cs="黑体"/>
          <w:color w:val="auto"/>
          <w:sz w:val="28"/>
          <w:szCs w:val="28"/>
          <w:lang w:val="en-US" w:eastAsia="zh-CN"/>
        </w:rPr>
        <w:t>.建设目标</w:t>
      </w:r>
      <w:bookmarkEnd w:id="74"/>
      <w:bookmarkEnd w:id="75"/>
      <w:bookmarkEnd w:id="76"/>
    </w:p>
    <w:p>
      <w:pPr>
        <w:pStyle w:val="31"/>
        <w:ind w:left="0" w:leftChars="0" w:firstLine="560" w:firstLineChars="200"/>
        <w:rPr>
          <w:rFonts w:hint="eastAsia" w:eastAsia="仿宋"/>
          <w:color w:val="000000"/>
          <w:sz w:val="28"/>
          <w:szCs w:val="28"/>
          <w:lang w:val="en-US" w:eastAsia="zh-CN"/>
        </w:rPr>
      </w:pPr>
      <w:bookmarkStart w:id="77" w:name="_Toc2217_WPSOffice_Level2"/>
      <w:bookmarkStart w:id="78" w:name="_Toc13281"/>
      <w:r>
        <w:rPr>
          <w:rFonts w:hint="eastAsia" w:ascii="仿宋_GB2312" w:hAnsi="仿宋_GB2312" w:eastAsia="仿宋_GB2312" w:cs="仿宋_GB2312"/>
          <w:color w:val="000000"/>
          <w:sz w:val="28"/>
          <w:szCs w:val="28"/>
          <w:lang w:val="en-US" w:eastAsia="zh-CN"/>
        </w:rPr>
        <w:t>基于</w:t>
      </w:r>
      <w:r>
        <w:rPr>
          <w:rFonts w:hint="eastAsia"/>
          <w:color w:val="000000"/>
          <w:sz w:val="28"/>
          <w:szCs w:val="28"/>
          <w:lang w:eastAsia="zh-CN"/>
        </w:rPr>
        <w:t>自治区公共机构节能管理系统（一期）</w:t>
      </w:r>
      <w:r>
        <w:rPr>
          <w:rFonts w:hint="eastAsia"/>
          <w:color w:val="000000"/>
          <w:sz w:val="28"/>
          <w:szCs w:val="28"/>
          <w:lang w:val="en-US" w:eastAsia="zh-CN"/>
        </w:rPr>
        <w:t>建设基</w:t>
      </w:r>
      <w:r>
        <w:rPr>
          <w:rFonts w:hint="eastAsia" w:ascii="仿宋" w:hAnsi="仿宋" w:eastAsia="仿宋" w:cs="仿宋"/>
          <w:color w:val="000000"/>
          <w:sz w:val="28"/>
          <w:szCs w:val="28"/>
          <w:lang w:val="en-US" w:eastAsia="zh-CN"/>
        </w:rPr>
        <w:t>础，根据实际业务管理需求，新建开发</w:t>
      </w:r>
      <w:r>
        <w:rPr>
          <w:rFonts w:hint="eastAsia" w:ascii="仿宋" w:hAnsi="仿宋" w:eastAsia="仿宋" w:cs="仿宋"/>
          <w:color w:val="000000"/>
          <w:sz w:val="28"/>
          <w:szCs w:val="28"/>
        </w:rPr>
        <w:t>数据展示分析、组织架构、创建管理、能源资源消费统计、垃圾分类管理、项目管理、机关运行成本管理和系统管理</w:t>
      </w:r>
      <w:r>
        <w:rPr>
          <w:rFonts w:hint="eastAsia" w:ascii="仿宋" w:hAnsi="仿宋" w:eastAsia="仿宋" w:cs="仿宋"/>
          <w:color w:val="000000"/>
          <w:sz w:val="28"/>
          <w:szCs w:val="28"/>
          <w:lang w:val="en-US" w:eastAsia="zh-CN"/>
        </w:rPr>
        <w:t>等8个</w:t>
      </w:r>
      <w:r>
        <w:rPr>
          <w:rFonts w:hint="eastAsia" w:ascii="仿宋" w:hAnsi="仿宋" w:eastAsia="仿宋" w:cs="仿宋"/>
          <w:color w:val="000000"/>
          <w:sz w:val="28"/>
          <w:szCs w:val="28"/>
        </w:rPr>
        <w:t>功能模块</w:t>
      </w:r>
      <w:r>
        <w:rPr>
          <w:rFonts w:hint="eastAsia" w:ascii="仿宋" w:hAnsi="仿宋" w:eastAsia="仿宋" w:cs="仿宋"/>
          <w:color w:val="000000"/>
          <w:sz w:val="28"/>
          <w:szCs w:val="28"/>
          <w:lang w:eastAsia="zh-CN"/>
        </w:rPr>
        <w:t>，</w:t>
      </w:r>
      <w:r>
        <w:rPr>
          <w:rFonts w:hint="eastAsia"/>
          <w:color w:val="000000"/>
          <w:sz w:val="28"/>
          <w:szCs w:val="28"/>
        </w:rPr>
        <w:t>新增政策法规、通知公告、档案管理和节能产品技术目录库等功能</w:t>
      </w:r>
      <w:r>
        <w:rPr>
          <w:rFonts w:hint="eastAsia"/>
          <w:color w:val="000000"/>
          <w:sz w:val="28"/>
          <w:szCs w:val="28"/>
          <w:lang w:eastAsia="zh-CN"/>
        </w:rPr>
        <w:t>，</w:t>
      </w:r>
      <w:r>
        <w:rPr>
          <w:rFonts w:hint="eastAsia"/>
          <w:color w:val="000000"/>
          <w:sz w:val="28"/>
          <w:szCs w:val="28"/>
          <w:lang w:val="en-US" w:eastAsia="zh-CN"/>
        </w:rPr>
        <w:t>优化完善</w:t>
      </w:r>
      <w:r>
        <w:rPr>
          <w:rFonts w:hint="eastAsia"/>
          <w:color w:val="000000"/>
          <w:sz w:val="28"/>
          <w:szCs w:val="28"/>
        </w:rPr>
        <w:t>组织机构管理模块和基础数据模块，</w:t>
      </w:r>
      <w:r>
        <w:rPr>
          <w:rFonts w:hint="eastAsia"/>
          <w:color w:val="000000"/>
          <w:sz w:val="28"/>
          <w:szCs w:val="28"/>
          <w:lang w:val="en-US" w:eastAsia="zh-CN"/>
        </w:rPr>
        <w:t>完成</w:t>
      </w:r>
      <w:r>
        <w:rPr>
          <w:rFonts w:hint="eastAsia" w:ascii="仿宋" w:hAnsi="仿宋" w:eastAsia="仿宋" w:cs="仿宋"/>
          <w:color w:val="000000"/>
          <w:sz w:val="28"/>
          <w:szCs w:val="28"/>
        </w:rPr>
        <w:t>能源资源消费统计</w:t>
      </w:r>
      <w:r>
        <w:rPr>
          <w:rFonts w:hint="eastAsia" w:ascii="仿宋" w:hAnsi="仿宋" w:cs="仿宋"/>
          <w:color w:val="000000"/>
          <w:sz w:val="28"/>
          <w:szCs w:val="28"/>
          <w:lang w:val="en-US" w:eastAsia="zh-CN"/>
        </w:rPr>
        <w:t>系统既往数据的清洗、迁移和导入工作，实现与国管局</w:t>
      </w:r>
      <w:r>
        <w:rPr>
          <w:rFonts w:hint="eastAsia"/>
          <w:color w:val="000000"/>
          <w:sz w:val="28"/>
          <w:szCs w:val="28"/>
        </w:rPr>
        <w:t>公共机构能源资源统计信息系统</w:t>
      </w:r>
      <w:r>
        <w:rPr>
          <w:rFonts w:hint="eastAsia"/>
          <w:color w:val="000000"/>
          <w:sz w:val="28"/>
          <w:szCs w:val="28"/>
          <w:lang w:val="en-US" w:eastAsia="zh-CN"/>
        </w:rPr>
        <w:t>和自治区机关事务信息化中台数据对接。</w:t>
      </w:r>
    </w:p>
    <w:p>
      <w:pPr>
        <w:pStyle w:val="4"/>
        <w:numPr>
          <w:ilvl w:val="2"/>
          <w:numId w:val="0"/>
        </w:numPr>
        <w:tabs>
          <w:tab w:val="left" w:pos="468"/>
          <w:tab w:val="clear" w:pos="420"/>
        </w:tabs>
        <w:spacing w:before="120" w:after="120"/>
        <w:rPr>
          <w:rFonts w:hint="eastAsia" w:ascii="黑体" w:hAnsi="黑体" w:eastAsia="黑体" w:cs="黑体"/>
          <w:color w:val="auto"/>
          <w:sz w:val="28"/>
          <w:szCs w:val="28"/>
          <w:lang w:eastAsia="zh-CN"/>
        </w:rPr>
      </w:pPr>
      <w:r>
        <w:rPr>
          <w:rFonts w:hint="eastAsia" w:ascii="黑体" w:hAnsi="黑体" w:eastAsia="黑体" w:cs="黑体"/>
          <w:color w:val="auto"/>
          <w:sz w:val="28"/>
          <w:szCs w:val="28"/>
          <w:lang w:eastAsia="zh-CN"/>
        </w:rPr>
        <w:t>三．建设内容</w:t>
      </w:r>
      <w:bookmarkEnd w:id="77"/>
      <w:bookmarkEnd w:id="78"/>
    </w:p>
    <w:p>
      <w:pPr>
        <w:widowControl w:val="0"/>
        <w:wordWrap/>
        <w:adjustRightInd/>
        <w:snapToGrid/>
        <w:spacing w:before="0" w:after="0" w:line="560" w:lineRule="exact"/>
        <w:ind w:left="0" w:leftChars="0" w:right="0" w:firstLine="613" w:firstLineChars="219"/>
        <w:jc w:val="both"/>
        <w:textAlignment w:val="auto"/>
        <w:outlineLvl w:val="9"/>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根据机关事务管理局节能工作要求，对</w:t>
      </w:r>
      <w:r>
        <w:rPr>
          <w:rFonts w:hint="eastAsia"/>
          <w:color w:val="auto"/>
          <w:sz w:val="28"/>
          <w:szCs w:val="28"/>
          <w:lang w:eastAsia="zh-CN"/>
        </w:rPr>
        <w:t>自治区公共机构节能管理系统（一期）</w:t>
      </w:r>
      <w:r>
        <w:rPr>
          <w:rFonts w:hint="eastAsia" w:ascii="仿宋_GB2312" w:hAnsi="仿宋_GB2312" w:eastAsia="仿宋_GB2312" w:cs="仿宋_GB2312"/>
          <w:color w:val="auto"/>
          <w:sz w:val="28"/>
          <w:szCs w:val="28"/>
        </w:rPr>
        <w:t>整体架构进行优化，</w:t>
      </w:r>
      <w:r>
        <w:rPr>
          <w:rFonts w:hint="eastAsia" w:ascii="仿宋_GB2312" w:hAnsi="仿宋_GB2312" w:eastAsia="仿宋_GB2312" w:cs="仿宋_GB2312"/>
          <w:color w:val="auto"/>
          <w:sz w:val="28"/>
          <w:szCs w:val="28"/>
          <w:lang w:eastAsia="zh-CN"/>
        </w:rPr>
        <w:t>调整各级功能菜单，</w:t>
      </w:r>
      <w:r>
        <w:rPr>
          <w:rFonts w:hint="eastAsia" w:ascii="仿宋_GB2312" w:hAnsi="仿宋_GB2312" w:eastAsia="仿宋_GB2312" w:cs="仿宋_GB2312"/>
          <w:color w:val="auto"/>
          <w:sz w:val="28"/>
          <w:szCs w:val="28"/>
        </w:rPr>
        <w:t>一级菜单为：数据展示分析、组织架构、创建管理、能源资源消费统计、垃圾分类管理、项目管理、机关运行成本管理和系统管理功能模块，并增加年度计划/总结、节能工作档案管理、政策法规和通知公告等辅助功能，使系统架构更贴合实际业务需求，具体功能如下表</w:t>
      </w:r>
      <w:r>
        <w:rPr>
          <w:rFonts w:hint="eastAsia" w:ascii="仿宋_GB2312" w:hAnsi="仿宋_GB2312" w:eastAsia="仿宋_GB2312" w:cs="仿宋_GB2312"/>
          <w:color w:val="auto"/>
          <w:sz w:val="28"/>
          <w:szCs w:val="28"/>
          <w:lang w:eastAsia="zh-CN"/>
        </w:rPr>
        <w:t>：</w:t>
      </w:r>
    </w:p>
    <w:p>
      <w:pPr>
        <w:pStyle w:val="29"/>
        <w:rPr>
          <w:rFonts w:hint="eastAsia" w:ascii="仿宋_GB2312" w:hAnsi="仿宋_GB2312" w:eastAsia="仿宋_GB2312" w:cs="仿宋_GB2312"/>
          <w:color w:val="auto"/>
          <w:sz w:val="28"/>
          <w:szCs w:val="28"/>
          <w:lang w:eastAsia="zh-CN"/>
        </w:rPr>
      </w:pPr>
    </w:p>
    <w:p>
      <w:pPr>
        <w:rPr>
          <w:rFonts w:hint="eastAsia" w:ascii="仿宋_GB2312" w:hAnsi="仿宋_GB2312" w:eastAsia="仿宋_GB2312" w:cs="仿宋_GB2312"/>
          <w:color w:val="auto"/>
          <w:sz w:val="28"/>
          <w:szCs w:val="28"/>
          <w:lang w:eastAsia="zh-CN"/>
        </w:rPr>
      </w:pPr>
    </w:p>
    <w:p>
      <w:pPr>
        <w:pStyle w:val="29"/>
        <w:rPr>
          <w:rFonts w:hint="eastAsia"/>
          <w:lang w:eastAsia="zh-CN"/>
        </w:rPr>
      </w:pPr>
    </w:p>
    <w:p>
      <w:pPr>
        <w:rPr>
          <w:rFonts w:hint="eastAsia"/>
          <w:lang w:eastAsia="zh-CN"/>
        </w:rPr>
      </w:pPr>
    </w:p>
    <w:tbl>
      <w:tblPr>
        <w:tblW w:w="882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332"/>
        <w:gridCol w:w="1536"/>
        <w:gridCol w:w="1547"/>
        <w:gridCol w:w="4406"/>
      </w:tblGrid>
      <w:tr>
        <w:trPr>
          <w:trHeight w:val="576" w:hRule="atLeast"/>
        </w:trPr>
        <w:tc>
          <w:tcPr>
            <w:tcW w:w="1332" w:type="dxa"/>
            <w:tcBorders>
              <w:top w:val="single" w:color="000000" w:sz="12" w:space="0"/>
              <w:left w:val="single" w:color="000000" w:sz="12" w:space="0"/>
              <w:bottom w:val="single" w:color="000000" w:sz="4" w:space="0"/>
              <w:right w:val="single" w:color="000000" w:sz="4" w:space="0"/>
            </w:tcBorders>
            <w:shd w:val="clear" w:color="auto" w:fill="00B0F0"/>
            <w:vAlign w:val="center"/>
          </w:tcPr>
          <w:p>
            <w:pPr>
              <w:widowControl/>
              <w:wordWrap/>
              <w:adjustRightInd/>
              <w:snapToGrid/>
              <w:spacing w:before="0" w:after="0" w:line="560" w:lineRule="exact"/>
              <w:ind w:left="0" w:leftChars="0" w:right="0" w:firstLine="0" w:firstLineChars="0"/>
              <w:jc w:val="both"/>
              <w:textAlignment w:val="center"/>
              <w:outlineLvl w:val="9"/>
              <w:rPr>
                <w:rFonts w:hint="eastAsia" w:ascii="仿宋_GB2312" w:hAnsi="仿宋_GB2312" w:eastAsia="仿宋_GB2312" w:cs="仿宋_GB2312"/>
                <w:b/>
                <w:i w:val="0"/>
                <w:color w:val="auto"/>
                <w:sz w:val="28"/>
                <w:szCs w:val="28"/>
                <w:u w:val="none"/>
              </w:rPr>
            </w:pPr>
            <w:r>
              <w:rPr>
                <w:rFonts w:hint="eastAsia" w:ascii="仿宋_GB2312" w:hAnsi="仿宋_GB2312" w:eastAsia="仿宋_GB2312" w:cs="仿宋_GB2312"/>
                <w:b/>
                <w:i w:val="0"/>
                <w:color w:val="auto"/>
                <w:kern w:val="0"/>
                <w:sz w:val="28"/>
                <w:szCs w:val="28"/>
                <w:u w:val="none"/>
                <w:lang w:val="en-US" w:eastAsia="zh-CN"/>
              </w:rPr>
              <w:t xml:space="preserve"> 一级功能</w:t>
            </w:r>
          </w:p>
        </w:tc>
        <w:tc>
          <w:tcPr>
            <w:tcW w:w="1536" w:type="dxa"/>
            <w:tcBorders>
              <w:top w:val="single" w:color="000000" w:sz="12" w:space="0"/>
              <w:left w:val="single" w:color="000000" w:sz="4" w:space="0"/>
              <w:bottom w:val="single" w:color="000000" w:sz="4" w:space="0"/>
              <w:right w:val="single" w:color="000000" w:sz="4" w:space="0"/>
            </w:tcBorders>
            <w:shd w:val="clear" w:color="auto" w:fill="00B0F0"/>
            <w:vAlign w:val="center"/>
          </w:tcPr>
          <w:p>
            <w:pPr>
              <w:widowControl/>
              <w:wordWrap/>
              <w:adjustRightInd/>
              <w:snapToGrid/>
              <w:spacing w:before="0" w:after="0" w:line="560" w:lineRule="exact"/>
              <w:ind w:left="0" w:leftChars="0" w:right="0" w:firstLine="0" w:firstLineChars="0"/>
              <w:jc w:val="both"/>
              <w:textAlignment w:val="center"/>
              <w:outlineLvl w:val="9"/>
              <w:rPr>
                <w:rFonts w:hint="eastAsia" w:ascii="仿宋_GB2312" w:hAnsi="仿宋_GB2312" w:eastAsia="仿宋_GB2312" w:cs="仿宋_GB2312"/>
                <w:b/>
                <w:i w:val="0"/>
                <w:color w:val="auto"/>
                <w:sz w:val="28"/>
                <w:szCs w:val="28"/>
                <w:u w:val="none"/>
              </w:rPr>
            </w:pPr>
            <w:r>
              <w:rPr>
                <w:rFonts w:hint="eastAsia" w:ascii="仿宋_GB2312" w:hAnsi="仿宋_GB2312" w:eastAsia="仿宋_GB2312" w:cs="仿宋_GB2312"/>
                <w:b/>
                <w:i w:val="0"/>
                <w:color w:val="auto"/>
                <w:kern w:val="0"/>
                <w:sz w:val="28"/>
                <w:szCs w:val="28"/>
                <w:u w:val="none"/>
                <w:lang w:val="en-US" w:eastAsia="zh-CN"/>
              </w:rPr>
              <w:t xml:space="preserve"> 二级功能</w:t>
            </w:r>
          </w:p>
        </w:tc>
        <w:tc>
          <w:tcPr>
            <w:tcW w:w="1547" w:type="dxa"/>
            <w:tcBorders>
              <w:top w:val="single" w:color="000000" w:sz="12" w:space="0"/>
              <w:left w:val="single" w:color="000000" w:sz="4" w:space="0"/>
              <w:bottom w:val="single" w:color="000000" w:sz="4" w:space="0"/>
              <w:right w:val="single" w:color="000000" w:sz="4" w:space="0"/>
            </w:tcBorders>
            <w:shd w:val="clear" w:color="auto" w:fill="00B0F0"/>
            <w:vAlign w:val="center"/>
          </w:tcPr>
          <w:p>
            <w:pPr>
              <w:widowControl/>
              <w:wordWrap/>
              <w:adjustRightInd/>
              <w:snapToGrid/>
              <w:spacing w:before="0" w:after="0" w:line="560" w:lineRule="exact"/>
              <w:ind w:left="0" w:leftChars="0" w:right="0" w:firstLine="0" w:firstLineChars="0"/>
              <w:jc w:val="both"/>
              <w:textAlignment w:val="center"/>
              <w:outlineLvl w:val="9"/>
              <w:rPr>
                <w:rFonts w:hint="eastAsia" w:ascii="仿宋_GB2312" w:hAnsi="仿宋_GB2312" w:eastAsia="仿宋_GB2312" w:cs="仿宋_GB2312"/>
                <w:b/>
                <w:i w:val="0"/>
                <w:color w:val="auto"/>
                <w:sz w:val="28"/>
                <w:szCs w:val="28"/>
                <w:u w:val="none"/>
              </w:rPr>
            </w:pPr>
            <w:r>
              <w:rPr>
                <w:rFonts w:hint="eastAsia" w:ascii="仿宋_GB2312" w:hAnsi="仿宋_GB2312" w:eastAsia="仿宋_GB2312" w:cs="仿宋_GB2312"/>
                <w:b/>
                <w:i w:val="0"/>
                <w:color w:val="auto"/>
                <w:kern w:val="0"/>
                <w:sz w:val="28"/>
                <w:szCs w:val="28"/>
                <w:u w:val="none"/>
                <w:lang w:val="en-US" w:eastAsia="zh-CN"/>
              </w:rPr>
              <w:t xml:space="preserve">  三级功能</w:t>
            </w:r>
          </w:p>
        </w:tc>
        <w:tc>
          <w:tcPr>
            <w:tcW w:w="4406" w:type="dxa"/>
            <w:tcBorders>
              <w:top w:val="single" w:color="000000" w:sz="12" w:space="0"/>
              <w:left w:val="single" w:color="000000" w:sz="4" w:space="0"/>
              <w:bottom w:val="single" w:color="000000" w:sz="4" w:space="0"/>
              <w:right w:val="single" w:color="000000" w:sz="12" w:space="0"/>
            </w:tcBorders>
            <w:shd w:val="clear" w:color="auto" w:fill="00B0F0"/>
            <w:vAlign w:val="center"/>
          </w:tcPr>
          <w:p>
            <w:pPr>
              <w:widowControl/>
              <w:wordWrap/>
              <w:adjustRightInd/>
              <w:snapToGrid/>
              <w:spacing w:before="0" w:after="0" w:line="560" w:lineRule="exact"/>
              <w:ind w:left="0" w:leftChars="0" w:right="0"/>
              <w:jc w:val="center"/>
              <w:textAlignment w:val="center"/>
              <w:outlineLvl w:val="9"/>
              <w:rPr>
                <w:rFonts w:hint="eastAsia" w:ascii="仿宋_GB2312" w:hAnsi="仿宋_GB2312" w:eastAsia="仿宋_GB2312" w:cs="仿宋_GB2312"/>
                <w:b/>
                <w:i w:val="0"/>
                <w:color w:val="auto"/>
                <w:sz w:val="28"/>
                <w:szCs w:val="28"/>
                <w:u w:val="none"/>
              </w:rPr>
            </w:pPr>
            <w:r>
              <w:rPr>
                <w:rFonts w:hint="eastAsia" w:ascii="仿宋_GB2312" w:hAnsi="仿宋_GB2312" w:eastAsia="仿宋_GB2312" w:cs="仿宋_GB2312"/>
                <w:b/>
                <w:i w:val="0"/>
                <w:color w:val="auto"/>
                <w:kern w:val="0"/>
                <w:sz w:val="28"/>
                <w:szCs w:val="28"/>
                <w:u w:val="none"/>
                <w:lang w:val="en-US" w:eastAsia="zh-CN"/>
              </w:rPr>
              <w:t>说明</w:t>
            </w:r>
          </w:p>
        </w:tc>
      </w:tr>
      <w:tr>
        <w:trPr>
          <w:trHeight w:val="997" w:hRule="atLeast"/>
        </w:trPr>
        <w:tc>
          <w:tcPr>
            <w:tcW w:w="1332" w:type="dxa"/>
            <w:vMerge w:val="restart"/>
            <w:tcBorders>
              <w:top w:val="single" w:color="000000" w:sz="4" w:space="0"/>
              <w:left w:val="single" w:color="000000" w:sz="12" w:space="0"/>
              <w:bottom w:val="single" w:color="000000" w:sz="4" w:space="0"/>
              <w:right w:val="single" w:color="000000" w:sz="4" w:space="0"/>
            </w:tcBorders>
            <w:vAlign w:val="center"/>
          </w:tcPr>
          <w:p>
            <w:pPr>
              <w:widowControl/>
              <w:wordWrap/>
              <w:adjustRightInd/>
              <w:snapToGrid/>
              <w:spacing w:before="0" w:after="0" w:line="560" w:lineRule="exact"/>
              <w:ind w:left="0" w:leftChars="0" w:right="0" w:firstLine="0" w:firstLineChars="0"/>
              <w:jc w:val="both"/>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rPr>
              <w:t>数据展示分析</w:t>
            </w:r>
          </w:p>
        </w:tc>
        <w:tc>
          <w:tcPr>
            <w:tcW w:w="3083"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after="0" w:line="560" w:lineRule="exact"/>
              <w:ind w:left="0" w:leftChars="0" w:right="0"/>
              <w:jc w:val="center"/>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rPr>
              <w:t>用电情况</w:t>
            </w:r>
          </w:p>
        </w:tc>
        <w:tc>
          <w:tcPr>
            <w:tcW w:w="4406" w:type="dxa"/>
            <w:tcBorders>
              <w:top w:val="single" w:color="000000" w:sz="4" w:space="0"/>
              <w:left w:val="single" w:color="000000" w:sz="4" w:space="0"/>
              <w:bottom w:val="single" w:color="000000" w:sz="4" w:space="0"/>
              <w:right w:val="single" w:color="000000" w:sz="12" w:space="0"/>
            </w:tcBorders>
            <w:vAlign w:val="center"/>
          </w:tcPr>
          <w:p>
            <w:pPr>
              <w:widowControl/>
              <w:wordWrap/>
              <w:adjustRightInd/>
              <w:snapToGrid/>
              <w:spacing w:before="0" w:after="0" w:line="560" w:lineRule="exact"/>
              <w:ind w:left="0" w:leftChars="0" w:right="0" w:firstLine="0" w:firstLineChars="0"/>
              <w:jc w:val="left"/>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rPr>
              <w:t>展示本年度总用电量数值，对于总量数据实时更新，按区域展示各地州市的用电总量，呈现不同区域的数据时用区域地图和柱状图展示。</w:t>
            </w:r>
          </w:p>
        </w:tc>
      </w:tr>
      <w:tr>
        <w:trPr>
          <w:trHeight w:val="757" w:hRule="atLeast"/>
        </w:trPr>
        <w:tc>
          <w:tcPr>
            <w:tcW w:w="1332" w:type="dxa"/>
            <w:vMerge w:val="continue"/>
            <w:tcBorders>
              <w:top w:val="single" w:color="000000" w:sz="4" w:space="0"/>
              <w:left w:val="single" w:color="000000" w:sz="12" w:space="0"/>
              <w:bottom w:val="single" w:color="000000" w:sz="4" w:space="0"/>
              <w:right w:val="single" w:color="000000" w:sz="4" w:space="0"/>
            </w:tcBorders>
            <w:vAlign w:val="center"/>
          </w:tcPr>
          <w:p>
            <w:pPr>
              <w:wordWrap/>
              <w:adjustRightInd/>
              <w:snapToGrid/>
              <w:spacing w:before="0" w:after="0" w:line="560" w:lineRule="exact"/>
              <w:ind w:left="0" w:leftChars="0" w:right="0"/>
              <w:jc w:val="center"/>
              <w:outlineLvl w:val="9"/>
              <w:rPr>
                <w:rFonts w:hint="eastAsia" w:ascii="仿宋_GB2312" w:hAnsi="仿宋_GB2312" w:eastAsia="仿宋_GB2312" w:cs="仿宋_GB2312"/>
                <w:i w:val="0"/>
                <w:color w:val="auto"/>
                <w:sz w:val="28"/>
                <w:szCs w:val="28"/>
                <w:u w:val="none"/>
              </w:rPr>
            </w:pPr>
          </w:p>
        </w:tc>
        <w:tc>
          <w:tcPr>
            <w:tcW w:w="3083"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after="0" w:line="560" w:lineRule="exact"/>
              <w:ind w:left="0" w:leftChars="0" w:right="0"/>
              <w:jc w:val="center"/>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rPr>
              <w:t>用水情况</w:t>
            </w:r>
          </w:p>
        </w:tc>
        <w:tc>
          <w:tcPr>
            <w:tcW w:w="4406" w:type="dxa"/>
            <w:tcBorders>
              <w:top w:val="single" w:color="000000" w:sz="4" w:space="0"/>
              <w:left w:val="single" w:color="000000" w:sz="4" w:space="0"/>
              <w:bottom w:val="single" w:color="000000" w:sz="4" w:space="0"/>
              <w:right w:val="single" w:color="000000" w:sz="12" w:space="0"/>
            </w:tcBorders>
            <w:vAlign w:val="center"/>
          </w:tcPr>
          <w:p>
            <w:pPr>
              <w:widowControl/>
              <w:wordWrap/>
              <w:adjustRightInd/>
              <w:snapToGrid/>
              <w:spacing w:before="0" w:after="0" w:line="560" w:lineRule="exact"/>
              <w:ind w:left="0" w:leftChars="0" w:right="0" w:firstLine="0" w:firstLineChars="0"/>
              <w:jc w:val="left"/>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rPr>
              <w:t>展示逻辑与用水情况一致，需要统计总用水量数据并实时更新。</w:t>
            </w:r>
          </w:p>
        </w:tc>
      </w:tr>
      <w:tr>
        <w:trPr>
          <w:trHeight w:val="1020" w:hRule="atLeast"/>
        </w:trPr>
        <w:tc>
          <w:tcPr>
            <w:tcW w:w="1332" w:type="dxa"/>
            <w:vMerge w:val="continue"/>
            <w:tcBorders>
              <w:top w:val="single" w:color="000000" w:sz="4" w:space="0"/>
              <w:left w:val="single" w:color="000000" w:sz="12" w:space="0"/>
              <w:bottom w:val="single" w:color="000000" w:sz="4" w:space="0"/>
              <w:right w:val="single" w:color="000000" w:sz="4" w:space="0"/>
            </w:tcBorders>
            <w:vAlign w:val="center"/>
          </w:tcPr>
          <w:p>
            <w:pPr>
              <w:wordWrap/>
              <w:adjustRightInd/>
              <w:snapToGrid/>
              <w:spacing w:before="0" w:after="0" w:line="560" w:lineRule="exact"/>
              <w:ind w:left="0" w:leftChars="0" w:right="0"/>
              <w:jc w:val="center"/>
              <w:outlineLvl w:val="9"/>
              <w:rPr>
                <w:rFonts w:hint="eastAsia" w:ascii="仿宋_GB2312" w:hAnsi="仿宋_GB2312" w:eastAsia="仿宋_GB2312" w:cs="仿宋_GB2312"/>
                <w:i w:val="0"/>
                <w:color w:val="auto"/>
                <w:sz w:val="28"/>
                <w:szCs w:val="28"/>
                <w:u w:val="none"/>
              </w:rPr>
            </w:pPr>
          </w:p>
        </w:tc>
        <w:tc>
          <w:tcPr>
            <w:tcW w:w="3083"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after="0" w:line="560" w:lineRule="exact"/>
              <w:ind w:left="0" w:leftChars="0" w:right="0"/>
              <w:jc w:val="center"/>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rPr>
              <w:t>其他能耗情况</w:t>
            </w:r>
          </w:p>
        </w:tc>
        <w:tc>
          <w:tcPr>
            <w:tcW w:w="4406" w:type="dxa"/>
            <w:tcBorders>
              <w:top w:val="single" w:color="000000" w:sz="4" w:space="0"/>
              <w:left w:val="single" w:color="000000" w:sz="4" w:space="0"/>
              <w:bottom w:val="single" w:color="000000" w:sz="4" w:space="0"/>
              <w:right w:val="single" w:color="000000" w:sz="12" w:space="0"/>
            </w:tcBorders>
            <w:vAlign w:val="center"/>
          </w:tcPr>
          <w:p>
            <w:pPr>
              <w:widowControl/>
              <w:wordWrap/>
              <w:adjustRightInd/>
              <w:snapToGrid/>
              <w:spacing w:before="0" w:after="0" w:line="560" w:lineRule="exact"/>
              <w:ind w:left="0" w:leftChars="0" w:right="0" w:firstLine="0" w:firstLineChars="0"/>
              <w:jc w:val="left"/>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rPr>
              <w:t>统计并展示各单位面积能耗、人均综合能耗、人均用水量、人均用电量、单车百公里油耗等数据，支持筛选查看历年数据。</w:t>
            </w:r>
          </w:p>
        </w:tc>
      </w:tr>
      <w:tr>
        <w:trPr>
          <w:trHeight w:val="840" w:hRule="atLeast"/>
        </w:trPr>
        <w:tc>
          <w:tcPr>
            <w:tcW w:w="1332" w:type="dxa"/>
            <w:vMerge w:val="continue"/>
            <w:tcBorders>
              <w:top w:val="single" w:color="000000" w:sz="4" w:space="0"/>
              <w:left w:val="single" w:color="000000" w:sz="12" w:space="0"/>
              <w:bottom w:val="single" w:color="000000" w:sz="4" w:space="0"/>
              <w:right w:val="single" w:color="000000" w:sz="4" w:space="0"/>
            </w:tcBorders>
            <w:vAlign w:val="center"/>
          </w:tcPr>
          <w:p>
            <w:pPr>
              <w:wordWrap/>
              <w:adjustRightInd/>
              <w:snapToGrid/>
              <w:spacing w:before="0" w:after="0" w:line="560" w:lineRule="exact"/>
              <w:ind w:left="0" w:leftChars="0" w:right="0"/>
              <w:jc w:val="center"/>
              <w:outlineLvl w:val="9"/>
              <w:rPr>
                <w:rFonts w:hint="eastAsia" w:ascii="仿宋_GB2312" w:hAnsi="仿宋_GB2312" w:eastAsia="仿宋_GB2312" w:cs="仿宋_GB2312"/>
                <w:i w:val="0"/>
                <w:color w:val="auto"/>
                <w:sz w:val="28"/>
                <w:szCs w:val="28"/>
                <w:u w:val="none"/>
              </w:rPr>
            </w:pPr>
          </w:p>
        </w:tc>
        <w:tc>
          <w:tcPr>
            <w:tcW w:w="3083"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after="0" w:line="560" w:lineRule="exact"/>
              <w:ind w:left="0" w:leftChars="0" w:right="0"/>
              <w:jc w:val="center"/>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rPr>
              <w:t>各类用能单位数量统计</w:t>
            </w:r>
          </w:p>
        </w:tc>
        <w:tc>
          <w:tcPr>
            <w:tcW w:w="4406" w:type="dxa"/>
            <w:tcBorders>
              <w:top w:val="single" w:color="000000" w:sz="4" w:space="0"/>
              <w:left w:val="single" w:color="000000" w:sz="4" w:space="0"/>
              <w:bottom w:val="single" w:color="000000" w:sz="4" w:space="0"/>
              <w:right w:val="single" w:color="000000" w:sz="12" w:space="0"/>
            </w:tcBorders>
            <w:vAlign w:val="center"/>
          </w:tcPr>
          <w:p>
            <w:pPr>
              <w:widowControl/>
              <w:wordWrap/>
              <w:adjustRightInd/>
              <w:snapToGrid/>
              <w:spacing w:before="0" w:after="0" w:line="560" w:lineRule="exact"/>
              <w:ind w:left="0" w:leftChars="0" w:right="0" w:firstLine="0" w:firstLineChars="0"/>
              <w:jc w:val="left"/>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rPr>
              <w:t>根据各单位的单位性质进行分类，统计系统内不同单位性质的单位总数，使用柱状图进行呈现。</w:t>
            </w:r>
          </w:p>
        </w:tc>
      </w:tr>
      <w:tr>
        <w:trPr>
          <w:trHeight w:val="1177" w:hRule="atLeast"/>
        </w:trPr>
        <w:tc>
          <w:tcPr>
            <w:tcW w:w="1332" w:type="dxa"/>
            <w:vMerge w:val="continue"/>
            <w:tcBorders>
              <w:top w:val="single" w:color="000000" w:sz="4" w:space="0"/>
              <w:left w:val="single" w:color="000000" w:sz="12" w:space="0"/>
              <w:bottom w:val="single" w:color="000000" w:sz="4" w:space="0"/>
              <w:right w:val="single" w:color="000000" w:sz="4" w:space="0"/>
            </w:tcBorders>
            <w:vAlign w:val="center"/>
          </w:tcPr>
          <w:p>
            <w:pPr>
              <w:wordWrap/>
              <w:adjustRightInd/>
              <w:snapToGrid/>
              <w:spacing w:before="0" w:after="0" w:line="560" w:lineRule="exact"/>
              <w:ind w:left="0" w:leftChars="0" w:right="0"/>
              <w:jc w:val="center"/>
              <w:outlineLvl w:val="9"/>
              <w:rPr>
                <w:rFonts w:hint="eastAsia" w:ascii="仿宋_GB2312" w:hAnsi="仿宋_GB2312" w:eastAsia="仿宋_GB2312" w:cs="仿宋_GB2312"/>
                <w:i w:val="0"/>
                <w:color w:val="auto"/>
                <w:sz w:val="28"/>
                <w:szCs w:val="28"/>
                <w:u w:val="none"/>
              </w:rPr>
            </w:pPr>
          </w:p>
        </w:tc>
        <w:tc>
          <w:tcPr>
            <w:tcW w:w="3083"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after="0" w:line="560" w:lineRule="exact"/>
              <w:ind w:left="0" w:leftChars="0" w:right="0"/>
              <w:jc w:val="center"/>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rPr>
              <w:t>各类创建情况统计</w:t>
            </w:r>
          </w:p>
        </w:tc>
        <w:tc>
          <w:tcPr>
            <w:tcW w:w="4406" w:type="dxa"/>
            <w:tcBorders>
              <w:top w:val="single" w:color="000000" w:sz="4" w:space="0"/>
              <w:left w:val="single" w:color="000000" w:sz="4" w:space="0"/>
              <w:bottom w:val="single" w:color="000000" w:sz="4" w:space="0"/>
              <w:right w:val="single" w:color="000000" w:sz="12" w:space="0"/>
            </w:tcBorders>
            <w:vAlign w:val="center"/>
          </w:tcPr>
          <w:p>
            <w:pPr>
              <w:widowControl/>
              <w:wordWrap/>
              <w:adjustRightInd/>
              <w:snapToGrid/>
              <w:spacing w:before="0" w:after="0" w:line="560" w:lineRule="exact"/>
              <w:ind w:left="0" w:leftChars="0" w:right="0" w:firstLine="0" w:firstLineChars="0"/>
              <w:jc w:val="left"/>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rPr>
              <w:t>按照创建类型展示创建情况，通过柱状图展示节约型机关创建、节水型单位创建、示范单位创建、绿色食堂创建、水效/能效领跑者、“双碳”示范单位创建的通过率。</w:t>
            </w:r>
          </w:p>
        </w:tc>
      </w:tr>
      <w:tr>
        <w:trPr>
          <w:trHeight w:val="817" w:hRule="atLeast"/>
        </w:trPr>
        <w:tc>
          <w:tcPr>
            <w:tcW w:w="1332" w:type="dxa"/>
            <w:vMerge w:val="continue"/>
            <w:tcBorders>
              <w:top w:val="single" w:color="000000" w:sz="4" w:space="0"/>
              <w:left w:val="single" w:color="000000" w:sz="12" w:space="0"/>
              <w:bottom w:val="single" w:color="000000" w:sz="4" w:space="0"/>
              <w:right w:val="single" w:color="000000" w:sz="4" w:space="0"/>
            </w:tcBorders>
            <w:vAlign w:val="center"/>
          </w:tcPr>
          <w:p>
            <w:pPr>
              <w:wordWrap/>
              <w:adjustRightInd/>
              <w:snapToGrid/>
              <w:spacing w:before="0" w:after="0" w:line="560" w:lineRule="exact"/>
              <w:ind w:left="0" w:leftChars="0" w:right="0"/>
              <w:jc w:val="center"/>
              <w:outlineLvl w:val="9"/>
              <w:rPr>
                <w:rFonts w:hint="eastAsia" w:ascii="仿宋_GB2312" w:hAnsi="仿宋_GB2312" w:eastAsia="仿宋_GB2312" w:cs="仿宋_GB2312"/>
                <w:i w:val="0"/>
                <w:color w:val="auto"/>
                <w:sz w:val="28"/>
                <w:szCs w:val="28"/>
                <w:u w:val="none"/>
              </w:rPr>
            </w:pPr>
          </w:p>
        </w:tc>
        <w:tc>
          <w:tcPr>
            <w:tcW w:w="3083"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after="0" w:line="560" w:lineRule="exact"/>
              <w:ind w:left="0" w:leftChars="0" w:right="0"/>
              <w:jc w:val="center"/>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rPr>
              <w:t>垃圾分类情况统计</w:t>
            </w:r>
          </w:p>
        </w:tc>
        <w:tc>
          <w:tcPr>
            <w:tcW w:w="4406" w:type="dxa"/>
            <w:tcBorders>
              <w:top w:val="single" w:color="000000" w:sz="4" w:space="0"/>
              <w:left w:val="single" w:color="000000" w:sz="4" w:space="0"/>
              <w:bottom w:val="single" w:color="000000" w:sz="4" w:space="0"/>
              <w:right w:val="single" w:color="000000" w:sz="12" w:space="0"/>
            </w:tcBorders>
            <w:vAlign w:val="center"/>
          </w:tcPr>
          <w:p>
            <w:pPr>
              <w:widowControl/>
              <w:wordWrap/>
              <w:adjustRightInd/>
              <w:snapToGrid/>
              <w:spacing w:before="0" w:after="0" w:line="560" w:lineRule="exact"/>
              <w:ind w:left="0" w:leftChars="0" w:right="0" w:firstLine="0" w:firstLineChars="0"/>
              <w:jc w:val="left"/>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rPr>
              <w:t>通过柱状图显示不同类型的垃圾总数。在查询时，同一垃圾类型下同时展示本期、同比、环比三组数据。</w:t>
            </w:r>
          </w:p>
        </w:tc>
      </w:tr>
      <w:tr>
        <w:trPr>
          <w:trHeight w:val="900" w:hRule="atLeast"/>
        </w:trPr>
        <w:tc>
          <w:tcPr>
            <w:tcW w:w="1332" w:type="dxa"/>
            <w:vMerge w:val="restart"/>
            <w:tcBorders>
              <w:top w:val="single" w:color="000000" w:sz="4" w:space="0"/>
              <w:left w:val="single" w:color="000000" w:sz="12" w:space="0"/>
              <w:bottom w:val="single" w:color="000000" w:sz="4" w:space="0"/>
              <w:right w:val="single" w:color="000000" w:sz="4" w:space="0"/>
            </w:tcBorders>
            <w:vAlign w:val="center"/>
          </w:tcPr>
          <w:p>
            <w:pPr>
              <w:widowControl/>
              <w:wordWrap/>
              <w:adjustRightInd/>
              <w:snapToGrid/>
              <w:spacing w:before="0" w:after="0" w:line="560" w:lineRule="exact"/>
              <w:ind w:left="0" w:leftChars="0" w:right="0" w:firstLine="0" w:firstLineChars="0"/>
              <w:jc w:val="both"/>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rPr>
              <w:t xml:space="preserve"> 组织架构</w:t>
            </w:r>
          </w:p>
        </w:tc>
        <w:tc>
          <w:tcPr>
            <w:tcW w:w="3083"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after="0" w:line="560" w:lineRule="exact"/>
              <w:ind w:left="0" w:leftChars="0" w:right="0"/>
              <w:jc w:val="center"/>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rPr>
              <w:t>机构信息更新</w:t>
            </w:r>
          </w:p>
        </w:tc>
        <w:tc>
          <w:tcPr>
            <w:tcW w:w="4406" w:type="dxa"/>
            <w:tcBorders>
              <w:top w:val="single" w:color="000000" w:sz="4" w:space="0"/>
              <w:left w:val="single" w:color="000000" w:sz="4" w:space="0"/>
              <w:bottom w:val="single" w:color="000000" w:sz="4" w:space="0"/>
              <w:right w:val="single" w:color="000000" w:sz="12" w:space="0"/>
            </w:tcBorders>
            <w:vAlign w:val="center"/>
          </w:tcPr>
          <w:p>
            <w:pPr>
              <w:widowControl/>
              <w:wordWrap/>
              <w:adjustRightInd/>
              <w:snapToGrid/>
              <w:spacing w:before="0" w:after="0" w:line="560" w:lineRule="exact"/>
              <w:ind w:left="0" w:leftChars="0" w:right="0" w:firstLine="0" w:firstLineChars="0"/>
              <w:jc w:val="left"/>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rPr>
              <w:t>将机构分为自治区本级、各地州级等 15 个一级管理，定期进行机构信息更新，以确保系统内的机构信息为最新。</w:t>
            </w:r>
          </w:p>
        </w:tc>
      </w:tr>
      <w:tr>
        <w:trPr>
          <w:trHeight w:val="780" w:hRule="atLeast"/>
        </w:trPr>
        <w:tc>
          <w:tcPr>
            <w:tcW w:w="1332" w:type="dxa"/>
            <w:vMerge w:val="continue"/>
            <w:tcBorders>
              <w:top w:val="single" w:color="000000" w:sz="4" w:space="0"/>
              <w:left w:val="single" w:color="000000" w:sz="12" w:space="0"/>
              <w:bottom w:val="single" w:color="000000" w:sz="4" w:space="0"/>
              <w:right w:val="single" w:color="000000" w:sz="4" w:space="0"/>
            </w:tcBorders>
            <w:vAlign w:val="center"/>
          </w:tcPr>
          <w:p>
            <w:pPr>
              <w:wordWrap/>
              <w:adjustRightInd/>
              <w:snapToGrid/>
              <w:spacing w:before="0" w:after="0" w:line="560" w:lineRule="exact"/>
              <w:ind w:left="0" w:leftChars="0" w:right="0"/>
              <w:jc w:val="center"/>
              <w:outlineLvl w:val="9"/>
              <w:rPr>
                <w:rFonts w:hint="eastAsia" w:ascii="仿宋_GB2312" w:hAnsi="仿宋_GB2312" w:eastAsia="仿宋_GB2312" w:cs="仿宋_GB2312"/>
                <w:i w:val="0"/>
                <w:color w:val="auto"/>
                <w:sz w:val="28"/>
                <w:szCs w:val="28"/>
                <w:u w:val="none"/>
              </w:rPr>
            </w:pPr>
          </w:p>
        </w:tc>
        <w:tc>
          <w:tcPr>
            <w:tcW w:w="3083"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after="0" w:line="560" w:lineRule="exact"/>
              <w:ind w:left="0" w:leftChars="0" w:right="0"/>
              <w:jc w:val="center"/>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rPr>
              <w:t>机构信息查询</w:t>
            </w:r>
          </w:p>
        </w:tc>
        <w:tc>
          <w:tcPr>
            <w:tcW w:w="4406" w:type="dxa"/>
            <w:tcBorders>
              <w:top w:val="single" w:color="000000" w:sz="4" w:space="0"/>
              <w:left w:val="single" w:color="000000" w:sz="4" w:space="0"/>
              <w:bottom w:val="single" w:color="000000" w:sz="4" w:space="0"/>
              <w:right w:val="single" w:color="000000" w:sz="12" w:space="0"/>
            </w:tcBorders>
            <w:vAlign w:val="center"/>
          </w:tcPr>
          <w:p>
            <w:pPr>
              <w:widowControl/>
              <w:wordWrap/>
              <w:adjustRightInd/>
              <w:snapToGrid/>
              <w:spacing w:before="0" w:after="0" w:line="560" w:lineRule="exact"/>
              <w:ind w:left="0" w:leftChars="0" w:right="0" w:firstLine="0" w:firstLineChars="0"/>
              <w:jc w:val="left"/>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rPr>
              <w:t>用户可对机构信息进行查询，查询内容包括机构层级、单位性质、单位名称、状态。</w:t>
            </w:r>
          </w:p>
        </w:tc>
      </w:tr>
      <w:tr>
        <w:trPr>
          <w:trHeight w:val="1237" w:hRule="atLeast"/>
        </w:trPr>
        <w:tc>
          <w:tcPr>
            <w:tcW w:w="1332" w:type="dxa"/>
            <w:vMerge w:val="continue"/>
            <w:tcBorders>
              <w:top w:val="single" w:color="000000" w:sz="4" w:space="0"/>
              <w:left w:val="single" w:color="000000" w:sz="12" w:space="0"/>
              <w:bottom w:val="single" w:color="000000" w:sz="4" w:space="0"/>
              <w:right w:val="single" w:color="000000" w:sz="4" w:space="0"/>
            </w:tcBorders>
            <w:vAlign w:val="center"/>
          </w:tcPr>
          <w:p>
            <w:pPr>
              <w:wordWrap/>
              <w:adjustRightInd/>
              <w:snapToGrid/>
              <w:spacing w:before="0" w:after="0" w:line="560" w:lineRule="exact"/>
              <w:ind w:left="0" w:leftChars="0" w:right="0"/>
              <w:jc w:val="center"/>
              <w:outlineLvl w:val="9"/>
              <w:rPr>
                <w:rFonts w:hint="eastAsia" w:ascii="仿宋_GB2312" w:hAnsi="仿宋_GB2312" w:eastAsia="仿宋_GB2312" w:cs="仿宋_GB2312"/>
                <w:i w:val="0"/>
                <w:color w:val="auto"/>
                <w:sz w:val="28"/>
                <w:szCs w:val="28"/>
                <w:u w:val="none"/>
              </w:rPr>
            </w:pPr>
          </w:p>
        </w:tc>
        <w:tc>
          <w:tcPr>
            <w:tcW w:w="3083"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after="0" w:line="560" w:lineRule="exact"/>
              <w:ind w:left="0" w:leftChars="0" w:right="0"/>
              <w:jc w:val="center"/>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rPr>
              <w:t>数据统计</w:t>
            </w:r>
          </w:p>
        </w:tc>
        <w:tc>
          <w:tcPr>
            <w:tcW w:w="4406" w:type="dxa"/>
            <w:tcBorders>
              <w:top w:val="single" w:color="000000" w:sz="4" w:space="0"/>
              <w:left w:val="single" w:color="000000" w:sz="4" w:space="0"/>
              <w:bottom w:val="single" w:color="000000" w:sz="4" w:space="0"/>
              <w:right w:val="single" w:color="000000" w:sz="12" w:space="0"/>
            </w:tcBorders>
            <w:vAlign w:val="center"/>
          </w:tcPr>
          <w:p>
            <w:pPr>
              <w:widowControl/>
              <w:wordWrap/>
              <w:adjustRightInd/>
              <w:snapToGrid/>
              <w:spacing w:before="0" w:after="0" w:line="560" w:lineRule="exact"/>
              <w:ind w:left="0" w:leftChars="0" w:right="0" w:firstLine="0" w:firstLineChars="0"/>
              <w:jc w:val="left"/>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rPr>
              <w:t>可按单位性质（国家机关（参公单位）、教育事业、高等院校、中学/职中、小学、幼儿园、科技事业、文化事业、卫生事业、体育事业、团体组织、其他）、地域、层级等进行数量、占比等统计。</w:t>
            </w:r>
          </w:p>
        </w:tc>
      </w:tr>
      <w:tr>
        <w:trPr>
          <w:trHeight w:val="793" w:hRule="atLeast"/>
        </w:trPr>
        <w:tc>
          <w:tcPr>
            <w:tcW w:w="1332" w:type="dxa"/>
            <w:vMerge w:val="continue"/>
            <w:tcBorders>
              <w:top w:val="single" w:color="000000" w:sz="4" w:space="0"/>
              <w:left w:val="single" w:color="000000" w:sz="12" w:space="0"/>
              <w:bottom w:val="single" w:color="000000" w:sz="4" w:space="0"/>
              <w:right w:val="single" w:color="000000" w:sz="4" w:space="0"/>
            </w:tcBorders>
            <w:vAlign w:val="center"/>
          </w:tcPr>
          <w:p>
            <w:pPr>
              <w:wordWrap/>
              <w:adjustRightInd/>
              <w:snapToGrid/>
              <w:spacing w:before="0" w:after="0" w:line="560" w:lineRule="exact"/>
              <w:ind w:left="0" w:leftChars="0" w:right="0"/>
              <w:jc w:val="center"/>
              <w:outlineLvl w:val="9"/>
              <w:rPr>
                <w:rFonts w:hint="eastAsia" w:ascii="仿宋_GB2312" w:hAnsi="仿宋_GB2312" w:eastAsia="仿宋_GB2312" w:cs="仿宋_GB2312"/>
                <w:i w:val="0"/>
                <w:color w:val="auto"/>
                <w:sz w:val="28"/>
                <w:szCs w:val="28"/>
                <w:u w:val="none"/>
              </w:rPr>
            </w:pPr>
          </w:p>
        </w:tc>
        <w:tc>
          <w:tcPr>
            <w:tcW w:w="3083"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after="0" w:line="560" w:lineRule="exact"/>
              <w:ind w:left="0" w:leftChars="0" w:right="0"/>
              <w:jc w:val="center"/>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rPr>
              <w:t>虹联数据导入</w:t>
            </w:r>
          </w:p>
        </w:tc>
        <w:tc>
          <w:tcPr>
            <w:tcW w:w="4406" w:type="dxa"/>
            <w:tcBorders>
              <w:top w:val="single" w:color="000000" w:sz="4" w:space="0"/>
              <w:left w:val="single" w:color="000000" w:sz="4" w:space="0"/>
              <w:bottom w:val="single" w:color="000000" w:sz="4" w:space="0"/>
              <w:right w:val="single" w:color="000000" w:sz="12" w:space="0"/>
            </w:tcBorders>
            <w:vAlign w:val="center"/>
          </w:tcPr>
          <w:p>
            <w:pPr>
              <w:widowControl/>
              <w:wordWrap/>
              <w:adjustRightInd/>
              <w:snapToGrid/>
              <w:spacing w:before="0" w:after="0" w:line="560" w:lineRule="exact"/>
              <w:ind w:left="0" w:leftChars="0" w:right="0" w:firstLine="0" w:firstLineChars="0"/>
              <w:jc w:val="left"/>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rPr>
              <w:t>将虹联系统的单位基本信息和帐户信息等数据进行分析、清洗后导入本系统（一次性完成，可不使用菜单）。</w:t>
            </w:r>
          </w:p>
        </w:tc>
      </w:tr>
      <w:tr>
        <w:trPr>
          <w:trHeight w:val="780" w:hRule="atLeast"/>
        </w:trPr>
        <w:tc>
          <w:tcPr>
            <w:tcW w:w="1332" w:type="dxa"/>
            <w:vMerge w:val="restart"/>
            <w:tcBorders>
              <w:top w:val="single" w:color="000000" w:sz="4" w:space="0"/>
              <w:left w:val="single" w:color="000000" w:sz="12" w:space="0"/>
              <w:bottom w:val="single" w:color="000000" w:sz="4" w:space="0"/>
              <w:right w:val="single" w:color="000000" w:sz="4" w:space="0"/>
            </w:tcBorders>
            <w:vAlign w:val="center"/>
          </w:tcPr>
          <w:p>
            <w:pPr>
              <w:widowControl/>
              <w:wordWrap/>
              <w:adjustRightInd/>
              <w:snapToGrid/>
              <w:spacing w:before="0" w:after="0" w:line="560" w:lineRule="exact"/>
              <w:ind w:left="0" w:leftChars="0" w:right="0" w:firstLine="0" w:firstLineChars="0"/>
              <w:jc w:val="both"/>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rPr>
              <w:t xml:space="preserve"> 创建管理</w:t>
            </w:r>
          </w:p>
        </w:tc>
        <w:tc>
          <w:tcPr>
            <w:tcW w:w="1536"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after="0" w:line="560" w:lineRule="exact"/>
              <w:ind w:left="0" w:leftChars="0" w:right="0" w:firstLine="0" w:firstLineChars="0"/>
              <w:jc w:val="both"/>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rPr>
              <w:t>节约型机关创建</w:t>
            </w:r>
          </w:p>
        </w:tc>
        <w:tc>
          <w:tcPr>
            <w:tcW w:w="154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after="0" w:line="560" w:lineRule="exact"/>
              <w:ind w:left="0" w:leftChars="0" w:right="0" w:firstLine="0" w:firstLineChars="0"/>
              <w:jc w:val="both"/>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rPr>
              <w:t xml:space="preserve"> 考核标准</w:t>
            </w:r>
          </w:p>
        </w:tc>
        <w:tc>
          <w:tcPr>
            <w:tcW w:w="4406" w:type="dxa"/>
            <w:tcBorders>
              <w:top w:val="single" w:color="000000" w:sz="4" w:space="0"/>
              <w:left w:val="single" w:color="000000" w:sz="4" w:space="0"/>
              <w:bottom w:val="single" w:color="000000" w:sz="4" w:space="0"/>
              <w:right w:val="single" w:color="000000" w:sz="12" w:space="0"/>
            </w:tcBorders>
            <w:vAlign w:val="center"/>
          </w:tcPr>
          <w:p>
            <w:pPr>
              <w:widowControl/>
              <w:wordWrap/>
              <w:adjustRightInd/>
              <w:snapToGrid/>
              <w:spacing w:before="0" w:after="0" w:line="560" w:lineRule="exact"/>
              <w:ind w:left="0" w:leftChars="0" w:right="0" w:firstLine="0" w:firstLineChars="0"/>
              <w:jc w:val="left"/>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rPr>
              <w:t>设定评分规则、评价指标项、评分内容、设定单条评分分数、配置评分选项。</w:t>
            </w:r>
          </w:p>
        </w:tc>
      </w:tr>
      <w:tr>
        <w:trPr>
          <w:trHeight w:val="757" w:hRule="atLeast"/>
        </w:trPr>
        <w:tc>
          <w:tcPr>
            <w:tcW w:w="1332" w:type="dxa"/>
            <w:vMerge w:val="continue"/>
            <w:tcBorders>
              <w:top w:val="single" w:color="000000" w:sz="4" w:space="0"/>
              <w:left w:val="single" w:color="000000" w:sz="12" w:space="0"/>
              <w:bottom w:val="single" w:color="000000" w:sz="4" w:space="0"/>
              <w:right w:val="single" w:color="000000" w:sz="4" w:space="0"/>
            </w:tcBorders>
            <w:vAlign w:val="center"/>
          </w:tcPr>
          <w:p>
            <w:pPr>
              <w:wordWrap/>
              <w:adjustRightInd/>
              <w:snapToGrid/>
              <w:spacing w:before="0" w:after="0" w:line="560" w:lineRule="exact"/>
              <w:ind w:left="0" w:leftChars="0" w:right="0"/>
              <w:jc w:val="center"/>
              <w:outlineLvl w:val="9"/>
              <w:rPr>
                <w:rFonts w:hint="eastAsia" w:ascii="仿宋_GB2312" w:hAnsi="仿宋_GB2312" w:eastAsia="仿宋_GB2312" w:cs="仿宋_GB2312"/>
                <w:i w:val="0"/>
                <w:color w:val="auto"/>
                <w:sz w:val="28"/>
                <w:szCs w:val="28"/>
                <w:u w:val="none"/>
              </w:rPr>
            </w:pPr>
          </w:p>
        </w:tc>
        <w:tc>
          <w:tcPr>
            <w:tcW w:w="1536"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before="0" w:after="0" w:line="560" w:lineRule="exact"/>
              <w:ind w:left="0" w:leftChars="0" w:right="0"/>
              <w:jc w:val="center"/>
              <w:outlineLvl w:val="9"/>
              <w:rPr>
                <w:rFonts w:hint="eastAsia" w:ascii="仿宋_GB2312" w:hAnsi="仿宋_GB2312" w:eastAsia="仿宋_GB2312" w:cs="仿宋_GB2312"/>
                <w:i w:val="0"/>
                <w:color w:val="auto"/>
                <w:sz w:val="28"/>
                <w:szCs w:val="28"/>
                <w:u w:val="none"/>
              </w:rPr>
            </w:pPr>
          </w:p>
        </w:tc>
        <w:tc>
          <w:tcPr>
            <w:tcW w:w="154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after="0" w:line="560" w:lineRule="exact"/>
              <w:ind w:left="0" w:leftChars="0" w:right="0" w:firstLine="0" w:firstLineChars="0"/>
              <w:jc w:val="both"/>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rPr>
              <w:t xml:space="preserve"> 考核任务</w:t>
            </w:r>
          </w:p>
        </w:tc>
        <w:tc>
          <w:tcPr>
            <w:tcW w:w="4406" w:type="dxa"/>
            <w:tcBorders>
              <w:top w:val="single" w:color="000000" w:sz="4" w:space="0"/>
              <w:left w:val="single" w:color="000000" w:sz="4" w:space="0"/>
              <w:bottom w:val="single" w:color="000000" w:sz="4" w:space="0"/>
              <w:right w:val="single" w:color="000000" w:sz="12" w:space="0"/>
            </w:tcBorders>
            <w:vAlign w:val="center"/>
          </w:tcPr>
          <w:p>
            <w:pPr>
              <w:widowControl/>
              <w:wordWrap/>
              <w:adjustRightInd/>
              <w:snapToGrid/>
              <w:spacing w:before="0" w:after="0" w:line="560" w:lineRule="exact"/>
              <w:ind w:left="0" w:leftChars="0" w:right="0" w:firstLine="0" w:firstLineChars="0"/>
              <w:jc w:val="left"/>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rPr>
              <w:t>新增考核任务时，创建人可选择本级所属机构参与考核，也可选择下发考核任务给到下级。</w:t>
            </w:r>
          </w:p>
        </w:tc>
      </w:tr>
      <w:tr>
        <w:trPr>
          <w:trHeight w:val="840" w:hRule="atLeast"/>
        </w:trPr>
        <w:tc>
          <w:tcPr>
            <w:tcW w:w="1332" w:type="dxa"/>
            <w:vMerge w:val="continue"/>
            <w:tcBorders>
              <w:top w:val="single" w:color="000000" w:sz="4" w:space="0"/>
              <w:left w:val="single" w:color="000000" w:sz="12" w:space="0"/>
              <w:bottom w:val="single" w:color="000000" w:sz="4" w:space="0"/>
              <w:right w:val="single" w:color="000000" w:sz="4" w:space="0"/>
            </w:tcBorders>
            <w:vAlign w:val="center"/>
          </w:tcPr>
          <w:p>
            <w:pPr>
              <w:wordWrap/>
              <w:adjustRightInd/>
              <w:snapToGrid/>
              <w:spacing w:before="0" w:after="0" w:line="560" w:lineRule="exact"/>
              <w:ind w:left="0" w:leftChars="0" w:right="0"/>
              <w:jc w:val="center"/>
              <w:outlineLvl w:val="9"/>
              <w:rPr>
                <w:rFonts w:hint="eastAsia" w:ascii="仿宋_GB2312" w:hAnsi="仿宋_GB2312" w:eastAsia="仿宋_GB2312" w:cs="仿宋_GB2312"/>
                <w:i w:val="0"/>
                <w:color w:val="auto"/>
                <w:sz w:val="28"/>
                <w:szCs w:val="28"/>
                <w:u w:val="none"/>
              </w:rPr>
            </w:pPr>
          </w:p>
        </w:tc>
        <w:tc>
          <w:tcPr>
            <w:tcW w:w="1536"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before="0" w:after="0" w:line="560" w:lineRule="exact"/>
              <w:ind w:left="0" w:leftChars="0" w:right="0"/>
              <w:jc w:val="center"/>
              <w:outlineLvl w:val="9"/>
              <w:rPr>
                <w:rFonts w:hint="eastAsia" w:ascii="仿宋_GB2312" w:hAnsi="仿宋_GB2312" w:eastAsia="仿宋_GB2312" w:cs="仿宋_GB2312"/>
                <w:i w:val="0"/>
                <w:color w:val="auto"/>
                <w:sz w:val="28"/>
                <w:szCs w:val="28"/>
                <w:u w:val="none"/>
              </w:rPr>
            </w:pPr>
          </w:p>
        </w:tc>
        <w:tc>
          <w:tcPr>
            <w:tcW w:w="154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after="0" w:line="560" w:lineRule="exact"/>
              <w:ind w:left="0" w:leftChars="0" w:right="0" w:firstLine="0" w:firstLineChars="0"/>
              <w:jc w:val="both"/>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rPr>
              <w:t xml:space="preserve"> 申报备案</w:t>
            </w:r>
          </w:p>
        </w:tc>
        <w:tc>
          <w:tcPr>
            <w:tcW w:w="4406" w:type="dxa"/>
            <w:tcBorders>
              <w:top w:val="single" w:color="000000" w:sz="4" w:space="0"/>
              <w:left w:val="single" w:color="000000" w:sz="4" w:space="0"/>
              <w:bottom w:val="single" w:color="000000" w:sz="4" w:space="0"/>
              <w:right w:val="single" w:color="000000" w:sz="12" w:space="0"/>
            </w:tcBorders>
            <w:vAlign w:val="center"/>
          </w:tcPr>
          <w:p>
            <w:pPr>
              <w:widowControl/>
              <w:wordWrap/>
              <w:adjustRightInd/>
              <w:snapToGrid/>
              <w:spacing w:before="0" w:after="0" w:line="560" w:lineRule="exact"/>
              <w:ind w:left="0" w:leftChars="0" w:right="0" w:firstLine="0" w:firstLineChars="0"/>
              <w:jc w:val="left"/>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rPr>
              <w:t>考核机构参与节约型机关创建考核时，需先进行申报备案，按照年度自治区节约机关创建备案表填报备案信息。</w:t>
            </w:r>
          </w:p>
        </w:tc>
      </w:tr>
      <w:tr>
        <w:trPr>
          <w:trHeight w:val="1861" w:hRule="atLeast"/>
        </w:trPr>
        <w:tc>
          <w:tcPr>
            <w:tcW w:w="1332" w:type="dxa"/>
            <w:vMerge w:val="continue"/>
            <w:tcBorders>
              <w:top w:val="single" w:color="000000" w:sz="4" w:space="0"/>
              <w:left w:val="single" w:color="000000" w:sz="12" w:space="0"/>
              <w:bottom w:val="single" w:color="000000" w:sz="4" w:space="0"/>
              <w:right w:val="single" w:color="000000" w:sz="4" w:space="0"/>
            </w:tcBorders>
            <w:vAlign w:val="center"/>
          </w:tcPr>
          <w:p>
            <w:pPr>
              <w:wordWrap/>
              <w:adjustRightInd/>
              <w:snapToGrid/>
              <w:spacing w:before="0" w:after="0" w:line="560" w:lineRule="exact"/>
              <w:ind w:left="0" w:leftChars="0" w:right="0"/>
              <w:jc w:val="center"/>
              <w:outlineLvl w:val="9"/>
              <w:rPr>
                <w:rFonts w:hint="eastAsia" w:ascii="仿宋_GB2312" w:hAnsi="仿宋_GB2312" w:eastAsia="仿宋_GB2312" w:cs="仿宋_GB2312"/>
                <w:i w:val="0"/>
                <w:color w:val="auto"/>
                <w:sz w:val="28"/>
                <w:szCs w:val="28"/>
                <w:u w:val="none"/>
              </w:rPr>
            </w:pPr>
          </w:p>
        </w:tc>
        <w:tc>
          <w:tcPr>
            <w:tcW w:w="1536"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before="0" w:after="0" w:line="560" w:lineRule="exact"/>
              <w:ind w:left="0" w:leftChars="0" w:right="0"/>
              <w:jc w:val="center"/>
              <w:outlineLvl w:val="9"/>
              <w:rPr>
                <w:rFonts w:hint="eastAsia" w:ascii="仿宋_GB2312" w:hAnsi="仿宋_GB2312" w:eastAsia="仿宋_GB2312" w:cs="仿宋_GB2312"/>
                <w:i w:val="0"/>
                <w:color w:val="auto"/>
                <w:sz w:val="28"/>
                <w:szCs w:val="28"/>
                <w:u w:val="none"/>
              </w:rPr>
            </w:pPr>
          </w:p>
        </w:tc>
        <w:tc>
          <w:tcPr>
            <w:tcW w:w="154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after="0" w:line="560" w:lineRule="exact"/>
              <w:ind w:left="0" w:leftChars="0" w:right="0" w:firstLine="0" w:firstLineChars="0"/>
              <w:jc w:val="both"/>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rPr>
              <w:t xml:space="preserve"> 考核自评</w:t>
            </w:r>
          </w:p>
        </w:tc>
        <w:tc>
          <w:tcPr>
            <w:tcW w:w="4406" w:type="dxa"/>
            <w:tcBorders>
              <w:top w:val="single" w:color="000000" w:sz="4" w:space="0"/>
              <w:left w:val="single" w:color="000000" w:sz="4" w:space="0"/>
              <w:bottom w:val="single" w:color="000000" w:sz="4" w:space="0"/>
              <w:right w:val="single" w:color="000000" w:sz="12" w:space="0"/>
            </w:tcBorders>
            <w:vAlign w:val="center"/>
          </w:tcPr>
          <w:p>
            <w:pPr>
              <w:widowControl/>
              <w:wordWrap/>
              <w:adjustRightInd/>
              <w:snapToGrid/>
              <w:spacing w:before="0" w:after="0" w:line="560" w:lineRule="exact"/>
              <w:ind w:left="0" w:leftChars="0" w:right="0" w:firstLine="0" w:firstLineChars="0"/>
              <w:jc w:val="left"/>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rPr>
              <w:t>核自评状态包含：未自评、已自评、审核通过、已自评但被退回、县管局审核未通过、县管局审核通过、县管通过地州退回、地州审核未通过、地州审核通过、地州通过被退回、区局审核未通过、区局审核通过、区管通过专家未通过、专家未审核、专家审核通过；自评总分大于 80 分时通过。</w:t>
            </w:r>
          </w:p>
        </w:tc>
      </w:tr>
      <w:tr>
        <w:trPr>
          <w:trHeight w:val="1333" w:hRule="atLeast"/>
        </w:trPr>
        <w:tc>
          <w:tcPr>
            <w:tcW w:w="1332" w:type="dxa"/>
            <w:vMerge w:val="continue"/>
            <w:tcBorders>
              <w:top w:val="single" w:color="000000" w:sz="4" w:space="0"/>
              <w:left w:val="single" w:color="000000" w:sz="12" w:space="0"/>
              <w:bottom w:val="single" w:color="000000" w:sz="4" w:space="0"/>
              <w:right w:val="single" w:color="000000" w:sz="4" w:space="0"/>
            </w:tcBorders>
            <w:vAlign w:val="center"/>
          </w:tcPr>
          <w:p>
            <w:pPr>
              <w:wordWrap/>
              <w:adjustRightInd/>
              <w:snapToGrid/>
              <w:spacing w:before="0" w:after="0" w:line="560" w:lineRule="exact"/>
              <w:ind w:left="0" w:leftChars="0" w:right="0"/>
              <w:jc w:val="center"/>
              <w:outlineLvl w:val="9"/>
              <w:rPr>
                <w:rFonts w:hint="eastAsia" w:ascii="仿宋_GB2312" w:hAnsi="仿宋_GB2312" w:eastAsia="仿宋_GB2312" w:cs="仿宋_GB2312"/>
                <w:i w:val="0"/>
                <w:color w:val="auto"/>
                <w:sz w:val="28"/>
                <w:szCs w:val="28"/>
                <w:u w:val="none"/>
              </w:rPr>
            </w:pPr>
          </w:p>
        </w:tc>
        <w:tc>
          <w:tcPr>
            <w:tcW w:w="1536"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before="0" w:after="0" w:line="560" w:lineRule="exact"/>
              <w:ind w:left="0" w:leftChars="0" w:right="0"/>
              <w:jc w:val="center"/>
              <w:outlineLvl w:val="9"/>
              <w:rPr>
                <w:rFonts w:hint="eastAsia" w:ascii="仿宋_GB2312" w:hAnsi="仿宋_GB2312" w:eastAsia="仿宋_GB2312" w:cs="仿宋_GB2312"/>
                <w:i w:val="0"/>
                <w:color w:val="auto"/>
                <w:sz w:val="28"/>
                <w:szCs w:val="28"/>
                <w:u w:val="none"/>
              </w:rPr>
            </w:pPr>
          </w:p>
        </w:tc>
        <w:tc>
          <w:tcPr>
            <w:tcW w:w="154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after="0" w:line="560" w:lineRule="exact"/>
              <w:ind w:left="0" w:leftChars="0" w:right="0" w:firstLine="0" w:firstLineChars="0"/>
              <w:jc w:val="left"/>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rPr>
              <w:t>专家评审/地州互审</w:t>
            </w:r>
          </w:p>
        </w:tc>
        <w:tc>
          <w:tcPr>
            <w:tcW w:w="4406" w:type="dxa"/>
            <w:tcBorders>
              <w:top w:val="single" w:color="000000" w:sz="4" w:space="0"/>
              <w:left w:val="single" w:color="000000" w:sz="4" w:space="0"/>
              <w:bottom w:val="single" w:color="000000" w:sz="4" w:space="0"/>
              <w:right w:val="single" w:color="000000" w:sz="12" w:space="0"/>
            </w:tcBorders>
            <w:vAlign w:val="center"/>
          </w:tcPr>
          <w:p>
            <w:pPr>
              <w:widowControl/>
              <w:wordWrap/>
              <w:adjustRightInd/>
              <w:snapToGrid/>
              <w:spacing w:before="0" w:after="0" w:line="560" w:lineRule="exact"/>
              <w:ind w:left="0" w:leftChars="0" w:right="0" w:firstLine="0" w:firstLineChars="0"/>
              <w:jc w:val="left"/>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rPr>
              <w:t>专家评分的平均分小于等于 80 分时，将原路逐级退回，状态显示为“评审不通过”，被考核机构需要重新申报备案并自；专家评分的平均分大于 80 分时，考核流程结束，状态显示为“评审通过”。</w:t>
            </w:r>
          </w:p>
        </w:tc>
      </w:tr>
      <w:tr>
        <w:trPr>
          <w:trHeight w:val="973" w:hRule="atLeast"/>
        </w:trPr>
        <w:tc>
          <w:tcPr>
            <w:tcW w:w="1332" w:type="dxa"/>
            <w:vMerge w:val="continue"/>
            <w:tcBorders>
              <w:top w:val="single" w:color="000000" w:sz="4" w:space="0"/>
              <w:left w:val="single" w:color="000000" w:sz="12" w:space="0"/>
              <w:bottom w:val="single" w:color="000000" w:sz="4" w:space="0"/>
              <w:right w:val="single" w:color="000000" w:sz="4" w:space="0"/>
            </w:tcBorders>
            <w:vAlign w:val="center"/>
          </w:tcPr>
          <w:p>
            <w:pPr>
              <w:wordWrap/>
              <w:adjustRightInd/>
              <w:snapToGrid/>
              <w:spacing w:before="0" w:after="0" w:line="560" w:lineRule="exact"/>
              <w:ind w:left="0" w:leftChars="0" w:right="0"/>
              <w:jc w:val="center"/>
              <w:outlineLvl w:val="9"/>
              <w:rPr>
                <w:rFonts w:hint="eastAsia" w:ascii="仿宋_GB2312" w:hAnsi="仿宋_GB2312" w:eastAsia="仿宋_GB2312" w:cs="仿宋_GB2312"/>
                <w:i w:val="0"/>
                <w:color w:val="auto"/>
                <w:sz w:val="28"/>
                <w:szCs w:val="28"/>
                <w:u w:val="none"/>
              </w:rPr>
            </w:pPr>
          </w:p>
        </w:tc>
        <w:tc>
          <w:tcPr>
            <w:tcW w:w="1536"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before="0" w:after="0" w:line="560" w:lineRule="exact"/>
              <w:ind w:left="0" w:leftChars="0" w:right="0"/>
              <w:jc w:val="center"/>
              <w:outlineLvl w:val="9"/>
              <w:rPr>
                <w:rFonts w:hint="eastAsia" w:ascii="仿宋_GB2312" w:hAnsi="仿宋_GB2312" w:eastAsia="仿宋_GB2312" w:cs="仿宋_GB2312"/>
                <w:i w:val="0"/>
                <w:color w:val="auto"/>
                <w:sz w:val="28"/>
                <w:szCs w:val="28"/>
                <w:u w:val="none"/>
              </w:rPr>
            </w:pPr>
          </w:p>
        </w:tc>
        <w:tc>
          <w:tcPr>
            <w:tcW w:w="154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after="0" w:line="560" w:lineRule="exact"/>
              <w:ind w:left="0" w:leftChars="0" w:right="0" w:firstLine="0" w:firstLineChars="0"/>
              <w:jc w:val="both"/>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rPr>
              <w:t xml:space="preserve"> 结果公布</w:t>
            </w:r>
          </w:p>
        </w:tc>
        <w:tc>
          <w:tcPr>
            <w:tcW w:w="4406" w:type="dxa"/>
            <w:tcBorders>
              <w:top w:val="single" w:color="000000" w:sz="4" w:space="0"/>
              <w:left w:val="single" w:color="000000" w:sz="4" w:space="0"/>
              <w:bottom w:val="single" w:color="000000" w:sz="4" w:space="0"/>
              <w:right w:val="single" w:color="000000" w:sz="12" w:space="0"/>
            </w:tcBorders>
            <w:vAlign w:val="center"/>
          </w:tcPr>
          <w:p>
            <w:pPr>
              <w:widowControl/>
              <w:wordWrap/>
              <w:adjustRightInd/>
              <w:snapToGrid/>
              <w:spacing w:before="0" w:after="0" w:line="560" w:lineRule="exact"/>
              <w:ind w:left="0" w:leftChars="0" w:right="0" w:firstLine="0" w:firstLineChars="0"/>
              <w:jc w:val="left"/>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rPr>
              <w:t>结果下发只能由区管局和地州管局进行，其中区管局下发结果给自治州直属机构、地州管局可下发结果给地州机构和县级机构。</w:t>
            </w:r>
          </w:p>
        </w:tc>
      </w:tr>
      <w:tr>
        <w:trPr>
          <w:trHeight w:val="973" w:hRule="atLeast"/>
        </w:trPr>
        <w:tc>
          <w:tcPr>
            <w:tcW w:w="1332" w:type="dxa"/>
            <w:vMerge w:val="continue"/>
            <w:tcBorders>
              <w:top w:val="single" w:color="000000" w:sz="4" w:space="0"/>
              <w:left w:val="single" w:color="000000" w:sz="12" w:space="0"/>
              <w:bottom w:val="single" w:color="000000" w:sz="4" w:space="0"/>
              <w:right w:val="single" w:color="000000" w:sz="4" w:space="0"/>
            </w:tcBorders>
            <w:vAlign w:val="center"/>
          </w:tcPr>
          <w:p>
            <w:pPr>
              <w:wordWrap/>
              <w:adjustRightInd/>
              <w:snapToGrid/>
              <w:spacing w:before="0" w:after="0" w:line="560" w:lineRule="exact"/>
              <w:ind w:left="0" w:leftChars="0" w:right="0"/>
              <w:jc w:val="center"/>
              <w:outlineLvl w:val="9"/>
              <w:rPr>
                <w:rFonts w:hint="eastAsia" w:ascii="仿宋_GB2312" w:hAnsi="仿宋_GB2312" w:eastAsia="仿宋_GB2312" w:cs="仿宋_GB2312"/>
                <w:i w:val="0"/>
                <w:color w:val="auto"/>
                <w:sz w:val="28"/>
                <w:szCs w:val="28"/>
                <w:u w:val="none"/>
              </w:rPr>
            </w:pPr>
          </w:p>
        </w:tc>
        <w:tc>
          <w:tcPr>
            <w:tcW w:w="1536"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before="0" w:after="0" w:line="560" w:lineRule="exact"/>
              <w:ind w:left="0" w:leftChars="0" w:right="0"/>
              <w:jc w:val="center"/>
              <w:outlineLvl w:val="9"/>
              <w:rPr>
                <w:rFonts w:hint="eastAsia" w:ascii="仿宋_GB2312" w:hAnsi="仿宋_GB2312" w:eastAsia="仿宋_GB2312" w:cs="仿宋_GB2312"/>
                <w:i w:val="0"/>
                <w:color w:val="auto"/>
                <w:sz w:val="28"/>
                <w:szCs w:val="28"/>
                <w:u w:val="none"/>
              </w:rPr>
            </w:pPr>
          </w:p>
        </w:tc>
        <w:tc>
          <w:tcPr>
            <w:tcW w:w="154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after="0" w:line="560" w:lineRule="exact"/>
              <w:ind w:left="0" w:leftChars="0" w:right="0" w:firstLine="0" w:firstLineChars="0"/>
              <w:jc w:val="both"/>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rPr>
              <w:t xml:space="preserve"> 机构抽查</w:t>
            </w:r>
          </w:p>
        </w:tc>
        <w:tc>
          <w:tcPr>
            <w:tcW w:w="4406" w:type="dxa"/>
            <w:tcBorders>
              <w:top w:val="single" w:color="000000" w:sz="4" w:space="0"/>
              <w:left w:val="single" w:color="000000" w:sz="4" w:space="0"/>
              <w:bottom w:val="single" w:color="000000" w:sz="4" w:space="0"/>
              <w:right w:val="single" w:color="000000" w:sz="12" w:space="0"/>
            </w:tcBorders>
            <w:vAlign w:val="center"/>
          </w:tcPr>
          <w:p>
            <w:pPr>
              <w:widowControl/>
              <w:wordWrap/>
              <w:adjustRightInd/>
              <w:snapToGrid/>
              <w:spacing w:before="0" w:after="0" w:line="560" w:lineRule="exact"/>
              <w:ind w:left="0" w:leftChars="0" w:right="0" w:firstLine="0" w:firstLineChars="0"/>
              <w:jc w:val="left"/>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rPr>
              <w:t>自治州可对已下发结果的机构进行抽查，系统随机抽取，线下完成考察后，填写考核意见，考察通过的机构，完成节约型机关的创建。</w:t>
            </w:r>
          </w:p>
        </w:tc>
      </w:tr>
      <w:tr>
        <w:trPr>
          <w:trHeight w:val="1020" w:hRule="atLeast"/>
        </w:trPr>
        <w:tc>
          <w:tcPr>
            <w:tcW w:w="1332" w:type="dxa"/>
            <w:vMerge w:val="continue"/>
            <w:tcBorders>
              <w:top w:val="single" w:color="000000" w:sz="4" w:space="0"/>
              <w:left w:val="single" w:color="000000" w:sz="12" w:space="0"/>
              <w:bottom w:val="single" w:color="000000" w:sz="4" w:space="0"/>
              <w:right w:val="single" w:color="000000" w:sz="4" w:space="0"/>
            </w:tcBorders>
            <w:vAlign w:val="center"/>
          </w:tcPr>
          <w:p>
            <w:pPr>
              <w:wordWrap/>
              <w:adjustRightInd/>
              <w:snapToGrid/>
              <w:spacing w:before="0" w:after="0" w:line="560" w:lineRule="exact"/>
              <w:ind w:left="0" w:leftChars="0" w:right="0"/>
              <w:jc w:val="center"/>
              <w:outlineLvl w:val="9"/>
              <w:rPr>
                <w:rFonts w:hint="eastAsia" w:ascii="仿宋_GB2312" w:hAnsi="仿宋_GB2312" w:eastAsia="仿宋_GB2312" w:cs="仿宋_GB2312"/>
                <w:i w:val="0"/>
                <w:color w:val="auto"/>
                <w:sz w:val="28"/>
                <w:szCs w:val="28"/>
                <w:u w:val="none"/>
              </w:rPr>
            </w:pPr>
          </w:p>
        </w:tc>
        <w:tc>
          <w:tcPr>
            <w:tcW w:w="1536"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before="0" w:after="0" w:line="560" w:lineRule="exact"/>
              <w:ind w:left="0" w:leftChars="0" w:right="0"/>
              <w:jc w:val="center"/>
              <w:outlineLvl w:val="9"/>
              <w:rPr>
                <w:rFonts w:hint="eastAsia" w:ascii="仿宋_GB2312" w:hAnsi="仿宋_GB2312" w:eastAsia="仿宋_GB2312" w:cs="仿宋_GB2312"/>
                <w:i w:val="0"/>
                <w:color w:val="auto"/>
                <w:sz w:val="28"/>
                <w:szCs w:val="28"/>
                <w:u w:val="none"/>
              </w:rPr>
            </w:pPr>
          </w:p>
        </w:tc>
        <w:tc>
          <w:tcPr>
            <w:tcW w:w="154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after="0" w:line="560" w:lineRule="exact"/>
              <w:ind w:left="0" w:leftChars="0" w:right="0" w:firstLine="0" w:firstLineChars="0"/>
              <w:jc w:val="both"/>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rPr>
              <w:t>考核主流程</w:t>
            </w:r>
          </w:p>
        </w:tc>
        <w:tc>
          <w:tcPr>
            <w:tcW w:w="4406" w:type="dxa"/>
            <w:tcBorders>
              <w:top w:val="single" w:color="000000" w:sz="4" w:space="0"/>
              <w:left w:val="single" w:color="000000" w:sz="4" w:space="0"/>
              <w:bottom w:val="single" w:color="000000" w:sz="4" w:space="0"/>
              <w:right w:val="single" w:color="000000" w:sz="12" w:space="0"/>
            </w:tcBorders>
            <w:vAlign w:val="center"/>
          </w:tcPr>
          <w:p>
            <w:pPr>
              <w:widowControl/>
              <w:wordWrap/>
              <w:adjustRightInd/>
              <w:snapToGrid/>
              <w:spacing w:before="0" w:after="0" w:line="560" w:lineRule="exact"/>
              <w:ind w:left="0" w:leftChars="0" w:right="0" w:firstLine="0" w:firstLineChars="0"/>
              <w:jc w:val="left"/>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rPr>
              <w:t>（上级机构）创建并下发考核任务-（下级机构）指派考核机构-考核机构申报备案-考核机构自评-上级机构审核-专家评审-考核结束。</w:t>
            </w:r>
          </w:p>
        </w:tc>
      </w:tr>
      <w:tr>
        <w:trPr>
          <w:trHeight w:val="673" w:hRule="atLeast"/>
        </w:trPr>
        <w:tc>
          <w:tcPr>
            <w:tcW w:w="1332" w:type="dxa"/>
            <w:vMerge w:val="continue"/>
            <w:tcBorders>
              <w:top w:val="single" w:color="000000" w:sz="4" w:space="0"/>
              <w:left w:val="single" w:color="000000" w:sz="12" w:space="0"/>
              <w:bottom w:val="single" w:color="000000" w:sz="4" w:space="0"/>
              <w:right w:val="single" w:color="000000" w:sz="4" w:space="0"/>
            </w:tcBorders>
            <w:vAlign w:val="center"/>
          </w:tcPr>
          <w:p>
            <w:pPr>
              <w:wordWrap/>
              <w:adjustRightInd/>
              <w:snapToGrid/>
              <w:spacing w:before="0" w:after="0" w:line="560" w:lineRule="exact"/>
              <w:ind w:left="0" w:leftChars="0" w:right="0"/>
              <w:jc w:val="center"/>
              <w:outlineLvl w:val="9"/>
              <w:rPr>
                <w:rFonts w:hint="eastAsia" w:ascii="仿宋_GB2312" w:hAnsi="仿宋_GB2312" w:eastAsia="仿宋_GB2312" w:cs="仿宋_GB2312"/>
                <w:i w:val="0"/>
                <w:color w:val="auto"/>
                <w:sz w:val="28"/>
                <w:szCs w:val="28"/>
                <w:u w:val="none"/>
              </w:rPr>
            </w:pPr>
          </w:p>
        </w:tc>
        <w:tc>
          <w:tcPr>
            <w:tcW w:w="1536"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before="0" w:after="0" w:line="560" w:lineRule="exact"/>
              <w:ind w:left="0" w:leftChars="0" w:right="0"/>
              <w:jc w:val="center"/>
              <w:outlineLvl w:val="9"/>
              <w:rPr>
                <w:rFonts w:hint="eastAsia" w:ascii="仿宋_GB2312" w:hAnsi="仿宋_GB2312" w:eastAsia="仿宋_GB2312" w:cs="仿宋_GB2312"/>
                <w:i w:val="0"/>
                <w:color w:val="auto"/>
                <w:sz w:val="28"/>
                <w:szCs w:val="28"/>
                <w:u w:val="none"/>
              </w:rPr>
            </w:pPr>
          </w:p>
        </w:tc>
        <w:tc>
          <w:tcPr>
            <w:tcW w:w="154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after="0" w:line="560" w:lineRule="exact"/>
              <w:ind w:left="0" w:leftChars="0" w:right="0" w:firstLine="0" w:firstLineChars="0"/>
              <w:jc w:val="both"/>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rPr>
              <w:t>考核系统权限</w:t>
            </w:r>
          </w:p>
        </w:tc>
        <w:tc>
          <w:tcPr>
            <w:tcW w:w="4406" w:type="dxa"/>
            <w:tcBorders>
              <w:top w:val="single" w:color="000000" w:sz="4" w:space="0"/>
              <w:left w:val="single" w:color="000000" w:sz="4" w:space="0"/>
              <w:bottom w:val="single" w:color="000000" w:sz="4" w:space="0"/>
              <w:right w:val="single" w:color="000000" w:sz="12" w:space="0"/>
            </w:tcBorders>
            <w:vAlign w:val="center"/>
          </w:tcPr>
          <w:p>
            <w:pPr>
              <w:widowControl/>
              <w:wordWrap/>
              <w:adjustRightInd/>
              <w:snapToGrid/>
              <w:spacing w:before="0" w:after="0" w:line="560" w:lineRule="exact"/>
              <w:ind w:left="0" w:leftChars="0" w:right="0" w:firstLine="0" w:firstLineChars="0"/>
              <w:jc w:val="left"/>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rPr>
              <w:t>各角色在考核系统的权限，角色包括：区级、地州、县级、机构、专家。</w:t>
            </w:r>
          </w:p>
        </w:tc>
      </w:tr>
      <w:tr>
        <w:trPr>
          <w:trHeight w:val="793" w:hRule="atLeast"/>
        </w:trPr>
        <w:tc>
          <w:tcPr>
            <w:tcW w:w="1332" w:type="dxa"/>
            <w:vMerge w:val="continue"/>
            <w:tcBorders>
              <w:top w:val="single" w:color="000000" w:sz="4" w:space="0"/>
              <w:left w:val="single" w:color="000000" w:sz="12" w:space="0"/>
              <w:bottom w:val="single" w:color="000000" w:sz="4" w:space="0"/>
              <w:right w:val="single" w:color="000000" w:sz="4" w:space="0"/>
            </w:tcBorders>
            <w:vAlign w:val="center"/>
          </w:tcPr>
          <w:p>
            <w:pPr>
              <w:wordWrap/>
              <w:adjustRightInd/>
              <w:snapToGrid/>
              <w:spacing w:before="0" w:after="0" w:line="560" w:lineRule="exact"/>
              <w:ind w:left="0" w:leftChars="0" w:right="0"/>
              <w:jc w:val="center"/>
              <w:outlineLvl w:val="9"/>
              <w:rPr>
                <w:rFonts w:hint="eastAsia" w:ascii="仿宋_GB2312" w:hAnsi="仿宋_GB2312" w:eastAsia="仿宋_GB2312" w:cs="仿宋_GB2312"/>
                <w:i w:val="0"/>
                <w:color w:val="auto"/>
                <w:sz w:val="28"/>
                <w:szCs w:val="28"/>
                <w:u w:val="none"/>
              </w:rPr>
            </w:pPr>
          </w:p>
        </w:tc>
        <w:tc>
          <w:tcPr>
            <w:tcW w:w="1536"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before="0" w:after="0" w:line="560" w:lineRule="exact"/>
              <w:ind w:left="0" w:leftChars="0" w:right="0"/>
              <w:jc w:val="center"/>
              <w:outlineLvl w:val="9"/>
              <w:rPr>
                <w:rFonts w:hint="eastAsia" w:ascii="仿宋_GB2312" w:hAnsi="仿宋_GB2312" w:eastAsia="仿宋_GB2312" w:cs="仿宋_GB2312"/>
                <w:i w:val="0"/>
                <w:color w:val="auto"/>
                <w:sz w:val="28"/>
                <w:szCs w:val="28"/>
                <w:u w:val="none"/>
              </w:rPr>
            </w:pPr>
          </w:p>
        </w:tc>
        <w:tc>
          <w:tcPr>
            <w:tcW w:w="154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after="0" w:line="560" w:lineRule="exact"/>
              <w:ind w:left="0" w:leftChars="0" w:right="0" w:firstLine="0" w:firstLineChars="0"/>
              <w:jc w:val="both"/>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rPr>
              <w:t xml:space="preserve"> 考核统计</w:t>
            </w:r>
          </w:p>
        </w:tc>
        <w:tc>
          <w:tcPr>
            <w:tcW w:w="4406" w:type="dxa"/>
            <w:tcBorders>
              <w:top w:val="single" w:color="000000" w:sz="4" w:space="0"/>
              <w:left w:val="single" w:color="000000" w:sz="4" w:space="0"/>
              <w:bottom w:val="single" w:color="000000" w:sz="4" w:space="0"/>
              <w:right w:val="single" w:color="000000" w:sz="12" w:space="0"/>
            </w:tcBorders>
            <w:vAlign w:val="center"/>
          </w:tcPr>
          <w:p>
            <w:pPr>
              <w:widowControl/>
              <w:wordWrap/>
              <w:adjustRightInd/>
              <w:snapToGrid/>
              <w:spacing w:before="0" w:after="0" w:line="560" w:lineRule="exact"/>
              <w:ind w:left="0" w:leftChars="0" w:right="0" w:firstLine="0" w:firstLineChars="0"/>
              <w:jc w:val="left"/>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rPr>
              <w:t>根据自治区、地州、县级进行考核数据统计，包括总览和细项的数据分析。</w:t>
            </w:r>
          </w:p>
        </w:tc>
      </w:tr>
      <w:tr>
        <w:trPr>
          <w:trHeight w:val="853" w:hRule="atLeast"/>
        </w:trPr>
        <w:tc>
          <w:tcPr>
            <w:tcW w:w="1332" w:type="dxa"/>
            <w:vMerge w:val="continue"/>
            <w:tcBorders>
              <w:top w:val="single" w:color="000000" w:sz="4" w:space="0"/>
              <w:left w:val="single" w:color="000000" w:sz="12" w:space="0"/>
              <w:bottom w:val="single" w:color="000000" w:sz="4" w:space="0"/>
              <w:right w:val="single" w:color="000000" w:sz="4" w:space="0"/>
            </w:tcBorders>
            <w:vAlign w:val="center"/>
          </w:tcPr>
          <w:p>
            <w:pPr>
              <w:wordWrap/>
              <w:adjustRightInd/>
              <w:snapToGrid/>
              <w:spacing w:before="0" w:after="0" w:line="560" w:lineRule="exact"/>
              <w:ind w:left="0" w:leftChars="0" w:right="0"/>
              <w:jc w:val="center"/>
              <w:outlineLvl w:val="9"/>
              <w:rPr>
                <w:rFonts w:hint="eastAsia" w:ascii="仿宋_GB2312" w:hAnsi="仿宋_GB2312" w:eastAsia="仿宋_GB2312" w:cs="仿宋_GB2312"/>
                <w:i w:val="0"/>
                <w:color w:val="auto"/>
                <w:sz w:val="28"/>
                <w:szCs w:val="28"/>
                <w:u w:val="none"/>
              </w:rPr>
            </w:pPr>
          </w:p>
        </w:tc>
        <w:tc>
          <w:tcPr>
            <w:tcW w:w="3083"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after="0" w:line="560" w:lineRule="exact"/>
              <w:ind w:left="0" w:leftChars="0" w:right="0"/>
              <w:jc w:val="center"/>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rPr>
              <w:t>节水型单位创建</w:t>
            </w:r>
          </w:p>
        </w:tc>
        <w:tc>
          <w:tcPr>
            <w:tcW w:w="4406" w:type="dxa"/>
            <w:tcBorders>
              <w:top w:val="single" w:color="000000" w:sz="4" w:space="0"/>
              <w:left w:val="single" w:color="000000" w:sz="4" w:space="0"/>
              <w:bottom w:val="single" w:color="000000" w:sz="4" w:space="0"/>
              <w:right w:val="single" w:color="000000" w:sz="12" w:space="0"/>
            </w:tcBorders>
            <w:vAlign w:val="center"/>
          </w:tcPr>
          <w:p>
            <w:pPr>
              <w:widowControl/>
              <w:wordWrap/>
              <w:adjustRightInd/>
              <w:snapToGrid/>
              <w:spacing w:before="0" w:after="0" w:line="560" w:lineRule="exact"/>
              <w:ind w:left="0" w:leftChars="0" w:right="0" w:firstLine="0" w:firstLineChars="0"/>
              <w:jc w:val="left"/>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rPr>
              <w:t>类似节约型机关创建流程，考核标准按照节水型单位创建进行，重点修改考核标准、考核自评和专家评审环节。</w:t>
            </w:r>
          </w:p>
        </w:tc>
      </w:tr>
      <w:tr>
        <w:trPr>
          <w:trHeight w:val="853" w:hRule="atLeast"/>
        </w:trPr>
        <w:tc>
          <w:tcPr>
            <w:tcW w:w="1332" w:type="dxa"/>
            <w:vMerge w:val="continue"/>
            <w:tcBorders>
              <w:top w:val="single" w:color="000000" w:sz="4" w:space="0"/>
              <w:left w:val="single" w:color="000000" w:sz="12" w:space="0"/>
              <w:bottom w:val="single" w:color="000000" w:sz="4" w:space="0"/>
              <w:right w:val="single" w:color="000000" w:sz="4" w:space="0"/>
            </w:tcBorders>
            <w:vAlign w:val="center"/>
          </w:tcPr>
          <w:p>
            <w:pPr>
              <w:wordWrap/>
              <w:adjustRightInd/>
              <w:snapToGrid/>
              <w:spacing w:before="0" w:after="0" w:line="560" w:lineRule="exact"/>
              <w:ind w:left="0" w:leftChars="0" w:right="0"/>
              <w:jc w:val="center"/>
              <w:outlineLvl w:val="9"/>
              <w:rPr>
                <w:rFonts w:hint="eastAsia" w:ascii="仿宋_GB2312" w:hAnsi="仿宋_GB2312" w:eastAsia="仿宋_GB2312" w:cs="仿宋_GB2312"/>
                <w:i w:val="0"/>
                <w:color w:val="auto"/>
                <w:sz w:val="28"/>
                <w:szCs w:val="28"/>
                <w:u w:val="none"/>
              </w:rPr>
            </w:pPr>
          </w:p>
        </w:tc>
        <w:tc>
          <w:tcPr>
            <w:tcW w:w="3083"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after="0" w:line="560" w:lineRule="exact"/>
              <w:ind w:left="0" w:leftChars="0" w:right="0"/>
              <w:jc w:val="center"/>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rPr>
              <w:t>示范单位创建</w:t>
            </w:r>
          </w:p>
        </w:tc>
        <w:tc>
          <w:tcPr>
            <w:tcW w:w="4406" w:type="dxa"/>
            <w:tcBorders>
              <w:top w:val="single" w:color="000000" w:sz="4" w:space="0"/>
              <w:left w:val="single" w:color="000000" w:sz="4" w:space="0"/>
              <w:bottom w:val="single" w:color="000000" w:sz="4" w:space="0"/>
              <w:right w:val="single" w:color="000000" w:sz="12" w:space="0"/>
            </w:tcBorders>
            <w:vAlign w:val="center"/>
          </w:tcPr>
          <w:p>
            <w:pPr>
              <w:widowControl/>
              <w:wordWrap/>
              <w:adjustRightInd/>
              <w:snapToGrid/>
              <w:spacing w:before="0" w:after="0" w:line="560" w:lineRule="exact"/>
              <w:ind w:left="0" w:leftChars="0" w:right="0" w:firstLine="0" w:firstLineChars="0"/>
              <w:jc w:val="left"/>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rPr>
              <w:t>类似节约型机关创建流程，考核标准按照示范单位创建进行，重点修改考核标准、考核自评和专家评审环节。</w:t>
            </w:r>
          </w:p>
        </w:tc>
      </w:tr>
      <w:tr>
        <w:trPr>
          <w:trHeight w:val="900" w:hRule="atLeast"/>
        </w:trPr>
        <w:tc>
          <w:tcPr>
            <w:tcW w:w="1332" w:type="dxa"/>
            <w:vMerge w:val="continue"/>
            <w:tcBorders>
              <w:top w:val="single" w:color="000000" w:sz="4" w:space="0"/>
              <w:left w:val="single" w:color="000000" w:sz="12" w:space="0"/>
              <w:bottom w:val="single" w:color="000000" w:sz="4" w:space="0"/>
              <w:right w:val="single" w:color="000000" w:sz="4" w:space="0"/>
            </w:tcBorders>
            <w:vAlign w:val="center"/>
          </w:tcPr>
          <w:p>
            <w:pPr>
              <w:wordWrap/>
              <w:adjustRightInd/>
              <w:snapToGrid/>
              <w:spacing w:before="0" w:after="0" w:line="560" w:lineRule="exact"/>
              <w:ind w:left="0" w:leftChars="0" w:right="0"/>
              <w:jc w:val="center"/>
              <w:outlineLvl w:val="9"/>
              <w:rPr>
                <w:rFonts w:hint="eastAsia" w:ascii="仿宋_GB2312" w:hAnsi="仿宋_GB2312" w:eastAsia="仿宋_GB2312" w:cs="仿宋_GB2312"/>
                <w:i w:val="0"/>
                <w:color w:val="auto"/>
                <w:sz w:val="28"/>
                <w:szCs w:val="28"/>
                <w:u w:val="none"/>
              </w:rPr>
            </w:pPr>
          </w:p>
        </w:tc>
        <w:tc>
          <w:tcPr>
            <w:tcW w:w="3083"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after="0" w:line="560" w:lineRule="exact"/>
              <w:ind w:left="0" w:leftChars="0" w:right="0"/>
              <w:jc w:val="center"/>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rPr>
              <w:t>绿色食堂创建</w:t>
            </w:r>
          </w:p>
        </w:tc>
        <w:tc>
          <w:tcPr>
            <w:tcW w:w="4406" w:type="dxa"/>
            <w:tcBorders>
              <w:top w:val="single" w:color="000000" w:sz="4" w:space="0"/>
              <w:left w:val="single" w:color="000000" w:sz="4" w:space="0"/>
              <w:bottom w:val="single" w:color="000000" w:sz="4" w:space="0"/>
              <w:right w:val="single" w:color="000000" w:sz="12" w:space="0"/>
            </w:tcBorders>
            <w:vAlign w:val="center"/>
          </w:tcPr>
          <w:p>
            <w:pPr>
              <w:widowControl/>
              <w:wordWrap/>
              <w:adjustRightInd/>
              <w:snapToGrid/>
              <w:spacing w:before="0" w:after="0" w:line="560" w:lineRule="exact"/>
              <w:ind w:left="0" w:leftChars="0" w:right="0" w:firstLine="0" w:firstLineChars="0"/>
              <w:jc w:val="left"/>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rPr>
              <w:t>类似节约型机关创建流程，考核标准按照绿色食堂创建进行，重点修改考核标准、考核自评和专家评审环节。</w:t>
            </w:r>
          </w:p>
        </w:tc>
      </w:tr>
      <w:tr>
        <w:trPr>
          <w:trHeight w:val="912" w:hRule="atLeast"/>
        </w:trPr>
        <w:tc>
          <w:tcPr>
            <w:tcW w:w="1332" w:type="dxa"/>
            <w:vMerge w:val="continue"/>
            <w:tcBorders>
              <w:top w:val="single" w:color="000000" w:sz="4" w:space="0"/>
              <w:left w:val="single" w:color="000000" w:sz="12" w:space="0"/>
              <w:bottom w:val="single" w:color="000000" w:sz="4" w:space="0"/>
              <w:right w:val="single" w:color="000000" w:sz="4" w:space="0"/>
            </w:tcBorders>
            <w:vAlign w:val="center"/>
          </w:tcPr>
          <w:p>
            <w:pPr>
              <w:wordWrap/>
              <w:adjustRightInd/>
              <w:snapToGrid/>
              <w:spacing w:before="0" w:after="0" w:line="560" w:lineRule="exact"/>
              <w:ind w:left="0" w:leftChars="0" w:right="0"/>
              <w:jc w:val="center"/>
              <w:outlineLvl w:val="9"/>
              <w:rPr>
                <w:rFonts w:hint="eastAsia" w:ascii="仿宋_GB2312" w:hAnsi="仿宋_GB2312" w:eastAsia="仿宋_GB2312" w:cs="仿宋_GB2312"/>
                <w:i w:val="0"/>
                <w:color w:val="auto"/>
                <w:sz w:val="28"/>
                <w:szCs w:val="28"/>
                <w:u w:val="none"/>
              </w:rPr>
            </w:pPr>
          </w:p>
        </w:tc>
        <w:tc>
          <w:tcPr>
            <w:tcW w:w="3083"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after="0" w:line="560" w:lineRule="exact"/>
              <w:ind w:left="0" w:leftChars="0" w:right="0"/>
              <w:jc w:val="center"/>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rPr>
              <w:t>水效/能效领跑者</w:t>
            </w:r>
          </w:p>
        </w:tc>
        <w:tc>
          <w:tcPr>
            <w:tcW w:w="4406" w:type="dxa"/>
            <w:tcBorders>
              <w:top w:val="single" w:color="000000" w:sz="4" w:space="0"/>
              <w:left w:val="single" w:color="000000" w:sz="4" w:space="0"/>
              <w:bottom w:val="single" w:color="000000" w:sz="4" w:space="0"/>
              <w:right w:val="single" w:color="000000" w:sz="12" w:space="0"/>
            </w:tcBorders>
            <w:vAlign w:val="center"/>
          </w:tcPr>
          <w:p>
            <w:pPr>
              <w:widowControl/>
              <w:wordWrap/>
              <w:adjustRightInd/>
              <w:snapToGrid/>
              <w:spacing w:before="0" w:after="0" w:line="560" w:lineRule="exact"/>
              <w:ind w:left="0" w:leftChars="0" w:right="0" w:firstLine="0" w:firstLineChars="0"/>
              <w:jc w:val="left"/>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rPr>
              <w:t>类似节约型机关创建流程，考核标准按照水效/能效领跑者进行，重点修改考核标准、考核自评和专家评审环节。</w:t>
            </w:r>
          </w:p>
        </w:tc>
      </w:tr>
      <w:tr>
        <w:trPr>
          <w:trHeight w:val="1057" w:hRule="atLeast"/>
        </w:trPr>
        <w:tc>
          <w:tcPr>
            <w:tcW w:w="1332" w:type="dxa"/>
            <w:vMerge w:val="continue"/>
            <w:tcBorders>
              <w:top w:val="single" w:color="000000" w:sz="4" w:space="0"/>
              <w:left w:val="single" w:color="000000" w:sz="12" w:space="0"/>
              <w:bottom w:val="single" w:color="000000" w:sz="4" w:space="0"/>
              <w:right w:val="single" w:color="000000" w:sz="4" w:space="0"/>
            </w:tcBorders>
            <w:vAlign w:val="center"/>
          </w:tcPr>
          <w:p>
            <w:pPr>
              <w:wordWrap/>
              <w:adjustRightInd/>
              <w:snapToGrid/>
              <w:spacing w:before="0" w:after="0" w:line="560" w:lineRule="exact"/>
              <w:ind w:left="0" w:leftChars="0" w:right="0"/>
              <w:jc w:val="center"/>
              <w:outlineLvl w:val="9"/>
              <w:rPr>
                <w:rFonts w:hint="eastAsia" w:ascii="仿宋_GB2312" w:hAnsi="仿宋_GB2312" w:eastAsia="仿宋_GB2312" w:cs="仿宋_GB2312"/>
                <w:i w:val="0"/>
                <w:color w:val="auto"/>
                <w:sz w:val="28"/>
                <w:szCs w:val="28"/>
                <w:u w:val="none"/>
              </w:rPr>
            </w:pPr>
          </w:p>
        </w:tc>
        <w:tc>
          <w:tcPr>
            <w:tcW w:w="3083"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after="0" w:line="560" w:lineRule="exact"/>
              <w:ind w:left="0" w:leftChars="0" w:right="0"/>
              <w:jc w:val="center"/>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rPr>
              <w:t>“双碳”示范单位创建</w:t>
            </w:r>
          </w:p>
        </w:tc>
        <w:tc>
          <w:tcPr>
            <w:tcW w:w="4406" w:type="dxa"/>
            <w:tcBorders>
              <w:top w:val="single" w:color="000000" w:sz="4" w:space="0"/>
              <w:left w:val="single" w:color="000000" w:sz="4" w:space="0"/>
              <w:bottom w:val="single" w:color="000000" w:sz="4" w:space="0"/>
              <w:right w:val="single" w:color="000000" w:sz="12" w:space="0"/>
            </w:tcBorders>
            <w:vAlign w:val="center"/>
          </w:tcPr>
          <w:p>
            <w:pPr>
              <w:widowControl/>
              <w:wordWrap/>
              <w:adjustRightInd/>
              <w:snapToGrid/>
              <w:spacing w:before="0" w:after="0" w:line="560" w:lineRule="exact"/>
              <w:ind w:left="0" w:leftChars="0" w:right="0" w:firstLine="0" w:firstLineChars="0"/>
              <w:jc w:val="left"/>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rPr>
              <w:t>类似节约型机关创建流程，考核标准按照“双碳”示范单位创建进行，重点修改考核标准、考核自评和专家评审环节。</w:t>
            </w:r>
          </w:p>
        </w:tc>
      </w:tr>
      <w:tr>
        <w:trPr>
          <w:trHeight w:val="1177" w:hRule="atLeast"/>
        </w:trPr>
        <w:tc>
          <w:tcPr>
            <w:tcW w:w="1332" w:type="dxa"/>
            <w:vMerge w:val="continue"/>
            <w:tcBorders>
              <w:top w:val="single" w:color="000000" w:sz="4" w:space="0"/>
              <w:left w:val="single" w:color="000000" w:sz="12" w:space="0"/>
              <w:bottom w:val="single" w:color="000000" w:sz="4" w:space="0"/>
              <w:right w:val="single" w:color="000000" w:sz="4" w:space="0"/>
            </w:tcBorders>
            <w:vAlign w:val="center"/>
          </w:tcPr>
          <w:p>
            <w:pPr>
              <w:wordWrap/>
              <w:adjustRightInd/>
              <w:snapToGrid/>
              <w:spacing w:before="0" w:after="0" w:line="560" w:lineRule="exact"/>
              <w:ind w:left="0" w:leftChars="0" w:right="0"/>
              <w:jc w:val="center"/>
              <w:outlineLvl w:val="9"/>
              <w:rPr>
                <w:rFonts w:hint="eastAsia" w:ascii="仿宋_GB2312" w:hAnsi="仿宋_GB2312" w:eastAsia="仿宋_GB2312" w:cs="仿宋_GB2312"/>
                <w:i w:val="0"/>
                <w:color w:val="auto"/>
                <w:sz w:val="28"/>
                <w:szCs w:val="28"/>
                <w:u w:val="none"/>
              </w:rPr>
            </w:pPr>
          </w:p>
        </w:tc>
        <w:tc>
          <w:tcPr>
            <w:tcW w:w="3083"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after="0" w:line="560" w:lineRule="exact"/>
              <w:ind w:left="0" w:leftChars="0" w:right="0"/>
              <w:jc w:val="center"/>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rPr>
              <w:t>监督考核</w:t>
            </w:r>
          </w:p>
        </w:tc>
        <w:tc>
          <w:tcPr>
            <w:tcW w:w="4406" w:type="dxa"/>
            <w:tcBorders>
              <w:top w:val="single" w:color="000000" w:sz="4" w:space="0"/>
              <w:left w:val="single" w:color="000000" w:sz="4" w:space="0"/>
              <w:bottom w:val="single" w:color="000000" w:sz="4" w:space="0"/>
              <w:right w:val="single" w:color="000000" w:sz="12" w:space="0"/>
            </w:tcBorders>
            <w:vAlign w:val="center"/>
          </w:tcPr>
          <w:p>
            <w:pPr>
              <w:widowControl/>
              <w:wordWrap/>
              <w:adjustRightInd/>
              <w:snapToGrid/>
              <w:spacing w:before="0" w:after="0" w:line="560" w:lineRule="exact"/>
              <w:ind w:left="0" w:leftChars="0" w:right="0" w:firstLine="0" w:firstLineChars="0"/>
              <w:jc w:val="left"/>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rPr>
              <w:t>面向区本级和 14 地州机关事务管理部门，梳理节能考核事项，将考核业务数字化，支持线上资料报送和资料档案化管理，具备通知公告、随机抽查和绩效评价功能。</w:t>
            </w:r>
          </w:p>
        </w:tc>
      </w:tr>
      <w:tr>
        <w:trPr>
          <w:trHeight w:val="613" w:hRule="atLeast"/>
        </w:trPr>
        <w:tc>
          <w:tcPr>
            <w:tcW w:w="1332" w:type="dxa"/>
            <w:vMerge w:val="continue"/>
            <w:tcBorders>
              <w:top w:val="single" w:color="000000" w:sz="4" w:space="0"/>
              <w:left w:val="single" w:color="000000" w:sz="12" w:space="0"/>
              <w:bottom w:val="single" w:color="000000" w:sz="4" w:space="0"/>
              <w:right w:val="single" w:color="000000" w:sz="4" w:space="0"/>
            </w:tcBorders>
            <w:vAlign w:val="center"/>
          </w:tcPr>
          <w:p>
            <w:pPr>
              <w:wordWrap/>
              <w:adjustRightInd/>
              <w:snapToGrid/>
              <w:spacing w:before="0" w:after="0" w:line="560" w:lineRule="exact"/>
              <w:ind w:left="0" w:leftChars="0" w:right="0"/>
              <w:jc w:val="center"/>
              <w:outlineLvl w:val="9"/>
              <w:rPr>
                <w:rFonts w:hint="eastAsia" w:ascii="仿宋_GB2312" w:hAnsi="仿宋_GB2312" w:eastAsia="仿宋_GB2312" w:cs="仿宋_GB2312"/>
                <w:i w:val="0"/>
                <w:color w:val="auto"/>
                <w:sz w:val="28"/>
                <w:szCs w:val="28"/>
                <w:u w:val="none"/>
              </w:rPr>
            </w:pPr>
          </w:p>
        </w:tc>
        <w:tc>
          <w:tcPr>
            <w:tcW w:w="1536"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after="0" w:line="560" w:lineRule="exact"/>
              <w:ind w:left="0" w:leftChars="0" w:right="0" w:firstLine="0" w:firstLineChars="0"/>
              <w:jc w:val="both"/>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rPr>
              <w:t>专家库管理</w:t>
            </w:r>
          </w:p>
        </w:tc>
        <w:tc>
          <w:tcPr>
            <w:tcW w:w="154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after="0" w:line="560" w:lineRule="exact"/>
              <w:ind w:left="0" w:leftChars="0" w:right="0" w:firstLine="0" w:firstLineChars="0"/>
              <w:jc w:val="both"/>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rPr>
              <w:t xml:space="preserve"> 申请注册</w:t>
            </w:r>
          </w:p>
        </w:tc>
        <w:tc>
          <w:tcPr>
            <w:tcW w:w="4406" w:type="dxa"/>
            <w:tcBorders>
              <w:top w:val="single" w:color="000000" w:sz="4" w:space="0"/>
              <w:left w:val="single" w:color="000000" w:sz="4" w:space="0"/>
              <w:bottom w:val="single" w:color="000000" w:sz="4" w:space="0"/>
              <w:right w:val="single" w:color="000000" w:sz="12" w:space="0"/>
            </w:tcBorders>
            <w:vAlign w:val="center"/>
          </w:tcPr>
          <w:p>
            <w:pPr>
              <w:widowControl/>
              <w:wordWrap/>
              <w:adjustRightInd/>
              <w:snapToGrid/>
              <w:spacing w:before="0" w:after="0" w:line="560" w:lineRule="exact"/>
              <w:ind w:left="0" w:leftChars="0" w:right="0" w:firstLine="0" w:firstLineChars="0"/>
              <w:jc w:val="left"/>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rPr>
              <w:t>专家库专家申请注册。</w:t>
            </w:r>
          </w:p>
        </w:tc>
      </w:tr>
      <w:tr>
        <w:trPr>
          <w:trHeight w:val="612" w:hRule="atLeast"/>
        </w:trPr>
        <w:tc>
          <w:tcPr>
            <w:tcW w:w="1332" w:type="dxa"/>
            <w:vMerge w:val="continue"/>
            <w:tcBorders>
              <w:top w:val="single" w:color="000000" w:sz="4" w:space="0"/>
              <w:left w:val="single" w:color="000000" w:sz="12" w:space="0"/>
              <w:bottom w:val="single" w:color="000000" w:sz="4" w:space="0"/>
              <w:right w:val="single" w:color="000000" w:sz="4" w:space="0"/>
            </w:tcBorders>
            <w:vAlign w:val="center"/>
          </w:tcPr>
          <w:p>
            <w:pPr>
              <w:wordWrap/>
              <w:adjustRightInd/>
              <w:snapToGrid/>
              <w:spacing w:before="0" w:after="0" w:line="560" w:lineRule="exact"/>
              <w:ind w:left="0" w:leftChars="0" w:right="0"/>
              <w:jc w:val="center"/>
              <w:outlineLvl w:val="9"/>
              <w:rPr>
                <w:rFonts w:hint="eastAsia" w:ascii="仿宋_GB2312" w:hAnsi="仿宋_GB2312" w:eastAsia="仿宋_GB2312" w:cs="仿宋_GB2312"/>
                <w:i w:val="0"/>
                <w:color w:val="auto"/>
                <w:sz w:val="28"/>
                <w:szCs w:val="28"/>
                <w:u w:val="none"/>
              </w:rPr>
            </w:pPr>
          </w:p>
        </w:tc>
        <w:tc>
          <w:tcPr>
            <w:tcW w:w="1536"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before="0" w:after="0" w:line="560" w:lineRule="exact"/>
              <w:ind w:left="0" w:leftChars="0" w:right="0"/>
              <w:jc w:val="center"/>
              <w:outlineLvl w:val="9"/>
              <w:rPr>
                <w:rFonts w:hint="eastAsia" w:ascii="仿宋_GB2312" w:hAnsi="仿宋_GB2312" w:eastAsia="仿宋_GB2312" w:cs="仿宋_GB2312"/>
                <w:i w:val="0"/>
                <w:color w:val="auto"/>
                <w:sz w:val="28"/>
                <w:szCs w:val="28"/>
                <w:u w:val="none"/>
              </w:rPr>
            </w:pPr>
          </w:p>
        </w:tc>
        <w:tc>
          <w:tcPr>
            <w:tcW w:w="1547"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after="0" w:line="560" w:lineRule="exact"/>
              <w:ind w:left="0" w:leftChars="0" w:right="0" w:firstLine="0" w:firstLineChars="0"/>
              <w:jc w:val="both"/>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rPr>
              <w:t>线上申报评审专家</w:t>
            </w:r>
          </w:p>
        </w:tc>
        <w:tc>
          <w:tcPr>
            <w:tcW w:w="4406" w:type="dxa"/>
            <w:vMerge w:val="restart"/>
            <w:tcBorders>
              <w:top w:val="single" w:color="000000" w:sz="4" w:space="0"/>
              <w:left w:val="single" w:color="000000" w:sz="4" w:space="0"/>
              <w:bottom w:val="single" w:color="000000" w:sz="4" w:space="0"/>
              <w:right w:val="single" w:color="000000" w:sz="12" w:space="0"/>
            </w:tcBorders>
            <w:vAlign w:val="center"/>
          </w:tcPr>
          <w:p>
            <w:pPr>
              <w:widowControl/>
              <w:wordWrap/>
              <w:adjustRightInd/>
              <w:snapToGrid/>
              <w:spacing w:before="0" w:after="0" w:line="560" w:lineRule="exact"/>
              <w:ind w:left="0" w:leftChars="0" w:right="0" w:firstLine="0" w:firstLineChars="0"/>
              <w:jc w:val="left"/>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rPr>
              <w:t>专家可评审线上申报</w:t>
            </w:r>
          </w:p>
        </w:tc>
      </w:tr>
      <w:tr>
        <w:trPr>
          <w:trHeight w:val="612" w:hRule="atLeast"/>
        </w:trPr>
        <w:tc>
          <w:tcPr>
            <w:tcW w:w="1332" w:type="dxa"/>
            <w:vMerge w:val="continue"/>
            <w:tcBorders>
              <w:top w:val="single" w:color="000000" w:sz="4" w:space="0"/>
              <w:left w:val="single" w:color="000000" w:sz="12" w:space="0"/>
              <w:bottom w:val="single" w:color="000000" w:sz="4" w:space="0"/>
              <w:right w:val="single" w:color="000000" w:sz="4" w:space="0"/>
            </w:tcBorders>
            <w:vAlign w:val="center"/>
          </w:tcPr>
          <w:p>
            <w:pPr>
              <w:wordWrap/>
              <w:adjustRightInd/>
              <w:snapToGrid/>
              <w:spacing w:before="0" w:after="0" w:line="560" w:lineRule="exact"/>
              <w:ind w:left="0" w:leftChars="0" w:right="0"/>
              <w:jc w:val="center"/>
              <w:outlineLvl w:val="9"/>
              <w:rPr>
                <w:rFonts w:hint="eastAsia" w:ascii="仿宋_GB2312" w:hAnsi="仿宋_GB2312" w:eastAsia="仿宋_GB2312" w:cs="仿宋_GB2312"/>
                <w:i w:val="0"/>
                <w:color w:val="auto"/>
                <w:sz w:val="28"/>
                <w:szCs w:val="28"/>
                <w:u w:val="none"/>
              </w:rPr>
            </w:pPr>
          </w:p>
        </w:tc>
        <w:tc>
          <w:tcPr>
            <w:tcW w:w="1536"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before="0" w:after="0" w:line="560" w:lineRule="exact"/>
              <w:ind w:left="0" w:leftChars="0" w:right="0"/>
              <w:jc w:val="center"/>
              <w:outlineLvl w:val="9"/>
              <w:rPr>
                <w:rFonts w:hint="eastAsia" w:ascii="仿宋_GB2312" w:hAnsi="仿宋_GB2312" w:eastAsia="仿宋_GB2312" w:cs="仿宋_GB2312"/>
                <w:i w:val="0"/>
                <w:color w:val="auto"/>
                <w:sz w:val="28"/>
                <w:szCs w:val="28"/>
                <w:u w:val="none"/>
              </w:rPr>
            </w:pPr>
          </w:p>
        </w:tc>
        <w:tc>
          <w:tcPr>
            <w:tcW w:w="1547"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before="0" w:after="0" w:line="560" w:lineRule="exact"/>
              <w:ind w:left="0" w:leftChars="0" w:right="0"/>
              <w:jc w:val="center"/>
              <w:outlineLvl w:val="9"/>
              <w:rPr>
                <w:rFonts w:hint="eastAsia" w:ascii="仿宋_GB2312" w:hAnsi="仿宋_GB2312" w:eastAsia="仿宋_GB2312" w:cs="仿宋_GB2312"/>
                <w:i w:val="0"/>
                <w:color w:val="auto"/>
                <w:sz w:val="28"/>
                <w:szCs w:val="28"/>
                <w:u w:val="none"/>
              </w:rPr>
            </w:pPr>
          </w:p>
        </w:tc>
        <w:tc>
          <w:tcPr>
            <w:tcW w:w="4406" w:type="dxa"/>
            <w:vMerge w:val="continue"/>
            <w:tcBorders>
              <w:top w:val="single" w:color="000000" w:sz="4" w:space="0"/>
              <w:left w:val="single" w:color="000000" w:sz="4" w:space="0"/>
              <w:bottom w:val="single" w:color="000000" w:sz="4" w:space="0"/>
              <w:right w:val="single" w:color="000000" w:sz="12" w:space="0"/>
            </w:tcBorders>
            <w:vAlign w:val="center"/>
          </w:tcPr>
          <w:p>
            <w:pPr>
              <w:wordWrap/>
              <w:adjustRightInd/>
              <w:snapToGrid/>
              <w:spacing w:before="0" w:after="0" w:line="560" w:lineRule="exact"/>
              <w:ind w:left="0" w:leftChars="0" w:right="0"/>
              <w:jc w:val="left"/>
              <w:outlineLvl w:val="9"/>
              <w:rPr>
                <w:rFonts w:hint="eastAsia" w:ascii="仿宋_GB2312" w:hAnsi="仿宋_GB2312" w:eastAsia="仿宋_GB2312" w:cs="仿宋_GB2312"/>
                <w:i w:val="0"/>
                <w:color w:val="auto"/>
                <w:sz w:val="28"/>
                <w:szCs w:val="28"/>
                <w:u w:val="none"/>
              </w:rPr>
            </w:pPr>
          </w:p>
        </w:tc>
      </w:tr>
      <w:tr>
        <w:trPr>
          <w:trHeight w:val="613" w:hRule="atLeast"/>
        </w:trPr>
        <w:tc>
          <w:tcPr>
            <w:tcW w:w="1332" w:type="dxa"/>
            <w:vMerge w:val="continue"/>
            <w:tcBorders>
              <w:top w:val="single" w:color="000000" w:sz="4" w:space="0"/>
              <w:left w:val="single" w:color="000000" w:sz="12" w:space="0"/>
              <w:bottom w:val="single" w:color="000000" w:sz="4" w:space="0"/>
              <w:right w:val="single" w:color="000000" w:sz="4" w:space="0"/>
            </w:tcBorders>
            <w:vAlign w:val="center"/>
          </w:tcPr>
          <w:p>
            <w:pPr>
              <w:wordWrap/>
              <w:adjustRightInd/>
              <w:snapToGrid/>
              <w:spacing w:before="0" w:after="0" w:line="560" w:lineRule="exact"/>
              <w:ind w:left="0" w:leftChars="0" w:right="0"/>
              <w:jc w:val="center"/>
              <w:outlineLvl w:val="9"/>
              <w:rPr>
                <w:rFonts w:hint="eastAsia" w:ascii="仿宋_GB2312" w:hAnsi="仿宋_GB2312" w:eastAsia="仿宋_GB2312" w:cs="仿宋_GB2312"/>
                <w:i w:val="0"/>
                <w:color w:val="auto"/>
                <w:sz w:val="28"/>
                <w:szCs w:val="28"/>
                <w:u w:val="none"/>
              </w:rPr>
            </w:pPr>
          </w:p>
        </w:tc>
        <w:tc>
          <w:tcPr>
            <w:tcW w:w="1536"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before="0" w:after="0" w:line="560" w:lineRule="exact"/>
              <w:ind w:left="0" w:leftChars="0" w:right="0"/>
              <w:jc w:val="center"/>
              <w:outlineLvl w:val="9"/>
              <w:rPr>
                <w:rFonts w:hint="eastAsia" w:ascii="仿宋_GB2312" w:hAnsi="仿宋_GB2312" w:eastAsia="仿宋_GB2312" w:cs="仿宋_GB2312"/>
                <w:i w:val="0"/>
                <w:color w:val="auto"/>
                <w:sz w:val="28"/>
                <w:szCs w:val="28"/>
                <w:u w:val="none"/>
              </w:rPr>
            </w:pPr>
          </w:p>
        </w:tc>
        <w:tc>
          <w:tcPr>
            <w:tcW w:w="154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after="0" w:line="560" w:lineRule="exact"/>
              <w:ind w:left="0" w:leftChars="0" w:right="0" w:firstLine="0" w:firstLineChars="0"/>
              <w:jc w:val="both"/>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rPr>
              <w:t xml:space="preserve"> 信息查询</w:t>
            </w:r>
          </w:p>
        </w:tc>
        <w:tc>
          <w:tcPr>
            <w:tcW w:w="4406" w:type="dxa"/>
            <w:tcBorders>
              <w:top w:val="single" w:color="000000" w:sz="4" w:space="0"/>
              <w:left w:val="single" w:color="000000" w:sz="4" w:space="0"/>
              <w:bottom w:val="single" w:color="000000" w:sz="4" w:space="0"/>
              <w:right w:val="single" w:color="000000" w:sz="12" w:space="0"/>
            </w:tcBorders>
            <w:vAlign w:val="center"/>
          </w:tcPr>
          <w:p>
            <w:pPr>
              <w:widowControl/>
              <w:wordWrap/>
              <w:adjustRightInd/>
              <w:snapToGrid/>
              <w:spacing w:before="0" w:after="0" w:line="560" w:lineRule="exact"/>
              <w:ind w:left="0" w:leftChars="0" w:right="0" w:firstLine="0" w:firstLineChars="0"/>
              <w:jc w:val="left"/>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rPr>
              <w:t>可按地域、行业和专家姓名等对专家进行信息查询。</w:t>
            </w:r>
          </w:p>
        </w:tc>
      </w:tr>
      <w:tr>
        <w:trPr>
          <w:trHeight w:val="1200" w:hRule="atLeast"/>
        </w:trPr>
        <w:tc>
          <w:tcPr>
            <w:tcW w:w="1332" w:type="dxa"/>
            <w:vMerge w:val="continue"/>
            <w:tcBorders>
              <w:top w:val="single" w:color="000000" w:sz="4" w:space="0"/>
              <w:left w:val="single" w:color="000000" w:sz="12" w:space="0"/>
              <w:bottom w:val="single" w:color="000000" w:sz="4" w:space="0"/>
              <w:right w:val="single" w:color="000000" w:sz="4" w:space="0"/>
            </w:tcBorders>
            <w:vAlign w:val="center"/>
          </w:tcPr>
          <w:p>
            <w:pPr>
              <w:wordWrap/>
              <w:adjustRightInd/>
              <w:snapToGrid/>
              <w:spacing w:before="0" w:after="0" w:line="560" w:lineRule="exact"/>
              <w:ind w:left="0" w:leftChars="0" w:right="0"/>
              <w:jc w:val="center"/>
              <w:outlineLvl w:val="9"/>
              <w:rPr>
                <w:rFonts w:hint="eastAsia" w:ascii="仿宋_GB2312" w:hAnsi="仿宋_GB2312" w:eastAsia="仿宋_GB2312" w:cs="仿宋_GB2312"/>
                <w:i w:val="0"/>
                <w:color w:val="auto"/>
                <w:sz w:val="28"/>
                <w:szCs w:val="28"/>
                <w:u w:val="none"/>
              </w:rPr>
            </w:pPr>
          </w:p>
        </w:tc>
        <w:tc>
          <w:tcPr>
            <w:tcW w:w="1536"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after="0" w:line="560" w:lineRule="exact"/>
              <w:ind w:left="0" w:leftChars="0" w:right="0" w:firstLine="0" w:firstLineChars="0"/>
              <w:jc w:val="both"/>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rPr>
              <w:t xml:space="preserve">  数据统计</w:t>
            </w:r>
          </w:p>
        </w:tc>
        <w:tc>
          <w:tcPr>
            <w:tcW w:w="154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after="0" w:line="560" w:lineRule="exact"/>
              <w:ind w:left="0" w:leftChars="0" w:right="0" w:firstLine="0" w:firstLineChars="0"/>
              <w:jc w:val="left"/>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rPr>
              <w:t>按部门类别/区域汇总</w:t>
            </w:r>
          </w:p>
        </w:tc>
        <w:tc>
          <w:tcPr>
            <w:tcW w:w="4406" w:type="dxa"/>
            <w:tcBorders>
              <w:top w:val="single" w:color="000000" w:sz="4" w:space="0"/>
              <w:left w:val="single" w:color="000000" w:sz="4" w:space="0"/>
              <w:bottom w:val="single" w:color="000000" w:sz="4" w:space="0"/>
              <w:right w:val="single" w:color="000000" w:sz="12" w:space="0"/>
            </w:tcBorders>
            <w:vAlign w:val="center"/>
          </w:tcPr>
          <w:p>
            <w:pPr>
              <w:widowControl/>
              <w:wordWrap/>
              <w:adjustRightInd/>
              <w:snapToGrid/>
              <w:spacing w:before="0" w:after="0" w:line="560" w:lineRule="exact"/>
              <w:ind w:left="0" w:leftChars="0" w:right="0" w:firstLine="0" w:firstLineChars="0"/>
              <w:jc w:val="left"/>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rPr>
              <w:t>将节约型机关创建、节水型单位创建、示范单位创建、绿色食堂创建、水效/能效领跑者、“双碳”示范单位创建根据不同的部门类别和区域以列表形式进行情况汇总。</w:t>
            </w:r>
          </w:p>
        </w:tc>
      </w:tr>
      <w:tr>
        <w:trPr>
          <w:trHeight w:val="1213" w:hRule="atLeast"/>
        </w:trPr>
        <w:tc>
          <w:tcPr>
            <w:tcW w:w="1332" w:type="dxa"/>
            <w:vMerge w:val="continue"/>
            <w:tcBorders>
              <w:top w:val="single" w:color="000000" w:sz="4" w:space="0"/>
              <w:left w:val="single" w:color="000000" w:sz="12" w:space="0"/>
              <w:bottom w:val="single" w:color="000000" w:sz="4" w:space="0"/>
              <w:right w:val="single" w:color="000000" w:sz="4" w:space="0"/>
            </w:tcBorders>
            <w:vAlign w:val="center"/>
          </w:tcPr>
          <w:p>
            <w:pPr>
              <w:wordWrap/>
              <w:adjustRightInd/>
              <w:snapToGrid/>
              <w:spacing w:before="0" w:after="0" w:line="560" w:lineRule="exact"/>
              <w:ind w:left="0" w:leftChars="0" w:right="0"/>
              <w:jc w:val="center"/>
              <w:outlineLvl w:val="9"/>
              <w:rPr>
                <w:rFonts w:hint="eastAsia" w:ascii="仿宋_GB2312" w:hAnsi="仿宋_GB2312" w:eastAsia="仿宋_GB2312" w:cs="仿宋_GB2312"/>
                <w:i w:val="0"/>
                <w:color w:val="auto"/>
                <w:sz w:val="28"/>
                <w:szCs w:val="28"/>
                <w:u w:val="none"/>
              </w:rPr>
            </w:pPr>
          </w:p>
        </w:tc>
        <w:tc>
          <w:tcPr>
            <w:tcW w:w="1536"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before="0" w:after="0" w:line="560" w:lineRule="exact"/>
              <w:ind w:left="0" w:leftChars="0" w:right="0"/>
              <w:jc w:val="center"/>
              <w:outlineLvl w:val="9"/>
              <w:rPr>
                <w:rFonts w:hint="eastAsia" w:ascii="仿宋_GB2312" w:hAnsi="仿宋_GB2312" w:eastAsia="仿宋_GB2312" w:cs="仿宋_GB2312"/>
                <w:i w:val="0"/>
                <w:color w:val="auto"/>
                <w:sz w:val="28"/>
                <w:szCs w:val="28"/>
                <w:u w:val="none"/>
              </w:rPr>
            </w:pPr>
          </w:p>
        </w:tc>
        <w:tc>
          <w:tcPr>
            <w:tcW w:w="154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after="0" w:line="560" w:lineRule="exact"/>
              <w:ind w:left="0" w:leftChars="0" w:right="0" w:firstLine="0" w:firstLineChars="0"/>
              <w:jc w:val="both"/>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rPr>
              <w:t xml:space="preserve">  数据分析</w:t>
            </w:r>
          </w:p>
        </w:tc>
        <w:tc>
          <w:tcPr>
            <w:tcW w:w="4406" w:type="dxa"/>
            <w:tcBorders>
              <w:top w:val="single" w:color="000000" w:sz="4" w:space="0"/>
              <w:left w:val="single" w:color="000000" w:sz="4" w:space="0"/>
              <w:bottom w:val="single" w:color="000000" w:sz="4" w:space="0"/>
              <w:right w:val="single" w:color="000000" w:sz="12" w:space="0"/>
            </w:tcBorders>
            <w:vAlign w:val="center"/>
          </w:tcPr>
          <w:p>
            <w:pPr>
              <w:widowControl/>
              <w:wordWrap/>
              <w:adjustRightInd/>
              <w:snapToGrid/>
              <w:spacing w:before="0" w:after="0" w:line="560" w:lineRule="exact"/>
              <w:ind w:left="0" w:leftChars="0" w:right="0" w:firstLine="0" w:firstLineChars="0"/>
              <w:jc w:val="left"/>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rPr>
              <w:t>以图标形式呈现节约型机关创建、节水型单位创建、示范单位创建、绿色食堂创建、水效/能效领跑者、“双碳”示范单位创建的情况，可进行分类、筛选、查看排名和通过率；展示同比、环比、对标的分析结果。</w:t>
            </w:r>
          </w:p>
        </w:tc>
      </w:tr>
      <w:tr>
        <w:trPr>
          <w:trHeight w:val="1813" w:hRule="atLeast"/>
        </w:trPr>
        <w:tc>
          <w:tcPr>
            <w:tcW w:w="1332" w:type="dxa"/>
            <w:vMerge w:val="restart"/>
            <w:tcBorders>
              <w:top w:val="single" w:color="000000" w:sz="4" w:space="0"/>
              <w:left w:val="single" w:color="000000" w:sz="12" w:space="0"/>
              <w:bottom w:val="single" w:color="000000" w:sz="4" w:space="0"/>
              <w:right w:val="single" w:color="000000" w:sz="4" w:space="0"/>
            </w:tcBorders>
            <w:vAlign w:val="center"/>
          </w:tcPr>
          <w:p>
            <w:pPr>
              <w:widowControl/>
              <w:wordWrap/>
              <w:adjustRightInd/>
              <w:snapToGrid/>
              <w:spacing w:before="0" w:after="0" w:line="560" w:lineRule="exact"/>
              <w:ind w:left="0" w:leftChars="0" w:right="0" w:firstLine="0" w:firstLineChars="0"/>
              <w:jc w:val="both"/>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rPr>
              <w:t>能源资源消费统计</w:t>
            </w:r>
          </w:p>
        </w:tc>
        <w:tc>
          <w:tcPr>
            <w:tcW w:w="3083"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after="0" w:line="560" w:lineRule="exact"/>
              <w:ind w:left="0" w:leftChars="0" w:right="0"/>
              <w:jc w:val="both"/>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rPr>
              <w:t>能耗定额指标更新</w:t>
            </w:r>
          </w:p>
        </w:tc>
        <w:tc>
          <w:tcPr>
            <w:tcW w:w="4406" w:type="dxa"/>
            <w:tcBorders>
              <w:top w:val="single" w:color="000000" w:sz="4" w:space="0"/>
              <w:left w:val="single" w:color="000000" w:sz="4" w:space="0"/>
              <w:bottom w:val="single" w:color="000000" w:sz="4" w:space="0"/>
              <w:right w:val="single" w:color="000000" w:sz="12" w:space="0"/>
            </w:tcBorders>
            <w:vAlign w:val="center"/>
          </w:tcPr>
          <w:p>
            <w:pPr>
              <w:widowControl/>
              <w:wordWrap/>
              <w:adjustRightInd/>
              <w:snapToGrid/>
              <w:spacing w:before="0" w:after="0" w:line="560" w:lineRule="exact"/>
              <w:ind w:left="0" w:leftChars="0" w:right="0" w:firstLine="0" w:firstLineChars="0"/>
              <w:jc w:val="left"/>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rPr>
              <w:t>根据新疆维吾尔自治区最新的《公共机构能耗定额标准》，对能耗在线监管系统中能耗定额标准进行更新，主要对公共机构单位采暖建筑面积供暖耗热量指标、公共机构单位采暖建筑面积供暖能耗一次能源指标、公共机构单位建筑面积非供暖能耗指标、公共机构人均综合能耗指标值进行修订。</w:t>
            </w:r>
          </w:p>
        </w:tc>
      </w:tr>
      <w:tr>
        <w:trPr>
          <w:trHeight w:val="1093" w:hRule="atLeast"/>
        </w:trPr>
        <w:tc>
          <w:tcPr>
            <w:tcW w:w="1332" w:type="dxa"/>
            <w:vMerge w:val="continue"/>
            <w:tcBorders>
              <w:top w:val="single" w:color="000000" w:sz="4" w:space="0"/>
              <w:left w:val="single" w:color="000000" w:sz="12" w:space="0"/>
              <w:bottom w:val="single" w:color="000000" w:sz="4" w:space="0"/>
              <w:right w:val="single" w:color="000000" w:sz="4" w:space="0"/>
            </w:tcBorders>
            <w:vAlign w:val="center"/>
          </w:tcPr>
          <w:p>
            <w:pPr>
              <w:wordWrap/>
              <w:adjustRightInd/>
              <w:snapToGrid/>
              <w:spacing w:before="0" w:after="0" w:line="560" w:lineRule="exact"/>
              <w:ind w:left="0" w:leftChars="0" w:right="0"/>
              <w:jc w:val="center"/>
              <w:outlineLvl w:val="9"/>
              <w:rPr>
                <w:rFonts w:hint="eastAsia" w:ascii="仿宋_GB2312" w:hAnsi="仿宋_GB2312" w:eastAsia="仿宋_GB2312" w:cs="仿宋_GB2312"/>
                <w:i w:val="0"/>
                <w:color w:val="auto"/>
                <w:sz w:val="28"/>
                <w:szCs w:val="28"/>
                <w:u w:val="none"/>
              </w:rPr>
            </w:pPr>
          </w:p>
        </w:tc>
        <w:tc>
          <w:tcPr>
            <w:tcW w:w="3083"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after="0" w:line="560" w:lineRule="exact"/>
              <w:ind w:left="0" w:leftChars="0" w:right="0" w:firstLine="0" w:firstLineChars="0"/>
              <w:jc w:val="both"/>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rPr>
              <w:t xml:space="preserve">   节能信息报送管理</w:t>
            </w:r>
          </w:p>
        </w:tc>
        <w:tc>
          <w:tcPr>
            <w:tcW w:w="4406" w:type="dxa"/>
            <w:tcBorders>
              <w:top w:val="single" w:color="000000" w:sz="4" w:space="0"/>
              <w:left w:val="single" w:color="000000" w:sz="4" w:space="0"/>
              <w:bottom w:val="single" w:color="000000" w:sz="4" w:space="0"/>
              <w:right w:val="single" w:color="000000" w:sz="12" w:space="0"/>
            </w:tcBorders>
            <w:vAlign w:val="center"/>
          </w:tcPr>
          <w:p>
            <w:pPr>
              <w:widowControl/>
              <w:wordWrap/>
              <w:adjustRightInd/>
              <w:snapToGrid/>
              <w:spacing w:before="0" w:after="0" w:line="560" w:lineRule="exact"/>
              <w:ind w:left="0" w:leftChars="0" w:right="0" w:firstLine="0" w:firstLineChars="0"/>
              <w:jc w:val="left"/>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rPr>
              <w:t>按照一个单位有多个办公地点、多个单位合属办公、单位独立办公等情况填报各单位水电表信息，按照县管局、地州管局、区管局进行报送情况汇总统计。</w:t>
            </w:r>
          </w:p>
        </w:tc>
      </w:tr>
      <w:tr>
        <w:trPr>
          <w:trHeight w:val="1537" w:hRule="atLeast"/>
        </w:trPr>
        <w:tc>
          <w:tcPr>
            <w:tcW w:w="1332" w:type="dxa"/>
            <w:vMerge w:val="continue"/>
            <w:tcBorders>
              <w:top w:val="single" w:color="000000" w:sz="4" w:space="0"/>
              <w:left w:val="single" w:color="000000" w:sz="12" w:space="0"/>
              <w:bottom w:val="single" w:color="000000" w:sz="4" w:space="0"/>
              <w:right w:val="single" w:color="000000" w:sz="4" w:space="0"/>
            </w:tcBorders>
            <w:vAlign w:val="center"/>
          </w:tcPr>
          <w:p>
            <w:pPr>
              <w:wordWrap/>
              <w:adjustRightInd/>
              <w:snapToGrid/>
              <w:spacing w:before="0" w:after="0" w:line="560" w:lineRule="exact"/>
              <w:ind w:left="0" w:leftChars="0" w:right="0"/>
              <w:jc w:val="center"/>
              <w:outlineLvl w:val="9"/>
              <w:rPr>
                <w:rFonts w:hint="eastAsia" w:ascii="仿宋_GB2312" w:hAnsi="仿宋_GB2312" w:eastAsia="仿宋_GB2312" w:cs="仿宋_GB2312"/>
                <w:i w:val="0"/>
                <w:color w:val="auto"/>
                <w:sz w:val="28"/>
                <w:szCs w:val="28"/>
                <w:u w:val="none"/>
              </w:rPr>
            </w:pPr>
          </w:p>
        </w:tc>
        <w:tc>
          <w:tcPr>
            <w:tcW w:w="153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after="0" w:line="560" w:lineRule="exact"/>
              <w:ind w:left="0" w:leftChars="0" w:right="0" w:firstLine="0" w:firstLineChars="0"/>
              <w:jc w:val="both"/>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rPr>
              <w:t>能源资源消费在线监测</w:t>
            </w:r>
          </w:p>
        </w:tc>
        <w:tc>
          <w:tcPr>
            <w:tcW w:w="154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after="0" w:line="560" w:lineRule="exact"/>
              <w:ind w:left="0" w:leftChars="0" w:right="0" w:firstLine="0" w:firstLineChars="0"/>
              <w:jc w:val="both"/>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rPr>
              <w:t xml:space="preserve"> 数据导入</w:t>
            </w:r>
          </w:p>
        </w:tc>
        <w:tc>
          <w:tcPr>
            <w:tcW w:w="4406" w:type="dxa"/>
            <w:tcBorders>
              <w:top w:val="single" w:color="000000" w:sz="4" w:space="0"/>
              <w:left w:val="single" w:color="000000" w:sz="4" w:space="0"/>
              <w:bottom w:val="single" w:color="000000" w:sz="4" w:space="0"/>
              <w:right w:val="single" w:color="000000" w:sz="12" w:space="0"/>
            </w:tcBorders>
            <w:vAlign w:val="center"/>
          </w:tcPr>
          <w:p>
            <w:pPr>
              <w:widowControl/>
              <w:wordWrap/>
              <w:adjustRightInd/>
              <w:snapToGrid/>
              <w:spacing w:before="0" w:after="0" w:line="560" w:lineRule="exact"/>
              <w:ind w:left="0" w:leftChars="0" w:right="0" w:firstLine="0" w:firstLineChars="0"/>
              <w:jc w:val="both"/>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rPr>
              <w:t>按节能信息报送的数据，建立数学模型将各单位与水电表进行关联，将从国家电网和水务公司获取的各个机构的水电表数据，按照一定格式的数据模板将数据导入到系统中，并与系统中的组织机构关联起来并进行数据展示与统计。</w:t>
            </w:r>
          </w:p>
        </w:tc>
      </w:tr>
      <w:tr>
        <w:trPr>
          <w:trHeight w:val="612" w:hRule="atLeast"/>
        </w:trPr>
        <w:tc>
          <w:tcPr>
            <w:tcW w:w="1332" w:type="dxa"/>
            <w:vMerge w:val="continue"/>
            <w:tcBorders>
              <w:top w:val="single" w:color="000000" w:sz="4" w:space="0"/>
              <w:left w:val="single" w:color="000000" w:sz="12" w:space="0"/>
              <w:bottom w:val="single" w:color="000000" w:sz="4" w:space="0"/>
              <w:right w:val="single" w:color="000000" w:sz="4" w:space="0"/>
            </w:tcBorders>
            <w:vAlign w:val="center"/>
          </w:tcPr>
          <w:p>
            <w:pPr>
              <w:wordWrap/>
              <w:adjustRightInd/>
              <w:snapToGrid/>
              <w:spacing w:before="0" w:after="0" w:line="560" w:lineRule="exact"/>
              <w:ind w:left="0" w:leftChars="0" w:right="0"/>
              <w:jc w:val="center"/>
              <w:outlineLvl w:val="9"/>
              <w:rPr>
                <w:rFonts w:hint="eastAsia" w:ascii="仿宋_GB2312" w:hAnsi="仿宋_GB2312" w:eastAsia="仿宋_GB2312" w:cs="仿宋_GB2312"/>
                <w:i w:val="0"/>
                <w:color w:val="auto"/>
                <w:sz w:val="28"/>
                <w:szCs w:val="28"/>
                <w:u w:val="none"/>
              </w:rPr>
            </w:pPr>
          </w:p>
        </w:tc>
        <w:tc>
          <w:tcPr>
            <w:tcW w:w="1536"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after="0" w:line="560" w:lineRule="exact"/>
              <w:ind w:left="0" w:leftChars="0" w:right="0" w:firstLine="0" w:firstLineChars="0"/>
              <w:jc w:val="both"/>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rPr>
              <w:t>能源资源消费填报</w:t>
            </w:r>
          </w:p>
        </w:tc>
        <w:tc>
          <w:tcPr>
            <w:tcW w:w="1547"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after="0" w:line="560" w:lineRule="exact"/>
              <w:ind w:left="0" w:leftChars="0" w:right="0" w:firstLine="0" w:firstLineChars="0"/>
              <w:jc w:val="both"/>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rPr>
              <w:t xml:space="preserve"> 台账查询</w:t>
            </w:r>
          </w:p>
        </w:tc>
        <w:tc>
          <w:tcPr>
            <w:tcW w:w="4406" w:type="dxa"/>
            <w:vMerge w:val="restart"/>
            <w:tcBorders>
              <w:top w:val="single" w:color="000000" w:sz="4" w:space="0"/>
              <w:left w:val="single" w:color="000000" w:sz="4" w:space="0"/>
              <w:bottom w:val="single" w:color="000000" w:sz="4" w:space="0"/>
              <w:right w:val="single" w:color="000000" w:sz="12" w:space="0"/>
            </w:tcBorders>
            <w:vAlign w:val="center"/>
          </w:tcPr>
          <w:p>
            <w:pPr>
              <w:widowControl/>
              <w:wordWrap/>
              <w:adjustRightInd/>
              <w:snapToGrid/>
              <w:spacing w:before="0" w:after="0" w:line="560" w:lineRule="exact"/>
              <w:ind w:left="0" w:leftChars="0" w:right="0" w:firstLine="0" w:firstLineChars="0"/>
              <w:jc w:val="both"/>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rPr>
              <w:t>通过不同查询条件查询各单位上报情况，筛选条件包括年份、单位性质、单位名称、状态。</w:t>
            </w:r>
          </w:p>
        </w:tc>
      </w:tr>
      <w:tr>
        <w:trPr>
          <w:trHeight w:val="612" w:hRule="atLeast"/>
        </w:trPr>
        <w:tc>
          <w:tcPr>
            <w:tcW w:w="1332" w:type="dxa"/>
            <w:vMerge w:val="continue"/>
            <w:tcBorders>
              <w:top w:val="single" w:color="000000" w:sz="4" w:space="0"/>
              <w:left w:val="single" w:color="000000" w:sz="12" w:space="0"/>
              <w:bottom w:val="single" w:color="000000" w:sz="4" w:space="0"/>
              <w:right w:val="single" w:color="000000" w:sz="4" w:space="0"/>
            </w:tcBorders>
            <w:vAlign w:val="center"/>
          </w:tcPr>
          <w:p>
            <w:pPr>
              <w:wordWrap/>
              <w:adjustRightInd/>
              <w:snapToGrid/>
              <w:spacing w:before="0" w:after="0" w:line="560" w:lineRule="exact"/>
              <w:ind w:left="0" w:leftChars="0" w:right="0"/>
              <w:jc w:val="center"/>
              <w:outlineLvl w:val="9"/>
              <w:rPr>
                <w:rFonts w:hint="eastAsia" w:ascii="仿宋_GB2312" w:hAnsi="仿宋_GB2312" w:eastAsia="仿宋_GB2312" w:cs="仿宋_GB2312"/>
                <w:i w:val="0"/>
                <w:color w:val="auto"/>
                <w:sz w:val="28"/>
                <w:szCs w:val="28"/>
                <w:u w:val="none"/>
              </w:rPr>
            </w:pPr>
          </w:p>
        </w:tc>
        <w:tc>
          <w:tcPr>
            <w:tcW w:w="1536"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before="0" w:after="0" w:line="560" w:lineRule="exact"/>
              <w:ind w:left="0" w:leftChars="0" w:right="0"/>
              <w:jc w:val="center"/>
              <w:outlineLvl w:val="9"/>
              <w:rPr>
                <w:rFonts w:hint="eastAsia" w:ascii="仿宋_GB2312" w:hAnsi="仿宋_GB2312" w:eastAsia="仿宋_GB2312" w:cs="仿宋_GB2312"/>
                <w:i w:val="0"/>
                <w:color w:val="auto"/>
                <w:sz w:val="28"/>
                <w:szCs w:val="28"/>
                <w:u w:val="none"/>
              </w:rPr>
            </w:pPr>
          </w:p>
        </w:tc>
        <w:tc>
          <w:tcPr>
            <w:tcW w:w="1547"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before="0" w:after="0" w:line="560" w:lineRule="exact"/>
              <w:ind w:left="0" w:leftChars="0" w:right="0"/>
              <w:jc w:val="center"/>
              <w:outlineLvl w:val="9"/>
              <w:rPr>
                <w:rFonts w:hint="eastAsia" w:ascii="仿宋_GB2312" w:hAnsi="仿宋_GB2312" w:eastAsia="仿宋_GB2312" w:cs="仿宋_GB2312"/>
                <w:i w:val="0"/>
                <w:color w:val="auto"/>
                <w:sz w:val="28"/>
                <w:szCs w:val="28"/>
                <w:u w:val="none"/>
              </w:rPr>
            </w:pPr>
          </w:p>
        </w:tc>
        <w:tc>
          <w:tcPr>
            <w:tcW w:w="4406" w:type="dxa"/>
            <w:vMerge w:val="continue"/>
            <w:tcBorders>
              <w:top w:val="single" w:color="000000" w:sz="4" w:space="0"/>
              <w:left w:val="single" w:color="000000" w:sz="4" w:space="0"/>
              <w:bottom w:val="single" w:color="000000" w:sz="4" w:space="0"/>
              <w:right w:val="single" w:color="000000" w:sz="12" w:space="0"/>
            </w:tcBorders>
            <w:vAlign w:val="center"/>
          </w:tcPr>
          <w:p>
            <w:pPr>
              <w:wordWrap/>
              <w:adjustRightInd/>
              <w:snapToGrid/>
              <w:spacing w:before="0" w:after="0" w:line="560" w:lineRule="exact"/>
              <w:ind w:left="0" w:leftChars="0" w:right="0"/>
              <w:jc w:val="both"/>
              <w:outlineLvl w:val="9"/>
              <w:rPr>
                <w:rFonts w:hint="eastAsia" w:ascii="仿宋_GB2312" w:hAnsi="仿宋_GB2312" w:eastAsia="仿宋_GB2312" w:cs="仿宋_GB2312"/>
                <w:i w:val="0"/>
                <w:color w:val="auto"/>
                <w:sz w:val="28"/>
                <w:szCs w:val="28"/>
                <w:u w:val="none"/>
              </w:rPr>
            </w:pPr>
          </w:p>
        </w:tc>
      </w:tr>
      <w:tr>
        <w:trPr>
          <w:trHeight w:val="613" w:hRule="atLeast"/>
        </w:trPr>
        <w:tc>
          <w:tcPr>
            <w:tcW w:w="1332" w:type="dxa"/>
            <w:vMerge w:val="continue"/>
            <w:tcBorders>
              <w:top w:val="single" w:color="000000" w:sz="4" w:space="0"/>
              <w:left w:val="single" w:color="000000" w:sz="12" w:space="0"/>
              <w:bottom w:val="single" w:color="000000" w:sz="4" w:space="0"/>
              <w:right w:val="single" w:color="000000" w:sz="4" w:space="0"/>
            </w:tcBorders>
            <w:vAlign w:val="center"/>
          </w:tcPr>
          <w:p>
            <w:pPr>
              <w:wordWrap/>
              <w:adjustRightInd/>
              <w:snapToGrid/>
              <w:spacing w:before="0" w:after="0" w:line="560" w:lineRule="exact"/>
              <w:ind w:left="0" w:leftChars="0" w:right="0"/>
              <w:jc w:val="center"/>
              <w:outlineLvl w:val="9"/>
              <w:rPr>
                <w:rFonts w:hint="eastAsia" w:ascii="仿宋_GB2312" w:hAnsi="仿宋_GB2312" w:eastAsia="仿宋_GB2312" w:cs="仿宋_GB2312"/>
                <w:i w:val="0"/>
                <w:color w:val="auto"/>
                <w:sz w:val="28"/>
                <w:szCs w:val="28"/>
                <w:u w:val="none"/>
              </w:rPr>
            </w:pPr>
          </w:p>
        </w:tc>
        <w:tc>
          <w:tcPr>
            <w:tcW w:w="1536"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before="0" w:after="0" w:line="560" w:lineRule="exact"/>
              <w:ind w:left="0" w:leftChars="0" w:right="0"/>
              <w:jc w:val="center"/>
              <w:outlineLvl w:val="9"/>
              <w:rPr>
                <w:rFonts w:hint="eastAsia" w:ascii="仿宋_GB2312" w:hAnsi="仿宋_GB2312" w:eastAsia="仿宋_GB2312" w:cs="仿宋_GB2312"/>
                <w:i w:val="0"/>
                <w:color w:val="auto"/>
                <w:sz w:val="28"/>
                <w:szCs w:val="28"/>
                <w:u w:val="none"/>
              </w:rPr>
            </w:pPr>
          </w:p>
        </w:tc>
        <w:tc>
          <w:tcPr>
            <w:tcW w:w="154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after="0" w:line="560" w:lineRule="exact"/>
              <w:ind w:left="0" w:leftChars="0" w:right="0" w:firstLine="0" w:firstLineChars="0"/>
              <w:jc w:val="both"/>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rPr>
              <w:t xml:space="preserve"> 数据上报</w:t>
            </w:r>
          </w:p>
        </w:tc>
        <w:tc>
          <w:tcPr>
            <w:tcW w:w="4406" w:type="dxa"/>
            <w:tcBorders>
              <w:top w:val="single" w:color="000000" w:sz="4" w:space="0"/>
              <w:left w:val="single" w:color="000000" w:sz="4" w:space="0"/>
              <w:bottom w:val="single" w:color="000000" w:sz="4" w:space="0"/>
              <w:right w:val="single" w:color="000000" w:sz="12" w:space="0"/>
            </w:tcBorders>
            <w:vAlign w:val="center"/>
          </w:tcPr>
          <w:p>
            <w:pPr>
              <w:widowControl/>
              <w:wordWrap/>
              <w:adjustRightInd/>
              <w:snapToGrid/>
              <w:spacing w:before="0" w:after="0" w:line="560" w:lineRule="exact"/>
              <w:ind w:left="0" w:leftChars="0" w:right="0" w:firstLine="0" w:firstLineChars="0"/>
              <w:jc w:val="both"/>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rPr>
              <w:t>对接国管局能源资源消费统计系统。</w:t>
            </w:r>
          </w:p>
        </w:tc>
      </w:tr>
      <w:tr>
        <w:trPr>
          <w:trHeight w:val="937" w:hRule="atLeast"/>
        </w:trPr>
        <w:tc>
          <w:tcPr>
            <w:tcW w:w="1332" w:type="dxa"/>
            <w:vMerge w:val="continue"/>
            <w:tcBorders>
              <w:top w:val="single" w:color="000000" w:sz="4" w:space="0"/>
              <w:left w:val="single" w:color="000000" w:sz="12" w:space="0"/>
              <w:bottom w:val="single" w:color="000000" w:sz="4" w:space="0"/>
              <w:right w:val="single" w:color="000000" w:sz="4" w:space="0"/>
            </w:tcBorders>
            <w:vAlign w:val="center"/>
          </w:tcPr>
          <w:p>
            <w:pPr>
              <w:wordWrap/>
              <w:adjustRightInd/>
              <w:snapToGrid/>
              <w:spacing w:before="0" w:after="0" w:line="560" w:lineRule="exact"/>
              <w:ind w:left="0" w:leftChars="0" w:right="0"/>
              <w:jc w:val="center"/>
              <w:outlineLvl w:val="9"/>
              <w:rPr>
                <w:rFonts w:hint="eastAsia" w:ascii="仿宋_GB2312" w:hAnsi="仿宋_GB2312" w:eastAsia="仿宋_GB2312" w:cs="仿宋_GB2312"/>
                <w:i w:val="0"/>
                <w:color w:val="auto"/>
                <w:sz w:val="28"/>
                <w:szCs w:val="28"/>
                <w:u w:val="none"/>
              </w:rPr>
            </w:pPr>
          </w:p>
        </w:tc>
        <w:tc>
          <w:tcPr>
            <w:tcW w:w="3083"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after="0" w:line="560" w:lineRule="exact"/>
              <w:ind w:left="0" w:leftChars="0" w:right="0"/>
              <w:jc w:val="center"/>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rPr>
              <w:t>车辆/基础充电设施分析</w:t>
            </w:r>
          </w:p>
        </w:tc>
        <w:tc>
          <w:tcPr>
            <w:tcW w:w="4406" w:type="dxa"/>
            <w:tcBorders>
              <w:top w:val="single" w:color="000000" w:sz="4" w:space="0"/>
              <w:left w:val="single" w:color="000000" w:sz="4" w:space="0"/>
              <w:bottom w:val="single" w:color="000000" w:sz="4" w:space="0"/>
              <w:right w:val="single" w:color="000000" w:sz="12" w:space="0"/>
            </w:tcBorders>
            <w:vAlign w:val="center"/>
          </w:tcPr>
          <w:p>
            <w:pPr>
              <w:widowControl/>
              <w:wordWrap/>
              <w:adjustRightInd/>
              <w:snapToGrid/>
              <w:spacing w:before="0" w:after="0" w:line="560" w:lineRule="exact"/>
              <w:ind w:left="0" w:leftChars="0" w:right="0" w:firstLine="0" w:firstLineChars="0"/>
              <w:jc w:val="both"/>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rPr>
              <w:t>对燃油车油耗、车辆信息、新能源车电耗，充电设施数量、功率、充电量、采集充电数据，对各单位充电桩数据等进行统计分析。</w:t>
            </w:r>
          </w:p>
        </w:tc>
      </w:tr>
      <w:tr>
        <w:trPr>
          <w:trHeight w:val="900" w:hRule="atLeast"/>
        </w:trPr>
        <w:tc>
          <w:tcPr>
            <w:tcW w:w="1332" w:type="dxa"/>
            <w:vMerge w:val="continue"/>
            <w:tcBorders>
              <w:top w:val="single" w:color="000000" w:sz="4" w:space="0"/>
              <w:left w:val="single" w:color="000000" w:sz="12" w:space="0"/>
              <w:bottom w:val="single" w:color="000000" w:sz="4" w:space="0"/>
              <w:right w:val="single" w:color="000000" w:sz="4" w:space="0"/>
            </w:tcBorders>
            <w:vAlign w:val="center"/>
          </w:tcPr>
          <w:p>
            <w:pPr>
              <w:wordWrap/>
              <w:adjustRightInd/>
              <w:snapToGrid/>
              <w:spacing w:before="0" w:after="0" w:line="560" w:lineRule="exact"/>
              <w:ind w:left="0" w:leftChars="0" w:right="0"/>
              <w:jc w:val="center"/>
              <w:outlineLvl w:val="9"/>
              <w:rPr>
                <w:rFonts w:hint="eastAsia" w:ascii="仿宋_GB2312" w:hAnsi="仿宋_GB2312" w:eastAsia="仿宋_GB2312" w:cs="仿宋_GB2312"/>
                <w:i w:val="0"/>
                <w:color w:val="auto"/>
                <w:sz w:val="28"/>
                <w:szCs w:val="28"/>
                <w:u w:val="none"/>
              </w:rPr>
            </w:pPr>
          </w:p>
        </w:tc>
        <w:tc>
          <w:tcPr>
            <w:tcW w:w="3083"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after="0" w:line="560" w:lineRule="exact"/>
              <w:ind w:left="0" w:leftChars="0" w:right="0"/>
              <w:jc w:val="center"/>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rPr>
              <w:t>办公用纸</w:t>
            </w:r>
          </w:p>
        </w:tc>
        <w:tc>
          <w:tcPr>
            <w:tcW w:w="4406" w:type="dxa"/>
            <w:tcBorders>
              <w:top w:val="single" w:color="000000" w:sz="4" w:space="0"/>
              <w:left w:val="single" w:color="000000" w:sz="4" w:space="0"/>
              <w:bottom w:val="single" w:color="000000" w:sz="4" w:space="0"/>
              <w:right w:val="single" w:color="000000" w:sz="12" w:space="0"/>
            </w:tcBorders>
            <w:vAlign w:val="center"/>
          </w:tcPr>
          <w:p>
            <w:pPr>
              <w:widowControl/>
              <w:wordWrap/>
              <w:adjustRightInd/>
              <w:snapToGrid/>
              <w:spacing w:before="0" w:after="0" w:line="560" w:lineRule="exact"/>
              <w:ind w:left="0" w:leftChars="0" w:right="0" w:firstLine="0" w:firstLineChars="0"/>
              <w:jc w:val="both"/>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rPr>
              <w:t>对办公用纸进行分类，对单位的用纸及废纸回收重量情况进行统计，并做相应统计分析。</w:t>
            </w:r>
          </w:p>
        </w:tc>
      </w:tr>
      <w:tr>
        <w:trPr>
          <w:trHeight w:val="613" w:hRule="atLeast"/>
        </w:trPr>
        <w:tc>
          <w:tcPr>
            <w:tcW w:w="1332" w:type="dxa"/>
            <w:vMerge w:val="continue"/>
            <w:tcBorders>
              <w:top w:val="single" w:color="000000" w:sz="4" w:space="0"/>
              <w:left w:val="single" w:color="000000" w:sz="12" w:space="0"/>
              <w:bottom w:val="single" w:color="000000" w:sz="4" w:space="0"/>
              <w:right w:val="single" w:color="000000" w:sz="4" w:space="0"/>
            </w:tcBorders>
            <w:vAlign w:val="center"/>
          </w:tcPr>
          <w:p>
            <w:pPr>
              <w:wordWrap/>
              <w:adjustRightInd/>
              <w:snapToGrid/>
              <w:spacing w:before="0" w:after="0" w:line="560" w:lineRule="exact"/>
              <w:ind w:left="0" w:leftChars="0" w:right="0"/>
              <w:jc w:val="center"/>
              <w:outlineLvl w:val="9"/>
              <w:rPr>
                <w:rFonts w:hint="eastAsia" w:ascii="仿宋_GB2312" w:hAnsi="仿宋_GB2312" w:eastAsia="仿宋_GB2312" w:cs="仿宋_GB2312"/>
                <w:i w:val="0"/>
                <w:color w:val="auto"/>
                <w:sz w:val="28"/>
                <w:szCs w:val="28"/>
                <w:u w:val="none"/>
              </w:rPr>
            </w:pPr>
          </w:p>
        </w:tc>
        <w:tc>
          <w:tcPr>
            <w:tcW w:w="3083"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after="0" w:line="560" w:lineRule="exact"/>
              <w:ind w:left="0" w:leftChars="0" w:right="0"/>
              <w:jc w:val="center"/>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rPr>
              <w:t>节能改造技术</w:t>
            </w:r>
          </w:p>
        </w:tc>
        <w:tc>
          <w:tcPr>
            <w:tcW w:w="4406" w:type="dxa"/>
            <w:tcBorders>
              <w:top w:val="single" w:color="000000" w:sz="4" w:space="0"/>
              <w:left w:val="single" w:color="000000" w:sz="4" w:space="0"/>
              <w:bottom w:val="single" w:color="000000" w:sz="4" w:space="0"/>
              <w:right w:val="single" w:color="000000" w:sz="12" w:space="0"/>
            </w:tcBorders>
            <w:vAlign w:val="center"/>
          </w:tcPr>
          <w:p>
            <w:pPr>
              <w:widowControl/>
              <w:wordWrap/>
              <w:adjustRightInd/>
              <w:snapToGrid/>
              <w:spacing w:before="0" w:after="0" w:line="560" w:lineRule="exact"/>
              <w:ind w:left="0" w:leftChars="0" w:right="0" w:firstLine="0" w:firstLineChars="0"/>
              <w:jc w:val="both"/>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rPr>
              <w:t>对某节能改造项目（技术）进行记录，并做相应统计分析。</w:t>
            </w:r>
          </w:p>
        </w:tc>
      </w:tr>
      <w:tr>
        <w:trPr>
          <w:trHeight w:val="793" w:hRule="atLeast"/>
        </w:trPr>
        <w:tc>
          <w:tcPr>
            <w:tcW w:w="1332" w:type="dxa"/>
            <w:vMerge w:val="continue"/>
            <w:tcBorders>
              <w:top w:val="single" w:color="000000" w:sz="4" w:space="0"/>
              <w:left w:val="single" w:color="000000" w:sz="12" w:space="0"/>
              <w:bottom w:val="single" w:color="000000" w:sz="4" w:space="0"/>
              <w:right w:val="single" w:color="000000" w:sz="4" w:space="0"/>
            </w:tcBorders>
            <w:vAlign w:val="center"/>
          </w:tcPr>
          <w:p>
            <w:pPr>
              <w:wordWrap/>
              <w:adjustRightInd/>
              <w:snapToGrid/>
              <w:spacing w:before="0" w:after="0" w:line="560" w:lineRule="exact"/>
              <w:ind w:left="0" w:leftChars="0" w:right="0"/>
              <w:jc w:val="center"/>
              <w:outlineLvl w:val="9"/>
              <w:rPr>
                <w:rFonts w:hint="eastAsia" w:ascii="仿宋_GB2312" w:hAnsi="仿宋_GB2312" w:eastAsia="仿宋_GB2312" w:cs="仿宋_GB2312"/>
                <w:i w:val="0"/>
                <w:color w:val="auto"/>
                <w:sz w:val="28"/>
                <w:szCs w:val="28"/>
                <w:u w:val="none"/>
              </w:rPr>
            </w:pPr>
          </w:p>
        </w:tc>
        <w:tc>
          <w:tcPr>
            <w:tcW w:w="3083"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after="0" w:line="560" w:lineRule="exact"/>
              <w:ind w:left="0" w:leftChars="0" w:right="0"/>
              <w:jc w:val="center"/>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rPr>
              <w:t>餐饮浪费</w:t>
            </w:r>
          </w:p>
        </w:tc>
        <w:tc>
          <w:tcPr>
            <w:tcW w:w="4406" w:type="dxa"/>
            <w:tcBorders>
              <w:top w:val="single" w:color="000000" w:sz="4" w:space="0"/>
              <w:left w:val="single" w:color="000000" w:sz="4" w:space="0"/>
              <w:bottom w:val="single" w:color="000000" w:sz="4" w:space="0"/>
              <w:right w:val="single" w:color="000000" w:sz="12" w:space="0"/>
            </w:tcBorders>
            <w:vAlign w:val="center"/>
          </w:tcPr>
          <w:p>
            <w:pPr>
              <w:widowControl/>
              <w:wordWrap/>
              <w:adjustRightInd/>
              <w:snapToGrid/>
              <w:spacing w:before="0" w:after="0" w:line="560" w:lineRule="exact"/>
              <w:ind w:left="0" w:leftChars="0" w:right="0" w:firstLine="0" w:firstLineChars="0"/>
              <w:jc w:val="both"/>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rPr>
              <w:t>按照垃圾分类管理模块，定期分析餐厨垃圾的产生量，并做相应统计分析。</w:t>
            </w:r>
          </w:p>
        </w:tc>
      </w:tr>
      <w:tr>
        <w:trPr>
          <w:trHeight w:val="613" w:hRule="atLeast"/>
        </w:trPr>
        <w:tc>
          <w:tcPr>
            <w:tcW w:w="1332" w:type="dxa"/>
            <w:vMerge w:val="continue"/>
            <w:tcBorders>
              <w:top w:val="single" w:color="000000" w:sz="4" w:space="0"/>
              <w:left w:val="single" w:color="000000" w:sz="12" w:space="0"/>
              <w:bottom w:val="single" w:color="000000" w:sz="4" w:space="0"/>
              <w:right w:val="single" w:color="000000" w:sz="4" w:space="0"/>
            </w:tcBorders>
            <w:vAlign w:val="center"/>
          </w:tcPr>
          <w:p>
            <w:pPr>
              <w:wordWrap/>
              <w:adjustRightInd/>
              <w:snapToGrid/>
              <w:spacing w:before="0" w:after="0" w:line="560" w:lineRule="exact"/>
              <w:ind w:left="0" w:leftChars="0" w:right="0"/>
              <w:jc w:val="center"/>
              <w:outlineLvl w:val="9"/>
              <w:rPr>
                <w:rFonts w:hint="eastAsia" w:ascii="仿宋_GB2312" w:hAnsi="仿宋_GB2312" w:eastAsia="仿宋_GB2312" w:cs="仿宋_GB2312"/>
                <w:i w:val="0"/>
                <w:color w:val="auto"/>
                <w:sz w:val="28"/>
                <w:szCs w:val="28"/>
                <w:u w:val="none"/>
              </w:rPr>
            </w:pPr>
          </w:p>
        </w:tc>
        <w:tc>
          <w:tcPr>
            <w:tcW w:w="1536"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after="0" w:line="560" w:lineRule="exact"/>
              <w:ind w:left="0" w:leftChars="0" w:right="0" w:firstLine="0" w:firstLineChars="0"/>
              <w:jc w:val="both"/>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rPr>
              <w:t xml:space="preserve">  预警管理</w:t>
            </w:r>
          </w:p>
        </w:tc>
        <w:tc>
          <w:tcPr>
            <w:tcW w:w="154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after="0" w:line="560" w:lineRule="exact"/>
              <w:ind w:left="0" w:leftChars="0" w:right="0" w:firstLine="0" w:firstLineChars="0"/>
              <w:jc w:val="both"/>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rPr>
              <w:t xml:space="preserve"> 预警提示</w:t>
            </w:r>
          </w:p>
        </w:tc>
        <w:tc>
          <w:tcPr>
            <w:tcW w:w="4406" w:type="dxa"/>
            <w:vMerge w:val="restart"/>
            <w:tcBorders>
              <w:top w:val="single" w:color="000000" w:sz="4" w:space="0"/>
              <w:left w:val="single" w:color="000000" w:sz="4" w:space="0"/>
              <w:bottom w:val="single" w:color="000000" w:sz="4" w:space="0"/>
              <w:right w:val="single" w:color="000000" w:sz="12" w:space="0"/>
            </w:tcBorders>
            <w:vAlign w:val="center"/>
          </w:tcPr>
          <w:p>
            <w:pPr>
              <w:widowControl/>
              <w:wordWrap/>
              <w:adjustRightInd/>
              <w:snapToGrid/>
              <w:spacing w:before="0" w:after="0" w:line="560" w:lineRule="exact"/>
              <w:ind w:left="0" w:leftChars="0" w:right="0" w:firstLine="0" w:firstLineChars="0"/>
              <w:jc w:val="both"/>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rPr>
              <w:t>对各单位用水、用电、采暖、督办等情况进行预警，并提示具体原因，在系统主页面有提示。</w:t>
            </w:r>
          </w:p>
        </w:tc>
      </w:tr>
      <w:tr>
        <w:trPr>
          <w:trHeight w:val="613" w:hRule="atLeast"/>
        </w:trPr>
        <w:tc>
          <w:tcPr>
            <w:tcW w:w="1332" w:type="dxa"/>
            <w:vMerge w:val="continue"/>
            <w:tcBorders>
              <w:top w:val="single" w:color="000000" w:sz="4" w:space="0"/>
              <w:left w:val="single" w:color="000000" w:sz="12" w:space="0"/>
              <w:bottom w:val="single" w:color="000000" w:sz="4" w:space="0"/>
              <w:right w:val="single" w:color="000000" w:sz="4" w:space="0"/>
            </w:tcBorders>
            <w:vAlign w:val="center"/>
          </w:tcPr>
          <w:p>
            <w:pPr>
              <w:wordWrap/>
              <w:adjustRightInd/>
              <w:snapToGrid/>
              <w:spacing w:before="0" w:after="0" w:line="560" w:lineRule="exact"/>
              <w:ind w:left="0" w:leftChars="0" w:right="0"/>
              <w:jc w:val="center"/>
              <w:outlineLvl w:val="9"/>
              <w:rPr>
                <w:rFonts w:hint="eastAsia" w:ascii="仿宋_GB2312" w:hAnsi="仿宋_GB2312" w:eastAsia="仿宋_GB2312" w:cs="仿宋_GB2312"/>
                <w:i w:val="0"/>
                <w:color w:val="auto"/>
                <w:sz w:val="28"/>
                <w:szCs w:val="28"/>
                <w:u w:val="none"/>
              </w:rPr>
            </w:pPr>
          </w:p>
        </w:tc>
        <w:tc>
          <w:tcPr>
            <w:tcW w:w="1536"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before="0" w:after="0" w:line="560" w:lineRule="exact"/>
              <w:ind w:left="0" w:leftChars="0" w:right="0"/>
              <w:jc w:val="center"/>
              <w:outlineLvl w:val="9"/>
              <w:rPr>
                <w:rFonts w:hint="eastAsia" w:ascii="仿宋_GB2312" w:hAnsi="仿宋_GB2312" w:eastAsia="仿宋_GB2312" w:cs="仿宋_GB2312"/>
                <w:i w:val="0"/>
                <w:color w:val="auto"/>
                <w:sz w:val="28"/>
                <w:szCs w:val="28"/>
                <w:u w:val="none"/>
              </w:rPr>
            </w:pPr>
          </w:p>
        </w:tc>
        <w:tc>
          <w:tcPr>
            <w:tcW w:w="154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after="0" w:line="560" w:lineRule="exact"/>
              <w:ind w:left="0" w:leftChars="0" w:right="0" w:firstLine="0" w:firstLineChars="0"/>
              <w:jc w:val="both"/>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rPr>
              <w:t xml:space="preserve"> 预警查询</w:t>
            </w:r>
          </w:p>
        </w:tc>
        <w:tc>
          <w:tcPr>
            <w:tcW w:w="4406" w:type="dxa"/>
            <w:vMerge w:val="continue"/>
            <w:tcBorders>
              <w:top w:val="single" w:color="000000" w:sz="4" w:space="0"/>
              <w:left w:val="single" w:color="000000" w:sz="4" w:space="0"/>
              <w:bottom w:val="single" w:color="000000" w:sz="4" w:space="0"/>
              <w:right w:val="single" w:color="000000" w:sz="12" w:space="0"/>
            </w:tcBorders>
            <w:vAlign w:val="center"/>
          </w:tcPr>
          <w:p>
            <w:pPr>
              <w:wordWrap/>
              <w:adjustRightInd/>
              <w:snapToGrid/>
              <w:spacing w:before="0" w:after="0" w:line="560" w:lineRule="exact"/>
              <w:ind w:left="0" w:leftChars="0" w:right="0"/>
              <w:jc w:val="both"/>
              <w:outlineLvl w:val="9"/>
              <w:rPr>
                <w:rFonts w:hint="eastAsia" w:ascii="仿宋_GB2312" w:hAnsi="仿宋_GB2312" w:eastAsia="仿宋_GB2312" w:cs="仿宋_GB2312"/>
                <w:i w:val="0"/>
                <w:color w:val="auto"/>
                <w:sz w:val="28"/>
                <w:szCs w:val="28"/>
                <w:u w:val="none"/>
              </w:rPr>
            </w:pPr>
          </w:p>
        </w:tc>
      </w:tr>
      <w:tr>
        <w:trPr>
          <w:trHeight w:val="613" w:hRule="atLeast"/>
        </w:trPr>
        <w:tc>
          <w:tcPr>
            <w:tcW w:w="1332" w:type="dxa"/>
            <w:vMerge w:val="continue"/>
            <w:tcBorders>
              <w:top w:val="single" w:color="000000" w:sz="4" w:space="0"/>
              <w:left w:val="single" w:color="000000" w:sz="12" w:space="0"/>
              <w:bottom w:val="single" w:color="000000" w:sz="4" w:space="0"/>
              <w:right w:val="single" w:color="000000" w:sz="4" w:space="0"/>
            </w:tcBorders>
            <w:vAlign w:val="center"/>
          </w:tcPr>
          <w:p>
            <w:pPr>
              <w:wordWrap/>
              <w:adjustRightInd/>
              <w:snapToGrid/>
              <w:spacing w:before="0" w:after="0" w:line="560" w:lineRule="exact"/>
              <w:ind w:left="0" w:leftChars="0" w:right="0"/>
              <w:jc w:val="center"/>
              <w:outlineLvl w:val="9"/>
              <w:rPr>
                <w:rFonts w:hint="eastAsia" w:ascii="仿宋_GB2312" w:hAnsi="仿宋_GB2312" w:eastAsia="仿宋_GB2312" w:cs="仿宋_GB2312"/>
                <w:i w:val="0"/>
                <w:color w:val="auto"/>
                <w:sz w:val="28"/>
                <w:szCs w:val="28"/>
                <w:u w:val="none"/>
              </w:rPr>
            </w:pPr>
          </w:p>
        </w:tc>
        <w:tc>
          <w:tcPr>
            <w:tcW w:w="1536"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before="0" w:after="0" w:line="560" w:lineRule="exact"/>
              <w:ind w:left="0" w:leftChars="0" w:right="0"/>
              <w:jc w:val="center"/>
              <w:outlineLvl w:val="9"/>
              <w:rPr>
                <w:rFonts w:hint="eastAsia" w:ascii="仿宋_GB2312" w:hAnsi="仿宋_GB2312" w:eastAsia="仿宋_GB2312" w:cs="仿宋_GB2312"/>
                <w:i w:val="0"/>
                <w:color w:val="auto"/>
                <w:sz w:val="28"/>
                <w:szCs w:val="28"/>
                <w:u w:val="none"/>
              </w:rPr>
            </w:pPr>
          </w:p>
        </w:tc>
        <w:tc>
          <w:tcPr>
            <w:tcW w:w="154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after="0" w:line="560" w:lineRule="exact"/>
              <w:ind w:left="0" w:leftChars="0" w:right="0" w:firstLine="0" w:firstLineChars="0"/>
              <w:jc w:val="both"/>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rPr>
              <w:t xml:space="preserve"> 预警处置</w:t>
            </w:r>
          </w:p>
        </w:tc>
        <w:tc>
          <w:tcPr>
            <w:tcW w:w="4406" w:type="dxa"/>
            <w:vMerge w:val="continue"/>
            <w:tcBorders>
              <w:top w:val="single" w:color="000000" w:sz="4" w:space="0"/>
              <w:left w:val="single" w:color="000000" w:sz="4" w:space="0"/>
              <w:bottom w:val="single" w:color="000000" w:sz="4" w:space="0"/>
              <w:right w:val="single" w:color="000000" w:sz="12" w:space="0"/>
            </w:tcBorders>
            <w:vAlign w:val="center"/>
          </w:tcPr>
          <w:p>
            <w:pPr>
              <w:wordWrap/>
              <w:adjustRightInd/>
              <w:snapToGrid/>
              <w:spacing w:before="0" w:after="0" w:line="560" w:lineRule="exact"/>
              <w:ind w:left="0" w:leftChars="0" w:right="0"/>
              <w:jc w:val="both"/>
              <w:outlineLvl w:val="9"/>
              <w:rPr>
                <w:rFonts w:hint="eastAsia" w:ascii="仿宋_GB2312" w:hAnsi="仿宋_GB2312" w:eastAsia="仿宋_GB2312" w:cs="仿宋_GB2312"/>
                <w:i w:val="0"/>
                <w:color w:val="auto"/>
                <w:sz w:val="28"/>
                <w:szCs w:val="28"/>
                <w:u w:val="none"/>
              </w:rPr>
            </w:pPr>
          </w:p>
        </w:tc>
      </w:tr>
      <w:tr>
        <w:trPr>
          <w:trHeight w:val="613" w:hRule="atLeast"/>
        </w:trPr>
        <w:tc>
          <w:tcPr>
            <w:tcW w:w="1332" w:type="dxa"/>
            <w:vMerge w:val="restart"/>
            <w:tcBorders>
              <w:top w:val="single" w:color="000000" w:sz="4" w:space="0"/>
              <w:left w:val="single" w:color="000000" w:sz="12" w:space="0"/>
              <w:bottom w:val="single" w:color="000000" w:sz="4" w:space="0"/>
              <w:right w:val="single" w:color="000000" w:sz="4" w:space="0"/>
            </w:tcBorders>
            <w:vAlign w:val="center"/>
          </w:tcPr>
          <w:p>
            <w:pPr>
              <w:widowControl/>
              <w:wordWrap/>
              <w:adjustRightInd/>
              <w:snapToGrid/>
              <w:spacing w:before="0" w:after="0" w:line="560" w:lineRule="exact"/>
              <w:ind w:left="0" w:leftChars="0" w:right="0" w:firstLine="0" w:firstLineChars="0"/>
              <w:jc w:val="both"/>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rPr>
              <w:t>垃圾分类管理</w:t>
            </w:r>
          </w:p>
        </w:tc>
        <w:tc>
          <w:tcPr>
            <w:tcW w:w="1536"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after="0" w:line="560" w:lineRule="exact"/>
              <w:ind w:left="0" w:leftChars="0" w:right="0" w:firstLine="0" w:firstLineChars="0"/>
              <w:jc w:val="both"/>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rPr>
              <w:t>公共机构垃圾分类管理</w:t>
            </w:r>
          </w:p>
        </w:tc>
        <w:tc>
          <w:tcPr>
            <w:tcW w:w="154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after="0" w:line="560" w:lineRule="exact"/>
              <w:ind w:left="0" w:leftChars="0" w:right="0" w:firstLine="0" w:firstLineChars="0"/>
              <w:jc w:val="both"/>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rPr>
              <w:t xml:space="preserve"> 用户管理</w:t>
            </w:r>
          </w:p>
        </w:tc>
        <w:tc>
          <w:tcPr>
            <w:tcW w:w="4406" w:type="dxa"/>
            <w:tcBorders>
              <w:top w:val="single" w:color="000000" w:sz="4" w:space="0"/>
              <w:left w:val="single" w:color="000000" w:sz="4" w:space="0"/>
              <w:bottom w:val="single" w:color="000000" w:sz="4" w:space="0"/>
              <w:right w:val="single" w:color="000000" w:sz="12" w:space="0"/>
            </w:tcBorders>
            <w:vAlign w:val="center"/>
          </w:tcPr>
          <w:p>
            <w:pPr>
              <w:widowControl/>
              <w:wordWrap/>
              <w:adjustRightInd/>
              <w:snapToGrid/>
              <w:spacing w:before="0" w:after="0" w:line="560" w:lineRule="exact"/>
              <w:ind w:left="0" w:leftChars="0" w:right="0" w:firstLine="0" w:firstLineChars="0"/>
              <w:jc w:val="both"/>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rPr>
              <w:t>用户分为管理管、投放人员和检查人员三类，并生成二维码。</w:t>
            </w:r>
          </w:p>
        </w:tc>
      </w:tr>
      <w:tr>
        <w:trPr>
          <w:trHeight w:val="613" w:hRule="atLeast"/>
        </w:trPr>
        <w:tc>
          <w:tcPr>
            <w:tcW w:w="1332" w:type="dxa"/>
            <w:vMerge w:val="continue"/>
            <w:tcBorders>
              <w:top w:val="single" w:color="000000" w:sz="4" w:space="0"/>
              <w:left w:val="single" w:color="000000" w:sz="12" w:space="0"/>
              <w:bottom w:val="single" w:color="000000" w:sz="4" w:space="0"/>
              <w:right w:val="single" w:color="000000" w:sz="4" w:space="0"/>
            </w:tcBorders>
            <w:vAlign w:val="center"/>
          </w:tcPr>
          <w:p>
            <w:pPr>
              <w:wordWrap/>
              <w:adjustRightInd/>
              <w:snapToGrid/>
              <w:spacing w:before="0" w:after="0" w:line="560" w:lineRule="exact"/>
              <w:ind w:left="0" w:leftChars="0" w:right="0"/>
              <w:jc w:val="center"/>
              <w:outlineLvl w:val="9"/>
              <w:rPr>
                <w:rFonts w:hint="eastAsia" w:ascii="仿宋_GB2312" w:hAnsi="仿宋_GB2312" w:eastAsia="仿宋_GB2312" w:cs="仿宋_GB2312"/>
                <w:i w:val="0"/>
                <w:color w:val="auto"/>
                <w:sz w:val="28"/>
                <w:szCs w:val="28"/>
                <w:u w:val="none"/>
              </w:rPr>
            </w:pPr>
          </w:p>
        </w:tc>
        <w:tc>
          <w:tcPr>
            <w:tcW w:w="1536"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before="0" w:after="0" w:line="560" w:lineRule="exact"/>
              <w:ind w:left="0" w:leftChars="0" w:right="0"/>
              <w:jc w:val="center"/>
              <w:outlineLvl w:val="9"/>
              <w:rPr>
                <w:rFonts w:hint="eastAsia" w:ascii="仿宋_GB2312" w:hAnsi="仿宋_GB2312" w:eastAsia="仿宋_GB2312" w:cs="仿宋_GB2312"/>
                <w:i w:val="0"/>
                <w:color w:val="auto"/>
                <w:sz w:val="28"/>
                <w:szCs w:val="28"/>
                <w:u w:val="none"/>
              </w:rPr>
            </w:pPr>
          </w:p>
        </w:tc>
        <w:tc>
          <w:tcPr>
            <w:tcW w:w="154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after="0" w:line="560" w:lineRule="exact"/>
              <w:ind w:left="0" w:leftChars="0" w:right="0" w:firstLine="0" w:firstLineChars="0"/>
              <w:jc w:val="both"/>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rPr>
              <w:t xml:space="preserve"> 设备管理</w:t>
            </w:r>
          </w:p>
        </w:tc>
        <w:tc>
          <w:tcPr>
            <w:tcW w:w="4406" w:type="dxa"/>
            <w:tcBorders>
              <w:top w:val="single" w:color="000000" w:sz="4" w:space="0"/>
              <w:left w:val="single" w:color="000000" w:sz="4" w:space="0"/>
              <w:bottom w:val="single" w:color="000000" w:sz="4" w:space="0"/>
              <w:right w:val="single" w:color="000000" w:sz="12" w:space="0"/>
            </w:tcBorders>
            <w:vAlign w:val="center"/>
          </w:tcPr>
          <w:p>
            <w:pPr>
              <w:widowControl/>
              <w:wordWrap/>
              <w:adjustRightInd/>
              <w:snapToGrid/>
              <w:spacing w:before="0" w:after="0" w:line="560" w:lineRule="exact"/>
              <w:ind w:left="0" w:leftChars="0" w:right="0"/>
              <w:jc w:val="both"/>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rPr>
              <w:t>将智能垃圾筒通过二维码与投放垃圾的单位绑定</w:t>
            </w:r>
          </w:p>
        </w:tc>
      </w:tr>
      <w:tr>
        <w:trPr>
          <w:trHeight w:val="613" w:hRule="atLeast"/>
        </w:trPr>
        <w:tc>
          <w:tcPr>
            <w:tcW w:w="1332" w:type="dxa"/>
            <w:vMerge w:val="continue"/>
            <w:tcBorders>
              <w:top w:val="single" w:color="000000" w:sz="4" w:space="0"/>
              <w:left w:val="single" w:color="000000" w:sz="12" w:space="0"/>
              <w:bottom w:val="single" w:color="000000" w:sz="4" w:space="0"/>
              <w:right w:val="single" w:color="000000" w:sz="4" w:space="0"/>
            </w:tcBorders>
            <w:vAlign w:val="center"/>
          </w:tcPr>
          <w:p>
            <w:pPr>
              <w:wordWrap/>
              <w:adjustRightInd/>
              <w:snapToGrid/>
              <w:spacing w:before="0" w:after="0" w:line="560" w:lineRule="exact"/>
              <w:ind w:left="0" w:leftChars="0" w:right="0"/>
              <w:jc w:val="center"/>
              <w:outlineLvl w:val="9"/>
              <w:rPr>
                <w:rFonts w:hint="eastAsia" w:ascii="仿宋_GB2312" w:hAnsi="仿宋_GB2312" w:eastAsia="仿宋_GB2312" w:cs="仿宋_GB2312"/>
                <w:i w:val="0"/>
                <w:color w:val="auto"/>
                <w:sz w:val="28"/>
                <w:szCs w:val="28"/>
                <w:u w:val="none"/>
              </w:rPr>
            </w:pPr>
          </w:p>
        </w:tc>
        <w:tc>
          <w:tcPr>
            <w:tcW w:w="1536"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before="0" w:after="0" w:line="560" w:lineRule="exact"/>
              <w:ind w:left="0" w:leftChars="0" w:right="0"/>
              <w:jc w:val="center"/>
              <w:outlineLvl w:val="9"/>
              <w:rPr>
                <w:rFonts w:hint="eastAsia" w:ascii="仿宋_GB2312" w:hAnsi="仿宋_GB2312" w:eastAsia="仿宋_GB2312" w:cs="仿宋_GB2312"/>
                <w:i w:val="0"/>
                <w:color w:val="auto"/>
                <w:sz w:val="28"/>
                <w:szCs w:val="28"/>
                <w:u w:val="none"/>
              </w:rPr>
            </w:pPr>
          </w:p>
        </w:tc>
        <w:tc>
          <w:tcPr>
            <w:tcW w:w="154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after="0" w:line="560" w:lineRule="exact"/>
              <w:ind w:left="0" w:leftChars="0" w:right="0" w:firstLine="0" w:firstLineChars="0"/>
              <w:jc w:val="both"/>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rPr>
              <w:t xml:space="preserve"> 垃圾投放</w:t>
            </w:r>
          </w:p>
        </w:tc>
        <w:tc>
          <w:tcPr>
            <w:tcW w:w="4406" w:type="dxa"/>
            <w:tcBorders>
              <w:top w:val="single" w:color="000000" w:sz="4" w:space="0"/>
              <w:left w:val="single" w:color="000000" w:sz="4" w:space="0"/>
              <w:bottom w:val="single" w:color="000000" w:sz="4" w:space="0"/>
              <w:right w:val="single" w:color="000000" w:sz="12" w:space="0"/>
            </w:tcBorders>
            <w:vAlign w:val="center"/>
          </w:tcPr>
          <w:p>
            <w:pPr>
              <w:widowControl/>
              <w:wordWrap/>
              <w:adjustRightInd/>
              <w:snapToGrid/>
              <w:spacing w:before="0" w:after="0" w:line="560" w:lineRule="exact"/>
              <w:ind w:left="0" w:leftChars="0" w:right="0" w:firstLine="0" w:firstLineChars="0"/>
              <w:jc w:val="left"/>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rPr>
              <w:t>对垃圾投放全过程进行管理。</w:t>
            </w:r>
          </w:p>
        </w:tc>
      </w:tr>
      <w:tr>
        <w:trPr>
          <w:trHeight w:val="613" w:hRule="atLeast"/>
        </w:trPr>
        <w:tc>
          <w:tcPr>
            <w:tcW w:w="1332" w:type="dxa"/>
            <w:vMerge w:val="continue"/>
            <w:tcBorders>
              <w:top w:val="single" w:color="000000" w:sz="4" w:space="0"/>
              <w:left w:val="single" w:color="000000" w:sz="12" w:space="0"/>
              <w:bottom w:val="single" w:color="000000" w:sz="4" w:space="0"/>
              <w:right w:val="single" w:color="000000" w:sz="4" w:space="0"/>
            </w:tcBorders>
            <w:vAlign w:val="center"/>
          </w:tcPr>
          <w:p>
            <w:pPr>
              <w:wordWrap/>
              <w:adjustRightInd/>
              <w:snapToGrid/>
              <w:spacing w:before="0" w:after="0" w:line="560" w:lineRule="exact"/>
              <w:ind w:left="0" w:leftChars="0" w:right="0"/>
              <w:jc w:val="center"/>
              <w:outlineLvl w:val="9"/>
              <w:rPr>
                <w:rFonts w:hint="eastAsia" w:ascii="仿宋_GB2312" w:hAnsi="仿宋_GB2312" w:eastAsia="仿宋_GB2312" w:cs="仿宋_GB2312"/>
                <w:i w:val="0"/>
                <w:color w:val="auto"/>
                <w:sz w:val="28"/>
                <w:szCs w:val="28"/>
                <w:u w:val="none"/>
              </w:rPr>
            </w:pPr>
          </w:p>
        </w:tc>
        <w:tc>
          <w:tcPr>
            <w:tcW w:w="1536"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before="0" w:after="0" w:line="560" w:lineRule="exact"/>
              <w:ind w:left="0" w:leftChars="0" w:right="0"/>
              <w:jc w:val="center"/>
              <w:outlineLvl w:val="9"/>
              <w:rPr>
                <w:rFonts w:hint="eastAsia" w:ascii="仿宋_GB2312" w:hAnsi="仿宋_GB2312" w:eastAsia="仿宋_GB2312" w:cs="仿宋_GB2312"/>
                <w:i w:val="0"/>
                <w:color w:val="auto"/>
                <w:sz w:val="28"/>
                <w:szCs w:val="28"/>
                <w:u w:val="none"/>
              </w:rPr>
            </w:pPr>
          </w:p>
        </w:tc>
        <w:tc>
          <w:tcPr>
            <w:tcW w:w="154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after="0" w:line="560" w:lineRule="exact"/>
              <w:ind w:left="0" w:leftChars="0" w:right="0" w:firstLine="0" w:firstLineChars="0"/>
              <w:jc w:val="both"/>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rPr>
              <w:t xml:space="preserve"> 垃圾检查</w:t>
            </w:r>
          </w:p>
        </w:tc>
        <w:tc>
          <w:tcPr>
            <w:tcW w:w="4406" w:type="dxa"/>
            <w:tcBorders>
              <w:top w:val="single" w:color="000000" w:sz="4" w:space="0"/>
              <w:left w:val="single" w:color="000000" w:sz="4" w:space="0"/>
              <w:bottom w:val="single" w:color="000000" w:sz="4" w:space="0"/>
              <w:right w:val="single" w:color="000000" w:sz="12" w:space="0"/>
            </w:tcBorders>
            <w:vAlign w:val="center"/>
          </w:tcPr>
          <w:p>
            <w:pPr>
              <w:widowControl/>
              <w:wordWrap/>
              <w:adjustRightInd/>
              <w:snapToGrid/>
              <w:spacing w:before="0" w:after="0" w:line="560" w:lineRule="exact"/>
              <w:ind w:left="0" w:leftChars="0" w:right="0" w:firstLine="0" w:firstLineChars="0"/>
              <w:jc w:val="both"/>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rPr>
              <w:t>管理人员或检查人员对下属单位垃圾投放情况进行检查。</w:t>
            </w:r>
          </w:p>
        </w:tc>
      </w:tr>
      <w:tr>
        <w:trPr>
          <w:trHeight w:val="613" w:hRule="atLeast"/>
        </w:trPr>
        <w:tc>
          <w:tcPr>
            <w:tcW w:w="1332" w:type="dxa"/>
            <w:vMerge w:val="continue"/>
            <w:tcBorders>
              <w:top w:val="single" w:color="000000" w:sz="4" w:space="0"/>
              <w:left w:val="single" w:color="000000" w:sz="12" w:space="0"/>
              <w:bottom w:val="single" w:color="000000" w:sz="4" w:space="0"/>
              <w:right w:val="single" w:color="000000" w:sz="4" w:space="0"/>
            </w:tcBorders>
            <w:vAlign w:val="center"/>
          </w:tcPr>
          <w:p>
            <w:pPr>
              <w:wordWrap/>
              <w:adjustRightInd/>
              <w:snapToGrid/>
              <w:spacing w:before="0" w:after="0" w:line="560" w:lineRule="exact"/>
              <w:ind w:left="0" w:leftChars="0" w:right="0"/>
              <w:jc w:val="center"/>
              <w:outlineLvl w:val="9"/>
              <w:rPr>
                <w:rFonts w:hint="eastAsia" w:ascii="仿宋_GB2312" w:hAnsi="仿宋_GB2312" w:eastAsia="仿宋_GB2312" w:cs="仿宋_GB2312"/>
                <w:i w:val="0"/>
                <w:color w:val="auto"/>
                <w:sz w:val="28"/>
                <w:szCs w:val="28"/>
                <w:u w:val="none"/>
              </w:rPr>
            </w:pPr>
          </w:p>
        </w:tc>
        <w:tc>
          <w:tcPr>
            <w:tcW w:w="1536"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before="0" w:after="0" w:line="560" w:lineRule="exact"/>
              <w:ind w:left="0" w:leftChars="0" w:right="0"/>
              <w:jc w:val="center"/>
              <w:outlineLvl w:val="9"/>
              <w:rPr>
                <w:rFonts w:hint="eastAsia" w:ascii="仿宋_GB2312" w:hAnsi="仿宋_GB2312" w:eastAsia="仿宋_GB2312" w:cs="仿宋_GB2312"/>
                <w:i w:val="0"/>
                <w:color w:val="auto"/>
                <w:sz w:val="28"/>
                <w:szCs w:val="28"/>
                <w:u w:val="none"/>
              </w:rPr>
            </w:pPr>
          </w:p>
        </w:tc>
        <w:tc>
          <w:tcPr>
            <w:tcW w:w="154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after="0" w:line="560" w:lineRule="exact"/>
              <w:ind w:left="0" w:leftChars="0" w:right="0" w:firstLine="0" w:firstLineChars="0"/>
              <w:jc w:val="both"/>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rPr>
              <w:t xml:space="preserve"> 数据统计</w:t>
            </w:r>
          </w:p>
        </w:tc>
        <w:tc>
          <w:tcPr>
            <w:tcW w:w="4406" w:type="dxa"/>
            <w:tcBorders>
              <w:top w:val="single" w:color="000000" w:sz="4" w:space="0"/>
              <w:left w:val="single" w:color="000000" w:sz="4" w:space="0"/>
              <w:bottom w:val="single" w:color="000000" w:sz="4" w:space="0"/>
              <w:right w:val="single" w:color="000000" w:sz="12" w:space="0"/>
            </w:tcBorders>
            <w:vAlign w:val="center"/>
          </w:tcPr>
          <w:p>
            <w:pPr>
              <w:widowControl/>
              <w:wordWrap/>
              <w:adjustRightInd/>
              <w:snapToGrid/>
              <w:spacing w:before="0" w:after="0" w:line="560" w:lineRule="exact"/>
              <w:ind w:left="0" w:leftChars="0" w:right="0" w:firstLine="0" w:firstLineChars="0"/>
              <w:jc w:val="both"/>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rPr>
              <w:t>可分单位、分部门、分种类对垃圾投放情况进行统计。</w:t>
            </w:r>
          </w:p>
        </w:tc>
      </w:tr>
      <w:tr>
        <w:trPr>
          <w:trHeight w:val="1200" w:hRule="atLeast"/>
        </w:trPr>
        <w:tc>
          <w:tcPr>
            <w:tcW w:w="1332" w:type="dxa"/>
            <w:vMerge w:val="continue"/>
            <w:tcBorders>
              <w:top w:val="single" w:color="000000" w:sz="4" w:space="0"/>
              <w:left w:val="single" w:color="000000" w:sz="12" w:space="0"/>
              <w:bottom w:val="single" w:color="000000" w:sz="4" w:space="0"/>
              <w:right w:val="single" w:color="000000" w:sz="4" w:space="0"/>
            </w:tcBorders>
            <w:vAlign w:val="center"/>
          </w:tcPr>
          <w:p>
            <w:pPr>
              <w:wordWrap/>
              <w:adjustRightInd/>
              <w:snapToGrid/>
              <w:spacing w:before="0" w:after="0" w:line="560" w:lineRule="exact"/>
              <w:ind w:left="0" w:leftChars="0" w:right="0"/>
              <w:jc w:val="center"/>
              <w:outlineLvl w:val="9"/>
              <w:rPr>
                <w:rFonts w:hint="eastAsia" w:ascii="仿宋_GB2312" w:hAnsi="仿宋_GB2312" w:eastAsia="仿宋_GB2312" w:cs="仿宋_GB2312"/>
                <w:i w:val="0"/>
                <w:color w:val="auto"/>
                <w:sz w:val="28"/>
                <w:szCs w:val="28"/>
                <w:u w:val="none"/>
              </w:rPr>
            </w:pPr>
          </w:p>
        </w:tc>
        <w:tc>
          <w:tcPr>
            <w:tcW w:w="3083"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after="0" w:line="560" w:lineRule="exact"/>
              <w:ind w:left="0" w:leftChars="0" w:right="0"/>
              <w:jc w:val="center"/>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rPr>
              <w:t>垃圾分类数据填报</w:t>
            </w:r>
          </w:p>
        </w:tc>
        <w:tc>
          <w:tcPr>
            <w:tcW w:w="4406" w:type="dxa"/>
            <w:tcBorders>
              <w:top w:val="single" w:color="000000" w:sz="4" w:space="0"/>
              <w:left w:val="single" w:color="000000" w:sz="4" w:space="0"/>
              <w:bottom w:val="single" w:color="000000" w:sz="4" w:space="0"/>
              <w:right w:val="single" w:color="000000" w:sz="12" w:space="0"/>
            </w:tcBorders>
            <w:vAlign w:val="center"/>
          </w:tcPr>
          <w:p>
            <w:pPr>
              <w:widowControl/>
              <w:wordWrap/>
              <w:adjustRightInd/>
              <w:snapToGrid/>
              <w:spacing w:before="0" w:after="0" w:line="560" w:lineRule="exact"/>
              <w:ind w:left="0" w:leftChars="0" w:right="0" w:firstLine="0" w:firstLineChars="0"/>
              <w:jc w:val="left"/>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rPr>
              <w:t>此功能是机构用户使用，数据为机构用户已经填报的数据，展示的数据信息包括：机构名称、厨余垃圾、可回收垃圾、有害垃圾、未分类垃圾、其他垃圾、年份、季度、状态等。</w:t>
            </w:r>
          </w:p>
        </w:tc>
      </w:tr>
      <w:tr>
        <w:trPr>
          <w:trHeight w:val="1753" w:hRule="atLeast"/>
        </w:trPr>
        <w:tc>
          <w:tcPr>
            <w:tcW w:w="1332" w:type="dxa"/>
            <w:vMerge w:val="continue"/>
            <w:tcBorders>
              <w:top w:val="single" w:color="000000" w:sz="4" w:space="0"/>
              <w:left w:val="single" w:color="000000" w:sz="12" w:space="0"/>
              <w:bottom w:val="single" w:color="000000" w:sz="4" w:space="0"/>
              <w:right w:val="single" w:color="000000" w:sz="4" w:space="0"/>
            </w:tcBorders>
            <w:vAlign w:val="center"/>
          </w:tcPr>
          <w:p>
            <w:pPr>
              <w:wordWrap/>
              <w:adjustRightInd/>
              <w:snapToGrid/>
              <w:spacing w:before="0" w:after="0" w:line="560" w:lineRule="exact"/>
              <w:ind w:left="0" w:leftChars="0" w:right="0"/>
              <w:jc w:val="center"/>
              <w:outlineLvl w:val="9"/>
              <w:rPr>
                <w:rFonts w:hint="eastAsia" w:ascii="仿宋_GB2312" w:hAnsi="仿宋_GB2312" w:eastAsia="仿宋_GB2312" w:cs="仿宋_GB2312"/>
                <w:i w:val="0"/>
                <w:color w:val="auto"/>
                <w:sz w:val="28"/>
                <w:szCs w:val="28"/>
                <w:u w:val="none"/>
              </w:rPr>
            </w:pPr>
          </w:p>
        </w:tc>
        <w:tc>
          <w:tcPr>
            <w:tcW w:w="3083"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after="0" w:line="560" w:lineRule="exact"/>
              <w:ind w:left="0" w:leftChars="0" w:right="0"/>
              <w:jc w:val="center"/>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rPr>
              <w:t>垃圾分类统计</w:t>
            </w:r>
          </w:p>
        </w:tc>
        <w:tc>
          <w:tcPr>
            <w:tcW w:w="4406" w:type="dxa"/>
            <w:tcBorders>
              <w:top w:val="single" w:color="000000" w:sz="4" w:space="0"/>
              <w:left w:val="single" w:color="000000" w:sz="4" w:space="0"/>
              <w:bottom w:val="single" w:color="000000" w:sz="4" w:space="0"/>
              <w:right w:val="single" w:color="000000" w:sz="12" w:space="0"/>
            </w:tcBorders>
            <w:vAlign w:val="center"/>
          </w:tcPr>
          <w:p>
            <w:pPr>
              <w:widowControl/>
              <w:wordWrap/>
              <w:adjustRightInd/>
              <w:snapToGrid/>
              <w:spacing w:before="0" w:after="0" w:line="560" w:lineRule="exact"/>
              <w:ind w:left="0" w:leftChars="0" w:right="0" w:firstLine="0" w:firstLineChars="0"/>
              <w:jc w:val="left"/>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rPr>
              <w:t>此功能是各地州市机关事务管理局与自治区机关事务管理局的角色使用，页面展示的是管局所下属的所有机构上报的垃圾分类数据，区管局展示自治区直属机构的数据，展示的信息包括：机构名称、厨余垃圾、可回收垃圾、有害垃圾、未分类垃圾、其他垃圾、年份、季度、状态、操作栏等。</w:t>
            </w:r>
          </w:p>
        </w:tc>
      </w:tr>
      <w:tr>
        <w:trPr>
          <w:trHeight w:val="840" w:hRule="atLeast"/>
        </w:trPr>
        <w:tc>
          <w:tcPr>
            <w:tcW w:w="1332" w:type="dxa"/>
            <w:vMerge w:val="continue"/>
            <w:tcBorders>
              <w:top w:val="single" w:color="000000" w:sz="4" w:space="0"/>
              <w:left w:val="single" w:color="000000" w:sz="12" w:space="0"/>
              <w:bottom w:val="single" w:color="000000" w:sz="4" w:space="0"/>
              <w:right w:val="single" w:color="000000" w:sz="4" w:space="0"/>
            </w:tcBorders>
            <w:vAlign w:val="center"/>
          </w:tcPr>
          <w:p>
            <w:pPr>
              <w:wordWrap/>
              <w:adjustRightInd/>
              <w:snapToGrid/>
              <w:spacing w:before="0" w:after="0" w:line="560" w:lineRule="exact"/>
              <w:ind w:left="0" w:leftChars="0" w:right="0"/>
              <w:jc w:val="center"/>
              <w:outlineLvl w:val="9"/>
              <w:rPr>
                <w:rFonts w:hint="eastAsia" w:ascii="仿宋_GB2312" w:hAnsi="仿宋_GB2312" w:eastAsia="仿宋_GB2312" w:cs="仿宋_GB2312"/>
                <w:i w:val="0"/>
                <w:color w:val="auto"/>
                <w:sz w:val="28"/>
                <w:szCs w:val="28"/>
                <w:u w:val="none"/>
              </w:rPr>
            </w:pPr>
          </w:p>
        </w:tc>
        <w:tc>
          <w:tcPr>
            <w:tcW w:w="3083"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after="0" w:line="560" w:lineRule="exact"/>
              <w:ind w:left="0" w:leftChars="0" w:right="0"/>
              <w:jc w:val="center"/>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rPr>
              <w:t>垃圾分类志愿者填报</w:t>
            </w:r>
          </w:p>
        </w:tc>
        <w:tc>
          <w:tcPr>
            <w:tcW w:w="4406" w:type="dxa"/>
            <w:tcBorders>
              <w:top w:val="single" w:color="000000" w:sz="4" w:space="0"/>
              <w:left w:val="single" w:color="000000" w:sz="4" w:space="0"/>
              <w:bottom w:val="single" w:color="000000" w:sz="4" w:space="0"/>
              <w:right w:val="single" w:color="000000" w:sz="12" w:space="0"/>
            </w:tcBorders>
            <w:vAlign w:val="center"/>
          </w:tcPr>
          <w:p>
            <w:pPr>
              <w:widowControl/>
              <w:wordWrap/>
              <w:adjustRightInd/>
              <w:snapToGrid/>
              <w:spacing w:before="0" w:after="0" w:line="560" w:lineRule="exact"/>
              <w:ind w:left="0" w:leftChars="0" w:right="0" w:firstLine="0" w:firstLineChars="0"/>
              <w:jc w:val="left"/>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rPr>
              <w:t>志愿者数据填报，展示的信息包括：ID、年份、机构名称、填报者、志愿者总数、创建时间。</w:t>
            </w:r>
          </w:p>
        </w:tc>
      </w:tr>
      <w:tr>
        <w:trPr>
          <w:trHeight w:val="840" w:hRule="atLeast"/>
        </w:trPr>
        <w:tc>
          <w:tcPr>
            <w:tcW w:w="1332" w:type="dxa"/>
            <w:vMerge w:val="continue"/>
            <w:tcBorders>
              <w:top w:val="single" w:color="000000" w:sz="4" w:space="0"/>
              <w:left w:val="single" w:color="000000" w:sz="12" w:space="0"/>
              <w:bottom w:val="single" w:color="000000" w:sz="4" w:space="0"/>
              <w:right w:val="single" w:color="000000" w:sz="4" w:space="0"/>
            </w:tcBorders>
            <w:vAlign w:val="center"/>
          </w:tcPr>
          <w:p>
            <w:pPr>
              <w:wordWrap/>
              <w:adjustRightInd/>
              <w:snapToGrid/>
              <w:spacing w:before="0" w:after="0" w:line="560" w:lineRule="exact"/>
              <w:ind w:left="0" w:leftChars="0" w:right="0"/>
              <w:jc w:val="center"/>
              <w:outlineLvl w:val="9"/>
              <w:rPr>
                <w:rFonts w:hint="eastAsia" w:ascii="仿宋_GB2312" w:hAnsi="仿宋_GB2312" w:eastAsia="仿宋_GB2312" w:cs="仿宋_GB2312"/>
                <w:i w:val="0"/>
                <w:color w:val="auto"/>
                <w:sz w:val="28"/>
                <w:szCs w:val="28"/>
                <w:u w:val="none"/>
              </w:rPr>
            </w:pPr>
          </w:p>
        </w:tc>
        <w:tc>
          <w:tcPr>
            <w:tcW w:w="3083"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after="0" w:line="560" w:lineRule="exact"/>
              <w:ind w:left="0" w:leftChars="0" w:right="0"/>
              <w:jc w:val="center"/>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rPr>
              <w:t>垃圾分类志愿者管理</w:t>
            </w:r>
          </w:p>
        </w:tc>
        <w:tc>
          <w:tcPr>
            <w:tcW w:w="4406" w:type="dxa"/>
            <w:tcBorders>
              <w:top w:val="single" w:color="000000" w:sz="4" w:space="0"/>
              <w:left w:val="single" w:color="000000" w:sz="4" w:space="0"/>
              <w:bottom w:val="single" w:color="000000" w:sz="4" w:space="0"/>
              <w:right w:val="single" w:color="000000" w:sz="12" w:space="0"/>
            </w:tcBorders>
            <w:vAlign w:val="center"/>
          </w:tcPr>
          <w:p>
            <w:pPr>
              <w:widowControl/>
              <w:wordWrap/>
              <w:adjustRightInd/>
              <w:snapToGrid/>
              <w:spacing w:before="0" w:after="0" w:line="560" w:lineRule="exact"/>
              <w:ind w:left="0" w:leftChars="0" w:right="0" w:firstLine="0" w:firstLineChars="0"/>
              <w:jc w:val="left"/>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rPr>
              <w:t>所管辖的下属机构所推荐的志愿者清单，包括：ID、机构名称、年份、人数，联系人、手机号码、创建时间。</w:t>
            </w:r>
          </w:p>
        </w:tc>
      </w:tr>
      <w:tr>
        <w:trPr>
          <w:trHeight w:val="613" w:hRule="atLeast"/>
        </w:trPr>
        <w:tc>
          <w:tcPr>
            <w:tcW w:w="1332" w:type="dxa"/>
            <w:vMerge w:val="restart"/>
            <w:tcBorders>
              <w:top w:val="single" w:color="000000" w:sz="4" w:space="0"/>
              <w:left w:val="single" w:color="000000" w:sz="12" w:space="0"/>
              <w:bottom w:val="single" w:color="000000" w:sz="4" w:space="0"/>
              <w:right w:val="single" w:color="000000" w:sz="4" w:space="0"/>
            </w:tcBorders>
            <w:vAlign w:val="center"/>
          </w:tcPr>
          <w:p>
            <w:pPr>
              <w:widowControl/>
              <w:wordWrap/>
              <w:adjustRightInd/>
              <w:snapToGrid/>
              <w:spacing w:before="0" w:after="0" w:line="560" w:lineRule="exact"/>
              <w:ind w:left="0" w:leftChars="0" w:right="0" w:firstLine="0" w:firstLineChars="0"/>
              <w:jc w:val="both"/>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rPr>
              <w:t>项目管理</w:t>
            </w:r>
          </w:p>
        </w:tc>
        <w:tc>
          <w:tcPr>
            <w:tcW w:w="1536"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after="0" w:line="560" w:lineRule="exact"/>
              <w:ind w:left="0" w:leftChars="0" w:right="0" w:firstLine="0" w:firstLineChars="0"/>
              <w:jc w:val="both"/>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rPr>
              <w:t>合同能源管理</w:t>
            </w:r>
          </w:p>
        </w:tc>
        <w:tc>
          <w:tcPr>
            <w:tcW w:w="154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after="0" w:line="560" w:lineRule="exact"/>
              <w:ind w:left="0" w:leftChars="0" w:right="0" w:firstLine="0" w:firstLineChars="0"/>
              <w:jc w:val="both"/>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rPr>
              <w:t>光伏/光热项目</w:t>
            </w:r>
          </w:p>
        </w:tc>
        <w:tc>
          <w:tcPr>
            <w:tcW w:w="4406" w:type="dxa"/>
            <w:tcBorders>
              <w:top w:val="single" w:color="000000" w:sz="4" w:space="0"/>
              <w:left w:val="single" w:color="000000" w:sz="4" w:space="0"/>
              <w:bottom w:val="single" w:color="000000" w:sz="4" w:space="0"/>
              <w:right w:val="single" w:color="000000" w:sz="12" w:space="0"/>
            </w:tcBorders>
            <w:vAlign w:val="center"/>
          </w:tcPr>
          <w:p>
            <w:pPr>
              <w:widowControl/>
              <w:wordWrap/>
              <w:adjustRightInd/>
              <w:snapToGrid/>
              <w:spacing w:before="0" w:after="0" w:line="560" w:lineRule="exact"/>
              <w:ind w:left="0" w:leftChars="0" w:right="0" w:firstLine="0" w:firstLineChars="0"/>
              <w:jc w:val="left"/>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rPr>
              <w:t>按照范本进行申报，申报后需要进行审核，审核通过后由专家评审。</w:t>
            </w:r>
          </w:p>
        </w:tc>
      </w:tr>
      <w:tr>
        <w:trPr>
          <w:trHeight w:val="613" w:hRule="atLeast"/>
        </w:trPr>
        <w:tc>
          <w:tcPr>
            <w:tcW w:w="1332" w:type="dxa"/>
            <w:vMerge w:val="continue"/>
            <w:tcBorders>
              <w:top w:val="single" w:color="000000" w:sz="4" w:space="0"/>
              <w:left w:val="single" w:color="000000" w:sz="12" w:space="0"/>
              <w:bottom w:val="single" w:color="000000" w:sz="4" w:space="0"/>
              <w:right w:val="single" w:color="000000" w:sz="4" w:space="0"/>
            </w:tcBorders>
            <w:vAlign w:val="center"/>
          </w:tcPr>
          <w:p>
            <w:pPr>
              <w:wordWrap/>
              <w:adjustRightInd/>
              <w:snapToGrid/>
              <w:spacing w:before="0" w:after="0" w:line="560" w:lineRule="exact"/>
              <w:ind w:left="0" w:leftChars="0" w:right="0"/>
              <w:jc w:val="center"/>
              <w:outlineLvl w:val="9"/>
              <w:rPr>
                <w:rFonts w:hint="eastAsia" w:ascii="仿宋_GB2312" w:hAnsi="仿宋_GB2312" w:eastAsia="仿宋_GB2312" w:cs="仿宋_GB2312"/>
                <w:i w:val="0"/>
                <w:color w:val="auto"/>
                <w:sz w:val="28"/>
                <w:szCs w:val="28"/>
                <w:u w:val="none"/>
              </w:rPr>
            </w:pPr>
          </w:p>
        </w:tc>
        <w:tc>
          <w:tcPr>
            <w:tcW w:w="1536"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before="0" w:after="0" w:line="560" w:lineRule="exact"/>
              <w:ind w:left="0" w:leftChars="0" w:right="0"/>
              <w:jc w:val="center"/>
              <w:outlineLvl w:val="9"/>
              <w:rPr>
                <w:rFonts w:hint="eastAsia" w:ascii="仿宋_GB2312" w:hAnsi="仿宋_GB2312" w:eastAsia="仿宋_GB2312" w:cs="仿宋_GB2312"/>
                <w:i w:val="0"/>
                <w:color w:val="auto"/>
                <w:sz w:val="28"/>
                <w:szCs w:val="28"/>
                <w:u w:val="none"/>
              </w:rPr>
            </w:pPr>
          </w:p>
        </w:tc>
        <w:tc>
          <w:tcPr>
            <w:tcW w:w="154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after="0" w:line="560" w:lineRule="exact"/>
              <w:ind w:left="0" w:leftChars="0" w:right="0" w:firstLine="0" w:firstLineChars="0"/>
              <w:jc w:val="both"/>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rPr>
              <w:t>地源/空气源热泵项目</w:t>
            </w:r>
          </w:p>
        </w:tc>
        <w:tc>
          <w:tcPr>
            <w:tcW w:w="4406" w:type="dxa"/>
            <w:tcBorders>
              <w:top w:val="single" w:color="000000" w:sz="4" w:space="0"/>
              <w:left w:val="single" w:color="000000" w:sz="4" w:space="0"/>
              <w:bottom w:val="single" w:color="000000" w:sz="4" w:space="0"/>
              <w:right w:val="single" w:color="000000" w:sz="12" w:space="0"/>
            </w:tcBorders>
            <w:vAlign w:val="center"/>
          </w:tcPr>
          <w:p>
            <w:pPr>
              <w:widowControl/>
              <w:wordWrap/>
              <w:adjustRightInd/>
              <w:snapToGrid/>
              <w:spacing w:before="0" w:after="0" w:line="560" w:lineRule="exact"/>
              <w:ind w:left="0" w:leftChars="0" w:right="0" w:firstLine="0" w:firstLineChars="0"/>
              <w:jc w:val="left"/>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rPr>
              <w:t>按照范本进行申报，申报后需要进行审核，审核通过后由专家评审。</w:t>
            </w:r>
          </w:p>
        </w:tc>
      </w:tr>
      <w:tr>
        <w:trPr>
          <w:trHeight w:val="912" w:hRule="atLeast"/>
        </w:trPr>
        <w:tc>
          <w:tcPr>
            <w:tcW w:w="1332" w:type="dxa"/>
            <w:vMerge w:val="continue"/>
            <w:tcBorders>
              <w:top w:val="single" w:color="000000" w:sz="4" w:space="0"/>
              <w:left w:val="single" w:color="000000" w:sz="12" w:space="0"/>
              <w:bottom w:val="single" w:color="000000" w:sz="4" w:space="0"/>
              <w:right w:val="single" w:color="000000" w:sz="4" w:space="0"/>
            </w:tcBorders>
            <w:vAlign w:val="center"/>
          </w:tcPr>
          <w:p>
            <w:pPr>
              <w:wordWrap/>
              <w:adjustRightInd/>
              <w:snapToGrid/>
              <w:spacing w:before="0" w:after="0" w:line="560" w:lineRule="exact"/>
              <w:ind w:left="0" w:leftChars="0" w:right="0"/>
              <w:jc w:val="center"/>
              <w:outlineLvl w:val="9"/>
              <w:rPr>
                <w:rFonts w:hint="eastAsia" w:ascii="仿宋_GB2312" w:hAnsi="仿宋_GB2312" w:eastAsia="仿宋_GB2312" w:cs="仿宋_GB2312"/>
                <w:i w:val="0"/>
                <w:color w:val="auto"/>
                <w:sz w:val="28"/>
                <w:szCs w:val="28"/>
                <w:u w:val="none"/>
              </w:rPr>
            </w:pPr>
          </w:p>
        </w:tc>
        <w:tc>
          <w:tcPr>
            <w:tcW w:w="3083"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after="0" w:line="560" w:lineRule="exact"/>
              <w:ind w:left="0" w:leftChars="0" w:right="0"/>
              <w:jc w:val="center"/>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rPr>
              <w:t>新能源汽车</w:t>
            </w:r>
          </w:p>
        </w:tc>
        <w:tc>
          <w:tcPr>
            <w:tcW w:w="4406" w:type="dxa"/>
            <w:tcBorders>
              <w:top w:val="single" w:color="000000" w:sz="4" w:space="0"/>
              <w:left w:val="single" w:color="000000" w:sz="4" w:space="0"/>
              <w:bottom w:val="single" w:color="000000" w:sz="4" w:space="0"/>
              <w:right w:val="single" w:color="000000" w:sz="12" w:space="0"/>
            </w:tcBorders>
            <w:vAlign w:val="center"/>
          </w:tcPr>
          <w:p>
            <w:pPr>
              <w:widowControl/>
              <w:wordWrap/>
              <w:adjustRightInd/>
              <w:snapToGrid/>
              <w:spacing w:before="0" w:after="0" w:line="560" w:lineRule="exact"/>
              <w:ind w:left="0" w:leftChars="0" w:right="0" w:firstLine="0" w:firstLineChars="0"/>
              <w:jc w:val="left"/>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rPr>
              <w:t>流程与合同能源管理一致，申报填写的内容按照新能源汽车进行填写，需对接公共机构的新能源汽车充电数据相关信息。</w:t>
            </w:r>
          </w:p>
        </w:tc>
      </w:tr>
      <w:tr>
        <w:trPr>
          <w:trHeight w:val="1033" w:hRule="atLeast"/>
        </w:trPr>
        <w:tc>
          <w:tcPr>
            <w:tcW w:w="1332" w:type="dxa"/>
            <w:vMerge w:val="continue"/>
            <w:tcBorders>
              <w:top w:val="single" w:color="000000" w:sz="4" w:space="0"/>
              <w:left w:val="single" w:color="000000" w:sz="12" w:space="0"/>
              <w:bottom w:val="single" w:color="000000" w:sz="4" w:space="0"/>
              <w:right w:val="single" w:color="000000" w:sz="4" w:space="0"/>
            </w:tcBorders>
            <w:vAlign w:val="center"/>
          </w:tcPr>
          <w:p>
            <w:pPr>
              <w:wordWrap/>
              <w:adjustRightInd/>
              <w:snapToGrid/>
              <w:spacing w:before="0" w:after="0" w:line="560" w:lineRule="exact"/>
              <w:ind w:left="0" w:leftChars="0" w:right="0"/>
              <w:jc w:val="center"/>
              <w:outlineLvl w:val="9"/>
              <w:rPr>
                <w:rFonts w:hint="eastAsia" w:ascii="仿宋_GB2312" w:hAnsi="仿宋_GB2312" w:eastAsia="仿宋_GB2312" w:cs="仿宋_GB2312"/>
                <w:i w:val="0"/>
                <w:color w:val="auto"/>
                <w:sz w:val="28"/>
                <w:szCs w:val="28"/>
                <w:u w:val="none"/>
              </w:rPr>
            </w:pPr>
          </w:p>
        </w:tc>
        <w:tc>
          <w:tcPr>
            <w:tcW w:w="3083"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after="0" w:line="560" w:lineRule="exact"/>
              <w:ind w:left="0" w:leftChars="0" w:right="0"/>
              <w:jc w:val="center"/>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rPr>
              <w:t>充电设备</w:t>
            </w:r>
          </w:p>
        </w:tc>
        <w:tc>
          <w:tcPr>
            <w:tcW w:w="4406" w:type="dxa"/>
            <w:tcBorders>
              <w:top w:val="single" w:color="000000" w:sz="4" w:space="0"/>
              <w:left w:val="single" w:color="000000" w:sz="4" w:space="0"/>
              <w:bottom w:val="single" w:color="000000" w:sz="4" w:space="0"/>
              <w:right w:val="single" w:color="000000" w:sz="12" w:space="0"/>
            </w:tcBorders>
            <w:vAlign w:val="center"/>
          </w:tcPr>
          <w:p>
            <w:pPr>
              <w:widowControl/>
              <w:wordWrap/>
              <w:adjustRightInd/>
              <w:snapToGrid/>
              <w:spacing w:before="0" w:after="0" w:line="560" w:lineRule="exact"/>
              <w:ind w:left="0" w:leftChars="0" w:right="0" w:firstLine="0" w:firstLineChars="0"/>
              <w:jc w:val="left"/>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rPr>
              <w:t>流程与合同能源管理一致，申报填写的内容按照充电设备进行填写，需对接公共机构的新能源汽车充电数据相关信息。</w:t>
            </w:r>
          </w:p>
        </w:tc>
      </w:tr>
      <w:tr>
        <w:trPr>
          <w:trHeight w:val="613" w:hRule="atLeast"/>
        </w:trPr>
        <w:tc>
          <w:tcPr>
            <w:tcW w:w="1332" w:type="dxa"/>
            <w:vMerge w:val="continue"/>
            <w:tcBorders>
              <w:top w:val="single" w:color="000000" w:sz="4" w:space="0"/>
              <w:left w:val="single" w:color="000000" w:sz="12" w:space="0"/>
              <w:bottom w:val="single" w:color="000000" w:sz="4" w:space="0"/>
              <w:right w:val="single" w:color="000000" w:sz="4" w:space="0"/>
            </w:tcBorders>
            <w:vAlign w:val="center"/>
          </w:tcPr>
          <w:p>
            <w:pPr>
              <w:wordWrap/>
              <w:adjustRightInd/>
              <w:snapToGrid/>
              <w:spacing w:before="0" w:after="0" w:line="560" w:lineRule="exact"/>
              <w:ind w:left="0" w:leftChars="0" w:right="0"/>
              <w:jc w:val="center"/>
              <w:outlineLvl w:val="9"/>
              <w:rPr>
                <w:rFonts w:hint="eastAsia" w:ascii="仿宋_GB2312" w:hAnsi="仿宋_GB2312" w:eastAsia="仿宋_GB2312" w:cs="仿宋_GB2312"/>
                <w:i w:val="0"/>
                <w:color w:val="auto"/>
                <w:sz w:val="28"/>
                <w:szCs w:val="28"/>
                <w:u w:val="none"/>
              </w:rPr>
            </w:pPr>
          </w:p>
        </w:tc>
        <w:tc>
          <w:tcPr>
            <w:tcW w:w="3083"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after="0" w:line="560" w:lineRule="exact"/>
              <w:ind w:left="0" w:leftChars="0" w:right="0"/>
              <w:jc w:val="center"/>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rPr>
              <w:t>绿色建筑</w:t>
            </w:r>
          </w:p>
        </w:tc>
        <w:tc>
          <w:tcPr>
            <w:tcW w:w="4406" w:type="dxa"/>
            <w:tcBorders>
              <w:top w:val="single" w:color="000000" w:sz="4" w:space="0"/>
              <w:left w:val="single" w:color="000000" w:sz="4" w:space="0"/>
              <w:bottom w:val="single" w:color="000000" w:sz="4" w:space="0"/>
              <w:right w:val="single" w:color="000000" w:sz="12" w:space="0"/>
            </w:tcBorders>
            <w:vAlign w:val="center"/>
          </w:tcPr>
          <w:p>
            <w:pPr>
              <w:widowControl/>
              <w:wordWrap/>
              <w:adjustRightInd/>
              <w:snapToGrid/>
              <w:spacing w:before="0" w:after="0" w:line="560" w:lineRule="exact"/>
              <w:ind w:left="0" w:leftChars="0" w:right="0" w:firstLine="0" w:firstLineChars="0"/>
              <w:jc w:val="left"/>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rPr>
              <w:t>流程与合同能源管理一致，申报填写的内容按照绿色建筑进行填写。</w:t>
            </w:r>
          </w:p>
        </w:tc>
      </w:tr>
      <w:tr>
        <w:trPr>
          <w:trHeight w:val="613" w:hRule="atLeast"/>
        </w:trPr>
        <w:tc>
          <w:tcPr>
            <w:tcW w:w="1332" w:type="dxa"/>
            <w:vMerge w:val="continue"/>
            <w:tcBorders>
              <w:top w:val="single" w:color="000000" w:sz="4" w:space="0"/>
              <w:left w:val="single" w:color="000000" w:sz="12" w:space="0"/>
              <w:bottom w:val="single" w:color="000000" w:sz="4" w:space="0"/>
              <w:right w:val="single" w:color="000000" w:sz="4" w:space="0"/>
            </w:tcBorders>
            <w:vAlign w:val="center"/>
          </w:tcPr>
          <w:p>
            <w:pPr>
              <w:wordWrap/>
              <w:adjustRightInd/>
              <w:snapToGrid/>
              <w:spacing w:before="0" w:after="0" w:line="560" w:lineRule="exact"/>
              <w:ind w:left="0" w:leftChars="0" w:right="0"/>
              <w:jc w:val="center"/>
              <w:outlineLvl w:val="9"/>
              <w:rPr>
                <w:rFonts w:hint="eastAsia" w:ascii="仿宋_GB2312" w:hAnsi="仿宋_GB2312" w:eastAsia="仿宋_GB2312" w:cs="仿宋_GB2312"/>
                <w:i w:val="0"/>
                <w:color w:val="auto"/>
                <w:sz w:val="28"/>
                <w:szCs w:val="28"/>
                <w:u w:val="none"/>
              </w:rPr>
            </w:pPr>
          </w:p>
        </w:tc>
        <w:tc>
          <w:tcPr>
            <w:tcW w:w="3083"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after="0" w:line="560" w:lineRule="exact"/>
              <w:ind w:left="0" w:leftChars="0" w:right="0"/>
              <w:jc w:val="center"/>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rPr>
              <w:t>其他项目</w:t>
            </w:r>
          </w:p>
        </w:tc>
        <w:tc>
          <w:tcPr>
            <w:tcW w:w="4406" w:type="dxa"/>
            <w:tcBorders>
              <w:top w:val="single" w:color="000000" w:sz="4" w:space="0"/>
              <w:left w:val="single" w:color="000000" w:sz="4" w:space="0"/>
              <w:bottom w:val="single" w:color="000000" w:sz="4" w:space="0"/>
              <w:right w:val="single" w:color="000000" w:sz="12" w:space="0"/>
            </w:tcBorders>
            <w:vAlign w:val="center"/>
          </w:tcPr>
          <w:p>
            <w:pPr>
              <w:widowControl/>
              <w:wordWrap/>
              <w:adjustRightInd/>
              <w:snapToGrid/>
              <w:spacing w:before="0" w:after="0" w:line="560" w:lineRule="exact"/>
              <w:ind w:left="0" w:leftChars="0" w:right="0" w:firstLine="0" w:firstLineChars="0"/>
              <w:jc w:val="both"/>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rPr>
              <w:t>流程与合同能源管理一致，申报填写的内容不同。</w:t>
            </w:r>
          </w:p>
        </w:tc>
      </w:tr>
      <w:tr>
        <w:trPr>
          <w:trHeight w:val="732" w:hRule="atLeast"/>
        </w:trPr>
        <w:tc>
          <w:tcPr>
            <w:tcW w:w="1332" w:type="dxa"/>
            <w:vMerge w:val="continue"/>
            <w:tcBorders>
              <w:top w:val="single" w:color="000000" w:sz="4" w:space="0"/>
              <w:left w:val="single" w:color="000000" w:sz="12" w:space="0"/>
              <w:bottom w:val="single" w:color="000000" w:sz="4" w:space="0"/>
              <w:right w:val="single" w:color="000000" w:sz="4" w:space="0"/>
            </w:tcBorders>
            <w:vAlign w:val="center"/>
          </w:tcPr>
          <w:p>
            <w:pPr>
              <w:wordWrap/>
              <w:adjustRightInd/>
              <w:snapToGrid/>
              <w:spacing w:before="0" w:after="0" w:line="560" w:lineRule="exact"/>
              <w:ind w:left="0" w:leftChars="0" w:right="0"/>
              <w:jc w:val="center"/>
              <w:outlineLvl w:val="9"/>
              <w:rPr>
                <w:rFonts w:hint="eastAsia" w:ascii="仿宋_GB2312" w:hAnsi="仿宋_GB2312" w:eastAsia="仿宋_GB2312" w:cs="仿宋_GB2312"/>
                <w:i w:val="0"/>
                <w:color w:val="auto"/>
                <w:sz w:val="28"/>
                <w:szCs w:val="28"/>
                <w:u w:val="none"/>
              </w:rPr>
            </w:pPr>
          </w:p>
        </w:tc>
        <w:tc>
          <w:tcPr>
            <w:tcW w:w="1536"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after="0" w:line="560" w:lineRule="exact"/>
              <w:ind w:left="0" w:leftChars="0" w:right="0" w:firstLine="0" w:firstLineChars="0"/>
              <w:jc w:val="both"/>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rPr>
              <w:t>供应商管理</w:t>
            </w:r>
          </w:p>
        </w:tc>
        <w:tc>
          <w:tcPr>
            <w:tcW w:w="154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after="0" w:line="560" w:lineRule="exact"/>
              <w:ind w:left="0" w:leftChars="0" w:right="0" w:firstLine="0" w:firstLineChars="0"/>
              <w:jc w:val="both"/>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rPr>
              <w:t xml:space="preserve">  申请注册</w:t>
            </w:r>
          </w:p>
        </w:tc>
        <w:tc>
          <w:tcPr>
            <w:tcW w:w="4406" w:type="dxa"/>
            <w:tcBorders>
              <w:top w:val="single" w:color="000000" w:sz="4" w:space="0"/>
              <w:left w:val="single" w:color="000000" w:sz="4" w:space="0"/>
              <w:bottom w:val="single" w:color="000000" w:sz="4" w:space="0"/>
              <w:right w:val="single" w:color="000000" w:sz="12" w:space="0"/>
            </w:tcBorders>
            <w:vAlign w:val="center"/>
          </w:tcPr>
          <w:p>
            <w:pPr>
              <w:widowControl/>
              <w:wordWrap/>
              <w:adjustRightInd/>
              <w:snapToGrid/>
              <w:spacing w:before="0" w:after="0" w:line="560" w:lineRule="exact"/>
              <w:ind w:left="0" w:leftChars="0" w:right="0" w:firstLine="0" w:firstLineChars="0"/>
              <w:jc w:val="both"/>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rPr>
              <w:t>供应商通过新疆机关事务云登录页面登录，填写申请表，并上传至本系统。</w:t>
            </w:r>
          </w:p>
        </w:tc>
      </w:tr>
      <w:tr>
        <w:trPr>
          <w:trHeight w:val="613" w:hRule="atLeast"/>
        </w:trPr>
        <w:tc>
          <w:tcPr>
            <w:tcW w:w="1332" w:type="dxa"/>
            <w:vMerge w:val="continue"/>
            <w:tcBorders>
              <w:top w:val="single" w:color="000000" w:sz="4" w:space="0"/>
              <w:left w:val="single" w:color="000000" w:sz="12" w:space="0"/>
              <w:bottom w:val="single" w:color="000000" w:sz="4" w:space="0"/>
              <w:right w:val="single" w:color="000000" w:sz="4" w:space="0"/>
            </w:tcBorders>
            <w:vAlign w:val="center"/>
          </w:tcPr>
          <w:p>
            <w:pPr>
              <w:wordWrap/>
              <w:adjustRightInd/>
              <w:snapToGrid/>
              <w:spacing w:before="0" w:after="0" w:line="560" w:lineRule="exact"/>
              <w:ind w:left="0" w:leftChars="0" w:right="0"/>
              <w:jc w:val="center"/>
              <w:outlineLvl w:val="9"/>
              <w:rPr>
                <w:rFonts w:hint="eastAsia" w:ascii="仿宋_GB2312" w:hAnsi="仿宋_GB2312" w:eastAsia="仿宋_GB2312" w:cs="仿宋_GB2312"/>
                <w:i w:val="0"/>
                <w:color w:val="auto"/>
                <w:sz w:val="28"/>
                <w:szCs w:val="28"/>
                <w:u w:val="none"/>
              </w:rPr>
            </w:pPr>
          </w:p>
        </w:tc>
        <w:tc>
          <w:tcPr>
            <w:tcW w:w="1536"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before="0" w:after="0" w:line="560" w:lineRule="exact"/>
              <w:ind w:left="0" w:leftChars="0" w:right="0"/>
              <w:jc w:val="center"/>
              <w:outlineLvl w:val="9"/>
              <w:rPr>
                <w:rFonts w:hint="eastAsia" w:ascii="仿宋_GB2312" w:hAnsi="仿宋_GB2312" w:eastAsia="仿宋_GB2312" w:cs="仿宋_GB2312"/>
                <w:i w:val="0"/>
                <w:color w:val="auto"/>
                <w:sz w:val="28"/>
                <w:szCs w:val="28"/>
                <w:u w:val="none"/>
              </w:rPr>
            </w:pPr>
          </w:p>
        </w:tc>
        <w:tc>
          <w:tcPr>
            <w:tcW w:w="154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after="0" w:line="560" w:lineRule="exact"/>
              <w:ind w:left="0" w:leftChars="0" w:right="0" w:firstLine="0" w:firstLineChars="0"/>
              <w:jc w:val="both"/>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rPr>
              <w:t xml:space="preserve"> 线上审核</w:t>
            </w:r>
          </w:p>
        </w:tc>
        <w:tc>
          <w:tcPr>
            <w:tcW w:w="4406" w:type="dxa"/>
            <w:tcBorders>
              <w:top w:val="single" w:color="000000" w:sz="4" w:space="0"/>
              <w:left w:val="single" w:color="000000" w:sz="4" w:space="0"/>
              <w:bottom w:val="single" w:color="000000" w:sz="4" w:space="0"/>
              <w:right w:val="single" w:color="000000" w:sz="12" w:space="0"/>
            </w:tcBorders>
            <w:vAlign w:val="center"/>
          </w:tcPr>
          <w:p>
            <w:pPr>
              <w:widowControl/>
              <w:wordWrap/>
              <w:adjustRightInd/>
              <w:snapToGrid/>
              <w:spacing w:before="0" w:after="0" w:line="560" w:lineRule="exact"/>
              <w:ind w:left="0" w:leftChars="0" w:right="0" w:firstLine="0" w:firstLineChars="0"/>
              <w:jc w:val="both"/>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rPr>
              <w:t>区管理员登录系统后，对申报的供应商进行在线对审核。</w:t>
            </w:r>
          </w:p>
        </w:tc>
      </w:tr>
      <w:tr>
        <w:trPr>
          <w:trHeight w:val="613" w:hRule="atLeast"/>
        </w:trPr>
        <w:tc>
          <w:tcPr>
            <w:tcW w:w="1332" w:type="dxa"/>
            <w:vMerge w:val="continue"/>
            <w:tcBorders>
              <w:top w:val="single" w:color="000000" w:sz="4" w:space="0"/>
              <w:left w:val="single" w:color="000000" w:sz="12" w:space="0"/>
              <w:bottom w:val="single" w:color="000000" w:sz="4" w:space="0"/>
              <w:right w:val="single" w:color="000000" w:sz="4" w:space="0"/>
            </w:tcBorders>
            <w:vAlign w:val="center"/>
          </w:tcPr>
          <w:p>
            <w:pPr>
              <w:wordWrap/>
              <w:adjustRightInd/>
              <w:snapToGrid/>
              <w:spacing w:before="0" w:after="0" w:line="560" w:lineRule="exact"/>
              <w:ind w:left="0" w:leftChars="0" w:right="0"/>
              <w:jc w:val="center"/>
              <w:outlineLvl w:val="9"/>
              <w:rPr>
                <w:rFonts w:hint="eastAsia" w:ascii="仿宋_GB2312" w:hAnsi="仿宋_GB2312" w:eastAsia="仿宋_GB2312" w:cs="仿宋_GB2312"/>
                <w:i w:val="0"/>
                <w:color w:val="auto"/>
                <w:sz w:val="28"/>
                <w:szCs w:val="28"/>
                <w:u w:val="none"/>
              </w:rPr>
            </w:pPr>
          </w:p>
        </w:tc>
        <w:tc>
          <w:tcPr>
            <w:tcW w:w="1536"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before="0" w:after="0" w:line="560" w:lineRule="exact"/>
              <w:ind w:left="0" w:leftChars="0" w:right="0"/>
              <w:jc w:val="center"/>
              <w:outlineLvl w:val="9"/>
              <w:rPr>
                <w:rFonts w:hint="eastAsia" w:ascii="仿宋_GB2312" w:hAnsi="仿宋_GB2312" w:eastAsia="仿宋_GB2312" w:cs="仿宋_GB2312"/>
                <w:i w:val="0"/>
                <w:color w:val="auto"/>
                <w:sz w:val="28"/>
                <w:szCs w:val="28"/>
                <w:u w:val="none"/>
              </w:rPr>
            </w:pPr>
          </w:p>
        </w:tc>
        <w:tc>
          <w:tcPr>
            <w:tcW w:w="154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after="0" w:line="560" w:lineRule="exact"/>
              <w:ind w:left="0" w:leftChars="0" w:right="0" w:firstLine="0" w:firstLineChars="0"/>
              <w:jc w:val="both"/>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rPr>
              <w:t>节能产品技术目录库</w:t>
            </w:r>
          </w:p>
        </w:tc>
        <w:tc>
          <w:tcPr>
            <w:tcW w:w="4406" w:type="dxa"/>
            <w:tcBorders>
              <w:top w:val="single" w:color="000000" w:sz="4" w:space="0"/>
              <w:left w:val="single" w:color="000000" w:sz="4" w:space="0"/>
              <w:bottom w:val="single" w:color="000000" w:sz="4" w:space="0"/>
              <w:right w:val="single" w:color="000000" w:sz="12" w:space="0"/>
            </w:tcBorders>
            <w:vAlign w:val="center"/>
          </w:tcPr>
          <w:p>
            <w:pPr>
              <w:widowControl/>
              <w:wordWrap/>
              <w:adjustRightInd/>
              <w:snapToGrid/>
              <w:spacing w:before="0" w:after="0" w:line="560" w:lineRule="exact"/>
              <w:ind w:left="0" w:leftChars="0" w:right="0" w:firstLine="0" w:firstLineChars="0"/>
              <w:jc w:val="left"/>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rPr>
              <w:t>对供应商产品进行测试或协议对接，达到需求审核通过后入库。</w:t>
            </w:r>
          </w:p>
        </w:tc>
      </w:tr>
      <w:tr>
        <w:trPr>
          <w:trHeight w:val="613" w:hRule="atLeast"/>
        </w:trPr>
        <w:tc>
          <w:tcPr>
            <w:tcW w:w="1332" w:type="dxa"/>
            <w:vMerge w:val="continue"/>
            <w:tcBorders>
              <w:top w:val="single" w:color="000000" w:sz="4" w:space="0"/>
              <w:left w:val="single" w:color="000000" w:sz="12" w:space="0"/>
              <w:bottom w:val="single" w:color="000000" w:sz="4" w:space="0"/>
              <w:right w:val="single" w:color="000000" w:sz="4" w:space="0"/>
            </w:tcBorders>
            <w:vAlign w:val="center"/>
          </w:tcPr>
          <w:p>
            <w:pPr>
              <w:wordWrap/>
              <w:adjustRightInd/>
              <w:snapToGrid/>
              <w:spacing w:before="0" w:after="0" w:line="560" w:lineRule="exact"/>
              <w:ind w:left="0" w:leftChars="0" w:right="0"/>
              <w:jc w:val="center"/>
              <w:outlineLvl w:val="9"/>
              <w:rPr>
                <w:rFonts w:hint="eastAsia" w:ascii="仿宋_GB2312" w:hAnsi="仿宋_GB2312" w:eastAsia="仿宋_GB2312" w:cs="仿宋_GB2312"/>
                <w:i w:val="0"/>
                <w:color w:val="auto"/>
                <w:sz w:val="28"/>
                <w:szCs w:val="28"/>
                <w:u w:val="none"/>
              </w:rPr>
            </w:pPr>
          </w:p>
        </w:tc>
        <w:tc>
          <w:tcPr>
            <w:tcW w:w="1536" w:type="dxa"/>
            <w:tcBorders>
              <w:top w:val="single" w:color="000000" w:sz="4" w:space="0"/>
              <w:left w:val="single" w:color="000000" w:sz="4" w:space="0"/>
              <w:bottom w:val="single" w:color="000000" w:sz="4" w:space="0"/>
              <w:right w:val="single" w:color="000000" w:sz="4" w:space="0"/>
            </w:tcBorders>
            <w:vAlign w:val="bottom"/>
          </w:tcPr>
          <w:p>
            <w:pPr>
              <w:wordWrap/>
              <w:adjustRightInd/>
              <w:snapToGrid/>
              <w:spacing w:before="0" w:after="0" w:line="560" w:lineRule="exact"/>
              <w:ind w:left="0" w:leftChars="0" w:right="0"/>
              <w:jc w:val="both"/>
              <w:outlineLvl w:val="9"/>
              <w:rPr>
                <w:rFonts w:hint="eastAsia" w:ascii="仿宋_GB2312" w:hAnsi="仿宋_GB2312" w:eastAsia="仿宋_GB2312" w:cs="仿宋_GB2312"/>
                <w:i w:val="0"/>
                <w:color w:val="auto"/>
                <w:sz w:val="28"/>
                <w:szCs w:val="28"/>
                <w:u w:val="none"/>
              </w:rPr>
            </w:pPr>
          </w:p>
        </w:tc>
        <w:tc>
          <w:tcPr>
            <w:tcW w:w="154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after="0" w:line="560" w:lineRule="exact"/>
              <w:ind w:left="0" w:leftChars="0" w:right="0" w:firstLine="0" w:firstLineChars="0"/>
              <w:jc w:val="both"/>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rPr>
              <w:t xml:space="preserve"> 信息查询</w:t>
            </w:r>
          </w:p>
        </w:tc>
        <w:tc>
          <w:tcPr>
            <w:tcW w:w="4406" w:type="dxa"/>
            <w:tcBorders>
              <w:top w:val="single" w:color="000000" w:sz="4" w:space="0"/>
              <w:left w:val="single" w:color="000000" w:sz="4" w:space="0"/>
              <w:bottom w:val="single" w:color="000000" w:sz="4" w:space="0"/>
              <w:right w:val="single" w:color="000000" w:sz="12" w:space="0"/>
            </w:tcBorders>
            <w:vAlign w:val="center"/>
          </w:tcPr>
          <w:p>
            <w:pPr>
              <w:widowControl/>
              <w:wordWrap/>
              <w:adjustRightInd/>
              <w:snapToGrid/>
              <w:spacing w:before="0" w:after="0" w:line="560" w:lineRule="exact"/>
              <w:ind w:left="0" w:leftChars="0" w:right="0" w:firstLine="0" w:firstLineChars="0"/>
              <w:jc w:val="both"/>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rPr>
              <w:t>可对供应商信息、技术和产品进行查询专家库管理</w:t>
            </w:r>
          </w:p>
        </w:tc>
      </w:tr>
      <w:tr>
        <w:trPr>
          <w:trHeight w:val="613" w:hRule="atLeast"/>
        </w:trPr>
        <w:tc>
          <w:tcPr>
            <w:tcW w:w="1332" w:type="dxa"/>
            <w:vMerge w:val="restart"/>
            <w:tcBorders>
              <w:top w:val="single" w:color="000000" w:sz="4" w:space="0"/>
              <w:left w:val="single" w:color="000000" w:sz="12" w:space="0"/>
              <w:bottom w:val="single" w:color="000000" w:sz="4" w:space="0"/>
              <w:right w:val="single" w:color="000000" w:sz="4" w:space="0"/>
            </w:tcBorders>
            <w:vAlign w:val="center"/>
          </w:tcPr>
          <w:p>
            <w:pPr>
              <w:widowControl/>
              <w:wordWrap/>
              <w:adjustRightInd/>
              <w:snapToGrid/>
              <w:spacing w:before="0" w:after="0" w:line="560" w:lineRule="exact"/>
              <w:ind w:left="0" w:leftChars="0" w:right="0" w:firstLine="0" w:firstLineChars="0"/>
              <w:jc w:val="both"/>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rPr>
              <w:t>机关运行成本管理</w:t>
            </w:r>
          </w:p>
        </w:tc>
        <w:tc>
          <w:tcPr>
            <w:tcW w:w="3083"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after="0" w:line="560" w:lineRule="exact"/>
              <w:ind w:left="0" w:leftChars="0" w:right="0"/>
              <w:jc w:val="center"/>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rPr>
              <w:t>方案管理</w:t>
            </w:r>
          </w:p>
        </w:tc>
        <w:tc>
          <w:tcPr>
            <w:tcW w:w="4406" w:type="dxa"/>
            <w:tcBorders>
              <w:top w:val="single" w:color="000000" w:sz="4" w:space="0"/>
              <w:left w:val="single" w:color="000000" w:sz="4" w:space="0"/>
              <w:bottom w:val="single" w:color="000000" w:sz="4" w:space="0"/>
              <w:right w:val="single" w:color="000000" w:sz="12" w:space="0"/>
            </w:tcBorders>
            <w:vAlign w:val="center"/>
          </w:tcPr>
          <w:p>
            <w:pPr>
              <w:widowControl/>
              <w:wordWrap/>
              <w:adjustRightInd/>
              <w:snapToGrid/>
              <w:spacing w:before="0" w:after="0" w:line="560" w:lineRule="exact"/>
              <w:ind w:left="0" w:leftChars="0" w:right="0" w:firstLine="0" w:firstLineChars="0"/>
              <w:jc w:val="both"/>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rPr>
              <w:t>管理员在方案管理中配置规则，同一个方案下可添加多条细则。</w:t>
            </w:r>
          </w:p>
        </w:tc>
      </w:tr>
      <w:tr>
        <w:trPr>
          <w:trHeight w:val="613" w:hRule="atLeast"/>
        </w:trPr>
        <w:tc>
          <w:tcPr>
            <w:tcW w:w="1332" w:type="dxa"/>
            <w:vMerge w:val="continue"/>
            <w:tcBorders>
              <w:top w:val="single" w:color="000000" w:sz="4" w:space="0"/>
              <w:left w:val="single" w:color="000000" w:sz="12" w:space="0"/>
              <w:bottom w:val="single" w:color="000000" w:sz="4" w:space="0"/>
              <w:right w:val="single" w:color="000000" w:sz="4" w:space="0"/>
            </w:tcBorders>
            <w:vAlign w:val="center"/>
          </w:tcPr>
          <w:p>
            <w:pPr>
              <w:wordWrap/>
              <w:adjustRightInd/>
              <w:snapToGrid/>
              <w:spacing w:before="0" w:after="0" w:line="560" w:lineRule="exact"/>
              <w:ind w:left="0" w:leftChars="0" w:right="0"/>
              <w:jc w:val="center"/>
              <w:outlineLvl w:val="9"/>
              <w:rPr>
                <w:rFonts w:hint="eastAsia" w:ascii="仿宋_GB2312" w:hAnsi="仿宋_GB2312" w:eastAsia="仿宋_GB2312" w:cs="仿宋_GB2312"/>
                <w:i w:val="0"/>
                <w:color w:val="auto"/>
                <w:sz w:val="28"/>
                <w:szCs w:val="28"/>
                <w:u w:val="none"/>
              </w:rPr>
            </w:pPr>
          </w:p>
        </w:tc>
        <w:tc>
          <w:tcPr>
            <w:tcW w:w="3083"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after="0" w:line="560" w:lineRule="exact"/>
              <w:ind w:left="0" w:leftChars="0" w:right="0"/>
              <w:jc w:val="center"/>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rPr>
              <w:t>任务管理</w:t>
            </w:r>
          </w:p>
        </w:tc>
        <w:tc>
          <w:tcPr>
            <w:tcW w:w="4406" w:type="dxa"/>
            <w:tcBorders>
              <w:top w:val="single" w:color="000000" w:sz="4" w:space="0"/>
              <w:left w:val="single" w:color="000000" w:sz="4" w:space="0"/>
              <w:bottom w:val="single" w:color="000000" w:sz="4" w:space="0"/>
              <w:right w:val="single" w:color="000000" w:sz="12" w:space="0"/>
            </w:tcBorders>
            <w:vAlign w:val="center"/>
          </w:tcPr>
          <w:p>
            <w:pPr>
              <w:widowControl/>
              <w:wordWrap/>
              <w:adjustRightInd/>
              <w:snapToGrid/>
              <w:spacing w:before="0" w:after="0" w:line="560" w:lineRule="exact"/>
              <w:ind w:left="0" w:leftChars="0" w:right="0"/>
              <w:jc w:val="both"/>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rPr>
              <w:t>由管理员创建任务，任务创建后才可派发给机构。</w:t>
            </w:r>
          </w:p>
        </w:tc>
      </w:tr>
      <w:tr>
        <w:trPr>
          <w:trHeight w:val="1237" w:hRule="atLeast"/>
        </w:trPr>
        <w:tc>
          <w:tcPr>
            <w:tcW w:w="1332" w:type="dxa"/>
            <w:vMerge w:val="continue"/>
            <w:tcBorders>
              <w:top w:val="single" w:color="000000" w:sz="4" w:space="0"/>
              <w:left w:val="single" w:color="000000" w:sz="12" w:space="0"/>
              <w:bottom w:val="single" w:color="000000" w:sz="4" w:space="0"/>
              <w:right w:val="single" w:color="000000" w:sz="4" w:space="0"/>
            </w:tcBorders>
            <w:vAlign w:val="center"/>
          </w:tcPr>
          <w:p>
            <w:pPr>
              <w:wordWrap/>
              <w:adjustRightInd/>
              <w:snapToGrid/>
              <w:spacing w:before="0" w:after="0" w:line="560" w:lineRule="exact"/>
              <w:ind w:left="0" w:leftChars="0" w:right="0"/>
              <w:jc w:val="center"/>
              <w:outlineLvl w:val="9"/>
              <w:rPr>
                <w:rFonts w:hint="eastAsia" w:ascii="仿宋_GB2312" w:hAnsi="仿宋_GB2312" w:eastAsia="仿宋_GB2312" w:cs="仿宋_GB2312"/>
                <w:i w:val="0"/>
                <w:color w:val="auto"/>
                <w:sz w:val="28"/>
                <w:szCs w:val="28"/>
                <w:u w:val="none"/>
              </w:rPr>
            </w:pPr>
          </w:p>
        </w:tc>
        <w:tc>
          <w:tcPr>
            <w:tcW w:w="1536"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after="0" w:line="560" w:lineRule="exact"/>
              <w:ind w:left="0" w:leftChars="0" w:right="0" w:firstLine="0" w:firstLineChars="0"/>
              <w:jc w:val="both"/>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rPr>
              <w:t xml:space="preserve"> 数据审核</w:t>
            </w:r>
          </w:p>
        </w:tc>
        <w:tc>
          <w:tcPr>
            <w:tcW w:w="154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after="0" w:line="560" w:lineRule="exact"/>
              <w:ind w:left="0" w:leftChars="0" w:right="0" w:firstLine="0" w:firstLineChars="0"/>
              <w:jc w:val="both"/>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rPr>
              <w:t>填报情况统计</w:t>
            </w:r>
          </w:p>
        </w:tc>
        <w:tc>
          <w:tcPr>
            <w:tcW w:w="4406" w:type="dxa"/>
            <w:tcBorders>
              <w:top w:val="single" w:color="000000" w:sz="4" w:space="0"/>
              <w:left w:val="single" w:color="000000" w:sz="4" w:space="0"/>
              <w:bottom w:val="single" w:color="000000" w:sz="4" w:space="0"/>
              <w:right w:val="single" w:color="000000" w:sz="12" w:space="0"/>
            </w:tcBorders>
            <w:vAlign w:val="center"/>
          </w:tcPr>
          <w:p>
            <w:pPr>
              <w:widowControl/>
              <w:wordWrap/>
              <w:adjustRightInd/>
              <w:snapToGrid/>
              <w:spacing w:before="0" w:after="0" w:line="560" w:lineRule="exact"/>
              <w:ind w:left="0" w:leftChars="0" w:right="0" w:firstLine="0" w:firstLineChars="0"/>
              <w:jc w:val="both"/>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rPr>
              <w:t>展示已布置任务下级机构填报情况，选择机构后默认表格展示。可绘图查看情况、应报数量、未填报数量、填报率、已布置机构数。可以将表格数据导出到 excel。数据可按照地区或图表查询。</w:t>
            </w:r>
          </w:p>
        </w:tc>
      </w:tr>
      <w:tr>
        <w:trPr>
          <w:trHeight w:val="1213" w:hRule="atLeast"/>
        </w:trPr>
        <w:tc>
          <w:tcPr>
            <w:tcW w:w="1332" w:type="dxa"/>
            <w:vMerge w:val="continue"/>
            <w:tcBorders>
              <w:top w:val="single" w:color="000000" w:sz="4" w:space="0"/>
              <w:left w:val="single" w:color="000000" w:sz="12" w:space="0"/>
              <w:bottom w:val="single" w:color="000000" w:sz="4" w:space="0"/>
              <w:right w:val="single" w:color="000000" w:sz="4" w:space="0"/>
            </w:tcBorders>
            <w:vAlign w:val="center"/>
          </w:tcPr>
          <w:p>
            <w:pPr>
              <w:wordWrap/>
              <w:adjustRightInd/>
              <w:snapToGrid/>
              <w:spacing w:before="0" w:after="0" w:line="560" w:lineRule="exact"/>
              <w:ind w:left="0" w:leftChars="0" w:right="0"/>
              <w:jc w:val="center"/>
              <w:outlineLvl w:val="9"/>
              <w:rPr>
                <w:rFonts w:hint="eastAsia" w:ascii="仿宋_GB2312" w:hAnsi="仿宋_GB2312" w:eastAsia="仿宋_GB2312" w:cs="仿宋_GB2312"/>
                <w:i w:val="0"/>
                <w:color w:val="auto"/>
                <w:sz w:val="28"/>
                <w:szCs w:val="28"/>
                <w:u w:val="none"/>
              </w:rPr>
            </w:pPr>
          </w:p>
        </w:tc>
        <w:tc>
          <w:tcPr>
            <w:tcW w:w="1536"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before="0" w:after="0" w:line="560" w:lineRule="exact"/>
              <w:ind w:left="0" w:leftChars="0" w:right="0"/>
              <w:jc w:val="center"/>
              <w:outlineLvl w:val="9"/>
              <w:rPr>
                <w:rFonts w:hint="eastAsia" w:ascii="仿宋_GB2312" w:hAnsi="仿宋_GB2312" w:eastAsia="仿宋_GB2312" w:cs="仿宋_GB2312"/>
                <w:i w:val="0"/>
                <w:color w:val="auto"/>
                <w:sz w:val="28"/>
                <w:szCs w:val="28"/>
                <w:u w:val="none"/>
              </w:rPr>
            </w:pPr>
          </w:p>
        </w:tc>
        <w:tc>
          <w:tcPr>
            <w:tcW w:w="154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after="0" w:line="560" w:lineRule="exact"/>
              <w:ind w:left="0" w:leftChars="0" w:right="0" w:firstLine="0" w:firstLineChars="0"/>
              <w:jc w:val="both"/>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rPr>
              <w:t>填报数据审核</w:t>
            </w:r>
          </w:p>
        </w:tc>
        <w:tc>
          <w:tcPr>
            <w:tcW w:w="4406" w:type="dxa"/>
            <w:tcBorders>
              <w:top w:val="single" w:color="000000" w:sz="4" w:space="0"/>
              <w:left w:val="single" w:color="000000" w:sz="4" w:space="0"/>
              <w:bottom w:val="single" w:color="000000" w:sz="4" w:space="0"/>
              <w:right w:val="single" w:color="000000" w:sz="12" w:space="0"/>
            </w:tcBorders>
            <w:vAlign w:val="center"/>
          </w:tcPr>
          <w:p>
            <w:pPr>
              <w:widowControl/>
              <w:wordWrap/>
              <w:adjustRightInd/>
              <w:snapToGrid/>
              <w:spacing w:before="0" w:after="0" w:line="560" w:lineRule="exact"/>
              <w:ind w:left="0" w:leftChars="0" w:right="0" w:firstLine="0" w:firstLineChars="0"/>
              <w:jc w:val="left"/>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rPr>
              <w:t>选中需要审核的数据，点击查看数据跳转至单位填报的机关运行成本情况报表的报表数据内容页面，在页面中对填报信息进行审核，支持通过或驳回，驳回后将退回给填写单位。</w:t>
            </w:r>
          </w:p>
        </w:tc>
      </w:tr>
      <w:tr>
        <w:trPr>
          <w:trHeight w:val="1200" w:hRule="atLeast"/>
        </w:trPr>
        <w:tc>
          <w:tcPr>
            <w:tcW w:w="1332" w:type="dxa"/>
            <w:vMerge w:val="continue"/>
            <w:tcBorders>
              <w:top w:val="single" w:color="000000" w:sz="4" w:space="0"/>
              <w:left w:val="single" w:color="000000" w:sz="12" w:space="0"/>
              <w:bottom w:val="single" w:color="000000" w:sz="4" w:space="0"/>
              <w:right w:val="single" w:color="000000" w:sz="4" w:space="0"/>
            </w:tcBorders>
            <w:vAlign w:val="center"/>
          </w:tcPr>
          <w:p>
            <w:pPr>
              <w:wordWrap/>
              <w:adjustRightInd/>
              <w:snapToGrid/>
              <w:spacing w:before="0" w:after="0" w:line="560" w:lineRule="exact"/>
              <w:ind w:left="0" w:leftChars="0" w:right="0"/>
              <w:jc w:val="center"/>
              <w:outlineLvl w:val="9"/>
              <w:rPr>
                <w:rFonts w:hint="eastAsia" w:ascii="仿宋_GB2312" w:hAnsi="仿宋_GB2312" w:eastAsia="仿宋_GB2312" w:cs="仿宋_GB2312"/>
                <w:i w:val="0"/>
                <w:color w:val="auto"/>
                <w:sz w:val="28"/>
                <w:szCs w:val="28"/>
                <w:u w:val="none"/>
              </w:rPr>
            </w:pPr>
          </w:p>
        </w:tc>
        <w:tc>
          <w:tcPr>
            <w:tcW w:w="3083"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after="0" w:line="560" w:lineRule="exact"/>
              <w:ind w:left="0" w:leftChars="0" w:right="0"/>
              <w:jc w:val="center"/>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rPr>
              <w:t>统计分析</w:t>
            </w:r>
          </w:p>
        </w:tc>
        <w:tc>
          <w:tcPr>
            <w:tcW w:w="4406" w:type="dxa"/>
            <w:tcBorders>
              <w:top w:val="single" w:color="000000" w:sz="4" w:space="0"/>
              <w:left w:val="single" w:color="000000" w:sz="4" w:space="0"/>
              <w:bottom w:val="single" w:color="000000" w:sz="4" w:space="0"/>
              <w:right w:val="single" w:color="000000" w:sz="12" w:space="0"/>
            </w:tcBorders>
            <w:vAlign w:val="center"/>
          </w:tcPr>
          <w:p>
            <w:pPr>
              <w:widowControl/>
              <w:wordWrap/>
              <w:adjustRightInd/>
              <w:snapToGrid/>
              <w:spacing w:before="0" w:after="0" w:line="560" w:lineRule="exact"/>
              <w:ind w:left="0" w:leftChars="0" w:right="0" w:firstLine="0" w:firstLineChars="0"/>
              <w:jc w:val="both"/>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rPr>
              <w:t>对机关运行经费指标、人均类指标、房均类指标、“三公”经费类相关指标、资产类指标进行分析。支持 Excel 形式的分析表格及 word 文件形式（内含图表）分析报告导出。</w:t>
            </w:r>
          </w:p>
        </w:tc>
      </w:tr>
      <w:tr>
        <w:trPr>
          <w:trHeight w:val="720" w:hRule="atLeast"/>
        </w:trPr>
        <w:tc>
          <w:tcPr>
            <w:tcW w:w="1332" w:type="dxa"/>
            <w:vMerge w:val="continue"/>
            <w:tcBorders>
              <w:top w:val="single" w:color="000000" w:sz="4" w:space="0"/>
              <w:left w:val="single" w:color="000000" w:sz="12" w:space="0"/>
              <w:bottom w:val="single" w:color="000000" w:sz="4" w:space="0"/>
              <w:right w:val="single" w:color="000000" w:sz="4" w:space="0"/>
            </w:tcBorders>
            <w:vAlign w:val="center"/>
          </w:tcPr>
          <w:p>
            <w:pPr>
              <w:wordWrap/>
              <w:adjustRightInd/>
              <w:snapToGrid/>
              <w:spacing w:before="0" w:after="0" w:line="560" w:lineRule="exact"/>
              <w:ind w:left="0" w:leftChars="0" w:right="0"/>
              <w:jc w:val="center"/>
              <w:outlineLvl w:val="9"/>
              <w:rPr>
                <w:rFonts w:hint="eastAsia" w:ascii="仿宋_GB2312" w:hAnsi="仿宋_GB2312" w:eastAsia="仿宋_GB2312" w:cs="仿宋_GB2312"/>
                <w:i w:val="0"/>
                <w:color w:val="auto"/>
                <w:sz w:val="28"/>
                <w:szCs w:val="28"/>
                <w:u w:val="none"/>
              </w:rPr>
            </w:pPr>
          </w:p>
        </w:tc>
        <w:tc>
          <w:tcPr>
            <w:tcW w:w="3083"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after="0" w:line="560" w:lineRule="exact"/>
              <w:ind w:left="0" w:leftChars="0" w:right="0"/>
              <w:jc w:val="center"/>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rPr>
              <w:t>图表分析</w:t>
            </w:r>
          </w:p>
        </w:tc>
        <w:tc>
          <w:tcPr>
            <w:tcW w:w="4406" w:type="dxa"/>
            <w:tcBorders>
              <w:top w:val="single" w:color="000000" w:sz="4" w:space="0"/>
              <w:left w:val="single" w:color="000000" w:sz="4" w:space="0"/>
              <w:bottom w:val="single" w:color="000000" w:sz="4" w:space="0"/>
              <w:right w:val="single" w:color="000000" w:sz="12" w:space="0"/>
            </w:tcBorders>
            <w:vAlign w:val="center"/>
          </w:tcPr>
          <w:p>
            <w:pPr>
              <w:widowControl/>
              <w:wordWrap/>
              <w:adjustRightInd/>
              <w:snapToGrid/>
              <w:spacing w:before="0" w:after="0" w:line="560" w:lineRule="exact"/>
              <w:ind w:left="0" w:leftChars="0" w:right="0" w:firstLine="0" w:firstLineChars="0"/>
              <w:jc w:val="left"/>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rPr>
              <w:t>用图标形式呈现机关运行经费指标、人均类指标、房均类指标、“三公”经费类相关指标、资产类指标。</w:t>
            </w:r>
          </w:p>
        </w:tc>
      </w:tr>
      <w:tr>
        <w:trPr>
          <w:trHeight w:val="613" w:hRule="atLeast"/>
        </w:trPr>
        <w:tc>
          <w:tcPr>
            <w:tcW w:w="1332" w:type="dxa"/>
            <w:vMerge w:val="continue"/>
            <w:tcBorders>
              <w:top w:val="single" w:color="000000" w:sz="4" w:space="0"/>
              <w:left w:val="single" w:color="000000" w:sz="12" w:space="0"/>
              <w:bottom w:val="single" w:color="000000" w:sz="4" w:space="0"/>
              <w:right w:val="single" w:color="000000" w:sz="4" w:space="0"/>
            </w:tcBorders>
            <w:vAlign w:val="center"/>
          </w:tcPr>
          <w:p>
            <w:pPr>
              <w:wordWrap/>
              <w:adjustRightInd/>
              <w:snapToGrid/>
              <w:spacing w:before="0" w:after="0" w:line="560" w:lineRule="exact"/>
              <w:ind w:left="0" w:leftChars="0" w:right="0"/>
              <w:jc w:val="center"/>
              <w:outlineLvl w:val="9"/>
              <w:rPr>
                <w:rFonts w:hint="eastAsia" w:ascii="仿宋_GB2312" w:hAnsi="仿宋_GB2312" w:eastAsia="仿宋_GB2312" w:cs="仿宋_GB2312"/>
                <w:i w:val="0"/>
                <w:color w:val="auto"/>
                <w:sz w:val="28"/>
                <w:szCs w:val="28"/>
                <w:u w:val="none"/>
              </w:rPr>
            </w:pPr>
          </w:p>
        </w:tc>
        <w:tc>
          <w:tcPr>
            <w:tcW w:w="3083"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after="0" w:line="560" w:lineRule="exact"/>
              <w:ind w:left="0" w:leftChars="0" w:right="0"/>
              <w:jc w:val="center"/>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rPr>
              <w:t>数据上报</w:t>
            </w:r>
          </w:p>
        </w:tc>
        <w:tc>
          <w:tcPr>
            <w:tcW w:w="4406" w:type="dxa"/>
            <w:tcBorders>
              <w:top w:val="single" w:color="000000" w:sz="4" w:space="0"/>
              <w:left w:val="single" w:color="000000" w:sz="4" w:space="0"/>
              <w:bottom w:val="single" w:color="000000" w:sz="4" w:space="0"/>
              <w:right w:val="single" w:color="000000" w:sz="12" w:space="0"/>
            </w:tcBorders>
            <w:vAlign w:val="center"/>
          </w:tcPr>
          <w:p>
            <w:pPr>
              <w:widowControl/>
              <w:wordWrap/>
              <w:adjustRightInd/>
              <w:snapToGrid/>
              <w:spacing w:before="0" w:after="0" w:line="560" w:lineRule="exact"/>
              <w:ind w:left="0" w:leftChars="0" w:right="0" w:firstLine="0" w:firstLineChars="0"/>
              <w:jc w:val="left"/>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rPr>
              <w:t>跟国管局对接，根据国管局文档和协议进行相应上报。</w:t>
            </w:r>
          </w:p>
        </w:tc>
      </w:tr>
      <w:tr>
        <w:trPr>
          <w:trHeight w:val="780" w:hRule="atLeast"/>
        </w:trPr>
        <w:tc>
          <w:tcPr>
            <w:tcW w:w="1332" w:type="dxa"/>
            <w:vMerge w:val="restart"/>
            <w:tcBorders>
              <w:top w:val="single" w:color="000000" w:sz="4" w:space="0"/>
              <w:left w:val="single" w:color="000000" w:sz="12" w:space="0"/>
              <w:bottom w:val="single" w:color="000000" w:sz="4" w:space="0"/>
              <w:right w:val="single" w:color="000000" w:sz="4" w:space="0"/>
            </w:tcBorders>
            <w:vAlign w:val="center"/>
          </w:tcPr>
          <w:p>
            <w:pPr>
              <w:widowControl/>
              <w:wordWrap/>
              <w:adjustRightInd/>
              <w:snapToGrid/>
              <w:spacing w:before="0" w:after="0" w:line="560" w:lineRule="exact"/>
              <w:ind w:left="0" w:leftChars="0" w:right="0" w:firstLine="0" w:firstLineChars="0"/>
              <w:jc w:val="both"/>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rPr>
              <w:t xml:space="preserve"> 系统管理</w:t>
            </w:r>
          </w:p>
        </w:tc>
        <w:tc>
          <w:tcPr>
            <w:tcW w:w="3083"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after="0" w:line="560" w:lineRule="exact"/>
              <w:ind w:left="0" w:leftChars="0" w:right="0"/>
              <w:jc w:val="center"/>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rPr>
              <w:t>用户管理</w:t>
            </w:r>
          </w:p>
        </w:tc>
        <w:tc>
          <w:tcPr>
            <w:tcW w:w="4406" w:type="dxa"/>
            <w:tcBorders>
              <w:top w:val="single" w:color="000000" w:sz="4" w:space="0"/>
              <w:left w:val="single" w:color="000000" w:sz="4" w:space="0"/>
              <w:bottom w:val="single" w:color="000000" w:sz="4" w:space="0"/>
              <w:right w:val="single" w:color="000000" w:sz="12" w:space="0"/>
            </w:tcBorders>
            <w:vAlign w:val="center"/>
          </w:tcPr>
          <w:p>
            <w:pPr>
              <w:widowControl/>
              <w:wordWrap/>
              <w:adjustRightInd/>
              <w:snapToGrid/>
              <w:spacing w:before="0" w:after="0" w:line="560" w:lineRule="exact"/>
              <w:ind w:left="0" w:leftChars="0" w:right="0" w:firstLine="0" w:firstLineChars="0"/>
              <w:jc w:val="left"/>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rPr>
              <w:t>各级管理员根据工作需要，进行用户增、删、改、查，并根据用户权限配置成不同的角色。</w:t>
            </w:r>
          </w:p>
        </w:tc>
      </w:tr>
      <w:tr>
        <w:trPr>
          <w:trHeight w:val="732" w:hRule="atLeast"/>
        </w:trPr>
        <w:tc>
          <w:tcPr>
            <w:tcW w:w="1332" w:type="dxa"/>
            <w:vMerge w:val="continue"/>
            <w:tcBorders>
              <w:top w:val="single" w:color="000000" w:sz="4" w:space="0"/>
              <w:left w:val="single" w:color="000000" w:sz="12" w:space="0"/>
              <w:bottom w:val="single" w:color="000000" w:sz="4" w:space="0"/>
              <w:right w:val="single" w:color="000000" w:sz="4" w:space="0"/>
            </w:tcBorders>
            <w:vAlign w:val="center"/>
          </w:tcPr>
          <w:p>
            <w:pPr>
              <w:wordWrap/>
              <w:adjustRightInd/>
              <w:snapToGrid/>
              <w:spacing w:before="0" w:after="0" w:line="560" w:lineRule="exact"/>
              <w:ind w:left="0" w:leftChars="0" w:right="0"/>
              <w:jc w:val="center"/>
              <w:outlineLvl w:val="9"/>
              <w:rPr>
                <w:rFonts w:hint="eastAsia" w:ascii="仿宋_GB2312" w:hAnsi="仿宋_GB2312" w:eastAsia="仿宋_GB2312" w:cs="仿宋_GB2312"/>
                <w:i w:val="0"/>
                <w:color w:val="auto"/>
                <w:sz w:val="28"/>
                <w:szCs w:val="28"/>
                <w:u w:val="none"/>
              </w:rPr>
            </w:pPr>
          </w:p>
        </w:tc>
        <w:tc>
          <w:tcPr>
            <w:tcW w:w="3083"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after="0" w:line="560" w:lineRule="exact"/>
              <w:ind w:left="0" w:leftChars="0" w:right="0"/>
              <w:jc w:val="center"/>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rPr>
              <w:t>角色管理</w:t>
            </w:r>
          </w:p>
        </w:tc>
        <w:tc>
          <w:tcPr>
            <w:tcW w:w="4406" w:type="dxa"/>
            <w:tcBorders>
              <w:top w:val="single" w:color="000000" w:sz="4" w:space="0"/>
              <w:left w:val="single" w:color="000000" w:sz="4" w:space="0"/>
              <w:bottom w:val="single" w:color="000000" w:sz="4" w:space="0"/>
              <w:right w:val="single" w:color="000000" w:sz="12" w:space="0"/>
            </w:tcBorders>
            <w:vAlign w:val="center"/>
          </w:tcPr>
          <w:p>
            <w:pPr>
              <w:widowControl/>
              <w:wordWrap/>
              <w:adjustRightInd/>
              <w:snapToGrid/>
              <w:spacing w:before="0" w:after="0" w:line="560" w:lineRule="exact"/>
              <w:ind w:left="0" w:leftChars="0" w:right="0" w:firstLine="0" w:firstLineChars="0"/>
              <w:jc w:val="left"/>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rPr>
              <w:t>根据系统功能，为方便用户管理，定义不同的角色，注册用户时只需按权限选择相应的角色即可。</w:t>
            </w:r>
          </w:p>
        </w:tc>
      </w:tr>
      <w:tr>
        <w:trPr>
          <w:trHeight w:val="613" w:hRule="atLeast"/>
        </w:trPr>
        <w:tc>
          <w:tcPr>
            <w:tcW w:w="1332" w:type="dxa"/>
            <w:vMerge w:val="continue"/>
            <w:tcBorders>
              <w:top w:val="single" w:color="000000" w:sz="4" w:space="0"/>
              <w:left w:val="single" w:color="000000" w:sz="12" w:space="0"/>
              <w:bottom w:val="single" w:color="000000" w:sz="4" w:space="0"/>
              <w:right w:val="single" w:color="000000" w:sz="4" w:space="0"/>
            </w:tcBorders>
            <w:vAlign w:val="center"/>
          </w:tcPr>
          <w:p>
            <w:pPr>
              <w:wordWrap/>
              <w:adjustRightInd/>
              <w:snapToGrid/>
              <w:spacing w:before="0" w:after="0" w:line="560" w:lineRule="exact"/>
              <w:ind w:left="0" w:leftChars="0" w:right="0"/>
              <w:jc w:val="center"/>
              <w:outlineLvl w:val="9"/>
              <w:rPr>
                <w:rFonts w:hint="eastAsia" w:ascii="仿宋_GB2312" w:hAnsi="仿宋_GB2312" w:eastAsia="仿宋_GB2312" w:cs="仿宋_GB2312"/>
                <w:i w:val="0"/>
                <w:color w:val="auto"/>
                <w:sz w:val="28"/>
                <w:szCs w:val="28"/>
                <w:u w:val="none"/>
              </w:rPr>
            </w:pPr>
          </w:p>
        </w:tc>
        <w:tc>
          <w:tcPr>
            <w:tcW w:w="3083"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after="0" w:line="560" w:lineRule="exact"/>
              <w:ind w:left="0" w:leftChars="0" w:right="0"/>
              <w:jc w:val="center"/>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rPr>
              <w:t>日志管理</w:t>
            </w:r>
          </w:p>
        </w:tc>
        <w:tc>
          <w:tcPr>
            <w:tcW w:w="4406" w:type="dxa"/>
            <w:tcBorders>
              <w:top w:val="single" w:color="000000" w:sz="4" w:space="0"/>
              <w:left w:val="single" w:color="000000" w:sz="4" w:space="0"/>
              <w:bottom w:val="single" w:color="000000" w:sz="4" w:space="0"/>
              <w:right w:val="single" w:color="000000" w:sz="12" w:space="0"/>
            </w:tcBorders>
            <w:vAlign w:val="center"/>
          </w:tcPr>
          <w:p>
            <w:pPr>
              <w:widowControl/>
              <w:wordWrap/>
              <w:adjustRightInd/>
              <w:snapToGrid/>
              <w:spacing w:before="0" w:after="0" w:line="560" w:lineRule="exact"/>
              <w:ind w:left="0" w:leftChars="0" w:right="0" w:firstLine="0" w:firstLineChars="0"/>
              <w:jc w:val="left"/>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rPr>
              <w:t>针对系统新的功能，增加用户相应的使用行为记录。</w:t>
            </w:r>
          </w:p>
        </w:tc>
      </w:tr>
      <w:tr>
        <w:trPr>
          <w:trHeight w:val="613" w:hRule="atLeast"/>
        </w:trPr>
        <w:tc>
          <w:tcPr>
            <w:tcW w:w="1332" w:type="dxa"/>
            <w:vMerge w:val="continue"/>
            <w:tcBorders>
              <w:top w:val="single" w:color="000000" w:sz="4" w:space="0"/>
              <w:left w:val="single" w:color="000000" w:sz="12" w:space="0"/>
              <w:bottom w:val="single" w:color="000000" w:sz="4" w:space="0"/>
              <w:right w:val="single" w:color="000000" w:sz="4" w:space="0"/>
            </w:tcBorders>
            <w:vAlign w:val="center"/>
          </w:tcPr>
          <w:p>
            <w:pPr>
              <w:wordWrap/>
              <w:adjustRightInd/>
              <w:snapToGrid/>
              <w:spacing w:before="0" w:after="0" w:line="560" w:lineRule="exact"/>
              <w:ind w:left="0" w:leftChars="0" w:right="0"/>
              <w:jc w:val="center"/>
              <w:outlineLvl w:val="9"/>
              <w:rPr>
                <w:rFonts w:hint="eastAsia" w:ascii="仿宋_GB2312" w:hAnsi="仿宋_GB2312" w:eastAsia="仿宋_GB2312" w:cs="仿宋_GB2312"/>
                <w:i w:val="0"/>
                <w:color w:val="auto"/>
                <w:sz w:val="28"/>
                <w:szCs w:val="28"/>
                <w:u w:val="none"/>
              </w:rPr>
            </w:pPr>
          </w:p>
        </w:tc>
        <w:tc>
          <w:tcPr>
            <w:tcW w:w="3083"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after="0" w:line="560" w:lineRule="exact"/>
              <w:ind w:left="0" w:leftChars="0" w:right="0"/>
              <w:jc w:val="center"/>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rPr>
              <w:t>参数配置</w:t>
            </w:r>
          </w:p>
        </w:tc>
        <w:tc>
          <w:tcPr>
            <w:tcW w:w="4406" w:type="dxa"/>
            <w:tcBorders>
              <w:top w:val="single" w:color="000000" w:sz="4" w:space="0"/>
              <w:left w:val="single" w:color="000000" w:sz="4" w:space="0"/>
              <w:bottom w:val="single" w:color="000000" w:sz="4" w:space="0"/>
              <w:right w:val="single" w:color="000000" w:sz="12" w:space="0"/>
            </w:tcBorders>
            <w:vAlign w:val="center"/>
          </w:tcPr>
          <w:p>
            <w:pPr>
              <w:widowControl/>
              <w:wordWrap/>
              <w:adjustRightInd/>
              <w:snapToGrid/>
              <w:spacing w:before="0" w:after="0" w:line="560" w:lineRule="exact"/>
              <w:ind w:left="0" w:leftChars="0" w:right="0" w:firstLine="0" w:firstLineChars="0"/>
              <w:jc w:val="both"/>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rPr>
              <w:t>针对系统新的功能，系统初始化时增加相应的基础配置。</w:t>
            </w:r>
          </w:p>
        </w:tc>
      </w:tr>
      <w:tr>
        <w:trPr>
          <w:trHeight w:val="912" w:hRule="atLeast"/>
        </w:trPr>
        <w:tc>
          <w:tcPr>
            <w:tcW w:w="1332" w:type="dxa"/>
            <w:vMerge w:val="restart"/>
            <w:tcBorders>
              <w:top w:val="single" w:color="000000" w:sz="4" w:space="0"/>
              <w:left w:val="single" w:color="000000" w:sz="12" w:space="0"/>
              <w:bottom w:val="single" w:color="000000" w:sz="12" w:space="0"/>
              <w:right w:val="single" w:color="000000" w:sz="4" w:space="0"/>
            </w:tcBorders>
            <w:vAlign w:val="center"/>
          </w:tcPr>
          <w:p>
            <w:pPr>
              <w:widowControl/>
              <w:wordWrap/>
              <w:adjustRightInd/>
              <w:snapToGrid/>
              <w:spacing w:before="0" w:after="0" w:line="560" w:lineRule="exact"/>
              <w:ind w:left="0" w:leftChars="0" w:right="0" w:firstLine="0" w:firstLineChars="0"/>
              <w:jc w:val="both"/>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rPr>
              <w:t xml:space="preserve"> 辅助功能</w:t>
            </w:r>
          </w:p>
        </w:tc>
        <w:tc>
          <w:tcPr>
            <w:tcW w:w="1536"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after="0" w:line="560" w:lineRule="exact"/>
              <w:ind w:left="0" w:leftChars="0" w:right="0" w:firstLine="0" w:firstLineChars="0"/>
              <w:jc w:val="both"/>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rPr>
              <w:t>年度计划/总结</w:t>
            </w:r>
          </w:p>
        </w:tc>
        <w:tc>
          <w:tcPr>
            <w:tcW w:w="154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after="0" w:line="560" w:lineRule="exact"/>
              <w:ind w:left="0" w:leftChars="0" w:right="0" w:firstLine="0" w:firstLineChars="0"/>
              <w:jc w:val="both"/>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rPr>
              <w:t xml:space="preserve"> 年度计划</w:t>
            </w:r>
          </w:p>
        </w:tc>
        <w:tc>
          <w:tcPr>
            <w:tcW w:w="4406" w:type="dxa"/>
            <w:tcBorders>
              <w:top w:val="single" w:color="000000" w:sz="4" w:space="0"/>
              <w:left w:val="single" w:color="000000" w:sz="4" w:space="0"/>
              <w:bottom w:val="single" w:color="000000" w:sz="4" w:space="0"/>
              <w:right w:val="single" w:color="000000" w:sz="12" w:space="0"/>
            </w:tcBorders>
            <w:vAlign w:val="center"/>
          </w:tcPr>
          <w:p>
            <w:pPr>
              <w:widowControl/>
              <w:wordWrap/>
              <w:adjustRightInd/>
              <w:snapToGrid/>
              <w:spacing w:before="0" w:after="0" w:line="560" w:lineRule="exact"/>
              <w:ind w:left="0" w:leftChars="0" w:right="0" w:firstLine="0" w:firstLineChars="0"/>
              <w:jc w:val="left"/>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rPr>
              <w:t>各级管局每年要提交年度计划，实现分层级管理，区管局可以看到所有管局的计划，其他管局可以看到自己及其下级管局的计划。</w:t>
            </w:r>
          </w:p>
        </w:tc>
      </w:tr>
      <w:tr>
        <w:trPr>
          <w:trHeight w:val="960" w:hRule="atLeast"/>
        </w:trPr>
        <w:tc>
          <w:tcPr>
            <w:tcW w:w="1332" w:type="dxa"/>
            <w:vMerge w:val="continue"/>
            <w:tcBorders>
              <w:top w:val="single" w:color="000000" w:sz="4" w:space="0"/>
              <w:left w:val="single" w:color="000000" w:sz="12" w:space="0"/>
              <w:bottom w:val="single" w:color="000000" w:sz="12" w:space="0"/>
              <w:right w:val="single" w:color="000000" w:sz="4" w:space="0"/>
            </w:tcBorders>
            <w:vAlign w:val="center"/>
          </w:tcPr>
          <w:p>
            <w:pPr>
              <w:wordWrap/>
              <w:adjustRightInd/>
              <w:snapToGrid/>
              <w:spacing w:before="0" w:after="0" w:line="560" w:lineRule="exact"/>
              <w:ind w:left="0" w:leftChars="0" w:right="0"/>
              <w:jc w:val="center"/>
              <w:outlineLvl w:val="9"/>
              <w:rPr>
                <w:rFonts w:hint="eastAsia" w:ascii="仿宋_GB2312" w:hAnsi="仿宋_GB2312" w:eastAsia="仿宋_GB2312" w:cs="仿宋_GB2312"/>
                <w:i w:val="0"/>
                <w:color w:val="auto"/>
                <w:sz w:val="28"/>
                <w:szCs w:val="28"/>
                <w:u w:val="none"/>
              </w:rPr>
            </w:pPr>
          </w:p>
        </w:tc>
        <w:tc>
          <w:tcPr>
            <w:tcW w:w="1536"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before="0" w:after="0" w:line="560" w:lineRule="exact"/>
              <w:ind w:left="0" w:leftChars="0" w:right="0"/>
              <w:jc w:val="center"/>
              <w:outlineLvl w:val="9"/>
              <w:rPr>
                <w:rFonts w:hint="eastAsia" w:ascii="仿宋_GB2312" w:hAnsi="仿宋_GB2312" w:eastAsia="仿宋_GB2312" w:cs="仿宋_GB2312"/>
                <w:i w:val="0"/>
                <w:color w:val="auto"/>
                <w:sz w:val="28"/>
                <w:szCs w:val="28"/>
                <w:u w:val="none"/>
              </w:rPr>
            </w:pPr>
          </w:p>
        </w:tc>
        <w:tc>
          <w:tcPr>
            <w:tcW w:w="154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after="0" w:line="560" w:lineRule="exact"/>
              <w:ind w:left="0" w:leftChars="0" w:right="0" w:firstLine="0" w:firstLineChars="0"/>
              <w:jc w:val="both"/>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rPr>
              <w:t xml:space="preserve"> 年度总结</w:t>
            </w:r>
          </w:p>
        </w:tc>
        <w:tc>
          <w:tcPr>
            <w:tcW w:w="4406" w:type="dxa"/>
            <w:tcBorders>
              <w:top w:val="single" w:color="000000" w:sz="4" w:space="0"/>
              <w:left w:val="single" w:color="000000" w:sz="4" w:space="0"/>
              <w:bottom w:val="single" w:color="000000" w:sz="4" w:space="0"/>
              <w:right w:val="single" w:color="000000" w:sz="12" w:space="0"/>
            </w:tcBorders>
            <w:vAlign w:val="center"/>
          </w:tcPr>
          <w:p>
            <w:pPr>
              <w:widowControl/>
              <w:wordWrap/>
              <w:adjustRightInd/>
              <w:snapToGrid/>
              <w:spacing w:before="0" w:after="0" w:line="560" w:lineRule="exact"/>
              <w:ind w:left="0" w:leftChars="0" w:right="0" w:firstLine="0" w:firstLineChars="0"/>
              <w:jc w:val="left"/>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rPr>
              <w:t>各级管局每年要提交年度总结报告，实现分层级管理，区管局可以看到所有管局的报告，其他管局可以看到自己及其下级管局的报告。</w:t>
            </w:r>
          </w:p>
        </w:tc>
      </w:tr>
      <w:tr>
        <w:trPr>
          <w:trHeight w:val="613" w:hRule="atLeast"/>
        </w:trPr>
        <w:tc>
          <w:tcPr>
            <w:tcW w:w="1332" w:type="dxa"/>
            <w:vMerge w:val="continue"/>
            <w:tcBorders>
              <w:top w:val="single" w:color="000000" w:sz="4" w:space="0"/>
              <w:left w:val="single" w:color="000000" w:sz="12" w:space="0"/>
              <w:bottom w:val="single" w:color="000000" w:sz="12" w:space="0"/>
              <w:right w:val="single" w:color="000000" w:sz="4" w:space="0"/>
            </w:tcBorders>
            <w:vAlign w:val="center"/>
          </w:tcPr>
          <w:p>
            <w:pPr>
              <w:wordWrap/>
              <w:adjustRightInd/>
              <w:snapToGrid/>
              <w:spacing w:before="0" w:after="0" w:line="560" w:lineRule="exact"/>
              <w:ind w:left="0" w:leftChars="0" w:right="0"/>
              <w:jc w:val="center"/>
              <w:outlineLvl w:val="9"/>
              <w:rPr>
                <w:rFonts w:hint="eastAsia" w:ascii="仿宋_GB2312" w:hAnsi="仿宋_GB2312" w:eastAsia="仿宋_GB2312" w:cs="仿宋_GB2312"/>
                <w:i w:val="0"/>
                <w:color w:val="auto"/>
                <w:sz w:val="28"/>
                <w:szCs w:val="28"/>
                <w:u w:val="none"/>
              </w:rPr>
            </w:pPr>
          </w:p>
        </w:tc>
        <w:tc>
          <w:tcPr>
            <w:tcW w:w="1536"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after="0" w:line="560" w:lineRule="exact"/>
              <w:ind w:left="0" w:leftChars="0" w:right="0" w:firstLine="0" w:firstLineChars="0"/>
              <w:jc w:val="both"/>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rPr>
              <w:t>节能工作档案管理</w:t>
            </w:r>
          </w:p>
        </w:tc>
        <w:tc>
          <w:tcPr>
            <w:tcW w:w="154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after="0" w:line="560" w:lineRule="exact"/>
              <w:ind w:left="0" w:leftChars="0" w:right="0" w:firstLine="0" w:firstLineChars="0"/>
              <w:jc w:val="both"/>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rPr>
              <w:t>已完成项目</w:t>
            </w:r>
          </w:p>
        </w:tc>
        <w:tc>
          <w:tcPr>
            <w:tcW w:w="4406" w:type="dxa"/>
            <w:tcBorders>
              <w:top w:val="single" w:color="000000" w:sz="4" w:space="0"/>
              <w:left w:val="single" w:color="000000" w:sz="4" w:space="0"/>
              <w:bottom w:val="single" w:color="000000" w:sz="4" w:space="0"/>
              <w:right w:val="single" w:color="000000" w:sz="12" w:space="0"/>
            </w:tcBorders>
            <w:vAlign w:val="center"/>
          </w:tcPr>
          <w:p>
            <w:pPr>
              <w:widowControl/>
              <w:wordWrap/>
              <w:adjustRightInd/>
              <w:snapToGrid/>
              <w:spacing w:before="0" w:after="0" w:line="560" w:lineRule="exact"/>
              <w:ind w:left="0" w:leftChars="0" w:right="0" w:firstLine="0" w:firstLineChars="0"/>
              <w:jc w:val="both"/>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rPr>
              <w:t>展示已归档的节能工作项目，归档后可进行查询统计。</w:t>
            </w:r>
          </w:p>
        </w:tc>
      </w:tr>
      <w:tr>
        <w:trPr>
          <w:trHeight w:val="1273" w:hRule="atLeast"/>
        </w:trPr>
        <w:tc>
          <w:tcPr>
            <w:tcW w:w="1332" w:type="dxa"/>
            <w:vMerge w:val="continue"/>
            <w:tcBorders>
              <w:top w:val="single" w:color="000000" w:sz="4" w:space="0"/>
              <w:left w:val="single" w:color="000000" w:sz="12" w:space="0"/>
              <w:bottom w:val="single" w:color="000000" w:sz="12" w:space="0"/>
              <w:right w:val="single" w:color="000000" w:sz="4" w:space="0"/>
            </w:tcBorders>
            <w:vAlign w:val="center"/>
          </w:tcPr>
          <w:p>
            <w:pPr>
              <w:wordWrap/>
              <w:adjustRightInd/>
              <w:snapToGrid/>
              <w:spacing w:before="0" w:after="0" w:line="560" w:lineRule="exact"/>
              <w:ind w:left="0" w:leftChars="0" w:right="0"/>
              <w:jc w:val="center"/>
              <w:outlineLvl w:val="9"/>
              <w:rPr>
                <w:rFonts w:hint="eastAsia" w:ascii="仿宋_GB2312" w:hAnsi="仿宋_GB2312" w:eastAsia="仿宋_GB2312" w:cs="仿宋_GB2312"/>
                <w:i w:val="0"/>
                <w:color w:val="auto"/>
                <w:sz w:val="28"/>
                <w:szCs w:val="28"/>
                <w:u w:val="none"/>
              </w:rPr>
            </w:pPr>
          </w:p>
        </w:tc>
        <w:tc>
          <w:tcPr>
            <w:tcW w:w="1536"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snapToGrid/>
              <w:spacing w:before="0" w:after="0" w:line="560" w:lineRule="exact"/>
              <w:ind w:left="0" w:leftChars="0" w:right="0"/>
              <w:jc w:val="center"/>
              <w:outlineLvl w:val="9"/>
              <w:rPr>
                <w:rFonts w:hint="eastAsia" w:ascii="仿宋_GB2312" w:hAnsi="仿宋_GB2312" w:eastAsia="仿宋_GB2312" w:cs="仿宋_GB2312"/>
                <w:i w:val="0"/>
                <w:color w:val="auto"/>
                <w:sz w:val="28"/>
                <w:szCs w:val="28"/>
                <w:u w:val="none"/>
              </w:rPr>
            </w:pPr>
          </w:p>
        </w:tc>
        <w:tc>
          <w:tcPr>
            <w:tcW w:w="154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after="0" w:line="560" w:lineRule="exact"/>
              <w:ind w:left="0" w:leftChars="0" w:right="0" w:firstLine="0" w:firstLineChars="0"/>
              <w:jc w:val="both"/>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rPr>
              <w:t>正在实施项目</w:t>
            </w:r>
          </w:p>
        </w:tc>
        <w:tc>
          <w:tcPr>
            <w:tcW w:w="4406" w:type="dxa"/>
            <w:tcBorders>
              <w:top w:val="single" w:color="000000" w:sz="4" w:space="0"/>
              <w:left w:val="single" w:color="000000" w:sz="4" w:space="0"/>
              <w:bottom w:val="single" w:color="000000" w:sz="4" w:space="0"/>
              <w:right w:val="single" w:color="000000" w:sz="12" w:space="0"/>
            </w:tcBorders>
            <w:vAlign w:val="center"/>
          </w:tcPr>
          <w:p>
            <w:pPr>
              <w:widowControl/>
              <w:wordWrap/>
              <w:adjustRightInd/>
              <w:snapToGrid/>
              <w:spacing w:before="0" w:after="0" w:line="560" w:lineRule="exact"/>
              <w:ind w:left="0" w:leftChars="0" w:right="0" w:firstLine="0" w:firstLineChars="0"/>
              <w:jc w:val="left"/>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rPr>
              <w:t>项目录入后正在实施项目列表展示，在此处可以进行跟进和管理，针对项目跟进情况可做进一步分析，如实施率、分布情况等。对于示范项目可进行推荐，示范项目需要进行提交审核。</w:t>
            </w:r>
          </w:p>
        </w:tc>
      </w:tr>
      <w:tr>
        <w:trPr>
          <w:trHeight w:val="613" w:hRule="atLeast"/>
        </w:trPr>
        <w:tc>
          <w:tcPr>
            <w:tcW w:w="1332" w:type="dxa"/>
            <w:vMerge w:val="continue"/>
            <w:tcBorders>
              <w:top w:val="single" w:color="000000" w:sz="4" w:space="0"/>
              <w:left w:val="single" w:color="000000" w:sz="12" w:space="0"/>
              <w:bottom w:val="single" w:color="000000" w:sz="12" w:space="0"/>
              <w:right w:val="single" w:color="000000" w:sz="4" w:space="0"/>
            </w:tcBorders>
            <w:vAlign w:val="center"/>
          </w:tcPr>
          <w:p>
            <w:pPr>
              <w:wordWrap/>
              <w:adjustRightInd/>
              <w:snapToGrid/>
              <w:spacing w:before="0" w:after="0" w:line="560" w:lineRule="exact"/>
              <w:ind w:left="0" w:leftChars="0" w:right="0"/>
              <w:jc w:val="center"/>
              <w:outlineLvl w:val="9"/>
              <w:rPr>
                <w:rFonts w:hint="eastAsia" w:ascii="仿宋_GB2312" w:hAnsi="仿宋_GB2312" w:eastAsia="仿宋_GB2312" w:cs="仿宋_GB2312"/>
                <w:i w:val="0"/>
                <w:color w:val="auto"/>
                <w:sz w:val="28"/>
                <w:szCs w:val="28"/>
                <w:u w:val="none"/>
              </w:rPr>
            </w:pPr>
          </w:p>
        </w:tc>
        <w:tc>
          <w:tcPr>
            <w:tcW w:w="153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after="0" w:line="560" w:lineRule="exact"/>
              <w:ind w:left="0" w:leftChars="0" w:right="0" w:firstLine="0" w:firstLineChars="0"/>
              <w:jc w:val="both"/>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rPr>
              <w:t xml:space="preserve"> 政策法规</w:t>
            </w:r>
          </w:p>
        </w:tc>
        <w:tc>
          <w:tcPr>
            <w:tcW w:w="154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before="0" w:after="0" w:line="560" w:lineRule="exact"/>
              <w:ind w:left="0" w:leftChars="0" w:right="0"/>
              <w:jc w:val="both"/>
              <w:outlineLvl w:val="9"/>
              <w:rPr>
                <w:rFonts w:hint="eastAsia" w:ascii="仿宋_GB2312" w:hAnsi="仿宋_GB2312" w:eastAsia="仿宋_GB2312" w:cs="仿宋_GB2312"/>
                <w:i w:val="0"/>
                <w:color w:val="auto"/>
                <w:sz w:val="28"/>
                <w:szCs w:val="28"/>
                <w:u w:val="none"/>
              </w:rPr>
            </w:pPr>
          </w:p>
        </w:tc>
        <w:tc>
          <w:tcPr>
            <w:tcW w:w="4406" w:type="dxa"/>
            <w:tcBorders>
              <w:top w:val="single" w:color="000000" w:sz="4" w:space="0"/>
              <w:left w:val="single" w:color="000000" w:sz="4" w:space="0"/>
              <w:bottom w:val="single" w:color="000000" w:sz="4" w:space="0"/>
              <w:right w:val="single" w:color="000000" w:sz="12" w:space="0"/>
            </w:tcBorders>
            <w:vAlign w:val="center"/>
          </w:tcPr>
          <w:p>
            <w:pPr>
              <w:widowControl/>
              <w:wordWrap/>
              <w:adjustRightInd/>
              <w:snapToGrid/>
              <w:spacing w:before="0" w:after="0" w:line="560" w:lineRule="exact"/>
              <w:ind w:left="0" w:leftChars="0" w:right="0" w:firstLine="0" w:firstLineChars="0"/>
              <w:jc w:val="both"/>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rPr>
              <w:t>相关政策法规发布、查看、查询等管理功能。</w:t>
            </w:r>
          </w:p>
        </w:tc>
      </w:tr>
      <w:tr>
        <w:trPr>
          <w:trHeight w:val="613" w:hRule="atLeast"/>
        </w:trPr>
        <w:tc>
          <w:tcPr>
            <w:tcW w:w="1332" w:type="dxa"/>
            <w:vMerge w:val="continue"/>
            <w:tcBorders>
              <w:top w:val="single" w:color="000000" w:sz="4" w:space="0"/>
              <w:left w:val="single" w:color="000000" w:sz="12" w:space="0"/>
              <w:bottom w:val="single" w:color="000000" w:sz="12" w:space="0"/>
              <w:right w:val="single" w:color="000000" w:sz="4" w:space="0"/>
            </w:tcBorders>
            <w:vAlign w:val="center"/>
          </w:tcPr>
          <w:p>
            <w:pPr>
              <w:wordWrap/>
              <w:adjustRightInd/>
              <w:snapToGrid/>
              <w:spacing w:before="0" w:after="0" w:line="560" w:lineRule="exact"/>
              <w:ind w:left="0" w:leftChars="0" w:right="0"/>
              <w:jc w:val="center"/>
              <w:outlineLvl w:val="9"/>
              <w:rPr>
                <w:rFonts w:hint="eastAsia" w:ascii="仿宋_GB2312" w:hAnsi="仿宋_GB2312" w:eastAsia="仿宋_GB2312" w:cs="仿宋_GB2312"/>
                <w:i w:val="0"/>
                <w:color w:val="auto"/>
                <w:sz w:val="28"/>
                <w:szCs w:val="28"/>
                <w:u w:val="none"/>
              </w:rPr>
            </w:pPr>
          </w:p>
        </w:tc>
        <w:tc>
          <w:tcPr>
            <w:tcW w:w="153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after="0" w:line="560" w:lineRule="exact"/>
              <w:ind w:left="0" w:leftChars="0" w:right="0" w:firstLine="0" w:firstLineChars="0"/>
              <w:jc w:val="both"/>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rPr>
              <w:t xml:space="preserve"> 通知公告</w:t>
            </w:r>
          </w:p>
        </w:tc>
        <w:tc>
          <w:tcPr>
            <w:tcW w:w="1547"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before="0" w:after="0" w:line="560" w:lineRule="exact"/>
              <w:ind w:left="0" w:leftChars="0" w:right="0"/>
              <w:jc w:val="both"/>
              <w:outlineLvl w:val="9"/>
              <w:rPr>
                <w:rFonts w:hint="eastAsia" w:ascii="仿宋_GB2312" w:hAnsi="仿宋_GB2312" w:eastAsia="仿宋_GB2312" w:cs="仿宋_GB2312"/>
                <w:i w:val="0"/>
                <w:color w:val="auto"/>
                <w:sz w:val="28"/>
                <w:szCs w:val="28"/>
                <w:u w:val="none"/>
              </w:rPr>
            </w:pPr>
          </w:p>
        </w:tc>
        <w:tc>
          <w:tcPr>
            <w:tcW w:w="4406" w:type="dxa"/>
            <w:tcBorders>
              <w:top w:val="single" w:color="000000" w:sz="4" w:space="0"/>
              <w:left w:val="single" w:color="000000" w:sz="4" w:space="0"/>
              <w:bottom w:val="single" w:color="000000" w:sz="4" w:space="0"/>
              <w:right w:val="single" w:color="000000" w:sz="12" w:space="0"/>
            </w:tcBorders>
            <w:vAlign w:val="center"/>
          </w:tcPr>
          <w:p>
            <w:pPr>
              <w:widowControl/>
              <w:wordWrap/>
              <w:adjustRightInd/>
              <w:snapToGrid/>
              <w:spacing w:before="0" w:after="0" w:line="560" w:lineRule="exact"/>
              <w:ind w:left="0" w:leftChars="0" w:right="0" w:firstLine="0" w:firstLineChars="0"/>
              <w:jc w:val="both"/>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rPr>
              <w:t>相关通知公告发布、审核、下载、查看等管理功能。</w:t>
            </w:r>
          </w:p>
        </w:tc>
      </w:tr>
      <w:tr>
        <w:trPr>
          <w:trHeight w:val="613" w:hRule="atLeast"/>
        </w:trPr>
        <w:tc>
          <w:tcPr>
            <w:tcW w:w="1332" w:type="dxa"/>
            <w:vMerge w:val="continue"/>
            <w:tcBorders>
              <w:top w:val="single" w:color="000000" w:sz="4" w:space="0"/>
              <w:left w:val="single" w:color="000000" w:sz="12" w:space="0"/>
              <w:bottom w:val="single" w:color="000000" w:sz="12" w:space="0"/>
              <w:right w:val="single" w:color="000000" w:sz="4" w:space="0"/>
            </w:tcBorders>
            <w:vAlign w:val="center"/>
          </w:tcPr>
          <w:p>
            <w:pPr>
              <w:wordWrap/>
              <w:adjustRightInd/>
              <w:snapToGrid/>
              <w:spacing w:before="0" w:after="0" w:line="560" w:lineRule="exact"/>
              <w:ind w:left="0" w:leftChars="0" w:right="0"/>
              <w:jc w:val="center"/>
              <w:outlineLvl w:val="9"/>
              <w:rPr>
                <w:rFonts w:hint="eastAsia" w:ascii="仿宋_GB2312" w:hAnsi="仿宋_GB2312" w:eastAsia="仿宋_GB2312" w:cs="仿宋_GB2312"/>
                <w:i w:val="0"/>
                <w:color w:val="auto"/>
                <w:sz w:val="28"/>
                <w:szCs w:val="28"/>
                <w:u w:val="none"/>
              </w:rPr>
            </w:pPr>
          </w:p>
        </w:tc>
        <w:tc>
          <w:tcPr>
            <w:tcW w:w="1536" w:type="dxa"/>
            <w:tcBorders>
              <w:top w:val="single" w:color="000000" w:sz="4" w:space="0"/>
              <w:left w:val="single" w:color="000000" w:sz="4" w:space="0"/>
              <w:bottom w:val="single" w:color="000000" w:sz="12" w:space="0"/>
              <w:right w:val="single" w:color="000000" w:sz="4" w:space="0"/>
            </w:tcBorders>
            <w:vAlign w:val="center"/>
          </w:tcPr>
          <w:p>
            <w:pPr>
              <w:widowControl/>
              <w:wordWrap/>
              <w:adjustRightInd/>
              <w:snapToGrid/>
              <w:spacing w:before="0" w:after="0" w:line="560" w:lineRule="exact"/>
              <w:ind w:left="0" w:leftChars="0" w:right="0" w:firstLine="0" w:firstLineChars="0"/>
              <w:jc w:val="both"/>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rPr>
              <w:t>节能管理员通讯录</w:t>
            </w:r>
          </w:p>
        </w:tc>
        <w:tc>
          <w:tcPr>
            <w:tcW w:w="1547" w:type="dxa"/>
            <w:tcBorders>
              <w:top w:val="single" w:color="000000" w:sz="4" w:space="0"/>
              <w:left w:val="single" w:color="000000" w:sz="4" w:space="0"/>
              <w:bottom w:val="single" w:color="000000" w:sz="12" w:space="0"/>
              <w:right w:val="single" w:color="000000" w:sz="4" w:space="0"/>
            </w:tcBorders>
            <w:vAlign w:val="center"/>
          </w:tcPr>
          <w:p>
            <w:pPr>
              <w:wordWrap/>
              <w:adjustRightInd/>
              <w:snapToGrid/>
              <w:spacing w:before="0" w:after="0" w:line="560" w:lineRule="exact"/>
              <w:ind w:left="0" w:leftChars="0" w:right="0"/>
              <w:jc w:val="both"/>
              <w:outlineLvl w:val="9"/>
              <w:rPr>
                <w:rFonts w:hint="eastAsia" w:ascii="仿宋_GB2312" w:hAnsi="仿宋_GB2312" w:eastAsia="仿宋_GB2312" w:cs="仿宋_GB2312"/>
                <w:i w:val="0"/>
                <w:color w:val="auto"/>
                <w:sz w:val="28"/>
                <w:szCs w:val="28"/>
                <w:u w:val="none"/>
              </w:rPr>
            </w:pPr>
          </w:p>
        </w:tc>
        <w:tc>
          <w:tcPr>
            <w:tcW w:w="4406" w:type="dxa"/>
            <w:tcBorders>
              <w:top w:val="single" w:color="000000" w:sz="4" w:space="0"/>
              <w:left w:val="single" w:color="000000" w:sz="4" w:space="0"/>
              <w:bottom w:val="single" w:color="000000" w:sz="12" w:space="0"/>
              <w:right w:val="single" w:color="000000" w:sz="12" w:space="0"/>
            </w:tcBorders>
            <w:vAlign w:val="center"/>
          </w:tcPr>
          <w:p>
            <w:pPr>
              <w:widowControl/>
              <w:wordWrap/>
              <w:adjustRightInd/>
              <w:snapToGrid/>
              <w:spacing w:before="0" w:after="0" w:line="560" w:lineRule="exact"/>
              <w:ind w:left="0" w:leftChars="0" w:right="0" w:firstLine="0" w:firstLineChars="0"/>
              <w:jc w:val="both"/>
              <w:textAlignment w:val="center"/>
              <w:outlineLvl w:val="9"/>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rPr>
              <w:t>节能管理员信息的录入、修改、删除、查询等管理功能。</w:t>
            </w:r>
          </w:p>
        </w:tc>
      </w:tr>
    </w:tbl>
    <w:p>
      <w:pPr>
        <w:wordWrap/>
        <w:adjustRightInd/>
        <w:snapToGrid/>
        <w:spacing w:before="0" w:after="0" w:line="560" w:lineRule="exact"/>
        <w:ind w:left="0" w:leftChars="0" w:right="0" w:firstLine="0" w:firstLineChars="0"/>
        <w:outlineLvl w:val="9"/>
        <w:rPr>
          <w:rFonts w:hint="eastAsia" w:ascii="仿宋_GB2312" w:hAnsi="仿宋_GB2312" w:eastAsia="仿宋_GB2312" w:cs="仿宋_GB2312"/>
          <w:color w:val="auto"/>
          <w:sz w:val="28"/>
          <w:szCs w:val="28"/>
        </w:rPr>
      </w:pPr>
    </w:p>
    <w:p>
      <w:pPr>
        <w:pStyle w:val="3"/>
        <w:numPr>
          <w:ilvl w:val="1"/>
          <w:numId w:val="0"/>
        </w:numPr>
        <w:rPr>
          <w:rFonts w:hint="eastAsia" w:ascii="黑体" w:hAnsi="黑体" w:eastAsia="黑体" w:cs="黑体"/>
          <w:color w:val="auto"/>
          <w:sz w:val="28"/>
          <w:szCs w:val="28"/>
          <w:lang w:val="en-US" w:eastAsia="zh-CN"/>
        </w:rPr>
      </w:pPr>
      <w:bookmarkStart w:id="79" w:name="_Toc28270_WPSOffice_Level2"/>
      <w:bookmarkStart w:id="80" w:name="_Toc29459"/>
      <w:r>
        <w:rPr>
          <w:rFonts w:hint="eastAsia" w:ascii="黑体" w:hAnsi="黑体" w:eastAsia="黑体" w:cs="黑体"/>
          <w:color w:val="auto"/>
          <w:sz w:val="28"/>
          <w:szCs w:val="28"/>
          <w:lang w:val="en-US" w:eastAsia="zh-CN"/>
        </w:rPr>
        <w:t>四．项目建设周期</w:t>
      </w:r>
      <w:bookmarkEnd w:id="79"/>
      <w:bookmarkEnd w:id="80"/>
    </w:p>
    <w:p>
      <w:pPr>
        <w:widowControl w:val="0"/>
        <w:wordWrap/>
        <w:adjustRightInd/>
        <w:snapToGrid/>
        <w:spacing w:before="0" w:after="0" w:line="560" w:lineRule="exact"/>
        <w:ind w:left="0" w:leftChars="0" w:right="0" w:firstLine="560" w:firstLineChars="200"/>
        <w:jc w:val="both"/>
        <w:textAlignment w:val="auto"/>
        <w:outlineLvl w:val="9"/>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auto"/>
          <w:sz w:val="28"/>
          <w:szCs w:val="28"/>
        </w:rPr>
        <w:t>自治区公共机构节能管理系统建设项目，涉及到信息化基础设施建设、应用系统建设、网络通讯系统建设、安全防护系统建设等</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建设周期</w:t>
      </w:r>
      <w:r>
        <w:rPr>
          <w:rFonts w:hint="eastAsia" w:ascii="仿宋_GB2312" w:hAnsi="仿宋_GB2312" w:eastAsia="仿宋_GB2312" w:cs="仿宋_GB2312"/>
          <w:color w:val="000000"/>
          <w:sz w:val="28"/>
          <w:szCs w:val="28"/>
          <w:lang w:eastAsia="zh-CN"/>
        </w:rPr>
        <w:t>为</w:t>
      </w:r>
      <w:r>
        <w:rPr>
          <w:rFonts w:hint="eastAsia"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rPr>
        <w:t>个月</w:t>
      </w:r>
      <w:r>
        <w:rPr>
          <w:rFonts w:hint="eastAsia" w:ascii="仿宋_GB2312" w:hAnsi="仿宋_GB2312" w:eastAsia="仿宋_GB2312" w:cs="仿宋_GB2312"/>
          <w:color w:val="000000"/>
          <w:sz w:val="28"/>
          <w:szCs w:val="28"/>
          <w:lang w:eastAsia="zh-CN"/>
        </w:rPr>
        <w:t>。</w:t>
      </w:r>
    </w:p>
    <w:p>
      <w:pPr>
        <w:pStyle w:val="3"/>
        <w:numPr>
          <w:ilvl w:val="1"/>
          <w:numId w:val="0"/>
        </w:numPr>
        <w:rPr>
          <w:rFonts w:hint="eastAsia" w:ascii="黑体" w:hAnsi="黑体" w:eastAsia="黑体" w:cs="黑体"/>
          <w:color w:val="auto"/>
          <w:sz w:val="28"/>
          <w:szCs w:val="28"/>
          <w:lang w:val="en-US" w:eastAsia="zh-CN"/>
        </w:rPr>
      </w:pPr>
      <w:bookmarkStart w:id="81" w:name="_Toc4281"/>
      <w:bookmarkStart w:id="82" w:name="_Toc341_WPSOffice_Level2"/>
      <w:r>
        <w:rPr>
          <w:rFonts w:hint="eastAsia" w:ascii="黑体" w:hAnsi="黑体" w:eastAsia="黑体" w:cs="黑体"/>
          <w:color w:val="auto"/>
          <w:sz w:val="28"/>
          <w:szCs w:val="28"/>
          <w:lang w:val="en-US" w:eastAsia="zh-CN"/>
        </w:rPr>
        <w:t>五.</w:t>
      </w:r>
      <w:r>
        <w:rPr>
          <w:rFonts w:hint="eastAsia" w:ascii="黑体" w:hAnsi="黑体" w:eastAsia="黑体" w:cs="黑体"/>
          <w:color w:val="auto"/>
          <w:sz w:val="28"/>
          <w:szCs w:val="28"/>
        </w:rPr>
        <w:t>总体性能要求</w:t>
      </w:r>
      <w:bookmarkEnd w:id="81"/>
      <w:bookmarkEnd w:id="82"/>
    </w:p>
    <w:p>
      <w:pPr>
        <w:widowControl w:val="0"/>
        <w:wordWrap/>
        <w:adjustRightInd/>
        <w:snapToGrid/>
        <w:spacing w:before="0" w:after="0" w:line="560" w:lineRule="exact"/>
        <w:ind w:left="0" w:leftChars="0" w:right="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本项目需采用最先进的技术和方法，既反映当今先进科技水平，又具有持续发展潜力。必须保证整个系统的质量和安全，为了施工和维护方便，对系统性能有以下总</w:t>
      </w:r>
      <w:bookmarkStart w:id="83" w:name="page41"/>
      <w:bookmarkEnd w:id="83"/>
      <w:r>
        <w:rPr>
          <w:rFonts w:hint="eastAsia" w:ascii="仿宋_GB2312" w:hAnsi="仿宋_GB2312" w:eastAsia="仿宋_GB2312" w:cs="仿宋_GB2312"/>
          <w:color w:val="auto"/>
          <w:sz w:val="28"/>
          <w:szCs w:val="28"/>
        </w:rPr>
        <w:t>体要求：</w:t>
      </w:r>
    </w:p>
    <w:p>
      <w:pPr>
        <w:widowControl w:val="0"/>
        <w:wordWrap/>
        <w:adjustRightInd/>
        <w:snapToGrid/>
        <w:spacing w:before="0" w:after="0" w:line="560" w:lineRule="exact"/>
        <w:ind w:left="0" w:leftChars="0" w:right="0" w:firstLine="560" w:firstLineChars="200"/>
        <w:jc w:val="both"/>
        <w:textAlignment w:val="auto"/>
        <w:outlineLvl w:val="9"/>
        <w:rPr>
          <w:rFonts w:hint="eastAsia" w:ascii="仿宋_GB2312" w:hAnsi="仿宋_GB2312" w:eastAsia="仿宋_GB2312" w:cs="仿宋_GB2312"/>
          <w:color w:val="auto"/>
          <w:sz w:val="28"/>
          <w:szCs w:val="28"/>
        </w:rPr>
      </w:pPr>
      <w:bookmarkStart w:id="84" w:name="_Toc30866"/>
      <w:bookmarkStart w:id="85" w:name="_Toc29704"/>
      <w:r>
        <w:rPr>
          <w:rFonts w:hint="eastAsia" w:ascii="仿宋_GB2312" w:hAnsi="仿宋_GB2312" w:eastAsia="仿宋_GB2312" w:cs="仿宋_GB2312"/>
          <w:color w:val="auto"/>
          <w:sz w:val="28"/>
          <w:szCs w:val="28"/>
        </w:rPr>
        <w:t>开放性：信息化平台总体应用架构应实现构件化开发部署，具备扩展性好、灵活及兼容性强的特征，其应用软件移植性强，生命周期长。</w:t>
      </w:r>
    </w:p>
    <w:p>
      <w:pPr>
        <w:widowControl w:val="0"/>
        <w:wordWrap/>
        <w:adjustRightInd/>
        <w:snapToGrid/>
        <w:spacing w:before="0" w:after="0" w:line="560" w:lineRule="exact"/>
        <w:ind w:left="0" w:leftChars="0" w:right="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模块化：系统应严格遵循模块化结构的方式进行开发，以满足通用性、可替代性。</w:t>
      </w:r>
    </w:p>
    <w:p>
      <w:pPr>
        <w:widowControl w:val="0"/>
        <w:wordWrap/>
        <w:adjustRightInd/>
        <w:snapToGrid/>
        <w:spacing w:before="0" w:after="0" w:line="560" w:lineRule="exact"/>
        <w:ind w:left="0" w:leftChars="0" w:right="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保障性：在故障或意外情况下有切实可行的应急方案和技术措施，保证系统可靠与安全运行。</w:t>
      </w:r>
    </w:p>
    <w:p>
      <w:pPr>
        <w:widowControl w:val="0"/>
        <w:wordWrap/>
        <w:adjustRightInd/>
        <w:snapToGrid/>
        <w:spacing w:before="0" w:after="0" w:line="560" w:lineRule="exact"/>
        <w:ind w:left="0" w:leftChars="0" w:right="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先进性：采用与技术发展潮流相吻合的产品，保证工程的可延续性。</w:t>
      </w:r>
    </w:p>
    <w:p>
      <w:pPr>
        <w:widowControl w:val="0"/>
        <w:wordWrap/>
        <w:adjustRightInd/>
        <w:snapToGrid/>
        <w:spacing w:before="0" w:after="0" w:line="560" w:lineRule="exact"/>
        <w:ind w:left="0" w:leftChars="0" w:right="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安全性：必须符合国家的安全标准和要求。</w:t>
      </w:r>
    </w:p>
    <w:p>
      <w:pPr>
        <w:widowControl w:val="0"/>
        <w:wordWrap/>
        <w:adjustRightInd/>
        <w:snapToGrid/>
        <w:spacing w:before="0" w:after="0" w:line="560" w:lineRule="exact"/>
        <w:ind w:left="0" w:leftChars="0" w:right="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经济性：系统在满足功能要求的基础上，尽可能降低造价。</w:t>
      </w:r>
    </w:p>
    <w:p>
      <w:pPr>
        <w:widowControl w:val="0"/>
        <w:wordWrap/>
        <w:adjustRightInd/>
        <w:snapToGrid/>
        <w:spacing w:before="0" w:after="0" w:line="560" w:lineRule="exact"/>
        <w:ind w:left="0" w:leftChars="0" w:right="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高性能：系统响应快，网络的吞吐能力强，可以适应未来十年发展需要。</w:t>
      </w:r>
    </w:p>
    <w:p>
      <w:pPr>
        <w:widowControl w:val="0"/>
        <w:wordWrap/>
        <w:adjustRightInd/>
        <w:snapToGrid/>
        <w:spacing w:before="0" w:after="0" w:line="560" w:lineRule="exact"/>
        <w:ind w:left="0" w:leftChars="0" w:right="0" w:firstLine="560" w:firstLineChars="200"/>
        <w:jc w:val="both"/>
        <w:textAlignment w:val="auto"/>
        <w:outlineLvl w:val="9"/>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sz w:val="28"/>
          <w:szCs w:val="28"/>
        </w:rPr>
        <w:t>便捷性：系统使用便捷，操作简单和方便用户。</w:t>
      </w:r>
    </w:p>
    <w:p>
      <w:pPr>
        <w:pStyle w:val="3"/>
        <w:numPr>
          <w:ilvl w:val="1"/>
          <w:numId w:val="0"/>
        </w:numPr>
        <w:rPr>
          <w:rFonts w:hint="eastAsia" w:ascii="黑体" w:hAnsi="黑体" w:eastAsia="黑体" w:cs="黑体"/>
          <w:color w:val="auto"/>
          <w:sz w:val="28"/>
          <w:szCs w:val="28"/>
        </w:rPr>
      </w:pPr>
      <w:bookmarkStart w:id="86" w:name="_Toc2795_WPSOffice_Level2"/>
      <w:r>
        <w:rPr>
          <w:rFonts w:hint="eastAsia" w:ascii="黑体" w:hAnsi="黑体" w:eastAsia="黑体" w:cs="黑体"/>
          <w:color w:val="auto"/>
          <w:sz w:val="28"/>
          <w:szCs w:val="28"/>
          <w:lang w:val="en-US" w:eastAsia="zh-CN"/>
        </w:rPr>
        <w:t>六.</w:t>
      </w:r>
      <w:r>
        <w:rPr>
          <w:rFonts w:hint="eastAsia" w:ascii="黑体" w:hAnsi="黑体" w:eastAsia="黑体" w:cs="黑体"/>
          <w:color w:val="auto"/>
          <w:sz w:val="28"/>
          <w:szCs w:val="28"/>
        </w:rPr>
        <w:t>项目需遵循的有关标准和规范</w:t>
      </w:r>
      <w:bookmarkEnd w:id="84"/>
      <w:bookmarkEnd w:id="85"/>
      <w:bookmarkEnd w:id="86"/>
    </w:p>
    <w:p>
      <w:pPr>
        <w:pStyle w:val="4"/>
        <w:widowControl w:val="0"/>
        <w:numPr>
          <w:ilvl w:val="2"/>
          <w:numId w:val="0"/>
        </w:numPr>
        <w:tabs>
          <w:tab w:val="left" w:pos="468"/>
          <w:tab w:val="clear" w:pos="420"/>
        </w:tabs>
        <w:wordWrap/>
        <w:spacing w:after="0" w:line="560" w:lineRule="exact"/>
        <w:ind w:right="0"/>
        <w:textAlignment w:val="auto"/>
        <w:rPr>
          <w:rFonts w:hint="eastAsia" w:ascii="仿宋_GB2312" w:hAnsi="仿宋_GB2312" w:eastAsia="仿宋_GB2312" w:cs="仿宋_GB2312"/>
          <w:color w:val="auto"/>
          <w:sz w:val="28"/>
          <w:szCs w:val="28"/>
          <w:lang w:val="en-US" w:eastAsia="zh-CN"/>
        </w:rPr>
      </w:pPr>
      <w:bookmarkStart w:id="87" w:name="_Toc27531"/>
      <w:r>
        <w:rPr>
          <w:rFonts w:hint="eastAsia" w:ascii="仿宋_GB2312" w:hAnsi="仿宋_GB2312" w:eastAsia="仿宋_GB2312" w:cs="仿宋_GB2312"/>
          <w:color w:val="auto"/>
          <w:sz w:val="28"/>
          <w:szCs w:val="28"/>
          <w:lang w:val="en-US" w:eastAsia="zh-CN"/>
        </w:rPr>
        <w:t xml:space="preserve">  （一）政府文件</w:t>
      </w:r>
      <w:bookmarkEnd w:id="87"/>
    </w:p>
    <w:p>
      <w:pPr>
        <w:widowControl w:val="0"/>
        <w:tabs>
          <w:tab w:val="left" w:pos="1500"/>
        </w:tabs>
        <w:wordWrap/>
        <w:spacing w:after="0" w:line="560" w:lineRule="exact"/>
        <w:ind w:left="0" w:right="0" w:firstLine="560" w:firstLineChars="200"/>
        <w:textAlignment w:val="auto"/>
        <w:rPr>
          <w:rFonts w:hint="eastAsia" w:ascii="仿宋_GB2312" w:hAnsi="仿宋_GB2312" w:eastAsia="仿宋_GB2312" w:cs="仿宋_GB2312"/>
          <w:color w:val="auto"/>
          <w:sz w:val="28"/>
          <w:szCs w:val="28"/>
        </w:rPr>
      </w:pPr>
      <w:bookmarkStart w:id="88" w:name="_Toc2352"/>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《国家信息化发展战略纲要》；</w:t>
      </w:r>
    </w:p>
    <w:p>
      <w:pPr>
        <w:widowControl w:val="0"/>
        <w:wordWrap/>
        <w:spacing w:after="0" w:line="56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《中华人民共和国国民经济和社会发展第十四个五年规划和 2035 年远景目标纲要》；</w:t>
      </w:r>
    </w:p>
    <w:p>
      <w:pPr>
        <w:widowControl w:val="0"/>
        <w:wordWrap/>
        <w:spacing w:after="0" w:line="56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《国家电子政务标准体系建设指南》；</w:t>
      </w:r>
    </w:p>
    <w:p>
      <w:pPr>
        <w:widowControl w:val="0"/>
        <w:wordWrap/>
        <w:spacing w:after="0" w:line="56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《中华人民共和国网络安全法》（2016 年 11 月 7 日通过，自 2017 年 6 月 1 日起施行）；</w:t>
      </w:r>
    </w:p>
    <w:p>
      <w:pPr>
        <w:widowControl w:val="0"/>
        <w:wordWrap/>
        <w:spacing w:after="0" w:line="56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《中华人民共和国保守国家秘密法（》2010 年 4 月 29 日修订通过，自 2010 年 10 月 1 日起施行）；</w:t>
      </w:r>
    </w:p>
    <w:p>
      <w:pPr>
        <w:widowControl w:val="0"/>
        <w:wordWrap/>
        <w:spacing w:after="0" w:line="56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rPr>
        <w:t>《中华人民共和国密码法》（2019 年 10 月 26 日通过，自 2020 年 1 月 1 日起施行）；</w:t>
      </w:r>
    </w:p>
    <w:p>
      <w:pPr>
        <w:widowControl w:val="0"/>
        <w:wordWrap/>
        <w:spacing w:after="0" w:line="56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7.</w:t>
      </w:r>
      <w:r>
        <w:rPr>
          <w:rFonts w:hint="eastAsia" w:ascii="仿宋_GB2312" w:hAnsi="仿宋_GB2312" w:eastAsia="仿宋_GB2312" w:cs="仿宋_GB2312"/>
          <w:color w:val="auto"/>
          <w:sz w:val="28"/>
          <w:szCs w:val="28"/>
        </w:rPr>
        <w:t>《中华人民共和国数据安全法》（2021 年 6 月 10 日通过，自 2021 年 9 月 1 日起施行）；</w:t>
      </w:r>
    </w:p>
    <w:p>
      <w:pPr>
        <w:widowControl w:val="0"/>
        <w:wordWrap/>
        <w:spacing w:after="0" w:line="56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8.</w:t>
      </w:r>
      <w:r>
        <w:rPr>
          <w:rFonts w:hint="eastAsia" w:ascii="仿宋_GB2312" w:hAnsi="仿宋_GB2312" w:eastAsia="仿宋_GB2312" w:cs="仿宋_GB2312"/>
          <w:color w:val="auto"/>
          <w:sz w:val="28"/>
          <w:szCs w:val="28"/>
        </w:rPr>
        <w:t>《国务院办公厅关于印发国家政务信息化项目建设管理办法的通知》（国办发〔2019〕57 号）；</w:t>
      </w:r>
    </w:p>
    <w:p>
      <w:pPr>
        <w:widowControl w:val="0"/>
        <w:tabs>
          <w:tab w:val="left" w:pos="1500"/>
        </w:tabs>
        <w:wordWrap/>
        <w:spacing w:after="0" w:line="560" w:lineRule="exact"/>
        <w:ind w:left="0" w:righ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9.</w:t>
      </w:r>
      <w:r>
        <w:rPr>
          <w:rFonts w:hint="eastAsia" w:ascii="仿宋_GB2312" w:hAnsi="仿宋_GB2312" w:eastAsia="仿宋_GB2312" w:cs="仿宋_GB2312"/>
          <w:color w:val="auto"/>
          <w:sz w:val="28"/>
          <w:szCs w:val="28"/>
        </w:rPr>
        <w:t>《公共机构节能条例》（中华人民共和国国务院令第 676 号）；</w:t>
      </w:r>
    </w:p>
    <w:p>
      <w:pPr>
        <w:widowControl w:val="0"/>
        <w:wordWrap/>
        <w:adjustRightInd/>
        <w:snapToGrid/>
        <w:spacing w:after="0" w:line="560" w:lineRule="exact"/>
        <w:ind w:right="0"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10.《公共机构能源资源消费统计调查制度》</w:t>
      </w:r>
    </w:p>
    <w:p>
      <w:pPr>
        <w:widowControl w:val="0"/>
        <w:wordWrap/>
        <w:adjustRightInd/>
        <w:snapToGrid/>
        <w:spacing w:after="0" w:line="560" w:lineRule="exact"/>
        <w:ind w:right="0"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11.《国家机关办公建筑和大型公共建筑能耗监测系统分项能耗数据采集技术导则》</w:t>
      </w:r>
    </w:p>
    <w:p>
      <w:pPr>
        <w:widowControl w:val="0"/>
        <w:wordWrap/>
        <w:adjustRightInd/>
        <w:snapToGrid/>
        <w:spacing w:after="0" w:line="560" w:lineRule="exact"/>
        <w:ind w:right="0"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12.《国家机关办公建筑和大型公共建筑能耗监测系统分项能耗数据传输技术导则》</w:t>
      </w:r>
    </w:p>
    <w:p>
      <w:pPr>
        <w:widowControl w:val="0"/>
        <w:wordWrap/>
        <w:adjustRightInd/>
        <w:snapToGrid/>
        <w:spacing w:after="0" w:line="560" w:lineRule="exact"/>
        <w:ind w:right="0"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13.《国家机关办公建筑和大型公共建筑能耗监测系统楼宇分项计量设计安装导则》</w:t>
      </w:r>
    </w:p>
    <w:p>
      <w:pPr>
        <w:widowControl w:val="0"/>
        <w:wordWrap/>
        <w:adjustRightInd/>
        <w:snapToGrid/>
        <w:spacing w:after="0" w:line="560" w:lineRule="exact"/>
        <w:ind w:right="0"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14.《国家机关办公建筑和大型公共建筑能耗监测系统数据中心建设与维护导则》</w:t>
      </w:r>
    </w:p>
    <w:p>
      <w:pPr>
        <w:widowControl w:val="0"/>
        <w:wordWrap/>
        <w:adjustRightInd/>
        <w:snapToGrid/>
        <w:spacing w:after="0" w:line="560" w:lineRule="exact"/>
        <w:ind w:right="0"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15.《国家机关办公建筑和大型公共公共建筑能耗监测系统建设验收运行管理规范》</w:t>
      </w:r>
    </w:p>
    <w:p>
      <w:pPr>
        <w:widowControl w:val="0"/>
        <w:wordWrap/>
        <w:adjustRightInd/>
        <w:snapToGrid/>
        <w:spacing w:after="0" w:line="560" w:lineRule="exact"/>
        <w:ind w:right="0"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16.《国家机关办公建筑和大型公共公共建筑能耗监测系统软件开发指导说明书》</w:t>
      </w:r>
    </w:p>
    <w:p>
      <w:pPr>
        <w:widowControl w:val="0"/>
        <w:wordWrap/>
        <w:adjustRightInd/>
        <w:snapToGrid/>
        <w:spacing w:after="0" w:line="560" w:lineRule="exact"/>
        <w:ind w:right="0"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17.《国家机关办公建筑和大型公共建筑能耗监测系统数据上传XML格式文档》</w:t>
      </w:r>
    </w:p>
    <w:p>
      <w:pPr>
        <w:widowControl w:val="0"/>
        <w:wordWrap/>
        <w:adjustRightInd/>
        <w:snapToGrid/>
        <w:spacing w:after="0" w:line="560" w:lineRule="exact"/>
        <w:ind w:right="0"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18.《国家机关办公建筑和大型公共建筑能耗监测系统建设、验收与运行管理规范》</w:t>
      </w:r>
    </w:p>
    <w:p>
      <w:pPr>
        <w:widowControl w:val="0"/>
        <w:wordWrap/>
        <w:adjustRightInd/>
        <w:snapToGrid/>
        <w:spacing w:after="0" w:line="560" w:lineRule="exact"/>
        <w:ind w:right="0"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19.《中央国家机关办公区节能监管系统工程技术指南》</w:t>
      </w:r>
    </w:p>
    <w:p>
      <w:pPr>
        <w:widowControl w:val="0"/>
        <w:wordWrap/>
        <w:spacing w:after="0" w:line="56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20.</w:t>
      </w:r>
      <w:r>
        <w:rPr>
          <w:rFonts w:hint="eastAsia" w:ascii="仿宋_GB2312" w:hAnsi="仿宋_GB2312" w:eastAsia="仿宋_GB2312" w:cs="仿宋_GB2312"/>
          <w:color w:val="auto"/>
          <w:sz w:val="28"/>
          <w:szCs w:val="28"/>
        </w:rPr>
        <w:t>《新疆维吾尔自治区实施&lt;公共机构节能条例&gt;办法》（新疆维吾尔自治区人民政府令第 176 号）；</w:t>
      </w:r>
    </w:p>
    <w:p>
      <w:pPr>
        <w:widowControl w:val="0"/>
        <w:wordWrap/>
        <w:adjustRightInd/>
        <w:snapToGrid/>
        <w:spacing w:after="0" w:line="560" w:lineRule="exact"/>
        <w:ind w:right="0"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21.《新疆公共机构能耗定额标准》</w:t>
      </w:r>
    </w:p>
    <w:p>
      <w:pPr>
        <w:pStyle w:val="4"/>
        <w:widowControl w:val="0"/>
        <w:numPr>
          <w:ilvl w:val="2"/>
          <w:numId w:val="0"/>
        </w:numPr>
        <w:tabs>
          <w:tab w:val="left" w:pos="468"/>
          <w:tab w:val="clear" w:pos="420"/>
        </w:tabs>
        <w:wordWrap/>
        <w:spacing w:after="0" w:line="560" w:lineRule="exact"/>
        <w:ind w:right="0"/>
        <w:textAlignment w:val="auto"/>
        <w:rPr>
          <w:rFonts w:hint="eastAsia" w:ascii="仿宋_GB2312" w:hAnsi="仿宋_GB2312" w:eastAsia="仿宋_GB2312" w:cs="仿宋_GB2312"/>
          <w:color w:val="auto"/>
          <w:sz w:val="28"/>
          <w:szCs w:val="28"/>
          <w:lang w:val="en-US" w:eastAsia="zh-CN"/>
        </w:rPr>
      </w:pPr>
      <w:bookmarkStart w:id="89" w:name="_Toc24095"/>
      <w:r>
        <w:rPr>
          <w:rFonts w:hint="eastAsia" w:ascii="仿宋_GB2312" w:hAnsi="仿宋_GB2312" w:eastAsia="仿宋_GB2312" w:cs="仿宋_GB2312"/>
          <w:color w:val="auto"/>
          <w:sz w:val="28"/>
          <w:szCs w:val="28"/>
          <w:lang w:val="en-US" w:eastAsia="zh-CN"/>
        </w:rPr>
        <w:t>（二）国家、行业及地方相关标准规范文件</w:t>
      </w:r>
      <w:bookmarkEnd w:id="89"/>
    </w:p>
    <w:p>
      <w:pPr>
        <w:widowControl w:val="0"/>
        <w:wordWrap/>
        <w:adjustRightInd/>
        <w:snapToGrid/>
        <w:spacing w:after="0" w:line="560" w:lineRule="exact"/>
        <w:ind w:right="0"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1.《计算机软件文档编制规范》（GB/T 8567-2006）</w:t>
      </w:r>
    </w:p>
    <w:p>
      <w:pPr>
        <w:widowControl w:val="0"/>
        <w:wordWrap/>
        <w:adjustRightInd/>
        <w:snapToGrid/>
        <w:spacing w:after="0" w:line="560" w:lineRule="exact"/>
        <w:ind w:right="0"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2.《软件能力成熟度模型》（SJ/T 11235-2001）</w:t>
      </w:r>
    </w:p>
    <w:p>
      <w:pPr>
        <w:widowControl w:val="0"/>
        <w:wordWrap/>
        <w:adjustRightInd/>
        <w:snapToGrid/>
        <w:spacing w:after="0" w:line="560" w:lineRule="exact"/>
        <w:ind w:right="0"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3.《软件过程能力评估模型》（SJ/T 11234-2001）</w:t>
      </w:r>
    </w:p>
    <w:p>
      <w:pPr>
        <w:widowControl w:val="0"/>
        <w:wordWrap/>
        <w:adjustRightInd/>
        <w:snapToGrid/>
        <w:spacing w:after="0" w:line="560" w:lineRule="exact"/>
        <w:ind w:right="0"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4.《计算机软件需求规格说明规范》（GB/T 9385-2008）</w:t>
      </w:r>
    </w:p>
    <w:p>
      <w:pPr>
        <w:widowControl w:val="0"/>
        <w:wordWrap/>
        <w:adjustRightInd/>
        <w:snapToGrid/>
        <w:spacing w:after="0" w:line="560" w:lineRule="exact"/>
        <w:ind w:right="0"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5.《计算机软件测试文档编制规范》（GB/T 9386-2008）</w:t>
      </w:r>
    </w:p>
    <w:p>
      <w:pPr>
        <w:widowControl w:val="0"/>
        <w:wordWrap/>
        <w:adjustRightInd/>
        <w:snapToGrid/>
        <w:spacing w:after="0" w:line="560" w:lineRule="exact"/>
        <w:ind w:right="0"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6.《计算机软件可靠性和可维护性管理》（GB/T 14394-2008）</w:t>
      </w:r>
    </w:p>
    <w:p>
      <w:pPr>
        <w:widowControl w:val="0"/>
        <w:wordWrap/>
        <w:adjustRightInd/>
        <w:snapToGrid/>
        <w:spacing w:after="0" w:line="560" w:lineRule="exact"/>
        <w:ind w:right="0"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7.《计算机软件测试规范》（GB/T 15532-2008）</w:t>
      </w:r>
    </w:p>
    <w:p>
      <w:pPr>
        <w:widowControl w:val="0"/>
        <w:wordWrap/>
        <w:adjustRightInd/>
        <w:snapToGrid/>
        <w:spacing w:after="0" w:line="560" w:lineRule="exact"/>
        <w:ind w:right="0"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8.《系统工程 系统生存周期过程》（GB/T 22032-2008）</w:t>
      </w:r>
    </w:p>
    <w:p>
      <w:pPr>
        <w:widowControl w:val="0"/>
        <w:wordWrap/>
        <w:adjustRightInd/>
        <w:snapToGrid/>
        <w:spacing w:after="0" w:line="560" w:lineRule="exact"/>
        <w:ind w:right="0"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9.《数字接口 内容保护系统技术规范》（SJ/T 11407.1-2009）</w:t>
      </w:r>
    </w:p>
    <w:p>
      <w:pPr>
        <w:widowControl w:val="0"/>
        <w:wordWrap/>
        <w:adjustRightInd/>
        <w:snapToGrid/>
        <w:spacing w:after="0" w:line="560" w:lineRule="exact"/>
        <w:ind w:right="0"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10.《数字接口 内容保护系统技术规范》（SJ/T 11407.2-2009）</w:t>
      </w:r>
    </w:p>
    <w:p>
      <w:pPr>
        <w:widowControl w:val="0"/>
        <w:wordWrap/>
        <w:adjustRightInd/>
        <w:snapToGrid/>
        <w:spacing w:after="0" w:line="560" w:lineRule="exact"/>
        <w:ind w:right="0"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11.《软件构件 图形用户界面图元构件描述规范》（SJ/T 11408-2009）</w:t>
      </w:r>
    </w:p>
    <w:p>
      <w:pPr>
        <w:widowControl w:val="0"/>
        <w:wordWrap/>
        <w:adjustRightInd/>
        <w:snapToGrid/>
        <w:spacing w:after="0" w:line="560" w:lineRule="exact"/>
        <w:ind w:right="0"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12.《软件构件模型》（SJ/T 11409-2009）</w:t>
      </w:r>
    </w:p>
    <w:p>
      <w:pPr>
        <w:widowControl w:val="0"/>
        <w:wordWrap/>
        <w:adjustRightInd/>
        <w:snapToGrid/>
        <w:spacing w:after="0" w:line="560" w:lineRule="exact"/>
        <w:ind w:right="0"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13.《软件工程术语》（GB/T 11457-2006）</w:t>
      </w:r>
    </w:p>
    <w:p>
      <w:pPr>
        <w:widowControl w:val="0"/>
        <w:wordWrap/>
        <w:adjustRightInd/>
        <w:snapToGrid/>
        <w:spacing w:after="0" w:line="560" w:lineRule="exact"/>
        <w:ind w:right="0"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14.《软件工程 产品质量 第1部分：质量模型》（GB/T 16260.1-2006）</w:t>
      </w:r>
    </w:p>
    <w:p>
      <w:pPr>
        <w:widowControl w:val="0"/>
        <w:wordWrap/>
        <w:adjustRightInd/>
        <w:snapToGrid/>
        <w:spacing w:after="0" w:line="560" w:lineRule="exact"/>
        <w:ind w:right="0"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15.《软件工程 产品质量 第2部分：外部度量》（GB/T 16260.2-2006）</w:t>
      </w:r>
    </w:p>
    <w:p>
      <w:pPr>
        <w:widowControl w:val="0"/>
        <w:wordWrap/>
        <w:adjustRightInd/>
        <w:snapToGrid/>
        <w:spacing w:after="0" w:line="560" w:lineRule="exact"/>
        <w:ind w:right="0"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16.《软件工程 产品质量 第3部分：内部度量》（GB/T 16260.3-2006）</w:t>
      </w:r>
    </w:p>
    <w:p>
      <w:pPr>
        <w:widowControl w:val="0"/>
        <w:wordWrap/>
        <w:adjustRightInd/>
        <w:snapToGrid/>
        <w:spacing w:after="0" w:line="560" w:lineRule="exact"/>
        <w:ind w:right="0"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17.《软件工程 产品质量 第4部分：使用质量的度量》（GB/T 16260.4-2006）</w:t>
      </w:r>
    </w:p>
    <w:p>
      <w:pPr>
        <w:widowControl w:val="0"/>
        <w:wordWrap/>
        <w:adjustRightInd/>
        <w:snapToGrid/>
        <w:spacing w:after="0" w:line="560" w:lineRule="exact"/>
        <w:ind w:right="0"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18.《软件工程 产品评价 第1部分：概述》（GB/T 18905.1-2002）</w:t>
      </w:r>
    </w:p>
    <w:p>
      <w:pPr>
        <w:widowControl w:val="0"/>
        <w:wordWrap/>
        <w:adjustRightInd/>
        <w:snapToGrid/>
        <w:spacing w:after="0" w:line="560" w:lineRule="exact"/>
        <w:ind w:right="0"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19.《软件工程 产品评价 第2部分：策划和管理》（GB/T 18905.2-2002）</w:t>
      </w:r>
    </w:p>
    <w:p>
      <w:pPr>
        <w:widowControl w:val="0"/>
        <w:wordWrap/>
        <w:adjustRightInd/>
        <w:snapToGrid/>
        <w:spacing w:after="0" w:line="560" w:lineRule="exact"/>
        <w:ind w:right="0"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20.《软件工程 产品评价 第3部分：开发者用的过程》（GB/T18905.3-2002）</w:t>
      </w:r>
    </w:p>
    <w:p>
      <w:pPr>
        <w:widowControl w:val="0"/>
        <w:wordWrap/>
        <w:adjustRightInd/>
        <w:snapToGrid/>
        <w:spacing w:after="0" w:line="560" w:lineRule="exact"/>
        <w:ind w:right="0"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21.《软件工程 产品评价 第4部分：需方用的过程》（GB/T 18905.4-2002）</w:t>
      </w:r>
    </w:p>
    <w:p>
      <w:pPr>
        <w:widowControl w:val="0"/>
        <w:wordWrap/>
        <w:adjustRightInd/>
        <w:snapToGrid/>
        <w:spacing w:after="0" w:line="560" w:lineRule="exact"/>
        <w:ind w:right="0"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22.《软件工程 产品评价 第5部分：评价者用的过程》（GB/T 18905.5-2002）</w:t>
      </w:r>
    </w:p>
    <w:p>
      <w:pPr>
        <w:widowControl w:val="0"/>
        <w:wordWrap/>
        <w:adjustRightInd/>
        <w:snapToGrid/>
        <w:spacing w:after="0" w:line="560" w:lineRule="exact"/>
        <w:ind w:right="0"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23.《软件工程 产品评价 第6部分：评价模块的文档编制》（GB/T 18905.6-2002）</w:t>
      </w:r>
    </w:p>
    <w:p>
      <w:pPr>
        <w:widowControl w:val="0"/>
        <w:wordWrap/>
        <w:adjustRightInd/>
        <w:snapToGrid/>
        <w:spacing w:after="0" w:line="560" w:lineRule="exact"/>
        <w:ind w:right="0"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24.《软件工程 软件维护》（GB/T 20157-2006）</w:t>
      </w:r>
    </w:p>
    <w:p>
      <w:pPr>
        <w:widowControl w:val="0"/>
        <w:wordWrap/>
        <w:adjustRightInd/>
        <w:snapToGrid/>
        <w:spacing w:after="0" w:line="560" w:lineRule="exact"/>
        <w:ind w:right="0"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25.《中华人民共和国电力行业标准（DL/T 645—1997）》</w:t>
      </w:r>
    </w:p>
    <w:p>
      <w:pPr>
        <w:widowControl w:val="0"/>
        <w:wordWrap/>
        <w:adjustRightInd/>
        <w:snapToGrid/>
        <w:spacing w:after="0" w:line="560" w:lineRule="exact"/>
        <w:ind w:right="0"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26.《信息技术 开放系统互连开放系统安全框架第2部分:鉴别框架 ISO/IEC10181-2:1996 》（GB/T18794.2-2002）</w:t>
      </w:r>
    </w:p>
    <w:p>
      <w:pPr>
        <w:widowControl w:val="0"/>
        <w:wordWrap/>
        <w:adjustRightInd/>
        <w:snapToGrid/>
        <w:spacing w:after="0" w:line="560" w:lineRule="exact"/>
        <w:ind w:right="0"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27.《信息技术 开放系统互连开放系统安全框架 第1部分:概述 ISO/IEC10181-1:1996 》（GB/T18794.1-2002）</w:t>
      </w:r>
    </w:p>
    <w:p>
      <w:pPr>
        <w:widowControl w:val="0"/>
        <w:wordWrap/>
        <w:adjustRightInd/>
        <w:snapToGrid/>
        <w:spacing w:after="0" w:line="560" w:lineRule="exact"/>
        <w:ind w:right="0"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28.《信息技术 软件生存周期过程 配置管理》（GB/T 20158-2006）</w:t>
      </w:r>
    </w:p>
    <w:p>
      <w:pPr>
        <w:widowControl w:val="0"/>
        <w:wordWrap/>
        <w:adjustRightInd/>
        <w:snapToGrid/>
        <w:spacing w:after="0" w:line="560" w:lineRule="exact"/>
        <w:ind w:right="0"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29.《信息技术 软件生存周期过程 风险管理》（GB/T 20918-2007）</w:t>
      </w:r>
    </w:p>
    <w:p>
      <w:pPr>
        <w:widowControl w:val="0"/>
        <w:wordWrap/>
        <w:adjustRightInd/>
        <w:snapToGrid/>
        <w:spacing w:after="0" w:line="560" w:lineRule="exact"/>
        <w:ind w:right="0"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30.《数据传输链路和系统的性能分配及限值》（YD/T 819-1996）</w:t>
      </w:r>
      <w:bookmarkEnd w:id="88"/>
    </w:p>
    <w:p>
      <w:pPr>
        <w:pStyle w:val="3"/>
        <w:numPr>
          <w:ilvl w:val="1"/>
          <w:numId w:val="0"/>
        </w:numPr>
        <w:ind w:leftChars="100"/>
        <w:rPr>
          <w:rFonts w:hint="eastAsia" w:ascii="宋体" w:hAnsi="宋体" w:eastAsia="楷体"/>
          <w:sz w:val="32"/>
          <w:szCs w:val="32"/>
          <w:lang w:eastAsia="zh-CN"/>
        </w:rPr>
      </w:pPr>
      <w:bookmarkStart w:id="90" w:name="_Toc25612"/>
      <w:bookmarkStart w:id="91" w:name="_Toc14969_WPSOffice_Level2"/>
      <w:bookmarkStart w:id="92" w:name="_Toc17289"/>
      <w:r>
        <w:rPr>
          <w:rFonts w:hint="eastAsia" w:ascii="黑体" w:hAnsi="黑体" w:eastAsia="黑体" w:cs="黑体"/>
          <w:color w:val="auto"/>
          <w:lang w:val="en-US" w:eastAsia="zh-CN"/>
        </w:rPr>
        <w:t>七</w:t>
      </w:r>
      <w:r>
        <w:rPr>
          <w:rFonts w:hint="eastAsia" w:ascii="宋体" w:hAnsi="宋体" w:eastAsia="宋体" w:cs="宋体"/>
          <w:color w:val="auto"/>
          <w:sz w:val="32"/>
          <w:szCs w:val="32"/>
          <w:lang w:val="en-US" w:eastAsia="zh-CN"/>
        </w:rPr>
        <w:t>.</w:t>
      </w:r>
      <w:bookmarkEnd w:id="90"/>
      <w:bookmarkStart w:id="93" w:name="_Toc491813533"/>
      <w:bookmarkStart w:id="94" w:name="_Toc470257791"/>
      <w:bookmarkStart w:id="95" w:name="_Toc9315"/>
      <w:bookmarkStart w:id="96" w:name="_Toc18102"/>
      <w:r>
        <w:rPr>
          <w:rFonts w:hint="eastAsia" w:ascii="宋体" w:hAnsi="宋体" w:eastAsia="宋体" w:cs="宋体"/>
          <w:sz w:val="32"/>
          <w:szCs w:val="32"/>
        </w:rPr>
        <w:t>安全</w:t>
      </w:r>
      <w:bookmarkEnd w:id="93"/>
      <w:bookmarkEnd w:id="94"/>
      <w:bookmarkEnd w:id="95"/>
      <w:r>
        <w:rPr>
          <w:rFonts w:hint="eastAsia" w:ascii="宋体" w:hAnsi="宋体" w:eastAsia="宋体" w:cs="宋体"/>
          <w:sz w:val="32"/>
          <w:szCs w:val="32"/>
          <w:lang w:eastAsia="zh-CN"/>
        </w:rPr>
        <w:t>要求</w:t>
      </w:r>
      <w:bookmarkEnd w:id="91"/>
    </w:p>
    <w:p>
      <w:pPr>
        <w:pStyle w:val="28"/>
        <w:spacing w:after="156" w:line="360" w:lineRule="auto"/>
        <w:ind w:firstLine="480"/>
        <w:rPr>
          <w:sz w:val="28"/>
          <w:szCs w:val="28"/>
        </w:rPr>
      </w:pPr>
      <w:r>
        <w:rPr>
          <w:rFonts w:hint="eastAsia"/>
          <w:sz w:val="28"/>
          <w:szCs w:val="28"/>
        </w:rPr>
        <w:t>采用信息安全处理组件对系统数据及登录安全，安全验证，安全传输等方面进行处理。</w:t>
      </w:r>
    </w:p>
    <w:p>
      <w:pPr>
        <w:pStyle w:val="4"/>
        <w:widowControl w:val="0"/>
        <w:numPr>
          <w:ilvl w:val="2"/>
          <w:numId w:val="0"/>
        </w:numPr>
        <w:spacing w:afterLines="50" w:line="360" w:lineRule="auto"/>
        <w:ind w:firstLine="562" w:firstLineChars="200"/>
        <w:jc w:val="both"/>
        <w:rPr>
          <w:sz w:val="28"/>
          <w:szCs w:val="28"/>
        </w:rPr>
      </w:pPr>
      <w:bookmarkStart w:id="97" w:name="_Toc470257792"/>
      <w:bookmarkStart w:id="98" w:name="_Toc491813534"/>
      <w:bookmarkStart w:id="99" w:name="_Toc12905"/>
      <w:bookmarkStart w:id="100" w:name="_Toc455662372"/>
      <w:r>
        <w:rPr>
          <w:rFonts w:hint="eastAsia"/>
          <w:sz w:val="28"/>
          <w:szCs w:val="28"/>
          <w:lang w:val="en-US" w:eastAsia="zh-CN"/>
        </w:rPr>
        <w:t>1.</w:t>
      </w:r>
      <w:r>
        <w:rPr>
          <w:rFonts w:hint="eastAsia"/>
          <w:sz w:val="28"/>
          <w:szCs w:val="28"/>
        </w:rPr>
        <w:t>数据安全</w:t>
      </w:r>
      <w:bookmarkEnd w:id="97"/>
      <w:bookmarkEnd w:id="98"/>
      <w:bookmarkEnd w:id="99"/>
      <w:bookmarkEnd w:id="100"/>
    </w:p>
    <w:p>
      <w:pPr>
        <w:pStyle w:val="28"/>
        <w:widowControl w:val="0"/>
        <w:numPr>
          <w:numId w:val="0"/>
        </w:numPr>
        <w:spacing w:afterLines="50" w:line="360" w:lineRule="auto"/>
        <w:ind w:leftChars="0" w:firstLine="560" w:firstLineChars="200"/>
        <w:jc w:val="both"/>
        <w:rPr>
          <w:sz w:val="28"/>
          <w:szCs w:val="28"/>
        </w:rPr>
      </w:pPr>
      <w:r>
        <w:rPr>
          <w:rFonts w:hint="eastAsia"/>
          <w:sz w:val="28"/>
          <w:szCs w:val="28"/>
        </w:rPr>
        <w:t>所有信息部署在</w:t>
      </w:r>
      <w:r>
        <w:rPr>
          <w:rFonts w:hint="eastAsia" w:ascii="仿宋_GB2312" w:hAnsi="仿宋_GB2312" w:eastAsia="仿宋_GB2312" w:cs="仿宋_GB2312"/>
          <w:color w:val="auto"/>
          <w:sz w:val="28"/>
          <w:szCs w:val="28"/>
          <w:lang w:val="en-US" w:eastAsia="zh-CN"/>
        </w:rPr>
        <w:t>机关事务内网专属云</w:t>
      </w:r>
      <w:r>
        <w:rPr>
          <w:rFonts w:hint="eastAsia"/>
          <w:sz w:val="28"/>
          <w:szCs w:val="28"/>
        </w:rPr>
        <w:t>上；对于某些敏感数据（如通讯方式、业务关键数据）的保存，可使用国密加密方式存储在数据库中；敏感页面加上数字水印，确保页面信息泄漏时可追溯到源头。</w:t>
      </w:r>
    </w:p>
    <w:p>
      <w:pPr>
        <w:pStyle w:val="4"/>
        <w:widowControl w:val="0"/>
        <w:numPr>
          <w:ilvl w:val="2"/>
          <w:numId w:val="0"/>
        </w:numPr>
        <w:spacing w:afterLines="50" w:line="360" w:lineRule="auto"/>
        <w:ind w:leftChars="200"/>
        <w:jc w:val="both"/>
        <w:rPr>
          <w:sz w:val="28"/>
          <w:szCs w:val="28"/>
        </w:rPr>
      </w:pPr>
      <w:bookmarkStart w:id="101" w:name="_Toc491813535"/>
      <w:bookmarkStart w:id="102" w:name="_Toc103"/>
      <w:bookmarkStart w:id="103" w:name="_Toc455662373"/>
      <w:bookmarkStart w:id="104" w:name="_Toc470257793"/>
      <w:r>
        <w:rPr>
          <w:rFonts w:hint="eastAsia"/>
          <w:sz w:val="28"/>
          <w:szCs w:val="28"/>
          <w:lang w:val="en-US" w:eastAsia="zh-CN"/>
        </w:rPr>
        <w:t>2.</w:t>
      </w:r>
      <w:r>
        <w:rPr>
          <w:rFonts w:hint="eastAsia"/>
          <w:sz w:val="28"/>
          <w:szCs w:val="28"/>
        </w:rPr>
        <w:t>用户及登录安全</w:t>
      </w:r>
      <w:bookmarkEnd w:id="101"/>
      <w:bookmarkEnd w:id="102"/>
      <w:bookmarkEnd w:id="103"/>
      <w:bookmarkEnd w:id="104"/>
    </w:p>
    <w:p>
      <w:pPr>
        <w:pStyle w:val="28"/>
        <w:spacing w:after="156" w:line="360" w:lineRule="auto"/>
        <w:ind w:firstLine="480"/>
        <w:rPr>
          <w:sz w:val="28"/>
          <w:szCs w:val="28"/>
        </w:rPr>
      </w:pPr>
      <w:r>
        <w:rPr>
          <w:rFonts w:hint="eastAsia"/>
          <w:sz w:val="28"/>
          <w:szCs w:val="28"/>
        </w:rPr>
        <w:t>用户采用统一认证方式登录，登录时</w:t>
      </w:r>
      <w:r>
        <w:rPr>
          <w:rFonts w:hint="eastAsia"/>
          <w:sz w:val="28"/>
          <w:szCs w:val="28"/>
          <w:lang w:eastAsia="zh-CN"/>
        </w:rPr>
        <w:t>使用</w:t>
      </w:r>
      <w:r>
        <w:rPr>
          <w:rFonts w:hint="eastAsia"/>
          <w:sz w:val="28"/>
          <w:szCs w:val="28"/>
          <w:lang w:val="en-US" w:eastAsia="zh-CN"/>
        </w:rPr>
        <w:t>CA证书，</w:t>
      </w:r>
      <w:r>
        <w:rPr>
          <w:rFonts w:hint="eastAsia"/>
          <w:sz w:val="28"/>
          <w:szCs w:val="28"/>
        </w:rPr>
        <w:t>通过帐号和密码验证方式。系统通过设定应用可见范围保证应用的使用权限；通过权限管理设定不同的通讯录数据查看权限；离职员工设置离职状态后将禁止使用系统；调岗员工根据所在部门权限自动更新个人权限。</w:t>
      </w:r>
    </w:p>
    <w:p>
      <w:pPr>
        <w:pStyle w:val="4"/>
        <w:widowControl w:val="0"/>
        <w:numPr>
          <w:ilvl w:val="2"/>
          <w:numId w:val="0"/>
        </w:numPr>
        <w:spacing w:afterLines="50" w:line="360" w:lineRule="auto"/>
        <w:ind w:leftChars="200"/>
        <w:jc w:val="both"/>
        <w:rPr>
          <w:sz w:val="28"/>
          <w:szCs w:val="28"/>
        </w:rPr>
      </w:pPr>
      <w:bookmarkStart w:id="105" w:name="_Toc455662374"/>
      <w:bookmarkStart w:id="106" w:name="_Toc470257794"/>
      <w:bookmarkStart w:id="107" w:name="_Toc31536"/>
      <w:bookmarkStart w:id="108" w:name="_Toc491813536"/>
      <w:r>
        <w:rPr>
          <w:rFonts w:hint="eastAsia"/>
          <w:sz w:val="28"/>
          <w:szCs w:val="28"/>
          <w:lang w:val="en-US" w:eastAsia="zh-CN"/>
        </w:rPr>
        <w:t>3.</w:t>
      </w:r>
      <w:r>
        <w:rPr>
          <w:rFonts w:hint="eastAsia"/>
          <w:sz w:val="28"/>
          <w:szCs w:val="28"/>
        </w:rPr>
        <w:t>传输安全</w:t>
      </w:r>
      <w:bookmarkEnd w:id="105"/>
      <w:bookmarkEnd w:id="106"/>
      <w:bookmarkEnd w:id="107"/>
      <w:bookmarkEnd w:id="108"/>
    </w:p>
    <w:p>
      <w:pPr>
        <w:pStyle w:val="28"/>
        <w:spacing w:after="156" w:line="360" w:lineRule="auto"/>
        <w:ind w:firstLine="480"/>
        <w:rPr>
          <w:rFonts w:hint="eastAsia" w:eastAsia="仿宋"/>
          <w:sz w:val="28"/>
          <w:szCs w:val="28"/>
          <w:lang w:eastAsia="zh-CN"/>
        </w:rPr>
      </w:pPr>
      <w:r>
        <w:rPr>
          <w:rFonts w:hint="eastAsia"/>
          <w:sz w:val="28"/>
          <w:szCs w:val="28"/>
          <w:lang w:eastAsia="zh-CN"/>
        </w:rPr>
        <w:t>系统访问</w:t>
      </w:r>
      <w:r>
        <w:rPr>
          <w:rFonts w:hint="eastAsia"/>
          <w:sz w:val="28"/>
          <w:szCs w:val="28"/>
        </w:rPr>
        <w:t>过程中使用https协议来保证传输安全性</w:t>
      </w:r>
      <w:r>
        <w:rPr>
          <w:rFonts w:hint="eastAsia"/>
          <w:sz w:val="28"/>
          <w:szCs w:val="28"/>
          <w:lang w:eastAsia="zh-CN"/>
        </w:rPr>
        <w:t>；</w:t>
      </w:r>
      <w:r>
        <w:rPr>
          <w:rFonts w:hint="eastAsia" w:ascii="仿宋_GB2312" w:hAnsi="仿宋_GB2312" w:eastAsia="仿宋_GB2312" w:cs="仿宋_GB2312"/>
          <w:color w:val="000000"/>
          <w:sz w:val="28"/>
          <w:szCs w:val="28"/>
          <w:lang w:val="en-US" w:eastAsia="zh-CN"/>
        </w:rPr>
        <w:t>终端采用SM4商用国密算法对数据进行加密，通过专用APN通道或NB方式上传至核心网，实现终端与系统软件间数据传输的数据加密和通道加密。</w:t>
      </w:r>
    </w:p>
    <w:p>
      <w:pPr>
        <w:pStyle w:val="4"/>
        <w:widowControl w:val="0"/>
        <w:numPr>
          <w:ilvl w:val="2"/>
          <w:numId w:val="0"/>
        </w:numPr>
        <w:spacing w:afterLines="50" w:line="360" w:lineRule="auto"/>
        <w:ind w:leftChars="200"/>
        <w:jc w:val="both"/>
        <w:rPr>
          <w:sz w:val="28"/>
          <w:szCs w:val="28"/>
        </w:rPr>
      </w:pPr>
      <w:bookmarkStart w:id="109" w:name="_Toc491813537"/>
      <w:bookmarkStart w:id="110" w:name="_Toc470257795"/>
      <w:bookmarkStart w:id="111" w:name="_Toc13751"/>
      <w:bookmarkStart w:id="112" w:name="_Toc455662375"/>
      <w:r>
        <w:rPr>
          <w:rFonts w:hint="eastAsia"/>
          <w:sz w:val="28"/>
          <w:szCs w:val="28"/>
          <w:lang w:val="en-US" w:eastAsia="zh-CN"/>
        </w:rPr>
        <w:t>4.</w:t>
      </w:r>
      <w:r>
        <w:rPr>
          <w:rFonts w:hint="eastAsia"/>
          <w:sz w:val="28"/>
          <w:szCs w:val="28"/>
        </w:rPr>
        <w:t>设计安全</w:t>
      </w:r>
      <w:bookmarkEnd w:id="109"/>
      <w:bookmarkEnd w:id="110"/>
      <w:bookmarkEnd w:id="111"/>
    </w:p>
    <w:p>
      <w:pPr>
        <w:pStyle w:val="28"/>
        <w:widowControl w:val="0"/>
        <w:numPr>
          <w:numId w:val="0"/>
        </w:numPr>
        <w:spacing w:afterLines="50" w:line="360" w:lineRule="auto"/>
        <w:ind w:leftChars="0" w:firstLine="560" w:firstLineChars="200"/>
        <w:jc w:val="both"/>
        <w:rPr>
          <w:sz w:val="28"/>
          <w:szCs w:val="28"/>
        </w:rPr>
      </w:pPr>
      <w:r>
        <w:rPr>
          <w:rFonts w:hint="eastAsia" w:ascii="仿宋_GB2312" w:hAnsi="仿宋_GB2312" w:eastAsia="仿宋_GB2312" w:cs="仿宋_GB2312"/>
          <w:color w:val="000000"/>
          <w:sz w:val="28"/>
          <w:szCs w:val="28"/>
          <w:lang w:val="en-US" w:eastAsia="zh-CN"/>
        </w:rPr>
        <w:t>系统运行环境需达到 GB/T 37092 三级等保安全要求，</w:t>
      </w:r>
      <w:r>
        <w:rPr>
          <w:rFonts w:hint="eastAsia"/>
          <w:sz w:val="28"/>
          <w:szCs w:val="28"/>
        </w:rPr>
        <w:t>配合系统上线前的安全漏洞扫描及修复，提升系统安全。设计时主要考虑预防非法输入</w:t>
      </w:r>
      <w:r>
        <w:rPr>
          <w:rFonts w:hint="eastAsia"/>
          <w:sz w:val="28"/>
          <w:szCs w:val="28"/>
          <w:lang w:eastAsia="zh-CN"/>
        </w:rPr>
        <w:t>、</w:t>
      </w:r>
      <w:r>
        <w:rPr>
          <w:rFonts w:hint="eastAsia"/>
          <w:sz w:val="28"/>
          <w:szCs w:val="28"/>
        </w:rPr>
        <w:t>失效的访问控制</w:t>
      </w:r>
      <w:r>
        <w:rPr>
          <w:rFonts w:hint="eastAsia"/>
          <w:sz w:val="28"/>
          <w:szCs w:val="28"/>
          <w:lang w:eastAsia="zh-CN"/>
        </w:rPr>
        <w:t>、</w:t>
      </w:r>
      <w:r>
        <w:rPr>
          <w:rFonts w:hint="eastAsia"/>
          <w:sz w:val="28"/>
          <w:szCs w:val="28"/>
        </w:rPr>
        <w:t>失效的账户和线程管理</w:t>
      </w:r>
      <w:r>
        <w:rPr>
          <w:rFonts w:hint="eastAsia"/>
          <w:sz w:val="28"/>
          <w:szCs w:val="28"/>
          <w:lang w:eastAsia="zh-CN"/>
        </w:rPr>
        <w:t>、</w:t>
      </w:r>
      <w:r>
        <w:rPr>
          <w:rFonts w:hint="eastAsia"/>
          <w:sz w:val="28"/>
          <w:szCs w:val="28"/>
        </w:rPr>
        <w:t>跨站点脚本攻击</w:t>
      </w:r>
      <w:r>
        <w:rPr>
          <w:rFonts w:hint="eastAsia"/>
          <w:sz w:val="28"/>
          <w:szCs w:val="28"/>
          <w:lang w:eastAsia="zh-CN"/>
        </w:rPr>
        <w:t>、</w:t>
      </w:r>
      <w:r>
        <w:rPr>
          <w:rFonts w:hint="eastAsia"/>
          <w:sz w:val="28"/>
          <w:szCs w:val="28"/>
        </w:rPr>
        <w:t>缓存溢出问题</w:t>
      </w:r>
      <w:r>
        <w:rPr>
          <w:rFonts w:hint="eastAsia"/>
          <w:sz w:val="28"/>
          <w:szCs w:val="28"/>
          <w:lang w:eastAsia="zh-CN"/>
        </w:rPr>
        <w:t>、</w:t>
      </w:r>
      <w:r>
        <w:rPr>
          <w:rFonts w:hint="eastAsia"/>
          <w:sz w:val="28"/>
          <w:szCs w:val="28"/>
        </w:rPr>
        <w:t>异常错误处理</w:t>
      </w:r>
      <w:r>
        <w:rPr>
          <w:rFonts w:hint="eastAsia"/>
          <w:sz w:val="28"/>
          <w:szCs w:val="28"/>
          <w:lang w:eastAsia="zh-CN"/>
        </w:rPr>
        <w:t>、</w:t>
      </w:r>
      <w:r>
        <w:rPr>
          <w:rFonts w:hint="eastAsia"/>
          <w:sz w:val="28"/>
          <w:szCs w:val="28"/>
        </w:rPr>
        <w:t>不安全的存储</w:t>
      </w:r>
      <w:r>
        <w:rPr>
          <w:rFonts w:hint="eastAsia"/>
          <w:sz w:val="28"/>
          <w:szCs w:val="28"/>
          <w:lang w:eastAsia="zh-CN"/>
        </w:rPr>
        <w:t>、</w:t>
      </w:r>
      <w:r>
        <w:rPr>
          <w:rFonts w:hint="eastAsia"/>
          <w:sz w:val="28"/>
          <w:szCs w:val="28"/>
        </w:rPr>
        <w:t>程序拒绝服务攻击</w:t>
      </w:r>
      <w:r>
        <w:rPr>
          <w:rFonts w:hint="eastAsia"/>
          <w:sz w:val="28"/>
          <w:szCs w:val="28"/>
          <w:lang w:eastAsia="zh-CN"/>
        </w:rPr>
        <w:t>、</w:t>
      </w:r>
      <w:r>
        <w:rPr>
          <w:rFonts w:hint="eastAsia"/>
          <w:sz w:val="28"/>
          <w:szCs w:val="28"/>
        </w:rPr>
        <w:t>不安全的配置管理</w:t>
      </w:r>
      <w:r>
        <w:rPr>
          <w:rFonts w:hint="eastAsia"/>
          <w:sz w:val="28"/>
          <w:szCs w:val="28"/>
          <w:lang w:eastAsia="zh-CN"/>
        </w:rPr>
        <w:t>等</w:t>
      </w:r>
      <w:r>
        <w:rPr>
          <w:rFonts w:hint="eastAsia"/>
          <w:sz w:val="28"/>
          <w:szCs w:val="28"/>
        </w:rPr>
        <w:t>方面安全问题</w:t>
      </w:r>
      <w:r>
        <w:rPr>
          <w:rFonts w:hint="eastAsia"/>
          <w:sz w:val="28"/>
          <w:szCs w:val="28"/>
          <w:lang w:eastAsia="zh-CN"/>
        </w:rPr>
        <w:t>。</w:t>
      </w:r>
      <w:bookmarkEnd w:id="96"/>
      <w:bookmarkEnd w:id="112"/>
    </w:p>
    <w:p>
      <w:pPr>
        <w:pStyle w:val="3"/>
        <w:numPr>
          <w:ilvl w:val="1"/>
          <w:numId w:val="0"/>
        </w:numPr>
        <w:rPr>
          <w:rFonts w:hint="eastAsia" w:ascii="黑体" w:hAnsi="黑体" w:eastAsia="黑体" w:cs="黑体"/>
          <w:color w:val="auto"/>
        </w:rPr>
      </w:pPr>
      <w:bookmarkStart w:id="113" w:name="_Toc30318"/>
      <w:bookmarkStart w:id="114" w:name="_Toc19795_WPSOffice_Level2"/>
      <w:r>
        <w:rPr>
          <w:rFonts w:hint="eastAsia" w:ascii="黑体" w:hAnsi="黑体" w:eastAsia="黑体" w:cs="黑体"/>
          <w:color w:val="auto"/>
          <w:lang w:val="en-US" w:eastAsia="zh-CN"/>
        </w:rPr>
        <w:t>八.</w:t>
      </w:r>
      <w:r>
        <w:rPr>
          <w:rFonts w:hint="eastAsia" w:ascii="黑体" w:hAnsi="黑体" w:eastAsia="黑体" w:cs="黑体"/>
          <w:color w:val="auto"/>
        </w:rPr>
        <w:t>安装、调试、售后服务及技术支持</w:t>
      </w:r>
      <w:bookmarkEnd w:id="92"/>
      <w:bookmarkEnd w:id="113"/>
      <w:bookmarkEnd w:id="114"/>
    </w:p>
    <w:p>
      <w:pPr>
        <w:widowControl w:val="0"/>
        <w:wordWrap/>
        <w:adjustRightInd/>
        <w:snapToGrid/>
        <w:spacing w:before="0" w:after="0" w:line="560" w:lineRule="exact"/>
        <w:ind w:left="0" w:leftChars="0" w:right="0" w:firstLine="48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lang w:eastAsia="zh-CN"/>
        </w:rPr>
        <w:t>系统软件开发周期为签订合同后</w:t>
      </w:r>
      <w:r>
        <w:rPr>
          <w:rFonts w:hint="eastAsia" w:ascii="仿宋_GB2312" w:hAnsi="仿宋_GB2312" w:eastAsia="仿宋_GB2312" w:cs="仿宋_GB2312"/>
          <w:color w:val="000000"/>
          <w:sz w:val="28"/>
          <w:szCs w:val="28"/>
          <w:lang w:eastAsia="zh-CN"/>
        </w:rPr>
        <w:t>的</w:t>
      </w:r>
      <w:r>
        <w:rPr>
          <w:rFonts w:hint="eastAsia" w:ascii="仿宋_GB2312" w:hAnsi="仿宋_GB2312" w:eastAsia="仿宋_GB2312" w:cs="仿宋_GB2312"/>
          <w:color w:val="000000"/>
          <w:sz w:val="28"/>
          <w:szCs w:val="28"/>
          <w:lang w:val="en-US" w:eastAsia="zh-CN"/>
        </w:rPr>
        <w:t>2个月，</w:t>
      </w:r>
      <w:r>
        <w:rPr>
          <w:rFonts w:hint="eastAsia" w:ascii="仿宋_GB2312" w:hAnsi="仿宋_GB2312" w:eastAsia="仿宋_GB2312" w:cs="仿宋_GB2312"/>
          <w:color w:val="auto"/>
          <w:sz w:val="28"/>
          <w:szCs w:val="28"/>
          <w:lang w:eastAsia="zh-CN"/>
        </w:rPr>
        <w:t>中</w:t>
      </w:r>
      <w:r>
        <w:rPr>
          <w:rFonts w:hint="eastAsia" w:ascii="仿宋_GB2312" w:hAnsi="仿宋_GB2312" w:eastAsia="仿宋_GB2312" w:cs="仿宋_GB2312"/>
          <w:color w:val="auto"/>
          <w:sz w:val="28"/>
          <w:szCs w:val="28"/>
        </w:rPr>
        <w:t>标人（单位）需</w:t>
      </w:r>
      <w:r>
        <w:rPr>
          <w:rFonts w:hint="eastAsia" w:ascii="仿宋_GB2312" w:hAnsi="仿宋_GB2312" w:eastAsia="仿宋_GB2312" w:cs="仿宋_GB2312"/>
          <w:color w:val="auto"/>
          <w:sz w:val="28"/>
          <w:szCs w:val="28"/>
          <w:lang w:eastAsia="zh-CN"/>
        </w:rPr>
        <w:t>组织专人严格按招标文件的详细需求与招标方进行功能细化和技术开发，并</w:t>
      </w:r>
      <w:r>
        <w:rPr>
          <w:rFonts w:hint="eastAsia" w:ascii="仿宋_GB2312" w:hAnsi="仿宋_GB2312" w:eastAsia="仿宋_GB2312" w:cs="仿宋_GB2312"/>
          <w:color w:val="auto"/>
          <w:sz w:val="28"/>
          <w:szCs w:val="28"/>
        </w:rPr>
        <w:t>进行</w:t>
      </w:r>
      <w:r>
        <w:rPr>
          <w:rFonts w:hint="eastAsia" w:ascii="仿宋_GB2312" w:hAnsi="仿宋_GB2312" w:eastAsia="仿宋_GB2312" w:cs="仿宋_GB2312"/>
          <w:color w:val="auto"/>
          <w:sz w:val="28"/>
          <w:szCs w:val="28"/>
          <w:lang w:eastAsia="zh-CN"/>
        </w:rPr>
        <w:t>系统软件的</w:t>
      </w:r>
      <w:r>
        <w:rPr>
          <w:rFonts w:hint="eastAsia" w:ascii="仿宋_GB2312" w:hAnsi="仿宋_GB2312" w:eastAsia="仿宋_GB2312" w:cs="仿宋_GB2312"/>
          <w:color w:val="auto"/>
          <w:sz w:val="28"/>
          <w:szCs w:val="28"/>
        </w:rPr>
        <w:t>安装、调试、</w:t>
      </w:r>
      <w:r>
        <w:rPr>
          <w:rFonts w:hint="eastAsia" w:ascii="仿宋_GB2312" w:hAnsi="仿宋_GB2312" w:eastAsia="仿宋_GB2312" w:cs="仿宋_GB2312"/>
          <w:color w:val="auto"/>
          <w:sz w:val="28"/>
          <w:szCs w:val="28"/>
          <w:lang w:eastAsia="zh-CN"/>
        </w:rPr>
        <w:t>维护</w:t>
      </w:r>
      <w:r>
        <w:rPr>
          <w:rFonts w:hint="eastAsia" w:ascii="仿宋_GB2312" w:hAnsi="仿宋_GB2312" w:eastAsia="仿宋_GB2312" w:cs="仿宋_GB2312"/>
          <w:color w:val="auto"/>
          <w:sz w:val="28"/>
          <w:szCs w:val="28"/>
        </w:rPr>
        <w:t>。</w:t>
      </w:r>
    </w:p>
    <w:p>
      <w:pPr>
        <w:widowControl w:val="0"/>
        <w:wordWrap/>
        <w:adjustRightInd/>
        <w:snapToGrid/>
        <w:spacing w:before="0" w:after="0" w:line="560" w:lineRule="exact"/>
        <w:ind w:left="0" w:leftChars="0" w:right="0" w:firstLine="480"/>
        <w:jc w:val="both"/>
        <w:textAlignment w:val="auto"/>
        <w:outlineLvl w:val="9"/>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2.中标人</w:t>
      </w:r>
      <w:r>
        <w:rPr>
          <w:rFonts w:hint="eastAsia" w:ascii="仿宋_GB2312" w:hAnsi="仿宋_GB2312" w:eastAsia="仿宋_GB2312" w:cs="仿宋_GB2312"/>
          <w:color w:val="auto"/>
          <w:sz w:val="28"/>
          <w:szCs w:val="28"/>
          <w:lang w:eastAsia="zh-CN"/>
        </w:rPr>
        <w:t>应免费提供</w:t>
      </w:r>
      <w:r>
        <w:rPr>
          <w:rFonts w:hint="eastAsia" w:ascii="仿宋_GB2312" w:hAnsi="仿宋_GB2312" w:eastAsia="仿宋_GB2312" w:cs="仿宋_GB2312"/>
          <w:color w:val="auto"/>
          <w:sz w:val="28"/>
          <w:szCs w:val="28"/>
          <w:lang w:val="en-US" w:eastAsia="zh-CN"/>
        </w:rPr>
        <w:t>1年</w:t>
      </w:r>
      <w:r>
        <w:rPr>
          <w:rFonts w:hint="eastAsia" w:ascii="仿宋_GB2312" w:hAnsi="仿宋_GB2312" w:eastAsia="仿宋_GB2312" w:cs="仿宋_GB2312"/>
          <w:color w:val="auto"/>
          <w:sz w:val="28"/>
          <w:szCs w:val="28"/>
          <w:lang w:eastAsia="zh-CN"/>
        </w:rPr>
        <w:t>系统软件维护、升级和技术支持等服务，及时解决问题，确保系统业务正常运行。</w:t>
      </w:r>
    </w:p>
    <w:p>
      <w:pPr>
        <w:widowControl w:val="0"/>
        <w:wordWrap/>
        <w:adjustRightInd/>
        <w:snapToGrid/>
        <w:spacing w:before="0" w:after="0" w:line="560" w:lineRule="exact"/>
        <w:ind w:left="0" w:leftChars="0" w:right="0" w:firstLine="480"/>
        <w:jc w:val="both"/>
        <w:textAlignment w:val="auto"/>
        <w:outlineLvl w:val="9"/>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3.中标人必需提供7*24小时服务，出现</w:t>
      </w:r>
      <w:r>
        <w:rPr>
          <w:rFonts w:hint="eastAsia" w:ascii="仿宋_GB2312" w:hAnsi="仿宋_GB2312" w:eastAsia="仿宋_GB2312" w:cs="仿宋_GB2312"/>
          <w:color w:val="auto"/>
          <w:sz w:val="28"/>
          <w:szCs w:val="28"/>
        </w:rPr>
        <w:t>故障</w:t>
      </w:r>
      <w:r>
        <w:rPr>
          <w:rFonts w:hint="eastAsia" w:ascii="仿宋_GB2312" w:hAnsi="仿宋_GB2312" w:eastAsia="仿宋_GB2312" w:cs="仿宋_GB2312"/>
          <w:color w:val="auto"/>
          <w:sz w:val="28"/>
          <w:szCs w:val="28"/>
          <w:lang w:eastAsia="zh-CN"/>
        </w:rPr>
        <w:t>后</w:t>
      </w:r>
      <w:r>
        <w:rPr>
          <w:rFonts w:hint="eastAsia" w:ascii="仿宋_GB2312" w:hAnsi="仿宋_GB2312" w:eastAsia="仿宋_GB2312" w:cs="仿宋_GB2312"/>
          <w:color w:val="auto"/>
          <w:sz w:val="28"/>
          <w:szCs w:val="28"/>
        </w:rPr>
        <w:t>，一般性问题在</w:t>
      </w:r>
      <w:r>
        <w:rPr>
          <w:rFonts w:hint="eastAsia" w:ascii="仿宋_GB2312" w:hAnsi="仿宋_GB2312" w:eastAsia="仿宋_GB2312" w:cs="仿宋_GB2312"/>
          <w:color w:val="auto"/>
          <w:sz w:val="28"/>
          <w:szCs w:val="28"/>
          <w:lang w:val="en-US" w:eastAsia="zh-CN"/>
        </w:rPr>
        <w:t>8</w:t>
      </w:r>
      <w:r>
        <w:rPr>
          <w:rFonts w:hint="eastAsia" w:ascii="仿宋_GB2312" w:hAnsi="仿宋_GB2312" w:eastAsia="仿宋_GB2312" w:cs="仿宋_GB2312"/>
          <w:color w:val="auto"/>
          <w:sz w:val="28"/>
          <w:szCs w:val="28"/>
        </w:rPr>
        <w:t>小时内解决；重大型故障，</w:t>
      </w: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小时</w:t>
      </w:r>
      <w:r>
        <w:rPr>
          <w:rFonts w:hint="eastAsia" w:ascii="仿宋_GB2312" w:hAnsi="仿宋_GB2312" w:eastAsia="仿宋_GB2312" w:cs="仿宋_GB2312"/>
          <w:color w:val="auto"/>
          <w:sz w:val="28"/>
          <w:szCs w:val="28"/>
          <w:lang w:eastAsia="zh-CN"/>
        </w:rPr>
        <w:t>内</w:t>
      </w:r>
      <w:r>
        <w:rPr>
          <w:rFonts w:hint="eastAsia" w:ascii="仿宋_GB2312" w:hAnsi="仿宋_GB2312" w:eastAsia="仿宋_GB2312" w:cs="仿宋_GB2312"/>
          <w:color w:val="auto"/>
          <w:sz w:val="28"/>
          <w:szCs w:val="28"/>
        </w:rPr>
        <w:t>到现场响应，</w:t>
      </w:r>
      <w:r>
        <w:rPr>
          <w:rFonts w:hint="eastAsia" w:ascii="仿宋_GB2312" w:hAnsi="仿宋_GB2312" w:eastAsia="仿宋_GB2312" w:cs="仿宋_GB2312"/>
          <w:color w:val="auto"/>
          <w:sz w:val="28"/>
          <w:szCs w:val="28"/>
          <w:lang w:val="en-US" w:eastAsia="zh-CN"/>
        </w:rPr>
        <w:t>48</w:t>
      </w:r>
      <w:r>
        <w:rPr>
          <w:rFonts w:hint="eastAsia" w:ascii="仿宋_GB2312" w:hAnsi="仿宋_GB2312" w:eastAsia="仿宋_GB2312" w:cs="仿宋_GB2312"/>
          <w:color w:val="auto"/>
          <w:sz w:val="28"/>
          <w:szCs w:val="28"/>
        </w:rPr>
        <w:t>小时之内解决问题</w:t>
      </w:r>
      <w:r>
        <w:rPr>
          <w:rFonts w:hint="eastAsia" w:ascii="仿宋_GB2312" w:hAnsi="仿宋_GB2312" w:eastAsia="仿宋_GB2312" w:cs="仿宋_GB2312"/>
          <w:color w:val="auto"/>
          <w:sz w:val="28"/>
          <w:szCs w:val="28"/>
          <w:lang w:eastAsia="zh-CN"/>
        </w:rPr>
        <w:t>。</w:t>
      </w:r>
    </w:p>
    <w:p>
      <w:pPr>
        <w:widowControl w:val="0"/>
        <w:wordWrap/>
        <w:adjustRightInd/>
        <w:snapToGrid/>
        <w:spacing w:before="0" w:after="0" w:line="560" w:lineRule="exact"/>
        <w:ind w:left="0" w:leftChars="0" w:right="0" w:firstLine="480"/>
        <w:jc w:val="both"/>
        <w:textAlignment w:val="auto"/>
        <w:outlineLvl w:val="9"/>
        <w:rPr>
          <w:rFonts w:hint="eastAsia" w:ascii="仿宋_GB2312" w:hAnsi="仿宋_GB2312" w:eastAsia="仿宋_GB2312" w:cs="仿宋_GB2312"/>
          <w:color w:val="auto"/>
          <w:sz w:val="28"/>
          <w:szCs w:val="28"/>
          <w:lang w:val="en-US" w:eastAsia="zh-CN"/>
        </w:rPr>
      </w:pPr>
      <w:bookmarkStart w:id="115" w:name="_Toc456770940"/>
      <w:r>
        <w:rPr>
          <w:rFonts w:hint="eastAsia" w:ascii="仿宋_GB2312" w:hAnsi="仿宋_GB2312" w:eastAsia="仿宋_GB2312" w:cs="仿宋_GB2312"/>
          <w:color w:val="auto"/>
          <w:sz w:val="28"/>
          <w:szCs w:val="28"/>
          <w:lang w:val="en-US" w:eastAsia="zh-CN"/>
        </w:rPr>
        <w:t>4.中标方必需确保本系统的数据安全，该数据所有权为招标方，未经其允许，中标方不得随意使用和复制，否则招标方将追究其法律责任。</w:t>
      </w:r>
    </w:p>
    <w:p>
      <w:pPr>
        <w:widowControl w:val="0"/>
        <w:wordWrap/>
        <w:adjustRightInd/>
        <w:snapToGrid/>
        <w:spacing w:before="0" w:after="0" w:line="560" w:lineRule="exact"/>
        <w:ind w:left="0" w:leftChars="0" w:right="0" w:firstLine="480"/>
        <w:jc w:val="both"/>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5.中标方需根据招标方要求，完成好信息资源共享目录编制与维护，提供数据中台或其他平台软件对接服务。</w:t>
      </w:r>
    </w:p>
    <w:p>
      <w:pPr>
        <w:widowControl w:val="0"/>
        <w:wordWrap/>
        <w:adjustRightInd/>
        <w:snapToGrid/>
        <w:spacing w:before="0" w:after="0" w:line="560" w:lineRule="exact"/>
        <w:ind w:left="0" w:leftChars="0" w:right="0" w:firstLine="480"/>
        <w:jc w:val="both"/>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6.中标人需准备有成熟的紧急故障处理应急方案，保证紧急情况下快速故障处理，缩短故障处理时限。</w:t>
      </w:r>
    </w:p>
    <w:p>
      <w:pPr>
        <w:widowControl w:val="0"/>
        <w:wordWrap/>
        <w:adjustRightInd/>
        <w:snapToGrid/>
        <w:spacing w:before="0" w:after="0" w:line="560" w:lineRule="exact"/>
        <w:ind w:left="0" w:leftChars="0" w:right="0" w:firstLine="480"/>
        <w:jc w:val="both"/>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7.中标人在进行系统版本升级时，需提前3个工作日告知使用方，并做好数据备份，升级完成后联系使用方相关人员确认系统是否正常运行。</w:t>
      </w:r>
    </w:p>
    <w:p>
      <w:pPr>
        <w:pStyle w:val="31"/>
        <w:widowControl w:val="0"/>
        <w:wordWrap/>
        <w:adjustRightInd/>
        <w:snapToGrid/>
        <w:spacing w:before="0" w:after="0" w:line="560" w:lineRule="exact"/>
        <w:ind w:left="0" w:leftChars="0" w:right="0"/>
        <w:jc w:val="both"/>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  8.中标人需配合招标方完成与各设备厂商的技术对接，并出具测试报告，所产生的工时费由中标人与相应厂商协量解决。</w:t>
      </w:r>
      <w:bookmarkEnd w:id="115"/>
    </w:p>
    <w:p>
      <w:pPr>
        <w:pStyle w:val="31"/>
        <w:widowControl w:val="0"/>
        <w:wordWrap/>
        <w:adjustRightInd/>
        <w:snapToGrid/>
        <w:spacing w:before="0" w:after="0" w:line="560" w:lineRule="exact"/>
        <w:ind w:left="0" w:leftChars="0" w:right="0" w:firstLine="560" w:firstLineChars="200"/>
        <w:jc w:val="both"/>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9.本项目系统开发的源代码所有权、知识产权、软件著作权归招标方所有。</w:t>
      </w:r>
    </w:p>
    <w:p>
      <w:pPr>
        <w:pStyle w:val="31"/>
        <w:widowControl w:val="0"/>
        <w:wordWrap/>
        <w:adjustRightInd/>
        <w:snapToGrid/>
        <w:spacing w:before="0" w:after="0" w:line="560" w:lineRule="exact"/>
        <w:ind w:left="0" w:leftChars="0" w:right="0"/>
        <w:jc w:val="both"/>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  10.中标方需提供系统信创适配升级改造服务。</w:t>
      </w:r>
    </w:p>
    <w:p>
      <w:pPr>
        <w:pStyle w:val="31"/>
        <w:widowControl w:val="0"/>
        <w:wordWrap/>
        <w:adjustRightInd/>
        <w:snapToGrid/>
        <w:spacing w:before="0" w:after="0" w:line="560" w:lineRule="exact"/>
        <w:ind w:right="0" w:firstLine="560" w:firstLineChars="200"/>
        <w:jc w:val="both"/>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11.本项目招标文件是项目合同和重要组成部分。</w:t>
      </w:r>
    </w:p>
    <w:p>
      <w:pPr>
        <w:pStyle w:val="31"/>
        <w:rPr>
          <w:rFonts w:hint="eastAsia" w:ascii="宋体" w:hAnsi="宋体"/>
          <w:sz w:val="36"/>
          <w:szCs w:val="36"/>
          <w:lang w:eastAsia="zh-CN"/>
        </w:rPr>
      </w:pPr>
    </w:p>
    <w:p>
      <w:pPr>
        <w:pStyle w:val="31"/>
        <w:rPr>
          <w:rFonts w:hint="eastAsia" w:ascii="宋体" w:hAnsi="宋体"/>
          <w:sz w:val="36"/>
          <w:szCs w:val="36"/>
          <w:lang w:eastAsia="zh-CN"/>
        </w:rPr>
      </w:pPr>
    </w:p>
    <w:p>
      <w:pPr>
        <w:pStyle w:val="31"/>
        <w:rPr>
          <w:rFonts w:hint="eastAsia" w:ascii="宋体" w:hAnsi="宋体"/>
          <w:sz w:val="36"/>
          <w:szCs w:val="36"/>
          <w:lang w:eastAsia="zh-CN"/>
        </w:rPr>
      </w:pPr>
    </w:p>
    <w:p>
      <w:pPr>
        <w:pStyle w:val="31"/>
        <w:rPr>
          <w:rFonts w:hint="eastAsia" w:ascii="宋体" w:hAnsi="宋体"/>
          <w:sz w:val="36"/>
          <w:szCs w:val="36"/>
          <w:lang w:eastAsia="zh-CN"/>
        </w:rPr>
      </w:pPr>
    </w:p>
    <w:p>
      <w:pPr>
        <w:pStyle w:val="31"/>
        <w:rPr>
          <w:rFonts w:hint="eastAsia" w:ascii="宋体" w:hAnsi="宋体"/>
          <w:sz w:val="36"/>
          <w:szCs w:val="36"/>
          <w:lang w:eastAsia="zh-CN"/>
        </w:rPr>
      </w:pPr>
    </w:p>
    <w:p>
      <w:pPr>
        <w:pStyle w:val="31"/>
        <w:rPr>
          <w:rFonts w:hint="eastAsia" w:ascii="宋体" w:hAnsi="宋体"/>
          <w:sz w:val="36"/>
          <w:szCs w:val="36"/>
          <w:lang w:eastAsia="zh-CN"/>
        </w:rPr>
      </w:pPr>
    </w:p>
    <w:p>
      <w:pPr>
        <w:pStyle w:val="31"/>
        <w:rPr>
          <w:rFonts w:hint="eastAsia" w:ascii="宋体" w:hAnsi="宋体"/>
          <w:sz w:val="36"/>
          <w:szCs w:val="36"/>
          <w:lang w:eastAsia="zh-CN"/>
        </w:rPr>
      </w:pPr>
    </w:p>
    <w:p>
      <w:pPr>
        <w:pStyle w:val="31"/>
        <w:rPr>
          <w:rFonts w:hint="eastAsia" w:ascii="宋体" w:hAnsi="宋体"/>
          <w:sz w:val="36"/>
          <w:szCs w:val="36"/>
          <w:lang w:eastAsia="zh-CN"/>
        </w:rPr>
      </w:pPr>
    </w:p>
    <w:p>
      <w:pPr>
        <w:pStyle w:val="31"/>
        <w:rPr>
          <w:rFonts w:hint="eastAsia" w:ascii="宋体" w:hAnsi="宋体"/>
          <w:sz w:val="36"/>
          <w:szCs w:val="36"/>
          <w:lang w:eastAsia="zh-CN"/>
        </w:rPr>
      </w:pPr>
    </w:p>
    <w:p>
      <w:pPr>
        <w:pStyle w:val="31"/>
        <w:rPr>
          <w:rFonts w:hint="eastAsia" w:ascii="宋体" w:hAnsi="宋体"/>
          <w:sz w:val="36"/>
          <w:szCs w:val="36"/>
          <w:lang w:eastAsia="zh-CN"/>
        </w:rPr>
      </w:pPr>
    </w:p>
    <w:p>
      <w:pPr>
        <w:pStyle w:val="31"/>
        <w:rPr>
          <w:rFonts w:hint="eastAsia" w:ascii="宋体" w:hAnsi="宋体"/>
          <w:sz w:val="36"/>
          <w:szCs w:val="36"/>
          <w:lang w:eastAsia="zh-CN"/>
        </w:rPr>
      </w:pPr>
    </w:p>
    <w:p>
      <w:pPr>
        <w:pStyle w:val="31"/>
        <w:rPr>
          <w:rFonts w:hint="eastAsia" w:ascii="宋体" w:hAnsi="宋体"/>
          <w:sz w:val="36"/>
          <w:szCs w:val="36"/>
          <w:lang w:eastAsia="zh-CN"/>
        </w:rPr>
      </w:pPr>
    </w:p>
    <w:p>
      <w:pPr>
        <w:ind w:left="0" w:leftChars="0" w:firstLine="0" w:firstLineChars="0"/>
        <w:jc w:val="both"/>
        <w:outlineLvl w:val="0"/>
        <w:rPr>
          <w:rFonts w:hint="eastAsia" w:ascii="黑体" w:hAnsi="黑体" w:eastAsia="黑体" w:cs="黑体"/>
          <w:b/>
          <w:sz w:val="32"/>
          <w:szCs w:val="32"/>
          <w:lang w:val="en-US" w:eastAsia="zh-CN"/>
        </w:rPr>
      </w:pPr>
      <w:bookmarkStart w:id="116" w:name="_Toc26526"/>
      <w:bookmarkStart w:id="117" w:name="_Toc268426420"/>
      <w:bookmarkStart w:id="118" w:name="第六部分"/>
      <w:r>
        <w:rPr>
          <w:rFonts w:hint="eastAsia" w:ascii="黑体" w:hAnsi="黑体" w:eastAsia="黑体" w:cs="黑体"/>
          <w:b/>
          <w:sz w:val="32"/>
          <w:szCs w:val="32"/>
          <w:lang w:val="en-US" w:eastAsia="zh-CN"/>
        </w:rPr>
        <w:t xml:space="preserve">                </w:t>
      </w:r>
    </w:p>
    <w:p>
      <w:pPr>
        <w:ind w:left="0" w:leftChars="0" w:firstLine="0" w:firstLineChars="0"/>
        <w:jc w:val="both"/>
        <w:outlineLvl w:val="0"/>
        <w:rPr>
          <w:rFonts w:hint="eastAsia" w:ascii="黑体" w:hAnsi="黑体" w:eastAsia="黑体" w:cs="黑体"/>
          <w:b/>
          <w:sz w:val="32"/>
          <w:szCs w:val="32"/>
          <w:lang w:val="en-US" w:eastAsia="zh-CN"/>
        </w:rPr>
      </w:pPr>
    </w:p>
    <w:p>
      <w:pPr>
        <w:ind w:left="0" w:leftChars="0" w:firstLine="0" w:firstLineChars="0"/>
        <w:jc w:val="both"/>
        <w:outlineLvl w:val="0"/>
        <w:rPr>
          <w:rFonts w:hint="eastAsia" w:ascii="黑体" w:hAnsi="黑体" w:eastAsia="黑体" w:cs="黑体"/>
          <w:b/>
          <w:sz w:val="32"/>
          <w:szCs w:val="32"/>
          <w:lang w:val="en-US" w:eastAsia="zh-CN"/>
        </w:rPr>
      </w:pPr>
    </w:p>
    <w:p>
      <w:pPr>
        <w:ind w:left="0" w:leftChars="0" w:firstLine="0" w:firstLineChars="0"/>
        <w:jc w:val="both"/>
        <w:outlineLvl w:val="0"/>
        <w:rPr>
          <w:rFonts w:hint="eastAsia" w:ascii="黑体" w:hAnsi="黑体" w:eastAsia="黑体" w:cs="黑体"/>
          <w:b/>
          <w:sz w:val="32"/>
          <w:szCs w:val="32"/>
          <w:lang w:val="en-US" w:eastAsia="zh-CN"/>
        </w:rPr>
      </w:pPr>
    </w:p>
    <w:p>
      <w:pPr>
        <w:ind w:left="0" w:leftChars="0" w:firstLine="0" w:firstLineChars="0"/>
        <w:jc w:val="both"/>
        <w:outlineLvl w:val="0"/>
        <w:rPr>
          <w:rFonts w:hint="eastAsia" w:ascii="黑体" w:hAnsi="黑体" w:eastAsia="黑体" w:cs="黑体"/>
          <w:b/>
          <w:sz w:val="32"/>
          <w:szCs w:val="32"/>
        </w:rPr>
      </w:pPr>
      <w:r>
        <w:rPr>
          <w:rFonts w:hint="eastAsia" w:ascii="黑体" w:hAnsi="黑体" w:eastAsia="黑体" w:cs="黑体"/>
          <w:b/>
          <w:sz w:val="32"/>
          <w:szCs w:val="32"/>
          <w:lang w:val="en-US" w:eastAsia="zh-CN"/>
        </w:rPr>
        <w:t xml:space="preserve">                  </w:t>
      </w:r>
      <w:bookmarkStart w:id="119" w:name="_Toc23786_WPSOffice_Level1"/>
      <w:r>
        <w:rPr>
          <w:rFonts w:hint="eastAsia" w:ascii="黑体" w:hAnsi="黑体" w:eastAsia="黑体" w:cs="黑体"/>
          <w:b/>
          <w:sz w:val="32"/>
          <w:szCs w:val="32"/>
        </w:rPr>
        <w:t>第六章 投标文件格式</w:t>
      </w:r>
      <w:bookmarkEnd w:id="116"/>
      <w:bookmarkEnd w:id="117"/>
      <w:bookmarkEnd w:id="119"/>
    </w:p>
    <w:p>
      <w:pPr>
        <w:ind w:firstLine="600"/>
        <w:jc w:val="center"/>
        <w:rPr>
          <w:rFonts w:hint="eastAsia" w:ascii="宋体" w:hAnsi="宋体" w:eastAsia="宋体" w:cs="宋体"/>
          <w:sz w:val="32"/>
          <w:szCs w:val="32"/>
        </w:rPr>
      </w:pPr>
      <w:bookmarkStart w:id="120" w:name="_Toc4002_WPSOffice_Level1"/>
      <w:r>
        <w:rPr>
          <w:rFonts w:hint="eastAsia" w:ascii="宋体" w:hAnsi="宋体" w:eastAsia="宋体" w:cs="宋体"/>
          <w:sz w:val="32"/>
          <w:szCs w:val="32"/>
        </w:rPr>
        <w:t>（投标文件制作格式）</w:t>
      </w:r>
      <w:bookmarkEnd w:id="118"/>
      <w:bookmarkEnd w:id="120"/>
    </w:p>
    <w:p>
      <w:pPr>
        <w:ind w:firstLine="640"/>
      </w:pPr>
    </w:p>
    <w:p>
      <w:pPr>
        <w:ind w:firstLine="640"/>
      </w:pPr>
    </w:p>
    <w:p>
      <w:pPr>
        <w:ind w:firstLine="640"/>
      </w:pPr>
    </w:p>
    <w:p>
      <w:pPr>
        <w:ind w:firstLine="602"/>
        <w:jc w:val="right"/>
        <w:rPr>
          <w:b/>
          <w:bCs/>
          <w:sz w:val="30"/>
          <w:szCs w:val="30"/>
          <w:bdr w:val="single" w:color="auto" w:sz="4" w:space="0"/>
        </w:rPr>
      </w:pPr>
      <w:bookmarkStart w:id="121" w:name="_Toc25904_WPSOffice_Level1"/>
      <w:r>
        <w:rPr>
          <w:rFonts w:hint="eastAsia"/>
          <w:b/>
          <w:bCs/>
          <w:sz w:val="30"/>
          <w:szCs w:val="30"/>
          <w:bdr w:val="single" w:color="auto" w:sz="4" w:space="0"/>
        </w:rPr>
        <w:t>正本</w:t>
      </w:r>
      <w:r>
        <w:rPr>
          <w:b/>
          <w:bCs/>
          <w:sz w:val="30"/>
          <w:szCs w:val="30"/>
          <w:bdr w:val="single" w:color="auto" w:sz="4" w:space="0"/>
        </w:rPr>
        <w:t>(</w:t>
      </w:r>
      <w:r>
        <w:rPr>
          <w:rFonts w:hint="eastAsia"/>
          <w:b/>
          <w:bCs/>
          <w:sz w:val="30"/>
          <w:szCs w:val="30"/>
          <w:bdr w:val="single" w:color="auto" w:sz="4" w:space="0"/>
        </w:rPr>
        <w:t>或副本</w:t>
      </w:r>
      <w:r>
        <w:rPr>
          <w:b/>
          <w:bCs/>
          <w:sz w:val="30"/>
          <w:szCs w:val="30"/>
          <w:bdr w:val="single" w:color="auto" w:sz="4" w:space="0"/>
        </w:rPr>
        <w:t>)</w:t>
      </w:r>
      <w:bookmarkEnd w:id="121"/>
    </w:p>
    <w:p>
      <w:pPr>
        <w:spacing w:line="360" w:lineRule="auto"/>
        <w:ind w:firstLine="602"/>
        <w:jc w:val="center"/>
        <w:rPr>
          <w:b/>
          <w:bCs/>
          <w:sz w:val="30"/>
          <w:szCs w:val="30"/>
        </w:rPr>
      </w:pPr>
    </w:p>
    <w:p>
      <w:pPr>
        <w:spacing w:line="360" w:lineRule="auto"/>
        <w:ind w:left="0" w:leftChars="0" w:firstLine="0" w:firstLineChars="0"/>
        <w:jc w:val="both"/>
        <w:rPr>
          <w:rFonts w:ascii="方正小标宋简体" w:eastAsia="方正小标宋简体"/>
          <w:bCs/>
          <w:sz w:val="44"/>
          <w:szCs w:val="44"/>
        </w:rPr>
      </w:pPr>
      <w:r>
        <w:rPr>
          <w:rFonts w:hint="eastAsia" w:ascii="方正小标宋简体" w:eastAsia="方正小标宋简体"/>
          <w:bCs/>
          <w:sz w:val="44"/>
          <w:szCs w:val="44"/>
          <w:lang w:val="en-US" w:eastAsia="zh-CN"/>
        </w:rPr>
        <w:t xml:space="preserve">                </w:t>
      </w:r>
      <w:bookmarkStart w:id="122" w:name="_Toc9435_WPSOffice_Level1"/>
      <w:r>
        <w:rPr>
          <w:rFonts w:hint="eastAsia" w:ascii="方正小标宋简体" w:eastAsia="方正小标宋简体"/>
          <w:bCs/>
          <w:sz w:val="44"/>
          <w:szCs w:val="44"/>
        </w:rPr>
        <w:t>XXX项目</w:t>
      </w:r>
      <w:bookmarkEnd w:id="122"/>
    </w:p>
    <w:p>
      <w:pPr>
        <w:pStyle w:val="40"/>
        <w:spacing w:line="360" w:lineRule="atLeast"/>
        <w:ind w:firstLine="723"/>
        <w:jc w:val="center"/>
        <w:rPr>
          <w:rFonts w:ascii="宋体" w:hAnsi="宋体" w:cs="仿宋"/>
          <w:color w:val="auto"/>
          <w:sz w:val="36"/>
          <w:szCs w:val="36"/>
        </w:rPr>
      </w:pPr>
      <w:bookmarkStart w:id="123" w:name="_Toc18569_WPSOffice_Level1"/>
      <w:r>
        <w:rPr>
          <w:rFonts w:hint="eastAsia" w:ascii="宋体" w:hAnsi="宋体" w:cs="仿宋"/>
          <w:b/>
          <w:color w:val="auto"/>
          <w:sz w:val="36"/>
          <w:szCs w:val="36"/>
        </w:rPr>
        <w:t>投 标 文 件</w:t>
      </w:r>
      <w:bookmarkEnd w:id="123"/>
    </w:p>
    <w:p>
      <w:pPr>
        <w:pStyle w:val="40"/>
        <w:ind w:firstLine="560"/>
        <w:jc w:val="center"/>
        <w:rPr>
          <w:rFonts w:ascii="宋体" w:hAnsi="宋体" w:cs="仿宋"/>
          <w:color w:val="auto"/>
          <w:sz w:val="28"/>
          <w:szCs w:val="28"/>
        </w:rPr>
      </w:pPr>
      <w:r>
        <w:rPr>
          <w:rFonts w:hint="eastAsia" w:ascii="宋体" w:hAnsi="宋体" w:cs="仿宋"/>
          <w:color w:val="auto"/>
          <w:sz w:val="28"/>
          <w:szCs w:val="28"/>
        </w:rPr>
        <w:t>（正本/副本）</w:t>
      </w:r>
    </w:p>
    <w:p>
      <w:pPr>
        <w:pStyle w:val="40"/>
        <w:ind w:firstLine="560"/>
        <w:jc w:val="center"/>
        <w:rPr>
          <w:rFonts w:ascii="宋体" w:hAnsi="宋体" w:cs="仿宋"/>
          <w:color w:val="auto"/>
          <w:sz w:val="28"/>
          <w:szCs w:val="28"/>
        </w:rPr>
      </w:pPr>
    </w:p>
    <w:p>
      <w:pPr>
        <w:spacing w:line="360" w:lineRule="auto"/>
        <w:ind w:firstLine="0" w:firstLineChars="0"/>
        <w:rPr>
          <w:rFonts w:hint="eastAsia" w:ascii="方正小标宋简体" w:eastAsia="方正小标宋简体"/>
          <w:sz w:val="44"/>
          <w:szCs w:val="44"/>
        </w:rPr>
      </w:pPr>
    </w:p>
    <w:p>
      <w:pPr>
        <w:spacing w:line="360" w:lineRule="auto"/>
        <w:ind w:firstLine="723"/>
        <w:rPr>
          <w:b/>
          <w:sz w:val="36"/>
          <w:szCs w:val="36"/>
        </w:rPr>
      </w:pPr>
    </w:p>
    <w:p>
      <w:pPr>
        <w:spacing w:line="360" w:lineRule="auto"/>
        <w:ind w:firstLine="600"/>
        <w:rPr>
          <w:color w:val="000000"/>
          <w:sz w:val="30"/>
        </w:rPr>
      </w:pPr>
    </w:p>
    <w:p>
      <w:pPr>
        <w:spacing w:line="360" w:lineRule="auto"/>
        <w:ind w:firstLine="56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项 目 名 称：</w:t>
      </w:r>
      <w:r>
        <w:rPr>
          <w:rFonts w:hint="eastAsia" w:ascii="仿宋_GB2312" w:hAnsi="仿宋_GB2312" w:eastAsia="仿宋_GB2312" w:cs="仿宋_GB2312"/>
          <w:kern w:val="0"/>
          <w:sz w:val="28"/>
          <w:szCs w:val="28"/>
          <w:u w:val="single"/>
        </w:rPr>
        <w:t xml:space="preserve">                                         </w:t>
      </w:r>
    </w:p>
    <w:p>
      <w:pPr>
        <w:pStyle w:val="40"/>
        <w:spacing w:line="360" w:lineRule="auto"/>
        <w:ind w:firstLine="560" w:firstLineChars="20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 目 编 号：</w:t>
      </w:r>
      <w:r>
        <w:rPr>
          <w:rFonts w:hint="eastAsia" w:ascii="仿宋_GB2312" w:hAnsi="仿宋_GB2312" w:eastAsia="仿宋_GB2312" w:cs="仿宋_GB2312"/>
          <w:color w:val="auto"/>
          <w:sz w:val="28"/>
          <w:szCs w:val="28"/>
          <w:u w:val="single"/>
        </w:rPr>
        <w:t xml:space="preserve">                                         </w:t>
      </w:r>
    </w:p>
    <w:p>
      <w:pPr>
        <w:spacing w:line="360" w:lineRule="auto"/>
        <w:ind w:firstLine="56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w:t>
      </w:r>
    </w:p>
    <w:p>
      <w:pPr>
        <w:spacing w:line="360" w:lineRule="auto"/>
        <w:ind w:firstLine="56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投标人名 称：</w:t>
      </w:r>
      <w:r>
        <w:rPr>
          <w:rFonts w:hint="eastAsia" w:ascii="仿宋_GB2312" w:hAnsi="仿宋_GB2312" w:eastAsia="仿宋_GB2312" w:cs="仿宋_GB2312"/>
          <w:kern w:val="0"/>
          <w:sz w:val="28"/>
          <w:szCs w:val="28"/>
          <w:u w:val="single"/>
        </w:rPr>
        <w:t xml:space="preserve">                             （加盖公章） </w:t>
      </w:r>
    </w:p>
    <w:p>
      <w:pPr>
        <w:spacing w:line="360" w:lineRule="auto"/>
        <w:ind w:left="0" w:leftChars="0" w:firstLine="0" w:firstLineChars="0"/>
        <w:rPr>
          <w:rFonts w:cs="宋体"/>
          <w:b/>
          <w:bCs/>
          <w:sz w:val="28"/>
          <w:szCs w:val="28"/>
        </w:rPr>
      </w:pPr>
      <w:r>
        <w:rPr>
          <w:rFonts w:hint="eastAsia" w:ascii="仿宋_GB2312" w:hAnsi="仿宋_GB2312" w:eastAsia="仿宋_GB2312" w:cs="仿宋_GB2312"/>
          <w:kern w:val="0"/>
          <w:sz w:val="28"/>
          <w:szCs w:val="28"/>
        </w:rPr>
        <w:t xml:space="preserve">                                  </w:t>
      </w:r>
      <w:r>
        <w:rPr>
          <w:rFonts w:hint="eastAsia" w:cs="宋体"/>
          <w:bCs/>
          <w:sz w:val="28"/>
          <w:szCs w:val="28"/>
          <w:lang w:val="en-US" w:eastAsia="zh-CN"/>
        </w:rPr>
        <w:t xml:space="preserve"> </w:t>
      </w:r>
      <w:r>
        <w:rPr>
          <w:rFonts w:cs="宋体"/>
          <w:bCs/>
          <w:sz w:val="28"/>
          <w:szCs w:val="28"/>
        </w:rPr>
        <w:t>20</w:t>
      </w:r>
      <w:r>
        <w:rPr>
          <w:rFonts w:hint="eastAsia" w:cs="宋体"/>
          <w:bCs/>
          <w:sz w:val="28"/>
          <w:szCs w:val="28"/>
          <w:lang w:val="en-US" w:eastAsia="zh-CN"/>
        </w:rPr>
        <w:t>21</w:t>
      </w:r>
      <w:r>
        <w:rPr>
          <w:rFonts w:hint="eastAsia" w:cs="宋体"/>
          <w:bCs/>
          <w:sz w:val="28"/>
          <w:szCs w:val="28"/>
        </w:rPr>
        <w:t>年</w:t>
      </w:r>
      <w:r>
        <w:rPr>
          <w:rFonts w:hint="eastAsia" w:cs="宋体"/>
          <w:bCs/>
          <w:sz w:val="28"/>
          <w:szCs w:val="28"/>
          <w:u w:val="single"/>
        </w:rPr>
        <w:t xml:space="preserve">   </w:t>
      </w:r>
      <w:r>
        <w:rPr>
          <w:rFonts w:hint="eastAsia" w:cs="宋体"/>
          <w:bCs/>
          <w:sz w:val="28"/>
          <w:szCs w:val="28"/>
        </w:rPr>
        <w:t>月</w:t>
      </w:r>
      <w:r>
        <w:rPr>
          <w:rFonts w:cs="宋体"/>
          <w:bCs/>
          <w:sz w:val="28"/>
          <w:szCs w:val="28"/>
          <w:u w:val="single"/>
        </w:rPr>
        <w:t xml:space="preserve">   </w:t>
      </w:r>
      <w:r>
        <w:rPr>
          <w:rFonts w:hint="eastAsia" w:cs="宋体"/>
          <w:bCs/>
          <w:sz w:val="28"/>
          <w:szCs w:val="28"/>
        </w:rPr>
        <w:t>日</w:t>
      </w:r>
    </w:p>
    <w:p>
      <w:pPr>
        <w:ind w:firstLine="723"/>
        <w:rPr>
          <w:b/>
          <w:bCs/>
          <w:sz w:val="36"/>
          <w:szCs w:val="36"/>
        </w:rPr>
      </w:pPr>
      <w:r>
        <w:rPr>
          <w:rFonts w:hint="eastAsia"/>
          <w:b/>
          <w:bCs/>
          <w:sz w:val="36"/>
          <w:szCs w:val="36"/>
        </w:rPr>
        <w:br w:type="page"/>
      </w:r>
    </w:p>
    <w:p>
      <w:pPr>
        <w:ind w:firstLine="723"/>
        <w:jc w:val="center"/>
        <w:rPr>
          <w:rFonts w:hint="eastAsia" w:ascii="宋体" w:hAnsi="宋体" w:eastAsia="宋体" w:cs="宋体"/>
          <w:b/>
          <w:sz w:val="36"/>
          <w:szCs w:val="36"/>
        </w:rPr>
      </w:pPr>
      <w:bookmarkStart w:id="124" w:name="_Toc2654_WPSOffice_Level1"/>
      <w:r>
        <w:rPr>
          <w:rFonts w:hint="eastAsia" w:ascii="宋体" w:hAnsi="宋体" w:eastAsia="宋体" w:cs="宋体"/>
          <w:b/>
          <w:bCs/>
          <w:sz w:val="36"/>
          <w:szCs w:val="36"/>
        </w:rPr>
        <w:t>目   录</w:t>
      </w:r>
      <w:bookmarkEnd w:id="124"/>
    </w:p>
    <w:p>
      <w:pPr>
        <w:tabs>
          <w:tab w:val="left" w:pos="3443"/>
        </w:tabs>
        <w:spacing w:line="440" w:lineRule="exact"/>
        <w:ind w:firstLine="480"/>
        <w:rPr>
          <w:sz w:val="24"/>
        </w:rPr>
      </w:pPr>
      <w:r>
        <w:rPr>
          <w:sz w:val="24"/>
        </w:rPr>
        <w:tab/>
      </w:r>
    </w:p>
    <w:p>
      <w:pPr>
        <w:spacing w:line="440" w:lineRule="exact"/>
        <w:ind w:firstLine="480"/>
        <w:rPr>
          <w:sz w:val="24"/>
        </w:rPr>
      </w:pPr>
    </w:p>
    <w:p>
      <w:pPr>
        <w:spacing w:line="440" w:lineRule="exact"/>
        <w:ind w:firstLine="480"/>
        <w:rPr>
          <w:rFonts w:hint="eastAsia" w:ascii="仿宋_GB2312" w:hAnsi="仿宋_GB2312" w:eastAsia="仿宋_GB2312" w:cs="仿宋_GB2312"/>
          <w:sz w:val="28"/>
          <w:szCs w:val="28"/>
        </w:rPr>
      </w:pPr>
      <w:bookmarkStart w:id="125" w:name="_Toc32626_WPSOffice_Level1"/>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一</w:t>
      </w:r>
      <w:r>
        <w:rPr>
          <w:rFonts w:hint="eastAsia" w:ascii="仿宋_GB2312" w:hAnsi="仿宋_GB2312" w:eastAsia="仿宋_GB2312" w:cs="仿宋_GB2312"/>
          <w:sz w:val="28"/>
          <w:szCs w:val="28"/>
        </w:rPr>
        <w:t>）投标函；</w:t>
      </w:r>
      <w:bookmarkEnd w:id="125"/>
    </w:p>
    <w:p>
      <w:pPr>
        <w:spacing w:line="440" w:lineRule="exact"/>
        <w:ind w:firstLine="480"/>
        <w:rPr>
          <w:rFonts w:hint="eastAsia" w:ascii="仿宋_GB2312" w:hAnsi="仿宋_GB2312" w:eastAsia="仿宋_GB2312" w:cs="仿宋_GB2312"/>
          <w:sz w:val="28"/>
          <w:szCs w:val="28"/>
        </w:rPr>
      </w:pPr>
      <w:bookmarkStart w:id="126" w:name="_Toc27882_WPSOffice_Level1"/>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二</w:t>
      </w:r>
      <w:r>
        <w:rPr>
          <w:rFonts w:hint="eastAsia" w:ascii="仿宋_GB2312" w:hAnsi="仿宋_GB2312" w:eastAsia="仿宋_GB2312" w:cs="仿宋_GB2312"/>
          <w:sz w:val="28"/>
          <w:szCs w:val="28"/>
        </w:rPr>
        <w:t>）法定代表人身份证明或法定代表人授权委托书；</w:t>
      </w:r>
      <w:bookmarkEnd w:id="126"/>
    </w:p>
    <w:p>
      <w:pPr>
        <w:spacing w:line="440" w:lineRule="exact"/>
        <w:ind w:firstLine="480"/>
        <w:rPr>
          <w:rFonts w:hint="eastAsia" w:ascii="仿宋_GB2312" w:hAnsi="仿宋_GB2312" w:eastAsia="仿宋_GB2312" w:cs="仿宋_GB2312"/>
          <w:sz w:val="28"/>
          <w:szCs w:val="28"/>
        </w:rPr>
      </w:pPr>
      <w:bookmarkStart w:id="127" w:name="_Toc2331_WPSOffice_Level1"/>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三</w:t>
      </w:r>
      <w:r>
        <w:rPr>
          <w:rFonts w:hint="eastAsia" w:ascii="仿宋_GB2312" w:hAnsi="仿宋_GB2312" w:eastAsia="仿宋_GB2312" w:cs="仿宋_GB2312"/>
          <w:sz w:val="28"/>
          <w:szCs w:val="28"/>
        </w:rPr>
        <w:t>）开标一览表；</w:t>
      </w:r>
      <w:bookmarkEnd w:id="127"/>
    </w:p>
    <w:p>
      <w:pPr>
        <w:spacing w:line="440" w:lineRule="exact"/>
        <w:ind w:firstLine="480"/>
        <w:rPr>
          <w:rFonts w:hint="eastAsia" w:ascii="仿宋_GB2312" w:hAnsi="仿宋_GB2312" w:eastAsia="仿宋_GB2312" w:cs="仿宋_GB2312"/>
          <w:sz w:val="28"/>
          <w:szCs w:val="28"/>
        </w:rPr>
      </w:pPr>
      <w:bookmarkStart w:id="128" w:name="_Toc26290_WPSOffice_Level1"/>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四</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招标</w:t>
      </w:r>
      <w:r>
        <w:rPr>
          <w:rFonts w:hint="eastAsia" w:ascii="仿宋_GB2312" w:hAnsi="仿宋_GB2312" w:eastAsia="仿宋_GB2312" w:cs="仿宋_GB2312"/>
          <w:sz w:val="28"/>
          <w:szCs w:val="28"/>
        </w:rPr>
        <w:t>保证金提交证明；</w:t>
      </w:r>
      <w:bookmarkEnd w:id="128"/>
    </w:p>
    <w:p>
      <w:pPr>
        <w:spacing w:line="440" w:lineRule="exact"/>
        <w:ind w:firstLine="480"/>
        <w:rPr>
          <w:rFonts w:hint="eastAsia" w:ascii="仿宋_GB2312" w:hAnsi="仿宋_GB2312" w:eastAsia="仿宋_GB2312" w:cs="仿宋_GB2312"/>
          <w:sz w:val="28"/>
          <w:szCs w:val="28"/>
        </w:rPr>
      </w:pPr>
      <w:bookmarkStart w:id="129" w:name="_Toc22429_WPSOffice_Level1"/>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五</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投标供应商资格证明文件，包括：</w:t>
      </w:r>
      <w:bookmarkEnd w:id="129"/>
    </w:p>
    <w:p>
      <w:pPr>
        <w:spacing w:line="440" w:lineRule="exact"/>
        <w:ind w:firstLine="840" w:firstLineChars="300"/>
        <w:rPr>
          <w:rFonts w:hint="eastAsia" w:ascii="仿宋_GB2312" w:hAnsi="仿宋_GB2312" w:eastAsia="仿宋_GB2312" w:cs="仿宋_GB2312"/>
          <w:sz w:val="28"/>
          <w:szCs w:val="28"/>
        </w:rPr>
      </w:pPr>
      <w:bookmarkStart w:id="130" w:name="_Toc18231_WPSOffice_Level2"/>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 xml:space="preserve"> 关于资格的声明函；</w:t>
      </w:r>
      <w:bookmarkEnd w:id="130"/>
    </w:p>
    <w:p>
      <w:pPr>
        <w:spacing w:line="440" w:lineRule="exact"/>
        <w:ind w:firstLine="840" w:firstLineChars="300"/>
        <w:rPr>
          <w:rFonts w:hint="eastAsia" w:ascii="仿宋_GB2312" w:hAnsi="仿宋_GB2312" w:eastAsia="仿宋_GB2312" w:cs="仿宋_GB2312"/>
          <w:sz w:val="28"/>
          <w:szCs w:val="28"/>
        </w:rPr>
      </w:pPr>
      <w:bookmarkStart w:id="131" w:name="_Toc21252_WPSOffice_Level2"/>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 xml:space="preserve"> 投标人基本情况表；</w:t>
      </w:r>
      <w:bookmarkEnd w:id="131"/>
    </w:p>
    <w:p>
      <w:pPr>
        <w:spacing w:line="440" w:lineRule="exact"/>
        <w:ind w:firstLine="840" w:firstLineChars="300"/>
        <w:rPr>
          <w:rFonts w:hint="eastAsia" w:ascii="仿宋_GB2312" w:hAnsi="仿宋_GB2312" w:eastAsia="仿宋_GB2312" w:cs="仿宋_GB2312"/>
          <w:sz w:val="28"/>
          <w:szCs w:val="28"/>
        </w:rPr>
      </w:pPr>
      <w:bookmarkStart w:id="132" w:name="_Toc31422_WPSOffice_Level2"/>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 xml:space="preserve"> 信用查询记录；</w:t>
      </w:r>
      <w:bookmarkEnd w:id="132"/>
    </w:p>
    <w:p>
      <w:pPr>
        <w:spacing w:line="440" w:lineRule="exact"/>
        <w:ind w:firstLine="840" w:firstLineChars="300"/>
        <w:rPr>
          <w:rFonts w:hint="eastAsia" w:ascii="仿宋_GB2312" w:hAnsi="仿宋_GB2312" w:eastAsia="仿宋_GB2312" w:cs="仿宋_GB2312"/>
          <w:sz w:val="28"/>
          <w:szCs w:val="28"/>
        </w:rPr>
      </w:pPr>
      <w:bookmarkStart w:id="133" w:name="_Toc20827_WPSOffice_Level2"/>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 xml:space="preserve"> 近三年内已完成的类似项目业绩；</w:t>
      </w:r>
      <w:bookmarkEnd w:id="133"/>
    </w:p>
    <w:p>
      <w:pPr>
        <w:spacing w:line="440" w:lineRule="exact"/>
        <w:ind w:firstLine="543" w:firstLineChars="194"/>
        <w:rPr>
          <w:rFonts w:hint="eastAsia" w:ascii="仿宋_GB2312" w:hAnsi="仿宋_GB2312" w:eastAsia="仿宋_GB2312" w:cs="仿宋_GB2312"/>
          <w:bCs/>
          <w:sz w:val="28"/>
          <w:szCs w:val="28"/>
        </w:rPr>
      </w:pPr>
      <w:bookmarkStart w:id="134" w:name="_Toc5784_WPSOffice_Level1"/>
      <w:r>
        <w:rPr>
          <w:rFonts w:hint="eastAsia" w:ascii="仿宋_GB2312" w:hAnsi="仿宋_GB2312" w:eastAsia="仿宋_GB2312" w:cs="仿宋_GB2312"/>
          <w:bCs/>
          <w:sz w:val="28"/>
          <w:szCs w:val="28"/>
          <w:lang w:val="en-US" w:eastAsia="zh-CN"/>
        </w:rPr>
        <w:t>（六）</w:t>
      </w:r>
      <w:r>
        <w:rPr>
          <w:rFonts w:hint="eastAsia" w:ascii="仿宋_GB2312" w:hAnsi="仿宋_GB2312" w:eastAsia="仿宋_GB2312" w:cs="仿宋_GB2312"/>
          <w:bCs/>
          <w:sz w:val="28"/>
          <w:szCs w:val="28"/>
        </w:rPr>
        <w:t xml:space="preserve"> 项目整体服务方案；</w:t>
      </w:r>
      <w:bookmarkEnd w:id="134"/>
    </w:p>
    <w:p>
      <w:pPr>
        <w:spacing w:line="440" w:lineRule="exact"/>
        <w:ind w:firstLine="543" w:firstLineChars="194"/>
        <w:rPr>
          <w:rFonts w:hint="eastAsia" w:ascii="仿宋_GB2312" w:hAnsi="仿宋_GB2312" w:eastAsia="仿宋_GB2312" w:cs="仿宋_GB2312"/>
          <w:bCs/>
          <w:sz w:val="28"/>
          <w:szCs w:val="28"/>
        </w:rPr>
      </w:pPr>
      <w:bookmarkStart w:id="135" w:name="_Toc5209_WPSOffice_Level1"/>
      <w:r>
        <w:rPr>
          <w:rFonts w:hint="eastAsia" w:ascii="仿宋_GB2312" w:hAnsi="仿宋_GB2312" w:eastAsia="仿宋_GB2312" w:cs="仿宋_GB2312"/>
          <w:bCs/>
          <w:sz w:val="28"/>
          <w:szCs w:val="28"/>
          <w:lang w:val="en-US" w:eastAsia="zh-CN"/>
        </w:rPr>
        <w:t>（七）</w:t>
      </w:r>
      <w:r>
        <w:rPr>
          <w:rFonts w:hint="eastAsia" w:ascii="仿宋_GB2312" w:hAnsi="仿宋_GB2312" w:eastAsia="仿宋_GB2312" w:cs="仿宋_GB2312"/>
          <w:bCs/>
          <w:sz w:val="28"/>
          <w:szCs w:val="28"/>
        </w:rPr>
        <w:t xml:space="preserve"> 项目负责人简历表及拟投入本项目主要成员表；</w:t>
      </w:r>
      <w:bookmarkEnd w:id="135"/>
    </w:p>
    <w:p>
      <w:pPr>
        <w:spacing w:line="440" w:lineRule="exact"/>
        <w:ind w:left="0" w:leftChars="0" w:firstLine="0" w:firstLineChars="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 xml:space="preserve">    </w:t>
      </w:r>
      <w:bookmarkStart w:id="136" w:name="_Toc30875_WPSOffice_Level1"/>
      <w:r>
        <w:rPr>
          <w:rFonts w:hint="eastAsia" w:ascii="仿宋_GB2312" w:hAnsi="仿宋_GB2312" w:eastAsia="仿宋_GB2312" w:cs="仿宋_GB2312"/>
          <w:bCs/>
          <w:sz w:val="28"/>
          <w:szCs w:val="28"/>
          <w:lang w:val="en-US" w:eastAsia="zh-CN"/>
        </w:rPr>
        <w:t>（八）</w:t>
      </w:r>
      <w:r>
        <w:rPr>
          <w:rFonts w:hint="eastAsia" w:ascii="仿宋_GB2312" w:hAnsi="仿宋_GB2312" w:eastAsia="仿宋_GB2312" w:cs="仿宋_GB2312"/>
          <w:bCs/>
          <w:sz w:val="28"/>
          <w:szCs w:val="28"/>
        </w:rPr>
        <w:t xml:space="preserve"> 服务承诺书；</w:t>
      </w:r>
      <w:bookmarkEnd w:id="136"/>
    </w:p>
    <w:p>
      <w:pPr>
        <w:spacing w:line="440" w:lineRule="exact"/>
        <w:ind w:firstLine="480"/>
        <w:rPr>
          <w:rFonts w:hint="eastAsia" w:ascii="仿宋_GB2312" w:hAnsi="仿宋_GB2312" w:eastAsia="仿宋_GB2312" w:cs="仿宋_GB2312"/>
          <w:bCs/>
          <w:sz w:val="28"/>
          <w:szCs w:val="28"/>
        </w:rPr>
      </w:pPr>
      <w:bookmarkStart w:id="137" w:name="_Toc8563_WPSOffice_Level1"/>
      <w:r>
        <w:rPr>
          <w:rFonts w:hint="eastAsia" w:ascii="仿宋_GB2312" w:hAnsi="仿宋_GB2312" w:eastAsia="仿宋_GB2312" w:cs="仿宋_GB2312"/>
          <w:bCs/>
          <w:sz w:val="28"/>
          <w:szCs w:val="28"/>
          <w:lang w:val="en-US" w:eastAsia="zh-CN"/>
        </w:rPr>
        <w:t>（九）</w:t>
      </w:r>
      <w:r>
        <w:rPr>
          <w:rFonts w:hint="eastAsia" w:ascii="仿宋_GB2312" w:hAnsi="仿宋_GB2312" w:eastAsia="仿宋_GB2312" w:cs="仿宋_GB2312"/>
          <w:bCs/>
          <w:sz w:val="28"/>
          <w:szCs w:val="28"/>
        </w:rPr>
        <w:t>偏离表；</w:t>
      </w:r>
      <w:bookmarkEnd w:id="137"/>
    </w:p>
    <w:p>
      <w:pPr>
        <w:spacing w:line="440" w:lineRule="exact"/>
        <w:ind w:firstLine="480"/>
        <w:rPr>
          <w:rFonts w:hint="eastAsia" w:ascii="仿宋_GB2312" w:hAnsi="仿宋_GB2312" w:eastAsia="仿宋_GB2312" w:cs="仿宋_GB2312"/>
          <w:sz w:val="28"/>
          <w:szCs w:val="28"/>
        </w:rPr>
      </w:pPr>
      <w:bookmarkStart w:id="138" w:name="_Toc7040_WPSOffice_Level1"/>
      <w:r>
        <w:rPr>
          <w:rFonts w:hint="eastAsia" w:ascii="仿宋_GB2312" w:hAnsi="仿宋_GB2312" w:eastAsia="仿宋_GB2312" w:cs="仿宋_GB2312"/>
          <w:sz w:val="28"/>
          <w:szCs w:val="28"/>
          <w:lang w:val="en-US" w:eastAsia="zh-CN"/>
        </w:rPr>
        <w:t>（十）</w:t>
      </w:r>
      <w:r>
        <w:rPr>
          <w:rFonts w:hint="eastAsia" w:ascii="仿宋_GB2312" w:hAnsi="仿宋_GB2312" w:eastAsia="仿宋_GB2312" w:cs="仿宋_GB2312"/>
          <w:sz w:val="28"/>
          <w:szCs w:val="28"/>
        </w:rPr>
        <w:t xml:space="preserve"> 其他有利资料；</w:t>
      </w:r>
      <w:bookmarkEnd w:id="138"/>
    </w:p>
    <w:p>
      <w:pPr>
        <w:spacing w:line="440" w:lineRule="exact"/>
        <w:ind w:firstLine="480"/>
        <w:rPr>
          <w:rFonts w:hint="eastAsia" w:ascii="仿宋_GB2312" w:hAnsi="仿宋_GB2312" w:eastAsia="仿宋_GB2312" w:cs="仿宋_GB2312"/>
          <w:sz w:val="28"/>
          <w:szCs w:val="28"/>
        </w:rPr>
      </w:pPr>
      <w:bookmarkStart w:id="139" w:name="_Toc12109_WPSOffice_Level1"/>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十一</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 xml:space="preserve"> 投标单位反商业贿赂承诺书。</w:t>
      </w:r>
      <w:bookmarkEnd w:id="139"/>
    </w:p>
    <w:p>
      <w:pPr>
        <w:spacing w:line="440" w:lineRule="exact"/>
        <w:ind w:left="0" w:leftChars="0" w:firstLine="560" w:firstLineChars="20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（十二）中</w:t>
      </w:r>
      <w:r>
        <w:rPr>
          <w:rFonts w:hint="eastAsia" w:ascii="仿宋_GB2312" w:hAnsi="仿宋_GB2312" w:eastAsia="仿宋_GB2312" w:cs="仿宋_GB2312"/>
          <w:b w:val="0"/>
          <w:bCs w:val="0"/>
          <w:sz w:val="28"/>
          <w:szCs w:val="28"/>
        </w:rPr>
        <w:t>小微企业声明函</w:t>
      </w:r>
    </w:p>
    <w:p>
      <w:pPr>
        <w:spacing w:line="588" w:lineRule="exact"/>
        <w:ind w:left="0" w:leftChars="0" w:firstLine="584" w:firstLineChars="200"/>
        <w:jc w:val="both"/>
        <w:rPr>
          <w:rFonts w:hint="eastAsia" w:ascii="仿宋_GB2312" w:hAnsi="仿宋_GB2312" w:eastAsia="仿宋_GB2312" w:cs="仿宋_GB2312"/>
          <w:b w:val="0"/>
          <w:bCs/>
          <w:spacing w:val="6"/>
          <w:sz w:val="28"/>
          <w:szCs w:val="28"/>
        </w:rPr>
      </w:pPr>
      <w:r>
        <w:rPr>
          <w:rFonts w:hint="eastAsia" w:ascii="仿宋_GB2312" w:hAnsi="仿宋_GB2312" w:eastAsia="仿宋_GB2312" w:cs="仿宋_GB2312"/>
          <w:b w:val="0"/>
          <w:bCs/>
          <w:spacing w:val="6"/>
          <w:sz w:val="28"/>
          <w:szCs w:val="28"/>
          <w:lang w:val="en-US" w:eastAsia="zh-CN"/>
        </w:rPr>
        <w:t>（十三）</w:t>
      </w:r>
      <w:r>
        <w:rPr>
          <w:rFonts w:hint="eastAsia" w:ascii="仿宋_GB2312" w:hAnsi="仿宋_GB2312" w:eastAsia="仿宋_GB2312" w:cs="仿宋_GB2312"/>
          <w:b w:val="0"/>
          <w:bCs/>
          <w:spacing w:val="6"/>
          <w:sz w:val="28"/>
          <w:szCs w:val="28"/>
        </w:rPr>
        <w:t>残疾人福利性单位声明函</w:t>
      </w:r>
    </w:p>
    <w:p>
      <w:pPr>
        <w:spacing w:line="588" w:lineRule="exact"/>
        <w:ind w:left="0" w:leftChars="0" w:firstLine="584" w:firstLineChars="200"/>
        <w:jc w:val="both"/>
        <w:rPr>
          <w:rFonts w:hint="eastAsia" w:ascii="仿宋_GB2312" w:hAnsi="仿宋_GB2312" w:eastAsia="仿宋_GB2312" w:cs="仿宋_GB2312"/>
          <w:b w:val="0"/>
          <w:bCs/>
          <w:spacing w:val="6"/>
          <w:sz w:val="28"/>
          <w:szCs w:val="28"/>
        </w:rPr>
      </w:pPr>
      <w:r>
        <w:rPr>
          <w:rFonts w:hint="eastAsia" w:ascii="仿宋_GB2312" w:hAnsi="仿宋_GB2312" w:eastAsia="仿宋_GB2312" w:cs="仿宋_GB2312"/>
          <w:b w:val="0"/>
          <w:bCs w:val="0"/>
          <w:kern w:val="0"/>
          <w:sz w:val="28"/>
          <w:szCs w:val="28"/>
          <w:lang w:eastAsia="zh-CN"/>
        </w:rPr>
        <w:t>（</w:t>
      </w:r>
      <w:r>
        <w:rPr>
          <w:rFonts w:hint="eastAsia" w:ascii="仿宋_GB2312" w:hAnsi="仿宋_GB2312" w:eastAsia="仿宋_GB2312" w:cs="仿宋_GB2312"/>
          <w:b w:val="0"/>
          <w:bCs w:val="0"/>
          <w:kern w:val="0"/>
          <w:sz w:val="28"/>
          <w:szCs w:val="28"/>
          <w:lang w:val="en-US" w:eastAsia="zh-CN"/>
        </w:rPr>
        <w:t>十四</w:t>
      </w:r>
      <w:r>
        <w:rPr>
          <w:rFonts w:hint="eastAsia" w:ascii="仿宋_GB2312" w:hAnsi="仿宋_GB2312" w:eastAsia="仿宋_GB2312" w:cs="仿宋_GB2312"/>
          <w:b w:val="0"/>
          <w:bCs w:val="0"/>
          <w:kern w:val="0"/>
          <w:sz w:val="28"/>
          <w:szCs w:val="28"/>
          <w:lang w:eastAsia="zh-CN"/>
        </w:rPr>
        <w:t>）</w:t>
      </w:r>
      <w:r>
        <w:rPr>
          <w:rFonts w:hint="eastAsia" w:ascii="仿宋_GB2312" w:hAnsi="仿宋_GB2312" w:eastAsia="仿宋_GB2312" w:cs="仿宋_GB2312"/>
          <w:b w:val="0"/>
          <w:bCs w:val="0"/>
          <w:kern w:val="0"/>
          <w:sz w:val="28"/>
          <w:szCs w:val="28"/>
        </w:rPr>
        <w:t>节能、环境标志产品加分明细表</w:t>
      </w:r>
    </w:p>
    <w:p>
      <w:pPr>
        <w:spacing w:line="588" w:lineRule="exact"/>
        <w:ind w:left="0" w:leftChars="0" w:firstLine="584" w:firstLineChars="200"/>
        <w:jc w:val="both"/>
        <w:rPr>
          <w:rFonts w:hint="eastAsia" w:ascii="仿宋_GB2312" w:hAnsi="仿宋_GB2312" w:eastAsia="仿宋_GB2312" w:cs="仿宋_GB2312"/>
          <w:b w:val="0"/>
          <w:bCs/>
          <w:spacing w:val="6"/>
          <w:sz w:val="28"/>
          <w:szCs w:val="28"/>
        </w:rPr>
      </w:pPr>
    </w:p>
    <w:p>
      <w:pPr>
        <w:spacing w:line="440" w:lineRule="exact"/>
        <w:ind w:left="0" w:leftChars="0" w:firstLine="560" w:firstLineChars="200"/>
        <w:rPr>
          <w:rFonts w:hint="eastAsia" w:ascii="仿宋_GB2312" w:hAnsi="仿宋_GB2312" w:eastAsia="仿宋_GB2312" w:cs="仿宋_GB2312"/>
          <w:b w:val="0"/>
          <w:bCs w:val="0"/>
          <w:sz w:val="28"/>
          <w:szCs w:val="28"/>
        </w:rPr>
      </w:pPr>
    </w:p>
    <w:p>
      <w:pPr>
        <w:spacing w:line="440" w:lineRule="exact"/>
        <w:ind w:left="0" w:leftChars="0" w:firstLine="560" w:firstLineChars="200"/>
        <w:rPr>
          <w:rFonts w:hint="eastAsia" w:ascii="仿宋_GB2312" w:hAnsi="仿宋_GB2312" w:eastAsia="仿宋_GB2312" w:cs="仿宋_GB2312"/>
          <w:b w:val="0"/>
          <w:bCs w:val="0"/>
          <w:sz w:val="28"/>
          <w:szCs w:val="28"/>
        </w:rPr>
      </w:pPr>
    </w:p>
    <w:p>
      <w:pPr>
        <w:spacing w:line="440" w:lineRule="exact"/>
        <w:ind w:firstLine="602"/>
        <w:jc w:val="center"/>
        <w:rPr>
          <w:rFonts w:hint="eastAsia" w:ascii="仿宋_GB2312" w:hAnsi="仿宋_GB2312" w:eastAsia="仿宋_GB2312" w:cs="仿宋_GB2312"/>
          <w:b/>
          <w:sz w:val="28"/>
          <w:szCs w:val="28"/>
        </w:rPr>
      </w:pPr>
    </w:p>
    <w:p>
      <w:pPr>
        <w:spacing w:line="520" w:lineRule="exact"/>
        <w:ind w:firstLine="602"/>
        <w:jc w:val="center"/>
        <w:rPr>
          <w:rFonts w:hint="eastAsia" w:ascii="仿宋_GB2312" w:hAnsi="仿宋_GB2312" w:eastAsia="仿宋_GB2312" w:cs="仿宋_GB2312"/>
          <w:b/>
          <w:sz w:val="28"/>
          <w:szCs w:val="28"/>
        </w:rPr>
      </w:pPr>
    </w:p>
    <w:p>
      <w:pPr>
        <w:spacing w:line="520" w:lineRule="exact"/>
        <w:ind w:firstLine="602"/>
        <w:jc w:val="center"/>
        <w:outlineLvl w:val="1"/>
        <w:rPr>
          <w:b/>
          <w:sz w:val="30"/>
          <w:szCs w:val="30"/>
        </w:rPr>
      </w:pPr>
      <w:r>
        <w:rPr>
          <w:rFonts w:hint="eastAsia" w:ascii="仿宋_GB2312" w:hAnsi="仿宋_GB2312" w:eastAsia="仿宋_GB2312" w:cs="仿宋_GB2312"/>
          <w:b/>
          <w:sz w:val="28"/>
          <w:szCs w:val="28"/>
        </w:rPr>
        <w:br w:type="page"/>
      </w:r>
      <w:bookmarkStart w:id="140" w:name="_Toc3834_WPSOffice_Level1"/>
      <w:r>
        <w:rPr>
          <w:rFonts w:hint="eastAsia" w:ascii="宋体" w:hAnsi="宋体" w:eastAsia="宋体" w:cs="宋体"/>
          <w:b/>
          <w:sz w:val="32"/>
          <w:szCs w:val="32"/>
        </w:rPr>
        <w:t>（一）投标函</w:t>
      </w:r>
      <w:bookmarkEnd w:id="140"/>
    </w:p>
    <w:p>
      <w:pPr>
        <w:spacing w:line="420" w:lineRule="exact"/>
        <w:ind w:firstLine="480"/>
        <w:rPr>
          <w:sz w:val="24"/>
        </w:rPr>
      </w:pPr>
    </w:p>
    <w:p>
      <w:pPr>
        <w:spacing w:line="420" w:lineRule="exact"/>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致：</w:t>
      </w:r>
      <w:r>
        <w:rPr>
          <w:rFonts w:hint="eastAsia" w:ascii="仿宋_GB2312" w:hAnsi="仿宋_GB2312" w:eastAsia="仿宋_GB2312" w:cs="仿宋_GB2312"/>
          <w:sz w:val="28"/>
          <w:szCs w:val="28"/>
          <w:u w:val="single"/>
        </w:rPr>
        <w:t>（招标人名称）</w:t>
      </w:r>
    </w:p>
    <w:p>
      <w:pPr>
        <w:spacing w:line="400" w:lineRule="exact"/>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根据贵方为</w:t>
      </w:r>
      <w:r>
        <w:rPr>
          <w:rFonts w:hint="eastAsia" w:ascii="仿宋_GB2312" w:hAnsi="仿宋_GB2312" w:eastAsia="仿宋_GB2312" w:cs="仿宋_GB2312"/>
          <w:sz w:val="28"/>
          <w:szCs w:val="28"/>
          <w:u w:val="single"/>
        </w:rPr>
        <w:t xml:space="preserve">　　（项目名称）    </w:t>
      </w:r>
      <w:r>
        <w:rPr>
          <w:rFonts w:hint="eastAsia" w:ascii="仿宋_GB2312" w:hAnsi="仿宋_GB2312" w:eastAsia="仿宋_GB2312" w:cs="仿宋_GB2312"/>
          <w:sz w:val="28"/>
          <w:szCs w:val="28"/>
        </w:rPr>
        <w:t>项目的</w:t>
      </w:r>
      <w:r>
        <w:rPr>
          <w:rFonts w:hint="eastAsia" w:ascii="仿宋_GB2312" w:hAnsi="仿宋_GB2312" w:eastAsia="仿宋_GB2312" w:cs="仿宋_GB2312"/>
          <w:sz w:val="28"/>
          <w:szCs w:val="28"/>
          <w:lang w:eastAsia="zh-CN"/>
        </w:rPr>
        <w:t>公开招标</w:t>
      </w:r>
      <w:r>
        <w:rPr>
          <w:rFonts w:hint="eastAsia" w:ascii="仿宋_GB2312" w:hAnsi="仿宋_GB2312" w:eastAsia="仿宋_GB2312" w:cs="仿宋_GB2312"/>
          <w:sz w:val="28"/>
          <w:szCs w:val="28"/>
        </w:rPr>
        <w:t>文件</w:t>
      </w:r>
      <w:r>
        <w:rPr>
          <w:rFonts w:hint="eastAsia" w:ascii="仿宋_GB2312" w:hAnsi="仿宋_GB2312" w:eastAsia="仿宋_GB2312" w:cs="仿宋_GB2312"/>
          <w:sz w:val="28"/>
          <w:szCs w:val="28"/>
          <w:u w:val="single"/>
        </w:rPr>
        <w:t xml:space="preserve">（项目编号） </w:t>
      </w:r>
      <w:r>
        <w:rPr>
          <w:rFonts w:hint="eastAsia" w:ascii="仿宋_GB2312" w:hAnsi="仿宋_GB2312" w:eastAsia="仿宋_GB2312" w:cs="仿宋_GB2312"/>
          <w:sz w:val="28"/>
          <w:szCs w:val="28"/>
        </w:rPr>
        <w:t>，签字代表</w:t>
      </w:r>
      <w:r>
        <w:rPr>
          <w:rFonts w:hint="eastAsia" w:ascii="仿宋_GB2312" w:hAnsi="仿宋_GB2312" w:eastAsia="仿宋_GB2312" w:cs="仿宋_GB2312"/>
          <w:sz w:val="28"/>
          <w:szCs w:val="28"/>
          <w:u w:val="single"/>
        </w:rPr>
        <w:t>（姓名、职务）</w:t>
      </w:r>
      <w:r>
        <w:rPr>
          <w:rFonts w:hint="eastAsia" w:ascii="仿宋_GB2312" w:hAnsi="仿宋_GB2312" w:eastAsia="仿宋_GB2312" w:cs="仿宋_GB2312"/>
          <w:sz w:val="28"/>
          <w:szCs w:val="28"/>
        </w:rPr>
        <w:t>经正式授权并代表投标人</w:t>
      </w:r>
      <w:r>
        <w:rPr>
          <w:rFonts w:hint="eastAsia" w:ascii="仿宋_GB2312" w:hAnsi="仿宋_GB2312" w:eastAsia="仿宋_GB2312" w:cs="仿宋_GB2312"/>
          <w:sz w:val="28"/>
          <w:szCs w:val="28"/>
          <w:u w:val="single"/>
        </w:rPr>
        <w:t>（投标人名称、地址）</w:t>
      </w:r>
      <w:r>
        <w:rPr>
          <w:rFonts w:hint="eastAsia" w:ascii="仿宋_GB2312" w:hAnsi="仿宋_GB2312" w:eastAsia="仿宋_GB2312" w:cs="仿宋_GB2312"/>
          <w:sz w:val="28"/>
          <w:szCs w:val="28"/>
        </w:rPr>
        <w:t>提交下述文件正本一份和副本</w:t>
      </w:r>
      <w:r>
        <w:rPr>
          <w:rFonts w:hint="eastAsia" w:ascii="仿宋_GB2312" w:hAnsi="仿宋_GB2312" w:eastAsia="仿宋_GB2312" w:cs="仿宋_GB2312"/>
          <w:sz w:val="28"/>
          <w:szCs w:val="28"/>
          <w:u w:val="single"/>
        </w:rPr>
        <w:t>　　</w:t>
      </w:r>
      <w:r>
        <w:rPr>
          <w:rFonts w:hint="eastAsia" w:ascii="仿宋_GB2312" w:hAnsi="仿宋_GB2312" w:eastAsia="仿宋_GB2312" w:cs="仿宋_GB2312"/>
          <w:sz w:val="28"/>
          <w:szCs w:val="28"/>
        </w:rPr>
        <w:t>份。</w:t>
      </w:r>
    </w:p>
    <w:p>
      <w:pPr>
        <w:spacing w:line="400" w:lineRule="exact"/>
        <w:ind w:firstLine="480"/>
        <w:rPr>
          <w:rFonts w:hint="eastAsia" w:ascii="仿宋_GB2312" w:hAnsi="仿宋_GB2312" w:eastAsia="仿宋_GB2312" w:cs="仿宋_GB2312"/>
          <w:sz w:val="28"/>
          <w:szCs w:val="28"/>
        </w:rPr>
      </w:pPr>
      <w:bookmarkStart w:id="141" w:name="_Toc31717_WPSOffice_Level2"/>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开标一览表</w:t>
      </w:r>
      <w:bookmarkEnd w:id="141"/>
    </w:p>
    <w:p>
      <w:pPr>
        <w:spacing w:line="400" w:lineRule="exact"/>
        <w:ind w:firstLine="480"/>
        <w:rPr>
          <w:rFonts w:hint="eastAsia" w:ascii="仿宋_GB2312" w:hAnsi="仿宋_GB2312" w:eastAsia="仿宋_GB2312" w:cs="仿宋_GB2312"/>
          <w:sz w:val="28"/>
          <w:szCs w:val="28"/>
        </w:rPr>
      </w:pPr>
      <w:bookmarkStart w:id="142" w:name="_Toc14789_WPSOffice_Level2"/>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按</w:t>
      </w:r>
      <w:r>
        <w:rPr>
          <w:rFonts w:hint="eastAsia" w:ascii="仿宋_GB2312" w:hAnsi="仿宋_GB2312" w:eastAsia="仿宋_GB2312" w:cs="仿宋_GB2312"/>
          <w:sz w:val="28"/>
          <w:szCs w:val="28"/>
          <w:lang w:eastAsia="zh-CN"/>
        </w:rPr>
        <w:t>公开招标</w:t>
      </w:r>
      <w:r>
        <w:rPr>
          <w:rFonts w:hint="eastAsia" w:ascii="仿宋_GB2312" w:hAnsi="仿宋_GB2312" w:eastAsia="仿宋_GB2312" w:cs="仿宋_GB2312"/>
          <w:sz w:val="28"/>
          <w:szCs w:val="28"/>
        </w:rPr>
        <w:t>文件投标人须知、技术规格要求及其他要求提供有关文件</w:t>
      </w:r>
      <w:bookmarkEnd w:id="142"/>
    </w:p>
    <w:p>
      <w:pPr>
        <w:spacing w:line="400" w:lineRule="exact"/>
        <w:ind w:firstLine="480"/>
        <w:rPr>
          <w:rFonts w:hint="eastAsia" w:ascii="仿宋_GB2312" w:hAnsi="仿宋_GB2312" w:eastAsia="仿宋_GB2312" w:cs="仿宋_GB2312"/>
          <w:sz w:val="28"/>
          <w:szCs w:val="28"/>
        </w:rPr>
      </w:pPr>
      <w:bookmarkStart w:id="143" w:name="_Toc14573_WPSOffice_Level2"/>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CN"/>
        </w:rPr>
        <w:t>.招标</w:t>
      </w:r>
      <w:r>
        <w:rPr>
          <w:rFonts w:hint="eastAsia" w:ascii="仿宋_GB2312" w:hAnsi="仿宋_GB2312" w:eastAsia="仿宋_GB2312" w:cs="仿宋_GB2312"/>
          <w:sz w:val="28"/>
          <w:szCs w:val="28"/>
        </w:rPr>
        <w:t>保证金，形式</w:t>
      </w:r>
      <w:r>
        <w:rPr>
          <w:rFonts w:hint="eastAsia" w:ascii="仿宋_GB2312" w:hAnsi="仿宋_GB2312" w:eastAsia="仿宋_GB2312" w:cs="仿宋_GB2312"/>
          <w:sz w:val="28"/>
          <w:szCs w:val="28"/>
          <w:u w:val="single"/>
        </w:rPr>
        <w:t>（电汇、网银）</w:t>
      </w:r>
      <w:r>
        <w:rPr>
          <w:rFonts w:hint="eastAsia" w:ascii="仿宋_GB2312" w:hAnsi="仿宋_GB2312" w:eastAsia="仿宋_GB2312" w:cs="仿宋_GB2312"/>
          <w:sz w:val="28"/>
          <w:szCs w:val="28"/>
        </w:rPr>
        <w:t>，金额为</w:t>
      </w:r>
      <w:r>
        <w:rPr>
          <w:rFonts w:hint="eastAsia" w:ascii="仿宋_GB2312" w:hAnsi="仿宋_GB2312" w:eastAsia="仿宋_GB2312" w:cs="仿宋_GB2312"/>
          <w:sz w:val="28"/>
          <w:szCs w:val="28"/>
          <w:u w:val="single"/>
        </w:rPr>
        <w:t>　　　　</w:t>
      </w:r>
      <w:r>
        <w:rPr>
          <w:rFonts w:hint="eastAsia" w:ascii="仿宋_GB2312" w:hAnsi="仿宋_GB2312" w:eastAsia="仿宋_GB2312" w:cs="仿宋_GB2312"/>
          <w:sz w:val="28"/>
          <w:szCs w:val="28"/>
        </w:rPr>
        <w:t>。</w:t>
      </w:r>
      <w:bookmarkEnd w:id="143"/>
    </w:p>
    <w:p>
      <w:pPr>
        <w:spacing w:line="400" w:lineRule="exact"/>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据此函，签字代表宣布并同意如下：</w:t>
      </w:r>
    </w:p>
    <w:p>
      <w:pPr>
        <w:spacing w:line="400" w:lineRule="exact"/>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所附投标报价表中规定的应提交和交付的货物和服务投标总报价为</w:t>
      </w:r>
      <w:r>
        <w:rPr>
          <w:rFonts w:hint="eastAsia" w:ascii="仿宋_GB2312" w:hAnsi="仿宋_GB2312" w:eastAsia="仿宋_GB2312" w:cs="仿宋_GB2312"/>
          <w:sz w:val="28"/>
          <w:szCs w:val="28"/>
          <w:u w:val="single"/>
        </w:rPr>
        <w:t xml:space="preserve">（注明币种，并用文字和数字表示的投标总价）  </w:t>
      </w:r>
      <w:r>
        <w:rPr>
          <w:rFonts w:hint="eastAsia" w:ascii="仿宋_GB2312" w:hAnsi="仿宋_GB2312" w:eastAsia="仿宋_GB2312" w:cs="仿宋_GB2312"/>
          <w:sz w:val="28"/>
          <w:szCs w:val="28"/>
        </w:rPr>
        <w:t>。</w:t>
      </w:r>
    </w:p>
    <w:p>
      <w:pPr>
        <w:spacing w:line="400" w:lineRule="exact"/>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我方将按</w:t>
      </w:r>
      <w:r>
        <w:rPr>
          <w:rFonts w:hint="eastAsia" w:ascii="仿宋_GB2312" w:hAnsi="仿宋_GB2312" w:eastAsia="仿宋_GB2312" w:cs="仿宋_GB2312"/>
          <w:sz w:val="28"/>
          <w:szCs w:val="28"/>
          <w:lang w:eastAsia="zh-CN"/>
        </w:rPr>
        <w:t>公开招标</w:t>
      </w:r>
      <w:r>
        <w:rPr>
          <w:rFonts w:hint="eastAsia" w:ascii="仿宋_GB2312" w:hAnsi="仿宋_GB2312" w:eastAsia="仿宋_GB2312" w:cs="仿宋_GB2312"/>
          <w:sz w:val="28"/>
          <w:szCs w:val="28"/>
        </w:rPr>
        <w:t>文件的规定履行合同责任和义务；</w:t>
      </w:r>
    </w:p>
    <w:p>
      <w:pPr>
        <w:spacing w:line="400" w:lineRule="exact"/>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我方已详细阅读并理解了</w:t>
      </w:r>
      <w:r>
        <w:rPr>
          <w:rFonts w:hint="eastAsia" w:ascii="仿宋_GB2312" w:hAnsi="仿宋_GB2312" w:eastAsia="仿宋_GB2312" w:cs="仿宋_GB2312"/>
          <w:sz w:val="28"/>
          <w:szCs w:val="28"/>
          <w:lang w:eastAsia="zh-CN"/>
        </w:rPr>
        <w:t>公开招标</w:t>
      </w:r>
      <w:r>
        <w:rPr>
          <w:rFonts w:hint="eastAsia" w:ascii="仿宋_GB2312" w:hAnsi="仿宋_GB2312" w:eastAsia="仿宋_GB2312" w:cs="仿宋_GB2312"/>
          <w:sz w:val="28"/>
          <w:szCs w:val="28"/>
        </w:rPr>
        <w:t>文件的全部，包括修改文件（如有的话）。我们完全理解并同意放弃对这方面有不明及误解的权利。</w:t>
      </w:r>
    </w:p>
    <w:p>
      <w:pPr>
        <w:spacing w:line="400" w:lineRule="exact"/>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本投标有效期自开标之日起</w:t>
      </w:r>
      <w:r>
        <w:rPr>
          <w:rFonts w:hint="eastAsia" w:ascii="仿宋_GB2312" w:hAnsi="仿宋_GB2312" w:eastAsia="仿宋_GB2312" w:cs="仿宋_GB2312"/>
          <w:sz w:val="28"/>
          <w:szCs w:val="28"/>
          <w:u w:val="single"/>
        </w:rPr>
        <w:t>　90　</w:t>
      </w:r>
      <w:r>
        <w:rPr>
          <w:rFonts w:hint="eastAsia" w:ascii="仿宋_GB2312" w:hAnsi="仿宋_GB2312" w:eastAsia="仿宋_GB2312" w:cs="仿宋_GB2312"/>
          <w:sz w:val="28"/>
          <w:szCs w:val="28"/>
        </w:rPr>
        <w:t>个日历日。</w:t>
      </w:r>
    </w:p>
    <w:p>
      <w:pPr>
        <w:spacing w:line="400" w:lineRule="exact"/>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在规定的开标时间后，如果在投标有效期内撤回投标，我方同意</w:t>
      </w:r>
      <w:r>
        <w:rPr>
          <w:rFonts w:hint="eastAsia" w:ascii="仿宋_GB2312" w:hAnsi="仿宋_GB2312" w:eastAsia="仿宋_GB2312" w:cs="仿宋_GB2312"/>
          <w:sz w:val="28"/>
          <w:szCs w:val="28"/>
          <w:lang w:eastAsia="zh-CN"/>
        </w:rPr>
        <w:t>招标</w:t>
      </w:r>
      <w:r>
        <w:rPr>
          <w:rFonts w:hint="eastAsia" w:ascii="仿宋_GB2312" w:hAnsi="仿宋_GB2312" w:eastAsia="仿宋_GB2312" w:cs="仿宋_GB2312"/>
          <w:sz w:val="28"/>
          <w:szCs w:val="28"/>
        </w:rPr>
        <w:t>保证金将被贵方没收。</w:t>
      </w:r>
    </w:p>
    <w:p>
      <w:pPr>
        <w:spacing w:line="400" w:lineRule="exact"/>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我方同意提供按照贵方可能要求的与其投标有关的一切数据或资料，完全理解贵方不一定接受最低价的投标或收到的任何投标的约定。</w:t>
      </w:r>
    </w:p>
    <w:p>
      <w:pPr>
        <w:spacing w:line="400" w:lineRule="exact"/>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与本投标有关的一切正式往来信函请寄：</w:t>
      </w:r>
    </w:p>
    <w:p>
      <w:pPr>
        <w:spacing w:line="400" w:lineRule="exact"/>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　　　　 址：</w:t>
      </w:r>
      <w:r>
        <w:rPr>
          <w:rFonts w:hint="eastAsia" w:ascii="仿宋_GB2312" w:hAnsi="仿宋_GB2312" w:eastAsia="仿宋_GB2312" w:cs="仿宋_GB2312"/>
          <w:sz w:val="28"/>
          <w:szCs w:val="28"/>
          <w:u w:val="single"/>
        </w:rPr>
        <w:t>　　　　　　　　    　　</w:t>
      </w:r>
      <w:r>
        <w:rPr>
          <w:rFonts w:hint="eastAsia" w:ascii="仿宋_GB2312" w:hAnsi="仿宋_GB2312" w:eastAsia="仿宋_GB2312" w:cs="仿宋_GB2312"/>
          <w:sz w:val="28"/>
          <w:szCs w:val="28"/>
        </w:rPr>
        <w:t>邮编：</w:t>
      </w:r>
      <w:r>
        <w:rPr>
          <w:rFonts w:hint="eastAsia" w:ascii="仿宋_GB2312" w:hAnsi="仿宋_GB2312" w:eastAsia="仿宋_GB2312" w:cs="仿宋_GB2312"/>
          <w:sz w:val="28"/>
          <w:szCs w:val="28"/>
          <w:u w:val="single"/>
        </w:rPr>
        <w:t>　　　　   　　　　　</w:t>
      </w:r>
    </w:p>
    <w:p>
      <w:pPr>
        <w:spacing w:line="400" w:lineRule="exact"/>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电　　　　 话：</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传真：</w:t>
      </w:r>
      <w:r>
        <w:rPr>
          <w:rFonts w:hint="eastAsia" w:ascii="仿宋_GB2312" w:hAnsi="仿宋_GB2312" w:eastAsia="仿宋_GB2312" w:cs="仿宋_GB2312"/>
          <w:sz w:val="28"/>
          <w:szCs w:val="28"/>
          <w:u w:val="single"/>
        </w:rPr>
        <w:t>　   　　　　　　　　</w:t>
      </w:r>
    </w:p>
    <w:p>
      <w:pPr>
        <w:spacing w:line="400" w:lineRule="exact"/>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投标人代表签字：</w:t>
      </w:r>
      <w:r>
        <w:rPr>
          <w:rFonts w:hint="eastAsia" w:ascii="仿宋_GB2312" w:hAnsi="仿宋_GB2312" w:eastAsia="仿宋_GB2312" w:cs="仿宋_GB2312"/>
          <w:sz w:val="28"/>
          <w:szCs w:val="28"/>
          <w:u w:val="single"/>
        </w:rPr>
        <w:t>　　　　　　　　　　　　</w:t>
      </w:r>
    </w:p>
    <w:p>
      <w:pPr>
        <w:spacing w:line="400" w:lineRule="exact"/>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 标 人 名 称：</w:t>
      </w:r>
      <w:r>
        <w:rPr>
          <w:rFonts w:hint="eastAsia" w:ascii="仿宋_GB2312" w:hAnsi="仿宋_GB2312" w:eastAsia="仿宋_GB2312" w:cs="仿宋_GB2312"/>
          <w:sz w:val="28"/>
          <w:szCs w:val="28"/>
          <w:u w:val="single"/>
        </w:rPr>
        <w:t>　      　　　　　　　　</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盖章</w:t>
      </w:r>
      <w:r>
        <w:rPr>
          <w:rFonts w:hint="eastAsia" w:ascii="仿宋_GB2312" w:hAnsi="仿宋_GB2312" w:eastAsia="仿宋_GB2312" w:cs="仿宋_GB2312"/>
          <w:sz w:val="28"/>
          <w:szCs w:val="28"/>
          <w:lang w:eastAsia="zh-CN"/>
        </w:rPr>
        <w:t>）</w:t>
      </w:r>
    </w:p>
    <w:p>
      <w:pPr>
        <w:spacing w:line="400" w:lineRule="exact"/>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20</w:t>
      </w:r>
      <w:r>
        <w:rPr>
          <w:rFonts w:hint="eastAsia" w:ascii="仿宋_GB2312" w:hAnsi="仿宋_GB2312" w:eastAsia="仿宋_GB2312" w:cs="仿宋_GB2312"/>
          <w:sz w:val="28"/>
          <w:szCs w:val="28"/>
          <w:lang w:val="en-US" w:eastAsia="zh-CN"/>
        </w:rPr>
        <w:t>21</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p>
    <w:p>
      <w:pPr>
        <w:spacing w:line="420" w:lineRule="exact"/>
        <w:ind w:firstLine="602"/>
        <w:jc w:val="center"/>
        <w:rPr>
          <w:rFonts w:hint="eastAsia" w:ascii="仿宋_GB2312" w:hAnsi="仿宋_GB2312" w:eastAsia="仿宋_GB2312" w:cs="仿宋_GB2312"/>
          <w:b/>
          <w:sz w:val="28"/>
          <w:szCs w:val="28"/>
        </w:rPr>
      </w:pPr>
    </w:p>
    <w:p>
      <w:pPr>
        <w:spacing w:line="420" w:lineRule="exact"/>
        <w:ind w:firstLine="602"/>
        <w:jc w:val="center"/>
        <w:rPr>
          <w:rFonts w:hint="eastAsia" w:ascii="仿宋_GB2312" w:hAnsi="仿宋_GB2312" w:eastAsia="仿宋_GB2312" w:cs="仿宋_GB2312"/>
          <w:b/>
          <w:sz w:val="28"/>
          <w:szCs w:val="28"/>
        </w:rPr>
      </w:pPr>
    </w:p>
    <w:p>
      <w:pPr>
        <w:spacing w:line="520" w:lineRule="exact"/>
        <w:ind w:firstLine="643"/>
        <w:jc w:val="left"/>
        <w:rPr>
          <w:b/>
        </w:rPr>
      </w:pPr>
    </w:p>
    <w:p>
      <w:pPr>
        <w:spacing w:line="440" w:lineRule="exact"/>
        <w:ind w:left="0" w:leftChars="0" w:firstLine="0" w:firstLineChars="0"/>
        <w:jc w:val="both"/>
        <w:outlineLvl w:val="1"/>
        <w:rPr>
          <w:rFonts w:hint="eastAsia"/>
          <w:b/>
          <w:sz w:val="30"/>
          <w:szCs w:val="30"/>
          <w:lang w:val="en-US" w:eastAsia="zh-CN"/>
        </w:rPr>
      </w:pPr>
      <w:r>
        <w:rPr>
          <w:rFonts w:hint="eastAsia"/>
          <w:b/>
          <w:sz w:val="30"/>
          <w:szCs w:val="30"/>
          <w:lang w:val="en-US" w:eastAsia="zh-CN"/>
        </w:rPr>
        <w:t xml:space="preserve">      </w:t>
      </w:r>
    </w:p>
    <w:p>
      <w:pPr>
        <w:spacing w:line="440" w:lineRule="exact"/>
        <w:ind w:left="0" w:leftChars="0" w:firstLine="0" w:firstLineChars="0"/>
        <w:jc w:val="both"/>
        <w:outlineLvl w:val="1"/>
        <w:rPr>
          <w:b/>
          <w:sz w:val="30"/>
          <w:szCs w:val="30"/>
        </w:rPr>
      </w:pPr>
      <w:r>
        <w:rPr>
          <w:rFonts w:hint="eastAsia"/>
          <w:b/>
          <w:sz w:val="30"/>
          <w:szCs w:val="30"/>
          <w:lang w:val="en-US" w:eastAsia="zh-CN"/>
        </w:rPr>
        <w:br w:type="page"/>
      </w:r>
      <w:r>
        <w:rPr>
          <w:rFonts w:hint="eastAsia" w:ascii="宋体" w:hAnsi="宋体" w:eastAsia="宋体" w:cs="宋体"/>
          <w:b/>
          <w:sz w:val="32"/>
          <w:szCs w:val="32"/>
          <w:lang w:val="en-US" w:eastAsia="zh-CN"/>
        </w:rPr>
        <w:t xml:space="preserve"> </w:t>
      </w:r>
      <w:bookmarkStart w:id="144" w:name="_Toc32007_WPSOffice_Level1"/>
      <w:r>
        <w:rPr>
          <w:rFonts w:hint="eastAsia" w:ascii="宋体" w:hAnsi="宋体" w:eastAsia="宋体" w:cs="宋体"/>
          <w:b/>
          <w:sz w:val="32"/>
          <w:szCs w:val="32"/>
        </w:rPr>
        <w:t>（二）法定人代表身份证明及法定代表人授权委托书</w:t>
      </w:r>
      <w:bookmarkEnd w:id="144"/>
    </w:p>
    <w:p>
      <w:pPr>
        <w:spacing w:before="100" w:beforeAutospacing="1" w:after="100" w:afterAutospacing="1" w:line="240" w:lineRule="atLeast"/>
        <w:ind w:firstLine="562"/>
        <w:jc w:val="center"/>
        <w:rPr>
          <w:b/>
          <w:bCs/>
          <w:sz w:val="28"/>
          <w:szCs w:val="28"/>
        </w:rPr>
      </w:pPr>
      <w:r>
        <w:rPr>
          <w:b/>
          <w:bCs/>
          <w:sz w:val="28"/>
          <w:szCs w:val="28"/>
        </w:rPr>
        <w:t>1</w:t>
      </w:r>
      <w:r>
        <w:rPr>
          <w:rFonts w:hint="eastAsia"/>
          <w:b/>
          <w:bCs/>
          <w:sz w:val="28"/>
          <w:szCs w:val="28"/>
          <w:lang w:eastAsia="zh-CN"/>
        </w:rPr>
        <w:t>.</w:t>
      </w:r>
      <w:r>
        <w:rPr>
          <w:b/>
          <w:bCs/>
          <w:sz w:val="28"/>
          <w:szCs w:val="28"/>
        </w:rPr>
        <w:t xml:space="preserve"> </w:t>
      </w:r>
      <w:r>
        <w:rPr>
          <w:rFonts w:hint="eastAsia"/>
          <w:b/>
          <w:bCs/>
          <w:sz w:val="28"/>
          <w:szCs w:val="28"/>
        </w:rPr>
        <w:t>法定代表人身份证明</w:t>
      </w:r>
    </w:p>
    <w:p>
      <w:pPr>
        <w:spacing w:line="460" w:lineRule="exact"/>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（采购人）：</w:t>
      </w:r>
    </w:p>
    <w:p>
      <w:pPr>
        <w:spacing w:line="460" w:lineRule="exact"/>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兹证明</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同志在我单位任</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（职务），是我单位的法定代表人。</w:t>
      </w:r>
    </w:p>
    <w:p>
      <w:pPr>
        <w:spacing w:line="460" w:lineRule="exact"/>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附法定代表人基本情况：</w:t>
      </w:r>
    </w:p>
    <w:p>
      <w:pPr>
        <w:autoSpaceDE w:val="0"/>
        <w:spacing w:line="460" w:lineRule="exact"/>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姓名</w:t>
      </w:r>
      <w:r>
        <w:rPr>
          <w:rFonts w:hint="eastAsia" w:ascii="仿宋_GB2312" w:hAnsi="仿宋_GB2312" w:eastAsia="仿宋_GB2312" w:cs="仿宋_GB2312"/>
          <w:sz w:val="28"/>
          <w:szCs w:val="28"/>
          <w:u w:val="single"/>
        </w:rPr>
        <w:t xml:space="preserve">   （亲笔签字或盖章）  </w:t>
      </w:r>
      <w:r>
        <w:rPr>
          <w:rFonts w:hint="eastAsia" w:ascii="仿宋_GB2312" w:hAnsi="仿宋_GB2312" w:eastAsia="仿宋_GB2312" w:cs="仿宋_GB2312"/>
          <w:sz w:val="28"/>
          <w:szCs w:val="28"/>
        </w:rPr>
        <w:t>性别</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年龄</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p>
    <w:p>
      <w:pPr>
        <w:spacing w:line="460" w:lineRule="exact"/>
        <w:ind w:firstLine="48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身份证号码：</w:t>
      </w:r>
      <w:r>
        <w:rPr>
          <w:rFonts w:hint="eastAsia" w:ascii="仿宋_GB2312" w:hAnsi="仿宋_GB2312" w:eastAsia="仿宋_GB2312" w:cs="仿宋_GB2312"/>
          <w:sz w:val="28"/>
          <w:szCs w:val="28"/>
          <w:u w:val="single"/>
        </w:rPr>
        <w:t xml:space="preserve">                                           </w:t>
      </w:r>
    </w:p>
    <w:p>
      <w:pPr>
        <w:spacing w:line="460" w:lineRule="exact"/>
        <w:ind w:firstLine="48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通讯地址：</w:t>
      </w:r>
      <w:r>
        <w:rPr>
          <w:rFonts w:hint="eastAsia" w:ascii="仿宋_GB2312" w:hAnsi="仿宋_GB2312" w:eastAsia="仿宋_GB2312" w:cs="仿宋_GB2312"/>
          <w:sz w:val="28"/>
          <w:szCs w:val="28"/>
          <w:u w:val="single"/>
        </w:rPr>
        <w:t xml:space="preserve">                                             </w:t>
      </w:r>
    </w:p>
    <w:p>
      <w:pPr>
        <w:spacing w:line="460" w:lineRule="exact"/>
        <w:ind w:firstLine="48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电话号码：</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邮编：</w:t>
      </w:r>
      <w:r>
        <w:rPr>
          <w:rFonts w:hint="eastAsia" w:ascii="仿宋_GB2312" w:hAnsi="仿宋_GB2312" w:eastAsia="仿宋_GB2312" w:cs="仿宋_GB2312"/>
          <w:sz w:val="28"/>
          <w:szCs w:val="28"/>
          <w:u w:val="single"/>
        </w:rPr>
        <w:t xml:space="preserve">                     </w:t>
      </w:r>
    </w:p>
    <w:p>
      <w:pPr>
        <w:spacing w:line="460" w:lineRule="exact"/>
        <w:ind w:firstLine="480"/>
        <w:rPr>
          <w:rFonts w:hint="eastAsia" w:ascii="仿宋_GB2312" w:hAnsi="仿宋_GB2312" w:eastAsia="仿宋_GB2312" w:cs="仿宋_GB2312"/>
          <w:sz w:val="28"/>
          <w:szCs w:val="28"/>
        </w:rPr>
      </w:pPr>
    </w:p>
    <w:p>
      <w:pPr>
        <w:topLinePunct w:val="1"/>
        <w:spacing w:line="420" w:lineRule="exact"/>
        <w:ind w:firstLine="2520" w:firstLineChars="9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投标供应商：</w:t>
      </w:r>
      <w:r>
        <w:rPr>
          <w:rFonts w:hint="eastAsia" w:ascii="仿宋_GB2312" w:hAnsi="仿宋_GB2312" w:eastAsia="仿宋_GB2312" w:cs="仿宋_GB2312"/>
          <w:bCs/>
          <w:sz w:val="28"/>
          <w:szCs w:val="28"/>
          <w:u w:val="single"/>
        </w:rPr>
        <w:t xml:space="preserve">   （全称）（盖章） </w:t>
      </w:r>
    </w:p>
    <w:p>
      <w:pPr>
        <w:spacing w:line="460" w:lineRule="exact"/>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日期：</w:t>
      </w:r>
      <w:r>
        <w:rPr>
          <w:rFonts w:hint="eastAsia" w:ascii="仿宋_GB2312" w:hAnsi="仿宋_GB2312" w:eastAsia="仿宋_GB2312" w:cs="仿宋_GB2312"/>
          <w:sz w:val="28"/>
          <w:szCs w:val="28"/>
          <w:lang w:val="en-US" w:eastAsia="zh-CN"/>
        </w:rPr>
        <w:t>2021</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p>
    <w:p>
      <w:pPr>
        <w:spacing w:line="460" w:lineRule="exact"/>
        <w:ind w:firstLine="480"/>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b/>
          <w:bCs/>
          <w:sz w:val="28"/>
          <w:szCs w:val="28"/>
        </w:rPr>
        <w:t>附：法定代表人《居民身份证》复印件正反面</w:t>
      </w:r>
    </w:p>
    <w:tbl>
      <w:tblPr>
        <w:tblW w:w="8229" w:type="dxa"/>
        <w:tblInd w:w="2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14"/>
        <w:gridCol w:w="4115"/>
      </w:tblGrid>
      <w:tr>
        <w:trPr>
          <w:trHeight w:val="1767" w:hRule="atLeast"/>
        </w:trPr>
        <w:tc>
          <w:tcPr>
            <w:tcW w:w="4114" w:type="dxa"/>
            <w:vAlign w:val="center"/>
          </w:tcPr>
          <w:p>
            <w:pPr>
              <w:spacing w:line="420" w:lineRule="exact"/>
              <w:ind w:firstLine="48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（身份证正面）</w:t>
            </w:r>
          </w:p>
        </w:tc>
        <w:tc>
          <w:tcPr>
            <w:tcW w:w="4115" w:type="dxa"/>
            <w:vAlign w:val="center"/>
          </w:tcPr>
          <w:p>
            <w:pPr>
              <w:spacing w:line="420" w:lineRule="exact"/>
              <w:ind w:firstLine="48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（身份证背面）</w:t>
            </w:r>
          </w:p>
        </w:tc>
      </w:tr>
    </w:tbl>
    <w:p>
      <w:pPr>
        <w:adjustRightInd w:val="0"/>
        <w:snapToGrid w:val="0"/>
        <w:spacing w:line="240" w:lineRule="atLeast"/>
        <w:ind w:firstLine="480"/>
        <w:rPr>
          <w:rFonts w:hint="eastAsia" w:ascii="仿宋_GB2312" w:hAnsi="仿宋_GB2312" w:eastAsia="仿宋_GB2312" w:cs="仿宋_GB2312"/>
          <w:sz w:val="28"/>
          <w:szCs w:val="28"/>
        </w:rPr>
      </w:pPr>
    </w:p>
    <w:p>
      <w:pPr>
        <w:adjustRightInd w:val="0"/>
        <w:snapToGrid w:val="0"/>
        <w:spacing w:line="240" w:lineRule="atLeast"/>
        <w:ind w:firstLine="480"/>
        <w:rPr>
          <w:rFonts w:hint="eastAsia" w:ascii="仿宋_GB2312" w:hAnsi="仿宋_GB2312" w:eastAsia="仿宋_GB2312" w:cs="仿宋_GB2312"/>
          <w:sz w:val="28"/>
          <w:szCs w:val="28"/>
        </w:rPr>
      </w:pPr>
    </w:p>
    <w:p>
      <w:pPr>
        <w:spacing w:line="360" w:lineRule="exact"/>
        <w:ind w:firstLine="6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注：1.法定代表人签字或盖章必须是亲笔签名或相关主管行政部门备案的法定代表人印章。不得使用其他印章或是电子版签名。</w:t>
      </w:r>
    </w:p>
    <w:p>
      <w:pPr>
        <w:ind w:firstLine="64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2.投标人的法人代表本人作为公司代理人前来参加投标的，须提供此项证明文件，并携带法人的身份证原件（本授权书原件一式两份，一份密封封装在响应文件正本中，一份现场查验）。</w:t>
      </w:r>
    </w:p>
    <w:p>
      <w:pPr>
        <w:jc w:val="both"/>
        <w:rPr>
          <w:rFonts w:hint="eastAsia" w:ascii="仿宋_GB2312" w:hAnsi="仿宋_GB2312" w:eastAsia="仿宋_GB2312" w:cs="仿宋_GB2312"/>
          <w:b/>
          <w:sz w:val="28"/>
          <w:szCs w:val="28"/>
        </w:rPr>
      </w:pPr>
    </w:p>
    <w:p>
      <w:pPr>
        <w:jc w:val="both"/>
        <w:rPr>
          <w:rFonts w:hint="eastAsia" w:ascii="仿宋_GB2312" w:hAnsi="仿宋_GB2312" w:eastAsia="仿宋_GB2312" w:cs="仿宋_GB2312"/>
          <w:b/>
          <w:sz w:val="28"/>
          <w:szCs w:val="28"/>
        </w:rPr>
      </w:pPr>
    </w:p>
    <w:p>
      <w:pPr>
        <w:ind w:left="0" w:leftChars="0" w:firstLine="0" w:firstLineChars="0"/>
        <w:jc w:val="both"/>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 xml:space="preserve">                </w:t>
      </w:r>
    </w:p>
    <w:p>
      <w:pPr>
        <w:ind w:left="0" w:leftChars="0" w:firstLine="0" w:firstLineChars="0"/>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br w:type="page"/>
      </w:r>
      <w:bookmarkStart w:id="145" w:name="_Toc26677_WPSOffice_Level2"/>
      <w:r>
        <w:rPr>
          <w:rFonts w:hint="eastAsia" w:ascii="仿宋_GB2312" w:hAnsi="仿宋_GB2312" w:eastAsia="仿宋_GB2312" w:cs="仿宋_GB2312"/>
          <w:b/>
          <w:sz w:val="28"/>
          <w:szCs w:val="28"/>
        </w:rPr>
        <w:t>2</w:t>
      </w:r>
      <w:r>
        <w:rPr>
          <w:rFonts w:hint="eastAsia" w:ascii="仿宋_GB2312" w:hAnsi="仿宋_GB2312" w:eastAsia="仿宋_GB2312" w:cs="仿宋_GB2312"/>
          <w:b/>
          <w:sz w:val="28"/>
          <w:szCs w:val="28"/>
          <w:lang w:val="en-US" w:eastAsia="zh-CN"/>
        </w:rPr>
        <w:t>.</w:t>
      </w:r>
      <w:r>
        <w:rPr>
          <w:rFonts w:hint="eastAsia" w:ascii="仿宋_GB2312" w:hAnsi="仿宋_GB2312" w:eastAsia="仿宋_GB2312" w:cs="仿宋_GB2312"/>
          <w:b/>
          <w:sz w:val="28"/>
          <w:szCs w:val="28"/>
        </w:rPr>
        <w:t>法定代表人授权委托书</w:t>
      </w:r>
      <w:bookmarkEnd w:id="145"/>
    </w:p>
    <w:p>
      <w:pPr>
        <w:ind w:firstLine="482"/>
        <w:jc w:val="center"/>
        <w:rPr>
          <w:b/>
          <w:sz w:val="24"/>
        </w:rPr>
      </w:pPr>
    </w:p>
    <w:p>
      <w:pPr>
        <w:pStyle w:val="32"/>
        <w:autoSpaceDE w:val="0"/>
        <w:spacing w:after="0" w:line="440" w:lineRule="exact"/>
        <w:ind w:left="0" w:leftChars="0"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本授权书声明：注册于</w:t>
      </w:r>
      <w:r>
        <w:rPr>
          <w:rFonts w:hint="eastAsia" w:ascii="仿宋_GB2312" w:hAnsi="仿宋_GB2312" w:eastAsia="仿宋_GB2312" w:cs="仿宋_GB2312"/>
          <w:sz w:val="28"/>
          <w:szCs w:val="28"/>
          <w:u w:val="single"/>
        </w:rPr>
        <w:t>（地区的名称）</w:t>
      </w:r>
      <w:r>
        <w:rPr>
          <w:rFonts w:hint="eastAsia" w:ascii="仿宋_GB2312" w:hAnsi="仿宋_GB2312" w:eastAsia="仿宋_GB2312" w:cs="仿宋_GB2312"/>
          <w:sz w:val="28"/>
          <w:szCs w:val="28"/>
        </w:rPr>
        <w:t>的</w:t>
      </w:r>
      <w:r>
        <w:rPr>
          <w:rFonts w:hint="eastAsia" w:ascii="仿宋_GB2312" w:hAnsi="仿宋_GB2312" w:eastAsia="仿宋_GB2312" w:cs="仿宋_GB2312"/>
          <w:sz w:val="28"/>
          <w:szCs w:val="28"/>
          <w:u w:val="single"/>
        </w:rPr>
        <w:t>（公司名称）</w:t>
      </w:r>
      <w:r>
        <w:rPr>
          <w:rFonts w:hint="eastAsia" w:ascii="仿宋_GB2312" w:hAnsi="仿宋_GB2312" w:eastAsia="仿宋_GB2312" w:cs="仿宋_GB2312"/>
          <w:sz w:val="28"/>
          <w:szCs w:val="28"/>
        </w:rPr>
        <w:t>，在下面签字的法定代表人</w:t>
      </w:r>
      <w:r>
        <w:rPr>
          <w:rFonts w:hint="eastAsia" w:ascii="仿宋_GB2312" w:hAnsi="仿宋_GB2312" w:eastAsia="仿宋_GB2312" w:cs="仿宋_GB2312"/>
          <w:sz w:val="28"/>
          <w:szCs w:val="28"/>
          <w:u w:val="single"/>
        </w:rPr>
        <w:t>（姓名）</w:t>
      </w:r>
      <w:r>
        <w:rPr>
          <w:rFonts w:hint="eastAsia" w:ascii="仿宋_GB2312" w:hAnsi="仿宋_GB2312" w:eastAsia="仿宋_GB2312" w:cs="仿宋_GB2312"/>
          <w:sz w:val="28"/>
          <w:szCs w:val="28"/>
        </w:rPr>
        <w:t>，代表本公司委托在下面签字的</w:t>
      </w:r>
      <w:r>
        <w:rPr>
          <w:rFonts w:hint="eastAsia" w:ascii="仿宋_GB2312" w:hAnsi="仿宋_GB2312" w:eastAsia="仿宋_GB2312" w:cs="仿宋_GB2312"/>
          <w:sz w:val="28"/>
          <w:szCs w:val="28"/>
          <w:u w:val="single"/>
        </w:rPr>
        <w:t>（被授权人的姓名）</w:t>
      </w:r>
      <w:r>
        <w:rPr>
          <w:rFonts w:hint="eastAsia" w:ascii="仿宋_GB2312" w:hAnsi="仿宋_GB2312" w:eastAsia="仿宋_GB2312" w:cs="仿宋_GB2312"/>
          <w:sz w:val="28"/>
          <w:szCs w:val="28"/>
        </w:rPr>
        <w:t>为本公司的合法代理人，就</w:t>
      </w:r>
      <w:r>
        <w:rPr>
          <w:rFonts w:hint="eastAsia" w:ascii="仿宋_GB2312" w:hAnsi="仿宋_GB2312" w:eastAsia="仿宋_GB2312" w:cs="仿宋_GB2312"/>
          <w:sz w:val="28"/>
          <w:szCs w:val="28"/>
          <w:u w:val="single"/>
        </w:rPr>
        <w:t>　（项目名称）　</w:t>
      </w:r>
      <w:r>
        <w:rPr>
          <w:rFonts w:hint="eastAsia" w:ascii="仿宋_GB2312" w:hAnsi="仿宋_GB2312" w:eastAsia="仿宋_GB2312" w:cs="仿宋_GB2312"/>
          <w:sz w:val="28"/>
          <w:szCs w:val="28"/>
        </w:rPr>
        <w:t>的投标，以本公司的名义处理一切与之有关的事务。</w:t>
      </w:r>
    </w:p>
    <w:p>
      <w:pPr>
        <w:spacing w:line="420" w:lineRule="exact"/>
        <w:ind w:firstLine="480"/>
        <w:rPr>
          <w:rFonts w:hint="eastAsia" w:ascii="仿宋_GB2312" w:hAnsi="仿宋_GB2312" w:eastAsia="仿宋_GB2312" w:cs="仿宋_GB2312"/>
          <w:sz w:val="28"/>
          <w:szCs w:val="28"/>
        </w:rPr>
      </w:pPr>
    </w:p>
    <w:p>
      <w:pPr>
        <w:autoSpaceDE w:val="0"/>
        <w:spacing w:line="420" w:lineRule="exact"/>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本授权书于20</w:t>
      </w:r>
      <w:r>
        <w:rPr>
          <w:rFonts w:hint="eastAsia" w:ascii="仿宋_GB2312" w:hAnsi="仿宋_GB2312" w:eastAsia="仿宋_GB2312" w:cs="仿宋_GB2312"/>
          <w:sz w:val="28"/>
          <w:szCs w:val="28"/>
          <w:lang w:val="en-US" w:eastAsia="zh-CN"/>
        </w:rPr>
        <w:t>21</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w:t>
      </w:r>
      <w:r>
        <w:rPr>
          <w:rFonts w:hint="eastAsia" w:ascii="仿宋_GB2312" w:hAnsi="仿宋_GB2312" w:eastAsia="仿宋_GB2312" w:cs="仿宋_GB2312"/>
          <w:sz w:val="28"/>
          <w:szCs w:val="28"/>
        </w:rPr>
        <w:t>日签字生效，代理人无转委托权，特此声明。</w:t>
      </w:r>
    </w:p>
    <w:p>
      <w:pPr>
        <w:spacing w:line="420" w:lineRule="exact"/>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附：委托代理人的身份证复印件（加盖单位公章）</w:t>
      </w:r>
    </w:p>
    <w:tbl>
      <w:tblPr>
        <w:tblW w:w="8229" w:type="dxa"/>
        <w:tblInd w:w="2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14"/>
        <w:gridCol w:w="4115"/>
      </w:tblGrid>
      <w:tr>
        <w:trPr>
          <w:trHeight w:val="1785" w:hRule="atLeast"/>
        </w:trPr>
        <w:tc>
          <w:tcPr>
            <w:tcW w:w="4114" w:type="dxa"/>
            <w:vAlign w:val="center"/>
          </w:tcPr>
          <w:p>
            <w:pPr>
              <w:spacing w:line="420" w:lineRule="exact"/>
              <w:ind w:firstLine="48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（身份证正面）</w:t>
            </w:r>
          </w:p>
        </w:tc>
        <w:tc>
          <w:tcPr>
            <w:tcW w:w="4115" w:type="dxa"/>
            <w:vAlign w:val="center"/>
          </w:tcPr>
          <w:p>
            <w:pPr>
              <w:spacing w:line="420" w:lineRule="exact"/>
              <w:ind w:firstLine="48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（身份证背面）</w:t>
            </w:r>
          </w:p>
        </w:tc>
      </w:tr>
    </w:tbl>
    <w:p>
      <w:pPr>
        <w:spacing w:line="420" w:lineRule="exact"/>
        <w:ind w:firstLine="480"/>
        <w:rPr>
          <w:rFonts w:hint="eastAsia" w:ascii="仿宋_GB2312" w:hAnsi="仿宋_GB2312" w:eastAsia="仿宋_GB2312" w:cs="仿宋_GB2312"/>
          <w:sz w:val="28"/>
          <w:szCs w:val="28"/>
        </w:rPr>
      </w:pPr>
    </w:p>
    <w:p>
      <w:pPr>
        <w:topLinePunct w:val="1"/>
        <w:spacing w:line="420" w:lineRule="exact"/>
        <w:ind w:firstLine="480"/>
        <w:rPr>
          <w:rFonts w:hint="eastAsia" w:ascii="仿宋_GB2312" w:hAnsi="仿宋_GB2312" w:eastAsia="仿宋_GB2312" w:cs="仿宋_GB2312"/>
          <w:sz w:val="28"/>
          <w:szCs w:val="28"/>
        </w:rPr>
      </w:pPr>
    </w:p>
    <w:p>
      <w:pPr>
        <w:topLinePunct w:val="1"/>
        <w:spacing w:line="420" w:lineRule="exact"/>
        <w:ind w:firstLine="2520" w:firstLineChars="9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投标供应商：</w:t>
      </w:r>
      <w:r>
        <w:rPr>
          <w:rFonts w:hint="eastAsia" w:ascii="仿宋_GB2312" w:hAnsi="仿宋_GB2312" w:eastAsia="仿宋_GB2312" w:cs="仿宋_GB2312"/>
          <w:bCs/>
          <w:sz w:val="28"/>
          <w:szCs w:val="28"/>
          <w:u w:val="single"/>
        </w:rPr>
        <w:t xml:space="preserve">   （全称）（盖章）   </w:t>
      </w:r>
    </w:p>
    <w:p>
      <w:pPr>
        <w:autoSpaceDE w:val="0"/>
        <w:spacing w:line="420" w:lineRule="exact"/>
        <w:ind w:firstLine="48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 xml:space="preserve">              法定代表人签字或盖章：</w:t>
      </w:r>
      <w:r>
        <w:rPr>
          <w:rFonts w:hint="eastAsia" w:ascii="仿宋_GB2312" w:hAnsi="仿宋_GB2312" w:eastAsia="仿宋_GB2312" w:cs="仿宋_GB2312"/>
          <w:sz w:val="28"/>
          <w:szCs w:val="28"/>
          <w:u w:val="single"/>
        </w:rPr>
        <w:t>　　　　　 　</w:t>
      </w:r>
    </w:p>
    <w:p>
      <w:pPr>
        <w:topLinePunct w:val="1"/>
        <w:spacing w:line="420" w:lineRule="exact"/>
        <w:ind w:firstLine="2520" w:firstLineChars="9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身份证号码：</w:t>
      </w:r>
    </w:p>
    <w:p>
      <w:pPr>
        <w:autoSpaceDE w:val="0"/>
        <w:spacing w:line="420" w:lineRule="exact"/>
        <w:ind w:firstLine="48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 xml:space="preserve">              委托代理人签字：</w:t>
      </w:r>
      <w:r>
        <w:rPr>
          <w:rFonts w:hint="eastAsia" w:ascii="仿宋_GB2312" w:hAnsi="仿宋_GB2312" w:eastAsia="仿宋_GB2312" w:cs="仿宋_GB2312"/>
          <w:sz w:val="28"/>
          <w:szCs w:val="28"/>
          <w:u w:val="single"/>
        </w:rPr>
        <w:t>　　　　　　　　　　　</w:t>
      </w:r>
    </w:p>
    <w:p>
      <w:pPr>
        <w:topLinePunct w:val="1"/>
        <w:spacing w:line="420" w:lineRule="exact"/>
        <w:ind w:firstLine="2520" w:firstLineChars="9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身份证号码：</w:t>
      </w:r>
    </w:p>
    <w:p>
      <w:pPr>
        <w:autoSpaceDE w:val="0"/>
        <w:spacing w:line="420" w:lineRule="exact"/>
        <w:ind w:firstLine="700" w:firstLineChars="25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　　　　　　　　　　　　　授权日期：20</w:t>
      </w:r>
      <w:r>
        <w:rPr>
          <w:rFonts w:hint="eastAsia" w:ascii="仿宋_GB2312" w:hAnsi="仿宋_GB2312" w:eastAsia="仿宋_GB2312" w:cs="仿宋_GB2312"/>
          <w:sz w:val="28"/>
          <w:szCs w:val="28"/>
          <w:lang w:val="en-US" w:eastAsia="zh-CN"/>
        </w:rPr>
        <w:t>21</w:t>
      </w:r>
      <w:r>
        <w:rPr>
          <w:rFonts w:hint="eastAsia" w:ascii="仿宋_GB2312" w:hAnsi="仿宋_GB2312" w:eastAsia="仿宋_GB2312" w:cs="仿宋_GB2312"/>
          <w:sz w:val="28"/>
          <w:szCs w:val="28"/>
          <w:u w:val="single"/>
        </w:rPr>
        <w:t>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w:t>
      </w:r>
      <w:r>
        <w:rPr>
          <w:rFonts w:hint="eastAsia" w:ascii="仿宋_GB2312" w:hAnsi="仿宋_GB2312" w:eastAsia="仿宋_GB2312" w:cs="仿宋_GB2312"/>
          <w:sz w:val="28"/>
          <w:szCs w:val="28"/>
        </w:rPr>
        <w:t>日</w:t>
      </w:r>
    </w:p>
    <w:p>
      <w:pPr>
        <w:ind w:left="0" w:leftChars="0"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b/>
          <w:bCs/>
          <w:sz w:val="28"/>
          <w:szCs w:val="28"/>
          <w:lang w:val="en-US" w:eastAsia="zh-CN"/>
        </w:rPr>
        <w:t xml:space="preserve"> </w:t>
      </w:r>
      <w:r>
        <w:rPr>
          <w:rFonts w:hint="eastAsia" w:ascii="仿宋_GB2312" w:hAnsi="仿宋_GB2312" w:eastAsia="仿宋_GB2312" w:cs="仿宋_GB2312"/>
          <w:b/>
          <w:bCs/>
          <w:sz w:val="28"/>
          <w:szCs w:val="28"/>
        </w:rPr>
        <w:t>注：</w:t>
      </w:r>
      <w:r>
        <w:rPr>
          <w:rFonts w:hint="eastAsia" w:ascii="仿宋_GB2312" w:hAnsi="仿宋_GB2312" w:eastAsia="仿宋_GB2312" w:cs="仿宋_GB2312"/>
          <w:sz w:val="28"/>
          <w:szCs w:val="28"/>
        </w:rPr>
        <w:t>1.法定代表人签字或盖章必须是亲笔签名或相关主管行政部门备案的法定代表人印章。</w:t>
      </w:r>
    </w:p>
    <w:p>
      <w:pPr>
        <w:ind w:firstLine="64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本授权书原件一式两份，一份密封封装在响应文件正本中，一份现场查验。</w:t>
      </w:r>
    </w:p>
    <w:p>
      <w:pPr>
        <w:ind w:firstLine="64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投标人的委托代理人作为公司的代表前来参加投标的投标人，须提供此项证明文件。</w:t>
      </w:r>
    </w:p>
    <w:p>
      <w:pPr>
        <w:pStyle w:val="42"/>
        <w:spacing w:line="340" w:lineRule="exact"/>
        <w:ind w:left="-275" w:leftChars="-86"/>
        <w:jc w:val="center"/>
        <w:rPr>
          <w:rFonts w:hint="eastAsia" w:ascii="仿宋_GB2312" w:hAnsi="仿宋_GB2312" w:eastAsia="仿宋_GB2312" w:cs="仿宋_GB2312"/>
          <w:b/>
          <w:kern w:val="2"/>
          <w:sz w:val="28"/>
          <w:szCs w:val="28"/>
        </w:rPr>
      </w:pPr>
    </w:p>
    <w:p>
      <w:pPr>
        <w:pStyle w:val="33"/>
        <w:spacing w:line="360" w:lineRule="atLeast"/>
        <w:ind w:firstLine="602"/>
        <w:jc w:val="center"/>
        <w:outlineLvl w:val="1"/>
        <w:rPr>
          <w:rFonts w:hint="eastAsia" w:ascii="宋体" w:hAnsi="宋体" w:eastAsia="宋体" w:cs="宋体"/>
          <w:b/>
          <w:sz w:val="32"/>
          <w:szCs w:val="32"/>
        </w:rPr>
      </w:pPr>
      <w:bookmarkStart w:id="146" w:name="_Toc19367_WPSOffice_Level1"/>
      <w:r>
        <w:rPr>
          <w:rFonts w:hint="eastAsia" w:ascii="宋体" w:hAnsi="宋体" w:eastAsia="宋体" w:cs="宋体"/>
          <w:b/>
          <w:bCs/>
          <w:color w:val="000000"/>
          <w:sz w:val="32"/>
          <w:szCs w:val="32"/>
        </w:rPr>
        <w:t>（三）</w:t>
      </w:r>
      <w:r>
        <w:rPr>
          <w:rFonts w:hint="eastAsia" w:ascii="宋体" w:hAnsi="宋体" w:eastAsia="宋体" w:cs="宋体"/>
          <w:b/>
          <w:sz w:val="32"/>
          <w:szCs w:val="32"/>
        </w:rPr>
        <w:t>开标一览表</w:t>
      </w:r>
      <w:bookmarkEnd w:id="146"/>
    </w:p>
    <w:p>
      <w:pPr>
        <w:pStyle w:val="33"/>
        <w:spacing w:beforeAutospacing="0" w:afterAutospacing="0" w:line="360" w:lineRule="atLeast"/>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项目名称：</w:t>
      </w:r>
    </w:p>
    <w:tbl>
      <w:tblPr>
        <w:tblW w:w="90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0"/>
        <w:gridCol w:w="3152"/>
        <w:gridCol w:w="4587"/>
      </w:tblGrid>
      <w:tr>
        <w:trPr>
          <w:trHeight w:val="696" w:hRule="atLeast"/>
        </w:trPr>
        <w:tc>
          <w:tcPr>
            <w:tcW w:w="1300" w:type="dxa"/>
            <w:vAlign w:val="center"/>
          </w:tcPr>
          <w:p>
            <w:pPr>
              <w:pStyle w:val="42"/>
              <w:ind w:left="-378" w:leftChars="-342" w:right="-1133" w:rightChars="-354" w:hanging="716" w:hangingChars="256"/>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序号</w:t>
            </w:r>
          </w:p>
        </w:tc>
        <w:tc>
          <w:tcPr>
            <w:tcW w:w="3152" w:type="dxa"/>
            <w:vAlign w:val="center"/>
          </w:tcPr>
          <w:p>
            <w:pPr>
              <w:widowControl/>
              <w:ind w:firstLine="480"/>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项目 </w:t>
            </w:r>
          </w:p>
        </w:tc>
        <w:tc>
          <w:tcPr>
            <w:tcW w:w="4587" w:type="dxa"/>
            <w:vAlign w:val="center"/>
          </w:tcPr>
          <w:p>
            <w:pPr>
              <w:pStyle w:val="40"/>
              <w:snapToGrid w:val="0"/>
              <w:spacing w:line="40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金额（元）</w:t>
            </w:r>
          </w:p>
        </w:tc>
      </w:tr>
      <w:tr>
        <w:trPr>
          <w:trHeight w:val="929" w:hRule="atLeast"/>
        </w:trPr>
        <w:tc>
          <w:tcPr>
            <w:tcW w:w="1300" w:type="dxa"/>
            <w:vAlign w:val="center"/>
          </w:tcPr>
          <w:p>
            <w:pPr>
              <w:pStyle w:val="42"/>
              <w:ind w:left="-105" w:right="-97" w:firstLine="84" w:firstLineChars="3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p>
        </w:tc>
        <w:tc>
          <w:tcPr>
            <w:tcW w:w="3152" w:type="dxa"/>
            <w:vAlign w:val="center"/>
          </w:tcPr>
          <w:p>
            <w:pPr>
              <w:pStyle w:val="40"/>
              <w:snapToGrid w:val="0"/>
              <w:ind w:left="473" w:hanging="473"/>
              <w:jc w:val="center"/>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投标报价（总价）</w:t>
            </w:r>
          </w:p>
        </w:tc>
        <w:tc>
          <w:tcPr>
            <w:tcW w:w="4587" w:type="dxa"/>
            <w:vAlign w:val="center"/>
          </w:tcPr>
          <w:p>
            <w:pPr>
              <w:pStyle w:val="40"/>
              <w:snapToGrid w:val="0"/>
              <w:spacing w:line="400" w:lineRule="exact"/>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小写：</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w:t>
            </w:r>
          </w:p>
          <w:p>
            <w:pPr>
              <w:pStyle w:val="40"/>
              <w:snapToGrid w:val="0"/>
              <w:spacing w:line="400" w:lineRule="exact"/>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大写：</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w:t>
            </w:r>
          </w:p>
        </w:tc>
      </w:tr>
      <w:tr>
        <w:trPr>
          <w:trHeight w:val="605" w:hRule="atLeast"/>
        </w:trPr>
        <w:tc>
          <w:tcPr>
            <w:tcW w:w="9039" w:type="dxa"/>
            <w:gridSpan w:val="3"/>
            <w:vAlign w:val="center"/>
          </w:tcPr>
          <w:p>
            <w:pPr>
              <w:pStyle w:val="40"/>
              <w:snapToGrid w:val="0"/>
              <w:spacing w:line="400" w:lineRule="exact"/>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sz w:val="28"/>
                <w:szCs w:val="28"/>
              </w:rPr>
              <w:t>服务期限：</w:t>
            </w:r>
          </w:p>
        </w:tc>
      </w:tr>
      <w:tr>
        <w:trPr>
          <w:trHeight w:val="682" w:hRule="atLeast"/>
        </w:trPr>
        <w:tc>
          <w:tcPr>
            <w:tcW w:w="9039" w:type="dxa"/>
            <w:gridSpan w:val="3"/>
            <w:vAlign w:val="center"/>
          </w:tcPr>
          <w:p>
            <w:pPr>
              <w:pStyle w:val="40"/>
              <w:snapToGrid w:val="0"/>
              <w:spacing w:line="400" w:lineRule="exact"/>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备注：</w:t>
            </w:r>
          </w:p>
        </w:tc>
      </w:tr>
    </w:tbl>
    <w:p>
      <w:pPr>
        <w:ind w:firstLine="64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注：1.表中大小写不一致时，以大写为准。     </w:t>
      </w:r>
    </w:p>
    <w:p>
      <w:pPr>
        <w:autoSpaceDE w:val="0"/>
        <w:autoSpaceDN w:val="0"/>
        <w:adjustRightInd w:val="0"/>
        <w:ind w:firstLine="64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2.此表一式两份，一份用信封单独密封，另一份装订在响应文件正本中，两个表须内容必须一致。 </w:t>
      </w:r>
    </w:p>
    <w:p>
      <w:pPr>
        <w:autoSpaceDE w:val="0"/>
        <w:autoSpaceDN w:val="0"/>
        <w:adjustRightInd w:val="0"/>
        <w:ind w:firstLine="64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3.投标报价为完成本次采购项目内的所有内容的一切相关费用。可根据需要附报价明细。</w:t>
      </w:r>
    </w:p>
    <w:p>
      <w:pPr>
        <w:autoSpaceDE w:val="0"/>
        <w:autoSpaceDN w:val="0"/>
        <w:adjustRightInd w:val="0"/>
        <w:ind w:firstLine="64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4.本表中“投标总报价”必须与《投标函》中的“投标总报价”均保持一致，如不一致，以《开标一览表》为准。</w:t>
      </w:r>
    </w:p>
    <w:p>
      <w:pPr>
        <w:pStyle w:val="33"/>
        <w:spacing w:line="360" w:lineRule="atLeast"/>
        <w:ind w:firstLine="360"/>
        <w:rPr>
          <w:rFonts w:hint="eastAsia" w:ascii="仿宋_GB2312" w:hAnsi="仿宋_GB2312" w:eastAsia="仿宋_GB2312" w:cs="仿宋_GB2312"/>
          <w:sz w:val="28"/>
          <w:szCs w:val="28"/>
        </w:rPr>
      </w:pPr>
    </w:p>
    <w:p>
      <w:pPr>
        <w:pStyle w:val="15"/>
        <w:spacing w:line="360" w:lineRule="auto"/>
        <w:rPr>
          <w:rFonts w:hint="eastAsia" w:ascii="仿宋_GB2312" w:hAnsi="仿宋_GB2312" w:eastAsia="仿宋_GB2312" w:cs="仿宋_GB2312"/>
          <w:bCs/>
          <w:sz w:val="28"/>
          <w:szCs w:val="28"/>
          <w:u w:val="single"/>
        </w:rPr>
      </w:pPr>
      <w:r>
        <w:rPr>
          <w:rFonts w:hint="eastAsia" w:ascii="仿宋_GB2312" w:hAnsi="仿宋_GB2312" w:eastAsia="仿宋_GB2312" w:cs="仿宋_GB2312"/>
          <w:bCs/>
          <w:sz w:val="28"/>
          <w:szCs w:val="28"/>
        </w:rPr>
        <w:t>投标人供应商：</w:t>
      </w:r>
      <w:r>
        <w:rPr>
          <w:rFonts w:hint="eastAsia" w:ascii="仿宋_GB2312" w:hAnsi="仿宋_GB2312" w:eastAsia="仿宋_GB2312" w:cs="仿宋_GB2312"/>
          <w:bCs/>
          <w:sz w:val="28"/>
          <w:szCs w:val="28"/>
          <w:u w:val="single"/>
        </w:rPr>
        <w:t xml:space="preserve">   （全称）（盖章）   </w:t>
      </w:r>
    </w:p>
    <w:p>
      <w:pPr>
        <w:pStyle w:val="15"/>
        <w:spacing w:line="360" w:lineRule="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法定代表人或委托代理人：</w:t>
      </w:r>
      <w:r>
        <w:rPr>
          <w:rFonts w:hint="eastAsia" w:ascii="仿宋_GB2312" w:hAnsi="仿宋_GB2312" w:eastAsia="仿宋_GB2312" w:cs="仿宋_GB2312"/>
          <w:bCs/>
          <w:sz w:val="28"/>
          <w:szCs w:val="28"/>
          <w:u w:val="single"/>
        </w:rPr>
        <w:t>（签字或盖章）</w:t>
      </w:r>
    </w:p>
    <w:p>
      <w:pPr>
        <w:ind w:left="4200" w:right="960" w:hanging="4900" w:hangingChars="17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日 期：</w:t>
      </w:r>
      <w:r>
        <w:rPr>
          <w:rFonts w:hint="eastAsia" w:ascii="仿宋_GB2312" w:hAnsi="仿宋_GB2312" w:eastAsia="仿宋_GB2312" w:cs="仿宋_GB2312"/>
          <w:bCs/>
          <w:sz w:val="28"/>
          <w:szCs w:val="28"/>
        </w:rPr>
        <w:t>2</w:t>
      </w:r>
      <w:r>
        <w:rPr>
          <w:rFonts w:hint="eastAsia" w:ascii="仿宋_GB2312" w:hAnsi="仿宋_GB2312" w:eastAsia="仿宋_GB2312" w:cs="仿宋_GB2312"/>
          <w:bCs/>
          <w:sz w:val="28"/>
          <w:szCs w:val="28"/>
          <w:lang w:val="en-US" w:eastAsia="zh-CN"/>
        </w:rPr>
        <w:t>021</w:t>
      </w:r>
      <w:r>
        <w:rPr>
          <w:rFonts w:hint="eastAsia" w:ascii="仿宋_GB2312" w:hAnsi="仿宋_GB2312" w:eastAsia="仿宋_GB2312" w:cs="仿宋_GB2312"/>
          <w:bCs/>
          <w:sz w:val="28"/>
          <w:szCs w:val="28"/>
        </w:rPr>
        <w:t>年</w:t>
      </w:r>
      <w:r>
        <w:rPr>
          <w:rFonts w:hint="eastAsia" w:ascii="仿宋_GB2312" w:hAnsi="仿宋_GB2312" w:eastAsia="仿宋_GB2312" w:cs="仿宋_GB2312"/>
          <w:bCs/>
          <w:sz w:val="28"/>
          <w:szCs w:val="28"/>
          <w:u w:val="single"/>
        </w:rPr>
        <w:t>　</w:t>
      </w:r>
      <w:r>
        <w:rPr>
          <w:rFonts w:hint="eastAsia" w:ascii="仿宋_GB2312" w:hAnsi="仿宋_GB2312" w:eastAsia="仿宋_GB2312" w:cs="仿宋_GB2312"/>
          <w:bCs/>
          <w:sz w:val="28"/>
          <w:szCs w:val="28"/>
        </w:rPr>
        <w:t>月</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日</w:t>
      </w:r>
    </w:p>
    <w:p>
      <w:pPr>
        <w:ind w:firstLine="480"/>
        <w:rPr>
          <w:rFonts w:hint="eastAsia" w:ascii="仿宋_GB2312" w:hAnsi="仿宋_GB2312" w:eastAsia="仿宋_GB2312" w:cs="仿宋_GB2312"/>
          <w:sz w:val="28"/>
          <w:szCs w:val="28"/>
        </w:rPr>
      </w:pPr>
    </w:p>
    <w:p>
      <w:pPr>
        <w:spacing w:line="400" w:lineRule="exact"/>
        <w:ind w:firstLine="560"/>
        <w:rPr>
          <w:kern w:val="0"/>
          <w:sz w:val="28"/>
          <w:szCs w:val="28"/>
        </w:rPr>
      </w:pPr>
    </w:p>
    <w:p>
      <w:pPr>
        <w:spacing w:line="400" w:lineRule="exact"/>
        <w:ind w:firstLine="560"/>
        <w:rPr>
          <w:kern w:val="0"/>
          <w:sz w:val="28"/>
          <w:szCs w:val="28"/>
        </w:rPr>
      </w:pPr>
    </w:p>
    <w:p>
      <w:pPr>
        <w:spacing w:line="400" w:lineRule="exact"/>
        <w:ind w:firstLine="560"/>
        <w:rPr>
          <w:kern w:val="0"/>
          <w:sz w:val="28"/>
          <w:szCs w:val="28"/>
        </w:rPr>
      </w:pPr>
    </w:p>
    <w:p>
      <w:pPr>
        <w:spacing w:line="400" w:lineRule="exact"/>
        <w:ind w:firstLine="560"/>
        <w:rPr>
          <w:kern w:val="0"/>
          <w:sz w:val="28"/>
          <w:szCs w:val="28"/>
        </w:rPr>
      </w:pPr>
    </w:p>
    <w:p>
      <w:pPr>
        <w:spacing w:line="400" w:lineRule="exact"/>
        <w:ind w:firstLine="560"/>
        <w:rPr>
          <w:kern w:val="0"/>
          <w:sz w:val="28"/>
          <w:szCs w:val="28"/>
        </w:rPr>
      </w:pPr>
    </w:p>
    <w:p>
      <w:pPr>
        <w:spacing w:line="400" w:lineRule="atLeast"/>
        <w:ind w:firstLine="602"/>
        <w:jc w:val="both"/>
        <w:outlineLvl w:val="1"/>
        <w:rPr>
          <w:b/>
          <w:bCs/>
          <w:color w:val="000000"/>
          <w:sz w:val="30"/>
          <w:szCs w:val="30"/>
        </w:rPr>
      </w:pPr>
      <w:r>
        <w:rPr>
          <w:rFonts w:hint="eastAsia"/>
          <w:b/>
          <w:bCs/>
          <w:color w:val="000000"/>
          <w:sz w:val="30"/>
          <w:szCs w:val="30"/>
          <w:lang w:val="en-US" w:eastAsia="zh-CN"/>
        </w:rPr>
        <w:t xml:space="preserve">          </w:t>
      </w:r>
      <w:bookmarkStart w:id="147" w:name="_Toc4110_WPSOffice_Level1"/>
      <w:r>
        <w:rPr>
          <w:rFonts w:hint="eastAsia" w:ascii="宋体" w:hAnsi="宋体" w:eastAsia="宋体" w:cs="宋体"/>
          <w:b/>
          <w:bCs/>
          <w:color w:val="000000"/>
          <w:sz w:val="32"/>
          <w:szCs w:val="32"/>
        </w:rPr>
        <w:t>（四）</w:t>
      </w:r>
      <w:r>
        <w:rPr>
          <w:rFonts w:hint="eastAsia" w:eastAsia="宋体" w:cs="宋体"/>
          <w:b/>
          <w:bCs/>
          <w:color w:val="000000"/>
          <w:sz w:val="32"/>
          <w:szCs w:val="32"/>
          <w:lang w:eastAsia="zh-CN"/>
        </w:rPr>
        <w:t>招标</w:t>
      </w:r>
      <w:r>
        <w:rPr>
          <w:rFonts w:hint="eastAsia" w:ascii="宋体" w:hAnsi="宋体" w:eastAsia="宋体" w:cs="宋体"/>
          <w:b/>
          <w:bCs/>
          <w:color w:val="000000"/>
          <w:sz w:val="32"/>
          <w:szCs w:val="32"/>
        </w:rPr>
        <w:t>保证金提交证明</w:t>
      </w:r>
      <w:bookmarkEnd w:id="147"/>
    </w:p>
    <w:p>
      <w:pPr>
        <w:spacing w:line="440" w:lineRule="exact"/>
        <w:ind w:firstLine="562"/>
        <w:rPr>
          <w:rFonts w:ascii="仿宋_GB2312" w:eastAsia="仿宋_GB2312"/>
          <w:b/>
          <w:color w:val="000000"/>
          <w:sz w:val="28"/>
          <w:szCs w:val="28"/>
        </w:rPr>
      </w:pPr>
    </w:p>
    <w:p>
      <w:pPr>
        <w:snapToGrid w:val="0"/>
        <w:spacing w:line="400" w:lineRule="atLeast"/>
        <w:ind w:left="0" w:leftChars="0" w:right="56" w:firstLine="0" w:firstLineChars="0"/>
        <w:rPr>
          <w:rFonts w:hint="eastAsia" w:ascii="仿宋_GB2312" w:hAnsi="仿宋_GB2312" w:eastAsia="仿宋_GB2312" w:cs="仿宋_GB2312"/>
          <w:b/>
          <w:sz w:val="28"/>
          <w:szCs w:val="28"/>
        </w:rPr>
      </w:pPr>
      <w:r>
        <w:rPr>
          <w:rFonts w:hint="eastAsia" w:ascii="仿宋_GB2312" w:hAnsi="仿宋_GB2312" w:eastAsia="仿宋_GB2312" w:cs="仿宋_GB2312"/>
          <w:color w:val="000000"/>
          <w:sz w:val="28"/>
          <w:szCs w:val="28"/>
        </w:rPr>
        <w:t>（投标人须将投标保证金汇款凭证复印件或汇款截图附在此处）</w:t>
      </w:r>
    </w:p>
    <w:p>
      <w:pPr>
        <w:spacing w:line="440" w:lineRule="exact"/>
        <w:ind w:firstLine="562"/>
        <w:jc w:val="center"/>
        <w:rPr>
          <w:rFonts w:ascii="仿宋_GB2312" w:eastAsia="仿宋_GB2312"/>
          <w:b/>
          <w:color w:val="000000"/>
          <w:sz w:val="28"/>
          <w:szCs w:val="28"/>
        </w:rPr>
      </w:pPr>
    </w:p>
    <w:p>
      <w:pPr>
        <w:spacing w:line="440" w:lineRule="exact"/>
        <w:ind w:firstLine="562"/>
        <w:jc w:val="center"/>
        <w:rPr>
          <w:rFonts w:ascii="仿宋_GB2312" w:eastAsia="仿宋_GB2312"/>
          <w:b/>
          <w:color w:val="000000"/>
          <w:sz w:val="28"/>
          <w:szCs w:val="28"/>
        </w:rPr>
      </w:pPr>
    </w:p>
    <w:p>
      <w:pPr>
        <w:spacing w:line="440" w:lineRule="exact"/>
        <w:ind w:firstLine="562"/>
        <w:rPr>
          <w:b/>
          <w:color w:val="000000"/>
          <w:sz w:val="28"/>
          <w:szCs w:val="28"/>
        </w:rPr>
      </w:pPr>
    </w:p>
    <w:p>
      <w:pPr>
        <w:spacing w:line="440" w:lineRule="exact"/>
        <w:ind w:firstLine="602"/>
        <w:jc w:val="center"/>
        <w:rPr>
          <w:b/>
          <w:sz w:val="30"/>
          <w:szCs w:val="30"/>
        </w:rPr>
      </w:pPr>
    </w:p>
    <w:p>
      <w:pPr>
        <w:spacing w:line="440" w:lineRule="exact"/>
        <w:ind w:firstLine="602"/>
        <w:jc w:val="center"/>
        <w:rPr>
          <w:b/>
          <w:sz w:val="30"/>
          <w:szCs w:val="30"/>
        </w:rPr>
      </w:pPr>
    </w:p>
    <w:p>
      <w:pPr>
        <w:spacing w:line="440" w:lineRule="exact"/>
        <w:ind w:firstLine="602"/>
        <w:jc w:val="center"/>
        <w:rPr>
          <w:b/>
          <w:sz w:val="30"/>
          <w:szCs w:val="30"/>
        </w:rPr>
      </w:pPr>
    </w:p>
    <w:p>
      <w:pPr>
        <w:spacing w:line="440" w:lineRule="exact"/>
        <w:ind w:firstLine="602"/>
        <w:jc w:val="center"/>
        <w:outlineLvl w:val="1"/>
        <w:rPr>
          <w:rFonts w:hint="eastAsia"/>
          <w:b/>
          <w:sz w:val="30"/>
          <w:szCs w:val="30"/>
        </w:rPr>
      </w:pPr>
    </w:p>
    <w:p>
      <w:pPr>
        <w:spacing w:line="440" w:lineRule="exact"/>
        <w:ind w:firstLine="602"/>
        <w:jc w:val="center"/>
        <w:outlineLvl w:val="1"/>
        <w:rPr>
          <w:rFonts w:hint="eastAsia"/>
          <w:b/>
          <w:sz w:val="30"/>
          <w:szCs w:val="30"/>
        </w:rPr>
      </w:pPr>
    </w:p>
    <w:p>
      <w:pPr>
        <w:spacing w:line="440" w:lineRule="exact"/>
        <w:ind w:firstLine="602"/>
        <w:jc w:val="center"/>
        <w:outlineLvl w:val="1"/>
        <w:rPr>
          <w:rFonts w:hint="eastAsia"/>
          <w:b/>
          <w:sz w:val="30"/>
          <w:szCs w:val="30"/>
        </w:rPr>
      </w:pPr>
    </w:p>
    <w:p>
      <w:pPr>
        <w:spacing w:line="440" w:lineRule="exact"/>
        <w:ind w:firstLine="602"/>
        <w:jc w:val="center"/>
        <w:outlineLvl w:val="1"/>
        <w:rPr>
          <w:rFonts w:hint="eastAsia"/>
          <w:b/>
          <w:sz w:val="30"/>
          <w:szCs w:val="30"/>
        </w:rPr>
      </w:pPr>
    </w:p>
    <w:p>
      <w:pPr>
        <w:spacing w:line="440" w:lineRule="exact"/>
        <w:ind w:firstLine="602"/>
        <w:jc w:val="center"/>
        <w:outlineLvl w:val="1"/>
        <w:rPr>
          <w:rFonts w:hint="eastAsia"/>
          <w:b/>
          <w:sz w:val="30"/>
          <w:szCs w:val="30"/>
        </w:rPr>
      </w:pPr>
    </w:p>
    <w:p>
      <w:pPr>
        <w:spacing w:line="440" w:lineRule="exact"/>
        <w:ind w:firstLine="602"/>
        <w:jc w:val="center"/>
        <w:outlineLvl w:val="1"/>
        <w:rPr>
          <w:rFonts w:hint="eastAsia"/>
          <w:b/>
          <w:sz w:val="30"/>
          <w:szCs w:val="30"/>
        </w:rPr>
      </w:pPr>
    </w:p>
    <w:p>
      <w:pPr>
        <w:spacing w:line="440" w:lineRule="exact"/>
        <w:ind w:firstLine="602"/>
        <w:jc w:val="center"/>
        <w:outlineLvl w:val="1"/>
        <w:rPr>
          <w:rFonts w:hint="eastAsia"/>
          <w:b/>
          <w:sz w:val="30"/>
          <w:szCs w:val="30"/>
        </w:rPr>
      </w:pPr>
    </w:p>
    <w:p>
      <w:pPr>
        <w:spacing w:line="440" w:lineRule="exact"/>
        <w:ind w:firstLine="602"/>
        <w:jc w:val="center"/>
        <w:outlineLvl w:val="1"/>
        <w:rPr>
          <w:rFonts w:hint="eastAsia"/>
          <w:b/>
          <w:sz w:val="30"/>
          <w:szCs w:val="30"/>
        </w:rPr>
      </w:pPr>
    </w:p>
    <w:p>
      <w:pPr>
        <w:spacing w:line="440" w:lineRule="exact"/>
        <w:ind w:firstLine="602"/>
        <w:jc w:val="center"/>
        <w:outlineLvl w:val="1"/>
        <w:rPr>
          <w:rFonts w:hint="eastAsia"/>
          <w:b/>
          <w:sz w:val="30"/>
          <w:szCs w:val="30"/>
        </w:rPr>
      </w:pPr>
    </w:p>
    <w:p>
      <w:pPr>
        <w:spacing w:line="440" w:lineRule="exact"/>
        <w:ind w:firstLine="602"/>
        <w:jc w:val="center"/>
        <w:outlineLvl w:val="1"/>
        <w:rPr>
          <w:rFonts w:hint="eastAsia"/>
          <w:b/>
          <w:sz w:val="30"/>
          <w:szCs w:val="30"/>
        </w:rPr>
      </w:pPr>
    </w:p>
    <w:p>
      <w:pPr>
        <w:spacing w:line="440" w:lineRule="exact"/>
        <w:ind w:firstLine="602"/>
        <w:jc w:val="center"/>
        <w:outlineLvl w:val="1"/>
        <w:rPr>
          <w:rFonts w:hint="eastAsia"/>
          <w:b/>
          <w:sz w:val="30"/>
          <w:szCs w:val="30"/>
        </w:rPr>
      </w:pPr>
    </w:p>
    <w:p>
      <w:pPr>
        <w:spacing w:line="440" w:lineRule="exact"/>
        <w:ind w:firstLine="602"/>
        <w:jc w:val="center"/>
        <w:outlineLvl w:val="1"/>
        <w:rPr>
          <w:rFonts w:hint="eastAsia"/>
          <w:b/>
          <w:sz w:val="30"/>
          <w:szCs w:val="30"/>
        </w:rPr>
      </w:pPr>
    </w:p>
    <w:p>
      <w:pPr>
        <w:spacing w:line="440" w:lineRule="exact"/>
        <w:ind w:firstLine="602"/>
        <w:jc w:val="center"/>
        <w:outlineLvl w:val="1"/>
        <w:rPr>
          <w:rFonts w:hint="eastAsia"/>
          <w:b/>
          <w:sz w:val="30"/>
          <w:szCs w:val="30"/>
        </w:rPr>
      </w:pPr>
    </w:p>
    <w:p>
      <w:pPr>
        <w:spacing w:line="440" w:lineRule="exact"/>
        <w:ind w:firstLine="602"/>
        <w:jc w:val="center"/>
        <w:outlineLvl w:val="1"/>
        <w:rPr>
          <w:rFonts w:hint="eastAsia"/>
          <w:b/>
          <w:sz w:val="30"/>
          <w:szCs w:val="30"/>
        </w:rPr>
      </w:pPr>
    </w:p>
    <w:p>
      <w:pPr>
        <w:spacing w:line="440" w:lineRule="exact"/>
        <w:ind w:firstLine="602"/>
        <w:jc w:val="center"/>
        <w:outlineLvl w:val="1"/>
        <w:rPr>
          <w:rFonts w:hint="eastAsia"/>
          <w:b/>
          <w:sz w:val="30"/>
          <w:szCs w:val="30"/>
        </w:rPr>
      </w:pPr>
    </w:p>
    <w:p>
      <w:pPr>
        <w:spacing w:line="440" w:lineRule="exact"/>
        <w:ind w:firstLine="602"/>
        <w:jc w:val="center"/>
        <w:outlineLvl w:val="1"/>
        <w:rPr>
          <w:rFonts w:hint="eastAsia"/>
          <w:b/>
          <w:sz w:val="30"/>
          <w:szCs w:val="30"/>
        </w:rPr>
      </w:pPr>
    </w:p>
    <w:p>
      <w:pPr>
        <w:spacing w:line="440" w:lineRule="exact"/>
        <w:ind w:firstLine="602"/>
        <w:jc w:val="center"/>
        <w:outlineLvl w:val="1"/>
        <w:rPr>
          <w:rFonts w:hint="eastAsia"/>
          <w:b/>
          <w:sz w:val="30"/>
          <w:szCs w:val="30"/>
        </w:rPr>
      </w:pPr>
    </w:p>
    <w:p>
      <w:pPr>
        <w:spacing w:line="440" w:lineRule="exact"/>
        <w:ind w:firstLine="602"/>
        <w:jc w:val="center"/>
        <w:outlineLvl w:val="1"/>
        <w:rPr>
          <w:rFonts w:hint="eastAsia"/>
          <w:b/>
          <w:sz w:val="30"/>
          <w:szCs w:val="30"/>
        </w:rPr>
      </w:pPr>
    </w:p>
    <w:p>
      <w:pPr>
        <w:spacing w:line="440" w:lineRule="exact"/>
        <w:ind w:firstLine="602"/>
        <w:jc w:val="center"/>
        <w:outlineLvl w:val="1"/>
        <w:rPr>
          <w:b/>
          <w:color w:val="000000"/>
          <w:sz w:val="30"/>
          <w:szCs w:val="30"/>
        </w:rPr>
      </w:pPr>
      <w:r>
        <w:rPr>
          <w:rFonts w:hint="eastAsia"/>
          <w:b/>
          <w:sz w:val="30"/>
          <w:szCs w:val="30"/>
        </w:rPr>
        <w:br w:type="page"/>
      </w:r>
      <w:bookmarkStart w:id="148" w:name="_Toc7572_WPSOffice_Level1"/>
      <w:r>
        <w:rPr>
          <w:rFonts w:hint="eastAsia" w:ascii="宋体" w:hAnsi="宋体" w:eastAsia="宋体" w:cs="宋体"/>
          <w:b/>
          <w:sz w:val="32"/>
          <w:szCs w:val="32"/>
        </w:rPr>
        <w:t>（五）投标供应商资格证明文件</w:t>
      </w:r>
      <w:bookmarkEnd w:id="148"/>
    </w:p>
    <w:p>
      <w:pPr>
        <w:spacing w:line="440" w:lineRule="exact"/>
        <w:ind w:firstLine="643"/>
        <w:jc w:val="center"/>
        <w:rPr>
          <w:b/>
          <w:color w:val="000000"/>
        </w:rPr>
      </w:pPr>
    </w:p>
    <w:p>
      <w:pPr>
        <w:spacing w:line="440" w:lineRule="exact"/>
        <w:ind w:firstLine="562"/>
        <w:jc w:val="center"/>
        <w:rPr>
          <w:b/>
          <w:color w:val="000000"/>
          <w:sz w:val="28"/>
          <w:szCs w:val="28"/>
        </w:rPr>
      </w:pPr>
      <w:bookmarkStart w:id="149" w:name="_Toc12295_WPSOffice_Level2"/>
      <w:r>
        <w:rPr>
          <w:rFonts w:hint="eastAsia"/>
          <w:b/>
          <w:color w:val="000000"/>
          <w:sz w:val="28"/>
          <w:szCs w:val="28"/>
        </w:rPr>
        <w:t>1</w:t>
      </w:r>
      <w:r>
        <w:rPr>
          <w:rFonts w:hint="eastAsia"/>
          <w:b/>
          <w:color w:val="000000"/>
          <w:sz w:val="28"/>
          <w:szCs w:val="28"/>
          <w:lang w:val="en-US" w:eastAsia="zh-CN"/>
        </w:rPr>
        <w:t>.</w:t>
      </w:r>
      <w:r>
        <w:rPr>
          <w:rFonts w:hint="eastAsia"/>
          <w:b/>
          <w:color w:val="000000"/>
          <w:sz w:val="28"/>
          <w:szCs w:val="28"/>
        </w:rPr>
        <w:t>关于资格的声明函</w:t>
      </w:r>
      <w:bookmarkEnd w:id="149"/>
    </w:p>
    <w:p>
      <w:pPr>
        <w:spacing w:line="440" w:lineRule="exact"/>
        <w:ind w:firstLine="482"/>
        <w:jc w:val="center"/>
        <w:rPr>
          <w:b/>
          <w:color w:val="000000"/>
          <w:sz w:val="24"/>
          <w:szCs w:val="24"/>
        </w:rPr>
      </w:pPr>
    </w:p>
    <w:p>
      <w:pPr>
        <w:pStyle w:val="32"/>
        <w:spacing w:line="440" w:lineRule="exact"/>
        <w:ind w:left="640"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致：</w:t>
      </w:r>
      <w:r>
        <w:rPr>
          <w:rFonts w:hint="eastAsia" w:ascii="仿宋_GB2312" w:hAnsi="仿宋_GB2312" w:eastAsia="仿宋_GB2312" w:cs="仿宋_GB2312"/>
          <w:sz w:val="28"/>
          <w:szCs w:val="28"/>
          <w:u w:val="single"/>
        </w:rPr>
        <w:t>（招标人名称）</w:t>
      </w:r>
    </w:p>
    <w:p>
      <w:pPr>
        <w:pStyle w:val="32"/>
        <w:spacing w:line="440" w:lineRule="exact"/>
        <w:ind w:left="640"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关于贵方2</w:t>
      </w:r>
      <w:r>
        <w:rPr>
          <w:rFonts w:hint="eastAsia" w:ascii="仿宋_GB2312" w:hAnsi="仿宋_GB2312" w:eastAsia="仿宋_GB2312" w:cs="仿宋_GB2312"/>
          <w:sz w:val="28"/>
          <w:szCs w:val="28"/>
          <w:lang w:val="en-US" w:eastAsia="zh-CN"/>
        </w:rPr>
        <w:t>021</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w:t>
      </w:r>
      <w:r>
        <w:rPr>
          <w:rFonts w:hint="eastAsia" w:ascii="仿宋_GB2312" w:hAnsi="仿宋_GB2312" w:eastAsia="仿宋_GB2312" w:cs="仿宋_GB2312"/>
          <w:sz w:val="28"/>
          <w:szCs w:val="28"/>
        </w:rPr>
        <w:t>日第（项目编号）</w:t>
      </w:r>
      <w:r>
        <w:rPr>
          <w:rFonts w:hint="eastAsia" w:ascii="仿宋_GB2312" w:hAnsi="仿宋_GB2312" w:eastAsia="仿宋_GB2312" w:cs="仿宋_GB2312"/>
          <w:sz w:val="28"/>
          <w:szCs w:val="28"/>
          <w:lang w:eastAsia="zh-CN"/>
        </w:rPr>
        <w:t>公开招标</w:t>
      </w:r>
      <w:r>
        <w:rPr>
          <w:rFonts w:hint="eastAsia" w:ascii="仿宋_GB2312" w:hAnsi="仿宋_GB2312" w:eastAsia="仿宋_GB2312" w:cs="仿宋_GB2312"/>
          <w:sz w:val="28"/>
          <w:szCs w:val="28"/>
        </w:rPr>
        <w:t>公告关于</w:t>
      </w:r>
      <w:r>
        <w:rPr>
          <w:rFonts w:hint="eastAsia" w:ascii="仿宋_GB2312" w:hAnsi="仿宋_GB2312" w:eastAsia="仿宋_GB2312" w:cs="仿宋_GB2312"/>
          <w:sz w:val="28"/>
          <w:szCs w:val="28"/>
          <w:u w:val="single"/>
        </w:rPr>
        <w:t>“　　　　　”</w:t>
      </w:r>
      <w:r>
        <w:rPr>
          <w:rFonts w:hint="eastAsia" w:ascii="仿宋_GB2312" w:hAnsi="仿宋_GB2312" w:eastAsia="仿宋_GB2312" w:cs="仿宋_GB2312"/>
          <w:sz w:val="28"/>
          <w:szCs w:val="28"/>
        </w:rPr>
        <w:t>的采购项目，本签字人愿意参加投标，并有能力提供</w:t>
      </w:r>
      <w:r>
        <w:rPr>
          <w:rFonts w:hint="eastAsia" w:ascii="仿宋_GB2312" w:hAnsi="仿宋_GB2312" w:eastAsia="仿宋_GB2312" w:cs="仿宋_GB2312"/>
          <w:sz w:val="28"/>
          <w:szCs w:val="28"/>
          <w:u w:val="single"/>
        </w:rPr>
        <w:t xml:space="preserve">  （项目名称） </w:t>
      </w:r>
      <w:r>
        <w:rPr>
          <w:rFonts w:hint="eastAsia" w:ascii="仿宋_GB2312" w:hAnsi="仿宋_GB2312" w:eastAsia="仿宋_GB2312" w:cs="仿宋_GB2312"/>
          <w:sz w:val="28"/>
          <w:szCs w:val="28"/>
        </w:rPr>
        <w:t>项目中的全部工程、服务内容，并保证所提交的所有文件和说明是真实和准确的。</w:t>
      </w:r>
    </w:p>
    <w:p>
      <w:pPr>
        <w:pStyle w:val="32"/>
        <w:spacing w:line="440" w:lineRule="exact"/>
        <w:ind w:left="640" w:firstLine="480"/>
        <w:rPr>
          <w:rFonts w:hint="eastAsia" w:ascii="仿宋_GB2312" w:hAnsi="仿宋_GB2312" w:eastAsia="仿宋_GB2312" w:cs="仿宋_GB2312"/>
          <w:sz w:val="28"/>
          <w:szCs w:val="28"/>
        </w:rPr>
      </w:pPr>
    </w:p>
    <w:p>
      <w:pPr>
        <w:topLinePunct w:val="1"/>
        <w:spacing w:line="420" w:lineRule="exact"/>
        <w:ind w:firstLine="48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p>
    <w:p>
      <w:pPr>
        <w:topLinePunct w:val="1"/>
        <w:spacing w:line="420" w:lineRule="exact"/>
        <w:ind w:firstLine="480"/>
        <w:rPr>
          <w:rFonts w:hint="eastAsia" w:ascii="仿宋_GB2312" w:hAnsi="仿宋_GB2312" w:eastAsia="仿宋_GB2312" w:cs="仿宋_GB2312"/>
          <w:bCs/>
          <w:sz w:val="28"/>
          <w:szCs w:val="28"/>
          <w:u w:val="single"/>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投标供应商：</w:t>
      </w:r>
      <w:r>
        <w:rPr>
          <w:rFonts w:hint="eastAsia" w:ascii="仿宋_GB2312" w:hAnsi="仿宋_GB2312" w:eastAsia="仿宋_GB2312" w:cs="仿宋_GB2312"/>
          <w:bCs/>
          <w:sz w:val="28"/>
          <w:szCs w:val="28"/>
          <w:u w:val="single"/>
        </w:rPr>
        <w:t xml:space="preserve">   （全称）（盖章）   </w:t>
      </w:r>
    </w:p>
    <w:p>
      <w:pPr>
        <w:pStyle w:val="29"/>
        <w:rPr>
          <w:rFonts w:hint="eastAsia"/>
        </w:rPr>
      </w:pPr>
    </w:p>
    <w:p>
      <w:pPr>
        <w:pStyle w:val="32"/>
        <w:spacing w:line="440" w:lineRule="exact"/>
        <w:ind w:left="640" w:firstLine="48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被授权签署本资格文件人：</w:t>
      </w:r>
      <w:r>
        <w:rPr>
          <w:rFonts w:hint="eastAsia" w:ascii="仿宋_GB2312" w:hAnsi="仿宋_GB2312" w:eastAsia="仿宋_GB2312" w:cs="仿宋_GB2312"/>
          <w:sz w:val="28"/>
          <w:szCs w:val="28"/>
          <w:u w:val="single"/>
        </w:rPr>
        <w:t>被授权人姓名（签字）</w:t>
      </w:r>
    </w:p>
    <w:p>
      <w:pPr>
        <w:pStyle w:val="32"/>
        <w:spacing w:line="440" w:lineRule="exact"/>
        <w:ind w:left="640" w:firstLine="480"/>
        <w:rPr>
          <w:rFonts w:hint="eastAsia" w:ascii="仿宋_GB2312" w:hAnsi="仿宋_GB2312" w:eastAsia="仿宋_GB2312" w:cs="仿宋_GB2312"/>
          <w:sz w:val="28"/>
          <w:szCs w:val="28"/>
          <w:u w:val="single" w:color="auto"/>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地址：</w:t>
      </w:r>
      <w:r>
        <w:rPr>
          <w:rFonts w:hint="eastAsia" w:ascii="仿宋_GB2312" w:hAnsi="仿宋_GB2312" w:eastAsia="仿宋_GB2312" w:cs="仿宋_GB2312"/>
          <w:sz w:val="28"/>
          <w:szCs w:val="28"/>
          <w:u w:val="single" w:color="auto"/>
        </w:rPr>
        <w:t xml:space="preserve">　　　　　　　　　　　　  </w:t>
      </w:r>
    </w:p>
    <w:p>
      <w:pPr>
        <w:pStyle w:val="32"/>
        <w:spacing w:line="440" w:lineRule="exact"/>
        <w:ind w:left="640"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传真：</w:t>
      </w:r>
      <w:r>
        <w:rPr>
          <w:rFonts w:hint="eastAsia" w:ascii="仿宋_GB2312" w:hAnsi="仿宋_GB2312" w:eastAsia="仿宋_GB2312" w:cs="仿宋_GB2312"/>
          <w:sz w:val="28"/>
          <w:szCs w:val="28"/>
          <w:u w:val="single" w:color="auto"/>
        </w:rPr>
        <w:t>　　　　　　　　　　　　　</w:t>
      </w:r>
      <w:r>
        <w:rPr>
          <w:rFonts w:hint="eastAsia" w:ascii="仿宋_GB2312" w:hAnsi="仿宋_GB2312" w:eastAsia="仿宋_GB2312" w:cs="仿宋_GB2312"/>
          <w:sz w:val="28"/>
          <w:szCs w:val="28"/>
        </w:rPr>
        <w:t>　　　　　　</w:t>
      </w:r>
    </w:p>
    <w:p>
      <w:pPr>
        <w:pStyle w:val="32"/>
        <w:spacing w:line="440" w:lineRule="exact"/>
        <w:ind w:left="640"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邮编：</w:t>
      </w:r>
      <w:r>
        <w:rPr>
          <w:rFonts w:hint="eastAsia" w:ascii="仿宋_GB2312" w:hAnsi="仿宋_GB2312" w:eastAsia="仿宋_GB2312" w:cs="仿宋_GB2312"/>
          <w:sz w:val="28"/>
          <w:szCs w:val="28"/>
          <w:u w:val="single" w:color="auto"/>
        </w:rPr>
        <w:t>　　　　　　　　　　　　　</w:t>
      </w:r>
    </w:p>
    <w:p>
      <w:pPr>
        <w:pStyle w:val="32"/>
        <w:spacing w:line="440" w:lineRule="exact"/>
        <w:ind w:left="640" w:firstLine="480"/>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电话：</w:t>
      </w:r>
      <w:r>
        <w:rPr>
          <w:rFonts w:hint="eastAsia" w:ascii="仿宋_GB2312" w:hAnsi="仿宋_GB2312" w:eastAsia="仿宋_GB2312" w:cs="仿宋_GB2312"/>
          <w:sz w:val="28"/>
          <w:szCs w:val="28"/>
          <w:u w:val="single"/>
          <w:lang w:val="en-US" w:eastAsia="zh-CN"/>
        </w:rPr>
        <w:t xml:space="preserve">                          </w:t>
      </w:r>
    </w:p>
    <w:p>
      <w:pPr>
        <w:pStyle w:val="30"/>
        <w:spacing w:line="440" w:lineRule="exact"/>
        <w:jc w:val="both"/>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 xml:space="preserve">                                </w:t>
      </w:r>
      <w:r>
        <w:rPr>
          <w:rFonts w:hint="eastAsia" w:ascii="仿宋_GB2312" w:hAnsi="仿宋_GB2312" w:eastAsia="仿宋_GB2312" w:cs="仿宋_GB2312"/>
          <w:bCs/>
          <w:sz w:val="28"/>
          <w:szCs w:val="28"/>
        </w:rPr>
        <w:t>20</w:t>
      </w:r>
      <w:r>
        <w:rPr>
          <w:rFonts w:hint="eastAsia" w:ascii="仿宋_GB2312" w:hAnsi="仿宋_GB2312" w:eastAsia="仿宋_GB2312" w:cs="仿宋_GB2312"/>
          <w:bCs/>
          <w:sz w:val="28"/>
          <w:szCs w:val="28"/>
          <w:lang w:val="en-US" w:eastAsia="zh-CN"/>
        </w:rPr>
        <w:t>21</w:t>
      </w:r>
      <w:r>
        <w:rPr>
          <w:rFonts w:hint="eastAsia" w:ascii="仿宋_GB2312" w:hAnsi="仿宋_GB2312" w:eastAsia="仿宋_GB2312" w:cs="仿宋_GB2312"/>
          <w:bCs/>
          <w:sz w:val="28"/>
          <w:szCs w:val="28"/>
        </w:rPr>
        <w:t>年</w:t>
      </w:r>
      <w:r>
        <w:rPr>
          <w:rFonts w:hint="eastAsia" w:ascii="仿宋_GB2312" w:hAnsi="仿宋_GB2312" w:eastAsia="仿宋_GB2312" w:cs="仿宋_GB2312"/>
          <w:bCs/>
          <w:sz w:val="28"/>
          <w:szCs w:val="28"/>
          <w:u w:val="single"/>
        </w:rPr>
        <w:t>　</w:t>
      </w:r>
      <w:r>
        <w:rPr>
          <w:rFonts w:hint="eastAsia" w:ascii="仿宋_GB2312" w:hAnsi="仿宋_GB2312" w:eastAsia="仿宋_GB2312" w:cs="仿宋_GB2312"/>
          <w:bCs/>
          <w:sz w:val="28"/>
          <w:szCs w:val="28"/>
        </w:rPr>
        <w:t>月</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日</w:t>
      </w:r>
    </w:p>
    <w:p>
      <w:pPr>
        <w:spacing w:line="440" w:lineRule="exact"/>
        <w:ind w:firstLine="482"/>
        <w:rPr>
          <w:rFonts w:hint="eastAsia" w:ascii="仿宋_GB2312" w:hAnsi="仿宋_GB2312" w:eastAsia="仿宋_GB2312" w:cs="仿宋_GB2312"/>
          <w:b/>
          <w:sz w:val="28"/>
          <w:szCs w:val="28"/>
        </w:rPr>
      </w:pPr>
    </w:p>
    <w:p>
      <w:pPr>
        <w:spacing w:line="440" w:lineRule="exact"/>
        <w:ind w:firstLine="482"/>
        <w:jc w:val="center"/>
        <w:rPr>
          <w:b/>
          <w:color w:val="000000"/>
          <w:sz w:val="24"/>
          <w:szCs w:val="24"/>
        </w:rPr>
      </w:pPr>
    </w:p>
    <w:p>
      <w:pPr>
        <w:spacing w:line="440" w:lineRule="exact"/>
        <w:ind w:firstLine="562"/>
        <w:jc w:val="center"/>
        <w:rPr>
          <w:rFonts w:ascii="仿宋_GB2312" w:eastAsia="仿宋_GB2312"/>
          <w:b/>
          <w:color w:val="000000"/>
          <w:sz w:val="28"/>
          <w:szCs w:val="28"/>
        </w:rPr>
      </w:pPr>
    </w:p>
    <w:p>
      <w:pPr>
        <w:spacing w:line="440" w:lineRule="exact"/>
        <w:ind w:firstLine="602"/>
        <w:jc w:val="center"/>
        <w:rPr>
          <w:b/>
          <w:color w:val="000000"/>
          <w:sz w:val="30"/>
          <w:szCs w:val="30"/>
        </w:rPr>
      </w:pPr>
    </w:p>
    <w:p>
      <w:pPr>
        <w:spacing w:line="440" w:lineRule="exact"/>
        <w:ind w:firstLine="562"/>
        <w:jc w:val="center"/>
        <w:rPr>
          <w:rFonts w:hint="eastAsia"/>
          <w:b/>
          <w:color w:val="000000"/>
          <w:sz w:val="28"/>
          <w:szCs w:val="28"/>
        </w:rPr>
      </w:pPr>
    </w:p>
    <w:p>
      <w:pPr>
        <w:spacing w:line="440" w:lineRule="exact"/>
        <w:ind w:firstLine="562"/>
        <w:jc w:val="center"/>
        <w:rPr>
          <w:rFonts w:hint="eastAsia"/>
          <w:b/>
          <w:color w:val="000000"/>
          <w:sz w:val="28"/>
          <w:szCs w:val="28"/>
        </w:rPr>
      </w:pPr>
    </w:p>
    <w:p>
      <w:pPr>
        <w:spacing w:line="440" w:lineRule="exact"/>
        <w:ind w:firstLine="562"/>
        <w:jc w:val="center"/>
        <w:rPr>
          <w:rFonts w:hint="eastAsia"/>
          <w:b/>
          <w:color w:val="000000"/>
          <w:sz w:val="28"/>
          <w:szCs w:val="28"/>
        </w:rPr>
      </w:pPr>
    </w:p>
    <w:p>
      <w:pPr>
        <w:spacing w:line="440" w:lineRule="exact"/>
        <w:ind w:firstLine="562"/>
        <w:jc w:val="center"/>
        <w:rPr>
          <w:rFonts w:hint="eastAsia"/>
          <w:b/>
          <w:color w:val="000000"/>
          <w:sz w:val="28"/>
          <w:szCs w:val="28"/>
        </w:rPr>
      </w:pPr>
    </w:p>
    <w:p>
      <w:pPr>
        <w:spacing w:line="440" w:lineRule="exact"/>
        <w:ind w:firstLine="562"/>
        <w:jc w:val="center"/>
        <w:rPr>
          <w:rFonts w:hint="eastAsia"/>
          <w:b/>
          <w:color w:val="000000"/>
          <w:sz w:val="28"/>
          <w:szCs w:val="28"/>
        </w:rPr>
      </w:pPr>
    </w:p>
    <w:p>
      <w:pPr>
        <w:spacing w:line="440" w:lineRule="exact"/>
        <w:ind w:firstLine="562"/>
        <w:jc w:val="center"/>
        <w:rPr>
          <w:rFonts w:hint="eastAsia"/>
          <w:b/>
          <w:color w:val="000000"/>
          <w:sz w:val="28"/>
          <w:szCs w:val="28"/>
        </w:rPr>
      </w:pPr>
    </w:p>
    <w:p>
      <w:pPr>
        <w:spacing w:line="440" w:lineRule="exact"/>
        <w:ind w:firstLine="562"/>
        <w:jc w:val="center"/>
        <w:rPr>
          <w:b/>
          <w:sz w:val="28"/>
          <w:szCs w:val="28"/>
        </w:rPr>
      </w:pPr>
      <w:bookmarkStart w:id="150" w:name="_Toc9743_WPSOffice_Level2"/>
      <w:r>
        <w:rPr>
          <w:rFonts w:hint="eastAsia"/>
          <w:b/>
          <w:color w:val="000000"/>
          <w:sz w:val="28"/>
          <w:szCs w:val="28"/>
        </w:rPr>
        <w:t>2</w:t>
      </w:r>
      <w:r>
        <w:rPr>
          <w:rFonts w:hint="eastAsia"/>
          <w:b/>
          <w:color w:val="000000"/>
          <w:sz w:val="28"/>
          <w:szCs w:val="28"/>
          <w:lang w:val="en-US" w:eastAsia="zh-CN"/>
        </w:rPr>
        <w:t>.</w:t>
      </w:r>
      <w:r>
        <w:rPr>
          <w:rFonts w:hint="eastAsia"/>
          <w:b/>
          <w:color w:val="000000"/>
          <w:sz w:val="28"/>
          <w:szCs w:val="28"/>
        </w:rPr>
        <w:t>投标人基本情况表</w:t>
      </w:r>
      <w:bookmarkEnd w:id="150"/>
    </w:p>
    <w:p>
      <w:pPr>
        <w:ind w:firstLine="560"/>
        <w:rPr>
          <w:sz w:val="28"/>
          <w:szCs w:val="28"/>
        </w:rPr>
      </w:pPr>
    </w:p>
    <w:tbl>
      <w:tblPr>
        <w:tblW w:w="87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2"/>
        <w:gridCol w:w="1121"/>
        <w:gridCol w:w="611"/>
        <w:gridCol w:w="1731"/>
        <w:gridCol w:w="1733"/>
        <w:gridCol w:w="1827"/>
      </w:tblGrid>
      <w:tr>
        <w:trPr>
          <w:trHeight w:val="461" w:hRule="atLeast"/>
        </w:trPr>
        <w:tc>
          <w:tcPr>
            <w:tcW w:w="1732" w:type="dxa"/>
            <w:vAlign w:val="center"/>
          </w:tcPr>
          <w:p>
            <w:pPr>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名称</w:t>
            </w:r>
          </w:p>
        </w:tc>
        <w:tc>
          <w:tcPr>
            <w:tcW w:w="7023" w:type="dxa"/>
            <w:gridSpan w:val="5"/>
            <w:vAlign w:val="center"/>
          </w:tcPr>
          <w:p>
            <w:pPr>
              <w:ind w:firstLine="0" w:firstLineChars="0"/>
              <w:jc w:val="center"/>
              <w:rPr>
                <w:rFonts w:hint="eastAsia" w:ascii="仿宋_GB2312" w:hAnsi="仿宋_GB2312" w:eastAsia="仿宋_GB2312" w:cs="仿宋_GB2312"/>
                <w:sz w:val="28"/>
                <w:szCs w:val="28"/>
              </w:rPr>
            </w:pPr>
          </w:p>
        </w:tc>
      </w:tr>
      <w:tr>
        <w:trPr>
          <w:trHeight w:val="467" w:hRule="atLeast"/>
        </w:trPr>
        <w:tc>
          <w:tcPr>
            <w:tcW w:w="1732" w:type="dxa"/>
            <w:vAlign w:val="center"/>
          </w:tcPr>
          <w:p>
            <w:pPr>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注册地址</w:t>
            </w:r>
          </w:p>
        </w:tc>
        <w:tc>
          <w:tcPr>
            <w:tcW w:w="7023" w:type="dxa"/>
            <w:gridSpan w:val="5"/>
            <w:vAlign w:val="center"/>
          </w:tcPr>
          <w:p>
            <w:pPr>
              <w:ind w:firstLine="0" w:firstLineChars="0"/>
              <w:jc w:val="center"/>
              <w:rPr>
                <w:rFonts w:hint="eastAsia" w:ascii="仿宋_GB2312" w:hAnsi="仿宋_GB2312" w:eastAsia="仿宋_GB2312" w:cs="仿宋_GB2312"/>
                <w:sz w:val="28"/>
                <w:szCs w:val="28"/>
              </w:rPr>
            </w:pPr>
          </w:p>
        </w:tc>
      </w:tr>
      <w:tr>
        <w:trPr>
          <w:trHeight w:val="459" w:hRule="atLeast"/>
        </w:trPr>
        <w:tc>
          <w:tcPr>
            <w:tcW w:w="1732" w:type="dxa"/>
            <w:vAlign w:val="center"/>
          </w:tcPr>
          <w:p>
            <w:pPr>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办公地址</w:t>
            </w:r>
          </w:p>
        </w:tc>
        <w:tc>
          <w:tcPr>
            <w:tcW w:w="7023" w:type="dxa"/>
            <w:gridSpan w:val="5"/>
            <w:vAlign w:val="center"/>
          </w:tcPr>
          <w:p>
            <w:pPr>
              <w:ind w:firstLine="0" w:firstLineChars="0"/>
              <w:jc w:val="center"/>
              <w:rPr>
                <w:rFonts w:hint="eastAsia" w:ascii="仿宋_GB2312" w:hAnsi="仿宋_GB2312" w:eastAsia="仿宋_GB2312" w:cs="仿宋_GB2312"/>
                <w:sz w:val="28"/>
                <w:szCs w:val="28"/>
              </w:rPr>
            </w:pPr>
          </w:p>
        </w:tc>
      </w:tr>
      <w:tr>
        <w:trPr>
          <w:trHeight w:val="465" w:hRule="atLeast"/>
        </w:trPr>
        <w:tc>
          <w:tcPr>
            <w:tcW w:w="1732" w:type="dxa"/>
            <w:vAlign w:val="center"/>
          </w:tcPr>
          <w:p>
            <w:pPr>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w:t>
            </w:r>
          </w:p>
        </w:tc>
        <w:tc>
          <w:tcPr>
            <w:tcW w:w="1732" w:type="dxa"/>
            <w:gridSpan w:val="2"/>
            <w:vAlign w:val="center"/>
          </w:tcPr>
          <w:p>
            <w:pPr>
              <w:ind w:firstLine="0" w:firstLineChars="0"/>
              <w:jc w:val="center"/>
              <w:rPr>
                <w:rFonts w:hint="eastAsia" w:ascii="仿宋_GB2312" w:hAnsi="仿宋_GB2312" w:eastAsia="仿宋_GB2312" w:cs="仿宋_GB2312"/>
                <w:sz w:val="28"/>
                <w:szCs w:val="28"/>
              </w:rPr>
            </w:pPr>
          </w:p>
        </w:tc>
        <w:tc>
          <w:tcPr>
            <w:tcW w:w="1731" w:type="dxa"/>
            <w:vAlign w:val="center"/>
          </w:tcPr>
          <w:p>
            <w:pPr>
              <w:ind w:firstLine="0" w:firstLineChars="0"/>
              <w:jc w:val="center"/>
              <w:rPr>
                <w:rFonts w:hint="eastAsia" w:ascii="仿宋_GB2312" w:hAnsi="仿宋_GB2312" w:eastAsia="仿宋_GB2312" w:cs="仿宋_GB2312"/>
                <w:sz w:val="28"/>
                <w:szCs w:val="28"/>
              </w:rPr>
            </w:pPr>
          </w:p>
        </w:tc>
        <w:tc>
          <w:tcPr>
            <w:tcW w:w="1733" w:type="dxa"/>
            <w:vAlign w:val="center"/>
          </w:tcPr>
          <w:p>
            <w:pPr>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联系人</w:t>
            </w:r>
          </w:p>
        </w:tc>
        <w:tc>
          <w:tcPr>
            <w:tcW w:w="1827" w:type="dxa"/>
            <w:vAlign w:val="center"/>
          </w:tcPr>
          <w:p>
            <w:pPr>
              <w:ind w:firstLine="0" w:firstLineChars="0"/>
              <w:jc w:val="center"/>
              <w:rPr>
                <w:rFonts w:hint="eastAsia" w:ascii="仿宋_GB2312" w:hAnsi="仿宋_GB2312" w:eastAsia="仿宋_GB2312" w:cs="仿宋_GB2312"/>
                <w:sz w:val="28"/>
                <w:szCs w:val="28"/>
              </w:rPr>
            </w:pPr>
          </w:p>
        </w:tc>
      </w:tr>
      <w:tr>
        <w:trPr>
          <w:trHeight w:val="470" w:hRule="atLeast"/>
        </w:trPr>
        <w:tc>
          <w:tcPr>
            <w:tcW w:w="1732" w:type="dxa"/>
            <w:vAlign w:val="center"/>
          </w:tcPr>
          <w:p>
            <w:pPr>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电话</w:t>
            </w:r>
          </w:p>
        </w:tc>
        <w:tc>
          <w:tcPr>
            <w:tcW w:w="1732" w:type="dxa"/>
            <w:gridSpan w:val="2"/>
            <w:vAlign w:val="center"/>
          </w:tcPr>
          <w:p>
            <w:pPr>
              <w:ind w:firstLine="0" w:firstLineChars="0"/>
              <w:jc w:val="center"/>
              <w:rPr>
                <w:rFonts w:hint="eastAsia" w:ascii="仿宋_GB2312" w:hAnsi="仿宋_GB2312" w:eastAsia="仿宋_GB2312" w:cs="仿宋_GB2312"/>
                <w:sz w:val="28"/>
                <w:szCs w:val="28"/>
              </w:rPr>
            </w:pPr>
          </w:p>
        </w:tc>
        <w:tc>
          <w:tcPr>
            <w:tcW w:w="1731" w:type="dxa"/>
            <w:vAlign w:val="center"/>
          </w:tcPr>
          <w:p>
            <w:pPr>
              <w:ind w:firstLine="0" w:firstLineChars="0"/>
              <w:jc w:val="center"/>
              <w:rPr>
                <w:rFonts w:hint="eastAsia" w:ascii="仿宋_GB2312" w:hAnsi="仿宋_GB2312" w:eastAsia="仿宋_GB2312" w:cs="仿宋_GB2312"/>
                <w:sz w:val="28"/>
                <w:szCs w:val="28"/>
              </w:rPr>
            </w:pPr>
          </w:p>
        </w:tc>
        <w:tc>
          <w:tcPr>
            <w:tcW w:w="1733" w:type="dxa"/>
            <w:vAlign w:val="center"/>
          </w:tcPr>
          <w:p>
            <w:pPr>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传真</w:t>
            </w:r>
          </w:p>
        </w:tc>
        <w:tc>
          <w:tcPr>
            <w:tcW w:w="1827" w:type="dxa"/>
            <w:vAlign w:val="center"/>
          </w:tcPr>
          <w:p>
            <w:pPr>
              <w:ind w:firstLine="0" w:firstLineChars="0"/>
              <w:jc w:val="center"/>
              <w:rPr>
                <w:rFonts w:hint="eastAsia" w:ascii="仿宋_GB2312" w:hAnsi="仿宋_GB2312" w:eastAsia="仿宋_GB2312" w:cs="仿宋_GB2312"/>
                <w:sz w:val="28"/>
                <w:szCs w:val="28"/>
              </w:rPr>
            </w:pPr>
          </w:p>
        </w:tc>
      </w:tr>
      <w:tr>
        <w:trPr>
          <w:trHeight w:val="476" w:hRule="atLeast"/>
        </w:trPr>
        <w:tc>
          <w:tcPr>
            <w:tcW w:w="1732" w:type="dxa"/>
            <w:vAlign w:val="center"/>
          </w:tcPr>
          <w:p>
            <w:pPr>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邮政编码</w:t>
            </w:r>
          </w:p>
        </w:tc>
        <w:tc>
          <w:tcPr>
            <w:tcW w:w="1732" w:type="dxa"/>
            <w:gridSpan w:val="2"/>
            <w:vAlign w:val="center"/>
          </w:tcPr>
          <w:p>
            <w:pPr>
              <w:ind w:firstLine="0" w:firstLineChars="0"/>
              <w:jc w:val="center"/>
              <w:rPr>
                <w:rFonts w:hint="eastAsia" w:ascii="仿宋_GB2312" w:hAnsi="仿宋_GB2312" w:eastAsia="仿宋_GB2312" w:cs="仿宋_GB2312"/>
                <w:sz w:val="28"/>
                <w:szCs w:val="28"/>
              </w:rPr>
            </w:pPr>
          </w:p>
        </w:tc>
        <w:tc>
          <w:tcPr>
            <w:tcW w:w="1731" w:type="dxa"/>
            <w:vAlign w:val="center"/>
          </w:tcPr>
          <w:p>
            <w:pPr>
              <w:ind w:firstLine="0" w:firstLineChars="0"/>
              <w:jc w:val="center"/>
              <w:rPr>
                <w:rFonts w:hint="eastAsia" w:ascii="仿宋_GB2312" w:hAnsi="仿宋_GB2312" w:eastAsia="仿宋_GB2312" w:cs="仿宋_GB2312"/>
                <w:sz w:val="28"/>
                <w:szCs w:val="28"/>
              </w:rPr>
            </w:pPr>
          </w:p>
        </w:tc>
        <w:tc>
          <w:tcPr>
            <w:tcW w:w="1733" w:type="dxa"/>
            <w:vAlign w:val="center"/>
          </w:tcPr>
          <w:p>
            <w:pPr>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E-Mail</w:t>
            </w:r>
          </w:p>
        </w:tc>
        <w:tc>
          <w:tcPr>
            <w:tcW w:w="1827" w:type="dxa"/>
            <w:vAlign w:val="center"/>
          </w:tcPr>
          <w:p>
            <w:pPr>
              <w:ind w:firstLine="0" w:firstLineChars="0"/>
              <w:jc w:val="center"/>
              <w:rPr>
                <w:rFonts w:hint="eastAsia" w:ascii="仿宋_GB2312" w:hAnsi="仿宋_GB2312" w:eastAsia="仿宋_GB2312" w:cs="仿宋_GB2312"/>
                <w:sz w:val="28"/>
                <w:szCs w:val="28"/>
              </w:rPr>
            </w:pPr>
          </w:p>
        </w:tc>
      </w:tr>
      <w:tr>
        <w:trPr>
          <w:trHeight w:val="640" w:hRule="atLeast"/>
        </w:trPr>
        <w:tc>
          <w:tcPr>
            <w:tcW w:w="2853" w:type="dxa"/>
            <w:gridSpan w:val="2"/>
            <w:vAlign w:val="center"/>
          </w:tcPr>
          <w:p>
            <w:pPr>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社会统一信用代码</w:t>
            </w:r>
          </w:p>
        </w:tc>
        <w:tc>
          <w:tcPr>
            <w:tcW w:w="5902" w:type="dxa"/>
            <w:gridSpan w:val="4"/>
            <w:vAlign w:val="center"/>
          </w:tcPr>
          <w:p>
            <w:pPr>
              <w:ind w:firstLine="0" w:firstLineChars="0"/>
              <w:jc w:val="center"/>
              <w:rPr>
                <w:rFonts w:hint="eastAsia" w:ascii="仿宋_GB2312" w:hAnsi="仿宋_GB2312" w:eastAsia="仿宋_GB2312" w:cs="仿宋_GB2312"/>
                <w:sz w:val="28"/>
                <w:szCs w:val="28"/>
              </w:rPr>
            </w:pPr>
          </w:p>
        </w:tc>
      </w:tr>
      <w:tr>
        <w:trPr>
          <w:trHeight w:val="640" w:hRule="atLeast"/>
        </w:trPr>
        <w:tc>
          <w:tcPr>
            <w:tcW w:w="2853" w:type="dxa"/>
            <w:gridSpan w:val="2"/>
            <w:vAlign w:val="center"/>
          </w:tcPr>
          <w:p>
            <w:pPr>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资质等级</w:t>
            </w:r>
          </w:p>
        </w:tc>
        <w:tc>
          <w:tcPr>
            <w:tcW w:w="5902" w:type="dxa"/>
            <w:gridSpan w:val="4"/>
            <w:vAlign w:val="center"/>
          </w:tcPr>
          <w:p>
            <w:pPr>
              <w:ind w:firstLine="0" w:firstLineChars="0"/>
              <w:jc w:val="center"/>
              <w:rPr>
                <w:rFonts w:hint="eastAsia" w:ascii="仿宋_GB2312" w:hAnsi="仿宋_GB2312" w:eastAsia="仿宋_GB2312" w:cs="仿宋_GB2312"/>
                <w:sz w:val="28"/>
                <w:szCs w:val="28"/>
              </w:rPr>
            </w:pPr>
          </w:p>
        </w:tc>
      </w:tr>
      <w:tr>
        <w:trPr>
          <w:trHeight w:val="1561" w:hRule="atLeast"/>
        </w:trPr>
        <w:tc>
          <w:tcPr>
            <w:tcW w:w="1732" w:type="dxa"/>
            <w:vAlign w:val="center"/>
          </w:tcPr>
          <w:p>
            <w:pPr>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注册资金</w:t>
            </w:r>
          </w:p>
          <w:p>
            <w:pPr>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（开办费）</w:t>
            </w:r>
          </w:p>
          <w:p>
            <w:pPr>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万元</w:t>
            </w:r>
          </w:p>
        </w:tc>
        <w:tc>
          <w:tcPr>
            <w:tcW w:w="3463" w:type="dxa"/>
            <w:gridSpan w:val="3"/>
            <w:vAlign w:val="center"/>
          </w:tcPr>
          <w:p>
            <w:pPr>
              <w:ind w:firstLine="0" w:firstLineChars="0"/>
              <w:jc w:val="center"/>
              <w:rPr>
                <w:rFonts w:hint="eastAsia" w:ascii="仿宋_GB2312" w:hAnsi="仿宋_GB2312" w:eastAsia="仿宋_GB2312" w:cs="仿宋_GB2312"/>
                <w:sz w:val="28"/>
                <w:szCs w:val="28"/>
              </w:rPr>
            </w:pPr>
          </w:p>
        </w:tc>
        <w:tc>
          <w:tcPr>
            <w:tcW w:w="1733" w:type="dxa"/>
            <w:vAlign w:val="center"/>
          </w:tcPr>
          <w:p>
            <w:pPr>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专业人员数量</w:t>
            </w:r>
          </w:p>
        </w:tc>
        <w:tc>
          <w:tcPr>
            <w:tcW w:w="1827" w:type="dxa"/>
            <w:vAlign w:val="center"/>
          </w:tcPr>
          <w:p>
            <w:pPr>
              <w:ind w:firstLine="0" w:firstLineChars="0"/>
              <w:jc w:val="center"/>
              <w:rPr>
                <w:rFonts w:hint="eastAsia" w:ascii="仿宋_GB2312" w:hAnsi="仿宋_GB2312" w:eastAsia="仿宋_GB2312" w:cs="仿宋_GB2312"/>
                <w:sz w:val="28"/>
                <w:szCs w:val="28"/>
              </w:rPr>
            </w:pPr>
          </w:p>
        </w:tc>
      </w:tr>
      <w:tr>
        <w:trPr>
          <w:trHeight w:val="1023" w:hRule="atLeast"/>
        </w:trPr>
        <w:tc>
          <w:tcPr>
            <w:tcW w:w="1732" w:type="dxa"/>
            <w:vAlign w:val="center"/>
          </w:tcPr>
          <w:p>
            <w:pPr>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业务范围      （编号）</w:t>
            </w:r>
          </w:p>
        </w:tc>
        <w:tc>
          <w:tcPr>
            <w:tcW w:w="7023" w:type="dxa"/>
            <w:gridSpan w:val="5"/>
            <w:vAlign w:val="center"/>
          </w:tcPr>
          <w:p>
            <w:pPr>
              <w:ind w:firstLine="0" w:firstLineChars="0"/>
              <w:rPr>
                <w:rFonts w:hint="eastAsia" w:ascii="仿宋_GB2312" w:hAnsi="仿宋_GB2312" w:eastAsia="仿宋_GB2312" w:cs="仿宋_GB2312"/>
                <w:sz w:val="28"/>
                <w:szCs w:val="28"/>
              </w:rPr>
            </w:pPr>
          </w:p>
        </w:tc>
      </w:tr>
      <w:tr>
        <w:trPr>
          <w:trHeight w:val="1386" w:hRule="atLeast"/>
        </w:trPr>
        <w:tc>
          <w:tcPr>
            <w:tcW w:w="8755" w:type="dxa"/>
            <w:gridSpan w:val="6"/>
            <w:vAlign w:val="top"/>
          </w:tcPr>
          <w:p>
            <w:pPr>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机构简况：</w:t>
            </w:r>
          </w:p>
        </w:tc>
      </w:tr>
    </w:tbl>
    <w:p>
      <w:pPr>
        <w:ind w:left="0" w:leftChars="0"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注：在本表后应附</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① 投标单位企业法人营业执照或具有同等法律效力的许可经营证明文件的复印件(并加盖单位章)、相关资质证书（如有）、许可证书（如有）及本</w:t>
      </w:r>
      <w:r>
        <w:rPr>
          <w:rFonts w:hint="eastAsia" w:ascii="仿宋_GB2312" w:hAnsi="仿宋_GB2312" w:eastAsia="仿宋_GB2312" w:cs="仿宋_GB2312"/>
          <w:sz w:val="28"/>
          <w:szCs w:val="28"/>
          <w:lang w:eastAsia="zh-CN"/>
        </w:rPr>
        <w:t>公开招标</w:t>
      </w:r>
      <w:r>
        <w:rPr>
          <w:rFonts w:hint="eastAsia" w:ascii="仿宋_GB2312" w:hAnsi="仿宋_GB2312" w:eastAsia="仿宋_GB2312" w:cs="仿宋_GB2312"/>
          <w:sz w:val="28"/>
          <w:szCs w:val="28"/>
        </w:rPr>
        <w:t>文件中相关资格要求的内容等资料的复印件。</w:t>
      </w:r>
    </w:p>
    <w:p>
      <w:pPr>
        <w:ind w:firstLine="6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② 附其他相关证明材料复印件（如：办公用房产权或者使用权证明复印件）（如有需要）</w:t>
      </w:r>
    </w:p>
    <w:p>
      <w:pPr>
        <w:pStyle w:val="30"/>
        <w:ind w:firstLine="562"/>
        <w:jc w:val="center"/>
        <w:rPr>
          <w:rFonts w:hint="eastAsia" w:ascii="仿宋_GB2312" w:hAnsi="仿宋_GB2312" w:eastAsia="仿宋_GB2312" w:cs="仿宋_GB2312"/>
          <w:b/>
          <w:sz w:val="28"/>
          <w:szCs w:val="28"/>
        </w:rPr>
      </w:pPr>
    </w:p>
    <w:p>
      <w:pPr>
        <w:pStyle w:val="30"/>
        <w:ind w:firstLine="562"/>
        <w:jc w:val="center"/>
        <w:rPr>
          <w:rFonts w:hAnsi="宋体"/>
          <w:b/>
          <w:sz w:val="28"/>
          <w:szCs w:val="28"/>
        </w:rPr>
      </w:pPr>
      <w:bookmarkStart w:id="151" w:name="_Toc24707_WPSOffice_Level2"/>
      <w:r>
        <w:rPr>
          <w:rFonts w:hint="eastAsia" w:hAnsi="宋体"/>
          <w:b/>
          <w:sz w:val="28"/>
          <w:szCs w:val="28"/>
        </w:rPr>
        <w:t>3</w:t>
      </w:r>
      <w:r>
        <w:rPr>
          <w:rFonts w:hint="eastAsia" w:hAnsi="宋体"/>
          <w:b/>
          <w:sz w:val="28"/>
          <w:szCs w:val="28"/>
          <w:lang w:val="en-US" w:eastAsia="zh-CN"/>
        </w:rPr>
        <w:t>.</w:t>
      </w:r>
      <w:r>
        <w:rPr>
          <w:rFonts w:hint="eastAsia" w:hAnsi="宋体"/>
          <w:b/>
          <w:sz w:val="28"/>
          <w:szCs w:val="28"/>
        </w:rPr>
        <w:t>信用查询记录</w:t>
      </w:r>
      <w:bookmarkEnd w:id="151"/>
    </w:p>
    <w:p>
      <w:pPr>
        <w:pStyle w:val="30"/>
        <w:ind w:firstLine="643"/>
        <w:jc w:val="center"/>
        <w:rPr>
          <w:rFonts w:hAnsi="宋体"/>
          <w:b/>
          <w:sz w:val="32"/>
        </w:rPr>
      </w:pPr>
    </w:p>
    <w:p>
      <w:pPr>
        <w:widowControl w:val="0"/>
        <w:wordWrap/>
        <w:spacing w:beforeLines="20" w:line="44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rPr>
        <w:t>查询</w:t>
      </w:r>
      <w:r>
        <w:rPr>
          <w:rFonts w:hint="eastAsia" w:ascii="仿宋_GB2312" w:hAnsi="仿宋_GB2312" w:eastAsia="仿宋_GB2312" w:cs="仿宋_GB2312"/>
          <w:b/>
          <w:bCs/>
          <w:kern w:val="0"/>
          <w:sz w:val="28"/>
          <w:szCs w:val="28"/>
          <w:lang w:eastAsia="en-US"/>
        </w:rPr>
        <w:t>渠道</w:t>
      </w:r>
      <w:r>
        <w:rPr>
          <w:rFonts w:hint="eastAsia" w:ascii="仿宋_GB2312" w:hAnsi="仿宋_GB2312" w:eastAsia="仿宋_GB2312" w:cs="仿宋_GB2312"/>
          <w:b/>
          <w:bCs/>
          <w:sz w:val="28"/>
          <w:szCs w:val="28"/>
        </w:rPr>
        <w:t>为：</w:t>
      </w:r>
      <w:r>
        <w:rPr>
          <w:rFonts w:hint="eastAsia" w:ascii="仿宋_GB2312" w:hAnsi="仿宋_GB2312" w:eastAsia="仿宋_GB2312" w:cs="仿宋_GB2312"/>
          <w:b w:val="0"/>
          <w:bCs w:val="0"/>
          <w:sz w:val="28"/>
          <w:szCs w:val="28"/>
          <w:highlight w:val="none"/>
          <w:lang w:val="en-US" w:eastAsia="zh-CN"/>
        </w:rPr>
        <w:t xml:space="preserve">在“信用中国”网站（ </w:t>
      </w:r>
      <w:r>
        <w:rPr>
          <w:rFonts w:hint="eastAsia" w:ascii="仿宋_GB2312" w:hAnsi="仿宋_GB2312" w:eastAsia="仿宋_GB2312" w:cs="仿宋_GB2312"/>
          <w:sz w:val="28"/>
          <w:szCs w:val="28"/>
          <w:lang w:val="en-US" w:eastAsia="zh-CN"/>
        </w:rPr>
        <w:fldChar w:fldCharType="begin"/>
      </w:r>
      <w:r>
        <w:rPr>
          <w:rFonts w:hint="eastAsia" w:ascii="仿宋_GB2312" w:hAnsi="仿宋_GB2312" w:eastAsia="仿宋_GB2312" w:cs="仿宋_GB2312"/>
          <w:sz w:val="28"/>
          <w:szCs w:val="28"/>
          <w:lang w:val="en-US" w:eastAsia="zh-CN"/>
        </w:rPr>
        <w:instrText xml:space="preserve"> HYPERLINK "http://www.creditchina.gov.cn）、中国政府采购网（www.ccgp.gov.cn）被列入失信被执行人、重大税收违法案件当事人名单、政府采购严重违法失信行为记录名单的（尚在处罚期内的），将拒绝其参加本次政府采购活动，投标人自行打印并盖单位公章。" </w:instrText>
      </w:r>
      <w:r>
        <w:rPr>
          <w:rFonts w:hint="eastAsia" w:ascii="仿宋_GB2312" w:hAnsi="仿宋_GB2312" w:eastAsia="仿宋_GB2312" w:cs="仿宋_GB2312"/>
          <w:sz w:val="28"/>
          <w:szCs w:val="28"/>
          <w:lang w:val="en-US" w:eastAsia="zh-CN"/>
        </w:rPr>
        <w:fldChar w:fldCharType="separate"/>
      </w:r>
      <w:r>
        <w:rPr>
          <w:rFonts w:hint="eastAsia" w:ascii="仿宋_GB2312" w:hAnsi="仿宋_GB2312" w:eastAsia="仿宋_GB2312" w:cs="仿宋_GB2312"/>
          <w:sz w:val="28"/>
          <w:szCs w:val="28"/>
          <w:lang w:val="en-US" w:eastAsia="zh-CN"/>
        </w:rPr>
        <w:t>www.creditchina.gov.cn）被列入失信被执行人、重大税收违法案件当事人名单、中国政府采购网（www.ccgp.gov.cn）政府采购严重违法失信行为记录名单的（尚在处罚期内的），将拒绝其参加本次政府采购活动，投标人自行打印并盖单位公章。</w:t>
      </w:r>
      <w:r>
        <w:rPr>
          <w:rFonts w:hint="eastAsia" w:ascii="仿宋_GB2312" w:hAnsi="仿宋_GB2312" w:eastAsia="仿宋_GB2312" w:cs="仿宋_GB2312"/>
          <w:sz w:val="28"/>
          <w:szCs w:val="28"/>
          <w:lang w:val="en-US" w:eastAsia="zh-CN"/>
        </w:rPr>
        <w:fldChar w:fldCharType="end"/>
      </w:r>
    </w:p>
    <w:p>
      <w:pPr>
        <w:spacing w:line="440" w:lineRule="exact"/>
        <w:ind w:firstLine="482"/>
        <w:rPr>
          <w:rFonts w:hint="eastAsia" w:ascii="仿宋_GB2312" w:hAnsi="仿宋_GB2312" w:eastAsia="仿宋_GB2312" w:cs="仿宋_GB2312"/>
          <w:sz w:val="28"/>
          <w:szCs w:val="28"/>
        </w:rPr>
      </w:pPr>
      <w:r>
        <w:rPr>
          <w:rFonts w:hint="eastAsia" w:ascii="仿宋_GB2312" w:hAnsi="仿宋_GB2312" w:eastAsia="仿宋_GB2312" w:cs="仿宋_GB2312"/>
          <w:b/>
          <w:bCs/>
          <w:color w:val="auto"/>
          <w:sz w:val="28"/>
          <w:szCs w:val="28"/>
          <w:lang w:val="en-US" w:eastAsia="zh-CN"/>
        </w:rPr>
        <w:t>注：上述资格审查材料，是响应文件的组成部分，投标人须在响应文件中提供，若响应文件中未按规定提供，投标人有可能承担评审时资格审查被否决。</w:t>
      </w:r>
    </w:p>
    <w:p>
      <w:pPr>
        <w:spacing w:line="44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附网页查询后的截图证明。</w:t>
      </w:r>
    </w:p>
    <w:p>
      <w:pPr>
        <w:ind w:firstLine="640"/>
        <w:rPr>
          <w:rFonts w:hint="eastAsia" w:ascii="仿宋_GB2312" w:hAnsi="仿宋_GB2312" w:eastAsia="仿宋_GB2312" w:cs="仿宋_GB2312"/>
          <w:sz w:val="28"/>
          <w:szCs w:val="28"/>
        </w:rPr>
      </w:pPr>
    </w:p>
    <w:p>
      <w:pPr>
        <w:tabs>
          <w:tab w:val="left" w:pos="6663"/>
        </w:tabs>
        <w:ind w:firstLine="562"/>
        <w:jc w:val="both"/>
        <w:rPr>
          <w:rFonts w:hint="eastAsia"/>
          <w:b/>
          <w:sz w:val="28"/>
          <w:szCs w:val="28"/>
        </w:rPr>
      </w:pPr>
    </w:p>
    <w:p>
      <w:pPr>
        <w:tabs>
          <w:tab w:val="left" w:pos="6663"/>
        </w:tabs>
        <w:ind w:firstLine="562"/>
        <w:jc w:val="both"/>
        <w:rPr>
          <w:rFonts w:hint="eastAsia"/>
          <w:b/>
          <w:sz w:val="28"/>
          <w:szCs w:val="28"/>
        </w:rPr>
      </w:pPr>
    </w:p>
    <w:p>
      <w:pPr>
        <w:tabs>
          <w:tab w:val="left" w:pos="6663"/>
        </w:tabs>
        <w:ind w:firstLine="562"/>
        <w:jc w:val="both"/>
        <w:rPr>
          <w:rFonts w:hint="eastAsia"/>
          <w:b/>
          <w:sz w:val="28"/>
          <w:szCs w:val="28"/>
        </w:rPr>
      </w:pPr>
    </w:p>
    <w:p>
      <w:pPr>
        <w:tabs>
          <w:tab w:val="left" w:pos="6663"/>
        </w:tabs>
        <w:ind w:firstLine="562"/>
        <w:jc w:val="both"/>
        <w:rPr>
          <w:rFonts w:hint="eastAsia"/>
          <w:b/>
          <w:sz w:val="28"/>
          <w:szCs w:val="28"/>
        </w:rPr>
      </w:pPr>
    </w:p>
    <w:p>
      <w:pPr>
        <w:tabs>
          <w:tab w:val="left" w:pos="6663"/>
        </w:tabs>
        <w:ind w:firstLine="562"/>
        <w:jc w:val="both"/>
        <w:rPr>
          <w:rFonts w:hint="eastAsia"/>
          <w:b/>
          <w:sz w:val="28"/>
          <w:szCs w:val="28"/>
        </w:rPr>
      </w:pPr>
    </w:p>
    <w:p>
      <w:pPr>
        <w:tabs>
          <w:tab w:val="left" w:pos="6663"/>
        </w:tabs>
        <w:ind w:firstLine="562"/>
        <w:jc w:val="both"/>
        <w:rPr>
          <w:rFonts w:hint="eastAsia"/>
          <w:b/>
          <w:sz w:val="28"/>
          <w:szCs w:val="28"/>
        </w:rPr>
      </w:pPr>
    </w:p>
    <w:p>
      <w:pPr>
        <w:tabs>
          <w:tab w:val="left" w:pos="6663"/>
        </w:tabs>
        <w:ind w:firstLine="562"/>
        <w:jc w:val="both"/>
        <w:rPr>
          <w:rFonts w:hint="eastAsia"/>
          <w:b/>
          <w:sz w:val="28"/>
          <w:szCs w:val="28"/>
        </w:rPr>
      </w:pPr>
    </w:p>
    <w:p>
      <w:pPr>
        <w:tabs>
          <w:tab w:val="left" w:pos="6663"/>
        </w:tabs>
        <w:ind w:firstLine="562"/>
        <w:jc w:val="both"/>
        <w:rPr>
          <w:rFonts w:hint="eastAsia"/>
          <w:b/>
          <w:sz w:val="28"/>
          <w:szCs w:val="28"/>
        </w:rPr>
      </w:pPr>
    </w:p>
    <w:p>
      <w:pPr>
        <w:tabs>
          <w:tab w:val="left" w:pos="6663"/>
        </w:tabs>
        <w:ind w:firstLine="562"/>
        <w:jc w:val="both"/>
        <w:rPr>
          <w:rFonts w:hint="eastAsia"/>
          <w:b/>
          <w:sz w:val="28"/>
          <w:szCs w:val="28"/>
        </w:rPr>
      </w:pPr>
    </w:p>
    <w:p>
      <w:pPr>
        <w:tabs>
          <w:tab w:val="left" w:pos="6663"/>
        </w:tabs>
        <w:ind w:firstLine="562"/>
        <w:jc w:val="both"/>
        <w:rPr>
          <w:rFonts w:hint="eastAsia"/>
          <w:b/>
          <w:sz w:val="28"/>
          <w:szCs w:val="28"/>
        </w:rPr>
      </w:pPr>
    </w:p>
    <w:p>
      <w:pPr>
        <w:tabs>
          <w:tab w:val="left" w:pos="6663"/>
        </w:tabs>
        <w:ind w:firstLine="562"/>
        <w:jc w:val="both"/>
        <w:rPr>
          <w:rFonts w:hint="eastAsia"/>
          <w:b/>
          <w:sz w:val="28"/>
          <w:szCs w:val="28"/>
        </w:rPr>
      </w:pPr>
    </w:p>
    <w:p>
      <w:pPr>
        <w:tabs>
          <w:tab w:val="left" w:pos="6663"/>
        </w:tabs>
        <w:ind w:firstLine="562"/>
        <w:jc w:val="both"/>
        <w:rPr>
          <w:rFonts w:hint="eastAsia"/>
          <w:b/>
          <w:sz w:val="28"/>
          <w:szCs w:val="28"/>
        </w:rPr>
      </w:pPr>
    </w:p>
    <w:p>
      <w:pPr>
        <w:tabs>
          <w:tab w:val="left" w:pos="6663"/>
        </w:tabs>
        <w:ind w:firstLine="562"/>
        <w:jc w:val="both"/>
        <w:rPr>
          <w:rFonts w:hint="eastAsia"/>
          <w:b/>
          <w:sz w:val="28"/>
          <w:szCs w:val="28"/>
        </w:rPr>
      </w:pPr>
    </w:p>
    <w:p>
      <w:pPr>
        <w:tabs>
          <w:tab w:val="left" w:pos="6663"/>
        </w:tabs>
        <w:ind w:firstLine="562"/>
        <w:jc w:val="both"/>
        <w:rPr>
          <w:b/>
          <w:color w:val="000000"/>
          <w:sz w:val="30"/>
          <w:szCs w:val="30"/>
        </w:rPr>
      </w:pPr>
      <w:r>
        <w:rPr>
          <w:rFonts w:hint="eastAsia"/>
          <w:b/>
          <w:sz w:val="28"/>
          <w:szCs w:val="28"/>
          <w:lang w:val="en-US" w:eastAsia="zh-CN"/>
        </w:rPr>
        <w:t xml:space="preserve">         </w:t>
      </w:r>
      <w:bookmarkStart w:id="152" w:name="_Toc11635_WPSOffice_Level2"/>
      <w:r>
        <w:rPr>
          <w:rFonts w:hint="eastAsia"/>
          <w:b/>
          <w:sz w:val="28"/>
          <w:szCs w:val="28"/>
        </w:rPr>
        <w:t>4</w:t>
      </w:r>
      <w:r>
        <w:rPr>
          <w:rFonts w:hint="eastAsia"/>
          <w:b/>
          <w:sz w:val="28"/>
          <w:szCs w:val="28"/>
          <w:lang w:val="en-US" w:eastAsia="zh-CN"/>
        </w:rPr>
        <w:t>.</w:t>
      </w:r>
      <w:r>
        <w:rPr>
          <w:rFonts w:hint="eastAsia"/>
          <w:b/>
          <w:sz w:val="28"/>
          <w:szCs w:val="28"/>
        </w:rPr>
        <w:t>近三年内已完成的类似项目业绩</w:t>
      </w:r>
      <w:bookmarkEnd w:id="152"/>
    </w:p>
    <w:p>
      <w:pPr>
        <w:spacing w:line="440" w:lineRule="exact"/>
        <w:ind w:firstLine="1313" w:firstLineChars="545"/>
        <w:rPr>
          <w:b/>
          <w:color w:val="000000"/>
          <w:sz w:val="24"/>
          <w:szCs w:val="24"/>
        </w:rPr>
      </w:pPr>
    </w:p>
    <w:p>
      <w:pPr>
        <w:spacing w:line="440" w:lineRule="exact"/>
        <w:ind w:firstLine="140" w:firstLineChars="50"/>
        <w:rPr>
          <w:rFonts w:hint="eastAsia"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投标人名称（公章）：</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项目编号/包号：</w:t>
      </w:r>
      <w:r>
        <w:rPr>
          <w:rFonts w:hint="eastAsia" w:ascii="仿宋_GB2312" w:hAnsi="仿宋_GB2312" w:eastAsia="仿宋_GB2312" w:cs="仿宋_GB2312"/>
          <w:color w:val="000000"/>
          <w:sz w:val="28"/>
          <w:szCs w:val="28"/>
          <w:u w:val="single"/>
        </w:rPr>
        <w:t>　　　　　　　　　　　</w:t>
      </w:r>
    </w:p>
    <w:p>
      <w:pPr>
        <w:spacing w:line="440" w:lineRule="exact"/>
        <w:ind w:firstLine="1546" w:firstLineChars="550"/>
        <w:rPr>
          <w:rFonts w:hint="eastAsia" w:ascii="仿宋_GB2312" w:hAnsi="仿宋_GB2312" w:eastAsia="仿宋_GB2312" w:cs="仿宋_GB2312"/>
          <w:b/>
          <w:color w:val="000000"/>
          <w:sz w:val="28"/>
          <w:szCs w:val="28"/>
        </w:rPr>
      </w:pPr>
    </w:p>
    <w:tbl>
      <w:tblPr>
        <w:tblW w:w="9072"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1843"/>
        <w:gridCol w:w="1276"/>
        <w:gridCol w:w="1995"/>
        <w:gridCol w:w="1620"/>
        <w:gridCol w:w="1346"/>
      </w:tblGrid>
      <w:tr>
        <w:trPr>
          <w:trHeight w:val="500" w:hRule="atLeast"/>
        </w:trPr>
        <w:tc>
          <w:tcPr>
            <w:tcW w:w="992" w:type="dxa"/>
            <w:shd w:val="clear" w:color="auto" w:fill="E6E6E6"/>
            <w:vAlign w:val="top"/>
          </w:tcPr>
          <w:p>
            <w:pPr>
              <w:pStyle w:val="40"/>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1843" w:type="dxa"/>
            <w:shd w:val="clear" w:color="auto" w:fill="E6E6E6"/>
            <w:vAlign w:val="top"/>
          </w:tcPr>
          <w:p>
            <w:pPr>
              <w:pStyle w:val="40"/>
              <w:spacing w:line="440" w:lineRule="exact"/>
              <w:ind w:right="-163" w:rightChars="-51"/>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项目名称</w:t>
            </w:r>
          </w:p>
        </w:tc>
        <w:tc>
          <w:tcPr>
            <w:tcW w:w="1276" w:type="dxa"/>
            <w:shd w:val="clear" w:color="auto" w:fill="E6E6E6"/>
            <w:vAlign w:val="top"/>
          </w:tcPr>
          <w:p>
            <w:pPr>
              <w:pStyle w:val="40"/>
              <w:spacing w:line="440" w:lineRule="exact"/>
              <w:ind w:right="-163" w:rightChars="-51"/>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发包人</w:t>
            </w:r>
          </w:p>
        </w:tc>
        <w:tc>
          <w:tcPr>
            <w:tcW w:w="1995" w:type="dxa"/>
            <w:shd w:val="clear" w:color="auto" w:fill="E6E6E6"/>
            <w:vAlign w:val="top"/>
          </w:tcPr>
          <w:p>
            <w:pPr>
              <w:pStyle w:val="40"/>
              <w:spacing w:line="440" w:lineRule="exact"/>
              <w:ind w:firstLine="36" w:firstLineChars="1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主要内容</w:t>
            </w:r>
          </w:p>
        </w:tc>
        <w:tc>
          <w:tcPr>
            <w:tcW w:w="1620" w:type="dxa"/>
            <w:shd w:val="clear" w:color="auto" w:fill="E6E6E6"/>
            <w:vAlign w:val="top"/>
          </w:tcPr>
          <w:p>
            <w:pPr>
              <w:pStyle w:val="40"/>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完工时间</w:t>
            </w:r>
          </w:p>
        </w:tc>
        <w:tc>
          <w:tcPr>
            <w:tcW w:w="1346" w:type="dxa"/>
            <w:shd w:val="clear" w:color="auto" w:fill="E6E6E6"/>
            <w:vAlign w:val="top"/>
          </w:tcPr>
          <w:p>
            <w:pPr>
              <w:pStyle w:val="40"/>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备注</w:t>
            </w:r>
          </w:p>
        </w:tc>
      </w:tr>
      <w:tr>
        <w:trPr>
          <w:trHeight w:val="476" w:hRule="atLeast"/>
        </w:trPr>
        <w:tc>
          <w:tcPr>
            <w:tcW w:w="992" w:type="dxa"/>
            <w:vAlign w:val="top"/>
          </w:tcPr>
          <w:p>
            <w:pPr>
              <w:spacing w:line="440" w:lineRule="exact"/>
              <w:ind w:firstLine="480"/>
              <w:rPr>
                <w:rFonts w:hint="eastAsia" w:ascii="仿宋_GB2312" w:hAnsi="仿宋_GB2312" w:eastAsia="仿宋_GB2312" w:cs="仿宋_GB2312"/>
                <w:color w:val="000000"/>
                <w:sz w:val="28"/>
                <w:szCs w:val="28"/>
              </w:rPr>
            </w:pPr>
          </w:p>
        </w:tc>
        <w:tc>
          <w:tcPr>
            <w:tcW w:w="1843" w:type="dxa"/>
            <w:vAlign w:val="top"/>
          </w:tcPr>
          <w:p>
            <w:pPr>
              <w:spacing w:line="440" w:lineRule="exact"/>
              <w:ind w:firstLine="480"/>
              <w:rPr>
                <w:rFonts w:hint="eastAsia" w:ascii="仿宋_GB2312" w:hAnsi="仿宋_GB2312" w:eastAsia="仿宋_GB2312" w:cs="仿宋_GB2312"/>
                <w:color w:val="000000"/>
                <w:sz w:val="28"/>
                <w:szCs w:val="28"/>
              </w:rPr>
            </w:pPr>
          </w:p>
        </w:tc>
        <w:tc>
          <w:tcPr>
            <w:tcW w:w="1276" w:type="dxa"/>
            <w:vAlign w:val="top"/>
          </w:tcPr>
          <w:p>
            <w:pPr>
              <w:spacing w:line="440" w:lineRule="exact"/>
              <w:ind w:firstLine="480"/>
              <w:rPr>
                <w:rFonts w:hint="eastAsia" w:ascii="仿宋_GB2312" w:hAnsi="仿宋_GB2312" w:eastAsia="仿宋_GB2312" w:cs="仿宋_GB2312"/>
                <w:color w:val="000000"/>
                <w:sz w:val="28"/>
                <w:szCs w:val="28"/>
              </w:rPr>
            </w:pPr>
          </w:p>
        </w:tc>
        <w:tc>
          <w:tcPr>
            <w:tcW w:w="1995" w:type="dxa"/>
            <w:vAlign w:val="top"/>
          </w:tcPr>
          <w:p>
            <w:pPr>
              <w:spacing w:line="440" w:lineRule="exact"/>
              <w:ind w:firstLine="480"/>
              <w:rPr>
                <w:rFonts w:hint="eastAsia" w:ascii="仿宋_GB2312" w:hAnsi="仿宋_GB2312" w:eastAsia="仿宋_GB2312" w:cs="仿宋_GB2312"/>
                <w:color w:val="000000"/>
                <w:sz w:val="28"/>
                <w:szCs w:val="28"/>
              </w:rPr>
            </w:pPr>
          </w:p>
        </w:tc>
        <w:tc>
          <w:tcPr>
            <w:tcW w:w="1620" w:type="dxa"/>
            <w:vAlign w:val="top"/>
          </w:tcPr>
          <w:p>
            <w:pPr>
              <w:spacing w:line="440" w:lineRule="exact"/>
              <w:ind w:firstLine="480"/>
              <w:rPr>
                <w:rFonts w:hint="eastAsia" w:ascii="仿宋_GB2312" w:hAnsi="仿宋_GB2312" w:eastAsia="仿宋_GB2312" w:cs="仿宋_GB2312"/>
                <w:color w:val="000000"/>
                <w:sz w:val="28"/>
                <w:szCs w:val="28"/>
              </w:rPr>
            </w:pPr>
          </w:p>
        </w:tc>
        <w:tc>
          <w:tcPr>
            <w:tcW w:w="1346" w:type="dxa"/>
            <w:vAlign w:val="top"/>
          </w:tcPr>
          <w:p>
            <w:pPr>
              <w:spacing w:line="440" w:lineRule="exact"/>
              <w:ind w:firstLine="480"/>
              <w:rPr>
                <w:rFonts w:hint="eastAsia" w:ascii="仿宋_GB2312" w:hAnsi="仿宋_GB2312" w:eastAsia="仿宋_GB2312" w:cs="仿宋_GB2312"/>
                <w:color w:val="000000"/>
                <w:sz w:val="28"/>
                <w:szCs w:val="28"/>
              </w:rPr>
            </w:pPr>
          </w:p>
        </w:tc>
      </w:tr>
      <w:tr>
        <w:trPr>
          <w:trHeight w:val="476" w:hRule="atLeast"/>
        </w:trPr>
        <w:tc>
          <w:tcPr>
            <w:tcW w:w="992" w:type="dxa"/>
            <w:vAlign w:val="top"/>
          </w:tcPr>
          <w:p>
            <w:pPr>
              <w:spacing w:line="440" w:lineRule="exact"/>
              <w:ind w:firstLine="480"/>
              <w:rPr>
                <w:rFonts w:hint="eastAsia" w:ascii="仿宋_GB2312" w:hAnsi="仿宋_GB2312" w:eastAsia="仿宋_GB2312" w:cs="仿宋_GB2312"/>
                <w:color w:val="000000"/>
                <w:sz w:val="28"/>
                <w:szCs w:val="28"/>
              </w:rPr>
            </w:pPr>
          </w:p>
        </w:tc>
        <w:tc>
          <w:tcPr>
            <w:tcW w:w="1843" w:type="dxa"/>
            <w:vAlign w:val="top"/>
          </w:tcPr>
          <w:p>
            <w:pPr>
              <w:spacing w:line="440" w:lineRule="exact"/>
              <w:ind w:firstLine="480"/>
              <w:rPr>
                <w:rFonts w:hint="eastAsia" w:ascii="仿宋_GB2312" w:hAnsi="仿宋_GB2312" w:eastAsia="仿宋_GB2312" w:cs="仿宋_GB2312"/>
                <w:color w:val="000000"/>
                <w:sz w:val="28"/>
                <w:szCs w:val="28"/>
              </w:rPr>
            </w:pPr>
          </w:p>
        </w:tc>
        <w:tc>
          <w:tcPr>
            <w:tcW w:w="1276" w:type="dxa"/>
            <w:vAlign w:val="top"/>
          </w:tcPr>
          <w:p>
            <w:pPr>
              <w:spacing w:line="440" w:lineRule="exact"/>
              <w:ind w:firstLine="480"/>
              <w:rPr>
                <w:rFonts w:hint="eastAsia" w:ascii="仿宋_GB2312" w:hAnsi="仿宋_GB2312" w:eastAsia="仿宋_GB2312" w:cs="仿宋_GB2312"/>
                <w:color w:val="000000"/>
                <w:sz w:val="28"/>
                <w:szCs w:val="28"/>
              </w:rPr>
            </w:pPr>
          </w:p>
        </w:tc>
        <w:tc>
          <w:tcPr>
            <w:tcW w:w="1995" w:type="dxa"/>
            <w:vAlign w:val="top"/>
          </w:tcPr>
          <w:p>
            <w:pPr>
              <w:spacing w:line="440" w:lineRule="exact"/>
              <w:ind w:firstLine="480"/>
              <w:rPr>
                <w:rFonts w:hint="eastAsia" w:ascii="仿宋_GB2312" w:hAnsi="仿宋_GB2312" w:eastAsia="仿宋_GB2312" w:cs="仿宋_GB2312"/>
                <w:color w:val="000000"/>
                <w:sz w:val="28"/>
                <w:szCs w:val="28"/>
              </w:rPr>
            </w:pPr>
          </w:p>
        </w:tc>
        <w:tc>
          <w:tcPr>
            <w:tcW w:w="1620" w:type="dxa"/>
            <w:vAlign w:val="top"/>
          </w:tcPr>
          <w:p>
            <w:pPr>
              <w:spacing w:line="440" w:lineRule="exact"/>
              <w:ind w:firstLine="480"/>
              <w:rPr>
                <w:rFonts w:hint="eastAsia" w:ascii="仿宋_GB2312" w:hAnsi="仿宋_GB2312" w:eastAsia="仿宋_GB2312" w:cs="仿宋_GB2312"/>
                <w:color w:val="000000"/>
                <w:sz w:val="28"/>
                <w:szCs w:val="28"/>
              </w:rPr>
            </w:pPr>
          </w:p>
        </w:tc>
        <w:tc>
          <w:tcPr>
            <w:tcW w:w="1346" w:type="dxa"/>
            <w:vAlign w:val="top"/>
          </w:tcPr>
          <w:p>
            <w:pPr>
              <w:spacing w:line="440" w:lineRule="exact"/>
              <w:ind w:firstLine="480"/>
              <w:rPr>
                <w:rFonts w:hint="eastAsia" w:ascii="仿宋_GB2312" w:hAnsi="仿宋_GB2312" w:eastAsia="仿宋_GB2312" w:cs="仿宋_GB2312"/>
                <w:color w:val="000000"/>
                <w:sz w:val="28"/>
                <w:szCs w:val="28"/>
              </w:rPr>
            </w:pPr>
          </w:p>
        </w:tc>
      </w:tr>
      <w:tr>
        <w:trPr>
          <w:trHeight w:val="496" w:hRule="atLeast"/>
        </w:trPr>
        <w:tc>
          <w:tcPr>
            <w:tcW w:w="992" w:type="dxa"/>
            <w:vAlign w:val="top"/>
          </w:tcPr>
          <w:p>
            <w:pPr>
              <w:spacing w:line="440" w:lineRule="exact"/>
              <w:ind w:firstLine="480"/>
              <w:rPr>
                <w:rFonts w:hint="eastAsia" w:ascii="仿宋_GB2312" w:hAnsi="仿宋_GB2312" w:eastAsia="仿宋_GB2312" w:cs="仿宋_GB2312"/>
                <w:color w:val="000000"/>
                <w:sz w:val="28"/>
                <w:szCs w:val="28"/>
              </w:rPr>
            </w:pPr>
          </w:p>
        </w:tc>
        <w:tc>
          <w:tcPr>
            <w:tcW w:w="1843" w:type="dxa"/>
            <w:vAlign w:val="top"/>
          </w:tcPr>
          <w:p>
            <w:pPr>
              <w:spacing w:line="440" w:lineRule="exact"/>
              <w:ind w:firstLine="480"/>
              <w:rPr>
                <w:rFonts w:hint="eastAsia" w:ascii="仿宋_GB2312" w:hAnsi="仿宋_GB2312" w:eastAsia="仿宋_GB2312" w:cs="仿宋_GB2312"/>
                <w:color w:val="000000"/>
                <w:sz w:val="28"/>
                <w:szCs w:val="28"/>
              </w:rPr>
            </w:pPr>
          </w:p>
        </w:tc>
        <w:tc>
          <w:tcPr>
            <w:tcW w:w="1276" w:type="dxa"/>
            <w:vAlign w:val="top"/>
          </w:tcPr>
          <w:p>
            <w:pPr>
              <w:spacing w:line="440" w:lineRule="exact"/>
              <w:ind w:firstLine="480"/>
              <w:rPr>
                <w:rFonts w:hint="eastAsia" w:ascii="仿宋_GB2312" w:hAnsi="仿宋_GB2312" w:eastAsia="仿宋_GB2312" w:cs="仿宋_GB2312"/>
                <w:color w:val="000000"/>
                <w:sz w:val="28"/>
                <w:szCs w:val="28"/>
              </w:rPr>
            </w:pPr>
          </w:p>
        </w:tc>
        <w:tc>
          <w:tcPr>
            <w:tcW w:w="1995" w:type="dxa"/>
            <w:vAlign w:val="top"/>
          </w:tcPr>
          <w:p>
            <w:pPr>
              <w:spacing w:line="440" w:lineRule="exact"/>
              <w:ind w:firstLine="480"/>
              <w:rPr>
                <w:rFonts w:hint="eastAsia" w:ascii="仿宋_GB2312" w:hAnsi="仿宋_GB2312" w:eastAsia="仿宋_GB2312" w:cs="仿宋_GB2312"/>
                <w:color w:val="000000"/>
                <w:sz w:val="28"/>
                <w:szCs w:val="28"/>
              </w:rPr>
            </w:pPr>
          </w:p>
        </w:tc>
        <w:tc>
          <w:tcPr>
            <w:tcW w:w="1620" w:type="dxa"/>
            <w:vAlign w:val="top"/>
          </w:tcPr>
          <w:p>
            <w:pPr>
              <w:spacing w:line="440" w:lineRule="exact"/>
              <w:ind w:firstLine="480"/>
              <w:rPr>
                <w:rFonts w:hint="eastAsia" w:ascii="仿宋_GB2312" w:hAnsi="仿宋_GB2312" w:eastAsia="仿宋_GB2312" w:cs="仿宋_GB2312"/>
                <w:color w:val="000000"/>
                <w:sz w:val="28"/>
                <w:szCs w:val="28"/>
              </w:rPr>
            </w:pPr>
          </w:p>
        </w:tc>
        <w:tc>
          <w:tcPr>
            <w:tcW w:w="1346" w:type="dxa"/>
            <w:vAlign w:val="top"/>
          </w:tcPr>
          <w:p>
            <w:pPr>
              <w:spacing w:line="440" w:lineRule="exact"/>
              <w:ind w:firstLine="480"/>
              <w:rPr>
                <w:rFonts w:hint="eastAsia" w:ascii="仿宋_GB2312" w:hAnsi="仿宋_GB2312" w:eastAsia="仿宋_GB2312" w:cs="仿宋_GB2312"/>
                <w:color w:val="000000"/>
                <w:sz w:val="28"/>
                <w:szCs w:val="28"/>
              </w:rPr>
            </w:pPr>
          </w:p>
        </w:tc>
      </w:tr>
      <w:tr>
        <w:trPr>
          <w:trHeight w:val="496" w:hRule="atLeast"/>
        </w:trPr>
        <w:tc>
          <w:tcPr>
            <w:tcW w:w="992" w:type="dxa"/>
            <w:vAlign w:val="top"/>
          </w:tcPr>
          <w:p>
            <w:pPr>
              <w:spacing w:line="440" w:lineRule="exact"/>
              <w:ind w:firstLine="48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t>
            </w:r>
          </w:p>
        </w:tc>
        <w:tc>
          <w:tcPr>
            <w:tcW w:w="1843" w:type="dxa"/>
            <w:vAlign w:val="top"/>
          </w:tcPr>
          <w:p>
            <w:pPr>
              <w:spacing w:line="440" w:lineRule="exact"/>
              <w:ind w:firstLine="480"/>
              <w:rPr>
                <w:rFonts w:hint="eastAsia" w:ascii="仿宋_GB2312" w:hAnsi="仿宋_GB2312" w:eastAsia="仿宋_GB2312" w:cs="仿宋_GB2312"/>
                <w:color w:val="000000"/>
                <w:sz w:val="28"/>
                <w:szCs w:val="28"/>
              </w:rPr>
            </w:pPr>
          </w:p>
        </w:tc>
        <w:tc>
          <w:tcPr>
            <w:tcW w:w="1276" w:type="dxa"/>
            <w:vAlign w:val="top"/>
          </w:tcPr>
          <w:p>
            <w:pPr>
              <w:spacing w:line="440" w:lineRule="exact"/>
              <w:ind w:firstLine="48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t>
            </w:r>
          </w:p>
        </w:tc>
        <w:tc>
          <w:tcPr>
            <w:tcW w:w="1995" w:type="dxa"/>
            <w:vAlign w:val="top"/>
          </w:tcPr>
          <w:p>
            <w:pPr>
              <w:spacing w:line="440" w:lineRule="exact"/>
              <w:ind w:firstLine="48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t>
            </w:r>
          </w:p>
        </w:tc>
        <w:tc>
          <w:tcPr>
            <w:tcW w:w="1620" w:type="dxa"/>
            <w:vAlign w:val="top"/>
          </w:tcPr>
          <w:p>
            <w:pPr>
              <w:spacing w:line="440" w:lineRule="exact"/>
              <w:ind w:firstLine="48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t>
            </w:r>
          </w:p>
        </w:tc>
        <w:tc>
          <w:tcPr>
            <w:tcW w:w="1346" w:type="dxa"/>
            <w:vAlign w:val="top"/>
          </w:tcPr>
          <w:p>
            <w:pPr>
              <w:spacing w:line="440" w:lineRule="exact"/>
              <w:ind w:firstLine="480"/>
              <w:rPr>
                <w:rFonts w:hint="eastAsia" w:ascii="仿宋_GB2312" w:hAnsi="仿宋_GB2312" w:eastAsia="仿宋_GB2312" w:cs="仿宋_GB2312"/>
                <w:color w:val="000000"/>
                <w:sz w:val="28"/>
                <w:szCs w:val="28"/>
              </w:rPr>
            </w:pPr>
          </w:p>
        </w:tc>
      </w:tr>
    </w:tbl>
    <w:p>
      <w:pPr>
        <w:spacing w:line="440" w:lineRule="exact"/>
        <w:ind w:firstLine="480"/>
        <w:rPr>
          <w:rFonts w:hint="eastAsia" w:ascii="仿宋_GB2312" w:hAnsi="仿宋_GB2312" w:eastAsia="仿宋_GB2312" w:cs="仿宋_GB2312"/>
          <w:b/>
          <w:color w:val="000000"/>
          <w:sz w:val="28"/>
          <w:szCs w:val="28"/>
        </w:rPr>
      </w:pPr>
      <w:r>
        <w:rPr>
          <w:rFonts w:hint="eastAsia" w:ascii="仿宋_GB2312" w:hAnsi="仿宋_GB2312" w:eastAsia="仿宋_GB2312" w:cs="仿宋_GB2312"/>
          <w:color w:val="000000"/>
          <w:sz w:val="28"/>
          <w:szCs w:val="28"/>
        </w:rPr>
        <w:t>我单位承诺以上填报内容真实。如不真实，将按照有关规定接受处理。</w:t>
      </w:r>
    </w:p>
    <w:p>
      <w:pPr>
        <w:ind w:firstLine="6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注：1.按招标人要求的内容及范围提供相关类型的业绩。</w:t>
      </w:r>
    </w:p>
    <w:p>
      <w:pPr>
        <w:ind w:firstLine="64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2.本表后须附清晰可辨的、真实的合同协议书中标通知书等相关的证明材料。如未附证明材料或工作内容模糊不清的，其业绩将不予认定。有效业绩的认定详见投标人须知前附表。  </w:t>
      </w:r>
    </w:p>
    <w:p>
      <w:pPr>
        <w:ind w:firstLine="64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3.如近年来，投标人法人机构发生合法变更或重组或法人名称变更时，应提供相关部门的合法批件或其他相关证明材料来证明其所附业绩的继承性。</w:t>
      </w:r>
    </w:p>
    <w:p>
      <w:pPr>
        <w:ind w:firstLine="602"/>
        <w:jc w:val="center"/>
        <w:outlineLvl w:val="1"/>
        <w:rPr>
          <w:rFonts w:hint="eastAsia"/>
          <w:b/>
          <w:sz w:val="30"/>
          <w:szCs w:val="30"/>
        </w:rPr>
      </w:pPr>
    </w:p>
    <w:p>
      <w:pPr>
        <w:ind w:firstLine="602"/>
        <w:jc w:val="center"/>
        <w:outlineLvl w:val="1"/>
        <w:rPr>
          <w:rFonts w:hint="eastAsia"/>
          <w:b/>
          <w:sz w:val="30"/>
          <w:szCs w:val="30"/>
        </w:rPr>
      </w:pPr>
    </w:p>
    <w:p>
      <w:pPr>
        <w:ind w:firstLine="602"/>
        <w:jc w:val="center"/>
        <w:outlineLvl w:val="1"/>
        <w:rPr>
          <w:rFonts w:hint="eastAsia"/>
          <w:b/>
          <w:sz w:val="30"/>
          <w:szCs w:val="30"/>
        </w:rPr>
      </w:pPr>
    </w:p>
    <w:p>
      <w:pPr>
        <w:ind w:firstLine="602"/>
        <w:jc w:val="center"/>
        <w:outlineLvl w:val="1"/>
        <w:rPr>
          <w:rFonts w:hint="eastAsia"/>
          <w:b/>
          <w:sz w:val="30"/>
          <w:szCs w:val="30"/>
        </w:rPr>
      </w:pPr>
    </w:p>
    <w:p>
      <w:pPr>
        <w:ind w:firstLine="602"/>
        <w:jc w:val="center"/>
        <w:outlineLvl w:val="1"/>
        <w:rPr>
          <w:rFonts w:hint="eastAsia"/>
          <w:b/>
          <w:sz w:val="30"/>
          <w:szCs w:val="30"/>
        </w:rPr>
      </w:pPr>
    </w:p>
    <w:p>
      <w:pPr>
        <w:ind w:firstLine="602"/>
        <w:jc w:val="center"/>
        <w:outlineLvl w:val="1"/>
        <w:rPr>
          <w:rFonts w:hint="eastAsia"/>
          <w:b/>
          <w:sz w:val="30"/>
          <w:szCs w:val="30"/>
        </w:rPr>
      </w:pPr>
    </w:p>
    <w:p>
      <w:pPr>
        <w:ind w:firstLine="602"/>
        <w:jc w:val="center"/>
        <w:outlineLvl w:val="1"/>
        <w:rPr>
          <w:rFonts w:hint="eastAsia"/>
          <w:b/>
          <w:sz w:val="30"/>
          <w:szCs w:val="30"/>
        </w:rPr>
      </w:pPr>
    </w:p>
    <w:p>
      <w:pPr>
        <w:ind w:firstLine="602"/>
        <w:jc w:val="center"/>
        <w:outlineLvl w:val="1"/>
        <w:rPr>
          <w:rFonts w:hint="eastAsia"/>
          <w:b/>
          <w:sz w:val="30"/>
          <w:szCs w:val="30"/>
        </w:rPr>
      </w:pPr>
    </w:p>
    <w:p>
      <w:pPr>
        <w:ind w:firstLine="602"/>
        <w:jc w:val="center"/>
        <w:outlineLvl w:val="1"/>
        <w:rPr>
          <w:rFonts w:hint="eastAsia" w:ascii="宋体" w:hAnsi="宋体" w:eastAsia="宋体" w:cs="宋体"/>
          <w:b/>
          <w:sz w:val="32"/>
          <w:szCs w:val="32"/>
        </w:rPr>
      </w:pPr>
      <w:bookmarkStart w:id="153" w:name="_Toc7148_WPSOffice_Level1"/>
      <w:r>
        <w:rPr>
          <w:rFonts w:hint="eastAsia" w:ascii="宋体" w:hAnsi="宋体" w:eastAsia="宋体" w:cs="宋体"/>
          <w:b/>
          <w:sz w:val="32"/>
          <w:szCs w:val="32"/>
        </w:rPr>
        <w:t>（六）项目整体服务方案</w:t>
      </w:r>
      <w:bookmarkEnd w:id="153"/>
    </w:p>
    <w:p>
      <w:pPr>
        <w:spacing w:line="480" w:lineRule="atLeast"/>
        <w:ind w:firstLine="560"/>
        <w:rPr>
          <w:sz w:val="28"/>
          <w:szCs w:val="28"/>
        </w:rPr>
      </w:pPr>
    </w:p>
    <w:p>
      <w:pPr>
        <w:ind w:firstLine="6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1.对招标项目的理解和总体思路；</w:t>
      </w:r>
    </w:p>
    <w:p>
      <w:pPr>
        <w:ind w:firstLine="6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2.服务方案；</w:t>
      </w:r>
    </w:p>
    <w:p>
      <w:pPr>
        <w:ind w:firstLine="6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3.工作量及计划安排；</w:t>
      </w:r>
    </w:p>
    <w:p>
      <w:pPr>
        <w:ind w:firstLine="6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4.质量保证措施、进度保证措施等；</w:t>
      </w:r>
    </w:p>
    <w:p>
      <w:pPr>
        <w:ind w:firstLine="6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5.针对本项目的特点，提供完善和可操作性的项目售后技术服务工作保障，承诺后续服务的安排及服务保证措施；</w:t>
      </w:r>
    </w:p>
    <w:p>
      <w:pPr>
        <w:ind w:firstLine="6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6.其他建议。</w:t>
      </w:r>
    </w:p>
    <w:p>
      <w:pPr>
        <w:spacing w:line="360" w:lineRule="auto"/>
        <w:ind w:firstLine="480"/>
        <w:jc w:val="center"/>
        <w:rPr>
          <w:rFonts w:hint="eastAsia" w:ascii="仿宋_GB2312" w:hAnsi="仿宋_GB2312" w:eastAsia="仿宋_GB2312" w:cs="仿宋_GB2312"/>
          <w:sz w:val="28"/>
          <w:szCs w:val="28"/>
        </w:rPr>
      </w:pPr>
    </w:p>
    <w:p>
      <w:pPr>
        <w:spacing w:line="440" w:lineRule="atLeast"/>
        <w:ind w:firstLine="480"/>
        <w:rPr>
          <w:sz w:val="24"/>
        </w:rPr>
      </w:pPr>
    </w:p>
    <w:p>
      <w:pPr>
        <w:spacing w:line="360" w:lineRule="auto"/>
        <w:ind w:firstLine="551" w:firstLineChars="196"/>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上述内容仅供参考，如有不足，请自行补充提供。</w:t>
      </w:r>
    </w:p>
    <w:p>
      <w:pPr>
        <w:ind w:firstLine="562"/>
        <w:jc w:val="center"/>
        <w:rPr>
          <w:rFonts w:hint="eastAsia" w:ascii="仿宋_GB2312" w:hAnsi="仿宋_GB2312" w:eastAsia="仿宋_GB2312" w:cs="仿宋_GB2312"/>
          <w:b/>
          <w:sz w:val="28"/>
          <w:szCs w:val="28"/>
        </w:rPr>
      </w:pPr>
    </w:p>
    <w:p>
      <w:pPr>
        <w:ind w:firstLine="562"/>
        <w:jc w:val="center"/>
        <w:rPr>
          <w:b/>
          <w:sz w:val="28"/>
          <w:szCs w:val="28"/>
        </w:rPr>
      </w:pPr>
    </w:p>
    <w:p>
      <w:pPr>
        <w:ind w:firstLine="562"/>
        <w:jc w:val="center"/>
        <w:rPr>
          <w:b/>
          <w:sz w:val="28"/>
          <w:szCs w:val="28"/>
        </w:rPr>
      </w:pPr>
    </w:p>
    <w:p>
      <w:pPr>
        <w:ind w:firstLine="562"/>
        <w:jc w:val="center"/>
        <w:rPr>
          <w:b/>
          <w:sz w:val="28"/>
          <w:szCs w:val="28"/>
        </w:rPr>
      </w:pPr>
    </w:p>
    <w:p>
      <w:pPr>
        <w:ind w:firstLine="562"/>
        <w:jc w:val="center"/>
        <w:rPr>
          <w:b/>
          <w:sz w:val="28"/>
          <w:szCs w:val="28"/>
        </w:rPr>
      </w:pPr>
    </w:p>
    <w:p>
      <w:pPr>
        <w:ind w:firstLine="562"/>
        <w:jc w:val="center"/>
        <w:rPr>
          <w:b/>
          <w:sz w:val="28"/>
          <w:szCs w:val="28"/>
        </w:rPr>
      </w:pPr>
    </w:p>
    <w:p>
      <w:pPr>
        <w:ind w:firstLine="562"/>
        <w:jc w:val="center"/>
        <w:rPr>
          <w:b/>
          <w:sz w:val="28"/>
          <w:szCs w:val="28"/>
        </w:rPr>
      </w:pPr>
    </w:p>
    <w:p>
      <w:pPr>
        <w:ind w:firstLine="562"/>
        <w:jc w:val="center"/>
        <w:rPr>
          <w:b/>
          <w:sz w:val="28"/>
          <w:szCs w:val="28"/>
        </w:rPr>
      </w:pPr>
    </w:p>
    <w:p>
      <w:pPr>
        <w:ind w:firstLine="602"/>
        <w:jc w:val="center"/>
        <w:outlineLvl w:val="1"/>
        <w:rPr>
          <w:rFonts w:hint="eastAsia"/>
          <w:b/>
          <w:color w:val="000000"/>
          <w:sz w:val="30"/>
        </w:rPr>
      </w:pPr>
    </w:p>
    <w:p>
      <w:pPr>
        <w:ind w:firstLine="602"/>
        <w:jc w:val="center"/>
        <w:outlineLvl w:val="1"/>
        <w:rPr>
          <w:rFonts w:hint="eastAsia"/>
          <w:b/>
          <w:color w:val="000000"/>
          <w:sz w:val="30"/>
        </w:rPr>
      </w:pPr>
    </w:p>
    <w:p>
      <w:pPr>
        <w:ind w:firstLine="602"/>
        <w:jc w:val="center"/>
        <w:outlineLvl w:val="1"/>
        <w:rPr>
          <w:rFonts w:hint="eastAsia"/>
          <w:b/>
          <w:color w:val="000000"/>
          <w:sz w:val="30"/>
        </w:rPr>
      </w:pPr>
    </w:p>
    <w:p>
      <w:pPr>
        <w:ind w:firstLine="602"/>
        <w:jc w:val="center"/>
        <w:outlineLvl w:val="1"/>
        <w:rPr>
          <w:rFonts w:hint="eastAsia"/>
          <w:b/>
          <w:color w:val="000000"/>
          <w:sz w:val="30"/>
        </w:rPr>
      </w:pPr>
    </w:p>
    <w:p>
      <w:pPr>
        <w:ind w:firstLine="602"/>
        <w:jc w:val="center"/>
        <w:outlineLvl w:val="1"/>
        <w:rPr>
          <w:rFonts w:hint="eastAsia" w:ascii="宋体" w:hAnsi="宋体" w:eastAsia="宋体" w:cs="宋体"/>
          <w:b/>
          <w:color w:val="000000"/>
          <w:sz w:val="32"/>
          <w:szCs w:val="32"/>
        </w:rPr>
      </w:pPr>
      <w:bookmarkStart w:id="154" w:name="_Toc12820_WPSOffice_Level1"/>
      <w:r>
        <w:rPr>
          <w:rFonts w:hint="eastAsia" w:ascii="宋体" w:hAnsi="宋体" w:eastAsia="宋体" w:cs="宋体"/>
          <w:b/>
          <w:color w:val="000000"/>
          <w:sz w:val="32"/>
          <w:szCs w:val="32"/>
        </w:rPr>
        <w:t>（七）项目负责人简历表及拟投入本项目主要成员表</w:t>
      </w:r>
      <w:bookmarkEnd w:id="154"/>
    </w:p>
    <w:p>
      <w:pPr>
        <w:spacing w:line="440" w:lineRule="exact"/>
        <w:ind w:firstLine="482"/>
        <w:rPr>
          <w:rFonts w:hint="eastAsia" w:ascii="仿宋_GB2312" w:hAnsi="仿宋_GB2312" w:eastAsia="仿宋_GB2312" w:cs="仿宋_GB2312"/>
          <w:b/>
          <w:color w:val="000000"/>
          <w:sz w:val="28"/>
          <w:szCs w:val="28"/>
        </w:rPr>
      </w:pPr>
      <w:bookmarkStart w:id="155" w:name="_Toc26259_WPSOffice_Level2"/>
      <w:r>
        <w:rPr>
          <w:rFonts w:hint="eastAsia" w:ascii="仿宋_GB2312" w:hAnsi="仿宋_GB2312" w:eastAsia="仿宋_GB2312" w:cs="仿宋_GB2312"/>
          <w:b/>
          <w:color w:val="000000"/>
          <w:sz w:val="28"/>
          <w:szCs w:val="28"/>
        </w:rPr>
        <w:t>1</w:t>
      </w:r>
      <w:r>
        <w:rPr>
          <w:rFonts w:hint="eastAsia" w:ascii="仿宋_GB2312" w:hAnsi="仿宋_GB2312" w:eastAsia="仿宋_GB2312" w:cs="仿宋_GB2312"/>
          <w:b/>
          <w:color w:val="000000"/>
          <w:sz w:val="28"/>
          <w:szCs w:val="28"/>
          <w:lang w:val="en-US" w:eastAsia="zh-CN"/>
        </w:rPr>
        <w:t>.</w:t>
      </w:r>
      <w:r>
        <w:rPr>
          <w:rFonts w:hint="eastAsia" w:ascii="仿宋_GB2312" w:hAnsi="仿宋_GB2312" w:eastAsia="仿宋_GB2312" w:cs="仿宋_GB2312"/>
          <w:b/>
          <w:color w:val="000000"/>
          <w:sz w:val="28"/>
          <w:szCs w:val="28"/>
        </w:rPr>
        <w:t>项目负责人简历表</w:t>
      </w:r>
      <w:bookmarkEnd w:id="155"/>
    </w:p>
    <w:tbl>
      <w:tblPr>
        <w:tblW w:w="904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28"/>
        <w:gridCol w:w="1969"/>
        <w:gridCol w:w="224"/>
        <w:gridCol w:w="959"/>
        <w:gridCol w:w="787"/>
        <w:gridCol w:w="1638"/>
        <w:gridCol w:w="2242"/>
      </w:tblGrid>
      <w:tr>
        <w:trPr>
          <w:trHeight w:val="438" w:hRule="atLeast"/>
          <w:jc w:val="center"/>
        </w:trPr>
        <w:tc>
          <w:tcPr>
            <w:tcW w:w="1228" w:type="dxa"/>
            <w:tcBorders>
              <w:top w:val="single" w:color="auto" w:sz="6" w:space="0"/>
              <w:left w:val="single" w:color="auto" w:sz="6" w:space="0"/>
              <w:bottom w:val="single" w:color="auto" w:sz="6" w:space="0"/>
              <w:right w:val="single" w:color="auto" w:sz="6" w:space="0"/>
            </w:tcBorders>
            <w:vAlign w:val="top"/>
          </w:tcPr>
          <w:p>
            <w:pPr>
              <w:spacing w:line="440" w:lineRule="exact"/>
              <w:ind w:firstLine="0" w:firstLineChars="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姓名</w:t>
            </w:r>
          </w:p>
        </w:tc>
        <w:tc>
          <w:tcPr>
            <w:tcW w:w="2193" w:type="dxa"/>
            <w:gridSpan w:val="2"/>
            <w:tcBorders>
              <w:top w:val="single" w:color="auto" w:sz="6" w:space="0"/>
              <w:left w:val="single" w:color="auto" w:sz="6" w:space="0"/>
              <w:bottom w:val="single" w:color="auto" w:sz="6" w:space="0"/>
              <w:right w:val="single" w:color="auto" w:sz="6" w:space="0"/>
            </w:tcBorders>
            <w:vAlign w:val="top"/>
          </w:tcPr>
          <w:p>
            <w:pPr>
              <w:spacing w:line="440" w:lineRule="exact"/>
              <w:ind w:firstLine="0" w:firstLineChars="0"/>
              <w:rPr>
                <w:rFonts w:hint="eastAsia" w:ascii="仿宋_GB2312" w:hAnsi="仿宋_GB2312" w:eastAsia="仿宋_GB2312" w:cs="仿宋_GB2312"/>
                <w:color w:val="000000"/>
                <w:sz w:val="28"/>
                <w:szCs w:val="28"/>
              </w:rPr>
            </w:pPr>
          </w:p>
        </w:tc>
        <w:tc>
          <w:tcPr>
            <w:tcW w:w="959" w:type="dxa"/>
            <w:tcBorders>
              <w:top w:val="single" w:color="auto" w:sz="6" w:space="0"/>
              <w:left w:val="single" w:color="auto" w:sz="6" w:space="0"/>
              <w:bottom w:val="single" w:color="auto" w:sz="6" w:space="0"/>
              <w:right w:val="single" w:color="auto" w:sz="6" w:space="0"/>
            </w:tcBorders>
            <w:vAlign w:val="top"/>
          </w:tcPr>
          <w:p>
            <w:pPr>
              <w:spacing w:line="440" w:lineRule="exact"/>
              <w:ind w:firstLine="0" w:firstLineChars="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年龄</w:t>
            </w:r>
          </w:p>
        </w:tc>
        <w:tc>
          <w:tcPr>
            <w:tcW w:w="787" w:type="dxa"/>
            <w:tcBorders>
              <w:top w:val="single" w:color="auto" w:sz="6" w:space="0"/>
              <w:left w:val="single" w:color="auto" w:sz="6" w:space="0"/>
              <w:bottom w:val="single" w:color="auto" w:sz="6" w:space="0"/>
              <w:right w:val="single" w:color="auto" w:sz="6" w:space="0"/>
            </w:tcBorders>
            <w:vAlign w:val="top"/>
          </w:tcPr>
          <w:p>
            <w:pPr>
              <w:spacing w:line="440" w:lineRule="exact"/>
              <w:ind w:firstLine="0" w:firstLineChars="0"/>
              <w:rPr>
                <w:rFonts w:hint="eastAsia" w:ascii="仿宋_GB2312" w:hAnsi="仿宋_GB2312" w:eastAsia="仿宋_GB2312" w:cs="仿宋_GB2312"/>
                <w:color w:val="000000"/>
                <w:sz w:val="28"/>
                <w:szCs w:val="28"/>
              </w:rPr>
            </w:pPr>
          </w:p>
        </w:tc>
        <w:tc>
          <w:tcPr>
            <w:tcW w:w="1638" w:type="dxa"/>
            <w:tcBorders>
              <w:top w:val="single" w:color="auto" w:sz="6" w:space="0"/>
              <w:left w:val="single" w:color="auto" w:sz="6" w:space="0"/>
              <w:bottom w:val="single" w:color="auto" w:sz="6" w:space="0"/>
              <w:right w:val="single" w:color="auto" w:sz="6" w:space="0"/>
            </w:tcBorders>
            <w:vAlign w:val="top"/>
          </w:tcPr>
          <w:p>
            <w:pPr>
              <w:spacing w:line="440" w:lineRule="exact"/>
              <w:ind w:firstLine="0" w:firstLineChars="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身份证号码</w:t>
            </w:r>
          </w:p>
        </w:tc>
        <w:tc>
          <w:tcPr>
            <w:tcW w:w="2242" w:type="dxa"/>
            <w:tcBorders>
              <w:top w:val="single" w:color="auto" w:sz="6" w:space="0"/>
              <w:left w:val="single" w:color="auto" w:sz="6" w:space="0"/>
              <w:bottom w:val="single" w:color="auto" w:sz="6" w:space="0"/>
              <w:right w:val="single" w:color="auto" w:sz="6" w:space="0"/>
            </w:tcBorders>
            <w:vAlign w:val="top"/>
          </w:tcPr>
          <w:p>
            <w:pPr>
              <w:spacing w:line="440" w:lineRule="exact"/>
              <w:ind w:firstLine="0" w:firstLineChars="0"/>
              <w:rPr>
                <w:rFonts w:hint="eastAsia" w:ascii="仿宋_GB2312" w:hAnsi="仿宋_GB2312" w:eastAsia="仿宋_GB2312" w:cs="仿宋_GB2312"/>
                <w:color w:val="000000"/>
                <w:sz w:val="28"/>
                <w:szCs w:val="28"/>
              </w:rPr>
            </w:pPr>
          </w:p>
        </w:tc>
      </w:tr>
      <w:tr>
        <w:trPr>
          <w:trHeight w:val="454" w:hRule="atLeast"/>
          <w:jc w:val="center"/>
        </w:trPr>
        <w:tc>
          <w:tcPr>
            <w:tcW w:w="1228" w:type="dxa"/>
            <w:tcBorders>
              <w:top w:val="single" w:color="auto" w:sz="6" w:space="0"/>
              <w:left w:val="single" w:color="auto" w:sz="6" w:space="0"/>
              <w:bottom w:val="single" w:color="auto" w:sz="6" w:space="0"/>
              <w:right w:val="single" w:color="auto" w:sz="6" w:space="0"/>
            </w:tcBorders>
            <w:vAlign w:val="top"/>
          </w:tcPr>
          <w:p>
            <w:pPr>
              <w:spacing w:line="440" w:lineRule="exact"/>
              <w:ind w:firstLine="0" w:firstLineChars="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毕业学校</w:t>
            </w:r>
          </w:p>
        </w:tc>
        <w:tc>
          <w:tcPr>
            <w:tcW w:w="3939" w:type="dxa"/>
            <w:gridSpan w:val="4"/>
            <w:tcBorders>
              <w:top w:val="single" w:color="auto" w:sz="6" w:space="0"/>
              <w:left w:val="single" w:color="auto" w:sz="6" w:space="0"/>
              <w:bottom w:val="single" w:color="auto" w:sz="6" w:space="0"/>
              <w:right w:val="single" w:color="auto" w:sz="6" w:space="0"/>
            </w:tcBorders>
            <w:vAlign w:val="top"/>
          </w:tcPr>
          <w:p>
            <w:pPr>
              <w:spacing w:line="440" w:lineRule="exact"/>
              <w:ind w:firstLine="0" w:firstLineChars="0"/>
              <w:rPr>
                <w:rFonts w:hint="eastAsia" w:ascii="仿宋_GB2312" w:hAnsi="仿宋_GB2312" w:eastAsia="仿宋_GB2312" w:cs="仿宋_GB2312"/>
                <w:color w:val="000000"/>
                <w:sz w:val="28"/>
                <w:szCs w:val="28"/>
              </w:rPr>
            </w:pPr>
          </w:p>
        </w:tc>
        <w:tc>
          <w:tcPr>
            <w:tcW w:w="1638" w:type="dxa"/>
            <w:tcBorders>
              <w:top w:val="single" w:color="auto" w:sz="6" w:space="0"/>
              <w:left w:val="single" w:color="auto" w:sz="6" w:space="0"/>
              <w:bottom w:val="single" w:color="auto" w:sz="6" w:space="0"/>
              <w:right w:val="single" w:color="auto" w:sz="6" w:space="0"/>
            </w:tcBorders>
            <w:vAlign w:val="top"/>
          </w:tcPr>
          <w:p>
            <w:pPr>
              <w:spacing w:line="440" w:lineRule="exact"/>
              <w:ind w:firstLine="0" w:firstLineChars="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专     业</w:t>
            </w:r>
          </w:p>
        </w:tc>
        <w:tc>
          <w:tcPr>
            <w:tcW w:w="2242" w:type="dxa"/>
            <w:tcBorders>
              <w:top w:val="single" w:color="auto" w:sz="6" w:space="0"/>
              <w:left w:val="single" w:color="auto" w:sz="6" w:space="0"/>
              <w:bottom w:val="single" w:color="auto" w:sz="6" w:space="0"/>
              <w:right w:val="single" w:color="auto" w:sz="6" w:space="0"/>
            </w:tcBorders>
            <w:vAlign w:val="top"/>
          </w:tcPr>
          <w:p>
            <w:pPr>
              <w:spacing w:line="440" w:lineRule="exact"/>
              <w:ind w:firstLine="0" w:firstLineChars="0"/>
              <w:rPr>
                <w:rFonts w:hint="eastAsia" w:ascii="仿宋_GB2312" w:hAnsi="仿宋_GB2312" w:eastAsia="仿宋_GB2312" w:cs="仿宋_GB2312"/>
                <w:color w:val="000000"/>
                <w:sz w:val="28"/>
                <w:szCs w:val="28"/>
              </w:rPr>
            </w:pPr>
          </w:p>
        </w:tc>
      </w:tr>
      <w:tr>
        <w:trPr>
          <w:trHeight w:val="438" w:hRule="atLeast"/>
          <w:jc w:val="center"/>
        </w:trPr>
        <w:tc>
          <w:tcPr>
            <w:tcW w:w="1228" w:type="dxa"/>
            <w:tcBorders>
              <w:top w:val="single" w:color="auto" w:sz="6" w:space="0"/>
              <w:left w:val="single" w:color="auto" w:sz="6" w:space="0"/>
              <w:bottom w:val="single" w:color="auto" w:sz="6" w:space="0"/>
              <w:right w:val="single" w:color="auto" w:sz="6" w:space="0"/>
            </w:tcBorders>
            <w:vAlign w:val="top"/>
          </w:tcPr>
          <w:p>
            <w:pPr>
              <w:spacing w:line="440" w:lineRule="exact"/>
              <w:ind w:firstLine="0" w:firstLineChars="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学位</w:t>
            </w:r>
          </w:p>
        </w:tc>
        <w:tc>
          <w:tcPr>
            <w:tcW w:w="2193" w:type="dxa"/>
            <w:gridSpan w:val="2"/>
            <w:tcBorders>
              <w:top w:val="single" w:color="auto" w:sz="6" w:space="0"/>
              <w:left w:val="single" w:color="auto" w:sz="6" w:space="0"/>
              <w:bottom w:val="single" w:color="auto" w:sz="6" w:space="0"/>
              <w:right w:val="single" w:color="auto" w:sz="6" w:space="0"/>
            </w:tcBorders>
            <w:vAlign w:val="top"/>
          </w:tcPr>
          <w:p>
            <w:pPr>
              <w:spacing w:line="440" w:lineRule="exact"/>
              <w:ind w:firstLine="0" w:firstLineChars="0"/>
              <w:rPr>
                <w:rFonts w:hint="eastAsia" w:ascii="仿宋_GB2312" w:hAnsi="仿宋_GB2312" w:eastAsia="仿宋_GB2312" w:cs="仿宋_GB2312"/>
                <w:color w:val="000000"/>
                <w:sz w:val="28"/>
                <w:szCs w:val="28"/>
              </w:rPr>
            </w:pPr>
          </w:p>
        </w:tc>
        <w:tc>
          <w:tcPr>
            <w:tcW w:w="959" w:type="dxa"/>
            <w:tcBorders>
              <w:top w:val="single" w:color="auto" w:sz="6" w:space="0"/>
              <w:left w:val="single" w:color="auto" w:sz="6" w:space="0"/>
              <w:bottom w:val="single" w:color="auto" w:sz="6" w:space="0"/>
              <w:right w:val="single" w:color="auto" w:sz="6" w:space="0"/>
            </w:tcBorders>
            <w:vAlign w:val="top"/>
          </w:tcPr>
          <w:p>
            <w:pPr>
              <w:spacing w:line="440" w:lineRule="exact"/>
              <w:ind w:firstLine="0" w:firstLineChars="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职称</w:t>
            </w:r>
          </w:p>
        </w:tc>
        <w:tc>
          <w:tcPr>
            <w:tcW w:w="787" w:type="dxa"/>
            <w:tcBorders>
              <w:top w:val="single" w:color="auto" w:sz="6" w:space="0"/>
              <w:left w:val="single" w:color="auto" w:sz="6" w:space="0"/>
              <w:bottom w:val="single" w:color="auto" w:sz="6" w:space="0"/>
              <w:right w:val="single" w:color="auto" w:sz="6" w:space="0"/>
            </w:tcBorders>
            <w:vAlign w:val="top"/>
          </w:tcPr>
          <w:p>
            <w:pPr>
              <w:spacing w:line="440" w:lineRule="exact"/>
              <w:ind w:firstLine="0" w:firstLineChars="0"/>
              <w:rPr>
                <w:rFonts w:hint="eastAsia" w:ascii="仿宋_GB2312" w:hAnsi="仿宋_GB2312" w:eastAsia="仿宋_GB2312" w:cs="仿宋_GB2312"/>
                <w:color w:val="000000"/>
                <w:sz w:val="28"/>
                <w:szCs w:val="28"/>
              </w:rPr>
            </w:pPr>
          </w:p>
        </w:tc>
        <w:tc>
          <w:tcPr>
            <w:tcW w:w="1638" w:type="dxa"/>
            <w:tcBorders>
              <w:top w:val="single" w:color="auto" w:sz="6" w:space="0"/>
              <w:left w:val="single" w:color="auto" w:sz="6" w:space="0"/>
              <w:bottom w:val="single" w:color="auto" w:sz="6" w:space="0"/>
              <w:right w:val="single" w:color="auto" w:sz="6" w:space="0"/>
            </w:tcBorders>
            <w:vAlign w:val="top"/>
          </w:tcPr>
          <w:p>
            <w:pPr>
              <w:spacing w:line="440" w:lineRule="exact"/>
              <w:ind w:firstLine="0" w:firstLineChars="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职     务</w:t>
            </w:r>
          </w:p>
        </w:tc>
        <w:tc>
          <w:tcPr>
            <w:tcW w:w="2242" w:type="dxa"/>
            <w:tcBorders>
              <w:top w:val="single" w:color="auto" w:sz="6" w:space="0"/>
              <w:left w:val="single" w:color="auto" w:sz="6" w:space="0"/>
              <w:bottom w:val="single" w:color="auto" w:sz="6" w:space="0"/>
              <w:right w:val="single" w:color="auto" w:sz="6" w:space="0"/>
            </w:tcBorders>
            <w:vAlign w:val="top"/>
          </w:tcPr>
          <w:p>
            <w:pPr>
              <w:spacing w:line="440" w:lineRule="exact"/>
              <w:ind w:firstLine="0" w:firstLineChars="0"/>
              <w:rPr>
                <w:rFonts w:hint="eastAsia" w:ascii="仿宋_GB2312" w:hAnsi="仿宋_GB2312" w:eastAsia="仿宋_GB2312" w:cs="仿宋_GB2312"/>
                <w:color w:val="000000"/>
                <w:sz w:val="28"/>
                <w:szCs w:val="28"/>
              </w:rPr>
            </w:pPr>
          </w:p>
        </w:tc>
      </w:tr>
      <w:tr>
        <w:trPr>
          <w:trHeight w:val="892" w:hRule="atLeast"/>
          <w:jc w:val="center"/>
        </w:trPr>
        <w:tc>
          <w:tcPr>
            <w:tcW w:w="1228" w:type="dxa"/>
            <w:tcBorders>
              <w:top w:val="single" w:color="auto" w:sz="6" w:space="0"/>
              <w:left w:val="single" w:color="auto" w:sz="6" w:space="0"/>
              <w:bottom w:val="single" w:color="auto" w:sz="6" w:space="0"/>
              <w:right w:val="single" w:color="auto" w:sz="6" w:space="0"/>
            </w:tcBorders>
            <w:vAlign w:val="top"/>
          </w:tcPr>
          <w:p>
            <w:pPr>
              <w:spacing w:line="440" w:lineRule="exact"/>
              <w:ind w:firstLine="0" w:firstLineChars="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现所在机构或部门</w:t>
            </w:r>
          </w:p>
        </w:tc>
        <w:tc>
          <w:tcPr>
            <w:tcW w:w="3939" w:type="dxa"/>
            <w:gridSpan w:val="4"/>
            <w:tcBorders>
              <w:top w:val="single" w:color="auto" w:sz="6" w:space="0"/>
              <w:left w:val="single" w:color="auto" w:sz="6" w:space="0"/>
              <w:bottom w:val="single" w:color="auto" w:sz="6" w:space="0"/>
              <w:right w:val="single" w:color="auto" w:sz="6" w:space="0"/>
            </w:tcBorders>
            <w:vAlign w:val="top"/>
          </w:tcPr>
          <w:p>
            <w:pPr>
              <w:spacing w:line="440" w:lineRule="exact"/>
              <w:ind w:firstLine="0" w:firstLineChars="0"/>
              <w:rPr>
                <w:rFonts w:hint="eastAsia" w:ascii="仿宋_GB2312" w:hAnsi="仿宋_GB2312" w:eastAsia="仿宋_GB2312" w:cs="仿宋_GB2312"/>
                <w:color w:val="000000"/>
                <w:sz w:val="28"/>
                <w:szCs w:val="28"/>
              </w:rPr>
            </w:pPr>
          </w:p>
        </w:tc>
        <w:tc>
          <w:tcPr>
            <w:tcW w:w="1638" w:type="dxa"/>
            <w:tcBorders>
              <w:top w:val="single" w:color="auto" w:sz="6" w:space="0"/>
              <w:left w:val="single" w:color="auto" w:sz="6" w:space="0"/>
              <w:bottom w:val="single" w:color="auto" w:sz="6" w:space="0"/>
              <w:right w:val="single" w:color="auto" w:sz="6" w:space="0"/>
            </w:tcBorders>
            <w:vAlign w:val="center"/>
          </w:tcPr>
          <w:p>
            <w:pPr>
              <w:spacing w:line="440" w:lineRule="exact"/>
              <w:ind w:firstLine="0" w:firstLineChars="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服务时间</w:t>
            </w:r>
          </w:p>
        </w:tc>
        <w:tc>
          <w:tcPr>
            <w:tcW w:w="2242" w:type="dxa"/>
            <w:tcBorders>
              <w:top w:val="single" w:color="auto" w:sz="6" w:space="0"/>
              <w:left w:val="single" w:color="auto" w:sz="6" w:space="0"/>
              <w:bottom w:val="single" w:color="auto" w:sz="6" w:space="0"/>
              <w:right w:val="single" w:color="auto" w:sz="6" w:space="0"/>
            </w:tcBorders>
            <w:vAlign w:val="top"/>
          </w:tcPr>
          <w:p>
            <w:pPr>
              <w:spacing w:line="440" w:lineRule="exact"/>
              <w:ind w:firstLine="0" w:firstLineChars="0"/>
              <w:rPr>
                <w:rFonts w:hint="eastAsia" w:ascii="仿宋_GB2312" w:hAnsi="仿宋_GB2312" w:eastAsia="仿宋_GB2312" w:cs="仿宋_GB2312"/>
                <w:color w:val="000000"/>
                <w:sz w:val="28"/>
                <w:szCs w:val="28"/>
              </w:rPr>
            </w:pPr>
          </w:p>
        </w:tc>
      </w:tr>
      <w:tr>
        <w:trPr>
          <w:trHeight w:val="438" w:hRule="atLeast"/>
          <w:jc w:val="center"/>
        </w:trPr>
        <w:tc>
          <w:tcPr>
            <w:tcW w:w="1228" w:type="dxa"/>
            <w:vMerge w:val="restart"/>
            <w:tcBorders>
              <w:top w:val="single" w:color="auto" w:sz="6" w:space="0"/>
              <w:left w:val="single" w:color="auto" w:sz="6" w:space="0"/>
              <w:right w:val="single" w:color="auto" w:sz="6" w:space="0"/>
            </w:tcBorders>
            <w:vAlign w:val="top"/>
          </w:tcPr>
          <w:p>
            <w:pPr>
              <w:spacing w:line="440" w:lineRule="exact"/>
              <w:ind w:firstLine="0" w:firstLineChars="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注册证书及注册号</w:t>
            </w:r>
          </w:p>
        </w:tc>
        <w:tc>
          <w:tcPr>
            <w:tcW w:w="1969" w:type="dxa"/>
            <w:tcBorders>
              <w:top w:val="single" w:color="auto" w:sz="6" w:space="0"/>
              <w:left w:val="single" w:color="auto" w:sz="6" w:space="0"/>
              <w:bottom w:val="single" w:color="auto" w:sz="6" w:space="0"/>
              <w:right w:val="single" w:color="auto" w:sz="6" w:space="0"/>
            </w:tcBorders>
            <w:vAlign w:val="top"/>
          </w:tcPr>
          <w:p>
            <w:pPr>
              <w:spacing w:line="440" w:lineRule="exact"/>
              <w:ind w:firstLine="0" w:firstLineChars="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序号</w:t>
            </w:r>
          </w:p>
        </w:tc>
        <w:tc>
          <w:tcPr>
            <w:tcW w:w="1970" w:type="dxa"/>
            <w:gridSpan w:val="3"/>
            <w:tcBorders>
              <w:top w:val="single" w:color="auto" w:sz="6" w:space="0"/>
              <w:left w:val="single" w:color="auto" w:sz="6" w:space="0"/>
              <w:bottom w:val="single" w:color="auto" w:sz="6" w:space="0"/>
              <w:right w:val="single" w:color="auto" w:sz="6" w:space="0"/>
            </w:tcBorders>
            <w:vAlign w:val="top"/>
          </w:tcPr>
          <w:p>
            <w:pPr>
              <w:spacing w:line="440" w:lineRule="exact"/>
              <w:ind w:firstLine="0" w:firstLineChars="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证书名</w:t>
            </w:r>
          </w:p>
        </w:tc>
        <w:tc>
          <w:tcPr>
            <w:tcW w:w="1638" w:type="dxa"/>
            <w:tcBorders>
              <w:top w:val="single" w:color="auto" w:sz="6" w:space="0"/>
              <w:left w:val="single" w:color="auto" w:sz="6" w:space="0"/>
              <w:bottom w:val="single" w:color="auto" w:sz="6" w:space="0"/>
              <w:right w:val="single" w:color="auto" w:sz="6" w:space="0"/>
            </w:tcBorders>
            <w:vAlign w:val="center"/>
          </w:tcPr>
          <w:p>
            <w:pPr>
              <w:spacing w:line="440" w:lineRule="exact"/>
              <w:ind w:firstLine="0" w:firstLineChars="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证书号</w:t>
            </w:r>
          </w:p>
        </w:tc>
        <w:tc>
          <w:tcPr>
            <w:tcW w:w="2242" w:type="dxa"/>
            <w:tcBorders>
              <w:top w:val="single" w:color="auto" w:sz="6" w:space="0"/>
              <w:left w:val="single" w:color="auto" w:sz="6" w:space="0"/>
              <w:bottom w:val="single" w:color="auto" w:sz="6" w:space="0"/>
              <w:right w:val="single" w:color="auto" w:sz="6" w:space="0"/>
            </w:tcBorders>
            <w:vAlign w:val="top"/>
          </w:tcPr>
          <w:p>
            <w:pPr>
              <w:spacing w:line="440" w:lineRule="exact"/>
              <w:ind w:firstLine="0" w:firstLineChars="0"/>
              <w:rPr>
                <w:rFonts w:hint="eastAsia" w:ascii="仿宋_GB2312" w:hAnsi="仿宋_GB2312" w:eastAsia="仿宋_GB2312" w:cs="仿宋_GB2312"/>
                <w:color w:val="000000"/>
                <w:sz w:val="28"/>
                <w:szCs w:val="28"/>
              </w:rPr>
            </w:pPr>
          </w:p>
        </w:tc>
      </w:tr>
      <w:tr>
        <w:trPr>
          <w:trHeight w:val="145" w:hRule="atLeast"/>
          <w:jc w:val="center"/>
        </w:trPr>
        <w:tc>
          <w:tcPr>
            <w:tcW w:w="1228" w:type="dxa"/>
            <w:vMerge w:val="continue"/>
            <w:tcBorders>
              <w:top w:val="single" w:color="auto" w:sz="6" w:space="0"/>
              <w:left w:val="single" w:color="auto" w:sz="6" w:space="0"/>
              <w:right w:val="single" w:color="auto" w:sz="6" w:space="0"/>
            </w:tcBorders>
            <w:vAlign w:val="top"/>
          </w:tcPr>
          <w:p>
            <w:pPr>
              <w:spacing w:line="440" w:lineRule="exact"/>
              <w:ind w:firstLine="0" w:firstLineChars="0"/>
              <w:rPr>
                <w:rFonts w:hint="eastAsia" w:ascii="仿宋_GB2312" w:hAnsi="仿宋_GB2312" w:eastAsia="仿宋_GB2312" w:cs="仿宋_GB2312"/>
                <w:color w:val="000000"/>
                <w:sz w:val="28"/>
                <w:szCs w:val="28"/>
              </w:rPr>
            </w:pPr>
          </w:p>
        </w:tc>
        <w:tc>
          <w:tcPr>
            <w:tcW w:w="1969" w:type="dxa"/>
            <w:tcBorders>
              <w:top w:val="single" w:color="auto" w:sz="6" w:space="0"/>
              <w:left w:val="single" w:color="auto" w:sz="6" w:space="0"/>
              <w:bottom w:val="single" w:color="auto" w:sz="6" w:space="0"/>
              <w:right w:val="single" w:color="auto" w:sz="6" w:space="0"/>
            </w:tcBorders>
            <w:vAlign w:val="top"/>
          </w:tcPr>
          <w:p>
            <w:pPr>
              <w:spacing w:line="440" w:lineRule="exact"/>
              <w:ind w:firstLine="0" w:firstLineChars="0"/>
              <w:rPr>
                <w:rFonts w:hint="eastAsia" w:ascii="仿宋_GB2312" w:hAnsi="仿宋_GB2312" w:eastAsia="仿宋_GB2312" w:cs="仿宋_GB2312"/>
                <w:color w:val="000000"/>
                <w:sz w:val="28"/>
                <w:szCs w:val="28"/>
              </w:rPr>
            </w:pPr>
          </w:p>
        </w:tc>
        <w:tc>
          <w:tcPr>
            <w:tcW w:w="1970" w:type="dxa"/>
            <w:gridSpan w:val="3"/>
            <w:tcBorders>
              <w:top w:val="single" w:color="auto" w:sz="6" w:space="0"/>
              <w:left w:val="single" w:color="auto" w:sz="6" w:space="0"/>
              <w:bottom w:val="single" w:color="auto" w:sz="6" w:space="0"/>
              <w:right w:val="single" w:color="auto" w:sz="6" w:space="0"/>
            </w:tcBorders>
            <w:vAlign w:val="top"/>
          </w:tcPr>
          <w:p>
            <w:pPr>
              <w:spacing w:line="440" w:lineRule="exact"/>
              <w:ind w:firstLine="0" w:firstLineChars="0"/>
              <w:rPr>
                <w:rFonts w:hint="eastAsia" w:ascii="仿宋_GB2312" w:hAnsi="仿宋_GB2312" w:eastAsia="仿宋_GB2312" w:cs="仿宋_GB2312"/>
                <w:color w:val="000000"/>
                <w:sz w:val="28"/>
                <w:szCs w:val="28"/>
              </w:rPr>
            </w:pPr>
          </w:p>
        </w:tc>
        <w:tc>
          <w:tcPr>
            <w:tcW w:w="1638" w:type="dxa"/>
            <w:tcBorders>
              <w:top w:val="single" w:color="auto" w:sz="6" w:space="0"/>
              <w:left w:val="single" w:color="auto" w:sz="6" w:space="0"/>
              <w:bottom w:val="single" w:color="auto" w:sz="6" w:space="0"/>
              <w:right w:val="single" w:color="auto" w:sz="6" w:space="0"/>
            </w:tcBorders>
            <w:vAlign w:val="center"/>
          </w:tcPr>
          <w:p>
            <w:pPr>
              <w:spacing w:line="440" w:lineRule="exact"/>
              <w:ind w:firstLine="0" w:firstLineChars="0"/>
              <w:rPr>
                <w:rFonts w:hint="eastAsia" w:ascii="仿宋_GB2312" w:hAnsi="仿宋_GB2312" w:eastAsia="仿宋_GB2312" w:cs="仿宋_GB2312"/>
                <w:color w:val="000000"/>
                <w:sz w:val="28"/>
                <w:szCs w:val="28"/>
              </w:rPr>
            </w:pPr>
          </w:p>
        </w:tc>
        <w:tc>
          <w:tcPr>
            <w:tcW w:w="2242" w:type="dxa"/>
            <w:tcBorders>
              <w:top w:val="single" w:color="auto" w:sz="6" w:space="0"/>
              <w:left w:val="single" w:color="auto" w:sz="6" w:space="0"/>
              <w:bottom w:val="single" w:color="auto" w:sz="6" w:space="0"/>
              <w:right w:val="single" w:color="auto" w:sz="6" w:space="0"/>
            </w:tcBorders>
            <w:vAlign w:val="top"/>
          </w:tcPr>
          <w:p>
            <w:pPr>
              <w:spacing w:line="440" w:lineRule="exact"/>
              <w:ind w:firstLine="0" w:firstLineChars="0"/>
              <w:rPr>
                <w:rFonts w:hint="eastAsia" w:ascii="仿宋_GB2312" w:hAnsi="仿宋_GB2312" w:eastAsia="仿宋_GB2312" w:cs="仿宋_GB2312"/>
                <w:color w:val="000000"/>
                <w:sz w:val="28"/>
                <w:szCs w:val="28"/>
              </w:rPr>
            </w:pPr>
          </w:p>
        </w:tc>
      </w:tr>
      <w:tr>
        <w:trPr>
          <w:trHeight w:val="145" w:hRule="atLeast"/>
          <w:jc w:val="center"/>
        </w:trPr>
        <w:tc>
          <w:tcPr>
            <w:tcW w:w="1228" w:type="dxa"/>
            <w:vMerge w:val="continue"/>
            <w:tcBorders>
              <w:top w:val="single" w:color="auto" w:sz="6" w:space="0"/>
              <w:left w:val="single" w:color="auto" w:sz="6" w:space="0"/>
              <w:right w:val="single" w:color="auto" w:sz="6" w:space="0"/>
            </w:tcBorders>
            <w:vAlign w:val="top"/>
          </w:tcPr>
          <w:p>
            <w:pPr>
              <w:spacing w:line="440" w:lineRule="exact"/>
              <w:ind w:firstLine="0" w:firstLineChars="0"/>
              <w:rPr>
                <w:rFonts w:hint="eastAsia" w:ascii="仿宋_GB2312" w:hAnsi="仿宋_GB2312" w:eastAsia="仿宋_GB2312" w:cs="仿宋_GB2312"/>
                <w:color w:val="000000"/>
                <w:sz w:val="28"/>
                <w:szCs w:val="28"/>
              </w:rPr>
            </w:pPr>
          </w:p>
        </w:tc>
        <w:tc>
          <w:tcPr>
            <w:tcW w:w="1969" w:type="dxa"/>
            <w:tcBorders>
              <w:top w:val="single" w:color="auto" w:sz="6" w:space="0"/>
              <w:left w:val="single" w:color="auto" w:sz="6" w:space="0"/>
              <w:bottom w:val="single" w:color="auto" w:sz="6" w:space="0"/>
              <w:right w:val="single" w:color="auto" w:sz="6" w:space="0"/>
            </w:tcBorders>
            <w:vAlign w:val="top"/>
          </w:tcPr>
          <w:p>
            <w:pPr>
              <w:spacing w:line="440" w:lineRule="exact"/>
              <w:ind w:firstLine="0" w:firstLineChars="0"/>
              <w:rPr>
                <w:rFonts w:hint="eastAsia" w:ascii="仿宋_GB2312" w:hAnsi="仿宋_GB2312" w:eastAsia="仿宋_GB2312" w:cs="仿宋_GB2312"/>
                <w:color w:val="000000"/>
                <w:sz w:val="28"/>
                <w:szCs w:val="28"/>
              </w:rPr>
            </w:pPr>
          </w:p>
        </w:tc>
        <w:tc>
          <w:tcPr>
            <w:tcW w:w="1970" w:type="dxa"/>
            <w:gridSpan w:val="3"/>
            <w:tcBorders>
              <w:top w:val="single" w:color="auto" w:sz="6" w:space="0"/>
              <w:left w:val="single" w:color="auto" w:sz="6" w:space="0"/>
              <w:bottom w:val="single" w:color="auto" w:sz="6" w:space="0"/>
              <w:right w:val="single" w:color="auto" w:sz="6" w:space="0"/>
            </w:tcBorders>
            <w:vAlign w:val="top"/>
          </w:tcPr>
          <w:p>
            <w:pPr>
              <w:spacing w:line="440" w:lineRule="exact"/>
              <w:ind w:firstLine="0" w:firstLineChars="0"/>
              <w:rPr>
                <w:rFonts w:hint="eastAsia" w:ascii="仿宋_GB2312" w:hAnsi="仿宋_GB2312" w:eastAsia="仿宋_GB2312" w:cs="仿宋_GB2312"/>
                <w:color w:val="000000"/>
                <w:sz w:val="28"/>
                <w:szCs w:val="28"/>
              </w:rPr>
            </w:pPr>
          </w:p>
        </w:tc>
        <w:tc>
          <w:tcPr>
            <w:tcW w:w="1638" w:type="dxa"/>
            <w:tcBorders>
              <w:top w:val="single" w:color="auto" w:sz="6" w:space="0"/>
              <w:left w:val="single" w:color="auto" w:sz="6" w:space="0"/>
              <w:bottom w:val="single" w:color="auto" w:sz="6" w:space="0"/>
              <w:right w:val="single" w:color="auto" w:sz="6" w:space="0"/>
            </w:tcBorders>
            <w:vAlign w:val="center"/>
          </w:tcPr>
          <w:p>
            <w:pPr>
              <w:spacing w:line="440" w:lineRule="exact"/>
              <w:ind w:firstLine="0" w:firstLineChars="0"/>
              <w:rPr>
                <w:rFonts w:hint="eastAsia" w:ascii="仿宋_GB2312" w:hAnsi="仿宋_GB2312" w:eastAsia="仿宋_GB2312" w:cs="仿宋_GB2312"/>
                <w:color w:val="000000"/>
                <w:sz w:val="28"/>
                <w:szCs w:val="28"/>
              </w:rPr>
            </w:pPr>
          </w:p>
        </w:tc>
        <w:tc>
          <w:tcPr>
            <w:tcW w:w="2242" w:type="dxa"/>
            <w:tcBorders>
              <w:top w:val="single" w:color="auto" w:sz="6" w:space="0"/>
              <w:left w:val="single" w:color="auto" w:sz="6" w:space="0"/>
              <w:bottom w:val="single" w:color="auto" w:sz="6" w:space="0"/>
              <w:right w:val="single" w:color="auto" w:sz="6" w:space="0"/>
            </w:tcBorders>
            <w:vAlign w:val="top"/>
          </w:tcPr>
          <w:p>
            <w:pPr>
              <w:spacing w:line="440" w:lineRule="exact"/>
              <w:ind w:firstLine="0" w:firstLineChars="0"/>
              <w:rPr>
                <w:rFonts w:hint="eastAsia" w:ascii="仿宋_GB2312" w:hAnsi="仿宋_GB2312" w:eastAsia="仿宋_GB2312" w:cs="仿宋_GB2312"/>
                <w:color w:val="000000"/>
                <w:sz w:val="28"/>
                <w:szCs w:val="28"/>
              </w:rPr>
            </w:pPr>
          </w:p>
        </w:tc>
      </w:tr>
      <w:tr>
        <w:trPr>
          <w:trHeight w:val="944" w:hRule="atLeast"/>
          <w:jc w:val="center"/>
        </w:trPr>
        <w:tc>
          <w:tcPr>
            <w:tcW w:w="1228" w:type="dxa"/>
            <w:tcBorders>
              <w:top w:val="single" w:color="auto" w:sz="6" w:space="0"/>
              <w:left w:val="single" w:color="auto" w:sz="6" w:space="0"/>
              <w:bottom w:val="single" w:color="auto" w:sz="6" w:space="0"/>
              <w:right w:val="single" w:color="auto" w:sz="6" w:space="0"/>
            </w:tcBorders>
            <w:vAlign w:val="center"/>
          </w:tcPr>
          <w:p>
            <w:pPr>
              <w:spacing w:line="440" w:lineRule="exact"/>
              <w:ind w:firstLine="0" w:firstLineChars="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主要经历</w:t>
            </w:r>
          </w:p>
        </w:tc>
        <w:tc>
          <w:tcPr>
            <w:tcW w:w="7819" w:type="dxa"/>
            <w:gridSpan w:val="6"/>
            <w:tcBorders>
              <w:top w:val="single" w:color="auto" w:sz="6" w:space="0"/>
              <w:left w:val="single" w:color="auto" w:sz="6" w:space="0"/>
              <w:bottom w:val="single" w:color="auto" w:sz="6" w:space="0"/>
              <w:right w:val="single" w:color="auto" w:sz="6" w:space="0"/>
            </w:tcBorders>
            <w:vAlign w:val="center"/>
          </w:tcPr>
          <w:p>
            <w:pPr>
              <w:spacing w:line="440" w:lineRule="exact"/>
              <w:ind w:firstLine="0" w:firstLineChars="0"/>
              <w:jc w:val="center"/>
              <w:rPr>
                <w:rFonts w:hint="eastAsia" w:ascii="仿宋_GB2312" w:hAnsi="仿宋_GB2312" w:eastAsia="仿宋_GB2312" w:cs="仿宋_GB2312"/>
                <w:color w:val="000000"/>
                <w:sz w:val="28"/>
                <w:szCs w:val="28"/>
              </w:rPr>
            </w:pPr>
          </w:p>
        </w:tc>
      </w:tr>
      <w:tr>
        <w:trPr>
          <w:trHeight w:val="438" w:hRule="atLeast"/>
          <w:jc w:val="center"/>
        </w:trPr>
        <w:tc>
          <w:tcPr>
            <w:tcW w:w="1228" w:type="dxa"/>
            <w:tcBorders>
              <w:top w:val="single" w:color="auto" w:sz="6" w:space="0"/>
              <w:left w:val="single" w:color="auto" w:sz="6" w:space="0"/>
              <w:bottom w:val="single" w:color="auto" w:sz="6" w:space="0"/>
              <w:right w:val="single" w:color="auto" w:sz="6" w:space="0"/>
            </w:tcBorders>
            <w:vAlign w:val="top"/>
          </w:tcPr>
          <w:p>
            <w:pPr>
              <w:spacing w:line="440" w:lineRule="exact"/>
              <w:ind w:firstLine="0" w:firstLineChars="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日期</w:t>
            </w:r>
          </w:p>
        </w:tc>
        <w:tc>
          <w:tcPr>
            <w:tcW w:w="3152" w:type="dxa"/>
            <w:gridSpan w:val="3"/>
            <w:tcBorders>
              <w:top w:val="single" w:color="auto" w:sz="6" w:space="0"/>
              <w:left w:val="single" w:color="auto" w:sz="6" w:space="0"/>
              <w:bottom w:val="single" w:color="auto" w:sz="6" w:space="0"/>
              <w:right w:val="single" w:color="auto" w:sz="6" w:space="0"/>
            </w:tcBorders>
            <w:vAlign w:val="top"/>
          </w:tcPr>
          <w:p>
            <w:pPr>
              <w:spacing w:line="440" w:lineRule="exact"/>
              <w:ind w:firstLine="0" w:firstLineChars="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参加过的项目名称</w:t>
            </w:r>
          </w:p>
        </w:tc>
        <w:tc>
          <w:tcPr>
            <w:tcW w:w="2425" w:type="dxa"/>
            <w:gridSpan w:val="2"/>
            <w:tcBorders>
              <w:top w:val="single" w:color="auto" w:sz="6" w:space="0"/>
              <w:left w:val="single" w:color="auto" w:sz="6" w:space="0"/>
              <w:bottom w:val="single" w:color="auto" w:sz="6" w:space="0"/>
              <w:right w:val="single" w:color="auto" w:sz="6" w:space="0"/>
            </w:tcBorders>
            <w:vAlign w:val="top"/>
          </w:tcPr>
          <w:p>
            <w:pPr>
              <w:spacing w:line="440" w:lineRule="exact"/>
              <w:ind w:firstLine="0" w:firstLineChars="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担任何职务</w:t>
            </w:r>
          </w:p>
        </w:tc>
        <w:tc>
          <w:tcPr>
            <w:tcW w:w="2242" w:type="dxa"/>
            <w:tcBorders>
              <w:top w:val="single" w:color="auto" w:sz="6" w:space="0"/>
              <w:left w:val="single" w:color="auto" w:sz="6" w:space="0"/>
              <w:bottom w:val="single" w:color="auto" w:sz="6" w:space="0"/>
              <w:right w:val="single" w:color="auto" w:sz="6" w:space="0"/>
            </w:tcBorders>
            <w:vAlign w:val="top"/>
          </w:tcPr>
          <w:p>
            <w:pPr>
              <w:spacing w:line="440" w:lineRule="exact"/>
              <w:ind w:firstLine="0" w:firstLineChars="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备注</w:t>
            </w:r>
          </w:p>
        </w:tc>
      </w:tr>
      <w:tr>
        <w:trPr>
          <w:trHeight w:val="438" w:hRule="atLeast"/>
          <w:jc w:val="center"/>
        </w:trPr>
        <w:tc>
          <w:tcPr>
            <w:tcW w:w="1228" w:type="dxa"/>
            <w:tcBorders>
              <w:top w:val="single" w:color="auto" w:sz="6" w:space="0"/>
              <w:left w:val="single" w:color="auto" w:sz="6" w:space="0"/>
              <w:bottom w:val="single" w:color="auto" w:sz="6" w:space="0"/>
              <w:right w:val="single" w:color="auto" w:sz="6" w:space="0"/>
            </w:tcBorders>
            <w:vAlign w:val="top"/>
          </w:tcPr>
          <w:p>
            <w:pPr>
              <w:spacing w:line="440" w:lineRule="exact"/>
              <w:ind w:firstLine="0" w:firstLineChars="0"/>
              <w:rPr>
                <w:rFonts w:hint="eastAsia" w:ascii="仿宋_GB2312" w:hAnsi="仿宋_GB2312" w:eastAsia="仿宋_GB2312" w:cs="仿宋_GB2312"/>
                <w:color w:val="000000"/>
                <w:sz w:val="28"/>
                <w:szCs w:val="28"/>
              </w:rPr>
            </w:pPr>
          </w:p>
        </w:tc>
        <w:tc>
          <w:tcPr>
            <w:tcW w:w="3152" w:type="dxa"/>
            <w:gridSpan w:val="3"/>
            <w:tcBorders>
              <w:top w:val="single" w:color="auto" w:sz="6" w:space="0"/>
              <w:left w:val="single" w:color="auto" w:sz="6" w:space="0"/>
              <w:bottom w:val="single" w:color="auto" w:sz="6" w:space="0"/>
              <w:right w:val="single" w:color="auto" w:sz="6" w:space="0"/>
            </w:tcBorders>
            <w:vAlign w:val="top"/>
          </w:tcPr>
          <w:p>
            <w:pPr>
              <w:spacing w:line="440" w:lineRule="exact"/>
              <w:ind w:firstLine="0" w:firstLineChars="0"/>
              <w:rPr>
                <w:rFonts w:hint="eastAsia" w:ascii="仿宋_GB2312" w:hAnsi="仿宋_GB2312" w:eastAsia="仿宋_GB2312" w:cs="仿宋_GB2312"/>
                <w:color w:val="000000"/>
                <w:sz w:val="28"/>
                <w:szCs w:val="28"/>
              </w:rPr>
            </w:pPr>
          </w:p>
        </w:tc>
        <w:tc>
          <w:tcPr>
            <w:tcW w:w="2425" w:type="dxa"/>
            <w:gridSpan w:val="2"/>
            <w:tcBorders>
              <w:top w:val="single" w:color="auto" w:sz="6" w:space="0"/>
              <w:left w:val="single" w:color="auto" w:sz="6" w:space="0"/>
              <w:bottom w:val="single" w:color="auto" w:sz="6" w:space="0"/>
              <w:right w:val="single" w:color="auto" w:sz="6" w:space="0"/>
            </w:tcBorders>
            <w:vAlign w:val="top"/>
          </w:tcPr>
          <w:p>
            <w:pPr>
              <w:spacing w:line="440" w:lineRule="exact"/>
              <w:ind w:firstLine="0" w:firstLineChars="0"/>
              <w:rPr>
                <w:rFonts w:hint="eastAsia" w:ascii="仿宋_GB2312" w:hAnsi="仿宋_GB2312" w:eastAsia="仿宋_GB2312" w:cs="仿宋_GB2312"/>
                <w:color w:val="000000"/>
                <w:sz w:val="28"/>
                <w:szCs w:val="28"/>
              </w:rPr>
            </w:pPr>
          </w:p>
        </w:tc>
        <w:tc>
          <w:tcPr>
            <w:tcW w:w="2242" w:type="dxa"/>
            <w:tcBorders>
              <w:top w:val="single" w:color="auto" w:sz="6" w:space="0"/>
              <w:left w:val="single" w:color="auto" w:sz="6" w:space="0"/>
              <w:bottom w:val="single" w:color="auto" w:sz="6" w:space="0"/>
              <w:right w:val="single" w:color="auto" w:sz="6" w:space="0"/>
            </w:tcBorders>
            <w:vAlign w:val="top"/>
          </w:tcPr>
          <w:p>
            <w:pPr>
              <w:spacing w:line="440" w:lineRule="exact"/>
              <w:ind w:firstLine="0" w:firstLineChars="0"/>
              <w:rPr>
                <w:rFonts w:hint="eastAsia" w:ascii="仿宋_GB2312" w:hAnsi="仿宋_GB2312" w:eastAsia="仿宋_GB2312" w:cs="仿宋_GB2312"/>
                <w:color w:val="000000"/>
                <w:sz w:val="28"/>
                <w:szCs w:val="28"/>
              </w:rPr>
            </w:pPr>
          </w:p>
        </w:tc>
      </w:tr>
      <w:tr>
        <w:trPr>
          <w:trHeight w:val="438" w:hRule="atLeast"/>
          <w:jc w:val="center"/>
        </w:trPr>
        <w:tc>
          <w:tcPr>
            <w:tcW w:w="1228" w:type="dxa"/>
            <w:tcBorders>
              <w:top w:val="single" w:color="auto" w:sz="6" w:space="0"/>
              <w:left w:val="single" w:color="auto" w:sz="6" w:space="0"/>
              <w:bottom w:val="single" w:color="auto" w:sz="6" w:space="0"/>
              <w:right w:val="single" w:color="auto" w:sz="6" w:space="0"/>
            </w:tcBorders>
            <w:vAlign w:val="top"/>
          </w:tcPr>
          <w:p>
            <w:pPr>
              <w:spacing w:line="440" w:lineRule="exact"/>
              <w:ind w:firstLine="0" w:firstLineChars="0"/>
              <w:rPr>
                <w:rFonts w:hint="eastAsia" w:ascii="仿宋_GB2312" w:hAnsi="仿宋_GB2312" w:eastAsia="仿宋_GB2312" w:cs="仿宋_GB2312"/>
                <w:color w:val="000000"/>
                <w:sz w:val="28"/>
                <w:szCs w:val="28"/>
              </w:rPr>
            </w:pPr>
          </w:p>
        </w:tc>
        <w:tc>
          <w:tcPr>
            <w:tcW w:w="3152" w:type="dxa"/>
            <w:gridSpan w:val="3"/>
            <w:tcBorders>
              <w:top w:val="single" w:color="auto" w:sz="6" w:space="0"/>
              <w:left w:val="single" w:color="auto" w:sz="6" w:space="0"/>
              <w:bottom w:val="single" w:color="auto" w:sz="6" w:space="0"/>
              <w:right w:val="single" w:color="auto" w:sz="6" w:space="0"/>
            </w:tcBorders>
            <w:vAlign w:val="top"/>
          </w:tcPr>
          <w:p>
            <w:pPr>
              <w:spacing w:line="440" w:lineRule="exact"/>
              <w:ind w:firstLine="0" w:firstLineChars="0"/>
              <w:rPr>
                <w:rFonts w:hint="eastAsia" w:ascii="仿宋_GB2312" w:hAnsi="仿宋_GB2312" w:eastAsia="仿宋_GB2312" w:cs="仿宋_GB2312"/>
                <w:color w:val="000000"/>
                <w:sz w:val="28"/>
                <w:szCs w:val="28"/>
              </w:rPr>
            </w:pPr>
          </w:p>
        </w:tc>
        <w:tc>
          <w:tcPr>
            <w:tcW w:w="2425" w:type="dxa"/>
            <w:gridSpan w:val="2"/>
            <w:tcBorders>
              <w:top w:val="single" w:color="auto" w:sz="6" w:space="0"/>
              <w:left w:val="single" w:color="auto" w:sz="6" w:space="0"/>
              <w:bottom w:val="single" w:color="auto" w:sz="6" w:space="0"/>
              <w:right w:val="single" w:color="auto" w:sz="6" w:space="0"/>
            </w:tcBorders>
            <w:vAlign w:val="top"/>
          </w:tcPr>
          <w:p>
            <w:pPr>
              <w:spacing w:line="440" w:lineRule="exact"/>
              <w:ind w:firstLine="0" w:firstLineChars="0"/>
              <w:rPr>
                <w:rFonts w:hint="eastAsia" w:ascii="仿宋_GB2312" w:hAnsi="仿宋_GB2312" w:eastAsia="仿宋_GB2312" w:cs="仿宋_GB2312"/>
                <w:color w:val="000000"/>
                <w:sz w:val="28"/>
                <w:szCs w:val="28"/>
              </w:rPr>
            </w:pPr>
          </w:p>
        </w:tc>
        <w:tc>
          <w:tcPr>
            <w:tcW w:w="2242" w:type="dxa"/>
            <w:tcBorders>
              <w:top w:val="single" w:color="auto" w:sz="6" w:space="0"/>
              <w:left w:val="single" w:color="auto" w:sz="6" w:space="0"/>
              <w:bottom w:val="single" w:color="auto" w:sz="6" w:space="0"/>
              <w:right w:val="single" w:color="auto" w:sz="6" w:space="0"/>
            </w:tcBorders>
            <w:vAlign w:val="top"/>
          </w:tcPr>
          <w:p>
            <w:pPr>
              <w:spacing w:line="440" w:lineRule="exact"/>
              <w:ind w:firstLine="0" w:firstLineChars="0"/>
              <w:rPr>
                <w:rFonts w:hint="eastAsia" w:ascii="仿宋_GB2312" w:hAnsi="仿宋_GB2312" w:eastAsia="仿宋_GB2312" w:cs="仿宋_GB2312"/>
                <w:color w:val="000000"/>
                <w:sz w:val="28"/>
                <w:szCs w:val="28"/>
              </w:rPr>
            </w:pPr>
          </w:p>
        </w:tc>
      </w:tr>
    </w:tbl>
    <w:p>
      <w:pPr>
        <w:ind w:firstLine="640"/>
        <w:rPr>
          <w:rFonts w:hint="eastAsia" w:ascii="仿宋_GB2312" w:hAnsi="仿宋_GB2312" w:eastAsia="仿宋_GB2312" w:cs="仿宋_GB2312"/>
          <w:vanish/>
          <w:color w:val="000000"/>
          <w:sz w:val="28"/>
          <w:szCs w:val="28"/>
        </w:rPr>
      </w:pPr>
    </w:p>
    <w:tbl>
      <w:tblPr>
        <w:tblpPr w:leftFromText="180" w:rightFromText="180" w:vertAnchor="text" w:horzAnchor="margin" w:tblpX="144" w:tblpY="709"/>
        <w:tblOverlap w:val="never"/>
        <w:tblW w:w="85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011"/>
        <w:gridCol w:w="857"/>
        <w:gridCol w:w="930"/>
        <w:gridCol w:w="1706"/>
        <w:gridCol w:w="1579"/>
        <w:gridCol w:w="1762"/>
      </w:tblGrid>
      <w:tr>
        <w:trPr>
          <w:cantSplit/>
          <w:trHeight w:val="654" w:hRule="atLeast"/>
        </w:trPr>
        <w:tc>
          <w:tcPr>
            <w:tcW w:w="674" w:type="dxa"/>
            <w:vAlign w:val="center"/>
          </w:tcPr>
          <w:p>
            <w:pPr>
              <w:spacing w:line="440" w:lineRule="exact"/>
              <w:ind w:firstLine="0" w:firstLineChars="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序号</w:t>
            </w:r>
          </w:p>
        </w:tc>
        <w:tc>
          <w:tcPr>
            <w:tcW w:w="1011" w:type="dxa"/>
            <w:vAlign w:val="center"/>
          </w:tcPr>
          <w:p>
            <w:pPr>
              <w:spacing w:line="440" w:lineRule="exact"/>
              <w:ind w:firstLine="0" w:firstLineChars="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姓名</w:t>
            </w:r>
          </w:p>
        </w:tc>
        <w:tc>
          <w:tcPr>
            <w:tcW w:w="857" w:type="dxa"/>
            <w:vAlign w:val="center"/>
          </w:tcPr>
          <w:p>
            <w:pPr>
              <w:spacing w:line="440" w:lineRule="exact"/>
              <w:ind w:firstLine="0" w:firstLineChars="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年龄</w:t>
            </w:r>
          </w:p>
        </w:tc>
        <w:tc>
          <w:tcPr>
            <w:tcW w:w="930" w:type="dxa"/>
            <w:vAlign w:val="center"/>
          </w:tcPr>
          <w:p>
            <w:pPr>
              <w:spacing w:line="440" w:lineRule="exact"/>
              <w:ind w:firstLine="0" w:firstLineChars="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职称</w:t>
            </w:r>
          </w:p>
        </w:tc>
        <w:tc>
          <w:tcPr>
            <w:tcW w:w="1706" w:type="dxa"/>
            <w:vAlign w:val="center"/>
          </w:tcPr>
          <w:p>
            <w:pPr>
              <w:spacing w:line="440" w:lineRule="exact"/>
              <w:ind w:firstLine="0" w:firstLineChars="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学历及持证情况</w:t>
            </w:r>
          </w:p>
        </w:tc>
        <w:tc>
          <w:tcPr>
            <w:tcW w:w="1579" w:type="dxa"/>
            <w:vAlign w:val="center"/>
          </w:tcPr>
          <w:p>
            <w:pPr>
              <w:spacing w:line="440" w:lineRule="exact"/>
              <w:ind w:firstLine="0" w:firstLineChars="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岗位</w:t>
            </w:r>
          </w:p>
        </w:tc>
        <w:tc>
          <w:tcPr>
            <w:tcW w:w="1762" w:type="dxa"/>
            <w:vAlign w:val="center"/>
          </w:tcPr>
          <w:p>
            <w:pPr>
              <w:spacing w:line="440" w:lineRule="exact"/>
              <w:ind w:firstLine="0" w:firstLineChars="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从事该岗位</w:t>
            </w:r>
          </w:p>
          <w:p>
            <w:pPr>
              <w:spacing w:line="440" w:lineRule="exact"/>
              <w:ind w:firstLine="0" w:firstLineChars="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时间</w:t>
            </w:r>
          </w:p>
        </w:tc>
      </w:tr>
      <w:tr>
        <w:trPr>
          <w:cantSplit/>
          <w:trHeight w:val="407" w:hRule="atLeast"/>
        </w:trPr>
        <w:tc>
          <w:tcPr>
            <w:tcW w:w="674" w:type="dxa"/>
            <w:vAlign w:val="top"/>
          </w:tcPr>
          <w:p>
            <w:pPr>
              <w:spacing w:line="440" w:lineRule="exact"/>
              <w:ind w:firstLine="0" w:firstLineChars="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w:t>
            </w:r>
          </w:p>
        </w:tc>
        <w:tc>
          <w:tcPr>
            <w:tcW w:w="1011" w:type="dxa"/>
            <w:vAlign w:val="top"/>
          </w:tcPr>
          <w:p>
            <w:pPr>
              <w:spacing w:line="440" w:lineRule="exact"/>
              <w:ind w:firstLine="0" w:firstLineChars="0"/>
              <w:jc w:val="center"/>
              <w:rPr>
                <w:rFonts w:hint="eastAsia" w:ascii="仿宋_GB2312" w:hAnsi="仿宋_GB2312" w:eastAsia="仿宋_GB2312" w:cs="仿宋_GB2312"/>
                <w:color w:val="000000"/>
                <w:sz w:val="28"/>
                <w:szCs w:val="28"/>
              </w:rPr>
            </w:pPr>
          </w:p>
        </w:tc>
        <w:tc>
          <w:tcPr>
            <w:tcW w:w="857" w:type="dxa"/>
            <w:vAlign w:val="top"/>
          </w:tcPr>
          <w:p>
            <w:pPr>
              <w:spacing w:line="440" w:lineRule="exact"/>
              <w:ind w:firstLine="0" w:firstLineChars="0"/>
              <w:jc w:val="center"/>
              <w:rPr>
                <w:rFonts w:hint="eastAsia" w:ascii="仿宋_GB2312" w:hAnsi="仿宋_GB2312" w:eastAsia="仿宋_GB2312" w:cs="仿宋_GB2312"/>
                <w:color w:val="000000"/>
                <w:sz w:val="28"/>
                <w:szCs w:val="28"/>
              </w:rPr>
            </w:pPr>
          </w:p>
        </w:tc>
        <w:tc>
          <w:tcPr>
            <w:tcW w:w="930" w:type="dxa"/>
            <w:vAlign w:val="top"/>
          </w:tcPr>
          <w:p>
            <w:pPr>
              <w:spacing w:line="440" w:lineRule="exact"/>
              <w:ind w:firstLine="0" w:firstLineChars="0"/>
              <w:jc w:val="center"/>
              <w:rPr>
                <w:rFonts w:hint="eastAsia" w:ascii="仿宋_GB2312" w:hAnsi="仿宋_GB2312" w:eastAsia="仿宋_GB2312" w:cs="仿宋_GB2312"/>
                <w:color w:val="000000"/>
                <w:sz w:val="28"/>
                <w:szCs w:val="28"/>
              </w:rPr>
            </w:pPr>
          </w:p>
        </w:tc>
        <w:tc>
          <w:tcPr>
            <w:tcW w:w="1706" w:type="dxa"/>
            <w:vAlign w:val="top"/>
          </w:tcPr>
          <w:p>
            <w:pPr>
              <w:spacing w:line="440" w:lineRule="exact"/>
              <w:ind w:firstLine="0" w:firstLineChars="0"/>
              <w:jc w:val="center"/>
              <w:rPr>
                <w:rFonts w:hint="eastAsia" w:ascii="仿宋_GB2312" w:hAnsi="仿宋_GB2312" w:eastAsia="仿宋_GB2312" w:cs="仿宋_GB2312"/>
                <w:color w:val="000000"/>
                <w:sz w:val="28"/>
                <w:szCs w:val="28"/>
              </w:rPr>
            </w:pPr>
          </w:p>
        </w:tc>
        <w:tc>
          <w:tcPr>
            <w:tcW w:w="1579" w:type="dxa"/>
            <w:vAlign w:val="top"/>
          </w:tcPr>
          <w:p>
            <w:pPr>
              <w:spacing w:line="440" w:lineRule="exact"/>
              <w:ind w:firstLine="0" w:firstLineChars="0"/>
              <w:jc w:val="center"/>
              <w:rPr>
                <w:rFonts w:hint="eastAsia" w:ascii="仿宋_GB2312" w:hAnsi="仿宋_GB2312" w:eastAsia="仿宋_GB2312" w:cs="仿宋_GB2312"/>
                <w:color w:val="000000"/>
                <w:sz w:val="28"/>
                <w:szCs w:val="28"/>
              </w:rPr>
            </w:pPr>
          </w:p>
        </w:tc>
        <w:tc>
          <w:tcPr>
            <w:tcW w:w="1762" w:type="dxa"/>
            <w:vAlign w:val="top"/>
          </w:tcPr>
          <w:p>
            <w:pPr>
              <w:spacing w:line="440" w:lineRule="exact"/>
              <w:ind w:firstLine="0" w:firstLineChars="0"/>
              <w:jc w:val="center"/>
              <w:rPr>
                <w:rFonts w:hint="eastAsia" w:ascii="仿宋_GB2312" w:hAnsi="仿宋_GB2312" w:eastAsia="仿宋_GB2312" w:cs="仿宋_GB2312"/>
                <w:color w:val="000000"/>
                <w:sz w:val="28"/>
                <w:szCs w:val="28"/>
              </w:rPr>
            </w:pPr>
          </w:p>
        </w:tc>
      </w:tr>
      <w:tr>
        <w:trPr>
          <w:cantSplit/>
          <w:trHeight w:val="454" w:hRule="atLeast"/>
        </w:trPr>
        <w:tc>
          <w:tcPr>
            <w:tcW w:w="674" w:type="dxa"/>
            <w:vAlign w:val="top"/>
          </w:tcPr>
          <w:p>
            <w:pPr>
              <w:spacing w:line="440" w:lineRule="exact"/>
              <w:ind w:firstLine="0" w:firstLineChars="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w:t>
            </w:r>
          </w:p>
        </w:tc>
        <w:tc>
          <w:tcPr>
            <w:tcW w:w="1011" w:type="dxa"/>
            <w:vAlign w:val="top"/>
          </w:tcPr>
          <w:p>
            <w:pPr>
              <w:spacing w:line="440" w:lineRule="exact"/>
              <w:ind w:firstLine="0" w:firstLineChars="0"/>
              <w:jc w:val="center"/>
              <w:rPr>
                <w:rFonts w:hint="eastAsia" w:ascii="仿宋_GB2312" w:hAnsi="仿宋_GB2312" w:eastAsia="仿宋_GB2312" w:cs="仿宋_GB2312"/>
                <w:color w:val="000000"/>
                <w:sz w:val="28"/>
                <w:szCs w:val="28"/>
              </w:rPr>
            </w:pPr>
          </w:p>
        </w:tc>
        <w:tc>
          <w:tcPr>
            <w:tcW w:w="857" w:type="dxa"/>
            <w:vAlign w:val="top"/>
          </w:tcPr>
          <w:p>
            <w:pPr>
              <w:spacing w:line="440" w:lineRule="exact"/>
              <w:ind w:firstLine="0" w:firstLineChars="0"/>
              <w:jc w:val="center"/>
              <w:rPr>
                <w:rFonts w:hint="eastAsia" w:ascii="仿宋_GB2312" w:hAnsi="仿宋_GB2312" w:eastAsia="仿宋_GB2312" w:cs="仿宋_GB2312"/>
                <w:color w:val="000000"/>
                <w:sz w:val="28"/>
                <w:szCs w:val="28"/>
              </w:rPr>
            </w:pPr>
          </w:p>
        </w:tc>
        <w:tc>
          <w:tcPr>
            <w:tcW w:w="930" w:type="dxa"/>
            <w:vAlign w:val="top"/>
          </w:tcPr>
          <w:p>
            <w:pPr>
              <w:spacing w:line="440" w:lineRule="exact"/>
              <w:ind w:firstLine="0" w:firstLineChars="0"/>
              <w:jc w:val="center"/>
              <w:rPr>
                <w:rFonts w:hint="eastAsia" w:ascii="仿宋_GB2312" w:hAnsi="仿宋_GB2312" w:eastAsia="仿宋_GB2312" w:cs="仿宋_GB2312"/>
                <w:color w:val="000000"/>
                <w:sz w:val="28"/>
                <w:szCs w:val="28"/>
              </w:rPr>
            </w:pPr>
          </w:p>
        </w:tc>
        <w:tc>
          <w:tcPr>
            <w:tcW w:w="1706" w:type="dxa"/>
            <w:vAlign w:val="top"/>
          </w:tcPr>
          <w:p>
            <w:pPr>
              <w:spacing w:line="440" w:lineRule="exact"/>
              <w:ind w:firstLine="0" w:firstLineChars="0"/>
              <w:jc w:val="center"/>
              <w:rPr>
                <w:rFonts w:hint="eastAsia" w:ascii="仿宋_GB2312" w:hAnsi="仿宋_GB2312" w:eastAsia="仿宋_GB2312" w:cs="仿宋_GB2312"/>
                <w:color w:val="000000"/>
                <w:sz w:val="28"/>
                <w:szCs w:val="28"/>
              </w:rPr>
            </w:pPr>
          </w:p>
        </w:tc>
        <w:tc>
          <w:tcPr>
            <w:tcW w:w="1579" w:type="dxa"/>
            <w:vAlign w:val="top"/>
          </w:tcPr>
          <w:p>
            <w:pPr>
              <w:spacing w:line="440" w:lineRule="exact"/>
              <w:ind w:firstLine="0" w:firstLineChars="0"/>
              <w:jc w:val="center"/>
              <w:rPr>
                <w:rFonts w:hint="eastAsia" w:ascii="仿宋_GB2312" w:hAnsi="仿宋_GB2312" w:eastAsia="仿宋_GB2312" w:cs="仿宋_GB2312"/>
                <w:color w:val="000000"/>
                <w:sz w:val="28"/>
                <w:szCs w:val="28"/>
              </w:rPr>
            </w:pPr>
          </w:p>
        </w:tc>
        <w:tc>
          <w:tcPr>
            <w:tcW w:w="1762" w:type="dxa"/>
            <w:vAlign w:val="top"/>
          </w:tcPr>
          <w:p>
            <w:pPr>
              <w:spacing w:line="440" w:lineRule="exact"/>
              <w:ind w:firstLine="0" w:firstLineChars="0"/>
              <w:jc w:val="center"/>
              <w:rPr>
                <w:rFonts w:hint="eastAsia" w:ascii="仿宋_GB2312" w:hAnsi="仿宋_GB2312" w:eastAsia="仿宋_GB2312" w:cs="仿宋_GB2312"/>
                <w:color w:val="000000"/>
                <w:sz w:val="28"/>
                <w:szCs w:val="28"/>
              </w:rPr>
            </w:pPr>
          </w:p>
        </w:tc>
      </w:tr>
      <w:tr>
        <w:trPr>
          <w:cantSplit/>
          <w:trHeight w:val="407" w:hRule="atLeast"/>
        </w:trPr>
        <w:tc>
          <w:tcPr>
            <w:tcW w:w="674" w:type="dxa"/>
            <w:vAlign w:val="top"/>
          </w:tcPr>
          <w:p>
            <w:pPr>
              <w:spacing w:line="440" w:lineRule="exact"/>
              <w:ind w:firstLine="0" w:firstLineChars="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w:t>
            </w:r>
          </w:p>
        </w:tc>
        <w:tc>
          <w:tcPr>
            <w:tcW w:w="1011" w:type="dxa"/>
            <w:vAlign w:val="top"/>
          </w:tcPr>
          <w:p>
            <w:pPr>
              <w:spacing w:line="440" w:lineRule="exact"/>
              <w:ind w:firstLine="0" w:firstLineChars="0"/>
              <w:jc w:val="center"/>
              <w:rPr>
                <w:rFonts w:hint="eastAsia" w:ascii="仿宋_GB2312" w:hAnsi="仿宋_GB2312" w:eastAsia="仿宋_GB2312" w:cs="仿宋_GB2312"/>
                <w:color w:val="000000"/>
                <w:sz w:val="28"/>
                <w:szCs w:val="28"/>
              </w:rPr>
            </w:pPr>
          </w:p>
        </w:tc>
        <w:tc>
          <w:tcPr>
            <w:tcW w:w="857" w:type="dxa"/>
            <w:vAlign w:val="top"/>
          </w:tcPr>
          <w:p>
            <w:pPr>
              <w:spacing w:line="440" w:lineRule="exact"/>
              <w:ind w:firstLine="0" w:firstLineChars="0"/>
              <w:jc w:val="center"/>
              <w:rPr>
                <w:rFonts w:hint="eastAsia" w:ascii="仿宋_GB2312" w:hAnsi="仿宋_GB2312" w:eastAsia="仿宋_GB2312" w:cs="仿宋_GB2312"/>
                <w:color w:val="000000"/>
                <w:sz w:val="28"/>
                <w:szCs w:val="28"/>
              </w:rPr>
            </w:pPr>
          </w:p>
        </w:tc>
        <w:tc>
          <w:tcPr>
            <w:tcW w:w="930" w:type="dxa"/>
            <w:vAlign w:val="top"/>
          </w:tcPr>
          <w:p>
            <w:pPr>
              <w:spacing w:line="440" w:lineRule="exact"/>
              <w:ind w:firstLine="0" w:firstLineChars="0"/>
              <w:jc w:val="center"/>
              <w:rPr>
                <w:rFonts w:hint="eastAsia" w:ascii="仿宋_GB2312" w:hAnsi="仿宋_GB2312" w:eastAsia="仿宋_GB2312" w:cs="仿宋_GB2312"/>
                <w:color w:val="000000"/>
                <w:sz w:val="28"/>
                <w:szCs w:val="28"/>
              </w:rPr>
            </w:pPr>
          </w:p>
        </w:tc>
        <w:tc>
          <w:tcPr>
            <w:tcW w:w="1706" w:type="dxa"/>
            <w:vAlign w:val="top"/>
          </w:tcPr>
          <w:p>
            <w:pPr>
              <w:spacing w:line="440" w:lineRule="exact"/>
              <w:ind w:firstLine="0" w:firstLineChars="0"/>
              <w:jc w:val="center"/>
              <w:rPr>
                <w:rFonts w:hint="eastAsia" w:ascii="仿宋_GB2312" w:hAnsi="仿宋_GB2312" w:eastAsia="仿宋_GB2312" w:cs="仿宋_GB2312"/>
                <w:color w:val="000000"/>
                <w:sz w:val="28"/>
                <w:szCs w:val="28"/>
              </w:rPr>
            </w:pPr>
          </w:p>
        </w:tc>
        <w:tc>
          <w:tcPr>
            <w:tcW w:w="1579" w:type="dxa"/>
            <w:vAlign w:val="top"/>
          </w:tcPr>
          <w:p>
            <w:pPr>
              <w:spacing w:line="440" w:lineRule="exact"/>
              <w:ind w:firstLine="0" w:firstLineChars="0"/>
              <w:jc w:val="center"/>
              <w:rPr>
                <w:rFonts w:hint="eastAsia" w:ascii="仿宋_GB2312" w:hAnsi="仿宋_GB2312" w:eastAsia="仿宋_GB2312" w:cs="仿宋_GB2312"/>
                <w:color w:val="000000"/>
                <w:sz w:val="28"/>
                <w:szCs w:val="28"/>
              </w:rPr>
            </w:pPr>
          </w:p>
        </w:tc>
        <w:tc>
          <w:tcPr>
            <w:tcW w:w="1762" w:type="dxa"/>
            <w:vAlign w:val="top"/>
          </w:tcPr>
          <w:p>
            <w:pPr>
              <w:spacing w:line="440" w:lineRule="exact"/>
              <w:ind w:firstLine="0" w:firstLineChars="0"/>
              <w:jc w:val="center"/>
              <w:rPr>
                <w:rFonts w:hint="eastAsia" w:ascii="仿宋_GB2312" w:hAnsi="仿宋_GB2312" w:eastAsia="仿宋_GB2312" w:cs="仿宋_GB2312"/>
                <w:color w:val="000000"/>
                <w:sz w:val="28"/>
                <w:szCs w:val="28"/>
              </w:rPr>
            </w:pPr>
          </w:p>
        </w:tc>
      </w:tr>
      <w:tr>
        <w:trPr>
          <w:cantSplit/>
          <w:trHeight w:val="407" w:hRule="atLeast"/>
        </w:trPr>
        <w:tc>
          <w:tcPr>
            <w:tcW w:w="674" w:type="dxa"/>
            <w:vAlign w:val="top"/>
          </w:tcPr>
          <w:p>
            <w:pPr>
              <w:spacing w:line="440" w:lineRule="exact"/>
              <w:ind w:firstLine="0" w:firstLineChars="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t>
            </w:r>
          </w:p>
        </w:tc>
        <w:tc>
          <w:tcPr>
            <w:tcW w:w="1011" w:type="dxa"/>
            <w:vAlign w:val="top"/>
          </w:tcPr>
          <w:p>
            <w:pPr>
              <w:spacing w:line="440" w:lineRule="exact"/>
              <w:ind w:firstLine="0" w:firstLineChars="0"/>
              <w:jc w:val="center"/>
              <w:rPr>
                <w:rFonts w:hint="eastAsia" w:ascii="仿宋_GB2312" w:hAnsi="仿宋_GB2312" w:eastAsia="仿宋_GB2312" w:cs="仿宋_GB2312"/>
                <w:color w:val="000000"/>
                <w:sz w:val="28"/>
                <w:szCs w:val="28"/>
              </w:rPr>
            </w:pPr>
          </w:p>
        </w:tc>
        <w:tc>
          <w:tcPr>
            <w:tcW w:w="857" w:type="dxa"/>
            <w:vAlign w:val="top"/>
          </w:tcPr>
          <w:p>
            <w:pPr>
              <w:spacing w:line="440" w:lineRule="exact"/>
              <w:ind w:firstLine="0" w:firstLineChars="0"/>
              <w:jc w:val="center"/>
              <w:rPr>
                <w:rFonts w:hint="eastAsia" w:ascii="仿宋_GB2312" w:hAnsi="仿宋_GB2312" w:eastAsia="仿宋_GB2312" w:cs="仿宋_GB2312"/>
                <w:color w:val="000000"/>
                <w:sz w:val="28"/>
                <w:szCs w:val="28"/>
              </w:rPr>
            </w:pPr>
          </w:p>
        </w:tc>
        <w:tc>
          <w:tcPr>
            <w:tcW w:w="930" w:type="dxa"/>
            <w:vAlign w:val="top"/>
          </w:tcPr>
          <w:p>
            <w:pPr>
              <w:spacing w:line="440" w:lineRule="exact"/>
              <w:ind w:firstLine="0" w:firstLineChars="0"/>
              <w:jc w:val="center"/>
              <w:rPr>
                <w:rFonts w:hint="eastAsia" w:ascii="仿宋_GB2312" w:hAnsi="仿宋_GB2312" w:eastAsia="仿宋_GB2312" w:cs="仿宋_GB2312"/>
                <w:color w:val="000000"/>
                <w:sz w:val="28"/>
                <w:szCs w:val="28"/>
              </w:rPr>
            </w:pPr>
          </w:p>
        </w:tc>
        <w:tc>
          <w:tcPr>
            <w:tcW w:w="1706" w:type="dxa"/>
            <w:vAlign w:val="top"/>
          </w:tcPr>
          <w:p>
            <w:pPr>
              <w:spacing w:line="440" w:lineRule="exact"/>
              <w:ind w:firstLine="0" w:firstLineChars="0"/>
              <w:jc w:val="center"/>
              <w:rPr>
                <w:rFonts w:hint="eastAsia" w:ascii="仿宋_GB2312" w:hAnsi="仿宋_GB2312" w:eastAsia="仿宋_GB2312" w:cs="仿宋_GB2312"/>
                <w:color w:val="000000"/>
                <w:sz w:val="28"/>
                <w:szCs w:val="28"/>
              </w:rPr>
            </w:pPr>
          </w:p>
        </w:tc>
        <w:tc>
          <w:tcPr>
            <w:tcW w:w="1579" w:type="dxa"/>
            <w:vAlign w:val="top"/>
          </w:tcPr>
          <w:p>
            <w:pPr>
              <w:spacing w:line="440" w:lineRule="exact"/>
              <w:ind w:firstLine="0" w:firstLineChars="0"/>
              <w:jc w:val="center"/>
              <w:rPr>
                <w:rFonts w:hint="eastAsia" w:ascii="仿宋_GB2312" w:hAnsi="仿宋_GB2312" w:eastAsia="仿宋_GB2312" w:cs="仿宋_GB2312"/>
                <w:color w:val="000000"/>
                <w:sz w:val="28"/>
                <w:szCs w:val="28"/>
              </w:rPr>
            </w:pPr>
          </w:p>
        </w:tc>
        <w:tc>
          <w:tcPr>
            <w:tcW w:w="1762" w:type="dxa"/>
            <w:vAlign w:val="top"/>
          </w:tcPr>
          <w:p>
            <w:pPr>
              <w:spacing w:line="440" w:lineRule="exact"/>
              <w:ind w:firstLine="0" w:firstLineChars="0"/>
              <w:jc w:val="center"/>
              <w:rPr>
                <w:rFonts w:hint="eastAsia" w:ascii="仿宋_GB2312" w:hAnsi="仿宋_GB2312" w:eastAsia="仿宋_GB2312" w:cs="仿宋_GB2312"/>
                <w:color w:val="000000"/>
                <w:sz w:val="28"/>
                <w:szCs w:val="28"/>
              </w:rPr>
            </w:pPr>
          </w:p>
        </w:tc>
      </w:tr>
    </w:tbl>
    <w:p>
      <w:pPr>
        <w:autoSpaceDE w:val="0"/>
        <w:autoSpaceDN w:val="0"/>
        <w:adjustRightInd w:val="0"/>
        <w:spacing w:line="440" w:lineRule="exact"/>
        <w:ind w:firstLine="482"/>
        <w:rPr>
          <w:rFonts w:hint="eastAsia" w:ascii="仿宋_GB2312" w:hAnsi="仿宋_GB2312" w:eastAsia="仿宋_GB2312" w:cs="仿宋_GB2312"/>
          <w:b/>
          <w:bCs/>
          <w:color w:val="000000"/>
          <w:sz w:val="28"/>
          <w:szCs w:val="28"/>
        </w:rPr>
      </w:pPr>
      <w:bookmarkStart w:id="156" w:name="_Toc20771_WPSOffice_Level2"/>
      <w:r>
        <w:rPr>
          <w:rFonts w:hint="eastAsia" w:ascii="仿宋_GB2312" w:hAnsi="仿宋_GB2312" w:eastAsia="仿宋_GB2312" w:cs="仿宋_GB2312"/>
          <w:b/>
          <w:bCs/>
          <w:color w:val="000000"/>
          <w:sz w:val="28"/>
          <w:szCs w:val="28"/>
        </w:rPr>
        <w:t>2</w:t>
      </w:r>
      <w:r>
        <w:rPr>
          <w:rFonts w:hint="eastAsia" w:ascii="仿宋_GB2312" w:hAnsi="仿宋_GB2312" w:eastAsia="仿宋_GB2312" w:cs="仿宋_GB2312"/>
          <w:b/>
          <w:bCs/>
          <w:color w:val="000000"/>
          <w:sz w:val="28"/>
          <w:szCs w:val="28"/>
          <w:lang w:val="en-US" w:eastAsia="zh-CN"/>
        </w:rPr>
        <w:t>.</w:t>
      </w:r>
      <w:r>
        <w:rPr>
          <w:rFonts w:hint="eastAsia" w:ascii="仿宋_GB2312" w:hAnsi="仿宋_GB2312" w:eastAsia="仿宋_GB2312" w:cs="仿宋_GB2312"/>
          <w:b/>
          <w:bCs/>
          <w:color w:val="000000"/>
          <w:sz w:val="28"/>
          <w:szCs w:val="28"/>
        </w:rPr>
        <w:t>拟投入本项目的主要成员表</w:t>
      </w:r>
      <w:bookmarkEnd w:id="156"/>
    </w:p>
    <w:p>
      <w:pPr>
        <w:autoSpaceDE w:val="0"/>
        <w:autoSpaceDN w:val="0"/>
        <w:adjustRightInd w:val="0"/>
        <w:snapToGrid w:val="0"/>
        <w:spacing w:line="240" w:lineRule="atLeast"/>
        <w:ind w:firstLine="401"/>
        <w:rPr>
          <w:rFonts w:hint="eastAsia" w:ascii="仿宋_GB2312" w:hAnsi="仿宋_GB2312" w:eastAsia="仿宋_GB2312" w:cs="仿宋_GB2312"/>
          <w:color w:val="000000"/>
          <w:spacing w:val="10"/>
          <w:sz w:val="28"/>
          <w:szCs w:val="28"/>
        </w:rPr>
      </w:pPr>
      <w:r>
        <w:rPr>
          <w:rFonts w:hint="eastAsia" w:ascii="仿宋_GB2312" w:hAnsi="仿宋_GB2312" w:eastAsia="仿宋_GB2312" w:cs="仿宋_GB2312"/>
          <w:b/>
          <w:color w:val="000000"/>
          <w:spacing w:val="10"/>
          <w:sz w:val="28"/>
          <w:szCs w:val="28"/>
        </w:rPr>
        <w:t>注:</w:t>
      </w:r>
      <w:r>
        <w:rPr>
          <w:rFonts w:hint="eastAsia" w:ascii="仿宋_GB2312" w:hAnsi="仿宋_GB2312" w:eastAsia="仿宋_GB2312" w:cs="仿宋_GB2312"/>
          <w:color w:val="000000"/>
          <w:spacing w:val="10"/>
          <w:sz w:val="28"/>
          <w:szCs w:val="28"/>
        </w:rPr>
        <w:t>上述两表后应附（</w:t>
      </w:r>
      <w:r>
        <w:rPr>
          <w:rFonts w:hint="eastAsia" w:ascii="仿宋_GB2312" w:hAnsi="仿宋_GB2312" w:eastAsia="仿宋_GB2312" w:cs="仿宋_GB2312"/>
          <w:bCs/>
          <w:color w:val="000000"/>
          <w:sz w:val="28"/>
          <w:szCs w:val="28"/>
        </w:rPr>
        <w:t>复印件并加盖公章的）的</w:t>
      </w:r>
      <w:r>
        <w:rPr>
          <w:rFonts w:hint="eastAsia" w:ascii="仿宋_GB2312" w:hAnsi="仿宋_GB2312" w:eastAsia="仿宋_GB2312" w:cs="仿宋_GB2312"/>
          <w:color w:val="000000"/>
          <w:spacing w:val="10"/>
          <w:sz w:val="28"/>
          <w:szCs w:val="28"/>
        </w:rPr>
        <w:t xml:space="preserve"> </w:t>
      </w:r>
    </w:p>
    <w:p>
      <w:pPr>
        <w:autoSpaceDE w:val="0"/>
        <w:autoSpaceDN w:val="0"/>
        <w:adjustRightInd w:val="0"/>
        <w:snapToGrid w:val="0"/>
        <w:spacing w:line="240" w:lineRule="atLeast"/>
        <w:ind w:firstLine="400"/>
        <w:rPr>
          <w:rFonts w:hint="eastAsia" w:ascii="仿宋_GB2312" w:hAnsi="仿宋_GB2312" w:eastAsia="仿宋_GB2312" w:cs="仿宋_GB2312"/>
          <w:color w:val="000000"/>
          <w:spacing w:val="10"/>
          <w:sz w:val="28"/>
          <w:szCs w:val="28"/>
        </w:rPr>
      </w:pPr>
      <w:r>
        <w:rPr>
          <w:rFonts w:hint="eastAsia" w:ascii="仿宋_GB2312" w:hAnsi="仿宋_GB2312" w:eastAsia="仿宋_GB2312" w:cs="仿宋_GB2312"/>
          <w:color w:val="000000"/>
          <w:spacing w:val="10"/>
          <w:sz w:val="28"/>
          <w:szCs w:val="28"/>
        </w:rPr>
        <w:t>1</w:t>
      </w:r>
      <w:r>
        <w:rPr>
          <w:rFonts w:hint="eastAsia" w:ascii="仿宋_GB2312" w:hAnsi="仿宋_GB2312" w:eastAsia="仿宋_GB2312" w:cs="仿宋_GB2312"/>
          <w:color w:val="000000"/>
          <w:spacing w:val="10"/>
          <w:sz w:val="28"/>
          <w:szCs w:val="28"/>
          <w:lang w:val="en-US" w:eastAsia="zh-CN"/>
        </w:rPr>
        <w:t>.</w:t>
      </w:r>
      <w:r>
        <w:rPr>
          <w:rFonts w:hint="eastAsia" w:ascii="仿宋_GB2312" w:hAnsi="仿宋_GB2312" w:eastAsia="仿宋_GB2312" w:cs="仿宋_GB2312"/>
          <w:color w:val="000000"/>
          <w:spacing w:val="10"/>
          <w:sz w:val="28"/>
          <w:szCs w:val="28"/>
        </w:rPr>
        <w:t>职称证书复印件（如有）；2</w:t>
      </w:r>
      <w:r>
        <w:rPr>
          <w:rFonts w:hint="eastAsia" w:ascii="仿宋_GB2312" w:hAnsi="仿宋_GB2312" w:eastAsia="仿宋_GB2312" w:cs="仿宋_GB2312"/>
          <w:color w:val="000000"/>
          <w:spacing w:val="10"/>
          <w:sz w:val="28"/>
          <w:szCs w:val="28"/>
          <w:lang w:val="en-US" w:eastAsia="zh-CN"/>
        </w:rPr>
        <w:t>.</w:t>
      </w:r>
      <w:r>
        <w:rPr>
          <w:rFonts w:hint="eastAsia" w:ascii="仿宋_GB2312" w:hAnsi="仿宋_GB2312" w:eastAsia="仿宋_GB2312" w:cs="仿宋_GB2312"/>
          <w:color w:val="000000"/>
          <w:spacing w:val="10"/>
          <w:sz w:val="28"/>
          <w:szCs w:val="28"/>
        </w:rPr>
        <w:t>身份证复印件；3</w:t>
      </w:r>
      <w:r>
        <w:rPr>
          <w:rFonts w:hint="eastAsia" w:ascii="仿宋_GB2312" w:hAnsi="仿宋_GB2312" w:eastAsia="仿宋_GB2312" w:cs="仿宋_GB2312"/>
          <w:color w:val="000000"/>
          <w:spacing w:val="10"/>
          <w:sz w:val="28"/>
          <w:szCs w:val="28"/>
          <w:lang w:val="en-US" w:eastAsia="zh-CN"/>
        </w:rPr>
        <w:t>.</w:t>
      </w:r>
      <w:r>
        <w:rPr>
          <w:rFonts w:hint="eastAsia" w:ascii="仿宋_GB2312" w:hAnsi="仿宋_GB2312" w:eastAsia="仿宋_GB2312" w:cs="仿宋_GB2312"/>
          <w:bCs/>
          <w:color w:val="000000"/>
          <w:sz w:val="28"/>
          <w:szCs w:val="28"/>
        </w:rPr>
        <w:t>具有国家规定相关执业资格证书复印件（如有）</w:t>
      </w:r>
      <w:r>
        <w:rPr>
          <w:rFonts w:hint="eastAsia" w:ascii="仿宋_GB2312" w:hAnsi="仿宋_GB2312" w:eastAsia="仿宋_GB2312" w:cs="仿宋_GB2312"/>
          <w:color w:val="000000"/>
          <w:spacing w:val="10"/>
          <w:sz w:val="28"/>
          <w:szCs w:val="28"/>
        </w:rPr>
        <w:t>；</w:t>
      </w:r>
    </w:p>
    <w:p>
      <w:pPr>
        <w:autoSpaceDE w:val="0"/>
        <w:autoSpaceDN w:val="0"/>
        <w:adjustRightInd w:val="0"/>
        <w:snapToGrid w:val="0"/>
        <w:spacing w:line="240" w:lineRule="atLeast"/>
        <w:ind w:firstLine="400"/>
        <w:rPr>
          <w:rFonts w:hint="eastAsia" w:ascii="仿宋_GB2312" w:hAnsi="仿宋_GB2312" w:eastAsia="仿宋_GB2312" w:cs="仿宋_GB2312"/>
          <w:bCs/>
          <w:color w:val="000000"/>
          <w:sz w:val="28"/>
          <w:szCs w:val="28"/>
        </w:rPr>
      </w:pPr>
      <w:r>
        <w:rPr>
          <w:rFonts w:hint="eastAsia" w:ascii="仿宋_GB2312" w:hAnsi="仿宋_GB2312" w:eastAsia="仿宋_GB2312" w:cs="仿宋_GB2312"/>
          <w:color w:val="000000"/>
          <w:spacing w:val="10"/>
          <w:sz w:val="28"/>
          <w:szCs w:val="28"/>
        </w:rPr>
        <w:t>4</w:t>
      </w:r>
      <w:r>
        <w:rPr>
          <w:rFonts w:hint="eastAsia" w:ascii="仿宋_GB2312" w:hAnsi="仿宋_GB2312" w:eastAsia="仿宋_GB2312" w:cs="仿宋_GB2312"/>
          <w:color w:val="000000"/>
          <w:spacing w:val="10"/>
          <w:sz w:val="28"/>
          <w:szCs w:val="28"/>
          <w:lang w:val="en-US" w:eastAsia="zh-CN"/>
        </w:rPr>
        <w:t>.</w:t>
      </w:r>
      <w:r>
        <w:rPr>
          <w:rFonts w:hint="eastAsia" w:ascii="仿宋_GB2312" w:hAnsi="仿宋_GB2312" w:eastAsia="仿宋_GB2312" w:cs="仿宋_GB2312"/>
          <w:color w:val="000000"/>
          <w:spacing w:val="10"/>
          <w:sz w:val="28"/>
          <w:szCs w:val="28"/>
        </w:rPr>
        <w:t>项目负责人相关业绩证明材料复印件</w:t>
      </w:r>
      <w:r>
        <w:rPr>
          <w:rFonts w:hint="eastAsia" w:ascii="仿宋_GB2312" w:hAnsi="仿宋_GB2312" w:eastAsia="仿宋_GB2312" w:cs="仿宋_GB2312"/>
          <w:bCs/>
          <w:color w:val="000000"/>
          <w:sz w:val="28"/>
          <w:szCs w:val="28"/>
        </w:rPr>
        <w:t>。</w:t>
      </w:r>
    </w:p>
    <w:p>
      <w:pPr>
        <w:autoSpaceDE w:val="0"/>
        <w:autoSpaceDN w:val="0"/>
        <w:adjustRightInd w:val="0"/>
        <w:snapToGrid w:val="0"/>
        <w:spacing w:line="240" w:lineRule="atLeast"/>
        <w:ind w:firstLine="543" w:firstLineChars="194"/>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特别要求：</w:t>
      </w:r>
      <w:r>
        <w:rPr>
          <w:rFonts w:hint="eastAsia" w:ascii="仿宋_GB2312" w:hAnsi="仿宋_GB2312" w:eastAsia="仿宋_GB2312" w:cs="仿宋_GB2312"/>
          <w:color w:val="000000"/>
          <w:kern w:val="1"/>
          <w:sz w:val="28"/>
          <w:szCs w:val="28"/>
        </w:rPr>
        <w:t>拟投入本项目的工作人员须满足本项目的工作要求，在合同履行过程中，中标人须根据本项目的实际需求或招标人的进度要求，对人员进行合理的增加，费用均包含在投标报价中。</w:t>
      </w:r>
    </w:p>
    <w:p>
      <w:pPr>
        <w:ind w:left="0" w:leftChars="0" w:firstLine="0" w:firstLineChars="0"/>
        <w:jc w:val="both"/>
        <w:outlineLvl w:val="1"/>
        <w:rPr>
          <w:rFonts w:hint="eastAsia"/>
          <w:b/>
          <w:sz w:val="30"/>
          <w:szCs w:val="30"/>
          <w:lang w:val="en-US" w:eastAsia="zh-CN"/>
        </w:rPr>
      </w:pPr>
    </w:p>
    <w:p>
      <w:pPr>
        <w:ind w:left="0" w:leftChars="0" w:firstLine="0" w:firstLineChars="0"/>
        <w:jc w:val="both"/>
        <w:outlineLvl w:val="1"/>
        <w:rPr>
          <w:b/>
          <w:sz w:val="30"/>
          <w:szCs w:val="30"/>
        </w:rPr>
      </w:pPr>
      <w:r>
        <w:rPr>
          <w:rFonts w:hint="eastAsia"/>
          <w:b/>
          <w:sz w:val="30"/>
          <w:szCs w:val="30"/>
          <w:lang w:val="en-US" w:eastAsia="zh-CN"/>
        </w:rPr>
        <w:t xml:space="preserve">                  </w:t>
      </w:r>
      <w:r>
        <w:rPr>
          <w:rFonts w:hint="eastAsia" w:ascii="宋体" w:hAnsi="宋体" w:eastAsia="宋体" w:cs="宋体"/>
          <w:b/>
          <w:sz w:val="32"/>
          <w:szCs w:val="32"/>
          <w:lang w:val="en-US" w:eastAsia="zh-CN"/>
        </w:rPr>
        <w:t xml:space="preserve"> </w:t>
      </w:r>
      <w:bookmarkStart w:id="157" w:name="_Toc29308_WPSOffice_Level1"/>
      <w:r>
        <w:rPr>
          <w:rFonts w:hint="eastAsia" w:ascii="宋体" w:hAnsi="宋体" w:eastAsia="宋体" w:cs="宋体"/>
          <w:b/>
          <w:sz w:val="32"/>
          <w:szCs w:val="32"/>
        </w:rPr>
        <w:t>（八）服务承诺书</w:t>
      </w:r>
      <w:bookmarkEnd w:id="157"/>
    </w:p>
    <w:p>
      <w:pPr>
        <w:ind w:left="0" w:leftChars="0" w:firstLine="0" w:firstLineChars="0"/>
        <w:jc w:val="both"/>
        <w:rPr>
          <w:b/>
          <w:bCs/>
          <w:sz w:val="30"/>
          <w:szCs w:val="30"/>
        </w:rPr>
      </w:pPr>
      <w:r>
        <w:rPr>
          <w:rFonts w:hint="eastAsia"/>
          <w:b/>
          <w:bCs/>
          <w:sz w:val="30"/>
          <w:szCs w:val="30"/>
          <w:lang w:val="en-US" w:eastAsia="zh-CN"/>
        </w:rPr>
        <w:t xml:space="preserve">                      </w:t>
      </w:r>
      <w:bookmarkStart w:id="158" w:name="_Toc16323_WPSOffice_Level2"/>
      <w:r>
        <w:rPr>
          <w:rFonts w:hint="eastAsia"/>
          <w:b/>
          <w:bCs/>
          <w:sz w:val="30"/>
          <w:szCs w:val="30"/>
        </w:rPr>
        <w:t>1  承诺书</w:t>
      </w:r>
      <w:bookmarkEnd w:id="158"/>
    </w:p>
    <w:p>
      <w:pPr>
        <w:pStyle w:val="43"/>
        <w:widowControl w:val="0"/>
        <w:wordWrap/>
        <w:snapToGrid/>
        <w:spacing w:before="0" w:after="0" w:line="560" w:lineRule="exact"/>
        <w:ind w:left="0" w:leftChars="0" w:right="0" w:firstLine="560" w:firstLineChars="200"/>
        <w:outlineLvl w:val="9"/>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u w:val="single"/>
        </w:rPr>
        <w:t>致：</w:t>
      </w:r>
      <w:r>
        <w:rPr>
          <w:rFonts w:hint="eastAsia" w:ascii="仿宋_GB2312" w:hAnsi="仿宋_GB2312" w:eastAsia="仿宋_GB2312" w:cs="仿宋_GB2312"/>
          <w:bCs/>
          <w:sz w:val="28"/>
          <w:szCs w:val="28"/>
          <w:u w:val="single"/>
        </w:rPr>
        <w:t>（招标人）</w:t>
      </w:r>
    </w:p>
    <w:p>
      <w:pPr>
        <w:widowControl w:val="0"/>
        <w:wordWrap/>
        <w:autoSpaceDE w:val="0"/>
        <w:autoSpaceDN w:val="0"/>
        <w:adjustRightInd w:val="0"/>
        <w:snapToGrid/>
        <w:spacing w:before="0" w:after="0" w:line="560" w:lineRule="exact"/>
        <w:ind w:left="0" w:leftChars="0" w:right="0"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根据已收到的</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项目的</w:t>
      </w:r>
      <w:r>
        <w:rPr>
          <w:rFonts w:hint="eastAsia" w:ascii="仿宋_GB2312" w:hAnsi="仿宋_GB2312" w:eastAsia="仿宋_GB2312" w:cs="仿宋_GB2312"/>
          <w:sz w:val="28"/>
          <w:szCs w:val="28"/>
          <w:lang w:eastAsia="zh-CN"/>
        </w:rPr>
        <w:t>公开招标</w:t>
      </w:r>
      <w:r>
        <w:rPr>
          <w:rFonts w:hint="eastAsia" w:ascii="仿宋_GB2312" w:hAnsi="仿宋_GB2312" w:eastAsia="仿宋_GB2312" w:cs="仿宋_GB2312"/>
          <w:sz w:val="28"/>
          <w:szCs w:val="28"/>
        </w:rPr>
        <w:t>文件，我单位经考察现场和研究贵方的</w:t>
      </w:r>
      <w:r>
        <w:rPr>
          <w:rFonts w:hint="eastAsia" w:ascii="仿宋_GB2312" w:hAnsi="仿宋_GB2312" w:eastAsia="仿宋_GB2312" w:cs="仿宋_GB2312"/>
          <w:sz w:val="28"/>
          <w:szCs w:val="28"/>
          <w:lang w:eastAsia="zh-CN"/>
        </w:rPr>
        <w:t>公开招标</w:t>
      </w:r>
      <w:r>
        <w:rPr>
          <w:rFonts w:hint="eastAsia" w:ascii="仿宋_GB2312" w:hAnsi="仿宋_GB2312" w:eastAsia="仿宋_GB2312" w:cs="仿宋_GB2312"/>
          <w:sz w:val="28"/>
          <w:szCs w:val="28"/>
        </w:rPr>
        <w:t>文件后，将接受该</w:t>
      </w:r>
      <w:r>
        <w:rPr>
          <w:rFonts w:hint="eastAsia" w:ascii="仿宋_GB2312" w:hAnsi="仿宋_GB2312" w:eastAsia="仿宋_GB2312" w:cs="仿宋_GB2312"/>
          <w:sz w:val="28"/>
          <w:szCs w:val="28"/>
          <w:lang w:eastAsia="zh-CN"/>
        </w:rPr>
        <w:t>公开招标</w:t>
      </w:r>
      <w:r>
        <w:rPr>
          <w:rFonts w:hint="eastAsia" w:ascii="仿宋_GB2312" w:hAnsi="仿宋_GB2312" w:eastAsia="仿宋_GB2312" w:cs="仿宋_GB2312"/>
          <w:sz w:val="28"/>
          <w:szCs w:val="28"/>
        </w:rPr>
        <w:t>文件中各条款内容并且以投标函表中所报投标价格承包本招标范围内的服务等。</w:t>
      </w:r>
    </w:p>
    <w:p>
      <w:pPr>
        <w:widowControl w:val="0"/>
        <w:wordWrap/>
        <w:autoSpaceDE w:val="0"/>
        <w:autoSpaceDN w:val="0"/>
        <w:adjustRightInd w:val="0"/>
        <w:snapToGrid/>
        <w:spacing w:before="0" w:after="0" w:line="560" w:lineRule="exact"/>
        <w:ind w:left="0" w:leftChars="0" w:right="0"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如果我方中标，非业主原因，我方保证在指定时间按时完成所承接的服务项目。</w:t>
      </w:r>
    </w:p>
    <w:p>
      <w:pPr>
        <w:widowControl w:val="0"/>
        <w:wordWrap/>
        <w:autoSpaceDE w:val="0"/>
        <w:autoSpaceDN w:val="0"/>
        <w:adjustRightInd w:val="0"/>
        <w:snapToGrid/>
        <w:spacing w:before="0" w:after="0" w:line="560" w:lineRule="exact"/>
        <w:ind w:left="0" w:leftChars="0" w:right="0"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如果我方中标，非业主原因，我方保证将按下列质量等级完成招标项目。</w:t>
      </w:r>
    </w:p>
    <w:p>
      <w:pPr>
        <w:widowControl w:val="0"/>
        <w:wordWrap/>
        <w:autoSpaceDE w:val="0"/>
        <w:autoSpaceDN w:val="0"/>
        <w:adjustRightInd w:val="0"/>
        <w:snapToGrid/>
        <w:spacing w:before="0" w:after="0" w:line="560" w:lineRule="exact"/>
        <w:ind w:left="0" w:leftChars="0" w:right="0"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质量等级：</w:t>
      </w:r>
      <w:r>
        <w:rPr>
          <w:rFonts w:hint="eastAsia" w:ascii="仿宋_GB2312" w:hAnsi="仿宋_GB2312" w:eastAsia="仿宋_GB2312" w:cs="仿宋_GB2312"/>
          <w:sz w:val="28"/>
          <w:szCs w:val="28"/>
          <w:u w:val="single"/>
        </w:rPr>
        <w:t xml:space="preserve">   合格    </w:t>
      </w:r>
    </w:p>
    <w:p>
      <w:pPr>
        <w:widowControl w:val="0"/>
        <w:wordWrap/>
        <w:autoSpaceDE w:val="0"/>
        <w:autoSpaceDN w:val="0"/>
        <w:adjustRightInd w:val="0"/>
        <w:snapToGrid/>
        <w:spacing w:before="0" w:after="0" w:line="560" w:lineRule="exact"/>
        <w:ind w:left="0" w:leftChars="0" w:right="0"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如果我方中标，我方将按</w:t>
      </w:r>
      <w:r>
        <w:rPr>
          <w:rFonts w:hint="eastAsia" w:ascii="仿宋_GB2312" w:hAnsi="仿宋_GB2312" w:eastAsia="仿宋_GB2312" w:cs="仿宋_GB2312"/>
          <w:sz w:val="28"/>
          <w:szCs w:val="28"/>
          <w:lang w:eastAsia="zh-CN"/>
        </w:rPr>
        <w:t>公开招标</w:t>
      </w:r>
      <w:r>
        <w:rPr>
          <w:rFonts w:hint="eastAsia" w:ascii="仿宋_GB2312" w:hAnsi="仿宋_GB2312" w:eastAsia="仿宋_GB2312" w:cs="仿宋_GB2312"/>
          <w:sz w:val="28"/>
          <w:szCs w:val="28"/>
        </w:rPr>
        <w:t>文件规定的时间内签订合同。如果我方违约，除投标保证金外，我方还将以中标价</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%作为赔偿金，同时贵方有权终止我方中标并选择其它中标人。</w:t>
      </w:r>
    </w:p>
    <w:p>
      <w:pPr>
        <w:widowControl w:val="0"/>
        <w:wordWrap/>
        <w:autoSpaceDE w:val="0"/>
        <w:autoSpaceDN w:val="0"/>
        <w:adjustRightInd w:val="0"/>
        <w:snapToGrid/>
        <w:spacing w:before="0" w:after="0" w:line="560" w:lineRule="exact"/>
        <w:ind w:left="0" w:leftChars="0" w:right="0"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贵方的</w:t>
      </w:r>
      <w:r>
        <w:rPr>
          <w:rFonts w:hint="eastAsia" w:ascii="仿宋_GB2312" w:hAnsi="仿宋_GB2312" w:eastAsia="仿宋_GB2312" w:cs="仿宋_GB2312"/>
          <w:sz w:val="28"/>
          <w:szCs w:val="28"/>
          <w:lang w:eastAsia="zh-CN"/>
        </w:rPr>
        <w:t>公开招标</w:t>
      </w:r>
      <w:r>
        <w:rPr>
          <w:rFonts w:hint="eastAsia" w:ascii="仿宋_GB2312" w:hAnsi="仿宋_GB2312" w:eastAsia="仿宋_GB2312" w:cs="仿宋_GB2312"/>
          <w:sz w:val="28"/>
          <w:szCs w:val="28"/>
        </w:rPr>
        <w:t>文件、中标通知书、我方的响应文件将构成约束双方的合同一部分。</w:t>
      </w:r>
    </w:p>
    <w:p>
      <w:pPr>
        <w:widowControl w:val="0"/>
        <w:wordWrap/>
        <w:autoSpaceDE w:val="0"/>
        <w:autoSpaceDN w:val="0"/>
        <w:adjustRightInd w:val="0"/>
        <w:snapToGrid/>
        <w:spacing w:before="0" w:after="0" w:line="560" w:lineRule="exact"/>
        <w:ind w:left="0" w:leftChars="0" w:right="0"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如果我方未中标，贵方没有必要对我方做出任何解释和说明，我方将充分尊重和理解贵方的选择。</w:t>
      </w:r>
    </w:p>
    <w:p>
      <w:pPr>
        <w:widowControl w:val="0"/>
        <w:wordWrap/>
        <w:autoSpaceDE w:val="0"/>
        <w:autoSpaceDN w:val="0"/>
        <w:adjustRightInd w:val="0"/>
        <w:snapToGrid/>
        <w:spacing w:before="0" w:after="0" w:line="560" w:lineRule="exact"/>
        <w:ind w:left="0" w:leftChars="0" w:right="0"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其它承诺优惠条件：</w:t>
      </w:r>
    </w:p>
    <w:p>
      <w:pPr>
        <w:widowControl w:val="0"/>
        <w:wordWrap/>
        <w:topLinePunct w:val="1"/>
        <w:snapToGrid/>
        <w:spacing w:before="0" w:after="0" w:line="560" w:lineRule="exact"/>
        <w:ind w:left="0" w:leftChars="0" w:right="0" w:firstLine="0" w:firstLineChars="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投标供应商：</w:t>
      </w:r>
      <w:r>
        <w:rPr>
          <w:rFonts w:hint="eastAsia" w:ascii="仿宋_GB2312" w:hAnsi="仿宋_GB2312" w:eastAsia="仿宋_GB2312" w:cs="仿宋_GB2312"/>
          <w:bCs/>
          <w:sz w:val="28"/>
          <w:szCs w:val="28"/>
          <w:u w:val="single"/>
        </w:rPr>
        <w:t xml:space="preserve">   （全称）（盖章）   </w:t>
      </w:r>
    </w:p>
    <w:p>
      <w:pPr>
        <w:widowControl w:val="0"/>
        <w:wordWrap/>
        <w:autoSpaceDE w:val="0"/>
        <w:autoSpaceDN w:val="0"/>
        <w:adjustRightInd w:val="0"/>
        <w:snapToGrid/>
        <w:spacing w:before="0" w:after="0" w:line="560" w:lineRule="exact"/>
        <w:ind w:left="0" w:leftChars="0" w:right="0"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法定代表人或委托代理人：（签字或盖章）</w:t>
      </w:r>
    </w:p>
    <w:p>
      <w:pPr>
        <w:widowControl w:val="0"/>
        <w:wordWrap/>
        <w:autoSpaceDE w:val="0"/>
        <w:autoSpaceDN w:val="0"/>
        <w:adjustRightInd w:val="0"/>
        <w:snapToGrid/>
        <w:spacing w:before="0" w:after="0" w:line="560" w:lineRule="exact"/>
        <w:ind w:left="0" w:leftChars="0" w:right="0" w:firstLine="560" w:firstLineChars="200"/>
        <w:jc w:val="left"/>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日期： </w:t>
      </w:r>
      <w:r>
        <w:rPr>
          <w:rFonts w:hint="eastAsia" w:ascii="仿宋_GB2312" w:hAnsi="仿宋_GB2312" w:eastAsia="仿宋_GB2312" w:cs="仿宋_GB2312"/>
          <w:sz w:val="28"/>
          <w:szCs w:val="28"/>
          <w:lang w:val="en-US" w:eastAsia="zh-CN"/>
        </w:rPr>
        <w:t>2021</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月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p>
    <w:p>
      <w:pPr>
        <w:widowControl w:val="0"/>
        <w:wordWrap/>
        <w:snapToGrid/>
        <w:spacing w:before="0" w:after="0" w:line="560" w:lineRule="exact"/>
        <w:ind w:left="0" w:leftChars="0" w:right="0" w:firstLine="560" w:firstLineChars="200"/>
        <w:outlineLvl w:val="9"/>
        <w:rPr>
          <w:sz w:val="30"/>
          <w:szCs w:val="30"/>
        </w:rPr>
      </w:pPr>
      <w:r>
        <w:rPr>
          <w:rFonts w:hint="eastAsia" w:ascii="仿宋_GB2312" w:hAnsi="仿宋_GB2312" w:eastAsia="仿宋_GB2312" w:cs="仿宋_GB2312"/>
          <w:sz w:val="28"/>
          <w:szCs w:val="28"/>
        </w:rPr>
        <w:br w:type="page"/>
      </w:r>
    </w:p>
    <w:p>
      <w:pPr>
        <w:tabs>
          <w:tab w:val="left" w:pos="420"/>
        </w:tabs>
        <w:ind w:left="320" w:leftChars="100" w:firstLine="0" w:firstLineChars="0"/>
        <w:jc w:val="center"/>
        <w:rPr>
          <w:b/>
          <w:bCs/>
          <w:sz w:val="30"/>
          <w:szCs w:val="30"/>
        </w:rPr>
      </w:pPr>
      <w:bookmarkStart w:id="159" w:name="_Toc1706_WPSOffice_Level2"/>
      <w:r>
        <w:rPr>
          <w:rFonts w:hint="eastAsia"/>
          <w:b/>
          <w:bCs/>
          <w:sz w:val="30"/>
          <w:szCs w:val="30"/>
        </w:rPr>
        <w:t>2 《</w:t>
      </w:r>
      <w:r>
        <w:rPr>
          <w:b/>
          <w:bCs/>
          <w:sz w:val="30"/>
          <w:szCs w:val="30"/>
        </w:rPr>
        <w:t>服务</w:t>
      </w:r>
      <w:r>
        <w:rPr>
          <w:rFonts w:hint="eastAsia"/>
          <w:b/>
          <w:bCs/>
          <w:sz w:val="30"/>
          <w:szCs w:val="30"/>
        </w:rPr>
        <w:t>质量</w:t>
      </w:r>
      <w:r>
        <w:rPr>
          <w:b/>
          <w:bCs/>
          <w:sz w:val="30"/>
          <w:szCs w:val="30"/>
        </w:rPr>
        <w:t>承诺书</w:t>
      </w:r>
      <w:r>
        <w:rPr>
          <w:rFonts w:hint="eastAsia"/>
          <w:b/>
          <w:bCs/>
          <w:sz w:val="30"/>
          <w:szCs w:val="30"/>
        </w:rPr>
        <w:t>》</w:t>
      </w:r>
      <w:bookmarkEnd w:id="159"/>
    </w:p>
    <w:p>
      <w:pPr>
        <w:tabs>
          <w:tab w:val="left" w:pos="420"/>
        </w:tabs>
        <w:ind w:firstLine="56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（格式和内容自拟）</w:t>
      </w:r>
    </w:p>
    <w:p>
      <w:pPr>
        <w:pStyle w:val="33"/>
        <w:widowControl w:val="0"/>
        <w:wordWrap/>
        <w:adjustRightInd/>
        <w:snapToGrid/>
        <w:spacing w:before="100" w:beforeAutospacing="1" w:after="100" w:afterAutospacing="1" w:line="560" w:lineRule="exact"/>
        <w:ind w:left="0" w:leftChars="0" w:right="0" w:firstLine="649" w:firstLineChars="232"/>
        <w:jc w:val="lef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请投标人应按</w:t>
      </w:r>
      <w:r>
        <w:rPr>
          <w:rFonts w:hint="eastAsia" w:ascii="仿宋_GB2312" w:hAnsi="仿宋_GB2312" w:eastAsia="仿宋_GB2312" w:cs="仿宋_GB2312"/>
          <w:sz w:val="28"/>
          <w:szCs w:val="28"/>
          <w:lang w:eastAsia="zh-CN"/>
        </w:rPr>
        <w:t>公开招标</w:t>
      </w:r>
      <w:r>
        <w:rPr>
          <w:rFonts w:hint="eastAsia" w:ascii="仿宋_GB2312" w:hAnsi="仿宋_GB2312" w:eastAsia="仿宋_GB2312" w:cs="仿宋_GB2312"/>
          <w:sz w:val="28"/>
          <w:szCs w:val="28"/>
        </w:rPr>
        <w:t>文件的规定，针对不同服务内容详细编制满足本项目的</w:t>
      </w:r>
      <w:r>
        <w:rPr>
          <w:rFonts w:hint="eastAsia" w:ascii="仿宋_GB2312" w:hAnsi="仿宋_GB2312" w:eastAsia="仿宋_GB2312" w:cs="仿宋_GB2312"/>
          <w:bCs/>
          <w:sz w:val="28"/>
          <w:szCs w:val="28"/>
        </w:rPr>
        <w:t>《</w:t>
      </w:r>
      <w:r>
        <w:rPr>
          <w:rFonts w:hint="eastAsia" w:ascii="仿宋_GB2312" w:hAnsi="仿宋_GB2312" w:eastAsia="仿宋_GB2312" w:cs="仿宋_GB2312"/>
          <w:sz w:val="28"/>
          <w:szCs w:val="28"/>
        </w:rPr>
        <w:t>服务质量承诺书》。包括但不限于以下内容：投标人应说明如何保证各项工作标准，提出具体服务的服务质量保证办法；服务质量标准无法达到合同要求时的奖惩措施。</w:t>
      </w:r>
    </w:p>
    <w:p>
      <w:pPr>
        <w:pStyle w:val="33"/>
        <w:widowControl w:val="0"/>
        <w:wordWrap/>
        <w:adjustRightInd/>
        <w:snapToGrid/>
        <w:spacing w:before="100" w:beforeAutospacing="1" w:after="100" w:afterAutospacing="1" w:line="560" w:lineRule="exact"/>
        <w:ind w:left="0" w:leftChars="0" w:right="0" w:firstLine="540"/>
        <w:jc w:val="left"/>
        <w:textAlignment w:val="auto"/>
        <w:outlineLvl w:val="9"/>
        <w:rPr>
          <w:rFonts w:hint="eastAsia" w:ascii="仿宋_GB2312" w:hAnsi="仿宋_GB2312" w:eastAsia="仿宋_GB2312" w:cs="仿宋_GB2312"/>
          <w:sz w:val="28"/>
          <w:szCs w:val="28"/>
        </w:rPr>
      </w:pPr>
    </w:p>
    <w:p>
      <w:pPr>
        <w:ind w:firstLine="602"/>
        <w:jc w:val="center"/>
        <w:rPr>
          <w:b/>
          <w:sz w:val="30"/>
        </w:rPr>
      </w:pPr>
    </w:p>
    <w:p>
      <w:pPr>
        <w:ind w:firstLine="602"/>
        <w:jc w:val="center"/>
        <w:rPr>
          <w:b/>
          <w:sz w:val="30"/>
        </w:rPr>
      </w:pPr>
    </w:p>
    <w:p>
      <w:pPr>
        <w:spacing w:line="480" w:lineRule="exact"/>
        <w:ind w:firstLine="602"/>
        <w:jc w:val="center"/>
        <w:rPr>
          <w:b/>
          <w:sz w:val="30"/>
        </w:rPr>
      </w:pPr>
    </w:p>
    <w:p>
      <w:pPr>
        <w:ind w:firstLine="602"/>
        <w:rPr>
          <w:b/>
          <w:sz w:val="30"/>
        </w:rPr>
      </w:pPr>
    </w:p>
    <w:p>
      <w:pPr>
        <w:ind w:firstLine="602"/>
        <w:rPr>
          <w:b/>
          <w:sz w:val="30"/>
        </w:rPr>
      </w:pPr>
    </w:p>
    <w:p>
      <w:pPr>
        <w:tabs>
          <w:tab w:val="left" w:pos="420"/>
        </w:tabs>
        <w:ind w:firstLine="602"/>
        <w:jc w:val="center"/>
        <w:rPr>
          <w:rFonts w:hint="eastAsia"/>
          <w:b/>
          <w:bCs/>
          <w:sz w:val="30"/>
          <w:szCs w:val="30"/>
        </w:rPr>
      </w:pPr>
    </w:p>
    <w:p>
      <w:pPr>
        <w:tabs>
          <w:tab w:val="left" w:pos="420"/>
        </w:tabs>
        <w:ind w:firstLine="602"/>
        <w:jc w:val="center"/>
        <w:rPr>
          <w:rFonts w:hint="eastAsia"/>
          <w:b/>
          <w:bCs/>
          <w:sz w:val="30"/>
          <w:szCs w:val="30"/>
        </w:rPr>
      </w:pPr>
    </w:p>
    <w:p>
      <w:pPr>
        <w:tabs>
          <w:tab w:val="left" w:pos="420"/>
        </w:tabs>
        <w:ind w:firstLine="602"/>
        <w:jc w:val="center"/>
        <w:rPr>
          <w:rFonts w:hint="eastAsia"/>
          <w:b/>
          <w:bCs/>
          <w:sz w:val="30"/>
          <w:szCs w:val="30"/>
        </w:rPr>
      </w:pPr>
    </w:p>
    <w:p>
      <w:pPr>
        <w:tabs>
          <w:tab w:val="left" w:pos="420"/>
        </w:tabs>
        <w:ind w:firstLine="602"/>
        <w:jc w:val="center"/>
        <w:rPr>
          <w:rFonts w:hint="eastAsia"/>
          <w:b/>
          <w:bCs/>
          <w:sz w:val="30"/>
          <w:szCs w:val="30"/>
        </w:rPr>
      </w:pPr>
    </w:p>
    <w:p>
      <w:pPr>
        <w:tabs>
          <w:tab w:val="left" w:pos="420"/>
        </w:tabs>
        <w:ind w:firstLine="602"/>
        <w:jc w:val="center"/>
        <w:rPr>
          <w:rFonts w:hint="eastAsia"/>
          <w:b/>
          <w:bCs/>
          <w:sz w:val="30"/>
          <w:szCs w:val="30"/>
        </w:rPr>
      </w:pPr>
    </w:p>
    <w:p>
      <w:pPr>
        <w:tabs>
          <w:tab w:val="left" w:pos="420"/>
        </w:tabs>
        <w:ind w:firstLine="602"/>
        <w:jc w:val="center"/>
        <w:rPr>
          <w:rFonts w:hint="eastAsia"/>
          <w:b/>
          <w:bCs/>
          <w:sz w:val="30"/>
          <w:szCs w:val="30"/>
        </w:rPr>
      </w:pPr>
    </w:p>
    <w:p>
      <w:pPr>
        <w:tabs>
          <w:tab w:val="left" w:pos="420"/>
        </w:tabs>
        <w:ind w:firstLine="602"/>
        <w:jc w:val="center"/>
        <w:rPr>
          <w:rFonts w:hint="eastAsia"/>
          <w:b/>
          <w:bCs/>
          <w:sz w:val="30"/>
          <w:szCs w:val="30"/>
        </w:rPr>
      </w:pPr>
    </w:p>
    <w:p>
      <w:pPr>
        <w:tabs>
          <w:tab w:val="left" w:pos="420"/>
        </w:tabs>
        <w:ind w:firstLine="602"/>
        <w:jc w:val="center"/>
        <w:rPr>
          <w:rFonts w:hint="eastAsia"/>
          <w:b/>
          <w:bCs/>
          <w:sz w:val="30"/>
          <w:szCs w:val="30"/>
        </w:rPr>
      </w:pPr>
    </w:p>
    <w:p>
      <w:pPr>
        <w:tabs>
          <w:tab w:val="left" w:pos="420"/>
        </w:tabs>
        <w:ind w:firstLine="602"/>
        <w:jc w:val="center"/>
        <w:rPr>
          <w:rFonts w:hint="eastAsia"/>
          <w:b/>
          <w:bCs/>
          <w:sz w:val="30"/>
          <w:szCs w:val="30"/>
        </w:rPr>
      </w:pPr>
    </w:p>
    <w:p>
      <w:pPr>
        <w:tabs>
          <w:tab w:val="left" w:pos="420"/>
        </w:tabs>
        <w:ind w:firstLine="602"/>
        <w:jc w:val="center"/>
        <w:rPr>
          <w:rFonts w:hint="eastAsia"/>
          <w:b/>
          <w:bCs/>
          <w:sz w:val="30"/>
          <w:szCs w:val="30"/>
        </w:rPr>
      </w:pPr>
    </w:p>
    <w:p>
      <w:pPr>
        <w:tabs>
          <w:tab w:val="left" w:pos="420"/>
        </w:tabs>
        <w:ind w:firstLine="602"/>
        <w:jc w:val="center"/>
        <w:rPr>
          <w:rFonts w:hint="eastAsia"/>
          <w:b/>
          <w:bCs/>
          <w:sz w:val="30"/>
          <w:szCs w:val="30"/>
        </w:rPr>
      </w:pPr>
    </w:p>
    <w:p>
      <w:pPr>
        <w:tabs>
          <w:tab w:val="left" w:pos="420"/>
        </w:tabs>
        <w:ind w:firstLine="602"/>
        <w:jc w:val="center"/>
        <w:rPr>
          <w:b/>
          <w:bCs/>
          <w:sz w:val="30"/>
          <w:szCs w:val="30"/>
        </w:rPr>
      </w:pPr>
      <w:bookmarkStart w:id="160" w:name="_Toc7600_WPSOffice_Level2"/>
      <w:r>
        <w:rPr>
          <w:rFonts w:hint="eastAsia"/>
          <w:b/>
          <w:bCs/>
          <w:sz w:val="30"/>
          <w:szCs w:val="30"/>
        </w:rPr>
        <w:t>3 《保密</w:t>
      </w:r>
      <w:r>
        <w:rPr>
          <w:b/>
          <w:bCs/>
          <w:sz w:val="30"/>
          <w:szCs w:val="30"/>
        </w:rPr>
        <w:t>承诺书</w:t>
      </w:r>
      <w:r>
        <w:rPr>
          <w:rFonts w:hint="eastAsia"/>
          <w:b/>
          <w:bCs/>
          <w:sz w:val="30"/>
          <w:szCs w:val="30"/>
        </w:rPr>
        <w:t>》</w:t>
      </w:r>
      <w:bookmarkEnd w:id="160"/>
    </w:p>
    <w:p>
      <w:pPr>
        <w:tabs>
          <w:tab w:val="left" w:pos="420"/>
        </w:tabs>
        <w:ind w:firstLine="56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（根据招标文件第三部分“采购内容及服务要求”中的相关保密工作要求做出承诺，格式自拟）</w:t>
      </w:r>
    </w:p>
    <w:p>
      <w:pPr>
        <w:ind w:firstLine="602"/>
        <w:rPr>
          <w:rFonts w:hint="eastAsia" w:ascii="仿宋_GB2312" w:hAnsi="仿宋_GB2312" w:eastAsia="仿宋_GB2312" w:cs="仿宋_GB2312"/>
          <w:b/>
          <w:sz w:val="28"/>
          <w:szCs w:val="28"/>
        </w:rPr>
      </w:pPr>
    </w:p>
    <w:p>
      <w:pPr>
        <w:ind w:firstLine="602"/>
        <w:rPr>
          <w:b/>
          <w:sz w:val="30"/>
        </w:rPr>
      </w:pPr>
    </w:p>
    <w:p>
      <w:pPr>
        <w:ind w:firstLine="602"/>
        <w:rPr>
          <w:b/>
          <w:sz w:val="30"/>
        </w:rPr>
      </w:pPr>
    </w:p>
    <w:p>
      <w:pPr>
        <w:ind w:firstLine="602"/>
        <w:rPr>
          <w:b/>
          <w:sz w:val="30"/>
        </w:rPr>
      </w:pPr>
    </w:p>
    <w:p>
      <w:pPr>
        <w:ind w:firstLine="602"/>
        <w:rPr>
          <w:b/>
          <w:sz w:val="30"/>
        </w:rPr>
      </w:pPr>
    </w:p>
    <w:p>
      <w:pPr>
        <w:ind w:firstLine="602"/>
        <w:rPr>
          <w:b/>
          <w:sz w:val="30"/>
        </w:rPr>
      </w:pPr>
    </w:p>
    <w:p>
      <w:pPr>
        <w:ind w:firstLine="602"/>
        <w:rPr>
          <w:b/>
          <w:sz w:val="30"/>
        </w:rPr>
      </w:pPr>
    </w:p>
    <w:p>
      <w:pPr>
        <w:ind w:firstLine="602"/>
        <w:rPr>
          <w:b/>
          <w:sz w:val="30"/>
        </w:rPr>
      </w:pPr>
    </w:p>
    <w:p>
      <w:pPr>
        <w:ind w:firstLine="602"/>
        <w:jc w:val="center"/>
        <w:outlineLvl w:val="1"/>
        <w:rPr>
          <w:rFonts w:hint="eastAsia"/>
          <w:b/>
          <w:sz w:val="30"/>
          <w:szCs w:val="30"/>
        </w:rPr>
      </w:pPr>
    </w:p>
    <w:p>
      <w:pPr>
        <w:ind w:firstLine="602"/>
        <w:jc w:val="center"/>
        <w:outlineLvl w:val="1"/>
        <w:rPr>
          <w:rFonts w:hint="eastAsia"/>
          <w:b/>
          <w:sz w:val="30"/>
          <w:szCs w:val="30"/>
        </w:rPr>
      </w:pPr>
    </w:p>
    <w:p>
      <w:pPr>
        <w:ind w:firstLine="602"/>
        <w:jc w:val="center"/>
        <w:outlineLvl w:val="1"/>
        <w:rPr>
          <w:rFonts w:hint="eastAsia"/>
          <w:b/>
          <w:sz w:val="30"/>
          <w:szCs w:val="30"/>
        </w:rPr>
      </w:pPr>
    </w:p>
    <w:p>
      <w:pPr>
        <w:ind w:firstLine="602"/>
        <w:jc w:val="center"/>
        <w:outlineLvl w:val="1"/>
        <w:rPr>
          <w:rFonts w:hint="eastAsia"/>
          <w:b/>
          <w:sz w:val="30"/>
          <w:szCs w:val="30"/>
        </w:rPr>
      </w:pPr>
    </w:p>
    <w:p>
      <w:pPr>
        <w:ind w:firstLine="602"/>
        <w:jc w:val="center"/>
        <w:outlineLvl w:val="1"/>
        <w:rPr>
          <w:rFonts w:hint="eastAsia"/>
          <w:b/>
          <w:sz w:val="30"/>
          <w:szCs w:val="30"/>
        </w:rPr>
      </w:pPr>
    </w:p>
    <w:p>
      <w:pPr>
        <w:ind w:firstLine="602"/>
        <w:jc w:val="center"/>
        <w:outlineLvl w:val="1"/>
        <w:rPr>
          <w:rFonts w:hint="eastAsia"/>
          <w:b/>
          <w:sz w:val="30"/>
          <w:szCs w:val="30"/>
        </w:rPr>
      </w:pPr>
    </w:p>
    <w:p>
      <w:pPr>
        <w:ind w:firstLine="602"/>
        <w:jc w:val="center"/>
        <w:outlineLvl w:val="1"/>
        <w:rPr>
          <w:rFonts w:hint="eastAsia"/>
          <w:b/>
          <w:sz w:val="30"/>
          <w:szCs w:val="30"/>
        </w:rPr>
      </w:pPr>
    </w:p>
    <w:p>
      <w:pPr>
        <w:ind w:firstLine="602"/>
        <w:jc w:val="center"/>
        <w:outlineLvl w:val="1"/>
        <w:rPr>
          <w:rFonts w:hint="eastAsia"/>
          <w:b/>
          <w:sz w:val="30"/>
          <w:szCs w:val="30"/>
        </w:rPr>
      </w:pPr>
    </w:p>
    <w:p>
      <w:pPr>
        <w:ind w:firstLine="602"/>
        <w:jc w:val="center"/>
        <w:outlineLvl w:val="1"/>
        <w:rPr>
          <w:rFonts w:hint="eastAsia"/>
          <w:b/>
          <w:sz w:val="30"/>
          <w:szCs w:val="30"/>
        </w:rPr>
      </w:pPr>
    </w:p>
    <w:p>
      <w:pPr>
        <w:ind w:firstLine="602"/>
        <w:jc w:val="center"/>
        <w:outlineLvl w:val="1"/>
        <w:rPr>
          <w:rFonts w:hint="eastAsia"/>
          <w:b/>
          <w:sz w:val="30"/>
          <w:szCs w:val="30"/>
        </w:rPr>
      </w:pPr>
    </w:p>
    <w:p>
      <w:pPr>
        <w:pStyle w:val="27"/>
        <w:rPr>
          <w:rFonts w:hint="eastAsia"/>
        </w:rPr>
      </w:pPr>
    </w:p>
    <w:p>
      <w:pPr>
        <w:ind w:firstLine="602"/>
        <w:jc w:val="center"/>
        <w:outlineLvl w:val="1"/>
        <w:rPr>
          <w:rFonts w:hint="eastAsia"/>
          <w:b/>
          <w:sz w:val="30"/>
          <w:szCs w:val="30"/>
        </w:rPr>
      </w:pPr>
    </w:p>
    <w:p>
      <w:pPr>
        <w:ind w:firstLine="602"/>
        <w:jc w:val="center"/>
        <w:outlineLvl w:val="1"/>
        <w:rPr>
          <w:rFonts w:hint="eastAsia"/>
          <w:b/>
          <w:sz w:val="30"/>
          <w:szCs w:val="30"/>
        </w:rPr>
      </w:pPr>
    </w:p>
    <w:p>
      <w:pPr>
        <w:ind w:firstLine="602"/>
        <w:jc w:val="center"/>
        <w:outlineLvl w:val="1"/>
        <w:rPr>
          <w:rFonts w:hint="eastAsia" w:ascii="宋体" w:hAnsi="宋体" w:eastAsia="宋体" w:cs="宋体"/>
          <w:b/>
          <w:bCs w:val="0"/>
          <w:sz w:val="32"/>
          <w:szCs w:val="32"/>
        </w:rPr>
      </w:pPr>
      <w:bookmarkStart w:id="161" w:name="_Toc28069_WPSOffice_Level1"/>
      <w:r>
        <w:rPr>
          <w:rFonts w:hint="eastAsia" w:ascii="宋体" w:hAnsi="宋体" w:eastAsia="宋体" w:cs="宋体"/>
          <w:b/>
          <w:bCs w:val="0"/>
          <w:sz w:val="32"/>
          <w:szCs w:val="32"/>
        </w:rPr>
        <w:t>（九）偏离表</w:t>
      </w:r>
      <w:bookmarkEnd w:id="161"/>
    </w:p>
    <w:p>
      <w:pPr>
        <w:ind w:firstLine="602"/>
        <w:jc w:val="center"/>
        <w:rPr>
          <w:b/>
          <w:sz w:val="30"/>
        </w:rPr>
      </w:pPr>
    </w:p>
    <w:p>
      <w:pPr>
        <w:autoSpaceDE w:val="0"/>
        <w:ind w:firstLine="48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投标人名称：</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项目编号/合同包号：</w:t>
      </w:r>
      <w:r>
        <w:rPr>
          <w:rFonts w:hint="eastAsia" w:ascii="仿宋_GB2312" w:hAnsi="仿宋_GB2312" w:eastAsia="仿宋_GB2312" w:cs="仿宋_GB2312"/>
          <w:sz w:val="28"/>
          <w:szCs w:val="28"/>
          <w:u w:val="single"/>
        </w:rPr>
        <w:t>　　　　　　　　　　　</w:t>
      </w:r>
    </w:p>
    <w:p>
      <w:pPr>
        <w:ind w:firstLine="480"/>
        <w:rPr>
          <w:rFonts w:hint="eastAsia" w:ascii="仿宋_GB2312" w:hAnsi="仿宋_GB2312" w:eastAsia="仿宋_GB2312" w:cs="仿宋_GB2312"/>
          <w:sz w:val="28"/>
          <w:szCs w:val="28"/>
          <w:u w:val="single"/>
        </w:rPr>
      </w:pPr>
    </w:p>
    <w:tbl>
      <w:tblPr>
        <w:tblW w:w="8429" w:type="dxa"/>
        <w:tblInd w:w="1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552"/>
        <w:gridCol w:w="2246"/>
        <w:gridCol w:w="1969"/>
        <w:gridCol w:w="1811"/>
      </w:tblGrid>
      <w:tr>
        <w:trPr>
          <w:cantSplit/>
          <w:trHeight w:val="474" w:hRule="atLeast"/>
        </w:trPr>
        <w:tc>
          <w:tcPr>
            <w:tcW w:w="851" w:type="dxa"/>
            <w:vAlign w:val="center"/>
          </w:tcPr>
          <w:p>
            <w:pPr>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1552" w:type="dxa"/>
            <w:vAlign w:val="center"/>
          </w:tcPr>
          <w:p>
            <w:pPr>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公开招标</w:t>
            </w:r>
            <w:r>
              <w:rPr>
                <w:rFonts w:hint="eastAsia" w:ascii="仿宋_GB2312" w:hAnsi="仿宋_GB2312" w:eastAsia="仿宋_GB2312" w:cs="仿宋_GB2312"/>
                <w:sz w:val="28"/>
                <w:szCs w:val="28"/>
              </w:rPr>
              <w:t>文件条目号</w:t>
            </w:r>
          </w:p>
        </w:tc>
        <w:tc>
          <w:tcPr>
            <w:tcW w:w="2246" w:type="dxa"/>
            <w:vAlign w:val="center"/>
          </w:tcPr>
          <w:p>
            <w:pPr>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公开招标</w:t>
            </w:r>
            <w:r>
              <w:rPr>
                <w:rFonts w:hint="eastAsia" w:ascii="仿宋_GB2312" w:hAnsi="仿宋_GB2312" w:eastAsia="仿宋_GB2312" w:cs="仿宋_GB2312"/>
                <w:sz w:val="28"/>
                <w:szCs w:val="28"/>
              </w:rPr>
              <w:t>文件的条款</w:t>
            </w:r>
          </w:p>
        </w:tc>
        <w:tc>
          <w:tcPr>
            <w:tcW w:w="1969" w:type="dxa"/>
            <w:vAlign w:val="center"/>
          </w:tcPr>
          <w:p>
            <w:pPr>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偏离情况</w:t>
            </w:r>
          </w:p>
        </w:tc>
        <w:tc>
          <w:tcPr>
            <w:tcW w:w="1811" w:type="dxa"/>
            <w:vAlign w:val="center"/>
          </w:tcPr>
          <w:p>
            <w:pPr>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说明</w:t>
            </w:r>
          </w:p>
        </w:tc>
      </w:tr>
      <w:tr>
        <w:trPr>
          <w:cantSplit/>
          <w:trHeight w:val="385" w:hRule="atLeast"/>
        </w:trPr>
        <w:tc>
          <w:tcPr>
            <w:tcW w:w="851" w:type="dxa"/>
            <w:vAlign w:val="top"/>
          </w:tcPr>
          <w:p>
            <w:pPr>
              <w:ind w:firstLine="0" w:firstLineChars="0"/>
              <w:rPr>
                <w:rFonts w:hint="eastAsia" w:ascii="仿宋_GB2312" w:hAnsi="仿宋_GB2312" w:eastAsia="仿宋_GB2312" w:cs="仿宋_GB2312"/>
                <w:sz w:val="28"/>
                <w:szCs w:val="28"/>
              </w:rPr>
            </w:pPr>
          </w:p>
          <w:p>
            <w:pPr>
              <w:ind w:firstLine="0" w:firstLineChars="0"/>
              <w:rPr>
                <w:rFonts w:hint="eastAsia" w:ascii="仿宋_GB2312" w:hAnsi="仿宋_GB2312" w:eastAsia="仿宋_GB2312" w:cs="仿宋_GB2312"/>
                <w:sz w:val="28"/>
                <w:szCs w:val="28"/>
              </w:rPr>
            </w:pPr>
          </w:p>
        </w:tc>
        <w:tc>
          <w:tcPr>
            <w:tcW w:w="1552" w:type="dxa"/>
            <w:vAlign w:val="top"/>
          </w:tcPr>
          <w:p>
            <w:pPr>
              <w:widowControl/>
              <w:ind w:firstLine="0" w:firstLineChars="0"/>
              <w:jc w:val="left"/>
              <w:rPr>
                <w:rFonts w:hint="eastAsia" w:ascii="仿宋_GB2312" w:hAnsi="仿宋_GB2312" w:eastAsia="仿宋_GB2312" w:cs="仿宋_GB2312"/>
                <w:sz w:val="28"/>
                <w:szCs w:val="28"/>
              </w:rPr>
            </w:pPr>
          </w:p>
          <w:p>
            <w:pPr>
              <w:ind w:firstLine="0" w:firstLineChars="0"/>
              <w:rPr>
                <w:rFonts w:hint="eastAsia" w:ascii="仿宋_GB2312" w:hAnsi="仿宋_GB2312" w:eastAsia="仿宋_GB2312" w:cs="仿宋_GB2312"/>
                <w:sz w:val="28"/>
                <w:szCs w:val="28"/>
              </w:rPr>
            </w:pPr>
          </w:p>
        </w:tc>
        <w:tc>
          <w:tcPr>
            <w:tcW w:w="2246" w:type="dxa"/>
            <w:vAlign w:val="top"/>
          </w:tcPr>
          <w:p>
            <w:pPr>
              <w:ind w:firstLine="0" w:firstLineChars="0"/>
              <w:rPr>
                <w:rFonts w:hint="eastAsia" w:ascii="仿宋_GB2312" w:hAnsi="仿宋_GB2312" w:eastAsia="仿宋_GB2312" w:cs="仿宋_GB2312"/>
                <w:sz w:val="28"/>
                <w:szCs w:val="28"/>
              </w:rPr>
            </w:pPr>
          </w:p>
        </w:tc>
        <w:tc>
          <w:tcPr>
            <w:tcW w:w="1969" w:type="dxa"/>
            <w:vAlign w:val="top"/>
          </w:tcPr>
          <w:p>
            <w:pPr>
              <w:ind w:firstLine="0" w:firstLineChars="0"/>
              <w:rPr>
                <w:rFonts w:hint="eastAsia" w:ascii="仿宋_GB2312" w:hAnsi="仿宋_GB2312" w:eastAsia="仿宋_GB2312" w:cs="仿宋_GB2312"/>
                <w:sz w:val="28"/>
                <w:szCs w:val="28"/>
              </w:rPr>
            </w:pPr>
          </w:p>
        </w:tc>
        <w:tc>
          <w:tcPr>
            <w:tcW w:w="1811" w:type="dxa"/>
            <w:vAlign w:val="top"/>
          </w:tcPr>
          <w:p>
            <w:pPr>
              <w:ind w:firstLine="0" w:firstLineChars="0"/>
              <w:rPr>
                <w:rFonts w:hint="eastAsia" w:ascii="仿宋_GB2312" w:hAnsi="仿宋_GB2312" w:eastAsia="仿宋_GB2312" w:cs="仿宋_GB2312"/>
                <w:sz w:val="28"/>
                <w:szCs w:val="28"/>
              </w:rPr>
            </w:pPr>
          </w:p>
        </w:tc>
      </w:tr>
      <w:tr>
        <w:trPr>
          <w:cantSplit/>
          <w:trHeight w:val="430" w:hRule="atLeast"/>
        </w:trPr>
        <w:tc>
          <w:tcPr>
            <w:tcW w:w="851" w:type="dxa"/>
            <w:vAlign w:val="top"/>
          </w:tcPr>
          <w:p>
            <w:pPr>
              <w:ind w:firstLine="0" w:firstLineChars="0"/>
              <w:rPr>
                <w:rFonts w:hint="eastAsia" w:ascii="仿宋_GB2312" w:hAnsi="仿宋_GB2312" w:eastAsia="仿宋_GB2312" w:cs="仿宋_GB2312"/>
                <w:sz w:val="28"/>
                <w:szCs w:val="28"/>
              </w:rPr>
            </w:pPr>
          </w:p>
          <w:p>
            <w:pPr>
              <w:ind w:firstLine="0" w:firstLineChars="0"/>
              <w:rPr>
                <w:rFonts w:hint="eastAsia" w:ascii="仿宋_GB2312" w:hAnsi="仿宋_GB2312" w:eastAsia="仿宋_GB2312" w:cs="仿宋_GB2312"/>
                <w:sz w:val="28"/>
                <w:szCs w:val="28"/>
              </w:rPr>
            </w:pPr>
          </w:p>
        </w:tc>
        <w:tc>
          <w:tcPr>
            <w:tcW w:w="1552" w:type="dxa"/>
            <w:vAlign w:val="top"/>
          </w:tcPr>
          <w:p>
            <w:pPr>
              <w:widowControl/>
              <w:ind w:firstLine="0" w:firstLineChars="0"/>
              <w:jc w:val="left"/>
              <w:rPr>
                <w:rFonts w:hint="eastAsia" w:ascii="仿宋_GB2312" w:hAnsi="仿宋_GB2312" w:eastAsia="仿宋_GB2312" w:cs="仿宋_GB2312"/>
                <w:sz w:val="28"/>
                <w:szCs w:val="28"/>
              </w:rPr>
            </w:pPr>
          </w:p>
          <w:p>
            <w:pPr>
              <w:ind w:firstLine="0" w:firstLineChars="0"/>
              <w:rPr>
                <w:rFonts w:hint="eastAsia" w:ascii="仿宋_GB2312" w:hAnsi="仿宋_GB2312" w:eastAsia="仿宋_GB2312" w:cs="仿宋_GB2312"/>
                <w:sz w:val="28"/>
                <w:szCs w:val="28"/>
              </w:rPr>
            </w:pPr>
          </w:p>
        </w:tc>
        <w:tc>
          <w:tcPr>
            <w:tcW w:w="2246" w:type="dxa"/>
            <w:vAlign w:val="top"/>
          </w:tcPr>
          <w:p>
            <w:pPr>
              <w:ind w:firstLine="0" w:firstLineChars="0"/>
              <w:rPr>
                <w:rFonts w:hint="eastAsia" w:ascii="仿宋_GB2312" w:hAnsi="仿宋_GB2312" w:eastAsia="仿宋_GB2312" w:cs="仿宋_GB2312"/>
                <w:sz w:val="28"/>
                <w:szCs w:val="28"/>
              </w:rPr>
            </w:pPr>
          </w:p>
        </w:tc>
        <w:tc>
          <w:tcPr>
            <w:tcW w:w="1969" w:type="dxa"/>
            <w:vAlign w:val="top"/>
          </w:tcPr>
          <w:p>
            <w:pPr>
              <w:ind w:firstLine="0" w:firstLineChars="0"/>
              <w:rPr>
                <w:rFonts w:hint="eastAsia" w:ascii="仿宋_GB2312" w:hAnsi="仿宋_GB2312" w:eastAsia="仿宋_GB2312" w:cs="仿宋_GB2312"/>
                <w:sz w:val="28"/>
                <w:szCs w:val="28"/>
              </w:rPr>
            </w:pPr>
          </w:p>
        </w:tc>
        <w:tc>
          <w:tcPr>
            <w:tcW w:w="1811" w:type="dxa"/>
            <w:vAlign w:val="top"/>
          </w:tcPr>
          <w:p>
            <w:pPr>
              <w:ind w:firstLine="0" w:firstLineChars="0"/>
              <w:rPr>
                <w:rFonts w:hint="eastAsia" w:ascii="仿宋_GB2312" w:hAnsi="仿宋_GB2312" w:eastAsia="仿宋_GB2312" w:cs="仿宋_GB2312"/>
                <w:sz w:val="28"/>
                <w:szCs w:val="28"/>
              </w:rPr>
            </w:pPr>
          </w:p>
        </w:tc>
      </w:tr>
      <w:tr>
        <w:trPr>
          <w:cantSplit/>
          <w:trHeight w:val="385" w:hRule="atLeast"/>
        </w:trPr>
        <w:tc>
          <w:tcPr>
            <w:tcW w:w="851" w:type="dxa"/>
            <w:vAlign w:val="top"/>
          </w:tcPr>
          <w:p>
            <w:pPr>
              <w:ind w:firstLine="0" w:firstLineChars="0"/>
              <w:rPr>
                <w:rFonts w:hint="eastAsia" w:ascii="仿宋_GB2312" w:hAnsi="仿宋_GB2312" w:eastAsia="仿宋_GB2312" w:cs="仿宋_GB2312"/>
                <w:sz w:val="28"/>
                <w:szCs w:val="28"/>
              </w:rPr>
            </w:pPr>
          </w:p>
        </w:tc>
        <w:tc>
          <w:tcPr>
            <w:tcW w:w="1552" w:type="dxa"/>
            <w:vAlign w:val="top"/>
          </w:tcPr>
          <w:p>
            <w:pPr>
              <w:ind w:firstLine="0" w:firstLineChars="0"/>
              <w:rPr>
                <w:rFonts w:hint="eastAsia" w:ascii="仿宋_GB2312" w:hAnsi="仿宋_GB2312" w:eastAsia="仿宋_GB2312" w:cs="仿宋_GB2312"/>
                <w:sz w:val="28"/>
                <w:szCs w:val="28"/>
              </w:rPr>
            </w:pPr>
          </w:p>
        </w:tc>
        <w:tc>
          <w:tcPr>
            <w:tcW w:w="2246" w:type="dxa"/>
            <w:vAlign w:val="top"/>
          </w:tcPr>
          <w:p>
            <w:pPr>
              <w:ind w:firstLine="0" w:firstLineChars="0"/>
              <w:rPr>
                <w:rFonts w:hint="eastAsia" w:ascii="仿宋_GB2312" w:hAnsi="仿宋_GB2312" w:eastAsia="仿宋_GB2312" w:cs="仿宋_GB2312"/>
                <w:sz w:val="28"/>
                <w:szCs w:val="28"/>
              </w:rPr>
            </w:pPr>
          </w:p>
          <w:p>
            <w:pPr>
              <w:ind w:firstLine="0" w:firstLineChars="0"/>
              <w:rPr>
                <w:rFonts w:hint="eastAsia" w:ascii="仿宋_GB2312" w:hAnsi="仿宋_GB2312" w:eastAsia="仿宋_GB2312" w:cs="仿宋_GB2312"/>
                <w:sz w:val="28"/>
                <w:szCs w:val="28"/>
              </w:rPr>
            </w:pPr>
          </w:p>
        </w:tc>
        <w:tc>
          <w:tcPr>
            <w:tcW w:w="1969" w:type="dxa"/>
            <w:vAlign w:val="top"/>
          </w:tcPr>
          <w:p>
            <w:pPr>
              <w:widowControl/>
              <w:ind w:firstLine="0" w:firstLineChars="0"/>
              <w:jc w:val="left"/>
              <w:rPr>
                <w:rFonts w:hint="eastAsia" w:ascii="仿宋_GB2312" w:hAnsi="仿宋_GB2312" w:eastAsia="仿宋_GB2312" w:cs="仿宋_GB2312"/>
                <w:sz w:val="28"/>
                <w:szCs w:val="28"/>
              </w:rPr>
            </w:pPr>
          </w:p>
          <w:p>
            <w:pPr>
              <w:ind w:firstLine="0" w:firstLineChars="0"/>
              <w:rPr>
                <w:rFonts w:hint="eastAsia" w:ascii="仿宋_GB2312" w:hAnsi="仿宋_GB2312" w:eastAsia="仿宋_GB2312" w:cs="仿宋_GB2312"/>
                <w:sz w:val="28"/>
                <w:szCs w:val="28"/>
              </w:rPr>
            </w:pPr>
          </w:p>
        </w:tc>
        <w:tc>
          <w:tcPr>
            <w:tcW w:w="1811" w:type="dxa"/>
            <w:vAlign w:val="top"/>
          </w:tcPr>
          <w:p>
            <w:pPr>
              <w:ind w:firstLine="0" w:firstLineChars="0"/>
              <w:rPr>
                <w:rFonts w:hint="eastAsia" w:ascii="仿宋_GB2312" w:hAnsi="仿宋_GB2312" w:eastAsia="仿宋_GB2312" w:cs="仿宋_GB2312"/>
                <w:sz w:val="28"/>
                <w:szCs w:val="28"/>
              </w:rPr>
            </w:pPr>
          </w:p>
        </w:tc>
      </w:tr>
    </w:tbl>
    <w:p>
      <w:pPr>
        <w:adjustRightInd w:val="0"/>
        <w:snapToGrid w:val="0"/>
        <w:spacing w:line="400" w:lineRule="exact"/>
        <w:ind w:firstLine="6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注：投标人要将响应文件与</w:t>
      </w:r>
      <w:r>
        <w:rPr>
          <w:rFonts w:hint="eastAsia" w:ascii="仿宋_GB2312" w:hAnsi="仿宋_GB2312" w:eastAsia="仿宋_GB2312" w:cs="仿宋_GB2312"/>
          <w:sz w:val="28"/>
          <w:szCs w:val="28"/>
          <w:lang w:eastAsia="zh-CN"/>
        </w:rPr>
        <w:t>公开招标</w:t>
      </w:r>
      <w:r>
        <w:rPr>
          <w:rFonts w:hint="eastAsia" w:ascii="仿宋_GB2312" w:hAnsi="仿宋_GB2312" w:eastAsia="仿宋_GB2312" w:cs="仿宋_GB2312"/>
          <w:sz w:val="28"/>
          <w:szCs w:val="28"/>
        </w:rPr>
        <w:t>文件在商务部分的差异之处汇集成此表。偏离情况处填写“正偏离、负偏离、无偏离”，投标方必须详细填写偏离表，偏离表未声明事项视为认同</w:t>
      </w:r>
      <w:r>
        <w:rPr>
          <w:rFonts w:hint="eastAsia" w:ascii="仿宋_GB2312" w:hAnsi="仿宋_GB2312" w:eastAsia="仿宋_GB2312" w:cs="仿宋_GB2312"/>
          <w:sz w:val="28"/>
          <w:szCs w:val="28"/>
          <w:lang w:eastAsia="zh-CN"/>
        </w:rPr>
        <w:t>公开招标</w:t>
      </w:r>
      <w:r>
        <w:rPr>
          <w:rFonts w:hint="eastAsia" w:ascii="仿宋_GB2312" w:hAnsi="仿宋_GB2312" w:eastAsia="仿宋_GB2312" w:cs="仿宋_GB2312"/>
          <w:sz w:val="28"/>
          <w:szCs w:val="28"/>
        </w:rPr>
        <w:t>文件标准。</w:t>
      </w:r>
    </w:p>
    <w:p>
      <w:pPr>
        <w:ind w:firstLine="480"/>
        <w:rPr>
          <w:rFonts w:hint="eastAsia" w:ascii="仿宋_GB2312" w:hAnsi="仿宋_GB2312" w:eastAsia="仿宋_GB2312" w:cs="仿宋_GB2312"/>
          <w:sz w:val="28"/>
          <w:szCs w:val="28"/>
        </w:rPr>
      </w:pPr>
    </w:p>
    <w:p>
      <w:pPr>
        <w:ind w:firstLine="480"/>
        <w:rPr>
          <w:rFonts w:hint="eastAsia" w:ascii="仿宋_GB2312" w:hAnsi="仿宋_GB2312" w:eastAsia="仿宋_GB2312" w:cs="仿宋_GB2312"/>
          <w:sz w:val="28"/>
          <w:szCs w:val="28"/>
        </w:rPr>
      </w:pPr>
    </w:p>
    <w:p>
      <w:pPr>
        <w:ind w:firstLine="480"/>
        <w:rPr>
          <w:rFonts w:hint="eastAsia" w:ascii="仿宋_GB2312" w:hAnsi="仿宋_GB2312" w:eastAsia="仿宋_GB2312" w:cs="仿宋_GB2312"/>
          <w:sz w:val="28"/>
          <w:szCs w:val="28"/>
        </w:rPr>
      </w:pPr>
    </w:p>
    <w:p>
      <w:pPr>
        <w:topLinePunct w:val="1"/>
        <w:spacing w:line="440" w:lineRule="exact"/>
        <w:ind w:left="0" w:leftChars="0"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投标供应商：</w:t>
      </w:r>
      <w:r>
        <w:rPr>
          <w:rFonts w:hint="eastAsia" w:ascii="仿宋_GB2312" w:hAnsi="仿宋_GB2312" w:eastAsia="仿宋_GB2312" w:cs="仿宋_GB2312"/>
          <w:bCs/>
          <w:sz w:val="28"/>
          <w:szCs w:val="28"/>
          <w:u w:val="single"/>
        </w:rPr>
        <w:t xml:space="preserve">   （全称）（盖章）   </w:t>
      </w:r>
    </w:p>
    <w:p>
      <w:pPr>
        <w:spacing w:line="440" w:lineRule="exact"/>
        <w:rPr>
          <w:rFonts w:hint="eastAsia" w:ascii="仿宋_GB2312" w:hAnsi="仿宋_GB2312" w:eastAsia="仿宋_GB2312" w:cs="仿宋_GB2312"/>
          <w:sz w:val="28"/>
          <w:szCs w:val="28"/>
        </w:rPr>
      </w:pPr>
    </w:p>
    <w:p>
      <w:pPr>
        <w:spacing w:line="4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法定代表人或授权代理人：（签字或盖章） </w:t>
      </w:r>
    </w:p>
    <w:p>
      <w:pPr>
        <w:spacing w:line="4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pStyle w:val="43"/>
        <w:widowControl w:val="0"/>
        <w:spacing w:line="440" w:lineRule="exact"/>
        <w:ind w:left="0" w:leftChars="0"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日期：</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p>
    <w:p>
      <w:pPr>
        <w:ind w:firstLine="480"/>
        <w:rPr>
          <w:rFonts w:hint="eastAsia" w:ascii="仿宋_GB2312" w:hAnsi="仿宋_GB2312" w:eastAsia="仿宋_GB2312" w:cs="仿宋_GB2312"/>
          <w:sz w:val="28"/>
          <w:szCs w:val="28"/>
        </w:rPr>
      </w:pPr>
    </w:p>
    <w:p>
      <w:pPr>
        <w:pStyle w:val="27"/>
        <w:rPr>
          <w:rFonts w:hint="eastAsia"/>
        </w:rPr>
      </w:pPr>
    </w:p>
    <w:p>
      <w:pPr>
        <w:ind w:left="0" w:leftChars="0" w:firstLine="0" w:firstLineChars="0"/>
        <w:jc w:val="center"/>
        <w:outlineLvl w:val="1"/>
        <w:rPr>
          <w:rFonts w:hint="eastAsia" w:ascii="宋体" w:hAnsi="宋体" w:eastAsia="宋体" w:cs="宋体"/>
          <w:b/>
          <w:sz w:val="32"/>
          <w:szCs w:val="32"/>
        </w:rPr>
      </w:pPr>
      <w:bookmarkStart w:id="162" w:name="_Toc30240_WPSOffice_Level1"/>
      <w:r>
        <w:rPr>
          <w:rFonts w:hint="eastAsia" w:ascii="宋体" w:hAnsi="宋体" w:eastAsia="宋体" w:cs="宋体"/>
          <w:b/>
          <w:sz w:val="32"/>
          <w:szCs w:val="32"/>
        </w:rPr>
        <w:t>（十） 其他有利资料</w:t>
      </w:r>
      <w:bookmarkEnd w:id="162"/>
    </w:p>
    <w:p>
      <w:pPr>
        <w:tabs>
          <w:tab w:val="left" w:pos="2940"/>
        </w:tabs>
        <w:ind w:firstLine="480"/>
        <w:jc w:val="left"/>
        <w:rPr>
          <w:bCs/>
          <w:sz w:val="24"/>
        </w:rPr>
      </w:pPr>
    </w:p>
    <w:p>
      <w:pPr>
        <w:tabs>
          <w:tab w:val="left" w:pos="2940"/>
        </w:tabs>
        <w:ind w:firstLine="480"/>
        <w:jc w:val="left"/>
        <w:rPr>
          <w:rFonts w:hint="eastAsia" w:ascii="仿宋_GB2312" w:hAnsi="仿宋_GB2312" w:eastAsia="仿宋_GB2312" w:cs="仿宋_GB2312"/>
          <w:bCs/>
          <w:sz w:val="28"/>
          <w:szCs w:val="28"/>
        </w:rPr>
      </w:pPr>
      <w:bookmarkStart w:id="163" w:name="_Toc3406_WPSOffice_Level2"/>
      <w:r>
        <w:rPr>
          <w:rFonts w:hint="eastAsia" w:ascii="仿宋_GB2312" w:hAnsi="仿宋_GB2312" w:eastAsia="仿宋_GB2312" w:cs="仿宋_GB2312"/>
          <w:bCs/>
          <w:sz w:val="28"/>
          <w:szCs w:val="28"/>
        </w:rPr>
        <w:t>1.其他有利资料。</w:t>
      </w:r>
      <w:bookmarkEnd w:id="163"/>
    </w:p>
    <w:p>
      <w:pPr>
        <w:ind w:firstLine="602"/>
        <w:rPr>
          <w:b/>
          <w:sz w:val="30"/>
        </w:rPr>
      </w:pPr>
    </w:p>
    <w:p>
      <w:pPr>
        <w:ind w:firstLine="602"/>
        <w:rPr>
          <w:b/>
          <w:sz w:val="30"/>
        </w:rPr>
      </w:pPr>
    </w:p>
    <w:p>
      <w:pPr>
        <w:ind w:firstLine="602"/>
        <w:rPr>
          <w:b/>
          <w:sz w:val="30"/>
        </w:rPr>
      </w:pPr>
    </w:p>
    <w:p>
      <w:pPr>
        <w:ind w:firstLine="602"/>
        <w:rPr>
          <w:b/>
          <w:sz w:val="30"/>
        </w:rPr>
      </w:pPr>
    </w:p>
    <w:p>
      <w:pPr>
        <w:ind w:firstLine="562"/>
        <w:rPr>
          <w:b/>
          <w:sz w:val="28"/>
          <w:szCs w:val="28"/>
        </w:rPr>
      </w:pPr>
    </w:p>
    <w:p>
      <w:pPr>
        <w:widowControl/>
        <w:tabs>
          <w:tab w:val="left" w:pos="3568"/>
        </w:tabs>
        <w:spacing w:before="100" w:beforeAutospacing="1" w:after="100" w:afterAutospacing="1" w:line="480" w:lineRule="exact"/>
        <w:ind w:firstLine="602"/>
        <w:jc w:val="both"/>
        <w:outlineLvl w:val="1"/>
        <w:rPr>
          <w:rFonts w:hint="eastAsia"/>
          <w:b/>
          <w:sz w:val="30"/>
          <w:szCs w:val="30"/>
        </w:rPr>
      </w:pPr>
    </w:p>
    <w:p>
      <w:pPr>
        <w:widowControl/>
        <w:tabs>
          <w:tab w:val="left" w:pos="3568"/>
        </w:tabs>
        <w:spacing w:before="100" w:beforeAutospacing="1" w:after="100" w:afterAutospacing="1" w:line="480" w:lineRule="exact"/>
        <w:ind w:firstLine="602"/>
        <w:jc w:val="both"/>
        <w:outlineLvl w:val="1"/>
        <w:rPr>
          <w:rFonts w:hint="eastAsia"/>
          <w:b/>
          <w:sz w:val="30"/>
          <w:szCs w:val="30"/>
        </w:rPr>
      </w:pPr>
    </w:p>
    <w:p>
      <w:pPr>
        <w:widowControl/>
        <w:tabs>
          <w:tab w:val="left" w:pos="3568"/>
        </w:tabs>
        <w:spacing w:before="100" w:beforeAutospacing="1" w:after="100" w:afterAutospacing="1" w:line="480" w:lineRule="exact"/>
        <w:ind w:firstLine="602"/>
        <w:jc w:val="both"/>
        <w:outlineLvl w:val="1"/>
        <w:rPr>
          <w:rFonts w:hint="eastAsia"/>
          <w:b/>
          <w:sz w:val="30"/>
          <w:szCs w:val="30"/>
        </w:rPr>
      </w:pPr>
    </w:p>
    <w:p>
      <w:pPr>
        <w:widowControl/>
        <w:tabs>
          <w:tab w:val="left" w:pos="3568"/>
        </w:tabs>
        <w:spacing w:before="100" w:beforeAutospacing="1" w:after="100" w:afterAutospacing="1" w:line="480" w:lineRule="exact"/>
        <w:ind w:firstLine="602"/>
        <w:jc w:val="both"/>
        <w:outlineLvl w:val="1"/>
        <w:rPr>
          <w:rFonts w:hint="eastAsia"/>
          <w:b/>
          <w:sz w:val="30"/>
          <w:szCs w:val="30"/>
        </w:rPr>
      </w:pPr>
    </w:p>
    <w:p>
      <w:pPr>
        <w:widowControl/>
        <w:tabs>
          <w:tab w:val="left" w:pos="3568"/>
        </w:tabs>
        <w:spacing w:before="100" w:beforeAutospacing="1" w:after="100" w:afterAutospacing="1" w:line="480" w:lineRule="exact"/>
        <w:ind w:firstLine="602"/>
        <w:jc w:val="both"/>
        <w:outlineLvl w:val="1"/>
        <w:rPr>
          <w:rFonts w:hint="eastAsia"/>
          <w:b/>
          <w:sz w:val="30"/>
          <w:szCs w:val="30"/>
        </w:rPr>
      </w:pPr>
    </w:p>
    <w:p>
      <w:pPr>
        <w:widowControl/>
        <w:tabs>
          <w:tab w:val="left" w:pos="3568"/>
        </w:tabs>
        <w:spacing w:before="100" w:beforeAutospacing="1" w:after="100" w:afterAutospacing="1" w:line="480" w:lineRule="exact"/>
        <w:ind w:firstLine="602"/>
        <w:jc w:val="both"/>
        <w:outlineLvl w:val="1"/>
        <w:rPr>
          <w:rFonts w:hint="eastAsia"/>
          <w:b/>
          <w:sz w:val="30"/>
          <w:szCs w:val="30"/>
        </w:rPr>
      </w:pPr>
    </w:p>
    <w:p>
      <w:pPr>
        <w:widowControl/>
        <w:tabs>
          <w:tab w:val="left" w:pos="3568"/>
        </w:tabs>
        <w:spacing w:before="100" w:beforeAutospacing="1" w:after="100" w:afterAutospacing="1" w:line="480" w:lineRule="exact"/>
        <w:ind w:firstLine="602"/>
        <w:jc w:val="both"/>
        <w:outlineLvl w:val="1"/>
        <w:rPr>
          <w:rFonts w:hint="eastAsia"/>
          <w:b/>
          <w:sz w:val="30"/>
          <w:szCs w:val="30"/>
        </w:rPr>
      </w:pPr>
    </w:p>
    <w:p>
      <w:pPr>
        <w:widowControl/>
        <w:tabs>
          <w:tab w:val="left" w:pos="3568"/>
        </w:tabs>
        <w:spacing w:before="100" w:beforeAutospacing="1" w:after="100" w:afterAutospacing="1" w:line="480" w:lineRule="exact"/>
        <w:ind w:firstLine="602"/>
        <w:jc w:val="both"/>
        <w:outlineLvl w:val="1"/>
        <w:rPr>
          <w:rFonts w:hint="eastAsia"/>
          <w:b/>
          <w:sz w:val="30"/>
          <w:szCs w:val="30"/>
        </w:rPr>
      </w:pPr>
    </w:p>
    <w:p>
      <w:pPr>
        <w:widowControl/>
        <w:tabs>
          <w:tab w:val="left" w:pos="3568"/>
        </w:tabs>
        <w:spacing w:before="100" w:beforeAutospacing="1" w:after="100" w:afterAutospacing="1" w:line="480" w:lineRule="exact"/>
        <w:ind w:firstLine="602"/>
        <w:jc w:val="both"/>
        <w:outlineLvl w:val="1"/>
        <w:rPr>
          <w:rFonts w:hint="eastAsia"/>
          <w:b/>
          <w:sz w:val="30"/>
          <w:szCs w:val="30"/>
        </w:rPr>
      </w:pPr>
    </w:p>
    <w:p>
      <w:pPr>
        <w:widowControl/>
        <w:tabs>
          <w:tab w:val="left" w:pos="3568"/>
        </w:tabs>
        <w:spacing w:before="100" w:beforeAutospacing="1" w:after="100" w:afterAutospacing="1" w:line="480" w:lineRule="exact"/>
        <w:ind w:firstLine="602"/>
        <w:jc w:val="both"/>
        <w:outlineLvl w:val="1"/>
        <w:rPr>
          <w:rFonts w:hint="eastAsia"/>
          <w:b/>
          <w:sz w:val="30"/>
          <w:szCs w:val="30"/>
          <w:lang w:val="en-US" w:eastAsia="zh-CN"/>
        </w:rPr>
      </w:pPr>
      <w:r>
        <w:rPr>
          <w:rFonts w:hint="eastAsia"/>
          <w:b/>
          <w:sz w:val="30"/>
          <w:szCs w:val="30"/>
          <w:lang w:val="en-US" w:eastAsia="zh-CN"/>
        </w:rPr>
        <w:t xml:space="preserve">       </w:t>
      </w:r>
    </w:p>
    <w:p>
      <w:pPr>
        <w:widowControl/>
        <w:tabs>
          <w:tab w:val="left" w:pos="3568"/>
        </w:tabs>
        <w:spacing w:before="100" w:beforeAutospacing="1" w:after="100" w:afterAutospacing="1" w:line="480" w:lineRule="exact"/>
        <w:ind w:firstLine="602"/>
        <w:jc w:val="center"/>
        <w:outlineLvl w:val="1"/>
        <w:rPr>
          <w:b/>
          <w:sz w:val="30"/>
        </w:rPr>
      </w:pPr>
      <w:r>
        <w:rPr>
          <w:rFonts w:hint="eastAsia"/>
          <w:b/>
          <w:sz w:val="30"/>
          <w:szCs w:val="30"/>
          <w:lang w:val="en-US" w:eastAsia="zh-CN"/>
        </w:rPr>
        <w:br w:type="page"/>
      </w:r>
      <w:r>
        <w:rPr>
          <w:rFonts w:hint="eastAsia"/>
          <w:b/>
          <w:sz w:val="30"/>
          <w:szCs w:val="30"/>
          <w:lang w:val="en-US" w:eastAsia="zh-CN"/>
        </w:rPr>
        <w:t xml:space="preserve"> </w:t>
      </w:r>
      <w:bookmarkStart w:id="164" w:name="_Toc10452_WPSOffice_Level1"/>
      <w:r>
        <w:rPr>
          <w:rFonts w:hint="eastAsia" w:ascii="宋体" w:hAnsi="宋体" w:eastAsia="宋体" w:cs="宋体"/>
          <w:b/>
          <w:sz w:val="32"/>
          <w:szCs w:val="32"/>
        </w:rPr>
        <w:t>（十一）投标单位反商业贿赂承诺书</w:t>
      </w:r>
      <w:bookmarkEnd w:id="164"/>
    </w:p>
    <w:p>
      <w:pPr>
        <w:widowControl/>
        <w:spacing w:before="100" w:beforeAutospacing="1" w:after="100" w:afterAutospacing="1" w:line="480" w:lineRule="exact"/>
        <w:ind w:firstLine="602"/>
        <w:jc w:val="center"/>
        <w:rPr>
          <w:b/>
          <w:sz w:val="30"/>
        </w:rPr>
      </w:pPr>
      <w:r>
        <w:rPr>
          <w:rFonts w:hint="eastAsia"/>
          <w:b/>
          <w:sz w:val="30"/>
        </w:rPr>
        <w:t xml:space="preserve">  </w:t>
      </w:r>
      <w:bookmarkStart w:id="165" w:name="_Toc6722_WPSOffice_Level1"/>
      <w:r>
        <w:rPr>
          <w:rFonts w:hint="eastAsia"/>
          <w:b/>
          <w:sz w:val="30"/>
        </w:rPr>
        <w:t>承诺书（1）</w:t>
      </w:r>
      <w:bookmarkEnd w:id="165"/>
    </w:p>
    <w:p>
      <w:pPr>
        <w:widowControl/>
        <w:autoSpaceDE w:val="0"/>
        <w:spacing w:before="100" w:beforeAutospacing="1" w:after="100" w:afterAutospacing="1" w:line="440" w:lineRule="exact"/>
        <w:ind w:firstLine="48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我公司承诺在</w:t>
      </w:r>
      <w:r>
        <w:rPr>
          <w:rFonts w:hint="eastAsia" w:ascii="仿宋_GB2312" w:hAnsi="仿宋_GB2312" w:eastAsia="仿宋_GB2312" w:cs="仿宋_GB2312"/>
          <w:sz w:val="28"/>
          <w:szCs w:val="28"/>
          <w:u w:val="single"/>
        </w:rPr>
        <w:t>（项目编号、项目名称）</w:t>
      </w:r>
      <w:r>
        <w:rPr>
          <w:rFonts w:hint="eastAsia" w:ascii="仿宋_GB2312" w:hAnsi="仿宋_GB2312" w:eastAsia="仿宋_GB2312" w:cs="仿宋_GB2312"/>
          <w:sz w:val="28"/>
          <w:szCs w:val="28"/>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pPr>
        <w:topLinePunct w:val="1"/>
        <w:spacing w:line="440" w:lineRule="exact"/>
        <w:rPr>
          <w:rFonts w:hint="eastAsia" w:ascii="仿宋_GB2312" w:hAnsi="仿宋_GB2312" w:eastAsia="仿宋_GB2312" w:cs="仿宋_GB2312"/>
          <w:bCs/>
          <w:sz w:val="28"/>
          <w:szCs w:val="28"/>
          <w:u w:val="single"/>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投标供应商：</w:t>
      </w:r>
      <w:r>
        <w:rPr>
          <w:rFonts w:hint="eastAsia" w:ascii="仿宋_GB2312" w:hAnsi="仿宋_GB2312" w:eastAsia="仿宋_GB2312" w:cs="仿宋_GB2312"/>
          <w:bCs/>
          <w:sz w:val="28"/>
          <w:szCs w:val="28"/>
          <w:u w:val="single"/>
        </w:rPr>
        <w:t xml:space="preserve">   （全称）（盖章）   </w:t>
      </w:r>
    </w:p>
    <w:p>
      <w:pPr>
        <w:pStyle w:val="29"/>
        <w:rPr>
          <w:rFonts w:hint="eastAsia"/>
        </w:rPr>
      </w:pPr>
    </w:p>
    <w:p>
      <w:pPr>
        <w:spacing w:line="4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法定代表人或授权代理人：（签字或盖章） </w:t>
      </w:r>
    </w:p>
    <w:p>
      <w:pPr>
        <w:spacing w:line="4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pStyle w:val="43"/>
        <w:widowControl w:val="0"/>
        <w:spacing w:line="440" w:lineRule="exact"/>
        <w:ind w:left="0" w:leftChars="0"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日期：</w:t>
      </w:r>
      <w:r>
        <w:rPr>
          <w:rFonts w:hint="eastAsia" w:ascii="仿宋_GB2312" w:hAnsi="仿宋_GB2312" w:eastAsia="仿宋_GB2312" w:cs="仿宋_GB2312"/>
          <w:sz w:val="28"/>
          <w:szCs w:val="28"/>
          <w:lang w:val="en-US" w:eastAsia="zh-CN"/>
        </w:rPr>
        <w:t>2021</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p>
    <w:p>
      <w:pPr>
        <w:spacing w:line="360" w:lineRule="exact"/>
        <w:ind w:firstLine="480"/>
        <w:rPr>
          <w:rFonts w:hint="eastAsia" w:ascii="仿宋_GB2312" w:hAnsi="仿宋_GB2312" w:eastAsia="仿宋_GB2312" w:cs="仿宋_GB2312"/>
          <w:b/>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sz w:val="28"/>
          <w:szCs w:val="28"/>
        </w:rPr>
        <w:t xml:space="preserve">               </w:t>
      </w:r>
    </w:p>
    <w:p>
      <w:pPr>
        <w:spacing w:line="440" w:lineRule="exact"/>
        <w:ind w:firstLine="602"/>
        <w:rPr>
          <w:b/>
          <w:sz w:val="30"/>
          <w:szCs w:val="30"/>
        </w:rPr>
      </w:pPr>
      <w:r>
        <w:rPr>
          <w:rFonts w:hint="eastAsia"/>
          <w:b/>
          <w:sz w:val="30"/>
          <w:szCs w:val="30"/>
        </w:rPr>
        <w:t xml:space="preserve">                        </w:t>
      </w:r>
    </w:p>
    <w:p>
      <w:pPr>
        <w:ind w:firstLine="602"/>
        <w:rPr>
          <w:b/>
          <w:sz w:val="30"/>
          <w:szCs w:val="30"/>
        </w:rPr>
      </w:pPr>
      <w:r>
        <w:rPr>
          <w:rFonts w:hint="eastAsia"/>
          <w:b/>
          <w:sz w:val="30"/>
          <w:szCs w:val="30"/>
        </w:rPr>
        <w:br w:type="page"/>
      </w:r>
    </w:p>
    <w:p>
      <w:pPr>
        <w:spacing w:line="440" w:lineRule="exact"/>
        <w:ind w:firstLine="602"/>
        <w:jc w:val="center"/>
        <w:rPr>
          <w:b/>
          <w:sz w:val="30"/>
          <w:szCs w:val="30"/>
        </w:rPr>
      </w:pPr>
      <w:bookmarkStart w:id="166" w:name="_Toc1128_WPSOffice_Level1"/>
      <w:r>
        <w:rPr>
          <w:rFonts w:hint="eastAsia"/>
          <w:b/>
          <w:sz w:val="30"/>
          <w:szCs w:val="30"/>
        </w:rPr>
        <w:t>承诺书（2）</w:t>
      </w:r>
      <w:bookmarkEnd w:id="166"/>
    </w:p>
    <w:p>
      <w:pPr>
        <w:spacing w:line="440" w:lineRule="exact"/>
        <w:ind w:firstLine="602"/>
        <w:rPr>
          <w:b/>
          <w:sz w:val="30"/>
          <w:szCs w:val="30"/>
        </w:rPr>
      </w:pPr>
    </w:p>
    <w:p>
      <w:pPr>
        <w:spacing w:line="420" w:lineRule="exact"/>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投标单位承诺书 </w:t>
      </w:r>
    </w:p>
    <w:p>
      <w:pPr>
        <w:autoSpaceDE w:val="0"/>
        <w:spacing w:line="420" w:lineRule="exact"/>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我公司承诺在参加本次</w:t>
      </w:r>
      <w:r>
        <w:rPr>
          <w:rFonts w:hint="eastAsia" w:ascii="仿宋_GB2312" w:hAnsi="仿宋_GB2312" w:eastAsia="仿宋_GB2312" w:cs="仿宋_GB2312"/>
          <w:sz w:val="28"/>
          <w:szCs w:val="28"/>
          <w:u w:val="single"/>
        </w:rPr>
        <w:t>（项目编号、项目名称）</w:t>
      </w:r>
      <w:r>
        <w:rPr>
          <w:rFonts w:hint="eastAsia" w:ascii="仿宋_GB2312" w:hAnsi="仿宋_GB2312" w:eastAsia="仿宋_GB2312" w:cs="仿宋_GB2312"/>
          <w:sz w:val="28"/>
          <w:szCs w:val="28"/>
        </w:rPr>
        <w:t>投标前三年内，无以下行为：</w:t>
      </w:r>
    </w:p>
    <w:p>
      <w:pPr>
        <w:spacing w:line="420" w:lineRule="exact"/>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重大违法行为；</w:t>
      </w:r>
    </w:p>
    <w:p>
      <w:pPr>
        <w:spacing w:line="420" w:lineRule="exact"/>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商业贿赂行为；</w:t>
      </w:r>
    </w:p>
    <w:p>
      <w:pPr>
        <w:spacing w:line="420" w:lineRule="exact"/>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政府采购法《第七十七条》，列入不良行为记录名单的各种行为；</w:t>
      </w:r>
    </w:p>
    <w:p>
      <w:pPr>
        <w:spacing w:line="420" w:lineRule="exact"/>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如有上述行为，我公司及项目参与人员自愿放弃本次项目的投标、报价资格，若为预中标、成交人，也自愿放弃中标、成交资格。 </w:t>
      </w:r>
    </w:p>
    <w:p>
      <w:pPr>
        <w:topLinePunct w:val="1"/>
        <w:spacing w:line="440" w:lineRule="exact"/>
        <w:ind w:firstLine="2520" w:firstLineChars="9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topLinePunct w:val="1"/>
        <w:spacing w:line="440" w:lineRule="exact"/>
        <w:rPr>
          <w:rFonts w:hint="eastAsia" w:ascii="仿宋_GB2312" w:hAnsi="仿宋_GB2312" w:eastAsia="仿宋_GB2312" w:cs="仿宋_GB2312"/>
          <w:bCs/>
          <w:sz w:val="28"/>
          <w:szCs w:val="28"/>
          <w:u w:val="single"/>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投标供应商：</w:t>
      </w:r>
      <w:r>
        <w:rPr>
          <w:rFonts w:hint="eastAsia" w:ascii="仿宋_GB2312" w:hAnsi="仿宋_GB2312" w:eastAsia="仿宋_GB2312" w:cs="仿宋_GB2312"/>
          <w:bCs/>
          <w:sz w:val="28"/>
          <w:szCs w:val="28"/>
          <w:u w:val="single"/>
        </w:rPr>
        <w:t xml:space="preserve">   （全称）（盖章）   </w:t>
      </w:r>
    </w:p>
    <w:p>
      <w:pPr>
        <w:pStyle w:val="29"/>
        <w:rPr>
          <w:rFonts w:hint="eastAsia"/>
        </w:rPr>
      </w:pPr>
    </w:p>
    <w:p>
      <w:pPr>
        <w:spacing w:line="4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法定代表人或授权代理人：（签字或盖章） </w:t>
      </w:r>
    </w:p>
    <w:p>
      <w:pPr>
        <w:spacing w:line="4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pStyle w:val="43"/>
        <w:widowControl w:val="0"/>
        <w:spacing w:line="4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日期：</w:t>
      </w:r>
      <w:r>
        <w:rPr>
          <w:rFonts w:hint="eastAsia" w:ascii="仿宋_GB2312" w:hAnsi="仿宋_GB2312" w:eastAsia="仿宋_GB2312" w:cs="仿宋_GB2312"/>
          <w:sz w:val="28"/>
          <w:szCs w:val="28"/>
          <w:lang w:val="en-US" w:eastAsia="zh-CN"/>
        </w:rPr>
        <w:t>2021</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p>
    <w:p>
      <w:pPr>
        <w:jc w:val="center"/>
        <w:rPr>
          <w:rFonts w:hint="eastAsia" w:ascii="宋体" w:hAnsi="宋体" w:cs="仿宋"/>
          <w:b/>
          <w:bCs/>
          <w:sz w:val="36"/>
          <w:szCs w:val="36"/>
        </w:rPr>
      </w:pPr>
    </w:p>
    <w:p>
      <w:pPr>
        <w:jc w:val="center"/>
        <w:rPr>
          <w:rFonts w:hint="eastAsia" w:ascii="宋体" w:hAnsi="宋体" w:cs="仿宋"/>
          <w:b/>
          <w:bCs/>
          <w:sz w:val="36"/>
          <w:szCs w:val="36"/>
        </w:rPr>
      </w:pPr>
    </w:p>
    <w:p>
      <w:pPr>
        <w:jc w:val="center"/>
        <w:rPr>
          <w:rFonts w:hint="eastAsia" w:ascii="宋体" w:hAnsi="宋体" w:cs="仿宋"/>
          <w:b/>
          <w:bCs/>
          <w:sz w:val="36"/>
          <w:szCs w:val="36"/>
        </w:rPr>
      </w:pPr>
    </w:p>
    <w:p>
      <w:pPr>
        <w:jc w:val="center"/>
        <w:rPr>
          <w:rFonts w:hint="eastAsia" w:ascii="宋体" w:hAnsi="宋体" w:cs="仿宋"/>
          <w:b/>
          <w:bCs/>
          <w:sz w:val="36"/>
          <w:szCs w:val="36"/>
        </w:rPr>
      </w:pPr>
    </w:p>
    <w:p>
      <w:pPr>
        <w:jc w:val="center"/>
        <w:rPr>
          <w:rFonts w:hint="eastAsia" w:ascii="宋体" w:hAnsi="宋体" w:cs="仿宋"/>
          <w:b/>
          <w:bCs/>
          <w:sz w:val="36"/>
          <w:szCs w:val="36"/>
        </w:rPr>
      </w:pPr>
    </w:p>
    <w:p>
      <w:pPr>
        <w:jc w:val="center"/>
        <w:rPr>
          <w:rFonts w:hint="eastAsia" w:ascii="宋体" w:hAnsi="宋体" w:cs="仿宋"/>
          <w:b/>
          <w:bCs/>
          <w:sz w:val="36"/>
          <w:szCs w:val="36"/>
        </w:rPr>
      </w:pPr>
    </w:p>
    <w:p>
      <w:pPr>
        <w:jc w:val="center"/>
        <w:rPr>
          <w:rFonts w:hint="eastAsia" w:ascii="宋体" w:hAnsi="宋体" w:cs="仿宋"/>
          <w:b/>
          <w:bCs/>
          <w:sz w:val="36"/>
          <w:szCs w:val="36"/>
        </w:rPr>
      </w:pPr>
    </w:p>
    <w:p>
      <w:pPr>
        <w:jc w:val="center"/>
        <w:rPr>
          <w:rFonts w:hint="eastAsia" w:ascii="宋体" w:hAnsi="宋体" w:cs="仿宋"/>
          <w:b/>
          <w:bCs/>
          <w:sz w:val="36"/>
          <w:szCs w:val="36"/>
        </w:rPr>
      </w:pPr>
    </w:p>
    <w:p>
      <w:pPr>
        <w:jc w:val="center"/>
        <w:rPr>
          <w:rFonts w:hint="eastAsia" w:ascii="宋体" w:hAnsi="宋体" w:cs="仿宋"/>
          <w:b/>
          <w:bCs/>
          <w:sz w:val="36"/>
          <w:szCs w:val="36"/>
        </w:rPr>
      </w:pPr>
    </w:p>
    <w:p>
      <w:pPr>
        <w:ind w:left="0" w:leftChars="0" w:firstLine="0" w:firstLineChars="0"/>
        <w:jc w:val="both"/>
        <w:rPr>
          <w:rFonts w:hint="eastAsia" w:ascii="宋体" w:hAnsi="宋体" w:eastAsia="宋体" w:cs="宋体"/>
          <w:b/>
          <w:bCs/>
          <w:sz w:val="32"/>
          <w:szCs w:val="32"/>
          <w:lang w:val="en-US" w:eastAsia="zh-CN"/>
        </w:rPr>
      </w:pPr>
    </w:p>
    <w:p>
      <w:pPr>
        <w:ind w:left="0" w:leftChars="0" w:firstLine="0" w:firstLineChars="0"/>
        <w:jc w:val="both"/>
        <w:rPr>
          <w:rFonts w:hint="eastAsia" w:eastAsia="宋体" w:cs="宋体"/>
          <w:b/>
          <w:bCs/>
          <w:sz w:val="32"/>
          <w:szCs w:val="32"/>
          <w:lang w:val="en-US" w:eastAsia="zh-CN"/>
        </w:rPr>
      </w:pPr>
      <w:r>
        <w:rPr>
          <w:rFonts w:hint="eastAsia" w:eastAsia="宋体" w:cs="宋体"/>
          <w:b/>
          <w:bCs/>
          <w:sz w:val="32"/>
          <w:szCs w:val="32"/>
          <w:lang w:val="en-US" w:eastAsia="zh-CN"/>
        </w:rPr>
        <w:t xml:space="preserve">              </w:t>
      </w:r>
    </w:p>
    <w:p>
      <w:pPr>
        <w:ind w:left="0" w:leftChars="0" w:firstLine="0" w:firstLineChars="0"/>
        <w:jc w:val="both"/>
        <w:rPr>
          <w:rFonts w:hint="eastAsia" w:ascii="宋体" w:hAnsi="宋体" w:eastAsia="宋体" w:cs="宋体"/>
          <w:b/>
          <w:bCs/>
          <w:sz w:val="32"/>
          <w:szCs w:val="32"/>
        </w:rPr>
      </w:pPr>
      <w:r>
        <w:rPr>
          <w:rFonts w:hint="eastAsia" w:eastAsia="宋体" w:cs="宋体"/>
          <w:b/>
          <w:bCs/>
          <w:sz w:val="32"/>
          <w:szCs w:val="32"/>
          <w:lang w:val="en-US" w:eastAsia="zh-CN"/>
        </w:rPr>
        <w:t xml:space="preserve">               </w:t>
      </w:r>
      <w:r>
        <w:rPr>
          <w:rFonts w:hint="eastAsia" w:ascii="宋体" w:hAnsi="宋体" w:eastAsia="宋体" w:cs="宋体"/>
          <w:b/>
          <w:bCs/>
          <w:sz w:val="32"/>
          <w:szCs w:val="32"/>
          <w:lang w:val="en-US" w:eastAsia="zh-CN"/>
        </w:rPr>
        <w:t>（十二）</w:t>
      </w:r>
      <w:r>
        <w:rPr>
          <w:rFonts w:hint="eastAsia" w:eastAsia="宋体" w:cs="宋体"/>
          <w:b/>
          <w:bCs/>
          <w:sz w:val="32"/>
          <w:szCs w:val="32"/>
          <w:lang w:val="en-US" w:eastAsia="zh-CN"/>
        </w:rPr>
        <w:t>中</w:t>
      </w:r>
      <w:r>
        <w:rPr>
          <w:rFonts w:hint="eastAsia" w:ascii="宋体" w:hAnsi="宋体" w:eastAsia="宋体" w:cs="宋体"/>
          <w:b/>
          <w:bCs/>
          <w:sz w:val="32"/>
          <w:szCs w:val="32"/>
        </w:rPr>
        <w:t>小微企业声明函</w:t>
      </w:r>
    </w:p>
    <w:p>
      <w:pPr>
        <w:widowControl w:val="0"/>
        <w:wordWrap/>
        <w:adjustRightInd/>
        <w:snapToGrid/>
        <w:spacing w:before="0" w:after="0" w:line="560" w:lineRule="exact"/>
        <w:ind w:left="0" w:leftChars="0" w:right="0" w:firstLine="0" w:firstLineChars="0"/>
        <w:jc w:val="both"/>
        <w:textAlignment w:val="auto"/>
        <w:outlineLvl w:val="9"/>
        <w:rPr>
          <w:rFonts w:hint="eastAsia" w:eastAsia="宋体" w:cs="宋体"/>
          <w:b/>
          <w:bCs/>
          <w:sz w:val="32"/>
          <w:szCs w:val="32"/>
          <w:lang w:val="en-US" w:eastAsia="zh-CN"/>
        </w:rPr>
      </w:pPr>
      <w:r>
        <w:rPr>
          <w:rFonts w:hint="eastAsia" w:eastAsia="宋体" w:cs="宋体"/>
          <w:b/>
          <w:bCs/>
          <w:sz w:val="32"/>
          <w:szCs w:val="32"/>
          <w:lang w:val="en-US" w:eastAsia="zh-CN"/>
        </w:rPr>
        <w:t xml:space="preserve">    </w:t>
      </w:r>
    </w:p>
    <w:p>
      <w:pPr>
        <w:widowControl w:val="0"/>
        <w:wordWrap/>
        <w:adjustRightInd/>
        <w:snapToGrid/>
        <w:spacing w:before="0" w:after="0" w:line="560" w:lineRule="exact"/>
        <w:ind w:left="0" w:leftChars="0" w:right="0" w:firstLine="0" w:firstLineChars="0"/>
        <w:jc w:val="both"/>
        <w:textAlignment w:val="auto"/>
        <w:outlineLvl w:val="9"/>
        <w:rPr>
          <w:rFonts w:hint="eastAsia" w:ascii="仿宋_GB2312" w:hAnsi="仿宋_GB2312" w:eastAsia="仿宋_GB2312" w:cs="仿宋_GB2312"/>
          <w:sz w:val="28"/>
          <w:szCs w:val="28"/>
        </w:rPr>
      </w:pPr>
      <w:r>
        <w:rPr>
          <w:rFonts w:hint="eastAsia" w:eastAsia="宋体" w:cs="宋体"/>
          <w:b/>
          <w:bCs/>
          <w:sz w:val="32"/>
          <w:szCs w:val="32"/>
          <w:lang w:val="en-US" w:eastAsia="zh-CN"/>
        </w:rPr>
        <w:t xml:space="preserve">    </w:t>
      </w:r>
      <w:r>
        <w:rPr>
          <w:rFonts w:hint="eastAsia" w:eastAsia="宋体" w:cs="宋体"/>
          <w:b/>
          <w:bCs/>
          <w:sz w:val="28"/>
          <w:szCs w:val="28"/>
          <w:lang w:val="en-US" w:eastAsia="zh-CN"/>
        </w:rPr>
        <w:t xml:space="preserve"> </w:t>
      </w:r>
      <w:r>
        <w:rPr>
          <w:rFonts w:hint="eastAsia" w:ascii="仿宋_GB2312" w:hAnsi="仿宋_GB2312" w:eastAsia="仿宋_GB2312" w:cs="仿宋_GB2312"/>
          <w:sz w:val="28"/>
          <w:szCs w:val="28"/>
        </w:rPr>
        <w:t>本公司郑重声明，根据《政府采购促进中小企业发展暂行办法》（财库[2011]181号）的规定，本公司为（请填写：中型、小型、微型）企业。即，本公司同时满足以下条件：</w:t>
      </w:r>
    </w:p>
    <w:p>
      <w:pPr>
        <w:widowControl w:val="0"/>
        <w:wordWrap/>
        <w:adjustRightInd/>
        <w:snapToGrid/>
        <w:spacing w:before="0" w:after="0" w:line="560" w:lineRule="exact"/>
        <w:ind w:left="0" w:leftChars="0" w:right="0" w:firstLine="360" w:firstLineChars="15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1.根据《工业和信息化部、国家统计局、国家发展和改革委员会、财政部关于印发中小企业划型标准规定的通知》（工信部联企业[2011]300号）规定的划分标准，本公司为（请填写：中型、小型、微型）企业。</w:t>
      </w:r>
    </w:p>
    <w:p>
      <w:pPr>
        <w:widowControl w:val="0"/>
        <w:wordWrap/>
        <w:adjustRightInd/>
        <w:snapToGrid/>
        <w:spacing w:before="0" w:after="0" w:line="560" w:lineRule="exact"/>
        <w:ind w:left="0" w:leftChars="0" w:right="0" w:firstLine="360" w:firstLineChars="15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2.本公司参加单位的项目采购活动提供本企业制造的货物，由本企业承担工程、提供服务，或者提供其他（请填写：中型、小型、微型）企业制造的货物。本条所称货物不包括使用大型企业注册商标的货物。</w:t>
      </w:r>
    </w:p>
    <w:p>
      <w:pPr>
        <w:widowControl w:val="0"/>
        <w:wordWrap/>
        <w:adjustRightInd/>
        <w:snapToGrid/>
        <w:spacing w:before="0" w:after="0" w:line="560" w:lineRule="exact"/>
        <w:ind w:left="0" w:leftChars="0" w:right="0" w:firstLine="360" w:firstLineChars="15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本公司对上述声明的真实性负责。如有虚假，将依法承担相应责任。</w:t>
      </w:r>
    </w:p>
    <w:p>
      <w:pPr>
        <w:widowControl w:val="0"/>
        <w:wordWrap/>
        <w:adjustRightInd/>
        <w:snapToGrid/>
        <w:spacing w:before="0" w:after="0" w:line="560" w:lineRule="exact"/>
        <w:ind w:left="0" w:leftChars="0" w:right="0" w:firstLine="0" w:firstLine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投标人名称（盖单位章）：</w:t>
      </w:r>
    </w:p>
    <w:p>
      <w:pPr>
        <w:widowControl w:val="0"/>
        <w:wordWrap/>
        <w:adjustRightInd/>
        <w:snapToGrid/>
        <w:spacing w:before="0" w:after="0" w:line="560" w:lineRule="exact"/>
        <w:ind w:left="0" w:leftChars="0" w:right="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法定代表人或其委托代理人签字：</w:t>
      </w:r>
    </w:p>
    <w:p>
      <w:pPr>
        <w:widowControl w:val="0"/>
        <w:wordWrap/>
        <w:adjustRightInd/>
        <w:snapToGrid/>
        <w:spacing w:before="0" w:after="0" w:line="560" w:lineRule="exact"/>
        <w:ind w:left="0" w:leftChars="0" w:right="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日期：        年    月    日</w:t>
      </w:r>
    </w:p>
    <w:p>
      <w:pPr>
        <w:widowControl w:val="0"/>
        <w:wordWrap/>
        <w:adjustRightInd/>
        <w:snapToGrid/>
        <w:spacing w:before="0" w:after="0" w:line="560" w:lineRule="exact"/>
        <w:ind w:left="0" w:leftChars="0" w:right="0"/>
        <w:jc w:val="both"/>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b/>
          <w:bCs/>
          <w:sz w:val="28"/>
          <w:szCs w:val="28"/>
        </w:rPr>
        <w:t>说明：</w:t>
      </w:r>
      <w:r>
        <w:rPr>
          <w:rFonts w:hint="eastAsia" w:ascii="仿宋_GB2312" w:hAnsi="仿宋_GB2312" w:eastAsia="仿宋_GB2312" w:cs="仿宋_GB2312"/>
          <w:spacing w:val="5"/>
          <w:kern w:val="0"/>
          <w:sz w:val="28"/>
          <w:szCs w:val="28"/>
        </w:rPr>
        <w:t>1</w:t>
      </w:r>
      <w:r>
        <w:rPr>
          <w:rFonts w:hint="eastAsia" w:ascii="仿宋_GB2312" w:hAnsi="仿宋_GB2312" w:eastAsia="仿宋_GB2312" w:cs="仿宋_GB2312"/>
          <w:spacing w:val="5"/>
          <w:kern w:val="0"/>
          <w:sz w:val="28"/>
          <w:szCs w:val="28"/>
          <w:lang w:val="en-US" w:eastAsia="zh-CN"/>
        </w:rPr>
        <w:t>.</w:t>
      </w:r>
      <w:r>
        <w:rPr>
          <w:rFonts w:hint="eastAsia" w:ascii="仿宋_GB2312" w:hAnsi="仿宋_GB2312" w:eastAsia="仿宋_GB2312" w:cs="仿宋_GB2312"/>
          <w:spacing w:val="5"/>
          <w:kern w:val="0"/>
          <w:sz w:val="28"/>
          <w:szCs w:val="28"/>
        </w:rPr>
        <w:t>填写前请认真阅读《工业和信息化部、国家统计局、国家发展和改革委</w:t>
      </w:r>
      <w:r>
        <w:rPr>
          <w:rFonts w:hint="eastAsia" w:ascii="仿宋_GB2312" w:hAnsi="仿宋_GB2312" w:eastAsia="仿宋_GB2312" w:cs="仿宋_GB2312"/>
          <w:spacing w:val="4"/>
          <w:kern w:val="0"/>
          <w:sz w:val="28"/>
          <w:szCs w:val="28"/>
        </w:rPr>
        <w:t>员会、财政部关于印发中小企业划型标准规定的通知》（工信部联企业[2011] 300号）</w:t>
      </w:r>
      <w:r>
        <w:rPr>
          <w:rFonts w:hint="eastAsia" w:ascii="仿宋_GB2312" w:hAnsi="仿宋_GB2312" w:eastAsia="仿宋_GB2312" w:cs="仿宋_GB2312"/>
          <w:spacing w:val="7"/>
          <w:kern w:val="0"/>
          <w:sz w:val="28"/>
          <w:szCs w:val="28"/>
        </w:rPr>
        <w:t>和《财政部工业和信息化部关于印发&lt;政府采购促进中小企业发展暂行办法&gt;的通知》</w:t>
      </w:r>
      <w:r>
        <w:rPr>
          <w:rFonts w:hint="eastAsia" w:ascii="仿宋_GB2312" w:hAnsi="仿宋_GB2312" w:eastAsia="仿宋_GB2312" w:cs="仿宋_GB2312"/>
          <w:kern w:val="0"/>
          <w:sz w:val="28"/>
          <w:szCs w:val="28"/>
        </w:rPr>
        <w:t>（财库[2011]181号）相关规定。</w:t>
      </w:r>
    </w:p>
    <w:p>
      <w:pPr>
        <w:widowControl w:val="0"/>
        <w:wordWrap/>
        <w:adjustRightInd/>
        <w:snapToGrid/>
        <w:spacing w:before="0" w:after="0" w:line="560" w:lineRule="exact"/>
        <w:ind w:left="0" w:leftChars="0" w:right="0"/>
        <w:jc w:val="both"/>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2</w:t>
      </w:r>
      <w:r>
        <w:rPr>
          <w:rFonts w:hint="eastAsia" w:ascii="仿宋_GB2312" w:hAnsi="仿宋_GB2312" w:eastAsia="仿宋_GB2312" w:cs="仿宋_GB2312"/>
          <w:kern w:val="0"/>
          <w:sz w:val="28"/>
          <w:szCs w:val="28"/>
          <w:lang w:val="en-US" w:eastAsia="zh-CN"/>
        </w:rPr>
        <w:t>.</w:t>
      </w:r>
      <w:r>
        <w:rPr>
          <w:rFonts w:hint="eastAsia" w:ascii="仿宋_GB2312" w:hAnsi="仿宋_GB2312" w:eastAsia="仿宋_GB2312" w:cs="仿宋_GB2312"/>
          <w:kern w:val="0"/>
          <w:sz w:val="28"/>
          <w:szCs w:val="28"/>
        </w:rPr>
        <w:t>中小企业部分提供其他中小企业制造货物的应另附说明，并与后面的报价一栏表保持一致。</w:t>
      </w:r>
    </w:p>
    <w:p>
      <w:pPr>
        <w:widowControl w:val="0"/>
        <w:wordWrap/>
        <w:adjustRightInd/>
        <w:snapToGrid/>
        <w:spacing w:before="0" w:after="0" w:line="560" w:lineRule="exact"/>
        <w:ind w:left="0" w:leftChars="0" w:right="0"/>
        <w:jc w:val="both"/>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3</w:t>
      </w:r>
      <w:r>
        <w:rPr>
          <w:rFonts w:hint="eastAsia" w:ascii="仿宋_GB2312" w:hAnsi="仿宋_GB2312" w:eastAsia="仿宋_GB2312" w:cs="仿宋_GB2312"/>
          <w:kern w:val="0"/>
          <w:sz w:val="28"/>
          <w:szCs w:val="28"/>
          <w:lang w:val="en-US" w:eastAsia="zh-CN"/>
        </w:rPr>
        <w:t>.</w:t>
      </w:r>
      <w:r>
        <w:rPr>
          <w:rFonts w:hint="eastAsia" w:ascii="仿宋_GB2312" w:hAnsi="仿宋_GB2312" w:eastAsia="仿宋_GB2312" w:cs="仿宋_GB2312"/>
          <w:kern w:val="0"/>
          <w:sz w:val="28"/>
          <w:szCs w:val="28"/>
        </w:rPr>
        <w:t>未按上述要求提供、填写的，评标时不予以考虑。</w:t>
      </w:r>
    </w:p>
    <w:p>
      <w:pPr>
        <w:spacing w:line="360" w:lineRule="auto"/>
        <w:jc w:val="center"/>
        <w:rPr>
          <w:rFonts w:hint="eastAsia" w:ascii="宋体" w:hAnsi="宋体" w:cs="仿宋"/>
          <w:b/>
          <w:bCs/>
          <w:kern w:val="0"/>
          <w:sz w:val="36"/>
          <w:szCs w:val="36"/>
        </w:rPr>
      </w:pPr>
    </w:p>
    <w:p>
      <w:pPr>
        <w:spacing w:line="360" w:lineRule="auto"/>
        <w:jc w:val="center"/>
        <w:rPr>
          <w:rFonts w:hint="eastAsia" w:ascii="宋体" w:hAnsi="宋体" w:cs="仿宋"/>
          <w:b/>
          <w:bCs/>
          <w:kern w:val="0"/>
          <w:sz w:val="36"/>
          <w:szCs w:val="36"/>
        </w:rPr>
      </w:pPr>
    </w:p>
    <w:p>
      <w:pPr>
        <w:spacing w:line="360" w:lineRule="auto"/>
        <w:jc w:val="center"/>
        <w:rPr>
          <w:rFonts w:hint="eastAsia" w:ascii="宋体" w:hAnsi="宋体" w:cs="仿宋"/>
          <w:b/>
          <w:bCs/>
          <w:kern w:val="0"/>
          <w:sz w:val="36"/>
          <w:szCs w:val="36"/>
        </w:rPr>
      </w:pPr>
    </w:p>
    <w:p>
      <w:pPr>
        <w:spacing w:line="360" w:lineRule="auto"/>
        <w:jc w:val="center"/>
        <w:rPr>
          <w:rFonts w:hint="eastAsia" w:ascii="宋体" w:hAnsi="宋体" w:cs="仿宋"/>
          <w:b/>
          <w:bCs/>
          <w:kern w:val="0"/>
          <w:sz w:val="36"/>
          <w:szCs w:val="36"/>
        </w:rPr>
      </w:pPr>
    </w:p>
    <w:p>
      <w:pPr>
        <w:spacing w:line="360" w:lineRule="auto"/>
        <w:jc w:val="center"/>
        <w:rPr>
          <w:rFonts w:hint="eastAsia" w:ascii="宋体" w:hAnsi="宋体" w:cs="仿宋"/>
          <w:b/>
          <w:bCs/>
          <w:kern w:val="0"/>
          <w:sz w:val="36"/>
          <w:szCs w:val="36"/>
        </w:rPr>
      </w:pPr>
    </w:p>
    <w:p>
      <w:pPr>
        <w:spacing w:line="360" w:lineRule="auto"/>
        <w:ind w:left="0" w:leftChars="0" w:firstLine="0" w:firstLineChars="0"/>
        <w:jc w:val="both"/>
        <w:rPr>
          <w:rFonts w:hint="eastAsia" w:ascii="宋体" w:hAnsi="宋体" w:cs="仿宋"/>
          <w:b/>
          <w:bCs/>
          <w:kern w:val="0"/>
          <w:sz w:val="36"/>
          <w:szCs w:val="36"/>
        </w:rPr>
      </w:pPr>
    </w:p>
    <w:p>
      <w:pPr>
        <w:spacing w:line="360" w:lineRule="auto"/>
        <w:ind w:left="0" w:leftChars="0" w:firstLine="0" w:firstLineChars="0"/>
        <w:jc w:val="both"/>
        <w:rPr>
          <w:rFonts w:hint="eastAsia" w:ascii="宋体" w:hAnsi="宋体" w:cs="仿宋"/>
          <w:b/>
          <w:bCs/>
          <w:kern w:val="0"/>
          <w:sz w:val="36"/>
          <w:szCs w:val="36"/>
        </w:rPr>
      </w:pPr>
    </w:p>
    <w:p>
      <w:pPr>
        <w:spacing w:line="360" w:lineRule="auto"/>
        <w:ind w:left="0" w:leftChars="0" w:firstLine="0" w:firstLineChars="0"/>
        <w:jc w:val="both"/>
        <w:rPr>
          <w:rFonts w:hint="eastAsia" w:ascii="宋体" w:hAnsi="宋体" w:cs="仿宋"/>
          <w:b/>
          <w:bCs/>
          <w:kern w:val="0"/>
          <w:sz w:val="36"/>
          <w:szCs w:val="36"/>
        </w:rPr>
      </w:pPr>
    </w:p>
    <w:p>
      <w:pPr>
        <w:spacing w:line="360" w:lineRule="auto"/>
        <w:ind w:left="0" w:leftChars="0" w:firstLine="0" w:firstLineChars="0"/>
        <w:jc w:val="both"/>
        <w:rPr>
          <w:rFonts w:hint="eastAsia" w:ascii="宋体" w:hAnsi="宋体" w:eastAsia="宋体" w:cs="宋体"/>
          <w:b/>
          <w:bCs/>
          <w:kern w:val="0"/>
          <w:sz w:val="32"/>
          <w:szCs w:val="32"/>
        </w:rPr>
      </w:pPr>
      <w:r>
        <w:rPr>
          <w:rFonts w:hint="eastAsia" w:cs="仿宋"/>
          <w:b/>
          <w:bCs/>
          <w:kern w:val="0"/>
          <w:sz w:val="36"/>
          <w:szCs w:val="36"/>
          <w:lang w:val="en-US" w:eastAsia="zh-CN"/>
        </w:rPr>
        <w:t xml:space="preserve">       </w:t>
      </w:r>
      <w:r>
        <w:rPr>
          <w:rFonts w:hint="eastAsia" w:ascii="宋体" w:hAnsi="宋体" w:eastAsia="宋体" w:cs="宋体"/>
          <w:b/>
          <w:bCs/>
          <w:kern w:val="0"/>
          <w:sz w:val="32"/>
          <w:szCs w:val="32"/>
          <w:lang w:val="en-US" w:eastAsia="zh-CN"/>
        </w:rPr>
        <w:t>（1）</w:t>
      </w:r>
      <w:r>
        <w:rPr>
          <w:rFonts w:hint="eastAsia" w:ascii="宋体" w:hAnsi="宋体" w:eastAsia="宋体" w:cs="宋体"/>
          <w:b/>
          <w:bCs/>
          <w:kern w:val="0"/>
          <w:sz w:val="32"/>
          <w:szCs w:val="32"/>
        </w:rPr>
        <w:t>中小企业生产或销售的产品优惠明细表</w:t>
      </w:r>
    </w:p>
    <w:p>
      <w:pPr>
        <w:spacing w:line="360" w:lineRule="auto"/>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（若有，请如实填写）</w:t>
      </w:r>
    </w:p>
    <w:tbl>
      <w:tblPr>
        <w:tblW w:w="88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
        <w:gridCol w:w="1010"/>
        <w:gridCol w:w="1275"/>
        <w:gridCol w:w="1010"/>
        <w:gridCol w:w="794"/>
        <w:gridCol w:w="1178"/>
        <w:gridCol w:w="1122"/>
        <w:gridCol w:w="1559"/>
      </w:tblGrid>
      <w:tr>
        <w:trPr>
          <w:trHeight w:val="614" w:hRule="atLeast"/>
        </w:trPr>
        <w:tc>
          <w:tcPr>
            <w:tcW w:w="949" w:type="dxa"/>
            <w:vAlign w:val="center"/>
          </w:tcPr>
          <w:p>
            <w:pPr>
              <w:spacing w:line="360" w:lineRule="auto"/>
              <w:jc w:val="both"/>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w:t>
            </w:r>
          </w:p>
        </w:tc>
        <w:tc>
          <w:tcPr>
            <w:tcW w:w="1010" w:type="dxa"/>
            <w:vAlign w:val="center"/>
          </w:tcPr>
          <w:p>
            <w:pPr>
              <w:spacing w:line="360" w:lineRule="auto"/>
              <w:jc w:val="both"/>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w:t>
            </w:r>
          </w:p>
        </w:tc>
        <w:tc>
          <w:tcPr>
            <w:tcW w:w="1275" w:type="dxa"/>
            <w:vAlign w:val="center"/>
          </w:tcPr>
          <w:p>
            <w:pPr>
              <w:spacing w:line="360" w:lineRule="auto"/>
              <w:jc w:val="both"/>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w:t>
            </w:r>
          </w:p>
        </w:tc>
        <w:tc>
          <w:tcPr>
            <w:tcW w:w="1010" w:type="dxa"/>
            <w:vAlign w:val="center"/>
          </w:tcPr>
          <w:p>
            <w:pPr>
              <w:spacing w:line="360" w:lineRule="auto"/>
              <w:jc w:val="both"/>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4</w:t>
            </w:r>
          </w:p>
        </w:tc>
        <w:tc>
          <w:tcPr>
            <w:tcW w:w="794" w:type="dxa"/>
            <w:vAlign w:val="center"/>
          </w:tcPr>
          <w:p>
            <w:pPr>
              <w:spacing w:line="360" w:lineRule="auto"/>
              <w:jc w:val="both"/>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5</w:t>
            </w:r>
          </w:p>
        </w:tc>
        <w:tc>
          <w:tcPr>
            <w:tcW w:w="1178" w:type="dxa"/>
            <w:vAlign w:val="center"/>
          </w:tcPr>
          <w:p>
            <w:pPr>
              <w:spacing w:line="360" w:lineRule="auto"/>
              <w:jc w:val="both"/>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6</w:t>
            </w:r>
          </w:p>
        </w:tc>
        <w:tc>
          <w:tcPr>
            <w:tcW w:w="1122" w:type="dxa"/>
            <w:vAlign w:val="center"/>
          </w:tcPr>
          <w:p>
            <w:pPr>
              <w:spacing w:line="360" w:lineRule="auto"/>
              <w:jc w:val="both"/>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7</w:t>
            </w:r>
          </w:p>
        </w:tc>
        <w:tc>
          <w:tcPr>
            <w:tcW w:w="1559" w:type="dxa"/>
            <w:vAlign w:val="center"/>
          </w:tcPr>
          <w:p>
            <w:pPr>
              <w:spacing w:line="360" w:lineRule="auto"/>
              <w:jc w:val="both"/>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8</w:t>
            </w:r>
          </w:p>
        </w:tc>
      </w:tr>
      <w:tr>
        <w:trPr>
          <w:trHeight w:val="1008" w:hRule="atLeast"/>
        </w:trPr>
        <w:tc>
          <w:tcPr>
            <w:tcW w:w="949" w:type="dxa"/>
            <w:vAlign w:val="center"/>
          </w:tcPr>
          <w:p>
            <w:pPr>
              <w:ind w:left="0" w:leftChars="0" w:firstLine="0" w:firstLineChars="0"/>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项目名称</w:t>
            </w:r>
          </w:p>
        </w:tc>
        <w:tc>
          <w:tcPr>
            <w:tcW w:w="1010" w:type="dxa"/>
            <w:vAlign w:val="center"/>
          </w:tcPr>
          <w:p>
            <w:pPr>
              <w:ind w:left="0" w:leftChars="0" w:firstLine="0" w:firstLineChars="0"/>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品目号</w:t>
            </w:r>
          </w:p>
        </w:tc>
        <w:tc>
          <w:tcPr>
            <w:tcW w:w="1275" w:type="dxa"/>
            <w:vAlign w:val="center"/>
          </w:tcPr>
          <w:p>
            <w:pPr>
              <w:ind w:left="0" w:leftChars="0" w:firstLine="0" w:firstLineChars="0"/>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小型和微型企业产品名称</w:t>
            </w:r>
          </w:p>
        </w:tc>
        <w:tc>
          <w:tcPr>
            <w:tcW w:w="1010" w:type="dxa"/>
            <w:vAlign w:val="center"/>
          </w:tcPr>
          <w:p>
            <w:pPr>
              <w:ind w:left="0" w:leftChars="0" w:firstLine="0" w:firstLineChars="0"/>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品牌型号规格</w:t>
            </w:r>
          </w:p>
        </w:tc>
        <w:tc>
          <w:tcPr>
            <w:tcW w:w="794" w:type="dxa"/>
            <w:vAlign w:val="center"/>
          </w:tcPr>
          <w:p>
            <w:pPr>
              <w:ind w:left="0" w:leftChars="0" w:firstLine="0" w:firstLineChars="0"/>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数量</w:t>
            </w:r>
          </w:p>
        </w:tc>
        <w:tc>
          <w:tcPr>
            <w:tcW w:w="1178" w:type="dxa"/>
            <w:vAlign w:val="center"/>
          </w:tcPr>
          <w:p>
            <w:pPr>
              <w:ind w:left="0" w:leftChars="0" w:firstLine="0" w:firstLineChars="0"/>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制造商全称</w:t>
            </w:r>
          </w:p>
        </w:tc>
        <w:tc>
          <w:tcPr>
            <w:tcW w:w="1122" w:type="dxa"/>
            <w:vAlign w:val="center"/>
          </w:tcPr>
          <w:p>
            <w:pPr>
              <w:ind w:left="0" w:leftChars="0" w:firstLine="0" w:firstLineChars="0"/>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报价（元）</w:t>
            </w:r>
          </w:p>
        </w:tc>
        <w:tc>
          <w:tcPr>
            <w:tcW w:w="1559" w:type="dxa"/>
            <w:vAlign w:val="center"/>
          </w:tcPr>
          <w:p>
            <w:pPr>
              <w:ind w:left="0" w:leftChars="0" w:firstLine="0" w:firstLineChars="0"/>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价格评标扣除金额（元）</w:t>
            </w:r>
          </w:p>
        </w:tc>
      </w:tr>
      <w:tr>
        <w:trPr>
          <w:trHeight w:val="509" w:hRule="atLeast"/>
        </w:trPr>
        <w:tc>
          <w:tcPr>
            <w:tcW w:w="949" w:type="dxa"/>
            <w:vMerge w:val="restart"/>
            <w:vAlign w:val="center"/>
          </w:tcPr>
          <w:p>
            <w:pPr>
              <w:spacing w:line="360" w:lineRule="auto"/>
              <w:jc w:val="center"/>
              <w:rPr>
                <w:rFonts w:hint="eastAsia" w:ascii="仿宋_GB2312" w:hAnsi="仿宋_GB2312" w:eastAsia="仿宋_GB2312" w:cs="仿宋_GB2312"/>
                <w:kern w:val="0"/>
                <w:sz w:val="28"/>
                <w:szCs w:val="28"/>
              </w:rPr>
            </w:pPr>
          </w:p>
        </w:tc>
        <w:tc>
          <w:tcPr>
            <w:tcW w:w="1010" w:type="dxa"/>
            <w:vAlign w:val="center"/>
          </w:tcPr>
          <w:p>
            <w:pPr>
              <w:spacing w:line="360" w:lineRule="auto"/>
              <w:jc w:val="center"/>
              <w:rPr>
                <w:rFonts w:hint="eastAsia" w:ascii="仿宋_GB2312" w:hAnsi="仿宋_GB2312" w:eastAsia="仿宋_GB2312" w:cs="仿宋_GB2312"/>
                <w:kern w:val="0"/>
                <w:sz w:val="28"/>
                <w:szCs w:val="28"/>
              </w:rPr>
            </w:pPr>
          </w:p>
        </w:tc>
        <w:tc>
          <w:tcPr>
            <w:tcW w:w="1275" w:type="dxa"/>
            <w:vAlign w:val="center"/>
          </w:tcPr>
          <w:p>
            <w:pPr>
              <w:spacing w:line="360" w:lineRule="auto"/>
              <w:jc w:val="center"/>
              <w:rPr>
                <w:rFonts w:hint="eastAsia" w:ascii="仿宋_GB2312" w:hAnsi="仿宋_GB2312" w:eastAsia="仿宋_GB2312" w:cs="仿宋_GB2312"/>
                <w:kern w:val="0"/>
                <w:sz w:val="28"/>
                <w:szCs w:val="28"/>
              </w:rPr>
            </w:pPr>
          </w:p>
        </w:tc>
        <w:tc>
          <w:tcPr>
            <w:tcW w:w="1010" w:type="dxa"/>
            <w:vAlign w:val="center"/>
          </w:tcPr>
          <w:p>
            <w:pPr>
              <w:spacing w:line="360" w:lineRule="auto"/>
              <w:jc w:val="center"/>
              <w:rPr>
                <w:rFonts w:hint="eastAsia" w:ascii="仿宋_GB2312" w:hAnsi="仿宋_GB2312" w:eastAsia="仿宋_GB2312" w:cs="仿宋_GB2312"/>
                <w:kern w:val="0"/>
                <w:sz w:val="28"/>
                <w:szCs w:val="28"/>
              </w:rPr>
            </w:pPr>
          </w:p>
        </w:tc>
        <w:tc>
          <w:tcPr>
            <w:tcW w:w="794" w:type="dxa"/>
            <w:vAlign w:val="center"/>
          </w:tcPr>
          <w:p>
            <w:pPr>
              <w:spacing w:line="360" w:lineRule="auto"/>
              <w:jc w:val="center"/>
              <w:rPr>
                <w:rFonts w:hint="eastAsia" w:ascii="仿宋_GB2312" w:hAnsi="仿宋_GB2312" w:eastAsia="仿宋_GB2312" w:cs="仿宋_GB2312"/>
                <w:kern w:val="0"/>
                <w:sz w:val="28"/>
                <w:szCs w:val="28"/>
              </w:rPr>
            </w:pPr>
          </w:p>
        </w:tc>
        <w:tc>
          <w:tcPr>
            <w:tcW w:w="1178" w:type="dxa"/>
            <w:vAlign w:val="center"/>
          </w:tcPr>
          <w:p>
            <w:pPr>
              <w:spacing w:line="360" w:lineRule="auto"/>
              <w:jc w:val="center"/>
              <w:rPr>
                <w:rFonts w:hint="eastAsia" w:ascii="仿宋_GB2312" w:hAnsi="仿宋_GB2312" w:eastAsia="仿宋_GB2312" w:cs="仿宋_GB2312"/>
                <w:kern w:val="0"/>
                <w:sz w:val="28"/>
                <w:szCs w:val="28"/>
              </w:rPr>
            </w:pPr>
          </w:p>
        </w:tc>
        <w:tc>
          <w:tcPr>
            <w:tcW w:w="1122" w:type="dxa"/>
            <w:vAlign w:val="center"/>
          </w:tcPr>
          <w:p>
            <w:pPr>
              <w:spacing w:line="360" w:lineRule="auto"/>
              <w:jc w:val="center"/>
              <w:rPr>
                <w:rFonts w:hint="eastAsia" w:ascii="仿宋_GB2312" w:hAnsi="仿宋_GB2312" w:eastAsia="仿宋_GB2312" w:cs="仿宋_GB2312"/>
                <w:kern w:val="0"/>
                <w:sz w:val="28"/>
                <w:szCs w:val="28"/>
              </w:rPr>
            </w:pPr>
          </w:p>
        </w:tc>
        <w:tc>
          <w:tcPr>
            <w:tcW w:w="1559" w:type="dxa"/>
            <w:vAlign w:val="center"/>
          </w:tcPr>
          <w:p>
            <w:pPr>
              <w:spacing w:line="360" w:lineRule="auto"/>
              <w:jc w:val="center"/>
              <w:rPr>
                <w:rFonts w:hint="eastAsia" w:ascii="仿宋_GB2312" w:hAnsi="仿宋_GB2312" w:eastAsia="仿宋_GB2312" w:cs="仿宋_GB2312"/>
                <w:kern w:val="0"/>
                <w:sz w:val="28"/>
                <w:szCs w:val="28"/>
              </w:rPr>
            </w:pPr>
          </w:p>
        </w:tc>
      </w:tr>
      <w:tr>
        <w:trPr>
          <w:trHeight w:val="509" w:hRule="atLeast"/>
        </w:trPr>
        <w:tc>
          <w:tcPr>
            <w:tcW w:w="949" w:type="dxa"/>
            <w:vMerge w:val="continue"/>
            <w:vAlign w:val="center"/>
          </w:tcPr>
          <w:p>
            <w:pPr>
              <w:spacing w:line="360" w:lineRule="auto"/>
              <w:jc w:val="center"/>
              <w:rPr>
                <w:rFonts w:hint="eastAsia" w:ascii="仿宋_GB2312" w:hAnsi="仿宋_GB2312" w:eastAsia="仿宋_GB2312" w:cs="仿宋_GB2312"/>
                <w:kern w:val="0"/>
                <w:sz w:val="28"/>
                <w:szCs w:val="28"/>
              </w:rPr>
            </w:pPr>
          </w:p>
        </w:tc>
        <w:tc>
          <w:tcPr>
            <w:tcW w:w="1010" w:type="dxa"/>
            <w:vAlign w:val="center"/>
          </w:tcPr>
          <w:p>
            <w:pPr>
              <w:spacing w:line="360" w:lineRule="auto"/>
              <w:jc w:val="center"/>
              <w:rPr>
                <w:rFonts w:hint="eastAsia" w:ascii="仿宋_GB2312" w:hAnsi="仿宋_GB2312" w:eastAsia="仿宋_GB2312" w:cs="仿宋_GB2312"/>
                <w:kern w:val="0"/>
                <w:sz w:val="28"/>
                <w:szCs w:val="28"/>
              </w:rPr>
            </w:pPr>
          </w:p>
        </w:tc>
        <w:tc>
          <w:tcPr>
            <w:tcW w:w="1275" w:type="dxa"/>
            <w:vAlign w:val="center"/>
          </w:tcPr>
          <w:p>
            <w:pPr>
              <w:spacing w:line="360" w:lineRule="auto"/>
              <w:jc w:val="center"/>
              <w:rPr>
                <w:rFonts w:hint="eastAsia" w:ascii="仿宋_GB2312" w:hAnsi="仿宋_GB2312" w:eastAsia="仿宋_GB2312" w:cs="仿宋_GB2312"/>
                <w:kern w:val="0"/>
                <w:sz w:val="28"/>
                <w:szCs w:val="28"/>
              </w:rPr>
            </w:pPr>
          </w:p>
        </w:tc>
        <w:tc>
          <w:tcPr>
            <w:tcW w:w="1010" w:type="dxa"/>
            <w:vAlign w:val="center"/>
          </w:tcPr>
          <w:p>
            <w:pPr>
              <w:spacing w:line="360" w:lineRule="auto"/>
              <w:jc w:val="center"/>
              <w:rPr>
                <w:rFonts w:hint="eastAsia" w:ascii="仿宋_GB2312" w:hAnsi="仿宋_GB2312" w:eastAsia="仿宋_GB2312" w:cs="仿宋_GB2312"/>
                <w:kern w:val="0"/>
                <w:sz w:val="28"/>
                <w:szCs w:val="28"/>
              </w:rPr>
            </w:pPr>
          </w:p>
        </w:tc>
        <w:tc>
          <w:tcPr>
            <w:tcW w:w="794" w:type="dxa"/>
            <w:vAlign w:val="center"/>
          </w:tcPr>
          <w:p>
            <w:pPr>
              <w:spacing w:line="360" w:lineRule="auto"/>
              <w:jc w:val="center"/>
              <w:rPr>
                <w:rFonts w:hint="eastAsia" w:ascii="仿宋_GB2312" w:hAnsi="仿宋_GB2312" w:eastAsia="仿宋_GB2312" w:cs="仿宋_GB2312"/>
                <w:kern w:val="0"/>
                <w:sz w:val="28"/>
                <w:szCs w:val="28"/>
              </w:rPr>
            </w:pPr>
          </w:p>
        </w:tc>
        <w:tc>
          <w:tcPr>
            <w:tcW w:w="1178" w:type="dxa"/>
            <w:vAlign w:val="center"/>
          </w:tcPr>
          <w:p>
            <w:pPr>
              <w:spacing w:line="360" w:lineRule="auto"/>
              <w:jc w:val="center"/>
              <w:rPr>
                <w:rFonts w:hint="eastAsia" w:ascii="仿宋_GB2312" w:hAnsi="仿宋_GB2312" w:eastAsia="仿宋_GB2312" w:cs="仿宋_GB2312"/>
                <w:kern w:val="0"/>
                <w:sz w:val="28"/>
                <w:szCs w:val="28"/>
              </w:rPr>
            </w:pPr>
          </w:p>
        </w:tc>
        <w:tc>
          <w:tcPr>
            <w:tcW w:w="1122" w:type="dxa"/>
            <w:vAlign w:val="center"/>
          </w:tcPr>
          <w:p>
            <w:pPr>
              <w:spacing w:line="360" w:lineRule="auto"/>
              <w:jc w:val="center"/>
              <w:rPr>
                <w:rFonts w:hint="eastAsia" w:ascii="仿宋_GB2312" w:hAnsi="仿宋_GB2312" w:eastAsia="仿宋_GB2312" w:cs="仿宋_GB2312"/>
                <w:kern w:val="0"/>
                <w:sz w:val="28"/>
                <w:szCs w:val="28"/>
              </w:rPr>
            </w:pPr>
          </w:p>
        </w:tc>
        <w:tc>
          <w:tcPr>
            <w:tcW w:w="1559" w:type="dxa"/>
            <w:vAlign w:val="center"/>
          </w:tcPr>
          <w:p>
            <w:pPr>
              <w:spacing w:line="360" w:lineRule="auto"/>
              <w:jc w:val="center"/>
              <w:rPr>
                <w:rFonts w:hint="eastAsia" w:ascii="仿宋_GB2312" w:hAnsi="仿宋_GB2312" w:eastAsia="仿宋_GB2312" w:cs="仿宋_GB2312"/>
                <w:kern w:val="0"/>
                <w:sz w:val="28"/>
                <w:szCs w:val="28"/>
              </w:rPr>
            </w:pPr>
          </w:p>
        </w:tc>
      </w:tr>
      <w:tr>
        <w:trPr>
          <w:trHeight w:val="509" w:hRule="atLeast"/>
        </w:trPr>
        <w:tc>
          <w:tcPr>
            <w:tcW w:w="949" w:type="dxa"/>
            <w:vMerge w:val="continue"/>
            <w:vAlign w:val="center"/>
          </w:tcPr>
          <w:p>
            <w:pPr>
              <w:spacing w:line="360" w:lineRule="auto"/>
              <w:jc w:val="center"/>
              <w:rPr>
                <w:rFonts w:hint="eastAsia" w:ascii="仿宋_GB2312" w:hAnsi="仿宋_GB2312" w:eastAsia="仿宋_GB2312" w:cs="仿宋_GB2312"/>
                <w:kern w:val="0"/>
                <w:sz w:val="28"/>
                <w:szCs w:val="28"/>
              </w:rPr>
            </w:pPr>
          </w:p>
        </w:tc>
        <w:tc>
          <w:tcPr>
            <w:tcW w:w="1010" w:type="dxa"/>
            <w:vAlign w:val="center"/>
          </w:tcPr>
          <w:p>
            <w:pPr>
              <w:spacing w:line="360" w:lineRule="auto"/>
              <w:jc w:val="center"/>
              <w:rPr>
                <w:rFonts w:hint="eastAsia" w:ascii="仿宋_GB2312" w:hAnsi="仿宋_GB2312" w:eastAsia="仿宋_GB2312" w:cs="仿宋_GB2312"/>
                <w:kern w:val="0"/>
                <w:sz w:val="28"/>
                <w:szCs w:val="28"/>
              </w:rPr>
            </w:pPr>
          </w:p>
        </w:tc>
        <w:tc>
          <w:tcPr>
            <w:tcW w:w="1275" w:type="dxa"/>
            <w:vAlign w:val="center"/>
          </w:tcPr>
          <w:p>
            <w:pPr>
              <w:spacing w:line="360" w:lineRule="auto"/>
              <w:jc w:val="center"/>
              <w:rPr>
                <w:rFonts w:hint="eastAsia" w:ascii="仿宋_GB2312" w:hAnsi="仿宋_GB2312" w:eastAsia="仿宋_GB2312" w:cs="仿宋_GB2312"/>
                <w:kern w:val="0"/>
                <w:sz w:val="28"/>
                <w:szCs w:val="28"/>
              </w:rPr>
            </w:pPr>
          </w:p>
        </w:tc>
        <w:tc>
          <w:tcPr>
            <w:tcW w:w="1010" w:type="dxa"/>
            <w:vAlign w:val="center"/>
          </w:tcPr>
          <w:p>
            <w:pPr>
              <w:spacing w:line="360" w:lineRule="auto"/>
              <w:jc w:val="center"/>
              <w:rPr>
                <w:rFonts w:hint="eastAsia" w:ascii="仿宋_GB2312" w:hAnsi="仿宋_GB2312" w:eastAsia="仿宋_GB2312" w:cs="仿宋_GB2312"/>
                <w:kern w:val="0"/>
                <w:sz w:val="28"/>
                <w:szCs w:val="28"/>
              </w:rPr>
            </w:pPr>
          </w:p>
        </w:tc>
        <w:tc>
          <w:tcPr>
            <w:tcW w:w="794" w:type="dxa"/>
            <w:vAlign w:val="center"/>
          </w:tcPr>
          <w:p>
            <w:pPr>
              <w:spacing w:line="360" w:lineRule="auto"/>
              <w:jc w:val="center"/>
              <w:rPr>
                <w:rFonts w:hint="eastAsia" w:ascii="仿宋_GB2312" w:hAnsi="仿宋_GB2312" w:eastAsia="仿宋_GB2312" w:cs="仿宋_GB2312"/>
                <w:kern w:val="0"/>
                <w:sz w:val="28"/>
                <w:szCs w:val="28"/>
              </w:rPr>
            </w:pPr>
          </w:p>
        </w:tc>
        <w:tc>
          <w:tcPr>
            <w:tcW w:w="1178" w:type="dxa"/>
            <w:vAlign w:val="center"/>
          </w:tcPr>
          <w:p>
            <w:pPr>
              <w:spacing w:line="360" w:lineRule="auto"/>
              <w:jc w:val="center"/>
              <w:rPr>
                <w:rFonts w:hint="eastAsia" w:ascii="仿宋_GB2312" w:hAnsi="仿宋_GB2312" w:eastAsia="仿宋_GB2312" w:cs="仿宋_GB2312"/>
                <w:kern w:val="0"/>
                <w:sz w:val="28"/>
                <w:szCs w:val="28"/>
              </w:rPr>
            </w:pPr>
          </w:p>
        </w:tc>
        <w:tc>
          <w:tcPr>
            <w:tcW w:w="1122" w:type="dxa"/>
            <w:vAlign w:val="center"/>
          </w:tcPr>
          <w:p>
            <w:pPr>
              <w:spacing w:line="360" w:lineRule="auto"/>
              <w:jc w:val="center"/>
              <w:rPr>
                <w:rFonts w:hint="eastAsia" w:ascii="仿宋_GB2312" w:hAnsi="仿宋_GB2312" w:eastAsia="仿宋_GB2312" w:cs="仿宋_GB2312"/>
                <w:kern w:val="0"/>
                <w:sz w:val="28"/>
                <w:szCs w:val="28"/>
              </w:rPr>
            </w:pPr>
          </w:p>
        </w:tc>
        <w:tc>
          <w:tcPr>
            <w:tcW w:w="1559" w:type="dxa"/>
            <w:vAlign w:val="center"/>
          </w:tcPr>
          <w:p>
            <w:pPr>
              <w:spacing w:line="360" w:lineRule="auto"/>
              <w:jc w:val="center"/>
              <w:rPr>
                <w:rFonts w:hint="eastAsia" w:ascii="仿宋_GB2312" w:hAnsi="仿宋_GB2312" w:eastAsia="仿宋_GB2312" w:cs="仿宋_GB2312"/>
                <w:kern w:val="0"/>
                <w:sz w:val="28"/>
                <w:szCs w:val="28"/>
              </w:rPr>
            </w:pPr>
          </w:p>
        </w:tc>
      </w:tr>
      <w:tr>
        <w:trPr>
          <w:trHeight w:val="520" w:hRule="atLeast"/>
        </w:trPr>
        <w:tc>
          <w:tcPr>
            <w:tcW w:w="949" w:type="dxa"/>
            <w:vMerge w:val="continue"/>
            <w:vAlign w:val="center"/>
          </w:tcPr>
          <w:p>
            <w:pPr>
              <w:spacing w:line="360" w:lineRule="auto"/>
              <w:jc w:val="center"/>
              <w:rPr>
                <w:rFonts w:hint="eastAsia" w:ascii="仿宋_GB2312" w:hAnsi="仿宋_GB2312" w:eastAsia="仿宋_GB2312" w:cs="仿宋_GB2312"/>
                <w:kern w:val="0"/>
                <w:sz w:val="28"/>
                <w:szCs w:val="28"/>
              </w:rPr>
            </w:pPr>
          </w:p>
        </w:tc>
        <w:tc>
          <w:tcPr>
            <w:tcW w:w="5267" w:type="dxa"/>
            <w:gridSpan w:val="5"/>
            <w:vAlign w:val="center"/>
          </w:tcPr>
          <w:p>
            <w:pPr>
              <w:spacing w:line="360" w:lineRule="auto"/>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小计</w:t>
            </w:r>
          </w:p>
        </w:tc>
        <w:tc>
          <w:tcPr>
            <w:tcW w:w="1122" w:type="dxa"/>
            <w:vAlign w:val="center"/>
          </w:tcPr>
          <w:p>
            <w:pPr>
              <w:spacing w:line="360" w:lineRule="auto"/>
              <w:jc w:val="center"/>
              <w:rPr>
                <w:rFonts w:hint="eastAsia" w:ascii="仿宋_GB2312" w:hAnsi="仿宋_GB2312" w:eastAsia="仿宋_GB2312" w:cs="仿宋_GB2312"/>
                <w:kern w:val="0"/>
                <w:sz w:val="28"/>
                <w:szCs w:val="28"/>
              </w:rPr>
            </w:pPr>
          </w:p>
        </w:tc>
        <w:tc>
          <w:tcPr>
            <w:tcW w:w="1559" w:type="dxa"/>
            <w:vAlign w:val="center"/>
          </w:tcPr>
          <w:p>
            <w:pPr>
              <w:spacing w:line="360" w:lineRule="auto"/>
              <w:jc w:val="center"/>
              <w:rPr>
                <w:rFonts w:hint="eastAsia" w:ascii="仿宋_GB2312" w:hAnsi="仿宋_GB2312" w:eastAsia="仿宋_GB2312" w:cs="仿宋_GB2312"/>
                <w:kern w:val="0"/>
                <w:sz w:val="28"/>
                <w:szCs w:val="28"/>
              </w:rPr>
            </w:pPr>
          </w:p>
        </w:tc>
      </w:tr>
    </w:tbl>
    <w:p>
      <w:pPr>
        <w:widowControl w:val="0"/>
        <w:snapToGrid/>
        <w:spacing w:before="0" w:after="0" w:line="560" w:lineRule="exact"/>
        <w:ind w:left="0" w:leftChars="0" w:right="0"/>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注：</w:t>
      </w:r>
    </w:p>
    <w:p>
      <w:pPr>
        <w:widowControl w:val="0"/>
        <w:snapToGrid/>
        <w:spacing w:before="0" w:after="0" w:line="560" w:lineRule="exact"/>
        <w:ind w:left="0" w:leftChars="0" w:right="0"/>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1</w:t>
      </w:r>
      <w:r>
        <w:rPr>
          <w:rFonts w:hint="eastAsia" w:ascii="仿宋_GB2312" w:hAnsi="仿宋_GB2312" w:eastAsia="仿宋_GB2312" w:cs="仿宋_GB2312"/>
          <w:kern w:val="0"/>
          <w:sz w:val="28"/>
          <w:szCs w:val="28"/>
          <w:lang w:val="en-US" w:eastAsia="zh-CN"/>
        </w:rPr>
        <w:t>.</w:t>
      </w:r>
      <w:r>
        <w:rPr>
          <w:rFonts w:hint="eastAsia" w:ascii="仿宋_GB2312" w:hAnsi="仿宋_GB2312" w:eastAsia="仿宋_GB2312" w:cs="仿宋_GB2312"/>
          <w:kern w:val="0"/>
          <w:sz w:val="28"/>
          <w:szCs w:val="28"/>
        </w:rPr>
        <w:t xml:space="preserve">当项目内有多个属于小型和微型企业的产品时，投标人应按品目号详细填写。    </w:t>
      </w:r>
    </w:p>
    <w:p>
      <w:pPr>
        <w:widowControl w:val="0"/>
        <w:snapToGrid/>
        <w:spacing w:before="0" w:after="0" w:line="560" w:lineRule="exact"/>
        <w:ind w:left="0" w:leftChars="0" w:right="0"/>
        <w:jc w:val="left"/>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2</w:t>
      </w:r>
      <w:r>
        <w:rPr>
          <w:rFonts w:hint="eastAsia" w:ascii="仿宋_GB2312" w:hAnsi="仿宋_GB2312" w:eastAsia="仿宋_GB2312" w:cs="仿宋_GB2312"/>
          <w:kern w:val="0"/>
          <w:sz w:val="28"/>
          <w:szCs w:val="28"/>
          <w:lang w:val="en-US" w:eastAsia="zh-CN"/>
        </w:rPr>
        <w:t>.</w:t>
      </w:r>
      <w:r>
        <w:rPr>
          <w:rFonts w:hint="eastAsia" w:ascii="仿宋_GB2312" w:hAnsi="仿宋_GB2312" w:eastAsia="仿宋_GB2312" w:cs="仿宋_GB2312"/>
          <w:kern w:val="0"/>
          <w:sz w:val="28"/>
          <w:szCs w:val="28"/>
        </w:rPr>
        <w:t>栏目8=栏</w:t>
      </w:r>
      <w:r>
        <w:rPr>
          <w:rFonts w:hint="eastAsia" w:ascii="仿宋_GB2312" w:hAnsi="仿宋_GB2312" w:eastAsia="仿宋_GB2312" w:cs="仿宋_GB2312"/>
          <w:snapToGrid w:val="0"/>
          <w:kern w:val="0"/>
          <w:sz w:val="28"/>
          <w:szCs w:val="28"/>
        </w:rPr>
        <w:t>目</w:t>
      </w:r>
      <w:r>
        <w:rPr>
          <w:rFonts w:hint="eastAsia" w:ascii="仿宋_GB2312" w:hAnsi="仿宋_GB2312" w:eastAsia="仿宋_GB2312" w:cs="仿宋_GB2312"/>
          <w:kern w:val="0"/>
          <w:sz w:val="28"/>
          <w:szCs w:val="28"/>
        </w:rPr>
        <w:t>7×招标文件规定的价格扣除比率的优惠幅度。</w:t>
      </w:r>
    </w:p>
    <w:p>
      <w:pPr>
        <w:widowControl w:val="0"/>
        <w:snapToGrid/>
        <w:spacing w:before="0" w:after="0" w:line="560" w:lineRule="exact"/>
        <w:ind w:left="0" w:leftChars="0" w:right="0"/>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3</w:t>
      </w:r>
      <w:r>
        <w:rPr>
          <w:rFonts w:hint="eastAsia" w:ascii="仿宋_GB2312" w:hAnsi="仿宋_GB2312" w:eastAsia="仿宋_GB2312" w:cs="仿宋_GB2312"/>
          <w:kern w:val="0"/>
          <w:sz w:val="28"/>
          <w:szCs w:val="28"/>
          <w:lang w:val="en-US" w:eastAsia="zh-CN"/>
        </w:rPr>
        <w:t>.</w:t>
      </w:r>
      <w:r>
        <w:rPr>
          <w:rFonts w:hint="eastAsia" w:ascii="仿宋_GB2312" w:hAnsi="仿宋_GB2312" w:eastAsia="仿宋_GB2312" w:cs="仿宋_GB2312"/>
          <w:kern w:val="0"/>
          <w:sz w:val="28"/>
          <w:szCs w:val="28"/>
        </w:rPr>
        <w:t xml:space="preserve">计算分数时四舍五入取小数点后两位。    </w:t>
      </w:r>
    </w:p>
    <w:p>
      <w:pPr>
        <w:widowControl w:val="0"/>
        <w:snapToGrid/>
        <w:spacing w:before="0" w:after="0" w:line="560" w:lineRule="exact"/>
        <w:ind w:left="0" w:leftChars="0" w:right="0"/>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4</w:t>
      </w:r>
      <w:r>
        <w:rPr>
          <w:rFonts w:hint="eastAsia" w:ascii="仿宋_GB2312" w:hAnsi="仿宋_GB2312" w:eastAsia="仿宋_GB2312" w:cs="仿宋_GB2312"/>
          <w:kern w:val="0"/>
          <w:sz w:val="28"/>
          <w:szCs w:val="28"/>
          <w:lang w:val="en-US" w:eastAsia="zh-CN"/>
        </w:rPr>
        <w:t>.</w:t>
      </w:r>
      <w:r>
        <w:rPr>
          <w:rFonts w:hint="eastAsia" w:ascii="仿宋_GB2312" w:hAnsi="仿宋_GB2312" w:eastAsia="仿宋_GB2312" w:cs="仿宋_GB2312"/>
          <w:kern w:val="0"/>
          <w:sz w:val="28"/>
          <w:szCs w:val="28"/>
        </w:rPr>
        <w:t xml:space="preserve">以上属于小型和微型企业的产品须按招标文件提供相关证明材料并加盖投标人公章。    </w:t>
      </w:r>
    </w:p>
    <w:p>
      <w:pPr>
        <w:widowControl w:val="0"/>
        <w:snapToGrid/>
        <w:spacing w:before="0" w:after="0" w:line="560" w:lineRule="exact"/>
        <w:ind w:left="0" w:leftChars="0" w:right="0"/>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5</w:t>
      </w:r>
      <w:r>
        <w:rPr>
          <w:rFonts w:hint="eastAsia" w:ascii="仿宋_GB2312" w:hAnsi="仿宋_GB2312" w:eastAsia="仿宋_GB2312" w:cs="仿宋_GB2312"/>
          <w:kern w:val="0"/>
          <w:sz w:val="28"/>
          <w:szCs w:val="28"/>
          <w:lang w:val="en-US" w:eastAsia="zh-CN"/>
        </w:rPr>
        <w:t>.</w:t>
      </w:r>
      <w:r>
        <w:rPr>
          <w:rFonts w:hint="eastAsia" w:ascii="仿宋_GB2312" w:hAnsi="仿宋_GB2312" w:eastAsia="仿宋_GB2312" w:cs="仿宋_GB2312"/>
          <w:kern w:val="0"/>
          <w:sz w:val="28"/>
          <w:szCs w:val="28"/>
        </w:rPr>
        <w:t>若所投的产品不具备此类评标优惠条件，本“中小价格扣除明细表”不必填写。</w:t>
      </w:r>
    </w:p>
    <w:p>
      <w:pPr>
        <w:widowControl w:val="0"/>
        <w:snapToGrid/>
        <w:spacing w:before="0" w:after="0" w:line="560" w:lineRule="exact"/>
        <w:ind w:left="0" w:leftChars="0" w:right="0"/>
        <w:textAlignment w:val="auto"/>
        <w:outlineLvl w:val="9"/>
        <w:rPr>
          <w:rFonts w:hint="eastAsia" w:ascii="仿宋_GB2312" w:hAnsi="仿宋_GB2312" w:eastAsia="仿宋_GB2312" w:cs="仿宋_GB2312"/>
          <w:kern w:val="0"/>
          <w:sz w:val="28"/>
          <w:szCs w:val="28"/>
        </w:rPr>
      </w:pPr>
    </w:p>
    <w:p>
      <w:pPr>
        <w:pStyle w:val="40"/>
        <w:widowControl w:val="0"/>
        <w:wordWrap w:val="0"/>
        <w:snapToGrid/>
        <w:spacing w:before="0" w:after="0" w:line="560" w:lineRule="exact"/>
        <w:ind w:left="0" w:leftChars="0" w:right="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投标人名称（盖单位章）：</w:t>
      </w:r>
    </w:p>
    <w:p>
      <w:pPr>
        <w:pStyle w:val="40"/>
        <w:widowControl w:val="0"/>
        <w:wordWrap w:val="0"/>
        <w:snapToGrid/>
        <w:spacing w:before="0" w:after="0" w:line="560" w:lineRule="exact"/>
        <w:ind w:left="0" w:leftChars="0" w:right="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法定代表人或其委托代理人签字：</w:t>
      </w:r>
    </w:p>
    <w:p>
      <w:pPr>
        <w:widowControl w:val="0"/>
        <w:snapToGrid/>
        <w:spacing w:before="0" w:after="0" w:line="560" w:lineRule="exact"/>
        <w:ind w:left="0" w:leftChars="0" w:right="0"/>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日期：</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日</w:t>
      </w:r>
    </w:p>
    <w:p>
      <w:pPr>
        <w:spacing w:line="588" w:lineRule="exact"/>
        <w:jc w:val="center"/>
        <w:rPr>
          <w:rFonts w:hint="eastAsia" w:ascii="仿宋_GB2312" w:hAnsi="仿宋_GB2312" w:eastAsia="仿宋_GB2312" w:cs="仿宋_GB2312"/>
          <w:b/>
          <w:spacing w:val="6"/>
          <w:sz w:val="28"/>
          <w:szCs w:val="28"/>
        </w:rPr>
      </w:pPr>
      <w:bookmarkStart w:id="167" w:name="OLE_LINK13"/>
      <w:bookmarkStart w:id="168" w:name="OLE_LINK14"/>
    </w:p>
    <w:p>
      <w:pPr>
        <w:spacing w:line="588" w:lineRule="exact"/>
        <w:jc w:val="center"/>
        <w:rPr>
          <w:rFonts w:hint="eastAsia" w:ascii="仿宋_GB2312" w:hAnsi="仿宋_GB2312" w:eastAsia="仿宋_GB2312" w:cs="仿宋_GB2312"/>
          <w:b/>
          <w:spacing w:val="6"/>
          <w:sz w:val="28"/>
          <w:szCs w:val="28"/>
        </w:rPr>
      </w:pPr>
    </w:p>
    <w:p>
      <w:pPr>
        <w:spacing w:line="588" w:lineRule="exact"/>
        <w:jc w:val="center"/>
        <w:rPr>
          <w:rFonts w:hint="eastAsia" w:ascii="仿宋_GB2312" w:hAnsi="仿宋_GB2312" w:eastAsia="仿宋_GB2312" w:cs="仿宋_GB2312"/>
          <w:b/>
          <w:spacing w:val="6"/>
          <w:sz w:val="28"/>
          <w:szCs w:val="28"/>
        </w:rPr>
      </w:pPr>
    </w:p>
    <w:p>
      <w:pPr>
        <w:spacing w:line="588" w:lineRule="exact"/>
        <w:jc w:val="center"/>
        <w:rPr>
          <w:rFonts w:hint="eastAsia" w:ascii="仿宋_GB2312" w:hAnsi="仿宋_GB2312" w:eastAsia="仿宋_GB2312" w:cs="仿宋_GB2312"/>
          <w:b/>
          <w:spacing w:val="6"/>
          <w:sz w:val="28"/>
          <w:szCs w:val="28"/>
        </w:rPr>
      </w:pPr>
    </w:p>
    <w:p>
      <w:pPr>
        <w:spacing w:line="588" w:lineRule="exact"/>
        <w:jc w:val="center"/>
        <w:rPr>
          <w:rFonts w:hint="eastAsia" w:ascii="仿宋_GB2312" w:hAnsi="仿宋_GB2312" w:eastAsia="仿宋_GB2312" w:cs="仿宋_GB2312"/>
          <w:b/>
          <w:spacing w:val="6"/>
          <w:sz w:val="28"/>
          <w:szCs w:val="28"/>
        </w:rPr>
      </w:pPr>
    </w:p>
    <w:p>
      <w:pPr>
        <w:spacing w:line="588" w:lineRule="exact"/>
        <w:jc w:val="center"/>
        <w:rPr>
          <w:rFonts w:hint="eastAsia" w:ascii="仿宋_GB2312" w:hAnsi="仿宋_GB2312" w:eastAsia="仿宋_GB2312" w:cs="仿宋_GB2312"/>
          <w:b/>
          <w:spacing w:val="6"/>
          <w:sz w:val="28"/>
          <w:szCs w:val="28"/>
        </w:rPr>
      </w:pPr>
    </w:p>
    <w:p>
      <w:pPr>
        <w:spacing w:line="588" w:lineRule="exact"/>
        <w:jc w:val="center"/>
        <w:rPr>
          <w:rFonts w:hint="eastAsia" w:ascii="仿宋_GB2312" w:hAnsi="仿宋_GB2312" w:eastAsia="仿宋_GB2312" w:cs="仿宋_GB2312"/>
          <w:b/>
          <w:spacing w:val="6"/>
          <w:sz w:val="28"/>
          <w:szCs w:val="28"/>
        </w:rPr>
      </w:pPr>
    </w:p>
    <w:p>
      <w:pPr>
        <w:spacing w:line="588" w:lineRule="exact"/>
        <w:jc w:val="center"/>
        <w:rPr>
          <w:rFonts w:hint="eastAsia" w:ascii="仿宋_GB2312" w:hAnsi="仿宋_GB2312" w:eastAsia="仿宋_GB2312" w:cs="仿宋_GB2312"/>
          <w:b/>
          <w:spacing w:val="6"/>
          <w:sz w:val="28"/>
          <w:szCs w:val="28"/>
        </w:rPr>
      </w:pPr>
    </w:p>
    <w:p>
      <w:pPr>
        <w:spacing w:line="588" w:lineRule="exact"/>
        <w:jc w:val="center"/>
        <w:rPr>
          <w:rFonts w:hint="eastAsia" w:ascii="仿宋_GB2312" w:hAnsi="仿宋_GB2312" w:eastAsia="仿宋_GB2312" w:cs="仿宋_GB2312"/>
          <w:b/>
          <w:spacing w:val="6"/>
          <w:sz w:val="28"/>
          <w:szCs w:val="28"/>
        </w:rPr>
      </w:pPr>
    </w:p>
    <w:p>
      <w:pPr>
        <w:spacing w:line="588" w:lineRule="exact"/>
        <w:jc w:val="center"/>
        <w:rPr>
          <w:rFonts w:hint="eastAsia" w:ascii="仿宋_GB2312" w:hAnsi="仿宋_GB2312" w:eastAsia="仿宋_GB2312" w:cs="仿宋_GB2312"/>
          <w:b/>
          <w:spacing w:val="6"/>
          <w:sz w:val="28"/>
          <w:szCs w:val="28"/>
        </w:rPr>
      </w:pPr>
    </w:p>
    <w:p>
      <w:pPr>
        <w:spacing w:line="588" w:lineRule="exact"/>
        <w:jc w:val="center"/>
        <w:rPr>
          <w:rFonts w:hint="eastAsia" w:ascii="宋体" w:hAnsi="宋体" w:eastAsia="宋体" w:cs="宋体"/>
          <w:b/>
          <w:spacing w:val="6"/>
          <w:sz w:val="32"/>
          <w:szCs w:val="32"/>
        </w:rPr>
      </w:pPr>
      <w:r>
        <w:rPr>
          <w:rFonts w:hint="eastAsia" w:eastAsia="宋体" w:cs="宋体"/>
          <w:b/>
          <w:spacing w:val="6"/>
          <w:sz w:val="32"/>
          <w:szCs w:val="32"/>
          <w:lang w:eastAsia="zh-CN"/>
        </w:rPr>
        <w:t>（</w:t>
      </w:r>
      <w:r>
        <w:rPr>
          <w:rFonts w:hint="eastAsia" w:eastAsia="宋体" w:cs="宋体"/>
          <w:b/>
          <w:spacing w:val="6"/>
          <w:sz w:val="32"/>
          <w:szCs w:val="32"/>
          <w:lang w:val="en-US" w:eastAsia="zh-CN"/>
        </w:rPr>
        <w:t>十三</w:t>
      </w:r>
      <w:r>
        <w:rPr>
          <w:rFonts w:hint="eastAsia" w:eastAsia="宋体" w:cs="宋体"/>
          <w:b/>
          <w:spacing w:val="6"/>
          <w:sz w:val="32"/>
          <w:szCs w:val="32"/>
          <w:lang w:eastAsia="zh-CN"/>
        </w:rPr>
        <w:t>）</w:t>
      </w:r>
      <w:r>
        <w:rPr>
          <w:rFonts w:hint="eastAsia" w:ascii="宋体" w:hAnsi="宋体" w:eastAsia="宋体" w:cs="宋体"/>
          <w:b/>
          <w:spacing w:val="6"/>
          <w:sz w:val="32"/>
          <w:szCs w:val="32"/>
        </w:rPr>
        <w:t>残疾人福利性单位声明函</w:t>
      </w:r>
      <w:bookmarkEnd w:id="167"/>
      <w:bookmarkEnd w:id="168"/>
    </w:p>
    <w:p>
      <w:pPr>
        <w:spacing w:line="588" w:lineRule="exact"/>
        <w:rPr>
          <w:rFonts w:hint="eastAsia" w:ascii="仿宋_GB2312" w:hAnsi="仿宋_GB2312" w:eastAsia="仿宋_GB2312" w:cs="仿宋_GB2312"/>
          <w:b/>
          <w:spacing w:val="6"/>
          <w:sz w:val="28"/>
          <w:szCs w:val="28"/>
        </w:rPr>
      </w:pPr>
    </w:p>
    <w:p>
      <w:pPr>
        <w:wordWrap/>
        <w:adjustRightInd/>
        <w:snapToGrid/>
        <w:spacing w:before="0" w:after="0" w:line="560" w:lineRule="exact"/>
        <w:ind w:left="0" w:leftChars="0" w:firstLine="584" w:firstLineChars="200"/>
        <w:jc w:val="left"/>
        <w:textAlignment w:val="auto"/>
        <w:outlineLvl w:val="9"/>
        <w:rPr>
          <w:rFonts w:hint="eastAsia"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本单位郑重声明，根据《财政部 民政部 中国残疾人联合会关于促进残疾人就业政府采购政策的通知》（财库</w:t>
      </w:r>
      <w:r>
        <w:rPr>
          <w:rFonts w:hint="eastAsia" w:ascii="仿宋_GB2312" w:hAnsi="仿宋_GB2312" w:eastAsia="仿宋_GB2312" w:cs="仿宋_GB2312"/>
          <w:sz w:val="28"/>
          <w:szCs w:val="28"/>
        </w:rPr>
        <w:t>〔2017〕 141</w:t>
      </w:r>
      <w:r>
        <w:rPr>
          <w:rFonts w:hint="eastAsia" w:ascii="仿宋_GB2312" w:hAnsi="仿宋_GB2312" w:eastAsia="仿宋_GB2312" w:cs="仿宋_GB2312"/>
          <w:spacing w:val="6"/>
          <w:sz w:val="28"/>
          <w:szCs w:val="28"/>
        </w:rPr>
        <w:t>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pPr>
        <w:wordWrap/>
        <w:adjustRightInd/>
        <w:snapToGrid/>
        <w:spacing w:before="0" w:after="0" w:line="560" w:lineRule="exact"/>
        <w:ind w:left="0" w:leftChars="0" w:firstLine="584" w:firstLineChars="200"/>
        <w:jc w:val="left"/>
        <w:textAlignment w:val="auto"/>
        <w:outlineLvl w:val="9"/>
        <w:rPr>
          <w:rFonts w:hint="eastAsia"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本单位对上述声明的真实性负责。如有虚假，将依法承担相应责任。</w:t>
      </w:r>
    </w:p>
    <w:p>
      <w:pPr>
        <w:wordWrap/>
        <w:adjustRightInd/>
        <w:snapToGrid/>
        <w:spacing w:before="0" w:after="0" w:line="560" w:lineRule="exact"/>
        <w:ind w:left="0" w:leftChars="0" w:firstLine="584" w:firstLineChars="200"/>
        <w:jc w:val="left"/>
        <w:textAlignment w:val="auto"/>
        <w:outlineLvl w:val="9"/>
        <w:rPr>
          <w:rFonts w:hint="eastAsia" w:ascii="仿宋_GB2312" w:hAnsi="仿宋_GB2312" w:eastAsia="仿宋_GB2312" w:cs="仿宋_GB2312"/>
          <w:spacing w:val="6"/>
          <w:sz w:val="28"/>
          <w:szCs w:val="28"/>
        </w:rPr>
      </w:pPr>
    </w:p>
    <w:p>
      <w:pPr>
        <w:wordWrap/>
        <w:adjustRightInd/>
        <w:snapToGrid/>
        <w:spacing w:before="0" w:after="0" w:line="560" w:lineRule="exact"/>
        <w:ind w:left="0" w:leftChars="0" w:firstLine="584" w:firstLineChars="200"/>
        <w:textAlignment w:val="auto"/>
        <w:outlineLvl w:val="9"/>
        <w:rPr>
          <w:rFonts w:hint="eastAsia" w:ascii="仿宋_GB2312" w:hAnsi="仿宋_GB2312" w:eastAsia="仿宋_GB2312" w:cs="仿宋_GB2312"/>
          <w:spacing w:val="6"/>
          <w:sz w:val="28"/>
          <w:szCs w:val="28"/>
        </w:rPr>
      </w:pPr>
    </w:p>
    <w:p>
      <w:pPr>
        <w:tabs>
          <w:tab w:val="left" w:pos="4860"/>
        </w:tabs>
        <w:wordWrap/>
        <w:adjustRightInd/>
        <w:snapToGrid/>
        <w:spacing w:before="0" w:after="0" w:line="560" w:lineRule="exact"/>
        <w:ind w:left="0" w:leftChars="0" w:right="1560" w:firstLine="584" w:firstLineChars="200"/>
        <w:jc w:val="center"/>
        <w:textAlignment w:val="auto"/>
        <w:outlineLvl w:val="9"/>
        <w:rPr>
          <w:rFonts w:hint="eastAsia"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 xml:space="preserve">                        单位名称（盖章）：</w:t>
      </w:r>
    </w:p>
    <w:p>
      <w:pPr>
        <w:tabs>
          <w:tab w:val="left" w:pos="4860"/>
        </w:tabs>
        <w:wordWrap/>
        <w:adjustRightInd/>
        <w:snapToGrid/>
        <w:spacing w:before="0" w:after="0" w:line="560" w:lineRule="exact"/>
        <w:ind w:left="0" w:leftChars="0" w:right="1560" w:firstLine="584" w:firstLineChars="200"/>
        <w:jc w:val="center"/>
        <w:textAlignment w:val="auto"/>
        <w:outlineLvl w:val="9"/>
        <w:rPr>
          <w:rFonts w:hint="eastAsia"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 xml:space="preserve">                             </w:t>
      </w:r>
      <w:r>
        <w:rPr>
          <w:rFonts w:hint="eastAsia" w:ascii="仿宋_GB2312" w:hAnsi="仿宋_GB2312" w:eastAsia="仿宋_GB2312" w:cs="仿宋_GB2312"/>
          <w:spacing w:val="6"/>
          <w:sz w:val="28"/>
          <w:szCs w:val="28"/>
          <w:lang w:val="en-US" w:eastAsia="zh-CN"/>
        </w:rPr>
        <w:t xml:space="preserve">    </w:t>
      </w:r>
      <w:r>
        <w:rPr>
          <w:rFonts w:hint="eastAsia" w:ascii="仿宋_GB2312" w:hAnsi="仿宋_GB2312" w:eastAsia="仿宋_GB2312" w:cs="仿宋_GB2312"/>
          <w:spacing w:val="6"/>
          <w:sz w:val="28"/>
          <w:szCs w:val="28"/>
        </w:rPr>
        <w:t>日  期：</w:t>
      </w:r>
    </w:p>
    <w:p>
      <w:pPr>
        <w:spacing w:line="360" w:lineRule="auto"/>
        <w:jc w:val="center"/>
        <w:rPr>
          <w:rFonts w:hint="eastAsia" w:ascii="宋体" w:hAnsi="宋体" w:cs="仿宋"/>
          <w:b/>
          <w:bCs/>
          <w:kern w:val="0"/>
          <w:sz w:val="36"/>
          <w:szCs w:val="36"/>
        </w:rPr>
      </w:pPr>
    </w:p>
    <w:p>
      <w:pPr>
        <w:spacing w:line="360" w:lineRule="auto"/>
        <w:jc w:val="center"/>
        <w:rPr>
          <w:rFonts w:hint="eastAsia" w:ascii="宋体" w:hAnsi="宋体" w:cs="仿宋"/>
          <w:b/>
          <w:bCs/>
          <w:kern w:val="0"/>
          <w:sz w:val="36"/>
          <w:szCs w:val="36"/>
        </w:rPr>
      </w:pPr>
    </w:p>
    <w:p>
      <w:pPr>
        <w:spacing w:line="360" w:lineRule="auto"/>
        <w:jc w:val="center"/>
        <w:rPr>
          <w:rFonts w:hint="eastAsia" w:ascii="宋体" w:hAnsi="宋体" w:cs="仿宋"/>
          <w:b/>
          <w:bCs/>
          <w:kern w:val="0"/>
          <w:sz w:val="36"/>
          <w:szCs w:val="36"/>
        </w:rPr>
      </w:pPr>
    </w:p>
    <w:p>
      <w:pPr>
        <w:spacing w:line="360" w:lineRule="auto"/>
        <w:jc w:val="center"/>
        <w:rPr>
          <w:rFonts w:hint="eastAsia" w:ascii="宋体" w:hAnsi="宋体" w:cs="仿宋"/>
          <w:b/>
          <w:bCs/>
          <w:kern w:val="0"/>
          <w:sz w:val="36"/>
          <w:szCs w:val="36"/>
        </w:rPr>
      </w:pPr>
    </w:p>
    <w:p>
      <w:pPr>
        <w:spacing w:line="360" w:lineRule="auto"/>
        <w:jc w:val="center"/>
        <w:rPr>
          <w:rFonts w:hint="eastAsia" w:ascii="宋体" w:hAnsi="宋体" w:cs="仿宋"/>
          <w:b/>
          <w:bCs/>
          <w:kern w:val="0"/>
          <w:sz w:val="36"/>
          <w:szCs w:val="36"/>
        </w:rPr>
      </w:pPr>
    </w:p>
    <w:p>
      <w:pPr>
        <w:spacing w:line="360" w:lineRule="auto"/>
        <w:jc w:val="center"/>
        <w:rPr>
          <w:rFonts w:hint="eastAsia" w:ascii="宋体" w:hAnsi="宋体" w:cs="仿宋"/>
          <w:b/>
          <w:bCs/>
          <w:kern w:val="0"/>
          <w:sz w:val="36"/>
          <w:szCs w:val="36"/>
        </w:rPr>
      </w:pPr>
    </w:p>
    <w:p>
      <w:pPr>
        <w:spacing w:line="360" w:lineRule="auto"/>
        <w:jc w:val="center"/>
        <w:rPr>
          <w:rFonts w:hint="eastAsia" w:ascii="宋体" w:hAnsi="宋体" w:cs="仿宋"/>
          <w:b/>
          <w:bCs/>
          <w:kern w:val="0"/>
          <w:sz w:val="36"/>
          <w:szCs w:val="36"/>
        </w:rPr>
      </w:pPr>
    </w:p>
    <w:p>
      <w:pPr>
        <w:spacing w:line="360" w:lineRule="auto"/>
        <w:jc w:val="center"/>
        <w:rPr>
          <w:rFonts w:hint="eastAsia" w:ascii="宋体" w:hAnsi="宋体" w:cs="仿宋"/>
          <w:b/>
          <w:bCs/>
          <w:kern w:val="0"/>
          <w:sz w:val="36"/>
          <w:szCs w:val="36"/>
        </w:rPr>
      </w:pPr>
    </w:p>
    <w:p>
      <w:pPr>
        <w:spacing w:line="360" w:lineRule="auto"/>
        <w:jc w:val="center"/>
        <w:rPr>
          <w:rFonts w:hint="eastAsia" w:ascii="宋体" w:hAnsi="宋体" w:cs="仿宋"/>
          <w:b/>
          <w:bCs/>
          <w:kern w:val="0"/>
          <w:sz w:val="36"/>
          <w:szCs w:val="36"/>
        </w:rPr>
      </w:pPr>
    </w:p>
    <w:p>
      <w:pPr>
        <w:spacing w:line="360" w:lineRule="auto"/>
        <w:ind w:left="0" w:leftChars="0" w:firstLine="0" w:firstLineChars="0"/>
        <w:jc w:val="both"/>
        <w:rPr>
          <w:rFonts w:hint="eastAsia" w:ascii="宋体" w:hAnsi="宋体" w:cs="仿宋"/>
          <w:b/>
          <w:bCs/>
          <w:kern w:val="0"/>
          <w:sz w:val="36"/>
          <w:szCs w:val="36"/>
        </w:rPr>
      </w:pPr>
      <w:r>
        <w:rPr>
          <w:rFonts w:hint="eastAsia" w:cs="仿宋"/>
          <w:b/>
          <w:bCs/>
          <w:kern w:val="0"/>
          <w:sz w:val="36"/>
          <w:szCs w:val="36"/>
          <w:lang w:val="en-US" w:eastAsia="zh-CN"/>
        </w:rPr>
        <w:t xml:space="preserve">      </w:t>
      </w:r>
      <w:r>
        <w:rPr>
          <w:rFonts w:hint="eastAsia" w:cs="仿宋"/>
          <w:b/>
          <w:bCs/>
          <w:kern w:val="0"/>
          <w:sz w:val="36"/>
          <w:szCs w:val="36"/>
          <w:lang w:eastAsia="zh-CN"/>
        </w:rPr>
        <w:t>（</w:t>
      </w:r>
      <w:r>
        <w:rPr>
          <w:rFonts w:hint="eastAsia" w:cs="仿宋"/>
          <w:b/>
          <w:bCs/>
          <w:kern w:val="0"/>
          <w:sz w:val="36"/>
          <w:szCs w:val="36"/>
          <w:lang w:val="en-US" w:eastAsia="zh-CN"/>
        </w:rPr>
        <w:t>十四</w:t>
      </w:r>
      <w:r>
        <w:rPr>
          <w:rFonts w:hint="eastAsia" w:cs="仿宋"/>
          <w:b/>
          <w:bCs/>
          <w:kern w:val="0"/>
          <w:sz w:val="36"/>
          <w:szCs w:val="36"/>
          <w:lang w:eastAsia="zh-CN"/>
        </w:rPr>
        <w:t>）</w:t>
      </w:r>
      <w:r>
        <w:rPr>
          <w:rFonts w:hint="eastAsia" w:ascii="宋体" w:hAnsi="宋体" w:cs="仿宋"/>
          <w:b/>
          <w:bCs/>
          <w:kern w:val="0"/>
          <w:sz w:val="36"/>
          <w:szCs w:val="36"/>
        </w:rPr>
        <w:t>节能、环境标志产品加分明细表</w:t>
      </w:r>
    </w:p>
    <w:p>
      <w:pPr>
        <w:spacing w:line="360" w:lineRule="auto"/>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（若有，请如实填写）</w:t>
      </w:r>
    </w:p>
    <w:tbl>
      <w:tblPr>
        <w:tblW w:w="8826" w:type="dxa"/>
        <w:tblInd w:w="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5"/>
        <w:gridCol w:w="821"/>
        <w:gridCol w:w="3120"/>
        <w:gridCol w:w="1137"/>
        <w:gridCol w:w="1396"/>
        <w:gridCol w:w="857"/>
      </w:tblGrid>
      <w:tr>
        <w:tc>
          <w:tcPr>
            <w:tcW w:w="1495" w:type="dxa"/>
            <w:vAlign w:val="center"/>
          </w:tcPr>
          <w:p>
            <w:pPr>
              <w:ind w:left="0" w:leftChars="0" w:firstLine="0" w:firstLineChars="0"/>
              <w:jc w:val="center"/>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标段（包）</w:t>
            </w:r>
          </w:p>
        </w:tc>
        <w:tc>
          <w:tcPr>
            <w:tcW w:w="821" w:type="dxa"/>
            <w:vAlign w:val="center"/>
          </w:tcPr>
          <w:p>
            <w:pPr>
              <w:ind w:left="0" w:leftChars="0" w:firstLine="0" w:firstLineChars="0"/>
              <w:jc w:val="center"/>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行次</w:t>
            </w:r>
          </w:p>
        </w:tc>
        <w:tc>
          <w:tcPr>
            <w:tcW w:w="3120" w:type="dxa"/>
            <w:vAlign w:val="center"/>
          </w:tcPr>
          <w:p>
            <w:pPr>
              <w:jc w:val="center"/>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清单产品名称</w:t>
            </w:r>
          </w:p>
        </w:tc>
        <w:tc>
          <w:tcPr>
            <w:tcW w:w="1137" w:type="dxa"/>
            <w:vAlign w:val="center"/>
          </w:tcPr>
          <w:p>
            <w:pPr>
              <w:ind w:left="0" w:leftChars="0" w:firstLine="0" w:firstLineChars="0"/>
              <w:jc w:val="center"/>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金额</w:t>
            </w:r>
          </w:p>
        </w:tc>
        <w:tc>
          <w:tcPr>
            <w:tcW w:w="1396" w:type="dxa"/>
            <w:vAlign w:val="center"/>
          </w:tcPr>
          <w:p>
            <w:pPr>
              <w:ind w:left="0" w:leftChars="0" w:firstLine="0" w:firstLineChars="0"/>
              <w:jc w:val="center"/>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清单页数及序号</w:t>
            </w:r>
          </w:p>
        </w:tc>
        <w:tc>
          <w:tcPr>
            <w:tcW w:w="857" w:type="dxa"/>
            <w:vAlign w:val="center"/>
          </w:tcPr>
          <w:p>
            <w:pPr>
              <w:ind w:left="0" w:leftChars="0" w:firstLine="0" w:firstLineChars="0"/>
              <w:jc w:val="center"/>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备注</w:t>
            </w:r>
          </w:p>
        </w:tc>
      </w:tr>
      <w:tr>
        <w:tc>
          <w:tcPr>
            <w:tcW w:w="1495" w:type="dxa"/>
            <w:vMerge w:val="restart"/>
            <w:vAlign w:val="center"/>
          </w:tcPr>
          <w:p>
            <w:pPr>
              <w:spacing w:line="360" w:lineRule="auto"/>
              <w:jc w:val="center"/>
              <w:rPr>
                <w:rFonts w:hint="eastAsia" w:ascii="仿宋_GB2312" w:hAnsi="仿宋_GB2312" w:eastAsia="仿宋_GB2312" w:cs="仿宋_GB2312"/>
                <w:b/>
                <w:bCs/>
                <w:kern w:val="0"/>
                <w:sz w:val="28"/>
                <w:szCs w:val="28"/>
              </w:rPr>
            </w:pPr>
          </w:p>
        </w:tc>
        <w:tc>
          <w:tcPr>
            <w:tcW w:w="821" w:type="dxa"/>
            <w:vAlign w:val="center"/>
          </w:tcPr>
          <w:p>
            <w:pPr>
              <w:spacing w:line="360" w:lineRule="auto"/>
              <w:ind w:left="0" w:leftChars="0" w:firstLine="0" w:firstLineChars="0"/>
              <w:jc w:val="center"/>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1</w:t>
            </w:r>
          </w:p>
        </w:tc>
        <w:tc>
          <w:tcPr>
            <w:tcW w:w="3120" w:type="dxa"/>
            <w:vAlign w:val="center"/>
          </w:tcPr>
          <w:p>
            <w:pPr>
              <w:spacing w:line="360" w:lineRule="auto"/>
              <w:jc w:val="center"/>
              <w:rPr>
                <w:rFonts w:hint="eastAsia" w:ascii="仿宋_GB2312" w:hAnsi="仿宋_GB2312" w:eastAsia="仿宋_GB2312" w:cs="仿宋_GB2312"/>
                <w:b/>
                <w:bCs/>
                <w:kern w:val="0"/>
                <w:sz w:val="28"/>
                <w:szCs w:val="28"/>
              </w:rPr>
            </w:pPr>
          </w:p>
        </w:tc>
        <w:tc>
          <w:tcPr>
            <w:tcW w:w="1137" w:type="dxa"/>
            <w:vAlign w:val="center"/>
          </w:tcPr>
          <w:p>
            <w:pPr>
              <w:spacing w:line="360" w:lineRule="auto"/>
              <w:jc w:val="center"/>
              <w:rPr>
                <w:rFonts w:hint="eastAsia" w:ascii="仿宋_GB2312" w:hAnsi="仿宋_GB2312" w:eastAsia="仿宋_GB2312" w:cs="仿宋_GB2312"/>
                <w:b/>
                <w:bCs/>
                <w:kern w:val="0"/>
                <w:sz w:val="28"/>
                <w:szCs w:val="28"/>
              </w:rPr>
            </w:pPr>
          </w:p>
        </w:tc>
        <w:tc>
          <w:tcPr>
            <w:tcW w:w="1396" w:type="dxa"/>
            <w:vAlign w:val="center"/>
          </w:tcPr>
          <w:p>
            <w:pPr>
              <w:spacing w:line="360" w:lineRule="auto"/>
              <w:jc w:val="center"/>
              <w:rPr>
                <w:rFonts w:hint="eastAsia" w:ascii="仿宋_GB2312" w:hAnsi="仿宋_GB2312" w:eastAsia="仿宋_GB2312" w:cs="仿宋_GB2312"/>
                <w:b/>
                <w:bCs/>
                <w:kern w:val="0"/>
                <w:sz w:val="28"/>
                <w:szCs w:val="28"/>
              </w:rPr>
            </w:pPr>
          </w:p>
        </w:tc>
        <w:tc>
          <w:tcPr>
            <w:tcW w:w="857" w:type="dxa"/>
            <w:vAlign w:val="center"/>
          </w:tcPr>
          <w:p>
            <w:pPr>
              <w:spacing w:line="360" w:lineRule="auto"/>
              <w:jc w:val="center"/>
              <w:rPr>
                <w:rFonts w:hint="eastAsia" w:ascii="仿宋_GB2312" w:hAnsi="仿宋_GB2312" w:eastAsia="仿宋_GB2312" w:cs="仿宋_GB2312"/>
                <w:b/>
                <w:bCs/>
                <w:kern w:val="0"/>
                <w:sz w:val="28"/>
                <w:szCs w:val="28"/>
              </w:rPr>
            </w:pPr>
          </w:p>
        </w:tc>
      </w:tr>
      <w:tr>
        <w:tc>
          <w:tcPr>
            <w:tcW w:w="1495" w:type="dxa"/>
            <w:vMerge w:val="continue"/>
            <w:vAlign w:val="center"/>
          </w:tcPr>
          <w:p>
            <w:pPr>
              <w:spacing w:line="360" w:lineRule="auto"/>
              <w:jc w:val="center"/>
              <w:rPr>
                <w:rFonts w:hint="eastAsia" w:ascii="仿宋_GB2312" w:hAnsi="仿宋_GB2312" w:eastAsia="仿宋_GB2312" w:cs="仿宋_GB2312"/>
                <w:b/>
                <w:bCs/>
                <w:kern w:val="0"/>
                <w:sz w:val="28"/>
                <w:szCs w:val="28"/>
              </w:rPr>
            </w:pPr>
          </w:p>
        </w:tc>
        <w:tc>
          <w:tcPr>
            <w:tcW w:w="821" w:type="dxa"/>
            <w:vAlign w:val="center"/>
          </w:tcPr>
          <w:p>
            <w:pPr>
              <w:spacing w:line="360" w:lineRule="auto"/>
              <w:ind w:left="0" w:leftChars="0" w:firstLine="0" w:firstLineChars="0"/>
              <w:jc w:val="center"/>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2</w:t>
            </w:r>
          </w:p>
        </w:tc>
        <w:tc>
          <w:tcPr>
            <w:tcW w:w="3120" w:type="dxa"/>
            <w:vAlign w:val="center"/>
          </w:tcPr>
          <w:p>
            <w:pPr>
              <w:spacing w:line="360" w:lineRule="auto"/>
              <w:jc w:val="center"/>
              <w:rPr>
                <w:rFonts w:hint="eastAsia" w:ascii="仿宋_GB2312" w:hAnsi="仿宋_GB2312" w:eastAsia="仿宋_GB2312" w:cs="仿宋_GB2312"/>
                <w:b/>
                <w:bCs/>
                <w:kern w:val="0"/>
                <w:sz w:val="28"/>
                <w:szCs w:val="28"/>
              </w:rPr>
            </w:pPr>
          </w:p>
        </w:tc>
        <w:tc>
          <w:tcPr>
            <w:tcW w:w="1137" w:type="dxa"/>
            <w:vAlign w:val="center"/>
          </w:tcPr>
          <w:p>
            <w:pPr>
              <w:spacing w:line="360" w:lineRule="auto"/>
              <w:jc w:val="center"/>
              <w:rPr>
                <w:rFonts w:hint="eastAsia" w:ascii="仿宋_GB2312" w:hAnsi="仿宋_GB2312" w:eastAsia="仿宋_GB2312" w:cs="仿宋_GB2312"/>
                <w:b/>
                <w:bCs/>
                <w:kern w:val="0"/>
                <w:sz w:val="28"/>
                <w:szCs w:val="28"/>
              </w:rPr>
            </w:pPr>
          </w:p>
        </w:tc>
        <w:tc>
          <w:tcPr>
            <w:tcW w:w="1396" w:type="dxa"/>
            <w:vAlign w:val="center"/>
          </w:tcPr>
          <w:p>
            <w:pPr>
              <w:spacing w:line="360" w:lineRule="auto"/>
              <w:jc w:val="center"/>
              <w:rPr>
                <w:rFonts w:hint="eastAsia" w:ascii="仿宋_GB2312" w:hAnsi="仿宋_GB2312" w:eastAsia="仿宋_GB2312" w:cs="仿宋_GB2312"/>
                <w:b/>
                <w:bCs/>
                <w:kern w:val="0"/>
                <w:sz w:val="28"/>
                <w:szCs w:val="28"/>
              </w:rPr>
            </w:pPr>
          </w:p>
        </w:tc>
        <w:tc>
          <w:tcPr>
            <w:tcW w:w="857" w:type="dxa"/>
            <w:vAlign w:val="center"/>
          </w:tcPr>
          <w:p>
            <w:pPr>
              <w:spacing w:line="360" w:lineRule="auto"/>
              <w:jc w:val="center"/>
              <w:rPr>
                <w:rFonts w:hint="eastAsia" w:ascii="仿宋_GB2312" w:hAnsi="仿宋_GB2312" w:eastAsia="仿宋_GB2312" w:cs="仿宋_GB2312"/>
                <w:b/>
                <w:bCs/>
                <w:kern w:val="0"/>
                <w:sz w:val="28"/>
                <w:szCs w:val="28"/>
              </w:rPr>
            </w:pPr>
          </w:p>
        </w:tc>
      </w:tr>
      <w:tr>
        <w:tc>
          <w:tcPr>
            <w:tcW w:w="1495" w:type="dxa"/>
            <w:vMerge w:val="continue"/>
            <w:vAlign w:val="center"/>
          </w:tcPr>
          <w:p>
            <w:pPr>
              <w:spacing w:line="360" w:lineRule="auto"/>
              <w:jc w:val="center"/>
              <w:rPr>
                <w:rFonts w:hint="eastAsia" w:ascii="仿宋_GB2312" w:hAnsi="仿宋_GB2312" w:eastAsia="仿宋_GB2312" w:cs="仿宋_GB2312"/>
                <w:b/>
                <w:bCs/>
                <w:kern w:val="0"/>
                <w:sz w:val="28"/>
                <w:szCs w:val="28"/>
              </w:rPr>
            </w:pPr>
          </w:p>
        </w:tc>
        <w:tc>
          <w:tcPr>
            <w:tcW w:w="821" w:type="dxa"/>
            <w:vAlign w:val="center"/>
          </w:tcPr>
          <w:p>
            <w:pPr>
              <w:spacing w:line="360" w:lineRule="auto"/>
              <w:ind w:left="0" w:leftChars="0" w:firstLine="0" w:firstLineChars="0"/>
              <w:jc w:val="center"/>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3</w:t>
            </w:r>
          </w:p>
        </w:tc>
        <w:tc>
          <w:tcPr>
            <w:tcW w:w="3120" w:type="dxa"/>
            <w:vAlign w:val="center"/>
          </w:tcPr>
          <w:p>
            <w:pPr>
              <w:spacing w:line="360" w:lineRule="auto"/>
              <w:jc w:val="center"/>
              <w:rPr>
                <w:rFonts w:hint="eastAsia" w:ascii="仿宋_GB2312" w:hAnsi="仿宋_GB2312" w:eastAsia="仿宋_GB2312" w:cs="仿宋_GB2312"/>
                <w:b/>
                <w:bCs/>
                <w:kern w:val="0"/>
                <w:sz w:val="28"/>
                <w:szCs w:val="28"/>
              </w:rPr>
            </w:pPr>
          </w:p>
        </w:tc>
        <w:tc>
          <w:tcPr>
            <w:tcW w:w="1137" w:type="dxa"/>
            <w:vAlign w:val="center"/>
          </w:tcPr>
          <w:p>
            <w:pPr>
              <w:spacing w:line="360" w:lineRule="auto"/>
              <w:jc w:val="center"/>
              <w:rPr>
                <w:rFonts w:hint="eastAsia" w:ascii="仿宋_GB2312" w:hAnsi="仿宋_GB2312" w:eastAsia="仿宋_GB2312" w:cs="仿宋_GB2312"/>
                <w:b/>
                <w:bCs/>
                <w:kern w:val="0"/>
                <w:sz w:val="28"/>
                <w:szCs w:val="28"/>
              </w:rPr>
            </w:pPr>
          </w:p>
        </w:tc>
        <w:tc>
          <w:tcPr>
            <w:tcW w:w="1396" w:type="dxa"/>
            <w:vAlign w:val="center"/>
          </w:tcPr>
          <w:p>
            <w:pPr>
              <w:spacing w:line="360" w:lineRule="auto"/>
              <w:jc w:val="center"/>
              <w:rPr>
                <w:rFonts w:hint="eastAsia" w:ascii="仿宋_GB2312" w:hAnsi="仿宋_GB2312" w:eastAsia="仿宋_GB2312" w:cs="仿宋_GB2312"/>
                <w:b/>
                <w:bCs/>
                <w:kern w:val="0"/>
                <w:sz w:val="28"/>
                <w:szCs w:val="28"/>
              </w:rPr>
            </w:pPr>
          </w:p>
        </w:tc>
        <w:tc>
          <w:tcPr>
            <w:tcW w:w="857" w:type="dxa"/>
            <w:vAlign w:val="center"/>
          </w:tcPr>
          <w:p>
            <w:pPr>
              <w:spacing w:line="360" w:lineRule="auto"/>
              <w:jc w:val="center"/>
              <w:rPr>
                <w:rFonts w:hint="eastAsia" w:ascii="仿宋_GB2312" w:hAnsi="仿宋_GB2312" w:eastAsia="仿宋_GB2312" w:cs="仿宋_GB2312"/>
                <w:b/>
                <w:bCs/>
                <w:kern w:val="0"/>
                <w:sz w:val="28"/>
                <w:szCs w:val="28"/>
              </w:rPr>
            </w:pPr>
          </w:p>
        </w:tc>
      </w:tr>
      <w:tr>
        <w:tc>
          <w:tcPr>
            <w:tcW w:w="1495" w:type="dxa"/>
            <w:vMerge w:val="continue"/>
            <w:vAlign w:val="center"/>
          </w:tcPr>
          <w:p>
            <w:pPr>
              <w:spacing w:line="360" w:lineRule="auto"/>
              <w:jc w:val="center"/>
              <w:rPr>
                <w:rFonts w:hint="eastAsia" w:ascii="仿宋_GB2312" w:hAnsi="仿宋_GB2312" w:eastAsia="仿宋_GB2312" w:cs="仿宋_GB2312"/>
                <w:b/>
                <w:bCs/>
                <w:kern w:val="0"/>
                <w:sz w:val="28"/>
                <w:szCs w:val="28"/>
              </w:rPr>
            </w:pPr>
          </w:p>
        </w:tc>
        <w:tc>
          <w:tcPr>
            <w:tcW w:w="821" w:type="dxa"/>
            <w:vAlign w:val="center"/>
          </w:tcPr>
          <w:p>
            <w:pPr>
              <w:spacing w:line="360" w:lineRule="auto"/>
              <w:ind w:left="0" w:leftChars="0" w:firstLine="0" w:firstLineChars="0"/>
              <w:jc w:val="center"/>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4</w:t>
            </w:r>
          </w:p>
        </w:tc>
        <w:tc>
          <w:tcPr>
            <w:tcW w:w="3120" w:type="dxa"/>
            <w:vAlign w:val="center"/>
          </w:tcPr>
          <w:p>
            <w:pPr>
              <w:spacing w:line="360" w:lineRule="auto"/>
              <w:jc w:val="center"/>
              <w:rPr>
                <w:rFonts w:hint="eastAsia" w:ascii="仿宋_GB2312" w:hAnsi="仿宋_GB2312" w:eastAsia="仿宋_GB2312" w:cs="仿宋_GB2312"/>
                <w:b/>
                <w:bCs/>
                <w:kern w:val="0"/>
                <w:sz w:val="28"/>
                <w:szCs w:val="28"/>
              </w:rPr>
            </w:pPr>
          </w:p>
        </w:tc>
        <w:tc>
          <w:tcPr>
            <w:tcW w:w="1137" w:type="dxa"/>
            <w:vAlign w:val="center"/>
          </w:tcPr>
          <w:p>
            <w:pPr>
              <w:spacing w:line="360" w:lineRule="auto"/>
              <w:jc w:val="center"/>
              <w:rPr>
                <w:rFonts w:hint="eastAsia" w:ascii="仿宋_GB2312" w:hAnsi="仿宋_GB2312" w:eastAsia="仿宋_GB2312" w:cs="仿宋_GB2312"/>
                <w:b/>
                <w:bCs/>
                <w:kern w:val="0"/>
                <w:sz w:val="28"/>
                <w:szCs w:val="28"/>
              </w:rPr>
            </w:pPr>
          </w:p>
        </w:tc>
        <w:tc>
          <w:tcPr>
            <w:tcW w:w="1396" w:type="dxa"/>
            <w:vAlign w:val="center"/>
          </w:tcPr>
          <w:p>
            <w:pPr>
              <w:spacing w:line="360" w:lineRule="auto"/>
              <w:jc w:val="center"/>
              <w:rPr>
                <w:rFonts w:hint="eastAsia" w:ascii="仿宋_GB2312" w:hAnsi="仿宋_GB2312" w:eastAsia="仿宋_GB2312" w:cs="仿宋_GB2312"/>
                <w:b/>
                <w:bCs/>
                <w:kern w:val="0"/>
                <w:sz w:val="28"/>
                <w:szCs w:val="28"/>
              </w:rPr>
            </w:pPr>
          </w:p>
        </w:tc>
        <w:tc>
          <w:tcPr>
            <w:tcW w:w="857" w:type="dxa"/>
            <w:vAlign w:val="center"/>
          </w:tcPr>
          <w:p>
            <w:pPr>
              <w:spacing w:line="360" w:lineRule="auto"/>
              <w:jc w:val="center"/>
              <w:rPr>
                <w:rFonts w:hint="eastAsia" w:ascii="仿宋_GB2312" w:hAnsi="仿宋_GB2312" w:eastAsia="仿宋_GB2312" w:cs="仿宋_GB2312"/>
                <w:b/>
                <w:bCs/>
                <w:kern w:val="0"/>
                <w:sz w:val="28"/>
                <w:szCs w:val="28"/>
              </w:rPr>
            </w:pPr>
          </w:p>
        </w:tc>
      </w:tr>
      <w:tr>
        <w:tc>
          <w:tcPr>
            <w:tcW w:w="1495" w:type="dxa"/>
            <w:vMerge w:val="continue"/>
            <w:vAlign w:val="center"/>
          </w:tcPr>
          <w:p>
            <w:pPr>
              <w:spacing w:line="360" w:lineRule="auto"/>
              <w:jc w:val="center"/>
              <w:rPr>
                <w:rFonts w:hint="eastAsia" w:ascii="仿宋_GB2312" w:hAnsi="仿宋_GB2312" w:eastAsia="仿宋_GB2312" w:cs="仿宋_GB2312"/>
                <w:b/>
                <w:bCs/>
                <w:kern w:val="0"/>
                <w:sz w:val="28"/>
                <w:szCs w:val="28"/>
              </w:rPr>
            </w:pPr>
          </w:p>
        </w:tc>
        <w:tc>
          <w:tcPr>
            <w:tcW w:w="821" w:type="dxa"/>
            <w:vAlign w:val="center"/>
          </w:tcPr>
          <w:p>
            <w:pPr>
              <w:spacing w:line="360" w:lineRule="auto"/>
              <w:ind w:left="0" w:leftChars="0" w:firstLine="0" w:firstLineChars="0"/>
              <w:jc w:val="center"/>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5</w:t>
            </w:r>
          </w:p>
        </w:tc>
        <w:tc>
          <w:tcPr>
            <w:tcW w:w="3120" w:type="dxa"/>
            <w:vAlign w:val="center"/>
          </w:tcPr>
          <w:p>
            <w:pPr>
              <w:spacing w:line="360" w:lineRule="auto"/>
              <w:jc w:val="center"/>
              <w:rPr>
                <w:rFonts w:hint="eastAsia" w:ascii="仿宋_GB2312" w:hAnsi="仿宋_GB2312" w:eastAsia="仿宋_GB2312" w:cs="仿宋_GB2312"/>
                <w:b/>
                <w:bCs/>
                <w:kern w:val="0"/>
                <w:sz w:val="28"/>
                <w:szCs w:val="28"/>
              </w:rPr>
            </w:pPr>
          </w:p>
        </w:tc>
        <w:tc>
          <w:tcPr>
            <w:tcW w:w="1137" w:type="dxa"/>
            <w:vAlign w:val="center"/>
          </w:tcPr>
          <w:p>
            <w:pPr>
              <w:spacing w:line="360" w:lineRule="auto"/>
              <w:jc w:val="center"/>
              <w:rPr>
                <w:rFonts w:hint="eastAsia" w:ascii="仿宋_GB2312" w:hAnsi="仿宋_GB2312" w:eastAsia="仿宋_GB2312" w:cs="仿宋_GB2312"/>
                <w:b/>
                <w:bCs/>
                <w:kern w:val="0"/>
                <w:sz w:val="28"/>
                <w:szCs w:val="28"/>
              </w:rPr>
            </w:pPr>
          </w:p>
        </w:tc>
        <w:tc>
          <w:tcPr>
            <w:tcW w:w="1396" w:type="dxa"/>
            <w:vAlign w:val="center"/>
          </w:tcPr>
          <w:p>
            <w:pPr>
              <w:spacing w:line="360" w:lineRule="auto"/>
              <w:jc w:val="center"/>
              <w:rPr>
                <w:rFonts w:hint="eastAsia" w:ascii="仿宋_GB2312" w:hAnsi="仿宋_GB2312" w:eastAsia="仿宋_GB2312" w:cs="仿宋_GB2312"/>
                <w:b/>
                <w:bCs/>
                <w:kern w:val="0"/>
                <w:sz w:val="28"/>
                <w:szCs w:val="28"/>
              </w:rPr>
            </w:pPr>
          </w:p>
        </w:tc>
        <w:tc>
          <w:tcPr>
            <w:tcW w:w="857" w:type="dxa"/>
            <w:vAlign w:val="center"/>
          </w:tcPr>
          <w:p>
            <w:pPr>
              <w:spacing w:line="360" w:lineRule="auto"/>
              <w:jc w:val="center"/>
              <w:rPr>
                <w:rFonts w:hint="eastAsia" w:ascii="仿宋_GB2312" w:hAnsi="仿宋_GB2312" w:eastAsia="仿宋_GB2312" w:cs="仿宋_GB2312"/>
                <w:b/>
                <w:bCs/>
                <w:kern w:val="0"/>
                <w:sz w:val="28"/>
                <w:szCs w:val="28"/>
              </w:rPr>
            </w:pPr>
          </w:p>
        </w:tc>
      </w:tr>
      <w:tr>
        <w:tc>
          <w:tcPr>
            <w:tcW w:w="1495" w:type="dxa"/>
            <w:vMerge w:val="continue"/>
            <w:vAlign w:val="center"/>
          </w:tcPr>
          <w:p>
            <w:pPr>
              <w:spacing w:line="360" w:lineRule="auto"/>
              <w:jc w:val="center"/>
              <w:rPr>
                <w:rFonts w:hint="eastAsia" w:ascii="仿宋_GB2312" w:hAnsi="仿宋_GB2312" w:eastAsia="仿宋_GB2312" w:cs="仿宋_GB2312"/>
                <w:b/>
                <w:bCs/>
                <w:kern w:val="0"/>
                <w:sz w:val="28"/>
                <w:szCs w:val="28"/>
              </w:rPr>
            </w:pPr>
          </w:p>
        </w:tc>
        <w:tc>
          <w:tcPr>
            <w:tcW w:w="821" w:type="dxa"/>
            <w:vAlign w:val="center"/>
          </w:tcPr>
          <w:p>
            <w:pPr>
              <w:spacing w:line="360" w:lineRule="auto"/>
              <w:ind w:left="0" w:leftChars="0" w:firstLine="0" w:firstLineChars="0"/>
              <w:jc w:val="center"/>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6</w:t>
            </w:r>
          </w:p>
        </w:tc>
        <w:tc>
          <w:tcPr>
            <w:tcW w:w="3120" w:type="dxa"/>
            <w:vAlign w:val="center"/>
          </w:tcPr>
          <w:p>
            <w:pPr>
              <w:spacing w:line="360" w:lineRule="auto"/>
              <w:jc w:val="center"/>
              <w:rPr>
                <w:rFonts w:hint="eastAsia" w:ascii="仿宋_GB2312" w:hAnsi="仿宋_GB2312" w:eastAsia="仿宋_GB2312" w:cs="仿宋_GB2312"/>
                <w:b/>
                <w:bCs/>
                <w:kern w:val="0"/>
                <w:sz w:val="28"/>
                <w:szCs w:val="28"/>
              </w:rPr>
            </w:pPr>
          </w:p>
        </w:tc>
        <w:tc>
          <w:tcPr>
            <w:tcW w:w="1137" w:type="dxa"/>
            <w:vAlign w:val="center"/>
          </w:tcPr>
          <w:p>
            <w:pPr>
              <w:spacing w:line="360" w:lineRule="auto"/>
              <w:jc w:val="center"/>
              <w:rPr>
                <w:rFonts w:hint="eastAsia" w:ascii="仿宋_GB2312" w:hAnsi="仿宋_GB2312" w:eastAsia="仿宋_GB2312" w:cs="仿宋_GB2312"/>
                <w:b/>
                <w:bCs/>
                <w:kern w:val="0"/>
                <w:sz w:val="28"/>
                <w:szCs w:val="28"/>
              </w:rPr>
            </w:pPr>
          </w:p>
        </w:tc>
        <w:tc>
          <w:tcPr>
            <w:tcW w:w="1396" w:type="dxa"/>
            <w:vAlign w:val="center"/>
          </w:tcPr>
          <w:p>
            <w:pPr>
              <w:spacing w:line="360" w:lineRule="auto"/>
              <w:jc w:val="center"/>
              <w:rPr>
                <w:rFonts w:hint="eastAsia" w:ascii="仿宋_GB2312" w:hAnsi="仿宋_GB2312" w:eastAsia="仿宋_GB2312" w:cs="仿宋_GB2312"/>
                <w:b/>
                <w:bCs/>
                <w:kern w:val="0"/>
                <w:sz w:val="28"/>
                <w:szCs w:val="28"/>
              </w:rPr>
            </w:pPr>
          </w:p>
        </w:tc>
        <w:tc>
          <w:tcPr>
            <w:tcW w:w="857" w:type="dxa"/>
            <w:vAlign w:val="center"/>
          </w:tcPr>
          <w:p>
            <w:pPr>
              <w:spacing w:line="360" w:lineRule="auto"/>
              <w:jc w:val="center"/>
              <w:rPr>
                <w:rFonts w:hint="eastAsia" w:ascii="仿宋_GB2312" w:hAnsi="仿宋_GB2312" w:eastAsia="仿宋_GB2312" w:cs="仿宋_GB2312"/>
                <w:b/>
                <w:bCs/>
                <w:kern w:val="0"/>
                <w:sz w:val="28"/>
                <w:szCs w:val="28"/>
              </w:rPr>
            </w:pPr>
          </w:p>
        </w:tc>
      </w:tr>
      <w:tr>
        <w:tc>
          <w:tcPr>
            <w:tcW w:w="1495" w:type="dxa"/>
            <w:vMerge w:val="continue"/>
            <w:vAlign w:val="center"/>
          </w:tcPr>
          <w:p>
            <w:pPr>
              <w:spacing w:line="360" w:lineRule="auto"/>
              <w:jc w:val="center"/>
              <w:rPr>
                <w:rFonts w:hint="eastAsia" w:ascii="仿宋_GB2312" w:hAnsi="仿宋_GB2312" w:eastAsia="仿宋_GB2312" w:cs="仿宋_GB2312"/>
                <w:b/>
                <w:bCs/>
                <w:kern w:val="0"/>
                <w:sz w:val="28"/>
                <w:szCs w:val="28"/>
              </w:rPr>
            </w:pPr>
          </w:p>
        </w:tc>
        <w:tc>
          <w:tcPr>
            <w:tcW w:w="821" w:type="dxa"/>
            <w:vAlign w:val="center"/>
          </w:tcPr>
          <w:p>
            <w:pPr>
              <w:spacing w:line="360" w:lineRule="auto"/>
              <w:ind w:left="0" w:leftChars="0" w:firstLine="0" w:firstLineChars="0"/>
              <w:jc w:val="center"/>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7</w:t>
            </w:r>
          </w:p>
        </w:tc>
        <w:tc>
          <w:tcPr>
            <w:tcW w:w="3120" w:type="dxa"/>
            <w:vAlign w:val="center"/>
          </w:tcPr>
          <w:p>
            <w:pPr>
              <w:spacing w:line="360" w:lineRule="auto"/>
              <w:jc w:val="center"/>
              <w:rPr>
                <w:rFonts w:hint="eastAsia" w:ascii="仿宋_GB2312" w:hAnsi="仿宋_GB2312" w:eastAsia="仿宋_GB2312" w:cs="仿宋_GB2312"/>
                <w:b/>
                <w:bCs/>
                <w:kern w:val="0"/>
                <w:sz w:val="28"/>
                <w:szCs w:val="28"/>
              </w:rPr>
            </w:pPr>
          </w:p>
        </w:tc>
        <w:tc>
          <w:tcPr>
            <w:tcW w:w="1137" w:type="dxa"/>
            <w:vAlign w:val="center"/>
          </w:tcPr>
          <w:p>
            <w:pPr>
              <w:spacing w:line="360" w:lineRule="auto"/>
              <w:jc w:val="center"/>
              <w:rPr>
                <w:rFonts w:hint="eastAsia" w:ascii="仿宋_GB2312" w:hAnsi="仿宋_GB2312" w:eastAsia="仿宋_GB2312" w:cs="仿宋_GB2312"/>
                <w:b/>
                <w:bCs/>
                <w:kern w:val="0"/>
                <w:sz w:val="28"/>
                <w:szCs w:val="28"/>
              </w:rPr>
            </w:pPr>
          </w:p>
        </w:tc>
        <w:tc>
          <w:tcPr>
            <w:tcW w:w="1396" w:type="dxa"/>
            <w:vAlign w:val="center"/>
          </w:tcPr>
          <w:p>
            <w:pPr>
              <w:spacing w:line="360" w:lineRule="auto"/>
              <w:jc w:val="center"/>
              <w:rPr>
                <w:rFonts w:hint="eastAsia" w:ascii="仿宋_GB2312" w:hAnsi="仿宋_GB2312" w:eastAsia="仿宋_GB2312" w:cs="仿宋_GB2312"/>
                <w:b/>
                <w:bCs/>
                <w:kern w:val="0"/>
                <w:sz w:val="28"/>
                <w:szCs w:val="28"/>
              </w:rPr>
            </w:pPr>
          </w:p>
        </w:tc>
        <w:tc>
          <w:tcPr>
            <w:tcW w:w="857" w:type="dxa"/>
            <w:vAlign w:val="center"/>
          </w:tcPr>
          <w:p>
            <w:pPr>
              <w:spacing w:line="360" w:lineRule="auto"/>
              <w:jc w:val="center"/>
              <w:rPr>
                <w:rFonts w:hint="eastAsia" w:ascii="仿宋_GB2312" w:hAnsi="仿宋_GB2312" w:eastAsia="仿宋_GB2312" w:cs="仿宋_GB2312"/>
                <w:b/>
                <w:bCs/>
                <w:kern w:val="0"/>
                <w:sz w:val="28"/>
                <w:szCs w:val="28"/>
              </w:rPr>
            </w:pPr>
          </w:p>
        </w:tc>
      </w:tr>
      <w:tr>
        <w:tc>
          <w:tcPr>
            <w:tcW w:w="1495" w:type="dxa"/>
            <w:vMerge w:val="continue"/>
            <w:vAlign w:val="center"/>
          </w:tcPr>
          <w:p>
            <w:pPr>
              <w:spacing w:line="360" w:lineRule="auto"/>
              <w:jc w:val="center"/>
              <w:rPr>
                <w:rFonts w:hint="eastAsia" w:ascii="仿宋_GB2312" w:hAnsi="仿宋_GB2312" w:eastAsia="仿宋_GB2312" w:cs="仿宋_GB2312"/>
                <w:b/>
                <w:bCs/>
                <w:kern w:val="0"/>
                <w:sz w:val="28"/>
                <w:szCs w:val="28"/>
              </w:rPr>
            </w:pPr>
          </w:p>
        </w:tc>
        <w:tc>
          <w:tcPr>
            <w:tcW w:w="821" w:type="dxa"/>
            <w:vAlign w:val="center"/>
          </w:tcPr>
          <w:p>
            <w:pPr>
              <w:spacing w:line="360" w:lineRule="auto"/>
              <w:ind w:left="0" w:leftChars="0" w:firstLine="0" w:firstLineChars="0"/>
              <w:jc w:val="center"/>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8</w:t>
            </w:r>
          </w:p>
        </w:tc>
        <w:tc>
          <w:tcPr>
            <w:tcW w:w="3120" w:type="dxa"/>
            <w:vAlign w:val="center"/>
          </w:tcPr>
          <w:p>
            <w:pPr>
              <w:spacing w:line="360" w:lineRule="auto"/>
              <w:jc w:val="center"/>
              <w:rPr>
                <w:rFonts w:hint="eastAsia" w:ascii="仿宋_GB2312" w:hAnsi="仿宋_GB2312" w:eastAsia="仿宋_GB2312" w:cs="仿宋_GB2312"/>
                <w:b/>
                <w:bCs/>
                <w:kern w:val="0"/>
                <w:sz w:val="28"/>
                <w:szCs w:val="28"/>
              </w:rPr>
            </w:pPr>
          </w:p>
        </w:tc>
        <w:tc>
          <w:tcPr>
            <w:tcW w:w="1137" w:type="dxa"/>
            <w:vAlign w:val="center"/>
          </w:tcPr>
          <w:p>
            <w:pPr>
              <w:spacing w:line="360" w:lineRule="auto"/>
              <w:jc w:val="center"/>
              <w:rPr>
                <w:rFonts w:hint="eastAsia" w:ascii="仿宋_GB2312" w:hAnsi="仿宋_GB2312" w:eastAsia="仿宋_GB2312" w:cs="仿宋_GB2312"/>
                <w:b/>
                <w:bCs/>
                <w:kern w:val="0"/>
                <w:sz w:val="28"/>
                <w:szCs w:val="28"/>
              </w:rPr>
            </w:pPr>
          </w:p>
        </w:tc>
        <w:tc>
          <w:tcPr>
            <w:tcW w:w="1396" w:type="dxa"/>
            <w:vAlign w:val="center"/>
          </w:tcPr>
          <w:p>
            <w:pPr>
              <w:spacing w:line="360" w:lineRule="auto"/>
              <w:jc w:val="center"/>
              <w:rPr>
                <w:rFonts w:hint="eastAsia" w:ascii="仿宋_GB2312" w:hAnsi="仿宋_GB2312" w:eastAsia="仿宋_GB2312" w:cs="仿宋_GB2312"/>
                <w:b/>
                <w:bCs/>
                <w:kern w:val="0"/>
                <w:sz w:val="28"/>
                <w:szCs w:val="28"/>
              </w:rPr>
            </w:pPr>
          </w:p>
        </w:tc>
        <w:tc>
          <w:tcPr>
            <w:tcW w:w="857" w:type="dxa"/>
            <w:vAlign w:val="center"/>
          </w:tcPr>
          <w:p>
            <w:pPr>
              <w:spacing w:line="360" w:lineRule="auto"/>
              <w:jc w:val="center"/>
              <w:rPr>
                <w:rFonts w:hint="eastAsia" w:ascii="仿宋_GB2312" w:hAnsi="仿宋_GB2312" w:eastAsia="仿宋_GB2312" w:cs="仿宋_GB2312"/>
                <w:b/>
                <w:bCs/>
                <w:kern w:val="0"/>
                <w:sz w:val="28"/>
                <w:szCs w:val="28"/>
              </w:rPr>
            </w:pPr>
          </w:p>
        </w:tc>
      </w:tr>
      <w:tr>
        <w:trPr>
          <w:trHeight w:val="792" w:hRule="atLeast"/>
        </w:trPr>
        <w:tc>
          <w:tcPr>
            <w:tcW w:w="5436" w:type="dxa"/>
            <w:gridSpan w:val="3"/>
            <w:vAlign w:val="center"/>
          </w:tcPr>
          <w:p>
            <w:pPr>
              <w:spacing w:line="360" w:lineRule="auto"/>
              <w:jc w:val="center"/>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合计</w:t>
            </w:r>
          </w:p>
        </w:tc>
        <w:tc>
          <w:tcPr>
            <w:tcW w:w="1137" w:type="dxa"/>
            <w:vAlign w:val="center"/>
          </w:tcPr>
          <w:p>
            <w:pPr>
              <w:spacing w:line="360" w:lineRule="auto"/>
              <w:jc w:val="center"/>
              <w:rPr>
                <w:rFonts w:hint="eastAsia" w:ascii="仿宋_GB2312" w:hAnsi="仿宋_GB2312" w:eastAsia="仿宋_GB2312" w:cs="仿宋_GB2312"/>
                <w:b/>
                <w:bCs/>
                <w:kern w:val="0"/>
                <w:sz w:val="28"/>
                <w:szCs w:val="28"/>
              </w:rPr>
            </w:pPr>
          </w:p>
        </w:tc>
        <w:tc>
          <w:tcPr>
            <w:tcW w:w="1396" w:type="dxa"/>
            <w:vAlign w:val="center"/>
          </w:tcPr>
          <w:p>
            <w:pPr>
              <w:spacing w:line="360" w:lineRule="auto"/>
              <w:jc w:val="center"/>
              <w:rPr>
                <w:rFonts w:hint="eastAsia" w:ascii="仿宋_GB2312" w:hAnsi="仿宋_GB2312" w:eastAsia="仿宋_GB2312" w:cs="仿宋_GB2312"/>
                <w:b/>
                <w:bCs/>
                <w:kern w:val="0"/>
                <w:sz w:val="28"/>
                <w:szCs w:val="28"/>
              </w:rPr>
            </w:pPr>
          </w:p>
        </w:tc>
        <w:tc>
          <w:tcPr>
            <w:tcW w:w="857" w:type="dxa"/>
            <w:vAlign w:val="center"/>
          </w:tcPr>
          <w:p>
            <w:pPr>
              <w:spacing w:line="360" w:lineRule="auto"/>
              <w:jc w:val="center"/>
              <w:rPr>
                <w:rFonts w:hint="eastAsia" w:ascii="仿宋_GB2312" w:hAnsi="仿宋_GB2312" w:eastAsia="仿宋_GB2312" w:cs="仿宋_GB2312"/>
                <w:b/>
                <w:bCs/>
                <w:kern w:val="0"/>
                <w:sz w:val="28"/>
                <w:szCs w:val="28"/>
              </w:rPr>
            </w:pPr>
          </w:p>
        </w:tc>
      </w:tr>
    </w:tbl>
    <w:p>
      <w:pPr>
        <w:spacing w:line="360" w:lineRule="auto"/>
        <w:ind w:left="0" w:leftChars="0" w:firstLine="0" w:firstLineChars="0"/>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注：</w:t>
      </w:r>
    </w:p>
    <w:p>
      <w:pPr>
        <w:spacing w:line="360" w:lineRule="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1</w:t>
      </w:r>
      <w:r>
        <w:rPr>
          <w:rFonts w:hint="eastAsia" w:ascii="仿宋_GB2312" w:hAnsi="仿宋_GB2312" w:eastAsia="仿宋_GB2312" w:cs="仿宋_GB2312"/>
          <w:kern w:val="0"/>
          <w:sz w:val="28"/>
          <w:szCs w:val="28"/>
          <w:lang w:val="en-US" w:eastAsia="zh-CN"/>
        </w:rPr>
        <w:t>.</w:t>
      </w:r>
      <w:r>
        <w:rPr>
          <w:rFonts w:hint="eastAsia" w:ascii="仿宋_GB2312" w:hAnsi="仿宋_GB2312" w:eastAsia="仿宋_GB2312" w:cs="仿宋_GB2312"/>
          <w:kern w:val="0"/>
          <w:sz w:val="28"/>
          <w:szCs w:val="28"/>
        </w:rPr>
        <w:t>以上属节能、环境标志产品须提供清单内产品的证明材料。</w:t>
      </w:r>
    </w:p>
    <w:p>
      <w:pPr>
        <w:tabs>
          <w:tab w:val="left" w:pos="6971"/>
        </w:tabs>
        <w:spacing w:line="360" w:lineRule="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2</w:t>
      </w:r>
      <w:r>
        <w:rPr>
          <w:rFonts w:hint="eastAsia" w:ascii="仿宋_GB2312" w:hAnsi="仿宋_GB2312" w:eastAsia="仿宋_GB2312" w:cs="仿宋_GB2312"/>
          <w:kern w:val="0"/>
          <w:sz w:val="28"/>
          <w:szCs w:val="28"/>
          <w:lang w:val="en-US" w:eastAsia="zh-CN"/>
        </w:rPr>
        <w:t>.</w:t>
      </w:r>
      <w:r>
        <w:rPr>
          <w:rFonts w:hint="eastAsia" w:ascii="仿宋_GB2312" w:hAnsi="仿宋_GB2312" w:eastAsia="仿宋_GB2312" w:cs="仿宋_GB2312"/>
          <w:kern w:val="0"/>
          <w:sz w:val="28"/>
          <w:szCs w:val="28"/>
        </w:rPr>
        <w:t>计算分值保留两位小数。</w:t>
      </w:r>
    </w:p>
    <w:p>
      <w:pPr>
        <w:tabs>
          <w:tab w:val="left" w:pos="6971"/>
        </w:tabs>
        <w:spacing w:line="360" w:lineRule="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3</w:t>
      </w:r>
      <w:r>
        <w:rPr>
          <w:rFonts w:hint="eastAsia" w:ascii="仿宋_GB2312" w:hAnsi="仿宋_GB2312" w:eastAsia="仿宋_GB2312" w:cs="仿宋_GB2312"/>
          <w:kern w:val="0"/>
          <w:sz w:val="28"/>
          <w:szCs w:val="28"/>
          <w:lang w:val="en-US" w:eastAsia="zh-CN"/>
        </w:rPr>
        <w:t>.</w:t>
      </w:r>
      <w:r>
        <w:rPr>
          <w:rFonts w:hint="eastAsia" w:ascii="仿宋_GB2312" w:hAnsi="仿宋_GB2312" w:eastAsia="仿宋_GB2312" w:cs="仿宋_GB2312"/>
          <w:kern w:val="0"/>
          <w:sz w:val="28"/>
          <w:szCs w:val="28"/>
        </w:rPr>
        <w:t>此表的行次可根据实际情况变动或顺延。</w:t>
      </w:r>
    </w:p>
    <w:p>
      <w:pPr>
        <w:spacing w:line="360" w:lineRule="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4</w:t>
      </w:r>
      <w:r>
        <w:rPr>
          <w:rFonts w:hint="eastAsia" w:ascii="仿宋_GB2312" w:hAnsi="仿宋_GB2312" w:eastAsia="仿宋_GB2312" w:cs="仿宋_GB2312"/>
          <w:kern w:val="0"/>
          <w:sz w:val="28"/>
          <w:szCs w:val="28"/>
          <w:lang w:val="en-US" w:eastAsia="zh-CN"/>
        </w:rPr>
        <w:t>.</w:t>
      </w:r>
      <w:r>
        <w:rPr>
          <w:rFonts w:hint="eastAsia" w:ascii="仿宋_GB2312" w:hAnsi="仿宋_GB2312" w:eastAsia="仿宋_GB2312" w:cs="仿宋_GB2312"/>
          <w:kern w:val="0"/>
          <w:sz w:val="28"/>
          <w:szCs w:val="28"/>
        </w:rPr>
        <w:t>若无货物属于节能、环境标志产品的，则不填写此表。</w:t>
      </w:r>
    </w:p>
    <w:p>
      <w:pPr>
        <w:pStyle w:val="40"/>
        <w:wordWrap w:val="0"/>
        <w:spacing w:line="360" w:lineRule="atLeas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投标人名称（盖单位章）：</w:t>
      </w:r>
    </w:p>
    <w:p>
      <w:pPr>
        <w:pStyle w:val="40"/>
        <w:wordWrap w:val="0"/>
        <w:spacing w:line="360" w:lineRule="atLeas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法定代表人或其委托代理人签字：</w:t>
      </w:r>
    </w:p>
    <w:p>
      <w:pPr>
        <w:spacing w:line="360" w:lineRule="auto"/>
        <w:rPr>
          <w:rFonts w:hint="eastAsia" w:ascii="仿宋_GB2312" w:hAnsi="仿宋_GB2312" w:eastAsia="仿宋_GB2312" w:cs="仿宋_GB2312"/>
          <w:kern w:val="0"/>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日期：</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p>
    <w:p>
      <w:pPr>
        <w:pStyle w:val="26"/>
        <w:shd w:val="clear" w:color="auto" w:fill="FFFFFF"/>
        <w:wordWrap/>
        <w:adjustRightInd/>
        <w:snapToGrid/>
        <w:spacing w:before="0" w:after="0" w:line="560" w:lineRule="exact"/>
        <w:ind w:left="0" w:leftChars="0" w:firstLine="584" w:firstLineChars="200"/>
        <w:jc w:val="center"/>
        <w:textAlignment w:val="auto"/>
        <w:outlineLvl w:val="9"/>
        <w:rPr>
          <w:rFonts w:cs="仿宋"/>
          <w:sz w:val="28"/>
          <w:szCs w:val="28"/>
        </w:rPr>
      </w:pPr>
      <w:r>
        <w:rPr>
          <w:rFonts w:hint="eastAsia" w:ascii="仿宋_GB2312" w:hAnsi="仿宋_GB2312" w:eastAsia="仿宋_GB2312" w:cs="仿宋_GB2312"/>
          <w:sz w:val="28"/>
          <w:szCs w:val="28"/>
        </w:rPr>
        <w:br w:type="page"/>
      </w:r>
    </w:p>
    <w:p>
      <w:pPr>
        <w:widowControl w:val="0"/>
        <w:snapToGrid/>
        <w:spacing w:before="0" w:after="0" w:line="560" w:lineRule="exact"/>
        <w:ind w:left="0" w:leftChars="0" w:right="0" w:firstLine="640"/>
        <w:textAlignment w:val="auto"/>
        <w:outlineLvl w:val="9"/>
        <w:rPr>
          <w:rFonts w:hint="eastAsia" w:ascii="仿宋_GB2312" w:hAnsi="仿宋_GB2312" w:eastAsia="仿宋_GB2312" w:cs="仿宋_GB2312"/>
          <w:sz w:val="28"/>
          <w:szCs w:val="28"/>
        </w:rPr>
      </w:pPr>
    </w:p>
    <w:sectPr>
      <w:pgSz w:w="11906" w:h="16838"/>
      <w:pgMar w:top="1440" w:right="1800" w:bottom="1440" w:left="1800" w:header="851" w:footer="992" w:gutter="0"/>
      <w:pgNumType w:fmt="decimal"/>
      <w:cols w:space="720"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Calibri">
    <w:panose1 w:val="020F0502020204030204"/>
    <w:charset w:val="00"/>
    <w:family w:val="auto"/>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Wingdings 2">
    <w:panose1 w:val="05020102010507070707"/>
    <w:charset w:val="02"/>
    <w:family w:val="auto"/>
    <w:pitch w:val="default"/>
    <w:sig w:usb0="00000000" w:usb1="00000000" w:usb2="00000000" w:usb3="00000000" w:csb0="80000000" w:csb1="00000000"/>
  </w:font>
  <w:font w:name="Arial Unicode MS">
    <w:altName w:val="宋体"/>
    <w:panose1 w:val="020B0604020202020204"/>
    <w:charset w:val="86"/>
    <w:family w:val="auto"/>
    <w:pitch w:val="default"/>
    <w:sig w:usb0="FFFFFFFF" w:usb1="E9FFFFFF" w:usb2="0000003F" w:usb3="00000000" w:csb0="603F01FF" w:csb1="FFFF0000"/>
  </w:font>
  <w:font w:name="华文仿宋">
    <w:panose1 w:val="02010600040101010101"/>
    <w:charset w:val="86"/>
    <w:family w:val="auto"/>
    <w:pitch w:val="default"/>
    <w:sig w:usb0="00000287" w:usb1="080F0000" w:usb2="00000000" w:usb3="00000000" w:csb0="0004009F" w:csb1="DFD70000"/>
  </w:font>
  <w:font w:name="ZWAdobeF">
    <w:altName w:val="Courier New"/>
    <w:panose1 w:val="00000000000000000000"/>
    <w:charset w:val="00"/>
    <w:family w:val="auto"/>
    <w:pitch w:val="default"/>
    <w:sig w:usb0="20002A87" w:usb1="00000000" w:usb2="00000000" w:usb3="00000000" w:csb0="000001FF" w:csb1="00000000"/>
  </w:font>
  <w:font w:name="Calibri Light">
    <w:panose1 w:val="020F0302020204030204"/>
    <w:charset w:val="00"/>
    <w:family w:val="auto"/>
    <w:pitch w:val="default"/>
    <w:sig w:usb0="E0002AFF" w:usb1="C000247B" w:usb2="00000009" w:usb3="00000000" w:csb0="200001FF" w:csb1="00000000"/>
  </w:font>
  <w:font w:name="Monospaced Number">
    <w:altName w:val="微软雅黑"/>
    <w:panose1 w:val="00000000000000000000"/>
    <w:charset w:val="01"/>
    <w:family w:val="auto"/>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auto"/>
    <w:pitch w:val="default"/>
    <w:sig w:usb0="E00006FF" w:usb1="420024FF" w:usb2="02000000" w:usb3="00000000" w:csb0="2000019F" w:csb1="00000000"/>
  </w:font>
  <w:font w:name="DFHeiW9-GB">
    <w:altName w:val="宋体"/>
    <w:panose1 w:val="00000000000000000000"/>
    <w:charset w:val="86"/>
    <w:family w:val="auto"/>
    <w:pitch w:val="default"/>
    <w:sig w:usb0="00000000" w:usb1="00000000" w:usb2="00000010" w:usb3="00000000" w:csb0="00040000" w:csb1="00000000"/>
  </w:font>
  <w:font w:name="Century Gothic">
    <w:panose1 w:val="020B0502020202020204"/>
    <w:charset w:val="00"/>
    <w:family w:val="auto"/>
    <w:pitch w:val="default"/>
    <w:sig w:usb0="00000287" w:usb1="00000000" w:usb2="00000000" w:usb3="00000000" w:csb0="2000009F" w:csb1="DFD70000"/>
  </w:font>
  <w:font w:name="Times">
    <w:altName w:val="Times New Roman"/>
    <w:panose1 w:val="02020603050405020304"/>
    <w:charset w:val="00"/>
    <w:family w:val="auto"/>
    <w:pitch w:val="default"/>
    <w:sig w:usb0="00000003" w:usb1="00000000" w:usb2="00000000" w:usb3="00000000" w:csb0="00000001" w:csb1="00000000"/>
  </w:font>
  <w:font w:name="新宋体">
    <w:panose1 w:val="02010609030101010101"/>
    <w:charset w:val="86"/>
    <w:family w:val="auto"/>
    <w:pitch w:val="default"/>
    <w:sig w:usb0="00000283" w:usb1="288F0000" w:usb2="00000006" w:usb3="00000000" w:csb0="00040001" w:csb1="00000000"/>
  </w:font>
  <w:font w:name="Microsoft JhengHei">
    <w:panose1 w:val="020B0604030504040204"/>
    <w:charset w:val="88"/>
    <w:family w:val="auto"/>
    <w:pitch w:val="default"/>
    <w:sig w:usb0="000002A7" w:usb1="28CF4400" w:usb2="00000016" w:usb3="00000000" w:csb0="00100009" w:csb1="00000000"/>
  </w:font>
  <w:font w:name="Verdana">
    <w:panose1 w:val="020B0604030504040204"/>
    <w:charset w:val="00"/>
    <w:family w:val="auto"/>
    <w:pitch w:val="default"/>
    <w:sig w:usb0="A00006FF" w:usb1="4000205B" w:usb2="00000010" w:usb3="00000000" w:csb0="2000019F" w:csb1="00000000"/>
  </w:font>
  <w:font w:name="Heiti SC Light">
    <w:altName w:val="Times New Roman"/>
    <w:panose1 w:val="00000000000000000000"/>
    <w:charset w:val="00"/>
    <w:family w:val="auto"/>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SimSun-ExtB">
    <w:panose1 w:val="02010609060101010101"/>
    <w:charset w:val="86"/>
    <w:family w:val="auto"/>
    <w:pitch w:val="default"/>
    <w:sig w:usb0="00000001" w:usb1="02000000" w:usb2="00000000" w:usb3="00000000" w:csb0="00040001" w:csb1="00000000"/>
  </w:font>
  <w:font w:name="方正仿宋简体">
    <w:altName w:val="微软雅黑"/>
    <w:panose1 w:val="00000000000000000000"/>
    <w:charset w:val="86"/>
    <w:family w:val="auto"/>
    <w:pitch w:val="default"/>
    <w:sig w:usb0="00000000" w:usb1="080E0000" w:usb2="00000010" w:usb3="00000000" w:csb0="00040000" w:csb1="00000000"/>
  </w:font>
  <w:font w:name="sans-serif">
    <w:altName w:val="Segoe Print"/>
    <w:panose1 w:val="00000000000000000000"/>
    <w:charset w:val="01"/>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新宋体-18030">
    <w:altName w:val="宋体"/>
    <w:panose1 w:val="02010600060101010101"/>
    <w:charset w:val="86"/>
    <w:family w:val="auto"/>
    <w:pitch w:val="default"/>
    <w:sig w:usb0="00000000" w:usb1="00000000" w:usb2="0000001E" w:usb3="00000000" w:csb0="003C0041" w:csb1="00000000"/>
  </w:font>
  <w:font w:name="Corbel">
    <w:panose1 w:val="020B0503020204020204"/>
    <w:charset w:val="00"/>
    <w:family w:val="auto"/>
    <w:pitch w:val="default"/>
    <w:sig w:usb0="A00002EF" w:usb1="4000A44B" w:usb2="00000000" w:usb3="00000000" w:csb0="2000019F" w:csb1="00000000"/>
  </w:font>
  <w:font w:name="华文楷体">
    <w:panose1 w:val="02010600040101010101"/>
    <w:charset w:val="86"/>
    <w:family w:val="auto"/>
    <w:pitch w:val="default"/>
    <w:sig w:usb0="00000287" w:usb1="080F0000" w:usb2="00000000" w:usb3="00000000" w:csb0="0004009F" w:csb1="DFD70000"/>
  </w:font>
  <w:font w:name="Microsoft YaHei UI">
    <w:panose1 w:val="020B0503020204020204"/>
    <w:charset w:val="86"/>
    <w:family w:val="auto"/>
    <w:pitch w:val="default"/>
    <w:sig w:usb0="80000287" w:usb1="2ACF3C50" w:usb2="00000016" w:usb3="00000000" w:csb0="0004001F" w:csb1="00000000"/>
  </w:font>
  <w:font w:name="华文宋体">
    <w:panose1 w:val="02010600040101010101"/>
    <w:charset w:val="86"/>
    <w:family w:val="auto"/>
    <w:pitch w:val="default"/>
    <w:sig w:usb0="00000287" w:usb1="080F0000" w:usb2="00000000" w:usb3="00000000" w:csb0="0004009F" w:csb1="DFD70000"/>
  </w:font>
  <w:font w:name="???">
    <w:altName w:val="Times New Roman"/>
    <w:panose1 w:val="00000000000000000000"/>
    <w:charset w:val="00"/>
    <w:family w:val="auto"/>
    <w:pitch w:val="default"/>
    <w:sig w:usb0="00000000" w:usb1="00000000" w:usb2="00000000" w:usb3="00000000" w:csb0="00000001" w:csb1="00000000"/>
  </w:font>
  <w:font w:name="??">
    <w:altName w:val="Times New Roman"/>
    <w:panose1 w:val="00000000000000000000"/>
    <w:charset w:val="00"/>
    <w:family w:val="auto"/>
    <w:pitch w:val="default"/>
    <w:sig w:usb0="00000000" w:usb1="00000000" w:usb2="00000000" w:usb3="00000000" w:csb0="00000001" w:csb1="00000000"/>
  </w:font>
  <w:font w:name="monospace">
    <w:altName w:val="Courier New"/>
    <w:panose1 w:val="00000000000000000000"/>
    <w:charset w:val="00"/>
    <w:family w:val="auto"/>
    <w:pitch w:val="default"/>
    <w:sig w:usb0="00000000" w:usb1="00000000" w:usb2="00000000" w:usb3="00000000" w:csb0="00000001" w:csb1="00000000"/>
  </w:font>
  <w:font w:name="Trebuchet MS">
    <w:panose1 w:val="020B0603020202020204"/>
    <w:charset w:val="00"/>
    <w:family w:val="auto"/>
    <w:pitch w:val="default"/>
    <w:sig w:usb0="00000687" w:usb1="00000000" w:usb2="00000000" w:usb3="00000000" w:csb0="2000009F" w:csb1="00000000"/>
  </w:font>
  <w:font w:name="Helvetica">
    <w:altName w:val="Segoe Print"/>
    <w:panose1 w:val="020B0604020202020204"/>
    <w:charset w:val="00"/>
    <w:family w:val="auto"/>
    <w:pitch w:val="default"/>
    <w:sig w:usb0="00000003" w:usb1="00000000" w:usb2="00000000" w:usb3="00000000" w:csb0="00000001" w:csb1="00000000"/>
  </w:font>
  <w:font w:name="MS Mincho">
    <w:altName w:val="Yu Gothic UI"/>
    <w:panose1 w:val="02020609040205080304"/>
    <w:charset w:val="80"/>
    <w:family w:val="auto"/>
    <w:pitch w:val="default"/>
    <w:sig w:usb0="E00002FF" w:usb1="6AC7FDFB" w:usb2="00000012" w:usb3="00000000" w:csb0="0002009F" w:csb1="00000000"/>
  </w:font>
  <w:font w:name="Yu Gothic UI">
    <w:panose1 w:val="020B0500000000000000"/>
    <w:charset w:val="80"/>
    <w:family w:val="auto"/>
    <w:pitch w:val="default"/>
    <w:sig w:usb0="E00002FF" w:usb1="2AC7FDFF" w:usb2="00000016" w:usb3="00000000" w:csb0="2002009F"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ind w:firstLine="0" w:firstLineChars="0"/>
    </w:pPr>
    <w:r>
      <w:rPr>
        <w:rFonts w:ascii="宋体" w:hAnsi="宋体" w:eastAsia="仿宋" w:cs="仿宋"/>
        <w:kern w:val="2"/>
        <w:sz w:val="32"/>
        <w:szCs w:val="32"/>
        <w:lang w:val="en-US" w:eastAsia="zh-CN" w:bidi="ar-SA"/>
      </w:rPr>
      <w:pict>
        <v:rect id="文本框5" o:spid="_x0000_s1025" style="position:absolute;left:0;margin-top:0pt;height:144pt;width:144pt;mso-position-horizontal:center;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hint="eastAsia" w:eastAsia="仿宋"/>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8"/>
      <w:jc w:val="right"/>
      <w:rPr>
        <w:rFonts w:hint="eastAsia" w:eastAsia="仿宋"/>
        <w:iCs/>
        <w:color w:val="FF0000"/>
        <w:sz w:val="18"/>
        <w:szCs w:val="18"/>
        <w:lang w:eastAsia="zh-CN"/>
      </w:rPr>
    </w:pPr>
    <w:r>
      <w:rPr>
        <w:rFonts w:hint="eastAsia" w:ascii="仿宋_GB2312" w:hAnsi="仿宋_GB2312" w:eastAsia="仿宋_GB2312" w:cs="仿宋_GB2312"/>
        <w:b w:val="0"/>
        <w:bCs w:val="0"/>
        <w:color w:val="000000"/>
        <w:w w:val="100"/>
        <w:sz w:val="21"/>
        <w:szCs w:val="21"/>
        <w:lang w:val="en-US" w:eastAsia="zh-CN"/>
      </w:rPr>
      <w:t xml:space="preserve">                       </w:t>
    </w:r>
    <w:r>
      <w:rPr>
        <w:rFonts w:hint="eastAsia" w:ascii="仿宋_GB2312" w:hAnsi="仿宋_GB2312" w:eastAsia="仿宋_GB2312" w:cs="仿宋_GB2312"/>
        <w:b w:val="0"/>
        <w:bCs w:val="0"/>
        <w:color w:val="auto"/>
        <w:w w:val="100"/>
        <w:sz w:val="21"/>
        <w:szCs w:val="21"/>
      </w:rPr>
      <w:t>新疆</w:t>
    </w:r>
    <w:r>
      <w:rPr>
        <w:rFonts w:hint="eastAsia" w:ascii="仿宋_GB2312" w:hAnsi="仿宋_GB2312" w:eastAsia="仿宋_GB2312" w:cs="仿宋_GB2312"/>
        <w:b w:val="0"/>
        <w:bCs w:val="0"/>
        <w:color w:val="auto"/>
        <w:w w:val="100"/>
        <w:sz w:val="21"/>
        <w:szCs w:val="21"/>
        <w:lang w:eastAsia="zh-CN"/>
      </w:rPr>
      <w:t>维吾尔</w:t>
    </w:r>
    <w:r>
      <w:rPr>
        <w:rFonts w:hint="eastAsia" w:ascii="仿宋_GB2312" w:hAnsi="仿宋_GB2312" w:eastAsia="仿宋_GB2312" w:cs="仿宋_GB2312"/>
        <w:b w:val="0"/>
        <w:bCs w:val="0"/>
        <w:color w:val="auto"/>
        <w:w w:val="100"/>
        <w:sz w:val="21"/>
        <w:szCs w:val="21"/>
      </w:rPr>
      <w:t>自治区公共机构节能管理系统</w:t>
    </w:r>
    <w:r>
      <w:rPr>
        <w:rFonts w:hint="eastAsia" w:ascii="仿宋_GB2312" w:hAnsi="仿宋_GB2312" w:eastAsia="仿宋_GB2312" w:cs="仿宋_GB2312"/>
        <w:b w:val="0"/>
        <w:bCs w:val="0"/>
        <w:color w:val="auto"/>
        <w:w w:val="100"/>
        <w:sz w:val="21"/>
        <w:szCs w:val="21"/>
        <w:lang w:eastAsia="zh-CN"/>
      </w:rPr>
      <w:t>（二期）建设</w:t>
    </w:r>
    <w:r>
      <w:rPr>
        <w:rFonts w:hint="eastAsia" w:ascii="仿宋_GB2312" w:hAnsi="仿宋_GB2312" w:eastAsia="仿宋_GB2312" w:cs="仿宋_GB2312"/>
        <w:b w:val="0"/>
        <w:bCs w:val="0"/>
        <w:color w:val="auto"/>
        <w:w w:val="100"/>
        <w:sz w:val="21"/>
        <w:szCs w:val="21"/>
      </w:rPr>
      <w:t>项目</w:t>
    </w:r>
    <w:r>
      <w:rPr>
        <w:rFonts w:hint="eastAsia"/>
        <w:iCs/>
        <w:color w:val="auto"/>
        <w:sz w:val="18"/>
        <w:szCs w:val="18"/>
        <w:lang w:eastAsia="zh-C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
    <w:nsid w:val="00000001"/>
    <w:multiLevelType w:val="singleLevel"/>
    <w:tmpl w:val="00000001"/>
    <w:lvl w:ilvl="0" w:tentative="1">
      <w:start w:val="6"/>
      <w:numFmt w:val="chineseCounting"/>
      <w:suff w:val="space"/>
      <w:lvlText w:val="第%1章"/>
      <w:lvlJc w:val="left"/>
    </w:lvl>
  </w:abstractNum>
  <w:abstractNum w:abstractNumId="2">
    <w:nsid w:val="00000002"/>
    <w:multiLevelType w:val="singleLevel"/>
    <w:tmpl w:val="00000002"/>
    <w:lvl w:ilvl="0" w:tentative="1">
      <w:start w:val="2"/>
      <w:numFmt w:val="decimal"/>
      <w:suff w:val="nothing"/>
      <w:lvlText w:val="（%1）"/>
      <w:lvlJc w:val="left"/>
    </w:lvl>
  </w:abstractNum>
  <w:abstractNum w:abstractNumId="9">
    <w:nsid w:val="00000009"/>
    <w:multiLevelType w:val="singleLevel"/>
    <w:tmpl w:val="00000009"/>
    <w:lvl w:ilvl="0" w:tentative="1">
      <w:start w:val="6"/>
      <w:numFmt w:val="chineseCounting"/>
      <w:suff w:val="nothing"/>
      <w:lvlText w:val="%1．"/>
      <w:lvlJc w:val="left"/>
    </w:lvl>
  </w:abstractNum>
  <w:abstractNum w:abstractNumId="10">
    <w:nsid w:val="0000000A"/>
    <w:multiLevelType w:val="multilevel"/>
    <w:tmpl w:val="0000000A"/>
    <w:lvl w:ilvl="0" w:tentative="1">
      <w:start w:val="1"/>
      <w:numFmt w:val="decimal"/>
      <w:lvlText w:val="%1."/>
      <w:lvlJc w:val="left"/>
      <w:pPr>
        <w:ind w:left="425" w:hanging="425"/>
      </w:pPr>
      <w:rPr>
        <w:rFonts w:hint="default"/>
      </w:rPr>
    </w:lvl>
    <w:lvl w:ilvl="1" w:tentative="1">
      <w:start w:val="1"/>
      <w:numFmt w:val="decimal"/>
      <w:lvlText w:val="(%2)"/>
      <w:lvlJc w:val="left"/>
      <w:pPr>
        <w:tabs>
          <w:tab w:val="left" w:pos="840"/>
        </w:tabs>
        <w:ind w:left="840" w:hanging="420"/>
      </w:pPr>
      <w:rPr>
        <w:rFonts w:hint="default"/>
      </w:rPr>
    </w:lvl>
    <w:lvl w:ilvl="2" w:tentative="1">
      <w:start w:val="1"/>
      <w:numFmt w:val="decimalEnclosedCircleChinese"/>
      <w:lvlText w:val="%3"/>
      <w:lvlJc w:val="left"/>
      <w:pPr>
        <w:tabs>
          <w:tab w:val="left" w:pos="1260"/>
        </w:tabs>
        <w:ind w:left="1260" w:hanging="420"/>
      </w:pPr>
      <w:rPr>
        <w:rFonts w:hint="default"/>
      </w:rPr>
    </w:lvl>
    <w:lvl w:ilvl="3" w:tentative="1">
      <w:start w:val="1"/>
      <w:numFmt w:val="decimal"/>
      <w:lvlText w:val="%4)"/>
      <w:lvlJc w:val="left"/>
      <w:pPr>
        <w:tabs>
          <w:tab w:val="left" w:pos="1680"/>
        </w:tabs>
        <w:ind w:left="1680" w:hanging="420"/>
      </w:pPr>
      <w:rPr>
        <w:rFonts w:hint="default"/>
      </w:rPr>
    </w:lvl>
    <w:lvl w:ilvl="4" w:tentative="1">
      <w:start w:val="1"/>
      <w:numFmt w:val="decimal"/>
      <w:pStyle w:val="6"/>
      <w:lvlText w:val="%5."/>
      <w:lvlJc w:val="left"/>
      <w:pPr>
        <w:tabs>
          <w:tab w:val="left" w:pos="2100"/>
        </w:tabs>
        <w:ind w:left="2100" w:hanging="420"/>
      </w:pPr>
      <w:rPr>
        <w:rFonts w:hint="default" w:ascii="宋体" w:hAnsi="宋体" w:eastAsia="宋体" w:cs="宋体"/>
      </w:rPr>
    </w:lvl>
    <w:lvl w:ilvl="5" w:tentative="1">
      <w:start w:val="1"/>
      <w:numFmt w:val="lowerLetter"/>
      <w:lvlText w:val="%6)"/>
      <w:lvlJc w:val="left"/>
      <w:pPr>
        <w:tabs>
          <w:tab w:val="left" w:pos="2520"/>
        </w:tabs>
        <w:ind w:left="2520" w:hanging="420"/>
      </w:pPr>
      <w:rPr>
        <w:rFonts w:hint="default"/>
      </w:rPr>
    </w:lvl>
    <w:lvl w:ilvl="6" w:tentative="1">
      <w:start w:val="1"/>
      <w:numFmt w:val="lowerRoman"/>
      <w:lvlText w:val="%7."/>
      <w:lvlJc w:val="left"/>
      <w:pPr>
        <w:tabs>
          <w:tab w:val="left" w:pos="2940"/>
        </w:tabs>
        <w:ind w:left="2940" w:hanging="420"/>
      </w:pPr>
      <w:rPr>
        <w:rFonts w:hint="default"/>
      </w:rPr>
    </w:lvl>
    <w:lvl w:ilvl="7" w:tentative="1">
      <w:start w:val="1"/>
      <w:numFmt w:val="lowerRoman"/>
      <w:lvlText w:val="%8)"/>
      <w:lvlJc w:val="left"/>
      <w:pPr>
        <w:tabs>
          <w:tab w:val="left" w:pos="3360"/>
        </w:tabs>
        <w:ind w:left="3360" w:hanging="420"/>
      </w:pPr>
      <w:rPr>
        <w:rFonts w:hint="default"/>
      </w:rPr>
    </w:lvl>
    <w:lvl w:ilvl="8" w:tentative="1">
      <w:start w:val="1"/>
      <w:numFmt w:val="lowerLetter"/>
      <w:lvlText w:val="%9."/>
      <w:lvlJc w:val="left"/>
      <w:pPr>
        <w:tabs>
          <w:tab w:val="left" w:pos="3780"/>
        </w:tabs>
        <w:ind w:left="3780" w:hanging="420"/>
      </w:pPr>
      <w:rPr>
        <w:rFonts w:hint="default"/>
      </w:rPr>
    </w:lvl>
  </w:abstractNum>
  <w:abstractNum w:abstractNumId="11">
    <w:nsid w:val="0000000B"/>
    <w:multiLevelType w:val="singleLevel"/>
    <w:tmpl w:val="0000000B"/>
    <w:lvl w:ilvl="0" w:tentative="1">
      <w:start w:val="8"/>
      <w:numFmt w:val="decimal"/>
      <w:suff w:val="nothing"/>
      <w:lvlText w:val="%1．"/>
      <w:lvlJc w:val="left"/>
    </w:lvl>
  </w:abstractNum>
  <w:abstractNum w:abstractNumId="13">
    <w:nsid w:val="0000000D"/>
    <w:multiLevelType w:val="singleLevel"/>
    <w:tmpl w:val="0000000D"/>
    <w:lvl w:ilvl="0" w:tentative="1">
      <w:start w:val="1"/>
      <w:numFmt w:val="chineseCounting"/>
      <w:suff w:val="space"/>
      <w:lvlText w:val="第%1章"/>
      <w:lvlJc w:val="left"/>
    </w:lvl>
  </w:abstractNum>
  <w:abstractNum w:abstractNumId="14">
    <w:nsid w:val="0000000E"/>
    <w:multiLevelType w:val="multilevel"/>
    <w:tmpl w:val="0000000E"/>
    <w:lvl w:ilvl="0" w:tentative="1">
      <w:start w:val="1"/>
      <w:numFmt w:val="decimal"/>
      <w:pStyle w:val="2"/>
      <w:suff w:val="nothing"/>
      <w:lvlText w:val="%1."/>
      <w:lvlJc w:val="left"/>
      <w:pPr>
        <w:tabs>
          <w:tab w:val="left" w:pos="420"/>
        </w:tabs>
        <w:ind w:left="432" w:hanging="432"/>
      </w:pPr>
      <w:rPr>
        <w:rFonts w:hint="default"/>
      </w:rPr>
    </w:lvl>
    <w:lvl w:ilvl="1" w:tentative="1">
      <w:start w:val="1"/>
      <w:numFmt w:val="decimal"/>
      <w:pStyle w:val="3"/>
      <w:suff w:val="nothing"/>
      <w:lvlText w:val="%1.%2."/>
      <w:lvlJc w:val="left"/>
      <w:pPr>
        <w:tabs>
          <w:tab w:val="left" w:pos="420"/>
        </w:tabs>
        <w:ind w:left="575" w:hanging="575"/>
      </w:pPr>
      <w:rPr>
        <w:rFonts w:hint="default"/>
      </w:rPr>
    </w:lvl>
    <w:lvl w:ilvl="2" w:tentative="1">
      <w:start w:val="1"/>
      <w:numFmt w:val="decimal"/>
      <w:pStyle w:val="4"/>
      <w:suff w:val="nothing"/>
      <w:lvlText w:val="%1.%2.%3."/>
      <w:lvlJc w:val="left"/>
      <w:pPr>
        <w:tabs>
          <w:tab w:val="left" w:pos="420"/>
        </w:tabs>
        <w:ind w:left="720" w:hanging="720"/>
      </w:pPr>
      <w:rPr>
        <w:rFonts w:hint="default"/>
      </w:rPr>
    </w:lvl>
    <w:lvl w:ilvl="3" w:tentative="1">
      <w:start w:val="1"/>
      <w:numFmt w:val="decimal"/>
      <w:pStyle w:val="5"/>
      <w:suff w:val="nothing"/>
      <w:lvlText w:val="%1.%2.%3.%4."/>
      <w:lvlJc w:val="left"/>
      <w:pPr>
        <w:tabs>
          <w:tab w:val="left" w:pos="420"/>
        </w:tabs>
        <w:ind w:left="1009" w:hanging="1009"/>
      </w:pPr>
      <w:rPr>
        <w:rFonts w:hint="default"/>
      </w:rPr>
    </w:lvl>
    <w:lvl w:ilvl="4" w:tentative="1">
      <w:start w:val="1"/>
      <w:numFmt w:val="decimal"/>
      <w:suff w:val="nothing"/>
      <w:lvlText w:val="%1.%2.%3.%4.%5."/>
      <w:lvlJc w:val="left"/>
      <w:pPr>
        <w:tabs>
          <w:tab w:val="left" w:pos="420"/>
        </w:tabs>
        <w:ind w:left="1008" w:hanging="1008"/>
      </w:pPr>
      <w:rPr>
        <w:rFonts w:hint="default"/>
      </w:rPr>
    </w:lvl>
    <w:lvl w:ilvl="5" w:tentative="1">
      <w:start w:val="1"/>
      <w:numFmt w:val="decimal"/>
      <w:pStyle w:val="7"/>
      <w:lvlText w:val="%1.%2.%3.%4.%5.%6."/>
      <w:lvlJc w:val="left"/>
      <w:pPr>
        <w:ind w:left="1151" w:hanging="1151"/>
      </w:pPr>
      <w:rPr>
        <w:rFonts w:hint="default"/>
      </w:rPr>
    </w:lvl>
    <w:lvl w:ilvl="6" w:tentative="1">
      <w:start w:val="1"/>
      <w:numFmt w:val="decimal"/>
      <w:pStyle w:val="8"/>
      <w:lvlText w:val="%1.%2.%3.%4.%5.%6.%7."/>
      <w:lvlJc w:val="left"/>
      <w:pPr>
        <w:ind w:left="1296" w:hanging="1296"/>
      </w:pPr>
      <w:rPr>
        <w:rFonts w:hint="default"/>
      </w:rPr>
    </w:lvl>
    <w:lvl w:ilvl="7" w:tentative="1">
      <w:start w:val="1"/>
      <w:numFmt w:val="decimal"/>
      <w:pStyle w:val="9"/>
      <w:lvlText w:val="%1.%2.%3.%4.%5.%6.%7.%8."/>
      <w:lvlJc w:val="left"/>
      <w:pPr>
        <w:ind w:left="1440" w:hanging="1440"/>
      </w:pPr>
      <w:rPr>
        <w:rFonts w:hint="default"/>
      </w:rPr>
    </w:lvl>
    <w:lvl w:ilvl="8" w:tentative="1">
      <w:start w:val="1"/>
      <w:numFmt w:val="decimal"/>
      <w:pStyle w:val="10"/>
      <w:lvlText w:val="%1.%2.%3.%4.%5.%6.%7.%8.%9."/>
      <w:lvlJc w:val="left"/>
      <w:pPr>
        <w:ind w:left="1583" w:hanging="1583"/>
      </w:pPr>
      <w:rPr>
        <w:rFonts w:hint="default"/>
      </w:rPr>
    </w:lvl>
  </w:abstractNum>
  <w:num w:numId="1">
    <w:abstractNumId w:val="14"/>
  </w:num>
  <w:num w:numId="2">
    <w:abstractNumId w:val="10"/>
  </w:num>
  <w:num w:numId="3">
    <w:abstractNumId w:val="13"/>
  </w:num>
  <w:num w:numId="4">
    <w:abstractNumId w:val="9"/>
  </w:num>
  <w:num w:numId="5">
    <w:abstractNumId w:val="1"/>
  </w:num>
  <w:num w:numId="6">
    <w:abstractNumId w:val="2"/>
  </w:num>
  <w:num w:numId="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style w:type="paragraph" w:default="1" w:styleId="1">
    <w:name w:val="Normal"/>
    <w:pPr>
      <w:widowControl w:val="0"/>
      <w:spacing w:line="560" w:lineRule="exact"/>
      <w:ind w:firstLine="1120" w:firstLineChars="200"/>
      <w:jc w:val="both"/>
    </w:pPr>
    <w:rPr>
      <w:rFonts w:ascii="宋体" w:hAnsi="宋体" w:eastAsia="仿宋" w:cs="仿宋"/>
      <w:kern w:val="2"/>
      <w:sz w:val="32"/>
      <w:szCs w:val="32"/>
      <w:lang w:val="en-US" w:eastAsia="zh-CN" w:bidi="ar-SA"/>
    </w:rPr>
  </w:style>
  <w:style w:type="paragraph" w:styleId="2">
    <w:name w:val="heading 1"/>
    <w:basedOn w:val="1"/>
    <w:next w:val="1"/>
    <w:link w:val="48"/>
    <w:pPr>
      <w:keepNext/>
      <w:keepLines/>
      <w:numPr>
        <w:ilvl w:val="0"/>
        <w:numId w:val="1"/>
      </w:numPr>
      <w:spacing w:before="200" w:after="120"/>
      <w:ind w:firstLineChars="0"/>
      <w:jc w:val="left"/>
      <w:outlineLvl w:val="0"/>
    </w:pPr>
    <w:rPr>
      <w:rFonts w:ascii="黑体" w:hAnsi="黑体" w:eastAsia="黑体" w:cs="黑体"/>
      <w:kern w:val="44"/>
      <w:sz w:val="32"/>
      <w:szCs w:val="32"/>
    </w:rPr>
  </w:style>
  <w:style w:type="paragraph" w:styleId="3">
    <w:name w:val="heading 2"/>
    <w:basedOn w:val="1"/>
    <w:next w:val="1"/>
    <w:link w:val="50"/>
    <w:pPr>
      <w:keepNext/>
      <w:keepLines/>
      <w:numPr>
        <w:ilvl w:val="1"/>
        <w:numId w:val="1"/>
      </w:numPr>
      <w:spacing w:before="200" w:after="120"/>
      <w:ind w:left="893" w:leftChars="100" w:hanging="573" w:firstLineChars="0"/>
      <w:jc w:val="left"/>
      <w:outlineLvl w:val="1"/>
    </w:pPr>
    <w:rPr>
      <w:rFonts w:ascii="楷体" w:hAnsi="楷体" w:eastAsia="楷体" w:cs="楷体"/>
      <w:b/>
      <w:sz w:val="32"/>
      <w:szCs w:val="32"/>
    </w:rPr>
  </w:style>
  <w:style w:type="paragraph" w:styleId="4">
    <w:name w:val="heading 3"/>
    <w:basedOn w:val="1"/>
    <w:next w:val="1"/>
    <w:link w:val="49"/>
    <w:pPr>
      <w:keepNext/>
      <w:keepLines/>
      <w:numPr>
        <w:ilvl w:val="2"/>
        <w:numId w:val="1"/>
      </w:numPr>
      <w:spacing w:before="200" w:after="160"/>
      <w:ind w:left="1360" w:leftChars="200" w:firstLineChars="0"/>
      <w:outlineLvl w:val="2"/>
    </w:pPr>
    <w:rPr>
      <w:rFonts w:ascii="仿宋" w:hAnsi="仿宋" w:eastAsia="仿宋"/>
      <w:b/>
      <w:sz w:val="32"/>
      <w:szCs w:val="32"/>
    </w:rPr>
  </w:style>
  <w:style w:type="paragraph" w:styleId="5">
    <w:name w:val="heading 4"/>
    <w:basedOn w:val="1"/>
    <w:next w:val="1"/>
    <w:pPr>
      <w:keepNext/>
      <w:keepLines/>
      <w:numPr>
        <w:ilvl w:val="3"/>
        <w:numId w:val="1"/>
      </w:numPr>
      <w:spacing w:before="160" w:after="100"/>
      <w:ind w:left="1969" w:leftChars="300" w:firstLine="0" w:firstLineChars="0"/>
      <w:outlineLvl w:val="3"/>
    </w:pPr>
    <w:rPr>
      <w:b/>
      <w:szCs w:val="30"/>
    </w:rPr>
  </w:style>
  <w:style w:type="paragraph" w:styleId="6">
    <w:name w:val="heading 5"/>
    <w:basedOn w:val="1"/>
    <w:next w:val="1"/>
    <w:pPr>
      <w:keepNext/>
      <w:keepLines/>
      <w:numPr>
        <w:ilvl w:val="4"/>
        <w:numId w:val="2"/>
      </w:numPr>
      <w:tabs>
        <w:tab w:val="left" w:pos="420"/>
        <w:tab w:val="clear" w:pos="2100"/>
      </w:tabs>
      <w:spacing w:before="100" w:after="40"/>
      <w:ind w:left="0" w:firstLine="1120"/>
      <w:outlineLvl w:val="4"/>
    </w:pPr>
    <w:rPr>
      <w:b/>
    </w:rPr>
  </w:style>
  <w:style w:type="paragraph" w:styleId="7">
    <w:name w:val="heading 6"/>
    <w:basedOn w:val="1"/>
    <w:next w:val="1"/>
    <w:pPr>
      <w:keepNext/>
      <w:keepLines/>
      <w:numPr>
        <w:ilvl w:val="5"/>
        <w:numId w:val="1"/>
      </w:numPr>
      <w:tabs>
        <w:tab w:val="left" w:pos="420"/>
      </w:tabs>
      <w:spacing w:before="240" w:after="64" w:line="317" w:lineRule="auto"/>
      <w:ind w:firstLineChars="0"/>
      <w:outlineLvl w:val="5"/>
    </w:pPr>
    <w:rPr>
      <w:rFonts w:ascii="Arial" w:hAnsi="Arial" w:eastAsia="黑体"/>
      <w:b/>
      <w:sz w:val="24"/>
    </w:rPr>
  </w:style>
  <w:style w:type="paragraph" w:styleId="8">
    <w:name w:val="heading 7"/>
    <w:basedOn w:val="1"/>
    <w:next w:val="1"/>
    <w:pPr>
      <w:keepNext/>
      <w:keepLines/>
      <w:numPr>
        <w:ilvl w:val="6"/>
        <w:numId w:val="1"/>
      </w:numPr>
      <w:tabs>
        <w:tab w:val="left" w:pos="420"/>
      </w:tabs>
      <w:spacing w:before="240" w:after="64" w:line="317" w:lineRule="auto"/>
      <w:ind w:firstLineChars="0"/>
      <w:outlineLvl w:val="6"/>
    </w:pPr>
    <w:rPr>
      <w:b/>
      <w:sz w:val="24"/>
    </w:rPr>
  </w:style>
  <w:style w:type="paragraph" w:styleId="9">
    <w:name w:val="heading 8"/>
    <w:basedOn w:val="1"/>
    <w:next w:val="1"/>
    <w:pPr>
      <w:keepNext/>
      <w:keepLines/>
      <w:numPr>
        <w:ilvl w:val="7"/>
        <w:numId w:val="1"/>
      </w:numPr>
      <w:tabs>
        <w:tab w:val="left" w:pos="420"/>
      </w:tabs>
      <w:spacing w:before="240" w:after="64" w:line="317" w:lineRule="auto"/>
      <w:ind w:firstLineChars="0"/>
      <w:outlineLvl w:val="7"/>
    </w:pPr>
    <w:rPr>
      <w:rFonts w:ascii="Arial" w:hAnsi="Arial" w:eastAsia="黑体"/>
      <w:sz w:val="24"/>
    </w:rPr>
  </w:style>
  <w:style w:type="paragraph" w:styleId="10">
    <w:name w:val="heading 9"/>
    <w:basedOn w:val="1"/>
    <w:next w:val="1"/>
    <w:pPr>
      <w:keepNext/>
      <w:keepLines/>
      <w:numPr>
        <w:ilvl w:val="8"/>
        <w:numId w:val="1"/>
      </w:numPr>
      <w:tabs>
        <w:tab w:val="left" w:pos="420"/>
      </w:tabs>
      <w:spacing w:before="240" w:after="64" w:line="317" w:lineRule="auto"/>
      <w:ind w:firstLineChars="0"/>
      <w:outlineLvl w:val="8"/>
    </w:pPr>
    <w:rPr>
      <w:rFonts w:ascii="Arial" w:hAnsi="Arial" w:eastAsia="黑体"/>
      <w:sz w:val="21"/>
    </w:rPr>
  </w:style>
  <w:style w:type="character" w:default="1" w:styleId="23">
    <w:name w:val="Default Paragraph Font"/>
  </w:style>
  <w:style w:type="character" w:customStyle="1" w:styleId="11">
    <w:name w:val="批注主题 Char"/>
    <w:link w:val="12"/>
    <w:semiHidden/>
    <w:rPr>
      <w:b/>
      <w:bCs/>
    </w:rPr>
  </w:style>
  <w:style w:type="paragraph" w:customStyle="1" w:styleId="12">
    <w:name w:val="批注主题1"/>
    <w:basedOn w:val="13"/>
    <w:next w:val="13"/>
    <w:link w:val="11"/>
    <w:pPr>
      <w:spacing w:line="240" w:lineRule="auto"/>
      <w:ind w:firstLine="0" w:firstLineChars="0"/>
    </w:pPr>
    <w:rPr>
      <w:b/>
      <w:bCs/>
    </w:rPr>
  </w:style>
  <w:style w:type="paragraph" w:styleId="13">
    <w:name w:val="annotation text"/>
    <w:basedOn w:val="1"/>
    <w:link w:val="54"/>
    <w:pPr>
      <w:jc w:val="left"/>
    </w:pPr>
    <w:rPr>
      <w:rFonts w:ascii="宋体" w:hAnsi="宋体" w:eastAsia="仿宋" w:cs="仿宋"/>
      <w:kern w:val="2"/>
      <w:sz w:val="32"/>
      <w:szCs w:val="32"/>
    </w:rPr>
  </w:style>
  <w:style w:type="paragraph" w:styleId="14">
    <w:name w:val="caption"/>
    <w:basedOn w:val="1"/>
    <w:next w:val="1"/>
    <w:link w:val="51"/>
    <w:pPr>
      <w:spacing w:before="40"/>
      <w:jc w:val="center"/>
    </w:pPr>
    <w:rPr>
      <w:rFonts w:ascii="Arial" w:hAnsi="Arial" w:eastAsia="黑体"/>
      <w:sz w:val="20"/>
    </w:rPr>
  </w:style>
  <w:style w:type="paragraph" w:styleId="15">
    <w:name w:val="Body Text"/>
    <w:basedOn w:val="1"/>
  </w:style>
  <w:style w:type="paragraph" w:styleId="16">
    <w:name w:val="toc 3"/>
    <w:basedOn w:val="1"/>
    <w:next w:val="1"/>
    <w:pPr>
      <w:ind w:left="640" w:leftChars="200" w:firstLine="0" w:firstLineChars="0"/>
    </w:pPr>
  </w:style>
  <w:style w:type="paragraph" w:styleId="17">
    <w:name w:val="footer"/>
    <w:basedOn w:val="1"/>
    <w:pPr>
      <w:tabs>
        <w:tab w:val="center" w:pos="4153"/>
        <w:tab w:val="right" w:pos="8306"/>
      </w:tabs>
      <w:snapToGrid w:val="0"/>
      <w:ind w:firstLine="0" w:firstLineChars="0"/>
      <w:jc w:val="left"/>
    </w:pPr>
    <w:rPr>
      <w:rFonts w:eastAsia="宋体"/>
      <w:sz w:val="28"/>
    </w:rPr>
  </w:style>
  <w:style w:type="paragraph" w:styleId="18">
    <w:name w:val="header"/>
    <w:basedOn w:val="1"/>
    <w:link w:val="52"/>
    <w:pPr>
      <w:pBdr>
        <w:bottom w:val="single" w:color="auto" w:sz="6" w:space="1"/>
      </w:pBdr>
      <w:tabs>
        <w:tab w:val="center" w:pos="4153"/>
        <w:tab w:val="right" w:pos="8306"/>
      </w:tabs>
      <w:snapToGrid w:val="0"/>
      <w:spacing w:line="240" w:lineRule="atLeast"/>
      <w:jc w:val="center"/>
    </w:pPr>
    <w:rPr>
      <w:rFonts w:ascii="Calibri" w:hAnsi="Calibri" w:eastAsia="仿宋" w:cs="黑体"/>
      <w:kern w:val="2"/>
      <w:sz w:val="18"/>
      <w:szCs w:val="18"/>
    </w:rPr>
  </w:style>
  <w:style w:type="paragraph" w:styleId="19">
    <w:name w:val="toc 1"/>
    <w:basedOn w:val="1"/>
    <w:next w:val="1"/>
    <w:pPr>
      <w:tabs>
        <w:tab w:val="right" w:leader="dot" w:pos="9016"/>
      </w:tabs>
    </w:pPr>
    <w:rPr>
      <w:rFonts w:ascii="宋体" w:hAnsi="宋体"/>
    </w:rPr>
  </w:style>
  <w:style w:type="paragraph" w:styleId="20">
    <w:name w:val="footnote text"/>
    <w:basedOn w:val="1"/>
    <w:pPr>
      <w:snapToGrid w:val="0"/>
      <w:jc w:val="left"/>
    </w:pPr>
    <w:rPr>
      <w:kern w:val="2"/>
      <w:sz w:val="18"/>
      <w:szCs w:val="18"/>
    </w:rPr>
  </w:style>
  <w:style w:type="paragraph" w:styleId="21">
    <w:name w:val="toc 2"/>
    <w:basedOn w:val="1"/>
    <w:next w:val="1"/>
    <w:pPr>
      <w:ind w:left="320" w:leftChars="100" w:firstLine="0" w:firstLineChars="0"/>
    </w:pPr>
  </w:style>
  <w:style w:type="paragraph" w:styleId="22">
    <w:name w:val="Title"/>
    <w:basedOn w:val="1"/>
    <w:next w:val="1"/>
    <w:pPr>
      <w:spacing w:before="240" w:after="60"/>
      <w:ind w:firstLine="0" w:firstLineChars="0"/>
      <w:jc w:val="center"/>
      <w:outlineLvl w:val="0"/>
    </w:pPr>
    <w:rPr>
      <w:rFonts w:ascii="Cambria" w:hAnsi="Cambria"/>
      <w:b/>
      <w:bCs/>
      <w:kern w:val="0"/>
    </w:rPr>
  </w:style>
  <w:style w:type="character" w:styleId="24">
    <w:name w:val="FollowedHyperlink"/>
    <w:basedOn w:val="23"/>
    <w:rPr>
      <w:color w:val="800080"/>
      <w:u w:val="single"/>
    </w:rPr>
  </w:style>
  <w:style w:type="character" w:styleId="25">
    <w:name w:val="Hyperlink"/>
    <w:rPr>
      <w:rFonts w:cs="Times New Roman"/>
      <w:color w:val="0000FF"/>
      <w:u w:val="none"/>
    </w:rPr>
  </w:style>
  <w:style w:type="paragraph" w:customStyle="1" w:styleId="26">
    <w:name w:val="HTML Address"/>
    <w:basedOn w:val="1"/>
    <w:pPr>
      <w:widowControl/>
      <w:jc w:val="left"/>
    </w:pPr>
    <w:rPr>
      <w:rFonts w:ascii="宋体" w:hAnsi="宋体" w:cs="宋体"/>
      <w:kern w:val="0"/>
      <w:sz w:val="24"/>
      <w:szCs w:val="24"/>
    </w:rPr>
  </w:style>
  <w:style w:type="paragraph" w:customStyle="1" w:styleId="27">
    <w:name w:val="正文首行缩进1"/>
    <w:basedOn w:val="15"/>
    <w:pPr>
      <w:spacing w:line="240" w:lineRule="auto"/>
      <w:ind w:firstLine="498"/>
    </w:pPr>
    <w:rPr>
      <w:rFonts w:ascii="Times New Roman"/>
      <w:szCs w:val="28"/>
      <w:lang w:val="zh-CN"/>
    </w:rPr>
  </w:style>
  <w:style w:type="paragraph" w:customStyle="1" w:styleId="28">
    <w:name w:val="Normal Indent"/>
    <w:basedOn w:val="1"/>
    <w:pPr>
      <w:spacing w:line="300" w:lineRule="auto"/>
      <w:ind w:firstLine="200" w:firstLineChars="200"/>
    </w:pPr>
    <w:rPr>
      <w:kern w:val="0"/>
      <w:sz w:val="20"/>
    </w:rPr>
  </w:style>
  <w:style w:type="paragraph" w:customStyle="1" w:styleId="29">
    <w:name w:val="toa heading"/>
    <w:basedOn w:val="1"/>
    <w:next w:val="1"/>
    <w:pPr>
      <w:spacing w:before="120"/>
    </w:pPr>
    <w:rPr>
      <w:rFonts w:ascii="Arial" w:hAnsi="Arial" w:eastAsia="仿宋"/>
      <w:sz w:val="24"/>
      <w:szCs w:val="20"/>
    </w:rPr>
  </w:style>
  <w:style w:type="paragraph" w:customStyle="1" w:styleId="30">
    <w:name w:val="Plain Text"/>
    <w:basedOn w:val="1"/>
    <w:rPr>
      <w:rFonts w:hAnsi="Courier New"/>
      <w:sz w:val="22"/>
      <w:szCs w:val="20"/>
    </w:rPr>
  </w:style>
  <w:style w:type="paragraph" w:customStyle="1" w:styleId="31">
    <w:name w:val="Body Text First Indent"/>
    <w:basedOn w:val="15"/>
    <w:pPr>
      <w:ind w:firstLine="420" w:firstLineChars="100"/>
    </w:pPr>
    <w:rPr>
      <w:szCs w:val="20"/>
    </w:rPr>
  </w:style>
  <w:style w:type="paragraph" w:customStyle="1" w:styleId="32">
    <w:name w:val="Body Text Indent"/>
    <w:basedOn w:val="1"/>
    <w:pPr>
      <w:spacing w:after="120"/>
      <w:ind w:left="420" w:leftChars="200"/>
    </w:pPr>
  </w:style>
  <w:style w:type="paragraph" w:customStyle="1" w:styleId="33">
    <w:name w:val="Normal (Web)"/>
    <w:basedOn w:val="1"/>
    <w:pPr>
      <w:spacing w:beforeAutospacing="1" w:afterAutospacing="1"/>
      <w:jc w:val="left"/>
    </w:pPr>
    <w:rPr>
      <w:rFonts w:cs="Times New Roman"/>
      <w:kern w:val="0"/>
      <w:sz w:val="24"/>
    </w:rPr>
  </w:style>
  <w:style w:type="paragraph" w:customStyle="1" w:styleId="34">
    <w:name w:val="靠左"/>
    <w:basedOn w:val="35"/>
    <w:pPr>
      <w:jc w:val="left"/>
    </w:pPr>
    <w:rPr>
      <w:sz w:val="28"/>
    </w:rPr>
  </w:style>
  <w:style w:type="paragraph" w:customStyle="1" w:styleId="35">
    <w:name w:val="居中"/>
    <w:basedOn w:val="1"/>
    <w:pPr>
      <w:ind w:firstLine="0" w:firstLineChars="0"/>
      <w:jc w:val="center"/>
    </w:pPr>
  </w:style>
  <w:style w:type="paragraph" w:customStyle="1" w:styleId="36">
    <w:name w:val="表格"/>
    <w:basedOn w:val="1"/>
    <w:pPr>
      <w:ind w:firstLine="0" w:firstLineChars="0"/>
      <w:jc w:val="left"/>
    </w:pPr>
  </w:style>
  <w:style w:type="paragraph" w:customStyle="1" w:styleId="37">
    <w:name w:val="WPSOffice手动目录 1"/>
    <w:rPr>
      <w:rFonts w:ascii="Times New Roman" w:hAnsi="Times New Roman" w:eastAsia="宋体" w:cs="Times New Roman"/>
      <w:lang w:val="en-US" w:eastAsia="zh-CN" w:bidi="ar-SA"/>
    </w:rPr>
  </w:style>
  <w:style w:type="paragraph" w:customStyle="1" w:styleId="38">
    <w:name w:val="WPSOffice手动目录 2"/>
    <w:pPr>
      <w:ind w:left="200" w:leftChars="200"/>
    </w:pPr>
    <w:rPr>
      <w:rFonts w:ascii="Times New Roman" w:hAnsi="Times New Roman" w:eastAsia="宋体" w:cs="Times New Roman"/>
      <w:lang w:val="en-US" w:eastAsia="zh-CN" w:bidi="ar-SA"/>
    </w:rPr>
  </w:style>
  <w:style w:type="paragraph" w:customStyle="1" w:styleId="39">
    <w:name w:val="WPSOffice手动目录 3"/>
    <w:pPr>
      <w:ind w:left="400" w:leftChars="400"/>
    </w:pPr>
    <w:rPr>
      <w:rFonts w:ascii="Times New Roman" w:hAnsi="Times New Roman" w:eastAsia="宋体" w:cs="Times New Roman"/>
      <w:lang w:val="en-US" w:eastAsia="zh-CN" w:bidi="ar-SA"/>
    </w:rPr>
  </w:style>
  <w:style w:type="paragraph" w:customStyle="1" w:styleId="40">
    <w:name w:val="Default Text"/>
    <w:link w:val="53"/>
    <w:pPr>
      <w:widowControl w:val="0"/>
      <w:autoSpaceDE w:val="0"/>
      <w:autoSpaceDN w:val="0"/>
      <w:adjustRightInd w:val="0"/>
    </w:pPr>
    <w:rPr>
      <w:color w:val="000000"/>
      <w:kern w:val="2"/>
      <w:sz w:val="24"/>
      <w:szCs w:val="24"/>
    </w:rPr>
  </w:style>
  <w:style w:type="paragraph" w:customStyle="1" w:styleId="41">
    <w:name w:val="Table Paragraph"/>
    <w:basedOn w:val="1"/>
    <w:pPr>
      <w:jc w:val="left"/>
    </w:pPr>
    <w:rPr>
      <w:rFonts w:cs="宋体"/>
      <w:kern w:val="0"/>
      <w:sz w:val="22"/>
      <w:lang w:eastAsia="en-US"/>
    </w:rPr>
  </w:style>
  <w:style w:type="paragraph" w:customStyle="1" w:styleId="42">
    <w:name w:val="缺省文本"/>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3">
    <w:name w:val="È±Ê¡ÎÄ±¾"/>
    <w:basedOn w:val="1"/>
    <w:pPr>
      <w:widowControl/>
      <w:overflowPunct w:val="0"/>
      <w:autoSpaceDE w:val="0"/>
      <w:autoSpaceDN w:val="0"/>
      <w:adjustRightInd w:val="0"/>
      <w:jc w:val="left"/>
      <w:textAlignment w:val="baseline"/>
    </w:pPr>
    <w:rPr>
      <w:kern w:val="0"/>
      <w:sz w:val="24"/>
      <w:szCs w:val="20"/>
    </w:rPr>
  </w:style>
  <w:style w:type="paragraph" w:customStyle="1" w:styleId="44">
    <w:name w:val="p0"/>
    <w:basedOn w:val="1"/>
    <w:pPr>
      <w:widowControl/>
    </w:pPr>
    <w:rPr>
      <w:rFonts w:ascii="Calibri" w:hAnsi="Calibri"/>
      <w:kern w:val="0"/>
      <w:szCs w:val="21"/>
    </w:rPr>
  </w:style>
  <w:style w:type="paragraph" w:customStyle="1" w:styleId="45">
    <w:name w:val="Body Text First Indent 2"/>
    <w:basedOn w:val="32"/>
    <w:pPr>
      <w:widowControl w:val="0"/>
      <w:spacing w:after="120"/>
      <w:ind w:left="420" w:leftChars="200" w:firstLine="420" w:firstLineChars="200"/>
      <w:jc w:val="both"/>
    </w:pPr>
    <w:rPr>
      <w:rFonts w:ascii="仿宋_GB2312" w:hAnsi="Calibri" w:eastAsia="Times New Roman" w:cs="Times New Roman"/>
      <w:color w:val="000000"/>
      <w:kern w:val="0"/>
      <w:sz w:val="24"/>
      <w:szCs w:val="24"/>
      <w:lang w:val="en-US" w:eastAsia="zh-CN" w:bidi="ar-SA"/>
    </w:rPr>
  </w:style>
  <w:style w:type="paragraph" w:customStyle="1" w:styleId="46">
    <w:name w:val="正文1"/>
    <w:rPr>
      <w:rFonts w:ascii="Times New Roman" w:hAnsi="Times New Roman" w:eastAsia="Times New Roman" w:cs="Times New Roman"/>
      <w:sz w:val="24"/>
      <w:szCs w:val="24"/>
      <w:lang w:val="en-US" w:eastAsia="zh-CN" w:bidi="ar-SA"/>
    </w:rPr>
  </w:style>
  <w:style w:type="paragraph" w:customStyle="1" w:styleId="47">
    <w:name w:val="Body Text First Indent1"/>
    <w:basedOn w:val="15"/>
    <w:pPr>
      <w:spacing w:line="240" w:lineRule="auto"/>
      <w:ind w:firstLine="498"/>
    </w:pPr>
    <w:rPr>
      <w:rFonts w:ascii="Times New Roman" w:hAnsi="Times New Roman"/>
      <w:kern w:val="2"/>
      <w:szCs w:val="28"/>
      <w:lang w:val="zh-CN" w:eastAsia="zh-CN"/>
    </w:rPr>
  </w:style>
  <w:style w:type="character" w:customStyle="1" w:styleId="48">
    <w:name w:val="标题 1 字符"/>
    <w:link w:val="2"/>
    <w:semiHidden/>
    <w:rPr>
      <w:rFonts w:ascii="黑体" w:hAnsi="黑体" w:eastAsia="黑体" w:cs="黑体"/>
      <w:kern w:val="44"/>
      <w:sz w:val="32"/>
      <w:szCs w:val="32"/>
    </w:rPr>
  </w:style>
  <w:style w:type="character" w:customStyle="1" w:styleId="49">
    <w:name w:val="标题 3 字符"/>
    <w:link w:val="4"/>
    <w:semiHidden/>
    <w:rPr>
      <w:rFonts w:ascii="仿宋" w:hAnsi="仿宋" w:eastAsia="仿宋"/>
      <w:b/>
      <w:sz w:val="32"/>
      <w:szCs w:val="32"/>
    </w:rPr>
  </w:style>
  <w:style w:type="character" w:customStyle="1" w:styleId="50">
    <w:name w:val="标题 2 字符"/>
    <w:link w:val="3"/>
    <w:semiHidden/>
    <w:rPr>
      <w:rFonts w:ascii="楷体" w:hAnsi="楷体" w:eastAsia="楷体" w:cs="楷体"/>
      <w:b/>
      <w:sz w:val="32"/>
      <w:szCs w:val="32"/>
    </w:rPr>
  </w:style>
  <w:style w:type="character" w:customStyle="1" w:styleId="51">
    <w:name w:val="题注 字符"/>
    <w:link w:val="14"/>
    <w:semiHidden/>
    <w:rPr>
      <w:rFonts w:ascii="Arial" w:hAnsi="Arial" w:eastAsia="黑体"/>
      <w:sz w:val="20"/>
    </w:rPr>
  </w:style>
  <w:style w:type="character" w:customStyle="1" w:styleId="52">
    <w:name w:val="页眉 字符"/>
    <w:basedOn w:val="23"/>
    <w:link w:val="18"/>
    <w:semiHidden/>
    <w:rPr>
      <w:rFonts w:ascii="Calibri" w:hAnsi="Calibri" w:eastAsia="仿宋" w:cs="黑体"/>
      <w:kern w:val="2"/>
      <w:sz w:val="18"/>
      <w:szCs w:val="18"/>
    </w:rPr>
  </w:style>
  <w:style w:type="character" w:customStyle="1" w:styleId="53">
    <w:name w:val="Default Text Char Char"/>
    <w:link w:val="40"/>
    <w:semiHidden/>
    <w:rPr>
      <w:color w:val="000000"/>
      <w:kern w:val="2"/>
      <w:sz w:val="24"/>
      <w:szCs w:val="24"/>
    </w:rPr>
  </w:style>
  <w:style w:type="character" w:customStyle="1" w:styleId="54">
    <w:name w:val="批注文字 字符"/>
    <w:basedOn w:val="23"/>
    <w:link w:val="13"/>
    <w:semiHidden/>
    <w:rPr>
      <w:rFonts w:ascii="宋体" w:hAnsi="宋体" w:eastAsia="仿宋" w:cs="仿宋"/>
      <w:kern w:val="2"/>
      <w:sz w:val="32"/>
      <w:szCs w:val="32"/>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 Id="rId7" Type="http://schemas.openxmlformats.org/officeDocument/2006/relationships/customXml" Target="../customXml/item1.xml"/><Relationship Id="rId8"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7000</Words>
  <Characters>39906</Characters>
  <Lines>332</Lines>
  <Paragraphs>93</Paragraphs>
  <ScaleCrop>false</ScaleCrop>
  <LinksUpToDate>false</LinksUpToDate>
  <CharactersWithSpaces>0</CharactersWithSpaces>
  <Application>WPS Office 专业版_9.1.0.4167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2021-08-28T12:06:00Z</dcterms:created>
  <dc:creator>Lenovo</dc:creator>
  <cp:lastPrinted>2021-09-30T02:08:00Z</cp:lastPrinted>
  <dcterms:modified xsi:type="dcterms:W3CDTF">2021-09-30T18:26:51Z</dcterms:modified>
  <dc:title>大厦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2052-9.1.0.4167</vt:lpwstr>
  </property>
  <property fmtid="{D5CDD505-2E9C-101B-9397-08002B2CF9AE}" pid="3" name="ICV">
    <vt:lpwstr>A35AEA2F52D14C1EA5BE69BF2DAB6C9F</vt:lpwstr>
  </property>
</Properties>
</file>