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insoku w:val="0"/>
        <w:overflowPunct w:val="0"/>
        <w:spacing w:before="0" w:line="580" w:lineRule="exact"/>
        <w:ind w:left="74" w:right="-58"/>
        <w:rPr>
          <w:rFonts w:hint="eastAsia" w:ascii="宋体" w:hAnsi="宋体" w:eastAsia="宋体" w:cs="宋体"/>
          <w:b/>
          <w:bCs/>
          <w:sz w:val="32"/>
          <w:szCs w:val="32"/>
          <w:highlight w:val="none"/>
        </w:rPr>
      </w:pPr>
    </w:p>
    <w:p>
      <w:pPr>
        <w:pStyle w:val="8"/>
        <w:kinsoku w:val="0"/>
        <w:overflowPunct w:val="0"/>
        <w:spacing w:before="0" w:line="580" w:lineRule="exact"/>
        <w:ind w:left="0" w:right="-58"/>
        <w:rPr>
          <w:rFonts w:hint="eastAsia" w:ascii="宋体" w:hAnsi="宋体" w:eastAsia="宋体" w:cs="宋体"/>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56"/>
          <w:szCs w:val="56"/>
          <w:highlight w:val="none"/>
        </w:rPr>
      </w:pPr>
      <w:r>
        <w:rPr>
          <w:rFonts w:hint="eastAsia" w:asciiTheme="majorEastAsia" w:hAnsiTheme="majorEastAsia" w:eastAsiaTheme="majorEastAsia" w:cstheme="majorEastAsia"/>
          <w:b/>
          <w:bCs/>
          <w:sz w:val="56"/>
          <w:szCs w:val="56"/>
          <w:highlight w:val="none"/>
        </w:rPr>
        <w:t>文旅项目管理平台及重点项目库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56"/>
          <w:szCs w:val="56"/>
          <w:highlight w:val="none"/>
        </w:rPr>
      </w:pPr>
      <w:r>
        <w:rPr>
          <w:rFonts w:hint="eastAsia" w:asciiTheme="majorEastAsia" w:hAnsiTheme="majorEastAsia" w:eastAsiaTheme="majorEastAsia" w:cstheme="majorEastAsia"/>
          <w:b/>
          <w:bCs/>
          <w:sz w:val="56"/>
          <w:szCs w:val="56"/>
          <w:highlight w:val="none"/>
        </w:rPr>
        <w:t>采购项目</w:t>
      </w:r>
    </w:p>
    <w:p>
      <w:pPr>
        <w:pStyle w:val="19"/>
        <w:rPr>
          <w:rFonts w:hint="eastAsia" w:asciiTheme="majorEastAsia" w:hAnsiTheme="majorEastAsia" w:eastAsiaTheme="majorEastAsia" w:cstheme="majorEastAsia"/>
          <w:b/>
          <w:bCs/>
          <w:sz w:val="56"/>
          <w:szCs w:val="56"/>
          <w:highlight w:val="none"/>
        </w:rPr>
      </w:pPr>
    </w:p>
    <w:p>
      <w:pPr>
        <w:pStyle w:val="19"/>
        <w:ind w:left="0" w:leftChars="0" w:firstLine="0" w:firstLineChars="0"/>
        <w:rPr>
          <w:rFonts w:hint="eastAsia" w:asciiTheme="majorEastAsia" w:hAnsiTheme="majorEastAsia" w:eastAsiaTheme="majorEastAsia" w:cstheme="majorEastAsia"/>
          <w:b/>
          <w:bCs/>
          <w:sz w:val="56"/>
          <w:szCs w:val="56"/>
          <w:highlight w:val="none"/>
          <w:lang w:eastAsia="zh-CN"/>
        </w:rPr>
      </w:pPr>
    </w:p>
    <w:p>
      <w:pPr>
        <w:pStyle w:val="19"/>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jc w:val="center"/>
        <w:rPr>
          <w:rFonts w:hint="default" w:eastAsia="宋体"/>
          <w:sz w:val="28"/>
          <w:szCs w:val="28"/>
          <w:highlight w:val="none"/>
          <w:lang w:val="en-US" w:eastAsia="zh-CN"/>
        </w:rPr>
      </w:pPr>
      <w:r>
        <w:rPr>
          <w:rFonts w:hint="eastAsia"/>
          <w:sz w:val="28"/>
          <w:szCs w:val="28"/>
          <w:highlight w:val="none"/>
        </w:rPr>
        <w:t>项目编号：XJXECWLMQ-20210</w:t>
      </w:r>
      <w:r>
        <w:rPr>
          <w:rFonts w:hint="eastAsia"/>
          <w:sz w:val="28"/>
          <w:szCs w:val="28"/>
          <w:highlight w:val="none"/>
          <w:lang w:val="en-US" w:eastAsia="zh-CN"/>
        </w:rPr>
        <w:t>32</w:t>
      </w:r>
    </w:p>
    <w:p>
      <w:pPr>
        <w:pStyle w:val="6"/>
        <w:rPr>
          <w:rFonts w:hint="eastAsia" w:ascii="宋体" w:hAnsi="宋体" w:eastAsia="宋体" w:cs="宋体"/>
          <w:highlight w:val="none"/>
        </w:rPr>
      </w:pPr>
    </w:p>
    <w:p>
      <w:pPr>
        <w:pStyle w:val="7"/>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drawing>
          <wp:inline distT="0" distB="0" distL="114300" distR="114300">
            <wp:extent cx="1787525" cy="1371600"/>
            <wp:effectExtent l="0" t="0" r="3175" b="0"/>
            <wp:docPr id="124"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 descr="1"/>
                    <pic:cNvPicPr>
                      <a:picLocks noChangeAspect="1"/>
                    </pic:cNvPicPr>
                  </pic:nvPicPr>
                  <pic:blipFill>
                    <a:blip r:embed="rId11"/>
                    <a:stretch>
                      <a:fillRect/>
                    </a:stretch>
                  </pic:blipFill>
                  <pic:spPr>
                    <a:xfrm>
                      <a:off x="0" y="0"/>
                      <a:ext cx="1787525" cy="1371600"/>
                    </a:xfrm>
                    <a:prstGeom prst="rect">
                      <a:avLst/>
                    </a:prstGeom>
                    <a:noFill/>
                    <a:ln>
                      <a:noFill/>
                    </a:ln>
                  </pic:spPr>
                </pic:pic>
              </a:graphicData>
            </a:graphic>
          </wp:inline>
        </w:drawing>
      </w:r>
    </w:p>
    <w:p>
      <w:pPr>
        <w:rPr>
          <w:rFonts w:hint="eastAsia" w:ascii="宋体" w:hAnsi="宋体" w:eastAsia="宋体" w:cs="宋体"/>
          <w:highlight w:val="none"/>
        </w:rPr>
      </w:pPr>
    </w:p>
    <w:p>
      <w:pPr>
        <w:pStyle w:val="6"/>
        <w:rPr>
          <w:rFonts w:hint="eastAsia" w:ascii="宋体" w:hAnsi="宋体" w:eastAsia="宋体" w:cs="宋体"/>
          <w:highlight w:val="none"/>
        </w:rPr>
      </w:pPr>
    </w:p>
    <w:p>
      <w:pPr>
        <w:pStyle w:val="6"/>
        <w:rPr>
          <w:rFonts w:hint="eastAsia" w:ascii="宋体" w:hAnsi="宋体" w:eastAsia="宋体" w:cs="宋体"/>
          <w:highlight w:val="none"/>
        </w:rPr>
      </w:pPr>
    </w:p>
    <w:p>
      <w:pPr>
        <w:pStyle w:val="6"/>
        <w:ind w:firstLine="360"/>
        <w:rPr>
          <w:rFonts w:hint="eastAsia" w:ascii="宋体" w:hAnsi="宋体" w:eastAsia="宋体" w:cs="宋体"/>
          <w:sz w:val="18"/>
          <w:szCs w:val="18"/>
          <w:highlight w:val="none"/>
        </w:rPr>
      </w:pPr>
    </w:p>
    <w:p>
      <w:pPr>
        <w:pStyle w:val="7"/>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8"/>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8"/>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8"/>
        <w:ind w:left="0" w:leftChars="0" w:firstLine="0" w:firstLineChars="0"/>
        <w:rPr>
          <w:rFonts w:hint="eastAsia"/>
          <w:highlight w:val="none"/>
        </w:rPr>
      </w:pPr>
    </w:p>
    <w:p>
      <w:pPr>
        <w:pStyle w:val="6"/>
        <w:ind w:firstLine="360"/>
        <w:rPr>
          <w:rFonts w:hint="eastAsia" w:ascii="宋体" w:hAnsi="宋体" w:eastAsia="宋体" w:cs="宋体"/>
          <w:sz w:val="18"/>
          <w:szCs w:val="18"/>
          <w:highlight w:val="none"/>
        </w:rPr>
      </w:pPr>
    </w:p>
    <w:p>
      <w:pPr>
        <w:pStyle w:val="6"/>
        <w:ind w:firstLine="360"/>
        <w:rPr>
          <w:rFonts w:hint="eastAsia" w:ascii="宋体" w:hAnsi="宋体" w:eastAsia="宋体" w:cs="宋体"/>
          <w:sz w:val="18"/>
          <w:szCs w:val="18"/>
          <w:highlight w:val="none"/>
        </w:rPr>
      </w:pPr>
    </w:p>
    <w:p>
      <w:pPr>
        <w:pStyle w:val="6"/>
        <w:spacing w:line="360" w:lineRule="auto"/>
        <w:ind w:left="420" w:leftChars="200" w:firstLine="0" w:firstLineChars="0"/>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lang w:eastAsia="zh-CN"/>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购</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人</w:t>
      </w:r>
      <w:r>
        <w:rPr>
          <w:rFonts w:hint="eastAsia" w:ascii="宋体" w:hAnsi="宋体" w:eastAsia="宋体" w:cs="宋体"/>
          <w:b/>
          <w:bCs/>
          <w:sz w:val="32"/>
          <w:szCs w:val="32"/>
          <w:highlight w:val="none"/>
        </w:rPr>
        <w:t>：</w:t>
      </w:r>
      <w:r>
        <w:rPr>
          <w:rFonts w:hint="eastAsia" w:ascii="宋体" w:hAnsi="宋体" w:eastAsia="宋体" w:cs="宋体"/>
          <w:b/>
          <w:bCs/>
          <w:color w:val="000000"/>
          <w:sz w:val="32"/>
          <w:szCs w:val="32"/>
          <w:highlight w:val="none"/>
          <w:u w:val="none"/>
          <w:lang w:eastAsia="zh-CN"/>
        </w:rPr>
        <w:t>新疆维吾尔自治区文化和旅游厅</w:t>
      </w:r>
      <w:r>
        <w:rPr>
          <w:rFonts w:hint="eastAsia" w:ascii="宋体" w:hAnsi="宋体" w:eastAsia="宋体" w:cs="宋体"/>
          <w:b/>
          <w:bCs/>
          <w:sz w:val="32"/>
          <w:szCs w:val="32"/>
          <w:highlight w:val="none"/>
          <w:u w:val="none"/>
          <w:lang w:val="en-US" w:eastAsia="zh-CN"/>
        </w:rPr>
        <w:t xml:space="preserve"> </w:t>
      </w:r>
    </w:p>
    <w:p>
      <w:pPr>
        <w:spacing w:line="360" w:lineRule="auto"/>
        <w:ind w:left="420" w:leftChars="200"/>
        <w:rPr>
          <w:rFonts w:hint="eastAsia" w:ascii="宋体" w:hAnsi="宋体" w:eastAsia="宋体" w:cs="宋体"/>
          <w:b/>
          <w:bCs/>
          <w:sz w:val="32"/>
          <w:szCs w:val="32"/>
          <w:highlight w:val="none"/>
          <w:u w:val="none"/>
        </w:rPr>
      </w:pPr>
      <w:r>
        <w:rPr>
          <w:rFonts w:hint="eastAsia" w:ascii="宋体" w:hAnsi="宋体" w:eastAsia="宋体" w:cs="宋体"/>
          <w:b/>
          <w:bCs/>
          <w:sz w:val="32"/>
          <w:szCs w:val="32"/>
          <w:highlight w:val="none"/>
          <w:u w:val="none"/>
          <w:lang w:eastAsia="zh-CN"/>
        </w:rPr>
        <w:t>采购</w:t>
      </w:r>
      <w:r>
        <w:rPr>
          <w:rFonts w:hint="eastAsia" w:ascii="宋体" w:hAnsi="宋体" w:eastAsia="宋体" w:cs="宋体"/>
          <w:b/>
          <w:bCs/>
          <w:sz w:val="32"/>
          <w:szCs w:val="32"/>
          <w:highlight w:val="none"/>
          <w:u w:val="none"/>
        </w:rPr>
        <w:t xml:space="preserve">代理机构：新疆信尔成工程项目管理有限公司  </w:t>
      </w:r>
    </w:p>
    <w:p>
      <w:pPr>
        <w:spacing w:line="360" w:lineRule="auto"/>
        <w:ind w:left="420" w:leftChars="200"/>
        <w:jc w:val="center"/>
        <w:rPr>
          <w:rFonts w:hint="eastAsia" w:ascii="宋体" w:hAnsi="宋体" w:eastAsia="宋体" w:cs="宋体"/>
          <w:szCs w:val="21"/>
          <w:highlight w:val="none"/>
          <w:u w:val="none"/>
        </w:rPr>
      </w:pPr>
      <w:r>
        <w:rPr>
          <w:rFonts w:hint="eastAsia" w:ascii="宋体" w:hAnsi="宋体" w:eastAsia="宋体" w:cs="宋体"/>
          <w:b/>
          <w:bCs/>
          <w:sz w:val="32"/>
          <w:szCs w:val="32"/>
          <w:highlight w:val="none"/>
          <w:u w:val="none"/>
          <w:lang w:val="en-US" w:eastAsia="zh-CN"/>
        </w:rPr>
        <w:t>202</w:t>
      </w:r>
      <w:r>
        <w:rPr>
          <w:rFonts w:hint="eastAsia" w:ascii="宋体" w:hAnsi="宋体" w:cs="宋体"/>
          <w:b/>
          <w:bCs/>
          <w:sz w:val="32"/>
          <w:szCs w:val="32"/>
          <w:highlight w:val="none"/>
          <w:u w:val="none"/>
          <w:lang w:val="en-US" w:eastAsia="zh-CN"/>
        </w:rPr>
        <w:t>1</w:t>
      </w:r>
      <w:r>
        <w:rPr>
          <w:rFonts w:hint="eastAsia" w:ascii="宋体" w:hAnsi="宋体" w:eastAsia="宋体" w:cs="宋体"/>
          <w:b/>
          <w:bCs/>
          <w:sz w:val="32"/>
          <w:szCs w:val="32"/>
          <w:highlight w:val="none"/>
          <w:u w:val="none"/>
          <w:lang w:val="en-US" w:eastAsia="zh-CN"/>
        </w:rPr>
        <w:t>年</w:t>
      </w:r>
      <w:r>
        <w:rPr>
          <w:rFonts w:hint="eastAsia" w:ascii="宋体" w:hAnsi="宋体" w:cs="宋体"/>
          <w:b/>
          <w:bCs/>
          <w:sz w:val="32"/>
          <w:szCs w:val="32"/>
          <w:highlight w:val="none"/>
          <w:u w:val="none"/>
          <w:lang w:val="en-US" w:eastAsia="zh-CN"/>
        </w:rPr>
        <w:t>10</w:t>
      </w:r>
      <w:r>
        <w:rPr>
          <w:rFonts w:hint="eastAsia" w:ascii="宋体" w:hAnsi="宋体" w:eastAsia="宋体" w:cs="宋体"/>
          <w:b/>
          <w:bCs/>
          <w:sz w:val="32"/>
          <w:szCs w:val="32"/>
          <w:highlight w:val="none"/>
          <w:u w:val="none"/>
          <w:lang w:val="en-US" w:eastAsia="zh-CN"/>
        </w:rPr>
        <w:t>月</w:t>
      </w:r>
      <w:bookmarkStart w:id="0" w:name="_Toc179632527"/>
      <w:bookmarkStart w:id="1" w:name="_Toc363119275"/>
    </w:p>
    <w:bookmarkEnd w:id="0"/>
    <w:bookmarkEnd w:id="1"/>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headerReference r:id="rId4" w:type="first"/>
          <w:footerReference r:id="rId6" w:type="first"/>
          <w:headerReference r:id="rId3" w:type="default"/>
          <w:footerReference r:id="rId5"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8"/>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_Toc6155 </w:instrText>
      </w:r>
      <w:r>
        <w:rPr>
          <w:rFonts w:hint="eastAsia" w:ascii="宋体" w:hAnsi="宋体" w:eastAsia="宋体" w:cs="宋体"/>
          <w:highlight w:val="none"/>
        </w:rPr>
        <w:fldChar w:fldCharType="separate"/>
      </w:r>
      <w:r>
        <w:rPr>
          <w:rFonts w:hint="eastAsia" w:ascii="宋体" w:hAnsi="宋体" w:eastAsia="宋体" w:cs="宋体"/>
          <w:highlight w:val="none"/>
        </w:rPr>
        <w:t>第一章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投标邀请书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_Toc6155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_Toc15730 </w:instrText>
      </w:r>
      <w:r>
        <w:rPr>
          <w:rFonts w:hint="eastAsia" w:ascii="宋体" w:hAnsi="宋体" w:eastAsia="宋体" w:cs="宋体"/>
          <w:highlight w:val="none"/>
        </w:rPr>
        <w:fldChar w:fldCharType="separate"/>
      </w:r>
      <w:r>
        <w:rPr>
          <w:rFonts w:hint="eastAsia" w:ascii="华文中宋" w:hAnsi="华文中宋" w:eastAsia="华文中宋"/>
          <w:highlight w:val="none"/>
        </w:rPr>
        <w:t>竞争性磋商公告</w:t>
      </w:r>
      <w:r>
        <w:rPr>
          <w:highlight w:val="none"/>
        </w:rPr>
        <w:tab/>
      </w:r>
      <w:r>
        <w:rPr>
          <w:highlight w:val="none"/>
        </w:rPr>
        <w:fldChar w:fldCharType="begin"/>
      </w:r>
      <w:r>
        <w:rPr>
          <w:highlight w:val="none"/>
        </w:rPr>
        <w:instrText xml:space="preserve"> PAGEREF _Toc15730 </w:instrText>
      </w:r>
      <w:r>
        <w:rPr>
          <w:highlight w:val="none"/>
        </w:rPr>
        <w:fldChar w:fldCharType="separate"/>
      </w:r>
      <w:r>
        <w:rPr>
          <w:highlight w:val="none"/>
        </w:rPr>
        <w:t>3</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_Toc25669 </w:instrText>
      </w:r>
      <w:r>
        <w:rPr>
          <w:rFonts w:hint="eastAsia" w:ascii="宋体" w:hAnsi="宋体" w:eastAsia="宋体" w:cs="宋体"/>
          <w:highlight w:val="none"/>
        </w:rPr>
        <w:fldChar w:fldCharType="separate"/>
      </w:r>
      <w:r>
        <w:rPr>
          <w:rFonts w:hint="eastAsia" w:ascii="华文中宋" w:hAnsi="华文中宋" w:eastAsia="华文中宋"/>
          <w:highlight w:val="none"/>
        </w:rPr>
        <w:t>第二章</w:t>
      </w:r>
      <w:r>
        <w:rPr>
          <w:rFonts w:hint="eastAsia" w:ascii="华文中宋" w:hAnsi="华文中宋" w:eastAsia="华文中宋"/>
          <w:highlight w:val="none"/>
        </w:rPr>
        <w:tab/>
      </w:r>
      <w:r>
        <w:rPr>
          <w:rFonts w:hint="eastAsia" w:ascii="华文中宋" w:hAnsi="华文中宋" w:eastAsia="华文中宋"/>
          <w:highlight w:val="none"/>
          <w:lang w:val="en-US" w:eastAsia="zh-CN"/>
        </w:rPr>
        <w:t xml:space="preserve"> </w:t>
      </w:r>
      <w:r>
        <w:rPr>
          <w:rFonts w:hint="eastAsia" w:ascii="宋体" w:hAnsi="宋体" w:eastAsia="宋体" w:cs="宋体"/>
          <w:highlight w:val="none"/>
        </w:rPr>
        <w:t>供应商须知及前附表</w:t>
      </w:r>
      <w:r>
        <w:rPr>
          <w:highlight w:val="none"/>
        </w:rPr>
        <w:tab/>
      </w:r>
      <w:r>
        <w:rPr>
          <w:highlight w:val="none"/>
        </w:rPr>
        <w:fldChar w:fldCharType="begin"/>
      </w:r>
      <w:r>
        <w:rPr>
          <w:highlight w:val="none"/>
        </w:rPr>
        <w:instrText xml:space="preserve"> PAGEREF _Toc25669 </w:instrText>
      </w:r>
      <w:r>
        <w:rPr>
          <w:highlight w:val="none"/>
        </w:rPr>
        <w:fldChar w:fldCharType="separate"/>
      </w:r>
      <w:r>
        <w:rPr>
          <w:highlight w:val="none"/>
        </w:rPr>
        <w:t>7</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_Toc7077 </w:instrText>
      </w:r>
      <w:r>
        <w:rPr>
          <w:rFonts w:hint="eastAsia" w:ascii="宋体" w:hAnsi="宋体" w:eastAsia="宋体" w:cs="宋体"/>
          <w:highlight w:val="none"/>
        </w:rPr>
        <w:fldChar w:fldCharType="separate"/>
      </w:r>
      <w:r>
        <w:rPr>
          <w:rFonts w:hint="eastAsia" w:ascii="宋体" w:hAnsi="宋体" w:eastAsia="宋体" w:cs="宋体"/>
          <w:highlight w:val="none"/>
        </w:rPr>
        <w:t>（一）供应商须知前附表</w:t>
      </w:r>
      <w:r>
        <w:rPr>
          <w:highlight w:val="none"/>
        </w:rPr>
        <w:tab/>
      </w:r>
      <w:r>
        <w:rPr>
          <w:highlight w:val="none"/>
        </w:rPr>
        <w:fldChar w:fldCharType="begin"/>
      </w:r>
      <w:r>
        <w:rPr>
          <w:highlight w:val="none"/>
        </w:rPr>
        <w:instrText xml:space="preserve"> PAGEREF _Toc7077 </w:instrText>
      </w:r>
      <w:r>
        <w:rPr>
          <w:highlight w:val="none"/>
        </w:rPr>
        <w:fldChar w:fldCharType="separate"/>
      </w:r>
      <w:r>
        <w:rPr>
          <w:highlight w:val="none"/>
        </w:rPr>
        <w:t>7</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_Toc24361 </w:instrText>
      </w:r>
      <w:r>
        <w:rPr>
          <w:rFonts w:hint="eastAsia" w:ascii="宋体" w:hAnsi="宋体" w:eastAsia="宋体" w:cs="宋体"/>
          <w:highlight w:val="none"/>
        </w:rPr>
        <w:fldChar w:fldCharType="separate"/>
      </w:r>
      <w:r>
        <w:rPr>
          <w:rFonts w:hint="eastAsia" w:ascii="宋体" w:hAnsi="宋体" w:eastAsia="宋体" w:cs="宋体"/>
          <w:highlight w:val="none"/>
        </w:rPr>
        <w:t>（二）供应商须知</w:t>
      </w:r>
      <w:r>
        <w:rPr>
          <w:highlight w:val="none"/>
        </w:rPr>
        <w:tab/>
      </w:r>
      <w:r>
        <w:rPr>
          <w:highlight w:val="none"/>
        </w:rPr>
        <w:fldChar w:fldCharType="begin"/>
      </w:r>
      <w:r>
        <w:rPr>
          <w:highlight w:val="none"/>
        </w:rPr>
        <w:instrText xml:space="preserve"> PAGEREF _Toc24361 </w:instrText>
      </w:r>
      <w:r>
        <w:rPr>
          <w:highlight w:val="none"/>
        </w:rPr>
        <w:fldChar w:fldCharType="separate"/>
      </w:r>
      <w:r>
        <w:rPr>
          <w:highlight w:val="none"/>
        </w:rPr>
        <w:t>12</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_Toc20516 </w:instrText>
      </w:r>
      <w:r>
        <w:rPr>
          <w:rFonts w:hint="eastAsia" w:ascii="宋体" w:hAnsi="宋体" w:eastAsia="宋体" w:cs="宋体"/>
          <w:highlight w:val="none"/>
        </w:rPr>
        <w:fldChar w:fldCharType="separate"/>
      </w:r>
      <w:r>
        <w:rPr>
          <w:rFonts w:hint="eastAsia" w:ascii="宋体" w:hAnsi="宋体" w:eastAsia="宋体" w:cs="宋体"/>
          <w:highlight w:val="none"/>
        </w:rPr>
        <w:t>（三）《竞争性磋商文件》</w:t>
      </w:r>
      <w:r>
        <w:rPr>
          <w:highlight w:val="none"/>
        </w:rPr>
        <w:tab/>
      </w:r>
      <w:r>
        <w:rPr>
          <w:highlight w:val="none"/>
        </w:rPr>
        <w:fldChar w:fldCharType="begin"/>
      </w:r>
      <w:r>
        <w:rPr>
          <w:highlight w:val="none"/>
        </w:rPr>
        <w:instrText xml:space="preserve"> PAGEREF _Toc20516 </w:instrText>
      </w:r>
      <w:r>
        <w:rPr>
          <w:highlight w:val="none"/>
        </w:rPr>
        <w:fldChar w:fldCharType="separate"/>
      </w:r>
      <w:r>
        <w:rPr>
          <w:highlight w:val="none"/>
        </w:rPr>
        <w:t>14</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_Toc8528 </w:instrText>
      </w:r>
      <w:r>
        <w:rPr>
          <w:rFonts w:hint="eastAsia" w:ascii="宋体" w:hAnsi="宋体" w:eastAsia="宋体" w:cs="宋体"/>
          <w:highlight w:val="none"/>
        </w:rPr>
        <w:fldChar w:fldCharType="separate"/>
      </w:r>
      <w:r>
        <w:rPr>
          <w:rFonts w:hint="eastAsia" w:ascii="宋体" w:hAnsi="宋体" w:eastAsia="宋体" w:cs="宋体"/>
          <w:highlight w:val="none"/>
        </w:rPr>
        <w:t>（四）《磋商响应性文件》的编制</w:t>
      </w:r>
      <w:r>
        <w:rPr>
          <w:highlight w:val="none"/>
        </w:rPr>
        <w:tab/>
      </w:r>
      <w:r>
        <w:rPr>
          <w:highlight w:val="none"/>
        </w:rPr>
        <w:fldChar w:fldCharType="begin"/>
      </w:r>
      <w:r>
        <w:rPr>
          <w:highlight w:val="none"/>
        </w:rPr>
        <w:instrText xml:space="preserve"> PAGEREF _Toc8528 </w:instrText>
      </w:r>
      <w:r>
        <w:rPr>
          <w:highlight w:val="none"/>
        </w:rPr>
        <w:fldChar w:fldCharType="separate"/>
      </w:r>
      <w:r>
        <w:rPr>
          <w:highlight w:val="none"/>
        </w:rPr>
        <w:t>15</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_Toc32099 </w:instrText>
      </w:r>
      <w:r>
        <w:rPr>
          <w:rFonts w:hint="eastAsia" w:ascii="宋体" w:hAnsi="宋体" w:eastAsia="宋体" w:cs="宋体"/>
          <w:highlight w:val="none"/>
        </w:rPr>
        <w:fldChar w:fldCharType="separate"/>
      </w:r>
      <w:r>
        <w:rPr>
          <w:rFonts w:hint="eastAsia" w:ascii="宋体" w:hAnsi="宋体" w:eastAsia="宋体" w:cs="宋体"/>
          <w:highlight w:val="none"/>
        </w:rPr>
        <w:t>（五）磋商响应性文件的提交及相关事项</w:t>
      </w:r>
      <w:r>
        <w:rPr>
          <w:highlight w:val="none"/>
        </w:rPr>
        <w:tab/>
      </w:r>
      <w:r>
        <w:rPr>
          <w:highlight w:val="none"/>
        </w:rPr>
        <w:fldChar w:fldCharType="begin"/>
      </w:r>
      <w:r>
        <w:rPr>
          <w:highlight w:val="none"/>
        </w:rPr>
        <w:instrText xml:space="preserve"> PAGEREF _Toc32099 </w:instrText>
      </w:r>
      <w:r>
        <w:rPr>
          <w:highlight w:val="none"/>
        </w:rPr>
        <w:fldChar w:fldCharType="separate"/>
      </w:r>
      <w:r>
        <w:rPr>
          <w:highlight w:val="none"/>
        </w:rPr>
        <w:t>20</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_Toc1690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r>
        <w:rPr>
          <w:highlight w:val="none"/>
        </w:rPr>
        <w:tab/>
      </w:r>
      <w:r>
        <w:rPr>
          <w:highlight w:val="none"/>
        </w:rPr>
        <w:fldChar w:fldCharType="begin"/>
      </w:r>
      <w:r>
        <w:rPr>
          <w:highlight w:val="none"/>
        </w:rPr>
        <w:instrText xml:space="preserve"> PAGEREF _Toc1690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_Toc11796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r>
        <w:rPr>
          <w:highlight w:val="none"/>
        </w:rPr>
        <w:tab/>
      </w:r>
      <w:r>
        <w:rPr>
          <w:highlight w:val="none"/>
        </w:rPr>
        <w:fldChar w:fldCharType="begin"/>
      </w:r>
      <w:r>
        <w:rPr>
          <w:highlight w:val="none"/>
        </w:rPr>
        <w:instrText xml:space="preserve"> PAGEREF _Toc11796 </w:instrText>
      </w:r>
      <w:r>
        <w:rPr>
          <w:highlight w:val="none"/>
        </w:rPr>
        <w:fldChar w:fldCharType="separate"/>
      </w:r>
      <w:r>
        <w:rPr>
          <w:highlight w:val="none"/>
        </w:rPr>
        <w:t>23</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_Toc23542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r>
        <w:rPr>
          <w:highlight w:val="none"/>
        </w:rPr>
        <w:tab/>
      </w:r>
      <w:r>
        <w:rPr>
          <w:highlight w:val="none"/>
        </w:rPr>
        <w:fldChar w:fldCharType="begin"/>
      </w:r>
      <w:r>
        <w:rPr>
          <w:highlight w:val="none"/>
        </w:rPr>
        <w:instrText xml:space="preserve"> PAGEREF _Toc23542 </w:instrText>
      </w:r>
      <w:r>
        <w:rPr>
          <w:highlight w:val="none"/>
        </w:rPr>
        <w:fldChar w:fldCharType="separate"/>
      </w:r>
      <w:r>
        <w:rPr>
          <w:highlight w:val="none"/>
        </w:rPr>
        <w:t>24</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_Toc23631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r>
        <w:rPr>
          <w:highlight w:val="none"/>
        </w:rPr>
        <w:tab/>
      </w:r>
      <w:r>
        <w:rPr>
          <w:highlight w:val="none"/>
        </w:rPr>
        <w:fldChar w:fldCharType="begin"/>
      </w:r>
      <w:r>
        <w:rPr>
          <w:highlight w:val="none"/>
        </w:rPr>
        <w:instrText xml:space="preserve"> PAGEREF _Toc23631 </w:instrText>
      </w:r>
      <w:r>
        <w:rPr>
          <w:highlight w:val="none"/>
        </w:rPr>
        <w:fldChar w:fldCharType="separate"/>
      </w:r>
      <w:r>
        <w:rPr>
          <w:highlight w:val="none"/>
        </w:rPr>
        <w:t>25</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_Toc6269 </w:instrText>
      </w:r>
      <w:r>
        <w:rPr>
          <w:rFonts w:hint="eastAsia" w:ascii="宋体" w:hAnsi="宋体" w:eastAsia="宋体" w:cs="宋体"/>
          <w:highlight w:val="none"/>
        </w:rPr>
        <w:fldChar w:fldCharType="separate"/>
      </w:r>
      <w:r>
        <w:rPr>
          <w:rFonts w:hint="eastAsia" w:ascii="宋体" w:hAnsi="宋体" w:eastAsia="宋体" w:cs="宋体"/>
          <w:highlight w:val="none"/>
        </w:rPr>
        <w:t>（十）纪律和监督</w:t>
      </w:r>
      <w:r>
        <w:rPr>
          <w:highlight w:val="none"/>
        </w:rPr>
        <w:tab/>
      </w:r>
      <w:r>
        <w:rPr>
          <w:highlight w:val="none"/>
        </w:rPr>
        <w:fldChar w:fldCharType="begin"/>
      </w:r>
      <w:r>
        <w:rPr>
          <w:highlight w:val="none"/>
        </w:rPr>
        <w:instrText xml:space="preserve"> PAGEREF _Toc6269 </w:instrText>
      </w:r>
      <w:r>
        <w:rPr>
          <w:highlight w:val="none"/>
        </w:rPr>
        <w:fldChar w:fldCharType="separate"/>
      </w:r>
      <w:r>
        <w:rPr>
          <w:highlight w:val="none"/>
        </w:rPr>
        <w:t>26</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_Toc23224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r>
        <w:rPr>
          <w:highlight w:val="none"/>
        </w:rPr>
        <w:tab/>
      </w:r>
      <w:r>
        <w:rPr>
          <w:highlight w:val="none"/>
        </w:rPr>
        <w:fldChar w:fldCharType="begin"/>
      </w:r>
      <w:r>
        <w:rPr>
          <w:highlight w:val="none"/>
        </w:rPr>
        <w:instrText xml:space="preserve"> PAGEREF _Toc23224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_Toc25703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r>
        <w:rPr>
          <w:highlight w:val="none"/>
        </w:rPr>
        <w:tab/>
      </w:r>
      <w:r>
        <w:rPr>
          <w:highlight w:val="none"/>
        </w:rPr>
        <w:fldChar w:fldCharType="begin"/>
      </w:r>
      <w:r>
        <w:rPr>
          <w:highlight w:val="none"/>
        </w:rPr>
        <w:instrText xml:space="preserve"> PAGEREF _Toc25703 </w:instrText>
      </w:r>
      <w:r>
        <w:rPr>
          <w:highlight w:val="none"/>
        </w:rPr>
        <w:fldChar w:fldCharType="separate"/>
      </w:r>
      <w:r>
        <w:rPr>
          <w:highlight w:val="none"/>
        </w:rPr>
        <w:t>29</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_Toc30761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r>
        <w:rPr>
          <w:highlight w:val="none"/>
        </w:rPr>
        <w:tab/>
      </w:r>
      <w:r>
        <w:rPr>
          <w:highlight w:val="none"/>
        </w:rPr>
        <w:fldChar w:fldCharType="begin"/>
      </w:r>
      <w:r>
        <w:rPr>
          <w:highlight w:val="none"/>
        </w:rPr>
        <w:instrText xml:space="preserve"> PAGEREF _Toc30761 </w:instrText>
      </w:r>
      <w:r>
        <w:rPr>
          <w:highlight w:val="none"/>
        </w:rPr>
        <w:fldChar w:fldCharType="separate"/>
      </w:r>
      <w:r>
        <w:rPr>
          <w:highlight w:val="none"/>
        </w:rPr>
        <w:t>29</w:t>
      </w:r>
      <w:r>
        <w:rPr>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_Toc1184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第三章</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rPr>
        <w:t>评标办法</w:t>
      </w:r>
      <w:r>
        <w:rPr>
          <w:highlight w:val="none"/>
        </w:rPr>
        <w:tab/>
      </w:r>
      <w:r>
        <w:rPr>
          <w:highlight w:val="none"/>
        </w:rPr>
        <w:fldChar w:fldCharType="begin"/>
      </w:r>
      <w:r>
        <w:rPr>
          <w:highlight w:val="none"/>
        </w:rPr>
        <w:instrText xml:space="preserve"> PAGEREF _Toc1184 </w:instrText>
      </w:r>
      <w:r>
        <w:rPr>
          <w:highlight w:val="none"/>
        </w:rPr>
        <w:fldChar w:fldCharType="separate"/>
      </w:r>
      <w:r>
        <w:rPr>
          <w:highlight w:val="none"/>
        </w:rPr>
        <w:t>32</w:t>
      </w:r>
      <w:r>
        <w:rPr>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_Toc14707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第四章 磋商内容</w:t>
      </w:r>
      <w:r>
        <w:rPr>
          <w:highlight w:val="none"/>
        </w:rPr>
        <w:tab/>
      </w:r>
      <w:r>
        <w:rPr>
          <w:highlight w:val="none"/>
        </w:rPr>
        <w:fldChar w:fldCharType="begin"/>
      </w:r>
      <w:r>
        <w:rPr>
          <w:highlight w:val="none"/>
        </w:rPr>
        <w:instrText xml:space="preserve"> PAGEREF _Toc14707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_Toc14342 </w:instrText>
      </w:r>
      <w:r>
        <w:rPr>
          <w:rFonts w:hint="eastAsia" w:ascii="宋体" w:hAnsi="宋体" w:eastAsia="宋体" w:cs="宋体"/>
          <w:highlight w:val="none"/>
        </w:rPr>
        <w:fldChar w:fldCharType="separate"/>
      </w:r>
      <w:r>
        <w:rPr>
          <w:rFonts w:hint="eastAsia" w:ascii="宋体" w:hAnsi="宋体" w:eastAsia="宋体" w:cs="宋体"/>
          <w:highlight w:val="none"/>
        </w:rPr>
        <w:t>第五章</w:t>
      </w:r>
      <w:r>
        <w:rPr>
          <w:rFonts w:hint="eastAsia" w:ascii="宋体" w:hAnsi="宋体" w:cs="宋体"/>
          <w:highlight w:val="none"/>
          <w:lang w:val="en-US" w:eastAsia="zh-CN"/>
        </w:rPr>
        <w:t xml:space="preserve"> </w:t>
      </w:r>
      <w:r>
        <w:rPr>
          <w:rFonts w:hint="eastAsia" w:ascii="宋体" w:hAnsi="宋体" w:eastAsia="宋体" w:cs="宋体"/>
          <w:highlight w:val="none"/>
        </w:rPr>
        <w:tab/>
      </w:r>
      <w:r>
        <w:rPr>
          <w:rFonts w:hint="eastAsia" w:ascii="宋体" w:hAnsi="宋体" w:eastAsia="宋体" w:cs="宋体"/>
          <w:highlight w:val="none"/>
        </w:rPr>
        <w:t>合同条款及合同格式</w:t>
      </w:r>
      <w:r>
        <w:rPr>
          <w:highlight w:val="none"/>
        </w:rPr>
        <w:tab/>
      </w:r>
      <w:r>
        <w:rPr>
          <w:highlight w:val="none"/>
        </w:rPr>
        <w:fldChar w:fldCharType="begin"/>
      </w:r>
      <w:r>
        <w:rPr>
          <w:highlight w:val="none"/>
        </w:rPr>
        <w:instrText xml:space="preserve"> PAGEREF _Toc14342 </w:instrText>
      </w:r>
      <w:r>
        <w:rPr>
          <w:highlight w:val="none"/>
        </w:rPr>
        <w:fldChar w:fldCharType="separate"/>
      </w:r>
      <w:r>
        <w:rPr>
          <w:highlight w:val="none"/>
        </w:rPr>
        <w:t>53</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_Toc8733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第六章</w:t>
      </w:r>
      <w:r>
        <w:rPr>
          <w:rFonts w:hint="eastAsia" w:ascii="宋体" w:hAnsi="宋体" w:eastAsia="宋体" w:cs="宋体"/>
          <w:spacing w:val="1"/>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磋商响应性文件格式</w:t>
      </w:r>
      <w:r>
        <w:rPr>
          <w:highlight w:val="none"/>
        </w:rPr>
        <w:tab/>
      </w:r>
      <w:r>
        <w:rPr>
          <w:highlight w:val="none"/>
        </w:rPr>
        <w:fldChar w:fldCharType="begin"/>
      </w:r>
      <w:r>
        <w:rPr>
          <w:highlight w:val="none"/>
        </w:rPr>
        <w:instrText xml:space="preserve"> PAGEREF _Toc8733 </w:instrText>
      </w:r>
      <w:r>
        <w:rPr>
          <w:highlight w:val="none"/>
        </w:rPr>
        <w:fldChar w:fldCharType="separate"/>
      </w:r>
      <w:r>
        <w:rPr>
          <w:highlight w:val="none"/>
        </w:rPr>
        <w:t>57</w:t>
      </w:r>
      <w:r>
        <w:rPr>
          <w:highlight w:val="none"/>
        </w:rPr>
        <w:fldChar w:fldCharType="end"/>
      </w:r>
      <w:r>
        <w:rPr>
          <w:rFonts w:hint="eastAsia" w:ascii="宋体" w:hAnsi="宋体" w:eastAsia="宋体" w:cs="宋体"/>
          <w:highlight w:val="none"/>
        </w:rPr>
        <w:fldChar w:fldCharType="end"/>
      </w:r>
    </w:p>
    <w:p>
      <w:pPr>
        <w:pStyle w:val="3"/>
        <w:rPr>
          <w:rFonts w:hint="eastAsia" w:ascii="宋体" w:hAnsi="宋体" w:eastAsia="宋体" w:cs="宋体"/>
          <w:highlight w:val="none"/>
        </w:rPr>
      </w:pPr>
      <w:r>
        <w:rPr>
          <w:rFonts w:hint="eastAsia" w:ascii="宋体" w:hAnsi="宋体" w:eastAsia="宋体" w:cs="宋体"/>
          <w:highlight w:val="none"/>
        </w:rPr>
        <w:fldChar w:fldCharType="end"/>
      </w:r>
      <w:bookmarkStart w:id="2" w:name="_Toc6155"/>
      <w:r>
        <w:rPr>
          <w:rFonts w:hint="eastAsia" w:ascii="宋体" w:hAnsi="宋体" w:eastAsia="宋体" w:cs="宋体"/>
          <w:highlight w:val="none"/>
        </w:rPr>
        <w:br w:type="page"/>
      </w:r>
      <w:r>
        <w:rPr>
          <w:rFonts w:hint="eastAsia" w:ascii="宋体" w:hAnsi="宋体" w:eastAsia="宋体" w:cs="宋体"/>
          <w:highlight w:val="none"/>
        </w:rPr>
        <w:t xml:space="preserve"> </w:t>
      </w:r>
      <w:r>
        <w:rPr>
          <w:rFonts w:hint="eastAsia" w:ascii="宋体" w:hAnsi="宋体" w:eastAsia="宋体" w:cs="宋体"/>
          <w:w w:val="95"/>
          <w:highlight w:val="none"/>
        </w:rPr>
        <w:t>第一章</w:t>
      </w:r>
      <w:r>
        <w:rPr>
          <w:rFonts w:hint="eastAsia" w:ascii="宋体" w:hAnsi="宋体" w:eastAsia="宋体" w:cs="宋体"/>
          <w:highlight w:val="none"/>
        </w:rPr>
        <w:t>投标邀请书</w:t>
      </w:r>
      <w:bookmarkEnd w:id="2"/>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bookmarkStart w:id="3" w:name="_Toc28359011"/>
      <w:bookmarkStart w:id="4" w:name="_Toc15730"/>
      <w:bookmarkStart w:id="5" w:name="_Toc35393797"/>
      <w:r>
        <w:rPr>
          <w:rFonts w:hint="eastAsia" w:ascii="华文中宋" w:hAnsi="华文中宋" w:eastAsia="华文中宋"/>
          <w:highlight w:val="none"/>
        </w:rPr>
        <w:t>竞争性磋商公告</w:t>
      </w:r>
      <w:bookmarkEnd w:id="3"/>
      <w:bookmarkEnd w:id="4"/>
      <w:bookmarkEnd w:id="5"/>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lang w:eastAsia="zh-CN"/>
        </w:rPr>
        <w:t>文旅项目管理平台及重点项目库采购项目</w:t>
      </w:r>
      <w:r>
        <w:rPr>
          <w:rFonts w:hint="eastAsia" w:ascii="宋体" w:hAnsi="宋体" w:eastAsia="宋体" w:cs="宋体"/>
          <w:sz w:val="28"/>
          <w:szCs w:val="28"/>
          <w:highlight w:val="none"/>
        </w:rPr>
        <w:t>采购项目的潜在供应商应在</w:t>
      </w:r>
      <w:r>
        <w:rPr>
          <w:rFonts w:hint="eastAsia" w:ascii="宋体" w:hAnsi="宋体" w:eastAsia="宋体" w:cs="宋体"/>
          <w:sz w:val="28"/>
          <w:szCs w:val="28"/>
          <w:highlight w:val="none"/>
          <w:u w:val="single"/>
        </w:rPr>
        <w:t>新疆维吾尔自治区乌鲁木齐市水磨沟区会展大道1119号大成尔雅生活广场第一栋第十八层A座1806号房</w:t>
      </w:r>
      <w:r>
        <w:rPr>
          <w:rFonts w:hint="eastAsia" w:ascii="宋体" w:hAnsi="宋体" w:eastAsia="宋体" w:cs="宋体"/>
          <w:sz w:val="28"/>
          <w:szCs w:val="28"/>
          <w:highlight w:val="none"/>
        </w:rPr>
        <w:t>获取采购文件，并于</w:t>
      </w:r>
      <w:r>
        <w:rPr>
          <w:rFonts w:hint="eastAsia" w:ascii="宋体" w:hAnsi="宋体" w:eastAsia="宋体" w:cs="宋体"/>
          <w:sz w:val="28"/>
          <w:szCs w:val="28"/>
          <w:highlight w:val="none"/>
          <w:u w:val="single"/>
          <w:lang w:val="en-US" w:eastAsia="zh-CN"/>
        </w:rPr>
        <w:t>2021</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10</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u w:val="single"/>
          <w:lang w:val="en-US" w:eastAsia="zh-CN"/>
        </w:rPr>
        <w:t>11</w:t>
      </w:r>
      <w:r>
        <w:rPr>
          <w:rFonts w:hint="eastAsia" w:ascii="宋体" w:hAnsi="宋体" w:eastAsia="宋体" w:cs="宋体"/>
          <w:sz w:val="28"/>
          <w:szCs w:val="28"/>
          <w:highlight w:val="none"/>
          <w:u w:val="single"/>
        </w:rPr>
        <w:t>点</w:t>
      </w:r>
      <w:r>
        <w:rPr>
          <w:rFonts w:hint="eastAsia" w:ascii="宋体" w:hAnsi="宋体" w:eastAsia="宋体" w:cs="宋体"/>
          <w:sz w:val="28"/>
          <w:szCs w:val="28"/>
          <w:highlight w:val="none"/>
          <w:u w:val="single"/>
          <w:lang w:val="en-US" w:eastAsia="zh-CN"/>
        </w:rPr>
        <w:t>00</w:t>
      </w:r>
      <w:r>
        <w:rPr>
          <w:rFonts w:hint="eastAsia" w:ascii="宋体" w:hAnsi="宋体" w:eastAsia="宋体" w:cs="宋体"/>
          <w:sz w:val="28"/>
          <w:szCs w:val="28"/>
          <w:highlight w:val="none"/>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highlight w:val="none"/>
        </w:rPr>
      </w:pPr>
    </w:p>
    <w:p>
      <w:pPr>
        <w:spacing w:line="360" w:lineRule="auto"/>
        <w:jc w:val="left"/>
        <w:outlineLvl w:val="9"/>
        <w:rPr>
          <w:rFonts w:ascii="黑体" w:hAnsi="黑体" w:cs="宋体"/>
          <w:b/>
          <w:bCs w:val="0"/>
          <w:sz w:val="28"/>
          <w:szCs w:val="28"/>
          <w:highlight w:val="none"/>
        </w:rPr>
      </w:pPr>
      <w:bookmarkStart w:id="6" w:name="_Toc35393798"/>
      <w:bookmarkStart w:id="7" w:name="_Toc28359012"/>
      <w:bookmarkStart w:id="8" w:name="_Toc28359089"/>
      <w:bookmarkStart w:id="9" w:name="_Toc35393629"/>
      <w:r>
        <w:rPr>
          <w:rFonts w:hint="eastAsia" w:ascii="黑体" w:hAnsi="黑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eastAsia="宋体" w:cs="宋体"/>
          <w:b w:val="0"/>
          <w:bCs w:val="0"/>
          <w:i w:val="0"/>
          <w:iCs w:val="0"/>
          <w:sz w:val="24"/>
          <w:szCs w:val="24"/>
          <w:highlight w:val="none"/>
          <w:lang w:val="en-US" w:eastAsia="zh-CN"/>
        </w:rPr>
        <w:t>XJXECWLMQ-20210</w:t>
      </w:r>
      <w:r>
        <w:rPr>
          <w:rFonts w:hint="eastAsia" w:ascii="宋体" w:hAnsi="宋体" w:cs="宋体"/>
          <w:b w:val="0"/>
          <w:bCs w:val="0"/>
          <w:i w:val="0"/>
          <w:iCs w:val="0"/>
          <w:sz w:val="24"/>
          <w:szCs w:val="24"/>
          <w:highlight w:val="none"/>
          <w:lang w:val="en-US" w:eastAsia="zh-CN"/>
        </w:rPr>
        <w:t>32</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cs="宋体"/>
          <w:b w:val="0"/>
          <w:bCs w:val="0"/>
          <w:i w:val="0"/>
          <w:iCs w:val="0"/>
          <w:sz w:val="24"/>
          <w:szCs w:val="24"/>
          <w:highlight w:val="none"/>
          <w:lang w:val="en-US" w:eastAsia="zh-CN"/>
        </w:rPr>
        <w:t>文旅项目管理平台及重点项目库采购项目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 xml:space="preserve">□竞争性谈判 </w:t>
      </w:r>
      <w:r>
        <w:rPr>
          <w:rFonts w:hint="eastAsia" w:ascii="宋体" w:hAnsi="宋体" w:eastAsia="宋体" w:cs="宋体"/>
          <w:b w:val="0"/>
          <w:bCs w:val="0"/>
          <w:i w:val="0"/>
          <w:iCs w:val="0"/>
          <w:sz w:val="24"/>
          <w:szCs w:val="24"/>
          <w:highlight w:val="none"/>
          <w:lang w:val="en-US" w:eastAsia="zh-CN"/>
        </w:rPr>
        <w:sym w:font="Wingdings 2" w:char="0052"/>
      </w:r>
      <w:r>
        <w:rPr>
          <w:rFonts w:hint="eastAsia" w:ascii="宋体" w:hAnsi="宋体" w:eastAsia="宋体" w:cs="宋体"/>
          <w:b w:val="0"/>
          <w:bCs w:val="0"/>
          <w:i w:val="0"/>
          <w:iCs w:val="0"/>
          <w:sz w:val="24"/>
          <w:szCs w:val="24"/>
          <w:highlight w:val="none"/>
          <w:lang w:val="en-US" w:eastAsia="zh-CN"/>
        </w:rPr>
        <w:t>竞争性磋商 □询价</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val="0"/>
          <w:bCs w:val="0"/>
          <w:i w:val="0"/>
          <w:iCs w:val="0"/>
          <w:sz w:val="24"/>
          <w:szCs w:val="24"/>
          <w:highlight w:val="none"/>
          <w:lang w:val="en-US" w:eastAsia="zh-CN"/>
        </w:rPr>
        <w:t>100.00万元</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最高限价：</w:t>
      </w:r>
      <w:r>
        <w:rPr>
          <w:rFonts w:hint="eastAsia" w:ascii="宋体" w:hAnsi="宋体" w:cs="宋体"/>
          <w:b w:val="0"/>
          <w:bCs w:val="0"/>
          <w:i w:val="0"/>
          <w:iCs w:val="0"/>
          <w:sz w:val="24"/>
          <w:szCs w:val="24"/>
          <w:highlight w:val="none"/>
          <w:lang w:val="en-US" w:eastAsia="zh-CN"/>
        </w:rPr>
        <w:t>100.00万元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cs="宋体"/>
          <w:b w:val="0"/>
          <w:bCs w:val="0"/>
          <w:i w:val="0"/>
          <w:iCs w:val="0"/>
          <w:sz w:val="24"/>
          <w:szCs w:val="24"/>
          <w:highlight w:val="none"/>
          <w:lang w:val="en-US" w:eastAsia="zh-CN"/>
        </w:rPr>
        <w:t>平台整体架构按照 “标准化、移动化、一体化”进行搭建，以项目管理，企业管理，数据分析为系统基础，在“管理、服务、监督”三个维度为部门工作提供支撑，通过移动端、PC 端为部门各层级用户提供移动化、智能化服务，实现招商工作的数字化管理</w:t>
      </w:r>
      <w:r>
        <w:rPr>
          <w:rFonts w:hint="eastAsia" w:ascii="宋体" w:hAnsi="宋体" w:eastAsia="宋体" w:cs="宋体"/>
          <w:b w:val="0"/>
          <w:bCs w:val="0"/>
          <w:i w:val="0"/>
          <w:iCs w:val="0"/>
          <w:sz w:val="24"/>
          <w:szCs w:val="24"/>
          <w:highlight w:val="none"/>
          <w:lang w:val="en-US" w:eastAsia="zh-CN"/>
        </w:rPr>
        <w:t>（详细说明见磋商文件）。</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合同履行期限：</w:t>
      </w:r>
      <w:r>
        <w:rPr>
          <w:rFonts w:hint="eastAsia" w:ascii="宋体" w:hAnsi="宋体" w:cs="宋体"/>
          <w:b w:val="0"/>
          <w:bCs w:val="0"/>
          <w:i w:val="0"/>
          <w:iCs w:val="0"/>
          <w:sz w:val="24"/>
          <w:szCs w:val="24"/>
          <w:highlight w:val="none"/>
          <w:lang w:val="en-US" w:eastAsia="zh-CN"/>
        </w:rPr>
        <w:t>签订合同后，截止到2021年11月31日前完成并验收合格</w:t>
      </w:r>
      <w:r>
        <w:rPr>
          <w:rFonts w:hint="eastAsia" w:ascii="宋体" w:hAnsi="宋体" w:eastAsia="宋体" w:cs="宋体"/>
          <w:b w:val="0"/>
          <w:bCs w:val="0"/>
          <w:i w:val="0"/>
          <w:iCs w:val="0"/>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9"/>
        <w:rPr>
          <w:rFonts w:ascii="黑体" w:hAnsi="黑体" w:cs="宋体"/>
          <w:b/>
          <w:bCs w:val="0"/>
          <w:sz w:val="28"/>
          <w:szCs w:val="28"/>
          <w:highlight w:val="none"/>
        </w:rPr>
      </w:pPr>
      <w:bookmarkStart w:id="10" w:name="_Toc28359090"/>
      <w:bookmarkStart w:id="11" w:name="_Toc28359013"/>
      <w:bookmarkStart w:id="12" w:name="_Toc35393630"/>
      <w:bookmarkStart w:id="13" w:name="_Toc35393799"/>
      <w:r>
        <w:rPr>
          <w:rFonts w:hint="eastAsia" w:ascii="黑体" w:hAnsi="黑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4" w:name="_Toc28359091"/>
      <w:bookmarkStart w:id="15" w:name="_Toc35393631"/>
      <w:bookmarkStart w:id="16" w:name="_Toc28359014"/>
      <w:bookmarkStart w:id="17" w:name="_Toc35393800"/>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具有履行合同所必需的专业技术能力，能够按时保质保量地完成布展工作任务；</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default" w:ascii="宋体" w:hAnsi="宋体" w:eastAsia="宋体" w:cs="宋体"/>
          <w:i w:val="0"/>
          <w:iCs w:val="0"/>
          <w:sz w:val="24"/>
          <w:szCs w:val="24"/>
          <w:highlight w:val="none"/>
          <w:u w:val="none"/>
          <w:lang w:val="en-US" w:eastAsia="zh-CN"/>
        </w:rPr>
      </w:pPr>
      <w:r>
        <w:rPr>
          <w:rFonts w:hint="eastAsia" w:ascii="宋体" w:hAnsi="宋体" w:eastAsia="宋体" w:cs="宋体"/>
          <w:i w:val="0"/>
          <w:iCs w:val="0"/>
          <w:sz w:val="24"/>
          <w:szCs w:val="24"/>
          <w:highlight w:val="none"/>
          <w:u w:val="none"/>
        </w:rPr>
        <w:t>（</w:t>
      </w:r>
      <w:r>
        <w:rPr>
          <w:rFonts w:hint="eastAsia" w:ascii="宋体" w:hAnsi="宋体" w:eastAsia="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rPr>
        <w:t>）</w:t>
      </w:r>
      <w:r>
        <w:rPr>
          <w:rFonts w:hint="eastAsia" w:ascii="宋体" w:hAnsi="宋体"/>
          <w:bCs/>
          <w:sz w:val="24"/>
          <w:szCs w:val="24"/>
          <w:highlight w:val="none"/>
          <w:lang w:eastAsia="zh-CN"/>
        </w:rPr>
        <w:t>供应商</w:t>
      </w:r>
      <w:r>
        <w:rPr>
          <w:rFonts w:hint="eastAsia" w:ascii="宋体" w:hAnsi="宋体"/>
          <w:bCs/>
          <w:sz w:val="24"/>
          <w:szCs w:val="24"/>
          <w:highlight w:val="none"/>
        </w:rPr>
        <w:t>需在中华人民共和国境内注册，具有</w:t>
      </w:r>
      <w:r>
        <w:rPr>
          <w:rFonts w:hint="eastAsia" w:ascii="宋体" w:hAnsi="宋体" w:cs="宋体"/>
          <w:bCs/>
          <w:sz w:val="24"/>
          <w:szCs w:val="24"/>
          <w:highlight w:val="none"/>
        </w:rPr>
        <w:t>信誉良好的</w:t>
      </w:r>
      <w:r>
        <w:rPr>
          <w:rFonts w:hint="eastAsia" w:ascii="宋体" w:hAnsi="宋体"/>
          <w:bCs/>
          <w:sz w:val="24"/>
          <w:szCs w:val="24"/>
          <w:highlight w:val="none"/>
        </w:rPr>
        <w:t>独立法人资格，</w:t>
      </w:r>
      <w:r>
        <w:rPr>
          <w:rFonts w:hint="eastAsia" w:ascii="宋体" w:hAnsi="宋体" w:cs="宋体"/>
          <w:bCs/>
          <w:sz w:val="24"/>
          <w:szCs w:val="24"/>
          <w:highlight w:val="none"/>
        </w:rPr>
        <w:t>事业单位法人证书或工商营业执照通过年检合格有效</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加盖投标人公章为准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9"/>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4"/>
      <w:bookmarkEnd w:id="15"/>
      <w:bookmarkEnd w:id="16"/>
      <w:bookmarkEnd w:id="17"/>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10:00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13:30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19</w:t>
      </w:r>
      <w:r>
        <w:rPr>
          <w:rFonts w:hint="eastAsia" w:ascii="宋体" w:hAnsi="宋体" w:eastAsia="宋体" w:cs="宋体"/>
          <w:i w:val="0"/>
          <w:iCs w:val="0"/>
          <w:sz w:val="24"/>
          <w:szCs w:val="24"/>
          <w:highlight w:val="none"/>
          <w:u w:val="single"/>
          <w:lang w:val="en-US" w:eastAsia="zh-CN"/>
        </w:rPr>
        <w:t>:30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eastAsia="宋体" w:cs="宋体"/>
          <w:i w:val="0"/>
          <w:iCs w:val="0"/>
          <w:sz w:val="24"/>
          <w:szCs w:val="24"/>
          <w:highlight w:val="none"/>
          <w:lang w:eastAsia="zh-CN"/>
        </w:rPr>
      </w:pPr>
      <w:r>
        <w:rPr>
          <w:rFonts w:hint="eastAsia" w:ascii="宋体" w:hAnsi="宋体" w:eastAsia="宋体" w:cs="宋体"/>
          <w:b/>
          <w:bCs/>
          <w:sz w:val="24"/>
          <w:szCs w:val="24"/>
          <w:highlight w:val="none"/>
        </w:rPr>
        <w:t>地点：</w:t>
      </w:r>
      <w:r>
        <w:rPr>
          <w:rFonts w:hint="eastAsia" w:ascii="宋体" w:hAnsi="宋体" w:eastAsia="宋体" w:cs="宋体"/>
          <w:i w:val="0"/>
          <w:iCs w:val="0"/>
          <w:sz w:val="24"/>
          <w:szCs w:val="24"/>
          <w:highlight w:val="none"/>
        </w:rPr>
        <w:t>新疆乌鲁木齐市水磨沟区会展大道1119号大成尔雅第一栋第十八层A座1806号房</w:t>
      </w:r>
    </w:p>
    <w:p>
      <w:pPr>
        <w:spacing w:line="360" w:lineRule="auto"/>
        <w:ind w:firstLine="540"/>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eastAsia="宋体" w:cs="宋体"/>
          <w:i w:val="0"/>
          <w:iCs w:val="0"/>
          <w:color w:val="auto"/>
          <w:sz w:val="24"/>
          <w:szCs w:val="24"/>
          <w:highlight w:val="none"/>
        </w:rPr>
        <w:t>原件（能通过互联网或者相关信息系统查询的信息除外）查验、加盖公章的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s="宋体"/>
          <w:i w:val="0"/>
          <w:iCs w:val="0"/>
          <w:sz w:val="24"/>
          <w:szCs w:val="24"/>
          <w:highlight w:val="none"/>
          <w:u w:val="none"/>
          <w:lang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特定资格：</w:t>
      </w:r>
      <w:r>
        <w:rPr>
          <w:rFonts w:hint="eastAsia" w:ascii="宋体" w:hAnsi="宋体" w:cs="宋体"/>
          <w:color w:val="auto"/>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4</w:t>
      </w:r>
      <w:r>
        <w:rPr>
          <w:rFonts w:hint="eastAsia" w:ascii="宋体" w:hAnsi="宋体" w:eastAsia="宋体" w:cs="宋体"/>
          <w:i w:val="0"/>
          <w:iCs w:val="0"/>
          <w:sz w:val="24"/>
          <w:szCs w:val="24"/>
          <w:highlight w:val="none"/>
        </w:rPr>
        <w:t>）社会保障资金缴纳证明：供应商提供近半年内已缴存的至少一个月的社会保障资金缴存单据或社保机构开具的社会保险参保缴费情况证明，依法不需要缴纳社会保障资金的供应商应提供相关文件证明；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）税收缴纳证明：供应商提供近半年内已缴纳的至少一个月的纳税证明或完税证明，纳税证明或完税证明上应有代收机构或税务机关的公章，依法免税的供应商应提供相关文件证明；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7</w:t>
      </w:r>
      <w:r>
        <w:rPr>
          <w:rFonts w:hint="eastAsia" w:ascii="宋体" w:hAnsi="宋体" w:eastAsia="宋体" w:cs="宋体"/>
          <w:i w:val="0"/>
          <w:iCs w:val="0"/>
          <w:sz w:val="24"/>
          <w:szCs w:val="24"/>
          <w:highlight w:val="none"/>
        </w:rPr>
        <w:t>）供应商应具备良好的商业信誉，提供参加政府采购活动前3年内在经营活动中没有重大违法记录的书面声明；</w:t>
      </w:r>
    </w:p>
    <w:p>
      <w:pPr>
        <w:pageBreakBefore w:val="0"/>
        <w:widowControl w:val="0"/>
        <w:kinsoku/>
        <w:wordWrap/>
        <w:overflowPunct/>
        <w:topLinePunct w:val="0"/>
        <w:bidi w:val="0"/>
        <w:snapToGrid/>
        <w:spacing w:line="360" w:lineRule="auto"/>
        <w:ind w:left="0" w:leftChars="0" w:firstLine="480" w:firstLineChars="200"/>
        <w:textAlignment w:val="auto"/>
        <w:rPr>
          <w:rFonts w:ascii="仿宋" w:hAnsi="仿宋" w:eastAsia="仿宋" w:cs="宋体"/>
          <w:sz w:val="28"/>
          <w:szCs w:val="28"/>
          <w:highlight w:val="none"/>
          <w:u w:val="singl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8</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00元/本，逾期不售、售后不退。</w:t>
      </w:r>
    </w:p>
    <w:p>
      <w:pPr>
        <w:spacing w:line="360" w:lineRule="auto"/>
        <w:jc w:val="left"/>
        <w:outlineLvl w:val="9"/>
        <w:rPr>
          <w:rFonts w:ascii="黑体" w:hAnsi="黑体" w:cs="宋体"/>
          <w:b/>
          <w:bCs w:val="0"/>
          <w:sz w:val="28"/>
          <w:szCs w:val="28"/>
          <w:highlight w:val="none"/>
        </w:rPr>
      </w:pPr>
      <w:bookmarkStart w:id="18" w:name="_Toc28359015"/>
      <w:bookmarkStart w:id="19" w:name="_Toc28359092"/>
      <w:bookmarkStart w:id="20" w:name="_Toc35393801"/>
      <w:bookmarkStart w:id="21" w:name="_Toc35393632"/>
      <w:r>
        <w:rPr>
          <w:rFonts w:hint="eastAsia" w:ascii="黑体" w:hAnsi="黑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none"/>
          <w:u w:val="single"/>
          <w:lang w:val="en-US" w:eastAsia="zh-CN"/>
        </w:rPr>
        <w:t>11</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ascii="仿宋" w:hAnsi="仿宋" w:eastAsia="仿宋"/>
          <w:bCs/>
          <w:sz w:val="28"/>
          <w:szCs w:val="28"/>
          <w:highlight w:val="none"/>
          <w:u w:val="single"/>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u w:val="none"/>
          <w:lang w:val="en-US" w:eastAsia="zh-CN"/>
        </w:rPr>
        <w:t xml:space="preserve"> 新疆乌鲁木齐市水磨沟区会展大道1119号大成尔雅B座（乌鲁木齐晚报大厦）七楼70</w:t>
      </w:r>
      <w:r>
        <w:rPr>
          <w:rFonts w:hint="eastAsia" w:ascii="宋体" w:hAnsi="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lang w:val="en-US" w:eastAsia="zh-CN"/>
        </w:rPr>
        <w:t>号房</w:t>
      </w:r>
    </w:p>
    <w:p>
      <w:pPr>
        <w:spacing w:line="360" w:lineRule="auto"/>
        <w:jc w:val="both"/>
        <w:outlineLvl w:val="9"/>
        <w:rPr>
          <w:rFonts w:ascii="黑体" w:hAnsi="黑体" w:cs="宋体"/>
          <w:b/>
          <w:bCs w:val="0"/>
          <w:sz w:val="28"/>
          <w:szCs w:val="28"/>
          <w:highlight w:val="none"/>
        </w:rPr>
      </w:pPr>
      <w:bookmarkStart w:id="22" w:name="_Toc35393802"/>
      <w:bookmarkStart w:id="23" w:name="_Toc28359093"/>
      <w:bookmarkStart w:id="24" w:name="_Toc28359016"/>
      <w:bookmarkStart w:id="25" w:name="_Toc35393633"/>
      <w:r>
        <w:rPr>
          <w:rFonts w:hint="eastAsia" w:ascii="黑体" w:hAnsi="黑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28359017"/>
      <w:bookmarkStart w:id="27" w:name="_Toc35393634"/>
      <w:bookmarkStart w:id="28" w:name="_Toc28359094"/>
      <w:bookmarkStart w:id="29" w:name="_Toc35393803"/>
      <w:r>
        <w:rPr>
          <w:rFonts w:hint="eastAsia" w:ascii="宋体" w:hAnsi="宋体" w:eastAsia="宋体" w:cs="宋体"/>
          <w:b/>
          <w:bCs/>
          <w:i w:val="0"/>
          <w:iCs w:val="0"/>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none"/>
          <w:u w:val="single"/>
          <w:lang w:val="en-US" w:eastAsia="zh-CN"/>
        </w:rPr>
        <w:t>1</w:t>
      </w:r>
      <w:r>
        <w:rPr>
          <w:rFonts w:hint="eastAsia" w:ascii="宋体" w:hAnsi="宋体" w:cs="宋体"/>
          <w:bCs/>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u w:val="none"/>
          <w:lang w:val="en-US" w:eastAsia="zh-CN"/>
        </w:rPr>
        <w:t xml:space="preserve"> 新疆乌鲁木齐市水磨沟区会展大道1119号大成尔雅B座（乌鲁木齐晚报大厦）七楼70</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lang w:val="en-US" w:eastAsia="zh-CN"/>
        </w:rPr>
        <w:t>号房</w:t>
      </w:r>
    </w:p>
    <w:p>
      <w:pPr>
        <w:spacing w:line="360" w:lineRule="auto"/>
        <w:jc w:val="both"/>
        <w:outlineLvl w:val="9"/>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spacing w:line="360" w:lineRule="auto"/>
        <w:jc w:val="both"/>
        <w:outlineLvl w:val="9"/>
        <w:rPr>
          <w:rFonts w:hint="eastAsia" w:ascii="宋体" w:hAnsi="宋体" w:eastAsia="宋体" w:cs="宋体"/>
          <w:b w:val="0"/>
          <w:bCs w:val="0"/>
          <w:i w:val="0"/>
          <w:iCs w:val="0"/>
          <w:kern w:val="2"/>
          <w:sz w:val="24"/>
          <w:szCs w:val="24"/>
          <w:highlight w:val="none"/>
          <w:u w:val="none"/>
          <w:lang w:val="en-US" w:eastAsia="zh-CN" w:bidi="ar-SA"/>
        </w:rPr>
      </w:pPr>
      <w:bookmarkStart w:id="30" w:name="_Toc35393804"/>
      <w:bookmarkStart w:id="31" w:name="_Toc35393635"/>
      <w:r>
        <w:rPr>
          <w:rFonts w:hint="eastAsia" w:ascii="黑体" w:hAnsi="黑体" w:cs="宋体"/>
          <w:b/>
          <w:bCs w:val="0"/>
          <w:sz w:val="28"/>
          <w:szCs w:val="28"/>
          <w:highlight w:val="none"/>
          <w:lang w:val="en-US" w:eastAsia="zh-CN"/>
        </w:rPr>
        <w:t>七、其他补充事宜</w:t>
      </w:r>
      <w:bookmarkEnd w:id="30"/>
      <w:bookmarkEnd w:id="31"/>
      <w:r>
        <w:rPr>
          <w:rFonts w:hint="eastAsia" w:ascii="黑体" w:hAnsi="黑体" w:cs="宋体"/>
          <w:b/>
          <w:bCs w:val="0"/>
          <w:sz w:val="28"/>
          <w:szCs w:val="28"/>
          <w:highlight w:val="none"/>
          <w:lang w:val="en-US" w:eastAsia="zh-CN"/>
        </w:rPr>
        <w:t xml:space="preserve">  </w:t>
      </w: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9"/>
        <w:rPr>
          <w:rFonts w:ascii="黑体" w:hAnsi="黑体" w:cs="宋体"/>
          <w:b/>
          <w:bCs w:val="0"/>
          <w:sz w:val="28"/>
          <w:szCs w:val="28"/>
          <w:highlight w:val="none"/>
        </w:rPr>
      </w:pPr>
      <w:bookmarkStart w:id="32" w:name="_Toc35393636"/>
      <w:bookmarkStart w:id="33" w:name="_Toc35393805"/>
      <w:bookmarkStart w:id="34" w:name="_Toc28359095"/>
      <w:bookmarkStart w:id="35" w:name="_Toc28359018"/>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2"/>
      <w:bookmarkEnd w:id="33"/>
      <w:bookmarkEnd w:id="34"/>
      <w:bookmarkEnd w:id="35"/>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36" w:name="_Toc35393637"/>
      <w:bookmarkStart w:id="37" w:name="_Toc35393806"/>
      <w:bookmarkStart w:id="38" w:name="_Toc28359096"/>
      <w:bookmarkStart w:id="39" w:name="_Toc28359019"/>
      <w:r>
        <w:rPr>
          <w:rFonts w:hint="eastAsia" w:asciiTheme="minorEastAsia" w:hAnsiTheme="minorEastAsia" w:eastAsiaTheme="minorEastAsia" w:cstheme="minorEastAsia"/>
          <w:b w:val="0"/>
          <w:i w:val="0"/>
          <w:iCs w:val="0"/>
          <w:color w:val="auto"/>
          <w:sz w:val="24"/>
          <w:szCs w:val="24"/>
          <w:highlight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rPr>
        <w:t>新疆维吾尔自治区文化和旅游厅</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val="en-US" w:eastAsia="zh-CN"/>
        </w:rPr>
        <w:t>乌鲁木齐市金银路143号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汤文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lang w:val="en-US" w:eastAsia="zh-CN"/>
        </w:rPr>
        <w:t>(0991) 8808955</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40" w:name="_Toc35393807"/>
      <w:bookmarkStart w:id="41" w:name="_Toc35393638"/>
      <w:bookmarkStart w:id="42" w:name="_Toc28359097"/>
      <w:bookmarkStart w:id="43" w:name="_Toc28359020"/>
      <w:r>
        <w:rPr>
          <w:rFonts w:hint="eastAsia" w:asciiTheme="minorEastAsia" w:hAnsiTheme="minorEastAsia" w:eastAsiaTheme="minorEastAsia" w:cstheme="minorEastAsia"/>
          <w:b w:val="0"/>
          <w:i w:val="0"/>
          <w:iCs w:val="0"/>
          <w:color w:val="auto"/>
          <w:sz w:val="24"/>
          <w:szCs w:val="24"/>
          <w:highlight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rPr>
        <w:t>新疆信尔成工程项目管理有限公司</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rPr>
        <w:t>新疆乌鲁木齐市水磨沟区会展大道1119号大成尔雅第一栋第十八层A座1806号房</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张玉伟      </w:t>
      </w:r>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rPr>
        <w:t xml:space="preserve">18140907575 </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r>
        <w:rPr>
          <w:rFonts w:hint="eastAsia" w:asciiTheme="minorEastAsia" w:hAnsiTheme="minorEastAsia" w:eastAsiaTheme="minorEastAsia" w:cstheme="minorEastAsia"/>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项目联系人：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张玉伟    </w:t>
      </w:r>
    </w:p>
    <w:p>
      <w:pPr>
        <w:spacing w:line="360" w:lineRule="auto"/>
        <w:ind w:firstLine="480" w:firstLineChars="20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rPr>
        <w:t>18140907575</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3"/>
        <w:rPr>
          <w:rFonts w:hint="eastAsia" w:ascii="宋体" w:hAnsi="宋体" w:eastAsia="宋体" w:cs="宋体"/>
          <w:highlight w:val="none"/>
        </w:rPr>
      </w:pPr>
      <w:r>
        <w:rPr>
          <w:rFonts w:hint="eastAsia" w:ascii="宋体" w:hAnsi="宋体" w:eastAsia="宋体" w:cs="宋体"/>
          <w:w w:val="95"/>
          <w:highlight w:val="none"/>
        </w:rPr>
        <w:t>第</w:t>
      </w:r>
      <w:bookmarkStart w:id="45" w:name="（一）供应商须知前附表"/>
      <w:bookmarkEnd w:id="45"/>
      <w:bookmarkStart w:id="46" w:name="bookmark2"/>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4"/>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noWrap w:val="0"/>
            <w:vAlign w:val="top"/>
          </w:tcPr>
          <w:p>
            <w:pPr>
              <w:pStyle w:val="21"/>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noWrap w:val="0"/>
            <w:vAlign w:val="top"/>
          </w:tcPr>
          <w:p>
            <w:pPr>
              <w:pStyle w:val="21"/>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noWrap w:val="0"/>
            <w:vAlign w:val="top"/>
          </w:tcPr>
          <w:p>
            <w:pPr>
              <w:pStyle w:val="21"/>
              <w:kinsoku w:val="0"/>
              <w:overflowPunct w:val="0"/>
              <w:spacing w:before="57"/>
              <w:ind w:left="102"/>
              <w:rPr>
                <w:rFonts w:hint="eastAsia" w:ascii="宋体" w:hAnsi="宋体" w:eastAsia="宋体" w:cs="宋体"/>
                <w:b/>
                <w:bCs/>
                <w:highlight w:val="none"/>
              </w:rPr>
            </w:pPr>
            <w:r>
              <w:rPr>
                <w:rFonts w:hint="eastAsia" w:ascii="宋体" w:hAnsi="宋体" w:eastAsia="宋体" w:cs="宋体"/>
                <w:b/>
                <w:bCs/>
                <w:highlight w:val="none"/>
              </w:rPr>
              <w:t>采 购 人：</w:t>
            </w:r>
            <w:r>
              <w:rPr>
                <w:rFonts w:hint="eastAsia" w:asciiTheme="minorEastAsia" w:hAnsiTheme="minorEastAsia" w:eastAsiaTheme="minorEastAsia" w:cstheme="minorEastAsia"/>
                <w:i w:val="0"/>
                <w:iCs w:val="0"/>
                <w:color w:val="auto"/>
                <w:sz w:val="24"/>
                <w:szCs w:val="24"/>
                <w:highlight w:val="none"/>
                <w:u w:val="none"/>
              </w:rPr>
              <w:t>新疆维吾尔自治区文化和旅游厅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21"/>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宋体" w:hAnsi="宋体" w:eastAsia="宋体" w:cs="宋体"/>
                <w:bCs/>
                <w:szCs w:val="21"/>
                <w:highlight w:val="none"/>
                <w:u w:val="none"/>
              </w:rPr>
              <w:t xml:space="preserve">乌鲁木齐市金银路143号  </w:t>
            </w:r>
          </w:p>
          <w:p>
            <w:pPr>
              <w:pStyle w:val="21"/>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汤文 </w:t>
            </w:r>
          </w:p>
          <w:p>
            <w:pPr>
              <w:pStyle w:val="21"/>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21"/>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1"/>
              <w:kinsoku w:val="0"/>
              <w:overflowPunct w:val="0"/>
              <w:spacing w:before="57"/>
              <w:ind w:left="102"/>
              <w:rPr>
                <w:rFonts w:hint="default"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lang w:val="en-US" w:eastAsia="zh-CN"/>
              </w:rPr>
              <w:t>(0991)8808955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noWrap w:val="0"/>
            <w:vAlign w:val="top"/>
          </w:tcPr>
          <w:p>
            <w:pPr>
              <w:pStyle w:val="21"/>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代理机构：</w:t>
            </w:r>
            <w:r>
              <w:rPr>
                <w:rFonts w:hint="eastAsia" w:ascii="宋体" w:hAnsi="宋体" w:eastAsia="宋体" w:cs="宋体"/>
                <w:highlight w:val="none"/>
              </w:rPr>
              <w:t>新疆信尔成工程项目管理有限公司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exact"/>
          <w:jc w:val="center"/>
        </w:trPr>
        <w:tc>
          <w:tcPr>
            <w:tcW w:w="672" w:type="dxa"/>
            <w:vMerge w:val="continue"/>
            <w:noWrap w:val="0"/>
            <w:vAlign w:val="center"/>
          </w:tcPr>
          <w:p>
            <w:pPr>
              <w:pStyle w:val="21"/>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eastAsia="宋体" w:cs="宋体"/>
                <w:highlight w:val="none"/>
              </w:rPr>
              <w:t>新疆维吾尔自治区乌鲁木齐市水磨沟区会展大道1119号大成尔雅生活广场第一栋第十八层A座1806号房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1"/>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张玉伟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1"/>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1"/>
              <w:kinsoku w:val="0"/>
              <w:overflowPunct w:val="0"/>
              <w:spacing w:before="56"/>
              <w:ind w:left="102"/>
              <w:rPr>
                <w:rFonts w:hint="default"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eastAsia="宋体" w:cs="宋体"/>
                <w:highlight w:val="none"/>
              </w:rPr>
              <w:t>1</w:t>
            </w:r>
            <w:r>
              <w:rPr>
                <w:rFonts w:hint="eastAsia" w:ascii="宋体" w:hAnsi="宋体" w:cs="宋体"/>
                <w:highlight w:val="none"/>
                <w:lang w:val="en-US" w:eastAsia="zh-CN"/>
              </w:rPr>
              <w:t>8140907575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noWrap w:val="0"/>
            <w:vAlign w:val="top"/>
          </w:tcPr>
          <w:p>
            <w:pPr>
              <w:pStyle w:val="21"/>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exact"/>
          <w:jc w:val="center"/>
        </w:trPr>
        <w:tc>
          <w:tcPr>
            <w:tcW w:w="672" w:type="dxa"/>
            <w:vMerge w:val="continue"/>
            <w:noWrap w:val="0"/>
            <w:vAlign w:val="center"/>
          </w:tcPr>
          <w:p>
            <w:pPr>
              <w:pStyle w:val="21"/>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16" w:line="320" w:lineRule="auto"/>
              <w:ind w:left="1788" w:leftChars="48" w:right="77" w:hanging="1687" w:hangingChars="700"/>
              <w:rPr>
                <w:rFonts w:hint="eastAsia" w:ascii="宋体" w:hAnsi="宋体" w:eastAsia="宋体" w:cs="宋体"/>
                <w:b/>
                <w:bCs/>
                <w:w w:val="95"/>
                <w:highlight w:val="none"/>
              </w:rPr>
            </w:pPr>
            <w:r>
              <w:rPr>
                <w:rFonts w:hint="eastAsia" w:ascii="宋体" w:hAnsi="宋体" w:eastAsia="宋体" w:cs="宋体"/>
                <w:b/>
                <w:bCs/>
                <w:highlight w:val="none"/>
              </w:rPr>
              <w:t>1、项目名称：</w:t>
            </w:r>
            <w:r>
              <w:rPr>
                <w:rFonts w:hint="eastAsia" w:ascii="宋体" w:hAnsi="宋体" w:cs="宋体"/>
                <w:highlight w:val="none"/>
                <w:lang w:eastAsia="zh-CN"/>
              </w:rPr>
              <w:t>文旅项目管理平台及重点项目库采购项目</w:t>
            </w:r>
            <w:r>
              <w:rPr>
                <w:rFonts w:hint="eastAsia" w:ascii="宋体" w:hAnsi="宋体" w:eastAsia="宋体" w:cs="宋体"/>
                <w:b/>
                <w:bCs/>
                <w:w w:val="95"/>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21"/>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noWrap w:val="0"/>
            <w:vAlign w:val="top"/>
          </w:tcPr>
          <w:p>
            <w:pPr>
              <w:pStyle w:val="21"/>
              <w:kinsoku w:val="0"/>
              <w:overflowPunct w:val="0"/>
              <w:spacing w:before="16"/>
              <w:ind w:left="102"/>
              <w:rPr>
                <w:rFonts w:hint="default" w:ascii="宋体" w:hAnsi="宋体" w:eastAsia="宋体" w:cs="宋体"/>
                <w:highlight w:val="none"/>
                <w:lang w:val="en-US"/>
              </w:rPr>
            </w:pPr>
            <w:r>
              <w:rPr>
                <w:rFonts w:hint="eastAsia" w:ascii="宋体" w:hAnsi="宋体" w:eastAsia="宋体" w:cs="宋体"/>
                <w:b/>
                <w:bCs/>
                <w:highlight w:val="none"/>
              </w:rPr>
              <w:t>2、磋商文件编号：</w:t>
            </w:r>
            <w:r>
              <w:rPr>
                <w:rFonts w:hint="eastAsia" w:ascii="宋体" w:hAnsi="宋体" w:eastAsia="宋体" w:cs="宋体"/>
                <w:b w:val="0"/>
                <w:bCs w:val="0"/>
                <w:i w:val="0"/>
                <w:iCs w:val="0"/>
                <w:sz w:val="24"/>
                <w:szCs w:val="24"/>
                <w:highlight w:val="none"/>
                <w:lang w:val="en-US" w:eastAsia="zh-CN"/>
              </w:rPr>
              <w:t>XJXECWLMQ-20210</w:t>
            </w:r>
            <w:r>
              <w:rPr>
                <w:rFonts w:hint="eastAsia" w:ascii="宋体" w:hAnsi="宋体" w:cs="宋体"/>
                <w:b w:val="0"/>
                <w:bCs w:val="0"/>
                <w:i w:val="0"/>
                <w:iCs w:val="0"/>
                <w:sz w:val="24"/>
                <w:szCs w:val="24"/>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4</w:t>
            </w:r>
          </w:p>
        </w:tc>
        <w:tc>
          <w:tcPr>
            <w:tcW w:w="8475" w:type="dxa"/>
            <w:noWrap w:val="0"/>
            <w:vAlign w:val="top"/>
          </w:tcPr>
          <w:p>
            <w:pPr>
              <w:pStyle w:val="21"/>
              <w:kinsoku w:val="0"/>
              <w:overflowPunct w:val="0"/>
              <w:spacing w:line="276" w:lineRule="exact"/>
              <w:ind w:left="102"/>
              <w:rPr>
                <w:rFonts w:hint="eastAsia" w:ascii="宋体" w:hAnsi="宋体" w:eastAsia="宋体" w:cs="宋体"/>
                <w:highlight w:val="none"/>
              </w:rPr>
            </w:pPr>
            <w:r>
              <w:rPr>
                <w:rFonts w:hint="eastAsia" w:ascii="宋体" w:hAnsi="宋体" w:eastAsia="宋体" w:cs="宋体"/>
                <w:b/>
                <w:bCs/>
                <w:highlight w:val="none"/>
              </w:rPr>
              <w:t>磋商内容：</w:t>
            </w:r>
          </w:p>
          <w:p>
            <w:pPr>
              <w:pStyle w:val="21"/>
              <w:kinsoku w:val="0"/>
              <w:overflowPunct w:val="0"/>
              <w:spacing w:before="8"/>
              <w:ind w:left="102"/>
              <w:rPr>
                <w:rFonts w:hint="eastAsia" w:ascii="宋体" w:hAnsi="宋体" w:eastAsia="宋体" w:cs="宋体"/>
                <w:highlight w:val="none"/>
              </w:rPr>
            </w:pPr>
            <w:r>
              <w:rPr>
                <w:rFonts w:hint="eastAsia" w:ascii="宋体" w:hAnsi="宋体" w:eastAsia="宋体" w:cs="宋体"/>
                <w:b/>
                <w:bCs/>
                <w:highlight w:val="none"/>
              </w:rPr>
              <w:t>1、主要磋商内容：</w:t>
            </w:r>
          </w:p>
          <w:p>
            <w:pPr>
              <w:pStyle w:val="21"/>
              <w:kinsoku w:val="0"/>
              <w:overflowPunct w:val="0"/>
              <w:spacing w:before="16"/>
              <w:ind w:left="102" w:firstLine="480" w:firstLineChars="200"/>
              <w:rPr>
                <w:rFonts w:hint="eastAsia" w:ascii="宋体" w:hAnsi="宋体" w:eastAsia="宋体" w:cs="宋体"/>
                <w:b w:val="0"/>
                <w:bCs w:val="0"/>
                <w:i w:val="0"/>
                <w:iCs w:val="0"/>
                <w:sz w:val="24"/>
                <w:szCs w:val="24"/>
                <w:highlight w:val="none"/>
                <w:lang w:val="en-US" w:eastAsia="zh-CN"/>
              </w:rPr>
            </w:pPr>
            <w:r>
              <w:rPr>
                <w:rFonts w:hint="eastAsia" w:ascii="宋体" w:hAnsi="宋体" w:cs="宋体"/>
                <w:b w:val="0"/>
                <w:bCs w:val="0"/>
                <w:i w:val="0"/>
                <w:iCs w:val="0"/>
                <w:sz w:val="24"/>
                <w:szCs w:val="24"/>
                <w:highlight w:val="none"/>
                <w:lang w:val="en-US" w:eastAsia="zh-CN"/>
              </w:rPr>
              <w:t>平台整体架构按照 “标准化、移动化、一体化”进行搭建，以项目管理，企业管理，数据分析为系统基础，在“管理、服务、监督”三个维度为部门工作提供支撑，通过移动端、PC 端为部门各层级用户提供移动化、智能化服务，实现招商工作的数字化管理</w:t>
            </w:r>
            <w:r>
              <w:rPr>
                <w:rFonts w:hint="eastAsia" w:ascii="宋体" w:hAnsi="宋体" w:eastAsia="宋体" w:cs="宋体"/>
                <w:b w:val="0"/>
                <w:bCs w:val="0"/>
                <w:i w:val="0"/>
                <w:iCs w:val="0"/>
                <w:sz w:val="24"/>
                <w:szCs w:val="24"/>
                <w:highlight w:val="none"/>
                <w:lang w:val="en-US" w:eastAsia="zh-CN"/>
              </w:rPr>
              <w:t>（详细说明见磋商文件）。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2、服务期限：</w:t>
            </w:r>
            <w:r>
              <w:rPr>
                <w:rFonts w:hint="eastAsia" w:ascii="宋体" w:hAnsi="宋体" w:cs="宋体"/>
                <w:b w:val="0"/>
                <w:bCs w:val="0"/>
                <w:i w:val="0"/>
                <w:iCs w:val="0"/>
                <w:sz w:val="24"/>
                <w:szCs w:val="24"/>
                <w:highlight w:val="none"/>
                <w:lang w:val="en-US" w:eastAsia="zh-CN"/>
              </w:rPr>
              <w:t>签订合同后，截止到2021年11月31日前完成并验收合格</w:t>
            </w:r>
            <w:r>
              <w:rPr>
                <w:rFonts w:hint="eastAsia" w:ascii="宋体" w:hAnsi="宋体" w:eastAsia="宋体" w:cs="宋体"/>
                <w:b w:val="0"/>
                <w:bCs w:val="0"/>
                <w:i w:val="0"/>
                <w:iCs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noWrap w:val="0"/>
            <w:vAlign w:val="top"/>
          </w:tcPr>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highlight w:val="none"/>
                <w:lang w:val="en-US" w:eastAsia="zh-CN"/>
              </w:rPr>
              <w:t>10000</w:t>
            </w:r>
            <w:r>
              <w:rPr>
                <w:rFonts w:hint="eastAsia" w:ascii="宋体" w:hAnsi="宋体" w:eastAsia="宋体" w:cs="宋体"/>
                <w:highlight w:val="none"/>
              </w:rPr>
              <w:t>00.00</w:t>
            </w:r>
            <w:r>
              <w:rPr>
                <w:rFonts w:hint="eastAsia" w:ascii="宋体" w:hAnsi="宋体" w:eastAsia="宋体" w:cs="宋体"/>
                <w:spacing w:val="-65"/>
                <w:highlight w:val="none"/>
              </w:rPr>
              <w:t xml:space="preserve"> </w:t>
            </w:r>
            <w:r>
              <w:rPr>
                <w:rFonts w:hint="eastAsia" w:ascii="宋体" w:hAnsi="宋体" w:eastAsia="宋体" w:cs="宋体"/>
                <w:highlight w:val="none"/>
              </w:rPr>
              <w:t>元（大写</w:t>
            </w:r>
            <w:r>
              <w:rPr>
                <w:rFonts w:hint="eastAsia" w:ascii="宋体" w:hAnsi="宋体" w:cs="宋体"/>
                <w:highlight w:val="none"/>
                <w:lang w:val="en-US" w:eastAsia="zh-CN"/>
              </w:rPr>
              <w:t>:壹佰万</w:t>
            </w:r>
            <w:r>
              <w:rPr>
                <w:rFonts w:hint="eastAsia" w:ascii="宋体" w:hAnsi="宋体" w:eastAsia="宋体" w:cs="宋体"/>
                <w:highlight w:val="none"/>
              </w:rPr>
              <w:t>元整）</w:t>
            </w:r>
          </w:p>
          <w:p>
            <w:pPr>
              <w:pStyle w:val="21"/>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noWrap w:val="0"/>
            <w:vAlign w:val="top"/>
          </w:tcPr>
          <w:p>
            <w:pPr>
              <w:pStyle w:val="21"/>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（2）在中华人民共和国境内注册的法人、其他组织或者自然人，且有承担本项目能力的供应商；</w:t>
            </w:r>
          </w:p>
          <w:p>
            <w:pPr>
              <w:pStyle w:val="21"/>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）财务稳健，资本充足率、不良贷款率、拨备覆盖率、流动性比例等指标达到监管标准；</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，列入失信被执行人、重大税收违法案件当事人名单、政府采购严重违法失信行为记录名单的，取消投标资格。（提供“信用中国”网站无任何不良记录的查询截图并加盖公章）；</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）为充分保证完善的售后服务，本项目不接受联合体投标。</w:t>
            </w:r>
          </w:p>
          <w:p>
            <w:pPr>
              <w:pStyle w:val="21"/>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书原</w:t>
            </w:r>
            <w:r>
              <w:rPr>
                <w:rFonts w:hint="eastAsia" w:ascii="宋体" w:hAnsi="宋体" w:eastAsia="宋体" w:cs="宋体"/>
                <w:b/>
                <w:bCs/>
                <w:spacing w:val="-56"/>
                <w:w w:val="95"/>
                <w:highlight w:val="none"/>
              </w:rPr>
              <w:t>件</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en-US" w:eastAsia="zh-CN"/>
              </w:rPr>
              <w:t>、</w:t>
            </w:r>
            <w:r>
              <w:rPr>
                <w:rFonts w:hint="eastAsia" w:ascii="宋体" w:hAnsi="宋体"/>
                <w:b/>
                <w:bCs/>
                <w:sz w:val="24"/>
                <w:szCs w:val="24"/>
                <w:highlight w:val="none"/>
              </w:rPr>
              <w:t>法人授权委托书和被授权人有效身份证（法人直接参加的需出示法人身份</w:t>
            </w:r>
            <w:r>
              <w:rPr>
                <w:rFonts w:hint="eastAsia" w:ascii="宋体" w:hAnsi="宋体"/>
                <w:b/>
                <w:bCs/>
                <w:sz w:val="24"/>
                <w:szCs w:val="24"/>
                <w:highlight w:val="none"/>
                <w:lang w:eastAsia="zh-CN"/>
              </w:rPr>
              <w:t>证明及身份</w:t>
            </w:r>
            <w:r>
              <w:rPr>
                <w:rFonts w:hint="eastAsia" w:ascii="宋体" w:hAnsi="宋体"/>
                <w:b/>
                <w:bCs/>
                <w:sz w:val="24"/>
                <w:szCs w:val="24"/>
                <w:highlight w:val="none"/>
              </w:rPr>
              <w:t>证原件）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i w:val="0"/>
                <w:iCs w:val="0"/>
                <w:sz w:val="24"/>
                <w:szCs w:val="24"/>
                <w:highlight w:val="none"/>
                <w:u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eastAsia="zh-CN"/>
              </w:rPr>
              <w:t>供应商为企业法人应提供合法有效的标识有统一社会信用代码的营业执照</w:t>
            </w:r>
            <w:r>
              <w:rPr>
                <w:rFonts w:hint="eastAsia" w:ascii="宋体" w:hAnsi="宋体" w:eastAsia="宋体" w:cs="宋体"/>
                <w:b/>
                <w:bCs/>
                <w:i w:val="0"/>
                <w:iCs w:val="0"/>
                <w:sz w:val="24"/>
                <w:szCs w:val="24"/>
                <w:highlight w:val="none"/>
                <w:lang w:eastAsia="zh-CN"/>
              </w:rPr>
              <w:t>；事业法人应提供事业单位法人证书；其他组织应提供合法登记证明文件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cs="宋体"/>
                <w:b/>
                <w:bCs/>
                <w:i w:val="0"/>
                <w:iCs w:val="0"/>
                <w:sz w:val="24"/>
                <w:szCs w:val="24"/>
                <w:highlight w:val="none"/>
                <w:u w:val="none"/>
                <w:lang w:val="en-US" w:eastAsia="zh-CN"/>
              </w:rPr>
              <w:t>3、</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提供近半年内已缴存的至少一个月的社会保障资金缴存单据或社保机构开具的社会保险参保缴费情况证明，依法不需要缴纳社会保障资金的投标人应提供相关文件证明</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lang w:val="zh-CN" w:eastAsia="zh-CN"/>
              </w:rPr>
              <w:t>2019年或</w:t>
            </w:r>
            <w:r>
              <w:rPr>
                <w:rFonts w:hint="eastAsia" w:asciiTheme="minorEastAsia" w:hAnsiTheme="minorEastAsia" w:eastAsiaTheme="minorEastAsia" w:cstheme="minorEastAsia"/>
                <w:b/>
                <w:bCs/>
                <w:color w:val="auto"/>
                <w:kern w:val="0"/>
                <w:sz w:val="24"/>
                <w:szCs w:val="24"/>
                <w:highlight w:val="none"/>
                <w:lang w:val="en-US" w:eastAsia="zh-CN"/>
              </w:rPr>
              <w:t>2020年</w:t>
            </w:r>
            <w:r>
              <w:rPr>
                <w:rFonts w:hint="eastAsia" w:asciiTheme="minorEastAsia" w:hAnsiTheme="minorEastAsia" w:eastAsiaTheme="minorEastAsia" w:cstheme="minorEastAsia"/>
                <w:b/>
                <w:bCs/>
                <w:color w:val="auto"/>
                <w:kern w:val="0"/>
                <w:sz w:val="24"/>
                <w:szCs w:val="24"/>
                <w:highlight w:val="none"/>
                <w:lang w:val="zh-CN" w:eastAsia="zh-CN"/>
              </w:rPr>
              <w:t>审计报告（供应商成立不足1年的，提供有关财务报表（不需审计））或基本开户银行出具的资信证明文件；</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lang w:val="zh-CN" w:eastAsia="zh-CN"/>
              </w:rPr>
              <w:t>提供保证金缴纳</w:t>
            </w:r>
            <w:r>
              <w:rPr>
                <w:rFonts w:hint="eastAsia" w:asciiTheme="minorEastAsia" w:hAnsiTheme="minorEastAsia" w:eastAsiaTheme="minorEastAsia" w:cstheme="minorEastAsia"/>
                <w:b/>
                <w:bCs/>
                <w:color w:val="auto"/>
                <w:kern w:val="0"/>
                <w:sz w:val="24"/>
                <w:szCs w:val="24"/>
                <w:highlight w:val="none"/>
                <w:lang w:val="en-US" w:eastAsia="zh-CN"/>
              </w:rPr>
              <w:t>凭证</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en-US" w:eastAsia="zh-CN"/>
              </w:rPr>
              <w:t>7、</w:t>
            </w:r>
            <w:r>
              <w:rPr>
                <w:rFonts w:hint="eastAsia" w:ascii="宋体" w:hAnsi="宋体" w:eastAsia="宋体" w:cs="宋体"/>
                <w:b/>
                <w:bCs/>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i w:val="0"/>
                <w:caps w:val="0"/>
                <w:spacing w:val="0"/>
                <w:sz w:val="21"/>
                <w:szCs w:val="21"/>
                <w:highlight w:val="none"/>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 　</w:t>
            </w:r>
            <w:r>
              <w:rPr>
                <w:rFonts w:hint="eastAsia" w:ascii="微软雅黑" w:hAnsi="微软雅黑" w:eastAsia="微软雅黑" w:cs="微软雅黑"/>
                <w:i w:val="0"/>
                <w:caps w:val="0"/>
                <w:spacing w:val="0"/>
                <w:sz w:val="31"/>
                <w:szCs w:val="31"/>
                <w:highlight w:val="none"/>
                <w:shd w:val="clear" w:fill="FFFFFF"/>
              </w:rPr>
              <w:t>　</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noWrap w:val="0"/>
            <w:vAlign w:val="top"/>
          </w:tcPr>
          <w:p>
            <w:pPr>
              <w:pStyle w:val="21"/>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1"/>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10</w:t>
            </w:r>
          </w:p>
        </w:tc>
        <w:tc>
          <w:tcPr>
            <w:tcW w:w="8475" w:type="dxa"/>
            <w:noWrap w:val="0"/>
            <w:vAlign w:val="top"/>
          </w:tcPr>
          <w:p>
            <w:pPr>
              <w:pStyle w:val="21"/>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highlight w:val="none"/>
              </w:rPr>
              <w:t>20</w:t>
            </w:r>
            <w:r>
              <w:rPr>
                <w:rFonts w:hint="eastAsia" w:ascii="宋体" w:hAnsi="宋体" w:cs="宋体"/>
                <w:highlight w:val="none"/>
                <w:lang w:val="en-US" w:eastAsia="zh-CN"/>
              </w:rPr>
              <w:t>21</w:t>
            </w:r>
            <w:r>
              <w:rPr>
                <w:rFonts w:hint="eastAsia" w:ascii="宋体" w:hAnsi="宋体" w:eastAsia="宋体" w:cs="宋体"/>
                <w:highlight w:val="none"/>
              </w:rPr>
              <w:t>年</w:t>
            </w:r>
            <w:r>
              <w:rPr>
                <w:rFonts w:hint="eastAsia" w:ascii="宋体" w:hAnsi="宋体" w:cs="宋体"/>
                <w:highlight w:val="none"/>
                <w:lang w:val="en-US" w:eastAsia="zh-CN"/>
              </w:rPr>
              <w:t>10</w:t>
            </w:r>
            <w:r>
              <w:rPr>
                <w:rFonts w:hint="eastAsia" w:ascii="宋体" w:hAnsi="宋体" w:eastAsia="宋体" w:cs="宋体"/>
                <w:highlight w:val="none"/>
              </w:rPr>
              <w:t>月</w:t>
            </w:r>
            <w:r>
              <w:rPr>
                <w:rFonts w:hint="eastAsia" w:ascii="宋体" w:hAnsi="宋体" w:cs="宋体"/>
                <w:highlight w:val="none"/>
                <w:lang w:val="en-US" w:eastAsia="zh-CN"/>
              </w:rPr>
              <w:t xml:space="preserve"> </w:t>
            </w:r>
            <w:r>
              <w:rPr>
                <w:rFonts w:hint="eastAsia" w:ascii="宋体" w:hAnsi="宋体" w:eastAsia="宋体" w:cs="宋体"/>
                <w:highlight w:val="none"/>
              </w:rPr>
              <w:t>日1</w:t>
            </w:r>
            <w:r>
              <w:rPr>
                <w:rFonts w:hint="eastAsia" w:ascii="宋体" w:hAnsi="宋体" w:cs="宋体"/>
                <w:highlight w:val="none"/>
                <w:lang w:val="en-US" w:eastAsia="zh-CN"/>
              </w:rPr>
              <w:t>1</w:t>
            </w:r>
            <w:r>
              <w:rPr>
                <w:rFonts w:hint="eastAsia" w:ascii="宋体" w:hAnsi="宋体" w:eastAsia="宋体" w:cs="宋体"/>
                <w:highlight w:val="none"/>
              </w:rPr>
              <w:t>:</w:t>
            </w:r>
            <w:r>
              <w:rPr>
                <w:rFonts w:hint="eastAsia" w:ascii="宋体" w:hAnsi="宋体" w:cs="宋体"/>
                <w:highlight w:val="none"/>
                <w:lang w:val="en-US" w:eastAsia="zh-CN"/>
              </w:rPr>
              <w:t>0</w:t>
            </w:r>
            <w:r>
              <w:rPr>
                <w:rFonts w:hint="eastAsia" w:ascii="宋体" w:hAnsi="宋体" w:eastAsia="宋体" w:cs="宋体"/>
                <w:highlight w:val="none"/>
              </w:rPr>
              <w:t>0</w:t>
            </w:r>
            <w:r>
              <w:rPr>
                <w:rFonts w:hint="eastAsia" w:ascii="宋体" w:hAnsi="宋体" w:eastAsia="宋体" w:cs="宋体"/>
                <w:spacing w:val="-62"/>
                <w:highlight w:val="none"/>
              </w:rPr>
              <w:t xml:space="preserve"> </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11</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3</w:t>
            </w:r>
            <w:r>
              <w:rPr>
                <w:rFonts w:hint="eastAsia" w:ascii="宋体" w:hAnsi="宋体" w:eastAsia="宋体" w:cs="宋体"/>
                <w:b/>
                <w:bCs/>
                <w:highlight w:val="none"/>
              </w:rPr>
              <w:t>00元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12</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13</w:t>
            </w:r>
          </w:p>
        </w:tc>
        <w:tc>
          <w:tcPr>
            <w:tcW w:w="8475" w:type="dxa"/>
            <w:noWrap w:val="0"/>
            <w:vAlign w:val="top"/>
          </w:tcPr>
          <w:p>
            <w:pPr>
              <w:pStyle w:val="21"/>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14</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15</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21"/>
              <w:kinsoku w:val="0"/>
              <w:overflowPunct w:val="0"/>
              <w:spacing w:before="201"/>
              <w:jc w:val="center"/>
              <w:rPr>
                <w:rFonts w:hint="eastAsia" w:ascii="宋体" w:hAnsi="宋体" w:eastAsia="宋体" w:cs="宋体"/>
                <w:highlight w:val="none"/>
              </w:rPr>
            </w:pPr>
            <w:r>
              <w:rPr>
                <w:rFonts w:hint="eastAsia" w:ascii="宋体" w:hAnsi="宋体" w:eastAsia="宋体" w:cs="宋体"/>
                <w:highlight w:val="none"/>
              </w:rPr>
              <w:t>16</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17</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jc w:val="center"/>
              <w:rPr>
                <w:rFonts w:hint="eastAsia" w:ascii="宋体" w:hAnsi="宋体" w:eastAsia="宋体" w:cs="宋体"/>
                <w:highlight w:val="none"/>
              </w:rPr>
            </w:pPr>
            <w:r>
              <w:rPr>
                <w:rFonts w:hint="eastAsia" w:ascii="宋体" w:hAnsi="宋体" w:eastAsia="宋体" w:cs="宋体"/>
                <w:highlight w:val="none"/>
              </w:rPr>
              <w:t>18</w:t>
            </w:r>
          </w:p>
        </w:tc>
        <w:tc>
          <w:tcPr>
            <w:tcW w:w="8475" w:type="dxa"/>
            <w:noWrap w:val="0"/>
            <w:vAlign w:val="top"/>
          </w:tcPr>
          <w:p>
            <w:pPr>
              <w:pStyle w:val="21"/>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考察现场、磋商前答疑会：</w:t>
            </w:r>
            <w:r>
              <w:rPr>
                <w:rFonts w:hint="eastAsia" w:ascii="宋体" w:hAnsi="宋体" w:eastAsia="宋体" w:cs="宋体"/>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19</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20</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none"/>
                <w:lang w:val="en-US" w:eastAsia="zh-CN"/>
              </w:rPr>
              <w:t>20000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val="en-US" w:eastAsia="zh-CN"/>
              </w:rPr>
              <w:t>贰万</w:t>
            </w:r>
            <w:r>
              <w:rPr>
                <w:rFonts w:hint="eastAsia" w:ascii="宋体" w:hAnsi="宋体" w:eastAsia="宋体" w:cs="宋体"/>
                <w:kern w:val="0"/>
                <w:sz w:val="24"/>
                <w:szCs w:val="24"/>
                <w:highlight w:val="none"/>
              </w:rPr>
              <w:t>圆整）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单位名称：新疆信尔成工程项目管理有限公司</w:t>
            </w:r>
          </w:p>
          <w:p>
            <w:pPr>
              <w:pStyle w:val="21"/>
              <w:spacing w:before="132" w:line="345" w:lineRule="auto"/>
              <w:ind w:right="1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开户银行：中国工商银行股份有限公司乌鲁木齐长春路支行</w:t>
            </w:r>
          </w:p>
          <w:p>
            <w:pPr>
              <w:pStyle w:val="21"/>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银行账号：3002 0301 0910 0074 747 行号：102881003011</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21</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1"/>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1"/>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1"/>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22</w:t>
            </w:r>
          </w:p>
        </w:tc>
        <w:tc>
          <w:tcPr>
            <w:tcW w:w="8475" w:type="dxa"/>
            <w:noWrap w:val="0"/>
            <w:vAlign w:val="top"/>
          </w:tcPr>
          <w:p>
            <w:pPr>
              <w:pStyle w:val="21"/>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1"/>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4</w:t>
            </w:r>
            <w:r>
              <w:rPr>
                <w:rFonts w:hint="eastAsia" w:ascii="宋体" w:hAnsi="宋体" w:eastAsia="宋体" w:cs="宋体"/>
                <w:highlight w:val="none"/>
              </w:rPr>
              <w:t xml:space="preserve"> 份，电子版 </w:t>
            </w:r>
            <w:r>
              <w:rPr>
                <w:rFonts w:hint="eastAsia" w:ascii="宋体" w:hAnsi="宋体" w:cs="宋体"/>
                <w:highlight w:val="none"/>
                <w:lang w:val="en-US" w:eastAsia="zh-CN"/>
              </w:rPr>
              <w:t>2</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highlight w:val="none"/>
              </w:rPr>
              <w:t>20</w:t>
            </w:r>
            <w:r>
              <w:rPr>
                <w:rFonts w:hint="eastAsia" w:ascii="宋体" w:hAnsi="宋体" w:cs="宋体"/>
                <w:highlight w:val="none"/>
                <w:lang w:val="en-US" w:eastAsia="zh-CN"/>
              </w:rPr>
              <w:t>21</w:t>
            </w:r>
            <w:r>
              <w:rPr>
                <w:rFonts w:hint="eastAsia" w:ascii="宋体" w:hAnsi="宋体" w:eastAsia="宋体" w:cs="宋体"/>
                <w:highlight w:val="none"/>
              </w:rPr>
              <w:t>年</w:t>
            </w:r>
            <w:r>
              <w:rPr>
                <w:rFonts w:hint="eastAsia" w:ascii="宋体" w:hAnsi="宋体" w:cs="宋体"/>
                <w:highlight w:val="none"/>
                <w:lang w:val="en-US" w:eastAsia="zh-CN"/>
              </w:rPr>
              <w:t>10</w:t>
            </w:r>
            <w:r>
              <w:rPr>
                <w:rFonts w:hint="eastAsia" w:ascii="宋体" w:hAnsi="宋体" w:eastAsia="宋体" w:cs="宋体"/>
                <w:highlight w:val="none"/>
              </w:rPr>
              <w:t>月</w:t>
            </w:r>
            <w:r>
              <w:rPr>
                <w:rFonts w:hint="eastAsia" w:ascii="宋体" w:hAnsi="宋体" w:cs="宋体"/>
                <w:highlight w:val="none"/>
                <w:lang w:val="en-US" w:eastAsia="zh-CN"/>
              </w:rPr>
              <w:t xml:space="preserve"> </w:t>
            </w:r>
            <w:r>
              <w:rPr>
                <w:rFonts w:hint="eastAsia" w:ascii="宋体" w:hAnsi="宋体" w:eastAsia="宋体" w:cs="宋体"/>
                <w:highlight w:val="none"/>
              </w:rPr>
              <w:t>日</w:t>
            </w:r>
            <w:r>
              <w:rPr>
                <w:rFonts w:hint="eastAsia" w:ascii="宋体" w:hAnsi="宋体" w:cs="宋体"/>
                <w:highlight w:val="none"/>
                <w:lang w:val="en-US" w:eastAsia="zh-CN"/>
              </w:rPr>
              <w:t>11</w:t>
            </w:r>
            <w:r>
              <w:rPr>
                <w:rFonts w:hint="eastAsia" w:ascii="宋体" w:hAnsi="宋体" w:eastAsia="宋体" w:cs="宋体"/>
                <w:highlight w:val="none"/>
              </w:rPr>
              <w:t>:</w:t>
            </w:r>
            <w:r>
              <w:rPr>
                <w:rFonts w:hint="eastAsia" w:ascii="宋体" w:hAnsi="宋体" w:cs="宋体"/>
                <w:highlight w:val="none"/>
                <w:lang w:val="en-US" w:eastAsia="zh-CN"/>
              </w:rPr>
              <w:t>0</w:t>
            </w:r>
            <w:r>
              <w:rPr>
                <w:rFonts w:hint="eastAsia" w:ascii="宋体" w:hAnsi="宋体" w:eastAsia="宋体" w:cs="宋体"/>
                <w:highlight w:val="none"/>
              </w:rPr>
              <w:t xml:space="preserve">0 </w:t>
            </w:r>
            <w:r>
              <w:rPr>
                <w:rFonts w:hint="eastAsia" w:ascii="宋体" w:hAnsi="宋体" w:cs="宋体"/>
                <w:highlight w:val="none"/>
                <w:lang w:eastAsia="zh-CN"/>
              </w:rPr>
              <w:t>分</w:t>
            </w:r>
            <w:r>
              <w:rPr>
                <w:rFonts w:hint="eastAsia" w:ascii="宋体" w:hAnsi="宋体" w:eastAsia="宋体" w:cs="宋体"/>
                <w:highlight w:val="none"/>
              </w:rPr>
              <w:t>（北京时间）</w:t>
            </w:r>
          </w:p>
          <w:p>
            <w:pPr>
              <w:pStyle w:val="21"/>
              <w:kinsoku w:val="0"/>
              <w:overflowPunct w:val="0"/>
              <w:spacing w:before="16"/>
              <w:ind w:left="582"/>
              <w:rPr>
                <w:rFonts w:hint="eastAsia" w:ascii="宋体" w:hAnsi="宋体" w:eastAsia="宋体" w:cs="宋体"/>
                <w:b/>
                <w:bCs/>
                <w:highlight w:val="none"/>
              </w:rPr>
            </w:pPr>
            <w:r>
              <w:rPr>
                <w:rFonts w:hint="eastAsia" w:ascii="宋体" w:hAnsi="宋体" w:eastAsia="宋体" w:cs="宋体"/>
                <w:highlight w:val="none"/>
              </w:rPr>
              <w:t>3、</w:t>
            </w:r>
            <w:r>
              <w:rPr>
                <w:rFonts w:hint="eastAsia" w:ascii="宋体" w:hAnsi="宋体" w:eastAsia="宋体" w:cs="宋体"/>
                <w:b/>
                <w:bCs/>
                <w:highlight w:val="none"/>
              </w:rPr>
              <w:t>递交地点：</w:t>
            </w:r>
            <w:r>
              <w:rPr>
                <w:rFonts w:hint="eastAsia" w:asciiTheme="minorEastAsia" w:hAnsiTheme="minorEastAsia" w:eastAsiaTheme="minorEastAsia" w:cstheme="minorEastAsia"/>
                <w:color w:val="auto"/>
                <w:sz w:val="24"/>
                <w:szCs w:val="24"/>
                <w:highlight w:val="none"/>
              </w:rPr>
              <w:t>新疆乌鲁木齐市水磨沟区会展大道1119号大成尔雅B座（乌鲁木齐晚报大厦）七楼70</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号房</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23</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1"/>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1"/>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分之前不得启封”字样。</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3、未按本章第 1 项或 2 项密封和加写标记的磋商响应性文件, 造成磋商响应性文件被拒收的不利后果由供应商自行承担。</w:t>
            </w:r>
          </w:p>
          <w:p>
            <w:pPr>
              <w:pStyle w:val="21"/>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eastAsia="zh-CN"/>
              </w:rPr>
              <w:t>共同</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24</w:t>
            </w:r>
          </w:p>
        </w:tc>
        <w:tc>
          <w:tcPr>
            <w:tcW w:w="8475" w:type="dxa"/>
            <w:noWrap w:val="0"/>
            <w:vAlign w:val="top"/>
          </w:tcPr>
          <w:p>
            <w:pPr>
              <w:pStyle w:val="21"/>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r>
              <w:rPr>
                <w:rFonts w:hint="eastAsia" w:ascii="宋体" w:hAnsi="宋体" w:cs="宋体"/>
                <w:b/>
                <w:bCs/>
                <w:highlight w:val="none"/>
                <w:lang w:eastAsia="zh-CN"/>
              </w:rPr>
              <w:t>：</w:t>
            </w:r>
          </w:p>
          <w:p>
            <w:pPr>
              <w:pStyle w:val="21"/>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1"/>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25</w:t>
            </w:r>
          </w:p>
        </w:tc>
        <w:tc>
          <w:tcPr>
            <w:tcW w:w="8475" w:type="dxa"/>
            <w:noWrap w:val="0"/>
            <w:vAlign w:val="top"/>
          </w:tcPr>
          <w:p>
            <w:pPr>
              <w:pStyle w:val="21"/>
              <w:kinsoku w:val="0"/>
              <w:overflowPunct w:val="0"/>
              <w:spacing w:before="56"/>
              <w:ind w:left="102"/>
              <w:rPr>
                <w:rFonts w:hint="default" w:ascii="宋体" w:hAnsi="宋体" w:eastAsia="宋体" w:cs="宋体"/>
                <w:highlight w:val="none"/>
                <w:lang w:val="en-US" w:eastAsia="zh-CN"/>
              </w:rPr>
            </w:pPr>
            <w:r>
              <w:rPr>
                <w:rFonts w:hint="eastAsia" w:ascii="宋体" w:hAnsi="宋体" w:eastAsia="宋体" w:cs="宋体"/>
                <w:b/>
                <w:bCs/>
                <w:highlight w:val="none"/>
              </w:rPr>
              <w:t>付款方式：</w:t>
            </w:r>
            <w:r>
              <w:rPr>
                <w:rFonts w:hint="eastAsia" w:ascii="宋体" w:hAnsi="宋体" w:eastAsia="宋体" w:cs="宋体"/>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26</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27</w:t>
            </w:r>
          </w:p>
        </w:tc>
        <w:tc>
          <w:tcPr>
            <w:tcW w:w="8475" w:type="dxa"/>
            <w:noWrap w:val="0"/>
            <w:vAlign w:val="top"/>
          </w:tcPr>
          <w:p>
            <w:pPr>
              <w:pStyle w:val="21"/>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1"/>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28</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和工信部联企业〔2011〕300 号文件规定，对小型和微型企业产品的价格给予 6%-10%的扣除，用扣除后的价格参与评审；大中型企业和其他自然人、法人或者其他组织与小型、微型企业组成联合体共同参加非专门面向中小企业的政府采购活动的，小微企业的合同金额占联合体协议合同总金额 30%以上的，给予联合体 2%-3%的价格扣除，用扣除后的价格参与评审。具体办法详见竞争性磋商文件评标办法和标准；</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29</w:t>
            </w:r>
          </w:p>
        </w:tc>
        <w:tc>
          <w:tcPr>
            <w:tcW w:w="8475" w:type="dxa"/>
            <w:noWrap w:val="0"/>
            <w:vAlign w:val="top"/>
          </w:tcPr>
          <w:p>
            <w:pPr>
              <w:pStyle w:val="21"/>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bookmark3"/>
            <w:bookmarkEnd w:id="48"/>
            <w:bookmarkStart w:id="49" w:name="（二）供应商须知"/>
            <w:bookmarkEnd w:id="49"/>
            <w:r>
              <w:rPr>
                <w:rFonts w:hint="eastAsia" w:ascii="宋体" w:hAnsi="宋体" w:eastAsia="宋体" w:cs="宋体"/>
                <w:b/>
                <w:bCs/>
                <w:highlight w:val="none"/>
              </w:rPr>
              <w:t xml:space="preserve">要求： </w:t>
            </w:r>
          </w:p>
          <w:p>
            <w:pPr>
              <w:pStyle w:val="21"/>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noWrap w:val="0"/>
            <w:vAlign w:val="top"/>
          </w:tcPr>
          <w:p>
            <w:pPr>
              <w:pStyle w:val="21"/>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default" w:ascii="宋体" w:hAnsi="宋体" w:cs="宋体"/>
                <w:highlight w:val="none"/>
                <w:lang w:val="en-US" w:eastAsia="zh-CN"/>
              </w:rPr>
            </w:pPr>
            <w:r>
              <w:rPr>
                <w:rFonts w:hint="eastAsia" w:ascii="宋体" w:hAnsi="宋体" w:cs="宋体"/>
                <w:highlight w:val="none"/>
                <w:lang w:val="en-US" w:eastAsia="zh-CN"/>
              </w:rPr>
              <w:t>31</w:t>
            </w:r>
          </w:p>
        </w:tc>
        <w:tc>
          <w:tcPr>
            <w:tcW w:w="8475" w:type="dxa"/>
            <w:noWrap w:val="0"/>
            <w:vAlign w:val="top"/>
          </w:tcPr>
          <w:p>
            <w:pPr>
              <w:pStyle w:val="21"/>
              <w:kinsoku w:val="0"/>
              <w:overflowPunct w:val="0"/>
              <w:spacing w:before="38"/>
              <w:ind w:left="102" w:firstLine="472" w:firstLineChars="200"/>
              <w:rPr>
                <w:rFonts w:hint="eastAsia" w:ascii="宋体" w:hAnsi="宋体" w:cs="宋体"/>
                <w:spacing w:val="-2"/>
                <w:highlight w:val="none"/>
                <w:lang w:eastAsia="zh-CN"/>
              </w:rPr>
            </w:pPr>
            <w:r>
              <w:rPr>
                <w:rFonts w:hint="eastAsia" w:ascii="宋体" w:hAnsi="宋体" w:cs="宋体"/>
                <w:spacing w:val="-2"/>
                <w:highlight w:val="none"/>
                <w:lang w:eastAsia="zh-CN"/>
              </w:rPr>
              <w:t>接受答疑要求：供应商应在收到采购文件1天内，将需要答疑的问题以纸质的形式一并提交。采购人将对供应商疑问给予书面解答，供应商未按照以上时间提出答疑的或不自行查阅答疑的，造成错误理解和推论后果自负。</w:t>
            </w:r>
          </w:p>
        </w:tc>
      </w:tr>
    </w:tbl>
    <w:p>
      <w:pPr>
        <w:rPr>
          <w:rFonts w:hint="eastAsia" w:ascii="宋体" w:hAnsi="宋体" w:eastAsia="宋体" w:cs="宋体"/>
          <w:highlight w:val="none"/>
        </w:rPr>
      </w:pPr>
    </w:p>
    <w:p>
      <w:pPr>
        <w:pStyle w:val="4"/>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8"/>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Theme="minorEastAsia" w:hAnsiTheme="minorEastAsia" w:eastAsiaTheme="minorEastAsia" w:cstheme="minorEastAsia"/>
          <w:i w:val="0"/>
          <w:iCs w:val="0"/>
          <w:color w:val="auto"/>
          <w:sz w:val="24"/>
          <w:szCs w:val="24"/>
          <w:highlight w:val="none"/>
          <w:u w:val="none"/>
        </w:rPr>
        <w:t>新疆维吾尔自治区文化和旅游厅</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Theme="minorEastAsia" w:hAnsiTheme="minorEastAsia" w:eastAsiaTheme="minorEastAsia" w:cstheme="minorEastAsia"/>
          <w:color w:val="auto"/>
          <w:sz w:val="24"/>
          <w:highlight w:val="none"/>
        </w:rPr>
        <w:t>新疆信尔成工程项目管理有限公司</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8"/>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8"/>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成交供应商在领取《成交通知书》时须一次性付给采购代理单位采购代理服务费，招标代理服务费参照国家计委《招标代理服务收费管理暂行办法》(计价格﹝2002﹞1980 号)所规定取费。</w:t>
      </w:r>
    </w:p>
    <w:p>
      <w:pPr>
        <w:pStyle w:val="8"/>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8"/>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8"/>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8"/>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8"/>
        <w:kinsoku w:val="0"/>
        <w:overflowPunct w:val="0"/>
        <w:spacing w:before="130" w:line="355" w:lineRule="auto"/>
        <w:ind w:right="7" w:firstLine="480"/>
        <w:rPr>
          <w:rFonts w:hint="eastAsia" w:ascii="宋体" w:hAnsi="宋体" w:eastAsia="宋体" w:cs="宋体"/>
          <w:spacing w:val="4"/>
          <w:highlight w:val="none"/>
        </w:rPr>
      </w:pPr>
      <w:bookmarkStart w:id="52" w:name="bookmark5"/>
      <w:bookmarkEnd w:id="52"/>
      <w:bookmarkStart w:id="53" w:name="（四）《磋商响应性文件》的编制"/>
      <w:bookmarkEnd w:id="53"/>
      <w:r>
        <w:rPr>
          <w:rFonts w:hint="eastAsia" w:ascii="宋体" w:hAnsi="宋体" w:eastAsia="宋体" w:cs="宋体"/>
          <w:spacing w:val="4"/>
          <w:highlight w:val="none"/>
        </w:rPr>
        <w:t>5）合同条款及合同格式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8"/>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8"/>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3.4 供应商在应当领取竞争性磋商文件的 3 日内可对竞争性磋商文件的内容提出质 疑，招标采购单位按规定时间答复，超过时间的质疑将不予接受。</w:t>
      </w:r>
    </w:p>
    <w:p>
      <w:pPr>
        <w:pStyle w:val="4"/>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8"/>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8"/>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8"/>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8"/>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8"/>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8"/>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(4)投标保证金缴纳凭证（复印件加盖公章）；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8"/>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五）磋商响应性文件的提交及相关事项"/>
      <w:bookmarkEnd w:id="55"/>
      <w:bookmarkStart w:id="56" w:name="bookmark6"/>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8"/>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2000</w:t>
      </w:r>
      <w:r>
        <w:rPr>
          <w:rFonts w:hint="eastAsia" w:ascii="宋体" w:hAnsi="宋体" w:eastAsia="宋体" w:cs="宋体"/>
          <w:kern w:val="0"/>
          <w:sz w:val="24"/>
          <w:szCs w:val="24"/>
          <w:highlight w:val="none"/>
        </w:rPr>
        <w:t>0元（</w:t>
      </w:r>
      <w:r>
        <w:rPr>
          <w:rFonts w:hint="eastAsia" w:ascii="宋体" w:hAnsi="宋体" w:eastAsia="宋体" w:cs="宋体"/>
          <w:kern w:val="0"/>
          <w:sz w:val="24"/>
          <w:szCs w:val="24"/>
          <w:highlight w:val="none"/>
          <w:lang w:val="en-US" w:eastAsia="zh-CN"/>
        </w:rPr>
        <w:t>贰万</w:t>
      </w:r>
      <w:r>
        <w:rPr>
          <w:rFonts w:hint="eastAsia" w:ascii="宋体" w:hAnsi="宋体" w:eastAsia="宋体" w:cs="宋体"/>
          <w:kern w:val="0"/>
          <w:sz w:val="24"/>
          <w:szCs w:val="24"/>
          <w:highlight w:val="none"/>
        </w:rPr>
        <w:t>圆整）</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单位名称：新疆信尔成工程项目管理</w:t>
      </w:r>
      <w:r>
        <w:rPr>
          <w:rFonts w:hint="eastAsia" w:ascii="宋体" w:hAnsi="宋体" w:eastAsia="宋体" w:cs="宋体"/>
          <w:kern w:val="0"/>
          <w:sz w:val="24"/>
          <w:szCs w:val="24"/>
          <w:highlight w:val="none"/>
          <w:lang w:eastAsia="zh-CN"/>
        </w:rPr>
        <w:t>有</w:t>
      </w:r>
      <w:r>
        <w:rPr>
          <w:rFonts w:hint="eastAsia" w:ascii="宋体" w:hAnsi="宋体" w:eastAsia="宋体" w:cs="宋体"/>
          <w:kern w:val="0"/>
          <w:sz w:val="24"/>
          <w:szCs w:val="24"/>
          <w:highlight w:val="none"/>
        </w:rPr>
        <w:t>限公司</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开户银行：中国工商银行股份有有限公司乌鲁木齐长春路支行</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银行账号：3002 0301 0910 0074 747</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行号：102881003011</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8"/>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8"/>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8"/>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四</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eastAsia="zh-CN"/>
        </w:rPr>
        <w:t>二</w:t>
      </w:r>
      <w:r>
        <w:rPr>
          <w:rFonts w:hint="eastAsia" w:ascii="宋体" w:hAnsi="宋体" w:eastAsia="宋体" w:cs="宋体"/>
          <w:highlight w:val="none"/>
        </w:rPr>
        <w:t>份。</w:t>
      </w:r>
    </w:p>
    <w:p>
      <w:pPr>
        <w:pStyle w:val="8"/>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8"/>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8"/>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4"/>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1.3未按本章第1.1项或1.2项密封和加写标记的磋商响应性文件, 造成磋商响应性文件被拒收的不利后果由供应商自行承担。</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eastAsia="zh-CN"/>
        </w:rPr>
        <w:t>共同</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本次招标不接受邮寄的磋商响应性文件。</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8"/>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8"/>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4"/>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8"/>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8"/>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8"/>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8"/>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4"/>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pStyle w:val="8"/>
        <w:tabs>
          <w:tab w:val="left" w:pos="1080"/>
        </w:tabs>
        <w:kinsoku w:val="0"/>
        <w:overflowPunct w:val="0"/>
        <w:spacing w:before="26" w:line="355" w:lineRule="auto"/>
        <w:ind w:right="234" w:firstLine="48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SA"/>
        </w:rPr>
        <w:t>2.3</w:t>
      </w:r>
      <w:r>
        <w:rPr>
          <w:rFonts w:hint="eastAsia" w:ascii="宋体" w:hAnsi="宋体" w:eastAsia="宋体" w:cs="宋体"/>
          <w:highlight w:val="none"/>
        </w:rPr>
        <w:t xml:space="preserve"> </w:t>
      </w:r>
      <w:r>
        <w:rPr>
          <w:rFonts w:hint="eastAsia" w:ascii="宋体" w:hAnsi="宋体" w:eastAsia="宋体" w:cs="宋体"/>
          <w:sz w:val="24"/>
          <w:szCs w:val="24"/>
          <w:highlight w:val="none"/>
        </w:rPr>
        <w:t>中标结果在“新疆政府采购网” 上予以公告。同时向中标人发出中标通知书。</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8"/>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8"/>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8"/>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8"/>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在合同履行过程中，如发生合同纠纷，合同双方应按照《合同法》的有关规定进行处理。</w:t>
      </w:r>
    </w:p>
    <w:p>
      <w:pPr>
        <w:pStyle w:val="4"/>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8"/>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8"/>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8"/>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4"/>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8"/>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8"/>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8"/>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bookmark13"/>
      <w:bookmarkEnd w:id="63"/>
      <w:bookmarkStart w:id="64" w:name="（十三）废标"/>
      <w:bookmarkEnd w:id="64"/>
      <w:bookmarkStart w:id="65" w:name="（十二）无效投标"/>
      <w:bookmarkEnd w:id="65"/>
      <w:bookmarkStart w:id="66" w:name="bookmark14"/>
      <w:bookmarkEnd w:id="66"/>
      <w:r>
        <w:rPr>
          <w:rFonts w:hint="eastAsia" w:ascii="宋体" w:hAnsi="宋体" w:eastAsia="宋体" w:cs="宋体"/>
          <w:highlight w:val="none"/>
        </w:rPr>
        <w:t>影响评标程序正常进行，不得使用“评标办法”没有规定的 评审因素和标准进行评标。</w:t>
      </w:r>
    </w:p>
    <w:p>
      <w:pPr>
        <w:pStyle w:val="8"/>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4"/>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4"/>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3"/>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spacing w:val="1"/>
          <w:highlight w:val="none"/>
        </w:rPr>
        <w:t>第三章评标办法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8"/>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1.初步评审（资格后审）：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eastAsia="宋体" w:cs="宋体"/>
          <w:color w:val="000000"/>
          <w:sz w:val="24"/>
          <w:szCs w:val="24"/>
          <w:highlight w:val="none"/>
          <w:lang w:eastAsia="zh-CN"/>
        </w:rPr>
        <w:t>磋商小组</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w:t>
      </w:r>
      <w:r>
        <w:rPr>
          <w:rFonts w:hint="eastAsia" w:ascii="宋体" w:hAnsi="宋体" w:cs="宋体"/>
          <w:b/>
          <w:bCs/>
          <w:kern w:val="0"/>
          <w:sz w:val="24"/>
          <w:szCs w:val="24"/>
          <w:highlight w:val="none"/>
          <w:lang w:val="en-US" w:eastAsia="zh-CN" w:bidi="ar-SA"/>
        </w:rPr>
        <w:t>证明及身份</w:t>
      </w:r>
      <w:r>
        <w:rPr>
          <w:rFonts w:hint="eastAsia" w:ascii="宋体" w:hAnsi="宋体" w:eastAsia="宋体" w:cs="宋体"/>
          <w:b/>
          <w:bCs/>
          <w:kern w:val="0"/>
          <w:sz w:val="24"/>
          <w:szCs w:val="24"/>
          <w:highlight w:val="none"/>
          <w:lang w:val="en-US" w:eastAsia="zh-CN" w:bidi="ar-SA"/>
        </w:rPr>
        <w:t>证原件）</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2、</w:t>
      </w:r>
      <w:r>
        <w:rPr>
          <w:rFonts w:hint="eastAsia" w:ascii="宋体" w:hAnsi="宋体" w:eastAsia="宋体" w:cs="宋体"/>
          <w:b/>
          <w:bCs/>
          <w:kern w:val="0"/>
          <w:sz w:val="24"/>
          <w:szCs w:val="24"/>
          <w:highlight w:val="none"/>
          <w:lang w:val="zh-CN" w:eastAsia="zh-CN" w:bidi="ar-SA"/>
        </w:rPr>
        <w:t>营业执照原件；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3</w:t>
      </w:r>
      <w:r>
        <w:rPr>
          <w:rFonts w:hint="eastAsia" w:ascii="宋体" w:hAnsi="宋体" w:eastAsia="宋体" w:cs="宋体"/>
          <w:b/>
          <w:bCs/>
          <w:kern w:val="0"/>
          <w:sz w:val="24"/>
          <w:szCs w:val="24"/>
          <w:highlight w:val="none"/>
          <w:lang w:val="en-US" w:eastAsia="zh-CN" w:bidi="ar-SA"/>
        </w:rPr>
        <w:t>、投标人提供近半年内已缴存的至少一个月的社会保障资金缴存单据或社保机构开具的社会保险参保缴费情况证明，依法不需要缴纳社会保障资金的投标人应提供相关文件证明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4</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2019年</w:t>
      </w:r>
      <w:r>
        <w:rPr>
          <w:rFonts w:hint="eastAsia" w:ascii="宋体" w:hAnsi="宋体" w:cs="宋体"/>
          <w:b/>
          <w:bCs/>
          <w:kern w:val="0"/>
          <w:sz w:val="24"/>
          <w:szCs w:val="24"/>
          <w:highlight w:val="none"/>
          <w:lang w:val="zh-CN" w:eastAsia="zh-CN" w:bidi="ar-SA"/>
        </w:rPr>
        <w:t>或</w:t>
      </w:r>
      <w:r>
        <w:rPr>
          <w:rFonts w:hint="eastAsia" w:ascii="宋体" w:hAnsi="宋体" w:cs="宋体"/>
          <w:b/>
          <w:bCs/>
          <w:kern w:val="0"/>
          <w:sz w:val="24"/>
          <w:szCs w:val="24"/>
          <w:highlight w:val="none"/>
          <w:lang w:val="en-US" w:eastAsia="zh-CN" w:bidi="ar-SA"/>
        </w:rPr>
        <w:t>2020年</w:t>
      </w:r>
      <w:r>
        <w:rPr>
          <w:rFonts w:hint="eastAsia" w:ascii="宋体" w:hAnsi="宋体" w:eastAsia="宋体" w:cs="宋体"/>
          <w:b/>
          <w:bCs/>
          <w:kern w:val="0"/>
          <w:sz w:val="24"/>
          <w:szCs w:val="24"/>
          <w:highlight w:val="none"/>
          <w:lang w:val="zh-CN" w:eastAsia="zh-CN" w:bidi="ar-SA"/>
        </w:rPr>
        <w:t>审计报告（供应商成立不足1年的，提供有关财务报表（不需审计））或基本开户银行出具的资信证明文件；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5</w:t>
      </w:r>
      <w:r>
        <w:rPr>
          <w:rFonts w:hint="eastAsia" w:ascii="宋体" w:hAnsi="宋体" w:eastAsia="宋体" w:cs="宋体"/>
          <w:b/>
          <w:bCs/>
          <w:kern w:val="0"/>
          <w:sz w:val="24"/>
          <w:szCs w:val="24"/>
          <w:highlight w:val="none"/>
          <w:lang w:val="en-US" w:eastAsia="zh-CN" w:bidi="ar-SA"/>
        </w:rPr>
        <w:t>、投标人提供近半年内已缴纳的至少一个月的纳税证明或完税证明，纳税证明或完税证明上应有代收机构或税务机关的公章，依法免税的投标人应提供相关文件证明；</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6</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提供保证金</w:t>
      </w:r>
      <w:r>
        <w:rPr>
          <w:rFonts w:hint="eastAsia" w:ascii="宋体" w:hAnsi="宋体" w:cs="宋体"/>
          <w:b/>
          <w:bCs/>
          <w:kern w:val="0"/>
          <w:sz w:val="24"/>
          <w:szCs w:val="24"/>
          <w:highlight w:val="none"/>
          <w:lang w:val="zh-CN" w:eastAsia="zh-CN" w:bidi="ar-SA"/>
        </w:rPr>
        <w:t>缴纳</w:t>
      </w:r>
      <w:r>
        <w:rPr>
          <w:rFonts w:hint="eastAsia" w:ascii="宋体" w:hAnsi="宋体" w:eastAsia="宋体" w:cs="宋体"/>
          <w:b/>
          <w:bCs/>
          <w:kern w:val="0"/>
          <w:sz w:val="24"/>
          <w:szCs w:val="24"/>
          <w:highlight w:val="none"/>
          <w:lang w:val="en-US" w:eastAsia="zh-CN" w:bidi="ar-SA"/>
        </w:rPr>
        <w:t>凭证</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7</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ind w:firstLine="482" w:firstLineChars="200"/>
        <w:textAlignment w:val="auto"/>
        <w:rPr>
          <w:rFonts w:hint="eastAsia" w:ascii="微软雅黑" w:hAnsi="微软雅黑" w:eastAsia="微软雅黑" w:cs="微软雅黑"/>
          <w:i w:val="0"/>
          <w:caps w:val="0"/>
          <w:spacing w:val="0"/>
          <w:sz w:val="21"/>
          <w:szCs w:val="21"/>
          <w:highlight w:val="none"/>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r>
        <w:rPr>
          <w:rFonts w:hint="eastAsia" w:ascii="宋体" w:hAnsi="宋体" w:eastAsia="宋体" w:cs="宋体"/>
          <w:kern w:val="0"/>
          <w:sz w:val="24"/>
          <w:szCs w:val="24"/>
          <w:highlight w:val="none"/>
          <w:lang w:val="en-US" w:eastAsia="zh-CN" w:bidi="ar-SA"/>
        </w:rPr>
        <w:t>　</w:t>
      </w:r>
      <w:r>
        <w:rPr>
          <w:rFonts w:hint="eastAsia" w:ascii="微软雅黑" w:hAnsi="微软雅黑" w:eastAsia="微软雅黑" w:cs="微软雅黑"/>
          <w:i w:val="0"/>
          <w:caps w:val="0"/>
          <w:spacing w:val="0"/>
          <w:sz w:val="31"/>
          <w:szCs w:val="31"/>
          <w:highlight w:val="none"/>
          <w:shd w:val="clear" w:fill="FFFFFF"/>
        </w:rPr>
        <w:t>　</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8"/>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 行打分；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8"/>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p>
      <w:pPr>
        <w:rPr>
          <w:rFonts w:hint="eastAsia" w:ascii="宋体" w:hAnsi="宋体" w:eastAsia="宋体" w:cs="宋体"/>
          <w:b/>
          <w:bCs/>
          <w:highlight w:val="none"/>
        </w:rPr>
      </w:pPr>
    </w:p>
    <w:tbl>
      <w:tblPr>
        <w:tblStyle w:val="16"/>
        <w:tblW w:w="9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21"/>
              <w:spacing w:before="123"/>
              <w:jc w:val="center"/>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评审因素</w:t>
            </w:r>
          </w:p>
        </w:tc>
        <w:tc>
          <w:tcPr>
            <w:tcW w:w="6603" w:type="dxa"/>
          </w:tcPr>
          <w:p>
            <w:pPr>
              <w:pStyle w:val="21"/>
              <w:spacing w:before="123"/>
              <w:ind w:left="856"/>
              <w:jc w:val="center"/>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评审标准</w:t>
            </w:r>
          </w:p>
        </w:tc>
        <w:tc>
          <w:tcPr>
            <w:tcW w:w="741"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21"/>
              <w:spacing w:before="10"/>
              <w:rPr>
                <w:rFonts w:asciiTheme="minorEastAsia" w:hAnsiTheme="minorEastAsia" w:eastAsiaTheme="minorEastAsia" w:cstheme="minorEastAsia"/>
                <w:b/>
                <w:bCs/>
                <w:sz w:val="21"/>
                <w:szCs w:val="21"/>
                <w:highlight w:val="none"/>
              </w:rPr>
            </w:pPr>
          </w:p>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分值构成</w:t>
            </w:r>
          </w:p>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（总分100分)</w:t>
            </w:r>
          </w:p>
        </w:tc>
        <w:tc>
          <w:tcPr>
            <w:tcW w:w="6603" w:type="dxa"/>
          </w:tcPr>
          <w:p>
            <w:pPr>
              <w:pStyle w:val="21"/>
              <w:spacing w:before="65"/>
              <w:ind w:left="4"/>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 xml:space="preserve">评审价格：10分 </w:t>
            </w:r>
          </w:p>
        </w:tc>
        <w:tc>
          <w:tcPr>
            <w:tcW w:w="741" w:type="dxa"/>
            <w:vMerge w:val="restart"/>
            <w:vAlign w:val="center"/>
          </w:tcPr>
          <w:p>
            <w:pPr>
              <w:pStyle w:val="21"/>
              <w:spacing w:before="65"/>
              <w:ind w:left="4"/>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4" w:type="dxa"/>
            <w:gridSpan w:val="2"/>
            <w:vMerge w:val="continue"/>
            <w:tcBorders>
              <w:top w:val="nil"/>
            </w:tcBorders>
          </w:tcPr>
          <w:p>
            <w:pPr>
              <w:rPr>
                <w:rFonts w:asciiTheme="minorEastAsia" w:hAnsiTheme="minorEastAsia" w:eastAsiaTheme="minorEastAsia" w:cstheme="minorEastAsia"/>
                <w:szCs w:val="21"/>
                <w:highlight w:val="none"/>
              </w:rPr>
            </w:pPr>
          </w:p>
        </w:tc>
        <w:tc>
          <w:tcPr>
            <w:tcW w:w="6603" w:type="dxa"/>
          </w:tcPr>
          <w:p>
            <w:pPr>
              <w:pStyle w:val="21"/>
              <w:spacing w:before="87"/>
              <w:ind w:left="4"/>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 xml:space="preserve">商务部分评分：15分 </w:t>
            </w:r>
          </w:p>
        </w:tc>
        <w:tc>
          <w:tcPr>
            <w:tcW w:w="741" w:type="dxa"/>
            <w:vMerge w:val="continue"/>
          </w:tcPr>
          <w:p>
            <w:pPr>
              <w:pStyle w:val="21"/>
              <w:spacing w:before="87"/>
              <w:ind w:left="4"/>
              <w:rPr>
                <w:rFonts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4" w:type="dxa"/>
            <w:gridSpan w:val="2"/>
            <w:vMerge w:val="continue"/>
            <w:tcBorders>
              <w:top w:val="nil"/>
            </w:tcBorders>
          </w:tcPr>
          <w:p>
            <w:pPr>
              <w:rPr>
                <w:rFonts w:asciiTheme="minorEastAsia" w:hAnsiTheme="minorEastAsia" w:eastAsiaTheme="minorEastAsia" w:cstheme="minorEastAsia"/>
                <w:szCs w:val="21"/>
                <w:highlight w:val="none"/>
              </w:rPr>
            </w:pPr>
          </w:p>
        </w:tc>
        <w:tc>
          <w:tcPr>
            <w:tcW w:w="6603" w:type="dxa"/>
          </w:tcPr>
          <w:p>
            <w:pPr>
              <w:pStyle w:val="21"/>
              <w:spacing w:before="65"/>
              <w:ind w:left="4"/>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 xml:space="preserve">技术部分方案：75分 </w:t>
            </w:r>
          </w:p>
        </w:tc>
        <w:tc>
          <w:tcPr>
            <w:tcW w:w="741" w:type="dxa"/>
            <w:vMerge w:val="continue"/>
          </w:tcPr>
          <w:p>
            <w:pPr>
              <w:pStyle w:val="21"/>
              <w:spacing w:before="65"/>
              <w:ind w:left="4"/>
              <w:rPr>
                <w:rFonts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684" w:type="dxa"/>
            <w:gridSpan w:val="2"/>
          </w:tcPr>
          <w:p>
            <w:pPr>
              <w:pStyle w:val="21"/>
              <w:jc w:val="both"/>
              <w:rPr>
                <w:rFonts w:asciiTheme="minorEastAsia" w:hAnsiTheme="minorEastAsia" w:eastAsiaTheme="minorEastAsia" w:cstheme="minorEastAsia"/>
                <w:sz w:val="21"/>
                <w:szCs w:val="21"/>
                <w:highlight w:val="none"/>
              </w:rPr>
            </w:pPr>
          </w:p>
          <w:p>
            <w:pPr>
              <w:pStyle w:val="21"/>
              <w:spacing w:before="10"/>
              <w:jc w:val="both"/>
              <w:rPr>
                <w:rFonts w:asciiTheme="minorEastAsia" w:hAnsiTheme="minorEastAsia" w:eastAsiaTheme="minorEastAsia" w:cstheme="minorEastAsia"/>
                <w:sz w:val="21"/>
                <w:szCs w:val="21"/>
                <w:highlight w:val="none"/>
              </w:rPr>
            </w:pPr>
          </w:p>
          <w:p>
            <w:pPr>
              <w:pStyle w:val="21"/>
              <w:ind w:left="438"/>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评审价格</w:t>
            </w:r>
          </w:p>
          <w:p>
            <w:pPr>
              <w:pStyle w:val="21"/>
              <w:ind w:left="438"/>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（10分）</w:t>
            </w:r>
          </w:p>
        </w:tc>
        <w:tc>
          <w:tcPr>
            <w:tcW w:w="6603" w:type="dxa"/>
            <w:vAlign w:val="center"/>
          </w:tcPr>
          <w:p>
            <w:pPr>
              <w:pStyle w:val="21"/>
              <w:spacing w:before="97" w:line="360" w:lineRule="auto"/>
              <w:ind w:left="4" w:right="-15"/>
              <w:jc w:val="both"/>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满足磋商文件要求且最终报价最低的报价为评审基准价，其价格分为满分。其他满足磋商文件要求的供应商的价格分统一按照下列公式计算：</w:t>
            </w:r>
          </w:p>
          <w:p>
            <w:pPr>
              <w:pStyle w:val="21"/>
              <w:spacing w:before="97" w:line="360" w:lineRule="auto"/>
              <w:ind w:left="4" w:right="-15"/>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 xml:space="preserve">评审价格分数=（评审基准价/最终报价）×价格权重（10%）×100 </w:t>
            </w:r>
          </w:p>
        </w:tc>
        <w:tc>
          <w:tcPr>
            <w:tcW w:w="741" w:type="dxa"/>
            <w:vAlign w:val="center"/>
          </w:tcPr>
          <w:p>
            <w:pPr>
              <w:pStyle w:val="21"/>
              <w:spacing w:before="2"/>
              <w:ind w:left="4"/>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736" w:type="dxa"/>
            <w:vMerge w:val="restart"/>
            <w:vAlign w:val="center"/>
          </w:tcPr>
          <w:p>
            <w:pPr>
              <w:pStyle w:val="21"/>
              <w:jc w:val="center"/>
              <w:rPr>
                <w:rFonts w:asciiTheme="minorEastAsia" w:hAnsiTheme="minorEastAsia" w:eastAsiaTheme="minorEastAsia" w:cstheme="minorEastAsia"/>
                <w:sz w:val="21"/>
                <w:szCs w:val="21"/>
                <w:highlight w:val="none"/>
              </w:rPr>
            </w:pPr>
          </w:p>
          <w:p>
            <w:pPr>
              <w:pStyle w:val="21"/>
              <w:spacing w:before="10"/>
              <w:jc w:val="center"/>
              <w:rPr>
                <w:rFonts w:asciiTheme="minorEastAsia" w:hAnsiTheme="minorEastAsia" w:eastAsiaTheme="minorEastAsia" w:cstheme="minorEastAsia"/>
                <w:sz w:val="21"/>
                <w:szCs w:val="21"/>
                <w:highlight w:val="none"/>
              </w:rPr>
            </w:pPr>
          </w:p>
          <w:p>
            <w:pPr>
              <w:pStyle w:val="21"/>
              <w:spacing w:before="1" w:line="319" w:lineRule="auto"/>
              <w:ind w:left="187" w:right="72"/>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商务部分</w:t>
            </w:r>
          </w:p>
          <w:p>
            <w:pPr>
              <w:pStyle w:val="21"/>
              <w:spacing w:before="2"/>
              <w:ind w:right="96"/>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w:t>
            </w:r>
            <w:r>
              <w:rPr>
                <w:rFonts w:hint="eastAsia" w:asciiTheme="minorEastAsia" w:hAnsiTheme="minorEastAsia" w:eastAsiaTheme="minorEastAsia" w:cstheme="minorEastAsia"/>
                <w:spacing w:val="-32"/>
                <w:sz w:val="21"/>
                <w:szCs w:val="21"/>
                <w:highlight w:val="none"/>
              </w:rPr>
              <w:t>分）</w:t>
            </w:r>
          </w:p>
        </w:tc>
        <w:tc>
          <w:tcPr>
            <w:tcW w:w="948"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企业类似业绩</w:t>
            </w:r>
          </w:p>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 xml:space="preserve"> 分）</w:t>
            </w:r>
          </w:p>
          <w:p>
            <w:pPr>
              <w:pStyle w:val="21"/>
              <w:spacing w:before="6" w:line="358" w:lineRule="exact"/>
              <w:ind w:right="79"/>
              <w:jc w:val="center"/>
              <w:rPr>
                <w:rFonts w:asciiTheme="minorEastAsia" w:hAnsiTheme="minorEastAsia" w:eastAsiaTheme="minorEastAsia" w:cstheme="minorEastAsia"/>
                <w:sz w:val="21"/>
                <w:szCs w:val="21"/>
                <w:highlight w:val="none"/>
              </w:rPr>
            </w:pPr>
          </w:p>
        </w:tc>
        <w:tc>
          <w:tcPr>
            <w:tcW w:w="6603" w:type="dxa"/>
            <w:vAlign w:val="center"/>
          </w:tcPr>
          <w:p>
            <w:pPr>
              <w:pStyle w:val="21"/>
              <w:spacing w:before="97" w:line="360" w:lineRule="auto"/>
              <w:ind w:left="4" w:right="-15"/>
              <w:jc w:val="both"/>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供应商提供近3年（2018年10月1日至投标文件递交截止日前）独立承担的与本项目类似的业绩，有一项类似项目业绩者得2分，最多</w:t>
            </w:r>
            <w:r>
              <w:rPr>
                <w:rFonts w:hint="eastAsia" w:asciiTheme="minorEastAsia" w:hAnsiTheme="minorEastAsia" w:eastAsiaTheme="minorEastAsia" w:cstheme="minorEastAsia"/>
                <w:spacing w:val="-8"/>
                <w:sz w:val="21"/>
                <w:szCs w:val="21"/>
                <w:highlight w:val="none"/>
                <w:lang w:val="en-US" w:eastAsia="zh-CN"/>
              </w:rPr>
              <w:t>8</w:t>
            </w:r>
            <w:r>
              <w:rPr>
                <w:rFonts w:hint="eastAsia" w:asciiTheme="minorEastAsia" w:hAnsiTheme="minorEastAsia" w:eastAsiaTheme="minorEastAsia" w:cstheme="minorEastAsia"/>
                <w:spacing w:val="-8"/>
                <w:sz w:val="21"/>
                <w:szCs w:val="21"/>
                <w:highlight w:val="none"/>
              </w:rPr>
              <w:t>分。</w:t>
            </w:r>
          </w:p>
          <w:p>
            <w:pPr>
              <w:pStyle w:val="21"/>
              <w:spacing w:before="97" w:line="360" w:lineRule="auto"/>
              <w:ind w:left="4" w:right="-15"/>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备注：业绩证明（以合同或中标通知书为准，在投标文件中附合同扫描件或中标通知书扫描件加盖单位公章，须携带原件备查，弄虚作假者取消其投标资格）。</w:t>
            </w:r>
          </w:p>
        </w:tc>
        <w:tc>
          <w:tcPr>
            <w:tcW w:w="741" w:type="dxa"/>
            <w:vAlign w:val="center"/>
          </w:tcPr>
          <w:p>
            <w:pPr>
              <w:pStyle w:val="21"/>
              <w:spacing w:before="121" w:line="321" w:lineRule="auto"/>
              <w:ind w:left="4" w:right="127"/>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vMerge w:val="continue"/>
            <w:vAlign w:val="center"/>
          </w:tcPr>
          <w:p>
            <w:pPr>
              <w:jc w:val="center"/>
              <w:rPr>
                <w:rFonts w:asciiTheme="minorEastAsia" w:hAnsiTheme="minorEastAsia" w:eastAsiaTheme="minorEastAsia" w:cstheme="minorEastAsia"/>
                <w:szCs w:val="21"/>
                <w:highlight w:val="none"/>
              </w:rPr>
            </w:pPr>
          </w:p>
        </w:tc>
        <w:tc>
          <w:tcPr>
            <w:tcW w:w="948" w:type="dxa"/>
            <w:vAlign w:val="center"/>
          </w:tcPr>
          <w:p>
            <w:pPr>
              <w:pStyle w:val="21"/>
              <w:spacing w:before="7"/>
              <w:jc w:val="center"/>
              <w:rPr>
                <w:rFonts w:asciiTheme="minorEastAsia" w:hAnsiTheme="minorEastAsia" w:eastAsiaTheme="minorEastAsia" w:cstheme="minorEastAsia"/>
                <w:sz w:val="21"/>
                <w:szCs w:val="21"/>
                <w:highlight w:val="none"/>
              </w:rPr>
            </w:pPr>
          </w:p>
          <w:p>
            <w:pPr>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项目负责人</w:t>
            </w:r>
            <w:r>
              <w:rPr>
                <w:rFonts w:hint="eastAsia" w:asciiTheme="minorEastAsia" w:hAnsiTheme="minorEastAsia" w:eastAsiaTheme="minorEastAsia" w:cstheme="minorEastAsia"/>
                <w:sz w:val="21"/>
                <w:szCs w:val="21"/>
                <w:highlight w:val="none"/>
              </w:rPr>
              <w:t>（5 分）</w:t>
            </w:r>
          </w:p>
        </w:tc>
        <w:tc>
          <w:tcPr>
            <w:tcW w:w="6603" w:type="dxa"/>
            <w:vAlign w:val="center"/>
          </w:tcPr>
          <w:p>
            <w:pPr>
              <w:pStyle w:val="21"/>
              <w:spacing w:before="97" w:line="360" w:lineRule="auto"/>
              <w:ind w:left="4" w:right="-15"/>
              <w:jc w:val="both"/>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项目负责人（满分5分）</w:t>
            </w:r>
          </w:p>
          <w:p>
            <w:pPr>
              <w:pStyle w:val="21"/>
              <w:spacing w:before="97" w:line="360" w:lineRule="auto"/>
              <w:ind w:left="4" w:right="-15"/>
              <w:jc w:val="both"/>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近三年具有一项类似服务项目业绩的得基本分2分。每增加一项类似服务项目加1分，最高得4分；</w:t>
            </w:r>
          </w:p>
          <w:p>
            <w:pPr>
              <w:pStyle w:val="21"/>
              <w:spacing w:before="97" w:line="360" w:lineRule="auto"/>
              <w:ind w:left="4" w:right="-15"/>
              <w:jc w:val="both"/>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具有高级职称得 1 分，其他得 0 分；</w:t>
            </w:r>
          </w:p>
          <w:p>
            <w:pPr>
              <w:pStyle w:val="21"/>
              <w:spacing w:before="97" w:line="360" w:lineRule="auto"/>
              <w:ind w:left="4" w:right="-15"/>
              <w:jc w:val="both"/>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提供项目负责人近 3 个月内在本单位缴纳社保的证明。</w:t>
            </w:r>
          </w:p>
          <w:p>
            <w:pPr>
              <w:pStyle w:val="21"/>
              <w:spacing w:before="97" w:line="360" w:lineRule="auto"/>
              <w:ind w:left="4" w:right="-15"/>
              <w:jc w:val="both"/>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 xml:space="preserve">备注：1.业绩证明文件（包含显示本项目负责人姓名内容合同复印件或采购人出具的履约证明文件）； </w:t>
            </w:r>
          </w:p>
          <w:p>
            <w:pPr>
              <w:pStyle w:val="21"/>
              <w:spacing w:before="97" w:line="360" w:lineRule="auto"/>
              <w:ind w:left="4" w:right="-15"/>
              <w:jc w:val="both"/>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2.提供简历、身份证、学历证书、职称证及其他证明文件。</w:t>
            </w:r>
          </w:p>
        </w:tc>
        <w:tc>
          <w:tcPr>
            <w:tcW w:w="741" w:type="dxa"/>
            <w:vAlign w:val="center"/>
          </w:tcPr>
          <w:p>
            <w:pPr>
              <w:pStyle w:val="21"/>
              <w:spacing w:line="242" w:lineRule="exact"/>
              <w:ind w:left="4"/>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736" w:type="dxa"/>
            <w:vMerge w:val="continue"/>
            <w:vAlign w:val="center"/>
          </w:tcPr>
          <w:p>
            <w:pPr>
              <w:pStyle w:val="21"/>
              <w:spacing w:line="266" w:lineRule="exact"/>
              <w:ind w:right="96"/>
              <w:jc w:val="center"/>
              <w:rPr>
                <w:rFonts w:asciiTheme="minorEastAsia" w:hAnsiTheme="minorEastAsia" w:eastAsiaTheme="minorEastAsia" w:cstheme="minorEastAsia"/>
                <w:sz w:val="21"/>
                <w:szCs w:val="21"/>
                <w:highlight w:val="none"/>
              </w:rPr>
            </w:pPr>
          </w:p>
        </w:tc>
        <w:tc>
          <w:tcPr>
            <w:tcW w:w="948" w:type="dxa"/>
            <w:vAlign w:val="center"/>
          </w:tcPr>
          <w:p>
            <w:pPr>
              <w:pStyle w:val="21"/>
              <w:jc w:val="center"/>
              <w:rPr>
                <w:highlight w:val="none"/>
              </w:rPr>
            </w:pPr>
          </w:p>
          <w:p>
            <w:pPr>
              <w:spacing w:line="312" w:lineRule="auto"/>
              <w:jc w:val="center"/>
              <w:rPr>
                <w:highlight w:val="none"/>
              </w:rPr>
            </w:pPr>
            <w:r>
              <w:rPr>
                <w:rFonts w:hint="eastAsia"/>
                <w:highlight w:val="none"/>
              </w:rPr>
              <w:t>响应文件制作质量</w:t>
            </w:r>
          </w:p>
          <w:p>
            <w:pPr>
              <w:pStyle w:val="19"/>
              <w:ind w:firstLine="0" w:firstLineChars="0"/>
              <w:jc w:val="center"/>
              <w:rPr>
                <w:highlight w:val="none"/>
              </w:rPr>
            </w:pPr>
            <w:r>
              <w:rPr>
                <w:rFonts w:hint="eastAsia"/>
                <w:highlight w:val="none"/>
              </w:rPr>
              <w:t>（</w:t>
            </w:r>
            <w:r>
              <w:rPr>
                <w:rFonts w:hint="eastAsia" w:asciiTheme="minorEastAsia" w:hAnsiTheme="minorEastAsia" w:eastAsiaTheme="minorEastAsia" w:cstheme="minorEastAsia"/>
                <w:kern w:val="0"/>
                <w:szCs w:val="21"/>
                <w:highlight w:val="none"/>
              </w:rPr>
              <w:t>2分</w:t>
            </w:r>
            <w:r>
              <w:rPr>
                <w:rFonts w:hint="eastAsia"/>
                <w:highlight w:val="none"/>
              </w:rPr>
              <w:t>）</w:t>
            </w:r>
          </w:p>
        </w:tc>
        <w:tc>
          <w:tcPr>
            <w:tcW w:w="6603" w:type="dxa"/>
            <w:vAlign w:val="center"/>
          </w:tcPr>
          <w:p>
            <w:pPr>
              <w:pStyle w:val="19"/>
              <w:spacing w:line="360" w:lineRule="auto"/>
              <w:ind w:firstLine="0"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编制内容完整、齐全、叙述严谨、响应文件无涂改、错页、漏页现象，否则酌情扣分。</w:t>
            </w:r>
          </w:p>
        </w:tc>
        <w:tc>
          <w:tcPr>
            <w:tcW w:w="741" w:type="dxa"/>
            <w:vAlign w:val="center"/>
          </w:tcPr>
          <w:p>
            <w:pPr>
              <w:pStyle w:val="21"/>
              <w:spacing w:line="266" w:lineRule="exact"/>
              <w:ind w:left="4"/>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36" w:type="dxa"/>
            <w:vMerge w:val="restart"/>
            <w:vAlign w:val="center"/>
          </w:tcPr>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r>
              <w:rPr>
                <w:rFonts w:hint="eastAsia"/>
                <w:highlight w:val="none"/>
              </w:rPr>
              <w:t>技术部分（7</w:t>
            </w:r>
            <w:r>
              <w:rPr>
                <w:rFonts w:hint="eastAsia"/>
                <w:highlight w:val="none"/>
                <w:lang w:val="en-US" w:eastAsia="zh-CN"/>
              </w:rPr>
              <w:t>5</w:t>
            </w:r>
            <w:r>
              <w:rPr>
                <w:rFonts w:hint="eastAsia"/>
                <w:highlight w:val="none"/>
              </w:rPr>
              <w:t>分）</w:t>
            </w:r>
          </w:p>
        </w:tc>
        <w:tc>
          <w:tcPr>
            <w:tcW w:w="948" w:type="dxa"/>
            <w:vAlign w:val="center"/>
          </w:tcPr>
          <w:p>
            <w:pPr>
              <w:jc w:val="center"/>
              <w:rPr>
                <w:highlight w:val="none"/>
              </w:rPr>
            </w:pPr>
          </w:p>
          <w:p>
            <w:pPr>
              <w:jc w:val="center"/>
              <w:rPr>
                <w:highlight w:val="none"/>
              </w:rPr>
            </w:pPr>
            <w:r>
              <w:rPr>
                <w:rFonts w:hint="eastAsia"/>
                <w:highlight w:val="none"/>
              </w:rPr>
              <w:t>对本项目的理解与认识</w:t>
            </w:r>
          </w:p>
          <w:p>
            <w:pPr>
              <w:jc w:val="center"/>
              <w:rPr>
                <w:highlight w:val="none"/>
              </w:rPr>
            </w:pPr>
            <w:r>
              <w:rPr>
                <w:rFonts w:hint="eastAsia"/>
                <w:highlight w:val="none"/>
              </w:rPr>
              <w:t>（</w:t>
            </w:r>
            <w:r>
              <w:rPr>
                <w:rFonts w:hint="eastAsia" w:asciiTheme="minorEastAsia" w:hAnsiTheme="minorEastAsia" w:eastAsiaTheme="minorEastAsia" w:cstheme="minorEastAsia"/>
                <w:kern w:val="0"/>
                <w:szCs w:val="21"/>
                <w:highlight w:val="none"/>
              </w:rPr>
              <w:t>1</w:t>
            </w:r>
            <w:r>
              <w:rPr>
                <w:rFonts w:hint="eastAsia" w:asciiTheme="minorEastAsia" w:hAnsiTheme="minorEastAsia" w:eastAsiaTheme="minorEastAsia" w:cstheme="minorEastAsia"/>
                <w:kern w:val="0"/>
                <w:szCs w:val="21"/>
                <w:highlight w:val="none"/>
                <w:lang w:val="en-US" w:eastAsia="zh-CN"/>
              </w:rPr>
              <w:t>5</w:t>
            </w:r>
            <w:r>
              <w:rPr>
                <w:rFonts w:hint="eastAsia"/>
                <w:highlight w:val="none"/>
              </w:rPr>
              <w:t xml:space="preserve"> 分）</w:t>
            </w:r>
          </w:p>
        </w:tc>
        <w:tc>
          <w:tcPr>
            <w:tcW w:w="6603" w:type="dxa"/>
            <w:vAlign w:val="center"/>
          </w:tcPr>
          <w:p>
            <w:pPr>
              <w:pStyle w:val="21"/>
              <w:spacing w:before="97" w:line="360" w:lineRule="auto"/>
              <w:ind w:left="4" w:right="-15"/>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熟悉本项目业务需求，对项目理解和认识丰富、完整、准确，做出说明,</w:t>
            </w:r>
            <w:r>
              <w:rPr>
                <w:rFonts w:hint="eastAsia" w:asciiTheme="minorEastAsia" w:hAnsiTheme="minorEastAsia" w:eastAsiaTheme="minorEastAsia" w:cstheme="minorEastAsia"/>
                <w:sz w:val="21"/>
                <w:szCs w:val="21"/>
                <w:highlight w:val="none"/>
              </w:rPr>
              <w:t xml:space="preserve">横向对比综合赋分： </w:t>
            </w:r>
          </w:p>
          <w:p>
            <w:pPr>
              <w:pStyle w:val="21"/>
              <w:spacing w:line="360" w:lineRule="auto"/>
              <w:ind w:left="4"/>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优秀得10-1</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分；良好得6-9分；一般得0-5分。 </w:t>
            </w:r>
          </w:p>
        </w:tc>
        <w:tc>
          <w:tcPr>
            <w:tcW w:w="741" w:type="dxa"/>
            <w:vAlign w:val="center"/>
          </w:tcPr>
          <w:p>
            <w:pPr>
              <w:pStyle w:val="21"/>
              <w:spacing w:line="266" w:lineRule="exact"/>
              <w:ind w:left="4"/>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0-1</w:t>
            </w:r>
            <w:r>
              <w:rPr>
                <w:rFonts w:hint="eastAsia" w:asciiTheme="minorEastAsia" w:hAnsiTheme="minorEastAsia" w:eastAsiaTheme="minorEastAsia" w:cstheme="minorEastAsia"/>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36" w:type="dxa"/>
            <w:vMerge w:val="continue"/>
            <w:vAlign w:val="center"/>
          </w:tcPr>
          <w:p>
            <w:pPr>
              <w:jc w:val="center"/>
              <w:rPr>
                <w:highlight w:val="none"/>
              </w:rPr>
            </w:pPr>
          </w:p>
        </w:tc>
        <w:tc>
          <w:tcPr>
            <w:tcW w:w="948" w:type="dxa"/>
            <w:vAlign w:val="center"/>
          </w:tcPr>
          <w:p>
            <w:pPr>
              <w:jc w:val="center"/>
              <w:rPr>
                <w:highlight w:val="none"/>
              </w:rPr>
            </w:pPr>
            <w:r>
              <w:rPr>
                <w:rFonts w:hint="eastAsia"/>
                <w:highlight w:val="none"/>
              </w:rPr>
              <w:t>项目团队（</w:t>
            </w:r>
            <w:r>
              <w:rPr>
                <w:rFonts w:hint="eastAsia" w:asciiTheme="minorEastAsia" w:hAnsiTheme="minorEastAsia" w:eastAsiaTheme="minorEastAsia" w:cstheme="minorEastAsia"/>
                <w:kern w:val="0"/>
                <w:szCs w:val="21"/>
                <w:highlight w:val="none"/>
                <w:lang w:val="en-US" w:eastAsia="zh-CN"/>
              </w:rPr>
              <w:t>5</w:t>
            </w:r>
            <w:r>
              <w:rPr>
                <w:rFonts w:hint="eastAsia"/>
                <w:highlight w:val="none"/>
              </w:rPr>
              <w:t>分）</w:t>
            </w:r>
          </w:p>
        </w:tc>
        <w:tc>
          <w:tcPr>
            <w:tcW w:w="6603" w:type="dxa"/>
            <w:vAlign w:val="center"/>
          </w:tcPr>
          <w:p>
            <w:pPr>
              <w:pStyle w:val="21"/>
              <w:spacing w:before="43" w:line="278" w:lineRule="auto"/>
              <w:ind w:left="107" w:right="108"/>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供应商针对本项目有合理的项目组架构、固定的制作班底，有详细的调配措施，人员配备齐全；根据供应商投标文件的响应程度横向对比，综合赋分：</w:t>
            </w:r>
          </w:p>
          <w:p>
            <w:pPr>
              <w:pStyle w:val="21"/>
              <w:spacing w:line="266" w:lineRule="exact"/>
              <w:ind w:left="4"/>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优秀得 </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 分；良好得 </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xml:space="preserve"> 分；一般得 0-</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 xml:space="preserve"> 分。 </w:t>
            </w:r>
          </w:p>
          <w:p>
            <w:pPr>
              <w:pStyle w:val="21"/>
              <w:spacing w:line="360" w:lineRule="auto"/>
              <w:ind w:left="4"/>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注：提供项目人员简历表、身份证、学历证、职称证、相关经验、资质、证书等及本单位社保证明等材料加盖单位公章的证明材料 。</w:t>
            </w:r>
          </w:p>
        </w:tc>
        <w:tc>
          <w:tcPr>
            <w:tcW w:w="741" w:type="dxa"/>
            <w:vAlign w:val="center"/>
          </w:tcPr>
          <w:p>
            <w:pPr>
              <w:pStyle w:val="21"/>
              <w:spacing w:line="266" w:lineRule="exact"/>
              <w:ind w:left="4"/>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36" w:type="dxa"/>
            <w:vMerge w:val="continue"/>
            <w:vAlign w:val="center"/>
          </w:tcPr>
          <w:p>
            <w:pPr>
              <w:jc w:val="center"/>
              <w:rPr>
                <w:rFonts w:asciiTheme="minorEastAsia" w:hAnsiTheme="minorEastAsia" w:eastAsiaTheme="minorEastAsia" w:cstheme="minorEastAsia"/>
                <w:szCs w:val="21"/>
                <w:highlight w:val="none"/>
              </w:rPr>
            </w:pPr>
          </w:p>
        </w:tc>
        <w:tc>
          <w:tcPr>
            <w:tcW w:w="948" w:type="dxa"/>
            <w:vAlign w:val="center"/>
          </w:tcPr>
          <w:p>
            <w:pPr>
              <w:jc w:val="center"/>
              <w:rPr>
                <w:highlight w:val="none"/>
              </w:rPr>
            </w:pPr>
          </w:p>
          <w:p>
            <w:pPr>
              <w:jc w:val="center"/>
              <w:rPr>
                <w:highlight w:val="none"/>
              </w:rPr>
            </w:pPr>
            <w:r>
              <w:rPr>
                <w:rFonts w:hint="eastAsia"/>
                <w:highlight w:val="none"/>
              </w:rPr>
              <w:t>总体实施方案（</w:t>
            </w:r>
            <w:r>
              <w:rPr>
                <w:rFonts w:hint="eastAsia" w:asciiTheme="minorEastAsia" w:hAnsiTheme="minorEastAsia" w:eastAsiaTheme="minorEastAsia" w:cstheme="minorEastAsia"/>
                <w:kern w:val="0"/>
                <w:szCs w:val="21"/>
                <w:highlight w:val="none"/>
              </w:rPr>
              <w:t>2</w:t>
            </w:r>
            <w:r>
              <w:rPr>
                <w:rFonts w:hint="eastAsia" w:asciiTheme="minorEastAsia" w:hAnsiTheme="minorEastAsia" w:eastAsiaTheme="minorEastAsia" w:cstheme="minorEastAsia"/>
                <w:kern w:val="0"/>
                <w:szCs w:val="21"/>
                <w:highlight w:val="none"/>
                <w:lang w:val="en-US" w:eastAsia="zh-CN"/>
              </w:rPr>
              <w:t>5</w:t>
            </w:r>
            <w:r>
              <w:rPr>
                <w:rFonts w:hint="eastAsia"/>
                <w:highlight w:val="none"/>
              </w:rPr>
              <w:t>分）</w:t>
            </w:r>
          </w:p>
        </w:tc>
        <w:tc>
          <w:tcPr>
            <w:tcW w:w="6603" w:type="dxa"/>
            <w:vAlign w:val="center"/>
          </w:tcPr>
          <w:p>
            <w:pPr>
              <w:pStyle w:val="21"/>
              <w:spacing w:before="6" w:line="360" w:lineRule="auto"/>
              <w:ind w:left="4" w:right="24"/>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方案思路及内容合理、严谨、清晰、全面，对于各分项技术要求有明确且具针对性的实施方案：</w:t>
            </w:r>
          </w:p>
          <w:p>
            <w:pPr>
              <w:pStyle w:val="21"/>
              <w:spacing w:before="6" w:line="360" w:lineRule="auto"/>
              <w:ind w:left="4" w:right="24"/>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4"/>
                <w:sz w:val="21"/>
                <w:szCs w:val="21"/>
                <w:highlight w:val="none"/>
              </w:rPr>
              <w:t>优</w:t>
            </w:r>
            <w:r>
              <w:rPr>
                <w:rFonts w:hint="eastAsia" w:asciiTheme="minorEastAsia" w:hAnsiTheme="minorEastAsia" w:eastAsiaTheme="minorEastAsia" w:cstheme="minorEastAsia"/>
                <w:sz w:val="21"/>
                <w:szCs w:val="21"/>
                <w:highlight w:val="none"/>
              </w:rPr>
              <w:t>秀得</w:t>
            </w:r>
            <w:r>
              <w:rPr>
                <w:rFonts w:hint="eastAsia" w:asciiTheme="minorEastAsia" w:hAnsiTheme="minorEastAsia" w:eastAsiaTheme="minorEastAsia" w:cstheme="minorEastAsia"/>
                <w:spacing w:val="-4"/>
                <w:sz w:val="21"/>
                <w:szCs w:val="21"/>
                <w:highlight w:val="none"/>
              </w:rPr>
              <w:t xml:space="preserve"> </w:t>
            </w:r>
            <w:r>
              <w:rPr>
                <w:rFonts w:hint="eastAsia" w:asciiTheme="minorEastAsia" w:hAnsiTheme="minorEastAsia" w:eastAsiaTheme="minorEastAsia" w:cstheme="minorEastAsia"/>
                <w:spacing w:val="-4"/>
                <w:sz w:val="21"/>
                <w:szCs w:val="21"/>
                <w:highlight w:val="none"/>
                <w:lang w:val="en-US" w:eastAsia="zh-CN"/>
              </w:rPr>
              <w:t>20</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pacing w:val="-24"/>
                <w:sz w:val="21"/>
                <w:szCs w:val="21"/>
                <w:highlight w:val="none"/>
              </w:rPr>
              <w:t xml:space="preserve"> 分；良好得 </w:t>
            </w:r>
            <w:r>
              <w:rPr>
                <w:rFonts w:hint="eastAsia" w:asciiTheme="minorEastAsia" w:hAnsiTheme="minorEastAsia" w:eastAsiaTheme="minorEastAsia" w:cstheme="minorEastAsia"/>
                <w:sz w:val="21"/>
                <w:szCs w:val="21"/>
                <w:highlight w:val="none"/>
              </w:rPr>
              <w:t>11-</w:t>
            </w:r>
            <w:r>
              <w:rPr>
                <w:rFonts w:hint="eastAsia" w:asciiTheme="minorEastAsia" w:hAnsiTheme="minorEastAsia" w:eastAsiaTheme="minorEastAsia" w:cstheme="minorEastAsia"/>
                <w:sz w:val="21"/>
                <w:szCs w:val="21"/>
                <w:highlight w:val="none"/>
                <w:lang w:val="en-US" w:eastAsia="zh-CN"/>
              </w:rPr>
              <w:t>19</w:t>
            </w:r>
            <w:r>
              <w:rPr>
                <w:rFonts w:hint="eastAsia" w:asciiTheme="minorEastAsia" w:hAnsiTheme="minorEastAsia" w:eastAsiaTheme="minorEastAsia" w:cstheme="minorEastAsia"/>
                <w:sz w:val="21"/>
                <w:szCs w:val="21"/>
                <w:highlight w:val="none"/>
              </w:rPr>
              <w:t>分；一般的</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-10分</w:t>
            </w:r>
            <w:r>
              <w:rPr>
                <w:rFonts w:hint="eastAsia" w:asciiTheme="minorEastAsia" w:hAnsiTheme="minorEastAsia" w:eastAsiaTheme="minorEastAsia" w:cstheme="minorEastAsia"/>
                <w:sz w:val="21"/>
                <w:szCs w:val="21"/>
                <w:highlight w:val="none"/>
                <w:lang w:eastAsia="zh-CN"/>
              </w:rPr>
              <w:t>。</w:t>
            </w:r>
          </w:p>
        </w:tc>
        <w:tc>
          <w:tcPr>
            <w:tcW w:w="741" w:type="dxa"/>
            <w:vAlign w:val="center"/>
          </w:tcPr>
          <w:p>
            <w:pPr>
              <w:pStyle w:val="21"/>
              <w:spacing w:before="6" w:line="358" w:lineRule="exact"/>
              <w:ind w:left="4" w:right="24"/>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0-2</w:t>
            </w:r>
            <w:r>
              <w:rPr>
                <w:rFonts w:hint="eastAsia" w:asciiTheme="minorEastAsia" w:hAnsiTheme="minorEastAsia" w:eastAsiaTheme="minorEastAsia" w:cstheme="minorEastAsia"/>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6" w:type="dxa"/>
            <w:vMerge w:val="continue"/>
            <w:vAlign w:val="center"/>
          </w:tcPr>
          <w:p>
            <w:pPr>
              <w:jc w:val="center"/>
              <w:rPr>
                <w:rFonts w:asciiTheme="minorEastAsia" w:hAnsiTheme="minorEastAsia" w:eastAsiaTheme="minorEastAsia" w:cstheme="minorEastAsia"/>
                <w:szCs w:val="21"/>
                <w:highlight w:val="none"/>
              </w:rPr>
            </w:pPr>
          </w:p>
        </w:tc>
        <w:tc>
          <w:tcPr>
            <w:tcW w:w="948" w:type="dxa"/>
            <w:vAlign w:val="center"/>
          </w:tcPr>
          <w:p>
            <w:pPr>
              <w:jc w:val="center"/>
              <w:rPr>
                <w:highlight w:val="none"/>
              </w:rPr>
            </w:pPr>
            <w:r>
              <w:rPr>
                <w:rFonts w:hint="eastAsia"/>
                <w:highlight w:val="none"/>
              </w:rPr>
              <w:t>服务质量控制措施（</w:t>
            </w:r>
            <w:r>
              <w:rPr>
                <w:rFonts w:hint="eastAsia" w:asciiTheme="minorEastAsia" w:hAnsiTheme="minorEastAsia" w:eastAsiaTheme="minorEastAsia" w:cstheme="minorEastAsia"/>
                <w:kern w:val="0"/>
                <w:szCs w:val="21"/>
                <w:highlight w:val="none"/>
                <w:lang w:val="en-US" w:eastAsia="zh-CN"/>
              </w:rPr>
              <w:t>5</w:t>
            </w:r>
            <w:r>
              <w:rPr>
                <w:rFonts w:hint="eastAsia"/>
                <w:highlight w:val="none"/>
              </w:rPr>
              <w:t>分）</w:t>
            </w:r>
          </w:p>
        </w:tc>
        <w:tc>
          <w:tcPr>
            <w:tcW w:w="6603" w:type="dxa"/>
            <w:vAlign w:val="center"/>
          </w:tcPr>
          <w:p>
            <w:pPr>
              <w:pStyle w:val="21"/>
              <w:spacing w:before="4" w:line="360" w:lineRule="exact"/>
              <w:ind w:left="4" w:right="129"/>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为保证项目质量，针对本项目提供</w:t>
            </w:r>
            <w:r>
              <w:rPr>
                <w:rFonts w:hint="eastAsia"/>
                <w:highlight w:val="none"/>
              </w:rPr>
              <w:t>质量控制措施</w:t>
            </w:r>
            <w:r>
              <w:rPr>
                <w:rFonts w:hint="eastAsia" w:asciiTheme="minorEastAsia" w:hAnsiTheme="minorEastAsia" w:eastAsiaTheme="minorEastAsia" w:cstheme="minorEastAsia"/>
                <w:sz w:val="21"/>
                <w:szCs w:val="21"/>
                <w:highlight w:val="none"/>
              </w:rPr>
              <w:t>，包括完成本项目的所有环节：</w:t>
            </w:r>
          </w:p>
          <w:p>
            <w:pPr>
              <w:pStyle w:val="21"/>
              <w:spacing w:before="4" w:line="360" w:lineRule="exact"/>
              <w:ind w:left="4" w:right="129"/>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 xml:space="preserve">优秀得 </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 分；良好得 </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xml:space="preserve"> 分；一般得 </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 xml:space="preserve"> 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不提供者不得分</w:t>
            </w:r>
            <w:r>
              <w:rPr>
                <w:rFonts w:hint="eastAsia" w:asciiTheme="minorEastAsia" w:hAnsiTheme="minorEastAsia" w:eastAsiaTheme="minorEastAsia" w:cstheme="minorEastAsia"/>
                <w:sz w:val="21"/>
                <w:szCs w:val="21"/>
                <w:highlight w:val="none"/>
                <w:lang w:eastAsia="zh-CN"/>
              </w:rPr>
              <w:t>。</w:t>
            </w:r>
          </w:p>
        </w:tc>
        <w:tc>
          <w:tcPr>
            <w:tcW w:w="741"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0-</w:t>
            </w:r>
            <w:r>
              <w:rPr>
                <w:rFonts w:hint="eastAsia" w:asciiTheme="minorEastAsia" w:hAnsiTheme="minorEastAsia" w:eastAsiaTheme="minorEastAsia" w:cstheme="minorEastAsia"/>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6" w:type="dxa"/>
            <w:vMerge w:val="continue"/>
            <w:vAlign w:val="center"/>
          </w:tcPr>
          <w:p>
            <w:pPr>
              <w:jc w:val="center"/>
              <w:rPr>
                <w:rFonts w:asciiTheme="minorEastAsia" w:hAnsiTheme="minorEastAsia" w:eastAsiaTheme="minorEastAsia" w:cstheme="minorEastAsia"/>
                <w:szCs w:val="21"/>
                <w:highlight w:val="none"/>
              </w:rPr>
            </w:pPr>
          </w:p>
        </w:tc>
        <w:tc>
          <w:tcPr>
            <w:tcW w:w="948" w:type="dxa"/>
            <w:vAlign w:val="center"/>
          </w:tcPr>
          <w:p>
            <w:pPr>
              <w:jc w:val="center"/>
              <w:rPr>
                <w:highlight w:val="none"/>
              </w:rPr>
            </w:pPr>
            <w:r>
              <w:rPr>
                <w:rFonts w:hint="eastAsia"/>
                <w:highlight w:val="none"/>
              </w:rPr>
              <w:t>工作进度控制措施（</w:t>
            </w:r>
            <w:r>
              <w:rPr>
                <w:rFonts w:hint="eastAsia" w:asciiTheme="minorEastAsia" w:hAnsiTheme="minorEastAsia" w:eastAsiaTheme="minorEastAsia" w:cstheme="minorEastAsia"/>
                <w:kern w:val="0"/>
                <w:szCs w:val="21"/>
                <w:highlight w:val="none"/>
              </w:rPr>
              <w:t>5</w:t>
            </w:r>
            <w:r>
              <w:rPr>
                <w:rFonts w:hint="eastAsia"/>
                <w:highlight w:val="none"/>
              </w:rPr>
              <w:t xml:space="preserve"> 分）</w:t>
            </w:r>
          </w:p>
        </w:tc>
        <w:tc>
          <w:tcPr>
            <w:tcW w:w="6603" w:type="dxa"/>
            <w:vAlign w:val="center"/>
          </w:tcPr>
          <w:p>
            <w:pPr>
              <w:pStyle w:val="21"/>
              <w:spacing w:before="4" w:line="360" w:lineRule="exact"/>
              <w:ind w:left="4" w:right="129"/>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工作进度控制措施有力，实施进度安排和时间节点合理、详细、可操作性强：</w:t>
            </w:r>
          </w:p>
          <w:p>
            <w:pPr>
              <w:pStyle w:val="21"/>
              <w:spacing w:before="4" w:line="360" w:lineRule="auto"/>
              <w:ind w:left="4" w:right="129"/>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优秀得 4-5 分；良好得 2-3 分；一般得</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 xml:space="preserve">；不提供者不得分。 </w:t>
            </w:r>
          </w:p>
        </w:tc>
        <w:tc>
          <w:tcPr>
            <w:tcW w:w="741"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36" w:type="dxa"/>
            <w:vMerge w:val="continue"/>
            <w:vAlign w:val="center"/>
          </w:tcPr>
          <w:p>
            <w:pPr>
              <w:jc w:val="center"/>
              <w:rPr>
                <w:rFonts w:asciiTheme="minorEastAsia" w:hAnsiTheme="minorEastAsia" w:eastAsiaTheme="minorEastAsia" w:cstheme="minorEastAsia"/>
                <w:szCs w:val="21"/>
                <w:highlight w:val="none"/>
              </w:rPr>
            </w:pPr>
          </w:p>
        </w:tc>
        <w:tc>
          <w:tcPr>
            <w:tcW w:w="948" w:type="dxa"/>
            <w:tcBorders>
              <w:bottom w:val="single" w:color="auto" w:sz="4" w:space="0"/>
            </w:tcBorders>
            <w:vAlign w:val="center"/>
          </w:tcPr>
          <w:p>
            <w:pPr>
              <w:jc w:val="center"/>
              <w:rPr>
                <w:highlight w:val="none"/>
              </w:rPr>
            </w:pPr>
            <w:r>
              <w:rPr>
                <w:rFonts w:hint="eastAsia"/>
                <w:highlight w:val="none"/>
              </w:rPr>
              <w:t>配套服务措施</w:t>
            </w:r>
          </w:p>
          <w:p>
            <w:pPr>
              <w:jc w:val="center"/>
              <w:rPr>
                <w:highlight w:val="none"/>
              </w:rPr>
            </w:pPr>
            <w:r>
              <w:rPr>
                <w:rFonts w:hint="eastAsia"/>
                <w:highlight w:val="none"/>
              </w:rPr>
              <w:t>（</w:t>
            </w:r>
            <w:r>
              <w:rPr>
                <w:rFonts w:hint="eastAsia" w:asciiTheme="minorEastAsia" w:hAnsiTheme="minorEastAsia" w:eastAsiaTheme="minorEastAsia" w:cstheme="minorEastAsia"/>
                <w:kern w:val="0"/>
                <w:szCs w:val="21"/>
                <w:highlight w:val="none"/>
              </w:rPr>
              <w:t>1</w:t>
            </w:r>
            <w:r>
              <w:rPr>
                <w:rFonts w:hint="eastAsia" w:asciiTheme="minorEastAsia" w:hAnsiTheme="minorEastAsia" w:eastAsiaTheme="minorEastAsia" w:cstheme="minorEastAsia"/>
                <w:kern w:val="0"/>
                <w:szCs w:val="21"/>
                <w:highlight w:val="none"/>
                <w:lang w:val="en-US" w:eastAsia="zh-CN"/>
              </w:rPr>
              <w:t>4</w:t>
            </w:r>
            <w:r>
              <w:rPr>
                <w:rFonts w:hint="eastAsia" w:asciiTheme="minorEastAsia" w:hAnsiTheme="minorEastAsia" w:eastAsiaTheme="minorEastAsia" w:cstheme="minorEastAsia"/>
                <w:kern w:val="0"/>
                <w:szCs w:val="21"/>
                <w:highlight w:val="none"/>
              </w:rPr>
              <w:t xml:space="preserve"> </w:t>
            </w:r>
            <w:r>
              <w:rPr>
                <w:rFonts w:hint="eastAsia"/>
                <w:highlight w:val="none"/>
              </w:rPr>
              <w:t>分）</w:t>
            </w:r>
          </w:p>
        </w:tc>
        <w:tc>
          <w:tcPr>
            <w:tcW w:w="6603" w:type="dxa"/>
            <w:tcBorders>
              <w:bottom w:val="single" w:color="auto" w:sz="4" w:space="0"/>
            </w:tcBorders>
            <w:vAlign w:val="center"/>
          </w:tcPr>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根据投标人提出的配套服务措施及承诺进行横向对比综合赋分：</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优秀得 </w:t>
            </w:r>
            <w:r>
              <w:rPr>
                <w:rFonts w:hint="eastAsia" w:asciiTheme="minorEastAsia" w:hAnsiTheme="minorEastAsia" w:eastAsiaTheme="minorEastAsia" w:cstheme="minorEastAsia"/>
                <w:szCs w:val="21"/>
                <w:highlight w:val="none"/>
                <w:lang w:val="en-US" w:eastAsia="zh-CN"/>
              </w:rPr>
              <w:t>10</w:t>
            </w: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分；良好得 4-</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 xml:space="preserve"> 分；一般得 0-3 分。 </w:t>
            </w:r>
          </w:p>
        </w:tc>
        <w:tc>
          <w:tcPr>
            <w:tcW w:w="741" w:type="dxa"/>
            <w:tcBorders>
              <w:bottom w:val="single" w:color="auto" w:sz="4" w:space="0"/>
            </w:tcBorders>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0-1</w:t>
            </w:r>
            <w:r>
              <w:rPr>
                <w:rFonts w:hint="eastAsia" w:asciiTheme="minorEastAsia" w:hAnsiTheme="minorEastAsia" w:eastAsiaTheme="minorEastAsia" w:cstheme="minorEastAsia"/>
                <w:szCs w:val="21"/>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36" w:type="dxa"/>
            <w:vMerge w:val="continue"/>
            <w:vAlign w:val="center"/>
          </w:tcPr>
          <w:p>
            <w:pPr>
              <w:jc w:val="center"/>
              <w:rPr>
                <w:rFonts w:asciiTheme="minorEastAsia" w:hAnsiTheme="minorEastAsia" w:eastAsiaTheme="minorEastAsia" w:cstheme="minorEastAsia"/>
                <w:szCs w:val="21"/>
                <w:highlight w:val="none"/>
              </w:rPr>
            </w:pPr>
          </w:p>
        </w:tc>
        <w:tc>
          <w:tcPr>
            <w:tcW w:w="948" w:type="dxa"/>
            <w:tcBorders>
              <w:bottom w:val="single" w:color="auto" w:sz="4" w:space="0"/>
            </w:tcBorders>
            <w:vAlign w:val="center"/>
          </w:tcPr>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服务及售后承诺（</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分）</w:t>
            </w:r>
          </w:p>
        </w:tc>
        <w:tc>
          <w:tcPr>
            <w:tcW w:w="6603" w:type="dxa"/>
            <w:tcBorders>
              <w:bottom w:val="single" w:color="auto" w:sz="4" w:space="0"/>
            </w:tcBorders>
            <w:vAlign w:val="center"/>
          </w:tcPr>
          <w:p>
            <w:pPr>
              <w:spacing w:line="360" w:lineRule="auto"/>
              <w:rPr>
                <w:highlight w:val="none"/>
              </w:rPr>
            </w:pPr>
            <w:r>
              <w:rPr>
                <w:rFonts w:hint="eastAsia"/>
                <w:highlight w:val="none"/>
              </w:rPr>
              <w:t>有非常明确的优惠承诺和实际的增值服务，</w:t>
            </w:r>
            <w:r>
              <w:rPr>
                <w:rFonts w:hint="eastAsia" w:asciiTheme="minorEastAsia" w:hAnsiTheme="minorEastAsia" w:eastAsiaTheme="minorEastAsia" w:cstheme="minorEastAsia"/>
                <w:kern w:val="0"/>
                <w:szCs w:val="21"/>
                <w:highlight w:val="none"/>
              </w:rPr>
              <w:t>横向对比综合赋分：</w:t>
            </w:r>
          </w:p>
          <w:p>
            <w:pPr>
              <w:pStyle w:val="6"/>
              <w:ind w:firstLine="0"/>
              <w:rPr>
                <w:highlight w:val="none"/>
              </w:rPr>
            </w:pPr>
            <w:r>
              <w:rPr>
                <w:rFonts w:hint="eastAsia" w:asciiTheme="minorEastAsia" w:hAnsiTheme="minorEastAsia" w:eastAsiaTheme="minorEastAsia" w:cstheme="minorEastAsia"/>
                <w:kern w:val="0"/>
                <w:szCs w:val="21"/>
                <w:highlight w:val="none"/>
              </w:rPr>
              <w:t>优</w:t>
            </w:r>
            <w:r>
              <w:rPr>
                <w:rFonts w:hint="eastAsia" w:asciiTheme="minorEastAsia" w:hAnsiTheme="minorEastAsia" w:eastAsiaTheme="minorEastAsia" w:cstheme="minorEastAsia"/>
                <w:kern w:val="0"/>
                <w:szCs w:val="21"/>
                <w:highlight w:val="none"/>
                <w:lang w:val="en-US" w:eastAsia="zh-CN"/>
              </w:rPr>
              <w:t>3</w:t>
            </w:r>
            <w:r>
              <w:rPr>
                <w:rFonts w:hint="eastAsia" w:asciiTheme="minorEastAsia" w:hAnsiTheme="minorEastAsia" w:eastAsiaTheme="minorEastAsia" w:cstheme="minorEastAsia"/>
                <w:kern w:val="0"/>
                <w:szCs w:val="21"/>
                <w:highlight w:val="none"/>
              </w:rPr>
              <w:t xml:space="preserve">分；良 </w:t>
            </w:r>
            <w:r>
              <w:rPr>
                <w:rFonts w:hint="eastAsia" w:asciiTheme="minorEastAsia" w:hAnsiTheme="minorEastAsia" w:eastAsiaTheme="minorEastAsia" w:cstheme="minorEastAsia"/>
                <w:kern w:val="0"/>
                <w:szCs w:val="21"/>
                <w:highlight w:val="none"/>
                <w:lang w:val="en-US" w:eastAsia="zh-CN"/>
              </w:rPr>
              <w:t>2</w:t>
            </w:r>
            <w:r>
              <w:rPr>
                <w:rFonts w:hint="eastAsia" w:asciiTheme="minorEastAsia" w:hAnsiTheme="minorEastAsia" w:eastAsiaTheme="minorEastAsia" w:cstheme="minorEastAsia"/>
                <w:kern w:val="0"/>
                <w:szCs w:val="21"/>
                <w:highlight w:val="none"/>
              </w:rPr>
              <w:t xml:space="preserve"> 分；差 1；不提供者不得分。</w:t>
            </w:r>
          </w:p>
        </w:tc>
        <w:tc>
          <w:tcPr>
            <w:tcW w:w="741" w:type="dxa"/>
            <w:tcBorders>
              <w:bottom w:val="single" w:color="auto" w:sz="4" w:space="0"/>
            </w:tcBorders>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0-</w:t>
            </w:r>
            <w:r>
              <w:rPr>
                <w:rFonts w:hint="eastAsia" w:asciiTheme="minorEastAsia" w:hAnsiTheme="minorEastAsia" w:eastAsiaTheme="minorEastAsia" w:cstheme="minorEastAsia"/>
                <w:szCs w:val="21"/>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736" w:type="dxa"/>
            <w:vMerge w:val="continue"/>
            <w:tcBorders>
              <w:bottom w:val="single" w:color="auto" w:sz="4" w:space="0"/>
            </w:tcBorders>
            <w:vAlign w:val="center"/>
          </w:tcPr>
          <w:p>
            <w:pPr>
              <w:jc w:val="center"/>
              <w:rPr>
                <w:rFonts w:asciiTheme="minorEastAsia" w:hAnsiTheme="minorEastAsia" w:eastAsiaTheme="minorEastAsia" w:cstheme="minorEastAsia"/>
                <w:szCs w:val="21"/>
                <w:highlight w:val="none"/>
              </w:rPr>
            </w:pPr>
          </w:p>
        </w:tc>
        <w:tc>
          <w:tcPr>
            <w:tcW w:w="948" w:type="dxa"/>
            <w:tcBorders>
              <w:bottom w:val="single" w:color="auto" w:sz="4" w:space="0"/>
            </w:tcBorders>
            <w:vAlign w:val="center"/>
          </w:tcPr>
          <w:p>
            <w:pPr>
              <w:jc w:val="center"/>
              <w:rPr>
                <w:highlight w:val="none"/>
              </w:rPr>
            </w:pPr>
            <w:r>
              <w:rPr>
                <w:rFonts w:hint="eastAsia"/>
                <w:highlight w:val="none"/>
              </w:rPr>
              <w:t>安全与应急预案</w:t>
            </w:r>
          </w:p>
          <w:p>
            <w:pPr>
              <w:pStyle w:val="19"/>
              <w:ind w:firstLine="0" w:firstLineChars="0"/>
              <w:jc w:val="center"/>
              <w:rPr>
                <w:highlight w:val="none"/>
              </w:rPr>
            </w:pPr>
            <w:r>
              <w:rPr>
                <w:rFonts w:hint="eastAsia"/>
                <w:highlight w:val="none"/>
              </w:rPr>
              <w:t>（</w:t>
            </w:r>
            <w:r>
              <w:rPr>
                <w:rFonts w:hint="eastAsia" w:asciiTheme="minorEastAsia" w:hAnsiTheme="minorEastAsia" w:eastAsiaTheme="minorEastAsia" w:cstheme="minorEastAsia"/>
                <w:kern w:val="0"/>
                <w:szCs w:val="21"/>
                <w:highlight w:val="none"/>
                <w:lang w:val="en-US" w:eastAsia="zh-CN"/>
              </w:rPr>
              <w:t>3</w:t>
            </w:r>
            <w:r>
              <w:rPr>
                <w:rFonts w:hint="eastAsia"/>
                <w:highlight w:val="none"/>
              </w:rPr>
              <w:t>分）</w:t>
            </w:r>
          </w:p>
        </w:tc>
        <w:tc>
          <w:tcPr>
            <w:tcW w:w="6603" w:type="dxa"/>
            <w:tcBorders>
              <w:bottom w:val="single" w:color="auto" w:sz="4" w:space="0"/>
            </w:tcBorders>
            <w:vAlign w:val="center"/>
          </w:tcPr>
          <w:p>
            <w:pPr>
              <w:spacing w:line="360" w:lineRule="auto"/>
              <w:rPr>
                <w:rFonts w:asciiTheme="minorEastAsia" w:hAnsiTheme="minorEastAsia" w:eastAsiaTheme="minorEastAsia" w:cstheme="minorEastAsia"/>
                <w:kern w:val="0"/>
                <w:szCs w:val="21"/>
                <w:highlight w:val="none"/>
              </w:rPr>
            </w:pPr>
            <w:bookmarkStart w:id="74" w:name="_GoBack"/>
            <w:r>
              <w:rPr>
                <w:rFonts w:hint="eastAsia" w:asciiTheme="minorEastAsia" w:hAnsiTheme="minorEastAsia" w:eastAsiaTheme="minorEastAsia" w:cstheme="minorEastAsia"/>
                <w:kern w:val="0"/>
                <w:szCs w:val="21"/>
                <w:highlight w:val="none"/>
              </w:rPr>
              <w:t>具有完善健全的安全保证措施及应急预案，并满足本项目需求。根据供应商所提供措施和预案的全面性、针对性、精细性进行横向对比综合赋分：</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优</w:t>
            </w:r>
            <w:r>
              <w:rPr>
                <w:rFonts w:hint="eastAsia" w:asciiTheme="minorEastAsia" w:hAnsiTheme="minorEastAsia" w:eastAsiaTheme="minorEastAsia" w:cstheme="minorEastAsia"/>
                <w:kern w:val="0"/>
                <w:szCs w:val="21"/>
                <w:highlight w:val="none"/>
                <w:lang w:val="en-US" w:eastAsia="zh-CN"/>
              </w:rPr>
              <w:t>3</w:t>
            </w:r>
            <w:r>
              <w:rPr>
                <w:rFonts w:hint="eastAsia" w:asciiTheme="minorEastAsia" w:hAnsiTheme="minorEastAsia" w:eastAsiaTheme="minorEastAsia" w:cstheme="minorEastAsia"/>
                <w:kern w:val="0"/>
                <w:szCs w:val="21"/>
                <w:highlight w:val="none"/>
              </w:rPr>
              <w:t xml:space="preserve">分；良 </w:t>
            </w:r>
            <w:r>
              <w:rPr>
                <w:rFonts w:hint="eastAsia" w:asciiTheme="minorEastAsia" w:hAnsiTheme="minorEastAsia" w:eastAsiaTheme="minorEastAsia" w:cstheme="minorEastAsia"/>
                <w:kern w:val="0"/>
                <w:szCs w:val="21"/>
                <w:highlight w:val="none"/>
                <w:lang w:val="en-US" w:eastAsia="zh-CN"/>
              </w:rPr>
              <w:t>2</w:t>
            </w:r>
            <w:r>
              <w:rPr>
                <w:rFonts w:hint="eastAsia" w:asciiTheme="minorEastAsia" w:hAnsiTheme="minorEastAsia" w:eastAsiaTheme="minorEastAsia" w:cstheme="minorEastAsia"/>
                <w:kern w:val="0"/>
                <w:szCs w:val="21"/>
                <w:highlight w:val="none"/>
              </w:rPr>
              <w:t xml:space="preserve">分；差 </w:t>
            </w:r>
            <w:r>
              <w:rPr>
                <w:rFonts w:hint="eastAsia" w:asciiTheme="minorEastAsia" w:hAnsiTheme="minorEastAsia" w:eastAsiaTheme="minorEastAsia" w:cstheme="minorEastAsia"/>
                <w:kern w:val="0"/>
                <w:szCs w:val="21"/>
                <w:highlight w:val="none"/>
                <w:lang w:val="en-US" w:eastAsia="zh-CN"/>
              </w:rPr>
              <w:t>1</w:t>
            </w:r>
            <w:r>
              <w:rPr>
                <w:rFonts w:hint="eastAsia" w:asciiTheme="minorEastAsia" w:hAnsiTheme="minorEastAsia" w:eastAsiaTheme="minorEastAsia" w:cstheme="minorEastAsia"/>
                <w:kern w:val="0"/>
                <w:szCs w:val="21"/>
                <w:highlight w:val="none"/>
              </w:rPr>
              <w:t>；不提供者不得分。</w:t>
            </w:r>
            <w:bookmarkEnd w:id="74"/>
          </w:p>
        </w:tc>
        <w:tc>
          <w:tcPr>
            <w:tcW w:w="741" w:type="dxa"/>
            <w:tcBorders>
              <w:bottom w:val="single" w:color="auto" w:sz="4" w:space="0"/>
            </w:tcBorders>
            <w:vAlign w:val="center"/>
          </w:tcPr>
          <w:p>
            <w:pPr>
              <w:jc w:val="center"/>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eastAsiaTheme="minorEastAsia" w:cstheme="minorEastAsia"/>
                <w:kern w:val="0"/>
                <w:szCs w:val="21"/>
                <w:highlight w:val="none"/>
              </w:rPr>
              <w:t>0-</w:t>
            </w:r>
            <w:r>
              <w:rPr>
                <w:rFonts w:hint="eastAsia" w:asciiTheme="minorEastAsia" w:hAnsiTheme="minorEastAsia" w:eastAsiaTheme="minorEastAsia" w:cstheme="minorEastAsia"/>
                <w:kern w:val="0"/>
                <w:szCs w:val="21"/>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287" w:type="dxa"/>
            <w:gridSpan w:val="3"/>
            <w:tcBorders>
              <w:top w:val="single" w:color="auto" w:sz="4" w:space="0"/>
              <w:left w:val="single" w:color="auto" w:sz="4" w:space="0"/>
              <w:bottom w:val="single" w:color="auto" w:sz="4" w:space="0"/>
              <w:right w:val="single" w:color="auto" w:sz="4" w:space="0"/>
            </w:tcBorders>
          </w:tcPr>
          <w:p>
            <w:pPr>
              <w:pStyle w:val="21"/>
              <w:spacing w:before="2" w:line="360" w:lineRule="exact"/>
              <w:ind w:left="4" w:right="1495"/>
              <w:rPr>
                <w:rFonts w:asciiTheme="minorEastAsia" w:hAnsiTheme="minorEastAsia" w:eastAsiaTheme="minorEastAsia" w:cstheme="minorEastAsia"/>
                <w:spacing w:val="-3"/>
                <w:sz w:val="21"/>
                <w:szCs w:val="21"/>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21"/>
              <w:spacing w:before="2" w:line="360" w:lineRule="exact"/>
              <w:ind w:left="4" w:right="1495"/>
              <w:jc w:val="center"/>
              <w:rPr>
                <w:rFonts w:asciiTheme="minorEastAsia" w:hAnsiTheme="minorEastAsia" w:eastAsiaTheme="minorEastAsia" w:cstheme="minorEastAsia"/>
                <w:sz w:val="21"/>
                <w:szCs w:val="21"/>
                <w:highlight w:val="none"/>
              </w:rPr>
            </w:pPr>
          </w:p>
        </w:tc>
      </w:tr>
    </w:tbl>
    <w:p>
      <w:pPr>
        <w:rPr>
          <w:rFonts w:hint="eastAsia" w:ascii="宋体" w:hAnsi="宋体" w:eastAsia="宋体" w:cs="宋体"/>
          <w:szCs w:val="24"/>
          <w:highlight w:val="none"/>
        </w:rPr>
      </w:pPr>
    </w:p>
    <w:p>
      <w:pPr>
        <w:pStyle w:val="8"/>
        <w:kinsoku w:val="0"/>
        <w:overflowPunct w:val="0"/>
        <w:spacing w:before="34"/>
        <w:jc w:val="both"/>
        <w:rPr>
          <w:rFonts w:hint="eastAsia" w:ascii="宋体" w:hAnsi="宋体" w:eastAsia="宋体" w:cs="宋体"/>
          <w:b/>
          <w:highlight w:val="none"/>
        </w:rPr>
      </w:pPr>
      <w:r>
        <w:rPr>
          <w:rFonts w:hint="eastAsia" w:ascii="宋体" w:hAnsi="宋体" w:eastAsia="宋体" w:cs="宋体"/>
          <w:b/>
          <w:bCs/>
          <w:highlight w:val="none"/>
        </w:rPr>
        <w:t>备注：</w:t>
      </w:r>
      <w:r>
        <w:rPr>
          <w:rFonts w:hint="eastAsia" w:ascii="宋体" w:hAnsi="宋体" w:eastAsia="宋体" w:cs="宋体"/>
          <w:b/>
          <w:highlight w:val="none"/>
        </w:rPr>
        <w:t>以上涉及证书、业绩的，均需要提供原件以备查。</w:t>
      </w:r>
      <w:r>
        <w:rPr>
          <w:rFonts w:hint="eastAsia" w:ascii="宋体" w:hAnsi="宋体" w:eastAsia="宋体" w:cs="宋体"/>
          <w:b/>
          <w:highlight w:val="none"/>
          <w:lang w:eastAsia="zh-CN"/>
        </w:rPr>
        <w:t>投标文件</w:t>
      </w:r>
      <w:r>
        <w:rPr>
          <w:rFonts w:hint="eastAsia" w:ascii="宋体" w:hAnsi="宋体" w:eastAsia="宋体" w:cs="宋体"/>
          <w:b/>
          <w:highlight w:val="none"/>
        </w:rPr>
        <w:t>中可用复印件加盖公章，业绩以中标通知书或者合同为准。</w:t>
      </w:r>
    </w:p>
    <w:p>
      <w:pPr>
        <w:pStyle w:val="8"/>
        <w:kinsoku w:val="0"/>
        <w:overflowPunct w:val="0"/>
        <w:spacing w:before="34"/>
        <w:ind w:left="0"/>
        <w:jc w:val="both"/>
        <w:rPr>
          <w:rFonts w:hint="eastAsia" w:ascii="宋体" w:hAnsi="宋体" w:eastAsia="宋体" w:cs="宋体"/>
          <w:b/>
          <w:bCs/>
          <w:highlight w:val="none"/>
        </w:rPr>
      </w:pPr>
    </w:p>
    <w:p>
      <w:pPr>
        <w:pStyle w:val="8"/>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highlight w:val="none"/>
        </w:rPr>
        <w:t>和工信部联企业〔2011〕300 号文件规定，对小型和微型企业产品的价格给予 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8"/>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8"/>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8"/>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8"/>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3"/>
        <w:numPr>
          <w:ilvl w:val="0"/>
          <w:numId w:val="2"/>
        </w:numPr>
        <w:rPr>
          <w:rFonts w:hint="eastAsia" w:ascii="宋体" w:hAnsi="宋体" w:eastAsia="宋体" w:cs="宋体"/>
          <w:spacing w:val="1"/>
          <w:highlight w:val="none"/>
        </w:rPr>
      </w:pPr>
      <w:r>
        <w:rPr>
          <w:rFonts w:hint="eastAsia" w:ascii="宋体" w:hAnsi="宋体" w:eastAsia="宋体" w:cs="宋体"/>
          <w:highlight w:val="none"/>
        </w:rPr>
        <w:br w:type="page"/>
      </w:r>
      <w:bookmarkStart w:id="71" w:name="_Toc14707"/>
      <w:r>
        <w:rPr>
          <w:rFonts w:hint="eastAsia" w:ascii="宋体" w:hAnsi="宋体" w:eastAsia="宋体" w:cs="宋体"/>
          <w:spacing w:val="1"/>
          <w:highlight w:val="none"/>
        </w:rPr>
        <w:t>磋商内容</w:t>
      </w:r>
      <w:bookmarkEnd w:id="71"/>
    </w:p>
    <w:p>
      <w:pPr>
        <w:adjustRightInd w:val="0"/>
        <w:snapToGrid w:val="0"/>
        <w:spacing w:line="560" w:lineRule="exact"/>
        <w:rPr>
          <w:rFonts w:hint="eastAsia" w:ascii="宋体" w:hAnsi="宋体" w:eastAsia="宋体" w:cs="宋体"/>
          <w:sz w:val="32"/>
          <w:szCs w:val="32"/>
          <w:highlight w:val="none"/>
        </w:rPr>
      </w:pPr>
    </w:p>
    <w:p>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文旅项目管理平台及重点项目库采购项目</w:t>
      </w:r>
    </w:p>
    <w:p>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采购需求</w:t>
      </w:r>
    </w:p>
    <w:p>
      <w:pPr>
        <w:jc w:val="center"/>
        <w:rPr>
          <w:rFonts w:hint="eastAsia" w:ascii="宋体" w:hAnsi="宋体" w:eastAsia="宋体" w:cs="宋体"/>
          <w:sz w:val="28"/>
          <w:szCs w:val="28"/>
          <w:highlight w:val="none"/>
        </w:rPr>
      </w:pPr>
    </w:p>
    <w:p>
      <w:pPr>
        <w:spacing w:line="560" w:lineRule="exact"/>
        <w:ind w:firstLine="640" w:firstLineChars="200"/>
        <w:rPr>
          <w:rFonts w:hint="eastAsia" w:ascii="Calibri" w:hAnsi="Calibri" w:eastAsia="方正仿宋_GBK" w:cs="Times New Roman"/>
          <w:b/>
          <w:bCs/>
          <w:sz w:val="32"/>
          <w:szCs w:val="32"/>
          <w:highlight w:val="none"/>
        </w:rPr>
      </w:pPr>
      <w:r>
        <w:rPr>
          <w:rFonts w:hint="eastAsia" w:ascii="Calibri" w:hAnsi="Calibri" w:eastAsia="方正仿宋_GBK" w:cs="Times New Roman"/>
          <w:b/>
          <w:bCs/>
          <w:sz w:val="32"/>
          <w:szCs w:val="32"/>
          <w:highlight w:val="none"/>
          <w:lang w:val="en-US" w:eastAsia="zh-CN"/>
        </w:rPr>
        <w:t>一、项目背景</w:t>
      </w:r>
    </w:p>
    <w:p>
      <w:pPr>
        <w:spacing w:line="560" w:lineRule="exact"/>
        <w:ind w:firstLine="640" w:firstLineChars="200"/>
        <w:rPr>
          <w:rFonts w:hint="eastAsia" w:ascii="Calibri" w:hAnsi="Calibri" w:eastAsia="方正仿宋_GBK" w:cs="Times New Roman"/>
          <w:sz w:val="32"/>
          <w:szCs w:val="32"/>
          <w:highlight w:val="none"/>
        </w:rPr>
      </w:pPr>
      <w:r>
        <w:rPr>
          <w:rFonts w:hint="eastAsia" w:ascii="Calibri" w:hAnsi="Calibri" w:eastAsia="方正仿宋_GBK" w:cs="Times New Roman"/>
          <w:sz w:val="32"/>
          <w:szCs w:val="32"/>
          <w:highlight w:val="none"/>
        </w:rPr>
        <w:t>新时代下，随着新疆文化和旅游产业加速发展，产业集聚度不断提高，聚焦于产业链上项目的分析、制定、招商、落地日益成为推动文化和旅游产业发展的重要需求。自治区文旅厅近年来高度重视文旅产业布局及发展，陆续在</w:t>
      </w:r>
      <w:r>
        <w:rPr>
          <w:rFonts w:hint="eastAsia" w:ascii="Calibri" w:hAnsi="Calibri" w:eastAsia="方正仿宋_GBK" w:cs="Times New Roman"/>
          <w:b/>
          <w:bCs/>
          <w:sz w:val="32"/>
          <w:szCs w:val="32"/>
          <w:highlight w:val="none"/>
        </w:rPr>
        <w:t>今年会议中提出，要围绕抓好“十四五”文化和旅游发展规划编制和项目建设及时梳理总结亮点特色、典型案例和先进经验，加快复工复产，抓好文化和旅游领域续建项目、新建项目建设，完善项目清单，实行挂图作战、列表推进、调度督办。</w:t>
      </w:r>
      <w:r>
        <w:rPr>
          <w:rFonts w:hint="eastAsia" w:ascii="Calibri" w:hAnsi="Calibri" w:eastAsia="方正仿宋_GBK" w:cs="Times New Roman"/>
          <w:sz w:val="32"/>
          <w:szCs w:val="32"/>
          <w:highlight w:val="none"/>
        </w:rPr>
        <w:t>通过搭建重大项目管理平台，对全疆文旅产业链上重大项目实施跟踪，明确项目实施跟进过程中的长短板和需要强链、补链、延链的节点，同时针对重点企业及产业园区实施运营监测，掌握和建立重点区域的项目库、企业库对全疆文旅产业指导、促进文化和旅游产业相关门类及新型业态发展具有重要作用。</w:t>
      </w:r>
    </w:p>
    <w:p>
      <w:pPr>
        <w:spacing w:line="560" w:lineRule="exact"/>
        <w:ind w:firstLine="640" w:firstLineChars="200"/>
        <w:rPr>
          <w:rFonts w:hint="eastAsia" w:ascii="Calibri" w:hAnsi="Calibri" w:eastAsia="方正仿宋_GBK" w:cs="Times New Roman"/>
          <w:sz w:val="32"/>
          <w:szCs w:val="32"/>
          <w:highlight w:val="none"/>
        </w:rPr>
      </w:pPr>
      <w:r>
        <w:rPr>
          <w:rFonts w:hint="eastAsia" w:ascii="Calibri" w:hAnsi="Calibri" w:eastAsia="方正仿宋_GBK" w:cs="Times New Roman"/>
          <w:sz w:val="32"/>
          <w:szCs w:val="32"/>
          <w:highlight w:val="none"/>
        </w:rPr>
        <w:t>本次重大项目管理平台采购将委托专业公司完成，按照相关要求，进行对外公开招投标。具体采购需求如下：</w:t>
      </w:r>
    </w:p>
    <w:p>
      <w:pPr>
        <w:spacing w:line="560" w:lineRule="exact"/>
        <w:ind w:firstLine="640" w:firstLineChars="200"/>
        <w:rPr>
          <w:rFonts w:hint="eastAsia" w:ascii="Calibri" w:hAnsi="Calibri" w:eastAsia="方正仿宋_GBK" w:cs="Times New Roman"/>
          <w:b/>
          <w:bCs/>
          <w:sz w:val="32"/>
          <w:szCs w:val="32"/>
          <w:highlight w:val="none"/>
        </w:rPr>
      </w:pPr>
      <w:r>
        <w:rPr>
          <w:rFonts w:hint="eastAsia" w:ascii="Calibri" w:hAnsi="Calibri" w:eastAsia="方正仿宋_GBK" w:cs="Times New Roman"/>
          <w:b/>
          <w:bCs/>
          <w:sz w:val="32"/>
          <w:szCs w:val="32"/>
          <w:highlight w:val="none"/>
        </w:rPr>
        <w:t>二、签订合同</w:t>
      </w:r>
    </w:p>
    <w:p>
      <w:pPr>
        <w:spacing w:line="560" w:lineRule="exact"/>
        <w:ind w:firstLine="640" w:firstLineChars="200"/>
        <w:rPr>
          <w:rFonts w:hint="eastAsia" w:ascii="Calibri" w:hAnsi="Calibri" w:eastAsia="方正仿宋_GBK" w:cs="Times New Roman"/>
          <w:sz w:val="32"/>
          <w:szCs w:val="32"/>
          <w:highlight w:val="none"/>
        </w:rPr>
      </w:pPr>
      <w:r>
        <w:rPr>
          <w:rFonts w:hint="eastAsia" w:ascii="Calibri" w:hAnsi="Calibri" w:eastAsia="方正仿宋_GBK" w:cs="Times New Roman"/>
          <w:sz w:val="32"/>
          <w:szCs w:val="32"/>
          <w:highlight w:val="none"/>
        </w:rPr>
        <w:t>成交供应商在收到成交通知书后，三十日内与招标单位签订服务合同。</w:t>
      </w:r>
    </w:p>
    <w:p>
      <w:pPr>
        <w:spacing w:line="560" w:lineRule="exact"/>
        <w:ind w:firstLine="640" w:firstLineChars="200"/>
        <w:rPr>
          <w:rFonts w:hint="eastAsia" w:ascii="Calibri" w:hAnsi="Calibri" w:eastAsia="方正仿宋_GBK" w:cs="Times New Roman"/>
          <w:b/>
          <w:bCs/>
          <w:sz w:val="32"/>
          <w:szCs w:val="32"/>
          <w:highlight w:val="none"/>
        </w:rPr>
      </w:pPr>
      <w:r>
        <w:rPr>
          <w:rFonts w:hint="eastAsia" w:ascii="Calibri" w:hAnsi="Calibri" w:eastAsia="方正仿宋_GBK" w:cs="Times New Roman"/>
          <w:b/>
          <w:bCs/>
          <w:sz w:val="32"/>
          <w:szCs w:val="32"/>
          <w:highlight w:val="none"/>
        </w:rPr>
        <w:t>三、付款方式</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①合同签订后 5个工作日内支付合同总额的 </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0 %；</w:t>
      </w:r>
      <w:r>
        <w:rPr>
          <w:rFonts w:hint="eastAsia" w:ascii="宋体" w:hAnsi="宋体" w:cs="宋体"/>
          <w:color w:val="auto"/>
          <w:sz w:val="28"/>
          <w:szCs w:val="28"/>
          <w:highlight w:val="none"/>
          <w:lang w:val="en-US" w:eastAsia="zh-CN"/>
        </w:rPr>
        <w:t>提交最终成果并审核通过</w:t>
      </w:r>
      <w:r>
        <w:rPr>
          <w:rFonts w:hint="eastAsia" w:ascii="宋体" w:hAnsi="宋体" w:eastAsia="宋体" w:cs="宋体"/>
          <w:color w:val="auto"/>
          <w:sz w:val="28"/>
          <w:szCs w:val="28"/>
          <w:highlight w:val="none"/>
          <w:lang w:val="en-US" w:eastAsia="zh-CN"/>
        </w:rPr>
        <w:t xml:space="preserve">后 30 日内支付合同总额的 </w:t>
      </w:r>
      <w:r>
        <w:rPr>
          <w:rFonts w:hint="eastAsia" w:ascii="宋体" w:hAnsi="宋体" w:cs="宋体"/>
          <w:color w:val="auto"/>
          <w:sz w:val="28"/>
          <w:szCs w:val="28"/>
          <w:highlight w:val="none"/>
          <w:lang w:val="en-US" w:eastAsia="zh-CN"/>
        </w:rPr>
        <w:t>65</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；免费维护期满后支付余款5%（最终付款方式以合同约定为准）</w:t>
      </w:r>
      <w:r>
        <w:rPr>
          <w:rFonts w:hint="eastAsia" w:ascii="宋体" w:hAnsi="宋体" w:eastAsia="宋体" w:cs="宋体"/>
          <w:color w:val="auto"/>
          <w:sz w:val="28"/>
          <w:szCs w:val="28"/>
          <w:highlight w:val="none"/>
          <w:lang w:val="en-US" w:eastAsia="zh-CN"/>
        </w:rPr>
        <w:t>。</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②付款前，成交供应商须提供合法的当届结算金额全额增值税发票并经采购人财务审核后方可付款。</w:t>
      </w:r>
    </w:p>
    <w:p>
      <w:pPr>
        <w:spacing w:line="560" w:lineRule="exact"/>
        <w:ind w:firstLine="640" w:firstLineChars="200"/>
        <w:rPr>
          <w:rFonts w:hint="eastAsia" w:ascii="Calibri" w:hAnsi="Calibri" w:eastAsia="方正仿宋_GBK" w:cs="Times New Roman"/>
          <w:b/>
          <w:bCs/>
          <w:sz w:val="32"/>
          <w:szCs w:val="32"/>
          <w:highlight w:val="none"/>
          <w:lang w:val="en-US" w:eastAsia="zh-CN"/>
        </w:rPr>
      </w:pPr>
      <w:r>
        <w:rPr>
          <w:rFonts w:hint="eastAsia" w:ascii="Calibri" w:hAnsi="Calibri" w:eastAsia="方正仿宋_GBK" w:cs="Times New Roman"/>
          <w:b/>
          <w:bCs/>
          <w:sz w:val="32"/>
          <w:szCs w:val="32"/>
          <w:highlight w:val="none"/>
          <w:lang w:val="en-US" w:eastAsia="zh-CN"/>
        </w:rPr>
        <w:t>四、最终成果提交时间</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签订合同后，截止到2021年11月31日前完成</w:t>
      </w:r>
      <w:r>
        <w:rPr>
          <w:rFonts w:hint="eastAsia" w:ascii="宋体" w:hAnsi="宋体" w:cs="宋体"/>
          <w:sz w:val="28"/>
          <w:szCs w:val="28"/>
          <w:highlight w:val="none"/>
          <w:lang w:eastAsia="zh-CN"/>
        </w:rPr>
        <w:t>并验收合格</w:t>
      </w:r>
      <w:r>
        <w:rPr>
          <w:rFonts w:hint="eastAsia" w:ascii="宋体" w:hAnsi="宋体" w:eastAsia="宋体" w:cs="宋体"/>
          <w:sz w:val="28"/>
          <w:szCs w:val="28"/>
          <w:highlight w:val="none"/>
        </w:rPr>
        <w:t>。</w:t>
      </w:r>
    </w:p>
    <w:p>
      <w:pPr>
        <w:spacing w:line="560" w:lineRule="exact"/>
        <w:ind w:firstLine="640" w:firstLineChars="200"/>
        <w:rPr>
          <w:rFonts w:hint="eastAsia" w:ascii="Calibri" w:hAnsi="Calibri" w:eastAsia="方正仿宋_GBK" w:cs="Times New Roman"/>
          <w:b/>
          <w:bCs/>
          <w:sz w:val="32"/>
          <w:szCs w:val="32"/>
          <w:highlight w:val="none"/>
        </w:rPr>
      </w:pPr>
      <w:r>
        <w:rPr>
          <w:rFonts w:hint="eastAsia" w:ascii="Calibri" w:hAnsi="Calibri" w:eastAsia="方正仿宋_GBK" w:cs="Times New Roman"/>
          <w:b/>
          <w:bCs/>
          <w:sz w:val="32"/>
          <w:szCs w:val="32"/>
          <w:highlight w:val="none"/>
          <w:lang w:val="en-US" w:eastAsia="zh-CN"/>
        </w:rPr>
        <w:t>五、</w:t>
      </w:r>
      <w:r>
        <w:rPr>
          <w:rFonts w:hint="eastAsia" w:ascii="Calibri" w:hAnsi="Calibri" w:eastAsia="方正仿宋_GBK" w:cs="Times New Roman"/>
          <w:b/>
          <w:bCs/>
          <w:sz w:val="32"/>
          <w:szCs w:val="32"/>
          <w:highlight w:val="none"/>
        </w:rPr>
        <w:t>采购服务内容及要求</w:t>
      </w:r>
    </w:p>
    <w:p>
      <w:pPr>
        <w:spacing w:line="560" w:lineRule="exact"/>
        <w:ind w:firstLine="640" w:firstLineChars="200"/>
        <w:rPr>
          <w:rFonts w:hint="eastAsia" w:ascii="Calibri" w:hAnsi="Calibri" w:eastAsia="方正仿宋_GBK" w:cs="Times New Roman"/>
          <w:sz w:val="32"/>
          <w:szCs w:val="32"/>
          <w:highlight w:val="none"/>
        </w:rPr>
      </w:pPr>
      <w:r>
        <w:rPr>
          <w:rFonts w:hint="eastAsia" w:ascii="Calibri" w:hAnsi="Calibri" w:eastAsia="方正仿宋_GBK" w:cs="Times New Roman"/>
          <w:sz w:val="32"/>
          <w:szCs w:val="32"/>
          <w:highlight w:val="none"/>
        </w:rPr>
        <w:t>总体要求：平台建成后，可对全疆现有重大文旅产业项目进行精准化统计分析，编制重大项目产业列表，继而建立重点项目数据库，明确产业链上重点项目实施跟进阶段，为进一步制定产业政策和发展规划提供决策依据。</w:t>
      </w:r>
    </w:p>
    <w:p>
      <w:pPr>
        <w:spacing w:line="560" w:lineRule="exact"/>
        <w:ind w:firstLine="640" w:firstLineChars="200"/>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rPr>
        <w:t>项目概况</w:t>
      </w:r>
    </w:p>
    <w:p>
      <w:pPr>
        <w:spacing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项目名称：</w:t>
      </w:r>
      <w:r>
        <w:rPr>
          <w:rFonts w:hint="eastAsia" w:ascii="宋体" w:hAnsi="宋体" w:eastAsia="宋体" w:cs="宋体"/>
          <w:sz w:val="28"/>
          <w:szCs w:val="28"/>
          <w:highlight w:val="none"/>
        </w:rPr>
        <w:t>文旅项目管理平台及重点项目库采购项目</w:t>
      </w:r>
      <w:r>
        <w:rPr>
          <w:rFonts w:hint="eastAsia" w:ascii="Times New Roman" w:hAnsi="Times New Roman" w:eastAsia="方正仿宋_GBK" w:cs="Times New Roman"/>
          <w:sz w:val="32"/>
          <w:szCs w:val="32"/>
          <w:highlight w:val="none"/>
        </w:rPr>
        <w:t>；</w:t>
      </w:r>
    </w:p>
    <w:p>
      <w:pPr>
        <w:spacing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项目位置：新疆乌鲁木齐市；</w:t>
      </w:r>
    </w:p>
    <w:p>
      <w:pPr>
        <w:spacing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项目服务内容及要求：</w:t>
      </w:r>
    </w:p>
    <w:p>
      <w:pPr>
        <w:pStyle w:val="6"/>
        <w:ind w:firstLine="640"/>
        <w:rPr>
          <w:rFonts w:hint="default"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平台整体架构按照 “标准化、移动化、一体化”进行搭建，以项目管理，企业管理，数据分析为系统基础，在“管理、服务、监督”三个维度为部门工作提供支撑，通过移动端、PC 端为部门各层级用户提供移动化、智能化服务，实现招商工作的数字化管理。</w:t>
      </w:r>
    </w:p>
    <w:p>
      <w:pPr>
        <w:pStyle w:val="2"/>
        <w:jc w:val="both"/>
        <w:rPr>
          <w:rFonts w:hint="eastAsia" w:ascii="Times New Roman" w:hAnsi="Times New Roman" w:eastAsia="方正仿宋_GBK" w:cs="Times New Roman"/>
          <w:sz w:val="32"/>
          <w:szCs w:val="32"/>
          <w:highlight w:val="none"/>
          <w:lang w:val="en-US" w:eastAsia="zh-CN"/>
        </w:rPr>
      </w:pPr>
    </w:p>
    <w:p>
      <w:pPr>
        <w:ind w:firstLine="640" w:firstLineChars="200"/>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总体技术说明：</w:t>
      </w:r>
    </w:p>
    <w:p>
      <w:pPr>
        <w:pStyle w:val="6"/>
        <w:ind w:left="0" w:leftChars="0" w:firstLine="640" w:firstLineChars="200"/>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 xml:space="preserve">采用跨平台技术进行研发，未来便于移植到国产化基础软硬件平台上运行。鉴于系统是 B/S 架构为主运行在互联网上的系统，为用户提供不间断服务，着重要提高系统的安全性、可靠性、扩展性、健壮性、容错性、系统负载、吞吐量、响应时间，支持后续在不改变整体架构的情况下，扩展系统的负载能力。 </w:t>
      </w:r>
    </w:p>
    <w:p>
      <w:pPr>
        <w:pStyle w:val="6"/>
        <w:numPr>
          <w:ilvl w:val="0"/>
          <w:numId w:val="0"/>
        </w:numPr>
        <w:ind w:firstLine="640" w:firstLineChars="200"/>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（1）技术总体要求</w:t>
      </w:r>
    </w:p>
    <w:p>
      <w:pPr>
        <w:pStyle w:val="6"/>
        <w:numPr>
          <w:ilvl w:val="0"/>
          <w:numId w:val="0"/>
        </w:numPr>
        <w:ind w:firstLine="640" w:firstLineChars="200"/>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 xml:space="preserve">具有先进性、高可用性、高安全性、开放性、可扩展性和使用、操作方便、灵活。 </w:t>
      </w:r>
    </w:p>
    <w:p>
      <w:pPr>
        <w:pStyle w:val="6"/>
        <w:numPr>
          <w:ilvl w:val="0"/>
          <w:numId w:val="0"/>
        </w:numPr>
        <w:ind w:firstLine="640" w:firstLineChars="200"/>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（2）安全性要求</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 xml:space="preserve"> </w:t>
      </w:r>
    </w:p>
    <w:p>
      <w:pPr>
        <w:pStyle w:val="6"/>
        <w:numPr>
          <w:ilvl w:val="0"/>
          <w:numId w:val="0"/>
        </w:numPr>
        <w:ind w:firstLine="640" w:firstLineChars="200"/>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满足网络安全等级保护二级和国家网络安全法要求，符合国家和</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新疆</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电子政务信息化相关标准。项目承建单位负责修复应用程序、中间件、数据库、操作系统等各层存在的安全问题。</w:t>
      </w:r>
    </w:p>
    <w:p>
      <w:pPr>
        <w:pStyle w:val="6"/>
        <w:numPr>
          <w:ilvl w:val="0"/>
          <w:numId w:val="0"/>
        </w:numPr>
        <w:ind w:firstLine="640" w:firstLineChars="200"/>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（3）技术实现要求</w:t>
      </w:r>
    </w:p>
    <w:p>
      <w:pPr>
        <w:pStyle w:val="6"/>
        <w:numPr>
          <w:ilvl w:val="0"/>
          <w:numId w:val="0"/>
        </w:numPr>
        <w:ind w:firstLine="640" w:firstLineChars="200"/>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 xml:space="preserve">基于 </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PHP、</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JAVA</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、C#等</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主流技术,数据库采用 MySQL,优先采用以下技术：基于Uni-app/Vue、SpringBoot、MyBatis 等框架、集成 ES(ElasticSearch)框架、缓存组件redis、消息中间件。</w:t>
      </w:r>
    </w:p>
    <w:p>
      <w:pPr>
        <w:pStyle w:val="6"/>
        <w:numPr>
          <w:ilvl w:val="0"/>
          <w:numId w:val="0"/>
        </w:numPr>
        <w:ind w:firstLine="640" w:firstLineChars="200"/>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（4）浏览器兼容性要求</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 xml:space="preserve"> </w:t>
      </w:r>
    </w:p>
    <w:p>
      <w:pPr>
        <w:pStyle w:val="6"/>
        <w:numPr>
          <w:ilvl w:val="0"/>
          <w:numId w:val="0"/>
        </w:numPr>
        <w:ind w:firstLine="640" w:firstLineChars="200"/>
        <w:jc w:val="left"/>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 xml:space="preserve">具备浏览器兼容性，支持主流浏览器，包括 IE、火狐、chrome、360 浏览器等。 </w:t>
      </w:r>
    </w:p>
    <w:p>
      <w:pPr>
        <w:pStyle w:val="6"/>
        <w:numPr>
          <w:ilvl w:val="0"/>
          <w:numId w:val="0"/>
        </w:numPr>
        <w:ind w:firstLine="640" w:firstLineChars="200"/>
        <w:jc w:val="left"/>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（5）数据安全要求</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 xml:space="preserve"> </w:t>
      </w:r>
    </w:p>
    <w:p>
      <w:pPr>
        <w:pStyle w:val="2"/>
        <w:ind w:firstLine="640" w:firstLineChars="200"/>
        <w:jc w:val="both"/>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建立数据备份机制，每天定期备份全量数据库数据，每月定期备份项目全量数据, 所有备份数据存储至少一年时间。</w:t>
      </w:r>
    </w:p>
    <w:p>
      <w:pPr>
        <w:pStyle w:val="6"/>
        <w:numPr>
          <w:ilvl w:val="0"/>
          <w:numId w:val="0"/>
        </w:numPr>
        <w:ind w:firstLine="640" w:firstLineChars="200"/>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（6）多端运行</w:t>
      </w:r>
    </w:p>
    <w:p>
      <w:pPr>
        <w:ind w:firstLine="640" w:firstLineChars="200"/>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平台展示端有PC端+APP+微信小程序一套系统多端运行。</w:t>
      </w:r>
    </w:p>
    <w:p>
      <w:pPr>
        <w:pStyle w:val="2"/>
        <w:jc w:val="both"/>
        <w:rPr>
          <w:rFonts w:hint="default" w:ascii="Times New Roman" w:hAnsi="Times New Roman" w:eastAsia="方正仿宋_GBK" w:cs="Times New Roman"/>
          <w:color w:val="FF0000"/>
          <w:kern w:val="2"/>
          <w:sz w:val="32"/>
          <w:szCs w:val="32"/>
          <w:highlight w:val="none"/>
          <w:lang w:val="en-US" w:eastAsia="zh-CN" w:bidi="ar-SA"/>
        </w:rPr>
      </w:pPr>
    </w:p>
    <w:p>
      <w:pPr>
        <w:pStyle w:val="6"/>
        <w:rPr>
          <w:highlight w:val="none"/>
        </w:rPr>
      </w:pPr>
    </w:p>
    <w:p>
      <w:pPr>
        <w:ind w:firstLine="640" w:firstLineChars="200"/>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rPr>
        <w:t>功能分类:</w:t>
      </w:r>
    </w:p>
    <w:p>
      <w:pPr>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应功能包含项目管理，企业管理，项目以及企业的审核以及发布，数据分析，通知发布以及展示，政策筛选以及政策增删改。包含模块需详细介绍说明。</w:t>
      </w:r>
    </w:p>
    <w:p>
      <w:pPr>
        <w:ind w:firstLine="640" w:firstLineChars="200"/>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rPr>
        <w:t>安全系统：</w:t>
      </w:r>
    </w:p>
    <w:p>
      <w:pPr>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需要有相应的设计规划内容。</w:t>
      </w:r>
    </w:p>
    <w:p>
      <w:pPr>
        <w:ind w:firstLine="640" w:firstLineChars="200"/>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rPr>
        <w:t>项目实施计划：</w:t>
      </w:r>
    </w:p>
    <w:p>
      <w:pPr>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需要提供相应的本项目实施计划及周期等内容。</w:t>
      </w:r>
    </w:p>
    <w:p>
      <w:pPr>
        <w:ind w:firstLine="640" w:firstLineChars="200"/>
        <w:rPr>
          <w:rFonts w:ascii="Times New Roman" w:hAnsi="Times New Roman" w:eastAsia="方正仿宋_GBK" w:cs="Times New Roman"/>
          <w:b/>
          <w:bCs/>
          <w:sz w:val="32"/>
          <w:szCs w:val="32"/>
          <w:highlight w:val="none"/>
        </w:rPr>
      </w:pPr>
    </w:p>
    <w:p>
      <w:pPr>
        <w:ind w:firstLine="640" w:firstLineChars="200"/>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rPr>
        <w:t>平台使用培训：</w:t>
      </w:r>
    </w:p>
    <w:p>
      <w:pPr>
        <w:pStyle w:val="6"/>
        <w:ind w:firstLine="64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1、微信小程序</w:t>
      </w:r>
    </w:p>
    <w:p>
      <w:pPr>
        <w:pStyle w:val="6"/>
        <w:ind w:firstLine="64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2、PC 端</w:t>
      </w:r>
    </w:p>
    <w:p>
      <w:pPr>
        <w:ind w:firstLine="640" w:firstLineChars="200"/>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rPr>
        <w:t>应急及售后服务：</w:t>
      </w:r>
    </w:p>
    <w:p>
      <w:pPr>
        <w:pStyle w:val="6"/>
        <w:ind w:firstLine="640"/>
        <w:rPr>
          <w:rFonts w:hint="default"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因本平台特殊性，需要提供具体的应急相应措施及售后服务方案。</w:t>
      </w:r>
    </w:p>
    <w:p>
      <w:pPr>
        <w:pStyle w:val="6"/>
        <w:ind w:firstLine="643"/>
        <w:rPr>
          <w:rFonts w:hint="default"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活动方面：</w:t>
      </w:r>
    </w:p>
    <w:p>
      <w:pPr>
        <w:pStyle w:val="6"/>
        <w:ind w:firstLine="64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本项目交付上线后，供应商需举办文旅厅重大项目管理平台上线仪式暨重大文旅项目招商引资推介会，</w:t>
      </w:r>
      <w:r>
        <w:rPr>
          <w:rFonts w:hint="eastAsia" w:ascii="Times New Roman" w:hAnsi="Times New Roman" w:eastAsia="方正仿宋_GBK" w:cs="Times New Roman"/>
          <w:sz w:val="32"/>
          <w:szCs w:val="32"/>
          <w:highlight w:val="none"/>
          <w:lang w:val="en-US" w:eastAsia="zh-CN"/>
        </w:rPr>
        <w:t>推介发布会现场不少于200家意向投资企业，</w:t>
      </w:r>
      <w:r>
        <w:rPr>
          <w:rFonts w:ascii="Times New Roman" w:hAnsi="Times New Roman" w:eastAsia="方正仿宋_GBK" w:cs="Times New Roman"/>
          <w:sz w:val="32"/>
          <w:szCs w:val="32"/>
          <w:highlight w:val="none"/>
        </w:rPr>
        <w:t>以线上+线下模式执行策划开展。</w:t>
      </w:r>
    </w:p>
    <w:p>
      <w:pPr>
        <w:pStyle w:val="6"/>
        <w:ind w:firstLine="643"/>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政策发布宣传：</w:t>
      </w:r>
    </w:p>
    <w:p>
      <w:pPr>
        <w:spacing w:line="360" w:lineRule="auto"/>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政策解读抖音短视频制作20条，原创图解政策20条，原创微场景政策解读制作10个；主流媒体发布原创政策解读、项目解读内容不少于100篇，总浏览量不少于100万人次。</w:t>
      </w:r>
    </w:p>
    <w:p>
      <w:pPr>
        <w:pStyle w:val="6"/>
        <w:jc w:val="left"/>
        <w:rPr>
          <w:rFonts w:ascii="Times New Roman" w:hAnsi="Times New Roman" w:eastAsia="方正仿宋_GBK" w:cs="Times New Roman"/>
          <w:sz w:val="32"/>
          <w:szCs w:val="32"/>
          <w:highlight w:val="none"/>
        </w:rPr>
      </w:pPr>
    </w:p>
    <w:p>
      <w:pPr>
        <w:pStyle w:val="6"/>
        <w:jc w:val="left"/>
        <w:rPr>
          <w:rFonts w:ascii="Times New Roman" w:hAnsi="Times New Roman" w:eastAsia="方正仿宋_GBK" w:cs="Times New Roman"/>
          <w:sz w:val="32"/>
          <w:szCs w:val="32"/>
          <w:highlight w:val="none"/>
        </w:rPr>
      </w:pPr>
    </w:p>
    <w:p>
      <w:pPr>
        <w:pStyle w:val="6"/>
        <w:ind w:firstLine="640"/>
        <w:jc w:val="left"/>
        <w:rPr>
          <w:rFonts w:hint="default"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以上内容应当包含在供应商所制定的详细项目实施方案中，并予以体现，其他未列举的服务供应商可根据情况补充或者拓展。</w:t>
      </w:r>
    </w:p>
    <w:p>
      <w:pPr>
        <w:pStyle w:val="6"/>
        <w:ind w:firstLine="640"/>
        <w:jc w:val="left"/>
        <w:rPr>
          <w:rFonts w:hint="default" w:ascii="Times New Roman" w:hAnsi="Times New Roman" w:eastAsia="方正仿宋_GBK" w:cs="Times New Roman"/>
          <w:sz w:val="32"/>
          <w:szCs w:val="32"/>
          <w:highlight w:val="none"/>
        </w:rPr>
      </w:pPr>
    </w:p>
    <w:p>
      <w:pPr>
        <w:pStyle w:val="6"/>
        <w:ind w:firstLine="640"/>
        <w:jc w:val="left"/>
        <w:rPr>
          <w:rFonts w:hint="default" w:ascii="Times New Roman" w:hAnsi="Times New Roman" w:eastAsia="方正仿宋_GBK" w:cs="Times New Roman"/>
          <w:sz w:val="32"/>
          <w:szCs w:val="32"/>
          <w:highlight w:val="none"/>
        </w:rPr>
      </w:pPr>
    </w:p>
    <w:tbl>
      <w:tblPr>
        <w:tblStyle w:val="16"/>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843" w:type="dxa"/>
            <w:gridSpan w:val="2"/>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b/>
                <w:bCs/>
                <w:kern w:val="2"/>
                <w:sz w:val="36"/>
                <w:szCs w:val="36"/>
                <w:highlight w:val="none"/>
                <w:lang w:val="en-US" w:eastAsia="zh-CN" w:bidi="ar-SA"/>
              </w:rPr>
              <w:t>文旅厅重大项目管理平台技术文件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929"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项 目</w:t>
            </w:r>
          </w:p>
        </w:tc>
        <w:tc>
          <w:tcPr>
            <w:tcW w:w="591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29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系统方案设计</w:t>
            </w:r>
          </w:p>
        </w:tc>
        <w:tc>
          <w:tcPr>
            <w:tcW w:w="5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分析项目需求和特性，制作需求文档;进行软件产品界面(信息架构、操作逻辑、功能、用户体验等)的交互策划,并输出产品原型和交互设计说明文档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29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用户界面设计</w:t>
            </w:r>
          </w:p>
        </w:tc>
        <w:tc>
          <w:tcPr>
            <w:tcW w:w="5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包含移动端、PC端的创意、版式、导航的设计及重点功能模块的设计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29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前端交互（UI）设计与开发</w:t>
            </w:r>
          </w:p>
        </w:tc>
        <w:tc>
          <w:tcPr>
            <w:tcW w:w="5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包含：移动端、PC端</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1.图标动态展示效果;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2.信息内容动态展示效果;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3.二级页面的动态效果;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4.图标的动态展示效果;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29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定制功能模块开发制作</w:t>
            </w:r>
          </w:p>
        </w:tc>
        <w:tc>
          <w:tcPr>
            <w:tcW w:w="5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包含项目管理，企业管理，项目以及企业的审核以及发布，数据分析，通知发布以及展示，政策精选发布、视频解读、图解、智能匹配、精准推送以及政策增删改。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9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资料梳理录入</w:t>
            </w:r>
          </w:p>
        </w:tc>
        <w:tc>
          <w:tcPr>
            <w:tcW w:w="5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调研梳理资料、上传、调试，进行信息化、图表化、可视化处理。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9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操作后台开发、数据库开发</w:t>
            </w:r>
          </w:p>
        </w:tc>
        <w:tc>
          <w:tcPr>
            <w:tcW w:w="5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设计开发移动端与PC端共用的后台管理系统，后台数据建表、数据库搭建等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9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服务器租用及维护</w:t>
            </w:r>
          </w:p>
        </w:tc>
        <w:tc>
          <w:tcPr>
            <w:tcW w:w="5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采用云安全服务器配置如下：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CPU：E7-4807(24cpus）24核</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内存32G</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系统盘100G</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数据盘500G</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带宽300M</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操作系统Linux 64位(CentOS7.6)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9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系统实施</w:t>
            </w:r>
          </w:p>
        </w:tc>
        <w:tc>
          <w:tcPr>
            <w:tcW w:w="5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安装部署,提供系统使用、内容发布、培训等。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9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系统维护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安全防护</w:t>
            </w:r>
          </w:p>
        </w:tc>
        <w:tc>
          <w:tcPr>
            <w:tcW w:w="5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一年维护服务</w:t>
            </w:r>
            <w:r>
              <w:rPr>
                <w:rFonts w:hint="eastAsia" w:ascii="Times New Roman" w:hAnsi="Times New Roman" w:eastAsia="方正仿宋_GBK" w:cs="Times New Roman"/>
                <w:kern w:val="2"/>
                <w:sz w:val="32"/>
                <w:szCs w:val="32"/>
                <w:highlight w:val="none"/>
                <w:lang w:val="en-US" w:eastAsia="zh-CN" w:bidi="ar-SA"/>
              </w:rPr>
              <w:t>，远程网络技术指导，7*24小时电话支持。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企业级防火墙硬件和软件，数据备份，DDos高防、虚拟化防火墙、云日志审计、云查杀、云数据库审计等云安全防护、安全等级年审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kern w:val="2"/>
                <w:sz w:val="32"/>
                <w:szCs w:val="32"/>
                <w:highlight w:val="none"/>
                <w:lang w:val="en-US" w:eastAsia="zh-CN" w:bidi="ar-SA"/>
              </w:rPr>
            </w:pPr>
          </w:p>
        </w:tc>
      </w:tr>
    </w:tbl>
    <w:p>
      <w:pPr>
        <w:spacing w:line="560" w:lineRule="exact"/>
        <w:ind w:firstLine="560" w:firstLineChars="200"/>
        <w:rPr>
          <w:rFonts w:hint="eastAsia" w:ascii="宋体" w:hAnsi="宋体" w:eastAsia="宋体" w:cs="宋体"/>
          <w:sz w:val="28"/>
          <w:szCs w:val="28"/>
          <w:highlight w:val="none"/>
        </w:rPr>
      </w:pPr>
    </w:p>
    <w:p>
      <w:pPr>
        <w:spacing w:line="560" w:lineRule="exact"/>
        <w:ind w:firstLine="648"/>
        <w:rPr>
          <w:rFonts w:hint="eastAsia" w:ascii="仿宋" w:hAnsi="仿宋" w:eastAsia="仿宋" w:cs="仿宋"/>
          <w:color w:val="auto"/>
          <w:sz w:val="32"/>
          <w:szCs w:val="32"/>
          <w:highlight w:val="none"/>
          <w:lang w:val="en-US" w:eastAsia="zh-CN"/>
        </w:rPr>
      </w:pPr>
    </w:p>
    <w:p>
      <w:pPr>
        <w:pStyle w:val="3"/>
        <w:jc w:val="center"/>
        <w:rPr>
          <w:rFonts w:hint="eastAsia" w:ascii="宋体" w:hAnsi="宋体" w:eastAsia="宋体" w:cs="宋体"/>
          <w:highlight w:val="none"/>
        </w:rPr>
      </w:pPr>
      <w:r>
        <w:rPr>
          <w:rFonts w:hint="eastAsia" w:ascii="宋体" w:hAnsi="宋体" w:eastAsia="宋体" w:cs="宋体"/>
          <w:highlight w:val="none"/>
        </w:rPr>
        <w:br w:type="page"/>
      </w:r>
      <w:bookmarkStart w:id="72" w:name="_Toc14342"/>
      <w:r>
        <w:rPr>
          <w:rFonts w:hint="eastAsia" w:ascii="宋体" w:hAnsi="宋体" w:eastAsia="宋体" w:cs="宋体"/>
          <w:highlight w:val="none"/>
        </w:rPr>
        <w:t>第五章</w:t>
      </w:r>
      <w:r>
        <w:rPr>
          <w:rFonts w:hint="eastAsia" w:ascii="宋体" w:hAnsi="宋体" w:eastAsia="宋体" w:cs="宋体"/>
          <w:highlight w:val="none"/>
        </w:rPr>
        <w:tab/>
      </w:r>
      <w:r>
        <w:rPr>
          <w:rFonts w:hint="eastAsia" w:ascii="宋体" w:hAnsi="宋体" w:eastAsia="宋体" w:cs="宋体"/>
          <w:highlight w:val="none"/>
        </w:rPr>
        <w:t>合同条款及合同格式</w:t>
      </w:r>
      <w:bookmarkEnd w:id="72"/>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19"/>
        <w:rPr>
          <w:rFonts w:hint="eastAsia" w:ascii="宋体" w:hAnsi="宋体" w:cs="宋体"/>
          <w:highlight w:val="none"/>
          <w:lang w:eastAsia="zh-CN"/>
        </w:rPr>
      </w:pPr>
    </w:p>
    <w:p>
      <w:pPr>
        <w:pStyle w:val="19"/>
        <w:rPr>
          <w:rFonts w:hint="eastAsia" w:ascii="宋体" w:hAnsi="宋体" w:cs="宋体"/>
          <w:highlight w:val="none"/>
          <w:lang w:eastAsia="zh-CN"/>
        </w:rPr>
      </w:pPr>
    </w:p>
    <w:p>
      <w:pPr>
        <w:pStyle w:val="8"/>
        <w:spacing w:before="41" w:line="364" w:lineRule="auto"/>
        <w:ind w:right="67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本合同条款将作为中标合同的基础，具体合同内容在签订合同时由甲乙双方协商</w:t>
      </w:r>
      <w:r>
        <w:rPr>
          <w:rFonts w:hint="eastAsia" w:asciiTheme="minorEastAsia" w:hAnsiTheme="minorEastAsia" w:eastAsiaTheme="minorEastAsia" w:cstheme="minorEastAsia"/>
          <w:sz w:val="24"/>
          <w:szCs w:val="24"/>
          <w:highlight w:val="none"/>
        </w:rPr>
        <w:t xml:space="preserve">确定。 </w:t>
      </w:r>
    </w:p>
    <w:p>
      <w:pPr>
        <w:pStyle w:val="8"/>
        <w:spacing w:before="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1" w:line="364" w:lineRule="auto"/>
        <w:ind w:left="580" w:right="3343" w:hanging="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pacing w:val="-12"/>
          <w:sz w:val="24"/>
          <w:szCs w:val="24"/>
          <w:highlight w:val="none"/>
        </w:rPr>
        <w:t>简称“      ”</w:t>
      </w:r>
      <w:r>
        <w:rPr>
          <w:rFonts w:hint="eastAsia" w:asciiTheme="minorEastAsia" w:hAnsiTheme="minorEastAsia" w:eastAsiaTheme="minorEastAsia" w:cstheme="minorEastAsia"/>
          <w:sz w:val="24"/>
          <w:szCs w:val="24"/>
          <w:highlight w:val="none"/>
        </w:rPr>
        <w:t xml:space="preserve">） </w:t>
      </w:r>
    </w:p>
    <w:p>
      <w:pPr>
        <w:pStyle w:val="8"/>
        <w:spacing w:before="161" w:line="364" w:lineRule="auto"/>
        <w:ind w:left="580" w:right="3343" w:hanging="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乙方：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pacing w:val="-12"/>
          <w:sz w:val="24"/>
          <w:szCs w:val="24"/>
          <w:highlight w:val="none"/>
        </w:rPr>
        <w:t>简称“      ”</w:t>
      </w:r>
      <w:r>
        <w:rPr>
          <w:rFonts w:hint="eastAsia" w:asciiTheme="minorEastAsia" w:hAnsiTheme="minorEastAsia" w:eastAsiaTheme="minorEastAsia" w:cstheme="minorEastAsia"/>
          <w:sz w:val="24"/>
          <w:szCs w:val="24"/>
          <w:highlight w:val="none"/>
        </w:rPr>
        <w:t xml:space="preserve">） </w:t>
      </w:r>
    </w:p>
    <w:p>
      <w:pPr>
        <w:pStyle w:val="8"/>
        <w:spacing w:before="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0" w:line="364" w:lineRule="auto"/>
        <w:ind w:left="0" w:leftChars="0" w:right="681" w:firstLine="44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根据《中华人民共和国合同法》及相关法律法规的规定，经甲、乙双方协商</w:t>
      </w:r>
      <w:r>
        <w:rPr>
          <w:rFonts w:hint="eastAsia" w:asciiTheme="minorEastAsia" w:hAnsiTheme="minorEastAsia" w:eastAsiaTheme="minorEastAsia" w:cstheme="minorEastAsia"/>
          <w:spacing w:val="-5"/>
          <w:sz w:val="24"/>
          <w:szCs w:val="24"/>
          <w:highlight w:val="none"/>
        </w:rPr>
        <w:t xml:space="preserve">一致，就甲方委托乙方承担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pacing w:val="-8"/>
          <w:sz w:val="24"/>
          <w:szCs w:val="24"/>
          <w:highlight w:val="none"/>
        </w:rPr>
        <w:t>事宜达成如下协议，共同遵守。</w:t>
      </w:r>
    </w:p>
    <w:p>
      <w:pPr>
        <w:pStyle w:val="8"/>
        <w:spacing w:before="3" w:line="360" w:lineRule="auto"/>
        <w:ind w:left="0" w:leftChars="0" w:firstLine="0" w:firstLineChars="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 xml:space="preserve">第一条 委托内容及要求 </w:t>
      </w:r>
    </w:p>
    <w:p>
      <w:pPr>
        <w:pStyle w:val="8"/>
        <w:spacing w:before="161" w:line="364" w:lineRule="auto"/>
        <w:ind w:left="0" w:leftChars="0" w:right="703" w:firstLine="517" w:firstLineChars="2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 xml:space="preserve">甲方委托乙方全面承担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，具体包括： </w:t>
      </w:r>
    </w:p>
    <w:p>
      <w:pPr>
        <w:pStyle w:val="8"/>
        <w:spacing w:before="3" w:line="360" w:lineRule="auto"/>
        <w:ind w:left="0" w:leftChars="0" w:firstLine="0" w:firstLineChars="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 xml:space="preserve">第二条 时间进度 </w:t>
      </w:r>
    </w:p>
    <w:p>
      <w:pPr>
        <w:pStyle w:val="8"/>
        <w:spacing w:before="161" w:line="364" w:lineRule="auto"/>
        <w:ind w:right="1722"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本项目服务期限为：</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pacing w:val="-30"/>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15"/>
          <w:sz w:val="24"/>
          <w:szCs w:val="24"/>
          <w:highlight w:val="none"/>
        </w:rPr>
        <w:t xml:space="preserve">日起至 </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pacing w:val="-30"/>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日止。</w:t>
      </w:r>
    </w:p>
    <w:p>
      <w:pPr>
        <w:pStyle w:val="8"/>
        <w:spacing w:before="3" w:line="360" w:lineRule="auto"/>
        <w:ind w:left="0" w:leftChars="0" w:firstLine="0" w:firstLineChars="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第三条 合同价款</w:t>
      </w:r>
    </w:p>
    <w:p>
      <w:pPr>
        <w:pStyle w:val="8"/>
        <w:spacing w:before="1" w:line="360" w:lineRule="auto"/>
        <w:ind w:left="18" w:leftChars="0" w:right="703" w:firstLine="578" w:firstLineChars="2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经甲乙双方协商确定合同总价为人民币（大写）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，计人民币（小写）￥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元，最终支付费用以实际结算金额为准。 </w:t>
      </w:r>
    </w:p>
    <w:p>
      <w:pPr>
        <w:pStyle w:val="8"/>
        <w:spacing w:before="3" w:line="360" w:lineRule="auto"/>
        <w:ind w:left="0" w:leftChars="0" w:firstLine="0" w:firstLineChars="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 xml:space="preserve">第四条 付款方式 </w:t>
      </w:r>
    </w:p>
    <w:p>
      <w:pPr>
        <w:pStyle w:val="8"/>
        <w:spacing w:before="161"/>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（一）合同项下所有款额应通过甲乙双方指定的银行用人民币支付。 </w:t>
      </w:r>
    </w:p>
    <w:p>
      <w:pPr>
        <w:pStyle w:val="8"/>
        <w:spacing w:before="161" w:line="364" w:lineRule="auto"/>
        <w:ind w:right="705"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（二）甲方付款后，乙方应向甲方交付与本合同价款等额且符合合同性质的中华人民共和国法定国税通用机打发票。 </w:t>
      </w:r>
    </w:p>
    <w:p>
      <w:pPr>
        <w:pStyle w:val="8"/>
        <w:spacing w:before="1"/>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（三）合同第三条中确定的合同总价由甲方向乙方按如下方式及比例支付： </w:t>
      </w:r>
    </w:p>
    <w:p>
      <w:pPr>
        <w:pStyle w:val="8"/>
        <w:spacing w:before="4"/>
        <w:rPr>
          <w:rFonts w:hint="eastAsia" w:asciiTheme="minorEastAsia" w:hAnsiTheme="minorEastAsia" w:eastAsiaTheme="minorEastAsia" w:cstheme="minorEastAsia"/>
          <w:sz w:val="24"/>
          <w:szCs w:val="24"/>
          <w:highlight w:val="none"/>
        </w:rPr>
      </w:pPr>
    </w:p>
    <w:tbl>
      <w:tblPr>
        <w:tblStyle w:val="16"/>
        <w:tblW w:w="0" w:type="auto"/>
        <w:tblInd w:w="4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2276" w:type="dxa"/>
          </w:tcPr>
          <w:p>
            <w:pPr>
              <w:pStyle w:val="21"/>
              <w:spacing w:before="21"/>
              <w:ind w:left="695" w:right="557"/>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付款节点</w:t>
            </w:r>
            <w:r>
              <w:rPr>
                <w:rFonts w:hint="eastAsia" w:asciiTheme="minorEastAsia" w:hAnsiTheme="minorEastAsia" w:eastAsiaTheme="minorEastAsia" w:cstheme="minorEastAsia"/>
                <w:b/>
                <w:w w:val="99"/>
                <w:sz w:val="24"/>
                <w:szCs w:val="24"/>
                <w:highlight w:val="none"/>
              </w:rPr>
              <w:t xml:space="preserve"> </w:t>
            </w:r>
          </w:p>
        </w:tc>
        <w:tc>
          <w:tcPr>
            <w:tcW w:w="1505" w:type="dxa"/>
          </w:tcPr>
          <w:p>
            <w:pPr>
              <w:pStyle w:val="21"/>
              <w:spacing w:before="21"/>
              <w:ind w:left="308" w:right="172"/>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付款比例</w:t>
            </w:r>
            <w:r>
              <w:rPr>
                <w:rFonts w:hint="eastAsia" w:asciiTheme="minorEastAsia" w:hAnsiTheme="minorEastAsia" w:eastAsiaTheme="minorEastAsia" w:cstheme="minorEastAsia"/>
                <w:b/>
                <w:w w:val="99"/>
                <w:sz w:val="24"/>
                <w:szCs w:val="24"/>
                <w:highlight w:val="none"/>
              </w:rPr>
              <w:t xml:space="preserve"> </w:t>
            </w:r>
          </w:p>
        </w:tc>
        <w:tc>
          <w:tcPr>
            <w:tcW w:w="1681" w:type="dxa"/>
          </w:tcPr>
          <w:p>
            <w:pPr>
              <w:pStyle w:val="21"/>
              <w:spacing w:before="21"/>
              <w:ind w:left="154" w:right="3"/>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pacing w:val="-26"/>
                <w:sz w:val="24"/>
                <w:szCs w:val="24"/>
                <w:highlight w:val="none"/>
              </w:rPr>
              <w:t>付款金额</w:t>
            </w:r>
            <w:r>
              <w:rPr>
                <w:rFonts w:hint="eastAsia" w:asciiTheme="minorEastAsia" w:hAnsiTheme="minorEastAsia" w:eastAsiaTheme="minorEastAsia" w:cstheme="minorEastAsia"/>
                <w:b/>
                <w:sz w:val="24"/>
                <w:szCs w:val="24"/>
                <w:highlight w:val="none"/>
              </w:rPr>
              <w:t>（元</w:t>
            </w:r>
            <w:r>
              <w:rPr>
                <w:rFonts w:hint="eastAsia" w:asciiTheme="minorEastAsia" w:hAnsiTheme="minorEastAsia" w:eastAsiaTheme="minorEastAsia" w:cstheme="minorEastAsia"/>
                <w:b/>
                <w:spacing w:val="-119"/>
                <w:sz w:val="24"/>
                <w:szCs w:val="24"/>
                <w:highlight w:val="none"/>
              </w:rPr>
              <w:t>）</w:t>
            </w:r>
            <w:r>
              <w:rPr>
                <w:rFonts w:hint="eastAsia" w:asciiTheme="minorEastAsia" w:hAnsiTheme="minorEastAsia" w:eastAsiaTheme="minorEastAsia" w:cstheme="minorEastAsia"/>
                <w:b/>
                <w:w w:val="99"/>
                <w:sz w:val="24"/>
                <w:szCs w:val="24"/>
                <w:highlight w:val="none"/>
              </w:rPr>
              <w:t xml:space="preserve"> </w:t>
            </w:r>
          </w:p>
        </w:tc>
        <w:tc>
          <w:tcPr>
            <w:tcW w:w="2963" w:type="dxa"/>
          </w:tcPr>
          <w:p>
            <w:pPr>
              <w:pStyle w:val="21"/>
              <w:spacing w:before="21"/>
              <w:ind w:left="1035" w:right="904"/>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付款条件</w:t>
            </w:r>
            <w:r>
              <w:rPr>
                <w:rFonts w:hint="eastAsia" w:asciiTheme="minorEastAsia" w:hAnsiTheme="minorEastAsia" w:eastAsiaTheme="minorEastAsia" w:cstheme="minorEastAsia"/>
                <w:b/>
                <w:w w:val="99"/>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276" w:type="dxa"/>
          </w:tcPr>
          <w:p>
            <w:pPr>
              <w:pStyle w:val="21"/>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276" w:type="dxa"/>
          </w:tcPr>
          <w:p>
            <w:pPr>
              <w:pStyle w:val="21"/>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276" w:type="dxa"/>
          </w:tcPr>
          <w:p>
            <w:pPr>
              <w:pStyle w:val="21"/>
              <w:spacing w:line="291" w:lineRule="exact"/>
              <w:ind w:left="692" w:right="557"/>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合计</w:t>
            </w:r>
          </w:p>
        </w:tc>
        <w:tc>
          <w:tcPr>
            <w:tcW w:w="1505" w:type="dxa"/>
          </w:tcPr>
          <w:p>
            <w:pPr>
              <w:pStyle w:val="21"/>
              <w:spacing w:line="291" w:lineRule="exact"/>
              <w:ind w:left="136"/>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w w:val="99"/>
                <w:sz w:val="24"/>
                <w:szCs w:val="24"/>
                <w:highlight w:val="none"/>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w w:val="99"/>
                <w:sz w:val="24"/>
                <w:szCs w:val="24"/>
                <w:highlight w:val="none"/>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w w:val="99"/>
                <w:sz w:val="24"/>
                <w:szCs w:val="24"/>
                <w:highlight w:val="none"/>
              </w:rPr>
              <w:t xml:space="preserve"> </w:t>
            </w:r>
          </w:p>
        </w:tc>
      </w:tr>
    </w:tbl>
    <w:p>
      <w:pPr>
        <w:pStyle w:val="8"/>
        <w:numPr>
          <w:ilvl w:val="0"/>
          <w:numId w:val="0"/>
        </w:numPr>
        <w:spacing w:before="41" w:line="364" w:lineRule="auto"/>
        <w:ind w:right="703" w:righ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在合同签订后，若甲方要求增加的服务，协商一致后，以书面形式约定，并由甲方追加相应的服务费，计入合同总价。</w:t>
      </w:r>
    </w:p>
    <w:p>
      <w:pPr>
        <w:pStyle w:val="8"/>
        <w:numPr>
          <w:ilvl w:val="0"/>
          <w:numId w:val="0"/>
        </w:numPr>
        <w:spacing w:before="41" w:line="364" w:lineRule="auto"/>
        <w:ind w:right="703" w:righ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（五）若甲方中途变更委托要求，甲乙双方在平等协商的基础上，调整因变更引起的费用项目金额。 </w:t>
      </w:r>
    </w:p>
    <w:p>
      <w:pPr>
        <w:pStyle w:val="8"/>
        <w:spacing w:before="1" w:line="364" w:lineRule="auto"/>
        <w:ind w:left="0" w:leftChars="0" w:right="4663"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（六）乙方指定的银行帐户信息：  </w:t>
      </w:r>
    </w:p>
    <w:p>
      <w:pPr>
        <w:pStyle w:val="8"/>
        <w:spacing w:before="1" w:line="364" w:lineRule="auto"/>
        <w:ind w:left="940" w:right="4663" w:hanging="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账户名称： </w:t>
      </w:r>
    </w:p>
    <w:p>
      <w:pPr>
        <w:pStyle w:val="8"/>
        <w:spacing w:before="1" w:line="364" w:lineRule="auto"/>
        <w:ind w:left="836" w:leftChars="398" w:right="718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开户银行： 账号： </w:t>
      </w:r>
    </w:p>
    <w:p>
      <w:pPr>
        <w:pStyle w:val="4"/>
        <w:spacing w:before="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第五条 双方权利义务</w:t>
      </w:r>
      <w:r>
        <w:rPr>
          <w:rFonts w:hint="eastAsia" w:asciiTheme="minorEastAsia" w:hAnsiTheme="minorEastAsia" w:eastAsiaTheme="minorEastAsia" w:cstheme="minorEastAsia"/>
          <w:spacing w:val="-1"/>
          <w:w w:val="99"/>
          <w:sz w:val="24"/>
          <w:szCs w:val="24"/>
          <w:highlight w:val="none"/>
        </w:rPr>
        <w:t xml:space="preserve"> </w:t>
      </w:r>
    </w:p>
    <w:p>
      <w:pPr>
        <w:pStyle w:val="8"/>
        <w:spacing w:before="161"/>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（一）甲方权利和义务 </w:t>
      </w:r>
    </w:p>
    <w:p>
      <w:pPr>
        <w:pStyle w:val="29"/>
        <w:numPr>
          <w:ilvl w:val="0"/>
          <w:numId w:val="0"/>
        </w:numPr>
        <w:tabs>
          <w:tab w:val="left" w:pos="1182"/>
        </w:tabs>
        <w:spacing w:before="160" w:after="0" w:line="240" w:lineRule="auto"/>
        <w:ind w:left="17" w:leftChars="8" w:right="0" w:rightChars="0" w:firstLine="578"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甲方有权要求乙方按照本合同约定提供各项服务。 </w:t>
      </w:r>
    </w:p>
    <w:p>
      <w:pPr>
        <w:pStyle w:val="29"/>
        <w:numPr>
          <w:ilvl w:val="0"/>
          <w:numId w:val="0"/>
        </w:numPr>
        <w:tabs>
          <w:tab w:val="left" w:pos="1182"/>
        </w:tabs>
        <w:spacing w:before="161" w:after="0" w:line="240" w:lineRule="auto"/>
        <w:ind w:left="17" w:leftChars="8" w:right="0" w:rightChars="0" w:firstLine="578"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甲方有权对乙方提供各项服务的情况进行监督和检查。 </w:t>
      </w:r>
    </w:p>
    <w:p>
      <w:pPr>
        <w:pStyle w:val="29"/>
        <w:numPr>
          <w:ilvl w:val="0"/>
          <w:numId w:val="0"/>
        </w:numPr>
        <w:tabs>
          <w:tab w:val="left" w:pos="1182"/>
        </w:tabs>
        <w:spacing w:before="160" w:after="0" w:line="240" w:lineRule="auto"/>
        <w:ind w:left="17" w:leftChars="8" w:right="0" w:rightChars="0" w:firstLine="578"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甲方应当按照本合同约定向乙方支付费用。 </w:t>
      </w:r>
    </w:p>
    <w:p>
      <w:pPr>
        <w:pStyle w:val="8"/>
        <w:spacing w:before="161"/>
        <w:ind w:left="17" w:leftChars="8" w:firstLine="578" w:firstLineChars="2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xml:space="preserve">其他：                              </w:t>
      </w:r>
    </w:p>
    <w:p>
      <w:pPr>
        <w:pStyle w:val="8"/>
        <w:spacing w:before="160"/>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（二）乙方权利和义务 </w:t>
      </w:r>
    </w:p>
    <w:p>
      <w:pPr>
        <w:pStyle w:val="29"/>
        <w:numPr>
          <w:ilvl w:val="0"/>
          <w:numId w:val="0"/>
        </w:numPr>
        <w:tabs>
          <w:tab w:val="left" w:pos="1122"/>
        </w:tabs>
        <w:spacing w:before="161" w:after="0" w:line="364" w:lineRule="auto"/>
        <w:ind w:left="17" w:leftChars="8" w:right="677" w:rightChars="0" w:firstLine="563" w:firstLineChars="24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1.</w:t>
      </w:r>
      <w:r>
        <w:rPr>
          <w:rFonts w:hint="eastAsia" w:asciiTheme="minorEastAsia" w:hAnsiTheme="minorEastAsia" w:eastAsiaTheme="minorEastAsia" w:cstheme="minorEastAsia"/>
          <w:spacing w:val="-3"/>
          <w:sz w:val="24"/>
          <w:szCs w:val="24"/>
          <w:highlight w:val="none"/>
        </w:rPr>
        <w:t>乙方应按照本合同约定向甲方提供本合同项下服务，确保服务质量符合本</w:t>
      </w:r>
      <w:r>
        <w:rPr>
          <w:rFonts w:hint="eastAsia" w:asciiTheme="minorEastAsia" w:hAnsiTheme="minorEastAsia" w:eastAsiaTheme="minorEastAsia" w:cstheme="minorEastAsia"/>
          <w:spacing w:val="-4"/>
          <w:sz w:val="24"/>
          <w:szCs w:val="24"/>
          <w:highlight w:val="none"/>
        </w:rPr>
        <w:t>合同约定或甲方要求；如因乙方提供服务质量不合格给甲方造成损失的，乙</w:t>
      </w:r>
      <w:r>
        <w:rPr>
          <w:rFonts w:hint="eastAsia" w:asciiTheme="minorEastAsia" w:hAnsiTheme="minorEastAsia" w:eastAsiaTheme="minorEastAsia" w:cstheme="minorEastAsia"/>
          <w:spacing w:val="-6"/>
          <w:sz w:val="24"/>
          <w:szCs w:val="24"/>
          <w:highlight w:val="none"/>
        </w:rPr>
        <w:t xml:space="preserve">方应予不超过合同总额 </w:t>
      </w:r>
      <w:r>
        <w:rPr>
          <w:rFonts w:hint="eastAsia" w:asciiTheme="minorEastAsia" w:hAnsiTheme="minorEastAsia" w:eastAsiaTheme="minorEastAsia" w:cstheme="minorEastAsia"/>
          <w:sz w:val="24"/>
          <w:szCs w:val="24"/>
          <w:highlight w:val="none"/>
        </w:rPr>
        <w:t xml:space="preserve">1%的赔偿。 </w:t>
      </w:r>
    </w:p>
    <w:p>
      <w:pPr>
        <w:pStyle w:val="29"/>
        <w:numPr>
          <w:ilvl w:val="0"/>
          <w:numId w:val="0"/>
        </w:numPr>
        <w:tabs>
          <w:tab w:val="left" w:pos="1122"/>
        </w:tabs>
        <w:spacing w:before="2" w:after="0" w:line="364" w:lineRule="auto"/>
        <w:ind w:left="17" w:leftChars="8" w:right="645" w:rightChars="0" w:firstLine="573"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2.</w:t>
      </w:r>
      <w:r>
        <w:rPr>
          <w:rFonts w:hint="eastAsia" w:asciiTheme="minorEastAsia" w:hAnsiTheme="minorEastAsia" w:eastAsiaTheme="minorEastAsia" w:cstheme="minorEastAsia"/>
          <w:spacing w:val="-1"/>
          <w:sz w:val="24"/>
          <w:szCs w:val="24"/>
          <w:highlight w:val="none"/>
        </w:rPr>
        <w:t xml:space="preserve">乙方的项目经费使用应当符合甲方资金使用的相关规定和有关审计要求， </w:t>
      </w:r>
      <w:r>
        <w:rPr>
          <w:rFonts w:hint="eastAsia" w:asciiTheme="minorEastAsia" w:hAnsiTheme="minorEastAsia" w:eastAsiaTheme="minorEastAsia" w:cstheme="minorEastAsia"/>
          <w:spacing w:val="-12"/>
          <w:sz w:val="24"/>
          <w:szCs w:val="24"/>
          <w:highlight w:val="none"/>
        </w:rPr>
        <w:t>专项用于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等相关工</w:t>
      </w:r>
      <w:r>
        <w:rPr>
          <w:rFonts w:hint="eastAsia" w:asciiTheme="minorEastAsia" w:hAnsiTheme="minorEastAsia" w:eastAsiaTheme="minorEastAsia" w:cstheme="minorEastAsia"/>
          <w:spacing w:val="-6"/>
          <w:sz w:val="24"/>
          <w:szCs w:val="24"/>
          <w:highlight w:val="none"/>
        </w:rPr>
        <w:t xml:space="preserve">作，不得用于与本工作无关的活动支出，专款专用，并配合财政、审计等部门的监督检查。 </w:t>
      </w:r>
    </w:p>
    <w:p>
      <w:pPr>
        <w:pStyle w:val="29"/>
        <w:numPr>
          <w:ilvl w:val="0"/>
          <w:numId w:val="0"/>
        </w:numPr>
        <w:tabs>
          <w:tab w:val="left" w:pos="1122"/>
        </w:tabs>
        <w:spacing w:before="2" w:after="0" w:line="364" w:lineRule="auto"/>
        <w:ind w:left="17" w:leftChars="8" w:right="677" w:rightChars="0" w:firstLine="563"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3.</w:t>
      </w:r>
      <w:r>
        <w:rPr>
          <w:rFonts w:hint="eastAsia" w:asciiTheme="minorEastAsia" w:hAnsiTheme="minorEastAsia" w:eastAsiaTheme="minorEastAsia" w:cstheme="minorEastAsia"/>
          <w:spacing w:val="-3"/>
          <w:sz w:val="24"/>
          <w:szCs w:val="24"/>
          <w:highlight w:val="none"/>
        </w:rPr>
        <w:t>乙方保证其向甲方提供的服务不存在任何侵犯第三方著作权、商标权、专</w:t>
      </w:r>
      <w:r>
        <w:rPr>
          <w:rFonts w:hint="eastAsia" w:asciiTheme="minorEastAsia" w:hAnsiTheme="minorEastAsia" w:eastAsiaTheme="minorEastAsia" w:cstheme="minorEastAsia"/>
          <w:sz w:val="24"/>
          <w:szCs w:val="24"/>
          <w:highlight w:val="none"/>
        </w:rPr>
        <w:t xml:space="preserve">利权等合法权益的情形。 </w:t>
      </w:r>
    </w:p>
    <w:p>
      <w:pPr>
        <w:pStyle w:val="29"/>
        <w:numPr>
          <w:ilvl w:val="0"/>
          <w:numId w:val="0"/>
        </w:numPr>
        <w:tabs>
          <w:tab w:val="left" w:pos="1122"/>
        </w:tabs>
        <w:spacing w:before="2" w:after="0" w:line="364" w:lineRule="auto"/>
        <w:ind w:left="17" w:leftChars="8" w:right="678" w:rightChars="0" w:firstLine="563"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乙方应接受甲方对其提供服务情况进行的监督和检查，并应及时按照甲方</w:t>
      </w:r>
      <w:r>
        <w:rPr>
          <w:rFonts w:hint="eastAsia" w:asciiTheme="minorEastAsia" w:hAnsiTheme="minorEastAsia" w:eastAsiaTheme="minorEastAsia" w:cstheme="minorEastAsia"/>
          <w:sz w:val="24"/>
          <w:szCs w:val="24"/>
          <w:highlight w:val="none"/>
        </w:rPr>
        <w:t xml:space="preserve">要求对所提供的服务进行改进或调整，使服务质量符合甲方要求。 </w:t>
      </w:r>
    </w:p>
    <w:p>
      <w:pPr>
        <w:pStyle w:val="29"/>
        <w:numPr>
          <w:ilvl w:val="0"/>
          <w:numId w:val="0"/>
        </w:numPr>
        <w:tabs>
          <w:tab w:val="left" w:pos="1122"/>
        </w:tabs>
        <w:spacing w:before="1" w:after="0" w:line="364" w:lineRule="auto"/>
        <w:ind w:left="17" w:leftChars="8" w:right="675" w:rightChars="0" w:firstLine="559" w:firstLineChars="24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本项目知识产权归甲方所有。乙方承诺在工作过程中按照国家保密法律法规以及甲方的要求，做好有关保密工作。乙方对工作过程中甲方提供的有关</w:t>
      </w:r>
      <w:r>
        <w:rPr>
          <w:rFonts w:hint="eastAsia" w:asciiTheme="minorEastAsia" w:hAnsiTheme="minorEastAsia" w:eastAsiaTheme="minorEastAsia" w:cstheme="minorEastAsia"/>
          <w:spacing w:val="-8"/>
          <w:sz w:val="24"/>
          <w:szCs w:val="24"/>
          <w:highlight w:val="none"/>
        </w:rPr>
        <w:t>信息、文件、资料等有保密义务，非经甲方书面同意，不得公开或向第三方</w:t>
      </w:r>
      <w:r>
        <w:rPr>
          <w:rFonts w:hint="eastAsia" w:asciiTheme="minorEastAsia" w:hAnsiTheme="minorEastAsia" w:eastAsiaTheme="minorEastAsia" w:cstheme="minorEastAsia"/>
          <w:sz w:val="24"/>
          <w:szCs w:val="24"/>
          <w:highlight w:val="none"/>
        </w:rPr>
        <w:t xml:space="preserve">提供。 </w:t>
      </w:r>
    </w:p>
    <w:p>
      <w:pPr>
        <w:pStyle w:val="8"/>
        <w:spacing w:before="41" w:line="364" w:lineRule="auto"/>
        <w:ind w:left="17" w:leftChars="8" w:right="677" w:firstLine="578" w:firstLineChars="241"/>
        <w:jc w:val="both"/>
        <w:rPr>
          <w:rFonts w:hint="eastAsia"/>
          <w:highlight w:val="none"/>
        </w:rPr>
      </w:pPr>
      <w:r>
        <w:rPr>
          <w:rFonts w:hint="eastAsia" w:asciiTheme="minorEastAsia" w:hAnsiTheme="minorEastAsia" w:eastAsiaTheme="minorEastAsia" w:cstheme="minorEastAsia"/>
          <w:sz w:val="24"/>
          <w:szCs w:val="24"/>
          <w:highlight w:val="none"/>
        </w:rPr>
        <w:t>乙方应保证为甲方提供服务的员工具备提供本合同项下服务所需的相应</w:t>
      </w:r>
      <w:r>
        <w:rPr>
          <w:rFonts w:hint="eastAsia" w:asciiTheme="minorEastAsia" w:hAnsiTheme="minorEastAsia" w:eastAsiaTheme="minorEastAsia" w:cstheme="minorEastAsia"/>
          <w:spacing w:val="-5"/>
          <w:sz w:val="24"/>
          <w:szCs w:val="24"/>
          <w:highlight w:val="none"/>
        </w:rPr>
        <w:t>资质和许可，并保证乙方人员在为甲方提供服务的过程中，严格遵守甲方的</w:t>
      </w:r>
      <w:r>
        <w:rPr>
          <w:rFonts w:hint="eastAsia" w:asciiTheme="minorEastAsia" w:hAnsiTheme="minorEastAsia" w:eastAsiaTheme="minorEastAsia" w:cstheme="minorEastAsia"/>
          <w:spacing w:val="-6"/>
          <w:sz w:val="24"/>
          <w:szCs w:val="24"/>
          <w:highlight w:val="none"/>
        </w:rPr>
        <w:t>各项规定、服从甲方安排。如因乙方人员原因，给甲方或第三方造成人员人</w:t>
      </w:r>
      <w:r>
        <w:rPr>
          <w:rFonts w:hint="eastAsia" w:asciiTheme="minorEastAsia" w:hAnsiTheme="minorEastAsia" w:eastAsiaTheme="minorEastAsia" w:cstheme="minorEastAsia"/>
          <w:sz w:val="24"/>
          <w:szCs w:val="24"/>
          <w:highlight w:val="none"/>
        </w:rPr>
        <w:t xml:space="preserve">身伤害或财产损失的，乙方应承担赔偿责任。 </w:t>
      </w:r>
    </w:p>
    <w:p>
      <w:pPr>
        <w:numPr>
          <w:ilvl w:val="0"/>
          <w:numId w:val="0"/>
        </w:numPr>
        <w:spacing w:before="2" w:line="364" w:lineRule="auto"/>
        <w:ind w:left="17" w:leftChars="8" w:right="3103" w:rightChars="0" w:firstLine="578"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其他：                                    </w:t>
      </w:r>
    </w:p>
    <w:p>
      <w:pPr>
        <w:numPr>
          <w:ilvl w:val="0"/>
          <w:numId w:val="0"/>
        </w:numPr>
        <w:spacing w:before="2" w:line="364" w:lineRule="auto"/>
        <w:ind w:right="3103" w:rightChars="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第六条 合同的变更、补充和解除</w:t>
      </w:r>
      <w:r>
        <w:rPr>
          <w:rFonts w:hint="eastAsia" w:asciiTheme="minorEastAsia" w:hAnsiTheme="minorEastAsia" w:eastAsiaTheme="minorEastAsia" w:cstheme="minorEastAsia"/>
          <w:b/>
          <w:w w:val="99"/>
          <w:sz w:val="24"/>
          <w:szCs w:val="24"/>
          <w:highlight w:val="none"/>
        </w:rPr>
        <w:t xml:space="preserve"> </w:t>
      </w:r>
    </w:p>
    <w:p>
      <w:pPr>
        <w:pStyle w:val="8"/>
        <w:spacing w:before="1"/>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（一）本合同的变更或补充必须由双方协商一致，并以书面形式确定。 </w:t>
      </w:r>
    </w:p>
    <w:p>
      <w:pPr>
        <w:pStyle w:val="8"/>
        <w:spacing w:before="160" w:line="364" w:lineRule="auto"/>
        <w:ind w:left="0" w:leftChars="0" w:right="557"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32"/>
          <w:sz w:val="24"/>
          <w:szCs w:val="24"/>
          <w:highlight w:val="none"/>
        </w:rPr>
        <w:t>）</w:t>
      </w:r>
      <w:r>
        <w:rPr>
          <w:rFonts w:hint="eastAsia" w:asciiTheme="minorEastAsia" w:hAnsiTheme="minorEastAsia" w:eastAsiaTheme="minorEastAsia" w:cstheme="minorEastAsia"/>
          <w:spacing w:val="-10"/>
          <w:sz w:val="24"/>
          <w:szCs w:val="24"/>
          <w:highlight w:val="none"/>
        </w:rPr>
        <w:t xml:space="preserve">双方确定，出现下列情形，致使本合同的履行成为不必要或不可能的， </w:t>
      </w:r>
      <w:r>
        <w:rPr>
          <w:rFonts w:hint="eastAsia" w:asciiTheme="minorEastAsia" w:hAnsiTheme="minorEastAsia" w:eastAsiaTheme="minorEastAsia" w:cstheme="minorEastAsia"/>
          <w:sz w:val="24"/>
          <w:szCs w:val="24"/>
          <w:highlight w:val="none"/>
        </w:rPr>
        <w:t xml:space="preserve">可以解除本合同： </w:t>
      </w:r>
    </w:p>
    <w:p>
      <w:pPr>
        <w:pStyle w:val="29"/>
        <w:numPr>
          <w:ilvl w:val="0"/>
          <w:numId w:val="0"/>
        </w:numPr>
        <w:tabs>
          <w:tab w:val="left" w:pos="1182"/>
        </w:tabs>
        <w:spacing w:before="2" w:after="0" w:line="240" w:lineRule="auto"/>
        <w:ind w:right="0" w:rightChars="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发生不可抗力。 </w:t>
      </w:r>
    </w:p>
    <w:p>
      <w:pPr>
        <w:pStyle w:val="29"/>
        <w:numPr>
          <w:ilvl w:val="0"/>
          <w:numId w:val="0"/>
        </w:numPr>
        <w:tabs>
          <w:tab w:val="left" w:pos="1182"/>
        </w:tabs>
        <w:spacing w:before="161" w:after="0" w:line="240" w:lineRule="auto"/>
        <w:ind w:right="0" w:rightChars="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与本项目直接相关的国家政策发生重大变更，双方同意解除合同。 </w:t>
      </w:r>
    </w:p>
    <w:p>
      <w:pPr>
        <w:pStyle w:val="29"/>
        <w:numPr>
          <w:ilvl w:val="0"/>
          <w:numId w:val="0"/>
        </w:numPr>
        <w:tabs>
          <w:tab w:val="left" w:pos="1182"/>
        </w:tabs>
        <w:spacing w:before="161" w:after="0" w:line="240" w:lineRule="auto"/>
        <w:ind w:right="0" w:rightChars="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一方严重违约。</w:t>
      </w:r>
    </w:p>
    <w:p>
      <w:pPr>
        <w:pStyle w:val="29"/>
        <w:numPr>
          <w:ilvl w:val="0"/>
          <w:numId w:val="0"/>
        </w:numPr>
        <w:tabs>
          <w:tab w:val="left" w:pos="1182"/>
        </w:tabs>
        <w:spacing w:before="160" w:after="0" w:line="364" w:lineRule="auto"/>
        <w:ind w:right="6463" w:rightChars="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第七条 违约责任</w:t>
      </w:r>
      <w:r>
        <w:rPr>
          <w:rFonts w:hint="eastAsia" w:asciiTheme="minorEastAsia" w:hAnsiTheme="minorEastAsia" w:eastAsiaTheme="minorEastAsia" w:cstheme="minorEastAsia"/>
          <w:b/>
          <w:w w:val="99"/>
          <w:sz w:val="24"/>
          <w:szCs w:val="24"/>
          <w:highlight w:val="none"/>
        </w:rPr>
        <w:t xml:space="preserve"> </w:t>
      </w:r>
    </w:p>
    <w:p>
      <w:pPr>
        <w:pStyle w:val="8"/>
        <w:spacing w:before="1" w:line="364" w:lineRule="auto"/>
        <w:ind w:left="0" w:leftChars="0" w:right="705"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（一）甲方未按约定的期限向乙方支付服务费，应在最后付款日的次日起每日按照服务费总额的千分之一向乙方支付违约金，乙方并有权顺延相应工作期限。 </w:t>
      </w:r>
    </w:p>
    <w:p>
      <w:pPr>
        <w:pStyle w:val="8"/>
        <w:spacing w:before="3" w:line="364" w:lineRule="auto"/>
        <w:ind w:left="0" w:leftChars="0" w:right="677"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32"/>
          <w:sz w:val="24"/>
          <w:szCs w:val="24"/>
          <w:highlight w:val="none"/>
        </w:rPr>
        <w:t>）</w:t>
      </w:r>
      <w:r>
        <w:rPr>
          <w:rFonts w:hint="eastAsia" w:asciiTheme="minorEastAsia" w:hAnsiTheme="minorEastAsia" w:eastAsiaTheme="minorEastAsia" w:cstheme="minorEastAsia"/>
          <w:spacing w:val="-6"/>
          <w:sz w:val="24"/>
          <w:szCs w:val="24"/>
          <w:highlight w:val="none"/>
        </w:rPr>
        <w:t>乙方未按合同约定完成委托工作，每逾期一日，按照服务费总额的千</w:t>
      </w:r>
      <w:r>
        <w:rPr>
          <w:rFonts w:hint="eastAsia" w:asciiTheme="minorEastAsia" w:hAnsiTheme="minorEastAsia" w:eastAsiaTheme="minorEastAsia" w:cstheme="minorEastAsia"/>
          <w:spacing w:val="-9"/>
          <w:sz w:val="24"/>
          <w:szCs w:val="24"/>
          <w:highlight w:val="none"/>
        </w:rPr>
        <w:t>分之一向甲方支付违约金，但因甲方未按期提供资料或资金等甲方或第三方原因</w:t>
      </w:r>
      <w:r>
        <w:rPr>
          <w:rFonts w:hint="eastAsia" w:asciiTheme="minorEastAsia" w:hAnsiTheme="minorEastAsia" w:eastAsiaTheme="minorEastAsia" w:cstheme="minorEastAsia"/>
          <w:sz w:val="24"/>
          <w:szCs w:val="24"/>
          <w:highlight w:val="none"/>
        </w:rPr>
        <w:t xml:space="preserve">而导致延误的，不视为乙方违约，可以顺延相应期限。 </w:t>
      </w:r>
    </w:p>
    <w:p>
      <w:pPr>
        <w:pStyle w:val="4"/>
        <w:spacing w:before="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第八条 争议解决和法律适用</w:t>
      </w:r>
      <w:r>
        <w:rPr>
          <w:rFonts w:hint="eastAsia" w:asciiTheme="minorEastAsia" w:hAnsiTheme="minorEastAsia" w:eastAsiaTheme="minorEastAsia" w:cstheme="minorEastAsia"/>
          <w:w w:val="99"/>
          <w:sz w:val="24"/>
          <w:szCs w:val="24"/>
          <w:highlight w:val="none"/>
        </w:rPr>
        <w:t xml:space="preserve"> </w:t>
      </w:r>
    </w:p>
    <w:p>
      <w:pPr>
        <w:pStyle w:val="8"/>
        <w:spacing w:before="161" w:line="364" w:lineRule="auto"/>
        <w:ind w:left="0" w:leftChars="0" w:right="110" w:righ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8"/>
        <w:spacing w:before="2" w:line="364" w:lineRule="auto"/>
        <w:ind w:left="0" w:leftChars="0" w:right="68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4"/>
          <w:sz w:val="24"/>
          <w:szCs w:val="24"/>
          <w:highlight w:val="none"/>
        </w:rPr>
        <w:t>所有与合同有关的争议将通过各方友好协商解决。如果不能通过友好</w:t>
      </w:r>
      <w:r>
        <w:rPr>
          <w:rFonts w:hint="eastAsia" w:asciiTheme="minorEastAsia" w:hAnsiTheme="minorEastAsia" w:eastAsiaTheme="minorEastAsia" w:cstheme="minorEastAsia"/>
          <w:spacing w:val="-10"/>
          <w:sz w:val="24"/>
          <w:szCs w:val="24"/>
          <w:highlight w:val="none"/>
        </w:rPr>
        <w:t>协商解决争议，则该争议应提交北京仲裁委员会进行仲裁。仲裁应依据该委员会</w:t>
      </w:r>
      <w:r>
        <w:rPr>
          <w:rFonts w:hint="eastAsia" w:asciiTheme="minorEastAsia" w:hAnsiTheme="minorEastAsia" w:eastAsiaTheme="minorEastAsia" w:cstheme="minorEastAsia"/>
          <w:sz w:val="24"/>
          <w:szCs w:val="24"/>
          <w:highlight w:val="none"/>
        </w:rPr>
        <w:t xml:space="preserve">的仲裁规则和程序进行。 </w:t>
      </w:r>
    </w:p>
    <w:p>
      <w:pPr>
        <w:pStyle w:val="8"/>
        <w:spacing w:before="2"/>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（三）仲裁为终局，对双方均有约束力，仲裁费用由败诉方承担。 </w:t>
      </w:r>
    </w:p>
    <w:p>
      <w:pPr>
        <w:pStyle w:val="8"/>
        <w:spacing w:before="161"/>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（四）仲裁进行过程中，双方将继续执行仲裁部分以外的合同其他部分。 </w:t>
      </w:r>
    </w:p>
    <w:p>
      <w:pPr>
        <w:pStyle w:val="8"/>
        <w:spacing w:before="161"/>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（五）本合同适用中华人民共和国相关法律。</w:t>
      </w:r>
    </w:p>
    <w:p>
      <w:pPr>
        <w:pStyle w:val="8"/>
        <w:spacing w:before="41"/>
        <w:rPr>
          <w:rFonts w:hint="eastAsia" w:asciiTheme="minorEastAsia" w:hAnsiTheme="minorEastAsia" w:eastAsiaTheme="minorEastAsia" w:cstheme="minorEastAsia"/>
          <w:b/>
          <w:w w:val="99"/>
          <w:sz w:val="24"/>
          <w:szCs w:val="24"/>
          <w:highlight w:val="none"/>
        </w:rPr>
      </w:pPr>
      <w:r>
        <w:rPr>
          <w:rFonts w:hint="eastAsia" w:asciiTheme="minorEastAsia" w:hAnsiTheme="minorEastAsia" w:eastAsiaTheme="minorEastAsia" w:cstheme="minorEastAsia"/>
          <w:b/>
          <w:sz w:val="24"/>
          <w:szCs w:val="24"/>
          <w:highlight w:val="none"/>
        </w:rPr>
        <w:t>第九条 合同的生效、终止及其他</w:t>
      </w:r>
      <w:r>
        <w:rPr>
          <w:rFonts w:hint="eastAsia" w:asciiTheme="minorEastAsia" w:hAnsiTheme="minorEastAsia" w:eastAsiaTheme="minorEastAsia" w:cstheme="minorEastAsia"/>
          <w:b/>
          <w:w w:val="99"/>
          <w:sz w:val="24"/>
          <w:szCs w:val="24"/>
          <w:highlight w:val="none"/>
        </w:rPr>
        <w:t xml:space="preserve"> </w:t>
      </w:r>
    </w:p>
    <w:p>
      <w:pPr>
        <w:pStyle w:val="8"/>
        <w:spacing w:before="41"/>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（一）本合同由双方代表签字盖章后生效。 </w:t>
      </w:r>
    </w:p>
    <w:p>
      <w:pPr>
        <w:pStyle w:val="8"/>
        <w:spacing w:before="160" w:line="364" w:lineRule="auto"/>
        <w:ind w:left="0" w:leftChars="0" w:right="681"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4"/>
          <w:sz w:val="24"/>
          <w:szCs w:val="24"/>
          <w:highlight w:val="none"/>
        </w:rPr>
        <w:t>合同双方同意所有附件是合同不可分割的一部分，与合同正文具有同</w:t>
      </w:r>
      <w:r>
        <w:rPr>
          <w:rFonts w:hint="eastAsia" w:asciiTheme="minorEastAsia" w:hAnsiTheme="minorEastAsia" w:eastAsiaTheme="minorEastAsia" w:cstheme="minorEastAsia"/>
          <w:sz w:val="24"/>
          <w:szCs w:val="24"/>
          <w:highlight w:val="none"/>
        </w:rPr>
        <w:t xml:space="preserve">等效力。若附件与合同正文有任何不一致，以合同正文为准。 </w:t>
      </w:r>
    </w:p>
    <w:p>
      <w:pPr>
        <w:pStyle w:val="8"/>
        <w:spacing w:before="2"/>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（三）本合同及其附件为中文文本，一式四份，甲乙双方各执两份。 </w:t>
      </w:r>
    </w:p>
    <w:p>
      <w:pPr>
        <w:pStyle w:val="8"/>
        <w:spacing w:before="160" w:line="364" w:lineRule="auto"/>
        <w:ind w:left="0" w:leftChars="0" w:right="681"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pacing w:val="-4"/>
          <w:sz w:val="24"/>
          <w:szCs w:val="24"/>
          <w:highlight w:val="none"/>
        </w:rPr>
        <w:t>对合同内容做出的任何修改和补充应为书面形式，由双方授权代表签</w:t>
      </w:r>
      <w:r>
        <w:rPr>
          <w:rFonts w:hint="eastAsia" w:asciiTheme="minorEastAsia" w:hAnsiTheme="minorEastAsia" w:eastAsiaTheme="minorEastAsia" w:cstheme="minorEastAsia"/>
          <w:sz w:val="24"/>
          <w:szCs w:val="24"/>
          <w:highlight w:val="none"/>
        </w:rPr>
        <w:t xml:space="preserve">字后成为合同不可分割的部分。 </w:t>
      </w:r>
    </w:p>
    <w:p>
      <w:pPr>
        <w:pStyle w:val="8"/>
        <w:spacing w:before="1" w:line="364" w:lineRule="auto"/>
        <w:ind w:left="0" w:leftChars="0" w:right="677"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w:t>
      </w:r>
      <w:r>
        <w:rPr>
          <w:rFonts w:hint="eastAsia" w:asciiTheme="minorEastAsia" w:hAnsiTheme="minorEastAsia" w:eastAsiaTheme="minorEastAsia" w:cstheme="minorEastAsia"/>
          <w:spacing w:val="-1"/>
          <w:sz w:val="24"/>
          <w:szCs w:val="24"/>
          <w:highlight w:val="none"/>
        </w:rPr>
        <w:t>任何与合同相关但未在合同中明确规定的事项将由双方友好协商并以</w:t>
      </w:r>
      <w:r>
        <w:rPr>
          <w:rFonts w:hint="eastAsia" w:asciiTheme="minorEastAsia" w:hAnsiTheme="minorEastAsia" w:eastAsiaTheme="minorEastAsia" w:cstheme="minorEastAsia"/>
          <w:sz w:val="24"/>
          <w:szCs w:val="24"/>
          <w:highlight w:val="none"/>
        </w:rPr>
        <w:t xml:space="preserve">补充协议予以解决。 </w:t>
      </w:r>
    </w:p>
    <w:p>
      <w:pPr>
        <w:pStyle w:val="8"/>
        <w:spacing w:before="2"/>
        <w:ind w:left="9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[以下无正文，供双方签字盖章] </w:t>
      </w:r>
    </w:p>
    <w:p>
      <w:pPr>
        <w:pStyle w:val="8"/>
        <w:spacing w:before="160"/>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甲方（公章</w:t>
      </w:r>
      <w:r>
        <w:rPr>
          <w:rFonts w:hint="eastAsia" w:asciiTheme="minorEastAsia" w:hAnsiTheme="minorEastAsia" w:eastAsiaTheme="minorEastAsia" w:cstheme="minorEastAsia"/>
          <w:spacing w:val="-120"/>
          <w:sz w:val="24"/>
          <w:szCs w:val="24"/>
          <w:highlight w:val="none"/>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highlight w:val="none"/>
        </w:rPr>
        <w:t xml:space="preserve">                             乙方</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pacing w:val="-120"/>
          <w:sz w:val="24"/>
          <w:szCs w:val="24"/>
          <w:highlight w:val="none"/>
        </w:rPr>
        <w:t>）</w:t>
      </w:r>
      <w:r>
        <w:rPr>
          <w:rFonts w:hint="eastAsia" w:asciiTheme="minorEastAsia" w:hAnsiTheme="minorEastAsia" w:eastAsiaTheme="minorEastAsia" w:cstheme="minorEastAsia"/>
          <w:sz w:val="24"/>
          <w:szCs w:val="24"/>
          <w:highlight w:val="none"/>
        </w:rPr>
        <w:t xml:space="preserve">） </w:t>
      </w:r>
    </w:p>
    <w:p>
      <w:pPr>
        <w:pStyle w:val="8"/>
        <w:spacing w:before="160"/>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0"/>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 定 代 表 人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法 定 代 表 人 ： </w:t>
      </w:r>
    </w:p>
    <w:p>
      <w:pPr>
        <w:pStyle w:val="8"/>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(或授权代表人)签字：</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(或授权代表)签字： </w:t>
      </w:r>
    </w:p>
    <w:p>
      <w:pPr>
        <w:pStyle w:val="8"/>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Theme="minorEastAsia" w:hAnsiTheme="minorEastAsia" w:eastAsiaTheme="minorEastAsia" w:cstheme="minorEastAsia"/>
          <w:sz w:val="24"/>
          <w:szCs w:val="24"/>
          <w:highlight w:val="none"/>
        </w:rPr>
        <w:t>日 期 ：202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pacing w:val="59"/>
          <w:sz w:val="24"/>
          <w:szCs w:val="24"/>
          <w:highlight w:val="none"/>
        </w:rPr>
        <w:t xml:space="preserve"> </w:t>
      </w:r>
      <w:r>
        <w:rPr>
          <w:rFonts w:hint="eastAsia" w:asciiTheme="minorEastAsia" w:hAnsiTheme="minorEastAsia" w:eastAsiaTheme="minorEastAsia" w:cstheme="minorEastAsia"/>
          <w:sz w:val="24"/>
          <w:szCs w:val="24"/>
          <w:highlight w:val="none"/>
        </w:rPr>
        <w:t>月    日</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 期 ：202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 年 月</w:t>
      </w:r>
      <w:r>
        <w:rPr>
          <w:rFonts w:hint="eastAsia" w:asciiTheme="minorEastAsia" w:hAnsiTheme="minorEastAsia" w:eastAsiaTheme="minorEastAsia" w:cstheme="minorEastAsia"/>
          <w:spacing w:val="60"/>
          <w:sz w:val="24"/>
          <w:szCs w:val="24"/>
          <w:highlight w:val="none"/>
        </w:rPr>
        <w:t xml:space="preserve"> </w:t>
      </w:r>
      <w:r>
        <w:rPr>
          <w:rFonts w:hint="eastAsia" w:asciiTheme="minorEastAsia" w:hAnsiTheme="minorEastAsia" w:eastAsiaTheme="minorEastAsia" w:cstheme="minorEastAsia"/>
          <w:sz w:val="24"/>
          <w:szCs w:val="24"/>
          <w:highlight w:val="none"/>
        </w:rPr>
        <w:t>日</w:t>
      </w:r>
      <w:r>
        <w:rPr>
          <w:rFonts w:hint="eastAsia" w:ascii="宋体" w:hAnsi="宋体" w:eastAsia="宋体" w:cs="宋体"/>
          <w:kern w:val="0"/>
          <w:sz w:val="24"/>
          <w:szCs w:val="24"/>
          <w:highlight w:val="none"/>
        </w:rPr>
        <w:br w:type="page"/>
      </w:r>
      <w:bookmarkStart w:id="73" w:name="_Toc8733"/>
    </w:p>
    <w:p>
      <w:pPr>
        <w:pStyle w:val="8"/>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sz w:val="32"/>
          <w:szCs w:val="32"/>
          <w:highlight w:val="none"/>
        </w:rPr>
        <w:t>磋商响应性文件格式</w:t>
      </w:r>
      <w:bookmarkEnd w:id="73"/>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28"/>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28"/>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8"/>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8"/>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8"/>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一、商务部分</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(2)法定代表人身份证明（附法定代表人身份证复印件）；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(3)委托授权书（附被授权人身份证复印件）；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(4)投标保证金缴纳凭证（复印件加盖公章）；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报价一览表；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3）近一年财务状况报告相关材料（复印件加盖公章）；</w:t>
      </w:r>
    </w:p>
    <w:p>
      <w:pPr>
        <w:pStyle w:val="8"/>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rPr>
        <w:t>4）税收缴纳证明（复印件加盖公章）</w:t>
      </w:r>
      <w:r>
        <w:rPr>
          <w:rFonts w:hint="eastAsia" w:ascii="宋体" w:hAnsi="宋体" w:eastAsia="宋体" w:cs="宋体"/>
          <w:highlight w:val="none"/>
          <w:lang w:eastAsia="zh-CN"/>
        </w:rPr>
        <w:t>；</w:t>
      </w:r>
    </w:p>
    <w:p>
      <w:pPr>
        <w:pStyle w:val="8"/>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）单位社会保障缴费证明（复印件加盖公章）</w:t>
      </w:r>
      <w:r>
        <w:rPr>
          <w:rFonts w:hint="eastAsia" w:ascii="宋体" w:hAnsi="宋体" w:eastAsia="宋体" w:cs="宋体"/>
          <w:highlight w:val="none"/>
          <w:lang w:eastAsia="zh-CN"/>
        </w:rPr>
        <w:t>；</w:t>
      </w:r>
    </w:p>
    <w:p>
      <w:pPr>
        <w:pStyle w:val="8"/>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6</w:t>
      </w:r>
      <w:r>
        <w:rPr>
          <w:rFonts w:hint="eastAsia" w:ascii="宋体" w:hAnsi="宋体" w:eastAsia="宋体" w:cs="宋体"/>
          <w:highlight w:val="none"/>
        </w:rPr>
        <w:t>）办公场所证明（复印件加盖公章）</w:t>
      </w:r>
      <w:r>
        <w:rPr>
          <w:rFonts w:hint="eastAsia" w:ascii="宋体" w:hAnsi="宋体" w:eastAsia="宋体" w:cs="宋体"/>
          <w:highlight w:val="none"/>
          <w:lang w:eastAsia="zh-CN"/>
        </w:rPr>
        <w:t>；</w:t>
      </w:r>
    </w:p>
    <w:p>
      <w:pPr>
        <w:pStyle w:val="8"/>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）其他证明材料（复印件加盖公章）</w:t>
      </w:r>
      <w:r>
        <w:rPr>
          <w:rFonts w:hint="eastAsia" w:ascii="宋体" w:hAnsi="宋体" w:eastAsia="宋体" w:cs="宋体"/>
          <w:highlight w:val="none"/>
          <w:lang w:eastAsia="zh-CN"/>
        </w:rPr>
        <w:t>；</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8"/>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w:t>
      </w:r>
    </w:p>
    <w:p>
      <w:pPr>
        <w:pStyle w:val="8"/>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8"/>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二、技术部分</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注：1.请投标供应商按照以下文件的要求格式、内容，顺序制作投标文件，并请编制目录及页码，否则可能将影响对投标文件的评价。</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2.按以下顺序装订：</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 xml:space="preserve">2.1 </w:t>
      </w:r>
      <w:r>
        <w:rPr>
          <w:rFonts w:hint="eastAsia" w:ascii="宋体" w:hAnsi="宋体" w:eastAsia="宋体" w:cs="宋体"/>
          <w:highlight w:val="none"/>
          <w:lang w:eastAsia="zh-CN"/>
        </w:rPr>
        <w:t>报价</w:t>
      </w:r>
      <w:r>
        <w:rPr>
          <w:rFonts w:hint="eastAsia" w:ascii="宋体" w:hAnsi="宋体" w:eastAsia="宋体" w:cs="宋体"/>
          <w:highlight w:val="none"/>
        </w:rPr>
        <w:t>一览表</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2.2 投标保证金交纳凭证</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2.3 法定代表人/负责人资格证明书及身份证复印件</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2.4 委托授权书及被授权人身份证复印件</w:t>
      </w:r>
    </w:p>
    <w:p>
      <w:pPr>
        <w:pStyle w:val="8"/>
        <w:kinsoku w:val="0"/>
        <w:overflowPunct w:val="0"/>
        <w:spacing w:before="130" w:line="360" w:lineRule="exact"/>
        <w:ind w:left="119" w:right="6" w:firstLine="480"/>
        <w:rPr>
          <w:rFonts w:hint="eastAsia" w:ascii="宋体" w:hAnsi="宋体" w:eastAsia="宋体" w:cs="宋体"/>
          <w:spacing w:val="4"/>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jc w:val="center"/>
        <w:rPr>
          <w:rFonts w:hint="eastAsia" w:ascii="宋体" w:hAnsi="宋体" w:eastAsia="宋体" w:cs="宋体"/>
          <w:b/>
          <w:bCs/>
          <w:sz w:val="96"/>
          <w:szCs w:val="84"/>
          <w:highlight w:val="none"/>
        </w:rPr>
      </w:pPr>
      <w:r>
        <w:rPr>
          <w:rFonts w:hint="eastAsia" w:ascii="宋体" w:hAnsi="宋体" w:eastAsia="宋体" w:cs="宋体"/>
          <w:b/>
          <w:sz w:val="96"/>
          <w:szCs w:val="84"/>
          <w:highlight w:val="none"/>
        </w:rPr>
        <w:t>（一）商务部分</w:t>
      </w:r>
    </w:p>
    <w:p>
      <w:pPr>
        <w:pStyle w:val="8"/>
        <w:kinsoku w:val="0"/>
        <w:overflowPunct w:val="0"/>
        <w:spacing w:before="130" w:line="355" w:lineRule="auto"/>
        <w:ind w:right="7"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5"/>
          <w:szCs w:val="25"/>
          <w:highlight w:val="none"/>
        </w:rPr>
      </w:pPr>
    </w:p>
    <w:p>
      <w:pPr>
        <w:pStyle w:val="8"/>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8"/>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spacing w:before="12"/>
        <w:ind w:left="0"/>
        <w:rPr>
          <w:rFonts w:hint="eastAsia" w:ascii="宋体" w:hAnsi="宋体" w:eastAsia="宋体" w:cs="宋体"/>
          <w:sz w:val="4"/>
          <w:szCs w:val="4"/>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1"/>
        <w:ind w:left="0"/>
        <w:rPr>
          <w:rFonts w:hint="eastAsia" w:ascii="宋体" w:hAnsi="宋体" w:eastAsia="宋体" w:cs="宋体"/>
          <w:sz w:val="19"/>
          <w:szCs w:val="19"/>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0"/>
          <w:szCs w:val="20"/>
          <w:highlight w:val="none"/>
        </w:rPr>
      </w:pPr>
    </w:p>
    <w:p>
      <w:pPr>
        <w:pStyle w:val="8"/>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8"/>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8"/>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8"/>
        <w:kinsoku w:val="0"/>
        <w:overflowPunct w:val="0"/>
        <w:spacing w:before="7"/>
        <w:ind w:left="0"/>
        <w:rPr>
          <w:rFonts w:hint="eastAsia" w:ascii="宋体" w:hAnsi="宋体" w:eastAsia="宋体" w:cs="宋体"/>
          <w:sz w:val="22"/>
          <w:szCs w:val="22"/>
          <w:highlight w:val="none"/>
        </w:rPr>
      </w:pPr>
    </w:p>
    <w:p>
      <w:pPr>
        <w:pStyle w:val="8"/>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法定代表人资格证明及委托代理人（被授权人）身份证复印件（现场核查）〗，递交投标文件时需递交一份。</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5"/>
        <w:ind w:left="0"/>
        <w:rPr>
          <w:rFonts w:hint="eastAsia" w:ascii="宋体" w:hAnsi="宋体" w:eastAsia="宋体" w:cs="宋体"/>
          <w:sz w:val="25"/>
          <w:szCs w:val="25"/>
          <w:highlight w:val="none"/>
        </w:rPr>
      </w:pPr>
    </w:p>
    <w:p>
      <w:pPr>
        <w:pStyle w:val="8"/>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8"/>
        <w:kinsoku w:val="0"/>
        <w:overflowPunct w:val="0"/>
        <w:spacing w:before="174"/>
        <w:rPr>
          <w:rFonts w:hint="eastAsia" w:ascii="宋体" w:hAnsi="宋体" w:eastAsia="宋体" w:cs="宋体"/>
          <w:b/>
          <w:bCs/>
          <w:spacing w:val="1"/>
          <w:sz w:val="21"/>
          <w:szCs w:val="21"/>
          <w:highlight w:val="none"/>
        </w:rPr>
      </w:pPr>
    </w:p>
    <w:p>
      <w:pPr>
        <w:pStyle w:val="8"/>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8"/>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8"/>
        <w:rPr>
          <w:rFonts w:hint="eastAsia"/>
          <w:highlight w:val="none"/>
        </w:rPr>
      </w:pPr>
    </w:p>
    <w:tbl>
      <w:tblPr>
        <w:tblStyle w:val="16"/>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b/>
                <w:bCs/>
                <w:kern w:val="0"/>
                <w:sz w:val="24"/>
                <w:szCs w:val="24"/>
                <w:highlight w:val="none"/>
              </w:rPr>
            </w:pPr>
            <w:r>
              <w:rPr>
                <w:b/>
                <w:bCs/>
                <w:sz w:val="24"/>
                <w:highlight w:val="none"/>
              </w:rPr>
              <w:t>服务期限</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r>
              <w:rPr>
                <w:rFonts w:hint="eastAsia" w:ascii="宋体" w:hAnsi="宋体" w:cs="宋体"/>
                <w:b w:val="0"/>
                <w:bCs w:val="0"/>
                <w:i w:val="0"/>
                <w:iCs w:val="0"/>
                <w:sz w:val="24"/>
                <w:szCs w:val="24"/>
                <w:highlight w:val="none"/>
                <w:lang w:val="en-US" w:eastAsia="zh-CN"/>
              </w:rPr>
              <w:t>签订合同后，截止到2021年11月31日前完成并验收合格。</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总报价</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（大写）人民币                      元整（￥           ）</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lang w:eastAsia="zh-CN"/>
              </w:rPr>
              <w:t>免费维护期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lang w:eastAsia="zh-CN"/>
              </w:rPr>
              <w:t>备注</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kern w:val="0"/>
                <w:sz w:val="24"/>
                <w:szCs w:val="24"/>
                <w:highlight w:val="none"/>
              </w:rPr>
            </w:pP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2.总报价中必须包含劳务、管理、食宿、政策性文件规定配套服务费</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全额含税发票、合同实施过程中应预见和不可预见费用等</w:t>
      </w:r>
      <w:r>
        <w:rPr>
          <w:rFonts w:hint="eastAsia" w:ascii="宋体" w:hAnsi="宋体" w:cs="宋体"/>
          <w:kern w:val="0"/>
          <w:sz w:val="24"/>
          <w:szCs w:val="24"/>
          <w:highlight w:val="none"/>
          <w:lang w:val="en-US" w:eastAsia="zh-CN"/>
        </w:rPr>
        <w:t>完成本项目所需的一切费用</w:t>
      </w:r>
      <w:r>
        <w:rPr>
          <w:rFonts w:hint="eastAsia" w:ascii="宋体" w:hAnsi="宋体" w:eastAsia="宋体" w:cs="宋体"/>
          <w:kern w:val="0"/>
          <w:sz w:val="24"/>
          <w:szCs w:val="24"/>
          <w:highlight w:val="none"/>
        </w:rPr>
        <w:t>。所有价格均应予人民币报价，金额单位为元。</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3.此表应按“供应商须知”的规定密封标记并单独提交，同时在装订成册的响应文件中仍应提供本表。</w:t>
      </w:r>
    </w:p>
    <w:p>
      <w:pPr>
        <w:pStyle w:val="8"/>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磋商</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8"/>
        <w:tabs>
          <w:tab w:val="left" w:pos="8227"/>
        </w:tabs>
        <w:kinsoku w:val="0"/>
        <w:overflowPunct w:val="0"/>
        <w:spacing w:before="0" w:line="381" w:lineRule="auto"/>
        <w:ind w:right="118"/>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8"/>
        <w:tabs>
          <w:tab w:val="left" w:pos="8227"/>
        </w:tabs>
        <w:kinsoku w:val="0"/>
        <w:overflowPunct w:val="0"/>
        <w:spacing w:before="0" w:line="381" w:lineRule="auto"/>
        <w:ind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8"/>
        <w:tabs>
          <w:tab w:val="left" w:pos="5551"/>
          <w:tab w:val="left" w:pos="6511"/>
          <w:tab w:val="left" w:pos="7111"/>
          <w:tab w:val="left" w:pos="7711"/>
        </w:tabs>
        <w:kinsoku w:val="0"/>
        <w:overflowPunct w:val="0"/>
        <w:spacing w:before="46"/>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6"/>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982"/>
        <w:gridCol w:w="942"/>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制造商</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(开发商)</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节能</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3、如不填写或填写不全，后果自行承担。</w:t>
      </w:r>
    </w:p>
    <w:p>
      <w:pPr>
        <w:pStyle w:val="8"/>
        <w:tabs>
          <w:tab w:val="left" w:pos="8227"/>
        </w:tabs>
        <w:kinsoku w:val="0"/>
        <w:overflowPunct w:val="0"/>
        <w:spacing w:before="0" w:line="381" w:lineRule="auto"/>
        <w:ind w:left="4027" w:right="118"/>
        <w:rPr>
          <w:rFonts w:hint="eastAsia" w:ascii="宋体" w:hAnsi="宋体" w:eastAsia="宋体" w:cs="宋体"/>
          <w:b/>
          <w:bCs/>
          <w:highlight w:val="none"/>
        </w:rPr>
      </w:pPr>
    </w:p>
    <w:p>
      <w:pPr>
        <w:pStyle w:val="8"/>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8"/>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8"/>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8"/>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8"/>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8"/>
        <w:kinsoku w:val="0"/>
        <w:overflowPunct w:val="0"/>
        <w:spacing w:before="5"/>
        <w:ind w:left="0"/>
        <w:rPr>
          <w:rFonts w:hint="eastAsia" w:ascii="宋体" w:hAnsi="宋体" w:eastAsia="宋体" w:cs="宋体"/>
          <w:b/>
          <w:bCs/>
          <w:sz w:val="6"/>
          <w:szCs w:val="6"/>
          <w:highlight w:val="none"/>
        </w:rPr>
      </w:pPr>
    </w:p>
    <w:tbl>
      <w:tblPr>
        <w:tblStyle w:val="16"/>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4"/>
              <w:rPr>
                <w:rFonts w:hint="eastAsia" w:ascii="宋体" w:hAnsi="宋体" w:eastAsia="宋体" w:cs="宋体"/>
                <w:b/>
                <w:bCs/>
                <w:sz w:val="20"/>
                <w:szCs w:val="20"/>
                <w:highlight w:val="none"/>
              </w:rPr>
            </w:pPr>
          </w:p>
          <w:p>
            <w:pPr>
              <w:pStyle w:val="21"/>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4"/>
              <w:rPr>
                <w:rFonts w:hint="eastAsia" w:ascii="宋体" w:hAnsi="宋体" w:eastAsia="宋体" w:cs="宋体"/>
                <w:b/>
                <w:bCs/>
                <w:sz w:val="20"/>
                <w:szCs w:val="20"/>
                <w:highlight w:val="none"/>
              </w:rPr>
            </w:pPr>
          </w:p>
          <w:p>
            <w:pPr>
              <w:pStyle w:val="21"/>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rPr>
                <w:rFonts w:hint="eastAsia" w:ascii="宋体" w:hAnsi="宋体" w:eastAsia="宋体" w:cs="宋体"/>
                <w:b/>
                <w:bCs/>
                <w:highlight w:val="none"/>
              </w:rPr>
            </w:pPr>
          </w:p>
          <w:p>
            <w:pPr>
              <w:pStyle w:val="21"/>
              <w:kinsoku w:val="0"/>
              <w:overflowPunct w:val="0"/>
              <w:rPr>
                <w:rFonts w:hint="eastAsia" w:ascii="宋体" w:hAnsi="宋体" w:eastAsia="宋体" w:cs="宋体"/>
                <w:b/>
                <w:bCs/>
                <w:highlight w:val="none"/>
              </w:rPr>
            </w:pPr>
          </w:p>
          <w:p>
            <w:pPr>
              <w:pStyle w:val="21"/>
              <w:kinsoku w:val="0"/>
              <w:overflowPunct w:val="0"/>
              <w:rPr>
                <w:rFonts w:hint="eastAsia" w:ascii="宋体" w:hAnsi="宋体" w:eastAsia="宋体" w:cs="宋体"/>
                <w:b/>
                <w:bCs/>
                <w:highlight w:val="none"/>
              </w:rPr>
            </w:pPr>
          </w:p>
          <w:p>
            <w:pPr>
              <w:pStyle w:val="21"/>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1"/>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1"/>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rPr>
                <w:rFonts w:hint="eastAsia" w:ascii="宋体" w:hAnsi="宋体" w:eastAsia="宋体" w:cs="宋体"/>
                <w:b/>
                <w:bCs/>
                <w:highlight w:val="none"/>
              </w:rPr>
            </w:pPr>
          </w:p>
          <w:p>
            <w:pPr>
              <w:pStyle w:val="21"/>
              <w:kinsoku w:val="0"/>
              <w:overflowPunct w:val="0"/>
              <w:spacing w:before="1"/>
              <w:rPr>
                <w:rFonts w:hint="eastAsia" w:ascii="宋体" w:hAnsi="宋体" w:eastAsia="宋体" w:cs="宋体"/>
                <w:b/>
                <w:bCs/>
                <w:sz w:val="23"/>
                <w:szCs w:val="23"/>
                <w:highlight w:val="none"/>
              </w:rPr>
            </w:pPr>
          </w:p>
          <w:p>
            <w:pPr>
              <w:pStyle w:val="21"/>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bl>
    <w:p>
      <w:pPr>
        <w:pStyle w:val="8"/>
        <w:kinsoku w:val="0"/>
        <w:overflowPunct w:val="0"/>
        <w:spacing w:before="26" w:line="320" w:lineRule="auto"/>
        <w:ind w:left="1772" w:hanging="1640"/>
        <w:rPr>
          <w:rFonts w:hint="eastAsia" w:ascii="宋体" w:hAnsi="宋体" w:eastAsia="宋体" w:cs="宋体"/>
          <w:b/>
          <w:bCs/>
          <w:w w:val="95"/>
          <w:highlight w:val="none"/>
        </w:rPr>
      </w:pPr>
    </w:p>
    <w:p>
      <w:pPr>
        <w:pStyle w:val="8"/>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w w:val="95"/>
          <w:highlight w:val="none"/>
        </w:rPr>
        <w:t>（二</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营</w:t>
      </w:r>
      <w:r>
        <w:rPr>
          <w:rFonts w:hint="eastAsia" w:ascii="宋体" w:hAnsi="宋体" w:eastAsia="宋体" w:cs="宋体"/>
          <w:b/>
          <w:bCs/>
          <w:spacing w:val="1"/>
          <w:w w:val="95"/>
          <w:highlight w:val="none"/>
        </w:rPr>
        <w:t>业</w:t>
      </w:r>
      <w:r>
        <w:rPr>
          <w:rFonts w:hint="eastAsia" w:ascii="宋体" w:hAnsi="宋体" w:eastAsia="宋体" w:cs="宋体"/>
          <w:b/>
          <w:bCs/>
          <w:w w:val="95"/>
          <w:highlight w:val="none"/>
        </w:rPr>
        <w:t>执</w:t>
      </w:r>
      <w:r>
        <w:rPr>
          <w:rFonts w:hint="eastAsia" w:ascii="宋体" w:hAnsi="宋体" w:eastAsia="宋体" w:cs="宋体"/>
          <w:b/>
          <w:bCs/>
          <w:spacing w:val="1"/>
          <w:w w:val="95"/>
          <w:highlight w:val="none"/>
        </w:rPr>
        <w:t>照</w:t>
      </w:r>
      <w:r>
        <w:rPr>
          <w:rFonts w:hint="eastAsia" w:ascii="宋体" w:hAnsi="宋体" w:eastAsia="宋体" w:cs="宋体"/>
          <w:b/>
          <w:bCs/>
          <w:w w:val="95"/>
          <w:highlight w:val="none"/>
        </w:rPr>
        <w:t>副本</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税</w:t>
      </w:r>
      <w:r>
        <w:rPr>
          <w:rFonts w:hint="eastAsia" w:ascii="宋体" w:hAnsi="宋体" w:eastAsia="宋体" w:cs="宋体"/>
          <w:b/>
          <w:bCs/>
          <w:spacing w:val="1"/>
          <w:w w:val="95"/>
          <w:highlight w:val="none"/>
        </w:rPr>
        <w:t>务</w:t>
      </w:r>
      <w:r>
        <w:rPr>
          <w:rFonts w:hint="eastAsia" w:ascii="宋体" w:hAnsi="宋体" w:eastAsia="宋体" w:cs="宋体"/>
          <w:b/>
          <w:bCs/>
          <w:w w:val="95"/>
          <w:highlight w:val="none"/>
        </w:rPr>
        <w:t>登</w:t>
      </w:r>
      <w:r>
        <w:rPr>
          <w:rFonts w:hint="eastAsia" w:ascii="宋体" w:hAnsi="宋体" w:eastAsia="宋体" w:cs="宋体"/>
          <w:b/>
          <w:bCs/>
          <w:spacing w:val="1"/>
          <w:w w:val="95"/>
          <w:highlight w:val="none"/>
        </w:rPr>
        <w:t>记</w:t>
      </w:r>
      <w:r>
        <w:rPr>
          <w:rFonts w:hint="eastAsia" w:ascii="宋体" w:hAnsi="宋体" w:eastAsia="宋体" w:cs="宋体"/>
          <w:b/>
          <w:bCs/>
          <w:w w:val="95"/>
          <w:highlight w:val="none"/>
        </w:rPr>
        <w:t>证</w:t>
      </w:r>
      <w:r>
        <w:rPr>
          <w:rFonts w:hint="eastAsia" w:ascii="宋体" w:hAnsi="宋体" w:eastAsia="宋体" w:cs="宋体"/>
          <w:b/>
          <w:bCs/>
          <w:spacing w:val="-17"/>
          <w:w w:val="95"/>
          <w:highlight w:val="none"/>
        </w:rPr>
        <w:t>、</w:t>
      </w:r>
      <w:r>
        <w:rPr>
          <w:rFonts w:hint="eastAsia" w:ascii="宋体" w:hAnsi="宋体" w:eastAsia="宋体" w:cs="宋体"/>
          <w:b/>
          <w:bCs/>
          <w:w w:val="95"/>
          <w:highlight w:val="none"/>
        </w:rPr>
        <w:t>组</w:t>
      </w:r>
      <w:r>
        <w:rPr>
          <w:rFonts w:hint="eastAsia" w:ascii="宋体" w:hAnsi="宋体" w:eastAsia="宋体" w:cs="宋体"/>
          <w:b/>
          <w:bCs/>
          <w:spacing w:val="1"/>
          <w:w w:val="95"/>
          <w:highlight w:val="none"/>
        </w:rPr>
        <w:t>织</w:t>
      </w:r>
      <w:r>
        <w:rPr>
          <w:rFonts w:hint="eastAsia" w:ascii="宋体" w:hAnsi="宋体" w:eastAsia="宋体" w:cs="宋体"/>
          <w:b/>
          <w:bCs/>
          <w:w w:val="95"/>
          <w:highlight w:val="none"/>
        </w:rPr>
        <w:t>机</w:t>
      </w:r>
      <w:r>
        <w:rPr>
          <w:rFonts w:hint="eastAsia" w:ascii="宋体" w:hAnsi="宋体" w:eastAsia="宋体" w:cs="宋体"/>
          <w:b/>
          <w:bCs/>
          <w:spacing w:val="1"/>
          <w:w w:val="95"/>
          <w:highlight w:val="none"/>
        </w:rPr>
        <w:t>构</w:t>
      </w:r>
      <w:r>
        <w:rPr>
          <w:rFonts w:hint="eastAsia" w:ascii="宋体" w:hAnsi="宋体" w:eastAsia="宋体" w:cs="宋体"/>
          <w:b/>
          <w:bCs/>
          <w:w w:val="95"/>
          <w:highlight w:val="none"/>
        </w:rPr>
        <w:t>代码</w:t>
      </w:r>
      <w:r>
        <w:rPr>
          <w:rFonts w:hint="eastAsia" w:ascii="宋体" w:hAnsi="宋体" w:eastAsia="宋体" w:cs="宋体"/>
          <w:b/>
          <w:bCs/>
          <w:spacing w:val="1"/>
          <w:w w:val="95"/>
          <w:highlight w:val="none"/>
        </w:rPr>
        <w:t>证</w:t>
      </w:r>
      <w:r>
        <w:rPr>
          <w:rFonts w:hint="eastAsia" w:ascii="宋体" w:hAnsi="宋体" w:eastAsia="宋体" w:cs="宋体"/>
          <w:b/>
          <w:bCs/>
          <w:spacing w:val="-33"/>
          <w:w w:val="95"/>
          <w:highlight w:val="none"/>
        </w:rPr>
        <w:t>、</w:t>
      </w:r>
      <w:r>
        <w:rPr>
          <w:rFonts w:hint="eastAsia" w:ascii="宋体" w:hAnsi="宋体" w:eastAsia="宋体" w:cs="宋体"/>
          <w:b/>
          <w:bCs/>
          <w:w w:val="95"/>
          <w:highlight w:val="none"/>
        </w:rPr>
        <w:t>（三</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合</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的提</w:t>
      </w:r>
      <w:r>
        <w:rPr>
          <w:rFonts w:hint="eastAsia" w:ascii="宋体" w:hAnsi="宋体" w:eastAsia="宋体" w:cs="宋体"/>
          <w:b/>
          <w:bCs/>
          <w:spacing w:val="1"/>
          <w:w w:val="95"/>
          <w:highlight w:val="none"/>
        </w:rPr>
        <w:t>供</w:t>
      </w:r>
      <w:r>
        <w:rPr>
          <w:rFonts w:hint="eastAsia" w:ascii="宋体" w:hAnsi="宋体" w:eastAsia="宋体" w:cs="宋体"/>
          <w:b/>
          <w:bCs/>
          <w:w w:val="95"/>
          <w:highlight w:val="none"/>
        </w:rPr>
        <w:t>统</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社会</w:t>
      </w:r>
      <w:r>
        <w:rPr>
          <w:rFonts w:hint="eastAsia" w:ascii="宋体" w:hAnsi="宋体" w:eastAsia="宋体" w:cs="宋体"/>
          <w:b/>
          <w:bCs/>
          <w:spacing w:val="1"/>
          <w:w w:val="95"/>
          <w:highlight w:val="none"/>
        </w:rPr>
        <w:t>信</w:t>
      </w:r>
      <w:r>
        <w:rPr>
          <w:rFonts w:hint="eastAsia" w:ascii="宋体" w:hAnsi="宋体" w:eastAsia="宋体" w:cs="宋体"/>
          <w:b/>
          <w:bCs/>
          <w:w w:val="95"/>
          <w:highlight w:val="none"/>
        </w:rPr>
        <w:t>用</w:t>
      </w:r>
      <w:r>
        <w:rPr>
          <w:rFonts w:hint="eastAsia" w:ascii="宋体" w:hAnsi="宋体" w:eastAsia="宋体" w:cs="宋体"/>
          <w:b/>
          <w:bCs/>
          <w:highlight w:val="none"/>
        </w:rPr>
        <w:t>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（4）自然人投标提供有效的身份证复印件；</w:t>
      </w:r>
    </w:p>
    <w:p>
      <w:pPr>
        <w:pStyle w:val="8"/>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（三）近一年财务状况报告相关材料（复印件加盖单位公章）</w:t>
      </w:r>
    </w:p>
    <w:p>
      <w:pPr>
        <w:pStyle w:val="9"/>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20</w:t>
      </w:r>
      <w:r>
        <w:rPr>
          <w:rFonts w:hint="eastAsia" w:ascii="宋体" w:hAnsi="宋体" w:cs="宋体"/>
          <w:color w:val="000000"/>
          <w:kern w:val="0"/>
          <w:sz w:val="24"/>
          <w:highlight w:val="none"/>
          <w:lang w:val="en-US" w:eastAsia="zh-CN"/>
        </w:rPr>
        <w:t>19</w:t>
      </w:r>
      <w:r>
        <w:rPr>
          <w:rFonts w:hint="eastAsia" w:ascii="宋体" w:hAnsi="宋体" w:eastAsia="宋体" w:cs="宋体"/>
          <w:color w:val="000000"/>
          <w:kern w:val="0"/>
          <w:sz w:val="24"/>
          <w:highlight w:val="none"/>
          <w:lang w:val="en-US" w:eastAsia="zh-CN"/>
        </w:rPr>
        <w:t>年</w:t>
      </w:r>
      <w:r>
        <w:rPr>
          <w:rFonts w:hint="eastAsia" w:ascii="宋体" w:hAnsi="宋体" w:cs="宋体"/>
          <w:color w:val="000000"/>
          <w:kern w:val="0"/>
          <w:sz w:val="24"/>
          <w:highlight w:val="none"/>
          <w:lang w:val="en-US" w:eastAsia="zh-CN"/>
        </w:rPr>
        <w:t>或2020年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r>
        <w:rPr>
          <w:rFonts w:hint="eastAsia" w:ascii="宋体" w:hAnsi="宋体" w:cs="宋体"/>
          <w:color w:val="000000"/>
          <w:kern w:val="0"/>
          <w:sz w:val="24"/>
          <w:highlight w:val="none"/>
          <w:lang w:eastAsia="zh-CN"/>
        </w:rPr>
        <w:t>；</w:t>
      </w:r>
    </w:p>
    <w:p>
      <w:pPr>
        <w:numPr>
          <w:ilvl w:val="0"/>
          <w:numId w:val="0"/>
        </w:numPr>
        <w:spacing w:line="360" w:lineRule="auto"/>
        <w:ind w:firstLine="480" w:firstLineChars="200"/>
        <w:rPr>
          <w:rFonts w:hint="eastAsia" w:ascii="宋体" w:hAnsi="宋体" w:eastAsia="宋体" w:cs="宋体"/>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rPr>
        <w:t>投标人成立不到1年的，提供季度或月份有关财务报表原件（不需审计）</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（3）公益类事业单位、自然人无需提供</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highlight w:val="none"/>
        </w:rPr>
      </w:pPr>
    </w:p>
    <w:p>
      <w:pPr>
        <w:pStyle w:val="9"/>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lang w:val="en-US" w:eastAsia="zh-CN" w:bidi="ar-SA"/>
        </w:rPr>
        <w:t>（四）税收缴纳证明</w:t>
      </w:r>
    </w:p>
    <w:p>
      <w:pPr>
        <w:pStyle w:val="9"/>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8"/>
        <w:numPr>
          <w:ilvl w:val="0"/>
          <w:numId w:val="0"/>
        </w:numPr>
        <w:kinsoku w:val="0"/>
        <w:overflowPunct w:val="0"/>
        <w:spacing w:before="26"/>
        <w:ind w:right="118" w:right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（五）单位社会保障缴费证明（复印件加盖公章）</w:t>
      </w:r>
    </w:p>
    <w:p>
      <w:pPr>
        <w:pStyle w:val="9"/>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（六）办公场所证明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9"/>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kern w:val="0"/>
          <w:sz w:val="24"/>
          <w:szCs w:val="24"/>
          <w:highlight w:val="none"/>
          <w:lang w:val="en-US" w:eastAsia="zh-CN" w:bidi="ar-SA"/>
        </w:rPr>
        <w:t>（七）其他证明材料</w:t>
      </w:r>
    </w:p>
    <w:p>
      <w:pPr>
        <w:pStyle w:val="19"/>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rPr>
        <w:t>参加政府采购活动前三年内，在经营活动中没有重大违法记录</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近三年经营活动中没有重大违法记录声明函</w:t>
      </w:r>
      <w:r>
        <w:rPr>
          <w:rFonts w:hint="eastAsia" w:ascii="宋体" w:hAnsi="宋体" w:cs="宋体"/>
          <w:color w:val="000000"/>
          <w:kern w:val="0"/>
          <w:sz w:val="24"/>
          <w:szCs w:val="24"/>
          <w:highlight w:val="none"/>
          <w:lang w:eastAsia="zh-CN"/>
        </w:rPr>
        <w:t>；</w:t>
      </w:r>
    </w:p>
    <w:p>
      <w:pPr>
        <w:pStyle w:val="19"/>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查询的截图，加盖供应商公章）</w:t>
      </w:r>
    </w:p>
    <w:p>
      <w:pPr>
        <w:pStyle w:val="19"/>
        <w:ind w:firstLine="560"/>
        <w:rPr>
          <w:rFonts w:hint="eastAsia" w:ascii="宋体" w:hAnsi="宋体" w:eastAsia="宋体" w:cs="宋体"/>
          <w:color w:val="000000"/>
          <w:kern w:val="0"/>
          <w:sz w:val="28"/>
          <w:szCs w:val="28"/>
          <w:highlight w:val="none"/>
        </w:rPr>
        <w:sectPr>
          <w:footerReference r:id="rId7"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14"/>
        <w:gridCol w:w="1289"/>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114"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289"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65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8"/>
        <w:kinsoku w:val="0"/>
        <w:overflowPunct w:val="0"/>
        <w:spacing w:before="34" w:line="357" w:lineRule="auto"/>
        <w:ind w:right="126" w:firstLine="480"/>
        <w:jc w:val="center"/>
        <w:rPr>
          <w:rFonts w:hint="eastAsia" w:ascii="宋体" w:hAnsi="宋体" w:eastAsia="宋体" w:cs="宋体"/>
          <w:sz w:val="18"/>
          <w:szCs w:val="18"/>
          <w:highlight w:val="none"/>
        </w:rPr>
      </w:pPr>
    </w:p>
    <w:p>
      <w:pPr>
        <w:pStyle w:val="8"/>
        <w:tabs>
          <w:tab w:val="left" w:pos="6736"/>
        </w:tabs>
        <w:kinsoku w:val="0"/>
        <w:overflowPunct w:val="0"/>
        <w:spacing w:before="26" w:line="337" w:lineRule="auto"/>
        <w:ind w:right="33" w:rightChars="0" w:firstLine="5355" w:firstLineChars="225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6736"/>
        </w:tabs>
        <w:kinsoku w:val="0"/>
        <w:overflowPunct w:val="0"/>
        <w:spacing w:before="26" w:line="337" w:lineRule="auto"/>
        <w:ind w:right="33" w:rightChars="0" w:firstLine="3927" w:firstLineChars="16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418"/>
          <w:tab w:val="left" w:pos="6258"/>
          <w:tab w:val="left" w:pos="7098"/>
        </w:tabs>
        <w:kinsoku w:val="0"/>
        <w:overflowPunct w:val="0"/>
        <w:spacing w:before="26"/>
        <w:ind w:firstLine="6480" w:firstLineChars="270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8"/>
        <w:numPr>
          <w:ilvl w:val="0"/>
          <w:numId w:val="3"/>
        </w:numPr>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8</w:t>
      </w:r>
      <w:r>
        <w:rPr>
          <w:rFonts w:hint="eastAsia" w:ascii="宋体" w:hAnsi="宋体" w:eastAsia="宋体" w:cs="宋体"/>
          <w:spacing w:val="-1"/>
          <w:kern w:val="0"/>
          <w:sz w:val="24"/>
          <w:szCs w:val="24"/>
          <w:highlight w:val="none"/>
        </w:rPr>
        <w:t>年</w:t>
      </w:r>
      <w:r>
        <w:rPr>
          <w:rFonts w:hint="eastAsia" w:ascii="宋体" w:hAnsi="宋体" w:cs="宋体"/>
          <w:spacing w:val="-1"/>
          <w:kern w:val="0"/>
          <w:sz w:val="24"/>
          <w:szCs w:val="24"/>
          <w:highlight w:val="none"/>
          <w:lang w:val="en-US" w:eastAsia="zh-CN"/>
        </w:rPr>
        <w:t>10</w:t>
      </w:r>
      <w:r>
        <w:rPr>
          <w:rFonts w:hint="eastAsia" w:ascii="宋体" w:hAnsi="宋体" w:eastAsia="宋体" w:cs="宋体"/>
          <w:spacing w:val="-1"/>
          <w:kern w:val="0"/>
          <w:sz w:val="24"/>
          <w:szCs w:val="24"/>
          <w:highlight w:val="none"/>
        </w:rPr>
        <w:t>月1日至投标文件递交截止日前）独立承担的与本项目类似的业绩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8"/>
        <w:kinsoku w:val="0"/>
        <w:overflowPunct w:val="0"/>
        <w:spacing w:before="0"/>
        <w:ind w:left="0"/>
        <w:rPr>
          <w:rFonts w:hint="eastAsia" w:ascii="宋体" w:hAnsi="宋体" w:eastAsia="宋体" w:cs="宋体"/>
          <w:b/>
          <w:bCs/>
          <w:sz w:val="20"/>
          <w:szCs w:val="2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03"/>
        <w:gridCol w:w="12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0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230"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2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业绩证明（以合同或中标通知书为准，在投标文件中附合同扫描件或中标通知书扫描件加盖单位公章，须携带原件备查，弄虚作假者取消其投标资格）。</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10"/>
        <w:ind w:left="0"/>
        <w:rPr>
          <w:rFonts w:hint="eastAsia" w:ascii="宋体" w:hAnsi="宋体" w:eastAsia="宋体" w:cs="宋体"/>
          <w:sz w:val="29"/>
          <w:szCs w:val="29"/>
          <w:highlight w:val="none"/>
        </w:rPr>
      </w:pPr>
    </w:p>
    <w:p>
      <w:pPr>
        <w:pStyle w:val="8"/>
        <w:tabs>
          <w:tab w:val="left" w:pos="7078"/>
        </w:tabs>
        <w:kinsoku w:val="0"/>
        <w:overflowPunct w:val="0"/>
        <w:spacing w:before="0" w:line="337" w:lineRule="auto"/>
        <w:ind w:left="3598" w:right="1266"/>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8"/>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8"/>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8"/>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4"/>
          <w:highlight w:val="none"/>
        </w:rPr>
        <w:t>3.提交本声明函的投标人必须在谈判响应性文件中提供相应的证明材料并对材料</w:t>
      </w:r>
      <w:r>
        <w:rPr>
          <w:rFonts w:hint="eastAsia" w:ascii="宋体" w:hAnsi="宋体" w:eastAsia="宋体" w:cs="宋体"/>
          <w:spacing w:val="50"/>
          <w:highlight w:val="none"/>
        </w:rPr>
        <w:t xml:space="preserve"> </w:t>
      </w:r>
      <w:r>
        <w:rPr>
          <w:rFonts w:hint="eastAsia" w:ascii="宋体" w:hAnsi="宋体" w:eastAsia="宋体" w:cs="宋体"/>
          <w:spacing w:val="-2"/>
          <w:highlight w:val="none"/>
        </w:rPr>
        <w:t>的真实性负法律责任。证明材料包括：上一年度及上一月的财务报表；从业人员名单及</w:t>
      </w:r>
      <w:r>
        <w:rPr>
          <w:rFonts w:hint="eastAsia" w:ascii="宋体" w:hAnsi="宋体" w:eastAsia="宋体" w:cs="宋体"/>
          <w:spacing w:val="55"/>
          <w:highlight w:val="none"/>
        </w:rPr>
        <w:t xml:space="preserve"> </w:t>
      </w:r>
      <w:r>
        <w:rPr>
          <w:rFonts w:hint="eastAsia" w:ascii="宋体" w:hAnsi="宋体" w:eastAsia="宋体" w:cs="宋体"/>
          <w:highlight w:val="none"/>
        </w:rPr>
        <w:t>工资发放明细表。</w:t>
      </w:r>
    </w:p>
    <w:p>
      <w:pPr>
        <w:pStyle w:val="8"/>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9"/>
        <w:ind w:left="0"/>
        <w:rPr>
          <w:rFonts w:hint="eastAsia" w:ascii="宋体" w:hAnsi="宋体" w:eastAsia="宋体" w:cs="宋体"/>
          <w:sz w:val="19"/>
          <w:szCs w:val="19"/>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11"/>
        <w:ind w:left="0"/>
        <w:rPr>
          <w:rFonts w:hint="eastAsia" w:ascii="宋体" w:hAnsi="宋体" w:eastAsia="宋体" w:cs="宋体"/>
          <w:sz w:val="9"/>
          <w:szCs w:val="9"/>
          <w:highlight w:val="none"/>
        </w:rPr>
      </w:pPr>
    </w:p>
    <w:p>
      <w:pPr>
        <w:pStyle w:val="8"/>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1、填写前请认真阅读《工业和信息化部、国家统计局、国家发展和改革委员会、财政部关</w:t>
      </w:r>
      <w:r>
        <w:rPr>
          <w:rFonts w:hint="eastAsia" w:ascii="宋体" w:hAnsi="宋体" w:eastAsia="宋体" w:cs="宋体"/>
          <w:w w:val="95"/>
          <w:sz w:val="21"/>
          <w:szCs w:val="21"/>
          <w:highlight w:val="none"/>
        </w:rPr>
        <w:t>于印发中小企业划型标准规定的通知》（工信部联企业[2011]300 号）和《财政部工业和信息化部关于印发《政府采购促进中小企业发展管理办法》（财库﹝2020﹞46 号）相关规定。</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8"/>
        <w:kinsoku w:val="0"/>
        <w:overflowPunct w:val="0"/>
        <w:spacing w:before="133" w:line="356" w:lineRule="auto"/>
        <w:ind w:right="248" w:firstLine="420"/>
        <w:jc w:val="both"/>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残疾人福利性单位应在本声明函后提供相关证明材料。</w:t>
      </w:r>
    </w:p>
    <w:p>
      <w:pPr>
        <w:pStyle w:val="8"/>
        <w:kinsoku w:val="0"/>
        <w:overflowPunct w:val="0"/>
        <w:spacing w:before="0" w:line="31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未按上述要求提供、填写的，评审时不予以考虑。</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8"/>
        <w:kinsoku w:val="0"/>
        <w:overflowPunct w:val="0"/>
        <w:spacing w:before="6"/>
        <w:ind w:left="0"/>
        <w:rPr>
          <w:rFonts w:hint="eastAsia" w:ascii="宋体" w:hAnsi="宋体" w:eastAsia="宋体" w:cs="宋体"/>
          <w:b/>
          <w:bCs/>
          <w:sz w:val="26"/>
          <w:szCs w:val="26"/>
          <w:highlight w:val="none"/>
        </w:rPr>
      </w:pPr>
    </w:p>
    <w:p>
      <w:pPr>
        <w:pStyle w:val="25"/>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新疆信尔成工程项目管理有限公司</w:t>
      </w:r>
    </w:p>
    <w:p>
      <w:pPr>
        <w:pStyle w:val="8"/>
        <w:kinsoku w:val="0"/>
        <w:overflowPunct w:val="0"/>
        <w:spacing w:before="10"/>
        <w:ind w:left="0"/>
        <w:rPr>
          <w:rFonts w:hint="eastAsia" w:ascii="宋体" w:hAnsi="宋体" w:eastAsia="宋体" w:cs="宋体"/>
          <w:b/>
          <w:bCs/>
          <w:sz w:val="14"/>
          <w:szCs w:val="14"/>
          <w:highlight w:val="none"/>
        </w:rPr>
      </w:pP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磋商采购项目中被确定为成交供应商候选人，我方保证在收到《成交通知书》前，按照磋商文件的规定向贵公司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新疆信尔成工程项目管理有限公司</w:t>
      </w:r>
      <w:r>
        <w:rPr>
          <w:rFonts w:hint="eastAsia" w:ascii="宋体" w:hAnsi="宋体" w:eastAsia="宋体" w:cs="宋体"/>
          <w:highlight w:val="none"/>
        </w:rPr>
        <w:t>的要求）办理支付手续。</w:t>
      </w:r>
    </w:p>
    <w:p>
      <w:pPr>
        <w:pStyle w:val="8"/>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（签字）</w:t>
      </w:r>
    </w:p>
    <w:p>
      <w:pPr>
        <w:pStyle w:val="8"/>
        <w:kinsoku w:val="0"/>
        <w:wordWrap/>
        <w:overflowPunct w:val="0"/>
        <w:spacing w:before="34" w:line="358" w:lineRule="auto"/>
        <w:ind w:left="119" w:right="125" w:firstLine="5280" w:firstLineChars="2200"/>
        <w:jc w:val="lef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8"/>
        <w:kinsoku w:val="0"/>
        <w:overflowPunct w:val="0"/>
        <w:spacing w:before="34" w:line="357" w:lineRule="auto"/>
        <w:ind w:right="126" w:firstLine="48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8"/>
        <w:kinsoku w:val="0"/>
        <w:overflowPunct w:val="0"/>
        <w:spacing w:before="6"/>
        <w:ind w:left="0"/>
        <w:rPr>
          <w:rFonts w:hint="eastAsia" w:ascii="宋体" w:hAnsi="宋体" w:eastAsia="宋体" w:cs="宋体"/>
          <w:b/>
          <w:bCs/>
          <w:sz w:val="26"/>
          <w:szCs w:val="26"/>
          <w:highlight w:val="none"/>
        </w:rPr>
      </w:pPr>
    </w:p>
    <w:p>
      <w:pPr>
        <w:pStyle w:val="25"/>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新疆信尔成工程项目管理有限公司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9"/>
        <w:spacing w:line="360" w:lineRule="auto"/>
        <w:rPr>
          <w:rFonts w:hint="eastAsia" w:ascii="宋体" w:hAnsi="宋体" w:eastAsia="宋体" w:cs="宋体"/>
          <w:kern w:val="0"/>
          <w:sz w:val="24"/>
          <w:highlight w:val="none"/>
        </w:rPr>
      </w:pPr>
    </w:p>
    <w:p>
      <w:pPr>
        <w:pStyle w:val="9"/>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（签字）</w:t>
      </w:r>
    </w:p>
    <w:p>
      <w:pPr>
        <w:pStyle w:val="8"/>
        <w:kinsoku w:val="0"/>
        <w:wordWrap/>
        <w:overflowPunct w:val="0"/>
        <w:spacing w:before="34" w:line="358" w:lineRule="auto"/>
        <w:ind w:left="119" w:right="125" w:firstLine="5280" w:firstLineChars="2200"/>
        <w:jc w:val="lef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26"/>
        <w:tabs>
          <w:tab w:val="left" w:pos="2763"/>
        </w:tabs>
        <w:kinsoku w:val="0"/>
        <w:overflowPunct w:val="0"/>
        <w:spacing w:before="143"/>
        <w:jc w:val="center"/>
        <w:outlineLvl w:val="9"/>
        <w:rPr>
          <w:rFonts w:hint="eastAsia" w:ascii="宋体" w:hAnsi="宋体" w:eastAsia="宋体" w:cs="宋体"/>
          <w:b w:val="0"/>
          <w:bCs w:val="0"/>
          <w:highlight w:val="none"/>
        </w:rPr>
      </w:pPr>
    </w:p>
    <w:p>
      <w:pPr>
        <w:pStyle w:val="8"/>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8"/>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8"/>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sz w:val="96"/>
          <w:szCs w:val="84"/>
          <w:highlight w:val="none"/>
        </w:rPr>
      </w:pPr>
      <w:r>
        <w:rPr>
          <w:rFonts w:hint="eastAsia" w:ascii="宋体" w:hAnsi="宋体" w:eastAsia="宋体" w:cs="宋体"/>
          <w:b/>
          <w:bCs/>
          <w:spacing w:val="2"/>
          <w:sz w:val="96"/>
          <w:szCs w:val="84"/>
          <w:highlight w:val="none"/>
        </w:rPr>
        <w:t>（二）技术部分</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19"/>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19"/>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87"/>
        <w:gridCol w:w="34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8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43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项目总体实施方案</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highlight w:val="none"/>
        </w:rPr>
      </w:pPr>
      <w:r>
        <w:rPr>
          <w:rFonts w:hint="eastAsia" w:ascii="宋体" w:hAnsi="宋体" w:eastAsia="宋体" w:cs="宋体"/>
          <w:b/>
          <w:kern w:val="0"/>
          <w:sz w:val="24"/>
          <w:szCs w:val="24"/>
          <w:highlight w:val="none"/>
        </w:rPr>
        <w:t>1.4</w:t>
      </w:r>
      <w:r>
        <w:rPr>
          <w:rFonts w:hint="eastAsia" w:ascii="宋体" w:hAnsi="宋体" w:cs="宋体"/>
          <w:b/>
          <w:kern w:val="0"/>
          <w:sz w:val="24"/>
          <w:szCs w:val="24"/>
          <w:highlight w:val="none"/>
          <w:lang w:val="en-US" w:eastAsia="zh-CN"/>
        </w:rPr>
        <w:t xml:space="preserve">  </w:t>
      </w:r>
      <w:r>
        <w:rPr>
          <w:rFonts w:hint="eastAsia" w:ascii="宋体" w:hAnsi="宋体" w:eastAsia="宋体" w:cs="宋体"/>
          <w:b/>
          <w:bCs/>
          <w:color w:val="auto"/>
          <w:sz w:val="24"/>
          <w:szCs w:val="24"/>
          <w:highlight w:val="none"/>
          <w:lang w:val="zh-CN"/>
        </w:rPr>
        <w:t>服务质量控制措施</w:t>
      </w:r>
      <w:r>
        <w:rPr>
          <w:rFonts w:hint="eastAsia" w:ascii="宋体" w:hAnsi="宋体" w:cs="宋体"/>
          <w:b/>
          <w:kern w:val="0"/>
          <w:sz w:val="24"/>
          <w:szCs w:val="24"/>
          <w:highlight w:val="none"/>
          <w:lang w:val="en-US"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1.5</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工作进度控制措施</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1.6  配套服务措施：</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1.7  服务及售后承诺：</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1.8  安全与应急预案：</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1.9  </w:t>
      </w:r>
      <w:r>
        <w:rPr>
          <w:rFonts w:hint="eastAsia" w:ascii="宋体" w:hAnsi="宋体" w:eastAsia="宋体" w:cs="宋体"/>
          <w:b/>
          <w:kern w:val="0"/>
          <w:sz w:val="24"/>
          <w:szCs w:val="24"/>
          <w:highlight w:val="none"/>
        </w:rPr>
        <w:t>投标供应商认为必要说明的其他内容</w:t>
      </w:r>
      <w:r>
        <w:rPr>
          <w:rFonts w:hint="eastAsia" w:ascii="宋体" w:hAnsi="宋体" w:cs="宋体"/>
          <w:b/>
          <w:kern w:val="0"/>
          <w:sz w:val="24"/>
          <w:szCs w:val="24"/>
          <w:highlight w:val="none"/>
          <w:lang w:eastAsia="zh-CN"/>
        </w:rPr>
        <w:t>（根据采购需求和详细评审表</w:t>
      </w:r>
      <w:r>
        <w:rPr>
          <w:rFonts w:hint="eastAsia" w:ascii="宋体" w:hAnsi="宋体" w:cs="宋体"/>
          <w:b/>
          <w:kern w:val="0"/>
          <w:sz w:val="24"/>
          <w:szCs w:val="24"/>
          <w:highlight w:val="none"/>
          <w:lang w:val="en-US" w:eastAsia="zh-CN"/>
        </w:rPr>
        <w:t>编制</w:t>
      </w:r>
      <w:r>
        <w:rPr>
          <w:rFonts w:hint="eastAsia" w:ascii="宋体" w:hAnsi="宋体" w:cs="宋体"/>
          <w:b/>
          <w:kern w:val="0"/>
          <w:sz w:val="24"/>
          <w:szCs w:val="24"/>
          <w:highlight w:val="none"/>
          <w:lang w:eastAsia="zh-CN"/>
        </w:rPr>
        <w:t>）</w:t>
      </w:r>
    </w:p>
    <w:p>
      <w:pPr>
        <w:rPr>
          <w:rFonts w:hint="eastAsia" w:ascii="宋体" w:hAnsi="宋体" w:eastAsia="宋体" w:cs="宋体"/>
          <w:szCs w:val="21"/>
          <w:highlight w:val="none"/>
          <w:lang w:val="en-GB"/>
        </w:rPr>
      </w:pPr>
    </w:p>
    <w:p>
      <w:pPr>
        <w:rPr>
          <w:rFonts w:hint="eastAsia" w:ascii="宋体" w:hAnsi="宋体" w:eastAsia="宋体" w:cs="宋体"/>
          <w:szCs w:val="21"/>
          <w:highlight w:val="none"/>
          <w:lang w:val="en-GB"/>
        </w:rPr>
      </w:pPr>
    </w:p>
    <w:p>
      <w:pPr>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44"/>
        <w:gridCol w:w="2636"/>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44"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36"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曾主持/参与的</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kern w:val="0"/>
                <w:sz w:val="24"/>
                <w:szCs w:val="24"/>
                <w:highlight w:val="none"/>
                <w:lang w:val="en-US" w:eastAsia="zh-CN"/>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kern w:val="0"/>
                <w:sz w:val="24"/>
                <w:szCs w:val="24"/>
                <w:highlight w:val="none"/>
                <w:lang w:val="en-US" w:eastAsia="zh-CN"/>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tcBorders>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业绩证明等资料</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履约进度计划表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6</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8"/>
        <w:kinsoku w:val="0"/>
        <w:overflowPunct w:val="0"/>
        <w:spacing w:before="34" w:line="357" w:lineRule="auto"/>
        <w:ind w:left="0" w:right="126" w:firstLine="120" w:firstLineChars="5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pPr>
        <w:rPr>
          <w:rFonts w:hint="eastAsia" w:ascii="宋体" w:hAnsi="宋体" w:eastAsia="宋体" w:cs="宋体"/>
          <w:highlight w:val="none"/>
        </w:rPr>
      </w:pPr>
    </w:p>
    <w:sectPr>
      <w:footerReference r:id="rId9" w:type="first"/>
      <w:footerReference r:id="rId8"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szCs w:val="24"/>
      </w:rP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10"/>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jDv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5jDvsoBAACdAwAADgAAAAAAAAABACAAAAAeAQAAZHJzL2Uyb0Rv&#10;Yy54bWxQSwUGAAAAAAYABgBZAQAAWgUAAAAA&#10;">
              <v:fill on="f" focussize="0,0"/>
              <v:stroke on="f"/>
              <v:imagedata o:title=""/>
              <o:lock v:ext="edit" aspectratio="f"/>
              <v:textbox inset="0mm,0mm,0mm,0mm" style="mso-fit-shape-to-text:t;">
                <w:txbxContent>
                  <w:p>
                    <w:pPr>
                      <w:pStyle w:val="1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posOffset>2992120</wp:posOffset>
              </wp:positionH>
              <wp:positionV relativeFrom="paragraph">
                <wp:posOffset>-19050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5.6pt;margin-top:-1.5pt;height:144pt;width:144pt;mso-position-horizontal-relative:margin;mso-wrap-style:none;z-index:251662336;mso-width-relative:page;mso-height-relative:page;" filled="f" stroked="f" coordsize="21600,21600" o:gfxdata="UEsDBAoAAAAAAIdO4kAAAAAAAAAAAAAAAAAEAAAAZHJzL1BLAwQUAAAACACHTuJAjzZbeNcAAAAK&#10;AQAADwAAAGRycy9kb3ducmV2LnhtbE2PPU/DMBCGdyT+g3VIbK2dQElI43SoxMJGqZDY3PgaR/VH&#10;FLtp8u85Jhjv7tF7z1vvZmfZhGPsg5eQrQUw9G3Qve8kHD/fViWwmJTXygaPEhaMsGvu72pV6XDz&#10;HzgdUscoxMdKSTApDRXnsTXoVFyHAT3dzmF0KtE4dlyP6kbhzvJciBfuVO/pg1ED7g22l8PVSSjm&#10;r4BDxD1+n6d2NP1S2vdFyseHTGyBJZzTHwy/+qQODTmdwtXryKyE5yLLCZWweqJOBBSbV1qcJOTl&#10;RgBvav6/QvMDUEsDBBQAAAAIAIdO4kAUUFAKyQEAAJ0DAAAOAAAAZHJzL2Uyb0RvYy54bWytU82O&#10;0zAQviPxDpbv1NkcUBU1XYGqRUgIkBYewHXsxpL/5HGb9AXgDThx4c5z9TkYO0l3WS574OKMZ8bf&#10;zPfNZ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nAT6poSxy2O/PLj&#10;++Xn78uvbyQ7UaIhQIOZ9wFz0/jWj5i++AGdmfmoos1f5EQwjgKfrwLLMRGRH63r9brCkMDYckF8&#10;9vA8REjvpLckGy2NOMEiLD99gDSlLim5mvN32pgyReP+ciBm9rDc+9RjttK4H2dCe9+dkc+Aw2+p&#10;w12nxLx3qG3ek8WIi7FfjGOI+tCXRcr1ILw5Jmyi9JYrTLBzYZxaYTdvWF6Lx/eS9fBX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zZbeNcAAAAKAQAADwAAAAAAAAABACAAAAAiAAAAZHJzL2Rv&#10;d25yZXYueG1sUEsBAhQAFAAAAAgAh07iQBRQUArJAQAAnQMAAA4AAAAAAAAAAQAgAAAAJgEAAGRy&#10;cy9lMm9Eb2MueG1sUEsFBgAAAAAGAAYAWQEAAGEFA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ascii="Times New Roman" w:eastAsia="宋体" w:cs="Times New Roman"/>
        <w:sz w:val="20"/>
        <w:szCs w:val="20"/>
      </w:rPr>
    </w:pPr>
    <w:r>
      <w:rPr>
        <w:sz w:val="24"/>
      </w:rPr>
      <w:pict>
        <v:shape id="PowerPlusWaterMarkObject37265" o:spid="_x0000_s2053" o:spt="136" type="#_x0000_t136" style="position:absolute;left:0pt;margin-left:21.5pt;margin-top:295.75pt;height:23pt;width:413.5pt;mso-position-horizontal-relative:margin;mso-position-vertical-relative:margin;rotation:-2949120f;z-index:-251652096;mso-width-relative:page;mso-height-relative:page;" fillcolor="#C0C0C0" filled="t" stroked="f" coordsize="21600,21600" adj="10800">
          <v:path/>
          <v:fill on="t" color2="#FFFFFF" opacity="32768f" focussize="0,0"/>
          <v:stroke on="f"/>
          <v:imagedata o:title=""/>
          <o:lock v:ext="edit" aspectratio="t"/>
          <v:textpath on="t" fitshape="t" fitpath="t" trim="t" xscale="f" string="文旅项目管理平台及重点项目库采购项目" style="font-family:宋体;font-size:20pt;v-same-letter-heights:f;v-text-align:center;"/>
        </v:shape>
      </w:pict>
    </w: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65150" o:spid="_x0000_s2054" o:spt="136" type="#_x0000_t136" style="position:absolute;left:0pt;height:23pt;width:413pt;mso-position-horizontal:center;mso-position-horizontal-relative:margin;mso-position-vertical:center;mso-position-vertical-relative:margin;rotation:-2949120f;z-index:-251651072;mso-width-relative:page;mso-height-relative:page;" fillcolor="#C0C0C0" filled="t" stroked="f" coordsize="21600,21600" adj="10800">
          <v:path/>
          <v:fill on="t" color2="#FFFFFF" opacity="32768f" focussize="0,0"/>
          <v:stroke on="f"/>
          <v:imagedata o:title=""/>
          <o:lock v:ext="edit" aspectratio="t"/>
          <v:textpath on="t" fitshape="t" fitpath="t" trim="t" xscale="f" string="文旅项目管理平台及重点项目库采购项目" style="font-family:宋体;font-size:2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BE3C"/>
    <w:multiLevelType w:val="singleLevel"/>
    <w:tmpl w:val="C3D7BE3C"/>
    <w:lvl w:ilvl="0" w:tentative="0">
      <w:start w:val="4"/>
      <w:numFmt w:val="chineseCounting"/>
      <w:lvlText w:val="第%1章"/>
      <w:lvlJc w:val="left"/>
      <w:rPr>
        <w:rFonts w:hint="eastAsia"/>
      </w:rPr>
    </w:lvl>
  </w:abstractNum>
  <w:abstractNum w:abstractNumId="1">
    <w:nsid w:val="DDD85877"/>
    <w:multiLevelType w:val="singleLevel"/>
    <w:tmpl w:val="DDD85877"/>
    <w:lvl w:ilvl="0" w:tentative="0">
      <w:start w:val="9"/>
      <w:numFmt w:val="chineseCounting"/>
      <w:suff w:val="nothing"/>
      <w:lvlText w:val="%1、"/>
      <w:lvlJc w:val="left"/>
      <w:rPr>
        <w:rFonts w:hint="eastAsia"/>
      </w:rPr>
    </w:lvl>
  </w:abstractNum>
  <w:abstractNum w:abstractNumId="2">
    <w:nsid w:val="7E333B28"/>
    <w:multiLevelType w:val="multilevel"/>
    <w:tmpl w:val="7E333B28"/>
    <w:lvl w:ilvl="0" w:tentative="0">
      <w:start w:val="1"/>
      <w:numFmt w:val="bullet"/>
      <w:pStyle w:val="2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22B9F"/>
    <w:rsid w:val="005B2D18"/>
    <w:rsid w:val="01A641D0"/>
    <w:rsid w:val="01D34DAF"/>
    <w:rsid w:val="02C859F1"/>
    <w:rsid w:val="02D54BBE"/>
    <w:rsid w:val="031C219B"/>
    <w:rsid w:val="03660413"/>
    <w:rsid w:val="037647BE"/>
    <w:rsid w:val="04C156A3"/>
    <w:rsid w:val="04D33A99"/>
    <w:rsid w:val="05024DDA"/>
    <w:rsid w:val="052D54A2"/>
    <w:rsid w:val="05AF18B5"/>
    <w:rsid w:val="065D6CA9"/>
    <w:rsid w:val="06AE1072"/>
    <w:rsid w:val="06C41957"/>
    <w:rsid w:val="07033AF5"/>
    <w:rsid w:val="07832581"/>
    <w:rsid w:val="07D171D5"/>
    <w:rsid w:val="09AA1EA5"/>
    <w:rsid w:val="0A490BCF"/>
    <w:rsid w:val="0B0D16E9"/>
    <w:rsid w:val="0B6207EB"/>
    <w:rsid w:val="0BCE228A"/>
    <w:rsid w:val="0BE462B0"/>
    <w:rsid w:val="0D413693"/>
    <w:rsid w:val="0D722B9F"/>
    <w:rsid w:val="0E3D36FB"/>
    <w:rsid w:val="0F105F11"/>
    <w:rsid w:val="0FDD7132"/>
    <w:rsid w:val="10296D60"/>
    <w:rsid w:val="106E3A04"/>
    <w:rsid w:val="10901B56"/>
    <w:rsid w:val="10B7577E"/>
    <w:rsid w:val="12370660"/>
    <w:rsid w:val="128214B9"/>
    <w:rsid w:val="12A45171"/>
    <w:rsid w:val="1469427D"/>
    <w:rsid w:val="14EC0895"/>
    <w:rsid w:val="16172039"/>
    <w:rsid w:val="164F5D70"/>
    <w:rsid w:val="16C1237E"/>
    <w:rsid w:val="16D27FFE"/>
    <w:rsid w:val="16E57034"/>
    <w:rsid w:val="17F46788"/>
    <w:rsid w:val="180A0683"/>
    <w:rsid w:val="18AA7D07"/>
    <w:rsid w:val="18F76906"/>
    <w:rsid w:val="19CD436B"/>
    <w:rsid w:val="1AA12531"/>
    <w:rsid w:val="1AAB70F6"/>
    <w:rsid w:val="1B293CB2"/>
    <w:rsid w:val="1B440995"/>
    <w:rsid w:val="1BDB75AB"/>
    <w:rsid w:val="1C0E372A"/>
    <w:rsid w:val="1D557B0E"/>
    <w:rsid w:val="1E171CEE"/>
    <w:rsid w:val="204A1F5A"/>
    <w:rsid w:val="206B641A"/>
    <w:rsid w:val="20B21509"/>
    <w:rsid w:val="20B71E96"/>
    <w:rsid w:val="212C654D"/>
    <w:rsid w:val="21C26E21"/>
    <w:rsid w:val="23684ACA"/>
    <w:rsid w:val="237F76D1"/>
    <w:rsid w:val="23983876"/>
    <w:rsid w:val="23B3162D"/>
    <w:rsid w:val="24332C5B"/>
    <w:rsid w:val="2443369A"/>
    <w:rsid w:val="247A4E23"/>
    <w:rsid w:val="24D72DED"/>
    <w:rsid w:val="27F66A6E"/>
    <w:rsid w:val="291749B1"/>
    <w:rsid w:val="29BB4774"/>
    <w:rsid w:val="29DE4A09"/>
    <w:rsid w:val="2AA85580"/>
    <w:rsid w:val="2AFE4DF2"/>
    <w:rsid w:val="2B322628"/>
    <w:rsid w:val="2E432C8D"/>
    <w:rsid w:val="2F915AF5"/>
    <w:rsid w:val="30C343DF"/>
    <w:rsid w:val="30DB3D98"/>
    <w:rsid w:val="310778EB"/>
    <w:rsid w:val="310F273C"/>
    <w:rsid w:val="317402E2"/>
    <w:rsid w:val="321278B4"/>
    <w:rsid w:val="3261280F"/>
    <w:rsid w:val="329D5129"/>
    <w:rsid w:val="33200116"/>
    <w:rsid w:val="33AF3455"/>
    <w:rsid w:val="33CF656B"/>
    <w:rsid w:val="33DE0756"/>
    <w:rsid w:val="33DF1E85"/>
    <w:rsid w:val="3431484C"/>
    <w:rsid w:val="34DB4D3A"/>
    <w:rsid w:val="351D643D"/>
    <w:rsid w:val="373B07C5"/>
    <w:rsid w:val="37FB3F4A"/>
    <w:rsid w:val="387C458C"/>
    <w:rsid w:val="38BA029F"/>
    <w:rsid w:val="38EA35B2"/>
    <w:rsid w:val="3B9901C7"/>
    <w:rsid w:val="3CC25D2D"/>
    <w:rsid w:val="3DEC5593"/>
    <w:rsid w:val="3FF67D83"/>
    <w:rsid w:val="40266B78"/>
    <w:rsid w:val="40D87544"/>
    <w:rsid w:val="410636DF"/>
    <w:rsid w:val="420F7B33"/>
    <w:rsid w:val="42605233"/>
    <w:rsid w:val="437B38B5"/>
    <w:rsid w:val="43E25048"/>
    <w:rsid w:val="44F75541"/>
    <w:rsid w:val="46640791"/>
    <w:rsid w:val="492A66C2"/>
    <w:rsid w:val="4B7F667A"/>
    <w:rsid w:val="4B870B30"/>
    <w:rsid w:val="4C0A37FB"/>
    <w:rsid w:val="4CDC4388"/>
    <w:rsid w:val="4CE80E9B"/>
    <w:rsid w:val="4D812072"/>
    <w:rsid w:val="4DE54EF3"/>
    <w:rsid w:val="4F9D2711"/>
    <w:rsid w:val="4FC50091"/>
    <w:rsid w:val="52244813"/>
    <w:rsid w:val="54BC322C"/>
    <w:rsid w:val="54BD56B4"/>
    <w:rsid w:val="55C6152F"/>
    <w:rsid w:val="5617749A"/>
    <w:rsid w:val="56761C3C"/>
    <w:rsid w:val="571D7746"/>
    <w:rsid w:val="57477C09"/>
    <w:rsid w:val="586064CE"/>
    <w:rsid w:val="595249D1"/>
    <w:rsid w:val="5A0F1D95"/>
    <w:rsid w:val="5A2107E0"/>
    <w:rsid w:val="5A2A6A29"/>
    <w:rsid w:val="5BF6333D"/>
    <w:rsid w:val="5C556A6C"/>
    <w:rsid w:val="5C6A74BC"/>
    <w:rsid w:val="5C895F12"/>
    <w:rsid w:val="5DBA57B6"/>
    <w:rsid w:val="5ECD4E4C"/>
    <w:rsid w:val="5FE656F6"/>
    <w:rsid w:val="60B65262"/>
    <w:rsid w:val="611F0FB1"/>
    <w:rsid w:val="61D16D07"/>
    <w:rsid w:val="61FC658F"/>
    <w:rsid w:val="62F27A68"/>
    <w:rsid w:val="63D03541"/>
    <w:rsid w:val="641F1F24"/>
    <w:rsid w:val="642218CB"/>
    <w:rsid w:val="64390033"/>
    <w:rsid w:val="644E1569"/>
    <w:rsid w:val="65B633F8"/>
    <w:rsid w:val="65E330FF"/>
    <w:rsid w:val="66175069"/>
    <w:rsid w:val="67703F3D"/>
    <w:rsid w:val="68D64BC1"/>
    <w:rsid w:val="69721CA2"/>
    <w:rsid w:val="69C15C22"/>
    <w:rsid w:val="6A0115D7"/>
    <w:rsid w:val="6CF43C6B"/>
    <w:rsid w:val="6D32361F"/>
    <w:rsid w:val="6DD67BF8"/>
    <w:rsid w:val="6E9E234F"/>
    <w:rsid w:val="6FBE6EFA"/>
    <w:rsid w:val="6FF757B1"/>
    <w:rsid w:val="70F91EEA"/>
    <w:rsid w:val="71CF7331"/>
    <w:rsid w:val="7263008B"/>
    <w:rsid w:val="72B426CE"/>
    <w:rsid w:val="7334147F"/>
    <w:rsid w:val="74525D34"/>
    <w:rsid w:val="748875E0"/>
    <w:rsid w:val="752E52B2"/>
    <w:rsid w:val="752E6E5E"/>
    <w:rsid w:val="75821E12"/>
    <w:rsid w:val="75CE7976"/>
    <w:rsid w:val="76FC6368"/>
    <w:rsid w:val="770937CE"/>
    <w:rsid w:val="779B1E77"/>
    <w:rsid w:val="786617BC"/>
    <w:rsid w:val="7A323CFA"/>
    <w:rsid w:val="7A783AA1"/>
    <w:rsid w:val="7B7052D7"/>
    <w:rsid w:val="7BA02538"/>
    <w:rsid w:val="7D5B0D49"/>
    <w:rsid w:val="7DB10760"/>
    <w:rsid w:val="7E0C05DA"/>
    <w:rsid w:val="7E1D4F8D"/>
    <w:rsid w:val="7E2A48A3"/>
    <w:rsid w:val="7E536EF9"/>
    <w:rsid w:val="7F63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widowControl/>
      <w:adjustRightInd w:val="0"/>
      <w:snapToGrid w:val="0"/>
      <w:spacing w:line="312" w:lineRule="auto"/>
      <w:jc w:val="center"/>
    </w:pPr>
    <w:rPr>
      <w:rFonts w:ascii="黑体" w:hAnsi="宋体" w:eastAsia="黑体" w:cs="宋体"/>
      <w:snapToGrid w:val="0"/>
      <w:kern w:val="0"/>
      <w:sz w:val="24"/>
    </w:rPr>
  </w:style>
  <w:style w:type="paragraph" w:styleId="6">
    <w:name w:val="Normal Indent"/>
    <w:basedOn w:val="1"/>
    <w:next w:val="7"/>
    <w:qFormat/>
    <w:uiPriority w:val="0"/>
    <w:pPr>
      <w:ind w:firstLine="420"/>
    </w:pPr>
    <w:rPr>
      <w:szCs w:val="20"/>
    </w:rPr>
  </w:style>
  <w:style w:type="paragraph" w:styleId="7">
    <w:name w:val="toc 4"/>
    <w:basedOn w:val="1"/>
    <w:next w:val="1"/>
    <w:unhideWhenUsed/>
    <w:qFormat/>
    <w:uiPriority w:val="39"/>
    <w:pPr>
      <w:ind w:left="1260" w:leftChars="600"/>
    </w:pPr>
  </w:style>
  <w:style w:type="paragraph" w:styleId="8">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9">
    <w:name w:val="Plain Text"/>
    <w:basedOn w:val="1"/>
    <w:qFormat/>
    <w:uiPriority w:val="0"/>
    <w:rPr>
      <w:rFonts w:ascii="宋体" w:hAnsi="Times New Roman"/>
      <w:szCs w:val="24"/>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9400"/>
      </w:tabs>
      <w:spacing w:line="520" w:lineRule="exact"/>
      <w:jc w:val="left"/>
    </w:pPr>
  </w:style>
  <w:style w:type="paragraph" w:styleId="13">
    <w:name w:val="Body Text Indent 3"/>
    <w:basedOn w:val="1"/>
    <w:qFormat/>
    <w:uiPriority w:val="0"/>
    <w:pPr>
      <w:spacing w:line="410" w:lineRule="exact"/>
      <w:ind w:left="619" w:leftChars="295" w:firstLine="390" w:firstLineChars="179"/>
    </w:pPr>
    <w:rPr>
      <w:rFonts w:ascii="宋体" w:hAnsi="宋体"/>
      <w:spacing w:val="4"/>
    </w:rPr>
  </w:style>
  <w:style w:type="paragraph" w:styleId="14">
    <w:name w:val="toc 2"/>
    <w:basedOn w:val="1"/>
    <w:next w:val="1"/>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Hyperlink"/>
    <w:unhideWhenUsed/>
    <w:qFormat/>
    <w:uiPriority w:val="99"/>
    <w:rPr>
      <w:color w:val="0000FF"/>
      <w:u w:val="single"/>
    </w:rPr>
  </w:style>
  <w:style w:type="paragraph" w:customStyle="1" w:styleId="19">
    <w:name w:val="正文缩进1"/>
    <w:basedOn w:val="1"/>
    <w:qFormat/>
    <w:uiPriority w:val="0"/>
    <w:pPr>
      <w:ind w:firstLine="420" w:firstLineChars="200"/>
    </w:pPr>
  </w:style>
  <w:style w:type="character" w:customStyle="1" w:styleId="20">
    <w:name w:val="NormalCharacter"/>
    <w:semiHidden/>
    <w:qFormat/>
    <w:uiPriority w:val="0"/>
  </w:style>
  <w:style w:type="paragraph" w:customStyle="1" w:styleId="2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2">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 w:type="paragraph" w:customStyle="1" w:styleId="23">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24">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5">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6">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7">
    <w:name w:val="列表内容"/>
    <w:basedOn w:val="1"/>
    <w:qFormat/>
    <w:uiPriority w:val="0"/>
    <w:pPr>
      <w:numPr>
        <w:ilvl w:val="0"/>
        <w:numId w:val="1"/>
      </w:numPr>
      <w:spacing w:before="46" w:beforeLines="15" w:after="46" w:afterLines="15" w:line="260" w:lineRule="exact"/>
    </w:pPr>
    <w:rPr>
      <w:rFonts w:ascii="Verdana" w:hAnsi="Verdana"/>
      <w:szCs w:val="18"/>
    </w:rPr>
  </w:style>
  <w:style w:type="paragraph" w:customStyle="1" w:styleId="28">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30">
    <w:name w:val="Default"/>
    <w:qFormat/>
    <w:uiPriority w:val="0"/>
    <w:pPr>
      <w:widowControl w:val="0"/>
      <w:autoSpaceDE w:val="0"/>
      <w:autoSpaceDN w:val="0"/>
      <w:adjustRightInd w:val="0"/>
    </w:pPr>
    <w:rPr>
      <w:rFonts w:ascii="Calibri" w:hAnsi="Calibri" w:eastAsia="宋体" w:cs="Times New Roman"/>
      <w:color w:val="000000"/>
      <w:kern w:val="0"/>
      <w:sz w:val="24"/>
      <w:szCs w:val="22"/>
      <w:lang w:val="en-US" w:eastAsia="zh-CN" w:bidi="ar-SA"/>
    </w:rPr>
  </w:style>
  <w:style w:type="character" w:customStyle="1" w:styleId="31">
    <w:name w:val="font41"/>
    <w:basedOn w:val="17"/>
    <w:qFormat/>
    <w:uiPriority w:val="0"/>
    <w:rPr>
      <w:rFonts w:hint="eastAsia" w:ascii="黑体" w:hAnsi="宋体" w:eastAsia="黑体" w:cs="黑体"/>
      <w:b/>
      <w:bCs/>
      <w:color w:val="000000"/>
      <w:sz w:val="18"/>
      <w:szCs w:val="18"/>
      <w:u w:val="none"/>
    </w:rPr>
  </w:style>
  <w:style w:type="character" w:customStyle="1" w:styleId="32">
    <w:name w:val="font01"/>
    <w:basedOn w:val="17"/>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1026" textRotate="1"/>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2020-07-11T04:02:00Z</dcterms:created>
  <dc:creator>先生</dc:creator>
  <cp:lastModifiedBy>李欣茹</cp:lastModifiedBy>
  <cp:lastPrinted>2021-08-31T02:58:00Z</cp:lastPrinted>
  <dcterms:modified xsi:type="dcterms:W3CDTF">2021-10-21T09:22:03Z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B0DA3A79BFC5462EB5FC0122EBA3B735</vt:lpwstr>
  </property>
</Properties>
</file>