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right="-319" w:rightChars="-152"/>
        <w:jc w:val="center"/>
        <w:rPr>
          <w:rFonts w:hint="eastAsia" w:ascii="宋体" w:hAnsi="宋体" w:eastAsia="宋体" w:cs="宋体"/>
          <w:b/>
          <w:bCs/>
          <w:color w:val="auto"/>
          <w:sz w:val="56"/>
          <w:szCs w:val="56"/>
          <w:highlight w:val="none"/>
          <w:lang w:eastAsia="zh-CN"/>
        </w:rPr>
      </w:pPr>
      <w:r>
        <w:rPr>
          <w:rFonts w:hint="eastAsia" w:ascii="宋体" w:hAnsi="宋体" w:eastAsia="宋体" w:cs="宋体"/>
          <w:b/>
          <w:bCs/>
          <w:color w:val="auto"/>
          <w:sz w:val="56"/>
          <w:szCs w:val="56"/>
          <w:highlight w:val="none"/>
          <w:lang w:val="en-US" w:eastAsia="zh-CN"/>
        </w:rPr>
        <w:t>新疆维吾尔自治区高级人民法院保安服务采购项目</w:t>
      </w:r>
    </w:p>
    <w:p>
      <w:pPr>
        <w:spacing w:line="1000" w:lineRule="exact"/>
        <w:ind w:right="-319" w:rightChars="-152"/>
        <w:jc w:val="both"/>
        <w:rPr>
          <w:rFonts w:hint="eastAsia" w:ascii="宋体" w:hAnsi="宋体" w:eastAsia="宋体" w:cs="宋体"/>
          <w:b/>
          <w:bCs/>
          <w:color w:val="auto"/>
          <w:sz w:val="44"/>
          <w:szCs w:val="44"/>
          <w:highlight w:val="none"/>
        </w:rPr>
      </w:pPr>
    </w:p>
    <w:p>
      <w:pPr>
        <w:pStyle w:val="5"/>
        <w:rPr>
          <w:rFonts w:hint="eastAsia"/>
        </w:rPr>
      </w:pPr>
    </w:p>
    <w:p>
      <w:pPr>
        <w:rPr>
          <w:rFonts w:hint="eastAsia"/>
        </w:rPr>
      </w:pPr>
    </w:p>
    <w:p>
      <w:pPr>
        <w:pStyle w:val="5"/>
        <w:rPr>
          <w:rFonts w:hint="eastAsia"/>
        </w:rPr>
      </w:pPr>
    </w:p>
    <w:p>
      <w:pPr>
        <w:pStyle w:val="11"/>
        <w:rPr>
          <w:rFonts w:hint="eastAsia" w:ascii="宋体" w:hAnsi="宋体" w:eastAsia="宋体" w:cs="宋体"/>
        </w:rPr>
      </w:pPr>
    </w:p>
    <w:p>
      <w:pPr>
        <w:spacing w:line="1000" w:lineRule="exact"/>
        <w:ind w:right="-319" w:rightChars="-152"/>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bCs/>
          <w:color w:val="auto"/>
          <w:sz w:val="56"/>
          <w:szCs w:val="56"/>
          <w:highlight w:val="none"/>
        </w:rPr>
        <w:t>竞争性磋商文件</w:t>
      </w:r>
    </w:p>
    <w:p>
      <w:pPr>
        <w:spacing w:line="660" w:lineRule="exact"/>
        <w:jc w:val="center"/>
        <w:rPr>
          <w:rFonts w:hint="eastAsia" w:ascii="宋体" w:hAnsi="宋体" w:eastAsia="宋体" w:cs="宋体"/>
          <w:color w:val="auto"/>
          <w:sz w:val="28"/>
          <w:szCs w:val="28"/>
          <w:highlight w:val="none"/>
        </w:rPr>
      </w:pPr>
      <w:r>
        <w:rPr>
          <w:rFonts w:hint="eastAsia" w:ascii="宋体" w:hAnsi="宋体" w:eastAsia="宋体" w:cs="宋体"/>
          <w:b/>
          <w:color w:val="auto"/>
          <w:sz w:val="32"/>
          <w:szCs w:val="32"/>
          <w:highlight w:val="none"/>
          <w:lang w:val="en-US" w:eastAsia="zh-CN"/>
        </w:rPr>
        <w:t>项目编号：[2021]13893号-001</w:t>
      </w:r>
    </w:p>
    <w:p>
      <w:pPr>
        <w:pStyle w:val="11"/>
        <w:rPr>
          <w:rFonts w:hint="eastAsia" w:ascii="宋体" w:hAnsi="宋体" w:eastAsia="宋体" w:cs="宋体"/>
          <w:b/>
          <w:bCs/>
          <w:color w:val="auto"/>
          <w:sz w:val="32"/>
          <w:szCs w:val="32"/>
          <w:highlight w:val="none"/>
        </w:rPr>
      </w:pPr>
    </w:p>
    <w:p>
      <w:pPr>
        <w:pStyle w:val="11"/>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spacing w:line="720" w:lineRule="exact"/>
        <w:ind w:firstLine="840" w:firstLineChars="3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采 购 人：</w:t>
      </w:r>
      <w:r>
        <w:rPr>
          <w:rFonts w:hint="eastAsia" w:ascii="宋体" w:hAnsi="宋体" w:eastAsia="宋体" w:cs="宋体"/>
          <w:color w:val="auto"/>
          <w:sz w:val="28"/>
          <w:szCs w:val="28"/>
          <w:highlight w:val="none"/>
          <w:lang w:val="en-US" w:eastAsia="zh-CN"/>
        </w:rPr>
        <w:t>新疆维吾尔自治区高级人民法院</w:t>
      </w:r>
    </w:p>
    <w:p>
      <w:pPr>
        <w:spacing w:line="72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 系 人：</w:t>
      </w:r>
      <w:r>
        <w:rPr>
          <w:rFonts w:hint="eastAsia" w:ascii="宋体" w:hAnsi="宋体" w:eastAsia="宋体" w:cs="宋体"/>
          <w:color w:val="auto"/>
          <w:sz w:val="28"/>
          <w:szCs w:val="28"/>
          <w:highlight w:val="none"/>
          <w:lang w:val="en-US" w:eastAsia="zh-CN"/>
        </w:rPr>
        <w:t>田工</w:t>
      </w:r>
    </w:p>
    <w:p>
      <w:pPr>
        <w:spacing w:line="72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lang w:val="en-US" w:eastAsia="zh-CN"/>
        </w:rPr>
        <w:t>17709913858</w:t>
      </w:r>
    </w:p>
    <w:p>
      <w:pPr>
        <w:pStyle w:val="11"/>
        <w:rPr>
          <w:rFonts w:hint="eastAsia" w:ascii="宋体" w:hAnsi="宋体" w:eastAsia="宋体" w:cs="宋体"/>
          <w:lang w:eastAsia="zh-CN"/>
        </w:rPr>
      </w:pPr>
    </w:p>
    <w:p>
      <w:pPr>
        <w:spacing w:line="72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采购代理机构：</w:t>
      </w:r>
      <w:r>
        <w:rPr>
          <w:rFonts w:hint="eastAsia" w:ascii="宋体" w:hAnsi="宋体" w:eastAsia="宋体" w:cs="宋体"/>
          <w:color w:val="auto"/>
          <w:sz w:val="28"/>
          <w:szCs w:val="28"/>
          <w:highlight w:val="none"/>
          <w:lang w:val="en-US" w:eastAsia="zh-CN"/>
        </w:rPr>
        <w:t>新疆优尚资创招标代理有限公司</w:t>
      </w:r>
    </w:p>
    <w:p>
      <w:pPr>
        <w:spacing w:line="720" w:lineRule="exact"/>
        <w:ind w:firstLine="840" w:firstLineChars="3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lang w:val="en-US" w:eastAsia="zh-CN"/>
        </w:rPr>
        <w:t>杨晓乐</w:t>
      </w:r>
    </w:p>
    <w:p>
      <w:pPr>
        <w:spacing w:line="720" w:lineRule="exact"/>
        <w:ind w:firstLine="840" w:firstLineChars="300"/>
        <w:rPr>
          <w:rFonts w:hint="eastAsia" w:ascii="宋体" w:hAnsi="宋体" w:eastAsia="宋体" w:cs="宋体"/>
          <w:color w:val="auto"/>
          <w:highlight w:val="none"/>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lang w:val="en-US" w:eastAsia="zh-CN"/>
        </w:rPr>
        <w:t>13565961392</w:t>
      </w:r>
    </w:p>
    <w:p>
      <w:pPr>
        <w:spacing w:line="360" w:lineRule="auto"/>
        <w:jc w:val="center"/>
        <w:rPr>
          <w:rFonts w:hint="eastAsia" w:ascii="宋体" w:hAnsi="宋体" w:eastAsia="宋体" w:cs="宋体"/>
          <w:b/>
          <w:bCs w:val="0"/>
          <w:color w:val="auto"/>
          <w:sz w:val="28"/>
          <w:szCs w:val="28"/>
          <w:highlight w:val="none"/>
          <w:lang w:val="en-US" w:eastAsia="zh-CN"/>
        </w:rPr>
      </w:pPr>
    </w:p>
    <w:p>
      <w:pPr>
        <w:spacing w:line="360" w:lineRule="auto"/>
        <w:jc w:val="center"/>
        <w:rPr>
          <w:rFonts w:hint="eastAsia" w:ascii="宋体" w:hAnsi="宋体" w:eastAsia="宋体" w:cs="宋体"/>
        </w:rPr>
        <w:sectPr>
          <w:headerReference r:id="rId4" w:type="first"/>
          <w:headerReference r:id="rId3" w:type="default"/>
          <w:footerReference r:id="rId5" w:type="even"/>
          <w:pgSz w:w="11907" w:h="16840"/>
          <w:pgMar w:top="1077" w:right="1417" w:bottom="1417" w:left="1417" w:header="680" w:footer="799" w:gutter="0"/>
          <w:pgNumType w:fmt="decimal" w:start="1"/>
          <w:cols w:space="720" w:num="1"/>
          <w:titlePg/>
          <w:docGrid w:type="lines" w:linePitch="409" w:charSpace="0"/>
        </w:sectPr>
      </w:pPr>
      <w:r>
        <w:rPr>
          <w:rFonts w:hint="eastAsia" w:ascii="宋体" w:hAnsi="宋体" w:eastAsia="宋体" w:cs="宋体"/>
          <w:b/>
          <w:bCs w:val="0"/>
          <w:color w:val="auto"/>
          <w:sz w:val="28"/>
          <w:szCs w:val="28"/>
          <w:highlight w:val="none"/>
          <w:lang w:val="en-US" w:eastAsia="zh-CN"/>
        </w:rPr>
        <w:t>二零二一</w:t>
      </w:r>
      <w:r>
        <w:rPr>
          <w:rFonts w:hint="eastAsia" w:ascii="宋体" w:hAnsi="宋体" w:eastAsia="宋体" w:cs="宋体"/>
          <w:b/>
          <w:bCs w:val="0"/>
          <w:color w:val="auto"/>
          <w:sz w:val="28"/>
          <w:szCs w:val="28"/>
          <w:highlight w:val="none"/>
        </w:rPr>
        <w:t>年</w:t>
      </w:r>
      <w:r>
        <w:rPr>
          <w:rFonts w:hint="eastAsia" w:ascii="宋体" w:hAnsi="宋体" w:eastAsia="宋体" w:cs="宋体"/>
          <w:b/>
          <w:bCs w:val="0"/>
          <w:color w:val="auto"/>
          <w:sz w:val="28"/>
          <w:szCs w:val="28"/>
          <w:highlight w:val="none"/>
          <w:lang w:val="en-US" w:eastAsia="zh-CN"/>
        </w:rPr>
        <w:t>十</w:t>
      </w:r>
      <w:r>
        <w:rPr>
          <w:rFonts w:hint="eastAsia" w:ascii="宋体" w:hAnsi="宋体" w:eastAsia="宋体" w:cs="宋体"/>
          <w:b/>
          <w:bCs w:val="0"/>
          <w:color w:val="auto"/>
          <w:sz w:val="28"/>
          <w:szCs w:val="28"/>
          <w:highlight w:val="none"/>
        </w:rPr>
        <w:t>月</w:t>
      </w:r>
    </w:p>
    <w:p>
      <w:pPr>
        <w:pageBreakBefore/>
        <w:spacing w:line="500" w:lineRule="exact"/>
        <w:jc w:val="center"/>
        <w:rPr>
          <w:rFonts w:hint="eastAsia" w:ascii="宋体" w:hAnsi="宋体" w:eastAsia="宋体" w:cs="宋体"/>
          <w:b/>
          <w:color w:val="auto"/>
          <w:kern w:val="2"/>
          <w:sz w:val="24"/>
          <w:szCs w:val="24"/>
          <w:highlight w:val="none"/>
        </w:rPr>
      </w:pPr>
      <w:r>
        <w:rPr>
          <w:rFonts w:hint="eastAsia" w:ascii="宋体" w:hAnsi="宋体" w:eastAsia="宋体" w:cs="宋体"/>
          <w:b/>
          <w:bCs/>
          <w:color w:val="auto"/>
          <w:sz w:val="32"/>
          <w:szCs w:val="32"/>
          <w:highlight w:val="none"/>
        </w:rPr>
        <w:t>总  目  录</w:t>
      </w:r>
    </w:p>
    <w:p>
      <w:pPr>
        <w:pStyle w:val="29"/>
        <w:tabs>
          <w:tab w:val="right" w:leader="dot" w:pos="9185"/>
        </w:tabs>
        <w:spacing w:line="600" w:lineRule="auto"/>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rPr>
        <w:t>第一章</w:t>
      </w:r>
      <w:r>
        <w:rPr>
          <w:rFonts w:hint="eastAsia" w:ascii="宋体" w:hAnsi="宋体" w:eastAsia="宋体" w:cs="宋体"/>
          <w:b/>
          <w:color w:val="auto"/>
          <w:kern w:val="2"/>
          <w:sz w:val="24"/>
          <w:szCs w:val="24"/>
          <w:highlight w:val="none"/>
          <w:lang w:val="en-US" w:eastAsia="zh-CN"/>
        </w:rPr>
        <w:t xml:space="preserve"> </w:t>
      </w:r>
      <w:r>
        <w:rPr>
          <w:rFonts w:hint="eastAsia" w:ascii="宋体" w:hAnsi="宋体" w:eastAsia="宋体" w:cs="宋体"/>
          <w:b/>
          <w:color w:val="auto"/>
          <w:kern w:val="2"/>
          <w:sz w:val="24"/>
          <w:szCs w:val="24"/>
          <w:highlight w:val="none"/>
        </w:rPr>
        <w:t>竞争性磋商公告</w:t>
      </w:r>
      <w:r>
        <w:rPr>
          <w:rFonts w:hint="eastAsia" w:ascii="宋体" w:hAnsi="宋体" w:eastAsia="宋体" w:cs="宋体"/>
          <w:b/>
          <w:color w:val="auto"/>
          <w:kern w:val="2"/>
          <w:sz w:val="24"/>
          <w:szCs w:val="24"/>
          <w:highlight w:val="none"/>
        </w:rPr>
        <w:tab/>
      </w:r>
      <w:r>
        <w:rPr>
          <w:rFonts w:hint="eastAsia" w:ascii="宋体" w:hAnsi="宋体" w:eastAsia="宋体" w:cs="宋体"/>
          <w:b/>
          <w:color w:val="auto"/>
          <w:kern w:val="2"/>
          <w:sz w:val="24"/>
          <w:szCs w:val="24"/>
          <w:highlight w:val="none"/>
          <w:lang w:val="en-US" w:eastAsia="zh-CN"/>
        </w:rPr>
        <w:t>1</w:t>
      </w:r>
    </w:p>
    <w:p>
      <w:pPr>
        <w:pStyle w:val="29"/>
        <w:tabs>
          <w:tab w:val="right" w:leader="dot" w:pos="9185"/>
        </w:tabs>
        <w:spacing w:line="600" w:lineRule="auto"/>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rPr>
        <w:t>第二章</w:t>
      </w:r>
      <w:r>
        <w:rPr>
          <w:rFonts w:hint="eastAsia" w:ascii="宋体" w:hAnsi="宋体" w:eastAsia="宋体" w:cs="宋体"/>
          <w:b/>
          <w:color w:val="auto"/>
          <w:kern w:val="2"/>
          <w:sz w:val="24"/>
          <w:szCs w:val="24"/>
          <w:highlight w:val="none"/>
          <w:lang w:val="en-US" w:eastAsia="zh-CN"/>
        </w:rPr>
        <w:t xml:space="preserve"> </w:t>
      </w:r>
      <w:r>
        <w:rPr>
          <w:rFonts w:hint="eastAsia" w:ascii="宋体" w:hAnsi="宋体" w:eastAsia="宋体" w:cs="宋体"/>
          <w:b/>
          <w:color w:val="auto"/>
          <w:kern w:val="2"/>
          <w:sz w:val="24"/>
          <w:szCs w:val="24"/>
          <w:highlight w:val="none"/>
        </w:rPr>
        <w:t>供应商须知</w:t>
      </w:r>
      <w:r>
        <w:rPr>
          <w:rFonts w:hint="eastAsia" w:ascii="宋体" w:hAnsi="宋体" w:eastAsia="宋体" w:cs="宋体"/>
          <w:b/>
          <w:color w:val="auto"/>
          <w:kern w:val="2"/>
          <w:sz w:val="24"/>
          <w:szCs w:val="24"/>
          <w:highlight w:val="none"/>
        </w:rPr>
        <w:tab/>
      </w:r>
      <w:r>
        <w:rPr>
          <w:rFonts w:hint="eastAsia" w:ascii="宋体" w:hAnsi="宋体" w:eastAsia="宋体" w:cs="宋体"/>
          <w:b/>
          <w:color w:val="auto"/>
          <w:kern w:val="2"/>
          <w:sz w:val="24"/>
          <w:szCs w:val="24"/>
          <w:highlight w:val="none"/>
          <w:lang w:val="en-US" w:eastAsia="zh-CN"/>
        </w:rPr>
        <w:t>4</w:t>
      </w:r>
    </w:p>
    <w:p>
      <w:pPr>
        <w:pStyle w:val="29"/>
        <w:tabs>
          <w:tab w:val="right" w:leader="dot" w:pos="9185"/>
        </w:tabs>
        <w:spacing w:line="600" w:lineRule="auto"/>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rPr>
        <w:t>第三章</w:t>
      </w:r>
      <w:r>
        <w:rPr>
          <w:rFonts w:hint="eastAsia" w:ascii="宋体" w:hAnsi="宋体" w:eastAsia="宋体" w:cs="宋体"/>
          <w:b/>
          <w:color w:val="auto"/>
          <w:kern w:val="2"/>
          <w:sz w:val="24"/>
          <w:szCs w:val="24"/>
          <w:highlight w:val="none"/>
          <w:lang w:val="en-US" w:eastAsia="zh-CN"/>
        </w:rPr>
        <w:t xml:space="preserve"> </w:t>
      </w:r>
      <w:r>
        <w:rPr>
          <w:rFonts w:hint="eastAsia" w:ascii="宋体" w:hAnsi="宋体" w:eastAsia="宋体" w:cs="宋体"/>
          <w:b/>
          <w:color w:val="auto"/>
          <w:kern w:val="2"/>
          <w:sz w:val="24"/>
          <w:szCs w:val="24"/>
          <w:highlight w:val="none"/>
        </w:rPr>
        <w:t>项目采购需求</w:t>
      </w:r>
      <w:r>
        <w:rPr>
          <w:rFonts w:hint="eastAsia" w:ascii="宋体" w:hAnsi="宋体" w:eastAsia="宋体" w:cs="宋体"/>
          <w:b/>
          <w:color w:val="auto"/>
          <w:kern w:val="2"/>
          <w:sz w:val="24"/>
          <w:szCs w:val="24"/>
          <w:highlight w:val="none"/>
        </w:rPr>
        <w:tab/>
      </w:r>
      <w:r>
        <w:rPr>
          <w:rFonts w:hint="eastAsia" w:ascii="宋体" w:hAnsi="宋体" w:eastAsia="宋体" w:cs="宋体"/>
          <w:b/>
          <w:color w:val="auto"/>
          <w:kern w:val="2"/>
          <w:sz w:val="24"/>
          <w:szCs w:val="24"/>
          <w:highlight w:val="none"/>
        </w:rPr>
        <w:t>2</w:t>
      </w:r>
      <w:r>
        <w:rPr>
          <w:rFonts w:hint="eastAsia" w:ascii="宋体" w:hAnsi="宋体" w:eastAsia="宋体" w:cs="宋体"/>
          <w:b/>
          <w:color w:val="auto"/>
          <w:kern w:val="2"/>
          <w:sz w:val="24"/>
          <w:szCs w:val="24"/>
          <w:highlight w:val="none"/>
          <w:lang w:val="en-US" w:eastAsia="zh-CN"/>
        </w:rPr>
        <w:t>1</w:t>
      </w:r>
    </w:p>
    <w:p>
      <w:pPr>
        <w:pStyle w:val="29"/>
        <w:tabs>
          <w:tab w:val="right" w:leader="dot" w:pos="9185"/>
        </w:tabs>
        <w:spacing w:line="600" w:lineRule="auto"/>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第四章</w:t>
      </w:r>
      <w:r>
        <w:rPr>
          <w:rFonts w:hint="eastAsia" w:ascii="宋体" w:hAnsi="宋体" w:eastAsia="宋体" w:cs="宋体"/>
          <w:b/>
          <w:color w:val="auto"/>
          <w:kern w:val="2"/>
          <w:sz w:val="24"/>
          <w:szCs w:val="24"/>
          <w:highlight w:val="none"/>
          <w:lang w:val="en-US" w:eastAsia="zh-CN"/>
        </w:rPr>
        <w:t xml:space="preserve"> </w:t>
      </w:r>
      <w:r>
        <w:rPr>
          <w:rFonts w:hint="eastAsia" w:ascii="宋体" w:hAnsi="宋体" w:eastAsia="宋体" w:cs="宋体"/>
          <w:b/>
          <w:color w:val="auto"/>
          <w:kern w:val="2"/>
          <w:sz w:val="24"/>
          <w:szCs w:val="24"/>
          <w:highlight w:val="none"/>
        </w:rPr>
        <w:t>合同协议书</w:t>
      </w:r>
      <w:r>
        <w:rPr>
          <w:rFonts w:hint="eastAsia" w:ascii="宋体" w:hAnsi="宋体" w:eastAsia="宋体" w:cs="宋体"/>
          <w:b/>
          <w:color w:val="auto"/>
          <w:kern w:val="2"/>
          <w:sz w:val="24"/>
          <w:szCs w:val="24"/>
          <w:highlight w:val="none"/>
        </w:rPr>
        <w:tab/>
      </w:r>
      <w:r>
        <w:rPr>
          <w:rFonts w:hint="eastAsia" w:ascii="宋体" w:hAnsi="宋体" w:eastAsia="宋体" w:cs="宋体"/>
          <w:b/>
          <w:color w:val="auto"/>
          <w:kern w:val="2"/>
          <w:sz w:val="24"/>
          <w:szCs w:val="24"/>
          <w:highlight w:val="none"/>
          <w:lang w:val="en-US" w:eastAsia="zh-CN"/>
        </w:rPr>
        <w:t>22</w:t>
      </w:r>
    </w:p>
    <w:p>
      <w:pPr>
        <w:pStyle w:val="29"/>
        <w:tabs>
          <w:tab w:val="right" w:leader="dot" w:pos="9185"/>
        </w:tabs>
        <w:spacing w:line="600" w:lineRule="auto"/>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第五章</w:t>
      </w:r>
      <w:r>
        <w:rPr>
          <w:rFonts w:hint="eastAsia" w:ascii="宋体" w:hAnsi="宋体" w:eastAsia="宋体" w:cs="宋体"/>
          <w:b/>
          <w:color w:val="auto"/>
          <w:kern w:val="2"/>
          <w:sz w:val="24"/>
          <w:szCs w:val="24"/>
          <w:highlight w:val="none"/>
          <w:lang w:val="en-US" w:eastAsia="zh-CN"/>
        </w:rPr>
        <w:t xml:space="preserve"> </w:t>
      </w:r>
      <w:r>
        <w:rPr>
          <w:rFonts w:hint="eastAsia" w:ascii="宋体" w:hAnsi="宋体" w:eastAsia="宋体" w:cs="宋体"/>
          <w:b/>
          <w:color w:val="auto"/>
          <w:kern w:val="2"/>
          <w:sz w:val="24"/>
          <w:szCs w:val="24"/>
          <w:highlight w:val="none"/>
        </w:rPr>
        <w:t>响应文件格式</w:t>
      </w:r>
      <w:r>
        <w:rPr>
          <w:rFonts w:hint="eastAsia" w:ascii="宋体" w:hAnsi="宋体" w:eastAsia="宋体" w:cs="宋体"/>
          <w:b/>
          <w:color w:val="auto"/>
          <w:kern w:val="2"/>
          <w:sz w:val="24"/>
          <w:szCs w:val="24"/>
          <w:highlight w:val="none"/>
        </w:rPr>
        <w:tab/>
      </w:r>
      <w:r>
        <w:rPr>
          <w:rFonts w:hint="eastAsia" w:ascii="宋体" w:hAnsi="宋体" w:eastAsia="宋体" w:cs="宋体"/>
          <w:b/>
          <w:color w:val="auto"/>
          <w:kern w:val="2"/>
          <w:sz w:val="24"/>
          <w:szCs w:val="24"/>
          <w:highlight w:val="none"/>
          <w:lang w:val="en-US" w:eastAsia="zh-CN"/>
        </w:rPr>
        <w:t>34</w:t>
      </w:r>
    </w:p>
    <w:p>
      <w:pPr>
        <w:pStyle w:val="29"/>
        <w:tabs>
          <w:tab w:val="right" w:leader="dot" w:pos="9185"/>
        </w:tabs>
        <w:spacing w:line="600" w:lineRule="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第六章</w:t>
      </w:r>
      <w:r>
        <w:rPr>
          <w:rFonts w:hint="eastAsia" w:ascii="宋体" w:hAnsi="宋体" w:eastAsia="宋体" w:cs="宋体"/>
          <w:b/>
          <w:color w:val="auto"/>
          <w:kern w:val="2"/>
          <w:sz w:val="24"/>
          <w:szCs w:val="24"/>
          <w:highlight w:val="none"/>
          <w:lang w:val="en-US" w:eastAsia="zh-CN"/>
        </w:rPr>
        <w:t xml:space="preserve"> </w:t>
      </w:r>
      <w:r>
        <w:rPr>
          <w:rFonts w:hint="eastAsia" w:ascii="宋体" w:hAnsi="宋体" w:eastAsia="宋体" w:cs="宋体"/>
          <w:b/>
          <w:color w:val="auto"/>
          <w:kern w:val="2"/>
          <w:sz w:val="24"/>
          <w:szCs w:val="24"/>
          <w:highlight w:val="none"/>
        </w:rPr>
        <w:t>评标标准（综合评估法）</w:t>
      </w:r>
      <w:r>
        <w:rPr>
          <w:rFonts w:hint="eastAsia" w:ascii="宋体" w:hAnsi="宋体" w:eastAsia="宋体" w:cs="宋体"/>
          <w:b/>
          <w:color w:val="auto"/>
          <w:kern w:val="2"/>
          <w:sz w:val="24"/>
          <w:szCs w:val="24"/>
          <w:highlight w:val="none"/>
        </w:rPr>
        <w:tab/>
      </w:r>
      <w:r>
        <w:rPr>
          <w:rFonts w:hint="eastAsia" w:ascii="宋体" w:hAnsi="宋体" w:eastAsia="宋体" w:cs="宋体"/>
          <w:b/>
          <w:color w:val="auto"/>
          <w:kern w:val="2"/>
          <w:sz w:val="24"/>
          <w:szCs w:val="24"/>
          <w:highlight w:val="none"/>
          <w:lang w:val="en-US" w:eastAsia="zh-CN"/>
        </w:rPr>
        <w:t>45</w:t>
      </w:r>
    </w:p>
    <w:p>
      <w:pPr>
        <w:spacing w:line="312" w:lineRule="auto"/>
        <w:jc w:val="center"/>
        <w:rPr>
          <w:rFonts w:hint="eastAsia" w:ascii="宋体" w:hAnsi="宋体" w:eastAsia="宋体" w:cs="宋体"/>
          <w:b/>
          <w:color w:val="auto"/>
          <w:sz w:val="30"/>
          <w:szCs w:val="30"/>
          <w:highlight w:val="none"/>
        </w:rPr>
      </w:pPr>
    </w:p>
    <w:p>
      <w:pPr>
        <w:spacing w:line="312" w:lineRule="auto"/>
        <w:jc w:val="center"/>
        <w:rPr>
          <w:rFonts w:hint="eastAsia" w:ascii="宋体" w:hAnsi="宋体" w:eastAsia="宋体" w:cs="宋体"/>
          <w:b/>
          <w:color w:val="auto"/>
          <w:sz w:val="30"/>
          <w:szCs w:val="30"/>
          <w:highlight w:val="none"/>
        </w:rPr>
      </w:pPr>
    </w:p>
    <w:p>
      <w:pPr>
        <w:spacing w:line="312" w:lineRule="auto"/>
        <w:jc w:val="center"/>
        <w:rPr>
          <w:rFonts w:hint="eastAsia" w:ascii="宋体" w:hAnsi="宋体" w:eastAsia="宋体" w:cs="宋体"/>
          <w:b/>
          <w:color w:val="auto"/>
          <w:sz w:val="30"/>
          <w:szCs w:val="30"/>
          <w:highlight w:val="none"/>
        </w:rPr>
      </w:pPr>
    </w:p>
    <w:p>
      <w:pPr>
        <w:spacing w:line="312" w:lineRule="auto"/>
        <w:jc w:val="center"/>
        <w:rPr>
          <w:rFonts w:hint="eastAsia" w:ascii="宋体" w:hAnsi="宋体" w:eastAsia="宋体" w:cs="宋体"/>
          <w:b/>
          <w:color w:val="auto"/>
          <w:sz w:val="30"/>
          <w:szCs w:val="30"/>
          <w:highlight w:val="none"/>
        </w:rPr>
      </w:pPr>
    </w:p>
    <w:p>
      <w:pPr>
        <w:spacing w:line="312" w:lineRule="auto"/>
        <w:jc w:val="center"/>
        <w:rPr>
          <w:rFonts w:hint="eastAsia" w:ascii="宋体" w:hAnsi="宋体" w:eastAsia="宋体" w:cs="宋体"/>
          <w:b/>
          <w:color w:val="auto"/>
          <w:sz w:val="30"/>
          <w:szCs w:val="30"/>
          <w:highlight w:val="none"/>
        </w:rPr>
      </w:pPr>
    </w:p>
    <w:p>
      <w:pPr>
        <w:spacing w:line="312" w:lineRule="auto"/>
        <w:jc w:val="center"/>
        <w:rPr>
          <w:rFonts w:hint="eastAsia" w:ascii="宋体" w:hAnsi="宋体" w:eastAsia="宋体" w:cs="宋体"/>
          <w:b/>
          <w:color w:val="auto"/>
          <w:sz w:val="30"/>
          <w:szCs w:val="30"/>
          <w:highlight w:val="none"/>
        </w:rPr>
      </w:pPr>
    </w:p>
    <w:p>
      <w:pPr>
        <w:tabs>
          <w:tab w:val="left" w:pos="1230"/>
          <w:tab w:val="left" w:pos="1275"/>
        </w:tabs>
        <w:spacing w:line="340" w:lineRule="exact"/>
        <w:jc w:val="center"/>
        <w:rPr>
          <w:rFonts w:hint="eastAsia" w:ascii="宋体" w:hAnsi="宋体" w:eastAsia="宋体" w:cs="宋体"/>
          <w:b/>
          <w:bCs/>
          <w:color w:val="auto"/>
          <w:sz w:val="32"/>
          <w:szCs w:val="32"/>
          <w:highlight w:val="none"/>
        </w:rPr>
        <w:sectPr>
          <w:headerReference r:id="rId6" w:type="default"/>
          <w:pgSz w:w="11906" w:h="16838"/>
          <w:pgMar w:top="1440" w:right="1080" w:bottom="1440" w:left="1080" w:header="851" w:footer="992" w:gutter="0"/>
          <w:pgNumType w:fmt="decimal"/>
          <w:cols w:space="425" w:num="1"/>
          <w:docGrid w:type="lines" w:linePitch="312" w:charSpace="0"/>
        </w:sectPr>
      </w:pPr>
    </w:p>
    <w:p>
      <w:pPr>
        <w:widowControl/>
        <w:spacing w:line="360" w:lineRule="auto"/>
        <w:jc w:val="center"/>
        <w:outlineLvl w:val="0"/>
        <w:rPr>
          <w:rFonts w:hint="eastAsia" w:ascii="宋体" w:hAnsi="宋体" w:eastAsia="宋体" w:cs="宋体"/>
          <w:b/>
          <w:sz w:val="32"/>
          <w:szCs w:val="32"/>
        </w:rPr>
      </w:pPr>
      <w:bookmarkStart w:id="0" w:name="_Toc29726"/>
      <w:bookmarkStart w:id="1" w:name="_Toc349573119"/>
      <w:bookmarkStart w:id="2" w:name="_Toc298240403"/>
      <w:bookmarkStart w:id="3" w:name="_Toc349637918"/>
      <w:bookmarkStart w:id="4" w:name="_Toc19013"/>
      <w:bookmarkStart w:id="5" w:name="_Toc267301280"/>
      <w:r>
        <w:rPr>
          <w:rFonts w:hint="eastAsia" w:ascii="宋体" w:hAnsi="宋体" w:eastAsia="宋体" w:cs="宋体"/>
          <w:b/>
          <w:sz w:val="32"/>
          <w:szCs w:val="32"/>
        </w:rPr>
        <w:t>第一章</w:t>
      </w:r>
      <w:bookmarkEnd w:id="0"/>
      <w:r>
        <w:rPr>
          <w:rFonts w:hint="eastAsia" w:ascii="宋体" w:hAnsi="宋体" w:eastAsia="宋体" w:cs="宋体"/>
          <w:b/>
          <w:sz w:val="32"/>
          <w:szCs w:val="32"/>
          <w:lang w:val="en-US" w:eastAsia="zh-CN"/>
        </w:rPr>
        <w:t xml:space="preserve">  </w:t>
      </w:r>
      <w:r>
        <w:rPr>
          <w:rFonts w:hint="eastAsia" w:ascii="宋体" w:hAnsi="宋体" w:eastAsia="宋体" w:cs="宋体"/>
          <w:b/>
          <w:kern w:val="2"/>
          <w:sz w:val="32"/>
          <w:szCs w:val="32"/>
        </w:rPr>
        <w:t>竞争性磋商公告</w:t>
      </w:r>
    </w:p>
    <w:p>
      <w:pPr>
        <w:tabs>
          <w:tab w:val="left" w:pos="1960"/>
          <w:tab w:val="left" w:pos="3480"/>
          <w:tab w:val="left" w:pos="4980"/>
        </w:tabs>
        <w:spacing w:line="360" w:lineRule="auto"/>
        <w:jc w:val="center"/>
        <w:rPr>
          <w:rFonts w:hint="eastAsia" w:ascii="宋体" w:hAnsi="宋体" w:eastAsia="宋体" w:cs="宋体"/>
          <w:b/>
          <w:color w:val="auto"/>
          <w:sz w:val="24"/>
          <w:szCs w:val="24"/>
          <w:lang w:eastAsia="zh-CN"/>
        </w:rPr>
      </w:pPr>
      <w:r>
        <w:rPr>
          <w:rFonts w:hint="eastAsia" w:ascii="宋体" w:hAnsi="宋体" w:eastAsia="宋体" w:cs="宋体"/>
          <w:b/>
          <w:color w:val="auto"/>
          <w:kern w:val="2"/>
          <w:sz w:val="24"/>
          <w:szCs w:val="24"/>
          <w:lang w:val="en-US" w:eastAsia="zh-CN"/>
        </w:rPr>
        <w:t>新疆维吾尔自治区高级人民法院保安服务采购项目</w:t>
      </w:r>
      <w:r>
        <w:rPr>
          <w:rFonts w:hint="eastAsia" w:ascii="宋体" w:hAnsi="宋体" w:eastAsia="宋体" w:cs="宋体"/>
          <w:b/>
          <w:color w:val="auto"/>
          <w:kern w:val="2"/>
          <w:sz w:val="24"/>
          <w:szCs w:val="24"/>
        </w:rPr>
        <w:t>竞争性磋商公告</w:t>
      </w:r>
    </w:p>
    <w:p>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after="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项目概况</w:t>
      </w:r>
      <w:r>
        <w:rPr>
          <w:rFonts w:hint="eastAsia" w:ascii="宋体" w:hAnsi="宋体" w:eastAsia="宋体" w:cs="宋体"/>
          <w:color w:val="auto"/>
          <w:sz w:val="24"/>
          <w:szCs w:val="24"/>
          <w:lang w:val="en-US" w:eastAsia="zh-CN"/>
        </w:rPr>
        <w:t>:</w:t>
      </w:r>
    </w:p>
    <w:p>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u w:val="single"/>
          <w:lang w:val="en-US" w:eastAsia="zh-CN"/>
        </w:rPr>
        <w:t>新疆维吾尔自治区高级人民法院保安服务采购项目</w:t>
      </w:r>
      <w:r>
        <w:rPr>
          <w:rFonts w:hint="eastAsia" w:ascii="宋体" w:hAnsi="宋体" w:eastAsia="宋体" w:cs="宋体"/>
          <w:color w:val="auto"/>
          <w:sz w:val="24"/>
          <w:szCs w:val="24"/>
        </w:rPr>
        <w:t>的</w:t>
      </w:r>
      <w:r>
        <w:rPr>
          <w:rFonts w:hint="eastAsia" w:ascii="宋体" w:hAnsi="宋体" w:eastAsia="宋体" w:cs="宋体"/>
          <w:sz w:val="24"/>
          <w:szCs w:val="24"/>
        </w:rPr>
        <w:t>潜在供应商应在</w:t>
      </w:r>
      <w:r>
        <w:rPr>
          <w:rFonts w:hint="eastAsia" w:ascii="宋体" w:hAnsi="宋体" w:eastAsia="宋体" w:cs="宋体"/>
          <w:sz w:val="24"/>
          <w:szCs w:val="24"/>
          <w:u w:val="single"/>
          <w:lang w:val="en-US" w:eastAsia="zh-CN"/>
        </w:rPr>
        <w:t>乌鲁木齐市沙依巴克区友好南路198号新疆大公馆E座三单元1501室新疆优尚资创招标代理有限公司</w:t>
      </w:r>
      <w:r>
        <w:rPr>
          <w:rFonts w:hint="eastAsia" w:ascii="宋体" w:hAnsi="宋体" w:eastAsia="宋体" w:cs="宋体"/>
          <w:sz w:val="24"/>
          <w:szCs w:val="24"/>
        </w:rPr>
        <w:t>获取</w:t>
      </w:r>
      <w:r>
        <w:rPr>
          <w:rFonts w:hint="eastAsia" w:ascii="宋体" w:hAnsi="宋体" w:eastAsia="宋体" w:cs="宋体"/>
          <w:sz w:val="24"/>
          <w:szCs w:val="24"/>
          <w:lang w:val="en-US" w:eastAsia="zh-CN"/>
        </w:rPr>
        <w:t>磋商</w:t>
      </w:r>
      <w:r>
        <w:rPr>
          <w:rFonts w:hint="eastAsia" w:ascii="宋体" w:hAnsi="宋体" w:eastAsia="宋体" w:cs="宋体"/>
          <w:sz w:val="24"/>
          <w:szCs w:val="24"/>
        </w:rPr>
        <w:t>文件，并于</w:t>
      </w:r>
      <w:r>
        <w:rPr>
          <w:rFonts w:hint="eastAsia" w:ascii="宋体" w:hAnsi="宋体" w:eastAsia="宋体" w:cs="宋体"/>
          <w:color w:val="0000FF"/>
          <w:sz w:val="24"/>
          <w:szCs w:val="24"/>
          <w:u w:val="single"/>
          <w:lang w:val="en-US" w:eastAsia="zh-CN"/>
        </w:rPr>
        <w:t>2021</w:t>
      </w:r>
      <w:r>
        <w:rPr>
          <w:rFonts w:hint="eastAsia" w:ascii="宋体" w:hAnsi="宋体" w:eastAsia="宋体" w:cs="宋体"/>
          <w:bCs/>
          <w:color w:val="0000FF"/>
          <w:sz w:val="24"/>
          <w:szCs w:val="24"/>
          <w:u w:val="single"/>
        </w:rPr>
        <w:t>年</w:t>
      </w:r>
      <w:r>
        <w:rPr>
          <w:rFonts w:hint="eastAsia" w:ascii="宋体" w:hAnsi="宋体" w:cs="宋体"/>
          <w:bCs/>
          <w:color w:val="0000FF"/>
          <w:sz w:val="24"/>
          <w:szCs w:val="24"/>
          <w:u w:val="single"/>
          <w:lang w:val="en-US" w:eastAsia="zh-CN"/>
        </w:rPr>
        <w:t>11</w:t>
      </w:r>
      <w:r>
        <w:rPr>
          <w:rFonts w:hint="eastAsia" w:ascii="宋体" w:hAnsi="宋体" w:eastAsia="宋体" w:cs="宋体"/>
          <w:bCs/>
          <w:color w:val="0000FF"/>
          <w:sz w:val="24"/>
          <w:szCs w:val="24"/>
          <w:u w:val="single"/>
        </w:rPr>
        <w:t>月</w:t>
      </w:r>
      <w:r>
        <w:rPr>
          <w:rFonts w:hint="eastAsia" w:ascii="宋体" w:hAnsi="宋体" w:cs="宋体"/>
          <w:bCs/>
          <w:color w:val="0000FF"/>
          <w:sz w:val="24"/>
          <w:szCs w:val="24"/>
          <w:u w:val="single"/>
          <w:lang w:val="en-US" w:eastAsia="zh-CN"/>
        </w:rPr>
        <w:t>2</w:t>
      </w:r>
      <w:r>
        <w:rPr>
          <w:rFonts w:hint="eastAsia" w:ascii="宋体" w:hAnsi="宋体" w:eastAsia="宋体" w:cs="宋体"/>
          <w:bCs/>
          <w:color w:val="0000FF"/>
          <w:sz w:val="24"/>
          <w:szCs w:val="24"/>
          <w:u w:val="single"/>
        </w:rPr>
        <w:t>日</w:t>
      </w:r>
      <w:r>
        <w:rPr>
          <w:rFonts w:hint="eastAsia" w:ascii="宋体" w:hAnsi="宋体" w:cs="宋体"/>
          <w:bCs/>
          <w:color w:val="0000FF"/>
          <w:sz w:val="24"/>
          <w:szCs w:val="24"/>
          <w:u w:val="single"/>
          <w:lang w:val="en-US" w:eastAsia="zh-CN"/>
        </w:rPr>
        <w:t>11</w:t>
      </w:r>
      <w:r>
        <w:rPr>
          <w:rFonts w:hint="eastAsia" w:ascii="宋体" w:hAnsi="宋体" w:eastAsia="宋体" w:cs="宋体"/>
          <w:bCs/>
          <w:color w:val="0000FF"/>
          <w:sz w:val="24"/>
          <w:szCs w:val="24"/>
          <w:u w:val="single"/>
        </w:rPr>
        <w:t>点</w:t>
      </w:r>
      <w:r>
        <w:rPr>
          <w:rFonts w:hint="eastAsia" w:ascii="宋体" w:hAnsi="宋体" w:eastAsia="宋体" w:cs="宋体"/>
          <w:bCs/>
          <w:color w:val="0000FF"/>
          <w:sz w:val="24"/>
          <w:szCs w:val="24"/>
          <w:u w:val="single"/>
          <w:lang w:val="en-US" w:eastAsia="zh-CN"/>
        </w:rPr>
        <w:t>00</w:t>
      </w:r>
      <w:r>
        <w:rPr>
          <w:rFonts w:hint="eastAsia" w:ascii="宋体" w:hAnsi="宋体" w:eastAsia="宋体" w:cs="宋体"/>
          <w:bCs/>
          <w:color w:val="0000FF"/>
          <w:sz w:val="24"/>
          <w:szCs w:val="24"/>
          <w:u w:val="single"/>
        </w:rPr>
        <w:t>分</w:t>
      </w:r>
      <w:r>
        <w:rPr>
          <w:rFonts w:hint="eastAsia" w:ascii="宋体" w:hAnsi="宋体" w:eastAsia="宋体" w:cs="宋体"/>
          <w:bCs/>
          <w:sz w:val="24"/>
          <w:szCs w:val="24"/>
        </w:rPr>
        <w:t>（北京时间）前提交响应文件</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snapToGrid/>
        <w:spacing w:line="360" w:lineRule="auto"/>
        <w:jc w:val="both"/>
        <w:textAlignment w:val="auto"/>
        <w:rPr>
          <w:rFonts w:hint="eastAsia" w:ascii="宋体" w:hAnsi="宋体" w:eastAsia="宋体" w:cs="宋体"/>
          <w:b/>
          <w:bCs/>
          <w:sz w:val="24"/>
          <w:szCs w:val="24"/>
        </w:rPr>
      </w:pPr>
      <w:bookmarkStart w:id="6" w:name="_Toc19479"/>
      <w:bookmarkStart w:id="7" w:name="_Toc35393798"/>
      <w:bookmarkStart w:id="8" w:name="_Toc28359089"/>
      <w:bookmarkStart w:id="9" w:name="_Toc35393629"/>
      <w:bookmarkStart w:id="10" w:name="_Toc28359012"/>
      <w:r>
        <w:rPr>
          <w:rFonts w:hint="eastAsia" w:ascii="宋体" w:hAnsi="宋体" w:eastAsia="宋体" w:cs="宋体"/>
          <w:b/>
          <w:bCs/>
          <w:sz w:val="24"/>
          <w:szCs w:val="24"/>
        </w:rPr>
        <w:t>一、项目基本情况</w:t>
      </w:r>
      <w:bookmarkEnd w:id="6"/>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none"/>
          <w:lang w:val="en-US" w:eastAsia="zh-CN"/>
        </w:rPr>
        <w:t xml:space="preserve">项目编号：[2021]13893号-001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val="en-US" w:eastAsia="zh-CN"/>
        </w:rPr>
        <w:t>新疆维吾尔自治区高级人民法院保安服务采购项目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竞争性谈判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竞争性磋商 □询价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预算</w:t>
      </w:r>
      <w:r>
        <w:rPr>
          <w:rFonts w:hint="eastAsia" w:ascii="宋体" w:hAnsi="宋体" w:eastAsia="宋体" w:cs="宋体"/>
          <w:color w:val="auto"/>
          <w:sz w:val="24"/>
          <w:szCs w:val="24"/>
          <w:lang w:val="en-US" w:eastAsia="zh-CN"/>
        </w:rPr>
        <w:t>总</w:t>
      </w:r>
      <w:r>
        <w:rPr>
          <w:rFonts w:hint="eastAsia" w:ascii="宋体" w:hAnsi="宋体" w:eastAsia="宋体" w:cs="宋体"/>
          <w:color w:val="auto"/>
          <w:sz w:val="24"/>
          <w:szCs w:val="24"/>
        </w:rPr>
        <w:t>金额</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638400.00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638400.00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eastAsia" w:ascii="宋体" w:hAnsi="宋体" w:eastAsia="宋体" w:cs="宋体"/>
          <w:color w:val="auto"/>
          <w:sz w:val="22"/>
          <w:szCs w:val="22"/>
        </w:rPr>
      </w:pP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标项名称:</w:t>
      </w:r>
      <w:r>
        <w:rPr>
          <w:rFonts w:hint="eastAsia" w:ascii="宋体" w:hAnsi="宋体" w:eastAsia="宋体" w:cs="宋体"/>
          <w:color w:val="auto"/>
          <w:sz w:val="22"/>
          <w:szCs w:val="22"/>
          <w:lang w:val="en-US" w:eastAsia="zh-CN"/>
        </w:rPr>
        <w:t>新疆维吾尔自治区高级人民法院保安服务采购项目</w:t>
      </w: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数量:</w:t>
      </w:r>
      <w:r>
        <w:rPr>
          <w:rFonts w:hint="eastAsia" w:ascii="宋体" w:hAnsi="宋体" w:eastAsia="宋体" w:cs="宋体"/>
          <w:color w:val="auto"/>
          <w:sz w:val="22"/>
          <w:szCs w:val="22"/>
          <w:lang w:val="en-US" w:eastAsia="zh-CN"/>
        </w:rPr>
        <w:t xml:space="preserve"> 19</w:t>
      </w: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预算金额（元）</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638400.00</w:t>
      </w: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单位：人</w:t>
      </w: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eastAsia" w:ascii="宋体" w:hAnsi="宋体" w:eastAsia="宋体" w:cs="宋体"/>
          <w:sz w:val="22"/>
          <w:szCs w:val="22"/>
          <w:lang w:eastAsia="zh-CN"/>
        </w:rPr>
      </w:pPr>
      <w:r>
        <w:rPr>
          <w:rFonts w:hint="eastAsia" w:ascii="宋体" w:hAnsi="宋体" w:eastAsia="宋体" w:cs="宋体"/>
          <w:sz w:val="22"/>
          <w:szCs w:val="22"/>
        </w:rPr>
        <w:t>简要规格描述或项目基本概况介绍、用途：</w:t>
      </w:r>
      <w:r>
        <w:rPr>
          <w:rFonts w:hint="eastAsia" w:ascii="宋体" w:hAnsi="宋体" w:eastAsia="宋体" w:cs="宋体"/>
          <w:sz w:val="22"/>
          <w:szCs w:val="22"/>
          <w:lang w:eastAsia="zh-CN"/>
        </w:rPr>
        <w:t>详见</w:t>
      </w:r>
      <w:r>
        <w:rPr>
          <w:rFonts w:hint="eastAsia" w:ascii="宋体" w:hAnsi="宋体" w:eastAsia="宋体" w:cs="宋体"/>
          <w:sz w:val="22"/>
          <w:szCs w:val="22"/>
          <w:lang w:val="en-US" w:eastAsia="zh-CN"/>
        </w:rPr>
        <w:t>竞争性磋商</w:t>
      </w:r>
      <w:r>
        <w:rPr>
          <w:rFonts w:hint="eastAsia" w:ascii="宋体" w:hAnsi="宋体" w:eastAsia="宋体" w:cs="宋体"/>
          <w:sz w:val="22"/>
          <w:szCs w:val="22"/>
          <w:lang w:eastAsia="zh-CN"/>
        </w:rPr>
        <w:t>文件</w:t>
      </w: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eastAsia" w:ascii="宋体" w:hAnsi="宋体" w:eastAsia="宋体" w:cs="宋体"/>
          <w:sz w:val="22"/>
          <w:szCs w:val="22"/>
          <w:lang w:eastAsia="zh-CN"/>
        </w:rPr>
      </w:pPr>
      <w:r>
        <w:rPr>
          <w:rFonts w:hint="eastAsia" w:ascii="宋体" w:hAnsi="宋体" w:eastAsia="宋体" w:cs="宋体"/>
          <w:sz w:val="22"/>
          <w:szCs w:val="22"/>
        </w:rPr>
        <w:t>备注：</w:t>
      </w:r>
      <w:r>
        <w:rPr>
          <w:rFonts w:hint="eastAsia" w:ascii="宋体" w:hAnsi="宋体" w:eastAsia="宋体" w:cs="宋体"/>
          <w:sz w:val="22"/>
          <w:szCs w:val="22"/>
          <w:lang w:eastAsia="zh-CN"/>
        </w:rPr>
        <w:t>无</w:t>
      </w:r>
    </w:p>
    <w:p>
      <w:pPr>
        <w:keepNext w:val="0"/>
        <w:keepLines w:val="0"/>
        <w:pageBreakBefore w:val="0"/>
        <w:widowControl/>
        <w:kinsoku/>
        <w:wordWrap/>
        <w:overflowPunct/>
        <w:topLinePunct w:val="0"/>
        <w:autoSpaceDE/>
        <w:autoSpaceDN/>
        <w:bidi w:val="0"/>
        <w:adjustRightInd w:val="0"/>
        <w:snapToGrid/>
        <w:spacing w:before="313" w:beforeLines="10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已与甲方签订合同要求期限为准</w:t>
      </w:r>
    </w:p>
    <w:p>
      <w:pPr>
        <w:keepNext w:val="0"/>
        <w:keepLines w:val="0"/>
        <w:pageBreakBefore w:val="0"/>
        <w:widowControl/>
        <w:kinsoku/>
        <w:wordWrap/>
        <w:overflowPunct/>
        <w:topLinePunct w:val="0"/>
        <w:autoSpaceDE/>
        <w:autoSpaceDN/>
        <w:bidi w:val="0"/>
        <w:adjustRightInd w:val="0"/>
        <w:snapToGrid/>
        <w:spacing w:line="360" w:lineRule="auto"/>
        <w:ind w:left="533" w:leftChars="254"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本项目（否）接受联合体</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sz w:val="24"/>
          <w:szCs w:val="24"/>
        </w:rPr>
      </w:pPr>
      <w:bookmarkStart w:id="11" w:name="_Toc28359090"/>
      <w:bookmarkStart w:id="12" w:name="_Toc35393799"/>
      <w:bookmarkStart w:id="13" w:name="_Toc29825"/>
      <w:bookmarkStart w:id="14" w:name="_Toc28359013"/>
      <w:bookmarkStart w:id="15" w:name="_Toc35393630"/>
      <w:r>
        <w:rPr>
          <w:rFonts w:hint="eastAsia" w:ascii="宋体" w:hAnsi="宋体" w:eastAsia="宋体" w:cs="宋体"/>
          <w:b/>
          <w:bCs/>
          <w:sz w:val="24"/>
          <w:szCs w:val="24"/>
        </w:rPr>
        <w:t>二、申请人的资格要求：</w:t>
      </w:r>
      <w:bookmarkEnd w:id="11"/>
      <w:bookmarkEnd w:id="12"/>
      <w:bookmarkEnd w:id="13"/>
      <w:bookmarkEnd w:id="14"/>
      <w:bookmarkEnd w:id="15"/>
    </w:p>
    <w:p>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宋体" w:hAnsi="宋体" w:eastAsia="宋体" w:cs="宋体"/>
          <w:sz w:val="24"/>
          <w:szCs w:val="24"/>
          <w:lang w:val="en-US" w:eastAsia="zh-CN"/>
        </w:rPr>
      </w:pPr>
      <w:bookmarkStart w:id="16" w:name="_Toc20835"/>
      <w:bookmarkStart w:id="17" w:name="_Toc35393800"/>
      <w:bookmarkStart w:id="18" w:name="_Toc28359091"/>
      <w:bookmarkStart w:id="19" w:name="_Toc35393631"/>
      <w:bookmarkStart w:id="20" w:name="_Toc28359014"/>
      <w:r>
        <w:rPr>
          <w:rFonts w:hint="eastAsia" w:ascii="宋体" w:hAnsi="宋体" w:eastAsia="宋体" w:cs="宋体"/>
          <w:sz w:val="24"/>
          <w:szCs w:val="24"/>
          <w:lang w:val="en-US" w:eastAsia="zh-CN"/>
        </w:rPr>
        <w:t>1.满足《中华人民共和国政府采购法》第二十二条规定；</w:t>
      </w:r>
      <w:bookmarkEnd w:id="16"/>
    </w:p>
    <w:p>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宋体" w:hAnsi="宋体" w:eastAsia="宋体" w:cs="宋体"/>
          <w:sz w:val="24"/>
          <w:szCs w:val="24"/>
          <w:lang w:val="en-US" w:eastAsia="zh-CN"/>
        </w:rPr>
      </w:pPr>
      <w:bookmarkStart w:id="21" w:name="_Toc31176"/>
      <w:r>
        <w:rPr>
          <w:rFonts w:hint="eastAsia" w:ascii="宋体" w:hAnsi="宋体" w:eastAsia="宋体" w:cs="宋体"/>
          <w:sz w:val="24"/>
          <w:szCs w:val="24"/>
          <w:lang w:val="en-US" w:eastAsia="zh-CN"/>
        </w:rPr>
        <w:t>2.落实政府采购政策需满足的资格要求：  </w:t>
      </w:r>
      <w:bookmarkEnd w:id="21"/>
    </w:p>
    <w:p>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（1）《政府采购促进中小企业发展暂行办法》（财库〔2020〕46号）； </w:t>
      </w:r>
    </w:p>
    <w:p>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（2）《财政部、司法部关于政府采购支持监狱企业发展有关问题的通知》（财库〔2014〕68号）； </w:t>
      </w:r>
    </w:p>
    <w:p>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（3）《财政部 民政部 中国残疾人联合会关于促进残疾人就业政府采购政策的通知》财库〔2017〕141号。  </w:t>
      </w:r>
    </w:p>
    <w:p>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宋体" w:hAnsi="宋体" w:eastAsia="宋体" w:cs="宋体"/>
          <w:sz w:val="24"/>
          <w:szCs w:val="24"/>
          <w:lang w:val="en-US" w:eastAsia="zh-CN"/>
        </w:rPr>
      </w:pPr>
      <w:bookmarkStart w:id="22" w:name="_Toc16168"/>
      <w:r>
        <w:rPr>
          <w:rFonts w:hint="eastAsia" w:ascii="宋体" w:hAnsi="宋体" w:eastAsia="宋体" w:cs="宋体"/>
          <w:sz w:val="24"/>
          <w:szCs w:val="24"/>
          <w:lang w:val="en-US" w:eastAsia="zh-CN"/>
        </w:rPr>
        <w:t>3.本项目的特定资格要求：</w:t>
      </w:r>
    </w:p>
    <w:bookmarkEnd w:id="22"/>
    <w:p>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宋体" w:hAnsi="宋体" w:eastAsia="宋体" w:cs="宋体"/>
          <w:sz w:val="24"/>
          <w:szCs w:val="24"/>
          <w:lang w:val="en-US" w:eastAsia="zh-CN"/>
        </w:rPr>
      </w:pPr>
      <w:bookmarkStart w:id="23" w:name="_Toc78"/>
      <w:r>
        <w:rPr>
          <w:rFonts w:hint="eastAsia" w:ascii="宋体" w:hAnsi="宋体" w:eastAsia="宋体" w:cs="宋体"/>
          <w:sz w:val="24"/>
          <w:szCs w:val="24"/>
          <w:lang w:val="en-US" w:eastAsia="zh-CN"/>
        </w:rPr>
        <w:t>（1）满足《中华人民共和国政府采购法》第二十二条要求，投标人须具有有效的工商营业执照副本（三证合一）且在中华人民共和国境内注册，有能力提供本项目合同项下的全部服务内容的供应商；</w:t>
      </w:r>
    </w:p>
    <w:p>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（2）符合《公安机关实施保安服务管理条例办法》的规定，在所在地的公安机关有备案，并具有有效的公安机关核发《保安服务许可证》；</w:t>
      </w:r>
    </w:p>
    <w:p>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未被“信用中国”网站（www.creditchina.gov.cn）列入失信被执行人、重大税收违法案件当事人、政府采购不良行为记录和中国政府采购网（www.ccgp.gov.cn）政府采购严重违法失信行为记录名单（网页打印件须自竞争性谈判文件发布之日起至投标截止时间从上述网站中打印）；</w:t>
      </w:r>
    </w:p>
    <w:p>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（4）与招标人存在利害关系可能影响招标公正性的法人、其他组织或者个人，不得参加投标；</w:t>
      </w:r>
    </w:p>
    <w:p>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（5）单位负责人为同一人或者存在控股、管理关系的不同单位，不得参加同一标段投标或者未划分标段的同一招标项目投标。违反前两款规定的，相关投标均无效；</w:t>
      </w:r>
    </w:p>
    <w:p>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（6）本项目不接受联合体投标。</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三、获取采购文件</w:t>
      </w:r>
      <w:bookmarkEnd w:id="17"/>
      <w:bookmarkEnd w:id="18"/>
      <w:bookmarkEnd w:id="19"/>
      <w:bookmarkEnd w:id="20"/>
      <w:bookmarkEnd w:id="23"/>
    </w:p>
    <w:p>
      <w:pPr>
        <w:keepNext w:val="0"/>
        <w:keepLines w:val="0"/>
        <w:pageBreakBefore w:val="0"/>
        <w:kinsoku/>
        <w:wordWrap/>
        <w:overflowPunct/>
        <w:topLinePunct w:val="0"/>
        <w:autoSpaceDE/>
        <w:autoSpaceDN/>
        <w:bidi w:val="0"/>
        <w:snapToGrid/>
        <w:spacing w:line="360" w:lineRule="auto"/>
        <w:ind w:firstLine="540"/>
        <w:textAlignment w:val="auto"/>
        <w:rPr>
          <w:rFonts w:hint="eastAsia" w:ascii="宋体" w:hAnsi="宋体" w:eastAsia="宋体" w:cs="宋体"/>
          <w:color w:val="0000FF"/>
          <w:sz w:val="24"/>
          <w:szCs w:val="24"/>
          <w:u w:val="none"/>
          <w:lang w:val="en-US" w:eastAsia="zh-CN"/>
        </w:rPr>
      </w:pPr>
      <w:r>
        <w:rPr>
          <w:rFonts w:hint="eastAsia" w:ascii="宋体" w:hAnsi="宋体" w:eastAsia="宋体" w:cs="宋体"/>
          <w:color w:val="auto"/>
          <w:sz w:val="24"/>
          <w:szCs w:val="24"/>
        </w:rPr>
        <w:t>时间：</w:t>
      </w:r>
      <w:r>
        <w:rPr>
          <w:rFonts w:hint="eastAsia" w:ascii="宋体" w:hAnsi="宋体" w:eastAsia="宋体" w:cs="宋体"/>
          <w:color w:val="0000FF"/>
          <w:sz w:val="24"/>
          <w:szCs w:val="24"/>
          <w:u w:val="single"/>
          <w:lang w:val="en-US" w:eastAsia="zh-CN"/>
        </w:rPr>
        <w:t>2021</w:t>
      </w:r>
      <w:r>
        <w:rPr>
          <w:rFonts w:hint="eastAsia" w:ascii="宋体" w:hAnsi="宋体" w:eastAsia="宋体" w:cs="宋体"/>
          <w:color w:val="0000FF"/>
          <w:sz w:val="24"/>
          <w:szCs w:val="24"/>
          <w:u w:val="single"/>
        </w:rPr>
        <w:t>年</w:t>
      </w:r>
      <w:r>
        <w:rPr>
          <w:rFonts w:hint="eastAsia" w:ascii="宋体" w:hAnsi="宋体" w:cs="宋体"/>
          <w:color w:val="0000FF"/>
          <w:sz w:val="24"/>
          <w:szCs w:val="24"/>
          <w:u w:val="single"/>
          <w:lang w:val="en-US" w:eastAsia="zh-CN"/>
        </w:rPr>
        <w:t>10</w:t>
      </w:r>
      <w:r>
        <w:rPr>
          <w:rFonts w:hint="eastAsia" w:ascii="宋体" w:hAnsi="宋体" w:eastAsia="宋体" w:cs="宋体"/>
          <w:color w:val="0000FF"/>
          <w:sz w:val="24"/>
          <w:szCs w:val="24"/>
          <w:u w:val="single"/>
        </w:rPr>
        <w:t>月</w:t>
      </w:r>
      <w:r>
        <w:rPr>
          <w:rFonts w:hint="eastAsia" w:ascii="宋体" w:hAnsi="宋体" w:cs="宋体"/>
          <w:color w:val="0000FF"/>
          <w:sz w:val="24"/>
          <w:szCs w:val="24"/>
          <w:u w:val="single"/>
          <w:lang w:val="en-US" w:eastAsia="zh-CN"/>
        </w:rPr>
        <w:t>22</w:t>
      </w:r>
      <w:r>
        <w:rPr>
          <w:rFonts w:hint="eastAsia" w:ascii="宋体" w:hAnsi="宋体" w:eastAsia="宋体" w:cs="宋体"/>
          <w:color w:val="0000FF"/>
          <w:sz w:val="24"/>
          <w:szCs w:val="24"/>
          <w:u w:val="single"/>
        </w:rPr>
        <w:t>日</w:t>
      </w:r>
      <w:r>
        <w:rPr>
          <w:rFonts w:hint="eastAsia" w:ascii="宋体" w:hAnsi="宋体" w:eastAsia="宋体" w:cs="宋体"/>
          <w:color w:val="0000FF"/>
          <w:sz w:val="24"/>
          <w:szCs w:val="24"/>
        </w:rPr>
        <w:t>至</w:t>
      </w:r>
      <w:r>
        <w:rPr>
          <w:rFonts w:hint="eastAsia" w:ascii="宋体" w:hAnsi="宋体" w:eastAsia="宋体" w:cs="宋体"/>
          <w:color w:val="0000FF"/>
          <w:sz w:val="24"/>
          <w:szCs w:val="24"/>
          <w:u w:val="single"/>
          <w:lang w:val="en-US" w:eastAsia="zh-CN"/>
        </w:rPr>
        <w:t>2021</w:t>
      </w:r>
      <w:r>
        <w:rPr>
          <w:rFonts w:hint="eastAsia" w:ascii="宋体" w:hAnsi="宋体" w:eastAsia="宋体" w:cs="宋体"/>
          <w:color w:val="0000FF"/>
          <w:sz w:val="24"/>
          <w:szCs w:val="24"/>
          <w:u w:val="single"/>
        </w:rPr>
        <w:t>年</w:t>
      </w:r>
      <w:r>
        <w:rPr>
          <w:rFonts w:hint="eastAsia" w:ascii="宋体" w:hAnsi="宋体" w:cs="宋体"/>
          <w:color w:val="0000FF"/>
          <w:sz w:val="24"/>
          <w:szCs w:val="24"/>
          <w:u w:val="single"/>
          <w:lang w:val="en-US" w:eastAsia="zh-CN"/>
        </w:rPr>
        <w:t>10</w:t>
      </w:r>
      <w:r>
        <w:rPr>
          <w:rFonts w:hint="eastAsia" w:ascii="宋体" w:hAnsi="宋体" w:eastAsia="宋体" w:cs="宋体"/>
          <w:color w:val="0000FF"/>
          <w:sz w:val="24"/>
          <w:szCs w:val="24"/>
          <w:u w:val="single"/>
        </w:rPr>
        <w:t>月</w:t>
      </w:r>
      <w:r>
        <w:rPr>
          <w:rFonts w:hint="eastAsia" w:ascii="宋体" w:hAnsi="宋体" w:cs="宋体"/>
          <w:color w:val="0000FF"/>
          <w:sz w:val="24"/>
          <w:szCs w:val="24"/>
          <w:u w:val="single"/>
          <w:lang w:val="en-US" w:eastAsia="zh-CN"/>
        </w:rPr>
        <w:t>28</w:t>
      </w:r>
      <w:r>
        <w:rPr>
          <w:rFonts w:hint="eastAsia" w:ascii="宋体" w:hAnsi="宋体" w:eastAsia="宋体" w:cs="宋体"/>
          <w:color w:val="0000FF"/>
          <w:sz w:val="24"/>
          <w:szCs w:val="24"/>
          <w:u w:val="single"/>
        </w:rPr>
        <w:t>日</w:t>
      </w:r>
      <w:r>
        <w:rPr>
          <w:rFonts w:hint="eastAsia" w:ascii="宋体" w:hAnsi="宋体" w:eastAsia="宋体" w:cs="宋体"/>
          <w:color w:val="0000FF"/>
          <w:sz w:val="24"/>
          <w:szCs w:val="24"/>
        </w:rPr>
        <w:t>，</w:t>
      </w:r>
      <w:r>
        <w:rPr>
          <w:rFonts w:hint="eastAsia" w:ascii="宋体" w:hAnsi="宋体" w:eastAsia="宋体" w:cs="宋体"/>
          <w:color w:val="0000FF"/>
          <w:sz w:val="24"/>
          <w:szCs w:val="24"/>
          <w:u w:val="none"/>
          <w:lang w:val="en-US" w:eastAsia="zh-CN"/>
        </w:rPr>
        <w:t>每天上午</w:t>
      </w:r>
      <w:r>
        <w:rPr>
          <w:rFonts w:hint="eastAsia" w:ascii="宋体" w:hAnsi="宋体" w:eastAsia="宋体" w:cs="宋体"/>
          <w:color w:val="0000FF"/>
          <w:sz w:val="24"/>
          <w:szCs w:val="24"/>
          <w:u w:val="single"/>
          <w:lang w:val="en-US" w:eastAsia="zh-CN"/>
        </w:rPr>
        <w:t>10：30</w:t>
      </w:r>
      <w:r>
        <w:rPr>
          <w:rFonts w:hint="eastAsia" w:ascii="宋体" w:hAnsi="宋体" w:eastAsia="宋体" w:cs="宋体"/>
          <w:color w:val="0000FF"/>
          <w:sz w:val="24"/>
          <w:szCs w:val="24"/>
          <w:u w:val="none"/>
          <w:lang w:val="en-US" w:eastAsia="zh-CN"/>
        </w:rPr>
        <w:t>至</w:t>
      </w:r>
      <w:r>
        <w:rPr>
          <w:rFonts w:hint="eastAsia" w:ascii="宋体" w:hAnsi="宋体" w:eastAsia="宋体" w:cs="宋体"/>
          <w:color w:val="0000FF"/>
          <w:sz w:val="24"/>
          <w:szCs w:val="24"/>
          <w:u w:val="single"/>
          <w:lang w:val="en-US" w:eastAsia="zh-CN"/>
        </w:rPr>
        <w:t>13：30</w:t>
      </w:r>
      <w:r>
        <w:rPr>
          <w:rFonts w:hint="eastAsia" w:ascii="宋体" w:hAnsi="宋体" w:eastAsia="宋体" w:cs="宋体"/>
          <w:color w:val="0000FF"/>
          <w:sz w:val="24"/>
          <w:szCs w:val="24"/>
          <w:u w:val="none"/>
          <w:lang w:val="en-US" w:eastAsia="zh-CN"/>
        </w:rPr>
        <w:t>，下午</w:t>
      </w:r>
      <w:r>
        <w:rPr>
          <w:rFonts w:hint="eastAsia" w:ascii="宋体" w:hAnsi="宋体" w:eastAsia="宋体" w:cs="宋体"/>
          <w:color w:val="0000FF"/>
          <w:sz w:val="24"/>
          <w:szCs w:val="24"/>
          <w:u w:val="single"/>
          <w:lang w:val="en-US" w:eastAsia="zh-CN"/>
        </w:rPr>
        <w:t>15：30</w:t>
      </w:r>
      <w:r>
        <w:rPr>
          <w:rFonts w:hint="eastAsia" w:ascii="宋体" w:hAnsi="宋体" w:eastAsia="宋体" w:cs="宋体"/>
          <w:color w:val="0000FF"/>
          <w:sz w:val="24"/>
          <w:szCs w:val="24"/>
          <w:u w:val="none"/>
          <w:lang w:val="en-US" w:eastAsia="zh-CN"/>
        </w:rPr>
        <w:t>至</w:t>
      </w:r>
      <w:r>
        <w:rPr>
          <w:rFonts w:hint="eastAsia" w:ascii="宋体" w:hAnsi="宋体" w:eastAsia="宋体" w:cs="宋体"/>
          <w:color w:val="0000FF"/>
          <w:sz w:val="24"/>
          <w:szCs w:val="24"/>
          <w:u w:val="single"/>
          <w:lang w:val="en-US" w:eastAsia="zh-CN"/>
        </w:rPr>
        <w:t>19：00</w:t>
      </w:r>
      <w:r>
        <w:rPr>
          <w:rFonts w:hint="eastAsia" w:ascii="宋体" w:hAnsi="宋体" w:eastAsia="宋体" w:cs="宋体"/>
          <w:color w:val="0000FF"/>
          <w:sz w:val="24"/>
          <w:szCs w:val="24"/>
          <w:u w:val="none"/>
          <w:lang w:val="en-US" w:eastAsia="zh-CN"/>
        </w:rPr>
        <w:t>（北京时间，法定节假日除外）</w:t>
      </w:r>
    </w:p>
    <w:p>
      <w:pPr>
        <w:keepNext w:val="0"/>
        <w:keepLines w:val="0"/>
        <w:pageBreakBefore w:val="0"/>
        <w:kinsoku/>
        <w:wordWrap/>
        <w:overflowPunct/>
        <w:topLinePunct w:val="0"/>
        <w:autoSpaceDE/>
        <w:autoSpaceDN/>
        <w:bidi w:val="0"/>
        <w:snapToGrid/>
        <w:spacing w:line="360" w:lineRule="auto"/>
        <w:ind w:firstLine="54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地点：乌鲁木齐市沙依巴克区友好南路198号新疆大公馆E座3单元1501室</w:t>
      </w:r>
    </w:p>
    <w:p>
      <w:pPr>
        <w:keepNext w:val="0"/>
        <w:keepLines w:val="0"/>
        <w:pageBreakBefore w:val="0"/>
        <w:kinsoku/>
        <w:wordWrap/>
        <w:overflowPunct/>
        <w:topLinePunct w:val="0"/>
        <w:autoSpaceDE/>
        <w:autoSpaceDN/>
        <w:bidi w:val="0"/>
        <w:snapToGrid/>
        <w:spacing w:line="360" w:lineRule="auto"/>
        <w:ind w:firstLine="54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方式：现场购买</w:t>
      </w:r>
    </w:p>
    <w:p>
      <w:pPr>
        <w:keepNext w:val="0"/>
        <w:keepLines w:val="0"/>
        <w:pageBreakBefore w:val="0"/>
        <w:kinsoku/>
        <w:wordWrap/>
        <w:overflowPunct/>
        <w:topLinePunct w:val="0"/>
        <w:autoSpaceDE/>
        <w:autoSpaceDN/>
        <w:bidi w:val="0"/>
        <w:snapToGrid/>
        <w:spacing w:line="360" w:lineRule="auto"/>
        <w:ind w:firstLine="54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售价：200元</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color w:val="0000FF"/>
          <w:sz w:val="24"/>
          <w:szCs w:val="24"/>
        </w:rPr>
      </w:pPr>
      <w:bookmarkStart w:id="24" w:name="_Toc28359092"/>
      <w:bookmarkStart w:id="25" w:name="_Toc25150"/>
      <w:bookmarkStart w:id="26" w:name="_Toc35393801"/>
      <w:bookmarkStart w:id="27" w:name="_Toc28359015"/>
      <w:bookmarkStart w:id="28" w:name="_Toc35393632"/>
      <w:r>
        <w:rPr>
          <w:rFonts w:hint="eastAsia" w:ascii="宋体" w:hAnsi="宋体" w:eastAsia="宋体" w:cs="宋体"/>
          <w:b/>
          <w:bCs/>
          <w:color w:val="auto"/>
          <w:sz w:val="24"/>
          <w:szCs w:val="24"/>
        </w:rPr>
        <w:t>四、响应文件提交</w:t>
      </w:r>
      <w:bookmarkEnd w:id="24"/>
      <w:bookmarkEnd w:id="25"/>
      <w:bookmarkEnd w:id="26"/>
      <w:bookmarkEnd w:id="27"/>
      <w:bookmarkEnd w:id="28"/>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Cs/>
          <w:color w:val="0000FF"/>
          <w:sz w:val="24"/>
          <w:szCs w:val="24"/>
          <w:u w:val="single"/>
        </w:rPr>
      </w:pPr>
      <w:r>
        <w:rPr>
          <w:rFonts w:hint="eastAsia" w:ascii="宋体" w:hAnsi="宋体" w:eastAsia="宋体" w:cs="宋体"/>
          <w:color w:val="0000FF"/>
          <w:sz w:val="24"/>
          <w:szCs w:val="24"/>
        </w:rPr>
        <w:t>截止时间：</w:t>
      </w:r>
      <w:r>
        <w:rPr>
          <w:rFonts w:hint="eastAsia" w:ascii="宋体" w:hAnsi="宋体" w:eastAsia="宋体" w:cs="宋体"/>
          <w:color w:val="0000FF"/>
          <w:sz w:val="24"/>
          <w:szCs w:val="24"/>
          <w:u w:val="single"/>
          <w:lang w:val="en-US" w:eastAsia="zh-CN"/>
        </w:rPr>
        <w:t>2021</w:t>
      </w:r>
      <w:r>
        <w:rPr>
          <w:rFonts w:hint="eastAsia" w:ascii="宋体" w:hAnsi="宋体" w:eastAsia="宋体" w:cs="宋体"/>
          <w:bCs/>
          <w:color w:val="0000FF"/>
          <w:sz w:val="24"/>
          <w:szCs w:val="24"/>
          <w:u w:val="single"/>
        </w:rPr>
        <w:t>年</w:t>
      </w:r>
      <w:r>
        <w:rPr>
          <w:rFonts w:hint="eastAsia" w:ascii="宋体" w:hAnsi="宋体" w:cs="宋体"/>
          <w:bCs/>
          <w:color w:val="0000FF"/>
          <w:sz w:val="24"/>
          <w:szCs w:val="24"/>
          <w:u w:val="single"/>
          <w:lang w:val="en-US" w:eastAsia="zh-CN"/>
        </w:rPr>
        <w:t>11</w:t>
      </w:r>
      <w:r>
        <w:rPr>
          <w:rFonts w:hint="eastAsia" w:ascii="宋体" w:hAnsi="宋体" w:eastAsia="宋体" w:cs="宋体"/>
          <w:bCs/>
          <w:color w:val="0000FF"/>
          <w:sz w:val="24"/>
          <w:szCs w:val="24"/>
          <w:u w:val="single"/>
        </w:rPr>
        <w:t>月</w:t>
      </w:r>
      <w:r>
        <w:rPr>
          <w:rFonts w:hint="eastAsia" w:ascii="宋体" w:hAnsi="宋体" w:cs="宋体"/>
          <w:bCs/>
          <w:color w:val="0000FF"/>
          <w:sz w:val="24"/>
          <w:szCs w:val="24"/>
          <w:u w:val="single"/>
          <w:lang w:val="en-US" w:eastAsia="zh-CN"/>
        </w:rPr>
        <w:t>2</w:t>
      </w:r>
      <w:r>
        <w:rPr>
          <w:rFonts w:hint="eastAsia" w:ascii="宋体" w:hAnsi="宋体" w:eastAsia="宋体" w:cs="宋体"/>
          <w:bCs/>
          <w:color w:val="0000FF"/>
          <w:sz w:val="24"/>
          <w:szCs w:val="24"/>
          <w:u w:val="single"/>
        </w:rPr>
        <w:t>日</w:t>
      </w:r>
      <w:r>
        <w:rPr>
          <w:rFonts w:hint="eastAsia" w:ascii="宋体" w:hAnsi="宋体" w:cs="宋体"/>
          <w:bCs/>
          <w:color w:val="0000FF"/>
          <w:sz w:val="24"/>
          <w:szCs w:val="24"/>
          <w:u w:val="single"/>
          <w:lang w:val="en-US" w:eastAsia="zh-CN"/>
        </w:rPr>
        <w:t>11</w:t>
      </w:r>
      <w:r>
        <w:rPr>
          <w:rFonts w:hint="eastAsia" w:ascii="宋体" w:hAnsi="宋体" w:eastAsia="宋体" w:cs="宋体"/>
          <w:bCs/>
          <w:color w:val="0000FF"/>
          <w:sz w:val="24"/>
          <w:szCs w:val="24"/>
          <w:u w:val="single"/>
        </w:rPr>
        <w:t>点</w:t>
      </w:r>
      <w:r>
        <w:rPr>
          <w:rFonts w:hint="eastAsia" w:ascii="宋体" w:hAnsi="宋体" w:eastAsia="宋体" w:cs="宋体"/>
          <w:bCs/>
          <w:color w:val="0000FF"/>
          <w:sz w:val="24"/>
          <w:szCs w:val="24"/>
          <w:u w:val="single"/>
          <w:lang w:val="en-US" w:eastAsia="zh-CN"/>
        </w:rPr>
        <w:t>00</w:t>
      </w:r>
      <w:r>
        <w:rPr>
          <w:rFonts w:hint="eastAsia" w:ascii="宋体" w:hAnsi="宋体" w:eastAsia="宋体" w:cs="宋体"/>
          <w:bCs/>
          <w:color w:val="0000FF"/>
          <w:sz w:val="24"/>
          <w:szCs w:val="24"/>
          <w:u w:val="single"/>
        </w:rPr>
        <w:t>分</w:t>
      </w:r>
      <w:r>
        <w:rPr>
          <w:rFonts w:hint="eastAsia" w:ascii="宋体" w:hAnsi="宋体" w:eastAsia="宋体" w:cs="宋体"/>
          <w:bCs/>
          <w:color w:val="0000FF"/>
          <w:sz w:val="24"/>
          <w:szCs w:val="24"/>
        </w:rPr>
        <w:t>（北京时间）</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Cs/>
          <w:color w:val="auto"/>
          <w:sz w:val="24"/>
          <w:szCs w:val="24"/>
          <w:u w:val="single"/>
        </w:rPr>
      </w:pPr>
      <w:r>
        <w:rPr>
          <w:rFonts w:hint="eastAsia" w:ascii="宋体" w:hAnsi="宋体" w:eastAsia="宋体" w:cs="宋体"/>
          <w:color w:val="auto"/>
          <w:sz w:val="24"/>
          <w:szCs w:val="24"/>
        </w:rPr>
        <w:t>地点：</w:t>
      </w:r>
      <w:r>
        <w:rPr>
          <w:rFonts w:hint="eastAsia" w:ascii="宋体" w:hAnsi="宋体" w:eastAsia="宋体" w:cs="宋体"/>
          <w:color w:val="auto"/>
          <w:sz w:val="24"/>
          <w:szCs w:val="24"/>
          <w:u w:val="none"/>
          <w:lang w:val="en-US" w:eastAsia="zh-CN"/>
        </w:rPr>
        <w:t>乌鲁木齐市沙依巴克区友好南路198号新疆大公馆A座1010室</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color w:val="auto"/>
          <w:sz w:val="24"/>
          <w:szCs w:val="24"/>
        </w:rPr>
      </w:pPr>
      <w:bookmarkStart w:id="29" w:name="_Toc181"/>
      <w:bookmarkStart w:id="30" w:name="_Toc28359093"/>
      <w:bookmarkStart w:id="31" w:name="_Toc35393802"/>
      <w:bookmarkStart w:id="32" w:name="_Toc35393633"/>
      <w:bookmarkStart w:id="33" w:name="_Toc28359016"/>
      <w:r>
        <w:rPr>
          <w:rFonts w:hint="eastAsia" w:ascii="宋体" w:hAnsi="宋体" w:eastAsia="宋体" w:cs="宋体"/>
          <w:b/>
          <w:bCs/>
          <w:color w:val="auto"/>
          <w:sz w:val="24"/>
          <w:szCs w:val="24"/>
        </w:rPr>
        <w:t>五、开启</w:t>
      </w:r>
      <w:bookmarkEnd w:id="29"/>
      <w:bookmarkEnd w:id="30"/>
      <w:bookmarkEnd w:id="31"/>
      <w:bookmarkEnd w:id="32"/>
      <w:bookmarkEnd w:id="33"/>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Cs/>
          <w:color w:val="auto"/>
          <w:sz w:val="24"/>
          <w:szCs w:val="24"/>
          <w:u w:val="single"/>
        </w:rPr>
      </w:pPr>
      <w:r>
        <w:rPr>
          <w:rFonts w:hint="eastAsia" w:ascii="宋体" w:hAnsi="宋体" w:eastAsia="宋体" w:cs="宋体"/>
          <w:color w:val="auto"/>
          <w:sz w:val="24"/>
          <w:szCs w:val="24"/>
        </w:rPr>
        <w:t>时间</w:t>
      </w:r>
      <w:r>
        <w:rPr>
          <w:rFonts w:hint="eastAsia" w:ascii="宋体" w:hAnsi="宋体" w:eastAsia="宋体" w:cs="宋体"/>
          <w:color w:val="0000FF"/>
          <w:sz w:val="24"/>
          <w:szCs w:val="24"/>
        </w:rPr>
        <w:t>：</w:t>
      </w:r>
      <w:r>
        <w:rPr>
          <w:rFonts w:hint="eastAsia" w:ascii="宋体" w:hAnsi="宋体" w:eastAsia="宋体" w:cs="宋体"/>
          <w:color w:val="0000FF"/>
          <w:sz w:val="24"/>
          <w:szCs w:val="24"/>
          <w:u w:val="single"/>
          <w:lang w:val="en-US" w:eastAsia="zh-CN"/>
        </w:rPr>
        <w:t>2021</w:t>
      </w:r>
      <w:r>
        <w:rPr>
          <w:rFonts w:hint="eastAsia" w:ascii="宋体" w:hAnsi="宋体" w:eastAsia="宋体" w:cs="宋体"/>
          <w:bCs/>
          <w:color w:val="0000FF"/>
          <w:sz w:val="24"/>
          <w:szCs w:val="24"/>
          <w:u w:val="single"/>
        </w:rPr>
        <w:t>年</w:t>
      </w:r>
      <w:r>
        <w:rPr>
          <w:rFonts w:hint="eastAsia" w:ascii="宋体" w:hAnsi="宋体" w:cs="宋体"/>
          <w:bCs/>
          <w:color w:val="0000FF"/>
          <w:sz w:val="24"/>
          <w:szCs w:val="24"/>
          <w:u w:val="single"/>
          <w:lang w:val="en-US" w:eastAsia="zh-CN"/>
        </w:rPr>
        <w:t>11</w:t>
      </w:r>
      <w:r>
        <w:rPr>
          <w:rFonts w:hint="eastAsia" w:ascii="宋体" w:hAnsi="宋体" w:eastAsia="宋体" w:cs="宋体"/>
          <w:bCs/>
          <w:color w:val="0000FF"/>
          <w:sz w:val="24"/>
          <w:szCs w:val="24"/>
          <w:u w:val="single"/>
        </w:rPr>
        <w:t>月</w:t>
      </w:r>
      <w:r>
        <w:rPr>
          <w:rFonts w:hint="eastAsia" w:ascii="宋体" w:hAnsi="宋体" w:cs="宋体"/>
          <w:bCs/>
          <w:color w:val="0000FF"/>
          <w:sz w:val="24"/>
          <w:szCs w:val="24"/>
          <w:u w:val="single"/>
          <w:lang w:val="en-US" w:eastAsia="zh-CN"/>
        </w:rPr>
        <w:t>2</w:t>
      </w:r>
      <w:r>
        <w:rPr>
          <w:rFonts w:hint="eastAsia" w:ascii="宋体" w:hAnsi="宋体" w:eastAsia="宋体" w:cs="宋体"/>
          <w:bCs/>
          <w:color w:val="0000FF"/>
          <w:sz w:val="24"/>
          <w:szCs w:val="24"/>
          <w:u w:val="single"/>
        </w:rPr>
        <w:t>日</w:t>
      </w:r>
      <w:r>
        <w:rPr>
          <w:rFonts w:hint="eastAsia" w:ascii="宋体" w:hAnsi="宋体" w:cs="宋体"/>
          <w:bCs/>
          <w:color w:val="0000FF"/>
          <w:sz w:val="24"/>
          <w:szCs w:val="24"/>
          <w:u w:val="single"/>
          <w:lang w:val="en-US" w:eastAsia="zh-CN"/>
        </w:rPr>
        <w:t>11</w:t>
      </w:r>
      <w:r>
        <w:rPr>
          <w:rFonts w:hint="eastAsia" w:ascii="宋体" w:hAnsi="宋体" w:eastAsia="宋体" w:cs="宋体"/>
          <w:bCs/>
          <w:color w:val="0000FF"/>
          <w:sz w:val="24"/>
          <w:szCs w:val="24"/>
          <w:u w:val="single"/>
        </w:rPr>
        <w:t>点</w:t>
      </w:r>
      <w:r>
        <w:rPr>
          <w:rFonts w:hint="eastAsia" w:ascii="宋体" w:hAnsi="宋体" w:eastAsia="宋体" w:cs="宋体"/>
          <w:bCs/>
          <w:color w:val="0000FF"/>
          <w:sz w:val="24"/>
          <w:szCs w:val="24"/>
          <w:u w:val="single"/>
          <w:lang w:val="en-US" w:eastAsia="zh-CN"/>
        </w:rPr>
        <w:t>00</w:t>
      </w:r>
      <w:r>
        <w:rPr>
          <w:rFonts w:hint="eastAsia" w:ascii="宋体" w:hAnsi="宋体" w:eastAsia="宋体" w:cs="宋体"/>
          <w:bCs/>
          <w:color w:val="0000FF"/>
          <w:sz w:val="24"/>
          <w:szCs w:val="24"/>
          <w:u w:val="single"/>
        </w:rPr>
        <w:t>分</w:t>
      </w:r>
      <w:r>
        <w:rPr>
          <w:rFonts w:hint="eastAsia" w:ascii="宋体" w:hAnsi="宋体" w:eastAsia="宋体" w:cs="宋体"/>
          <w:bCs/>
          <w:color w:val="0000FF"/>
          <w:sz w:val="24"/>
          <w:szCs w:val="24"/>
        </w:rPr>
        <w:t>（北京时间）</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sz w:val="24"/>
          <w:szCs w:val="24"/>
        </w:rPr>
        <w:t>地点：</w:t>
      </w:r>
      <w:r>
        <w:rPr>
          <w:rFonts w:hint="eastAsia" w:ascii="宋体" w:hAnsi="宋体" w:eastAsia="宋体" w:cs="宋体"/>
          <w:color w:val="auto"/>
          <w:sz w:val="24"/>
          <w:szCs w:val="24"/>
          <w:u w:val="none"/>
          <w:lang w:val="en-US" w:eastAsia="zh-CN"/>
        </w:rPr>
        <w:t>乌鲁木齐市沙依巴克区友好南路198号新疆大公馆A座1010室</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sz w:val="24"/>
          <w:szCs w:val="24"/>
        </w:rPr>
      </w:pPr>
      <w:bookmarkStart w:id="34" w:name="_Toc35393803"/>
      <w:bookmarkStart w:id="35" w:name="_Toc28359094"/>
      <w:bookmarkStart w:id="36" w:name="_Toc28359017"/>
      <w:bookmarkStart w:id="37" w:name="_Toc31526"/>
      <w:bookmarkStart w:id="38" w:name="_Toc35393634"/>
      <w:r>
        <w:rPr>
          <w:rFonts w:hint="eastAsia" w:ascii="宋体" w:hAnsi="宋体" w:eastAsia="宋体" w:cs="宋体"/>
          <w:b/>
          <w:bCs/>
          <w:sz w:val="24"/>
          <w:szCs w:val="24"/>
        </w:rPr>
        <w:t>六、公告期限</w:t>
      </w:r>
      <w:bookmarkEnd w:id="34"/>
      <w:bookmarkEnd w:id="35"/>
      <w:bookmarkEnd w:id="36"/>
      <w:bookmarkEnd w:id="37"/>
      <w:bookmarkEnd w:id="38"/>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个工作日。</w:t>
      </w:r>
    </w:p>
    <w:p>
      <w:pPr>
        <w:keepNext w:val="0"/>
        <w:keepLines w:val="0"/>
        <w:pageBreakBefore w:val="0"/>
        <w:numPr>
          <w:ilvl w:val="0"/>
          <w:numId w:val="1"/>
        </w:numPr>
        <w:kinsoku/>
        <w:wordWrap/>
        <w:overflowPunct/>
        <w:topLinePunct w:val="0"/>
        <w:autoSpaceDE/>
        <w:autoSpaceDN/>
        <w:bidi w:val="0"/>
        <w:snapToGrid/>
        <w:spacing w:line="360" w:lineRule="auto"/>
        <w:textAlignment w:val="auto"/>
        <w:rPr>
          <w:rFonts w:hint="eastAsia" w:ascii="宋体" w:hAnsi="宋体" w:eastAsia="宋体" w:cs="宋体"/>
          <w:b/>
          <w:bCs/>
          <w:sz w:val="24"/>
          <w:szCs w:val="24"/>
        </w:rPr>
      </w:pPr>
      <w:bookmarkStart w:id="39" w:name="_Toc35393804"/>
      <w:bookmarkStart w:id="40" w:name="_Toc35393635"/>
      <w:bookmarkStart w:id="41" w:name="_Toc25155"/>
      <w:r>
        <w:rPr>
          <w:rFonts w:hint="eastAsia" w:ascii="宋体" w:hAnsi="宋体" w:eastAsia="宋体" w:cs="宋体"/>
          <w:b/>
          <w:bCs/>
          <w:sz w:val="24"/>
          <w:szCs w:val="24"/>
        </w:rPr>
        <w:t>其他补充事宜</w:t>
      </w:r>
      <w:bookmarkEnd w:id="39"/>
      <w:bookmarkEnd w:id="40"/>
      <w:bookmarkEnd w:id="41"/>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凡符合资格要求，且有意参加投标的投标单位，须携带营业执照副本原件、</w:t>
      </w:r>
      <w:r>
        <w:rPr>
          <w:rFonts w:hint="eastAsia" w:ascii="宋体" w:hAnsi="宋体" w:eastAsia="宋体" w:cs="宋体"/>
          <w:sz w:val="24"/>
          <w:szCs w:val="24"/>
          <w:lang w:val="en-US" w:eastAsia="zh-CN"/>
        </w:rPr>
        <w:t>《保安服务许可证》原件、</w:t>
      </w:r>
      <w:r>
        <w:rPr>
          <w:rFonts w:hint="eastAsia" w:ascii="宋体" w:hAnsi="宋体" w:eastAsia="宋体" w:cs="宋体"/>
          <w:kern w:val="0"/>
          <w:sz w:val="24"/>
          <w:szCs w:val="24"/>
          <w:lang w:val="en-US" w:eastAsia="zh-CN"/>
        </w:rPr>
        <w:t>法定代表人参加时提供：身份证原件，或委托代理人参加时提供：身份证原件、法定代表人身份证复印件、授权委托书原件（以上资料同时提供复印件加盖公章一套）到新疆优尚资创招标代理有限公司报名，领取招标文件，招标文件售后不退。</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sz w:val="24"/>
          <w:szCs w:val="24"/>
        </w:rPr>
      </w:pPr>
      <w:bookmarkStart w:id="42" w:name="_Toc28359018"/>
      <w:bookmarkStart w:id="43" w:name="_Toc35393636"/>
      <w:bookmarkStart w:id="44" w:name="_Toc28359095"/>
      <w:bookmarkStart w:id="45" w:name="_Toc25037"/>
      <w:bookmarkStart w:id="46" w:name="_Toc35393805"/>
      <w:r>
        <w:rPr>
          <w:rFonts w:hint="eastAsia" w:ascii="宋体" w:hAnsi="宋体" w:eastAsia="宋体" w:cs="宋体"/>
          <w:b/>
          <w:bCs/>
          <w:sz w:val="24"/>
          <w:szCs w:val="24"/>
        </w:rPr>
        <w:t>八、凡对本次采购提出询问，请按以下方式联系</w:t>
      </w:r>
      <w:bookmarkEnd w:id="42"/>
      <w:bookmarkEnd w:id="43"/>
      <w:bookmarkEnd w:id="44"/>
      <w:bookmarkEnd w:id="45"/>
      <w:bookmarkEnd w:id="46"/>
    </w:p>
    <w:p>
      <w:pPr>
        <w:pStyle w:val="20"/>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4"/>
          <w:szCs w:val="24"/>
          <w:lang w:val="en-US" w:eastAsia="zh-CN"/>
        </w:rPr>
      </w:pPr>
      <w:bookmarkStart w:id="47" w:name="_Toc23552"/>
      <w:r>
        <w:rPr>
          <w:rFonts w:hint="eastAsia" w:ascii="宋体" w:hAnsi="宋体" w:eastAsia="宋体" w:cs="宋体"/>
          <w:color w:val="000000"/>
          <w:sz w:val="24"/>
          <w:szCs w:val="24"/>
          <w:lang w:val="en-US" w:eastAsia="zh-CN"/>
        </w:rPr>
        <w:t>1.采购人信息</w:t>
      </w:r>
      <w:bookmarkEnd w:id="47"/>
    </w:p>
    <w:p>
      <w:pPr>
        <w:pStyle w:val="20"/>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名 称：新疆维吾尔自治区高级人民法院　　　　　　　　　　</w:t>
      </w:r>
    </w:p>
    <w:p>
      <w:pPr>
        <w:pStyle w:val="20"/>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地 址：乌鲁木齐市水磨沟区昆仑路19号　　　　　　　</w:t>
      </w:r>
    </w:p>
    <w:p>
      <w:pPr>
        <w:pStyle w:val="20"/>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联系方式： 田工  17709913858　</w:t>
      </w:r>
      <w:r>
        <w:rPr>
          <w:rFonts w:hint="eastAsia" w:ascii="宋体" w:hAnsi="宋体" w:eastAsia="宋体" w:cs="宋体"/>
          <w:color w:val="0000FF"/>
          <w:sz w:val="24"/>
          <w:szCs w:val="24"/>
          <w:lang w:val="en-US" w:eastAsia="zh-CN"/>
        </w:rPr>
        <w:t>　</w:t>
      </w:r>
      <w:r>
        <w:rPr>
          <w:rFonts w:hint="eastAsia" w:ascii="宋体" w:hAnsi="宋体" w:eastAsia="宋体" w:cs="宋体"/>
          <w:color w:val="000000"/>
          <w:sz w:val="24"/>
          <w:szCs w:val="24"/>
          <w:lang w:val="en-US" w:eastAsia="zh-CN"/>
        </w:rPr>
        <w:t xml:space="preserve">　　　　　　　 </w:t>
      </w:r>
      <w:bookmarkStart w:id="48" w:name="_Toc28359009"/>
      <w:bookmarkStart w:id="49" w:name="_Toc28359086"/>
    </w:p>
    <w:p>
      <w:pPr>
        <w:pStyle w:val="20"/>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4"/>
          <w:szCs w:val="24"/>
          <w:lang w:val="en-US" w:eastAsia="zh-CN"/>
        </w:rPr>
      </w:pPr>
      <w:bookmarkStart w:id="50" w:name="_Toc31905"/>
      <w:r>
        <w:rPr>
          <w:rFonts w:hint="eastAsia" w:ascii="宋体" w:hAnsi="宋体" w:eastAsia="宋体" w:cs="宋体"/>
          <w:color w:val="000000"/>
          <w:sz w:val="24"/>
          <w:szCs w:val="24"/>
          <w:lang w:val="en-US" w:eastAsia="zh-CN"/>
        </w:rPr>
        <w:t>2.采购代理机构信息</w:t>
      </w:r>
      <w:bookmarkEnd w:id="48"/>
      <w:bookmarkEnd w:id="49"/>
      <w:bookmarkEnd w:id="50"/>
    </w:p>
    <w:p>
      <w:pPr>
        <w:pStyle w:val="20"/>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名 称：新疆优尚资创招标代理有限公司　　　　　　　　　　　</w:t>
      </w:r>
    </w:p>
    <w:p>
      <w:pPr>
        <w:pStyle w:val="20"/>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地　址：乌鲁木齐市沙依巴克区友好南路198号新疆大公馆E座3单元1501室　　　　　　　　　　　　</w:t>
      </w:r>
    </w:p>
    <w:p>
      <w:pPr>
        <w:pStyle w:val="20"/>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联系方式：0991-2605777　　　　　　　　　　　　</w:t>
      </w:r>
    </w:p>
    <w:p>
      <w:pPr>
        <w:pStyle w:val="20"/>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4"/>
          <w:szCs w:val="24"/>
          <w:lang w:val="en-US" w:eastAsia="zh-CN"/>
        </w:rPr>
      </w:pPr>
      <w:bookmarkStart w:id="51" w:name="_Toc16388"/>
      <w:r>
        <w:rPr>
          <w:rFonts w:hint="eastAsia" w:ascii="宋体" w:hAnsi="宋体" w:eastAsia="宋体" w:cs="宋体"/>
          <w:color w:val="000000"/>
          <w:sz w:val="24"/>
          <w:szCs w:val="24"/>
          <w:lang w:val="en-US" w:eastAsia="zh-CN"/>
        </w:rPr>
        <w:t>3.项目联系方式</w:t>
      </w:r>
      <w:bookmarkEnd w:id="51"/>
    </w:p>
    <w:p>
      <w:pPr>
        <w:pStyle w:val="20"/>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项目联系人：杨晓乐</w:t>
      </w:r>
    </w:p>
    <w:p>
      <w:pPr>
        <w:pStyle w:val="20"/>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4"/>
          <w:szCs w:val="24"/>
          <w:lang w:val="en-US" w:eastAsia="zh-CN"/>
        </w:rPr>
        <w:t xml:space="preserve">电　话：13565961392 </w:t>
      </w:r>
      <w:r>
        <w:rPr>
          <w:rFonts w:hint="eastAsia" w:ascii="宋体" w:hAnsi="宋体" w:eastAsia="宋体" w:cs="宋体"/>
          <w:color w:val="000000"/>
          <w:sz w:val="28"/>
          <w:szCs w:val="28"/>
          <w:lang w:val="en-US" w:eastAsia="zh-CN"/>
        </w:rPr>
        <w:t> </w:t>
      </w:r>
    </w:p>
    <w:p>
      <w:pPr>
        <w:rPr>
          <w:rFonts w:hint="eastAsia" w:ascii="宋体" w:hAnsi="宋体" w:eastAsia="宋体" w:cs="宋体"/>
        </w:rPr>
      </w:pPr>
    </w:p>
    <w:p>
      <w:pPr>
        <w:widowControl/>
        <w:shd w:val="clear" w:color="auto" w:fill="FFFFFF"/>
        <w:spacing w:line="360" w:lineRule="auto"/>
        <w:ind w:firstLine="352" w:firstLineChars="147"/>
        <w:jc w:val="left"/>
        <w:rPr>
          <w:rFonts w:hint="eastAsia" w:ascii="宋体" w:hAnsi="宋体" w:eastAsia="宋体" w:cs="宋体"/>
          <w:color w:val="000000"/>
          <w:kern w:val="0"/>
          <w:sz w:val="24"/>
          <w:szCs w:val="24"/>
        </w:rPr>
      </w:pPr>
    </w:p>
    <w:p>
      <w:pPr>
        <w:spacing w:line="360" w:lineRule="auto"/>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p>
    <w:p>
      <w:pPr>
        <w:pStyle w:val="11"/>
        <w:rPr>
          <w:rFonts w:hint="eastAsia" w:ascii="宋体" w:hAnsi="宋体" w:eastAsia="宋体" w:cs="宋体"/>
          <w:sz w:val="24"/>
          <w:szCs w:val="24"/>
        </w:rPr>
      </w:pPr>
    </w:p>
    <w:p>
      <w:pPr>
        <w:rPr>
          <w:rFonts w:hint="eastAsia" w:ascii="宋体" w:hAnsi="宋体" w:eastAsia="宋体" w:cs="宋体"/>
          <w:sz w:val="24"/>
          <w:szCs w:val="24"/>
        </w:rPr>
      </w:pPr>
    </w:p>
    <w:p>
      <w:pPr>
        <w:pStyle w:val="11"/>
        <w:rPr>
          <w:rFonts w:hint="eastAsia" w:ascii="宋体" w:hAnsi="宋体" w:eastAsia="宋体" w:cs="宋体"/>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5"/>
        <w:rPr>
          <w:rFonts w:hint="eastAsia" w:ascii="宋体" w:hAnsi="宋体" w:eastAsia="宋体" w:cs="宋体"/>
          <w:sz w:val="24"/>
          <w:szCs w:val="24"/>
        </w:rPr>
      </w:pPr>
    </w:p>
    <w:p>
      <w:pPr>
        <w:widowControl/>
        <w:spacing w:line="360" w:lineRule="auto"/>
        <w:jc w:val="center"/>
        <w:outlineLvl w:val="0"/>
        <w:rPr>
          <w:rFonts w:hint="eastAsia" w:ascii="宋体" w:hAnsi="宋体" w:eastAsia="宋体" w:cs="宋体"/>
          <w:b/>
          <w:sz w:val="32"/>
          <w:szCs w:val="32"/>
        </w:rPr>
      </w:pPr>
      <w:r>
        <w:rPr>
          <w:rFonts w:hint="eastAsia" w:ascii="宋体" w:hAnsi="宋体" w:eastAsia="宋体" w:cs="宋体"/>
          <w:b/>
          <w:sz w:val="32"/>
          <w:szCs w:val="32"/>
        </w:rPr>
        <w:t>第二章  供应商须知</w:t>
      </w:r>
      <w:bookmarkEnd w:id="1"/>
      <w:bookmarkEnd w:id="2"/>
      <w:bookmarkEnd w:id="3"/>
      <w:bookmarkEnd w:id="4"/>
      <w:bookmarkEnd w:id="5"/>
      <w:bookmarkStart w:id="52" w:name="_Toc267301281"/>
      <w:bookmarkStart w:id="53" w:name="_Toc298240404"/>
      <w:bookmarkStart w:id="54" w:name="_Toc349573120"/>
      <w:bookmarkStart w:id="55" w:name="_Toc349637919"/>
    </w:p>
    <w:p>
      <w:pPr>
        <w:spacing w:line="360" w:lineRule="auto"/>
        <w:jc w:val="center"/>
        <w:rPr>
          <w:rFonts w:hint="eastAsia" w:ascii="宋体" w:hAnsi="宋体" w:eastAsia="宋体" w:cs="宋体"/>
          <w:b/>
          <w:sz w:val="28"/>
          <w:szCs w:val="28"/>
        </w:rPr>
      </w:pPr>
      <w:bookmarkStart w:id="56" w:name="_Toc462223631"/>
      <w:r>
        <w:rPr>
          <w:rFonts w:hint="eastAsia" w:ascii="宋体" w:hAnsi="宋体" w:eastAsia="宋体" w:cs="宋体"/>
          <w:b/>
          <w:sz w:val="28"/>
          <w:szCs w:val="28"/>
        </w:rPr>
        <w:t>供应商须知前附表</w:t>
      </w:r>
      <w:bookmarkEnd w:id="52"/>
      <w:bookmarkEnd w:id="53"/>
      <w:bookmarkEnd w:id="54"/>
      <w:bookmarkEnd w:id="55"/>
      <w:bookmarkEnd w:id="56"/>
    </w:p>
    <w:tbl>
      <w:tblPr>
        <w:tblStyle w:val="23"/>
        <w:tblW w:w="93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2"/>
        <w:gridCol w:w="86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8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2" w:type="dxa"/>
            <w:tcBorders>
              <w:top w:val="single" w:color="auto" w:sz="4" w:space="0"/>
              <w:left w:val="single" w:color="auto" w:sz="4" w:space="0"/>
              <w:bottom w:val="single" w:color="auto" w:sz="4" w:space="0"/>
              <w:right w:val="single" w:color="auto" w:sz="4" w:space="0"/>
            </w:tcBorders>
            <w:vAlign w:val="center"/>
          </w:tcPr>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60" w:type="dxa"/>
            <w:tcBorders>
              <w:top w:val="single" w:color="auto" w:sz="4" w:space="0"/>
              <w:left w:val="single" w:color="auto" w:sz="4" w:space="0"/>
              <w:bottom w:val="single" w:color="auto" w:sz="4" w:space="0"/>
              <w:right w:val="single" w:color="auto" w:sz="4" w:space="0"/>
            </w:tcBorders>
            <w:vAlign w:val="center"/>
          </w:tcPr>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项目名称：新疆维吾尔自治区高级人民法院保安服务采购项目</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项目编号：[2021]13893号-001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732" w:type="dxa"/>
            <w:tcBorders>
              <w:top w:val="single" w:color="auto" w:sz="4" w:space="0"/>
              <w:left w:val="single" w:color="auto" w:sz="4" w:space="0"/>
              <w:bottom w:val="single" w:color="auto" w:sz="4" w:space="0"/>
              <w:right w:val="single" w:color="auto" w:sz="4" w:space="0"/>
            </w:tcBorders>
            <w:vAlign w:val="center"/>
          </w:tcPr>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660" w:type="dxa"/>
            <w:tcBorders>
              <w:top w:val="single" w:color="auto" w:sz="4" w:space="0"/>
              <w:left w:val="single" w:color="auto" w:sz="4" w:space="0"/>
              <w:bottom w:val="single" w:color="auto" w:sz="4" w:space="0"/>
              <w:right w:val="single" w:color="auto" w:sz="4" w:space="0"/>
            </w:tcBorders>
            <w:vAlign w:val="center"/>
          </w:tcPr>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采购人名称：新疆维吾尔自治区高级人民法院   </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联系人：田工</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联系电话：17709913858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732" w:type="dxa"/>
            <w:tcBorders>
              <w:top w:val="single" w:color="auto" w:sz="4" w:space="0"/>
              <w:left w:val="single" w:color="auto" w:sz="4" w:space="0"/>
              <w:bottom w:val="single" w:color="auto" w:sz="4" w:space="0"/>
              <w:right w:val="single" w:color="auto" w:sz="4" w:space="0"/>
            </w:tcBorders>
            <w:vAlign w:val="center"/>
          </w:tcPr>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8660" w:type="dxa"/>
            <w:tcBorders>
              <w:top w:val="single" w:color="auto" w:sz="4" w:space="0"/>
              <w:left w:val="single" w:color="auto" w:sz="4" w:space="0"/>
              <w:bottom w:val="single" w:color="auto" w:sz="4" w:space="0"/>
              <w:right w:val="single" w:color="auto" w:sz="4" w:space="0"/>
            </w:tcBorders>
            <w:vAlign w:val="center"/>
          </w:tcPr>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招标代理机构名称：新疆优尚资创招标代理有限公司</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联系人：杨晓乐</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电话：13565961392</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单位地址：乌鲁木齐市沙依巴克区友好南路198号新疆大公馆E座3单元1501室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32" w:type="dxa"/>
            <w:tcBorders>
              <w:top w:val="single" w:color="auto" w:sz="4" w:space="0"/>
              <w:left w:val="single" w:color="auto" w:sz="4" w:space="0"/>
              <w:bottom w:val="single" w:color="auto" w:sz="4" w:space="0"/>
              <w:right w:val="single" w:color="auto" w:sz="4" w:space="0"/>
            </w:tcBorders>
            <w:vAlign w:val="center"/>
          </w:tcPr>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8660" w:type="dxa"/>
            <w:tcBorders>
              <w:top w:val="single" w:color="auto" w:sz="4" w:space="0"/>
              <w:left w:val="single" w:color="auto" w:sz="4" w:space="0"/>
              <w:bottom w:val="single" w:color="auto" w:sz="4" w:space="0"/>
              <w:right w:val="single" w:color="auto" w:sz="4" w:space="0"/>
            </w:tcBorders>
            <w:vAlign w:val="center"/>
          </w:tcPr>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磋商响应保证金金额：</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本项目的投标保证金为：12000元（大写壹万贰仟元整）</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注：投标人向银行办理投标保证金汇（转）款时，应在用途栏（备注栏）准确注明“</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lang w:val="en-US" w:eastAsia="zh-CN"/>
              </w:rPr>
              <w:t>（招标编号）投标保证金”字样，由于未按要求注明信息而导致的一切后果由投标人承担。</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账户信息：新疆优尚资创招标代理有限公司</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开户行：兴业银行股份有限公司乌鲁木齐友好路支行</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账号：512050100100247121</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行号：309881002052</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投标保证金截止时间：投标文件的递交截止时间之前（以到账时间为准）。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宋体" w:hAnsi="宋体" w:eastAsia="宋体" w:cs="宋体"/>
                <w:b/>
                <w:color w:val="000000"/>
                <w:kern w:val="0"/>
                <w:sz w:val="24"/>
                <w:szCs w:val="24"/>
                <w:lang w:val="en-US" w:eastAsia="zh-CN"/>
              </w:rPr>
            </w:pPr>
            <w:r>
              <w:rPr>
                <w:rFonts w:hint="eastAsia" w:ascii="宋体" w:hAnsi="宋体" w:eastAsia="宋体" w:cs="宋体"/>
                <w:sz w:val="24"/>
                <w:szCs w:val="24"/>
                <w:lang w:val="en-US" w:eastAsia="zh-CN"/>
              </w:rPr>
              <w:t>5</w:t>
            </w:r>
          </w:p>
        </w:tc>
        <w:tc>
          <w:tcPr>
            <w:tcW w:w="8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both"/>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采购预算：¥</w:t>
            </w:r>
            <w:r>
              <w:rPr>
                <w:rFonts w:hint="eastAsia" w:ascii="宋体" w:hAnsi="宋体" w:eastAsia="宋体" w:cs="宋体"/>
                <w:b w:val="0"/>
                <w:bCs/>
                <w:color w:val="000000"/>
                <w:kern w:val="0"/>
                <w:sz w:val="24"/>
                <w:szCs w:val="24"/>
                <w:lang w:val="en-US" w:eastAsia="zh-CN"/>
              </w:rPr>
              <w:t>63.84万元</w:t>
            </w:r>
            <w:r>
              <w:rPr>
                <w:rFonts w:hint="eastAsia" w:ascii="宋体" w:hAnsi="宋体" w:eastAsia="宋体" w:cs="宋体"/>
                <w:b w:val="0"/>
                <w:bCs/>
                <w:color w:val="000000"/>
                <w:kern w:val="0"/>
                <w:sz w:val="24"/>
                <w:szCs w:val="24"/>
              </w:rPr>
              <w:t>（大写：</w:t>
            </w:r>
            <w:r>
              <w:rPr>
                <w:rFonts w:hint="eastAsia" w:ascii="宋体" w:hAnsi="宋体" w:eastAsia="宋体" w:cs="宋体"/>
                <w:b w:val="0"/>
                <w:bCs/>
                <w:color w:val="000000"/>
                <w:kern w:val="0"/>
                <w:sz w:val="24"/>
                <w:szCs w:val="24"/>
                <w:lang w:val="en-US" w:eastAsia="zh-CN"/>
              </w:rPr>
              <w:t>陆拾叁万捌仟肆佰元整</w:t>
            </w:r>
            <w:r>
              <w:rPr>
                <w:rFonts w:hint="eastAsia" w:ascii="宋体" w:hAnsi="宋体" w:eastAsia="宋体" w:cs="宋体"/>
                <w:b w:val="0"/>
                <w:bCs/>
                <w:color w:val="000000"/>
                <w:kern w:val="0"/>
                <w:sz w:val="24"/>
                <w:szCs w:val="24"/>
              </w:rPr>
              <w:t>）</w:t>
            </w:r>
          </w:p>
          <w:p>
            <w:pPr>
              <w:keepNext w:val="0"/>
              <w:keepLines w:val="0"/>
              <w:pageBreakBefore w:val="0"/>
              <w:widowControl w:val="0"/>
              <w:kinsoku/>
              <w:wordWrap/>
              <w:overflowPunct/>
              <w:topLinePunct w:val="0"/>
              <w:autoSpaceDE/>
              <w:autoSpaceDN/>
              <w:bidi w:val="0"/>
              <w:spacing w:line="288" w:lineRule="auto"/>
              <w:jc w:val="both"/>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备注：</w:t>
            </w:r>
            <w:r>
              <w:rPr>
                <w:rFonts w:hint="eastAsia" w:ascii="宋体" w:hAnsi="宋体" w:eastAsia="宋体" w:cs="宋体"/>
                <w:b/>
                <w:color w:val="000000"/>
                <w:kern w:val="0"/>
                <w:sz w:val="24"/>
                <w:szCs w:val="24"/>
                <w:lang w:val="en-US" w:eastAsia="zh-CN"/>
              </w:rPr>
              <w:t>1.投标报价高于预算限价按废标处理，敬请投标人注意！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rPr>
        <w:tc>
          <w:tcPr>
            <w:tcW w:w="7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252"/>
                <w:tab w:val="left" w:pos="671"/>
              </w:tabs>
              <w:kinsoku/>
              <w:wordWrap/>
              <w:overflowPunct/>
              <w:topLinePunct w:val="0"/>
              <w:autoSpaceDE/>
              <w:autoSpaceDN/>
              <w:bidi w:val="0"/>
              <w:spacing w:line="288" w:lineRule="auto"/>
              <w:jc w:val="center"/>
              <w:textAlignment w:val="auto"/>
              <w:rPr>
                <w:rFonts w:hint="eastAsia" w:ascii="宋体" w:hAnsi="宋体" w:eastAsia="宋体" w:cs="宋体"/>
                <w:color w:val="000000"/>
                <w:spacing w:val="8"/>
                <w:sz w:val="24"/>
                <w:szCs w:val="24"/>
                <w:lang w:eastAsia="zh-CN"/>
              </w:rPr>
            </w:pPr>
            <w:r>
              <w:rPr>
                <w:rFonts w:hint="eastAsia" w:ascii="宋体" w:hAnsi="宋体" w:eastAsia="宋体" w:cs="宋体"/>
                <w:color w:val="000000"/>
                <w:spacing w:val="8"/>
                <w:sz w:val="24"/>
                <w:szCs w:val="24"/>
                <w:lang w:val="en-US" w:eastAsia="zh-CN"/>
              </w:rPr>
              <w:t>6</w:t>
            </w:r>
          </w:p>
        </w:tc>
        <w:tc>
          <w:tcPr>
            <w:tcW w:w="8660"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widowControl w:val="0"/>
              <w:kinsoku/>
              <w:wordWrap/>
              <w:overflowPunct/>
              <w:topLinePunct w:val="0"/>
              <w:autoSpaceDE/>
              <w:autoSpaceDN/>
              <w:bidi w:val="0"/>
              <w:spacing w:line="288" w:lineRule="auto"/>
              <w:ind w:firstLine="0" w:firstLineChars="0"/>
              <w:jc w:val="both"/>
              <w:textAlignment w:val="auto"/>
              <w:rPr>
                <w:rFonts w:hint="eastAsia" w:ascii="宋体" w:hAnsi="宋体" w:eastAsia="宋体" w:cs="宋体"/>
                <w:bCs/>
                <w:sz w:val="24"/>
                <w:szCs w:val="24"/>
              </w:rPr>
            </w:pPr>
            <w:r>
              <w:rPr>
                <w:rFonts w:hint="eastAsia" w:ascii="宋体" w:hAnsi="宋体" w:eastAsia="宋体" w:cs="宋体"/>
                <w:b/>
                <w:sz w:val="24"/>
                <w:szCs w:val="24"/>
              </w:rPr>
              <w:t>供应商的资格要求</w:t>
            </w:r>
            <w:r>
              <w:rPr>
                <w:rFonts w:hint="eastAsia" w:ascii="宋体" w:hAnsi="宋体" w:eastAsia="宋体" w:cs="宋体"/>
                <w:bCs/>
                <w:sz w:val="24"/>
                <w:szCs w:val="24"/>
              </w:rPr>
              <w:t>：</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  </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（1）《政府采购促进中小企业发展暂行办法》（财库〔2020〕46号）； </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（2）《财政部、司法部关于政府采购支持监狱企业发展有关问题的通知》（财库〔2014〕68号）； </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（3）《财政部 民政部 中国残疾人联合会关于促进残疾人就业政府采购政策的通知》财库〔2017〕141号。  </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（1）满足《中华人民共和国政府采购法》第二十二条要求，投标人须具有有效的工商营业执照副本（三证合一）且在中华人民共和国境内注册，有能力提供本项目合同项下的全部服务内容的供应商；</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（2）符合《公安机关实施保安服务管理条例办法》的规定，在所在地的公安机关有备案，并具有有效的公安机关核发《保安服务许可证》；</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未被“信用中国”网站（www.creditchina.gov.cn）列入失信被执行人、重大税收违法案件当事人、政府采购不良行为记录和中国政府采购网（www.ccgp.gov.cn）政府采购严重违法失信行为记录名单（网页打印件须自竞争性谈判文件发布之日起至投标截止时间从上述网站中打印）；</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（4）与招标人存在利害关系可能影响招标公正性的法人、其他组织或者个人，不得参加投标；</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（5）单位负责人为同一人或者存在控股、管理关系的不同单位，不得参加同一标段投标或者未划分标段的同一招标项目投标。违反前两款规定的，相关投标均无效；</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（6）本项目不接受联合体投标。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732" w:type="dxa"/>
            <w:tcBorders>
              <w:top w:val="single" w:color="auto" w:sz="4" w:space="0"/>
              <w:left w:val="single" w:color="auto" w:sz="4" w:space="0"/>
              <w:bottom w:val="single" w:color="auto" w:sz="4" w:space="0"/>
              <w:right w:val="single" w:color="auto" w:sz="4" w:space="0"/>
            </w:tcBorders>
            <w:vAlign w:val="center"/>
          </w:tcPr>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8660" w:type="dxa"/>
            <w:tcBorders>
              <w:top w:val="single" w:color="auto" w:sz="4" w:space="0"/>
              <w:left w:val="single" w:color="auto" w:sz="4" w:space="0"/>
              <w:bottom w:val="single" w:color="auto" w:sz="4" w:space="0"/>
              <w:right w:val="single" w:color="auto" w:sz="4" w:space="0"/>
            </w:tcBorders>
            <w:vAlign w:val="center"/>
          </w:tcPr>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磋商响应有效期：60天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32" w:type="dxa"/>
            <w:tcBorders>
              <w:top w:val="single" w:color="auto" w:sz="4" w:space="0"/>
              <w:left w:val="single" w:color="auto" w:sz="4" w:space="0"/>
              <w:bottom w:val="single" w:color="auto" w:sz="4" w:space="0"/>
              <w:right w:val="single" w:color="auto" w:sz="4" w:space="0"/>
            </w:tcBorders>
            <w:vAlign w:val="center"/>
          </w:tcPr>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8660" w:type="dxa"/>
            <w:tcBorders>
              <w:top w:val="single" w:color="auto" w:sz="4" w:space="0"/>
              <w:left w:val="single" w:color="auto" w:sz="4" w:space="0"/>
              <w:bottom w:val="single" w:color="auto" w:sz="4" w:space="0"/>
              <w:right w:val="single" w:color="auto" w:sz="4" w:space="0"/>
            </w:tcBorders>
            <w:vAlign w:val="center"/>
          </w:tcPr>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磋商</w:t>
            </w:r>
            <w:r>
              <w:rPr>
                <w:rFonts w:hint="eastAsia" w:ascii="宋体" w:hAnsi="宋体" w:eastAsia="宋体" w:cs="宋体"/>
                <w:sz w:val="24"/>
                <w:szCs w:val="24"/>
                <w:lang w:val="en-US" w:eastAsia="zh-CN"/>
              </w:rPr>
              <w:t>报价</w:t>
            </w:r>
            <w:r>
              <w:rPr>
                <w:rFonts w:hint="eastAsia" w:ascii="宋体" w:hAnsi="宋体" w:eastAsia="宋体" w:cs="宋体"/>
                <w:sz w:val="24"/>
                <w:szCs w:val="24"/>
                <w:lang w:val="zh-CN" w:eastAsia="zh-CN"/>
              </w:rPr>
              <w:t>轮数:两轮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4" w:hRule="atLeast"/>
        </w:trPr>
        <w:tc>
          <w:tcPr>
            <w:tcW w:w="732" w:type="dxa"/>
            <w:tcBorders>
              <w:top w:val="single" w:color="auto" w:sz="4" w:space="0"/>
              <w:left w:val="single" w:color="auto" w:sz="4" w:space="0"/>
              <w:bottom w:val="single" w:color="auto" w:sz="4" w:space="0"/>
              <w:right w:val="single" w:color="auto" w:sz="4" w:space="0"/>
            </w:tcBorders>
            <w:vAlign w:val="center"/>
          </w:tcPr>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8660" w:type="dxa"/>
            <w:tcBorders>
              <w:top w:val="single" w:color="auto" w:sz="4" w:space="0"/>
              <w:left w:val="single" w:color="auto" w:sz="4" w:space="0"/>
              <w:bottom w:val="single" w:color="auto" w:sz="4" w:space="0"/>
              <w:right w:val="single" w:color="auto" w:sz="4" w:space="0"/>
            </w:tcBorders>
            <w:vAlign w:val="center"/>
          </w:tcPr>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*开标现场查验：</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1、营业执照副本；</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2、《保安服务许可证》；</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3、供应商提供法人授权委托书及被授权人身份证明原件； </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4、投标保证金缴纳凭证或收据。</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注：以上现场查验均为原件单独提交审核、复印件装订在投标文件中，不合格或缺少一项将被认为资格审查不合格，将取消其竞标资格。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32" w:type="dxa"/>
            <w:tcBorders>
              <w:top w:val="single" w:color="auto" w:sz="4" w:space="0"/>
              <w:left w:val="single" w:color="auto" w:sz="4" w:space="0"/>
              <w:bottom w:val="single" w:color="auto" w:sz="4" w:space="0"/>
              <w:right w:val="single" w:color="auto" w:sz="4" w:space="0"/>
            </w:tcBorders>
            <w:vAlign w:val="center"/>
          </w:tcPr>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660" w:type="dxa"/>
            <w:tcBorders>
              <w:top w:val="single" w:color="auto" w:sz="4" w:space="0"/>
              <w:left w:val="single" w:color="auto" w:sz="4" w:space="0"/>
              <w:bottom w:val="single" w:color="auto" w:sz="4" w:space="0"/>
              <w:right w:val="single" w:color="auto" w:sz="4" w:space="0"/>
            </w:tcBorders>
            <w:vAlign w:val="center"/>
          </w:tcPr>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投标文件份数：正本一份，副本两份一起密封</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开标一览表一份（单独密封）</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电子版一份（U盘形式并可与投标文件一起密封）</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注：若未按规定封装则视为无效投标，招标人、招标代理机构有权拒收，为无效投标。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732" w:type="dxa"/>
            <w:tcBorders>
              <w:top w:val="single" w:color="auto" w:sz="4" w:space="0"/>
              <w:left w:val="single" w:color="auto" w:sz="4" w:space="0"/>
              <w:bottom w:val="single" w:color="auto" w:sz="4" w:space="0"/>
              <w:right w:val="single" w:color="auto" w:sz="4" w:space="0"/>
            </w:tcBorders>
            <w:vAlign w:val="center"/>
          </w:tcPr>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8660" w:type="dxa"/>
            <w:tcBorders>
              <w:top w:val="single" w:color="auto" w:sz="4" w:space="0"/>
              <w:left w:val="single" w:color="auto" w:sz="4" w:space="0"/>
              <w:bottom w:val="single" w:color="auto" w:sz="4" w:space="0"/>
              <w:right w:val="single" w:color="auto" w:sz="4" w:space="0"/>
            </w:tcBorders>
            <w:vAlign w:val="center"/>
          </w:tcPr>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磋商响应性文件以密封形式递交至：乌鲁木齐市沙依巴克区友好南路198号新疆大公馆A座1010室</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磋商响应性文件递交</w:t>
            </w:r>
            <w:r>
              <w:rPr>
                <w:rFonts w:hint="eastAsia" w:ascii="宋体" w:hAnsi="宋体" w:eastAsia="宋体" w:cs="宋体"/>
                <w:color w:val="0000FF"/>
                <w:sz w:val="24"/>
                <w:szCs w:val="24"/>
                <w:lang w:val="en-US" w:eastAsia="zh-CN"/>
              </w:rPr>
              <w:t>截止时间：</w:t>
            </w:r>
            <w:r>
              <w:rPr>
                <w:rFonts w:hint="eastAsia" w:ascii="宋体" w:hAnsi="宋体" w:eastAsia="宋体" w:cs="宋体"/>
                <w:color w:val="0000FF"/>
                <w:sz w:val="24"/>
                <w:szCs w:val="24"/>
                <w:u w:val="single"/>
                <w:lang w:val="en-US" w:eastAsia="zh-CN"/>
              </w:rPr>
              <w:t>2021</w:t>
            </w:r>
            <w:r>
              <w:rPr>
                <w:rFonts w:hint="eastAsia" w:ascii="宋体" w:hAnsi="宋体" w:eastAsia="宋体" w:cs="宋体"/>
                <w:bCs/>
                <w:color w:val="0000FF"/>
                <w:sz w:val="24"/>
                <w:szCs w:val="24"/>
                <w:u w:val="single"/>
              </w:rPr>
              <w:t>年</w:t>
            </w:r>
            <w:r>
              <w:rPr>
                <w:rFonts w:hint="eastAsia" w:ascii="宋体" w:hAnsi="宋体" w:cs="宋体"/>
                <w:bCs/>
                <w:color w:val="0000FF"/>
                <w:sz w:val="24"/>
                <w:szCs w:val="24"/>
                <w:u w:val="single"/>
                <w:lang w:val="en-US" w:eastAsia="zh-CN"/>
              </w:rPr>
              <w:t>11</w:t>
            </w:r>
            <w:r>
              <w:rPr>
                <w:rFonts w:hint="eastAsia" w:ascii="宋体" w:hAnsi="宋体" w:eastAsia="宋体" w:cs="宋体"/>
                <w:bCs/>
                <w:color w:val="0000FF"/>
                <w:sz w:val="24"/>
                <w:szCs w:val="24"/>
                <w:u w:val="single"/>
              </w:rPr>
              <w:t>月</w:t>
            </w:r>
            <w:r>
              <w:rPr>
                <w:rFonts w:hint="eastAsia" w:ascii="宋体" w:hAnsi="宋体" w:cs="宋体"/>
                <w:bCs/>
                <w:color w:val="0000FF"/>
                <w:sz w:val="24"/>
                <w:szCs w:val="24"/>
                <w:u w:val="single"/>
                <w:lang w:val="en-US" w:eastAsia="zh-CN"/>
              </w:rPr>
              <w:t>2</w:t>
            </w:r>
            <w:r>
              <w:rPr>
                <w:rFonts w:hint="eastAsia" w:ascii="宋体" w:hAnsi="宋体" w:eastAsia="宋体" w:cs="宋体"/>
                <w:bCs/>
                <w:color w:val="0000FF"/>
                <w:sz w:val="24"/>
                <w:szCs w:val="24"/>
                <w:u w:val="single"/>
              </w:rPr>
              <w:t>日</w:t>
            </w:r>
            <w:r>
              <w:rPr>
                <w:rFonts w:hint="eastAsia" w:ascii="宋体" w:hAnsi="宋体" w:cs="宋体"/>
                <w:bCs/>
                <w:color w:val="0000FF"/>
                <w:sz w:val="24"/>
                <w:szCs w:val="24"/>
                <w:u w:val="single"/>
                <w:lang w:val="en-US" w:eastAsia="zh-CN"/>
              </w:rPr>
              <w:t>11</w:t>
            </w:r>
            <w:r>
              <w:rPr>
                <w:rFonts w:hint="eastAsia" w:ascii="宋体" w:hAnsi="宋体" w:eastAsia="宋体" w:cs="宋体"/>
                <w:bCs/>
                <w:color w:val="0000FF"/>
                <w:sz w:val="24"/>
                <w:szCs w:val="24"/>
                <w:u w:val="single"/>
              </w:rPr>
              <w:t>点</w:t>
            </w:r>
            <w:r>
              <w:rPr>
                <w:rFonts w:hint="eastAsia" w:ascii="宋体" w:hAnsi="宋体" w:eastAsia="宋体" w:cs="宋体"/>
                <w:bCs/>
                <w:color w:val="0000FF"/>
                <w:sz w:val="24"/>
                <w:szCs w:val="24"/>
                <w:u w:val="single"/>
                <w:lang w:val="en-US" w:eastAsia="zh-CN"/>
              </w:rPr>
              <w:t>00</w:t>
            </w:r>
            <w:r>
              <w:rPr>
                <w:rFonts w:hint="eastAsia" w:ascii="宋体" w:hAnsi="宋体" w:eastAsia="宋体" w:cs="宋体"/>
                <w:bCs/>
                <w:color w:val="0000FF"/>
                <w:sz w:val="24"/>
                <w:szCs w:val="24"/>
                <w:u w:val="single"/>
              </w:rPr>
              <w:t>分</w:t>
            </w:r>
            <w:r>
              <w:rPr>
                <w:rFonts w:hint="eastAsia" w:ascii="宋体" w:hAnsi="宋体" w:eastAsia="宋体" w:cs="宋体"/>
                <w:bCs/>
                <w:color w:val="0000FF"/>
                <w:sz w:val="24"/>
                <w:szCs w:val="24"/>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732" w:type="dxa"/>
            <w:tcBorders>
              <w:top w:val="single" w:color="auto" w:sz="4" w:space="0"/>
              <w:left w:val="single" w:color="auto" w:sz="4" w:space="0"/>
              <w:bottom w:val="single" w:color="auto" w:sz="4" w:space="0"/>
              <w:right w:val="single" w:color="auto" w:sz="4" w:space="0"/>
            </w:tcBorders>
            <w:vAlign w:val="center"/>
          </w:tcPr>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8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磋商开启日</w:t>
            </w:r>
            <w:r>
              <w:rPr>
                <w:rFonts w:hint="eastAsia" w:ascii="宋体" w:hAnsi="宋体" w:eastAsia="宋体" w:cs="宋体"/>
                <w:color w:val="0000FF"/>
                <w:sz w:val="24"/>
                <w:szCs w:val="24"/>
                <w:lang w:val="en-US" w:eastAsia="zh-CN"/>
              </w:rPr>
              <w:t>期：</w:t>
            </w:r>
            <w:r>
              <w:rPr>
                <w:rFonts w:hint="eastAsia" w:ascii="宋体" w:hAnsi="宋体" w:eastAsia="宋体" w:cs="宋体"/>
                <w:color w:val="0000FF"/>
                <w:sz w:val="24"/>
                <w:szCs w:val="24"/>
                <w:u w:val="single"/>
                <w:lang w:val="en-US" w:eastAsia="zh-CN"/>
              </w:rPr>
              <w:t>2021</w:t>
            </w:r>
            <w:r>
              <w:rPr>
                <w:rFonts w:hint="eastAsia" w:ascii="宋体" w:hAnsi="宋体" w:eastAsia="宋体" w:cs="宋体"/>
                <w:bCs/>
                <w:color w:val="0000FF"/>
                <w:sz w:val="24"/>
                <w:szCs w:val="24"/>
                <w:u w:val="single"/>
              </w:rPr>
              <w:t>年</w:t>
            </w:r>
            <w:r>
              <w:rPr>
                <w:rFonts w:hint="eastAsia" w:ascii="宋体" w:hAnsi="宋体" w:cs="宋体"/>
                <w:bCs/>
                <w:color w:val="0000FF"/>
                <w:sz w:val="24"/>
                <w:szCs w:val="24"/>
                <w:u w:val="single"/>
                <w:lang w:val="en-US" w:eastAsia="zh-CN"/>
              </w:rPr>
              <w:t>11</w:t>
            </w:r>
            <w:r>
              <w:rPr>
                <w:rFonts w:hint="eastAsia" w:ascii="宋体" w:hAnsi="宋体" w:eastAsia="宋体" w:cs="宋体"/>
                <w:bCs/>
                <w:color w:val="0000FF"/>
                <w:sz w:val="24"/>
                <w:szCs w:val="24"/>
                <w:u w:val="single"/>
              </w:rPr>
              <w:t>月</w:t>
            </w:r>
            <w:r>
              <w:rPr>
                <w:rFonts w:hint="eastAsia" w:ascii="宋体" w:hAnsi="宋体" w:cs="宋体"/>
                <w:bCs/>
                <w:color w:val="0000FF"/>
                <w:sz w:val="24"/>
                <w:szCs w:val="24"/>
                <w:u w:val="single"/>
                <w:lang w:val="en-US" w:eastAsia="zh-CN"/>
              </w:rPr>
              <w:t>2</w:t>
            </w:r>
            <w:r>
              <w:rPr>
                <w:rFonts w:hint="eastAsia" w:ascii="宋体" w:hAnsi="宋体" w:eastAsia="宋体" w:cs="宋体"/>
                <w:bCs/>
                <w:color w:val="0000FF"/>
                <w:sz w:val="24"/>
                <w:szCs w:val="24"/>
                <w:u w:val="single"/>
              </w:rPr>
              <w:t>日</w:t>
            </w:r>
            <w:r>
              <w:rPr>
                <w:rFonts w:hint="eastAsia" w:ascii="宋体" w:hAnsi="宋体" w:cs="宋体"/>
                <w:bCs/>
                <w:color w:val="0000FF"/>
                <w:sz w:val="24"/>
                <w:szCs w:val="24"/>
                <w:u w:val="single"/>
                <w:lang w:val="en-US" w:eastAsia="zh-CN"/>
              </w:rPr>
              <w:t>11</w:t>
            </w:r>
            <w:r>
              <w:rPr>
                <w:rFonts w:hint="eastAsia" w:ascii="宋体" w:hAnsi="宋体" w:eastAsia="宋体" w:cs="宋体"/>
                <w:bCs/>
                <w:color w:val="0000FF"/>
                <w:sz w:val="24"/>
                <w:szCs w:val="24"/>
                <w:u w:val="single"/>
              </w:rPr>
              <w:t>点</w:t>
            </w:r>
            <w:r>
              <w:rPr>
                <w:rFonts w:hint="eastAsia" w:ascii="宋体" w:hAnsi="宋体" w:eastAsia="宋体" w:cs="宋体"/>
                <w:bCs/>
                <w:color w:val="0000FF"/>
                <w:sz w:val="24"/>
                <w:szCs w:val="24"/>
                <w:u w:val="single"/>
                <w:lang w:val="en-US" w:eastAsia="zh-CN"/>
              </w:rPr>
              <w:t>00</w:t>
            </w:r>
            <w:r>
              <w:rPr>
                <w:rFonts w:hint="eastAsia" w:ascii="宋体" w:hAnsi="宋体" w:eastAsia="宋体" w:cs="宋体"/>
                <w:bCs/>
                <w:color w:val="0000FF"/>
                <w:sz w:val="24"/>
                <w:szCs w:val="24"/>
                <w:u w:val="single"/>
              </w:rPr>
              <w:t>分</w:t>
            </w:r>
            <w:r>
              <w:rPr>
                <w:rFonts w:hint="eastAsia" w:ascii="宋体" w:hAnsi="宋体" w:eastAsia="宋体" w:cs="宋体"/>
                <w:bCs/>
                <w:color w:val="0000FF"/>
                <w:sz w:val="24"/>
                <w:szCs w:val="24"/>
              </w:rPr>
              <w:t>（北京时间）</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磋商开启地点：乌鲁木齐市沙依巴克区友好南路198号新疆大公馆A座1010室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732" w:type="dxa"/>
            <w:tcBorders>
              <w:top w:val="single" w:color="auto" w:sz="4" w:space="0"/>
              <w:left w:val="single" w:color="auto" w:sz="4" w:space="0"/>
              <w:bottom w:val="single" w:color="auto" w:sz="4" w:space="0"/>
              <w:right w:val="single" w:color="auto" w:sz="4" w:space="0"/>
            </w:tcBorders>
            <w:vAlign w:val="center"/>
          </w:tcPr>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8660" w:type="dxa"/>
            <w:tcBorders>
              <w:top w:val="single" w:color="auto" w:sz="4" w:space="0"/>
              <w:left w:val="single" w:color="auto" w:sz="4" w:space="0"/>
              <w:bottom w:val="single" w:color="auto" w:sz="4" w:space="0"/>
              <w:right w:val="single" w:color="auto" w:sz="4" w:space="0"/>
            </w:tcBorders>
            <w:vAlign w:val="center"/>
          </w:tcPr>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适用于本供应商须知的额外增加的变动：代理服务费由成交方向新疆优尚资创招标代理有限公司支付，以中标价为基准价，参照计价格[2002]1980号文按差额定率累进法计算收取。</w:t>
            </w:r>
          </w:p>
        </w:tc>
      </w:tr>
    </w:tbl>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一、说明</w:t>
      </w:r>
    </w:p>
    <w:p>
      <w:pPr>
        <w:pStyle w:val="13"/>
        <w:spacing w:line="360" w:lineRule="auto"/>
        <w:ind w:firstLine="480" w:firstLineChars="200"/>
        <w:outlineLvl w:val="1"/>
        <w:rPr>
          <w:rFonts w:hint="eastAsia" w:ascii="宋体" w:hAnsi="宋体" w:eastAsia="宋体" w:cs="宋体"/>
          <w:color w:val="auto"/>
          <w:sz w:val="24"/>
          <w:highlight w:val="none"/>
        </w:rPr>
      </w:pPr>
      <w:bookmarkStart w:id="57" w:name="_Toc243907571"/>
      <w:bookmarkStart w:id="58" w:name="_Toc246216180"/>
      <w:bookmarkStart w:id="59" w:name="_Toc233274811"/>
      <w:bookmarkStart w:id="60" w:name="_Toc243906311"/>
      <w:bookmarkStart w:id="61" w:name="_Toc6629"/>
      <w:r>
        <w:rPr>
          <w:rFonts w:hint="eastAsia" w:ascii="宋体" w:hAnsi="宋体" w:eastAsia="宋体" w:cs="宋体"/>
          <w:color w:val="auto"/>
          <w:sz w:val="24"/>
          <w:highlight w:val="none"/>
        </w:rPr>
        <w:t>1、适用范围</w:t>
      </w:r>
      <w:bookmarkEnd w:id="57"/>
      <w:bookmarkEnd w:id="58"/>
      <w:bookmarkEnd w:id="59"/>
      <w:bookmarkEnd w:id="60"/>
      <w:r>
        <w:rPr>
          <w:rFonts w:hint="eastAsia" w:ascii="宋体" w:hAnsi="宋体" w:eastAsia="宋体" w:cs="宋体"/>
          <w:color w:val="auto"/>
          <w:sz w:val="24"/>
          <w:highlight w:val="none"/>
        </w:rPr>
        <w:t>及招标依据</w:t>
      </w:r>
      <w:bookmarkEnd w:id="61"/>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 适用范围</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本竞争性磋商文件仅适用于</w:t>
      </w:r>
      <w:r>
        <w:rPr>
          <w:rFonts w:hint="eastAsia" w:ascii="宋体" w:hAnsi="宋体" w:eastAsia="宋体" w:cs="宋体"/>
          <w:color w:val="auto"/>
          <w:sz w:val="24"/>
          <w:highlight w:val="none"/>
          <w:lang w:val="en-US" w:eastAsia="zh-CN"/>
        </w:rPr>
        <w:t>新疆维吾尔自治区高级人民法院保安服务采购项目</w:t>
      </w:r>
      <w:r>
        <w:rPr>
          <w:rFonts w:hint="eastAsia" w:ascii="宋体" w:hAnsi="宋体" w:eastAsia="宋体" w:cs="宋体"/>
          <w:color w:val="auto"/>
          <w:sz w:val="24"/>
          <w:szCs w:val="24"/>
          <w:highlight w:val="none"/>
        </w:rPr>
        <w:t>。</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1.2招标依据</w:t>
      </w:r>
    </w:p>
    <w:p>
      <w:pPr>
        <w:widowControl/>
        <w:spacing w:line="360" w:lineRule="auto"/>
        <w:ind w:firstLine="480" w:firstLineChars="200"/>
        <w:rPr>
          <w:rFonts w:hint="eastAsia" w:ascii="宋体" w:hAnsi="宋体" w:eastAsia="宋体" w:cs="宋体"/>
          <w:color w:val="auto"/>
          <w:sz w:val="24"/>
          <w:highlight w:val="none"/>
        </w:rPr>
      </w:pPr>
      <w:bookmarkStart w:id="62" w:name="_Toc243907572"/>
      <w:bookmarkStart w:id="63" w:name="_Toc20877"/>
      <w:bookmarkStart w:id="64" w:name="_Toc233274812"/>
      <w:bookmarkStart w:id="65" w:name="_Toc243906312"/>
      <w:bookmarkStart w:id="66" w:name="_Toc246216181"/>
      <w:r>
        <w:rPr>
          <w:rFonts w:hint="eastAsia" w:ascii="宋体" w:hAnsi="宋体" w:eastAsia="宋体" w:cs="宋体"/>
          <w:color w:val="auto"/>
          <w:sz w:val="24"/>
          <w:highlight w:val="none"/>
        </w:rPr>
        <w:t>根据《中华人民共和国政府采购法》、《中华人民共和国政府采购法实施条例》、《财政部关于印发〈政府采购竞争性磋商采购方式管理暂行办法〉的通知》（财库〔2014〕214号）及有关法律、法规。</w:t>
      </w:r>
    </w:p>
    <w:p>
      <w:pPr>
        <w:pStyle w:val="13"/>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2、定义</w:t>
      </w:r>
      <w:bookmarkEnd w:id="62"/>
      <w:bookmarkEnd w:id="63"/>
      <w:bookmarkEnd w:id="64"/>
      <w:bookmarkEnd w:id="65"/>
      <w:bookmarkEnd w:id="66"/>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“采购人”系指</w:t>
      </w:r>
      <w:r>
        <w:rPr>
          <w:rFonts w:hint="eastAsia" w:ascii="宋体" w:hAnsi="宋体" w:eastAsia="宋体" w:cs="宋体"/>
          <w:color w:val="auto"/>
          <w:sz w:val="24"/>
          <w:highlight w:val="none"/>
          <w:lang w:val="en-US" w:eastAsia="zh-CN"/>
        </w:rPr>
        <w:t>新疆维吾尔自治区高级人民法院</w:t>
      </w:r>
      <w:r>
        <w:rPr>
          <w:rFonts w:hint="eastAsia" w:ascii="宋体" w:hAnsi="宋体" w:eastAsia="宋体" w:cs="宋体"/>
          <w:color w:val="auto"/>
          <w:sz w:val="24"/>
          <w:highlight w:val="none"/>
        </w:rPr>
        <w:t>，在签订和执行合同阶段称“买方”。</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 </w:t>
      </w: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highlight w:val="none"/>
        </w:rPr>
        <w:t>系指</w:t>
      </w:r>
      <w:r>
        <w:rPr>
          <w:rFonts w:hint="eastAsia" w:ascii="宋体" w:hAnsi="宋体" w:eastAsia="宋体" w:cs="宋体"/>
          <w:color w:val="auto"/>
          <w:sz w:val="24"/>
          <w:szCs w:val="24"/>
          <w:highlight w:val="none"/>
          <w:lang w:eastAsia="zh-CN"/>
        </w:rPr>
        <w:t>新疆优尚资创招标代理有限公司</w:t>
      </w:r>
      <w:r>
        <w:rPr>
          <w:rFonts w:hint="eastAsia" w:ascii="宋体" w:hAnsi="宋体" w:eastAsia="宋体" w:cs="宋体"/>
          <w:color w:val="auto"/>
          <w:sz w:val="24"/>
          <w:highlight w:val="none"/>
        </w:rPr>
        <w:t>。</w:t>
      </w:r>
    </w:p>
    <w:p>
      <w:pPr>
        <w:pStyle w:val="13"/>
        <w:spacing w:line="360" w:lineRule="auto"/>
        <w:ind w:firstLine="480" w:firstLineChars="200"/>
        <w:rPr>
          <w:rFonts w:hint="eastAsia" w:ascii="宋体" w:hAnsi="宋体" w:eastAsia="宋体" w:cs="宋体"/>
          <w:color w:val="auto"/>
          <w:sz w:val="24"/>
          <w:highlight w:val="none"/>
          <w:lang w:val="zh-CN"/>
        </w:rPr>
      </w:pPr>
      <w:bookmarkStart w:id="67" w:name="_Toc243907573"/>
      <w:bookmarkStart w:id="68" w:name="_Toc246216182"/>
      <w:bookmarkStart w:id="69" w:name="_Toc233274813"/>
      <w:bookmarkStart w:id="70" w:name="_Toc243906313"/>
      <w:r>
        <w:rPr>
          <w:rFonts w:hint="eastAsia" w:ascii="宋体" w:hAnsi="宋体" w:eastAsia="宋体" w:cs="宋体"/>
          <w:color w:val="auto"/>
          <w:sz w:val="24"/>
          <w:highlight w:val="none"/>
          <w:lang w:val="zh-CN"/>
        </w:rPr>
        <w:t>2.3 “供应商”系指具备资格并响应竞争性磋商文件要求提交响应文件的法人，供应商若成交，在签订和执行合同阶段称“卖方”。</w:t>
      </w:r>
    </w:p>
    <w:p>
      <w:pPr>
        <w:pStyle w:val="13"/>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2.4 “竞争性磋商文件”系指由采购人向供应商发出的本采购项目的全部文件（包括修改文件、项目采购需求、补充文件、答疑纪要、各种通知和附件等）。</w:t>
      </w:r>
    </w:p>
    <w:p>
      <w:pPr>
        <w:pStyle w:val="13"/>
        <w:spacing w:line="360" w:lineRule="auto"/>
        <w:ind w:firstLine="480" w:firstLineChars="200"/>
        <w:rPr>
          <w:rFonts w:hint="eastAsia" w:ascii="宋体" w:hAnsi="宋体" w:eastAsia="宋体" w:cs="宋体"/>
          <w:color w:val="auto"/>
          <w:sz w:val="24"/>
          <w:highlight w:val="none"/>
          <w:shd w:val="clear" w:color="FFFFFF" w:fill="D9D9D9"/>
          <w:lang w:val="zh-CN"/>
        </w:rPr>
      </w:pPr>
      <w:r>
        <w:rPr>
          <w:rFonts w:hint="eastAsia" w:ascii="宋体" w:hAnsi="宋体" w:eastAsia="宋体" w:cs="宋体"/>
          <w:color w:val="auto"/>
          <w:sz w:val="24"/>
          <w:highlight w:val="none"/>
          <w:lang w:val="zh-CN"/>
        </w:rPr>
        <w:t>2.5 “响应文件”系指供应商根据竞争性磋商文件提交的所有文件、电子</w:t>
      </w:r>
      <w:r>
        <w:rPr>
          <w:rFonts w:hint="eastAsia" w:ascii="宋体" w:hAnsi="宋体" w:eastAsia="宋体" w:cs="宋体"/>
          <w:color w:val="auto"/>
          <w:sz w:val="24"/>
          <w:highlight w:val="none"/>
          <w:lang w:val="en-US" w:eastAsia="zh-CN"/>
        </w:rPr>
        <w:t>版文件</w:t>
      </w:r>
      <w:r>
        <w:rPr>
          <w:rFonts w:hint="eastAsia" w:ascii="宋体" w:hAnsi="宋体" w:eastAsia="宋体" w:cs="宋体"/>
          <w:color w:val="auto"/>
          <w:sz w:val="24"/>
          <w:highlight w:val="none"/>
          <w:lang w:val="zh-CN"/>
        </w:rPr>
        <w:t>（光盘）</w:t>
      </w:r>
      <w:r>
        <w:rPr>
          <w:rFonts w:hint="eastAsia" w:ascii="宋体" w:hAnsi="宋体" w:eastAsia="宋体" w:cs="宋体"/>
          <w:color w:val="auto"/>
          <w:sz w:val="24"/>
          <w:highlight w:val="none"/>
          <w:lang w:val="en-US" w:eastAsia="zh-CN"/>
        </w:rPr>
        <w:t>及报价一览表</w:t>
      </w:r>
      <w:r>
        <w:rPr>
          <w:rFonts w:hint="eastAsia" w:ascii="宋体" w:hAnsi="宋体" w:eastAsia="宋体" w:cs="宋体"/>
          <w:color w:val="auto"/>
          <w:sz w:val="24"/>
          <w:highlight w:val="none"/>
          <w:lang w:val="zh-CN"/>
        </w:rPr>
        <w:t>。</w:t>
      </w:r>
    </w:p>
    <w:p>
      <w:pPr>
        <w:pStyle w:val="13"/>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rPr>
        <w:t>2.6 “合同货物”</w:t>
      </w:r>
      <w:r>
        <w:rPr>
          <w:rFonts w:hint="eastAsia" w:ascii="宋体" w:hAnsi="宋体" w:eastAsia="宋体" w:cs="宋体"/>
          <w:color w:val="auto"/>
          <w:sz w:val="24"/>
          <w:highlight w:val="none"/>
        </w:rPr>
        <w:t>系指按合同条款、技术规范及标准、</w:t>
      </w:r>
      <w:r>
        <w:rPr>
          <w:rFonts w:hint="eastAsia" w:ascii="宋体" w:hAnsi="宋体" w:eastAsia="宋体" w:cs="宋体"/>
          <w:color w:val="auto"/>
          <w:sz w:val="24"/>
          <w:highlight w:val="none"/>
          <w:lang w:eastAsia="zh-CN"/>
        </w:rPr>
        <w:t>项目采购需求</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eastAsia="zh-CN"/>
        </w:rPr>
        <w:t>竞争性</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规定，成交供应商须向采购人提供</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pPr>
        <w:pStyle w:val="13"/>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eastAsia="zh-CN"/>
        </w:rPr>
        <w:t>2.7 “服务”</w:t>
      </w:r>
      <w:r>
        <w:rPr>
          <w:rFonts w:hint="eastAsia" w:ascii="宋体" w:hAnsi="宋体" w:eastAsia="宋体" w:cs="宋体"/>
          <w:color w:val="auto"/>
          <w:sz w:val="24"/>
          <w:highlight w:val="none"/>
          <w:lang w:eastAsia="zh-CN"/>
        </w:rPr>
        <w:t>系指按合同条款、技术规范及标准、项目采购需求、本</w:t>
      </w:r>
      <w:r>
        <w:rPr>
          <w:rFonts w:hint="eastAsia" w:ascii="宋体" w:hAnsi="宋体" w:eastAsia="宋体" w:cs="宋体"/>
          <w:color w:val="auto"/>
          <w:sz w:val="24"/>
          <w:highlight w:val="none"/>
          <w:lang w:val="en-US" w:eastAsia="zh-CN"/>
        </w:rPr>
        <w:t>竞争性</w:t>
      </w:r>
      <w:r>
        <w:rPr>
          <w:rFonts w:hint="eastAsia" w:ascii="宋体" w:hAnsi="宋体" w:eastAsia="宋体" w:cs="宋体"/>
          <w:color w:val="auto"/>
          <w:sz w:val="24"/>
          <w:highlight w:val="none"/>
          <w:lang w:eastAsia="zh-CN"/>
        </w:rPr>
        <w:t>磋商文件规定，成交</w:t>
      </w:r>
      <w:r>
        <w:rPr>
          <w:rFonts w:hint="eastAsia" w:ascii="宋体" w:hAnsi="宋体" w:eastAsia="宋体" w:cs="宋体"/>
          <w:color w:val="auto"/>
          <w:sz w:val="24"/>
          <w:highlight w:val="none"/>
          <w:lang w:val="en-US" w:eastAsia="zh-CN"/>
        </w:rPr>
        <w:t>供应商负责利用自身的专业服务、充分发挥专业优势，协助司法警察做好全院安全保卫工作。</w:t>
      </w:r>
    </w:p>
    <w:p>
      <w:pPr>
        <w:pStyle w:val="13"/>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w:t>
      </w:r>
      <w:r>
        <w:rPr>
          <w:rFonts w:hint="eastAsia" w:ascii="宋体" w:hAnsi="宋体" w:eastAsia="宋体" w:cs="宋体"/>
          <w:color w:val="auto"/>
          <w:sz w:val="24"/>
          <w:highlight w:val="none"/>
        </w:rPr>
        <w:t xml:space="preserve">8 </w:t>
      </w:r>
      <w:r>
        <w:rPr>
          <w:rFonts w:hint="eastAsia" w:ascii="宋体" w:hAnsi="宋体" w:eastAsia="宋体" w:cs="宋体"/>
          <w:color w:val="auto"/>
          <w:sz w:val="24"/>
          <w:highlight w:val="none"/>
          <w:lang w:val="zh-CN"/>
        </w:rPr>
        <w:t xml:space="preserve">凡提及的“天、日期、星期、月份和年份”系指公历日历的日历天、日期、星期、月份和年份。 </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bookmarkEnd w:id="67"/>
      <w:bookmarkEnd w:id="68"/>
      <w:bookmarkEnd w:id="69"/>
      <w:bookmarkEnd w:id="70"/>
      <w:r>
        <w:rPr>
          <w:rFonts w:hint="eastAsia" w:ascii="宋体" w:hAnsi="宋体" w:eastAsia="宋体" w:cs="宋体"/>
          <w:color w:val="auto"/>
          <w:sz w:val="24"/>
          <w:highlight w:val="none"/>
        </w:rPr>
        <w:t>采购范围及服务期限</w:t>
      </w:r>
    </w:p>
    <w:p>
      <w:pPr>
        <w:spacing w:line="360" w:lineRule="auto"/>
        <w:ind w:firstLine="48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sz w:val="24"/>
          <w:highlight w:val="none"/>
        </w:rPr>
        <w:t>3.1采购范围</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本招标文件约定的全部内容均在本次招标范围内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具体采购明细和要求详见“采购项目内容及规格要求”。</w:t>
      </w:r>
    </w:p>
    <w:p>
      <w:pPr>
        <w:pStyle w:val="10"/>
        <w:spacing w:line="360" w:lineRule="auto"/>
        <w:ind w:firstLine="482"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highlight w:val="none"/>
        </w:rPr>
        <w:t>3.2</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kern w:val="2"/>
          <w:sz w:val="24"/>
          <w:szCs w:val="24"/>
          <w:highlight w:val="none"/>
          <w:lang w:val="en-US" w:eastAsia="zh-CN" w:bidi="ar-SA"/>
        </w:rPr>
        <w:t>采购总预算：</w:t>
      </w:r>
      <w:r>
        <w:rPr>
          <w:rFonts w:hint="eastAsia" w:ascii="宋体" w:hAnsi="宋体" w:eastAsia="宋体" w:cs="宋体"/>
          <w:color w:val="auto"/>
          <w:kern w:val="2"/>
          <w:sz w:val="24"/>
          <w:szCs w:val="24"/>
          <w:highlight w:val="none"/>
          <w:lang w:val="en-US" w:eastAsia="zh-CN" w:bidi="ar-SA"/>
        </w:rPr>
        <w:t>¥63.84万元（大写：人民币陆拾叁万捌仟肆佰元整）。</w:t>
      </w:r>
    </w:p>
    <w:p>
      <w:pPr>
        <w:pStyle w:val="10"/>
        <w:spacing w:line="360" w:lineRule="auto"/>
        <w:ind w:firstLine="482"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bCs/>
          <w:color w:val="auto"/>
          <w:kern w:val="2"/>
          <w:sz w:val="24"/>
          <w:szCs w:val="24"/>
          <w:highlight w:val="none"/>
          <w:lang w:val="en-US" w:eastAsia="zh-CN" w:bidi="ar-SA"/>
        </w:rPr>
        <w:t>3.3</w:t>
      </w:r>
      <w:r>
        <w:rPr>
          <w:rFonts w:hint="eastAsia" w:ascii="宋体" w:hAnsi="宋体" w:eastAsia="宋体" w:cs="宋体"/>
          <w:b/>
          <w:bCs/>
          <w:color w:val="auto"/>
          <w:sz w:val="24"/>
          <w:highlight w:val="none"/>
        </w:rPr>
        <w:t>服务期</w:t>
      </w:r>
      <w:r>
        <w:rPr>
          <w:rFonts w:hint="eastAsia" w:ascii="宋体" w:hAnsi="宋体" w:eastAsia="宋体" w:cs="宋体"/>
          <w:b/>
          <w:bCs/>
          <w:color w:val="auto"/>
          <w:sz w:val="24"/>
          <w:highlight w:val="none"/>
          <w:lang w:val="en-US" w:eastAsia="zh-CN"/>
        </w:rPr>
        <w:t>：</w:t>
      </w:r>
      <w:r>
        <w:rPr>
          <w:rFonts w:hint="eastAsia" w:ascii="宋体" w:hAnsi="宋体" w:eastAsia="宋体" w:cs="宋体"/>
          <w:b w:val="0"/>
          <w:bCs w:val="0"/>
          <w:color w:val="auto"/>
          <w:sz w:val="24"/>
          <w:highlight w:val="none"/>
          <w:lang w:val="en-US" w:eastAsia="zh-CN"/>
        </w:rPr>
        <w:t>自签订合同之日起至合同终止服务期限为1年。</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w:t>
      </w:r>
      <w:r>
        <w:rPr>
          <w:rFonts w:hint="eastAsia" w:ascii="宋体" w:hAnsi="宋体" w:eastAsia="宋体" w:cs="宋体"/>
          <w:color w:val="auto"/>
          <w:sz w:val="24"/>
          <w:highlight w:val="none"/>
        </w:rPr>
        <w:t>、合格供应商资格要求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4.1详见第一章“竞争性磋商公告”中的供应商资格要求。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4.2采购</w:t>
      </w:r>
      <w:r>
        <w:rPr>
          <w:rFonts w:hint="eastAsia" w:ascii="宋体" w:hAnsi="宋体" w:eastAsia="宋体" w:cs="宋体"/>
          <w:color w:val="auto"/>
          <w:sz w:val="24"/>
          <w:highlight w:val="none"/>
        </w:rPr>
        <w:t>有关规定</w:t>
      </w:r>
    </w:p>
    <w:p>
      <w:pPr>
        <w:snapToGrid w:val="0"/>
        <w:spacing w:line="360" w:lineRule="auto"/>
        <w:ind w:firstLine="472" w:firstLineChars="19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4.2</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负责人为同一人或者存在直接控股、管理关系的不同供应商，不得参加同一合同项下的政府采购活动。</w:t>
      </w:r>
    </w:p>
    <w:p>
      <w:pPr>
        <w:pStyle w:val="36"/>
        <w:spacing w:line="360" w:lineRule="auto"/>
        <w:ind w:left="1"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5、回避。政府采购活动中，采购人员及相关人员与供应商有下列利害关系之一的，应当回避：</w:t>
      </w:r>
    </w:p>
    <w:p>
      <w:pPr>
        <w:pStyle w:val="36"/>
        <w:spacing w:line="360" w:lineRule="auto"/>
        <w:ind w:left="1"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5.1参加采购活动前3年内与供应商存在劳动关系；</w:t>
      </w:r>
    </w:p>
    <w:p>
      <w:pPr>
        <w:pStyle w:val="36"/>
        <w:spacing w:line="360" w:lineRule="auto"/>
        <w:ind w:left="1"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5.2参加采购活动前3年内担任供应商的董事、监事；</w:t>
      </w:r>
    </w:p>
    <w:p>
      <w:pPr>
        <w:pStyle w:val="36"/>
        <w:spacing w:line="360" w:lineRule="auto"/>
        <w:ind w:left="1"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5.3参加采购活动前3年内是供应商的控股股东或者实际控制人；</w:t>
      </w:r>
    </w:p>
    <w:p>
      <w:pPr>
        <w:pStyle w:val="36"/>
        <w:spacing w:line="360" w:lineRule="auto"/>
        <w:ind w:left="1"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5.4与供应商的法定代表人或者负责人有夫妻、直系血亲、三代以内旁系血亲或者近姻亲关系；</w:t>
      </w:r>
    </w:p>
    <w:p>
      <w:pPr>
        <w:pStyle w:val="36"/>
        <w:spacing w:line="360" w:lineRule="auto"/>
        <w:ind w:left="1"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5.5与供应商有其他可能影响政府采购活动公平、公正进行的关系。</w:t>
      </w:r>
    </w:p>
    <w:p>
      <w:pPr>
        <w:pStyle w:val="36"/>
        <w:spacing w:line="360" w:lineRule="auto"/>
        <w:ind w:left="1"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pPr>
        <w:pStyle w:val="13"/>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r>
        <w:rPr>
          <w:rFonts w:hint="eastAsia" w:ascii="宋体" w:hAnsi="宋体" w:eastAsia="宋体" w:cs="宋体"/>
          <w:color w:val="auto"/>
          <w:sz w:val="24"/>
          <w:szCs w:val="24"/>
          <w:highlight w:val="none"/>
          <w:lang w:eastAsia="zh-CN"/>
        </w:rPr>
        <w:t>。</w:t>
      </w:r>
    </w:p>
    <w:p>
      <w:pPr>
        <w:pStyle w:val="13"/>
        <w:spacing w:line="360" w:lineRule="auto"/>
        <w:ind w:firstLine="480" w:firstLineChars="200"/>
        <w:rPr>
          <w:rFonts w:hint="eastAsia" w:ascii="宋体" w:hAnsi="宋体" w:eastAsia="宋体" w:cs="宋体"/>
          <w:color w:val="auto"/>
          <w:sz w:val="24"/>
          <w:highlight w:val="none"/>
        </w:rPr>
      </w:pPr>
      <w:bookmarkStart w:id="71" w:name="_Toc243907576"/>
      <w:bookmarkStart w:id="72" w:name="_Toc245897276"/>
      <w:bookmarkStart w:id="73" w:name="_Toc233274816"/>
      <w:bookmarkStart w:id="74" w:name="_Toc243906316"/>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参与磋商费用</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.1供应商应承担所有与磋商准备和磋商有关的全部费用，不论磋商结果如何，采购人和采购代理机构无义务和责任承担供应商所发生的一切费用。</w:t>
      </w:r>
    </w:p>
    <w:p>
      <w:pPr>
        <w:pStyle w:val="13"/>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、法律适用</w:t>
      </w:r>
      <w:bookmarkEnd w:id="71"/>
      <w:bookmarkEnd w:id="72"/>
      <w:bookmarkEnd w:id="73"/>
      <w:bookmarkEnd w:id="74"/>
    </w:p>
    <w:p>
      <w:pPr>
        <w:pStyle w:val="13"/>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.1本次磋商活动及由本次磋商产生的合同受中国法律制约和保护。</w:t>
      </w:r>
    </w:p>
    <w:p>
      <w:pPr>
        <w:pStyle w:val="13"/>
        <w:spacing w:line="360" w:lineRule="auto"/>
        <w:ind w:firstLine="480" w:firstLineChars="200"/>
        <w:rPr>
          <w:rFonts w:hint="eastAsia" w:ascii="宋体" w:hAnsi="宋体" w:eastAsia="宋体" w:cs="宋体"/>
          <w:color w:val="auto"/>
          <w:sz w:val="24"/>
          <w:highlight w:val="none"/>
          <w:lang w:val="zh-CN"/>
        </w:rPr>
      </w:pPr>
      <w:bookmarkStart w:id="75" w:name="_Toc245897277"/>
      <w:bookmarkStart w:id="76" w:name="_Toc243907577"/>
      <w:bookmarkStart w:id="77" w:name="_Toc233274817"/>
      <w:bookmarkStart w:id="78" w:name="_Toc243906317"/>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zh-CN"/>
        </w:rPr>
        <w:t>、磋商文件的约束力</w:t>
      </w:r>
      <w:bookmarkEnd w:id="75"/>
      <w:bookmarkEnd w:id="76"/>
      <w:bookmarkEnd w:id="77"/>
      <w:bookmarkEnd w:id="78"/>
    </w:p>
    <w:p>
      <w:pPr>
        <w:pStyle w:val="13"/>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zh-CN"/>
        </w:rPr>
        <w:t>.1供应商若成交，即被认为接受了本磋商文件中的所有条件和规定。是采购人与成交供应商签订合同的依据且是合同的组成部分。</w:t>
      </w:r>
    </w:p>
    <w:p>
      <w:pPr>
        <w:pStyle w:val="13"/>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二、竞争性磋商文件</w:t>
      </w:r>
    </w:p>
    <w:p>
      <w:pPr>
        <w:pStyle w:val="13"/>
        <w:spacing w:line="360" w:lineRule="auto"/>
        <w:ind w:firstLine="480" w:firstLineChars="200"/>
        <w:rPr>
          <w:rFonts w:hint="eastAsia" w:ascii="宋体" w:hAnsi="宋体" w:eastAsia="宋体" w:cs="宋体"/>
          <w:color w:val="auto"/>
          <w:sz w:val="24"/>
          <w:highlight w:val="none"/>
        </w:rPr>
      </w:pPr>
      <w:bookmarkStart w:id="79" w:name="_Toc233274819"/>
      <w:bookmarkStart w:id="80" w:name="_Toc246216188"/>
      <w:bookmarkStart w:id="81" w:name="_Toc243906319"/>
      <w:bookmarkStart w:id="82" w:name="_Toc243907579"/>
      <w:r>
        <w:rPr>
          <w:rFonts w:hint="eastAsia" w:ascii="宋体" w:hAnsi="宋体" w:eastAsia="宋体" w:cs="宋体"/>
          <w:color w:val="auto"/>
          <w:sz w:val="24"/>
          <w:highlight w:val="none"/>
        </w:rPr>
        <w:t>9、竞争性磋商文件的组成</w:t>
      </w:r>
      <w:bookmarkEnd w:id="79"/>
      <w:bookmarkEnd w:id="80"/>
      <w:bookmarkEnd w:id="81"/>
      <w:bookmarkEnd w:id="82"/>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 本竞争性磋商文件是对</w:t>
      </w:r>
      <w:r>
        <w:rPr>
          <w:rFonts w:hint="eastAsia" w:ascii="宋体" w:hAnsi="宋体" w:eastAsia="宋体" w:cs="宋体"/>
          <w:color w:val="auto"/>
          <w:sz w:val="24"/>
          <w:highlight w:val="none"/>
          <w:lang w:eastAsia="zh-CN"/>
        </w:rPr>
        <w:t>新疆维吾尔自治区高级人民法院保安服务采购项目</w:t>
      </w:r>
      <w:r>
        <w:rPr>
          <w:rFonts w:hint="eastAsia" w:ascii="宋体" w:hAnsi="宋体" w:eastAsia="宋体" w:cs="宋体"/>
          <w:color w:val="auto"/>
          <w:sz w:val="24"/>
          <w:highlight w:val="none"/>
        </w:rPr>
        <w:t>磋商程序、合同条款进行说明。竞争性磋商文件包括下列内容：</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竞争性磋商公告</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供应商须知</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项目采购需求</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合同协议书</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响应文件格式</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评</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rPr>
        <w:t>标准（综合评估法）</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 竞争性磋商文件以中文编印，以中文文本为准。</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 除非有特殊要求，竞争性磋商文件不单独提供采购项目使用地的自然环境、气候条件、劳动力及公用设施等情况，供应商被视为熟悉上述条件或若成交履行合同有关的一切情况。</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9.4采购人向供应商提供的有关数据和资料，是采购人现有的能被供应商利用的资料，供应商对此做出的推论、理解和结论自行负责。</w:t>
      </w:r>
    </w:p>
    <w:p>
      <w:pPr>
        <w:pStyle w:val="13"/>
        <w:spacing w:line="360" w:lineRule="auto"/>
        <w:ind w:firstLine="480" w:firstLineChars="200"/>
        <w:rPr>
          <w:rFonts w:hint="eastAsia" w:ascii="宋体" w:hAnsi="宋体" w:eastAsia="宋体" w:cs="宋体"/>
          <w:color w:val="auto"/>
          <w:sz w:val="24"/>
          <w:highlight w:val="none"/>
        </w:rPr>
      </w:pPr>
      <w:bookmarkStart w:id="83" w:name="_Toc245897280"/>
      <w:bookmarkStart w:id="84" w:name="_Toc243907580"/>
      <w:bookmarkStart w:id="85" w:name="_Toc233274820"/>
      <w:bookmarkStart w:id="86" w:name="_Toc243906320"/>
      <w:r>
        <w:rPr>
          <w:rFonts w:hint="eastAsia" w:ascii="宋体" w:hAnsi="宋体" w:eastAsia="宋体" w:cs="宋体"/>
          <w:color w:val="auto"/>
          <w:sz w:val="24"/>
          <w:highlight w:val="none"/>
        </w:rPr>
        <w:t>10、竞争性磋商文件的澄清</w:t>
      </w:r>
      <w:bookmarkEnd w:id="83"/>
      <w:bookmarkEnd w:id="84"/>
      <w:bookmarkEnd w:id="85"/>
      <w:bookmarkEnd w:id="86"/>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 供应商对竞争性磋商文件如有疑问，可要求澄清，应按以书面形式（必须加盖供应商公章）送达至采购代理机构（同时将疑问电子版发至</w:t>
      </w:r>
      <w:r>
        <w:rPr>
          <w:rFonts w:hint="eastAsia" w:ascii="宋体" w:hAnsi="宋体" w:eastAsia="宋体" w:cs="宋体"/>
          <w:color w:val="auto"/>
          <w:sz w:val="24"/>
          <w:highlight w:val="none"/>
          <w:lang w:val="en-US" w:eastAsia="zh-CN"/>
        </w:rPr>
        <w:t>328468879</w:t>
      </w:r>
      <w:r>
        <w:rPr>
          <w:rFonts w:hint="eastAsia" w:ascii="宋体" w:hAnsi="宋体" w:eastAsia="宋体" w:cs="宋体"/>
          <w:color w:val="auto"/>
          <w:sz w:val="24"/>
          <w:highlight w:val="none"/>
        </w:rPr>
        <w:t>@qq.com）。采购人和采购代理机构将视情况予以答复，并发</w:t>
      </w:r>
      <w:r>
        <w:rPr>
          <w:rFonts w:hint="eastAsia" w:ascii="宋体" w:hAnsi="宋体" w:eastAsia="宋体" w:cs="宋体"/>
          <w:color w:val="auto"/>
          <w:sz w:val="24"/>
          <w:highlight w:val="none"/>
          <w:lang w:val="en-US" w:eastAsia="zh-CN"/>
        </w:rPr>
        <w:t>至中国政府采购网</w:t>
      </w:r>
      <w:r>
        <w:rPr>
          <w:rFonts w:hint="eastAsia" w:ascii="宋体" w:hAnsi="宋体" w:eastAsia="宋体" w:cs="宋体"/>
          <w:color w:val="auto"/>
          <w:sz w:val="24"/>
          <w:highlight w:val="none"/>
          <w:lang w:eastAsia="zh-CN"/>
        </w:rPr>
        <w:t>各</w:t>
      </w:r>
      <w:r>
        <w:rPr>
          <w:rFonts w:hint="eastAsia" w:ascii="宋体" w:hAnsi="宋体" w:eastAsia="宋体" w:cs="宋体"/>
          <w:color w:val="auto"/>
          <w:sz w:val="24"/>
          <w:highlight w:val="none"/>
        </w:rPr>
        <w:t>位供应商</w:t>
      </w:r>
      <w:r>
        <w:rPr>
          <w:rFonts w:hint="eastAsia" w:ascii="宋体" w:hAnsi="宋体" w:eastAsia="宋体" w:cs="宋体"/>
          <w:color w:val="auto"/>
          <w:sz w:val="24"/>
          <w:highlight w:val="none"/>
          <w:lang w:val="en-US" w:eastAsia="zh-CN"/>
        </w:rPr>
        <w:t>自行登录网站查阅</w:t>
      </w:r>
      <w:r>
        <w:rPr>
          <w:rFonts w:hint="eastAsia" w:ascii="宋体" w:hAnsi="宋体" w:eastAsia="宋体" w:cs="宋体"/>
          <w:color w:val="auto"/>
          <w:sz w:val="24"/>
          <w:highlight w:val="none"/>
        </w:rPr>
        <w:t>。答复中包括所提问题，但不包括问题的来源。</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10.2 如果上述答复涉及对竞争性磋商文件的修改或补充，则它将被视为竞争性磋商文件的组成部分。凡原先所发竞争性磋商文件中的内容与答复中的内容不一致之处，以最后</w:t>
      </w:r>
      <w:r>
        <w:rPr>
          <w:rFonts w:hint="eastAsia" w:ascii="宋体" w:hAnsi="宋体" w:eastAsia="宋体" w:cs="宋体"/>
          <w:color w:val="auto"/>
          <w:sz w:val="24"/>
          <w:highlight w:val="none"/>
          <w:lang w:eastAsia="zh-CN"/>
        </w:rPr>
        <w:t>发布</w:t>
      </w:r>
      <w:r>
        <w:rPr>
          <w:rFonts w:hint="eastAsia" w:ascii="宋体" w:hAnsi="宋体" w:eastAsia="宋体" w:cs="宋体"/>
          <w:color w:val="auto"/>
          <w:sz w:val="24"/>
          <w:highlight w:val="none"/>
        </w:rPr>
        <w:t>答复为准。任何电话或口头咨询和答复的意思解释均不具有法律约束力。</w:t>
      </w:r>
    </w:p>
    <w:p>
      <w:pPr>
        <w:pStyle w:val="13"/>
        <w:spacing w:line="360" w:lineRule="auto"/>
        <w:ind w:firstLine="480" w:firstLineChars="200"/>
        <w:rPr>
          <w:rFonts w:hint="eastAsia" w:ascii="宋体" w:hAnsi="宋体" w:eastAsia="宋体" w:cs="宋体"/>
          <w:color w:val="auto"/>
          <w:sz w:val="24"/>
          <w:highlight w:val="none"/>
        </w:rPr>
      </w:pPr>
      <w:bookmarkStart w:id="87" w:name="_Toc245897281"/>
      <w:bookmarkStart w:id="88" w:name="_Toc243907581"/>
      <w:bookmarkStart w:id="89" w:name="_Toc233274821"/>
      <w:bookmarkStart w:id="90" w:name="_Toc243906321"/>
      <w:r>
        <w:rPr>
          <w:rFonts w:hint="eastAsia" w:ascii="宋体" w:hAnsi="宋体" w:eastAsia="宋体" w:cs="宋体"/>
          <w:color w:val="auto"/>
          <w:sz w:val="24"/>
          <w:highlight w:val="none"/>
        </w:rPr>
        <w:t>11、竞争性磋商文件的修改和补充</w:t>
      </w:r>
      <w:bookmarkEnd w:id="87"/>
      <w:bookmarkEnd w:id="88"/>
      <w:bookmarkEnd w:id="89"/>
      <w:bookmarkEnd w:id="90"/>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11.1在递交响应文件截止日期3个工作日前的任何时候，采购人可主动地或依据供应商要求澄清的疑问而修改、补充竞争性磋商文件，采购代理机构将对修改和补充的内容发至</w:t>
      </w:r>
      <w:r>
        <w:rPr>
          <w:rFonts w:hint="eastAsia" w:ascii="宋体" w:hAnsi="宋体" w:eastAsia="宋体" w:cs="宋体"/>
          <w:color w:val="auto"/>
          <w:sz w:val="24"/>
          <w:highlight w:val="none"/>
          <w:lang w:val="en-US" w:eastAsia="zh-CN"/>
        </w:rPr>
        <w:t>中国政府采购网，</w:t>
      </w:r>
      <w:r>
        <w:rPr>
          <w:rFonts w:hint="eastAsia" w:ascii="宋体" w:hAnsi="宋体" w:eastAsia="宋体" w:cs="宋体"/>
          <w:color w:val="auto"/>
          <w:sz w:val="24"/>
          <w:highlight w:val="none"/>
        </w:rPr>
        <w:t>所有获取</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文件的每位</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lang w:val="en-US" w:eastAsia="zh-CN"/>
        </w:rPr>
        <w:t>自行登录网站查阅</w:t>
      </w:r>
      <w:r>
        <w:rPr>
          <w:rFonts w:hint="eastAsia" w:ascii="宋体" w:hAnsi="宋体" w:eastAsia="宋体" w:cs="宋体"/>
          <w:color w:val="auto"/>
          <w:sz w:val="24"/>
          <w:highlight w:val="none"/>
        </w:rPr>
        <w:t>，修改和/或补充文件将作为竞争性磋商文件的组成部分，对所有供应商具有约束力。</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11.2为使供应商在准备响应文件时有合理的时间考虑竞争性磋商文件的修改和/或补充，采购代理机构可延长递交响应文件截止时间和开启时间，但至少应当在规定的递交响应文件的截止时间3个工作日前</w:t>
      </w:r>
      <w:r>
        <w:rPr>
          <w:rFonts w:hint="eastAsia" w:ascii="宋体" w:hAnsi="宋体" w:eastAsia="宋体" w:cs="宋体"/>
          <w:color w:val="auto"/>
          <w:sz w:val="24"/>
          <w:highlight w:val="none"/>
          <w:lang w:val="en-US" w:eastAsia="zh-CN"/>
        </w:rPr>
        <w:t>在中国政府采购网</w:t>
      </w:r>
      <w:r>
        <w:rPr>
          <w:rFonts w:hint="eastAsia" w:ascii="宋体" w:hAnsi="宋体" w:eastAsia="宋体" w:cs="宋体"/>
          <w:color w:val="auto"/>
          <w:sz w:val="24"/>
          <w:highlight w:val="none"/>
        </w:rPr>
        <w:t>通知所有领取竞争性磋商文件的每位供应商。</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11.3供应商在每次收到采购代理机构发至的书面文件后，应在收到后24小时内以书面形式并加盖供应商公章予以确认。</w:t>
      </w:r>
    </w:p>
    <w:p>
      <w:pPr>
        <w:pStyle w:val="13"/>
        <w:numPr>
          <w:ilvl w:val="0"/>
          <w:numId w:val="2"/>
        </w:num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响应文件的编写</w:t>
      </w:r>
    </w:p>
    <w:p>
      <w:pPr>
        <w:pStyle w:val="13"/>
        <w:spacing w:line="360" w:lineRule="auto"/>
        <w:ind w:firstLine="480" w:firstLineChars="200"/>
        <w:outlineLvl w:val="1"/>
        <w:rPr>
          <w:rFonts w:hint="eastAsia" w:ascii="宋体" w:hAnsi="宋体" w:eastAsia="宋体" w:cs="宋体"/>
          <w:color w:val="auto"/>
          <w:sz w:val="24"/>
          <w:szCs w:val="24"/>
          <w:highlight w:val="none"/>
        </w:rPr>
      </w:pPr>
      <w:bookmarkStart w:id="91" w:name="_Toc233274823"/>
      <w:bookmarkStart w:id="92" w:name="_Toc243907583"/>
      <w:bookmarkStart w:id="93" w:name="_Toc243906323"/>
      <w:bookmarkStart w:id="94" w:name="_Toc245897283"/>
      <w:bookmarkStart w:id="95" w:name="_Toc24796"/>
      <w:r>
        <w:rPr>
          <w:rFonts w:hint="eastAsia" w:ascii="宋体" w:hAnsi="宋体" w:eastAsia="宋体" w:cs="宋体"/>
          <w:color w:val="auto"/>
          <w:sz w:val="24"/>
          <w:szCs w:val="24"/>
          <w:highlight w:val="none"/>
        </w:rPr>
        <w:t>1</w:t>
      </w:r>
      <w:bookmarkEnd w:id="91"/>
      <w:r>
        <w:rPr>
          <w:rFonts w:hint="eastAsia" w:ascii="宋体" w:hAnsi="宋体" w:eastAsia="宋体" w:cs="宋体"/>
          <w:color w:val="auto"/>
          <w:sz w:val="24"/>
          <w:szCs w:val="24"/>
          <w:highlight w:val="none"/>
        </w:rPr>
        <w:t>2、响应文件的编写</w:t>
      </w:r>
      <w:bookmarkEnd w:id="92"/>
      <w:bookmarkEnd w:id="93"/>
      <w:bookmarkEnd w:id="94"/>
    </w:p>
    <w:p>
      <w:pPr>
        <w:spacing w:line="360" w:lineRule="auto"/>
        <w:ind w:firstLine="481"/>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必须详细阅读竞争性磋商文件的章、节、条款、格式等所有内容，按竞争性磋商文件的要求提交响应文件，并保证所提供的全部文件及相关资料的真实性，以使其对竞争性磋商文件做出实质性响应。供应商应仔细阅读并充分理解竞争性磋商文件、技术规范及标准、项目采购需求、合同条款后编制响应文件。</w:t>
      </w:r>
    </w:p>
    <w:p>
      <w:pPr>
        <w:pStyle w:val="13"/>
        <w:spacing w:line="360" w:lineRule="auto"/>
        <w:ind w:firstLine="480" w:firstLineChars="200"/>
        <w:outlineLvl w:val="1"/>
        <w:rPr>
          <w:rFonts w:hint="eastAsia" w:ascii="宋体" w:hAnsi="宋体" w:eastAsia="宋体" w:cs="宋体"/>
          <w:color w:val="auto"/>
          <w:sz w:val="24"/>
          <w:szCs w:val="24"/>
          <w:highlight w:val="none"/>
        </w:rPr>
      </w:pPr>
      <w:bookmarkStart w:id="96" w:name="_Toc245897284"/>
      <w:bookmarkStart w:id="97" w:name="_Toc243907584"/>
      <w:bookmarkStart w:id="98" w:name="_Toc243906324"/>
      <w:bookmarkStart w:id="99" w:name="_Toc233274824"/>
      <w:r>
        <w:rPr>
          <w:rFonts w:hint="eastAsia" w:ascii="宋体" w:hAnsi="宋体" w:eastAsia="宋体" w:cs="宋体"/>
          <w:color w:val="auto"/>
          <w:sz w:val="24"/>
          <w:szCs w:val="24"/>
          <w:highlight w:val="none"/>
        </w:rPr>
        <w:t>13、响应文件的语言及计量单位</w:t>
      </w:r>
      <w:bookmarkEnd w:id="96"/>
      <w:bookmarkEnd w:id="97"/>
      <w:bookmarkEnd w:id="98"/>
      <w:bookmarkEnd w:id="99"/>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响应文件及供应商和采购人及采购代理机构就有关</w:t>
      </w:r>
      <w:r>
        <w:rPr>
          <w:rFonts w:hint="eastAsia" w:ascii="宋体" w:hAnsi="宋体" w:eastAsia="宋体" w:cs="宋体"/>
          <w:color w:val="auto"/>
          <w:sz w:val="24"/>
          <w:szCs w:val="24"/>
          <w:highlight w:val="none"/>
          <w:lang w:val="en-US" w:eastAsia="zh-CN"/>
        </w:rPr>
        <w:t>发布</w:t>
      </w:r>
      <w:r>
        <w:rPr>
          <w:rFonts w:hint="eastAsia" w:ascii="宋体" w:hAnsi="宋体" w:eastAsia="宋体" w:cs="宋体"/>
          <w:color w:val="auto"/>
          <w:sz w:val="24"/>
          <w:szCs w:val="24"/>
          <w:highlight w:val="none"/>
        </w:rPr>
        <w:t>的所有文件和来往函件，应以中文书写。</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除在竞争性磋商文件的项目采购需求中另有规定外，计量单位应使用中华人民共和国法定计量单位（国际单位制和国家选定的其它计量单位）。如供应商采用其它计量单位，需事先得到采购人的同意。</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14、知识产权</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采购人享有本项目实施过程中产生的知识成果及知识产权。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14.3供应商如欲在项目实施过程中采用自有知识成果，需在响应文件中声明，并提供相关知识产权证明文件。使用该知识成果后，供应商需承诺提供无限期技术支持，采购人享有永久使用权。</w:t>
      </w:r>
    </w:p>
    <w:p>
      <w:pPr>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14.4 供应商如采用其所不拥有的知识产权，则在其商务报价中必须包括合法获取该知识产权的相关费用。 </w:t>
      </w:r>
    </w:p>
    <w:p>
      <w:pPr>
        <w:pStyle w:val="13"/>
        <w:spacing w:line="360" w:lineRule="auto"/>
        <w:ind w:firstLine="482" w:firstLineChars="200"/>
        <w:outlineLvl w:val="1"/>
        <w:rPr>
          <w:rFonts w:hint="eastAsia" w:ascii="宋体" w:hAnsi="宋体" w:eastAsia="宋体" w:cs="宋体"/>
          <w:b/>
          <w:bCs/>
          <w:color w:val="auto"/>
          <w:sz w:val="24"/>
          <w:szCs w:val="24"/>
          <w:highlight w:val="none"/>
        </w:rPr>
      </w:pPr>
      <w:bookmarkStart w:id="100" w:name="_Toc243907585"/>
      <w:bookmarkStart w:id="101" w:name="_Toc243906325"/>
      <w:bookmarkStart w:id="102" w:name="_Toc245897285"/>
      <w:bookmarkStart w:id="103" w:name="_Toc233274825"/>
      <w:r>
        <w:rPr>
          <w:rFonts w:hint="eastAsia" w:ascii="宋体" w:hAnsi="宋体" w:eastAsia="宋体" w:cs="宋体"/>
          <w:b/>
          <w:bCs/>
          <w:color w:val="auto"/>
          <w:sz w:val="24"/>
          <w:szCs w:val="24"/>
          <w:highlight w:val="none"/>
        </w:rPr>
        <w:t>15、响应文件的组成</w:t>
      </w:r>
      <w:bookmarkEnd w:id="100"/>
      <w:bookmarkEnd w:id="101"/>
      <w:bookmarkEnd w:id="102"/>
      <w:bookmarkEnd w:id="103"/>
    </w:p>
    <w:p>
      <w:pPr>
        <w:pStyle w:val="13"/>
        <w:spacing w:line="360" w:lineRule="auto"/>
        <w:ind w:firstLine="482" w:firstLineChars="200"/>
        <w:outlineLvl w:val="1"/>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一式</w:t>
      </w: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份，其中正本</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份，副本</w:t>
      </w:r>
      <w:r>
        <w:rPr>
          <w:rFonts w:hint="eastAsia" w:ascii="宋体" w:hAnsi="宋体" w:eastAsia="宋体" w:cs="宋体"/>
          <w:b/>
          <w:color w:val="auto"/>
          <w:sz w:val="24"/>
          <w:szCs w:val="24"/>
          <w:highlight w:val="none"/>
          <w:lang w:val="en-US" w:eastAsia="zh-CN"/>
        </w:rPr>
        <w:t>两</w:t>
      </w:r>
      <w:r>
        <w:rPr>
          <w:rFonts w:hint="eastAsia" w:ascii="宋体" w:hAnsi="宋体" w:eastAsia="宋体" w:cs="宋体"/>
          <w:b/>
          <w:color w:val="auto"/>
          <w:sz w:val="24"/>
          <w:szCs w:val="24"/>
          <w:highlight w:val="none"/>
        </w:rPr>
        <w:t>份，需编制目录及页码。在每一份响应文件上要明确注明“正本”或“副本”字样，如正、副本之间有差异，以正本为准</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全部</w:t>
      </w:r>
      <w:r>
        <w:rPr>
          <w:rFonts w:hint="eastAsia" w:ascii="宋体" w:hAnsi="宋体" w:eastAsia="宋体" w:cs="宋体"/>
          <w:b/>
          <w:color w:val="auto"/>
          <w:sz w:val="24"/>
          <w:szCs w:val="24"/>
          <w:highlight w:val="none"/>
          <w:lang w:eastAsia="zh-CN"/>
        </w:rPr>
        <w:t>响应</w:t>
      </w:r>
      <w:r>
        <w:rPr>
          <w:rFonts w:hint="eastAsia" w:ascii="宋体" w:hAnsi="宋体" w:eastAsia="宋体" w:cs="宋体"/>
          <w:b/>
          <w:color w:val="auto"/>
          <w:sz w:val="24"/>
          <w:szCs w:val="24"/>
          <w:highlight w:val="none"/>
        </w:rPr>
        <w:t>文件电子版（U盘）</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开标一览表一</w:t>
      </w:r>
      <w:r>
        <w:rPr>
          <w:rFonts w:hint="eastAsia" w:ascii="宋体" w:hAnsi="宋体" w:eastAsia="宋体" w:cs="宋体"/>
          <w:b/>
          <w:color w:val="auto"/>
          <w:sz w:val="24"/>
          <w:szCs w:val="24"/>
          <w:highlight w:val="none"/>
        </w:rPr>
        <w:t>份</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单独密封</w:t>
      </w:r>
      <w:r>
        <w:rPr>
          <w:rFonts w:hint="eastAsia" w:ascii="宋体" w:hAnsi="宋体" w:eastAsia="宋体" w:cs="宋体"/>
          <w:b/>
          <w:color w:val="auto"/>
          <w:sz w:val="24"/>
          <w:szCs w:val="24"/>
          <w:highlight w:val="none"/>
          <w:lang w:eastAsia="zh-CN"/>
        </w:rPr>
        <w:t>）</w:t>
      </w:r>
    </w:p>
    <w:p>
      <w:pPr>
        <w:pStyle w:val="13"/>
        <w:spacing w:line="360" w:lineRule="auto"/>
        <w:ind w:firstLine="482" w:firstLineChars="200"/>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响应文件需编制目录及页码。响应文件包括但不限于以下内容，各供应商应对照“第三章</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项目采购需求”及“第六章</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评标标准（综合评估法）”提供相关的证明资料</w:t>
      </w:r>
      <w:r>
        <w:rPr>
          <w:rFonts w:hint="eastAsia" w:ascii="宋体" w:hAnsi="宋体" w:eastAsia="宋体" w:cs="宋体"/>
          <w:b/>
          <w:color w:val="auto"/>
          <w:sz w:val="24"/>
          <w:szCs w:val="24"/>
          <w:highlight w:val="none"/>
          <w:lang w:val="en-US" w:eastAsia="zh-CN"/>
        </w:rPr>
        <w:t>:</w:t>
      </w:r>
    </w:p>
    <w:p>
      <w:pPr>
        <w:pStyle w:val="13"/>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第一部分  商务部分</w:t>
      </w:r>
    </w:p>
    <w:p>
      <w:pPr>
        <w:pStyle w:val="13"/>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一、磋商响应</w:t>
      </w:r>
      <w:r>
        <w:rPr>
          <w:rFonts w:hint="eastAsia" w:ascii="宋体" w:hAnsi="宋体" w:eastAsia="宋体" w:cs="宋体"/>
          <w:sz w:val="24"/>
          <w:szCs w:val="24"/>
          <w:lang w:val="en-US" w:eastAsia="zh-CN"/>
        </w:rPr>
        <w:t>函</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val="en-US" w:eastAsia="zh-CN"/>
        </w:rPr>
        <w:t>法定</w:t>
      </w:r>
      <w:r>
        <w:rPr>
          <w:rFonts w:hint="eastAsia" w:ascii="宋体" w:hAnsi="宋体" w:eastAsia="宋体" w:cs="宋体"/>
          <w:sz w:val="24"/>
          <w:szCs w:val="24"/>
        </w:rPr>
        <w:t>代表人资格证明书</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 法定代表人授权委托书</w:t>
      </w:r>
    </w:p>
    <w:p>
      <w:pPr>
        <w:pStyle w:val="13"/>
        <w:numPr>
          <w:ilvl w:val="0"/>
          <w:numId w:val="0"/>
        </w:numPr>
        <w:spacing w:line="360" w:lineRule="auto"/>
        <w:ind w:leftChars="0" w:firstLine="480" w:firstLineChars="200"/>
        <w:rPr>
          <w:rFonts w:hint="eastAsia" w:ascii="宋体" w:hAnsi="宋体" w:eastAsia="宋体" w:cs="宋体"/>
          <w:sz w:val="24"/>
          <w:szCs w:val="24"/>
        </w:rPr>
      </w:pPr>
      <w:r>
        <w:rPr>
          <w:rFonts w:hint="eastAsia" w:hAnsi="宋体" w:cs="宋体"/>
          <w:sz w:val="24"/>
          <w:szCs w:val="24"/>
          <w:lang w:val="en-US" w:eastAsia="zh-CN"/>
        </w:rPr>
        <w:t>四、</w:t>
      </w:r>
      <w:r>
        <w:rPr>
          <w:rFonts w:hint="eastAsia" w:ascii="宋体" w:hAnsi="宋体" w:eastAsia="宋体" w:cs="宋体"/>
          <w:sz w:val="24"/>
          <w:szCs w:val="24"/>
        </w:rPr>
        <w:t>报价一览表</w:t>
      </w:r>
    </w:p>
    <w:p>
      <w:pPr>
        <w:pStyle w:val="13"/>
        <w:spacing w:line="360" w:lineRule="auto"/>
        <w:ind w:firstLine="480" w:firstLineChars="200"/>
        <w:rPr>
          <w:rFonts w:hint="eastAsia" w:ascii="宋体" w:hAnsi="宋体" w:eastAsia="宋体" w:cs="宋体"/>
          <w:sz w:val="24"/>
          <w:szCs w:val="24"/>
        </w:rPr>
      </w:pPr>
      <w:r>
        <w:rPr>
          <w:rFonts w:hint="eastAsia" w:hAnsi="宋体" w:cs="宋体"/>
          <w:sz w:val="24"/>
          <w:szCs w:val="24"/>
          <w:lang w:val="en-US" w:eastAsia="zh-CN"/>
        </w:rPr>
        <w:t>五、</w:t>
      </w:r>
      <w:r>
        <w:rPr>
          <w:rFonts w:hint="eastAsia" w:ascii="宋体" w:hAnsi="宋体" w:eastAsia="宋体" w:cs="宋体"/>
          <w:sz w:val="24"/>
          <w:szCs w:val="24"/>
        </w:rPr>
        <w:t>商务条款偏离表</w:t>
      </w:r>
    </w:p>
    <w:p>
      <w:pPr>
        <w:pStyle w:val="13"/>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六、技术响应与偏离表</w:t>
      </w:r>
    </w:p>
    <w:p>
      <w:pPr>
        <w:pStyle w:val="13"/>
        <w:numPr>
          <w:ilvl w:val="0"/>
          <w:numId w:val="0"/>
        </w:numPr>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磋商保证金</w:t>
      </w:r>
    </w:p>
    <w:p>
      <w:pPr>
        <w:pStyle w:val="13"/>
        <w:numPr>
          <w:ilvl w:val="0"/>
          <w:numId w:val="0"/>
        </w:numPr>
        <w:spacing w:line="360" w:lineRule="auto"/>
        <w:ind w:leftChars="0" w:firstLine="480" w:firstLineChars="200"/>
        <w:rPr>
          <w:rFonts w:hint="default" w:ascii="宋体" w:hAnsi="宋体" w:eastAsia="宋体" w:cs="宋体"/>
          <w:sz w:val="24"/>
          <w:szCs w:val="24"/>
          <w:lang w:val="en-US" w:eastAsia="zh-CN"/>
        </w:rPr>
      </w:pPr>
      <w:r>
        <w:rPr>
          <w:rFonts w:hint="eastAsia" w:hAnsi="宋体" w:cs="宋体"/>
          <w:sz w:val="24"/>
          <w:szCs w:val="24"/>
          <w:lang w:val="en-US" w:eastAsia="zh-CN"/>
        </w:rPr>
        <w:t>八、近三年（2018年1月-至今）类似业绩</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九</w:t>
      </w:r>
      <w:r>
        <w:rPr>
          <w:rFonts w:hint="eastAsia" w:ascii="宋体" w:hAnsi="宋体" w:eastAsia="宋体" w:cs="宋体"/>
          <w:sz w:val="24"/>
          <w:szCs w:val="24"/>
        </w:rPr>
        <w:t>、供应商的资格证明材料</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十</w:t>
      </w:r>
      <w:r>
        <w:rPr>
          <w:rFonts w:hint="eastAsia" w:ascii="宋体" w:hAnsi="宋体" w:eastAsia="宋体" w:cs="宋体"/>
          <w:sz w:val="24"/>
          <w:szCs w:val="24"/>
        </w:rPr>
        <w:t>、供应商认为需提供的其他资料</w:t>
      </w:r>
    </w:p>
    <w:p>
      <w:pPr>
        <w:pStyle w:val="13"/>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第二部分　技术部</w:t>
      </w:r>
      <w:r>
        <w:rPr>
          <w:rFonts w:hint="eastAsia" w:hAnsi="宋体" w:cs="宋体"/>
          <w:sz w:val="24"/>
          <w:szCs w:val="24"/>
          <w:lang w:val="en-US" w:eastAsia="zh-CN"/>
        </w:rPr>
        <w:t>分</w:t>
      </w:r>
    </w:p>
    <w:p>
      <w:pPr>
        <w:pStyle w:val="13"/>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特别说明：①上述各种证件、证书复印件须加盖供应商公章。如未按要求加盖供应商公章者，可能导致其响应文件无效。</w:t>
      </w:r>
    </w:p>
    <w:p>
      <w:pPr>
        <w:pStyle w:val="13"/>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②供应商应如实提供资料，并保证真实可靠，不得弄虚作假。如供应商隐瞒事实真相、弄虚作假，一经查实，取消该供应商的磋商资格，若成交的，取消其成交资格。</w:t>
      </w:r>
    </w:p>
    <w:p>
      <w:pPr>
        <w:pStyle w:val="13"/>
        <w:spacing w:line="360" w:lineRule="auto"/>
        <w:ind w:firstLine="480"/>
        <w:outlineLvl w:val="1"/>
        <w:rPr>
          <w:rFonts w:hint="eastAsia" w:ascii="宋体" w:hAnsi="宋体" w:eastAsia="宋体" w:cs="宋体"/>
          <w:color w:val="auto"/>
          <w:sz w:val="24"/>
          <w:szCs w:val="24"/>
          <w:highlight w:val="none"/>
        </w:rPr>
      </w:pPr>
      <w:bookmarkStart w:id="104" w:name="_Toc245897286"/>
      <w:bookmarkStart w:id="105" w:name="_Toc233274827"/>
      <w:bookmarkStart w:id="106" w:name="_Toc243907587"/>
      <w:bookmarkStart w:id="107" w:name="_Toc243906326"/>
      <w:bookmarkStart w:id="108" w:name="_Toc246216196"/>
      <w:r>
        <w:rPr>
          <w:rFonts w:hint="eastAsia" w:ascii="宋体" w:hAnsi="宋体" w:eastAsia="宋体" w:cs="宋体"/>
          <w:color w:val="auto"/>
          <w:sz w:val="24"/>
          <w:szCs w:val="24"/>
          <w:highlight w:val="none"/>
        </w:rPr>
        <w:t>16、响应文件格式</w:t>
      </w:r>
      <w:bookmarkEnd w:id="104"/>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16.1供应商应按竞争性磋商文件提供的格式及商务报价说明完整地填写所提供的合同货物、服务以及单价等内容。</w:t>
      </w:r>
    </w:p>
    <w:p>
      <w:pPr>
        <w:pStyle w:val="13"/>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17、商务报价</w:t>
      </w:r>
      <w:bookmarkEnd w:id="105"/>
      <w:bookmarkEnd w:id="106"/>
      <w:bookmarkEnd w:id="107"/>
      <w:bookmarkEnd w:id="108"/>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供应商的商务报价应是为采购人提供全部合同货物及服务，并保证货物验收合格并正常使用以及质量保修期内的维保、售后服务等以及合同条款、技术规范及标准、项目采购需求、本竞争性磋商文件约定的所有费用的总和。</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任何因供应商忽视或误解采购范围、技术规范及标准、项目采购需求、合同条款和项目现场情况，若成交，采购人将不予批准由此而产生的索赔或服务期限延长申请。</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商务报价中不得包含合同条款、技术规范及标准、项目采购需求、本竞争性磋商文件要求以外的其他内容。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17.2商务报价总价应包括的内容和计价因素</w:t>
      </w:r>
    </w:p>
    <w:p>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（1</w:t>
      </w:r>
      <w:r>
        <w:rPr>
          <w:rFonts w:hint="eastAsia" w:ascii="宋体" w:hAnsi="宋体" w:eastAsia="宋体" w:cs="宋体"/>
          <w:bCs/>
          <w:color w:val="auto"/>
          <w:sz w:val="24"/>
          <w:highlight w:val="none"/>
          <w:lang w:eastAsia="zh-CN"/>
        </w:rPr>
        <w:t>）</w:t>
      </w:r>
      <w:r>
        <w:rPr>
          <w:rFonts w:hint="eastAsia" w:ascii="宋体" w:hAnsi="宋体" w:eastAsia="宋体" w:cs="宋体"/>
          <w:color w:val="auto"/>
          <w:sz w:val="24"/>
          <w:highlight w:val="none"/>
          <w:lang w:val="en-US" w:eastAsia="zh-CN"/>
        </w:rPr>
        <w:t>本招标文件约定的全部内容均在本次招标范围内。</w:t>
      </w:r>
    </w:p>
    <w:p>
      <w:pPr>
        <w:spacing w:line="360" w:lineRule="auto"/>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 xml:space="preserve">   </w:t>
      </w:r>
      <w:r>
        <w:rPr>
          <w:rFonts w:hint="eastAsia" w:ascii="宋体" w:hAnsi="宋体" w:eastAsia="宋体" w:cs="宋体"/>
          <w:bCs/>
          <w:color w:val="auto"/>
          <w:sz w:val="24"/>
          <w:highlight w:val="none"/>
        </w:rPr>
        <w:t>（2）供应商根据对本竞争性磋商文件、技术规范和标准、项目采购需求、合同条款的理解，应达到的技术指标、检验及验收标准等要求，结合市场情况进行商务报价。供应商应充分考虑</w:t>
      </w:r>
      <w:r>
        <w:rPr>
          <w:rFonts w:hint="eastAsia" w:ascii="宋体" w:hAnsi="宋体" w:eastAsia="宋体" w:cs="宋体"/>
          <w:bCs/>
          <w:color w:val="auto"/>
          <w:sz w:val="24"/>
          <w:highlight w:val="none"/>
          <w:lang w:eastAsia="zh-CN"/>
        </w:rPr>
        <w:t>合同执行期内的市场风险和国家政策性调整风险等因素对商务报价的影响。</w:t>
      </w:r>
    </w:p>
    <w:p>
      <w:pPr>
        <w:spacing w:line="360" w:lineRule="auto"/>
        <w:ind w:firstLine="480" w:firstLineChars="200"/>
        <w:rPr>
          <w:rFonts w:hint="eastAsia" w:ascii="宋体" w:hAnsi="宋体" w:eastAsia="宋体" w:cs="宋体"/>
          <w:color w:val="auto"/>
          <w:sz w:val="24"/>
          <w:highlight w:val="none"/>
        </w:rPr>
      </w:pPr>
      <w:bookmarkStart w:id="109" w:name="_Toc233274828"/>
      <w:bookmarkStart w:id="110" w:name="_Toc243906327"/>
      <w:bookmarkStart w:id="111" w:name="_Toc243907588"/>
      <w:bookmarkStart w:id="112" w:name="_Toc246216197"/>
      <w:r>
        <w:rPr>
          <w:rFonts w:hint="eastAsia" w:ascii="宋体" w:hAnsi="宋体" w:eastAsia="宋体" w:cs="宋体"/>
          <w:color w:val="auto"/>
          <w:sz w:val="24"/>
          <w:highlight w:val="none"/>
        </w:rPr>
        <w:t>17.3供应商应按照竞争性磋商文件所附的格式完整地填写商务报价一览表。供应商应对采购范围内的全部内容进行报价。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17.4供应商若成交，不得以任何理由在合同执行期间予以价格调整。任何包含价格调整的要求将被认为是非响应而予以拒绝。</w:t>
      </w:r>
    </w:p>
    <w:bookmarkEnd w:id="109"/>
    <w:bookmarkEnd w:id="110"/>
    <w:bookmarkEnd w:id="111"/>
    <w:bookmarkEnd w:id="112"/>
    <w:p>
      <w:pPr>
        <w:pStyle w:val="13"/>
        <w:spacing w:line="360" w:lineRule="auto"/>
        <w:ind w:firstLine="480" w:firstLineChars="200"/>
        <w:rPr>
          <w:rFonts w:hint="eastAsia" w:ascii="宋体" w:hAnsi="宋体" w:eastAsia="宋体" w:cs="宋体"/>
          <w:color w:val="auto"/>
          <w:sz w:val="24"/>
          <w:szCs w:val="24"/>
          <w:highlight w:val="none"/>
        </w:rPr>
      </w:pPr>
      <w:bookmarkStart w:id="113" w:name="_Toc245897288"/>
      <w:r>
        <w:rPr>
          <w:rFonts w:hint="eastAsia" w:ascii="宋体" w:hAnsi="宋体" w:eastAsia="宋体" w:cs="宋体"/>
          <w:color w:val="auto"/>
          <w:sz w:val="24"/>
          <w:szCs w:val="24"/>
          <w:highlight w:val="none"/>
        </w:rPr>
        <w:t>18、商务报价货币</w:t>
      </w:r>
      <w:bookmarkEnd w:id="113"/>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18.1商务报价一览表和响应文件中的所有报价一律使用人民币（RMB）填报。</w:t>
      </w:r>
    </w:p>
    <w:p>
      <w:pPr>
        <w:pStyle w:val="13"/>
        <w:spacing w:line="360" w:lineRule="auto"/>
        <w:ind w:firstLine="480" w:firstLineChars="200"/>
        <w:rPr>
          <w:rFonts w:hint="eastAsia" w:ascii="宋体" w:hAnsi="宋体" w:eastAsia="宋体" w:cs="宋体"/>
          <w:color w:val="auto"/>
          <w:sz w:val="24"/>
          <w:szCs w:val="24"/>
          <w:highlight w:val="none"/>
          <w:lang w:eastAsia="zh-CN"/>
        </w:rPr>
      </w:pPr>
      <w:bookmarkStart w:id="114" w:name="_Toc245897289"/>
      <w:bookmarkStart w:id="115" w:name="_Toc233274829"/>
      <w:bookmarkStart w:id="116" w:name="_Toc243906328"/>
      <w:bookmarkStart w:id="117" w:name="_Toc243907589"/>
      <w:r>
        <w:rPr>
          <w:rFonts w:hint="eastAsia" w:ascii="宋体" w:hAnsi="宋体" w:eastAsia="宋体" w:cs="宋体"/>
          <w:color w:val="auto"/>
          <w:sz w:val="24"/>
          <w:szCs w:val="24"/>
          <w:highlight w:val="none"/>
        </w:rPr>
        <w:t>19、供应商资格证明文件</w:t>
      </w:r>
      <w:bookmarkEnd w:id="114"/>
      <w:bookmarkEnd w:id="115"/>
      <w:bookmarkEnd w:id="116"/>
      <w:bookmarkEnd w:id="117"/>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 供应商必须提交证明其有资格参加磋商和成交后有能力履行合同的文件。</w:t>
      </w:r>
    </w:p>
    <w:p>
      <w:pPr>
        <w:pStyle w:val="13"/>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w:t>
      </w:r>
      <w:r>
        <w:rPr>
          <w:rFonts w:hint="eastAsia" w:ascii="宋体" w:hAnsi="宋体" w:eastAsia="宋体" w:cs="宋体"/>
          <w:color w:val="auto"/>
          <w:sz w:val="24"/>
          <w:szCs w:val="24"/>
          <w:highlight w:val="none"/>
        </w:rPr>
        <w:t>供应商须提交证明其拟供货物和服务符合</w:t>
      </w:r>
      <w:r>
        <w:rPr>
          <w:rFonts w:hint="eastAsia" w:ascii="宋体" w:hAnsi="宋体" w:eastAsia="宋体" w:cs="宋体"/>
          <w:color w:val="auto"/>
          <w:sz w:val="24"/>
          <w:szCs w:val="24"/>
          <w:highlight w:val="none"/>
          <w:lang w:eastAsia="zh-CN"/>
        </w:rPr>
        <w:t>竞争性谈判文件</w:t>
      </w:r>
      <w:r>
        <w:rPr>
          <w:rFonts w:hint="eastAsia" w:ascii="宋体" w:hAnsi="宋体" w:eastAsia="宋体" w:cs="宋体"/>
          <w:color w:val="auto"/>
          <w:sz w:val="24"/>
          <w:szCs w:val="24"/>
          <w:highlight w:val="none"/>
        </w:rPr>
        <w:t>、技术规范及标准、</w:t>
      </w:r>
      <w:r>
        <w:rPr>
          <w:rFonts w:hint="eastAsia" w:ascii="宋体" w:hAnsi="宋体" w:eastAsia="宋体" w:cs="宋体"/>
          <w:color w:val="auto"/>
          <w:sz w:val="24"/>
          <w:szCs w:val="24"/>
          <w:highlight w:val="none"/>
          <w:lang w:eastAsia="zh-CN"/>
        </w:rPr>
        <w:t>项目采购需求</w:t>
      </w:r>
      <w:r>
        <w:rPr>
          <w:rFonts w:hint="eastAsia" w:ascii="宋体" w:hAnsi="宋体" w:eastAsia="宋体" w:cs="宋体"/>
          <w:color w:val="auto"/>
          <w:sz w:val="24"/>
          <w:szCs w:val="24"/>
          <w:highlight w:val="none"/>
        </w:rPr>
        <w:t>规定的技术响应文件，作为响应文件的一部分</w:t>
      </w:r>
      <w:r>
        <w:rPr>
          <w:rFonts w:hint="eastAsia" w:ascii="宋体" w:hAnsi="宋体" w:eastAsia="宋体" w:cs="宋体"/>
          <w:color w:val="auto"/>
          <w:sz w:val="24"/>
          <w:szCs w:val="24"/>
          <w:highlight w:val="none"/>
          <w:lang w:eastAsia="zh-CN"/>
        </w:rPr>
        <w:t>。</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上述文件可以是文字资料、图纸和数据，并须提供主要技术性能的详细描述及设备清单和所提供服务的详细说明；</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供应商应逐条对磋商文件、项目采购需求、合同条款等进行仔细阅读，提出自己提供的服务是否对其做出了实质性的响应。</w:t>
      </w:r>
    </w:p>
    <w:p>
      <w:pPr>
        <w:pStyle w:val="13"/>
        <w:spacing w:line="360" w:lineRule="auto"/>
        <w:ind w:firstLine="480" w:firstLineChars="200"/>
        <w:rPr>
          <w:rFonts w:hint="eastAsia" w:ascii="宋体" w:hAnsi="宋体" w:eastAsia="宋体" w:cs="宋体"/>
          <w:color w:val="auto"/>
          <w:sz w:val="24"/>
          <w:szCs w:val="24"/>
          <w:highlight w:val="none"/>
        </w:rPr>
      </w:pPr>
      <w:bookmarkStart w:id="118" w:name="_Toc245897291"/>
      <w:bookmarkStart w:id="119" w:name="_Toc243907591"/>
      <w:bookmarkStart w:id="120" w:name="_Toc233274831"/>
      <w:bookmarkStart w:id="121" w:name="_Toc243906330"/>
      <w:r>
        <w:rPr>
          <w:rFonts w:hint="eastAsia" w:ascii="宋体" w:hAnsi="宋体" w:eastAsia="宋体" w:cs="宋体"/>
          <w:color w:val="auto"/>
          <w:sz w:val="24"/>
          <w:szCs w:val="24"/>
          <w:highlight w:val="none"/>
        </w:rPr>
        <w:t>20、响应文件有效期</w:t>
      </w:r>
      <w:bookmarkEnd w:id="118"/>
      <w:bookmarkEnd w:id="119"/>
      <w:bookmarkEnd w:id="120"/>
      <w:bookmarkEnd w:id="121"/>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20.1响应文件有效期为递交响应文件截止之日起</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天（日历日）。供应商的响应文件有效期比规定的有效期短的，将被视为非响应而予以拒绝。</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特殊情况下，在原有效期届满之前，采购人可征得供应商的同意延长其有效期，这种要求与答复均应以书面形式。供应商拒绝延长的，其响应文件失效。同意延长有效期的供应商，既不要求也不允许其修改响应文件。</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21、响应文件的签署及规定</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21.1供应商应提交本须知第15条规定的书面响应文件一式</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份，其中正本</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份，需编制目录及页码。在每一份响应文件上要明确注明“正本”或“副本”字样，如正、副本之间有差异，以正本为准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文件电子版（U盘）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开标一览表一</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单独密封</w:t>
      </w:r>
      <w:r>
        <w:rPr>
          <w:rFonts w:hint="eastAsia" w:ascii="宋体" w:hAnsi="宋体" w:eastAsia="宋体" w:cs="宋体"/>
          <w:color w:val="auto"/>
          <w:sz w:val="24"/>
          <w:szCs w:val="24"/>
          <w:highlight w:val="none"/>
          <w:lang w:eastAsia="zh-CN"/>
        </w:rPr>
        <w:t>）</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21.2响应文件正本和副本须打印并由法定代表人或委托代理人签字或盖章。响应文件应加盖供应商的公章。</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除供应商对错误做必要修改外，响应文件中不许有增删、涂改或改写。若确有修改必须由签署响应文件的委托代理人签字或盖章。</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21.4响应文件副本的上述签名及盖章之处既可由供应商的法定代表人或其委托代理人签字或盖章，也可通过复印正本将上述签名及盖章复制到副本上。</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 采购人概不接受电报、电传、电话、邮寄以及电子邮件等方式的磋商。</w:t>
      </w:r>
    </w:p>
    <w:p>
      <w:pPr>
        <w:pStyle w:val="13"/>
        <w:spacing w:line="360" w:lineRule="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四、响应文件的递交、修改和撤回</w:t>
      </w:r>
      <w:bookmarkEnd w:id="95"/>
    </w:p>
    <w:p>
      <w:pPr>
        <w:spacing w:line="360" w:lineRule="auto"/>
        <w:ind w:firstLine="480" w:firstLineChars="200"/>
        <w:outlineLvl w:val="1"/>
        <w:rPr>
          <w:rFonts w:hint="eastAsia" w:ascii="宋体" w:hAnsi="宋体" w:eastAsia="宋体" w:cs="宋体"/>
          <w:color w:val="auto"/>
          <w:sz w:val="24"/>
          <w:highlight w:val="none"/>
        </w:rPr>
      </w:pPr>
      <w:bookmarkStart w:id="122" w:name="_Toc233274835"/>
      <w:bookmarkStart w:id="123" w:name="_Toc243906334"/>
      <w:bookmarkStart w:id="124" w:name="_Toc243907595"/>
      <w:bookmarkStart w:id="125" w:name="_Toc245897295"/>
      <w:bookmarkStart w:id="126" w:name="_Toc246216209"/>
      <w:bookmarkStart w:id="127" w:name="_Toc243907600"/>
      <w:bookmarkStart w:id="128" w:name="_Toc233274840"/>
      <w:bookmarkStart w:id="129" w:name="_Toc243906339"/>
      <w:bookmarkStart w:id="130" w:name="_Toc19823"/>
      <w:r>
        <w:rPr>
          <w:rFonts w:hint="eastAsia" w:ascii="宋体" w:hAnsi="宋体" w:eastAsia="宋体" w:cs="宋体"/>
          <w:color w:val="auto"/>
          <w:sz w:val="24"/>
          <w:highlight w:val="none"/>
        </w:rPr>
        <w:t>22、响应文件的密封和标记</w:t>
      </w:r>
      <w:bookmarkEnd w:id="122"/>
      <w:bookmarkEnd w:id="123"/>
      <w:bookmarkEnd w:id="124"/>
      <w:bookmarkEnd w:id="125"/>
    </w:p>
    <w:p>
      <w:pPr>
        <w:spacing w:line="360" w:lineRule="auto"/>
        <w:ind w:firstLine="480" w:firstLineChars="200"/>
        <w:outlineLvl w:val="1"/>
        <w:rPr>
          <w:rFonts w:hint="eastAsia" w:ascii="宋体" w:hAnsi="宋体" w:eastAsia="宋体" w:cs="宋体"/>
          <w:b/>
          <w:color w:val="auto"/>
          <w:sz w:val="24"/>
          <w:highlight w:val="none"/>
        </w:rPr>
      </w:pPr>
      <w:r>
        <w:rPr>
          <w:rFonts w:hint="eastAsia" w:ascii="宋体" w:hAnsi="宋体" w:eastAsia="宋体" w:cs="宋体"/>
          <w:color w:val="auto"/>
          <w:sz w:val="24"/>
          <w:highlight w:val="none"/>
        </w:rPr>
        <w:t>22.1</w:t>
      </w:r>
      <w:r>
        <w:rPr>
          <w:rFonts w:hint="eastAsia" w:ascii="宋体" w:hAnsi="宋体" w:eastAsia="宋体" w:cs="宋体"/>
          <w:b/>
          <w:color w:val="auto"/>
          <w:sz w:val="24"/>
          <w:highlight w:val="none"/>
        </w:rPr>
        <w:t>响应文件均按A4复印纸页面编制、</w:t>
      </w:r>
      <w:r>
        <w:rPr>
          <w:rFonts w:hint="eastAsia" w:ascii="宋体" w:hAnsi="宋体" w:eastAsia="宋体" w:cs="宋体"/>
          <w:b/>
          <w:color w:val="auto"/>
          <w:sz w:val="24"/>
          <w:highlight w:val="none"/>
          <w:lang w:val="en-US" w:eastAsia="zh-CN"/>
        </w:rPr>
        <w:t>胶装成册</w:t>
      </w:r>
      <w:r>
        <w:rPr>
          <w:rFonts w:hint="eastAsia" w:ascii="宋体" w:hAnsi="宋体" w:eastAsia="宋体" w:cs="宋体"/>
          <w:b/>
          <w:color w:val="auto"/>
          <w:sz w:val="24"/>
          <w:highlight w:val="none"/>
        </w:rPr>
        <w:t>。</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22.2</w:t>
      </w:r>
      <w:r>
        <w:rPr>
          <w:rFonts w:hint="eastAsia" w:ascii="宋体" w:hAnsi="宋体" w:eastAsia="宋体" w:cs="宋体"/>
          <w:b/>
          <w:color w:val="auto"/>
          <w:sz w:val="24"/>
          <w:highlight w:val="none"/>
        </w:rPr>
        <w:t>供应商应将响应文件装订、密封，并在密封处加盖供应商公章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且正本、副本及U盘全部密封在一起</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szCs w:val="24"/>
          <w:highlight w:val="none"/>
          <w:lang w:val="en-US" w:eastAsia="zh-CN"/>
        </w:rPr>
        <w:t>开标一览表</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单独密封</w:t>
      </w:r>
      <w:r>
        <w:rPr>
          <w:rFonts w:hint="eastAsia" w:ascii="宋体" w:hAnsi="宋体" w:eastAsia="宋体" w:cs="宋体"/>
          <w:b/>
          <w:color w:val="auto"/>
          <w:sz w:val="24"/>
          <w:szCs w:val="24"/>
          <w:highlight w:val="none"/>
          <w:lang w:eastAsia="zh-CN"/>
        </w:rPr>
        <w:t>）。</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22.3响应文件密封袋上均应写明“采购人”、“项目名称”、“磋商文件编号”、“供应商名称”和“地址”等事项。</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22.4未按本要求密封、标记的响应文件，采购人（或采购代理机构）不对后果负责。</w:t>
      </w:r>
    </w:p>
    <w:p>
      <w:pPr>
        <w:widowControl/>
        <w:spacing w:line="360" w:lineRule="auto"/>
        <w:ind w:firstLine="480" w:firstLineChars="200"/>
        <w:rPr>
          <w:rFonts w:hint="eastAsia" w:ascii="宋体" w:hAnsi="宋体" w:eastAsia="宋体" w:cs="宋体"/>
          <w:color w:val="auto"/>
          <w:sz w:val="24"/>
          <w:highlight w:val="none"/>
        </w:rPr>
      </w:pPr>
      <w:bookmarkStart w:id="131" w:name="_Toc243907596"/>
      <w:bookmarkStart w:id="132" w:name="_Toc245897296"/>
      <w:bookmarkStart w:id="133" w:name="_Toc233274836"/>
      <w:bookmarkStart w:id="134" w:name="_Toc243906335"/>
      <w:r>
        <w:rPr>
          <w:rFonts w:hint="eastAsia" w:ascii="宋体" w:hAnsi="宋体" w:eastAsia="宋体" w:cs="宋体"/>
          <w:color w:val="auto"/>
          <w:sz w:val="24"/>
          <w:highlight w:val="none"/>
        </w:rPr>
        <w:t>23、递交响应文件截止时间</w:t>
      </w:r>
      <w:bookmarkEnd w:id="131"/>
      <w:bookmarkEnd w:id="132"/>
      <w:bookmarkEnd w:id="133"/>
      <w:bookmarkEnd w:id="134"/>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所有响应文件都必须按采购人在供应商须知前格式中规定的截止时间之前送达。</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23.2出现因磋商文件的修改推迟截止日期时，则按采购代理机构修改通知规定的时间递交响应文件。在此情况下，采购人和采购代理机构与供应商之间受截止期制约的所有权利和义务应延长至新的截止期。</w:t>
      </w:r>
    </w:p>
    <w:p>
      <w:pPr>
        <w:widowControl/>
        <w:spacing w:line="360" w:lineRule="auto"/>
        <w:ind w:firstLine="480" w:firstLineChars="200"/>
        <w:rPr>
          <w:rFonts w:hint="eastAsia" w:ascii="宋体" w:hAnsi="宋体" w:eastAsia="宋体" w:cs="宋体"/>
          <w:color w:val="auto"/>
          <w:sz w:val="24"/>
          <w:highlight w:val="none"/>
        </w:rPr>
      </w:pPr>
      <w:bookmarkStart w:id="135" w:name="_Toc233274837"/>
      <w:bookmarkStart w:id="136" w:name="_Toc245897297"/>
      <w:bookmarkStart w:id="137" w:name="_Toc243907597"/>
      <w:bookmarkStart w:id="138" w:name="_Toc243906336"/>
      <w:r>
        <w:rPr>
          <w:rFonts w:hint="eastAsia" w:ascii="宋体" w:hAnsi="宋体" w:eastAsia="宋体" w:cs="宋体"/>
          <w:color w:val="auto"/>
          <w:sz w:val="24"/>
          <w:highlight w:val="none"/>
        </w:rPr>
        <w:t>24、迟交的响应文件</w:t>
      </w:r>
      <w:bookmarkEnd w:id="135"/>
      <w:bookmarkEnd w:id="136"/>
      <w:bookmarkEnd w:id="137"/>
      <w:bookmarkEnd w:id="138"/>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 采购人将拒绝并原封退回在其规定的截止时间后送达的响应文件。</w:t>
      </w:r>
    </w:p>
    <w:p>
      <w:pPr>
        <w:widowControl/>
        <w:spacing w:line="360" w:lineRule="auto"/>
        <w:ind w:firstLine="480" w:firstLineChars="200"/>
        <w:rPr>
          <w:rFonts w:hint="eastAsia" w:ascii="宋体" w:hAnsi="宋体" w:eastAsia="宋体" w:cs="宋体"/>
          <w:color w:val="auto"/>
          <w:sz w:val="24"/>
          <w:highlight w:val="none"/>
        </w:rPr>
      </w:pPr>
      <w:bookmarkStart w:id="139" w:name="_Toc243907598"/>
      <w:bookmarkStart w:id="140" w:name="_Toc245897298"/>
      <w:bookmarkStart w:id="141" w:name="_Toc233274838"/>
      <w:bookmarkStart w:id="142" w:name="_Toc243906337"/>
      <w:r>
        <w:rPr>
          <w:rFonts w:hint="eastAsia" w:ascii="宋体" w:hAnsi="宋体" w:eastAsia="宋体" w:cs="宋体"/>
          <w:color w:val="auto"/>
          <w:sz w:val="24"/>
          <w:highlight w:val="none"/>
        </w:rPr>
        <w:t>25、响应文件的修改和撤回</w:t>
      </w:r>
      <w:bookmarkEnd w:id="139"/>
      <w:bookmarkEnd w:id="140"/>
      <w:bookmarkEnd w:id="141"/>
      <w:bookmarkEnd w:id="142"/>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 供应商在提交响应文件后可在截止时间前对其响应文件进行修改或撤回，但采购人须在截止时间之前收到该修改或撤回的书面通知，该通知须有法定代表人或经有效授权的委托代理人签字或盖章。</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供应商对响应文件修改的书面材料或撤回的通知应按第22条和第23条规定进行编写、密封、标记和递交，并注明“修改响应文件”或“撤回响应文件”字样。</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25.3截止时间之后，供应商不得对响应文件做任何修改。</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25.4 供应商不得在截止时间起至响应文件有效期期满前撤回响应文件。</w:t>
      </w:r>
    </w:p>
    <w:p>
      <w:pPr>
        <w:widowControl/>
        <w:spacing w:line="360" w:lineRule="auto"/>
        <w:ind w:firstLine="480" w:firstLineChars="200"/>
        <w:rPr>
          <w:rFonts w:hint="eastAsia" w:ascii="宋体" w:hAnsi="宋体" w:eastAsia="宋体" w:cs="宋体"/>
          <w:color w:val="auto"/>
          <w:sz w:val="24"/>
          <w:highlight w:val="none"/>
        </w:rPr>
      </w:pPr>
      <w:bookmarkStart w:id="143" w:name="_Toc243906338"/>
      <w:bookmarkStart w:id="144" w:name="_Toc233274839"/>
      <w:bookmarkStart w:id="145" w:name="_Toc243907599"/>
      <w:bookmarkStart w:id="146" w:name="_Toc245897299"/>
      <w:r>
        <w:rPr>
          <w:rFonts w:hint="eastAsia" w:ascii="宋体" w:hAnsi="宋体" w:eastAsia="宋体" w:cs="宋体"/>
          <w:color w:val="auto"/>
          <w:sz w:val="24"/>
          <w:highlight w:val="none"/>
        </w:rPr>
        <w:t>26、递交响应文件</w:t>
      </w:r>
      <w:bookmarkEnd w:id="143"/>
      <w:bookmarkEnd w:id="144"/>
      <w:bookmarkEnd w:id="145"/>
      <w:bookmarkEnd w:id="146"/>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26.1供应商应按本供应商须知前格式第7项规定的时间及地点递交响应文件。</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26.2有下列情形之一的，采购人不予接收其响应文件：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26.2.1供应商在递交响应文件截止时间后送达或未送达到指定地点的响应文件；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26.2.2 响应文件未按磋商文件要求密封的。</w:t>
      </w:r>
    </w:p>
    <w:p>
      <w:pPr>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w:t>
      </w:r>
      <w:bookmarkEnd w:id="126"/>
      <w:bookmarkEnd w:id="127"/>
      <w:bookmarkEnd w:id="128"/>
      <w:bookmarkEnd w:id="129"/>
      <w:bookmarkEnd w:id="130"/>
      <w:r>
        <w:rPr>
          <w:rFonts w:hint="eastAsia" w:ascii="宋体" w:hAnsi="宋体" w:eastAsia="宋体" w:cs="宋体"/>
          <w:b/>
          <w:bCs/>
          <w:color w:val="auto"/>
          <w:sz w:val="24"/>
          <w:highlight w:val="none"/>
        </w:rPr>
        <w:t>磋商、评审、确定成交供应商</w:t>
      </w:r>
    </w:p>
    <w:p>
      <w:pPr>
        <w:spacing w:line="360" w:lineRule="auto"/>
        <w:ind w:firstLine="480" w:firstLineChars="200"/>
        <w:outlineLvl w:val="1"/>
        <w:rPr>
          <w:rFonts w:hint="eastAsia" w:ascii="宋体" w:hAnsi="宋体" w:eastAsia="宋体" w:cs="宋体"/>
          <w:color w:val="auto"/>
          <w:sz w:val="24"/>
          <w:highlight w:val="none"/>
        </w:rPr>
      </w:pPr>
      <w:bookmarkStart w:id="147" w:name="_Toc245897301"/>
      <w:bookmarkStart w:id="148" w:name="_Toc233274841"/>
      <w:bookmarkStart w:id="149" w:name="_Toc243907601"/>
      <w:bookmarkStart w:id="150" w:name="_Toc243906340"/>
      <w:bookmarkStart w:id="151" w:name="_Toc233274847"/>
      <w:bookmarkStart w:id="152" w:name="_Toc243907609"/>
      <w:bookmarkStart w:id="153" w:name="_Toc245897308"/>
      <w:bookmarkStart w:id="154" w:name="_Toc243906348"/>
      <w:bookmarkStart w:id="155" w:name="_Toc22731"/>
      <w:r>
        <w:rPr>
          <w:rFonts w:hint="eastAsia" w:ascii="宋体" w:hAnsi="宋体" w:eastAsia="宋体" w:cs="宋体"/>
          <w:color w:val="auto"/>
          <w:sz w:val="24"/>
          <w:highlight w:val="none"/>
        </w:rPr>
        <w:t>27、</w:t>
      </w:r>
      <w:bookmarkEnd w:id="147"/>
      <w:bookmarkEnd w:id="148"/>
      <w:bookmarkEnd w:id="149"/>
      <w:bookmarkEnd w:id="150"/>
      <w:r>
        <w:rPr>
          <w:rFonts w:hint="eastAsia" w:ascii="宋体" w:hAnsi="宋体" w:eastAsia="宋体" w:cs="宋体"/>
          <w:color w:val="auto"/>
          <w:sz w:val="24"/>
          <w:highlight w:val="none"/>
        </w:rPr>
        <w:t>磋商会议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27.1采购人在本供应商须知前</w:t>
      </w:r>
      <w:r>
        <w:rPr>
          <w:rFonts w:hint="eastAsia" w:ascii="宋体" w:hAnsi="宋体" w:eastAsia="宋体" w:cs="宋体"/>
          <w:color w:val="auto"/>
          <w:sz w:val="24"/>
          <w:highlight w:val="none"/>
          <w:lang w:val="en-US" w:eastAsia="zh-CN"/>
        </w:rPr>
        <w:t>附表</w:t>
      </w:r>
      <w:r>
        <w:rPr>
          <w:rFonts w:hint="eastAsia" w:ascii="宋体" w:hAnsi="宋体" w:eastAsia="宋体" w:cs="宋体"/>
          <w:color w:val="auto"/>
          <w:sz w:val="24"/>
          <w:highlight w:val="none"/>
        </w:rPr>
        <w:t>第8项规定的时间和地点组织磋商会议。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27.2供应商应委派代表参加磋商会议。</w:t>
      </w:r>
      <w:r>
        <w:rPr>
          <w:rFonts w:hint="eastAsia" w:ascii="宋体" w:hAnsi="宋体" w:eastAsia="宋体" w:cs="宋体"/>
          <w:b/>
          <w:color w:val="auto"/>
          <w:sz w:val="24"/>
          <w:highlight w:val="none"/>
        </w:rPr>
        <w:t>参加磋商会议的代表应持有法定代表人身份证原件或法定代表人授权委托书及委托代理人身份证原件</w:t>
      </w:r>
      <w:r>
        <w:rPr>
          <w:rFonts w:hint="eastAsia" w:ascii="宋体" w:hAnsi="宋体" w:eastAsia="宋体" w:cs="宋体"/>
          <w:color w:val="auto"/>
          <w:sz w:val="24"/>
          <w:highlight w:val="none"/>
        </w:rPr>
        <w:t>。</w:t>
      </w:r>
    </w:p>
    <w:p>
      <w:pPr>
        <w:pStyle w:val="11"/>
        <w:ind w:firstLine="482" w:firstLineChars="20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27.3供应商法定代表人委托代理人须是本企业的人员。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磋商会议由采购代理机构组织并主持。</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在磋商过程中，工作人员如发现响应文件组成部分不齐全，由磋商小组认定其有效性。磋商小组认定的无效响应文件将不进入磋商、评审阶段。</w:t>
      </w:r>
    </w:p>
    <w:p>
      <w:pPr>
        <w:spacing w:line="360" w:lineRule="auto"/>
        <w:ind w:firstLine="480" w:firstLineChars="200"/>
        <w:outlineLvl w:val="1"/>
        <w:rPr>
          <w:rFonts w:hint="eastAsia" w:ascii="宋体" w:hAnsi="宋体" w:eastAsia="宋体" w:cs="宋体"/>
          <w:color w:val="auto"/>
          <w:sz w:val="24"/>
          <w:highlight w:val="none"/>
        </w:rPr>
      </w:pPr>
      <w:bookmarkStart w:id="156" w:name="_Toc233274842"/>
      <w:bookmarkStart w:id="157" w:name="_Toc243907602"/>
      <w:bookmarkStart w:id="158" w:name="_Toc245897302"/>
      <w:bookmarkStart w:id="159" w:name="_Toc243906341"/>
      <w:bookmarkStart w:id="160" w:name="_Toc233274843"/>
      <w:bookmarkStart w:id="161" w:name="_Toc245897304"/>
      <w:bookmarkStart w:id="162" w:name="_Toc243907605"/>
      <w:bookmarkStart w:id="163" w:name="_Toc243906344"/>
      <w:r>
        <w:rPr>
          <w:rFonts w:hint="eastAsia" w:ascii="宋体" w:hAnsi="宋体" w:eastAsia="宋体" w:cs="宋体"/>
          <w:color w:val="auto"/>
          <w:sz w:val="24"/>
          <w:highlight w:val="none"/>
        </w:rPr>
        <w:t>28、磋商小组</w:t>
      </w:r>
      <w:bookmarkEnd w:id="156"/>
      <w:bookmarkEnd w:id="157"/>
      <w:bookmarkEnd w:id="158"/>
      <w:bookmarkEnd w:id="159"/>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磋商小组成员组成：按照《中华人民共和国政府采购法》、《中华人民共和国政府采购实施条例》、《政府采购竞争性磋商采购方式管理暂行办法》（中华人民共和国财政部文件财库[2014]214号）及相关法律、法规规定组建，由采购人代表和评审专家组成。磋商小组将负责对供应商提交的响应文件进行磋商、评审，确保磋商、评审过程公正、合法、保密，并向采购人推荐成交候选供应商。</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29、磋商</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29.1磋商小组所有成员集中与单一供应商分别进行磋商。供应商应由法定代表人或法定代表人授权的供应商代表及专业技术人员参与磋商。供应商所作的重要答复均应以书面形式予以补充，并经法定代表人或授权人签署，作为响应文件的一部分，对供应商具有约束力，但不得对磋商内容进行实质性修改。在磋商中，磋商的任何一方不得透露与磋商有关的其他供应商的技术资料和其他信息。</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在磋商小组与各供应商进行了相同轮次的磋商后，为了更好地实现采购目标，磋商小组可以修改磋商文件，但涉及实质性变动的，将以书面形式通知所有参加磋商的供应商。供应商收到修改磋商文件的通知后，可以决定是否继续参加磋商活动。</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29.3供应商应当按照磋商文件的变动情况和磋商小组的要求重新提交响应文件，并由其法定代表人或委托代理人签字或者加盖公章。由委托代理人签字的，应当附法定代表人授权书。</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29.4磋商文件能够详细列明采购标的的技术、服务要求的，磋商小组在磋商结束后，磋商小组应当要求所有实质性响应的供应商在规定时间内提交最后报价，最后报价是供应商响应文件的有效组成部分。</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29.5磋商文件不能详细列明采购标的的技术、服务要求，需经磋商由供应商提供最终整修方案或解决方案的，磋商结束后，磋商小组应当按照少数服从多数的原则投票推荐3家以上供应商的整修方案或者解决方案，并要求其在规定时间内提交最后报价。</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29.6已提交响应文件的供应商，在提交最后报价之前，可以根据磋商情况退出磋商。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29.7磋商小组判断响应文件的响应性仅基于响应文件本身而不依靠任何外部证据，但响应文件有不真实、不正确的内容除外。</w:t>
      </w:r>
    </w:p>
    <w:p>
      <w:pPr>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29.8如果响应文件实质上没有响应磋商文件的要求，磋商小组将予以拒绝，供应商不得通过修正或撤消不符合要求的偏离或保留，而使其成为实质上响应。</w:t>
      </w:r>
    </w:p>
    <w:bookmarkEnd w:id="160"/>
    <w:bookmarkEnd w:id="161"/>
    <w:bookmarkEnd w:id="162"/>
    <w:bookmarkEnd w:id="163"/>
    <w:p>
      <w:pPr>
        <w:spacing w:line="360" w:lineRule="auto"/>
        <w:ind w:firstLine="480" w:firstLineChars="200"/>
        <w:outlineLvl w:val="1"/>
        <w:rPr>
          <w:rFonts w:hint="eastAsia" w:ascii="宋体" w:hAnsi="宋体" w:eastAsia="宋体" w:cs="宋体"/>
          <w:color w:val="auto"/>
          <w:sz w:val="24"/>
          <w:highlight w:val="none"/>
        </w:rPr>
      </w:pPr>
      <w:bookmarkStart w:id="164" w:name="_Toc224623557"/>
      <w:bookmarkStart w:id="165" w:name="_Toc224623663"/>
      <w:bookmarkStart w:id="166" w:name="_Toc224624488"/>
      <w:bookmarkStart w:id="167" w:name="_Toc224623451"/>
      <w:bookmarkStart w:id="168" w:name="_Toc224624767"/>
      <w:bookmarkStart w:id="169" w:name="_Toc224624628"/>
      <w:bookmarkStart w:id="170" w:name="_Toc224620150"/>
      <w:bookmarkStart w:id="171" w:name="_Toc224620071"/>
      <w:bookmarkStart w:id="172" w:name="_Toc245897305"/>
      <w:bookmarkStart w:id="173" w:name="_Toc243906345"/>
      <w:bookmarkStart w:id="174" w:name="_Toc243907606"/>
      <w:bookmarkStart w:id="175" w:name="_Toc224622928"/>
      <w:r>
        <w:rPr>
          <w:rFonts w:hint="eastAsia" w:ascii="宋体" w:hAnsi="宋体" w:eastAsia="宋体" w:cs="宋体"/>
          <w:color w:val="auto"/>
          <w:sz w:val="24"/>
          <w:highlight w:val="none"/>
        </w:rPr>
        <w:t>30、评审</w:t>
      </w:r>
    </w:p>
    <w:p>
      <w:pPr>
        <w:spacing w:line="360" w:lineRule="auto"/>
        <w:ind w:firstLine="480" w:firstLineChars="200"/>
        <w:outlineLvl w:val="1"/>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rPr>
        <w:t>30.1经磋商确定最终采购需求和提交最后报价的供应商后，</w:t>
      </w:r>
      <w:r>
        <w:rPr>
          <w:rFonts w:hint="eastAsia" w:ascii="宋体" w:hAnsi="宋体" w:eastAsia="宋体" w:cs="宋体"/>
          <w:b/>
          <w:bCs/>
          <w:color w:val="auto"/>
          <w:sz w:val="24"/>
          <w:highlight w:val="none"/>
        </w:rPr>
        <w:t>由磋商小组采用综合评分法对提交最后报价的供应商响应文件和最后报价进行综合评分。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30.2磋商小组将对实质性响应磋商文件的响应文件进行详细评审和比较。对技术要求、价格等进行比较，并与磋商文件、项目采购需求和采购人的实际需要进行比较和评价。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30.3商务报价错误的修正</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如果发现商务报价存在计算或表达上错误，则按下列原则进行修正：</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（1）用数字表示的数额与用文字表示的数额不一致时，以文字数额为准；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（2）单价与工程量的乘积与总价之间不一致时，以单价为准。若单价有明显小数点错位，应以总价为准，并修改单价。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30.4磋商小组将按第30.3条原则修正商务报价，并要求供应商进行确认。确认后的报价和文件将对供应商具有约束力。并以修正后的报价作为评审的依据。</w:t>
      </w:r>
    </w:p>
    <w:bookmarkEnd w:id="164"/>
    <w:bookmarkEnd w:id="165"/>
    <w:bookmarkEnd w:id="166"/>
    <w:bookmarkEnd w:id="167"/>
    <w:bookmarkEnd w:id="168"/>
    <w:bookmarkEnd w:id="169"/>
    <w:bookmarkEnd w:id="170"/>
    <w:bookmarkEnd w:id="171"/>
    <w:bookmarkEnd w:id="172"/>
    <w:bookmarkEnd w:id="173"/>
    <w:bookmarkEnd w:id="174"/>
    <w:bookmarkEnd w:id="175"/>
    <w:p>
      <w:pPr>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31、响应文件的澄清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31.1为有助于对响应文件的审查、评价和比较，磋商小组在评审过程中有权随时请供应商对其响应文件进行澄清，有关澄清的要求和答复应以书面形式提交，供应商对澄清问题的书面答复应有法定代表人或委托代理人签字或盖章，但不得寻求、提供或允许对最后报价或响应文件中的其他实质性内容做任何更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31.2供应商法定代表人或委托代理人在评审过程中应保证随时接受磋商小组质询。若供应商法定代表人或委托代理人因故不能接受质询，其响应文件仍有效，但应视为供应商已默认磋商小组对缺席的质询所作出的结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31.3 磋商小组允许供应商通过澄清答复修正其最后报价中不构成重大偏离的、微小的、非正规的、不一致的或不规范的地方，但这些修正不能影响任何供应商的相关名次排列。</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31.4如果供应商在响应文件中未对磋商文件、技术规格及标准、项目采购需求、合同主要内容等提出偏离意见或澄清，将视同供应商同意上述文件的全部条款和要求。</w:t>
      </w:r>
    </w:p>
    <w:p>
      <w:pPr>
        <w:spacing w:line="360" w:lineRule="auto"/>
        <w:ind w:firstLine="482" w:firstLineChars="200"/>
        <w:outlineLvl w:val="1"/>
        <w:rPr>
          <w:rFonts w:hint="eastAsia" w:ascii="宋体" w:hAnsi="宋体" w:eastAsia="宋体" w:cs="宋体"/>
          <w:color w:val="auto"/>
          <w:sz w:val="24"/>
          <w:highlight w:val="none"/>
        </w:rPr>
      </w:pPr>
      <w:bookmarkStart w:id="176" w:name="_Toc243906346"/>
      <w:bookmarkStart w:id="177" w:name="_Toc243907607"/>
      <w:bookmarkStart w:id="178" w:name="_Toc233274845"/>
      <w:bookmarkStart w:id="179" w:name="_Toc245897306"/>
      <w:r>
        <w:rPr>
          <w:rFonts w:hint="eastAsia" w:ascii="宋体" w:hAnsi="宋体" w:eastAsia="宋体" w:cs="宋体"/>
          <w:b/>
          <w:color w:val="auto"/>
          <w:sz w:val="24"/>
          <w:highlight w:val="none"/>
        </w:rPr>
        <w:t>32、重大偏离</w:t>
      </w:r>
      <w:bookmarkEnd w:id="176"/>
      <w:bookmarkEnd w:id="177"/>
      <w:bookmarkEnd w:id="178"/>
      <w:bookmarkEnd w:id="179"/>
    </w:p>
    <w:p>
      <w:pPr>
        <w:spacing w:line="360" w:lineRule="auto"/>
        <w:ind w:firstLine="482" w:firstLineChars="200"/>
        <w:rPr>
          <w:rFonts w:hint="eastAsia" w:ascii="宋体" w:hAnsi="宋体" w:eastAsia="宋体" w:cs="宋体"/>
          <w:b/>
          <w:color w:val="auto"/>
          <w:sz w:val="24"/>
          <w:highlight w:val="none"/>
        </w:rPr>
      </w:pPr>
      <w:bookmarkStart w:id="180" w:name="_Toc245897307"/>
      <w:bookmarkStart w:id="181" w:name="_Toc243907608"/>
      <w:bookmarkStart w:id="182" w:name="_Toc233274846"/>
      <w:bookmarkStart w:id="183" w:name="_Toc243906347"/>
      <w:r>
        <w:rPr>
          <w:rFonts w:hint="eastAsia" w:ascii="宋体" w:hAnsi="宋体" w:eastAsia="宋体" w:cs="宋体"/>
          <w:b/>
          <w:color w:val="auto"/>
          <w:sz w:val="24"/>
          <w:highlight w:val="none"/>
        </w:rPr>
        <w:t>重大偏离是指实质上影响合同的采购范围、服务时间、质量和性能等，或者实质上不满足磋商文件的要求，而且限制了采购人的权力或减轻了供应商的义务。纠正或承认这些偏离将会对其他实质上响应要求的供应商合理的竞争地位产生不公正的影响。</w:t>
      </w:r>
    </w:p>
    <w:p>
      <w:pPr>
        <w:spacing w:line="360" w:lineRule="auto"/>
        <w:ind w:firstLine="482"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w:t>
      </w:r>
      <w:bookmarkEnd w:id="180"/>
      <w:bookmarkEnd w:id="181"/>
      <w:bookmarkEnd w:id="182"/>
      <w:bookmarkEnd w:id="183"/>
      <w:r>
        <w:rPr>
          <w:rFonts w:hint="eastAsia" w:ascii="宋体" w:hAnsi="宋体" w:eastAsia="宋体" w:cs="宋体"/>
          <w:b/>
          <w:color w:val="auto"/>
          <w:sz w:val="24"/>
          <w:highlight w:val="none"/>
        </w:rPr>
        <w:t>无效响应文件</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响应文件有下列情形之一的，由磋商小组评审后按无效响应文件处理：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r>
        <w:rPr>
          <w:rFonts w:hint="eastAsia" w:ascii="宋体" w:hAnsi="宋体" w:eastAsia="宋体" w:cs="宋体"/>
          <w:b/>
          <w:color w:val="auto"/>
          <w:kern w:val="0"/>
          <w:sz w:val="24"/>
          <w:highlight w:val="none"/>
        </w:rPr>
        <w:t>供应商的商务报价高于采购项目预算；</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33.2响应文件附有采购人不能接受条件的；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33.3出现重大偏离的；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33.4对竞争性磋商文件提出的实质性要求和条件未能实质性响应；</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33.5《中华人民共和国政府采购法》、《中华人民共和国政府采购实施条例》、《政府采购竞争性磋商采购方式管理暂行办法》及相关法律法规及磋商文件明确规定可以作无效响应的其他情形。</w:t>
      </w:r>
    </w:p>
    <w:p>
      <w:pPr>
        <w:spacing w:line="360" w:lineRule="auto"/>
        <w:ind w:firstLine="482"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34、评审标准</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34.1</w:t>
      </w:r>
      <w:bookmarkEnd w:id="151"/>
      <w:bookmarkEnd w:id="152"/>
      <w:bookmarkEnd w:id="153"/>
      <w:bookmarkEnd w:id="154"/>
      <w:r>
        <w:rPr>
          <w:rFonts w:hint="eastAsia" w:ascii="宋体" w:hAnsi="宋体" w:eastAsia="宋体" w:cs="宋体"/>
          <w:b/>
          <w:color w:val="auto"/>
          <w:sz w:val="24"/>
          <w:highlight w:val="none"/>
        </w:rPr>
        <w:t>本项目评审严格按照磋商文件的要求和条件进行。</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34.2信用查询</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34.2.1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34.3响应文件初审。初审分为资格性审查和符合性审查。响应文件初审由磋商小组根据各供应商响应文件进行评审，</w:t>
      </w:r>
      <w:r>
        <w:rPr>
          <w:rFonts w:hint="eastAsia" w:ascii="宋体" w:hAnsi="宋体" w:eastAsia="宋体" w:cs="宋体"/>
          <w:b/>
          <w:color w:val="auto"/>
          <w:sz w:val="24"/>
          <w:szCs w:val="20"/>
          <w:highlight w:val="none"/>
        </w:rPr>
        <w:t>初</w:t>
      </w:r>
      <w:r>
        <w:rPr>
          <w:rFonts w:hint="eastAsia" w:ascii="宋体" w:hAnsi="宋体" w:eastAsia="宋体" w:cs="宋体"/>
          <w:b/>
          <w:color w:val="auto"/>
          <w:sz w:val="24"/>
          <w:highlight w:val="none"/>
        </w:rPr>
        <w:t>审内容详见第六章</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评审标准（综合评分法）。未通过初审的供应商其响应文件按照无效响应文件处理。</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34.3.1资格性检查。依据法律法规和磋商文件的规定，对响应文件中的资格条件等进行审查，以确定供应商是否具备磋商资格。</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34.3.2符合性检查。依据磋商文件的规定，从响应文件的有效性、完整性和对磋商文件的响应程度进行审查，以确定是否对磋商文件的实质性要求作出响应。</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34.3.2.1澄清有关问题。对响应文件中含义不明确、同类问题表述不一致或者有明显文字和计算错误的内容，磋商小组可以书面形式要求供应商作出必要的澄清、说明或者纠正。供应商的澄清、说明或者补正应当采用书面形式，由其授权的代表签字，并不得超出响应文件的范围或者改变响应文件的实质性内容。</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34.4比较与评价。磋商小组按磋商文件中规定的评审方法和标准，对资格性检查和符合性检查合格的响应文件进行商务和技术评估，综合比较与评价。</w:t>
      </w:r>
    </w:p>
    <w:p>
      <w:pPr>
        <w:pStyle w:val="5"/>
        <w:rPr>
          <w:rFonts w:hint="eastAsia" w:ascii="宋体" w:hAnsi="宋体" w:eastAsia="宋体" w:cs="宋体"/>
        </w:rPr>
      </w:pPr>
      <w:r>
        <w:rPr>
          <w:rFonts w:hint="eastAsia" w:ascii="宋体" w:hAnsi="宋体" w:eastAsia="宋体" w:cs="宋体"/>
          <w:b/>
          <w:color w:val="auto"/>
          <w:sz w:val="24"/>
          <w:highlight w:val="none"/>
        </w:rPr>
        <w:t>34.5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34.</w:t>
      </w:r>
      <w:r>
        <w:rPr>
          <w:rFonts w:hint="eastAsia" w:ascii="宋体" w:hAnsi="宋体" w:eastAsia="宋体" w:cs="宋体"/>
          <w:b/>
          <w:color w:val="auto"/>
          <w:sz w:val="24"/>
          <w:highlight w:val="none"/>
          <w:lang w:val="en-US" w:eastAsia="zh-CN"/>
        </w:rPr>
        <w:t>6</w:t>
      </w:r>
      <w:r>
        <w:rPr>
          <w:rFonts w:hint="eastAsia" w:ascii="宋体" w:hAnsi="宋体" w:eastAsia="宋体" w:cs="宋体"/>
          <w:color w:val="auto"/>
          <w:sz w:val="24"/>
          <w:highlight w:val="none"/>
        </w:rPr>
        <w:t>本项目评审</w:t>
      </w:r>
      <w:r>
        <w:rPr>
          <w:rFonts w:hint="eastAsia" w:ascii="宋体" w:hAnsi="宋体" w:eastAsia="宋体" w:cs="宋体"/>
          <w:b/>
          <w:color w:val="auto"/>
          <w:sz w:val="24"/>
          <w:highlight w:val="none"/>
        </w:rPr>
        <w:t>采用综合评分法</w:t>
      </w:r>
      <w:r>
        <w:rPr>
          <w:rFonts w:hint="eastAsia" w:ascii="宋体" w:hAnsi="宋体" w:eastAsia="宋体" w:cs="宋体"/>
          <w:color w:val="auto"/>
          <w:sz w:val="24"/>
          <w:highlight w:val="none"/>
        </w:rPr>
        <w:t>，严格按照磋商文件的要求和条件进行。</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34.</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评审分值：总分值为</w:t>
      </w:r>
      <w:r>
        <w:rPr>
          <w:rFonts w:hint="eastAsia" w:ascii="宋体" w:hAnsi="宋体" w:eastAsia="宋体" w:cs="宋体"/>
          <w:b/>
          <w:color w:val="auto"/>
          <w:sz w:val="24"/>
          <w:highlight w:val="none"/>
          <w:lang w:val="en-US" w:eastAsia="zh-CN"/>
        </w:rPr>
        <w:t>100</w:t>
      </w:r>
      <w:r>
        <w:rPr>
          <w:rFonts w:hint="eastAsia" w:ascii="宋体" w:hAnsi="宋体" w:eastAsia="宋体" w:cs="宋体"/>
          <w:b/>
          <w:color w:val="auto"/>
          <w:sz w:val="24"/>
          <w:highlight w:val="none"/>
        </w:rPr>
        <w:t>分，其中</w:t>
      </w:r>
      <w:r>
        <w:rPr>
          <w:rFonts w:hint="eastAsia" w:ascii="宋体" w:hAnsi="宋体" w:eastAsia="宋体" w:cs="宋体"/>
          <w:b/>
          <w:color w:val="auto"/>
          <w:sz w:val="24"/>
          <w:highlight w:val="none"/>
          <w:lang w:val="en-US" w:eastAsia="zh-CN"/>
        </w:rPr>
        <w:t>磋商报价20分、商务部分10分、技术部分70分，具体评审评分内容详见本磋商文件第六章 评标标准（综合评分法）。</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w:t>
      </w: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推荐成交候选供应商</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34.8.1各供应商的</w:t>
      </w:r>
      <w:r>
        <w:rPr>
          <w:rFonts w:hint="eastAsia" w:ascii="宋体" w:hAnsi="宋体" w:eastAsia="宋体" w:cs="宋体"/>
          <w:b/>
          <w:color w:val="auto"/>
          <w:sz w:val="24"/>
          <w:highlight w:val="none"/>
          <w:lang w:val="en-US" w:eastAsia="zh-CN"/>
        </w:rPr>
        <w:t>综合</w:t>
      </w:r>
      <w:r>
        <w:rPr>
          <w:rFonts w:hint="eastAsia" w:ascii="宋体" w:hAnsi="宋体" w:eastAsia="宋体" w:cs="宋体"/>
          <w:b/>
          <w:color w:val="auto"/>
          <w:sz w:val="24"/>
          <w:highlight w:val="none"/>
        </w:rPr>
        <w:t>得分由高至低排序，</w:t>
      </w:r>
      <w:r>
        <w:rPr>
          <w:rFonts w:hint="eastAsia" w:ascii="宋体" w:hAnsi="宋体" w:eastAsia="宋体" w:cs="宋体"/>
          <w:b/>
          <w:color w:val="auto"/>
          <w:sz w:val="24"/>
          <w:highlight w:val="none"/>
          <w:lang w:val="en-US" w:eastAsia="zh-CN"/>
        </w:rPr>
        <w:t>综合</w:t>
      </w:r>
      <w:r>
        <w:rPr>
          <w:rFonts w:hint="eastAsia" w:ascii="宋体" w:hAnsi="宋体" w:eastAsia="宋体" w:cs="宋体"/>
          <w:b/>
          <w:color w:val="auto"/>
          <w:sz w:val="24"/>
          <w:highlight w:val="none"/>
        </w:rPr>
        <w:t>得分排列前3名的供应商被推荐为成交候选供应商。</w:t>
      </w:r>
      <w:r>
        <w:rPr>
          <w:rFonts w:hint="eastAsia" w:ascii="宋体" w:hAnsi="宋体" w:eastAsia="宋体" w:cs="宋体"/>
          <w:b/>
          <w:color w:val="auto"/>
          <w:sz w:val="24"/>
          <w:highlight w:val="none"/>
          <w:lang w:val="en-US" w:eastAsia="zh-CN"/>
        </w:rPr>
        <w:t>综合</w:t>
      </w:r>
      <w:r>
        <w:rPr>
          <w:rFonts w:hint="eastAsia" w:ascii="宋体" w:hAnsi="宋体" w:eastAsia="宋体" w:cs="宋体"/>
          <w:b/>
          <w:color w:val="auto"/>
          <w:sz w:val="24"/>
          <w:highlight w:val="none"/>
        </w:rPr>
        <w:t>得分相同的，按照最后报价由低到高的顺序推荐。</w:t>
      </w:r>
      <w:r>
        <w:rPr>
          <w:rFonts w:hint="eastAsia" w:ascii="宋体" w:hAnsi="宋体" w:eastAsia="宋体" w:cs="宋体"/>
          <w:b/>
          <w:color w:val="auto"/>
          <w:sz w:val="24"/>
          <w:highlight w:val="none"/>
          <w:lang w:val="en-US" w:eastAsia="zh-CN"/>
        </w:rPr>
        <w:t>综合</w:t>
      </w:r>
      <w:r>
        <w:rPr>
          <w:rFonts w:hint="eastAsia" w:ascii="宋体" w:hAnsi="宋体" w:eastAsia="宋体" w:cs="宋体"/>
          <w:b/>
          <w:color w:val="auto"/>
          <w:sz w:val="24"/>
          <w:highlight w:val="none"/>
        </w:rPr>
        <w:t>得分且最后报价相同的，按照技术指标优劣顺序推荐</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并编写评审报告。</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w:t>
      </w: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.2评分计算结果保留两位小数，第三位小数四舍五入。</w:t>
      </w:r>
    </w:p>
    <w:p>
      <w:pPr>
        <w:spacing w:line="360" w:lineRule="auto"/>
        <w:ind w:firstLine="480" w:firstLineChars="200"/>
        <w:rPr>
          <w:rFonts w:hint="eastAsia" w:ascii="宋体" w:hAnsi="宋体" w:eastAsia="宋体" w:cs="宋体"/>
        </w:rPr>
      </w:pPr>
      <w:r>
        <w:rPr>
          <w:rFonts w:hint="eastAsia" w:ascii="宋体" w:hAnsi="宋体" w:eastAsia="宋体" w:cs="宋体"/>
          <w:bCs/>
          <w:color w:val="auto"/>
          <w:sz w:val="24"/>
          <w:highlight w:val="none"/>
        </w:rPr>
        <w:t>34.9磋商小组复核。磋商小组评分汇总结束后，磋商小组应当进行评审复核，对拟推荐为成交候选供应商的、报价最低的、供应商资格审查未通过的、供应商响应文件作无效处理的重点复核。</w:t>
      </w:r>
    </w:p>
    <w:p>
      <w:pPr>
        <w:spacing w:line="360" w:lineRule="auto"/>
        <w:ind w:firstLine="482" w:firstLineChars="200"/>
        <w:outlineLvl w:val="1"/>
        <w:rPr>
          <w:rFonts w:hint="eastAsia" w:ascii="宋体" w:hAnsi="宋体" w:eastAsia="宋体" w:cs="宋体"/>
          <w:b/>
          <w:color w:val="auto"/>
          <w:sz w:val="24"/>
          <w:highlight w:val="none"/>
        </w:rPr>
      </w:pPr>
      <w:bookmarkStart w:id="184" w:name="_Toc245897309"/>
      <w:bookmarkStart w:id="185" w:name="_Toc243906349"/>
      <w:bookmarkStart w:id="186" w:name="_Toc233274848"/>
      <w:bookmarkStart w:id="187" w:name="_Toc243907610"/>
      <w:r>
        <w:rPr>
          <w:rFonts w:hint="eastAsia" w:ascii="宋体" w:hAnsi="宋体" w:eastAsia="宋体" w:cs="宋体"/>
          <w:b/>
          <w:color w:val="auto"/>
          <w:sz w:val="24"/>
          <w:highlight w:val="none"/>
        </w:rPr>
        <w:t>34.</w:t>
      </w:r>
      <w:r>
        <w:rPr>
          <w:rFonts w:hint="eastAsia" w:ascii="宋体" w:hAnsi="宋体" w:eastAsia="宋体" w:cs="宋体"/>
          <w:b/>
          <w:color w:val="auto"/>
          <w:sz w:val="24"/>
          <w:highlight w:val="none"/>
          <w:lang w:val="en-US" w:eastAsia="zh-CN"/>
        </w:rPr>
        <w:t>10</w:t>
      </w:r>
      <w:r>
        <w:rPr>
          <w:rFonts w:hint="eastAsia" w:ascii="宋体" w:hAnsi="宋体" w:eastAsia="宋体" w:cs="宋体"/>
          <w:b/>
          <w:color w:val="auto"/>
          <w:sz w:val="24"/>
          <w:highlight w:val="none"/>
        </w:rPr>
        <w:t>采购人根据磋商小组推荐的成交候选供应商及有关规定确定成交供应商。</w:t>
      </w:r>
    </w:p>
    <w:bookmarkEnd w:id="184"/>
    <w:bookmarkEnd w:id="185"/>
    <w:bookmarkEnd w:id="186"/>
    <w:bookmarkEnd w:id="187"/>
    <w:p>
      <w:pPr>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35、采购人依法接受和拒绝任一或所有供应商的权力</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36、成交通知书</w:t>
      </w:r>
    </w:p>
    <w:p>
      <w:pPr>
        <w:spacing w:line="360" w:lineRule="auto"/>
        <w:ind w:firstLine="480" w:firstLineChars="200"/>
        <w:rPr>
          <w:rFonts w:hint="eastAsia" w:ascii="宋体" w:hAnsi="宋体" w:eastAsia="宋体" w:cs="宋体"/>
          <w:color w:val="auto"/>
          <w:sz w:val="24"/>
          <w:highlight w:val="none"/>
        </w:rPr>
      </w:pPr>
      <w:bookmarkStart w:id="188" w:name="_Toc233274849"/>
      <w:bookmarkStart w:id="189" w:name="_Toc243907611"/>
      <w:bookmarkStart w:id="190" w:name="_Toc243906350"/>
      <w:bookmarkStart w:id="191" w:name="_Toc245897310"/>
      <w:r>
        <w:rPr>
          <w:rFonts w:hint="eastAsia" w:ascii="宋体" w:hAnsi="宋体" w:eastAsia="宋体" w:cs="宋体"/>
          <w:color w:val="auto"/>
          <w:sz w:val="24"/>
          <w:highlight w:val="none"/>
        </w:rPr>
        <w:t>36.1采购人确定成交供应商后，及时通知采购代理机构，采购代理机构将按程序公告成交结果，同时向成交供应商发出成交通知书，成交通知书一经发出即发生法律效力。</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36.2《成交通知书》将是合同的组成部分。</w:t>
      </w:r>
    </w:p>
    <w:p>
      <w:pPr>
        <w:spacing w:line="360" w:lineRule="auto"/>
        <w:ind w:firstLine="480" w:firstLineChars="200"/>
        <w:rPr>
          <w:rFonts w:hint="eastAsia" w:ascii="宋体" w:hAnsi="宋体" w:eastAsia="宋体" w:cs="宋体"/>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.3采购人将通知其他未成交的供应商。</w:t>
      </w:r>
    </w:p>
    <w:p>
      <w:pPr>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37、纪律与保密事项</w:t>
      </w:r>
      <w:bookmarkEnd w:id="188"/>
      <w:bookmarkEnd w:id="189"/>
      <w:bookmarkEnd w:id="190"/>
      <w:bookmarkEnd w:id="191"/>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37.1凡参与磋商工作的有关人员均应自觉接受有关主管部门的监督，不得向他人透露可能影响公平竞争的有关磋商的其他情况。</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37.2领取本磋商文件及其它相关资料者，应对文件进行保密，不得用作本次磋商以外的任何用途。由采购人向供应商提供的图纸、技术资料和所有其它资料，均视为保密资料，除非得到采购人的同意，不得向第三方透露。</w:t>
      </w:r>
    </w:p>
    <w:p>
      <w:pPr>
        <w:spacing w:line="360" w:lineRule="auto"/>
        <w:ind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37.3供应商不得与采购人串通磋商，不得向采购人或者磋商小组成员行贿谋取成交，不得以他人名义参与磋商或者以其它任何方式弄虚作假骗取参与磋商；供应商不得以任何方式干扰、影响评审工作。</w:t>
      </w:r>
      <w:r>
        <w:rPr>
          <w:rFonts w:hint="eastAsia" w:ascii="宋体" w:hAnsi="宋体" w:eastAsia="宋体" w:cs="宋体"/>
          <w:b/>
          <w:bCs/>
          <w:color w:val="auto"/>
          <w:sz w:val="24"/>
          <w:highlight w:val="none"/>
        </w:rPr>
        <w:t>如果供应商或者其他利害关系人通过捏造事实、伪造证明材料等方式提出质疑，干扰政府采购活动正常进行的，属于严重不良行为，采购人、采购代理机构将提请财政部门将其列入不良行为记录名单，并依法予以处罚</w:t>
      </w:r>
      <w:r>
        <w:rPr>
          <w:rFonts w:hint="eastAsia" w:ascii="宋体" w:hAnsi="宋体" w:eastAsia="宋体" w:cs="宋体"/>
          <w:color w:val="auto"/>
          <w:sz w:val="24"/>
          <w:highlight w:val="none"/>
          <w:lang w:eastAsia="zh-CN"/>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37.4供应商不得在磋商过程中互相串通、结盟、损害磋商的公正性和竞争性，或以任何方式影响其他供应商参与正当磋商。扰乱磋商市场，破坏公平竞争原则。如供应商在磋商过程中互相串通，一经查实，将取消磋商资格。</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37.5 磋商之日起直至授予成交供应商合同为止，凡属于对响应文件的审查、澄清、评价、比较有关的资料和成交人的推荐情况及与评审有关的其他任何情况均严格保密。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37.6从磋商之日起至授予合同期间，供应商试图向磋商小组、采购代理机构施加任何影响或对采购人的比较及授予合同的决定进行影响，都可能导致其响应文件被拒绝。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37.7除供应商被要求对响应文件进行澄清外，从磋商之时起至授予合同期间，供应商不得就与其响应文件有关的事项主动与磋商小组、采购代理机构以及采购人联系。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37.8成交供应商确定后，采购人不对未成交供应商就评审过程以及未能成交原因作出任何解释，未成交供应商不得向磋商小组或其他有关人员询问评审过程的情况和索取评审过程的资料。</w:t>
      </w:r>
    </w:p>
    <w:p>
      <w:pPr>
        <w:pStyle w:val="13"/>
        <w:spacing w:line="360" w:lineRule="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六、授予合同</w:t>
      </w:r>
      <w:bookmarkEnd w:id="155"/>
      <w:bookmarkStart w:id="192" w:name="_Toc243907618"/>
      <w:bookmarkStart w:id="193" w:name="_Toc233274853"/>
      <w:bookmarkStart w:id="194" w:name="_Toc243906355"/>
      <w:bookmarkStart w:id="195" w:name="_Toc245897315"/>
    </w:p>
    <w:bookmarkEnd w:id="192"/>
    <w:bookmarkEnd w:id="193"/>
    <w:bookmarkEnd w:id="194"/>
    <w:bookmarkEnd w:id="195"/>
    <w:p>
      <w:pPr>
        <w:pStyle w:val="13"/>
        <w:spacing w:line="360" w:lineRule="auto"/>
        <w:ind w:firstLine="480" w:firstLineChars="200"/>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38、授予合同标准</w:t>
      </w:r>
    </w:p>
    <w:p>
      <w:pPr>
        <w:pStyle w:val="1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38.1本采购项目的采购合同将授予按本须知第34条所确定成交供应商。</w:t>
      </w:r>
    </w:p>
    <w:p>
      <w:pPr>
        <w:pStyle w:val="13"/>
        <w:spacing w:line="360" w:lineRule="auto"/>
        <w:ind w:firstLine="480" w:firstLineChars="200"/>
        <w:outlineLvl w:val="1"/>
        <w:rPr>
          <w:rFonts w:hint="eastAsia" w:ascii="宋体" w:hAnsi="宋体" w:eastAsia="宋体" w:cs="宋体"/>
          <w:color w:val="auto"/>
          <w:sz w:val="24"/>
          <w:szCs w:val="24"/>
          <w:highlight w:val="none"/>
        </w:rPr>
      </w:pPr>
      <w:bookmarkStart w:id="196" w:name="_Toc245897317"/>
      <w:bookmarkStart w:id="197" w:name="_Toc243907620"/>
      <w:bookmarkStart w:id="198" w:name="_Toc243906357"/>
      <w:bookmarkStart w:id="199" w:name="_Toc233274855"/>
      <w:r>
        <w:rPr>
          <w:rFonts w:hint="eastAsia" w:ascii="宋体" w:hAnsi="宋体" w:eastAsia="宋体" w:cs="宋体"/>
          <w:color w:val="auto"/>
          <w:sz w:val="24"/>
          <w:szCs w:val="24"/>
          <w:highlight w:val="none"/>
        </w:rPr>
        <w:t>39、签订合同</w:t>
      </w:r>
      <w:bookmarkEnd w:id="196"/>
      <w:bookmarkEnd w:id="197"/>
      <w:bookmarkEnd w:id="198"/>
      <w:bookmarkEnd w:id="199"/>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39.1成交供应商应当自成交通知书发出之日起三十日内，按照磋商文件和成交供应商的响应文件订立书面合同。成交供应商不得要求订立背离本响应文件合同主要内容等响应文件实质性内容的其他协议。</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39.2 成交通知书、成交供应商的响应文件及其澄清文件、技术规范及标准、项目采购需求、本磋商文件（含修改文件或补充文件）及答疑纪要等，均为签订合同的依据。</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39.3采购人如不按本须知39.1条规定与成交供应商签订合同，或者采购人、成交供应商签订背离合同实质性内容的协议，由监督管理部门责令其改正。</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39.4成交供应商如不按本须知39.1条规定与采购人签订合同，则按违约处理，采购人将有权取消成交供应商资格，给采购人造成损失，还应当予以赔偿，同时依法承担相应的法律责任。</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szCs w:val="24"/>
          <w:highlight w:val="none"/>
          <w:lang w:val="en-US" w:eastAsia="zh-CN"/>
        </w:rPr>
        <w:t>39.5中标供应商拒绝与采购人签订合同的，采购人可以按照推荐的中标候选人名单排序，确定下一候选人为中标人，也可以重新开展采购活动</w:t>
      </w:r>
      <w:r>
        <w:rPr>
          <w:rFonts w:hint="eastAsia" w:ascii="宋体" w:hAnsi="宋体" w:eastAsia="宋体" w:cs="宋体"/>
          <w:b/>
          <w:bCs/>
          <w:color w:val="auto"/>
          <w:sz w:val="24"/>
          <w:highlight w:val="none"/>
        </w:rPr>
        <w:t>。</w:t>
      </w:r>
    </w:p>
    <w:p>
      <w:pPr>
        <w:spacing w:line="360" w:lineRule="auto"/>
        <w:ind w:firstLine="480" w:firstLineChars="200"/>
        <w:outlineLvl w:val="1"/>
        <w:rPr>
          <w:rFonts w:hint="eastAsia" w:ascii="宋体" w:hAnsi="宋体" w:eastAsia="宋体" w:cs="宋体"/>
          <w:bCs/>
          <w:color w:val="auto"/>
          <w:sz w:val="24"/>
          <w:highlight w:val="none"/>
        </w:rPr>
      </w:pPr>
      <w:bookmarkStart w:id="200" w:name="_Toc243907621"/>
      <w:bookmarkStart w:id="201" w:name="_Toc245897318"/>
      <w:r>
        <w:rPr>
          <w:rFonts w:hint="eastAsia" w:ascii="宋体" w:hAnsi="宋体" w:eastAsia="宋体" w:cs="宋体"/>
          <w:bCs/>
          <w:color w:val="auto"/>
          <w:sz w:val="24"/>
          <w:highlight w:val="none"/>
        </w:rPr>
        <w:t>40、合同的签订准则</w:t>
      </w:r>
      <w:bookmarkEnd w:id="200"/>
      <w:bookmarkEnd w:id="201"/>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40.1合同签订必须由采购人、成交供应商双方法定代表人或其委托代理人签署并加盖法人公章后方能生效。</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40.2合同转包（实质性要求）</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成交供应商转包的，视同拒绝履行政府采购合同义务，将依法追究法律责任。</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40.3补充合同</w:t>
      </w:r>
    </w:p>
    <w:p>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sz w:val="24"/>
          <w:highlight w:val="none"/>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pStyle w:val="13"/>
        <w:spacing w:line="360" w:lineRule="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七、询问、质疑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、询问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.1供应商对采购活动事项有疑问的，可以向采购人或采购代理机构提出询问，采购人或采购代理机构应当在三个工作日内对供应商依法提出的询问作出答复，但答复的内容不得涉及商业秘密。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 供应商认为竞争性磋商文件、采购过程和中标结果使自己的合法权益受到损害的，可以在知道或者应知其权益受到损害之日起七个工作日内，将质疑文件原件和必要的证明材料送达采购代理机构。</w:t>
      </w:r>
    </w:p>
    <w:p>
      <w:pPr>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供应商如对竞争性磋商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pPr>
        <w:tabs>
          <w:tab w:val="left" w:pos="7665"/>
        </w:tabs>
        <w:spacing w:line="360" w:lineRule="auto"/>
        <w:ind w:firstLine="480" w:firstLineChars="200"/>
        <w:rPr>
          <w:rFonts w:hint="eastAsia" w:ascii="宋体" w:hAnsi="宋体" w:eastAsia="宋体" w:cs="宋体"/>
          <w:bCs/>
          <w:color w:val="auto"/>
          <w:sz w:val="24"/>
          <w:highlight w:val="none"/>
        </w:rPr>
      </w:pPr>
      <w:bookmarkStart w:id="202" w:name="_Toc28505_WPSOffice_Level1"/>
    </w:p>
    <w:p>
      <w:pPr>
        <w:tabs>
          <w:tab w:val="left" w:pos="7665"/>
        </w:tabs>
        <w:spacing w:line="360" w:lineRule="auto"/>
        <w:ind w:firstLine="562" w:firstLineChars="200"/>
        <w:jc w:val="center"/>
        <w:rPr>
          <w:rFonts w:hint="eastAsia" w:ascii="宋体" w:hAnsi="宋体" w:eastAsia="宋体" w:cs="宋体"/>
          <w:b/>
          <w:bCs/>
          <w:color w:val="auto"/>
          <w:sz w:val="28"/>
          <w:szCs w:val="28"/>
          <w:highlight w:val="none"/>
        </w:rPr>
      </w:pPr>
    </w:p>
    <w:p>
      <w:pPr>
        <w:tabs>
          <w:tab w:val="left" w:pos="7665"/>
        </w:tabs>
        <w:spacing w:line="360" w:lineRule="auto"/>
        <w:ind w:firstLine="562" w:firstLineChars="200"/>
        <w:jc w:val="center"/>
        <w:rPr>
          <w:rFonts w:hint="eastAsia" w:ascii="宋体" w:hAnsi="宋体" w:eastAsia="宋体" w:cs="宋体"/>
          <w:b/>
          <w:bCs/>
          <w:color w:val="auto"/>
          <w:sz w:val="28"/>
          <w:szCs w:val="28"/>
          <w:highlight w:val="none"/>
        </w:rPr>
      </w:pPr>
    </w:p>
    <w:p>
      <w:pPr>
        <w:pStyle w:val="5"/>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tabs>
          <w:tab w:val="left" w:pos="7665"/>
        </w:tabs>
        <w:spacing w:line="360" w:lineRule="auto"/>
        <w:ind w:firstLine="562"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第三章</w:t>
      </w:r>
      <w:bookmarkEnd w:id="202"/>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项目采购需求</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lang w:val="en-US" w:eastAsia="zh-CN"/>
        </w:rPr>
      </w:pPr>
      <w:bookmarkStart w:id="203" w:name="_Toc14014_WPSOffice_Level1"/>
      <w:r>
        <w:rPr>
          <w:rFonts w:hint="eastAsia" w:ascii="宋体" w:hAnsi="宋体" w:eastAsia="宋体" w:cs="宋体"/>
          <w:color w:val="auto"/>
          <w:sz w:val="24"/>
          <w:highlight w:val="none"/>
          <w:lang w:val="en-US" w:eastAsia="zh-CN"/>
        </w:rPr>
        <w:t>1、购买保安工作人员19名；</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2、服务期限一年，每人次每月服务费2800元，每月保安服务费合计53200元，一年服务费为638400元；</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zh-CN" w:eastAsia="zh-CN"/>
        </w:rPr>
        <w:t>以上人员须身体健康，</w:t>
      </w:r>
      <w:r>
        <w:rPr>
          <w:rFonts w:hint="eastAsia" w:ascii="宋体" w:hAnsi="宋体" w:eastAsia="宋体" w:cs="宋体"/>
          <w:color w:val="auto"/>
          <w:sz w:val="24"/>
          <w:highlight w:val="none"/>
          <w:lang w:val="en-US" w:eastAsia="zh-CN"/>
        </w:rPr>
        <w:t>无重大疾病，无不良嗜好。遵纪守法，无不良记录。能吃苦耐劳，勤学好问，能胜任所在职位工作。</w:t>
      </w:r>
      <w:r>
        <w:rPr>
          <w:rFonts w:hint="eastAsia" w:ascii="宋体" w:hAnsi="宋体" w:eastAsia="宋体" w:cs="宋体"/>
          <w:color w:val="auto"/>
          <w:sz w:val="24"/>
          <w:highlight w:val="none"/>
          <w:lang w:val="zh-CN" w:eastAsia="zh-CN"/>
        </w:rPr>
        <w:t>能严格遵守职业道德，严格遵守新疆维吾尔自治区高级人民法院各项规章制度，礼貌待人，举止文明，衣着得体；</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4、拟派人员还需开具政审报告；</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5、符合《保安服务管理条例》要求，严格开展各项工作，做好我院安全保卫工作，维护正常秩序；</w:t>
      </w:r>
    </w:p>
    <w:p>
      <w:pPr>
        <w:pStyle w:val="37"/>
        <w:spacing w:line="44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供应商在响应文件中的承诺内容必须达到本篇及采购文件其他条款的要求。</w:t>
      </w:r>
    </w:p>
    <w:p>
      <w:pPr>
        <w:pStyle w:val="37"/>
        <w:spacing w:line="44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其他未尽事宜由供需双方在采购合同中详细约定。</w:t>
      </w:r>
    </w:p>
    <w:p>
      <w:pPr>
        <w:pStyle w:val="39"/>
        <w:keepNext w:val="0"/>
        <w:keepLines w:val="0"/>
        <w:pageBreakBefore/>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b/>
          <w:color w:val="auto"/>
          <w:sz w:val="32"/>
          <w:szCs w:val="32"/>
          <w:highlight w:val="none"/>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合同协议书</w:t>
      </w:r>
    </w:p>
    <w:p>
      <w:pPr>
        <w:ind w:firstLine="640" w:firstLineChars="200"/>
        <w:jc w:val="center"/>
        <w:rPr>
          <w:rFonts w:hint="eastAsia" w:ascii="宋体" w:hAnsi="宋体" w:eastAsia="宋体" w:cs="宋体"/>
          <w:color w:val="000000"/>
          <w:sz w:val="32"/>
          <w:szCs w:val="32"/>
        </w:rPr>
      </w:pPr>
      <w:bookmarkStart w:id="204" w:name="_Toc21598706"/>
      <w:r>
        <w:rPr>
          <w:rFonts w:hint="eastAsia" w:ascii="宋体" w:hAnsi="宋体" w:eastAsia="宋体" w:cs="宋体"/>
          <w:color w:val="000000"/>
          <w:sz w:val="32"/>
          <w:szCs w:val="32"/>
          <w:lang w:eastAsia="zh-CN"/>
        </w:rPr>
        <w:t>（仅供参考）</w:t>
      </w:r>
      <w:bookmarkEnd w:id="204"/>
    </w:p>
    <w:p>
      <w:pPr>
        <w:rPr>
          <w:rFonts w:hint="eastAsia" w:ascii="宋体" w:hAnsi="宋体" w:eastAsia="宋体" w:cs="宋体"/>
          <w:color w:val="auto"/>
          <w:sz w:val="24"/>
          <w:u w:val="single"/>
        </w:rPr>
      </w:pPr>
      <w:r>
        <w:rPr>
          <w:rFonts w:hint="eastAsia" w:ascii="宋体" w:hAnsi="宋体" w:eastAsia="宋体" w:cs="宋体"/>
          <w:color w:val="auto"/>
          <w:sz w:val="24"/>
        </w:rPr>
        <w:t>合同编号：</w:t>
      </w:r>
      <w:r>
        <w:rPr>
          <w:rFonts w:hint="eastAsia" w:ascii="宋体" w:hAnsi="宋体" w:eastAsia="宋体" w:cs="宋体"/>
          <w:color w:val="auto"/>
          <w:sz w:val="24"/>
          <w:u w:val="single"/>
        </w:rPr>
        <w:t xml:space="preserve">           </w:t>
      </w:r>
    </w:p>
    <w:p>
      <w:pPr>
        <w:spacing w:line="480" w:lineRule="auto"/>
        <w:jc w:val="both"/>
        <w:rPr>
          <w:rFonts w:hint="eastAsia" w:ascii="宋体" w:hAnsi="宋体" w:eastAsia="宋体" w:cs="宋体"/>
          <w:b/>
          <w:color w:val="auto"/>
          <w:sz w:val="44"/>
          <w:szCs w:val="44"/>
        </w:rPr>
      </w:pPr>
    </w:p>
    <w:p>
      <w:pPr>
        <w:pStyle w:val="2"/>
        <w:rPr>
          <w:rFonts w:hint="eastAsia" w:ascii="宋体" w:hAnsi="宋体" w:eastAsia="宋体" w:cs="宋体"/>
          <w:b/>
          <w:color w:val="auto"/>
          <w:sz w:val="44"/>
          <w:szCs w:val="44"/>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政府采购合同参考范本</w:t>
      </w:r>
    </w:p>
    <w:p>
      <w:pPr>
        <w:spacing w:line="480" w:lineRule="auto"/>
        <w:jc w:val="center"/>
        <w:rPr>
          <w:rFonts w:hint="eastAsia" w:ascii="宋体" w:hAnsi="宋体" w:eastAsia="宋体" w:cs="宋体"/>
          <w:b/>
          <w:color w:val="auto"/>
          <w:sz w:val="24"/>
        </w:rPr>
      </w:pPr>
      <w:r>
        <w:rPr>
          <w:rFonts w:hint="eastAsia" w:ascii="宋体" w:hAnsi="宋体" w:eastAsia="宋体" w:cs="宋体"/>
          <w:b/>
          <w:color w:val="auto"/>
          <w:sz w:val="24"/>
        </w:rPr>
        <w:t>（服务类）</w:t>
      </w:r>
    </w:p>
    <w:p>
      <w:pPr>
        <w:pStyle w:val="44"/>
        <w:ind w:firstLine="0"/>
        <w:rPr>
          <w:rFonts w:hint="eastAsia" w:ascii="宋体" w:hAnsi="宋体" w:eastAsia="宋体" w:cs="宋体"/>
          <w:color w:val="auto"/>
          <w:szCs w:val="24"/>
        </w:rPr>
      </w:pPr>
    </w:p>
    <w:p>
      <w:pPr>
        <w:pStyle w:val="44"/>
        <w:ind w:firstLine="0"/>
        <w:rPr>
          <w:rFonts w:hint="eastAsia" w:ascii="宋体" w:hAnsi="宋体" w:eastAsia="宋体" w:cs="宋体"/>
          <w:color w:val="auto"/>
          <w:szCs w:val="24"/>
        </w:rPr>
      </w:pPr>
    </w:p>
    <w:p>
      <w:pPr>
        <w:pStyle w:val="44"/>
        <w:ind w:firstLine="0"/>
        <w:rPr>
          <w:rFonts w:hint="eastAsia" w:ascii="宋体" w:hAnsi="宋体" w:eastAsia="宋体" w:cs="宋体"/>
          <w:color w:val="auto"/>
          <w:szCs w:val="24"/>
        </w:rPr>
      </w:pPr>
    </w:p>
    <w:p>
      <w:pPr>
        <w:pStyle w:val="44"/>
        <w:ind w:firstLine="0"/>
        <w:jc w:val="center"/>
        <w:rPr>
          <w:rFonts w:hint="eastAsia" w:ascii="宋体" w:hAnsi="宋体" w:eastAsia="宋体" w:cs="宋体"/>
          <w:b/>
          <w:color w:val="auto"/>
          <w:szCs w:val="24"/>
        </w:rPr>
      </w:pPr>
    </w:p>
    <w:p>
      <w:pPr>
        <w:pStyle w:val="44"/>
        <w:ind w:firstLine="0"/>
        <w:rPr>
          <w:rFonts w:hint="eastAsia" w:ascii="宋体" w:hAnsi="宋体" w:eastAsia="宋体" w:cs="宋体"/>
          <w:color w:val="auto"/>
          <w:szCs w:val="24"/>
        </w:rPr>
      </w:pPr>
    </w:p>
    <w:p>
      <w:pPr>
        <w:pStyle w:val="44"/>
        <w:ind w:firstLine="0"/>
        <w:rPr>
          <w:rFonts w:hint="eastAsia" w:ascii="宋体" w:hAnsi="宋体" w:eastAsia="宋体" w:cs="宋体"/>
          <w:color w:val="auto"/>
          <w:szCs w:val="24"/>
        </w:rPr>
      </w:pPr>
    </w:p>
    <w:p>
      <w:pPr>
        <w:pStyle w:val="44"/>
        <w:ind w:firstLine="0"/>
        <w:rPr>
          <w:rFonts w:hint="eastAsia" w:ascii="宋体" w:hAnsi="宋体" w:eastAsia="宋体" w:cs="宋体"/>
          <w:color w:val="auto"/>
          <w:szCs w:val="24"/>
        </w:rPr>
      </w:pPr>
    </w:p>
    <w:p>
      <w:pPr>
        <w:pStyle w:val="44"/>
        <w:ind w:firstLine="0"/>
        <w:rPr>
          <w:rFonts w:hint="eastAsia" w:ascii="宋体" w:hAnsi="宋体" w:eastAsia="宋体" w:cs="宋体"/>
          <w:color w:val="auto"/>
          <w:szCs w:val="24"/>
        </w:rPr>
      </w:pPr>
    </w:p>
    <w:p>
      <w:pPr>
        <w:pStyle w:val="44"/>
        <w:ind w:firstLine="0"/>
        <w:rPr>
          <w:rFonts w:hint="eastAsia" w:ascii="宋体" w:hAnsi="宋体" w:eastAsia="宋体" w:cs="宋体"/>
          <w:color w:val="auto"/>
          <w:szCs w:val="24"/>
        </w:rPr>
      </w:pPr>
    </w:p>
    <w:p>
      <w:pPr>
        <w:pStyle w:val="44"/>
        <w:ind w:firstLine="0"/>
        <w:rPr>
          <w:rFonts w:hint="eastAsia" w:ascii="宋体" w:hAnsi="宋体" w:eastAsia="宋体" w:cs="宋体"/>
          <w:color w:val="auto"/>
          <w:szCs w:val="24"/>
        </w:rPr>
      </w:pPr>
    </w:p>
    <w:p>
      <w:pPr>
        <w:pStyle w:val="44"/>
        <w:ind w:firstLine="0"/>
        <w:rPr>
          <w:rFonts w:hint="eastAsia" w:ascii="宋体" w:hAnsi="宋体" w:eastAsia="宋体" w:cs="宋体"/>
          <w:color w:val="auto"/>
          <w:szCs w:val="24"/>
        </w:rPr>
      </w:pPr>
    </w:p>
    <w:p>
      <w:pPr>
        <w:spacing w:before="120" w:line="22" w:lineRule="atLeast"/>
        <w:rPr>
          <w:rFonts w:hint="eastAsia" w:ascii="宋体" w:hAnsi="宋体" w:eastAsia="宋体" w:cs="宋体"/>
          <w:color w:val="auto"/>
          <w:sz w:val="24"/>
        </w:rPr>
      </w:pPr>
    </w:p>
    <w:p>
      <w:pPr>
        <w:spacing w:before="120" w:line="22" w:lineRule="atLeast"/>
        <w:ind w:left="960"/>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p>
    <w:p>
      <w:pPr>
        <w:pStyle w:val="45"/>
        <w:spacing w:before="120" w:line="22" w:lineRule="atLeast"/>
        <w:rPr>
          <w:rFonts w:hint="eastAsia" w:ascii="宋体" w:hAnsi="宋体" w:eastAsia="宋体" w:cs="宋体"/>
          <w:color w:val="auto"/>
          <w:szCs w:val="24"/>
        </w:rPr>
      </w:pPr>
    </w:p>
    <w:p>
      <w:pPr>
        <w:rPr>
          <w:rFonts w:hint="eastAsia" w:ascii="宋体" w:hAnsi="宋体" w:eastAsia="宋体" w:cs="宋体"/>
          <w:color w:val="auto"/>
        </w:rPr>
      </w:pPr>
    </w:p>
    <w:p>
      <w:pPr>
        <w:spacing w:before="120" w:line="22" w:lineRule="atLeast"/>
        <w:ind w:left="960"/>
        <w:rPr>
          <w:rFonts w:hint="eastAsia" w:ascii="宋体" w:hAnsi="宋体" w:eastAsia="宋体" w:cs="宋体"/>
          <w:color w:val="auto"/>
          <w:sz w:val="24"/>
          <w:u w:val="single"/>
        </w:rPr>
      </w:pPr>
      <w:r>
        <w:rPr>
          <w:rFonts w:hint="eastAsia" w:ascii="宋体" w:hAnsi="宋体" w:eastAsia="宋体" w:cs="宋体"/>
          <w:color w:val="auto"/>
          <w:sz w:val="24"/>
        </w:rPr>
        <w:t>甲方：</w:t>
      </w:r>
      <w:r>
        <w:rPr>
          <w:rFonts w:hint="eastAsia" w:ascii="宋体" w:hAnsi="宋体" w:eastAsia="宋体" w:cs="宋体"/>
          <w:color w:val="auto"/>
          <w:sz w:val="24"/>
          <w:u w:val="single"/>
        </w:rPr>
        <w:t xml:space="preserve">                                       </w:t>
      </w:r>
    </w:p>
    <w:p>
      <w:pPr>
        <w:spacing w:before="120" w:line="22" w:lineRule="atLeast"/>
        <w:rPr>
          <w:rFonts w:hint="eastAsia" w:ascii="宋体" w:hAnsi="宋体" w:eastAsia="宋体" w:cs="宋体"/>
          <w:color w:val="auto"/>
          <w:sz w:val="24"/>
        </w:rPr>
      </w:pPr>
    </w:p>
    <w:p>
      <w:pPr>
        <w:spacing w:before="120" w:line="22" w:lineRule="atLeast"/>
        <w:ind w:left="960"/>
        <w:rPr>
          <w:rFonts w:hint="eastAsia" w:ascii="宋体" w:hAnsi="宋体" w:eastAsia="宋体" w:cs="宋体"/>
          <w:color w:val="auto"/>
          <w:sz w:val="24"/>
          <w:u w:val="single"/>
        </w:rPr>
      </w:pPr>
      <w:r>
        <w:rPr>
          <w:rFonts w:hint="eastAsia" w:ascii="宋体" w:hAnsi="宋体" w:eastAsia="宋体" w:cs="宋体"/>
          <w:color w:val="auto"/>
          <w:sz w:val="24"/>
        </w:rPr>
        <w:t>乙方：</w:t>
      </w:r>
      <w:r>
        <w:rPr>
          <w:rFonts w:hint="eastAsia" w:ascii="宋体" w:hAnsi="宋体" w:eastAsia="宋体" w:cs="宋体"/>
          <w:color w:val="auto"/>
          <w:sz w:val="24"/>
          <w:u w:val="single"/>
        </w:rPr>
        <w:t xml:space="preserve">                                       </w:t>
      </w:r>
    </w:p>
    <w:p>
      <w:pPr>
        <w:spacing w:before="120" w:line="22" w:lineRule="atLeast"/>
        <w:rPr>
          <w:rFonts w:hint="eastAsia" w:ascii="宋体" w:hAnsi="宋体" w:eastAsia="宋体" w:cs="宋体"/>
          <w:color w:val="auto"/>
          <w:sz w:val="24"/>
        </w:rPr>
      </w:pPr>
    </w:p>
    <w:p>
      <w:pPr>
        <w:spacing w:before="120" w:line="22" w:lineRule="atLeast"/>
        <w:ind w:firstLine="960" w:firstLineChars="400"/>
        <w:rPr>
          <w:rFonts w:hint="eastAsia" w:ascii="宋体" w:hAnsi="宋体" w:eastAsia="宋体" w:cs="宋体"/>
          <w:color w:val="auto"/>
          <w:sz w:val="24"/>
          <w:u w:val="single"/>
        </w:rPr>
      </w:pPr>
      <w:r>
        <w:rPr>
          <w:rFonts w:hint="eastAsia" w:ascii="宋体" w:hAnsi="宋体" w:eastAsia="宋体" w:cs="宋体"/>
          <w:color w:val="auto"/>
          <w:sz w:val="24"/>
        </w:rPr>
        <w:t>签订地：</w:t>
      </w:r>
      <w:r>
        <w:rPr>
          <w:rFonts w:hint="eastAsia" w:ascii="宋体" w:hAnsi="宋体" w:eastAsia="宋体" w:cs="宋体"/>
          <w:color w:val="auto"/>
          <w:sz w:val="24"/>
          <w:u w:val="single"/>
        </w:rPr>
        <w:t xml:space="preserve">                                     </w:t>
      </w:r>
    </w:p>
    <w:p>
      <w:pPr>
        <w:spacing w:before="120" w:line="22" w:lineRule="atLeast"/>
        <w:rPr>
          <w:rFonts w:hint="eastAsia" w:ascii="宋体" w:hAnsi="宋体" w:eastAsia="宋体" w:cs="宋体"/>
          <w:color w:val="auto"/>
          <w:sz w:val="24"/>
        </w:rPr>
      </w:pPr>
    </w:p>
    <w:p>
      <w:pPr>
        <w:spacing w:before="120" w:line="22" w:lineRule="atLeast"/>
        <w:ind w:firstLine="960" w:firstLineChars="400"/>
        <w:rPr>
          <w:rFonts w:hint="eastAsia" w:ascii="宋体" w:hAnsi="宋体" w:eastAsia="宋体" w:cs="宋体"/>
          <w:color w:val="auto"/>
          <w:sz w:val="24"/>
          <w:u w:val="single"/>
        </w:rPr>
      </w:pPr>
      <w:r>
        <w:rPr>
          <w:rFonts w:hint="eastAsia" w:ascii="宋体" w:hAnsi="宋体" w:eastAsia="宋体" w:cs="宋体"/>
          <w:color w:val="auto"/>
          <w:sz w:val="24"/>
        </w:rPr>
        <w:t>签订日期：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autoSpaceDE w:val="0"/>
        <w:autoSpaceDN w:val="0"/>
        <w:adjustRightInd w:val="0"/>
        <w:spacing w:line="600" w:lineRule="exact"/>
        <w:ind w:firstLine="640"/>
        <w:jc w:val="center"/>
        <w:rPr>
          <w:rFonts w:hint="eastAsia" w:ascii="宋体" w:hAnsi="宋体" w:eastAsia="宋体" w:cs="宋体"/>
          <w:color w:val="auto"/>
          <w:sz w:val="24"/>
        </w:rPr>
        <w:sectPr>
          <w:headerReference r:id="rId9" w:type="first"/>
          <w:footerReference r:id="rId12" w:type="first"/>
          <w:headerReference r:id="rId7" w:type="default"/>
          <w:footerReference r:id="rId10" w:type="default"/>
          <w:headerReference r:id="rId8" w:type="even"/>
          <w:footerReference r:id="rId11" w:type="even"/>
          <w:pgSz w:w="11907" w:h="16840"/>
          <w:pgMar w:top="1474" w:right="1814" w:bottom="1474" w:left="1814" w:header="851" w:footer="851" w:gutter="0"/>
          <w:pgNumType w:fmt="decimal" w:start="1"/>
          <w:cols w:space="720" w:num="1"/>
          <w:docGrid w:linePitch="462" w:charSpace="0"/>
        </w:sectPr>
      </w:pPr>
    </w:p>
    <w:p>
      <w:pPr>
        <w:pStyle w:val="44"/>
        <w:ind w:firstLine="0"/>
        <w:jc w:val="center"/>
        <w:rPr>
          <w:rFonts w:hint="eastAsia" w:ascii="宋体" w:hAnsi="宋体" w:eastAsia="宋体" w:cs="宋体"/>
          <w:b/>
          <w:color w:val="auto"/>
          <w:szCs w:val="24"/>
        </w:rPr>
      </w:pPr>
      <w:r>
        <w:rPr>
          <w:rFonts w:hint="eastAsia" w:ascii="宋体" w:hAnsi="宋体" w:eastAsia="宋体" w:cs="宋体"/>
          <w:b/>
          <w:color w:val="auto"/>
          <w:szCs w:val="24"/>
        </w:rPr>
        <w:t>第一部分 合同书</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年</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日</w:t>
      </w:r>
      <w:r>
        <w:rPr>
          <w:rFonts w:hint="eastAsia" w:ascii="宋体" w:hAnsi="宋体" w:eastAsia="宋体" w:cs="宋体"/>
          <w:color w:val="auto"/>
          <w:sz w:val="24"/>
        </w:rPr>
        <w:t>，</w:t>
      </w:r>
      <w:r>
        <w:rPr>
          <w:rFonts w:hint="eastAsia" w:ascii="宋体" w:hAnsi="宋体" w:eastAsia="宋体" w:cs="宋体"/>
          <w:color w:val="auto"/>
          <w:sz w:val="24"/>
          <w:u w:val="single"/>
        </w:rPr>
        <w:t xml:space="preserve">   （采购人名称）   </w:t>
      </w:r>
      <w:r>
        <w:rPr>
          <w:rFonts w:hint="eastAsia" w:ascii="宋体" w:hAnsi="宋体" w:eastAsia="宋体" w:cs="宋体"/>
          <w:color w:val="auto"/>
          <w:sz w:val="24"/>
        </w:rPr>
        <w:t>以</w:t>
      </w:r>
      <w:r>
        <w:rPr>
          <w:rFonts w:hint="eastAsia" w:ascii="宋体" w:hAnsi="宋体" w:eastAsia="宋体" w:cs="宋体"/>
          <w:color w:val="auto"/>
          <w:sz w:val="24"/>
          <w:u w:val="single"/>
        </w:rPr>
        <w:t xml:space="preserve">   （政府采购方式）  </w:t>
      </w:r>
      <w:r>
        <w:rPr>
          <w:rFonts w:hint="eastAsia" w:ascii="宋体" w:hAnsi="宋体" w:eastAsia="宋体" w:cs="宋体"/>
          <w:color w:val="auto"/>
          <w:sz w:val="24"/>
        </w:rPr>
        <w:t>对</w:t>
      </w:r>
      <w:r>
        <w:rPr>
          <w:rFonts w:hint="eastAsia" w:ascii="宋体" w:hAnsi="宋体" w:eastAsia="宋体" w:cs="宋体"/>
          <w:color w:val="auto"/>
          <w:sz w:val="24"/>
          <w:u w:val="single"/>
        </w:rPr>
        <w:t xml:space="preserve">   （同前页项目名称）   </w:t>
      </w:r>
      <w:r>
        <w:rPr>
          <w:rFonts w:hint="eastAsia" w:ascii="宋体" w:hAnsi="宋体" w:eastAsia="宋体" w:cs="宋体"/>
          <w:color w:val="auto"/>
          <w:sz w:val="24"/>
        </w:rPr>
        <w:t>项目进行了采购。经</w:t>
      </w:r>
      <w:r>
        <w:rPr>
          <w:rFonts w:hint="eastAsia" w:ascii="宋体" w:hAnsi="宋体" w:eastAsia="宋体" w:cs="宋体"/>
          <w:color w:val="auto"/>
          <w:sz w:val="24"/>
          <w:u w:val="single"/>
        </w:rPr>
        <w:t xml:space="preserve">   （相关评定主体名称）   </w:t>
      </w:r>
      <w:r>
        <w:rPr>
          <w:rFonts w:hint="eastAsia" w:ascii="宋体" w:hAnsi="宋体" w:eastAsia="宋体" w:cs="宋体"/>
          <w:color w:val="auto"/>
          <w:sz w:val="24"/>
        </w:rPr>
        <w:t>评定，</w:t>
      </w:r>
      <w:r>
        <w:rPr>
          <w:rFonts w:hint="eastAsia" w:ascii="宋体" w:hAnsi="宋体" w:eastAsia="宋体" w:cs="宋体"/>
          <w:color w:val="auto"/>
          <w:sz w:val="24"/>
          <w:u w:val="single"/>
        </w:rPr>
        <w:t xml:space="preserve">   （中标供应商名称） </w:t>
      </w:r>
      <w:r>
        <w:rPr>
          <w:rFonts w:hint="eastAsia" w:ascii="宋体" w:hAnsi="宋体" w:eastAsia="宋体" w:cs="宋体"/>
          <w:color w:val="auto"/>
          <w:sz w:val="24"/>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u w:val="single"/>
        </w:rPr>
        <w:t xml:space="preserve">   （采购人名称）   </w:t>
      </w:r>
      <w:r>
        <w:rPr>
          <w:rFonts w:hint="eastAsia" w:ascii="宋体" w:hAnsi="宋体" w:eastAsia="宋体" w:cs="宋体"/>
          <w:color w:val="auto"/>
          <w:sz w:val="24"/>
          <w:lang w:val="zh-CN"/>
        </w:rPr>
        <w:t>(以下简称：甲方)和</w:t>
      </w:r>
      <w:r>
        <w:rPr>
          <w:rFonts w:hint="eastAsia" w:ascii="宋体" w:hAnsi="宋体" w:eastAsia="宋体" w:cs="宋体"/>
          <w:color w:val="auto"/>
          <w:sz w:val="24"/>
          <w:u w:val="single"/>
        </w:rPr>
        <w:t xml:space="preserve">   （中标供应商名称）   </w:t>
      </w:r>
      <w:r>
        <w:rPr>
          <w:rFonts w:hint="eastAsia" w:ascii="宋体" w:hAnsi="宋体" w:eastAsia="宋体" w:cs="宋体"/>
          <w:color w:val="auto"/>
          <w:sz w:val="24"/>
          <w:lang w:val="zh-CN"/>
        </w:rPr>
        <w:t>(以下简称：乙方)协商一致，约定以下合同</w:t>
      </w:r>
      <w:r>
        <w:rPr>
          <w:rFonts w:hint="eastAsia" w:ascii="宋体" w:hAnsi="宋体" w:eastAsia="宋体" w:cs="宋体"/>
          <w:color w:val="auto"/>
          <w:sz w:val="24"/>
        </w:rPr>
        <w:t>条款，以兹共同遵守、全面履行。</w:t>
      </w:r>
    </w:p>
    <w:p>
      <w:pPr>
        <w:spacing w:line="560" w:lineRule="exact"/>
        <w:ind w:firstLine="482" w:firstLineChars="200"/>
        <w:outlineLvl w:val="0"/>
        <w:rPr>
          <w:rFonts w:hint="eastAsia" w:ascii="宋体" w:hAnsi="宋体" w:eastAsia="宋体" w:cs="宋体"/>
          <w:color w:val="auto"/>
          <w:sz w:val="24"/>
        </w:rPr>
      </w:pPr>
      <w:bookmarkStart w:id="205" w:name="_Toc22967"/>
      <w:bookmarkStart w:id="206" w:name="_Toc20421"/>
      <w:bookmarkStart w:id="207" w:name="_Toc28855"/>
      <w:bookmarkStart w:id="208" w:name="_Toc15367"/>
      <w:bookmarkStart w:id="209" w:name="_Toc19273"/>
      <w:r>
        <w:rPr>
          <w:rFonts w:hint="eastAsia" w:ascii="宋体" w:hAnsi="宋体" w:eastAsia="宋体" w:cs="宋体"/>
          <w:b/>
          <w:color w:val="auto"/>
          <w:sz w:val="24"/>
        </w:rPr>
        <w:t>1.1 合同组成部分</w:t>
      </w:r>
      <w:bookmarkEnd w:id="205"/>
      <w:bookmarkEnd w:id="206"/>
      <w:bookmarkEnd w:id="207"/>
      <w:bookmarkEnd w:id="208"/>
      <w:bookmarkEnd w:id="209"/>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1.1.1 本合同及其补充合同、变更协议；</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1.1.2 中标通知书；</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1.1.3 投标文件（含澄清或者说明文件）；</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1.1.4 招标文件（含澄清或者修改文件）；</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1.1.5 其他相关采购文件。</w:t>
      </w:r>
    </w:p>
    <w:p>
      <w:pPr>
        <w:spacing w:line="560" w:lineRule="exact"/>
        <w:ind w:firstLine="482" w:firstLineChars="200"/>
        <w:outlineLvl w:val="0"/>
        <w:rPr>
          <w:rFonts w:hint="eastAsia" w:ascii="宋体" w:hAnsi="宋体" w:eastAsia="宋体" w:cs="宋体"/>
          <w:b/>
          <w:color w:val="auto"/>
          <w:sz w:val="24"/>
        </w:rPr>
      </w:pPr>
      <w:bookmarkStart w:id="210" w:name="_Toc6311"/>
      <w:bookmarkStart w:id="211" w:name="_Toc22185"/>
      <w:bookmarkStart w:id="212" w:name="_Toc6773"/>
      <w:bookmarkStart w:id="213" w:name="_Toc2918"/>
      <w:bookmarkStart w:id="214" w:name="_Toc18585"/>
      <w:r>
        <w:rPr>
          <w:rFonts w:hint="eastAsia" w:ascii="宋体" w:hAnsi="宋体" w:eastAsia="宋体" w:cs="宋体"/>
          <w:b/>
          <w:color w:val="auto"/>
          <w:sz w:val="24"/>
        </w:rPr>
        <w:t>1.2 标的</w:t>
      </w:r>
      <w:bookmarkEnd w:id="210"/>
      <w:bookmarkEnd w:id="211"/>
      <w:bookmarkEnd w:id="212"/>
      <w:bookmarkEnd w:id="213"/>
      <w:bookmarkEnd w:id="214"/>
    </w:p>
    <w:p>
      <w:pPr>
        <w:spacing w:line="5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1.2.1 标的名称：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1.2.2 标的数量：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1.2.3 标的质量：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2" w:firstLineChars="200"/>
        <w:outlineLvl w:val="0"/>
        <w:rPr>
          <w:rFonts w:hint="eastAsia" w:ascii="宋体" w:hAnsi="宋体" w:eastAsia="宋体" w:cs="宋体"/>
          <w:b/>
          <w:color w:val="auto"/>
          <w:sz w:val="24"/>
        </w:rPr>
      </w:pPr>
      <w:bookmarkStart w:id="215" w:name="_Toc1386"/>
      <w:bookmarkStart w:id="216" w:name="_Toc5635"/>
      <w:bookmarkStart w:id="217" w:name="_Toc21124"/>
      <w:bookmarkStart w:id="218" w:name="_Toc4929"/>
      <w:bookmarkStart w:id="219" w:name="_Toc13918"/>
      <w:r>
        <w:rPr>
          <w:rFonts w:hint="eastAsia" w:ascii="宋体" w:hAnsi="宋体" w:eastAsia="宋体" w:cs="宋体"/>
          <w:b/>
          <w:color w:val="auto"/>
          <w:sz w:val="24"/>
        </w:rPr>
        <w:t>1.3 价款</w:t>
      </w:r>
      <w:bookmarkEnd w:id="215"/>
      <w:bookmarkEnd w:id="216"/>
      <w:bookmarkEnd w:id="217"/>
      <w:bookmarkEnd w:id="218"/>
      <w:bookmarkEnd w:id="219"/>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本合同总价为：￥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元（大写：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元人民币）。</w:t>
      </w:r>
    </w:p>
    <w:p>
      <w:pPr>
        <w:spacing w:line="5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分项价格：</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6"/>
              <w:spacing w:line="56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序号</w:t>
            </w:r>
          </w:p>
        </w:tc>
        <w:tc>
          <w:tcPr>
            <w:tcW w:w="3402" w:type="dxa"/>
            <w:noWrap w:val="0"/>
            <w:vAlign w:val="center"/>
          </w:tcPr>
          <w:p>
            <w:pPr>
              <w:pStyle w:val="46"/>
              <w:spacing w:line="560" w:lineRule="exact"/>
              <w:ind w:firstLine="20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分项名称</w:t>
            </w:r>
          </w:p>
        </w:tc>
        <w:tc>
          <w:tcPr>
            <w:tcW w:w="2552" w:type="dxa"/>
            <w:noWrap w:val="0"/>
            <w:vAlign w:val="center"/>
          </w:tcPr>
          <w:p>
            <w:pPr>
              <w:pStyle w:val="46"/>
              <w:spacing w:line="56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6"/>
              <w:spacing w:line="560" w:lineRule="exact"/>
              <w:ind w:firstLine="200"/>
              <w:jc w:val="center"/>
              <w:rPr>
                <w:rFonts w:hint="eastAsia" w:ascii="宋体" w:hAnsi="宋体" w:eastAsia="宋体" w:cs="宋体"/>
                <w:color w:val="auto"/>
                <w:kern w:val="2"/>
                <w:sz w:val="24"/>
                <w:szCs w:val="24"/>
                <w:lang w:val="en-US" w:eastAsia="zh-CN"/>
              </w:rPr>
            </w:pPr>
          </w:p>
        </w:tc>
        <w:tc>
          <w:tcPr>
            <w:tcW w:w="3402" w:type="dxa"/>
            <w:noWrap w:val="0"/>
            <w:vAlign w:val="center"/>
          </w:tcPr>
          <w:p>
            <w:pPr>
              <w:pStyle w:val="46"/>
              <w:spacing w:line="560" w:lineRule="exact"/>
              <w:ind w:firstLine="200"/>
              <w:jc w:val="center"/>
              <w:rPr>
                <w:rFonts w:hint="eastAsia" w:ascii="宋体" w:hAnsi="宋体" w:eastAsia="宋体" w:cs="宋体"/>
                <w:color w:val="auto"/>
                <w:kern w:val="2"/>
                <w:sz w:val="24"/>
                <w:szCs w:val="24"/>
                <w:lang w:val="en-US" w:eastAsia="zh-CN"/>
              </w:rPr>
            </w:pPr>
          </w:p>
        </w:tc>
        <w:tc>
          <w:tcPr>
            <w:tcW w:w="2552" w:type="dxa"/>
            <w:noWrap w:val="0"/>
            <w:vAlign w:val="center"/>
          </w:tcPr>
          <w:p>
            <w:pPr>
              <w:pStyle w:val="46"/>
              <w:spacing w:line="560" w:lineRule="exact"/>
              <w:ind w:firstLine="200"/>
              <w:jc w:val="center"/>
              <w:rPr>
                <w:rFonts w:hint="eastAsia" w:ascii="宋体" w:hAnsi="宋体" w:eastAsia="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6"/>
              <w:spacing w:line="560" w:lineRule="exact"/>
              <w:ind w:firstLine="200"/>
              <w:jc w:val="center"/>
              <w:rPr>
                <w:rFonts w:hint="eastAsia" w:ascii="宋体" w:hAnsi="宋体" w:eastAsia="宋体" w:cs="宋体"/>
                <w:color w:val="auto"/>
                <w:kern w:val="2"/>
                <w:sz w:val="24"/>
                <w:szCs w:val="24"/>
                <w:lang w:val="en-US" w:eastAsia="zh-CN"/>
              </w:rPr>
            </w:pPr>
          </w:p>
        </w:tc>
        <w:tc>
          <w:tcPr>
            <w:tcW w:w="3402" w:type="dxa"/>
            <w:noWrap w:val="0"/>
            <w:vAlign w:val="center"/>
          </w:tcPr>
          <w:p>
            <w:pPr>
              <w:pStyle w:val="46"/>
              <w:spacing w:line="560" w:lineRule="exact"/>
              <w:ind w:firstLine="200"/>
              <w:jc w:val="center"/>
              <w:rPr>
                <w:rFonts w:hint="eastAsia" w:ascii="宋体" w:hAnsi="宋体" w:eastAsia="宋体" w:cs="宋体"/>
                <w:color w:val="auto"/>
                <w:kern w:val="2"/>
                <w:sz w:val="24"/>
                <w:szCs w:val="24"/>
                <w:lang w:val="en-US" w:eastAsia="zh-CN"/>
              </w:rPr>
            </w:pPr>
          </w:p>
        </w:tc>
        <w:tc>
          <w:tcPr>
            <w:tcW w:w="2552" w:type="dxa"/>
            <w:noWrap w:val="0"/>
            <w:vAlign w:val="center"/>
          </w:tcPr>
          <w:p>
            <w:pPr>
              <w:pStyle w:val="46"/>
              <w:spacing w:line="560" w:lineRule="exact"/>
              <w:ind w:firstLine="200"/>
              <w:jc w:val="center"/>
              <w:rPr>
                <w:rFonts w:hint="eastAsia" w:ascii="宋体" w:hAnsi="宋体" w:eastAsia="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6"/>
              <w:spacing w:line="560" w:lineRule="exact"/>
              <w:ind w:firstLine="200"/>
              <w:jc w:val="center"/>
              <w:rPr>
                <w:rFonts w:hint="eastAsia" w:ascii="宋体" w:hAnsi="宋体" w:eastAsia="宋体" w:cs="宋体"/>
                <w:color w:val="auto"/>
                <w:kern w:val="2"/>
                <w:sz w:val="24"/>
                <w:szCs w:val="24"/>
                <w:lang w:val="en-US" w:eastAsia="zh-CN"/>
              </w:rPr>
            </w:pPr>
          </w:p>
        </w:tc>
        <w:tc>
          <w:tcPr>
            <w:tcW w:w="3402" w:type="dxa"/>
            <w:noWrap w:val="0"/>
            <w:vAlign w:val="center"/>
          </w:tcPr>
          <w:p>
            <w:pPr>
              <w:pStyle w:val="46"/>
              <w:spacing w:line="560" w:lineRule="exact"/>
              <w:ind w:firstLine="200"/>
              <w:jc w:val="center"/>
              <w:rPr>
                <w:rFonts w:hint="eastAsia" w:ascii="宋体" w:hAnsi="宋体" w:eastAsia="宋体" w:cs="宋体"/>
                <w:color w:val="auto"/>
                <w:kern w:val="2"/>
                <w:sz w:val="24"/>
                <w:szCs w:val="24"/>
                <w:lang w:val="en-US" w:eastAsia="zh-CN"/>
              </w:rPr>
            </w:pPr>
          </w:p>
        </w:tc>
        <w:tc>
          <w:tcPr>
            <w:tcW w:w="2552" w:type="dxa"/>
            <w:noWrap w:val="0"/>
            <w:vAlign w:val="center"/>
          </w:tcPr>
          <w:p>
            <w:pPr>
              <w:pStyle w:val="46"/>
              <w:spacing w:line="560" w:lineRule="exact"/>
              <w:ind w:firstLine="200"/>
              <w:jc w:val="center"/>
              <w:rPr>
                <w:rFonts w:hint="eastAsia" w:ascii="宋体" w:hAnsi="宋体" w:eastAsia="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6"/>
              <w:spacing w:line="560" w:lineRule="exact"/>
              <w:ind w:firstLine="200"/>
              <w:jc w:val="center"/>
              <w:rPr>
                <w:rFonts w:hint="eastAsia" w:ascii="宋体" w:hAnsi="宋体" w:eastAsia="宋体" w:cs="宋体"/>
                <w:color w:val="auto"/>
                <w:kern w:val="2"/>
                <w:sz w:val="24"/>
                <w:szCs w:val="24"/>
                <w:lang w:val="en-US" w:eastAsia="zh-CN"/>
              </w:rPr>
            </w:pPr>
          </w:p>
        </w:tc>
        <w:tc>
          <w:tcPr>
            <w:tcW w:w="3402" w:type="dxa"/>
            <w:noWrap w:val="0"/>
            <w:vAlign w:val="center"/>
          </w:tcPr>
          <w:p>
            <w:pPr>
              <w:pStyle w:val="46"/>
              <w:spacing w:line="560" w:lineRule="exact"/>
              <w:ind w:firstLine="200"/>
              <w:jc w:val="center"/>
              <w:rPr>
                <w:rFonts w:hint="eastAsia" w:ascii="宋体" w:hAnsi="宋体" w:eastAsia="宋体" w:cs="宋体"/>
                <w:color w:val="auto"/>
                <w:kern w:val="2"/>
                <w:sz w:val="24"/>
                <w:szCs w:val="24"/>
                <w:lang w:val="en-US" w:eastAsia="zh-CN"/>
              </w:rPr>
            </w:pPr>
          </w:p>
        </w:tc>
        <w:tc>
          <w:tcPr>
            <w:tcW w:w="2552" w:type="dxa"/>
            <w:noWrap w:val="0"/>
            <w:vAlign w:val="center"/>
          </w:tcPr>
          <w:p>
            <w:pPr>
              <w:pStyle w:val="46"/>
              <w:spacing w:line="560" w:lineRule="exact"/>
              <w:ind w:firstLine="200"/>
              <w:jc w:val="center"/>
              <w:rPr>
                <w:rFonts w:hint="eastAsia" w:ascii="宋体" w:hAnsi="宋体" w:eastAsia="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46"/>
              <w:spacing w:line="560" w:lineRule="exact"/>
              <w:ind w:firstLine="20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总价</w:t>
            </w:r>
          </w:p>
        </w:tc>
        <w:tc>
          <w:tcPr>
            <w:tcW w:w="2552" w:type="dxa"/>
            <w:noWrap w:val="0"/>
            <w:vAlign w:val="center"/>
          </w:tcPr>
          <w:p>
            <w:pPr>
              <w:pStyle w:val="46"/>
              <w:spacing w:line="560" w:lineRule="exact"/>
              <w:ind w:firstLine="200"/>
              <w:jc w:val="center"/>
              <w:rPr>
                <w:rFonts w:hint="eastAsia" w:ascii="宋体" w:hAnsi="宋体" w:eastAsia="宋体" w:cs="宋体"/>
                <w:color w:val="auto"/>
                <w:kern w:val="2"/>
                <w:sz w:val="24"/>
                <w:szCs w:val="24"/>
                <w:lang w:val="en-US" w:eastAsia="zh-CN"/>
              </w:rPr>
            </w:pPr>
          </w:p>
        </w:tc>
      </w:tr>
    </w:tbl>
    <w:p>
      <w:pPr>
        <w:spacing w:line="560" w:lineRule="exact"/>
        <w:ind w:firstLine="482" w:firstLineChars="200"/>
        <w:outlineLvl w:val="0"/>
        <w:rPr>
          <w:rFonts w:hint="eastAsia" w:ascii="宋体" w:hAnsi="宋体" w:eastAsia="宋体" w:cs="宋体"/>
          <w:b/>
          <w:color w:val="auto"/>
          <w:sz w:val="24"/>
        </w:rPr>
      </w:pPr>
      <w:bookmarkStart w:id="220" w:name="_Toc14993"/>
      <w:bookmarkStart w:id="221" w:name="_Toc30506"/>
      <w:bookmarkStart w:id="222" w:name="_Toc26916"/>
      <w:bookmarkStart w:id="223" w:name="_Toc3654"/>
      <w:bookmarkStart w:id="224" w:name="_Toc30158"/>
      <w:r>
        <w:rPr>
          <w:rFonts w:hint="eastAsia" w:ascii="宋体" w:hAnsi="宋体" w:eastAsia="宋体" w:cs="宋体"/>
          <w:b/>
          <w:color w:val="auto"/>
          <w:sz w:val="24"/>
        </w:rPr>
        <w:t>1.4 付款方式和发票开具方式</w:t>
      </w:r>
      <w:bookmarkEnd w:id="220"/>
      <w:bookmarkEnd w:id="221"/>
      <w:bookmarkEnd w:id="222"/>
      <w:bookmarkEnd w:id="223"/>
      <w:bookmarkEnd w:id="224"/>
    </w:p>
    <w:p>
      <w:pPr>
        <w:pStyle w:val="19"/>
        <w:spacing w:line="360" w:lineRule="auto"/>
        <w:ind w:firstLine="480" w:firstLineChars="200"/>
        <w:rPr>
          <w:rFonts w:hint="eastAsia" w:ascii="宋体" w:hAnsi="宋体" w:eastAsia="宋体" w:cs="宋体"/>
          <w:b/>
          <w:bCs/>
          <w:color w:val="auto"/>
          <w:sz w:val="24"/>
          <w:u w:val="single"/>
        </w:rPr>
      </w:pPr>
      <w:r>
        <w:rPr>
          <w:rFonts w:hint="eastAsia" w:ascii="宋体" w:hAnsi="宋体" w:eastAsia="宋体" w:cs="宋体"/>
          <w:color w:val="auto"/>
          <w:sz w:val="24"/>
        </w:rPr>
        <w:t>1.4.1付款方式：</w:t>
      </w:r>
      <w:r>
        <w:rPr>
          <w:rFonts w:hint="eastAsia" w:ascii="宋体" w:hAnsi="宋体" w:eastAsia="宋体" w:cs="宋体"/>
          <w:color w:val="auto"/>
          <w:sz w:val="24"/>
          <w:u w:val="single"/>
        </w:rPr>
        <w:t xml:space="preserve">                                            。</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1.4.2 发票开具方式：</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i/>
          <w:iCs/>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2" w:firstLineChars="200"/>
        <w:outlineLvl w:val="0"/>
        <w:rPr>
          <w:rFonts w:hint="eastAsia" w:ascii="宋体" w:hAnsi="宋体" w:eastAsia="宋体" w:cs="宋体"/>
          <w:b/>
          <w:color w:val="auto"/>
          <w:sz w:val="24"/>
        </w:rPr>
      </w:pPr>
      <w:bookmarkStart w:id="225" w:name="_Toc31421"/>
      <w:bookmarkStart w:id="226" w:name="_Toc4760"/>
      <w:bookmarkStart w:id="227" w:name="_Toc11108"/>
      <w:bookmarkStart w:id="228" w:name="_Toc8772"/>
      <w:bookmarkStart w:id="229" w:name="_Toc3625"/>
      <w:r>
        <w:rPr>
          <w:rFonts w:hint="eastAsia" w:ascii="宋体" w:hAnsi="宋体" w:eastAsia="宋体" w:cs="宋体"/>
          <w:b/>
          <w:color w:val="auto"/>
          <w:sz w:val="24"/>
        </w:rPr>
        <w:t>1.5 履行期限、地点和方式</w:t>
      </w:r>
      <w:bookmarkEnd w:id="225"/>
      <w:bookmarkEnd w:id="226"/>
      <w:bookmarkEnd w:id="227"/>
      <w:bookmarkEnd w:id="228"/>
      <w:bookmarkEnd w:id="229"/>
    </w:p>
    <w:p>
      <w:pPr>
        <w:spacing w:line="5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1.5.1 履行期限：</w:t>
      </w:r>
      <w:r>
        <w:rPr>
          <w:rFonts w:hint="eastAsia" w:ascii="宋体" w:hAnsi="宋体" w:eastAsia="宋体" w:cs="宋体"/>
          <w:i/>
          <w:iCs/>
          <w:color w:val="auto"/>
          <w:sz w:val="24"/>
          <w:u w:val="single"/>
          <w:lang w:val="en-US" w:eastAsia="zh-CN"/>
        </w:rPr>
        <w:t xml:space="preserve">       </w:t>
      </w:r>
      <w:r>
        <w:rPr>
          <w:rFonts w:hint="eastAsia" w:ascii="宋体" w:hAnsi="宋体" w:eastAsia="宋体" w:cs="宋体"/>
          <w:i/>
          <w:iCs/>
          <w:color w:val="auto"/>
          <w:sz w:val="24"/>
          <w:u w:val="single"/>
        </w:rPr>
        <w:t xml:space="preserve"> </w:t>
      </w:r>
      <w:r>
        <w:rPr>
          <w:rFonts w:hint="eastAsia" w:ascii="宋体" w:hAnsi="宋体" w:eastAsia="宋体" w:cs="宋体"/>
          <w:color w:val="auto"/>
          <w:sz w:val="24"/>
        </w:rPr>
        <w:t>；</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1.5.2 履行地点：</w:t>
      </w:r>
      <w:r>
        <w:rPr>
          <w:rFonts w:hint="eastAsia" w:ascii="宋体" w:hAnsi="宋体" w:eastAsia="宋体" w:cs="宋体"/>
          <w:i/>
          <w:iCs/>
          <w:color w:val="auto"/>
          <w:sz w:val="24"/>
          <w:u w:val="single"/>
        </w:rPr>
        <w:t xml:space="preserve">                                                </w:t>
      </w:r>
      <w:r>
        <w:rPr>
          <w:rFonts w:hint="eastAsia" w:ascii="宋体" w:hAnsi="宋体" w:eastAsia="宋体" w:cs="宋体"/>
          <w:color w:val="auto"/>
          <w:sz w:val="24"/>
        </w:rPr>
        <w:t>；</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1.5.3 履行方式：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2" w:firstLineChars="200"/>
        <w:outlineLvl w:val="0"/>
        <w:rPr>
          <w:rFonts w:hint="eastAsia" w:ascii="宋体" w:hAnsi="宋体" w:eastAsia="宋体" w:cs="宋体"/>
          <w:color w:val="auto"/>
          <w:sz w:val="24"/>
          <w:u w:val="single"/>
        </w:rPr>
      </w:pPr>
      <w:bookmarkStart w:id="230" w:name="_Toc5698"/>
      <w:bookmarkStart w:id="231" w:name="_Toc2375"/>
      <w:bookmarkStart w:id="232" w:name="_Toc3079"/>
      <w:bookmarkStart w:id="233" w:name="_Toc8586"/>
      <w:bookmarkStart w:id="234" w:name="_Toc24662"/>
      <w:r>
        <w:rPr>
          <w:rFonts w:hint="eastAsia" w:ascii="宋体" w:hAnsi="宋体" w:eastAsia="宋体" w:cs="宋体"/>
          <w:b/>
          <w:color w:val="auto"/>
          <w:sz w:val="24"/>
        </w:rPr>
        <w:t>1.6 违约责任</w:t>
      </w:r>
      <w:bookmarkEnd w:id="230"/>
      <w:bookmarkEnd w:id="231"/>
      <w:bookmarkEnd w:id="232"/>
      <w:bookmarkEnd w:id="233"/>
      <w:bookmarkEnd w:id="234"/>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%计算，最高限额为本合同总价的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%计算，最高限额为本合同总价的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color w:val="auto"/>
          <w:sz w:val="24"/>
        </w:rPr>
      </w:pPr>
      <w:bookmarkStart w:id="235" w:name="_Toc9497"/>
      <w:bookmarkStart w:id="236" w:name="_Toc32454"/>
      <w:bookmarkStart w:id="237" w:name="_Toc30329"/>
      <w:bookmarkStart w:id="238" w:name="_Toc18683"/>
      <w:bookmarkStart w:id="239" w:name="_Toc26807"/>
      <w:r>
        <w:rPr>
          <w:rFonts w:hint="eastAsia" w:ascii="宋体" w:hAnsi="宋体" w:eastAsia="宋体" w:cs="宋体"/>
          <w:b/>
          <w:color w:val="auto"/>
          <w:sz w:val="24"/>
        </w:rPr>
        <w:t>1.7 合同争议的解决</w:t>
      </w:r>
      <w:bookmarkEnd w:id="235"/>
      <w:bookmarkEnd w:id="236"/>
      <w:bookmarkEnd w:id="237"/>
      <w:bookmarkEnd w:id="238"/>
      <w:bookmarkEnd w:id="239"/>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u w:val="single"/>
        </w:rPr>
        <w:t xml:space="preserve">    </w:t>
      </w:r>
      <w:r>
        <w:rPr>
          <w:rFonts w:hint="eastAsia" w:ascii="宋体" w:hAnsi="宋体" w:eastAsia="宋体" w:cs="宋体"/>
          <w:color w:val="auto"/>
          <w:sz w:val="24"/>
        </w:rPr>
        <w:t>种方式解决：</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1.7.1 将争议提交</w:t>
      </w:r>
      <w:r>
        <w:rPr>
          <w:rFonts w:hint="eastAsia" w:ascii="宋体" w:hAnsi="宋体" w:eastAsia="宋体" w:cs="宋体"/>
          <w:color w:val="auto"/>
          <w:sz w:val="24"/>
          <w:u w:val="single"/>
        </w:rPr>
        <w:t xml:space="preserve">              </w:t>
      </w:r>
      <w:r>
        <w:rPr>
          <w:rFonts w:hint="eastAsia" w:ascii="宋体" w:hAnsi="宋体" w:eastAsia="宋体" w:cs="宋体"/>
          <w:color w:val="auto"/>
          <w:sz w:val="24"/>
        </w:rPr>
        <w:t>仲裁委员会依申请仲裁时其现行有效的仲裁规则裁决；</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1.7.2 向</w:t>
      </w:r>
      <w:r>
        <w:rPr>
          <w:rFonts w:hint="eastAsia" w:ascii="宋体" w:hAnsi="宋体" w:eastAsia="宋体" w:cs="宋体"/>
          <w:color w:val="auto"/>
          <w:sz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rPr>
        <w:t>人民法院起诉。</w:t>
      </w:r>
    </w:p>
    <w:p>
      <w:pPr>
        <w:spacing w:line="560" w:lineRule="exact"/>
        <w:ind w:firstLine="482" w:firstLineChars="200"/>
        <w:outlineLvl w:val="0"/>
        <w:rPr>
          <w:rFonts w:hint="eastAsia" w:ascii="宋体" w:hAnsi="宋体" w:eastAsia="宋体" w:cs="宋体"/>
          <w:b/>
          <w:color w:val="auto"/>
          <w:sz w:val="24"/>
        </w:rPr>
      </w:pPr>
      <w:bookmarkStart w:id="240" w:name="_Toc12273"/>
      <w:bookmarkStart w:id="241" w:name="_Toc23784"/>
      <w:bookmarkStart w:id="242" w:name="_Toc16417"/>
      <w:bookmarkStart w:id="243" w:name="_Toc15827"/>
      <w:bookmarkStart w:id="244" w:name="_Toc26227"/>
      <w:r>
        <w:rPr>
          <w:rFonts w:hint="eastAsia" w:ascii="宋体" w:hAnsi="宋体" w:eastAsia="宋体" w:cs="宋体"/>
          <w:b/>
          <w:color w:val="auto"/>
          <w:sz w:val="24"/>
        </w:rPr>
        <w:t>1.8 合同生效</w:t>
      </w:r>
      <w:bookmarkEnd w:id="240"/>
      <w:bookmarkEnd w:id="241"/>
      <w:bookmarkEnd w:id="242"/>
      <w:bookmarkEnd w:id="243"/>
      <w:bookmarkEnd w:id="244"/>
    </w:p>
    <w:p>
      <w:pPr>
        <w:spacing w:line="56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rPr>
        <w:t>本合同自双方当事人盖章或者签字时生效。</w:t>
      </w:r>
    </w:p>
    <w:p>
      <w:pPr>
        <w:autoSpaceDE w:val="0"/>
        <w:autoSpaceDN w:val="0"/>
        <w:adjustRightInd w:val="0"/>
        <w:spacing w:line="560" w:lineRule="exact"/>
        <w:rPr>
          <w:rFonts w:hint="eastAsia" w:ascii="宋体" w:hAnsi="宋体" w:eastAsia="宋体" w:cs="宋体"/>
          <w:color w:val="auto"/>
          <w:sz w:val="24"/>
          <w:lang w:val="zh-CN"/>
        </w:rPr>
      </w:pP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b/>
          <w:color w:val="auto"/>
          <w:sz w:val="24"/>
          <w:lang w:val="zh-CN"/>
        </w:rPr>
        <w:t>甲方</w:t>
      </w:r>
      <w:r>
        <w:rPr>
          <w:rFonts w:hint="eastAsia" w:ascii="宋体" w:hAnsi="宋体" w:eastAsia="宋体" w:cs="宋体"/>
          <w:color w:val="auto"/>
          <w:sz w:val="24"/>
          <w:lang w:val="zh-CN"/>
        </w:rPr>
        <w:t xml:space="preserve">：                             </w:t>
      </w:r>
      <w:r>
        <w:rPr>
          <w:rFonts w:hint="eastAsia" w:ascii="宋体" w:hAnsi="宋体" w:eastAsia="宋体" w:cs="宋体"/>
          <w:b/>
          <w:color w:val="auto"/>
          <w:sz w:val="24"/>
          <w:lang w:val="zh-CN"/>
        </w:rPr>
        <w:t xml:space="preserve">      乙方</w:t>
      </w:r>
      <w:r>
        <w:rPr>
          <w:rFonts w:hint="eastAsia" w:ascii="宋体" w:hAnsi="宋体" w:eastAsia="宋体" w:cs="宋体"/>
          <w:color w:val="auto"/>
          <w:sz w:val="24"/>
          <w:lang w:val="zh-CN"/>
        </w:rPr>
        <w:t>：</w:t>
      </w: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color w:val="auto"/>
          <w:sz w:val="24"/>
          <w:lang w:val="zh-CN"/>
        </w:rPr>
      </w:pP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住所：                                   住所：</w:t>
      </w: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法定代表人或                             法定代表人</w:t>
      </w: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授权代表（签字）：                        或授权代表（签字）: </w:t>
      </w: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联系人：                                 联系人：</w:t>
      </w: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约定送达地址：                           约定送达地址：</w:t>
      </w: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邮政编码：                               邮政编码：</w:t>
      </w: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电话:                                    电话: </w:t>
      </w:r>
    </w:p>
    <w:p>
      <w:pPr>
        <w:autoSpaceDE w:val="0"/>
        <w:autoSpaceDN w:val="0"/>
        <w:adjustRightInd w:val="0"/>
        <w:spacing w:line="560" w:lineRule="exact"/>
        <w:rPr>
          <w:rFonts w:hint="eastAsia" w:ascii="宋体" w:hAnsi="宋体" w:eastAsia="宋体" w:cs="宋体"/>
          <w:color w:val="auto"/>
          <w:sz w:val="24"/>
          <w:lang w:val="zh-CN"/>
        </w:rPr>
      </w:pPr>
      <w:r>
        <w:rPr>
          <w:rFonts w:hint="eastAsia" w:ascii="宋体" w:hAnsi="宋体" w:eastAsia="宋体" w:cs="宋体"/>
          <w:color w:val="auto"/>
          <w:sz w:val="24"/>
          <w:lang w:val="zh-CN"/>
        </w:rPr>
        <w:t>传真:                                    传真:</w:t>
      </w:r>
    </w:p>
    <w:p>
      <w:pPr>
        <w:autoSpaceDE w:val="0"/>
        <w:autoSpaceDN w:val="0"/>
        <w:adjustRightInd w:val="0"/>
        <w:spacing w:line="560" w:lineRule="exact"/>
        <w:rPr>
          <w:rFonts w:hint="eastAsia" w:ascii="宋体" w:hAnsi="宋体" w:eastAsia="宋体" w:cs="宋体"/>
          <w:color w:val="auto"/>
          <w:sz w:val="24"/>
        </w:rPr>
      </w:pPr>
      <w:r>
        <w:rPr>
          <w:rFonts w:hint="eastAsia" w:ascii="宋体" w:hAnsi="宋体" w:eastAsia="宋体" w:cs="宋体"/>
          <w:color w:val="auto"/>
          <w:sz w:val="24"/>
          <w:lang w:val="zh-CN"/>
        </w:rPr>
        <w:t>电子邮箱：                               电子邮箱：</w:t>
      </w:r>
    </w:p>
    <w:p>
      <w:pPr>
        <w:autoSpaceDE w:val="0"/>
        <w:autoSpaceDN w:val="0"/>
        <w:adjustRightInd w:val="0"/>
        <w:spacing w:line="560" w:lineRule="exact"/>
        <w:rPr>
          <w:rFonts w:hint="eastAsia" w:ascii="宋体" w:hAnsi="宋体" w:eastAsia="宋体" w:cs="宋体"/>
          <w:color w:val="auto"/>
          <w:sz w:val="24"/>
        </w:rPr>
      </w:pPr>
      <w:r>
        <w:rPr>
          <w:rFonts w:hint="eastAsia" w:ascii="宋体" w:hAnsi="宋体" w:eastAsia="宋体" w:cs="宋体"/>
          <w:color w:val="auto"/>
          <w:sz w:val="24"/>
        </w:rPr>
        <w:t xml:space="preserve">开户银行：                               开户银行： </w:t>
      </w:r>
    </w:p>
    <w:p>
      <w:pPr>
        <w:autoSpaceDE w:val="0"/>
        <w:autoSpaceDN w:val="0"/>
        <w:adjustRightInd w:val="0"/>
        <w:spacing w:line="560" w:lineRule="exact"/>
        <w:rPr>
          <w:rFonts w:hint="eastAsia" w:ascii="宋体" w:hAnsi="宋体" w:eastAsia="宋体" w:cs="宋体"/>
          <w:color w:val="auto"/>
          <w:sz w:val="24"/>
        </w:rPr>
      </w:pPr>
      <w:r>
        <w:rPr>
          <w:rFonts w:hint="eastAsia" w:ascii="宋体" w:hAnsi="宋体" w:eastAsia="宋体" w:cs="宋体"/>
          <w:color w:val="auto"/>
          <w:sz w:val="24"/>
        </w:rPr>
        <w:t xml:space="preserve">开户名称：                               开户名称： </w:t>
      </w:r>
    </w:p>
    <w:p>
      <w:pPr>
        <w:autoSpaceDE w:val="0"/>
        <w:autoSpaceDN w:val="0"/>
        <w:adjustRightInd w:val="0"/>
        <w:spacing w:line="560" w:lineRule="exact"/>
        <w:rPr>
          <w:rFonts w:hint="eastAsia" w:ascii="宋体" w:hAnsi="宋体" w:eastAsia="宋体" w:cs="宋体"/>
          <w:color w:val="auto"/>
          <w:sz w:val="24"/>
        </w:rPr>
      </w:pPr>
      <w:r>
        <w:rPr>
          <w:rFonts w:hint="eastAsia" w:ascii="宋体" w:hAnsi="宋体" w:eastAsia="宋体" w:cs="宋体"/>
          <w:color w:val="auto"/>
          <w:sz w:val="24"/>
        </w:rPr>
        <w:t>开户账号：</w:t>
      </w:r>
      <w:r>
        <w:rPr>
          <w:rFonts w:hint="eastAsia" w:ascii="宋体" w:hAnsi="宋体" w:eastAsia="宋体" w:cs="宋体"/>
          <w:color w:val="auto"/>
          <w:sz w:val="24"/>
          <w:lang w:val="zh-CN"/>
        </w:rPr>
        <w:t xml:space="preserve">                               </w:t>
      </w:r>
      <w:r>
        <w:rPr>
          <w:rFonts w:hint="eastAsia" w:ascii="宋体" w:hAnsi="宋体" w:eastAsia="宋体" w:cs="宋体"/>
          <w:color w:val="auto"/>
          <w:sz w:val="24"/>
        </w:rPr>
        <w:t>开户账号：</w:t>
      </w:r>
    </w:p>
    <w:p>
      <w:pPr>
        <w:widowControl/>
        <w:spacing w:line="560" w:lineRule="exact"/>
        <w:jc w:val="left"/>
        <w:rPr>
          <w:rFonts w:hint="eastAsia" w:ascii="宋体" w:hAnsi="宋体" w:eastAsia="宋体" w:cs="宋体"/>
          <w:b/>
          <w:color w:val="auto"/>
          <w:kern w:val="0"/>
          <w:sz w:val="24"/>
        </w:rPr>
      </w:pPr>
      <w:bookmarkStart w:id="245" w:name="_Toc331685783"/>
    </w:p>
    <w:p>
      <w:pPr>
        <w:pStyle w:val="5"/>
        <w:rPr>
          <w:rFonts w:hint="eastAsia" w:ascii="宋体" w:hAnsi="宋体" w:eastAsia="宋体" w:cs="宋体"/>
          <w:b/>
          <w:color w:val="auto"/>
          <w:kern w:val="0"/>
          <w:sz w:val="24"/>
        </w:rPr>
      </w:pPr>
    </w:p>
    <w:p>
      <w:pPr>
        <w:rPr>
          <w:rFonts w:hint="eastAsia" w:ascii="宋体" w:hAnsi="宋体" w:eastAsia="宋体" w:cs="宋体"/>
          <w:b/>
          <w:color w:val="auto"/>
          <w:kern w:val="0"/>
          <w:sz w:val="24"/>
        </w:rPr>
      </w:pPr>
    </w:p>
    <w:p>
      <w:pPr>
        <w:pStyle w:val="5"/>
        <w:rPr>
          <w:rFonts w:hint="eastAsia" w:ascii="宋体" w:hAnsi="宋体" w:eastAsia="宋体" w:cs="宋体"/>
          <w:b/>
          <w:color w:val="auto"/>
          <w:kern w:val="0"/>
          <w:sz w:val="24"/>
        </w:rPr>
      </w:pPr>
    </w:p>
    <w:p>
      <w:pPr>
        <w:rPr>
          <w:rFonts w:hint="eastAsia" w:ascii="宋体" w:hAnsi="宋体" w:eastAsia="宋体" w:cs="宋体"/>
          <w:b/>
          <w:color w:val="auto"/>
          <w:kern w:val="0"/>
          <w:sz w:val="24"/>
        </w:rPr>
      </w:pPr>
    </w:p>
    <w:p>
      <w:pPr>
        <w:pStyle w:val="5"/>
        <w:rPr>
          <w:rFonts w:hint="eastAsia" w:ascii="宋体" w:hAnsi="宋体" w:eastAsia="宋体" w:cs="宋体"/>
          <w:b/>
          <w:color w:val="auto"/>
          <w:kern w:val="0"/>
          <w:sz w:val="24"/>
        </w:rPr>
      </w:pPr>
    </w:p>
    <w:p>
      <w:pPr>
        <w:rPr>
          <w:rFonts w:hint="eastAsia" w:ascii="宋体" w:hAnsi="宋体" w:eastAsia="宋体" w:cs="宋体"/>
          <w:b/>
          <w:color w:val="auto"/>
          <w:kern w:val="0"/>
          <w:sz w:val="24"/>
        </w:rPr>
      </w:pPr>
    </w:p>
    <w:p>
      <w:pPr>
        <w:pStyle w:val="5"/>
        <w:rPr>
          <w:rFonts w:hint="eastAsia" w:ascii="宋体" w:hAnsi="宋体" w:eastAsia="宋体" w:cs="宋体"/>
          <w:b/>
          <w:color w:val="auto"/>
          <w:kern w:val="0"/>
          <w:sz w:val="24"/>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rPr>
      </w:pPr>
    </w:p>
    <w:p>
      <w:pPr>
        <w:rPr>
          <w:rFonts w:hint="eastAsia" w:ascii="宋体" w:hAnsi="宋体" w:eastAsia="宋体" w:cs="宋体"/>
          <w:color w:val="auto"/>
        </w:rPr>
      </w:pPr>
    </w:p>
    <w:p>
      <w:pPr>
        <w:pStyle w:val="44"/>
        <w:spacing w:line="560" w:lineRule="exact"/>
        <w:ind w:firstLine="200"/>
        <w:jc w:val="center"/>
        <w:rPr>
          <w:rFonts w:hint="eastAsia" w:ascii="宋体" w:hAnsi="宋体" w:eastAsia="宋体" w:cs="宋体"/>
          <w:b/>
          <w:color w:val="auto"/>
          <w:szCs w:val="24"/>
        </w:rPr>
      </w:pPr>
      <w:r>
        <w:rPr>
          <w:rFonts w:hint="eastAsia" w:ascii="宋体" w:hAnsi="宋体" w:eastAsia="宋体" w:cs="宋体"/>
          <w:b/>
          <w:color w:val="auto"/>
          <w:szCs w:val="24"/>
        </w:rPr>
        <w:t>第二部分 合同一般条款</w:t>
      </w:r>
      <w:bookmarkEnd w:id="245"/>
    </w:p>
    <w:p>
      <w:pPr>
        <w:spacing w:line="560" w:lineRule="exact"/>
        <w:ind w:firstLine="482" w:firstLineChars="200"/>
        <w:outlineLvl w:val="0"/>
        <w:rPr>
          <w:rFonts w:hint="eastAsia" w:ascii="宋体" w:hAnsi="宋体" w:eastAsia="宋体" w:cs="宋体"/>
          <w:b/>
          <w:color w:val="auto"/>
          <w:sz w:val="24"/>
        </w:rPr>
      </w:pPr>
      <w:bookmarkStart w:id="246" w:name="_Toc31297"/>
      <w:bookmarkStart w:id="247" w:name="_Toc279701240"/>
      <w:bookmarkStart w:id="248" w:name="_Ref467379205"/>
      <w:bookmarkStart w:id="249" w:name="_Ref467378404"/>
      <w:bookmarkStart w:id="250" w:name="_Ref467379214"/>
      <w:bookmarkStart w:id="251" w:name="_Ref467379094"/>
      <w:bookmarkStart w:id="252" w:name="_Ref467378499"/>
      <w:bookmarkStart w:id="253" w:name="_Toc14021"/>
      <w:bookmarkStart w:id="254" w:name="_Toc25079"/>
      <w:bookmarkStart w:id="255" w:name="_Toc5228"/>
      <w:bookmarkStart w:id="256" w:name="_Toc487900349"/>
      <w:bookmarkStart w:id="257" w:name="_Ref467379101"/>
      <w:bookmarkStart w:id="258" w:name="_Ref467379109"/>
      <w:bookmarkStart w:id="259" w:name="_Ref467379225"/>
      <w:bookmarkStart w:id="260" w:name="_Ref467378463"/>
      <w:bookmarkStart w:id="261" w:name="_Toc259093669"/>
      <w:bookmarkStart w:id="262" w:name="_Ref467379195"/>
      <w:bookmarkStart w:id="263" w:name="_Toc19680"/>
      <w:r>
        <w:rPr>
          <w:rFonts w:hint="eastAsia" w:ascii="宋体" w:hAnsi="宋体" w:eastAsia="宋体" w:cs="宋体"/>
          <w:b/>
          <w:color w:val="auto"/>
          <w:sz w:val="24"/>
        </w:rPr>
        <w:t>2.1 定义</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本合同中的下列词语应按以下内容进行解释：</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宋体" w:hAnsi="宋体" w:eastAsia="宋体" w:cs="宋体"/>
          <w:color w:val="auto"/>
          <w:sz w:val="24"/>
        </w:rPr>
      </w:pPr>
      <w:bookmarkStart w:id="264" w:name="_Ref467378840"/>
      <w:r>
        <w:rPr>
          <w:rFonts w:hint="eastAsia" w:ascii="宋体" w:hAnsi="宋体" w:eastAsia="宋体" w:cs="宋体"/>
          <w:color w:val="auto"/>
          <w:sz w:val="24"/>
        </w:rPr>
        <w:t>2.1.4 “甲方”系指与中标供应商签署合同的采购人</w:t>
      </w:r>
      <w:bookmarkEnd w:id="264"/>
      <w:r>
        <w:rPr>
          <w:rFonts w:hint="eastAsia" w:ascii="宋体" w:hAnsi="宋体" w:eastAsia="宋体" w:cs="宋体"/>
          <w:color w:val="auto"/>
          <w:sz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color w:val="auto"/>
          <w:sz w:val="24"/>
        </w:rPr>
      </w:pPr>
      <w:bookmarkStart w:id="265" w:name="_Ref467379400"/>
      <w:r>
        <w:rPr>
          <w:rFonts w:hint="eastAsia" w:ascii="宋体" w:hAnsi="宋体" w:eastAsia="宋体" w:cs="宋体"/>
          <w:color w:val="auto"/>
          <w:sz w:val="24"/>
        </w:rPr>
        <w:t>2.1.5 “乙方”系指根据合同约定提供服务的中标供应商</w:t>
      </w:r>
      <w:bookmarkEnd w:id="265"/>
      <w:r>
        <w:rPr>
          <w:rFonts w:hint="eastAsia" w:ascii="宋体" w:hAnsi="宋体" w:eastAsia="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color w:val="auto"/>
          <w:sz w:val="24"/>
        </w:rPr>
      </w:pPr>
      <w:bookmarkStart w:id="266" w:name="_Ref467379436"/>
      <w:r>
        <w:rPr>
          <w:rFonts w:hint="eastAsia" w:ascii="宋体" w:hAnsi="宋体" w:eastAsia="宋体" w:cs="宋体"/>
          <w:color w:val="auto"/>
          <w:sz w:val="24"/>
        </w:rPr>
        <w:t>2.1.6 “现场”系指合同约定提供服务的地点。</w:t>
      </w:r>
      <w:bookmarkEnd w:id="266"/>
    </w:p>
    <w:p>
      <w:pPr>
        <w:spacing w:line="560" w:lineRule="exact"/>
        <w:ind w:firstLine="482" w:firstLineChars="200"/>
        <w:outlineLvl w:val="0"/>
        <w:rPr>
          <w:rFonts w:hint="eastAsia" w:ascii="宋体" w:hAnsi="宋体" w:eastAsia="宋体" w:cs="宋体"/>
          <w:b/>
          <w:color w:val="auto"/>
          <w:sz w:val="24"/>
        </w:rPr>
      </w:pPr>
      <w:bookmarkStart w:id="267" w:name="_Toc31402"/>
      <w:bookmarkStart w:id="268" w:name="_Toc487900350"/>
      <w:bookmarkStart w:id="269" w:name="_Toc3769"/>
      <w:bookmarkStart w:id="270" w:name="_Toc23289"/>
      <w:bookmarkStart w:id="271" w:name="_Toc16752"/>
      <w:bookmarkStart w:id="272" w:name="_Toc19539"/>
      <w:bookmarkStart w:id="273" w:name="_Toc279701241"/>
      <w:bookmarkStart w:id="274" w:name="_Toc259093670"/>
      <w:r>
        <w:rPr>
          <w:rFonts w:hint="eastAsia" w:ascii="宋体" w:hAnsi="宋体" w:eastAsia="宋体" w:cs="宋体"/>
          <w:b/>
          <w:color w:val="auto"/>
          <w:sz w:val="24"/>
        </w:rPr>
        <w:t>2.2 技术规范</w:t>
      </w:r>
      <w:bookmarkEnd w:id="267"/>
      <w:bookmarkEnd w:id="268"/>
      <w:bookmarkEnd w:id="269"/>
      <w:bookmarkEnd w:id="270"/>
      <w:bookmarkEnd w:id="271"/>
      <w:bookmarkEnd w:id="272"/>
      <w:bookmarkEnd w:id="273"/>
      <w:bookmarkEnd w:id="274"/>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color w:val="auto"/>
          <w:sz w:val="24"/>
        </w:rPr>
      </w:pPr>
      <w:bookmarkStart w:id="275" w:name="_Toc9161"/>
      <w:bookmarkStart w:id="276" w:name="_Toc487900351"/>
      <w:bookmarkStart w:id="277" w:name="_Toc259093671"/>
      <w:bookmarkStart w:id="278" w:name="_Toc12412"/>
      <w:bookmarkStart w:id="279" w:name="_Toc13673"/>
      <w:bookmarkStart w:id="280" w:name="_Toc279701242"/>
      <w:bookmarkStart w:id="281" w:name="_Toc4133"/>
      <w:bookmarkStart w:id="282" w:name="_Toc27945"/>
      <w:r>
        <w:rPr>
          <w:rFonts w:hint="eastAsia" w:ascii="宋体" w:hAnsi="宋体" w:eastAsia="宋体" w:cs="宋体"/>
          <w:b/>
          <w:color w:val="auto"/>
          <w:sz w:val="24"/>
        </w:rPr>
        <w:t>2.3 知识产权</w:t>
      </w:r>
      <w:bookmarkEnd w:id="275"/>
      <w:bookmarkEnd w:id="276"/>
      <w:bookmarkEnd w:id="277"/>
      <w:bookmarkEnd w:id="278"/>
      <w:bookmarkEnd w:id="279"/>
      <w:bookmarkEnd w:id="280"/>
      <w:bookmarkEnd w:id="281"/>
      <w:bookmarkEnd w:id="282"/>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2.3.2 合同涉及技术成果的归属和收益的分成办法的，详见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pPr>
        <w:spacing w:line="56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2.4 履约检查和问题反馈</w:t>
      </w:r>
    </w:p>
    <w:p>
      <w:pPr>
        <w:spacing w:line="560" w:lineRule="exact"/>
        <w:ind w:firstLine="480" w:firstLineChars="200"/>
        <w:rPr>
          <w:rFonts w:hint="eastAsia" w:ascii="宋体" w:hAnsi="宋体" w:eastAsia="宋体" w:cs="宋体"/>
          <w:color w:val="auto"/>
          <w:sz w:val="24"/>
        </w:rPr>
      </w:pPr>
      <w:bookmarkStart w:id="283" w:name="_Ref467379657"/>
      <w:r>
        <w:rPr>
          <w:rFonts w:hint="eastAsia" w:ascii="宋体" w:hAnsi="宋体" w:eastAsia="宋体" w:cs="宋体"/>
          <w:color w:val="auto"/>
          <w:sz w:val="24"/>
        </w:rPr>
        <w:t>2.4.1</w:t>
      </w:r>
      <w:bookmarkEnd w:id="283"/>
      <w:bookmarkStart w:id="284" w:name="_Toc186431854"/>
      <w:bookmarkStart w:id="285" w:name="_Toc279701247"/>
      <w:bookmarkStart w:id="286" w:name="_Toc487900357"/>
      <w:bookmarkStart w:id="287" w:name="_Ref467379807"/>
      <w:bookmarkStart w:id="288" w:name="_Toc259093676"/>
      <w:bookmarkStart w:id="289" w:name="_Ref467379793"/>
      <w:r>
        <w:rPr>
          <w:rFonts w:hint="eastAsia" w:ascii="宋体" w:hAnsi="宋体" w:eastAsia="宋体" w:cs="宋体"/>
          <w:color w:val="auto"/>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2.4.2 合同履行期间，甲方有权将履行过程中出现的问题反馈给乙方，双方当事人应以书面形式约定需要完善和改进的内容</w:t>
      </w:r>
      <w:bookmarkEnd w:id="284"/>
      <w:bookmarkStart w:id="290" w:name="_Toc186431855"/>
      <w:r>
        <w:rPr>
          <w:rFonts w:hint="eastAsia" w:ascii="宋体" w:hAnsi="宋体" w:eastAsia="宋体" w:cs="宋体"/>
          <w:color w:val="auto"/>
          <w:sz w:val="24"/>
        </w:rPr>
        <w:t>。</w:t>
      </w:r>
    </w:p>
    <w:bookmarkEnd w:id="290"/>
    <w:p>
      <w:pPr>
        <w:spacing w:line="560" w:lineRule="exact"/>
        <w:ind w:firstLine="482" w:firstLineChars="200"/>
        <w:outlineLvl w:val="0"/>
        <w:rPr>
          <w:rFonts w:hint="eastAsia" w:ascii="宋体" w:hAnsi="宋体" w:eastAsia="宋体" w:cs="宋体"/>
          <w:b/>
          <w:color w:val="auto"/>
          <w:sz w:val="24"/>
        </w:rPr>
      </w:pPr>
      <w:bookmarkStart w:id="291" w:name="_Toc32670"/>
      <w:bookmarkStart w:id="292" w:name="_Toc22011"/>
      <w:bookmarkStart w:id="293" w:name="_Toc15447"/>
      <w:bookmarkStart w:id="294" w:name="_Toc31233"/>
      <w:bookmarkStart w:id="295" w:name="_Toc26555"/>
      <w:r>
        <w:rPr>
          <w:rFonts w:hint="eastAsia" w:ascii="宋体" w:hAnsi="宋体" w:eastAsia="宋体" w:cs="宋体"/>
          <w:b/>
          <w:color w:val="auto"/>
          <w:sz w:val="24"/>
        </w:rPr>
        <w:t>2.5 结算方式和付款条件</w:t>
      </w:r>
      <w:bookmarkEnd w:id="285"/>
      <w:bookmarkEnd w:id="286"/>
      <w:bookmarkEnd w:id="287"/>
      <w:bookmarkEnd w:id="288"/>
      <w:bookmarkEnd w:id="289"/>
      <w:bookmarkEnd w:id="291"/>
      <w:bookmarkEnd w:id="292"/>
      <w:bookmarkEnd w:id="293"/>
      <w:bookmarkEnd w:id="294"/>
      <w:bookmarkEnd w:id="295"/>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pPr>
        <w:spacing w:line="560" w:lineRule="exact"/>
        <w:ind w:firstLine="482" w:firstLineChars="200"/>
        <w:outlineLvl w:val="0"/>
        <w:rPr>
          <w:rFonts w:hint="eastAsia" w:ascii="宋体" w:hAnsi="宋体" w:eastAsia="宋体" w:cs="宋体"/>
          <w:b/>
          <w:color w:val="auto"/>
          <w:sz w:val="24"/>
        </w:rPr>
      </w:pPr>
      <w:bookmarkStart w:id="296" w:name="_Toc279701248"/>
      <w:bookmarkStart w:id="297" w:name="_Ref467379863"/>
      <w:bookmarkStart w:id="298" w:name="_Toc259093677"/>
      <w:bookmarkStart w:id="299" w:name="_Ref467379852"/>
      <w:bookmarkStart w:id="300" w:name="_Ref467379923"/>
      <w:bookmarkStart w:id="301" w:name="_Toc487900358"/>
      <w:bookmarkStart w:id="302" w:name="_Toc16163"/>
      <w:bookmarkStart w:id="303" w:name="_Toc13154"/>
      <w:bookmarkStart w:id="304" w:name="_Toc18990"/>
      <w:bookmarkStart w:id="305" w:name="_Toc30507"/>
      <w:bookmarkStart w:id="306" w:name="_Toc13467"/>
      <w:r>
        <w:rPr>
          <w:rFonts w:hint="eastAsia" w:ascii="宋体" w:hAnsi="宋体" w:eastAsia="宋体" w:cs="宋体"/>
          <w:b/>
          <w:color w:val="auto"/>
          <w:sz w:val="24"/>
        </w:rPr>
        <w:t>2.6 技术资料</w:t>
      </w:r>
      <w:bookmarkEnd w:id="296"/>
      <w:bookmarkEnd w:id="297"/>
      <w:bookmarkEnd w:id="298"/>
      <w:bookmarkEnd w:id="299"/>
      <w:bookmarkEnd w:id="300"/>
      <w:bookmarkEnd w:id="301"/>
      <w:r>
        <w:rPr>
          <w:rFonts w:hint="eastAsia" w:ascii="宋体" w:hAnsi="宋体" w:eastAsia="宋体" w:cs="宋体"/>
          <w:b/>
          <w:color w:val="auto"/>
          <w:sz w:val="24"/>
        </w:rPr>
        <w:t>和保密义务</w:t>
      </w:r>
      <w:bookmarkEnd w:id="302"/>
      <w:bookmarkEnd w:id="303"/>
      <w:bookmarkEnd w:id="304"/>
      <w:bookmarkEnd w:id="305"/>
      <w:bookmarkEnd w:id="306"/>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2.6.1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2.6.2 乙方有义务妥善保管和保护由甲方提供的前款信息和资料等；</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color w:val="auto"/>
          <w:sz w:val="24"/>
        </w:rPr>
      </w:pPr>
      <w:bookmarkStart w:id="307" w:name="_Toc19069"/>
      <w:bookmarkStart w:id="308" w:name="_Toc259093681"/>
      <w:bookmarkStart w:id="309" w:name="_Toc487900362"/>
      <w:bookmarkStart w:id="310" w:name="_Toc279701252"/>
      <w:r>
        <w:rPr>
          <w:rFonts w:hint="eastAsia" w:ascii="宋体" w:hAnsi="宋体" w:eastAsia="宋体" w:cs="宋体"/>
          <w:b/>
          <w:color w:val="auto"/>
          <w:sz w:val="24"/>
        </w:rPr>
        <w:t>2.7 质量保证</w:t>
      </w:r>
      <w:bookmarkEnd w:id="307"/>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2.7.1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color w:val="auto"/>
          <w:sz w:val="24"/>
        </w:rPr>
      </w:pPr>
      <w:bookmarkStart w:id="311" w:name="_Toc22267"/>
      <w:r>
        <w:rPr>
          <w:rFonts w:hint="eastAsia" w:ascii="宋体" w:hAnsi="宋体" w:eastAsia="宋体" w:cs="宋体"/>
          <w:b/>
          <w:color w:val="auto"/>
          <w:sz w:val="24"/>
        </w:rPr>
        <w:t>2.8 延迟</w:t>
      </w:r>
      <w:bookmarkEnd w:id="308"/>
      <w:bookmarkEnd w:id="309"/>
      <w:bookmarkEnd w:id="310"/>
      <w:r>
        <w:rPr>
          <w:rFonts w:hint="eastAsia" w:ascii="宋体" w:hAnsi="宋体" w:eastAsia="宋体" w:cs="宋体"/>
          <w:b/>
          <w:color w:val="auto"/>
          <w:sz w:val="24"/>
        </w:rPr>
        <w:t>履行</w:t>
      </w:r>
      <w:bookmarkEnd w:id="311"/>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宋体" w:hAnsi="宋体" w:eastAsia="宋体" w:cs="宋体"/>
          <w:b/>
          <w:color w:val="auto"/>
          <w:sz w:val="24"/>
        </w:rPr>
      </w:pPr>
      <w:bookmarkStart w:id="312" w:name="_Toc10611"/>
      <w:bookmarkStart w:id="313" w:name="_Toc259093683"/>
      <w:bookmarkStart w:id="314" w:name="_Toc279701254"/>
      <w:bookmarkStart w:id="315" w:name="_Toc487900364"/>
      <w:bookmarkStart w:id="316" w:name="_Ref467378121"/>
      <w:r>
        <w:rPr>
          <w:rFonts w:hint="eastAsia" w:ascii="宋体" w:hAnsi="宋体" w:eastAsia="宋体" w:cs="宋体"/>
          <w:b/>
          <w:color w:val="auto"/>
          <w:sz w:val="24"/>
        </w:rPr>
        <w:t>2.9 合同变更</w:t>
      </w:r>
      <w:bookmarkEnd w:id="312"/>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2.9.2 合同继续履行将损害国家利益和社会公共利益的，双方当事人应当以书面形式变更合同。有过错的一方应当承担赔偿责任，双方当事人都有过错的，各自承担相应的责任。</w:t>
      </w:r>
      <w:bookmarkStart w:id="317" w:name="_Toc487900369"/>
      <w:bookmarkStart w:id="318" w:name="_Toc259093688"/>
      <w:bookmarkStart w:id="319" w:name="_Toc279701259"/>
    </w:p>
    <w:p>
      <w:pPr>
        <w:spacing w:line="560" w:lineRule="exact"/>
        <w:ind w:firstLine="482" w:firstLineChars="200"/>
        <w:outlineLvl w:val="0"/>
        <w:rPr>
          <w:rFonts w:hint="eastAsia" w:ascii="宋体" w:hAnsi="宋体" w:eastAsia="宋体" w:cs="宋体"/>
          <w:b/>
          <w:color w:val="auto"/>
          <w:sz w:val="24"/>
        </w:rPr>
      </w:pPr>
      <w:bookmarkStart w:id="320" w:name="_Toc42"/>
      <w:bookmarkStart w:id="321" w:name="_Toc26689"/>
      <w:bookmarkStart w:id="322" w:name="_Toc21830"/>
      <w:bookmarkStart w:id="323" w:name="_Toc23368"/>
      <w:bookmarkStart w:id="324" w:name="_Toc10663"/>
      <w:r>
        <w:rPr>
          <w:rFonts w:hint="eastAsia" w:ascii="宋体" w:hAnsi="宋体" w:eastAsia="宋体" w:cs="宋体"/>
          <w:b/>
          <w:color w:val="auto"/>
          <w:sz w:val="24"/>
        </w:rPr>
        <w:t>2.10 合同转让</w:t>
      </w:r>
      <w:bookmarkEnd w:id="317"/>
      <w:bookmarkEnd w:id="318"/>
      <w:bookmarkEnd w:id="319"/>
      <w:r>
        <w:rPr>
          <w:rFonts w:hint="eastAsia" w:ascii="宋体" w:hAnsi="宋体" w:eastAsia="宋体" w:cs="宋体"/>
          <w:b/>
          <w:color w:val="auto"/>
          <w:sz w:val="24"/>
        </w:rPr>
        <w:t>和分包</w:t>
      </w:r>
      <w:bookmarkEnd w:id="320"/>
      <w:bookmarkEnd w:id="321"/>
      <w:bookmarkEnd w:id="322"/>
      <w:bookmarkEnd w:id="323"/>
      <w:bookmarkEnd w:id="324"/>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color w:val="auto"/>
          <w:sz w:val="24"/>
        </w:rPr>
      </w:pPr>
      <w:bookmarkStart w:id="325" w:name="_Toc32494"/>
      <w:bookmarkStart w:id="326" w:name="_Toc14371"/>
      <w:bookmarkStart w:id="327" w:name="_Toc4720"/>
      <w:bookmarkStart w:id="328" w:name="_Toc25571"/>
      <w:bookmarkStart w:id="329" w:name="_Toc26633"/>
      <w:r>
        <w:rPr>
          <w:rFonts w:hint="eastAsia" w:ascii="宋体" w:hAnsi="宋体" w:eastAsia="宋体" w:cs="宋体"/>
          <w:b/>
          <w:color w:val="auto"/>
          <w:sz w:val="24"/>
        </w:rPr>
        <w:t>2.11 不可抗力</w:t>
      </w:r>
      <w:bookmarkEnd w:id="325"/>
      <w:bookmarkEnd w:id="326"/>
      <w:bookmarkEnd w:id="327"/>
      <w:bookmarkEnd w:id="328"/>
      <w:bookmarkEnd w:id="329"/>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2.11.2 因不可抗力致使不能实现合同目的的，当事人可以解除合同；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2.11.3 因不可抗力致使合同有变更必要的，双方当事人应在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约定时间内以书面形式变更合同；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2.11.4受不可抗力影响的一方在不可抗力发生后，应在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约定时间内以书面形式通知对方当事人，并在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约定时间内，将有关部门出具的证明文件送达对方当事人。</w:t>
      </w:r>
    </w:p>
    <w:p>
      <w:pPr>
        <w:spacing w:line="560" w:lineRule="exact"/>
        <w:ind w:firstLine="482" w:firstLineChars="200"/>
        <w:outlineLvl w:val="0"/>
        <w:rPr>
          <w:rFonts w:hint="eastAsia" w:ascii="宋体" w:hAnsi="宋体" w:eastAsia="宋体" w:cs="宋体"/>
          <w:b/>
          <w:color w:val="auto"/>
          <w:sz w:val="24"/>
        </w:rPr>
      </w:pPr>
      <w:bookmarkStart w:id="330" w:name="_Toc24465"/>
      <w:bookmarkStart w:id="331" w:name="_Toc3638"/>
      <w:bookmarkStart w:id="332" w:name="_Toc25783"/>
      <w:bookmarkStart w:id="333" w:name="_Toc279701255"/>
      <w:bookmarkStart w:id="334" w:name="_Toc487900365"/>
      <w:bookmarkStart w:id="335" w:name="_Toc14115"/>
      <w:bookmarkStart w:id="336" w:name="_Toc259093684"/>
      <w:bookmarkStart w:id="337" w:name="_Toc23854"/>
      <w:r>
        <w:rPr>
          <w:rFonts w:hint="eastAsia" w:ascii="宋体" w:hAnsi="宋体" w:eastAsia="宋体" w:cs="宋体"/>
          <w:b/>
          <w:color w:val="auto"/>
          <w:sz w:val="24"/>
        </w:rPr>
        <w:t>2.12 税费</w:t>
      </w:r>
      <w:bookmarkEnd w:id="330"/>
      <w:bookmarkEnd w:id="331"/>
      <w:bookmarkEnd w:id="332"/>
      <w:bookmarkEnd w:id="333"/>
      <w:bookmarkEnd w:id="334"/>
      <w:bookmarkEnd w:id="335"/>
      <w:bookmarkEnd w:id="336"/>
      <w:bookmarkEnd w:id="337"/>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与合同有关的一切税费，均按照中华人民共和国法律的相关规定缴纳。</w:t>
      </w:r>
    </w:p>
    <w:p>
      <w:pPr>
        <w:spacing w:line="560" w:lineRule="exact"/>
        <w:ind w:firstLine="482" w:firstLineChars="200"/>
        <w:outlineLvl w:val="0"/>
        <w:rPr>
          <w:rFonts w:hint="eastAsia" w:ascii="宋体" w:hAnsi="宋体" w:eastAsia="宋体" w:cs="宋体"/>
          <w:b/>
          <w:color w:val="auto"/>
          <w:sz w:val="24"/>
        </w:rPr>
      </w:pPr>
      <w:bookmarkStart w:id="338" w:name="_Toc25525"/>
      <w:bookmarkStart w:id="339" w:name="_Toc279701258"/>
      <w:bookmarkStart w:id="340" w:name="_Toc26883"/>
      <w:bookmarkStart w:id="341" w:name="_Toc259093687"/>
      <w:bookmarkStart w:id="342" w:name="_Toc487900368"/>
      <w:bookmarkStart w:id="343" w:name="_Toc14814"/>
      <w:bookmarkStart w:id="344" w:name="_Toc7315"/>
      <w:bookmarkStart w:id="345" w:name="_Toc30105"/>
      <w:r>
        <w:rPr>
          <w:rFonts w:hint="eastAsia" w:ascii="宋体" w:hAnsi="宋体" w:eastAsia="宋体" w:cs="宋体"/>
          <w:b/>
          <w:color w:val="auto"/>
          <w:sz w:val="24"/>
        </w:rPr>
        <w:t>2.13 乙方破产</w:t>
      </w:r>
      <w:bookmarkEnd w:id="338"/>
      <w:bookmarkEnd w:id="339"/>
      <w:bookmarkEnd w:id="340"/>
      <w:bookmarkEnd w:id="341"/>
      <w:bookmarkEnd w:id="342"/>
      <w:bookmarkEnd w:id="343"/>
      <w:bookmarkEnd w:id="344"/>
      <w:bookmarkEnd w:id="345"/>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color w:val="auto"/>
          <w:sz w:val="24"/>
        </w:rPr>
      </w:pPr>
      <w:bookmarkStart w:id="346" w:name="_Toc2016"/>
      <w:bookmarkStart w:id="347" w:name="_Toc23323"/>
      <w:bookmarkStart w:id="348" w:name="_Toc1123"/>
      <w:r>
        <w:rPr>
          <w:rFonts w:hint="eastAsia" w:ascii="宋体" w:hAnsi="宋体" w:eastAsia="宋体" w:cs="宋体"/>
          <w:b/>
          <w:color w:val="auto"/>
          <w:sz w:val="24"/>
        </w:rPr>
        <w:t>2.14 合同中止、终止</w:t>
      </w:r>
      <w:bookmarkEnd w:id="346"/>
      <w:bookmarkEnd w:id="347"/>
      <w:bookmarkEnd w:id="348"/>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2.14.1 双方当事人不得擅自中止或者终止合同；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color w:val="auto"/>
          <w:sz w:val="24"/>
        </w:rPr>
      </w:pPr>
      <w:bookmarkStart w:id="349" w:name="_Toc17363"/>
      <w:bookmarkStart w:id="350" w:name="_Toc14525"/>
      <w:bookmarkStart w:id="351" w:name="_Toc1969"/>
      <w:r>
        <w:rPr>
          <w:rFonts w:hint="eastAsia" w:ascii="宋体" w:hAnsi="宋体" w:eastAsia="宋体" w:cs="宋体"/>
          <w:b/>
          <w:color w:val="auto"/>
          <w:sz w:val="24"/>
        </w:rPr>
        <w:t>2.15 检验和验收</w:t>
      </w:r>
      <w:bookmarkEnd w:id="349"/>
      <w:bookmarkEnd w:id="350"/>
      <w:bookmarkEnd w:id="351"/>
    </w:p>
    <w:p>
      <w:pPr>
        <w:tabs>
          <w:tab w:val="left" w:pos="360"/>
          <w:tab w:val="left" w:pos="540"/>
          <w:tab w:val="left" w:pos="1080"/>
        </w:tabs>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2.15.1 乙方按照</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的约定，定期提交服务报告，甲方按照</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的约定进行定期验收；</w:t>
      </w:r>
    </w:p>
    <w:p>
      <w:pPr>
        <w:tabs>
          <w:tab w:val="left" w:pos="360"/>
          <w:tab w:val="left" w:pos="540"/>
          <w:tab w:val="left" w:pos="1080"/>
        </w:tabs>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2.15.3 检验和验收标准、程序等具体内容以及前述验收书的效力详见</w:t>
      </w:r>
      <w:r>
        <w:rPr>
          <w:rFonts w:hint="eastAsia" w:ascii="宋体" w:hAnsi="宋体" w:eastAsia="宋体" w:cs="宋体"/>
          <w:b/>
          <w:i/>
          <w:color w:val="auto"/>
          <w:sz w:val="24"/>
          <w:u w:val="single"/>
        </w:rPr>
        <w:t>合同专用条款</w:t>
      </w:r>
      <w:r>
        <w:rPr>
          <w:rFonts w:hint="eastAsia" w:ascii="宋体" w:hAnsi="宋体" w:eastAsia="宋体" w:cs="宋体"/>
          <w:i/>
          <w:color w:val="auto"/>
          <w:sz w:val="24"/>
        </w:rPr>
        <w:t>。</w:t>
      </w:r>
    </w:p>
    <w:bookmarkEnd w:id="313"/>
    <w:bookmarkEnd w:id="314"/>
    <w:bookmarkEnd w:id="315"/>
    <w:bookmarkEnd w:id="316"/>
    <w:p>
      <w:pPr>
        <w:spacing w:line="560" w:lineRule="exact"/>
        <w:ind w:firstLine="482" w:firstLineChars="200"/>
        <w:outlineLvl w:val="0"/>
        <w:rPr>
          <w:rFonts w:hint="eastAsia" w:ascii="宋体" w:hAnsi="宋体" w:eastAsia="宋体" w:cs="宋体"/>
          <w:b/>
          <w:color w:val="auto"/>
          <w:sz w:val="24"/>
        </w:rPr>
      </w:pPr>
      <w:bookmarkStart w:id="352" w:name="_Toc487900371"/>
      <w:bookmarkStart w:id="353" w:name="_Toc259093690"/>
      <w:bookmarkStart w:id="354" w:name="_Toc279701261"/>
      <w:bookmarkStart w:id="355" w:name="_Toc9808"/>
      <w:bookmarkStart w:id="356" w:name="_Toc31892"/>
      <w:bookmarkStart w:id="357" w:name="_Toc12666"/>
      <w:bookmarkStart w:id="358" w:name="_Toc2308"/>
      <w:bookmarkStart w:id="359" w:name="_Toc25198"/>
      <w:r>
        <w:rPr>
          <w:rFonts w:hint="eastAsia" w:ascii="宋体" w:hAnsi="宋体" w:eastAsia="宋体" w:cs="宋体"/>
          <w:b/>
          <w:color w:val="auto"/>
          <w:sz w:val="24"/>
        </w:rPr>
        <w:t>2.16 通知</w:t>
      </w:r>
      <w:bookmarkEnd w:id="352"/>
      <w:bookmarkEnd w:id="353"/>
      <w:bookmarkEnd w:id="354"/>
      <w:r>
        <w:rPr>
          <w:rFonts w:hint="eastAsia" w:ascii="宋体" w:hAnsi="宋体" w:eastAsia="宋体" w:cs="宋体"/>
          <w:b/>
          <w:color w:val="auto"/>
          <w:sz w:val="24"/>
        </w:rPr>
        <w:t>和送达</w:t>
      </w:r>
      <w:bookmarkEnd w:id="355"/>
      <w:bookmarkEnd w:id="356"/>
      <w:bookmarkEnd w:id="357"/>
      <w:bookmarkEnd w:id="358"/>
      <w:bookmarkEnd w:id="359"/>
    </w:p>
    <w:p>
      <w:pPr>
        <w:spacing w:line="560" w:lineRule="exact"/>
        <w:ind w:firstLine="480" w:firstLineChars="200"/>
        <w:rPr>
          <w:rFonts w:hint="eastAsia" w:ascii="宋体" w:hAnsi="宋体" w:eastAsia="宋体" w:cs="宋体"/>
          <w:color w:val="auto"/>
          <w:sz w:val="24"/>
        </w:rPr>
      </w:pPr>
      <w:bookmarkStart w:id="360" w:name="_Toc7073"/>
      <w:bookmarkStart w:id="361" w:name="_Toc29220"/>
      <w:bookmarkStart w:id="362" w:name="_Toc487900372"/>
      <w:bookmarkStart w:id="363" w:name="_Toc279701262"/>
      <w:bookmarkStart w:id="364" w:name="_Toc259093691"/>
      <w:r>
        <w:rPr>
          <w:rFonts w:hint="eastAsia" w:ascii="宋体" w:hAnsi="宋体" w:eastAsia="宋体" w:cs="宋体"/>
          <w:color w:val="auto"/>
          <w:sz w:val="24"/>
        </w:rPr>
        <w:t>2.16.1 任何一方因履行合同而以合同第一部分尾部所列明的</w:t>
      </w:r>
      <w:r>
        <w:rPr>
          <w:rFonts w:hint="eastAsia" w:ascii="宋体" w:hAnsi="宋体" w:eastAsia="宋体" w:cs="宋体"/>
          <w:color w:val="auto"/>
          <w:sz w:val="24"/>
          <w:u w:val="single"/>
        </w:rPr>
        <w:t xml:space="preserve">          </w:t>
      </w:r>
      <w:r>
        <w:rPr>
          <w:rFonts w:hint="eastAsia" w:ascii="宋体" w:hAnsi="宋体" w:eastAsia="宋体" w:cs="宋体"/>
          <w:color w:val="auto"/>
          <w:sz w:val="24"/>
        </w:rPr>
        <w:t>发出的所有通知、文件、材料，均视为已向对方当事人送达；任何一方变更上述送达方式或者地址的，应于</w:t>
      </w:r>
      <w:r>
        <w:rPr>
          <w:rFonts w:hint="eastAsia" w:ascii="宋体" w:hAnsi="宋体" w:eastAsia="宋体" w:cs="宋体"/>
          <w:color w:val="auto"/>
          <w:sz w:val="24"/>
          <w:u w:val="single"/>
        </w:rPr>
        <w:t xml:space="preserve">   </w:t>
      </w:r>
      <w:r>
        <w:rPr>
          <w:rFonts w:hint="eastAsia" w:ascii="宋体" w:hAnsi="宋体" w:eastAsia="宋体" w:cs="宋体"/>
          <w:color w:val="auto"/>
          <w:sz w:val="24"/>
        </w:rPr>
        <w:t>个工作日内书面通知对方当事人，在对方当事人收到有关变更通知之前，变更前的约定送达方式或者地址仍视为有效。</w:t>
      </w:r>
      <w:bookmarkEnd w:id="360"/>
      <w:bookmarkEnd w:id="361"/>
    </w:p>
    <w:p>
      <w:pPr>
        <w:spacing w:line="560" w:lineRule="exact"/>
        <w:ind w:firstLine="480" w:firstLineChars="200"/>
        <w:rPr>
          <w:rFonts w:hint="eastAsia" w:ascii="宋体" w:hAnsi="宋体" w:eastAsia="宋体" w:cs="宋体"/>
          <w:color w:val="auto"/>
          <w:sz w:val="24"/>
        </w:rPr>
      </w:pPr>
      <w:bookmarkStart w:id="365" w:name="_Toc18401"/>
      <w:bookmarkStart w:id="366" w:name="_Toc27674"/>
      <w:r>
        <w:rPr>
          <w:rFonts w:hint="eastAsia" w:ascii="宋体" w:hAnsi="宋体" w:eastAsia="宋体" w:cs="宋体"/>
          <w:color w:val="auto"/>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65"/>
      <w:bookmarkEnd w:id="366"/>
    </w:p>
    <w:bookmarkEnd w:id="362"/>
    <w:bookmarkEnd w:id="363"/>
    <w:bookmarkEnd w:id="364"/>
    <w:p>
      <w:pPr>
        <w:spacing w:line="560" w:lineRule="exact"/>
        <w:ind w:firstLine="482" w:firstLineChars="200"/>
        <w:outlineLvl w:val="0"/>
        <w:rPr>
          <w:rFonts w:hint="eastAsia" w:ascii="宋体" w:hAnsi="宋体" w:eastAsia="宋体" w:cs="宋体"/>
          <w:b/>
          <w:color w:val="auto"/>
          <w:sz w:val="24"/>
        </w:rPr>
      </w:pPr>
      <w:bookmarkStart w:id="367" w:name="_Toc27644"/>
      <w:bookmarkStart w:id="368" w:name="_Toc28906"/>
      <w:bookmarkStart w:id="369" w:name="_Toc259093692"/>
      <w:bookmarkStart w:id="370" w:name="_Toc20808"/>
      <w:bookmarkStart w:id="371" w:name="_Toc12254"/>
      <w:bookmarkStart w:id="372" w:name="_Toc5063"/>
      <w:bookmarkStart w:id="373" w:name="_Toc279701263"/>
      <w:bookmarkStart w:id="374" w:name="_Toc487900373"/>
      <w:r>
        <w:rPr>
          <w:rFonts w:hint="eastAsia" w:ascii="宋体" w:hAnsi="宋体" w:eastAsia="宋体" w:cs="宋体"/>
          <w:b/>
          <w:color w:val="auto"/>
          <w:sz w:val="24"/>
        </w:rPr>
        <w:t>2.17 合同使用的文字和适用的法律</w:t>
      </w:r>
      <w:bookmarkEnd w:id="367"/>
      <w:bookmarkEnd w:id="368"/>
      <w:bookmarkEnd w:id="369"/>
      <w:bookmarkEnd w:id="370"/>
      <w:bookmarkEnd w:id="371"/>
      <w:bookmarkEnd w:id="372"/>
      <w:bookmarkEnd w:id="373"/>
      <w:bookmarkEnd w:id="374"/>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2.17.1 合同使用汉语书就、变更和解释；</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2.17.2 合同适用中华人民共和国法律。</w:t>
      </w:r>
    </w:p>
    <w:p>
      <w:pPr>
        <w:spacing w:line="560" w:lineRule="exact"/>
        <w:ind w:firstLine="482" w:firstLineChars="200"/>
        <w:outlineLvl w:val="0"/>
        <w:rPr>
          <w:rFonts w:hint="eastAsia" w:ascii="宋体" w:hAnsi="宋体" w:eastAsia="宋体" w:cs="宋体"/>
          <w:b/>
          <w:color w:val="auto"/>
          <w:sz w:val="24"/>
        </w:rPr>
      </w:pPr>
      <w:bookmarkStart w:id="375" w:name="_Toc259093693"/>
      <w:bookmarkStart w:id="376" w:name="_Toc22266"/>
      <w:bookmarkStart w:id="377" w:name="_Toc27403"/>
      <w:bookmarkStart w:id="378" w:name="_Toc1492"/>
      <w:bookmarkStart w:id="379" w:name="_Toc27127"/>
      <w:bookmarkStart w:id="380" w:name="_Toc279701264"/>
      <w:bookmarkStart w:id="381" w:name="_Toc30096"/>
      <w:bookmarkStart w:id="382" w:name="_Toc487900374"/>
      <w:r>
        <w:rPr>
          <w:rFonts w:hint="eastAsia" w:ascii="宋体" w:hAnsi="宋体" w:eastAsia="宋体" w:cs="宋体"/>
          <w:b/>
          <w:color w:val="auto"/>
          <w:sz w:val="24"/>
        </w:rPr>
        <w:t>2.18 履约保证金</w:t>
      </w:r>
      <w:bookmarkEnd w:id="375"/>
      <w:bookmarkEnd w:id="376"/>
      <w:bookmarkEnd w:id="377"/>
      <w:bookmarkEnd w:id="378"/>
      <w:bookmarkEnd w:id="379"/>
      <w:bookmarkEnd w:id="380"/>
      <w:bookmarkEnd w:id="381"/>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2.18.1 采购文件要求乙方提交履约保证金的，乙方应按</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2.18.2 履约保证金在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约定期间内不予退还或者应完全有效，前述约定期间届满之日起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个工作日内，甲方应将履约保证金退还乙方；</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82"/>
    <w:p>
      <w:pPr>
        <w:spacing w:line="56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2.19 合同份数</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合同份数按</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规定，每份均具有同等法律效力。</w:t>
      </w:r>
    </w:p>
    <w:p>
      <w:pPr>
        <w:pStyle w:val="44"/>
        <w:spacing w:line="560" w:lineRule="exact"/>
        <w:ind w:firstLine="0"/>
        <w:jc w:val="center"/>
        <w:rPr>
          <w:rFonts w:hint="eastAsia" w:ascii="宋体" w:hAnsi="宋体" w:eastAsia="宋体" w:cs="宋体"/>
          <w:b/>
          <w:color w:val="auto"/>
          <w:szCs w:val="24"/>
        </w:rPr>
      </w:pPr>
      <w:r>
        <w:rPr>
          <w:rFonts w:hint="eastAsia" w:ascii="宋体" w:hAnsi="宋体" w:eastAsia="宋体" w:cs="宋体"/>
          <w:color w:val="auto"/>
          <w:szCs w:val="24"/>
        </w:rPr>
        <w:br w:type="page"/>
      </w:r>
      <w:bookmarkStart w:id="383" w:name="_Toc331685784"/>
      <w:r>
        <w:rPr>
          <w:rFonts w:hint="eastAsia" w:ascii="宋体" w:hAnsi="宋体" w:eastAsia="宋体" w:cs="宋体"/>
          <w:b/>
          <w:color w:val="auto"/>
          <w:szCs w:val="24"/>
        </w:rPr>
        <w:t>第三部分  合同专用条款</w:t>
      </w:r>
      <w:bookmarkEnd w:id="383"/>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宋体" w:hAnsi="宋体" w:eastAsia="宋体" w:cs="宋体"/>
                <w:b/>
                <w:color w:val="auto"/>
                <w:sz w:val="24"/>
              </w:rPr>
            </w:pPr>
            <w:r>
              <w:rPr>
                <w:rFonts w:hint="eastAsia" w:ascii="宋体" w:hAnsi="宋体" w:eastAsia="宋体" w:cs="宋体"/>
                <w:b/>
                <w:color w:val="auto"/>
                <w:sz w:val="24"/>
              </w:rPr>
              <w:t>条款号</w:t>
            </w:r>
          </w:p>
        </w:tc>
        <w:tc>
          <w:tcPr>
            <w:tcW w:w="7633" w:type="dxa"/>
            <w:noWrap w:val="0"/>
            <w:vAlign w:val="center"/>
          </w:tcPr>
          <w:p>
            <w:pPr>
              <w:spacing w:line="560" w:lineRule="exact"/>
              <w:jc w:val="center"/>
              <w:rPr>
                <w:rFonts w:hint="eastAsia" w:ascii="宋体" w:hAnsi="宋体" w:eastAsia="宋体" w:cs="宋体"/>
                <w:b/>
                <w:color w:val="auto"/>
                <w:sz w:val="24"/>
              </w:rPr>
            </w:pPr>
            <w:r>
              <w:rPr>
                <w:rFonts w:hint="eastAsia" w:ascii="宋体" w:hAnsi="宋体" w:eastAsia="宋体" w:cs="宋体"/>
                <w:b/>
                <w:color w:val="auto"/>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4"/>
              </w:rPr>
            </w:pPr>
          </w:p>
        </w:tc>
        <w:tc>
          <w:tcPr>
            <w:tcW w:w="7633" w:type="dxa"/>
            <w:noWrap w:val="0"/>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4"/>
              </w:rPr>
            </w:pPr>
          </w:p>
        </w:tc>
        <w:tc>
          <w:tcPr>
            <w:tcW w:w="7633" w:type="dxa"/>
            <w:noWrap w:val="0"/>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4"/>
              </w:rPr>
            </w:pPr>
          </w:p>
        </w:tc>
        <w:tc>
          <w:tcPr>
            <w:tcW w:w="7633" w:type="dxa"/>
            <w:noWrap w:val="0"/>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4"/>
              </w:rPr>
            </w:pPr>
          </w:p>
        </w:tc>
        <w:tc>
          <w:tcPr>
            <w:tcW w:w="7633" w:type="dxa"/>
            <w:noWrap w:val="0"/>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4"/>
              </w:rPr>
            </w:pPr>
          </w:p>
        </w:tc>
        <w:tc>
          <w:tcPr>
            <w:tcW w:w="7633" w:type="dxa"/>
            <w:noWrap w:val="0"/>
            <w:vAlign w:val="center"/>
          </w:tcPr>
          <w:p>
            <w:pPr>
              <w:spacing w:line="560" w:lineRule="exact"/>
              <w:rPr>
                <w:rFonts w:hint="eastAsia" w:ascii="宋体" w:hAnsi="宋体" w:eastAsia="宋体" w:cs="宋体"/>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4"/>
              </w:rPr>
            </w:pPr>
          </w:p>
        </w:tc>
        <w:tc>
          <w:tcPr>
            <w:tcW w:w="7633" w:type="dxa"/>
            <w:noWrap w:val="0"/>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4"/>
              </w:rPr>
            </w:pPr>
          </w:p>
        </w:tc>
        <w:tc>
          <w:tcPr>
            <w:tcW w:w="7633" w:type="dxa"/>
            <w:noWrap w:val="0"/>
            <w:vAlign w:val="center"/>
          </w:tcPr>
          <w:p>
            <w:pPr>
              <w:spacing w:line="560" w:lineRule="exact"/>
              <w:rPr>
                <w:rFonts w:hint="eastAsia" w:ascii="宋体" w:hAnsi="宋体" w:eastAsia="宋体" w:cs="宋体"/>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4"/>
              </w:rPr>
            </w:pPr>
          </w:p>
        </w:tc>
        <w:tc>
          <w:tcPr>
            <w:tcW w:w="7633" w:type="dxa"/>
            <w:noWrap w:val="0"/>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4"/>
              </w:rPr>
            </w:pPr>
          </w:p>
        </w:tc>
        <w:tc>
          <w:tcPr>
            <w:tcW w:w="7633" w:type="dxa"/>
            <w:noWrap w:val="0"/>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4"/>
              </w:rPr>
            </w:pPr>
          </w:p>
        </w:tc>
        <w:tc>
          <w:tcPr>
            <w:tcW w:w="7633" w:type="dxa"/>
            <w:noWrap w:val="0"/>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4"/>
              </w:rPr>
            </w:pPr>
          </w:p>
        </w:tc>
        <w:tc>
          <w:tcPr>
            <w:tcW w:w="7633" w:type="dxa"/>
            <w:noWrap w:val="0"/>
            <w:vAlign w:val="center"/>
          </w:tcPr>
          <w:p>
            <w:pPr>
              <w:spacing w:line="56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4"/>
              </w:rPr>
            </w:pPr>
          </w:p>
        </w:tc>
        <w:tc>
          <w:tcPr>
            <w:tcW w:w="7633" w:type="dxa"/>
            <w:noWrap w:val="0"/>
            <w:vAlign w:val="center"/>
          </w:tcPr>
          <w:p>
            <w:pPr>
              <w:spacing w:line="560" w:lineRule="exact"/>
              <w:rPr>
                <w:rFonts w:hint="eastAsia" w:ascii="宋体" w:hAnsi="宋体" w:eastAsia="宋体" w:cs="宋体"/>
                <w:color w:val="auto"/>
                <w:sz w:val="24"/>
              </w:rPr>
            </w:pPr>
          </w:p>
        </w:tc>
      </w:tr>
    </w:tbl>
    <w:p>
      <w:pPr>
        <w:spacing w:after="156" w:line="560" w:lineRule="exact"/>
        <w:ind w:firstLine="480"/>
        <w:rPr>
          <w:rFonts w:hint="eastAsia" w:ascii="宋体" w:hAnsi="宋体" w:eastAsia="宋体" w:cs="宋体"/>
          <w:color w:val="auto"/>
        </w:rPr>
      </w:pPr>
    </w:p>
    <w:p>
      <w:pPr>
        <w:pStyle w:val="4"/>
        <w:spacing w:before="0" w:line="240" w:lineRule="atLeast"/>
        <w:ind w:left="1080" w:leftChars="257" w:hanging="540"/>
        <w:rPr>
          <w:rFonts w:hint="eastAsia" w:ascii="宋体" w:hAnsi="宋体" w:eastAsia="宋体" w:cs="宋体"/>
          <w:color w:val="auto"/>
          <w:sz w:val="24"/>
        </w:rPr>
      </w:pPr>
    </w:p>
    <w:p>
      <w:pPr>
        <w:rPr>
          <w:rFonts w:hint="eastAsia" w:ascii="宋体" w:hAnsi="宋体" w:eastAsia="宋体" w:cs="宋体"/>
          <w:color w:val="auto"/>
        </w:rPr>
      </w:pPr>
    </w:p>
    <w:p>
      <w:pPr>
        <w:keepNext w:val="0"/>
        <w:keepLines w:val="0"/>
        <w:pageBreakBefore/>
        <w:widowControl w:val="0"/>
        <w:tabs>
          <w:tab w:val="left" w:pos="7665"/>
        </w:tabs>
        <w:kinsoku/>
        <w:wordWrap/>
        <w:overflowPunct/>
        <w:topLinePunct w:val="0"/>
        <w:autoSpaceDE/>
        <w:autoSpaceDN/>
        <w:bidi w:val="0"/>
        <w:adjustRightInd/>
        <w:snapToGrid/>
        <w:spacing w:line="360" w:lineRule="auto"/>
        <w:ind w:firstLine="301" w:firstLineChars="10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30"/>
          <w:szCs w:val="30"/>
          <w:highlight w:val="none"/>
        </w:rPr>
        <w:t>第五章</w:t>
      </w:r>
      <w:bookmarkEnd w:id="203"/>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响应文件格式</w:t>
      </w:r>
    </w:p>
    <w:p>
      <w:pPr>
        <w:spacing w:line="1000" w:lineRule="exact"/>
        <w:jc w:val="center"/>
        <w:rPr>
          <w:rFonts w:hint="eastAsia" w:ascii="宋体" w:hAnsi="宋体" w:eastAsia="宋体" w:cs="宋体"/>
          <w:b/>
          <w:color w:val="auto"/>
          <w:sz w:val="28"/>
          <w:szCs w:val="28"/>
          <w:highlight w:val="none"/>
        </w:rPr>
      </w:pPr>
    </w:p>
    <w:p>
      <w:pPr>
        <w:snapToGrid w:val="0"/>
        <w:spacing w:line="374" w:lineRule="atLeas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val="en-US" w:eastAsia="zh-CN"/>
        </w:rPr>
        <w:t>新疆维吾尔自治区高级人民法院保安服务采购项目</w:t>
      </w:r>
    </w:p>
    <w:p>
      <w:pPr>
        <w:pStyle w:val="11"/>
        <w:jc w:val="center"/>
        <w:rPr>
          <w:rFonts w:hint="eastAsia" w:ascii="宋体" w:hAnsi="宋体" w:eastAsia="宋体" w:cs="宋体"/>
          <w:b/>
          <w:bCs/>
          <w:color w:val="auto"/>
          <w:sz w:val="36"/>
          <w:szCs w:val="36"/>
          <w:highlight w:val="none"/>
        </w:rPr>
      </w:pPr>
    </w:p>
    <w:p>
      <w:pPr>
        <w:pStyle w:val="11"/>
        <w:jc w:val="center"/>
        <w:rPr>
          <w:rFonts w:hint="eastAsia" w:ascii="宋体" w:hAnsi="宋体" w:eastAsia="宋体" w:cs="宋体"/>
          <w:b/>
          <w:bCs/>
          <w:color w:val="auto"/>
          <w:sz w:val="36"/>
          <w:szCs w:val="36"/>
          <w:highlight w:val="none"/>
        </w:rPr>
      </w:pPr>
    </w:p>
    <w:p>
      <w:pPr>
        <w:pStyle w:val="11"/>
        <w:jc w:val="center"/>
        <w:rPr>
          <w:rFonts w:hint="eastAsia" w:ascii="宋体" w:hAnsi="宋体" w:eastAsia="宋体" w:cs="宋体"/>
          <w:b/>
          <w:bCs/>
          <w:color w:val="auto"/>
          <w:sz w:val="36"/>
          <w:szCs w:val="36"/>
          <w:highlight w:val="none"/>
        </w:rPr>
      </w:pPr>
    </w:p>
    <w:p>
      <w:pPr>
        <w:pStyle w:val="11"/>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响应文件</w:t>
      </w:r>
    </w:p>
    <w:p>
      <w:pPr>
        <w:pStyle w:val="11"/>
        <w:jc w:val="center"/>
        <w:rPr>
          <w:rFonts w:hint="eastAsia" w:ascii="宋体" w:hAnsi="宋体" w:eastAsia="宋体" w:cs="宋体"/>
          <w:b/>
          <w:bCs/>
          <w:color w:val="auto"/>
          <w:sz w:val="36"/>
          <w:szCs w:val="36"/>
          <w:highlight w:val="none"/>
        </w:rPr>
      </w:pPr>
    </w:p>
    <w:p>
      <w:pPr>
        <w:snapToGrid w:val="0"/>
        <w:spacing w:line="48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val="en-US" w:eastAsia="zh-CN"/>
        </w:rPr>
        <w:t>项目编号：[2021]13893号-001</w:t>
      </w:r>
      <w:r>
        <w:rPr>
          <w:rFonts w:hint="eastAsia" w:ascii="宋体" w:hAnsi="宋体" w:eastAsia="宋体" w:cs="宋体"/>
          <w:b/>
          <w:color w:val="auto"/>
          <w:sz w:val="30"/>
          <w:szCs w:val="30"/>
          <w:highlight w:val="none"/>
        </w:rPr>
        <w:t>）</w:t>
      </w:r>
    </w:p>
    <w:p>
      <w:pPr>
        <w:snapToGrid w:val="0"/>
        <w:spacing w:line="374" w:lineRule="atLeast"/>
        <w:jc w:val="center"/>
        <w:rPr>
          <w:rFonts w:hint="eastAsia" w:ascii="宋体" w:hAnsi="宋体" w:eastAsia="宋体" w:cs="宋体"/>
          <w:b/>
          <w:color w:val="auto"/>
          <w:sz w:val="30"/>
          <w:highlight w:val="none"/>
        </w:rPr>
      </w:pPr>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highlight w:val="none"/>
        </w:rPr>
      </w:pPr>
    </w:p>
    <w:p>
      <w:pPr>
        <w:spacing w:line="360" w:lineRule="auto"/>
        <w:ind w:firstLine="602"/>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投标人名称</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rPr>
        <w:t>盖章</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rPr>
        <w:t xml:space="preserve">： </w:t>
      </w:r>
    </w:p>
    <w:p>
      <w:pPr>
        <w:spacing w:line="360" w:lineRule="auto"/>
        <w:rPr>
          <w:rFonts w:hint="eastAsia" w:ascii="宋体" w:hAnsi="宋体" w:eastAsia="宋体" w:cs="宋体"/>
          <w:b/>
          <w:color w:val="auto"/>
          <w:sz w:val="30"/>
          <w:szCs w:val="30"/>
          <w:highlight w:val="none"/>
        </w:rPr>
      </w:pPr>
    </w:p>
    <w:p>
      <w:pPr>
        <w:spacing w:line="360" w:lineRule="auto"/>
        <w:ind w:firstLine="602"/>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单位地址：</w:t>
      </w:r>
    </w:p>
    <w:p>
      <w:pPr>
        <w:spacing w:line="360" w:lineRule="auto"/>
        <w:ind w:firstLine="602"/>
        <w:rPr>
          <w:rFonts w:hint="eastAsia" w:ascii="宋体" w:hAnsi="宋体" w:eastAsia="宋体" w:cs="宋体"/>
          <w:b/>
          <w:color w:val="auto"/>
          <w:sz w:val="30"/>
          <w:szCs w:val="30"/>
          <w:highlight w:val="none"/>
        </w:rPr>
      </w:pPr>
    </w:p>
    <w:p>
      <w:pPr>
        <w:pStyle w:val="13"/>
        <w:ind w:firstLine="596" w:firstLineChars="198"/>
        <w:outlineLvl w:val="0"/>
        <w:rPr>
          <w:rFonts w:hint="eastAsia" w:ascii="宋体" w:hAnsi="宋体" w:eastAsia="宋体" w:cs="宋体"/>
          <w:color w:val="auto"/>
          <w:sz w:val="24"/>
          <w:highlight w:val="none"/>
        </w:rPr>
      </w:pPr>
      <w:r>
        <w:rPr>
          <w:rFonts w:hint="eastAsia" w:ascii="宋体" w:hAnsi="宋体" w:eastAsia="宋体" w:cs="宋体"/>
          <w:b/>
          <w:color w:val="auto"/>
          <w:sz w:val="30"/>
          <w:szCs w:val="30"/>
          <w:highlight w:val="none"/>
        </w:rPr>
        <w:t>联系人：                   联系电话：</w:t>
      </w:r>
    </w:p>
    <w:p>
      <w:pPr>
        <w:spacing w:line="360" w:lineRule="auto"/>
        <w:rPr>
          <w:rFonts w:hint="eastAsia" w:ascii="宋体" w:hAnsi="宋体" w:eastAsia="宋体" w:cs="宋体"/>
          <w:b/>
          <w:color w:val="auto"/>
          <w:sz w:val="28"/>
          <w:szCs w:val="28"/>
          <w:highlight w:val="none"/>
        </w:rPr>
      </w:pPr>
    </w:p>
    <w:p>
      <w:pPr>
        <w:pStyle w:val="2"/>
        <w:jc w:val="center"/>
        <w:rPr>
          <w:rFonts w:hint="eastAsia"/>
        </w:rPr>
      </w:pPr>
    </w:p>
    <w:p>
      <w:pPr>
        <w:pStyle w:val="13"/>
        <w:spacing w:line="360" w:lineRule="auto"/>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目录</w:t>
      </w:r>
    </w:p>
    <w:p>
      <w:pPr>
        <w:pStyle w:val="13"/>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第一部分  商务部分</w:t>
      </w:r>
    </w:p>
    <w:p>
      <w:pPr>
        <w:pStyle w:val="13"/>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一、磋商响应</w:t>
      </w:r>
      <w:r>
        <w:rPr>
          <w:rFonts w:hint="eastAsia" w:ascii="宋体" w:hAnsi="宋体" w:eastAsia="宋体" w:cs="宋体"/>
          <w:sz w:val="24"/>
          <w:szCs w:val="24"/>
          <w:lang w:val="en-US" w:eastAsia="zh-CN"/>
        </w:rPr>
        <w:t>函</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val="en-US" w:eastAsia="zh-CN"/>
        </w:rPr>
        <w:t>法定</w:t>
      </w:r>
      <w:r>
        <w:rPr>
          <w:rFonts w:hint="eastAsia" w:ascii="宋体" w:hAnsi="宋体" w:eastAsia="宋体" w:cs="宋体"/>
          <w:sz w:val="24"/>
          <w:szCs w:val="24"/>
        </w:rPr>
        <w:t>代表人资格证明书</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 法定代表人授权委托书</w:t>
      </w:r>
    </w:p>
    <w:p>
      <w:pPr>
        <w:pStyle w:val="13"/>
        <w:numPr>
          <w:ilvl w:val="0"/>
          <w:numId w:val="0"/>
        </w:numPr>
        <w:spacing w:line="360" w:lineRule="auto"/>
        <w:ind w:leftChars="0" w:firstLine="480" w:firstLineChars="200"/>
        <w:rPr>
          <w:rFonts w:hint="eastAsia" w:ascii="宋体" w:hAnsi="宋体" w:eastAsia="宋体" w:cs="宋体"/>
          <w:sz w:val="24"/>
          <w:szCs w:val="24"/>
        </w:rPr>
      </w:pPr>
      <w:r>
        <w:rPr>
          <w:rFonts w:hint="eastAsia" w:hAnsi="宋体" w:cs="宋体"/>
          <w:sz w:val="24"/>
          <w:szCs w:val="24"/>
          <w:lang w:val="en-US" w:eastAsia="zh-CN"/>
        </w:rPr>
        <w:t>四、</w:t>
      </w:r>
      <w:r>
        <w:rPr>
          <w:rFonts w:hint="eastAsia" w:ascii="宋体" w:hAnsi="宋体" w:eastAsia="宋体" w:cs="宋体"/>
          <w:sz w:val="24"/>
          <w:szCs w:val="24"/>
        </w:rPr>
        <w:t>报价一览表</w:t>
      </w:r>
    </w:p>
    <w:p>
      <w:pPr>
        <w:pStyle w:val="13"/>
        <w:spacing w:line="360" w:lineRule="auto"/>
        <w:ind w:firstLine="480" w:firstLineChars="200"/>
        <w:rPr>
          <w:rFonts w:hint="eastAsia" w:ascii="宋体" w:hAnsi="宋体" w:eastAsia="宋体" w:cs="宋体"/>
          <w:sz w:val="24"/>
          <w:szCs w:val="24"/>
        </w:rPr>
      </w:pPr>
      <w:r>
        <w:rPr>
          <w:rFonts w:hint="eastAsia" w:hAnsi="宋体" w:cs="宋体"/>
          <w:sz w:val="24"/>
          <w:szCs w:val="24"/>
          <w:lang w:val="en-US" w:eastAsia="zh-CN"/>
        </w:rPr>
        <w:t>五、</w:t>
      </w:r>
      <w:r>
        <w:rPr>
          <w:rFonts w:hint="eastAsia" w:ascii="宋体" w:hAnsi="宋体" w:eastAsia="宋体" w:cs="宋体"/>
          <w:sz w:val="24"/>
          <w:szCs w:val="24"/>
        </w:rPr>
        <w:t>商务条款偏离表</w:t>
      </w:r>
    </w:p>
    <w:p>
      <w:pPr>
        <w:pStyle w:val="13"/>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六、技术响应与偏离表</w:t>
      </w:r>
    </w:p>
    <w:p>
      <w:pPr>
        <w:pStyle w:val="13"/>
        <w:numPr>
          <w:ilvl w:val="0"/>
          <w:numId w:val="0"/>
        </w:numPr>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磋商保证金</w:t>
      </w:r>
    </w:p>
    <w:p>
      <w:pPr>
        <w:pStyle w:val="13"/>
        <w:numPr>
          <w:ilvl w:val="0"/>
          <w:numId w:val="0"/>
        </w:numPr>
        <w:spacing w:line="360" w:lineRule="auto"/>
        <w:ind w:leftChars="0" w:firstLine="480" w:firstLineChars="200"/>
        <w:rPr>
          <w:rFonts w:hint="default" w:ascii="宋体" w:hAnsi="宋体" w:eastAsia="宋体" w:cs="宋体"/>
          <w:sz w:val="24"/>
          <w:szCs w:val="24"/>
          <w:lang w:val="en-US" w:eastAsia="zh-CN"/>
        </w:rPr>
      </w:pPr>
      <w:r>
        <w:rPr>
          <w:rFonts w:hint="eastAsia" w:hAnsi="宋体" w:cs="宋体"/>
          <w:sz w:val="24"/>
          <w:szCs w:val="24"/>
          <w:lang w:val="en-US" w:eastAsia="zh-CN"/>
        </w:rPr>
        <w:t>八、近三年（2018年1月-至今）类似业绩</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九</w:t>
      </w:r>
      <w:r>
        <w:rPr>
          <w:rFonts w:hint="eastAsia" w:ascii="宋体" w:hAnsi="宋体" w:eastAsia="宋体" w:cs="宋体"/>
          <w:sz w:val="24"/>
          <w:szCs w:val="24"/>
        </w:rPr>
        <w:t>、供应商的资格证明材料</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十</w:t>
      </w:r>
      <w:r>
        <w:rPr>
          <w:rFonts w:hint="eastAsia" w:ascii="宋体" w:hAnsi="宋体" w:eastAsia="宋体" w:cs="宋体"/>
          <w:sz w:val="24"/>
          <w:szCs w:val="24"/>
        </w:rPr>
        <w:t>、供应商认为需提供的其他资料</w:t>
      </w:r>
    </w:p>
    <w:p>
      <w:pPr>
        <w:pStyle w:val="1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第二部分　技术部分</w:t>
      </w:r>
    </w:p>
    <w:p>
      <w:pPr>
        <w:spacing w:line="360" w:lineRule="auto"/>
        <w:rPr>
          <w:rFonts w:hint="eastAsia" w:ascii="宋体" w:hAnsi="宋体" w:eastAsia="宋体" w:cs="宋体"/>
          <w:b/>
          <w:color w:val="auto"/>
          <w:sz w:val="28"/>
          <w:szCs w:val="28"/>
          <w:highlight w:val="none"/>
        </w:rPr>
      </w:pPr>
    </w:p>
    <w:p>
      <w:pPr>
        <w:pStyle w:val="11"/>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第一部份  商务部分</w:t>
      </w:r>
    </w:p>
    <w:p>
      <w:pPr>
        <w:spacing w:line="360" w:lineRule="auto"/>
        <w:jc w:val="center"/>
        <w:rPr>
          <w:rFonts w:hint="eastAsia" w:ascii="宋体" w:hAnsi="宋体" w:eastAsia="宋体" w:cs="宋体"/>
          <w:bCs/>
          <w:color w:val="auto"/>
          <w:sz w:val="24"/>
          <w:highlight w:val="none"/>
        </w:rPr>
      </w:pP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 xml:space="preserve"> 磋商响应函</w:t>
      </w:r>
    </w:p>
    <w:p>
      <w:pPr>
        <w:pStyle w:val="13"/>
        <w:spacing w:line="440" w:lineRule="exact"/>
        <w:rPr>
          <w:rFonts w:hint="eastAsia" w:ascii="宋体" w:hAnsi="宋体" w:eastAsia="宋体" w:cs="宋体"/>
          <w:sz w:val="24"/>
          <w:szCs w:val="24"/>
        </w:rPr>
      </w:pPr>
      <w:r>
        <w:rPr>
          <w:rFonts w:hint="eastAsia" w:ascii="宋体" w:hAnsi="宋体" w:eastAsia="宋体" w:cs="宋体"/>
          <w:sz w:val="24"/>
          <w:szCs w:val="24"/>
        </w:rPr>
        <w:t>致____________(采购人或采购代理机构)：</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我方已仔细研究了____________(项目名称)的竞争性磋商文件(项目编号：____________)的全部内容，知悉参加竞争性磋商的风险，我方承诺接受磋商文件的全部条款且无任何异议。</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一、我方同意在磋商响应有效期内遵守本响应文件中的承诺，且在此期限期满之前均具有法律约束力。</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二、我方提交纸质响应文件正本__份和副本___份，电子</w:t>
      </w:r>
      <w:r>
        <w:rPr>
          <w:rFonts w:hint="eastAsia" w:ascii="宋体" w:hAnsi="宋体" w:eastAsia="宋体" w:cs="宋体"/>
          <w:sz w:val="24"/>
          <w:szCs w:val="24"/>
          <w:lang w:val="en-US" w:eastAsia="zh-CN"/>
        </w:rPr>
        <w:t>版</w:t>
      </w:r>
      <w:r>
        <w:rPr>
          <w:rFonts w:hint="eastAsia" w:ascii="宋体" w:hAnsi="宋体" w:eastAsia="宋体" w:cs="宋体"/>
          <w:sz w:val="24"/>
          <w:szCs w:val="24"/>
        </w:rPr>
        <w:t>响应文件__</w:t>
      </w:r>
      <w:r>
        <w:rPr>
          <w:rFonts w:hint="eastAsia" w:ascii="宋体" w:hAnsi="宋体" w:eastAsia="宋体" w:cs="宋体"/>
          <w:sz w:val="24"/>
          <w:szCs w:val="24"/>
          <w:lang w:val="en-US" w:eastAsia="zh-CN"/>
        </w:rPr>
        <w:t>份（U盘）</w:t>
      </w:r>
      <w:r>
        <w:rPr>
          <w:rFonts w:hint="eastAsia" w:ascii="宋体" w:hAnsi="宋体" w:eastAsia="宋体" w:cs="宋体"/>
          <w:sz w:val="24"/>
          <w:szCs w:val="24"/>
        </w:rPr>
        <w:t>，</w:t>
      </w:r>
      <w:r>
        <w:rPr>
          <w:rFonts w:hint="eastAsia" w:ascii="宋体" w:hAnsi="宋体" w:eastAsia="宋体" w:cs="宋体"/>
          <w:sz w:val="24"/>
          <w:szCs w:val="24"/>
          <w:lang w:val="en-US" w:eastAsia="zh-CN"/>
        </w:rPr>
        <w:t>开标一览表</w:t>
      </w:r>
      <w:r>
        <w:rPr>
          <w:rFonts w:hint="eastAsia" w:ascii="宋体" w:hAnsi="宋体" w:eastAsia="宋体" w:cs="宋体"/>
          <w:sz w:val="24"/>
          <w:szCs w:val="24"/>
          <w:u w:val="single"/>
          <w:lang w:val="en-US" w:eastAsia="zh-CN"/>
        </w:rPr>
        <w:t xml:space="preserve">  份</w:t>
      </w:r>
      <w:r>
        <w:rPr>
          <w:rFonts w:hint="eastAsia" w:ascii="宋体" w:hAnsi="宋体" w:eastAsia="宋体" w:cs="宋体"/>
          <w:sz w:val="24"/>
          <w:szCs w:val="24"/>
        </w:rPr>
        <w:t>并保证响应文件提供的数据和材料是真实、准确的。否则，愿承担《政府采购法》第七十七条规定的法律责任。</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三、我方愿意向贵方提供任何与本项采购有关的数据、情况和技术资料。若贵方需要，我方愿意提供我方作出的一切承诺的证明材料。</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我们同意按</w:t>
      </w:r>
      <w:r>
        <w:rPr>
          <w:rFonts w:hint="eastAsia" w:ascii="宋体" w:hAnsi="宋体" w:eastAsia="宋体" w:cs="宋体"/>
          <w:sz w:val="24"/>
          <w:szCs w:val="24"/>
          <w:lang w:eastAsia="zh-CN"/>
        </w:rPr>
        <w:t>磋商</w:t>
      </w:r>
      <w:r>
        <w:rPr>
          <w:rFonts w:hint="eastAsia" w:ascii="宋体" w:hAnsi="宋体" w:eastAsia="宋体" w:cs="宋体"/>
          <w:sz w:val="24"/>
          <w:szCs w:val="24"/>
        </w:rPr>
        <w:t>文件的规定，本</w:t>
      </w:r>
      <w:r>
        <w:rPr>
          <w:rFonts w:hint="eastAsia" w:ascii="宋体" w:hAnsi="宋体" w:eastAsia="宋体" w:cs="宋体"/>
          <w:sz w:val="24"/>
          <w:szCs w:val="24"/>
          <w:lang w:eastAsia="zh-CN"/>
        </w:rPr>
        <w:t>响应文件</w:t>
      </w:r>
      <w:r>
        <w:rPr>
          <w:rFonts w:hint="eastAsia" w:ascii="宋体" w:hAnsi="宋体" w:eastAsia="宋体" w:cs="宋体"/>
          <w:sz w:val="24"/>
          <w:szCs w:val="24"/>
        </w:rPr>
        <w:t>的有效期为开标后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60   </w:t>
      </w:r>
      <w:r>
        <w:rPr>
          <w:rFonts w:hint="eastAsia" w:ascii="宋体" w:hAnsi="宋体" w:eastAsia="宋体" w:cs="宋体"/>
          <w:sz w:val="24"/>
          <w:szCs w:val="24"/>
        </w:rPr>
        <w:t>天。</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五</w:t>
      </w:r>
      <w:r>
        <w:rPr>
          <w:rFonts w:hint="eastAsia" w:ascii="宋体" w:hAnsi="宋体" w:eastAsia="宋体" w:cs="宋体"/>
          <w:sz w:val="24"/>
          <w:szCs w:val="24"/>
        </w:rPr>
        <w:t>、我方愿意按磋商文件规定和磋商小组要求重新提交响应文件和最后报价。</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六</w:t>
      </w:r>
      <w:r>
        <w:rPr>
          <w:rFonts w:hint="eastAsia" w:ascii="宋体" w:hAnsi="宋体" w:eastAsia="宋体" w:cs="宋体"/>
          <w:sz w:val="24"/>
          <w:szCs w:val="24"/>
        </w:rPr>
        <w:t>、我方承诺遵守《政府采购法》的有关规定，保证在获得成交资格后，按照磋商文件确定的事项签订政府采购合同，履行双方所签订的合同，并承担合同规定的责任和义务。</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附件1－1：法定代表人资格证明书</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附件1－2： 法定代表人授权委托书</w:t>
      </w:r>
    </w:p>
    <w:p>
      <w:pPr>
        <w:pStyle w:val="13"/>
        <w:spacing w:line="360" w:lineRule="auto"/>
        <w:ind w:firstLine="480" w:firstLineChars="200"/>
        <w:rPr>
          <w:rFonts w:hint="eastAsia" w:ascii="宋体" w:hAnsi="宋体" w:eastAsia="宋体" w:cs="宋体"/>
          <w:sz w:val="24"/>
          <w:szCs w:val="24"/>
        </w:rPr>
      </w:pPr>
    </w:p>
    <w:p>
      <w:pPr>
        <w:pStyle w:val="13"/>
        <w:spacing w:line="360" w:lineRule="auto"/>
        <w:ind w:firstLine="480" w:firstLineChars="200"/>
        <w:rPr>
          <w:rFonts w:hint="eastAsia" w:ascii="宋体" w:hAnsi="宋体" w:eastAsia="宋体" w:cs="宋体"/>
          <w:sz w:val="24"/>
          <w:szCs w:val="24"/>
        </w:rPr>
      </w:pPr>
    </w:p>
    <w:p>
      <w:pPr>
        <w:pStyle w:val="13"/>
        <w:spacing w:line="360" w:lineRule="auto"/>
        <w:ind w:firstLine="480" w:firstLineChars="200"/>
        <w:rPr>
          <w:rFonts w:hint="eastAsia" w:ascii="宋体" w:hAnsi="宋体" w:eastAsia="宋体" w:cs="宋体"/>
          <w:sz w:val="24"/>
          <w:szCs w:val="24"/>
        </w:rPr>
      </w:pPr>
    </w:p>
    <w:p>
      <w:pPr>
        <w:pStyle w:val="13"/>
        <w:spacing w:line="360" w:lineRule="auto"/>
        <w:ind w:firstLine="480" w:firstLineChars="200"/>
        <w:rPr>
          <w:rFonts w:hint="eastAsia" w:ascii="宋体" w:hAnsi="宋体" w:eastAsia="宋体" w:cs="宋体"/>
          <w:sz w:val="24"/>
          <w:szCs w:val="24"/>
        </w:rPr>
      </w:pP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供应商名称(公章)：____________</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法定代表人或授权代表(签字或盖章)：____________</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日期：______年____月____日</w:t>
      </w:r>
    </w:p>
    <w:p>
      <w:pPr>
        <w:pStyle w:val="15"/>
        <w:ind w:left="852" w:firstLine="480" w:firstLineChars="200"/>
        <w:jc w:val="left"/>
        <w:rPr>
          <w:rFonts w:hint="eastAsia" w:ascii="宋体" w:hAnsi="宋体" w:eastAsia="宋体" w:cs="宋体"/>
          <w:b w:val="0"/>
          <w:bCs/>
          <w:color w:val="auto"/>
          <w:highlight w:val="none"/>
        </w:rPr>
      </w:pPr>
    </w:p>
    <w:p>
      <w:pPr>
        <w:pStyle w:val="15"/>
        <w:ind w:left="0" w:firstLine="0" w:firstLineChars="0"/>
        <w:jc w:val="left"/>
        <w:rPr>
          <w:rFonts w:hint="eastAsia" w:ascii="宋体" w:hAnsi="宋体" w:eastAsia="宋体" w:cs="宋体"/>
          <w:b w:val="0"/>
          <w:bCs/>
          <w:color w:val="auto"/>
          <w:highlight w:val="none"/>
        </w:rPr>
      </w:pPr>
    </w:p>
    <w:p>
      <w:pPr>
        <w:pStyle w:val="15"/>
        <w:ind w:left="0" w:firstLine="0" w:firstLineChars="0"/>
        <w:jc w:val="left"/>
        <w:rPr>
          <w:rFonts w:hint="eastAsia" w:ascii="宋体" w:hAnsi="宋体" w:eastAsia="宋体" w:cs="宋体"/>
          <w:b w:val="0"/>
          <w:bCs/>
          <w:color w:val="auto"/>
          <w:highlight w:val="none"/>
        </w:rPr>
      </w:pPr>
    </w:p>
    <w:p>
      <w:pPr>
        <w:pStyle w:val="15"/>
        <w:ind w:left="0" w:firstLine="0" w:firstLineChars="0"/>
        <w:jc w:val="left"/>
        <w:rPr>
          <w:rFonts w:hint="eastAsia" w:ascii="宋体" w:hAnsi="宋体" w:eastAsia="宋体" w:cs="宋体"/>
          <w:b w:val="0"/>
          <w:bCs/>
          <w:color w:val="auto"/>
          <w:highlight w:val="none"/>
        </w:rPr>
      </w:pPr>
    </w:p>
    <w:p>
      <w:pPr>
        <w:pStyle w:val="15"/>
        <w:ind w:left="0" w:firstLine="0" w:firstLineChars="0"/>
        <w:jc w:val="left"/>
        <w:rPr>
          <w:rFonts w:hint="eastAsia" w:ascii="宋体" w:hAnsi="宋体" w:eastAsia="宋体" w:cs="宋体"/>
          <w:b w:val="0"/>
          <w:bCs/>
          <w:color w:val="auto"/>
          <w:highlight w:val="none"/>
        </w:rPr>
      </w:pPr>
    </w:p>
    <w:p>
      <w:pPr>
        <w:spacing w:line="360" w:lineRule="auto"/>
        <w:jc w:val="center"/>
        <w:rPr>
          <w:rFonts w:hint="eastAsia" w:ascii="宋体" w:hAnsi="宋体" w:eastAsia="宋体" w:cs="宋体"/>
          <w:color w:val="auto"/>
          <w:sz w:val="24"/>
          <w:highlight w:val="none"/>
        </w:rPr>
      </w:pPr>
      <w:r>
        <w:rPr>
          <w:rFonts w:hint="eastAsia" w:ascii="宋体" w:hAnsi="宋体" w:eastAsia="宋体" w:cs="宋体"/>
          <w:b/>
          <w:color w:val="auto"/>
          <w:kern w:val="2"/>
          <w:sz w:val="28"/>
          <w:szCs w:val="28"/>
          <w:highlight w:val="none"/>
          <w:lang w:val="en-US" w:eastAsia="zh-CN" w:bidi="ar-SA"/>
        </w:rPr>
        <w:t>二、法定</w:t>
      </w:r>
      <w:r>
        <w:rPr>
          <w:rFonts w:hint="eastAsia" w:ascii="宋体" w:hAnsi="宋体" w:eastAsia="宋体" w:cs="宋体"/>
          <w:b/>
          <w:color w:val="auto"/>
          <w:sz w:val="28"/>
          <w:szCs w:val="28"/>
          <w:highlight w:val="none"/>
        </w:rPr>
        <w:t>代表人资格证明书</w:t>
      </w:r>
    </w:p>
    <w:p>
      <w:pPr>
        <w:tabs>
          <w:tab w:val="left" w:pos="360"/>
          <w:tab w:val="left" w:pos="1800"/>
        </w:tabs>
        <w:spacing w:line="360" w:lineRule="auto"/>
        <w:ind w:firstLine="480" w:firstLineChars="200"/>
        <w:rPr>
          <w:rFonts w:hint="eastAsia" w:ascii="宋体" w:hAnsi="宋体" w:eastAsia="宋体" w:cs="宋体"/>
          <w:color w:val="auto"/>
          <w:sz w:val="24"/>
          <w:highlight w:val="none"/>
        </w:rPr>
      </w:pPr>
    </w:p>
    <w:p>
      <w:pPr>
        <w:tabs>
          <w:tab w:val="left" w:pos="360"/>
          <w:tab w:val="left" w:pos="180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p>
    <w:p>
      <w:pPr>
        <w:tabs>
          <w:tab w:val="left" w:pos="360"/>
          <w:tab w:val="left" w:pos="180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pPr>
        <w:tabs>
          <w:tab w:val="left" w:pos="360"/>
          <w:tab w:val="left" w:pos="720"/>
          <w:tab w:val="left" w:pos="900"/>
          <w:tab w:val="left" w:pos="180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姓名：        性别：       年龄：         职务： </w:t>
      </w:r>
    </w:p>
    <w:p>
      <w:pPr>
        <w:tabs>
          <w:tab w:val="left" w:pos="360"/>
          <w:tab w:val="left" w:pos="180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单位）的法定代表人。签署上述项目的相应文件、进行合同磋商、签署合同和处理与之有关的一切事务。</w:t>
      </w:r>
    </w:p>
    <w:p>
      <w:pPr>
        <w:tabs>
          <w:tab w:val="left" w:pos="360"/>
          <w:tab w:val="left" w:pos="1800"/>
        </w:tabs>
        <w:spacing w:line="360" w:lineRule="auto"/>
        <w:rPr>
          <w:rFonts w:hint="eastAsia" w:ascii="宋体" w:hAnsi="宋体" w:eastAsia="宋体" w:cs="宋体"/>
          <w:color w:val="auto"/>
          <w:sz w:val="24"/>
          <w:highlight w:val="none"/>
        </w:rPr>
      </w:pPr>
    </w:p>
    <w:p>
      <w:pPr>
        <w:tabs>
          <w:tab w:val="left" w:pos="360"/>
          <w:tab w:val="left" w:pos="180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tabs>
          <w:tab w:val="left" w:pos="360"/>
          <w:tab w:val="left" w:pos="1800"/>
        </w:tabs>
        <w:spacing w:line="360" w:lineRule="auto"/>
        <w:ind w:left="45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pPr>
        <w:tabs>
          <w:tab w:val="left" w:pos="360"/>
          <w:tab w:val="left" w:pos="1800"/>
        </w:tabs>
        <w:spacing w:line="360" w:lineRule="auto"/>
        <w:ind w:left="45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tabs>
          <w:tab w:val="left" w:pos="360"/>
          <w:tab w:val="left" w:pos="1800"/>
        </w:tabs>
        <w:spacing w:line="360" w:lineRule="auto"/>
        <w:ind w:firstLine="6000" w:firstLineChars="2500"/>
        <w:rPr>
          <w:rFonts w:hint="eastAsia" w:ascii="宋体" w:hAnsi="宋体" w:eastAsia="宋体" w:cs="宋体"/>
          <w:bCs/>
          <w:color w:val="auto"/>
          <w:sz w:val="24"/>
          <w:highlight w:val="none"/>
        </w:rPr>
      </w:pPr>
    </w:p>
    <w:tbl>
      <w:tblPr>
        <w:tblStyle w:val="23"/>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tcPr>
          <w:p>
            <w:pPr>
              <w:tabs>
                <w:tab w:val="left" w:pos="360"/>
                <w:tab w:val="left" w:pos="1800"/>
              </w:tabs>
              <w:spacing w:line="480" w:lineRule="auto"/>
              <w:jc w:val="center"/>
              <w:rPr>
                <w:rFonts w:hint="eastAsia" w:ascii="宋体" w:hAnsi="宋体" w:eastAsia="宋体" w:cs="宋体"/>
                <w:color w:val="auto"/>
                <w:sz w:val="24"/>
                <w:highlight w:val="none"/>
              </w:rPr>
            </w:pPr>
          </w:p>
          <w:p>
            <w:pPr>
              <w:tabs>
                <w:tab w:val="left" w:pos="360"/>
                <w:tab w:val="left" w:pos="1800"/>
              </w:tabs>
              <w:spacing w:line="480" w:lineRule="auto"/>
              <w:jc w:val="center"/>
              <w:rPr>
                <w:rFonts w:hint="eastAsia" w:ascii="宋体" w:hAnsi="宋体" w:eastAsia="宋体" w:cs="宋体"/>
                <w:color w:val="auto"/>
                <w:sz w:val="24"/>
                <w:highlight w:val="none"/>
              </w:rPr>
            </w:pPr>
          </w:p>
          <w:p>
            <w:pPr>
              <w:tabs>
                <w:tab w:val="left" w:pos="360"/>
                <w:tab w:val="left" w:pos="1800"/>
              </w:tabs>
              <w:spacing w:line="48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法定代表人身份证复印件或扫描件（正、反两面）</w:t>
            </w:r>
          </w:p>
        </w:tc>
      </w:tr>
    </w:tbl>
    <w:p>
      <w:pPr>
        <w:pStyle w:val="13"/>
        <w:ind w:firstLine="482"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highlight w:val="none"/>
        </w:rPr>
        <w:t>注：法定代表人身份证复印件或扫描件应反映出证件有效期等所载内容。</w:t>
      </w:r>
      <w:r>
        <w:rPr>
          <w:rFonts w:hint="eastAsia" w:ascii="宋体" w:hAnsi="宋体" w:eastAsia="宋体" w:cs="宋体"/>
        </w:rPr>
        <w:br w:type="page"/>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 xml:space="preserve"> 法定代表人授权委托书</w:t>
      </w:r>
    </w:p>
    <w:p>
      <w:pPr>
        <w:tabs>
          <w:tab w:val="left" w:pos="360"/>
          <w:tab w:val="left" w:pos="1800"/>
        </w:tabs>
        <w:spacing w:line="480" w:lineRule="exact"/>
        <w:ind w:left="239" w:leftChars="114" w:firstLine="240" w:firstLineChars="100"/>
        <w:rPr>
          <w:rFonts w:hint="eastAsia" w:ascii="宋体" w:hAnsi="宋体" w:eastAsia="宋体" w:cs="宋体"/>
          <w:color w:val="auto"/>
          <w:sz w:val="24"/>
          <w:highlight w:val="none"/>
        </w:rPr>
      </w:pPr>
    </w:p>
    <w:p>
      <w:pPr>
        <w:tabs>
          <w:tab w:val="left" w:pos="360"/>
          <w:tab w:val="left" w:pos="1800"/>
        </w:tabs>
        <w:spacing w:line="48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（供应商名称）的法定代表人，现授权委托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（姓名），其身份证号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，为我供应商代理人，以本供应商的名义参加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项目名称）的公开活动。</w:t>
      </w:r>
    </w:p>
    <w:p>
      <w:pPr>
        <w:tabs>
          <w:tab w:val="left" w:pos="360"/>
          <w:tab w:val="left" w:pos="1800"/>
        </w:tabs>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代理人在递交响应文件、评标、合同磋商过程中所签署的一切文件和处理与之有关的一切事务，我均予以承认。</w:t>
      </w:r>
    </w:p>
    <w:p>
      <w:pPr>
        <w:tabs>
          <w:tab w:val="left" w:pos="360"/>
          <w:tab w:val="left" w:pos="1800"/>
        </w:tabs>
        <w:spacing w:line="48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本授权委托书期限自</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日起至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日止。</w:t>
      </w:r>
    </w:p>
    <w:p>
      <w:pPr>
        <w:tabs>
          <w:tab w:val="left" w:pos="360"/>
          <w:tab w:val="left" w:pos="1800"/>
        </w:tabs>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委托代理人无转委权。特此委托。</w:t>
      </w:r>
    </w:p>
    <w:p>
      <w:pPr>
        <w:tabs>
          <w:tab w:val="left" w:pos="360"/>
          <w:tab w:val="left" w:pos="1800"/>
        </w:tabs>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            性别：           年龄：</w:t>
      </w:r>
    </w:p>
    <w:p>
      <w:pPr>
        <w:tabs>
          <w:tab w:val="left" w:pos="360"/>
          <w:tab w:val="left" w:pos="1800"/>
        </w:tabs>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单位：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部门：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职务：</w:t>
      </w:r>
    </w:p>
    <w:p>
      <w:pPr>
        <w:tabs>
          <w:tab w:val="left" w:pos="360"/>
          <w:tab w:val="left" w:pos="1800"/>
        </w:tabs>
        <w:spacing w:line="480" w:lineRule="exact"/>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pPr>
        <w:tabs>
          <w:tab w:val="left" w:pos="360"/>
          <w:tab w:val="left" w:pos="1800"/>
        </w:tabs>
        <w:spacing w:line="480" w:lineRule="exact"/>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p>
    <w:p>
      <w:pPr>
        <w:tabs>
          <w:tab w:val="left" w:pos="360"/>
          <w:tab w:val="left" w:pos="1800"/>
        </w:tabs>
        <w:spacing w:line="480" w:lineRule="exact"/>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授权委托人：（签字或盖章）</w:t>
      </w:r>
    </w:p>
    <w:p>
      <w:pPr>
        <w:tabs>
          <w:tab w:val="left" w:pos="360"/>
          <w:tab w:val="left" w:pos="1800"/>
        </w:tabs>
        <w:spacing w:line="480" w:lineRule="exact"/>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tabs>
          <w:tab w:val="left" w:pos="360"/>
          <w:tab w:val="left" w:pos="1800"/>
        </w:tabs>
        <w:spacing w:line="480" w:lineRule="exact"/>
        <w:ind w:firstLine="3600"/>
        <w:rPr>
          <w:rFonts w:hint="eastAsia" w:ascii="宋体" w:hAnsi="宋体" w:eastAsia="宋体" w:cs="宋体"/>
          <w:color w:val="auto"/>
          <w:sz w:val="24"/>
          <w:highlight w:val="none"/>
        </w:rPr>
      </w:pPr>
    </w:p>
    <w:tbl>
      <w:tblPr>
        <w:tblStyle w:val="23"/>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tcPr>
          <w:p>
            <w:pPr>
              <w:tabs>
                <w:tab w:val="left" w:pos="360"/>
                <w:tab w:val="left" w:pos="1800"/>
              </w:tabs>
              <w:spacing w:line="480" w:lineRule="auto"/>
              <w:jc w:val="center"/>
              <w:rPr>
                <w:rFonts w:hint="eastAsia" w:ascii="宋体" w:hAnsi="宋体" w:eastAsia="宋体" w:cs="宋体"/>
                <w:color w:val="auto"/>
                <w:sz w:val="24"/>
                <w:highlight w:val="none"/>
              </w:rPr>
            </w:pPr>
          </w:p>
          <w:p>
            <w:pPr>
              <w:tabs>
                <w:tab w:val="left" w:pos="360"/>
                <w:tab w:val="left" w:pos="1800"/>
              </w:tabs>
              <w:spacing w:line="480" w:lineRule="auto"/>
              <w:jc w:val="center"/>
              <w:rPr>
                <w:rFonts w:hint="eastAsia" w:ascii="宋体" w:hAnsi="宋体" w:eastAsia="宋体" w:cs="宋体"/>
                <w:color w:val="auto"/>
                <w:sz w:val="24"/>
                <w:highlight w:val="none"/>
              </w:rPr>
            </w:pPr>
          </w:p>
          <w:p>
            <w:pPr>
              <w:tabs>
                <w:tab w:val="left" w:pos="360"/>
                <w:tab w:val="left" w:pos="1800"/>
              </w:tabs>
              <w:spacing w:line="48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委托代理人身份证复印件或扫描件（正、反两面）</w:t>
            </w:r>
          </w:p>
        </w:tc>
      </w:tr>
    </w:tbl>
    <w:p>
      <w:pPr>
        <w:spacing w:line="360" w:lineRule="auto"/>
        <w:ind w:firstLine="573"/>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4"/>
          <w:highlight w:val="none"/>
        </w:rPr>
        <w:t>注：法定代表人身份证复印件或扫描件应反映出证件有效期等所载内容。</w:t>
      </w:r>
    </w:p>
    <w:p>
      <w:pPr>
        <w:spacing w:line="360" w:lineRule="auto"/>
        <w:jc w:val="center"/>
        <w:rPr>
          <w:rFonts w:hint="eastAsia" w:ascii="宋体" w:hAnsi="宋体" w:eastAsia="宋体" w:cs="宋体"/>
          <w:b/>
          <w:color w:val="auto"/>
          <w:sz w:val="28"/>
          <w:szCs w:val="28"/>
          <w:highlight w:val="none"/>
          <w:lang w:val="en-US" w:eastAsia="zh-CN"/>
        </w:rPr>
      </w:pPr>
    </w:p>
    <w:p>
      <w:pPr>
        <w:pStyle w:val="2"/>
        <w:rPr>
          <w:rFonts w:hint="eastAsia"/>
          <w:lang w:val="en-US" w:eastAsia="zh-CN"/>
        </w:rPr>
      </w:pPr>
    </w:p>
    <w:p>
      <w:pPr>
        <w:spacing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、报价一览表</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币种：人民币</w:t>
      </w:r>
    </w:p>
    <w:tbl>
      <w:tblPr>
        <w:tblStyle w:val="23"/>
        <w:tblW w:w="975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9"/>
        <w:gridCol w:w="2688"/>
        <w:gridCol w:w="885"/>
        <w:gridCol w:w="4509"/>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5" w:hRule="atLeast"/>
        </w:trPr>
        <w:tc>
          <w:tcPr>
            <w:tcW w:w="519" w:type="dxa"/>
            <w:tcBorders>
              <w:top w:val="single" w:color="000000" w:sz="2" w:space="0"/>
              <w:left w:val="single" w:color="000000" w:sz="2" w:space="0"/>
              <w:right w:val="single" w:color="000000"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序号</w:t>
            </w:r>
          </w:p>
        </w:tc>
        <w:tc>
          <w:tcPr>
            <w:tcW w:w="2688" w:type="dxa"/>
            <w:tcBorders>
              <w:top w:val="single" w:color="000000" w:sz="2" w:space="0"/>
              <w:left w:val="single" w:color="auto" w:sz="4"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sz w:val="24"/>
                <w:highlight w:val="none"/>
              </w:rPr>
              <w:t>项目名称</w:t>
            </w:r>
          </w:p>
        </w:tc>
        <w:tc>
          <w:tcPr>
            <w:tcW w:w="5394" w:type="dxa"/>
            <w:gridSpan w:val="2"/>
            <w:tcBorders>
              <w:top w:val="single" w:color="000000" w:sz="2"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投标</w:t>
            </w:r>
            <w:r>
              <w:rPr>
                <w:rFonts w:hint="eastAsia" w:ascii="宋体" w:hAnsi="宋体" w:eastAsia="宋体" w:cs="宋体"/>
                <w:b w:val="0"/>
                <w:bCs w:val="0"/>
                <w:color w:val="auto"/>
                <w:sz w:val="24"/>
                <w:highlight w:val="none"/>
                <w:lang w:eastAsia="zh-CN"/>
              </w:rPr>
              <w:t>报价</w:t>
            </w:r>
            <w:r>
              <w:rPr>
                <w:rFonts w:hint="eastAsia" w:ascii="宋体" w:hAnsi="宋体" w:eastAsia="宋体" w:cs="宋体"/>
                <w:b w:val="0"/>
                <w:bCs w:val="0"/>
                <w:color w:val="auto"/>
                <w:sz w:val="24"/>
                <w:highlight w:val="none"/>
              </w:rPr>
              <w:t>（万元）</w:t>
            </w:r>
          </w:p>
        </w:tc>
        <w:tc>
          <w:tcPr>
            <w:tcW w:w="1157" w:type="dxa"/>
            <w:tcBorders>
              <w:top w:val="single" w:color="000000" w:sz="2" w:space="0"/>
              <w:left w:val="single" w:color="auto" w:sz="4"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1" w:hRule="atLeast"/>
        </w:trPr>
        <w:tc>
          <w:tcPr>
            <w:tcW w:w="519" w:type="dxa"/>
            <w:vMerge w:val="restart"/>
            <w:tcBorders>
              <w:left w:val="single" w:color="000000" w:sz="2" w:space="0"/>
              <w:right w:val="single" w:color="000000"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p>
        </w:tc>
        <w:tc>
          <w:tcPr>
            <w:tcW w:w="2688" w:type="dxa"/>
            <w:vMerge w:val="restart"/>
            <w:tcBorders>
              <w:top w:val="single" w:color="auto" w:sz="4" w:space="0"/>
              <w:left w:val="single" w:color="auto" w:sz="4"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val="0"/>
                <w:bCs w:val="0"/>
                <w:color w:val="auto"/>
                <w:kern w:val="0"/>
                <w:sz w:val="24"/>
                <w:highlight w:val="none"/>
                <w:lang w:eastAsia="zh-CN"/>
              </w:rPr>
            </w:pPr>
            <w:r>
              <w:rPr>
                <w:rFonts w:hint="eastAsia" w:ascii="宋体" w:hAnsi="宋体" w:eastAsia="宋体" w:cs="宋体"/>
                <w:b w:val="0"/>
                <w:bCs w:val="0"/>
                <w:color w:val="auto"/>
                <w:kern w:val="0"/>
                <w:sz w:val="24"/>
                <w:highlight w:val="none"/>
                <w:lang w:val="en-US" w:eastAsia="zh-CN"/>
              </w:rPr>
              <w:t>新疆维吾尔自治区高级人民法院保安服务采购项目</w:t>
            </w:r>
          </w:p>
        </w:tc>
        <w:tc>
          <w:tcPr>
            <w:tcW w:w="88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小写</w:t>
            </w:r>
          </w:p>
        </w:tc>
        <w:tc>
          <w:tcPr>
            <w:tcW w:w="450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w:t>
            </w:r>
          </w:p>
        </w:tc>
        <w:tc>
          <w:tcPr>
            <w:tcW w:w="1157" w:type="dxa"/>
            <w:vMerge w:val="restart"/>
            <w:tcBorders>
              <w:left w:val="single" w:color="auto" w:sz="4"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val="0"/>
                <w:bCs w:val="0"/>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0" w:hRule="atLeast"/>
        </w:trPr>
        <w:tc>
          <w:tcPr>
            <w:tcW w:w="519" w:type="dxa"/>
            <w:vMerge w:val="continue"/>
            <w:tcBorders>
              <w:left w:val="single" w:color="000000" w:sz="2" w:space="0"/>
              <w:right w:val="single" w:color="000000"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val="0"/>
                <w:bCs w:val="0"/>
                <w:color w:val="auto"/>
                <w:sz w:val="24"/>
                <w:highlight w:val="none"/>
              </w:rPr>
            </w:pPr>
          </w:p>
        </w:tc>
        <w:tc>
          <w:tcPr>
            <w:tcW w:w="2688" w:type="dxa"/>
            <w:vMerge w:val="continue"/>
            <w:tcBorders>
              <w:left w:val="single" w:color="auto" w:sz="4"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val="0"/>
                <w:bCs w:val="0"/>
                <w:color w:val="auto"/>
                <w:kern w:val="0"/>
                <w:sz w:val="24"/>
                <w:highlight w:val="none"/>
              </w:rPr>
            </w:pPr>
          </w:p>
        </w:tc>
        <w:tc>
          <w:tcPr>
            <w:tcW w:w="88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大写</w:t>
            </w:r>
          </w:p>
        </w:tc>
        <w:tc>
          <w:tcPr>
            <w:tcW w:w="450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人民币</w:t>
            </w:r>
          </w:p>
        </w:tc>
        <w:tc>
          <w:tcPr>
            <w:tcW w:w="1157" w:type="dxa"/>
            <w:vMerge w:val="continue"/>
            <w:tcBorders>
              <w:left w:val="single" w:color="auto" w:sz="4" w:space="0"/>
              <w:right w:val="single" w:color="000000"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5" w:hRule="atLeast"/>
        </w:trPr>
        <w:tc>
          <w:tcPr>
            <w:tcW w:w="519"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w:t>
            </w:r>
          </w:p>
        </w:tc>
        <w:tc>
          <w:tcPr>
            <w:tcW w:w="2688" w:type="dxa"/>
            <w:tcBorders>
              <w:top w:val="single" w:color="auto" w:sz="4" w:space="0"/>
              <w:left w:val="single" w:color="auto" w:sz="4" w:space="0"/>
              <w:bottom w:val="single" w:color="000000" w:sz="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服务</w:t>
            </w:r>
            <w:r>
              <w:rPr>
                <w:rFonts w:hint="eastAsia" w:ascii="宋体" w:hAnsi="宋体" w:eastAsia="宋体" w:cs="宋体"/>
                <w:b w:val="0"/>
                <w:bCs w:val="0"/>
                <w:color w:val="auto"/>
                <w:sz w:val="24"/>
                <w:highlight w:val="none"/>
                <w:lang w:val="en-US" w:eastAsia="zh-CN"/>
              </w:rPr>
              <w:t>期</w:t>
            </w:r>
          </w:p>
        </w:tc>
        <w:tc>
          <w:tcPr>
            <w:tcW w:w="6551" w:type="dxa"/>
            <w:gridSpan w:val="3"/>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b w:val="0"/>
                <w:bCs w:val="0"/>
                <w:color w:val="auto"/>
                <w:sz w:val="24"/>
                <w:highlight w:val="none"/>
                <w:lang w:val="en-US"/>
              </w:rPr>
            </w:pPr>
            <w:r>
              <w:rPr>
                <w:rFonts w:hint="eastAsia" w:ascii="宋体" w:hAnsi="宋体" w:eastAsia="宋体" w:cs="宋体"/>
                <w:color w:val="auto"/>
                <w:sz w:val="24"/>
                <w:highlight w:val="none"/>
              </w:rPr>
              <w:t>自签订合同之日起至合同终止服务期限为</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年</w:t>
            </w:r>
          </w:p>
        </w:tc>
      </w:tr>
    </w:tbl>
    <w:p>
      <w:pPr>
        <w:pStyle w:val="13"/>
        <w:spacing w:line="440" w:lineRule="exact"/>
        <w:ind w:firstLine="560" w:firstLineChars="200"/>
        <w:rPr>
          <w:rFonts w:hint="eastAsia" w:ascii="宋体" w:hAnsi="宋体" w:eastAsia="宋体" w:cs="宋体"/>
          <w:color w:val="auto"/>
          <w:sz w:val="28"/>
          <w:szCs w:val="28"/>
        </w:rPr>
      </w:pPr>
    </w:p>
    <w:p>
      <w:pPr>
        <w:pStyle w:val="13"/>
        <w:spacing w:line="440" w:lineRule="exact"/>
        <w:ind w:firstLine="562" w:firstLineChars="200"/>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说明：</w:t>
      </w:r>
      <w:r>
        <w:rPr>
          <w:rFonts w:hint="eastAsia" w:ascii="宋体" w:hAnsi="宋体" w:eastAsia="宋体" w:cs="宋体"/>
          <w:b/>
          <w:color w:val="auto"/>
          <w:sz w:val="28"/>
          <w:szCs w:val="28"/>
          <w:lang w:val="en-US" w:eastAsia="zh-CN"/>
        </w:rPr>
        <w:t>供应商须按本商务报价一览表格式制作“最后报价表”，并加盖单位公章后自行带至磋商现场，经磋商后由各供应商填写最后报价。</w:t>
      </w:r>
    </w:p>
    <w:p>
      <w:pPr>
        <w:pStyle w:val="5"/>
        <w:numPr>
          <w:ilvl w:val="0"/>
          <w:numId w:val="0"/>
        </w:numPr>
        <w:ind w:leftChars="200"/>
        <w:rPr>
          <w:rFonts w:hint="eastAsia" w:ascii="宋体" w:hAnsi="宋体" w:eastAsia="宋体" w:cs="宋体"/>
        </w:rPr>
      </w:pPr>
    </w:p>
    <w:p>
      <w:pPr>
        <w:pStyle w:val="13"/>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投标人名称(公章)：____________________</w:t>
      </w:r>
    </w:p>
    <w:p>
      <w:pPr>
        <w:pStyle w:val="13"/>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法定代表人或其授权代表签字：____________________</w:t>
      </w:r>
    </w:p>
    <w:p>
      <w:pPr>
        <w:pStyle w:val="13"/>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日期：______年____月____日</w:t>
      </w:r>
    </w:p>
    <w:p>
      <w:pPr>
        <w:pStyle w:val="13"/>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说明：授权用投标专用章的，与公章具有相同法律效力。</w:t>
      </w:r>
    </w:p>
    <w:p>
      <w:pPr>
        <w:spacing w:line="360" w:lineRule="auto"/>
        <w:jc w:val="right"/>
        <w:rPr>
          <w:rFonts w:hint="eastAsia" w:ascii="宋体" w:hAnsi="宋体" w:eastAsia="宋体" w:cs="宋体"/>
          <w:color w:val="auto"/>
          <w:sz w:val="24"/>
          <w:highlight w:val="none"/>
        </w:rPr>
        <w:sectPr>
          <w:footerReference r:id="rId13" w:type="default"/>
          <w:pgSz w:w="11906" w:h="16838"/>
          <w:pgMar w:top="1440" w:right="1080" w:bottom="1440" w:left="1080" w:header="851" w:footer="992" w:gutter="0"/>
          <w:pgNumType w:fmt="decimal" w:start="24"/>
          <w:cols w:space="425" w:num="1"/>
          <w:docGrid w:type="lines" w:linePitch="312" w:charSpace="0"/>
        </w:sectPr>
      </w:pPr>
    </w:p>
    <w:p>
      <w:pPr>
        <w:pStyle w:val="13"/>
        <w:spacing w:line="360" w:lineRule="auto"/>
        <w:ind w:firstLine="562" w:firstLineChars="200"/>
        <w:jc w:val="center"/>
        <w:rPr>
          <w:rFonts w:hint="eastAsia" w:ascii="宋体" w:hAnsi="宋体" w:eastAsia="宋体" w:cs="宋体"/>
          <w:b/>
          <w:bCs/>
          <w:sz w:val="24"/>
          <w:szCs w:val="24"/>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、商务条款偏离表</w:t>
      </w:r>
    </w:p>
    <w:p>
      <w:pPr>
        <w:pStyle w:val="13"/>
        <w:spacing w:line="360" w:lineRule="auto"/>
        <w:ind w:firstLine="480" w:firstLineChars="200"/>
        <w:rPr>
          <w:rFonts w:hint="eastAsia" w:ascii="宋体" w:hAnsi="宋体" w:eastAsia="宋体" w:cs="宋体"/>
          <w:sz w:val="24"/>
          <w:szCs w:val="24"/>
        </w:rPr>
      </w:pP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项目名称：</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861"/>
        <w:gridCol w:w="1861"/>
        <w:gridCol w:w="1861"/>
        <w:gridCol w:w="81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3"/>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61" w:type="dxa"/>
            <w:noWrap w:val="0"/>
            <w:vAlign w:val="center"/>
          </w:tcPr>
          <w:p>
            <w:pPr>
              <w:pStyle w:val="13"/>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磋商文件条目号</w:t>
            </w:r>
          </w:p>
        </w:tc>
        <w:tc>
          <w:tcPr>
            <w:tcW w:w="1861" w:type="dxa"/>
            <w:noWrap w:val="0"/>
            <w:vAlign w:val="center"/>
          </w:tcPr>
          <w:p>
            <w:pPr>
              <w:pStyle w:val="13"/>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磋商文件的商务条款</w:t>
            </w:r>
          </w:p>
        </w:tc>
        <w:tc>
          <w:tcPr>
            <w:tcW w:w="1861" w:type="dxa"/>
            <w:noWrap w:val="0"/>
            <w:vAlign w:val="center"/>
          </w:tcPr>
          <w:p>
            <w:pPr>
              <w:pStyle w:val="13"/>
              <w:spacing w:line="360" w:lineRule="auto"/>
              <w:jc w:val="center"/>
              <w:rPr>
                <w:rFonts w:hint="eastAsia" w:ascii="宋体" w:hAnsi="宋体" w:eastAsia="宋体" w:cs="宋体"/>
                <w:sz w:val="24"/>
                <w:szCs w:val="24"/>
              </w:rPr>
            </w:pPr>
            <w:r>
              <w:rPr>
                <w:rFonts w:hint="eastAsia" w:ascii="宋体" w:hAnsi="宋体" w:eastAsia="宋体" w:cs="宋体"/>
                <w:sz w:val="24"/>
                <w:szCs w:val="24"/>
              </w:rPr>
              <w:t>响应文件的商务条款</w:t>
            </w:r>
          </w:p>
        </w:tc>
        <w:tc>
          <w:tcPr>
            <w:tcW w:w="816" w:type="dxa"/>
            <w:noWrap w:val="0"/>
            <w:vAlign w:val="center"/>
          </w:tcPr>
          <w:p>
            <w:pPr>
              <w:pStyle w:val="13"/>
              <w:spacing w:line="360" w:lineRule="auto"/>
              <w:jc w:val="center"/>
              <w:rPr>
                <w:rFonts w:hint="eastAsia" w:ascii="宋体" w:hAnsi="宋体" w:eastAsia="宋体" w:cs="宋体"/>
                <w:sz w:val="24"/>
                <w:szCs w:val="24"/>
              </w:rPr>
            </w:pPr>
            <w:r>
              <w:rPr>
                <w:rFonts w:hint="eastAsia" w:ascii="宋体" w:hAnsi="宋体" w:eastAsia="宋体" w:cs="宋体"/>
                <w:sz w:val="24"/>
                <w:szCs w:val="24"/>
              </w:rPr>
              <w:t>偏离</w:t>
            </w:r>
          </w:p>
        </w:tc>
        <w:tc>
          <w:tcPr>
            <w:tcW w:w="816" w:type="dxa"/>
            <w:noWrap w:val="0"/>
            <w:vAlign w:val="center"/>
          </w:tcPr>
          <w:p>
            <w:pPr>
              <w:pStyle w:val="13"/>
              <w:spacing w:line="360" w:lineRule="auto"/>
              <w:jc w:val="center"/>
              <w:rPr>
                <w:rFonts w:hint="eastAsia" w:ascii="宋体" w:hAnsi="宋体" w:eastAsia="宋体" w:cs="宋体"/>
                <w:sz w:val="24"/>
                <w:szCs w:val="24"/>
              </w:rPr>
            </w:pPr>
            <w:r>
              <w:rPr>
                <w:rFonts w:hint="eastAsia" w:ascii="宋体"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3"/>
              <w:spacing w:line="360" w:lineRule="auto"/>
              <w:jc w:val="center"/>
              <w:rPr>
                <w:rFonts w:hint="eastAsia" w:ascii="宋体" w:hAnsi="宋体" w:eastAsia="宋体" w:cs="宋体"/>
                <w:sz w:val="24"/>
                <w:szCs w:val="24"/>
              </w:rPr>
            </w:pPr>
          </w:p>
        </w:tc>
        <w:tc>
          <w:tcPr>
            <w:tcW w:w="1861" w:type="dxa"/>
            <w:noWrap w:val="0"/>
            <w:vAlign w:val="center"/>
          </w:tcPr>
          <w:p>
            <w:pPr>
              <w:pStyle w:val="13"/>
              <w:spacing w:line="360" w:lineRule="auto"/>
              <w:jc w:val="center"/>
              <w:rPr>
                <w:rFonts w:hint="eastAsia" w:ascii="宋体" w:hAnsi="宋体" w:eastAsia="宋体" w:cs="宋体"/>
                <w:sz w:val="24"/>
                <w:szCs w:val="24"/>
              </w:rPr>
            </w:pPr>
          </w:p>
        </w:tc>
        <w:tc>
          <w:tcPr>
            <w:tcW w:w="1861" w:type="dxa"/>
            <w:noWrap w:val="0"/>
            <w:vAlign w:val="center"/>
          </w:tcPr>
          <w:p>
            <w:pPr>
              <w:pStyle w:val="13"/>
              <w:spacing w:line="360" w:lineRule="auto"/>
              <w:jc w:val="center"/>
              <w:rPr>
                <w:rFonts w:hint="eastAsia" w:ascii="宋体" w:hAnsi="宋体" w:eastAsia="宋体" w:cs="宋体"/>
                <w:sz w:val="24"/>
                <w:szCs w:val="24"/>
              </w:rPr>
            </w:pPr>
          </w:p>
        </w:tc>
        <w:tc>
          <w:tcPr>
            <w:tcW w:w="1861" w:type="dxa"/>
            <w:noWrap w:val="0"/>
            <w:vAlign w:val="center"/>
          </w:tcPr>
          <w:p>
            <w:pPr>
              <w:pStyle w:val="13"/>
              <w:spacing w:line="360" w:lineRule="auto"/>
              <w:jc w:val="center"/>
              <w:rPr>
                <w:rFonts w:hint="eastAsia" w:ascii="宋体" w:hAnsi="宋体" w:eastAsia="宋体" w:cs="宋体"/>
                <w:sz w:val="24"/>
                <w:szCs w:val="24"/>
              </w:rPr>
            </w:pPr>
          </w:p>
        </w:tc>
        <w:tc>
          <w:tcPr>
            <w:tcW w:w="816" w:type="dxa"/>
            <w:noWrap w:val="0"/>
            <w:vAlign w:val="center"/>
          </w:tcPr>
          <w:p>
            <w:pPr>
              <w:pStyle w:val="13"/>
              <w:spacing w:line="360" w:lineRule="auto"/>
              <w:jc w:val="center"/>
              <w:rPr>
                <w:rFonts w:hint="eastAsia" w:ascii="宋体" w:hAnsi="宋体" w:eastAsia="宋体" w:cs="宋体"/>
                <w:sz w:val="24"/>
                <w:szCs w:val="24"/>
              </w:rPr>
            </w:pPr>
          </w:p>
        </w:tc>
        <w:tc>
          <w:tcPr>
            <w:tcW w:w="816" w:type="dxa"/>
            <w:noWrap w:val="0"/>
            <w:vAlign w:val="center"/>
          </w:tcPr>
          <w:p>
            <w:pPr>
              <w:pStyle w:val="13"/>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3"/>
              <w:spacing w:line="360" w:lineRule="auto"/>
              <w:jc w:val="center"/>
              <w:rPr>
                <w:rFonts w:hint="eastAsia" w:ascii="宋体" w:hAnsi="宋体" w:eastAsia="宋体" w:cs="宋体"/>
                <w:sz w:val="24"/>
                <w:szCs w:val="24"/>
              </w:rPr>
            </w:pPr>
          </w:p>
        </w:tc>
        <w:tc>
          <w:tcPr>
            <w:tcW w:w="1861" w:type="dxa"/>
            <w:noWrap w:val="0"/>
            <w:vAlign w:val="center"/>
          </w:tcPr>
          <w:p>
            <w:pPr>
              <w:pStyle w:val="13"/>
              <w:spacing w:line="360" w:lineRule="auto"/>
              <w:jc w:val="center"/>
              <w:rPr>
                <w:rFonts w:hint="eastAsia" w:ascii="宋体" w:hAnsi="宋体" w:eastAsia="宋体" w:cs="宋体"/>
                <w:sz w:val="24"/>
                <w:szCs w:val="24"/>
              </w:rPr>
            </w:pPr>
          </w:p>
        </w:tc>
        <w:tc>
          <w:tcPr>
            <w:tcW w:w="1861" w:type="dxa"/>
            <w:noWrap w:val="0"/>
            <w:vAlign w:val="center"/>
          </w:tcPr>
          <w:p>
            <w:pPr>
              <w:pStyle w:val="13"/>
              <w:spacing w:line="360" w:lineRule="auto"/>
              <w:jc w:val="center"/>
              <w:rPr>
                <w:rFonts w:hint="eastAsia" w:ascii="宋体" w:hAnsi="宋体" w:eastAsia="宋体" w:cs="宋体"/>
                <w:sz w:val="24"/>
                <w:szCs w:val="24"/>
              </w:rPr>
            </w:pPr>
          </w:p>
        </w:tc>
        <w:tc>
          <w:tcPr>
            <w:tcW w:w="1861" w:type="dxa"/>
            <w:noWrap w:val="0"/>
            <w:vAlign w:val="center"/>
          </w:tcPr>
          <w:p>
            <w:pPr>
              <w:pStyle w:val="13"/>
              <w:spacing w:line="360" w:lineRule="auto"/>
              <w:jc w:val="center"/>
              <w:rPr>
                <w:rFonts w:hint="eastAsia" w:ascii="宋体" w:hAnsi="宋体" w:eastAsia="宋体" w:cs="宋体"/>
                <w:sz w:val="24"/>
                <w:szCs w:val="24"/>
              </w:rPr>
            </w:pPr>
          </w:p>
        </w:tc>
        <w:tc>
          <w:tcPr>
            <w:tcW w:w="816" w:type="dxa"/>
            <w:noWrap w:val="0"/>
            <w:vAlign w:val="center"/>
          </w:tcPr>
          <w:p>
            <w:pPr>
              <w:pStyle w:val="13"/>
              <w:spacing w:line="360" w:lineRule="auto"/>
              <w:jc w:val="center"/>
              <w:rPr>
                <w:rFonts w:hint="eastAsia" w:ascii="宋体" w:hAnsi="宋体" w:eastAsia="宋体" w:cs="宋体"/>
                <w:sz w:val="24"/>
                <w:szCs w:val="24"/>
              </w:rPr>
            </w:pPr>
          </w:p>
        </w:tc>
        <w:tc>
          <w:tcPr>
            <w:tcW w:w="816" w:type="dxa"/>
            <w:noWrap w:val="0"/>
            <w:vAlign w:val="center"/>
          </w:tcPr>
          <w:p>
            <w:pPr>
              <w:pStyle w:val="13"/>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3"/>
              <w:spacing w:line="360" w:lineRule="auto"/>
              <w:jc w:val="center"/>
              <w:rPr>
                <w:rFonts w:hint="eastAsia" w:ascii="宋体" w:hAnsi="宋体" w:eastAsia="宋体" w:cs="宋体"/>
                <w:sz w:val="24"/>
                <w:szCs w:val="24"/>
              </w:rPr>
            </w:pPr>
          </w:p>
        </w:tc>
        <w:tc>
          <w:tcPr>
            <w:tcW w:w="1861" w:type="dxa"/>
            <w:noWrap w:val="0"/>
            <w:vAlign w:val="center"/>
          </w:tcPr>
          <w:p>
            <w:pPr>
              <w:pStyle w:val="13"/>
              <w:spacing w:line="360" w:lineRule="auto"/>
              <w:jc w:val="center"/>
              <w:rPr>
                <w:rFonts w:hint="eastAsia" w:ascii="宋体" w:hAnsi="宋体" w:eastAsia="宋体" w:cs="宋体"/>
                <w:sz w:val="24"/>
                <w:szCs w:val="24"/>
              </w:rPr>
            </w:pPr>
          </w:p>
        </w:tc>
        <w:tc>
          <w:tcPr>
            <w:tcW w:w="1861" w:type="dxa"/>
            <w:noWrap w:val="0"/>
            <w:vAlign w:val="center"/>
          </w:tcPr>
          <w:p>
            <w:pPr>
              <w:pStyle w:val="13"/>
              <w:spacing w:line="360" w:lineRule="auto"/>
              <w:jc w:val="center"/>
              <w:rPr>
                <w:rFonts w:hint="eastAsia" w:ascii="宋体" w:hAnsi="宋体" w:eastAsia="宋体" w:cs="宋体"/>
                <w:sz w:val="24"/>
                <w:szCs w:val="24"/>
              </w:rPr>
            </w:pPr>
          </w:p>
        </w:tc>
        <w:tc>
          <w:tcPr>
            <w:tcW w:w="1861" w:type="dxa"/>
            <w:noWrap w:val="0"/>
            <w:vAlign w:val="center"/>
          </w:tcPr>
          <w:p>
            <w:pPr>
              <w:pStyle w:val="13"/>
              <w:spacing w:line="360" w:lineRule="auto"/>
              <w:jc w:val="center"/>
              <w:rPr>
                <w:rFonts w:hint="eastAsia" w:ascii="宋体" w:hAnsi="宋体" w:eastAsia="宋体" w:cs="宋体"/>
                <w:sz w:val="24"/>
                <w:szCs w:val="24"/>
              </w:rPr>
            </w:pPr>
          </w:p>
        </w:tc>
        <w:tc>
          <w:tcPr>
            <w:tcW w:w="816" w:type="dxa"/>
            <w:noWrap w:val="0"/>
            <w:vAlign w:val="center"/>
          </w:tcPr>
          <w:p>
            <w:pPr>
              <w:pStyle w:val="13"/>
              <w:spacing w:line="360" w:lineRule="auto"/>
              <w:jc w:val="center"/>
              <w:rPr>
                <w:rFonts w:hint="eastAsia" w:ascii="宋体" w:hAnsi="宋体" w:eastAsia="宋体" w:cs="宋体"/>
                <w:sz w:val="24"/>
                <w:szCs w:val="24"/>
              </w:rPr>
            </w:pPr>
          </w:p>
        </w:tc>
        <w:tc>
          <w:tcPr>
            <w:tcW w:w="816" w:type="dxa"/>
            <w:noWrap w:val="0"/>
            <w:vAlign w:val="center"/>
          </w:tcPr>
          <w:p>
            <w:pPr>
              <w:pStyle w:val="13"/>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3"/>
              <w:spacing w:line="360" w:lineRule="auto"/>
              <w:jc w:val="center"/>
              <w:rPr>
                <w:rFonts w:hint="eastAsia" w:ascii="宋体" w:hAnsi="宋体" w:eastAsia="宋体" w:cs="宋体"/>
                <w:sz w:val="24"/>
                <w:szCs w:val="24"/>
              </w:rPr>
            </w:pPr>
          </w:p>
        </w:tc>
        <w:tc>
          <w:tcPr>
            <w:tcW w:w="1861" w:type="dxa"/>
            <w:noWrap w:val="0"/>
            <w:vAlign w:val="center"/>
          </w:tcPr>
          <w:p>
            <w:pPr>
              <w:pStyle w:val="13"/>
              <w:spacing w:line="360" w:lineRule="auto"/>
              <w:jc w:val="center"/>
              <w:rPr>
                <w:rFonts w:hint="eastAsia" w:ascii="宋体" w:hAnsi="宋体" w:eastAsia="宋体" w:cs="宋体"/>
                <w:sz w:val="24"/>
                <w:szCs w:val="24"/>
              </w:rPr>
            </w:pPr>
          </w:p>
        </w:tc>
        <w:tc>
          <w:tcPr>
            <w:tcW w:w="1861" w:type="dxa"/>
            <w:noWrap w:val="0"/>
            <w:vAlign w:val="center"/>
          </w:tcPr>
          <w:p>
            <w:pPr>
              <w:pStyle w:val="13"/>
              <w:spacing w:line="360" w:lineRule="auto"/>
              <w:jc w:val="center"/>
              <w:rPr>
                <w:rFonts w:hint="eastAsia" w:ascii="宋体" w:hAnsi="宋体" w:eastAsia="宋体" w:cs="宋体"/>
                <w:sz w:val="24"/>
                <w:szCs w:val="24"/>
              </w:rPr>
            </w:pPr>
          </w:p>
        </w:tc>
        <w:tc>
          <w:tcPr>
            <w:tcW w:w="1861" w:type="dxa"/>
            <w:noWrap w:val="0"/>
            <w:vAlign w:val="center"/>
          </w:tcPr>
          <w:p>
            <w:pPr>
              <w:pStyle w:val="13"/>
              <w:spacing w:line="360" w:lineRule="auto"/>
              <w:jc w:val="center"/>
              <w:rPr>
                <w:rFonts w:hint="eastAsia" w:ascii="宋体" w:hAnsi="宋体" w:eastAsia="宋体" w:cs="宋体"/>
                <w:sz w:val="24"/>
                <w:szCs w:val="24"/>
              </w:rPr>
            </w:pPr>
          </w:p>
        </w:tc>
        <w:tc>
          <w:tcPr>
            <w:tcW w:w="816" w:type="dxa"/>
            <w:noWrap w:val="0"/>
            <w:vAlign w:val="center"/>
          </w:tcPr>
          <w:p>
            <w:pPr>
              <w:pStyle w:val="13"/>
              <w:spacing w:line="360" w:lineRule="auto"/>
              <w:jc w:val="center"/>
              <w:rPr>
                <w:rFonts w:hint="eastAsia" w:ascii="宋体" w:hAnsi="宋体" w:eastAsia="宋体" w:cs="宋体"/>
                <w:sz w:val="24"/>
                <w:szCs w:val="24"/>
              </w:rPr>
            </w:pPr>
          </w:p>
        </w:tc>
        <w:tc>
          <w:tcPr>
            <w:tcW w:w="816" w:type="dxa"/>
            <w:noWrap w:val="0"/>
            <w:vAlign w:val="center"/>
          </w:tcPr>
          <w:p>
            <w:pPr>
              <w:pStyle w:val="13"/>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pPr>
              <w:pStyle w:val="13"/>
              <w:spacing w:line="360" w:lineRule="auto"/>
              <w:jc w:val="center"/>
              <w:rPr>
                <w:rFonts w:hint="eastAsia" w:ascii="宋体" w:hAnsi="宋体" w:eastAsia="宋体" w:cs="宋体"/>
                <w:sz w:val="24"/>
                <w:szCs w:val="24"/>
              </w:rPr>
            </w:pPr>
          </w:p>
        </w:tc>
        <w:tc>
          <w:tcPr>
            <w:tcW w:w="1861" w:type="dxa"/>
            <w:noWrap w:val="0"/>
            <w:vAlign w:val="center"/>
          </w:tcPr>
          <w:p>
            <w:pPr>
              <w:pStyle w:val="13"/>
              <w:spacing w:line="360" w:lineRule="auto"/>
              <w:jc w:val="center"/>
              <w:rPr>
                <w:rFonts w:hint="eastAsia" w:ascii="宋体" w:hAnsi="宋体" w:eastAsia="宋体" w:cs="宋体"/>
                <w:sz w:val="24"/>
                <w:szCs w:val="24"/>
              </w:rPr>
            </w:pPr>
          </w:p>
        </w:tc>
        <w:tc>
          <w:tcPr>
            <w:tcW w:w="1861" w:type="dxa"/>
            <w:noWrap w:val="0"/>
            <w:vAlign w:val="center"/>
          </w:tcPr>
          <w:p>
            <w:pPr>
              <w:pStyle w:val="13"/>
              <w:spacing w:line="360" w:lineRule="auto"/>
              <w:jc w:val="center"/>
              <w:rPr>
                <w:rFonts w:hint="eastAsia" w:ascii="宋体" w:hAnsi="宋体" w:eastAsia="宋体" w:cs="宋体"/>
                <w:sz w:val="24"/>
                <w:szCs w:val="24"/>
              </w:rPr>
            </w:pPr>
          </w:p>
        </w:tc>
        <w:tc>
          <w:tcPr>
            <w:tcW w:w="1861" w:type="dxa"/>
            <w:noWrap w:val="0"/>
            <w:vAlign w:val="center"/>
          </w:tcPr>
          <w:p>
            <w:pPr>
              <w:pStyle w:val="13"/>
              <w:spacing w:line="360" w:lineRule="auto"/>
              <w:jc w:val="center"/>
              <w:rPr>
                <w:rFonts w:hint="eastAsia" w:ascii="宋体" w:hAnsi="宋体" w:eastAsia="宋体" w:cs="宋体"/>
                <w:sz w:val="24"/>
                <w:szCs w:val="24"/>
              </w:rPr>
            </w:pPr>
          </w:p>
        </w:tc>
        <w:tc>
          <w:tcPr>
            <w:tcW w:w="816" w:type="dxa"/>
            <w:noWrap w:val="0"/>
            <w:vAlign w:val="center"/>
          </w:tcPr>
          <w:p>
            <w:pPr>
              <w:pStyle w:val="13"/>
              <w:spacing w:line="360" w:lineRule="auto"/>
              <w:jc w:val="center"/>
              <w:rPr>
                <w:rFonts w:hint="eastAsia" w:ascii="宋体" w:hAnsi="宋体" w:eastAsia="宋体" w:cs="宋体"/>
                <w:sz w:val="24"/>
                <w:szCs w:val="24"/>
              </w:rPr>
            </w:pPr>
          </w:p>
        </w:tc>
        <w:tc>
          <w:tcPr>
            <w:tcW w:w="816" w:type="dxa"/>
            <w:noWrap w:val="0"/>
            <w:vAlign w:val="center"/>
          </w:tcPr>
          <w:p>
            <w:pPr>
              <w:pStyle w:val="13"/>
              <w:spacing w:line="360" w:lineRule="auto"/>
              <w:jc w:val="center"/>
              <w:rPr>
                <w:rFonts w:hint="eastAsia" w:ascii="宋体" w:hAnsi="宋体" w:eastAsia="宋体" w:cs="宋体"/>
                <w:sz w:val="24"/>
                <w:szCs w:val="24"/>
              </w:rPr>
            </w:pPr>
          </w:p>
        </w:tc>
      </w:tr>
    </w:tbl>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说明：如有偏离，则必须注明“偏离”；未注明偏离的，视为完全响应。</w:t>
      </w:r>
    </w:p>
    <w:p>
      <w:pPr>
        <w:pStyle w:val="13"/>
        <w:spacing w:line="360" w:lineRule="auto"/>
        <w:ind w:firstLine="480" w:firstLineChars="200"/>
        <w:rPr>
          <w:rFonts w:hint="eastAsia" w:ascii="宋体" w:hAnsi="宋体" w:eastAsia="宋体" w:cs="宋体"/>
          <w:sz w:val="24"/>
          <w:szCs w:val="24"/>
        </w:rPr>
      </w:pP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供应商名称(公章)：________________________</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法定代表人或授权代表(签字或盖章)：________________________</w:t>
      </w:r>
    </w:p>
    <w:p>
      <w:pPr>
        <w:pStyle w:val="13"/>
        <w:spacing w:line="360" w:lineRule="auto"/>
        <w:ind w:firstLine="480" w:firstLineChars="200"/>
        <w:rPr>
          <w:rFonts w:hint="eastAsia" w:ascii="宋体" w:hAnsi="宋体" w:eastAsia="宋体" w:cs="宋体"/>
          <w:sz w:val="24"/>
          <w:szCs w:val="24"/>
        </w:rPr>
      </w:pPr>
    </w:p>
    <w:p>
      <w:pPr>
        <w:pStyle w:val="13"/>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______年____月____日</w:t>
      </w:r>
    </w:p>
    <w:p>
      <w:pPr>
        <w:pStyle w:val="13"/>
        <w:spacing w:line="360" w:lineRule="auto"/>
        <w:ind w:firstLine="480" w:firstLineChars="200"/>
        <w:rPr>
          <w:rFonts w:hint="eastAsia" w:ascii="宋体" w:hAnsi="宋体" w:eastAsia="宋体" w:cs="宋体"/>
          <w:sz w:val="24"/>
          <w:szCs w:val="24"/>
        </w:rPr>
      </w:pP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说明：授权用投标专用章的，与公章具有相同法律效力。</w:t>
      </w:r>
    </w:p>
    <w:p>
      <w:pPr>
        <w:spacing w:line="360" w:lineRule="auto"/>
        <w:ind w:firstLine="573"/>
        <w:jc w:val="center"/>
        <w:rPr>
          <w:rFonts w:hint="eastAsia" w:ascii="宋体" w:hAnsi="宋体" w:eastAsia="宋体" w:cs="宋体"/>
          <w:b/>
          <w:color w:val="auto"/>
          <w:sz w:val="28"/>
          <w:szCs w:val="28"/>
          <w:highlight w:val="none"/>
        </w:rPr>
      </w:pPr>
    </w:p>
    <w:p>
      <w:pPr>
        <w:pStyle w:val="13"/>
        <w:spacing w:line="440" w:lineRule="exact"/>
        <w:ind w:firstLine="562" w:firstLineChars="200"/>
        <w:jc w:val="center"/>
        <w:rPr>
          <w:rFonts w:hint="eastAsia" w:ascii="宋体" w:hAnsi="宋体" w:eastAsia="宋体" w:cs="宋体"/>
          <w:color w:val="auto"/>
          <w:sz w:val="28"/>
          <w:szCs w:val="28"/>
        </w:rPr>
      </w:pPr>
      <w:r>
        <w:rPr>
          <w:rFonts w:hint="eastAsia" w:ascii="宋体" w:hAnsi="宋体" w:eastAsia="宋体" w:cs="宋体"/>
          <w:b/>
          <w:color w:val="auto"/>
          <w:sz w:val="28"/>
          <w:szCs w:val="28"/>
          <w:highlight w:val="none"/>
        </w:rPr>
        <w:br w:type="page"/>
      </w:r>
      <w:r>
        <w:rPr>
          <w:rFonts w:hint="eastAsia" w:ascii="宋体" w:hAnsi="宋体" w:eastAsia="宋体" w:cs="宋体"/>
          <w:b/>
          <w:bCs/>
          <w:sz w:val="28"/>
          <w:szCs w:val="28"/>
          <w:lang w:val="en-US" w:eastAsia="zh-CN"/>
        </w:rPr>
        <w:t>六、技术响应与偏离表</w:t>
      </w:r>
    </w:p>
    <w:p>
      <w:pPr>
        <w:pStyle w:val="13"/>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项目名称：</w:t>
      </w:r>
      <w:r>
        <w:rPr>
          <w:rFonts w:hint="eastAsia" w:ascii="宋体" w:hAnsi="宋体" w:eastAsia="宋体" w:cs="宋体"/>
          <w:color w:val="auto"/>
          <w:sz w:val="28"/>
          <w:szCs w:val="28"/>
        </w:rPr>
        <w:tab/>
      </w:r>
      <w:r>
        <w:rPr>
          <w:rFonts w:hint="eastAsia" w:ascii="宋体" w:hAnsi="宋体" w:eastAsia="宋体" w:cs="宋体"/>
          <w:color w:val="auto"/>
          <w:sz w:val="28"/>
          <w:szCs w:val="28"/>
        </w:rPr>
        <w:tab/>
      </w:r>
      <w:r>
        <w:rPr>
          <w:rFonts w:hint="eastAsia" w:ascii="宋体" w:hAnsi="宋体" w:eastAsia="宋体" w:cs="宋体"/>
          <w:color w:val="auto"/>
          <w:sz w:val="28"/>
          <w:szCs w:val="28"/>
        </w:rPr>
        <w:tab/>
      </w:r>
      <w:r>
        <w:rPr>
          <w:rFonts w:hint="eastAsia" w:ascii="宋体" w:hAnsi="宋体" w:eastAsia="宋体" w:cs="宋体"/>
          <w:color w:val="auto"/>
          <w:sz w:val="28"/>
          <w:szCs w:val="28"/>
        </w:rPr>
        <w:tab/>
      </w:r>
      <w:r>
        <w:rPr>
          <w:rFonts w:hint="eastAsia" w:ascii="宋体" w:hAnsi="宋体" w:eastAsia="宋体" w:cs="宋体"/>
          <w:color w:val="auto"/>
          <w:sz w:val="28"/>
          <w:szCs w:val="28"/>
        </w:rPr>
        <w:tab/>
      </w:r>
      <w:r>
        <w:rPr>
          <w:rFonts w:hint="eastAsia" w:ascii="宋体" w:hAnsi="宋体" w:eastAsia="宋体" w:cs="宋体"/>
          <w:color w:val="auto"/>
          <w:sz w:val="28"/>
          <w:szCs w:val="28"/>
        </w:rPr>
        <w:tab/>
      </w:r>
      <w:r>
        <w:rPr>
          <w:rFonts w:hint="eastAsia" w:ascii="宋体" w:hAnsi="宋体" w:eastAsia="宋体" w:cs="宋体"/>
          <w:color w:val="auto"/>
          <w:sz w:val="28"/>
          <w:szCs w:val="28"/>
        </w:rPr>
        <w:tab/>
      </w:r>
      <w:r>
        <w:rPr>
          <w:rFonts w:hint="eastAsia" w:ascii="宋体" w:hAnsi="宋体" w:eastAsia="宋体" w:cs="宋体"/>
          <w:color w:val="auto"/>
          <w:sz w:val="28"/>
          <w:szCs w:val="28"/>
        </w:rPr>
        <w:tab/>
      </w:r>
      <w:r>
        <w:rPr>
          <w:rFonts w:hint="eastAsia" w:ascii="宋体" w:hAnsi="宋体" w:eastAsia="宋体" w:cs="宋体"/>
          <w:color w:val="auto"/>
          <w:sz w:val="28"/>
          <w:szCs w:val="28"/>
        </w:rPr>
        <w:t xml:space="preserve"> 项目编号：</w:t>
      </w:r>
    </w:p>
    <w:p>
      <w:pPr>
        <w:pStyle w:val="13"/>
        <w:spacing w:line="440" w:lineRule="exact"/>
        <w:ind w:firstLine="560" w:firstLineChars="200"/>
        <w:rPr>
          <w:rFonts w:hint="eastAsia" w:ascii="宋体" w:hAnsi="宋体" w:eastAsia="宋体" w:cs="宋体"/>
          <w:color w:val="auto"/>
          <w:sz w:val="28"/>
          <w:szCs w:val="28"/>
        </w:rPr>
      </w:pPr>
    </w:p>
    <w:tbl>
      <w:tblPr>
        <w:tblStyle w:val="23"/>
        <w:tblW w:w="8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236"/>
        <w:gridCol w:w="1504"/>
        <w:gridCol w:w="1504"/>
        <w:gridCol w:w="123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3"/>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序号号</w:t>
            </w:r>
          </w:p>
        </w:tc>
        <w:tc>
          <w:tcPr>
            <w:tcW w:w="1236" w:type="dxa"/>
            <w:vAlign w:val="center"/>
          </w:tcPr>
          <w:p>
            <w:pPr>
              <w:pStyle w:val="13"/>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招标规格</w:t>
            </w:r>
          </w:p>
        </w:tc>
        <w:tc>
          <w:tcPr>
            <w:tcW w:w="1504" w:type="dxa"/>
            <w:vAlign w:val="center"/>
          </w:tcPr>
          <w:p>
            <w:pPr>
              <w:pStyle w:val="13"/>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技术指标要求</w:t>
            </w:r>
          </w:p>
        </w:tc>
        <w:tc>
          <w:tcPr>
            <w:tcW w:w="1504" w:type="dxa"/>
            <w:vAlign w:val="center"/>
          </w:tcPr>
          <w:p>
            <w:pPr>
              <w:pStyle w:val="13"/>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投标响应情况</w:t>
            </w:r>
          </w:p>
        </w:tc>
        <w:tc>
          <w:tcPr>
            <w:tcW w:w="1233" w:type="dxa"/>
            <w:vAlign w:val="center"/>
          </w:tcPr>
          <w:p>
            <w:pPr>
              <w:pStyle w:val="13"/>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w:t>
            </w:r>
          </w:p>
        </w:tc>
        <w:tc>
          <w:tcPr>
            <w:tcW w:w="1134" w:type="dxa"/>
            <w:vAlign w:val="center"/>
          </w:tcPr>
          <w:p>
            <w:pPr>
              <w:pStyle w:val="13"/>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3"/>
              <w:spacing w:line="440" w:lineRule="exact"/>
              <w:jc w:val="center"/>
              <w:rPr>
                <w:rFonts w:hint="eastAsia" w:ascii="宋体" w:hAnsi="宋体" w:eastAsia="宋体" w:cs="宋体"/>
                <w:color w:val="auto"/>
                <w:sz w:val="24"/>
                <w:szCs w:val="24"/>
              </w:rPr>
            </w:pPr>
          </w:p>
        </w:tc>
        <w:tc>
          <w:tcPr>
            <w:tcW w:w="1236" w:type="dxa"/>
            <w:vAlign w:val="center"/>
          </w:tcPr>
          <w:p>
            <w:pPr>
              <w:pStyle w:val="13"/>
              <w:spacing w:line="440" w:lineRule="exact"/>
              <w:jc w:val="center"/>
              <w:rPr>
                <w:rFonts w:hint="eastAsia" w:ascii="宋体" w:hAnsi="宋体" w:eastAsia="宋体" w:cs="宋体"/>
                <w:color w:val="auto"/>
                <w:sz w:val="24"/>
                <w:szCs w:val="24"/>
              </w:rPr>
            </w:pPr>
          </w:p>
        </w:tc>
        <w:tc>
          <w:tcPr>
            <w:tcW w:w="1504" w:type="dxa"/>
            <w:vAlign w:val="center"/>
          </w:tcPr>
          <w:p>
            <w:pPr>
              <w:pStyle w:val="13"/>
              <w:spacing w:line="440" w:lineRule="exact"/>
              <w:jc w:val="center"/>
              <w:rPr>
                <w:rFonts w:hint="eastAsia" w:ascii="宋体" w:hAnsi="宋体" w:eastAsia="宋体" w:cs="宋体"/>
                <w:color w:val="auto"/>
                <w:sz w:val="24"/>
                <w:szCs w:val="24"/>
              </w:rPr>
            </w:pPr>
          </w:p>
        </w:tc>
        <w:tc>
          <w:tcPr>
            <w:tcW w:w="1504" w:type="dxa"/>
            <w:vAlign w:val="center"/>
          </w:tcPr>
          <w:p>
            <w:pPr>
              <w:pStyle w:val="13"/>
              <w:spacing w:line="440" w:lineRule="exact"/>
              <w:jc w:val="center"/>
              <w:rPr>
                <w:rFonts w:hint="eastAsia" w:ascii="宋体" w:hAnsi="宋体" w:eastAsia="宋体" w:cs="宋体"/>
                <w:color w:val="auto"/>
                <w:sz w:val="24"/>
                <w:szCs w:val="24"/>
              </w:rPr>
            </w:pPr>
          </w:p>
        </w:tc>
        <w:tc>
          <w:tcPr>
            <w:tcW w:w="1233" w:type="dxa"/>
            <w:vAlign w:val="center"/>
          </w:tcPr>
          <w:p>
            <w:pPr>
              <w:pStyle w:val="13"/>
              <w:spacing w:line="440" w:lineRule="exact"/>
              <w:jc w:val="center"/>
              <w:rPr>
                <w:rFonts w:hint="eastAsia" w:ascii="宋体" w:hAnsi="宋体" w:eastAsia="宋体" w:cs="宋体"/>
                <w:color w:val="auto"/>
                <w:sz w:val="24"/>
                <w:szCs w:val="24"/>
              </w:rPr>
            </w:pPr>
          </w:p>
        </w:tc>
        <w:tc>
          <w:tcPr>
            <w:tcW w:w="1134" w:type="dxa"/>
            <w:vAlign w:val="center"/>
          </w:tcPr>
          <w:p>
            <w:pPr>
              <w:pStyle w:val="13"/>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3"/>
              <w:spacing w:line="440" w:lineRule="exact"/>
              <w:jc w:val="center"/>
              <w:rPr>
                <w:rFonts w:hint="eastAsia" w:ascii="宋体" w:hAnsi="宋体" w:eastAsia="宋体" w:cs="宋体"/>
                <w:color w:val="auto"/>
                <w:sz w:val="24"/>
                <w:szCs w:val="24"/>
              </w:rPr>
            </w:pPr>
          </w:p>
        </w:tc>
        <w:tc>
          <w:tcPr>
            <w:tcW w:w="1236" w:type="dxa"/>
            <w:vAlign w:val="center"/>
          </w:tcPr>
          <w:p>
            <w:pPr>
              <w:pStyle w:val="13"/>
              <w:spacing w:line="440" w:lineRule="exact"/>
              <w:jc w:val="center"/>
              <w:rPr>
                <w:rFonts w:hint="eastAsia" w:ascii="宋体" w:hAnsi="宋体" w:eastAsia="宋体" w:cs="宋体"/>
                <w:color w:val="auto"/>
                <w:sz w:val="24"/>
                <w:szCs w:val="24"/>
              </w:rPr>
            </w:pPr>
          </w:p>
        </w:tc>
        <w:tc>
          <w:tcPr>
            <w:tcW w:w="1504" w:type="dxa"/>
            <w:vAlign w:val="center"/>
          </w:tcPr>
          <w:p>
            <w:pPr>
              <w:pStyle w:val="13"/>
              <w:spacing w:line="440" w:lineRule="exact"/>
              <w:jc w:val="center"/>
              <w:rPr>
                <w:rFonts w:hint="eastAsia" w:ascii="宋体" w:hAnsi="宋体" w:eastAsia="宋体" w:cs="宋体"/>
                <w:color w:val="auto"/>
                <w:sz w:val="24"/>
                <w:szCs w:val="24"/>
              </w:rPr>
            </w:pPr>
          </w:p>
        </w:tc>
        <w:tc>
          <w:tcPr>
            <w:tcW w:w="1504" w:type="dxa"/>
            <w:vAlign w:val="center"/>
          </w:tcPr>
          <w:p>
            <w:pPr>
              <w:pStyle w:val="13"/>
              <w:spacing w:line="440" w:lineRule="exact"/>
              <w:jc w:val="center"/>
              <w:rPr>
                <w:rFonts w:hint="eastAsia" w:ascii="宋体" w:hAnsi="宋体" w:eastAsia="宋体" w:cs="宋体"/>
                <w:color w:val="auto"/>
                <w:sz w:val="24"/>
                <w:szCs w:val="24"/>
              </w:rPr>
            </w:pPr>
          </w:p>
        </w:tc>
        <w:tc>
          <w:tcPr>
            <w:tcW w:w="1233" w:type="dxa"/>
            <w:vAlign w:val="center"/>
          </w:tcPr>
          <w:p>
            <w:pPr>
              <w:pStyle w:val="13"/>
              <w:spacing w:line="440" w:lineRule="exact"/>
              <w:jc w:val="center"/>
              <w:rPr>
                <w:rFonts w:hint="eastAsia" w:ascii="宋体" w:hAnsi="宋体" w:eastAsia="宋体" w:cs="宋体"/>
                <w:color w:val="auto"/>
                <w:sz w:val="24"/>
                <w:szCs w:val="24"/>
              </w:rPr>
            </w:pPr>
          </w:p>
        </w:tc>
        <w:tc>
          <w:tcPr>
            <w:tcW w:w="1134" w:type="dxa"/>
            <w:vAlign w:val="center"/>
          </w:tcPr>
          <w:p>
            <w:pPr>
              <w:pStyle w:val="13"/>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3"/>
              <w:spacing w:line="440" w:lineRule="exact"/>
              <w:jc w:val="center"/>
              <w:rPr>
                <w:rFonts w:hint="eastAsia" w:ascii="宋体" w:hAnsi="宋体" w:eastAsia="宋体" w:cs="宋体"/>
                <w:color w:val="auto"/>
                <w:sz w:val="24"/>
                <w:szCs w:val="24"/>
              </w:rPr>
            </w:pPr>
          </w:p>
        </w:tc>
        <w:tc>
          <w:tcPr>
            <w:tcW w:w="1236" w:type="dxa"/>
            <w:vAlign w:val="center"/>
          </w:tcPr>
          <w:p>
            <w:pPr>
              <w:pStyle w:val="13"/>
              <w:spacing w:line="440" w:lineRule="exact"/>
              <w:jc w:val="center"/>
              <w:rPr>
                <w:rFonts w:hint="eastAsia" w:ascii="宋体" w:hAnsi="宋体" w:eastAsia="宋体" w:cs="宋体"/>
                <w:color w:val="auto"/>
                <w:sz w:val="24"/>
                <w:szCs w:val="24"/>
              </w:rPr>
            </w:pPr>
          </w:p>
        </w:tc>
        <w:tc>
          <w:tcPr>
            <w:tcW w:w="1504" w:type="dxa"/>
            <w:vAlign w:val="center"/>
          </w:tcPr>
          <w:p>
            <w:pPr>
              <w:pStyle w:val="13"/>
              <w:spacing w:line="440" w:lineRule="exact"/>
              <w:jc w:val="center"/>
              <w:rPr>
                <w:rFonts w:hint="eastAsia" w:ascii="宋体" w:hAnsi="宋体" w:eastAsia="宋体" w:cs="宋体"/>
                <w:color w:val="auto"/>
                <w:sz w:val="24"/>
                <w:szCs w:val="24"/>
              </w:rPr>
            </w:pPr>
          </w:p>
        </w:tc>
        <w:tc>
          <w:tcPr>
            <w:tcW w:w="1504" w:type="dxa"/>
            <w:vAlign w:val="center"/>
          </w:tcPr>
          <w:p>
            <w:pPr>
              <w:pStyle w:val="13"/>
              <w:spacing w:line="440" w:lineRule="exact"/>
              <w:jc w:val="center"/>
              <w:rPr>
                <w:rFonts w:hint="eastAsia" w:ascii="宋体" w:hAnsi="宋体" w:eastAsia="宋体" w:cs="宋体"/>
                <w:color w:val="auto"/>
                <w:sz w:val="24"/>
                <w:szCs w:val="24"/>
              </w:rPr>
            </w:pPr>
          </w:p>
        </w:tc>
        <w:tc>
          <w:tcPr>
            <w:tcW w:w="1233" w:type="dxa"/>
            <w:vAlign w:val="center"/>
          </w:tcPr>
          <w:p>
            <w:pPr>
              <w:pStyle w:val="13"/>
              <w:spacing w:line="440" w:lineRule="exact"/>
              <w:jc w:val="center"/>
              <w:rPr>
                <w:rFonts w:hint="eastAsia" w:ascii="宋体" w:hAnsi="宋体" w:eastAsia="宋体" w:cs="宋体"/>
                <w:color w:val="auto"/>
                <w:sz w:val="24"/>
                <w:szCs w:val="24"/>
              </w:rPr>
            </w:pPr>
          </w:p>
        </w:tc>
        <w:tc>
          <w:tcPr>
            <w:tcW w:w="1134" w:type="dxa"/>
            <w:vAlign w:val="center"/>
          </w:tcPr>
          <w:p>
            <w:pPr>
              <w:pStyle w:val="13"/>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3"/>
              <w:spacing w:line="440" w:lineRule="exact"/>
              <w:jc w:val="center"/>
              <w:rPr>
                <w:rFonts w:hint="eastAsia" w:ascii="宋体" w:hAnsi="宋体" w:eastAsia="宋体" w:cs="宋体"/>
                <w:color w:val="auto"/>
                <w:sz w:val="24"/>
                <w:szCs w:val="24"/>
              </w:rPr>
            </w:pPr>
          </w:p>
        </w:tc>
        <w:tc>
          <w:tcPr>
            <w:tcW w:w="1236" w:type="dxa"/>
            <w:vAlign w:val="center"/>
          </w:tcPr>
          <w:p>
            <w:pPr>
              <w:pStyle w:val="13"/>
              <w:spacing w:line="440" w:lineRule="exact"/>
              <w:jc w:val="center"/>
              <w:rPr>
                <w:rFonts w:hint="eastAsia" w:ascii="宋体" w:hAnsi="宋体" w:eastAsia="宋体" w:cs="宋体"/>
                <w:color w:val="auto"/>
                <w:sz w:val="24"/>
                <w:szCs w:val="24"/>
              </w:rPr>
            </w:pPr>
          </w:p>
        </w:tc>
        <w:tc>
          <w:tcPr>
            <w:tcW w:w="1504" w:type="dxa"/>
            <w:vAlign w:val="center"/>
          </w:tcPr>
          <w:p>
            <w:pPr>
              <w:pStyle w:val="13"/>
              <w:spacing w:line="440" w:lineRule="exact"/>
              <w:jc w:val="center"/>
              <w:rPr>
                <w:rFonts w:hint="eastAsia" w:ascii="宋体" w:hAnsi="宋体" w:eastAsia="宋体" w:cs="宋体"/>
                <w:color w:val="auto"/>
                <w:sz w:val="24"/>
                <w:szCs w:val="24"/>
              </w:rPr>
            </w:pPr>
          </w:p>
        </w:tc>
        <w:tc>
          <w:tcPr>
            <w:tcW w:w="1504" w:type="dxa"/>
            <w:vAlign w:val="center"/>
          </w:tcPr>
          <w:p>
            <w:pPr>
              <w:pStyle w:val="13"/>
              <w:spacing w:line="440" w:lineRule="exact"/>
              <w:jc w:val="center"/>
              <w:rPr>
                <w:rFonts w:hint="eastAsia" w:ascii="宋体" w:hAnsi="宋体" w:eastAsia="宋体" w:cs="宋体"/>
                <w:color w:val="auto"/>
                <w:sz w:val="24"/>
                <w:szCs w:val="24"/>
              </w:rPr>
            </w:pPr>
          </w:p>
        </w:tc>
        <w:tc>
          <w:tcPr>
            <w:tcW w:w="1233" w:type="dxa"/>
            <w:vAlign w:val="center"/>
          </w:tcPr>
          <w:p>
            <w:pPr>
              <w:pStyle w:val="13"/>
              <w:spacing w:line="440" w:lineRule="exact"/>
              <w:jc w:val="center"/>
              <w:rPr>
                <w:rFonts w:hint="eastAsia" w:ascii="宋体" w:hAnsi="宋体" w:eastAsia="宋体" w:cs="宋体"/>
                <w:color w:val="auto"/>
                <w:sz w:val="24"/>
                <w:szCs w:val="24"/>
              </w:rPr>
            </w:pPr>
          </w:p>
        </w:tc>
        <w:tc>
          <w:tcPr>
            <w:tcW w:w="1134" w:type="dxa"/>
            <w:vAlign w:val="center"/>
          </w:tcPr>
          <w:p>
            <w:pPr>
              <w:pStyle w:val="13"/>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3"/>
              <w:spacing w:line="440" w:lineRule="exact"/>
              <w:jc w:val="center"/>
              <w:rPr>
                <w:rFonts w:hint="eastAsia" w:ascii="宋体" w:hAnsi="宋体" w:eastAsia="宋体" w:cs="宋体"/>
                <w:color w:val="auto"/>
                <w:sz w:val="24"/>
                <w:szCs w:val="24"/>
              </w:rPr>
            </w:pPr>
          </w:p>
        </w:tc>
        <w:tc>
          <w:tcPr>
            <w:tcW w:w="1236" w:type="dxa"/>
            <w:vAlign w:val="center"/>
          </w:tcPr>
          <w:p>
            <w:pPr>
              <w:pStyle w:val="13"/>
              <w:spacing w:line="440" w:lineRule="exact"/>
              <w:jc w:val="center"/>
              <w:rPr>
                <w:rFonts w:hint="eastAsia" w:ascii="宋体" w:hAnsi="宋体" w:eastAsia="宋体" w:cs="宋体"/>
                <w:color w:val="auto"/>
                <w:sz w:val="24"/>
                <w:szCs w:val="24"/>
              </w:rPr>
            </w:pPr>
          </w:p>
        </w:tc>
        <w:tc>
          <w:tcPr>
            <w:tcW w:w="1504" w:type="dxa"/>
            <w:vAlign w:val="center"/>
          </w:tcPr>
          <w:p>
            <w:pPr>
              <w:pStyle w:val="13"/>
              <w:spacing w:line="440" w:lineRule="exact"/>
              <w:jc w:val="center"/>
              <w:rPr>
                <w:rFonts w:hint="eastAsia" w:ascii="宋体" w:hAnsi="宋体" w:eastAsia="宋体" w:cs="宋体"/>
                <w:color w:val="auto"/>
                <w:sz w:val="24"/>
                <w:szCs w:val="24"/>
              </w:rPr>
            </w:pPr>
          </w:p>
        </w:tc>
        <w:tc>
          <w:tcPr>
            <w:tcW w:w="1504" w:type="dxa"/>
            <w:vAlign w:val="center"/>
          </w:tcPr>
          <w:p>
            <w:pPr>
              <w:pStyle w:val="13"/>
              <w:spacing w:line="440" w:lineRule="exact"/>
              <w:jc w:val="center"/>
              <w:rPr>
                <w:rFonts w:hint="eastAsia" w:ascii="宋体" w:hAnsi="宋体" w:eastAsia="宋体" w:cs="宋体"/>
                <w:color w:val="auto"/>
                <w:sz w:val="24"/>
                <w:szCs w:val="24"/>
              </w:rPr>
            </w:pPr>
          </w:p>
        </w:tc>
        <w:tc>
          <w:tcPr>
            <w:tcW w:w="1233" w:type="dxa"/>
            <w:vAlign w:val="center"/>
          </w:tcPr>
          <w:p>
            <w:pPr>
              <w:pStyle w:val="13"/>
              <w:spacing w:line="440" w:lineRule="exact"/>
              <w:jc w:val="center"/>
              <w:rPr>
                <w:rFonts w:hint="eastAsia" w:ascii="宋体" w:hAnsi="宋体" w:eastAsia="宋体" w:cs="宋体"/>
                <w:color w:val="auto"/>
                <w:sz w:val="24"/>
                <w:szCs w:val="24"/>
              </w:rPr>
            </w:pPr>
          </w:p>
        </w:tc>
        <w:tc>
          <w:tcPr>
            <w:tcW w:w="1134" w:type="dxa"/>
            <w:vAlign w:val="center"/>
          </w:tcPr>
          <w:p>
            <w:pPr>
              <w:pStyle w:val="13"/>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3"/>
              <w:spacing w:line="440" w:lineRule="exact"/>
              <w:jc w:val="center"/>
              <w:rPr>
                <w:rFonts w:hint="eastAsia" w:ascii="宋体" w:hAnsi="宋体" w:eastAsia="宋体" w:cs="宋体"/>
                <w:color w:val="auto"/>
                <w:sz w:val="24"/>
                <w:szCs w:val="24"/>
              </w:rPr>
            </w:pPr>
          </w:p>
        </w:tc>
        <w:tc>
          <w:tcPr>
            <w:tcW w:w="1236" w:type="dxa"/>
            <w:vAlign w:val="center"/>
          </w:tcPr>
          <w:p>
            <w:pPr>
              <w:pStyle w:val="13"/>
              <w:spacing w:line="440" w:lineRule="exact"/>
              <w:jc w:val="center"/>
              <w:rPr>
                <w:rFonts w:hint="eastAsia" w:ascii="宋体" w:hAnsi="宋体" w:eastAsia="宋体" w:cs="宋体"/>
                <w:color w:val="auto"/>
                <w:sz w:val="24"/>
                <w:szCs w:val="24"/>
              </w:rPr>
            </w:pPr>
          </w:p>
        </w:tc>
        <w:tc>
          <w:tcPr>
            <w:tcW w:w="1504" w:type="dxa"/>
            <w:vAlign w:val="center"/>
          </w:tcPr>
          <w:p>
            <w:pPr>
              <w:pStyle w:val="13"/>
              <w:spacing w:line="440" w:lineRule="exact"/>
              <w:jc w:val="center"/>
              <w:rPr>
                <w:rFonts w:hint="eastAsia" w:ascii="宋体" w:hAnsi="宋体" w:eastAsia="宋体" w:cs="宋体"/>
                <w:color w:val="auto"/>
                <w:sz w:val="24"/>
                <w:szCs w:val="24"/>
              </w:rPr>
            </w:pPr>
          </w:p>
        </w:tc>
        <w:tc>
          <w:tcPr>
            <w:tcW w:w="1504" w:type="dxa"/>
            <w:vAlign w:val="center"/>
          </w:tcPr>
          <w:p>
            <w:pPr>
              <w:pStyle w:val="13"/>
              <w:spacing w:line="440" w:lineRule="exact"/>
              <w:jc w:val="center"/>
              <w:rPr>
                <w:rFonts w:hint="eastAsia" w:ascii="宋体" w:hAnsi="宋体" w:eastAsia="宋体" w:cs="宋体"/>
                <w:color w:val="auto"/>
                <w:sz w:val="24"/>
                <w:szCs w:val="24"/>
              </w:rPr>
            </w:pPr>
          </w:p>
        </w:tc>
        <w:tc>
          <w:tcPr>
            <w:tcW w:w="1233" w:type="dxa"/>
            <w:vAlign w:val="center"/>
          </w:tcPr>
          <w:p>
            <w:pPr>
              <w:pStyle w:val="13"/>
              <w:spacing w:line="440" w:lineRule="exact"/>
              <w:jc w:val="center"/>
              <w:rPr>
                <w:rFonts w:hint="eastAsia" w:ascii="宋体" w:hAnsi="宋体" w:eastAsia="宋体" w:cs="宋体"/>
                <w:color w:val="auto"/>
                <w:sz w:val="24"/>
                <w:szCs w:val="24"/>
              </w:rPr>
            </w:pPr>
          </w:p>
        </w:tc>
        <w:tc>
          <w:tcPr>
            <w:tcW w:w="1134" w:type="dxa"/>
            <w:vAlign w:val="center"/>
          </w:tcPr>
          <w:p>
            <w:pPr>
              <w:pStyle w:val="13"/>
              <w:spacing w:line="440" w:lineRule="exact"/>
              <w:jc w:val="center"/>
              <w:rPr>
                <w:rFonts w:hint="eastAsia" w:ascii="宋体" w:hAnsi="宋体" w:eastAsia="宋体" w:cs="宋体"/>
                <w:color w:val="auto"/>
                <w:sz w:val="24"/>
                <w:szCs w:val="24"/>
              </w:rPr>
            </w:pPr>
          </w:p>
        </w:tc>
      </w:tr>
    </w:tbl>
    <w:p>
      <w:pPr>
        <w:pStyle w:val="13"/>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说明：在偏离项必须注明正偏离、负偏离或无偏离。</w:t>
      </w:r>
    </w:p>
    <w:p>
      <w:pPr>
        <w:pStyle w:val="13"/>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投标人名称(公章)：____________</w:t>
      </w:r>
    </w:p>
    <w:p>
      <w:pPr>
        <w:pStyle w:val="13"/>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法定代表人或其授权代表(签字或盖章)：____________</w:t>
      </w:r>
    </w:p>
    <w:p>
      <w:pPr>
        <w:pStyle w:val="13"/>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日期：______年____月____日</w:t>
      </w:r>
    </w:p>
    <w:p>
      <w:pPr>
        <w:pStyle w:val="13"/>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说明：授权用投标专用章的，与公章具有相同法律效力。</w:t>
      </w:r>
    </w:p>
    <w:p>
      <w:pPr>
        <w:pStyle w:val="13"/>
        <w:spacing w:line="360" w:lineRule="auto"/>
        <w:ind w:firstLine="562" w:firstLineChars="200"/>
        <w:jc w:val="center"/>
        <w:rPr>
          <w:rFonts w:hint="eastAsia" w:ascii="宋体" w:hAnsi="宋体" w:eastAsia="宋体" w:cs="宋体"/>
          <w:b/>
          <w:bCs/>
          <w:sz w:val="28"/>
          <w:szCs w:val="28"/>
          <w:lang w:val="en-US" w:eastAsia="zh-CN"/>
        </w:rPr>
      </w:pPr>
    </w:p>
    <w:p>
      <w:pPr>
        <w:pStyle w:val="13"/>
        <w:spacing w:line="360" w:lineRule="auto"/>
        <w:ind w:firstLine="562" w:firstLineChars="200"/>
        <w:jc w:val="center"/>
        <w:rPr>
          <w:rFonts w:hint="eastAsia" w:ascii="宋体" w:hAnsi="宋体" w:eastAsia="宋体" w:cs="宋体"/>
          <w:b/>
          <w:bCs/>
          <w:sz w:val="28"/>
          <w:szCs w:val="28"/>
          <w:lang w:val="en-US" w:eastAsia="zh-CN"/>
        </w:rPr>
      </w:pPr>
    </w:p>
    <w:p>
      <w:pPr>
        <w:pStyle w:val="13"/>
        <w:spacing w:line="360" w:lineRule="auto"/>
        <w:ind w:firstLine="562" w:firstLineChars="200"/>
        <w:jc w:val="center"/>
        <w:rPr>
          <w:rFonts w:hint="eastAsia" w:ascii="宋体" w:hAnsi="宋体" w:eastAsia="宋体" w:cs="宋体"/>
          <w:b/>
          <w:bCs/>
          <w:sz w:val="28"/>
          <w:szCs w:val="28"/>
          <w:lang w:val="en-US" w:eastAsia="zh-CN"/>
        </w:rPr>
      </w:pPr>
    </w:p>
    <w:p>
      <w:pPr>
        <w:pStyle w:val="13"/>
        <w:spacing w:line="360" w:lineRule="auto"/>
        <w:ind w:firstLine="562" w:firstLineChars="200"/>
        <w:jc w:val="center"/>
        <w:rPr>
          <w:rFonts w:hint="eastAsia" w:ascii="宋体" w:hAnsi="宋体" w:eastAsia="宋体" w:cs="宋体"/>
          <w:b/>
          <w:bCs/>
          <w:sz w:val="28"/>
          <w:szCs w:val="28"/>
          <w:lang w:val="en-US" w:eastAsia="zh-CN"/>
        </w:rPr>
      </w:pPr>
    </w:p>
    <w:p>
      <w:pPr>
        <w:pStyle w:val="13"/>
        <w:spacing w:line="360" w:lineRule="auto"/>
        <w:ind w:firstLine="562" w:firstLineChars="200"/>
        <w:jc w:val="center"/>
        <w:rPr>
          <w:rFonts w:hint="eastAsia" w:ascii="宋体" w:hAnsi="宋体" w:eastAsia="宋体" w:cs="宋体"/>
          <w:b/>
          <w:bCs/>
          <w:sz w:val="28"/>
          <w:szCs w:val="28"/>
          <w:lang w:val="en-US" w:eastAsia="zh-CN"/>
        </w:rPr>
      </w:pPr>
    </w:p>
    <w:p>
      <w:pPr>
        <w:pStyle w:val="13"/>
        <w:spacing w:line="360" w:lineRule="auto"/>
        <w:ind w:firstLine="562" w:firstLineChars="200"/>
        <w:jc w:val="center"/>
        <w:rPr>
          <w:rFonts w:hint="eastAsia" w:ascii="宋体" w:hAnsi="宋体" w:eastAsia="宋体" w:cs="宋体"/>
          <w:b/>
          <w:bCs/>
          <w:sz w:val="28"/>
          <w:szCs w:val="28"/>
          <w:lang w:val="en-US" w:eastAsia="zh-CN"/>
        </w:rPr>
      </w:pPr>
    </w:p>
    <w:p>
      <w:pPr>
        <w:pStyle w:val="13"/>
        <w:spacing w:line="360" w:lineRule="auto"/>
        <w:ind w:firstLine="562" w:firstLineChars="200"/>
        <w:jc w:val="center"/>
        <w:rPr>
          <w:rFonts w:hint="eastAsia" w:ascii="宋体" w:hAnsi="宋体" w:eastAsia="宋体" w:cs="宋体"/>
          <w:b/>
          <w:bCs/>
          <w:sz w:val="28"/>
          <w:szCs w:val="28"/>
          <w:lang w:val="en-US" w:eastAsia="zh-CN"/>
        </w:rPr>
      </w:pPr>
    </w:p>
    <w:p>
      <w:pPr>
        <w:pStyle w:val="13"/>
        <w:spacing w:line="360" w:lineRule="auto"/>
        <w:ind w:firstLine="562" w:firstLineChars="200"/>
        <w:jc w:val="center"/>
        <w:rPr>
          <w:rFonts w:hint="eastAsia" w:ascii="宋体" w:hAnsi="宋体" w:eastAsia="宋体" w:cs="宋体"/>
          <w:b/>
          <w:bCs/>
          <w:sz w:val="28"/>
          <w:szCs w:val="28"/>
          <w:lang w:val="en-US" w:eastAsia="zh-CN"/>
        </w:rPr>
      </w:pPr>
    </w:p>
    <w:p>
      <w:pPr>
        <w:pStyle w:val="13"/>
        <w:spacing w:line="360" w:lineRule="auto"/>
        <w:ind w:firstLine="562" w:firstLineChars="200"/>
        <w:jc w:val="center"/>
        <w:rPr>
          <w:rFonts w:hint="eastAsia" w:ascii="宋体" w:hAnsi="宋体" w:eastAsia="宋体" w:cs="宋体"/>
          <w:b/>
          <w:bCs/>
          <w:sz w:val="28"/>
          <w:szCs w:val="28"/>
          <w:lang w:val="en-US" w:eastAsia="zh-CN"/>
        </w:rPr>
      </w:pPr>
    </w:p>
    <w:p>
      <w:pPr>
        <w:pStyle w:val="13"/>
        <w:spacing w:line="360" w:lineRule="auto"/>
        <w:ind w:firstLine="562" w:firstLineChars="200"/>
        <w:jc w:val="center"/>
        <w:rPr>
          <w:rFonts w:hint="eastAsia" w:ascii="宋体" w:hAnsi="宋体" w:eastAsia="宋体" w:cs="宋体"/>
          <w:b/>
          <w:bCs/>
          <w:sz w:val="28"/>
          <w:szCs w:val="28"/>
          <w:lang w:val="en-US" w:eastAsia="zh-CN"/>
        </w:rPr>
      </w:pPr>
    </w:p>
    <w:p>
      <w:pPr>
        <w:pStyle w:val="13"/>
        <w:spacing w:line="360" w:lineRule="auto"/>
        <w:ind w:firstLine="562" w:firstLineChars="200"/>
        <w:jc w:val="center"/>
        <w:rPr>
          <w:rFonts w:hint="eastAsia" w:ascii="宋体" w:hAnsi="宋体" w:eastAsia="宋体" w:cs="宋体"/>
          <w:b/>
          <w:bCs/>
          <w:sz w:val="28"/>
          <w:szCs w:val="28"/>
          <w:lang w:val="en-US" w:eastAsia="zh-CN"/>
        </w:rPr>
      </w:pPr>
    </w:p>
    <w:p>
      <w:pPr>
        <w:pStyle w:val="13"/>
        <w:spacing w:line="360" w:lineRule="auto"/>
        <w:ind w:firstLine="562" w:firstLineChars="200"/>
        <w:jc w:val="center"/>
        <w:rPr>
          <w:rFonts w:hint="eastAsia" w:ascii="宋体" w:hAnsi="宋体" w:eastAsia="宋体" w:cs="宋体"/>
          <w:sz w:val="24"/>
          <w:szCs w:val="24"/>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、磋商保证金</w:t>
      </w:r>
    </w:p>
    <w:p>
      <w:pPr>
        <w:pStyle w:val="8"/>
        <w:numPr>
          <w:ilvl w:val="0"/>
          <w:numId w:val="0"/>
        </w:numPr>
        <w:spacing w:before="0" w:after="0" w:line="360" w:lineRule="auto"/>
        <w:jc w:val="center"/>
        <w:rPr>
          <w:rFonts w:hint="eastAsia" w:ascii="宋体" w:hAnsi="宋体" w:eastAsia="宋体" w:cs="宋体"/>
        </w:rPr>
      </w:pPr>
      <w:r>
        <w:rPr>
          <w:rFonts w:hint="eastAsia" w:ascii="宋体" w:hAnsi="宋体" w:eastAsia="宋体" w:cs="宋体"/>
        </w:rPr>
        <w:t>保证金汇款声明函(适用银行转账)</w:t>
      </w:r>
    </w:p>
    <w:p>
      <w:pPr>
        <w:pStyle w:val="13"/>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我方为____________(项目名称)(项目编号：________)递交保证金人民币________元(大写人民币______元)已于______年____月____日以银行主动划账方式划入你方账户。</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详见附件：银行出具的汇款单或转账凭证复印件。</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退还保证金时请按以下内容划入我方账户。若因内容不全、错误、字迹潦草模糊导致该项目保证金未能及时退还或退还过程中发生错误，我方将承担全部责任和损失。</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单位全称：</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开户银行：</w:t>
      </w:r>
    </w:p>
    <w:p>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开户账号：</w:t>
      </w:r>
    </w:p>
    <w:p>
      <w:pPr>
        <w:pStyle w:val="13"/>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供应商(公章)：　　</w:t>
      </w:r>
      <w:r>
        <w:rPr>
          <w:rFonts w:hint="eastAsia" w:ascii="宋体" w:hAnsi="宋体" w:eastAsia="宋体" w:cs="宋体"/>
          <w:sz w:val="24"/>
          <w:szCs w:val="24"/>
        </w:rPr>
        <w:tab/>
      </w:r>
    </w:p>
    <w:p>
      <w:pPr>
        <w:pStyle w:val="13"/>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地址：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p>
      <w:pPr>
        <w:pStyle w:val="13"/>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项目联系人：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w:t>
      </w:r>
    </w:p>
    <w:p>
      <w:pPr>
        <w:pStyle w:val="13"/>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电话(手机)：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4" w:hRule="atLeast"/>
          <w:jc w:val="center"/>
        </w:trPr>
        <w:tc>
          <w:tcPr>
            <w:tcW w:w="5704" w:type="dxa"/>
            <w:tcBorders>
              <w:top w:val="single" w:color="auto" w:sz="4" w:space="0"/>
              <w:bottom w:val="single" w:color="auto" w:sz="4" w:space="0"/>
            </w:tcBorders>
            <w:noWrap w:val="0"/>
            <w:vAlign w:val="center"/>
          </w:tcPr>
          <w:p>
            <w:pPr>
              <w:pStyle w:val="13"/>
              <w:spacing w:line="360" w:lineRule="auto"/>
              <w:jc w:val="center"/>
              <w:rPr>
                <w:rFonts w:hint="eastAsia" w:ascii="宋体" w:hAnsi="宋体" w:eastAsia="宋体" w:cs="宋体"/>
                <w:sz w:val="24"/>
                <w:szCs w:val="24"/>
              </w:rPr>
            </w:pPr>
            <w:r>
              <w:rPr>
                <w:rFonts w:hint="eastAsia" w:ascii="宋体" w:hAnsi="宋体" w:eastAsia="宋体" w:cs="宋体"/>
                <w:sz w:val="24"/>
                <w:szCs w:val="24"/>
              </w:rPr>
              <w:t>汇款单或转账凭证复印件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4" w:hRule="atLeast"/>
          <w:jc w:val="center"/>
        </w:trPr>
        <w:tc>
          <w:tcPr>
            <w:tcW w:w="5704" w:type="dxa"/>
            <w:tcBorders>
              <w:top w:val="single" w:color="auto" w:sz="4" w:space="0"/>
              <w:bottom w:val="single" w:color="auto" w:sz="4" w:space="0"/>
            </w:tcBorders>
            <w:noWrap w:val="0"/>
            <w:vAlign w:val="center"/>
          </w:tcPr>
          <w:p>
            <w:pPr>
              <w:pStyle w:val="13"/>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开户行许可</w:t>
            </w:r>
            <w:r>
              <w:rPr>
                <w:rFonts w:hint="eastAsia" w:ascii="宋体" w:hAnsi="宋体" w:eastAsia="宋体" w:cs="宋体"/>
                <w:sz w:val="24"/>
                <w:szCs w:val="24"/>
              </w:rPr>
              <w:t>证复印件</w:t>
            </w:r>
          </w:p>
        </w:tc>
      </w:tr>
    </w:tbl>
    <w:p>
      <w:pPr>
        <w:spacing w:line="360" w:lineRule="auto"/>
        <w:ind w:firstLine="573"/>
        <w:jc w:val="center"/>
        <w:rPr>
          <w:rFonts w:hint="eastAsia" w:ascii="宋体" w:hAnsi="宋体" w:eastAsia="宋体" w:cs="宋体"/>
          <w:b/>
          <w:color w:val="auto"/>
          <w:sz w:val="28"/>
          <w:szCs w:val="28"/>
          <w:highlight w:val="none"/>
        </w:rPr>
      </w:pPr>
    </w:p>
    <w:p>
      <w:pPr>
        <w:tabs>
          <w:tab w:val="left" w:pos="360"/>
          <w:tab w:val="left" w:pos="1800"/>
        </w:tabs>
        <w:spacing w:line="480" w:lineRule="exact"/>
        <w:rPr>
          <w:rFonts w:hint="eastAsia" w:ascii="宋体" w:hAnsi="宋体" w:eastAsia="宋体" w:cs="宋体"/>
          <w:b/>
          <w:color w:val="auto"/>
          <w:sz w:val="28"/>
          <w:szCs w:val="28"/>
          <w:highlight w:val="none"/>
        </w:rPr>
      </w:pPr>
    </w:p>
    <w:p>
      <w:pPr>
        <w:tabs>
          <w:tab w:val="left" w:pos="360"/>
          <w:tab w:val="left" w:pos="1800"/>
        </w:tabs>
        <w:spacing w:line="480" w:lineRule="exact"/>
        <w:jc w:val="center"/>
        <w:rPr>
          <w:rFonts w:hint="eastAsia" w:ascii="宋体" w:hAnsi="宋体" w:eastAsia="宋体" w:cs="宋体"/>
          <w:b/>
          <w:color w:val="auto"/>
          <w:sz w:val="28"/>
          <w:szCs w:val="28"/>
          <w:highlight w:val="none"/>
          <w:lang w:val="en-US" w:eastAsia="zh-CN"/>
        </w:rPr>
      </w:pPr>
    </w:p>
    <w:p>
      <w:pPr>
        <w:spacing w:line="360" w:lineRule="auto"/>
        <w:jc w:val="center"/>
        <w:outlineLvl w:val="1"/>
        <w:rPr>
          <w:rFonts w:hint="eastAsia" w:ascii="宋体" w:hAnsi="宋体" w:eastAsia="宋体" w:cs="宋体"/>
          <w:b/>
          <w:sz w:val="32"/>
          <w:szCs w:val="32"/>
          <w:lang w:eastAsia="zh-CN"/>
        </w:rPr>
      </w:pPr>
      <w:bookmarkStart w:id="384" w:name="_Toc13906"/>
      <w:bookmarkStart w:id="385" w:name="_Toc262"/>
      <w:r>
        <w:rPr>
          <w:rFonts w:hint="eastAsia" w:ascii="宋体" w:hAnsi="宋体" w:cs="宋体"/>
          <w:b/>
          <w:sz w:val="32"/>
          <w:szCs w:val="32"/>
          <w:lang w:val="en-US" w:eastAsia="zh-CN"/>
        </w:rPr>
        <w:t>八</w:t>
      </w:r>
      <w:r>
        <w:rPr>
          <w:rFonts w:hint="eastAsia" w:ascii="宋体" w:hAnsi="宋体" w:eastAsia="宋体" w:cs="宋体"/>
          <w:b/>
          <w:sz w:val="32"/>
          <w:szCs w:val="32"/>
        </w:rPr>
        <w:t>、</w:t>
      </w:r>
      <w:r>
        <w:rPr>
          <w:rFonts w:hint="eastAsia" w:ascii="宋体" w:hAnsi="宋体" w:cs="宋体"/>
          <w:b/>
          <w:sz w:val="32"/>
          <w:szCs w:val="32"/>
          <w:lang w:val="en-US" w:eastAsia="zh-CN"/>
        </w:rPr>
        <w:t>近三年（2018年1月-至今）</w:t>
      </w:r>
      <w:r>
        <w:rPr>
          <w:rFonts w:hint="eastAsia" w:ascii="宋体" w:hAnsi="宋体" w:eastAsia="宋体" w:cs="宋体"/>
          <w:b/>
          <w:sz w:val="32"/>
          <w:szCs w:val="32"/>
          <w:lang w:eastAsia="zh-CN"/>
        </w:rPr>
        <w:t>类似业绩</w:t>
      </w:r>
      <w:bookmarkEnd w:id="384"/>
      <w:bookmarkEnd w:id="385"/>
    </w:p>
    <w:p>
      <w:pPr>
        <w:spacing w:line="360" w:lineRule="auto"/>
        <w:jc w:val="center"/>
        <w:rPr>
          <w:rFonts w:hint="eastAsia" w:ascii="宋体" w:hAnsi="宋体" w:eastAsia="宋体" w:cs="宋体"/>
        </w:rPr>
      </w:pPr>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3547"/>
        <w:gridCol w:w="2031"/>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090" w:type="dxa"/>
            <w:shd w:val="clear" w:color="auto" w:fill="E6E6E6"/>
          </w:tcPr>
          <w:p>
            <w:pPr>
              <w:pStyle w:val="47"/>
              <w:spacing w:line="440" w:lineRule="exact"/>
              <w:jc w:val="center"/>
              <w:rPr>
                <w:rFonts w:ascii="宋体" w:hAnsi="宋体"/>
                <w:color w:val="auto"/>
                <w:szCs w:val="21"/>
              </w:rPr>
            </w:pPr>
            <w:r>
              <w:rPr>
                <w:rFonts w:hint="eastAsia" w:ascii="宋体" w:hAnsi="宋体"/>
                <w:color w:val="auto"/>
                <w:szCs w:val="21"/>
              </w:rPr>
              <w:t>地　区</w:t>
            </w:r>
          </w:p>
        </w:tc>
        <w:tc>
          <w:tcPr>
            <w:tcW w:w="3547" w:type="dxa"/>
            <w:shd w:val="clear" w:color="auto" w:fill="E6E6E6"/>
          </w:tcPr>
          <w:p>
            <w:pPr>
              <w:pStyle w:val="47"/>
              <w:spacing w:line="440" w:lineRule="exact"/>
              <w:ind w:right="-107" w:rightChars="-51"/>
              <w:jc w:val="center"/>
              <w:rPr>
                <w:rFonts w:ascii="宋体" w:hAnsi="宋体"/>
                <w:color w:val="auto"/>
                <w:szCs w:val="21"/>
              </w:rPr>
            </w:pPr>
            <w:r>
              <w:rPr>
                <w:rFonts w:hint="eastAsia" w:ascii="宋体" w:hAnsi="宋体"/>
                <w:color w:val="auto"/>
                <w:szCs w:val="21"/>
              </w:rPr>
              <w:t>项目名称</w:t>
            </w:r>
          </w:p>
        </w:tc>
        <w:tc>
          <w:tcPr>
            <w:tcW w:w="2031" w:type="dxa"/>
            <w:shd w:val="clear" w:color="auto" w:fill="E6E6E6"/>
          </w:tcPr>
          <w:p>
            <w:pPr>
              <w:pStyle w:val="47"/>
              <w:spacing w:line="440" w:lineRule="exact"/>
              <w:ind w:firstLine="360" w:firstLineChars="150"/>
              <w:rPr>
                <w:rFonts w:ascii="宋体" w:hAnsi="宋体"/>
                <w:color w:val="auto"/>
                <w:szCs w:val="21"/>
              </w:rPr>
            </w:pPr>
            <w:r>
              <w:rPr>
                <w:rFonts w:hint="eastAsia" w:ascii="宋体" w:hAnsi="宋体"/>
                <w:color w:val="auto"/>
                <w:szCs w:val="21"/>
              </w:rPr>
              <w:t>金　额</w:t>
            </w:r>
          </w:p>
        </w:tc>
        <w:tc>
          <w:tcPr>
            <w:tcW w:w="1620" w:type="dxa"/>
            <w:shd w:val="clear" w:color="auto" w:fill="E6E6E6"/>
          </w:tcPr>
          <w:p>
            <w:pPr>
              <w:pStyle w:val="47"/>
              <w:spacing w:line="440" w:lineRule="exact"/>
              <w:jc w:val="center"/>
              <w:rPr>
                <w:rFonts w:ascii="宋体" w:hAnsi="宋体"/>
                <w:color w:val="auto"/>
                <w:szCs w:val="21"/>
              </w:rPr>
            </w:pPr>
            <w:r>
              <w:rPr>
                <w:rFonts w:hint="eastAsia" w:ascii="宋体" w:hAnsi="宋体"/>
                <w:color w:val="auto"/>
                <w:szCs w:val="21"/>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90" w:type="dxa"/>
          </w:tcPr>
          <w:p>
            <w:pPr>
              <w:spacing w:line="440" w:lineRule="exact"/>
              <w:rPr>
                <w:rFonts w:ascii="宋体" w:hAnsi="宋体"/>
                <w:sz w:val="24"/>
                <w:szCs w:val="21"/>
              </w:rPr>
            </w:pPr>
          </w:p>
        </w:tc>
        <w:tc>
          <w:tcPr>
            <w:tcW w:w="3547" w:type="dxa"/>
          </w:tcPr>
          <w:p>
            <w:pPr>
              <w:spacing w:line="440" w:lineRule="exact"/>
              <w:rPr>
                <w:rFonts w:ascii="宋体" w:hAnsi="宋体"/>
                <w:sz w:val="24"/>
                <w:szCs w:val="21"/>
              </w:rPr>
            </w:pPr>
          </w:p>
        </w:tc>
        <w:tc>
          <w:tcPr>
            <w:tcW w:w="2031" w:type="dxa"/>
          </w:tcPr>
          <w:p>
            <w:pPr>
              <w:spacing w:line="440" w:lineRule="exact"/>
              <w:rPr>
                <w:rFonts w:ascii="宋体" w:hAnsi="宋体"/>
                <w:sz w:val="24"/>
                <w:szCs w:val="21"/>
              </w:rPr>
            </w:pPr>
          </w:p>
        </w:tc>
        <w:tc>
          <w:tcPr>
            <w:tcW w:w="1620" w:type="dxa"/>
          </w:tcPr>
          <w:p>
            <w:pPr>
              <w:spacing w:line="440" w:lineRule="exact"/>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90" w:type="dxa"/>
          </w:tcPr>
          <w:p>
            <w:pPr>
              <w:spacing w:line="440" w:lineRule="exact"/>
              <w:rPr>
                <w:rFonts w:ascii="宋体" w:hAnsi="宋体"/>
                <w:sz w:val="24"/>
                <w:szCs w:val="21"/>
              </w:rPr>
            </w:pPr>
          </w:p>
        </w:tc>
        <w:tc>
          <w:tcPr>
            <w:tcW w:w="3547" w:type="dxa"/>
          </w:tcPr>
          <w:p>
            <w:pPr>
              <w:spacing w:line="440" w:lineRule="exact"/>
              <w:rPr>
                <w:rFonts w:ascii="宋体" w:hAnsi="宋体"/>
                <w:sz w:val="24"/>
                <w:szCs w:val="21"/>
              </w:rPr>
            </w:pPr>
          </w:p>
        </w:tc>
        <w:tc>
          <w:tcPr>
            <w:tcW w:w="2031" w:type="dxa"/>
          </w:tcPr>
          <w:p>
            <w:pPr>
              <w:spacing w:line="440" w:lineRule="exact"/>
              <w:rPr>
                <w:rFonts w:ascii="宋体" w:hAnsi="宋体"/>
                <w:sz w:val="24"/>
                <w:szCs w:val="21"/>
              </w:rPr>
            </w:pPr>
          </w:p>
        </w:tc>
        <w:tc>
          <w:tcPr>
            <w:tcW w:w="1620" w:type="dxa"/>
          </w:tcPr>
          <w:p>
            <w:pPr>
              <w:spacing w:line="440" w:lineRule="exact"/>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090" w:type="dxa"/>
          </w:tcPr>
          <w:p>
            <w:pPr>
              <w:spacing w:line="440" w:lineRule="exact"/>
              <w:rPr>
                <w:rFonts w:ascii="宋体" w:hAnsi="宋体"/>
                <w:sz w:val="24"/>
                <w:szCs w:val="21"/>
              </w:rPr>
            </w:pPr>
          </w:p>
        </w:tc>
        <w:tc>
          <w:tcPr>
            <w:tcW w:w="3547" w:type="dxa"/>
          </w:tcPr>
          <w:p>
            <w:pPr>
              <w:spacing w:line="440" w:lineRule="exact"/>
              <w:rPr>
                <w:rFonts w:ascii="宋体" w:hAnsi="宋体"/>
                <w:sz w:val="24"/>
                <w:szCs w:val="21"/>
              </w:rPr>
            </w:pPr>
          </w:p>
        </w:tc>
        <w:tc>
          <w:tcPr>
            <w:tcW w:w="2031" w:type="dxa"/>
          </w:tcPr>
          <w:p>
            <w:pPr>
              <w:spacing w:line="440" w:lineRule="exact"/>
              <w:rPr>
                <w:rFonts w:ascii="宋体" w:hAnsi="宋体"/>
                <w:sz w:val="24"/>
                <w:szCs w:val="21"/>
              </w:rPr>
            </w:pPr>
          </w:p>
        </w:tc>
        <w:tc>
          <w:tcPr>
            <w:tcW w:w="1620" w:type="dxa"/>
          </w:tcPr>
          <w:p>
            <w:pPr>
              <w:spacing w:line="440" w:lineRule="exact"/>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090" w:type="dxa"/>
          </w:tcPr>
          <w:p>
            <w:pPr>
              <w:spacing w:line="440" w:lineRule="exact"/>
              <w:rPr>
                <w:rFonts w:ascii="宋体" w:hAnsi="宋体"/>
                <w:sz w:val="24"/>
                <w:szCs w:val="21"/>
              </w:rPr>
            </w:pPr>
          </w:p>
        </w:tc>
        <w:tc>
          <w:tcPr>
            <w:tcW w:w="3547" w:type="dxa"/>
          </w:tcPr>
          <w:p>
            <w:pPr>
              <w:spacing w:line="440" w:lineRule="exact"/>
              <w:rPr>
                <w:rFonts w:ascii="宋体" w:hAnsi="宋体"/>
                <w:sz w:val="24"/>
                <w:szCs w:val="21"/>
              </w:rPr>
            </w:pPr>
          </w:p>
        </w:tc>
        <w:tc>
          <w:tcPr>
            <w:tcW w:w="2031" w:type="dxa"/>
          </w:tcPr>
          <w:p>
            <w:pPr>
              <w:spacing w:line="440" w:lineRule="exact"/>
              <w:rPr>
                <w:rFonts w:ascii="宋体" w:hAnsi="宋体"/>
                <w:sz w:val="24"/>
                <w:szCs w:val="21"/>
              </w:rPr>
            </w:pPr>
          </w:p>
        </w:tc>
        <w:tc>
          <w:tcPr>
            <w:tcW w:w="1620" w:type="dxa"/>
          </w:tcPr>
          <w:p>
            <w:pPr>
              <w:spacing w:line="440" w:lineRule="exact"/>
              <w:rPr>
                <w:rFonts w:ascii="宋体" w:hAnsi="宋体"/>
                <w:sz w:val="24"/>
                <w:szCs w:val="21"/>
              </w:rPr>
            </w:pPr>
          </w:p>
        </w:tc>
      </w:tr>
    </w:tbl>
    <w:p>
      <w:pPr>
        <w:spacing w:line="360" w:lineRule="auto"/>
        <w:ind w:firstLine="240" w:firstLineChars="100"/>
        <w:rPr>
          <w:rFonts w:hint="eastAsia" w:ascii="宋体" w:hAnsi="宋体" w:eastAsia="宋体" w:cs="宋体"/>
          <w:sz w:val="24"/>
        </w:rPr>
      </w:pPr>
      <w:r>
        <w:rPr>
          <w:rFonts w:hint="eastAsia" w:ascii="宋体" w:hAnsi="宋体" w:eastAsia="宋体" w:cs="宋体"/>
          <w:sz w:val="24"/>
        </w:rPr>
        <w:t>注：后附相关证明材料</w:t>
      </w:r>
    </w:p>
    <w:p>
      <w:pPr>
        <w:spacing w:line="360" w:lineRule="auto"/>
        <w:rPr>
          <w:rFonts w:hint="eastAsia" w:ascii="宋体" w:hAnsi="宋体" w:eastAsia="宋体" w:cs="宋体"/>
          <w:b/>
          <w:sz w:val="28"/>
        </w:rPr>
      </w:pPr>
    </w:p>
    <w:p>
      <w:pPr>
        <w:spacing w:line="360" w:lineRule="auto"/>
        <w:rPr>
          <w:rFonts w:hint="eastAsia" w:ascii="宋体" w:hAnsi="宋体" w:eastAsia="宋体" w:cs="宋体"/>
          <w:b/>
          <w:sz w:val="28"/>
        </w:rPr>
      </w:pPr>
    </w:p>
    <w:p>
      <w:pPr>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磋商供应商名称（公章）：</w:t>
      </w:r>
      <w:r>
        <w:rPr>
          <w:rFonts w:hint="eastAsia" w:ascii="宋体" w:hAnsi="宋体" w:eastAsia="宋体" w:cs="宋体"/>
          <w:color w:val="000000"/>
          <w:sz w:val="24"/>
          <w:u w:val="single"/>
        </w:rPr>
        <w:t xml:space="preserve">                                  </w:t>
      </w:r>
    </w:p>
    <w:p>
      <w:pPr>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法定代表人或授权代表人（签字）：</w:t>
      </w:r>
      <w:r>
        <w:rPr>
          <w:rFonts w:hint="eastAsia" w:ascii="宋体" w:hAnsi="宋体" w:eastAsia="宋体" w:cs="宋体"/>
          <w:color w:val="000000"/>
          <w:sz w:val="24"/>
          <w:u w:val="single"/>
        </w:rPr>
        <w:t xml:space="preserve">                      </w:t>
      </w:r>
    </w:p>
    <w:p>
      <w:pPr>
        <w:spacing w:line="360" w:lineRule="auto"/>
        <w:rPr>
          <w:rFonts w:hint="eastAsia" w:ascii="宋体" w:hAnsi="宋体" w:eastAsia="宋体" w:cs="宋体"/>
          <w:color w:val="000000"/>
          <w:sz w:val="24"/>
          <w:u w:val="single"/>
        </w:rPr>
      </w:pPr>
      <w:r>
        <w:rPr>
          <w:rFonts w:hint="eastAsia" w:ascii="宋体" w:hAnsi="宋体" w:eastAsia="宋体" w:cs="宋体"/>
          <w:bCs/>
          <w:color w:val="000000"/>
          <w:sz w:val="24"/>
        </w:rPr>
        <w:t>日期：</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日</w:t>
      </w:r>
    </w:p>
    <w:p>
      <w:pPr>
        <w:spacing w:line="360" w:lineRule="auto"/>
        <w:jc w:val="center"/>
        <w:outlineLvl w:val="1"/>
        <w:rPr>
          <w:rFonts w:hint="eastAsia" w:ascii="宋体" w:hAnsi="宋体" w:cs="宋体"/>
          <w:b/>
          <w:sz w:val="32"/>
          <w:szCs w:val="32"/>
          <w:lang w:val="en-US" w:eastAsia="zh-CN"/>
        </w:rPr>
      </w:pPr>
    </w:p>
    <w:p>
      <w:pPr>
        <w:spacing w:line="360" w:lineRule="auto"/>
        <w:jc w:val="center"/>
        <w:outlineLvl w:val="1"/>
        <w:rPr>
          <w:rFonts w:hint="eastAsia" w:ascii="宋体" w:hAnsi="宋体" w:cs="宋体"/>
          <w:b/>
          <w:sz w:val="32"/>
          <w:szCs w:val="32"/>
          <w:lang w:val="en-US" w:eastAsia="zh-CN"/>
        </w:rPr>
      </w:pPr>
    </w:p>
    <w:p>
      <w:pPr>
        <w:spacing w:line="360" w:lineRule="auto"/>
        <w:jc w:val="center"/>
        <w:outlineLvl w:val="1"/>
        <w:rPr>
          <w:rFonts w:hint="eastAsia" w:ascii="宋体" w:hAnsi="宋体" w:cs="宋体"/>
          <w:b/>
          <w:sz w:val="32"/>
          <w:szCs w:val="32"/>
          <w:lang w:val="en-US" w:eastAsia="zh-CN"/>
        </w:rPr>
      </w:pPr>
    </w:p>
    <w:p>
      <w:pPr>
        <w:spacing w:line="360" w:lineRule="auto"/>
        <w:jc w:val="center"/>
        <w:outlineLvl w:val="1"/>
        <w:rPr>
          <w:rFonts w:hint="eastAsia" w:ascii="宋体" w:hAnsi="宋体" w:cs="宋体"/>
          <w:b/>
          <w:sz w:val="32"/>
          <w:szCs w:val="32"/>
          <w:lang w:val="en-US" w:eastAsia="zh-CN"/>
        </w:rPr>
      </w:pPr>
      <w:r>
        <w:rPr>
          <w:rFonts w:hint="eastAsia" w:ascii="宋体" w:hAnsi="宋体" w:cs="宋体"/>
          <w:b/>
          <w:sz w:val="32"/>
          <w:szCs w:val="32"/>
          <w:lang w:val="en-US" w:eastAsia="zh-CN"/>
        </w:rPr>
        <w:t>九、供应商的资格证明材料</w:t>
      </w:r>
    </w:p>
    <w:p>
      <w:pPr>
        <w:rPr>
          <w:rFonts w:hint="eastAsia" w:ascii="宋体" w:hAnsi="宋体" w:eastAsia="宋体" w:cs="宋体"/>
          <w:lang w:val="en-US" w:eastAsia="zh-CN"/>
        </w:rPr>
      </w:pPr>
    </w:p>
    <w:p>
      <w:pPr>
        <w:pStyle w:val="5"/>
        <w:rPr>
          <w:rFonts w:hint="eastAsia" w:ascii="宋体" w:hAnsi="宋体" w:eastAsia="宋体" w:cs="宋体"/>
          <w:lang w:val="en-US" w:eastAsia="zh-CN"/>
        </w:rPr>
      </w:pPr>
    </w:p>
    <w:p>
      <w:pPr>
        <w:rPr>
          <w:rFonts w:hint="eastAsia" w:ascii="宋体" w:hAnsi="宋体" w:eastAsia="宋体" w:cs="宋体"/>
          <w:lang w:val="en-US" w:eastAsia="zh-CN"/>
        </w:rPr>
      </w:pPr>
    </w:p>
    <w:p>
      <w:pPr>
        <w:pStyle w:val="5"/>
        <w:rPr>
          <w:rFonts w:hint="eastAsia" w:ascii="宋体" w:hAnsi="宋体" w:eastAsia="宋体" w:cs="宋体"/>
          <w:lang w:val="en-US" w:eastAsia="zh-CN"/>
        </w:rPr>
      </w:pPr>
    </w:p>
    <w:p>
      <w:pPr>
        <w:spacing w:line="360" w:lineRule="auto"/>
        <w:jc w:val="center"/>
        <w:outlineLvl w:val="1"/>
        <w:rPr>
          <w:rFonts w:hint="eastAsia" w:ascii="宋体" w:hAnsi="宋体" w:cs="宋体"/>
          <w:b/>
          <w:sz w:val="32"/>
          <w:szCs w:val="32"/>
          <w:lang w:val="en-US" w:eastAsia="zh-CN"/>
        </w:rPr>
      </w:pPr>
      <w:r>
        <w:rPr>
          <w:rFonts w:hint="eastAsia" w:ascii="宋体" w:hAnsi="宋体" w:cs="宋体"/>
          <w:b/>
          <w:sz w:val="32"/>
          <w:szCs w:val="32"/>
          <w:lang w:val="en-US" w:eastAsia="zh-CN"/>
        </w:rPr>
        <w:t>十、供应商认为需提供的其他资料</w:t>
      </w:r>
    </w:p>
    <w:p>
      <w:pPr>
        <w:rPr>
          <w:rFonts w:hint="eastAsia" w:ascii="宋体" w:hAnsi="宋体" w:eastAsia="宋体" w:cs="宋体"/>
          <w:lang w:val="en-US" w:eastAsia="zh-CN"/>
        </w:rPr>
      </w:pPr>
    </w:p>
    <w:p>
      <w:pPr>
        <w:pStyle w:val="5"/>
        <w:rPr>
          <w:rFonts w:hint="eastAsia" w:ascii="宋体" w:hAnsi="宋体" w:eastAsia="宋体" w:cs="宋体"/>
          <w:lang w:val="en-US" w:eastAsia="zh-CN"/>
        </w:rPr>
      </w:pPr>
    </w:p>
    <w:p>
      <w:pPr>
        <w:rPr>
          <w:rFonts w:hint="eastAsia" w:ascii="宋体" w:hAnsi="宋体" w:eastAsia="宋体" w:cs="宋体"/>
          <w:lang w:val="en-US" w:eastAsia="zh-CN"/>
        </w:rPr>
      </w:pPr>
    </w:p>
    <w:p>
      <w:pPr>
        <w:pStyle w:val="5"/>
        <w:rPr>
          <w:rFonts w:hint="eastAsia" w:ascii="宋体" w:hAnsi="宋体" w:eastAsia="宋体" w:cs="宋体"/>
          <w:lang w:val="en-US" w:eastAsia="zh-CN"/>
        </w:rPr>
      </w:pPr>
    </w:p>
    <w:p>
      <w:pPr>
        <w:rPr>
          <w:rFonts w:hint="eastAsia" w:ascii="宋体" w:hAnsi="宋体" w:eastAsia="宋体" w:cs="宋体"/>
          <w:lang w:val="en-US" w:eastAsia="zh-CN"/>
        </w:rPr>
      </w:pPr>
    </w:p>
    <w:p>
      <w:pPr>
        <w:pStyle w:val="13"/>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sz w:val="28"/>
          <w:szCs w:val="28"/>
          <w:lang w:val="en-US" w:eastAsia="zh-CN"/>
        </w:rPr>
        <w:t>第二部分</w:t>
      </w:r>
      <w:r>
        <w:rPr>
          <w:rFonts w:hint="eastAsia" w:ascii="宋体" w:hAnsi="宋体" w:eastAsia="宋体" w:cs="宋体"/>
          <w:sz w:val="28"/>
          <w:szCs w:val="28"/>
        </w:rPr>
        <w:t>　技术部分</w:t>
      </w:r>
    </w:p>
    <w:p>
      <w:pPr>
        <w:pStyle w:val="13"/>
        <w:spacing w:line="360" w:lineRule="auto"/>
        <w:rPr>
          <w:rFonts w:hint="eastAsia" w:ascii="宋体" w:hAnsi="宋体" w:eastAsia="宋体" w:cs="宋体"/>
          <w:sz w:val="24"/>
          <w:szCs w:val="24"/>
        </w:rPr>
      </w:pPr>
      <w:r>
        <w:rPr>
          <w:rFonts w:hint="eastAsia" w:ascii="宋体" w:hAnsi="宋体" w:eastAsia="宋体" w:cs="宋体"/>
          <w:sz w:val="24"/>
          <w:szCs w:val="24"/>
        </w:rPr>
        <w:t>包括但不限于：</w:t>
      </w:r>
    </w:p>
    <w:p>
      <w:pPr>
        <w:pStyle w:val="13"/>
        <w:numPr>
          <w:ilvl w:val="0"/>
          <w:numId w:val="3"/>
        </w:numPr>
        <w:spacing w:line="440" w:lineRule="exact"/>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技术方案</w:t>
      </w:r>
    </w:p>
    <w:p>
      <w:pPr>
        <w:pStyle w:val="13"/>
        <w:numPr>
          <w:ilvl w:val="0"/>
          <w:numId w:val="3"/>
        </w:numPr>
        <w:spacing w:line="440" w:lineRule="exact"/>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人员配置</w:t>
      </w:r>
    </w:p>
    <w:p>
      <w:pPr>
        <w:pStyle w:val="13"/>
        <w:numPr>
          <w:ilvl w:val="0"/>
          <w:numId w:val="3"/>
        </w:numPr>
        <w:spacing w:line="440" w:lineRule="exact"/>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应急处理措施</w:t>
      </w:r>
    </w:p>
    <w:p>
      <w:pPr>
        <w:pStyle w:val="13"/>
        <w:numPr>
          <w:ilvl w:val="0"/>
          <w:numId w:val="3"/>
        </w:numPr>
        <w:spacing w:line="440" w:lineRule="exact"/>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服务方案</w:t>
      </w:r>
    </w:p>
    <w:p>
      <w:pPr>
        <w:pStyle w:val="13"/>
        <w:numPr>
          <w:ilvl w:val="0"/>
          <w:numId w:val="3"/>
        </w:numPr>
        <w:spacing w:line="440" w:lineRule="exact"/>
        <w:ind w:left="0" w:leftChars="0"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服务质量保证措施</w:t>
      </w:r>
      <w:r>
        <w:rPr>
          <w:rFonts w:hint="eastAsia" w:ascii="宋体" w:hAnsi="宋体" w:eastAsia="宋体" w:cs="宋体"/>
          <w:color w:val="auto"/>
          <w:sz w:val="28"/>
          <w:szCs w:val="28"/>
          <w:lang w:val="en-US" w:eastAsia="zh-CN"/>
        </w:rPr>
        <w:t>及承诺</w:t>
      </w:r>
    </w:p>
    <w:p>
      <w:pPr>
        <w:pStyle w:val="13"/>
        <w:numPr>
          <w:ilvl w:val="0"/>
          <w:numId w:val="3"/>
        </w:numPr>
        <w:spacing w:line="440" w:lineRule="exact"/>
        <w:ind w:left="0" w:leftChars="0"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服务承诺；</w:t>
      </w:r>
    </w:p>
    <w:p>
      <w:pPr>
        <w:pStyle w:val="13"/>
        <w:numPr>
          <w:ilvl w:val="0"/>
          <w:numId w:val="3"/>
        </w:numPr>
        <w:spacing w:line="440" w:lineRule="exact"/>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其他。</w:t>
      </w:r>
    </w:p>
    <w:p>
      <w:pPr>
        <w:pStyle w:val="13"/>
        <w:spacing w:line="440" w:lineRule="exact"/>
        <w:ind w:firstLine="560" w:firstLineChars="200"/>
        <w:rPr>
          <w:rFonts w:hint="eastAsia" w:ascii="宋体" w:hAnsi="宋体" w:eastAsia="宋体" w:cs="宋体"/>
          <w:color w:val="auto"/>
          <w:sz w:val="28"/>
          <w:szCs w:val="28"/>
        </w:rPr>
      </w:pPr>
    </w:p>
    <w:p>
      <w:pPr>
        <w:pStyle w:val="13"/>
        <w:spacing w:line="440" w:lineRule="exact"/>
        <w:ind w:firstLine="560" w:firstLineChars="200"/>
        <w:rPr>
          <w:rFonts w:hint="eastAsia" w:ascii="宋体" w:hAnsi="宋体" w:eastAsia="宋体" w:cs="宋体"/>
          <w:color w:val="auto"/>
          <w:sz w:val="28"/>
          <w:szCs w:val="28"/>
        </w:rPr>
      </w:pPr>
    </w:p>
    <w:p>
      <w:pPr>
        <w:pStyle w:val="13"/>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注：各投标人应根据项目的要求及评分内容有针对性地描述该部分内容。</w:t>
      </w:r>
    </w:p>
    <w:p>
      <w:pPr>
        <w:pStyle w:val="13"/>
        <w:spacing w:line="440" w:lineRule="exact"/>
        <w:ind w:firstLine="560" w:firstLineChars="200"/>
        <w:rPr>
          <w:rFonts w:hint="eastAsia" w:ascii="宋体" w:hAnsi="宋体" w:eastAsia="宋体" w:cs="宋体"/>
          <w:color w:val="auto"/>
          <w:sz w:val="28"/>
          <w:szCs w:val="28"/>
        </w:rPr>
      </w:pPr>
    </w:p>
    <w:p>
      <w:pPr>
        <w:pStyle w:val="13"/>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pPr>
        <w:numPr>
          <w:ilvl w:val="0"/>
          <w:numId w:val="0"/>
        </w:num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第六章</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评标标准（综合评估法）</w: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一、初审</w: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1、资格性审查</w:t>
      </w:r>
    </w:p>
    <w:tbl>
      <w:tblPr>
        <w:tblStyle w:val="23"/>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5758"/>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705" w:type="dxa"/>
            <w:noWrap w:val="0"/>
            <w:vAlign w:val="center"/>
          </w:tcPr>
          <w:p>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5758" w:type="dxa"/>
            <w:noWrap w:val="0"/>
            <w:vAlign w:val="center"/>
          </w:tcPr>
          <w:p>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w:t>
            </w:r>
          </w:p>
        </w:tc>
        <w:tc>
          <w:tcPr>
            <w:tcW w:w="2995" w:type="dxa"/>
            <w:noWrap w:val="0"/>
            <w:vAlign w:val="center"/>
          </w:tcPr>
          <w:p>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705" w:type="dxa"/>
            <w:noWrap w:val="0"/>
            <w:vAlign w:val="center"/>
          </w:tcPr>
          <w:p>
            <w:pPr>
              <w:spacing w:line="288"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5758" w:type="dxa"/>
            <w:noWrap w:val="0"/>
            <w:vAlign w:val="center"/>
          </w:tcPr>
          <w:p>
            <w:pPr>
              <w:spacing w:line="288"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供应商须符合《中华人民共和国政府采购法》第二十二条</w:t>
            </w:r>
          </w:p>
        </w:tc>
        <w:tc>
          <w:tcPr>
            <w:tcW w:w="2995" w:type="dxa"/>
            <w:noWrap w:val="0"/>
            <w:vAlign w:val="center"/>
          </w:tcPr>
          <w:p>
            <w:pPr>
              <w:spacing w:line="288"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符合本竞争性磋商文件规定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trPr>
        <w:tc>
          <w:tcPr>
            <w:tcW w:w="705" w:type="dxa"/>
            <w:noWrap w:val="0"/>
            <w:vAlign w:val="center"/>
          </w:tcPr>
          <w:p>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5758" w:type="dxa"/>
            <w:noWrap w:val="0"/>
            <w:vAlign w:val="center"/>
          </w:tcPr>
          <w:p>
            <w:pPr>
              <w:spacing w:line="288"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在中华人民共和国境内注册，具有独立法人资格并依法取得企业营业执照且营业执照在有效期内</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经营范围具有与本项目相关的采购内容</w:t>
            </w:r>
            <w:r>
              <w:rPr>
                <w:rFonts w:hint="eastAsia" w:ascii="宋体" w:hAnsi="宋体" w:eastAsia="宋体" w:cs="宋体"/>
                <w:color w:val="auto"/>
                <w:szCs w:val="21"/>
                <w:highlight w:val="none"/>
                <w:lang w:val="zh-CN" w:eastAsia="zh-CN"/>
              </w:rPr>
              <w:t>）</w:t>
            </w:r>
          </w:p>
        </w:tc>
        <w:tc>
          <w:tcPr>
            <w:tcW w:w="2995" w:type="dxa"/>
            <w:noWrap w:val="0"/>
            <w:vAlign w:val="center"/>
          </w:tcPr>
          <w:p>
            <w:pPr>
              <w:spacing w:line="288"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符合本竞争性磋商文件规定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705" w:type="dxa"/>
            <w:noWrap w:val="0"/>
            <w:vAlign w:val="center"/>
          </w:tcPr>
          <w:p>
            <w:pPr>
              <w:spacing w:line="288"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5758" w:type="dxa"/>
            <w:noWrap w:val="0"/>
            <w:vAlign w:val="center"/>
          </w:tcPr>
          <w:p>
            <w:pPr>
              <w:spacing w:line="288"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eastAsia="zh-CN"/>
              </w:rPr>
              <w:t>符合《公安机关实施保安服务管理条例办法》的规定，在所在地的公安机关有备案，并具有有效的公安机关核发《保安服务许可证》</w:t>
            </w:r>
          </w:p>
        </w:tc>
        <w:tc>
          <w:tcPr>
            <w:tcW w:w="2995" w:type="dxa"/>
            <w:noWrap w:val="0"/>
            <w:vAlign w:val="center"/>
          </w:tcPr>
          <w:p>
            <w:pPr>
              <w:spacing w:line="288"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符合本竞争性磋商文件规定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705" w:type="dxa"/>
            <w:noWrap w:val="0"/>
            <w:vAlign w:val="center"/>
          </w:tcPr>
          <w:p>
            <w:pPr>
              <w:spacing w:line="288"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4</w:t>
            </w:r>
          </w:p>
        </w:tc>
        <w:tc>
          <w:tcPr>
            <w:tcW w:w="5758" w:type="dxa"/>
            <w:noWrap w:val="0"/>
            <w:vAlign w:val="center"/>
          </w:tcPr>
          <w:p>
            <w:pPr>
              <w:spacing w:line="288"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lang w:val="zh-CN"/>
              </w:rPr>
              <w:t>联合体</w:t>
            </w:r>
          </w:p>
        </w:tc>
        <w:tc>
          <w:tcPr>
            <w:tcW w:w="2995" w:type="dxa"/>
            <w:noWrap w:val="0"/>
            <w:vAlign w:val="center"/>
          </w:tcPr>
          <w:p>
            <w:pPr>
              <w:spacing w:line="288"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lang w:val="zh-CN"/>
              </w:rPr>
              <w:t>不接受联合体供应商</w:t>
            </w:r>
          </w:p>
        </w:tc>
      </w:tr>
    </w:tbl>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2、符合性审查</w:t>
      </w:r>
    </w:p>
    <w:tbl>
      <w:tblPr>
        <w:tblStyle w:val="23"/>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048"/>
        <w:gridCol w:w="1935"/>
        <w:gridCol w:w="5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14" w:type="dxa"/>
            <w:noWrap w:val="0"/>
            <w:vAlign w:val="center"/>
          </w:tcPr>
          <w:p>
            <w:pPr>
              <w:spacing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983" w:type="dxa"/>
            <w:gridSpan w:val="2"/>
            <w:noWrap w:val="0"/>
            <w:vAlign w:val="center"/>
          </w:tcPr>
          <w:p>
            <w:pPr>
              <w:spacing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评审因素</w:t>
            </w:r>
          </w:p>
        </w:tc>
        <w:tc>
          <w:tcPr>
            <w:tcW w:w="5742" w:type="dxa"/>
            <w:noWrap w:val="0"/>
            <w:vAlign w:val="center"/>
          </w:tcPr>
          <w:p>
            <w:pPr>
              <w:spacing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14" w:type="dxa"/>
            <w:vMerge w:val="restart"/>
            <w:noWrap w:val="0"/>
            <w:vAlign w:val="center"/>
          </w:tcPr>
          <w:p>
            <w:pPr>
              <w:spacing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048" w:type="dxa"/>
            <w:vMerge w:val="restart"/>
            <w:noWrap w:val="0"/>
            <w:vAlign w:val="center"/>
          </w:tcPr>
          <w:p>
            <w:pPr>
              <w:spacing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有效性审查</w:t>
            </w:r>
          </w:p>
        </w:tc>
        <w:tc>
          <w:tcPr>
            <w:tcW w:w="1935" w:type="dxa"/>
            <w:noWrap w:val="0"/>
            <w:vAlign w:val="center"/>
          </w:tcPr>
          <w:p>
            <w:pPr>
              <w:spacing w:line="50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响应文件</w:t>
            </w:r>
            <w:r>
              <w:rPr>
                <w:rFonts w:hint="eastAsia" w:ascii="宋体" w:hAnsi="宋体" w:eastAsia="宋体" w:cs="宋体"/>
                <w:color w:val="auto"/>
                <w:szCs w:val="21"/>
                <w:highlight w:val="none"/>
              </w:rPr>
              <w:t>签署</w:t>
            </w:r>
          </w:p>
        </w:tc>
        <w:tc>
          <w:tcPr>
            <w:tcW w:w="57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响应文件</w:t>
            </w:r>
            <w:r>
              <w:rPr>
                <w:rFonts w:hint="eastAsia" w:ascii="宋体" w:hAnsi="宋体" w:eastAsia="宋体" w:cs="宋体"/>
                <w:color w:val="auto"/>
                <w:szCs w:val="21"/>
                <w:highlight w:val="none"/>
              </w:rPr>
              <w:t>中法定代表人或其委托代理人的签字或盖章齐全。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14" w:type="dxa"/>
            <w:vMerge w:val="continue"/>
            <w:noWrap w:val="0"/>
            <w:vAlign w:val="center"/>
          </w:tcPr>
          <w:p>
            <w:pPr>
              <w:spacing w:line="500" w:lineRule="exact"/>
              <w:jc w:val="center"/>
              <w:rPr>
                <w:rFonts w:hint="eastAsia" w:ascii="宋体" w:hAnsi="宋体" w:eastAsia="宋体" w:cs="宋体"/>
                <w:color w:val="auto"/>
                <w:kern w:val="0"/>
                <w:szCs w:val="21"/>
                <w:highlight w:val="none"/>
              </w:rPr>
            </w:pPr>
          </w:p>
        </w:tc>
        <w:tc>
          <w:tcPr>
            <w:tcW w:w="1048" w:type="dxa"/>
            <w:vMerge w:val="continue"/>
            <w:noWrap w:val="0"/>
            <w:vAlign w:val="center"/>
          </w:tcPr>
          <w:p>
            <w:pPr>
              <w:spacing w:line="500" w:lineRule="exact"/>
              <w:jc w:val="center"/>
              <w:rPr>
                <w:rFonts w:hint="eastAsia" w:ascii="宋体" w:hAnsi="宋体" w:eastAsia="宋体" w:cs="宋体"/>
                <w:color w:val="auto"/>
                <w:kern w:val="0"/>
                <w:szCs w:val="21"/>
                <w:highlight w:val="none"/>
              </w:rPr>
            </w:pP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法定代表人身份证明及授权委托书</w:t>
            </w:r>
          </w:p>
        </w:tc>
        <w:tc>
          <w:tcPr>
            <w:tcW w:w="57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法定代表人身份证明及授权委托书有效，且符合竞争性磋商文件规定的格式，签字或盖章齐全。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14" w:type="dxa"/>
            <w:vMerge w:val="restart"/>
            <w:noWrap w:val="0"/>
            <w:vAlign w:val="center"/>
          </w:tcPr>
          <w:p>
            <w:pPr>
              <w:spacing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048" w:type="dxa"/>
            <w:vMerge w:val="restart"/>
            <w:noWrap w:val="0"/>
            <w:vAlign w:val="center"/>
          </w:tcPr>
          <w:p>
            <w:pPr>
              <w:spacing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完整性审查</w:t>
            </w:r>
          </w:p>
        </w:tc>
        <w:tc>
          <w:tcPr>
            <w:tcW w:w="1935" w:type="dxa"/>
            <w:noWrap w:val="0"/>
            <w:vAlign w:val="center"/>
          </w:tcPr>
          <w:p>
            <w:pPr>
              <w:spacing w:line="50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响应文件份数</w:t>
            </w:r>
          </w:p>
        </w:tc>
        <w:tc>
          <w:tcPr>
            <w:tcW w:w="57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响应文件正本、副本等响应文件数量符合</w:t>
            </w:r>
            <w:r>
              <w:rPr>
                <w:rFonts w:hint="eastAsia" w:ascii="宋体" w:hAnsi="宋体" w:eastAsia="宋体" w:cs="宋体"/>
                <w:color w:val="auto"/>
                <w:kern w:val="0"/>
                <w:szCs w:val="21"/>
                <w:highlight w:val="none"/>
              </w:rPr>
              <w:t>竞争性磋商文件</w:t>
            </w:r>
            <w:r>
              <w:rPr>
                <w:rFonts w:hint="eastAsia" w:ascii="宋体" w:hAnsi="宋体" w:eastAsia="宋体" w:cs="宋体"/>
                <w:color w:val="auto"/>
                <w:szCs w:val="21"/>
                <w:highlight w:val="none"/>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14" w:type="dxa"/>
            <w:vMerge w:val="continue"/>
            <w:noWrap w:val="0"/>
            <w:vAlign w:val="center"/>
          </w:tcPr>
          <w:p>
            <w:pPr>
              <w:spacing w:line="500" w:lineRule="exact"/>
              <w:jc w:val="center"/>
              <w:rPr>
                <w:rFonts w:hint="eastAsia" w:ascii="宋体" w:hAnsi="宋体" w:eastAsia="宋体" w:cs="宋体"/>
                <w:color w:val="auto"/>
                <w:kern w:val="0"/>
                <w:szCs w:val="21"/>
                <w:highlight w:val="none"/>
              </w:rPr>
            </w:pPr>
          </w:p>
        </w:tc>
        <w:tc>
          <w:tcPr>
            <w:tcW w:w="1048" w:type="dxa"/>
            <w:vMerge w:val="continue"/>
            <w:noWrap w:val="0"/>
            <w:vAlign w:val="center"/>
          </w:tcPr>
          <w:p>
            <w:pPr>
              <w:spacing w:line="500" w:lineRule="exact"/>
              <w:jc w:val="center"/>
              <w:rPr>
                <w:rFonts w:hint="eastAsia" w:ascii="宋体" w:hAnsi="宋体" w:eastAsia="宋体" w:cs="宋体"/>
                <w:color w:val="auto"/>
                <w:kern w:val="0"/>
                <w:szCs w:val="21"/>
                <w:highlight w:val="none"/>
              </w:rPr>
            </w:pPr>
          </w:p>
        </w:tc>
        <w:tc>
          <w:tcPr>
            <w:tcW w:w="1935" w:type="dxa"/>
            <w:noWrap w:val="0"/>
            <w:vAlign w:val="center"/>
          </w:tcPr>
          <w:p>
            <w:pPr>
              <w:spacing w:line="50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响应文件内容</w:t>
            </w:r>
          </w:p>
        </w:tc>
        <w:tc>
          <w:tcPr>
            <w:tcW w:w="5742" w:type="dxa"/>
            <w:noWrap w:val="0"/>
            <w:vAlign w:val="center"/>
          </w:tcPr>
          <w:p>
            <w:pPr>
              <w:spacing w:line="50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14" w:type="dxa"/>
            <w:vMerge w:val="restart"/>
            <w:noWrap w:val="0"/>
            <w:vAlign w:val="center"/>
          </w:tcPr>
          <w:p>
            <w:pPr>
              <w:spacing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048" w:type="dxa"/>
            <w:vMerge w:val="restart"/>
            <w:noWrap w:val="0"/>
            <w:vAlign w:val="center"/>
          </w:tcPr>
          <w:p>
            <w:pPr>
              <w:spacing w:line="500" w:lineRule="exact"/>
              <w:jc w:val="center"/>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竞争性磋商文件的响应程度审查</w:t>
            </w:r>
          </w:p>
        </w:tc>
        <w:tc>
          <w:tcPr>
            <w:tcW w:w="1935" w:type="dxa"/>
            <w:noWrap w:val="0"/>
            <w:vAlign w:val="center"/>
          </w:tcPr>
          <w:p>
            <w:pPr>
              <w:spacing w:line="50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响应文件</w:t>
            </w:r>
            <w:r>
              <w:rPr>
                <w:rFonts w:hint="eastAsia" w:ascii="宋体" w:hAnsi="宋体" w:eastAsia="宋体" w:cs="宋体"/>
                <w:color w:val="auto"/>
                <w:kern w:val="0"/>
                <w:szCs w:val="21"/>
                <w:highlight w:val="none"/>
              </w:rPr>
              <w:t>内容</w:t>
            </w:r>
          </w:p>
        </w:tc>
        <w:tc>
          <w:tcPr>
            <w:tcW w:w="5742" w:type="dxa"/>
            <w:noWrap w:val="0"/>
            <w:vAlign w:val="center"/>
          </w:tcPr>
          <w:p>
            <w:pPr>
              <w:pStyle w:val="14"/>
              <w:spacing w:line="500" w:lineRule="exact"/>
              <w:ind w:left="0" w:lef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对竞争性磋商文件规定的内容全部做出响应。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14" w:type="dxa"/>
            <w:vMerge w:val="continue"/>
            <w:noWrap w:val="0"/>
            <w:vAlign w:val="center"/>
          </w:tcPr>
          <w:p>
            <w:pPr>
              <w:spacing w:line="500" w:lineRule="exact"/>
              <w:jc w:val="center"/>
              <w:rPr>
                <w:rFonts w:hint="eastAsia" w:ascii="宋体" w:hAnsi="宋体" w:eastAsia="宋体" w:cs="宋体"/>
                <w:color w:val="auto"/>
                <w:kern w:val="0"/>
                <w:szCs w:val="21"/>
                <w:highlight w:val="none"/>
              </w:rPr>
            </w:pPr>
          </w:p>
        </w:tc>
        <w:tc>
          <w:tcPr>
            <w:tcW w:w="1048" w:type="dxa"/>
            <w:vMerge w:val="continue"/>
            <w:noWrap w:val="0"/>
            <w:vAlign w:val="center"/>
          </w:tcPr>
          <w:p>
            <w:pPr>
              <w:spacing w:line="500" w:lineRule="exact"/>
              <w:rPr>
                <w:rFonts w:hint="eastAsia" w:ascii="宋体" w:hAnsi="宋体" w:eastAsia="宋体" w:cs="宋体"/>
                <w:color w:val="auto"/>
                <w:kern w:val="0"/>
                <w:szCs w:val="21"/>
                <w:highlight w:val="none"/>
              </w:rPr>
            </w:pPr>
          </w:p>
        </w:tc>
        <w:tc>
          <w:tcPr>
            <w:tcW w:w="1935" w:type="dxa"/>
            <w:noWrap w:val="0"/>
            <w:vAlign w:val="center"/>
          </w:tcPr>
          <w:p>
            <w:pPr>
              <w:spacing w:line="5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质量技术</w:t>
            </w:r>
          </w:p>
        </w:tc>
        <w:tc>
          <w:tcPr>
            <w:tcW w:w="5742" w:type="dxa"/>
            <w:noWrap w:val="0"/>
            <w:vAlign w:val="center"/>
          </w:tcPr>
          <w:p>
            <w:pPr>
              <w:spacing w:line="5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满足竞争性磋商文件提出的质量、技术要求。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14" w:type="dxa"/>
            <w:vMerge w:val="continue"/>
            <w:noWrap w:val="0"/>
            <w:vAlign w:val="center"/>
          </w:tcPr>
          <w:p>
            <w:pPr>
              <w:spacing w:line="500" w:lineRule="exact"/>
              <w:jc w:val="center"/>
              <w:rPr>
                <w:rFonts w:hint="eastAsia" w:ascii="宋体" w:hAnsi="宋体" w:eastAsia="宋体" w:cs="宋体"/>
                <w:color w:val="auto"/>
                <w:kern w:val="0"/>
                <w:szCs w:val="21"/>
                <w:highlight w:val="none"/>
              </w:rPr>
            </w:pPr>
          </w:p>
        </w:tc>
        <w:tc>
          <w:tcPr>
            <w:tcW w:w="1048" w:type="dxa"/>
            <w:vMerge w:val="continue"/>
            <w:noWrap w:val="0"/>
            <w:vAlign w:val="center"/>
          </w:tcPr>
          <w:p>
            <w:pPr>
              <w:spacing w:line="500" w:lineRule="exact"/>
              <w:rPr>
                <w:rFonts w:hint="eastAsia" w:ascii="宋体" w:hAnsi="宋体" w:eastAsia="宋体" w:cs="宋体"/>
                <w:color w:val="auto"/>
                <w:kern w:val="0"/>
                <w:szCs w:val="21"/>
                <w:highlight w:val="none"/>
              </w:rPr>
            </w:pPr>
          </w:p>
        </w:tc>
        <w:tc>
          <w:tcPr>
            <w:tcW w:w="1935" w:type="dxa"/>
            <w:noWrap w:val="0"/>
            <w:vAlign w:val="center"/>
          </w:tcPr>
          <w:p>
            <w:pPr>
              <w:spacing w:line="5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完成期限</w:t>
            </w:r>
          </w:p>
        </w:tc>
        <w:tc>
          <w:tcPr>
            <w:tcW w:w="5742" w:type="dxa"/>
            <w:noWrap w:val="0"/>
            <w:vAlign w:val="center"/>
          </w:tcPr>
          <w:p>
            <w:pPr>
              <w:spacing w:line="5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满足竞争性磋商文件</w:t>
            </w:r>
            <w:r>
              <w:rPr>
                <w:rFonts w:hint="eastAsia" w:ascii="宋体" w:hAnsi="宋体" w:eastAsia="宋体" w:cs="宋体"/>
                <w:color w:val="auto"/>
                <w:szCs w:val="21"/>
                <w:highlight w:val="none"/>
                <w:lang w:val="zh-CN"/>
              </w:rPr>
              <w:t>规定</w:t>
            </w:r>
            <w:r>
              <w:rPr>
                <w:rFonts w:hint="eastAsia" w:ascii="宋体" w:hAnsi="宋体" w:eastAsia="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14" w:type="dxa"/>
            <w:vMerge w:val="continue"/>
            <w:noWrap w:val="0"/>
            <w:vAlign w:val="center"/>
          </w:tcPr>
          <w:p>
            <w:pPr>
              <w:spacing w:line="500" w:lineRule="exact"/>
              <w:jc w:val="center"/>
              <w:rPr>
                <w:rFonts w:hint="eastAsia" w:ascii="宋体" w:hAnsi="宋体" w:eastAsia="宋体" w:cs="宋体"/>
                <w:color w:val="auto"/>
                <w:kern w:val="0"/>
                <w:szCs w:val="21"/>
                <w:highlight w:val="none"/>
              </w:rPr>
            </w:pPr>
          </w:p>
        </w:tc>
        <w:tc>
          <w:tcPr>
            <w:tcW w:w="1048" w:type="dxa"/>
            <w:vMerge w:val="continue"/>
            <w:noWrap w:val="0"/>
            <w:vAlign w:val="center"/>
          </w:tcPr>
          <w:p>
            <w:pPr>
              <w:spacing w:line="500" w:lineRule="exact"/>
              <w:rPr>
                <w:rFonts w:hint="eastAsia" w:ascii="宋体" w:hAnsi="宋体" w:eastAsia="宋体" w:cs="宋体"/>
                <w:color w:val="auto"/>
                <w:szCs w:val="21"/>
                <w:highlight w:val="none"/>
                <w:lang w:val="zh-CN"/>
              </w:rPr>
            </w:pPr>
          </w:p>
        </w:tc>
        <w:tc>
          <w:tcPr>
            <w:tcW w:w="1935" w:type="dxa"/>
            <w:noWrap w:val="0"/>
            <w:vAlign w:val="center"/>
          </w:tcPr>
          <w:p>
            <w:pPr>
              <w:spacing w:line="50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响应文件</w:t>
            </w:r>
            <w:r>
              <w:rPr>
                <w:rFonts w:hint="eastAsia" w:ascii="宋体" w:hAnsi="宋体" w:eastAsia="宋体" w:cs="宋体"/>
                <w:color w:val="auto"/>
                <w:kern w:val="0"/>
                <w:szCs w:val="21"/>
                <w:highlight w:val="none"/>
              </w:rPr>
              <w:t>有效期</w:t>
            </w:r>
          </w:p>
        </w:tc>
        <w:tc>
          <w:tcPr>
            <w:tcW w:w="5742" w:type="dxa"/>
            <w:noWrap w:val="0"/>
            <w:vAlign w:val="center"/>
          </w:tcPr>
          <w:p>
            <w:pPr>
              <w:spacing w:line="5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满足竞争性磋商文件</w:t>
            </w:r>
            <w:r>
              <w:rPr>
                <w:rFonts w:hint="eastAsia" w:ascii="宋体" w:hAnsi="宋体" w:eastAsia="宋体" w:cs="宋体"/>
                <w:color w:val="auto"/>
                <w:szCs w:val="21"/>
                <w:highlight w:val="none"/>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4" w:type="dxa"/>
            <w:vMerge w:val="continue"/>
            <w:tcBorders>
              <w:bottom w:val="single" w:color="auto" w:sz="4" w:space="0"/>
            </w:tcBorders>
            <w:noWrap w:val="0"/>
            <w:vAlign w:val="center"/>
          </w:tcPr>
          <w:p>
            <w:pPr>
              <w:spacing w:line="500" w:lineRule="exact"/>
              <w:jc w:val="center"/>
              <w:rPr>
                <w:rFonts w:hint="eastAsia" w:ascii="宋体" w:hAnsi="宋体" w:eastAsia="宋体" w:cs="宋体"/>
                <w:color w:val="auto"/>
                <w:kern w:val="0"/>
                <w:szCs w:val="21"/>
                <w:highlight w:val="none"/>
              </w:rPr>
            </w:pPr>
          </w:p>
        </w:tc>
        <w:tc>
          <w:tcPr>
            <w:tcW w:w="1048" w:type="dxa"/>
            <w:vMerge w:val="continue"/>
            <w:tcBorders>
              <w:bottom w:val="single" w:color="auto" w:sz="4" w:space="0"/>
            </w:tcBorders>
            <w:noWrap w:val="0"/>
            <w:vAlign w:val="center"/>
          </w:tcPr>
          <w:p>
            <w:pPr>
              <w:spacing w:line="500" w:lineRule="exact"/>
              <w:rPr>
                <w:rFonts w:hint="eastAsia" w:ascii="宋体" w:hAnsi="宋体" w:eastAsia="宋体" w:cs="宋体"/>
                <w:color w:val="auto"/>
                <w:szCs w:val="21"/>
                <w:highlight w:val="none"/>
                <w:lang w:val="zh-CN"/>
              </w:rPr>
            </w:pPr>
          </w:p>
        </w:tc>
        <w:tc>
          <w:tcPr>
            <w:tcW w:w="1935" w:type="dxa"/>
            <w:tcBorders>
              <w:bottom w:val="single" w:color="auto" w:sz="4" w:space="0"/>
            </w:tcBorders>
            <w:noWrap w:val="0"/>
            <w:vAlign w:val="center"/>
          </w:tcPr>
          <w:p>
            <w:pPr>
              <w:spacing w:line="5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5742" w:type="dxa"/>
            <w:tcBorders>
              <w:bottom w:val="single" w:color="auto" w:sz="4" w:space="0"/>
            </w:tcBorders>
            <w:noWrap w:val="0"/>
            <w:vAlign w:val="center"/>
          </w:tcPr>
          <w:p>
            <w:pPr>
              <w:spacing w:line="5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满足竞争性磋商文件相关</w:t>
            </w:r>
            <w:r>
              <w:rPr>
                <w:rFonts w:hint="eastAsia" w:ascii="宋体" w:hAnsi="宋体" w:eastAsia="宋体" w:cs="宋体"/>
                <w:color w:val="auto"/>
                <w:szCs w:val="21"/>
                <w:highlight w:val="none"/>
                <w:lang w:val="zh-CN"/>
              </w:rPr>
              <w:t>规定。</w:t>
            </w:r>
          </w:p>
        </w:tc>
      </w:tr>
    </w:tbl>
    <w:p>
      <w:pPr>
        <w:rPr>
          <w:rFonts w:hint="eastAsia" w:ascii="宋体" w:hAnsi="宋体" w:eastAsia="宋体" w:cs="宋体"/>
          <w:b/>
          <w:color w:val="auto"/>
          <w:sz w:val="21"/>
          <w:szCs w:val="21"/>
          <w:highlight w:val="none"/>
        </w:rPr>
        <w:sectPr>
          <w:footerReference r:id="rId14" w:type="default"/>
          <w:pgSz w:w="11906" w:h="16838"/>
          <w:pgMar w:top="1440" w:right="1486" w:bottom="1440" w:left="1600" w:header="851" w:footer="992" w:gutter="0"/>
          <w:pgNumType w:fmt="decimal"/>
          <w:cols w:space="720" w:num="1"/>
          <w:docGrid w:type="lines" w:linePitch="312" w:charSpace="0"/>
        </w:sectPr>
      </w:pPr>
      <w:r>
        <w:rPr>
          <w:rFonts w:hint="eastAsia" w:ascii="宋体" w:hAnsi="宋体" w:eastAsia="宋体" w:cs="宋体"/>
          <w:b/>
          <w:color w:val="auto"/>
          <w:sz w:val="21"/>
          <w:szCs w:val="21"/>
          <w:highlight w:val="none"/>
        </w:rPr>
        <w:t>注：以上评审内容，有一项不通过者，视为供应商初步评审不通过，未通过初审的其响应文件将按照无效响应处理。</w: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 xml:space="preserve">评分表 </w:t>
      </w:r>
    </w:p>
    <w:p>
      <w:pPr>
        <w:numPr>
          <w:ilvl w:val="0"/>
          <w:numId w:val="0"/>
        </w:numPr>
        <w:spacing w:before="38"/>
        <w:ind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本项目评审采用</w:t>
      </w:r>
      <w:r>
        <w:rPr>
          <w:rFonts w:hint="eastAsia" w:ascii="宋体" w:hAnsi="宋体" w:eastAsia="宋体" w:cs="宋体"/>
          <w:b/>
          <w:bCs/>
          <w:color w:val="auto"/>
          <w:sz w:val="24"/>
          <w:szCs w:val="24"/>
          <w:highlight w:val="none"/>
        </w:rPr>
        <w:t>综合评分法</w:t>
      </w:r>
      <w:r>
        <w:rPr>
          <w:rFonts w:hint="eastAsia" w:ascii="宋体" w:hAnsi="宋体" w:eastAsia="宋体" w:cs="宋体"/>
          <w:color w:val="auto"/>
          <w:sz w:val="24"/>
          <w:szCs w:val="24"/>
          <w:highlight w:val="none"/>
        </w:rPr>
        <w:t>。由磋商报价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 xml:space="preserve">三部分组成，总分值为 100分。详细如下： </w:t>
      </w:r>
    </w:p>
    <w:tbl>
      <w:tblPr>
        <w:tblStyle w:val="23"/>
        <w:tblpPr w:leftFromText="180" w:rightFromText="180" w:vertAnchor="text" w:horzAnchor="page" w:tblpX="1479" w:tblpY="289"/>
        <w:tblOverlap w:val="never"/>
        <w:tblW w:w="94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2"/>
        <w:gridCol w:w="1602"/>
        <w:gridCol w:w="66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212" w:type="dxa"/>
            <w:vAlign w:val="center"/>
          </w:tcPr>
          <w:p>
            <w:pPr>
              <w:pStyle w:val="11"/>
              <w:spacing w:before="16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评标项目</w:t>
            </w:r>
          </w:p>
        </w:tc>
        <w:tc>
          <w:tcPr>
            <w:tcW w:w="1602" w:type="dxa"/>
            <w:vAlign w:val="center"/>
          </w:tcPr>
          <w:p>
            <w:pPr>
              <w:pStyle w:val="40"/>
              <w:spacing w:before="67"/>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评审内容</w:t>
            </w:r>
          </w:p>
        </w:tc>
        <w:tc>
          <w:tcPr>
            <w:tcW w:w="6666" w:type="dxa"/>
            <w:vAlign w:val="center"/>
          </w:tcPr>
          <w:p>
            <w:pPr>
              <w:pStyle w:val="40"/>
              <w:spacing w:before="67"/>
              <w:ind w:left="2461" w:right="2333"/>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3" w:hRule="atLeast"/>
        </w:trPr>
        <w:tc>
          <w:tcPr>
            <w:tcW w:w="1212" w:type="dxa"/>
            <w:vAlign w:val="center"/>
          </w:tcPr>
          <w:p>
            <w:pPr>
              <w:pStyle w:val="40"/>
              <w:spacing w:line="252" w:lineRule="auto"/>
              <w:ind w:right="84"/>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磋商报价</w:t>
            </w:r>
          </w:p>
          <w:p>
            <w:pPr>
              <w:pStyle w:val="40"/>
              <w:spacing w:line="252" w:lineRule="auto"/>
              <w:ind w:right="84"/>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(20分)</w:t>
            </w:r>
          </w:p>
        </w:tc>
        <w:tc>
          <w:tcPr>
            <w:tcW w:w="1602" w:type="dxa"/>
            <w:vAlign w:val="center"/>
          </w:tcPr>
          <w:p>
            <w:pPr>
              <w:pStyle w:val="40"/>
              <w:spacing w:before="189"/>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磋商报价</w:t>
            </w:r>
          </w:p>
          <w:p>
            <w:pPr>
              <w:pStyle w:val="40"/>
              <w:spacing w:before="189"/>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（20分）</w:t>
            </w:r>
          </w:p>
        </w:tc>
        <w:tc>
          <w:tcPr>
            <w:tcW w:w="6666" w:type="dxa"/>
            <w:vAlign w:val="center"/>
          </w:tcPr>
          <w:p>
            <w:pPr>
              <w:pStyle w:val="40"/>
              <w:spacing w:before="16" w:line="249" w:lineRule="auto"/>
              <w:ind w:left="216" w:leftChars="103" w:right="86"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以满足招标文件要求且磋商价格最低的磋商报价为评标基准价，其价格分为满分20分。</w:t>
            </w:r>
          </w:p>
          <w:p>
            <w:pPr>
              <w:pStyle w:val="40"/>
              <w:spacing w:before="16" w:line="249" w:lineRule="auto"/>
              <w:ind w:left="216" w:leftChars="103" w:right="86"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其他供应商的价格得分按照下列公式计算：磋商报价得分＝（评标基准价/磋商报价）×20%×100 。</w:t>
            </w:r>
          </w:p>
          <w:p>
            <w:pPr>
              <w:keepNext w:val="0"/>
              <w:keepLines w:val="0"/>
              <w:pageBreakBefore w:val="0"/>
              <w:widowControl w:val="0"/>
              <w:kinsoku/>
              <w:wordWrap/>
              <w:overflowPunct/>
              <w:topLinePunct w:val="0"/>
              <w:autoSpaceDE/>
              <w:autoSpaceDN/>
              <w:bidi w:val="0"/>
              <w:adjustRightInd/>
              <w:snapToGrid/>
              <w:spacing w:line="360" w:lineRule="exact"/>
              <w:ind w:left="216" w:leftChars="103"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注：报价得分精确到小数点后两位；无效磋商的报价不计入价格分值的计算。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212" w:type="dxa"/>
            <w:vMerge w:val="restart"/>
            <w:vAlign w:val="center"/>
          </w:tcPr>
          <w:p>
            <w:pPr>
              <w:pStyle w:val="40"/>
              <w:spacing w:line="252" w:lineRule="auto"/>
              <w:ind w:right="84"/>
              <w:jc w:val="both"/>
              <w:rPr>
                <w:rFonts w:hint="eastAsia" w:ascii="宋体" w:hAnsi="宋体" w:eastAsia="宋体" w:cs="宋体"/>
                <w:color w:val="auto"/>
                <w:kern w:val="2"/>
                <w:sz w:val="21"/>
                <w:szCs w:val="21"/>
                <w:highlight w:val="none"/>
                <w:lang w:val="en-US" w:eastAsia="zh-CN" w:bidi="ar-SA"/>
              </w:rPr>
            </w:pPr>
          </w:p>
          <w:p>
            <w:pPr>
              <w:pStyle w:val="40"/>
              <w:spacing w:line="252" w:lineRule="auto"/>
              <w:ind w:right="84"/>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商务部分 </w:t>
            </w:r>
          </w:p>
          <w:p>
            <w:pPr>
              <w:pStyle w:val="40"/>
              <w:spacing w:line="252" w:lineRule="auto"/>
              <w:ind w:right="84"/>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 xml:space="preserve">（10分） </w:t>
            </w:r>
          </w:p>
        </w:tc>
        <w:tc>
          <w:tcPr>
            <w:tcW w:w="1602" w:type="dxa"/>
            <w:tcBorders>
              <w:bottom w:val="single" w:color="000000" w:sz="6" w:space="0"/>
            </w:tcBorders>
            <w:vAlign w:val="center"/>
          </w:tcPr>
          <w:p>
            <w:pPr>
              <w:widowControl/>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企业经营业绩</w:t>
            </w:r>
          </w:p>
          <w:p>
            <w:pPr>
              <w:widowControl/>
              <w:spacing w:line="3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color w:val="auto"/>
                <w:kern w:val="2"/>
                <w:sz w:val="21"/>
                <w:szCs w:val="21"/>
                <w:highlight w:val="none"/>
                <w:lang w:val="en-US" w:eastAsia="zh-CN" w:bidi="ar-SA"/>
              </w:rPr>
              <w:t>）</w:t>
            </w:r>
          </w:p>
        </w:tc>
        <w:tc>
          <w:tcPr>
            <w:tcW w:w="6666" w:type="dxa"/>
            <w:tcBorders>
              <w:bottom w:val="single" w:color="000000" w:sz="6" w:space="0"/>
            </w:tcBorders>
            <w:vAlign w:val="center"/>
          </w:tcPr>
          <w:p>
            <w:pPr>
              <w:pStyle w:val="40"/>
              <w:spacing w:before="129"/>
              <w:ind w:left="216" w:leftChars="103" w:firstLine="0" w:firstLineChars="0"/>
              <w:jc w:val="both"/>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企业近三年（2018年1月1日至今）的类似项目业绩（提供中标通知书或合同），每提供一份得 2分，累计最高可得8分。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0" w:hRule="atLeast"/>
        </w:trPr>
        <w:tc>
          <w:tcPr>
            <w:tcW w:w="1212" w:type="dxa"/>
            <w:vMerge w:val="continue"/>
            <w:vAlign w:val="center"/>
          </w:tcPr>
          <w:p>
            <w:pPr>
              <w:jc w:val="both"/>
              <w:rPr>
                <w:rFonts w:hint="eastAsia" w:ascii="宋体" w:hAnsi="宋体" w:eastAsia="宋体" w:cs="宋体"/>
                <w:color w:val="auto"/>
                <w:sz w:val="21"/>
                <w:szCs w:val="21"/>
                <w:highlight w:val="none"/>
              </w:rPr>
            </w:pPr>
          </w:p>
        </w:tc>
        <w:tc>
          <w:tcPr>
            <w:tcW w:w="1602" w:type="dxa"/>
            <w:vAlign w:val="center"/>
          </w:tcPr>
          <w:p>
            <w:pPr>
              <w:pStyle w:val="40"/>
              <w:spacing w:before="16" w:line="249" w:lineRule="auto"/>
              <w:ind w:right="86"/>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响应文件质量</w:t>
            </w:r>
          </w:p>
          <w:p>
            <w:pPr>
              <w:pStyle w:val="40"/>
              <w:spacing w:before="16" w:line="249" w:lineRule="auto"/>
              <w:ind w:right="86"/>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kern w:val="2"/>
                <w:sz w:val="21"/>
                <w:szCs w:val="21"/>
                <w:highlight w:val="none"/>
                <w:lang w:val="en-US" w:eastAsia="zh-CN" w:bidi="ar-SA"/>
              </w:rPr>
              <w:t>）</w:t>
            </w:r>
          </w:p>
        </w:tc>
        <w:tc>
          <w:tcPr>
            <w:tcW w:w="6666" w:type="dxa"/>
            <w:vAlign w:val="center"/>
          </w:tcPr>
          <w:p>
            <w:pPr>
              <w:pStyle w:val="40"/>
              <w:spacing w:before="16" w:line="249" w:lineRule="auto"/>
              <w:ind w:left="216" w:leftChars="103" w:right="86"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投标文件按照招标文件要求的格式、内容及顺序填写（包括目录、页码、签字、总体编排等项目），整洁美观、出错率低得2分，否则酌情扣分。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7" w:hRule="atLeast"/>
        </w:trPr>
        <w:tc>
          <w:tcPr>
            <w:tcW w:w="1212" w:type="dxa"/>
            <w:vMerge w:val="restart"/>
            <w:tcBorders>
              <w:left w:val="single" w:color="auto" w:sz="4" w:space="0"/>
            </w:tcBorders>
            <w:vAlign w:val="center"/>
          </w:tcPr>
          <w:p>
            <w:pPr>
              <w:pStyle w:val="40"/>
              <w:spacing w:line="252" w:lineRule="auto"/>
              <w:ind w:right="84"/>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技术部分</w:t>
            </w:r>
          </w:p>
          <w:p>
            <w:pPr>
              <w:pStyle w:val="40"/>
              <w:spacing w:line="252" w:lineRule="auto"/>
              <w:ind w:right="84"/>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（70分） </w:t>
            </w:r>
          </w:p>
          <w:p>
            <w:pPr>
              <w:pStyle w:val="40"/>
              <w:spacing w:before="12"/>
              <w:ind w:left="175"/>
              <w:jc w:val="both"/>
              <w:rPr>
                <w:rFonts w:hint="eastAsia" w:ascii="宋体" w:hAnsi="宋体" w:eastAsia="宋体" w:cs="宋体"/>
                <w:color w:val="auto"/>
                <w:w w:val="90"/>
                <w:sz w:val="21"/>
                <w:szCs w:val="21"/>
                <w:highlight w:val="none"/>
              </w:rPr>
            </w:pPr>
          </w:p>
          <w:p>
            <w:pPr>
              <w:pStyle w:val="40"/>
              <w:spacing w:before="12"/>
              <w:ind w:left="175"/>
              <w:jc w:val="both"/>
              <w:rPr>
                <w:rFonts w:hint="eastAsia" w:ascii="宋体" w:hAnsi="宋体" w:eastAsia="宋体" w:cs="宋体"/>
                <w:color w:val="auto"/>
                <w:w w:val="90"/>
                <w:sz w:val="21"/>
                <w:szCs w:val="21"/>
                <w:highlight w:val="none"/>
              </w:rPr>
            </w:pPr>
          </w:p>
          <w:p>
            <w:pPr>
              <w:pStyle w:val="40"/>
              <w:spacing w:before="12"/>
              <w:ind w:left="175"/>
              <w:jc w:val="both"/>
              <w:rPr>
                <w:rFonts w:hint="eastAsia" w:ascii="宋体" w:hAnsi="宋体" w:eastAsia="宋体" w:cs="宋体"/>
                <w:color w:val="auto"/>
                <w:w w:val="90"/>
                <w:sz w:val="21"/>
                <w:szCs w:val="21"/>
                <w:highlight w:val="none"/>
              </w:rPr>
            </w:pPr>
          </w:p>
        </w:tc>
        <w:tc>
          <w:tcPr>
            <w:tcW w:w="1602" w:type="dxa"/>
            <w:vAlign w:val="center"/>
          </w:tcPr>
          <w:p>
            <w:pPr>
              <w:pStyle w:val="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技术方案</w:t>
            </w:r>
          </w:p>
          <w:p>
            <w:pPr>
              <w:pStyle w:val="5"/>
              <w:rPr>
                <w:rFonts w:hint="eastAsia" w:ascii="宋体" w:hAnsi="宋体" w:eastAsia="宋体" w:cs="宋体"/>
                <w:sz w:val="21"/>
                <w:szCs w:val="21"/>
                <w:lang w:val="zh-CN" w:eastAsia="zh-CN"/>
              </w:rPr>
            </w:pPr>
            <w:r>
              <w:rPr>
                <w:rFonts w:hint="eastAsia" w:ascii="宋体" w:hAnsi="宋体" w:eastAsia="宋体" w:cs="宋体"/>
                <w:color w:val="auto"/>
                <w:kern w:val="2"/>
                <w:sz w:val="21"/>
                <w:szCs w:val="21"/>
                <w:highlight w:val="none"/>
                <w:lang w:val="en-US" w:eastAsia="zh-CN" w:bidi="ar-SA"/>
              </w:rPr>
              <w:t>（0-</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color w:val="auto"/>
                <w:kern w:val="2"/>
                <w:sz w:val="21"/>
                <w:szCs w:val="21"/>
                <w:highlight w:val="none"/>
                <w:lang w:val="en-US" w:eastAsia="zh-CN" w:bidi="ar-SA"/>
              </w:rPr>
              <w:t>）</w:t>
            </w:r>
          </w:p>
        </w:tc>
        <w:tc>
          <w:tcPr>
            <w:tcW w:w="6666" w:type="dxa"/>
            <w:vAlign w:val="center"/>
          </w:tcPr>
          <w:p>
            <w:pPr>
              <w:spacing w:line="288" w:lineRule="auto"/>
              <w:ind w:left="216" w:leftChars="103"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有相关</w:t>
            </w:r>
            <w:r>
              <w:rPr>
                <w:rFonts w:hint="eastAsia" w:ascii="宋体" w:hAnsi="宋体" w:eastAsia="宋体" w:cs="宋体"/>
                <w:color w:val="auto"/>
                <w:kern w:val="2"/>
                <w:sz w:val="21"/>
                <w:szCs w:val="21"/>
                <w:highlight w:val="none"/>
                <w:lang w:val="zh-CN" w:eastAsia="zh-CN" w:bidi="ar-SA"/>
              </w:rPr>
              <w:t>安全防范方案、公共秩序维护方案、安保人员管理方案</w:t>
            </w:r>
            <w:r>
              <w:rPr>
                <w:rFonts w:hint="eastAsia" w:ascii="宋体" w:hAnsi="宋体" w:cs="宋体"/>
                <w:color w:val="auto"/>
                <w:kern w:val="2"/>
                <w:sz w:val="21"/>
                <w:szCs w:val="21"/>
                <w:highlight w:val="none"/>
                <w:lang w:val="zh-CN" w:eastAsia="zh-CN" w:bidi="ar-SA"/>
              </w:rPr>
              <w:t>，内</w:t>
            </w:r>
            <w:r>
              <w:rPr>
                <w:rFonts w:hint="eastAsia" w:ascii="宋体" w:hAnsi="宋体" w:eastAsia="宋体" w:cs="宋体"/>
                <w:color w:val="auto"/>
                <w:kern w:val="2"/>
                <w:sz w:val="21"/>
                <w:szCs w:val="21"/>
                <w:highlight w:val="none"/>
                <w:lang w:val="zh-CN" w:eastAsia="zh-CN" w:bidi="ar-SA"/>
              </w:rPr>
              <w:t>容完整、</w:t>
            </w:r>
            <w:r>
              <w:rPr>
                <w:rFonts w:hint="eastAsia" w:ascii="宋体" w:hAnsi="宋体" w:cs="宋体"/>
                <w:color w:val="auto"/>
                <w:kern w:val="2"/>
                <w:sz w:val="21"/>
                <w:szCs w:val="21"/>
                <w:highlight w:val="none"/>
                <w:lang w:val="en-US" w:eastAsia="zh-CN" w:bidi="ar-SA"/>
              </w:rPr>
              <w:t>合理</w:t>
            </w:r>
            <w:r>
              <w:rPr>
                <w:rFonts w:hint="eastAsia" w:ascii="宋体" w:hAnsi="宋体" w:eastAsia="宋体" w:cs="宋体"/>
                <w:color w:val="auto"/>
                <w:kern w:val="2"/>
                <w:sz w:val="21"/>
                <w:szCs w:val="21"/>
                <w:highlight w:val="none"/>
                <w:lang w:val="zh-CN" w:eastAsia="zh-CN" w:bidi="ar-SA"/>
              </w:rPr>
              <w:t>、可行</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zh-CN" w:eastAsia="zh-CN" w:bidi="ar-SA"/>
              </w:rPr>
              <w:t>优秀的得8-10分；良好的得5-7分；一般的得1-4分；没有的不得分。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5" w:hRule="atLeast"/>
        </w:trPr>
        <w:tc>
          <w:tcPr>
            <w:tcW w:w="1212" w:type="dxa"/>
            <w:vMerge w:val="continue"/>
            <w:tcBorders>
              <w:left w:val="single" w:color="auto" w:sz="4" w:space="0"/>
            </w:tcBorders>
            <w:vAlign w:val="center"/>
          </w:tcPr>
          <w:p>
            <w:pPr>
              <w:pStyle w:val="40"/>
              <w:spacing w:before="12"/>
              <w:ind w:left="175"/>
              <w:jc w:val="both"/>
              <w:rPr>
                <w:rFonts w:hint="eastAsia" w:ascii="宋体" w:hAnsi="宋体" w:eastAsia="宋体" w:cs="宋体"/>
                <w:color w:val="auto"/>
                <w:w w:val="90"/>
                <w:sz w:val="21"/>
                <w:szCs w:val="21"/>
                <w:highlight w:val="none"/>
              </w:rPr>
            </w:pPr>
          </w:p>
        </w:tc>
        <w:tc>
          <w:tcPr>
            <w:tcW w:w="1602" w:type="dxa"/>
            <w:vAlign w:val="center"/>
          </w:tcPr>
          <w:p>
            <w:pPr>
              <w:pStyle w:val="5"/>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人员配置</w:t>
            </w:r>
          </w:p>
          <w:p>
            <w:pPr>
              <w:pStyle w:val="5"/>
              <w:rPr>
                <w:rFonts w:hint="eastAsia" w:ascii="宋体" w:hAnsi="宋体" w:eastAsia="宋体" w:cs="宋体"/>
                <w:sz w:val="21"/>
                <w:szCs w:val="21"/>
                <w:lang w:val="zh-CN" w:eastAsia="zh-CN"/>
              </w:rPr>
            </w:pPr>
            <w:r>
              <w:rPr>
                <w:rFonts w:hint="eastAsia" w:ascii="宋体" w:hAnsi="宋体" w:eastAsia="宋体" w:cs="宋体"/>
                <w:color w:val="auto"/>
                <w:kern w:val="2"/>
                <w:sz w:val="21"/>
                <w:szCs w:val="21"/>
                <w:highlight w:val="none"/>
                <w:lang w:val="en-US" w:eastAsia="zh-CN" w:bidi="ar-SA"/>
              </w:rPr>
              <w:t>（0-</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color w:val="auto"/>
                <w:kern w:val="2"/>
                <w:sz w:val="21"/>
                <w:szCs w:val="21"/>
                <w:highlight w:val="none"/>
                <w:lang w:val="en-US" w:eastAsia="zh-CN" w:bidi="ar-SA"/>
              </w:rPr>
              <w:t>）</w:t>
            </w:r>
          </w:p>
        </w:tc>
        <w:tc>
          <w:tcPr>
            <w:tcW w:w="6666" w:type="dxa"/>
            <w:vAlign w:val="center"/>
          </w:tcPr>
          <w:p>
            <w:pPr>
              <w:spacing w:line="288" w:lineRule="auto"/>
              <w:ind w:left="216" w:leftChars="103"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拟派项目班子机构健全，成员结构合理，专业配置齐全，优秀的得8-10分；良好的得5-7分；一般的得1-4分；没有的不得分。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5" w:hRule="atLeast"/>
        </w:trPr>
        <w:tc>
          <w:tcPr>
            <w:tcW w:w="1212" w:type="dxa"/>
            <w:vMerge w:val="continue"/>
            <w:tcBorders>
              <w:left w:val="single" w:color="auto" w:sz="4" w:space="0"/>
            </w:tcBorders>
            <w:vAlign w:val="center"/>
          </w:tcPr>
          <w:p>
            <w:pPr>
              <w:pStyle w:val="40"/>
              <w:spacing w:before="12"/>
              <w:ind w:left="175"/>
              <w:jc w:val="both"/>
              <w:rPr>
                <w:rFonts w:hint="eastAsia" w:ascii="宋体" w:hAnsi="宋体" w:eastAsia="宋体" w:cs="宋体"/>
                <w:color w:val="auto"/>
                <w:w w:val="90"/>
                <w:sz w:val="21"/>
                <w:szCs w:val="21"/>
                <w:highlight w:val="none"/>
              </w:rPr>
            </w:pPr>
          </w:p>
        </w:tc>
        <w:tc>
          <w:tcPr>
            <w:tcW w:w="1602" w:type="dxa"/>
            <w:vAlign w:val="center"/>
          </w:tcPr>
          <w:p>
            <w:pPr>
              <w:widowControl/>
              <w:spacing w:line="300" w:lineRule="exact"/>
              <w:jc w:val="center"/>
              <w:rPr>
                <w:rFonts w:hint="eastAsia" w:ascii="宋体" w:hAnsi="宋体" w:eastAsia="宋体" w:cs="宋体"/>
                <w:sz w:val="21"/>
                <w:szCs w:val="21"/>
              </w:rPr>
            </w:pPr>
            <w:r>
              <w:rPr>
                <w:rFonts w:hint="eastAsia" w:ascii="宋体" w:hAnsi="宋体" w:eastAsia="宋体" w:cs="宋体"/>
                <w:sz w:val="21"/>
                <w:szCs w:val="21"/>
              </w:rPr>
              <w:t>应急处理措施</w:t>
            </w:r>
          </w:p>
          <w:p>
            <w:pPr>
              <w:pStyle w:val="5"/>
              <w:rPr>
                <w:rFonts w:hint="eastAsia" w:ascii="宋体" w:hAnsi="宋体" w:eastAsia="宋体" w:cs="宋体"/>
                <w:sz w:val="21"/>
                <w:szCs w:val="21"/>
                <w:lang w:val="zh-CN" w:eastAsia="zh-CN"/>
              </w:rPr>
            </w:pPr>
            <w:r>
              <w:rPr>
                <w:rFonts w:hint="eastAsia" w:ascii="宋体" w:hAnsi="宋体" w:eastAsia="宋体" w:cs="宋体"/>
                <w:color w:val="auto"/>
                <w:kern w:val="2"/>
                <w:sz w:val="21"/>
                <w:szCs w:val="21"/>
                <w:highlight w:val="none"/>
                <w:lang w:val="en-US" w:eastAsia="zh-CN" w:bidi="ar-SA"/>
              </w:rPr>
              <w:t>（0-</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eastAsia="宋体" w:cs="宋体"/>
                <w:color w:val="auto"/>
                <w:kern w:val="2"/>
                <w:sz w:val="21"/>
                <w:szCs w:val="21"/>
                <w:highlight w:val="none"/>
                <w:lang w:val="en-US" w:eastAsia="zh-CN" w:bidi="ar-SA"/>
              </w:rPr>
              <w:t>）</w:t>
            </w:r>
          </w:p>
        </w:tc>
        <w:tc>
          <w:tcPr>
            <w:tcW w:w="6666" w:type="dxa"/>
            <w:vAlign w:val="center"/>
          </w:tcPr>
          <w:p>
            <w:pPr>
              <w:pStyle w:val="2"/>
              <w:ind w:left="216" w:leftChars="103"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2"/>
                <w:highlight w:val="none"/>
                <w:lang w:val="en-US" w:eastAsia="zh-CN" w:bidi="zh-CN"/>
              </w:rPr>
              <w:t>对重大或突发事件应急保障方案措施进行评审，方案全面、科学、具体，</w:t>
            </w:r>
            <w:r>
              <w:rPr>
                <w:rFonts w:hint="eastAsia" w:ascii="宋体" w:hAnsi="宋体" w:eastAsia="宋体" w:cs="宋体"/>
                <w:color w:val="auto"/>
                <w:kern w:val="2"/>
                <w:sz w:val="21"/>
                <w:szCs w:val="21"/>
                <w:highlight w:val="none"/>
                <w:lang w:val="zh-CN" w:eastAsia="zh-CN" w:bidi="ar-SA"/>
              </w:rPr>
              <w:t>优秀的得</w:t>
            </w:r>
            <w:r>
              <w:rPr>
                <w:rFonts w:hint="eastAsia" w:ascii="宋体" w:hAnsi="宋体" w:cs="宋体"/>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zh-CN" w:eastAsia="zh-CN" w:bidi="ar-SA"/>
              </w:rPr>
              <w:t>-1</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zh-CN" w:eastAsia="zh-CN" w:bidi="ar-SA"/>
              </w:rPr>
              <w:t>分；良好的得</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zh-CN" w:eastAsia="zh-CN" w:bidi="ar-SA"/>
              </w:rPr>
              <w:t>-</w:t>
            </w:r>
            <w:r>
              <w:rPr>
                <w:rFonts w:hint="eastAsia" w:ascii="宋体" w:hAnsi="宋体" w:cs="宋体"/>
                <w:color w:val="auto"/>
                <w:kern w:val="2"/>
                <w:sz w:val="21"/>
                <w:szCs w:val="21"/>
                <w:highlight w:val="none"/>
                <w:lang w:val="en-US" w:eastAsia="zh-CN" w:bidi="ar-SA"/>
              </w:rPr>
              <w:t>11</w:t>
            </w:r>
            <w:r>
              <w:rPr>
                <w:rFonts w:hint="eastAsia" w:ascii="宋体" w:hAnsi="宋体" w:eastAsia="宋体" w:cs="宋体"/>
                <w:color w:val="auto"/>
                <w:kern w:val="2"/>
                <w:sz w:val="21"/>
                <w:szCs w:val="21"/>
                <w:highlight w:val="none"/>
                <w:lang w:val="zh-CN" w:eastAsia="zh-CN" w:bidi="ar-SA"/>
              </w:rPr>
              <w:t>分；一般的得1-</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zh-CN" w:eastAsia="zh-CN" w:bidi="ar-SA"/>
              </w:rPr>
              <w:t>分；没有的不得分。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5" w:hRule="atLeast"/>
        </w:trPr>
        <w:tc>
          <w:tcPr>
            <w:tcW w:w="1212" w:type="dxa"/>
            <w:vMerge w:val="continue"/>
            <w:tcBorders>
              <w:left w:val="single" w:color="auto" w:sz="4" w:space="0"/>
            </w:tcBorders>
            <w:vAlign w:val="center"/>
          </w:tcPr>
          <w:p>
            <w:pPr>
              <w:pStyle w:val="40"/>
              <w:spacing w:before="12"/>
              <w:ind w:left="175"/>
              <w:jc w:val="both"/>
              <w:rPr>
                <w:rFonts w:hint="eastAsia" w:ascii="宋体" w:hAnsi="宋体" w:eastAsia="宋体" w:cs="宋体"/>
                <w:color w:val="auto"/>
                <w:w w:val="90"/>
                <w:sz w:val="21"/>
                <w:szCs w:val="21"/>
                <w:highlight w:val="none"/>
              </w:rPr>
            </w:pPr>
          </w:p>
        </w:tc>
        <w:tc>
          <w:tcPr>
            <w:tcW w:w="1602" w:type="dxa"/>
            <w:vAlign w:val="center"/>
          </w:tcPr>
          <w:p>
            <w:pPr>
              <w:pStyle w:val="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服务方案</w:t>
            </w:r>
          </w:p>
          <w:p>
            <w:pPr>
              <w:pStyle w:val="5"/>
              <w:rPr>
                <w:rFonts w:hint="eastAsia" w:ascii="宋体" w:hAnsi="宋体" w:eastAsia="宋体" w:cs="宋体"/>
                <w:sz w:val="21"/>
                <w:szCs w:val="21"/>
                <w:lang w:val="zh-CN" w:eastAsia="zh-CN"/>
              </w:rPr>
            </w:pPr>
            <w:r>
              <w:rPr>
                <w:rFonts w:hint="eastAsia" w:ascii="宋体" w:hAnsi="宋体" w:eastAsia="宋体" w:cs="宋体"/>
                <w:color w:val="auto"/>
                <w:kern w:val="2"/>
                <w:sz w:val="21"/>
                <w:szCs w:val="21"/>
                <w:highlight w:val="none"/>
                <w:lang w:val="en-US" w:eastAsia="zh-CN" w:bidi="ar-SA"/>
              </w:rPr>
              <w:t>（0-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r>
              <w:rPr>
                <w:rFonts w:hint="eastAsia" w:ascii="宋体" w:hAnsi="宋体" w:eastAsia="宋体" w:cs="宋体"/>
                <w:color w:val="auto"/>
                <w:kern w:val="2"/>
                <w:sz w:val="21"/>
                <w:szCs w:val="21"/>
                <w:highlight w:val="none"/>
                <w:lang w:val="en-US" w:eastAsia="zh-CN" w:bidi="ar-SA"/>
              </w:rPr>
              <w:t>）</w:t>
            </w:r>
          </w:p>
        </w:tc>
        <w:tc>
          <w:tcPr>
            <w:tcW w:w="6666" w:type="dxa"/>
            <w:vAlign w:val="center"/>
          </w:tcPr>
          <w:p>
            <w:pPr>
              <w:spacing w:line="288" w:lineRule="auto"/>
              <w:ind w:left="216" w:leftChars="103"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服务方案内容、流程、管理制度、方法健全、完善</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zh-CN" w:eastAsia="zh-CN" w:bidi="ar-SA"/>
              </w:rPr>
              <w:t>优秀的得</w:t>
            </w:r>
            <w:r>
              <w:rPr>
                <w:rFonts w:hint="eastAsia" w:ascii="宋体" w:hAnsi="宋体" w:cs="宋体"/>
                <w:color w:val="auto"/>
                <w:kern w:val="2"/>
                <w:sz w:val="21"/>
                <w:szCs w:val="21"/>
                <w:highlight w:val="none"/>
                <w:lang w:val="en-US" w:eastAsia="zh-CN" w:bidi="ar-SA"/>
              </w:rPr>
              <w:t>16</w:t>
            </w:r>
            <w:r>
              <w:rPr>
                <w:rFonts w:hint="eastAsia" w:ascii="宋体" w:hAnsi="宋体" w:eastAsia="宋体" w:cs="宋体"/>
                <w:color w:val="auto"/>
                <w:kern w:val="2"/>
                <w:sz w:val="21"/>
                <w:szCs w:val="21"/>
                <w:highlight w:val="none"/>
                <w:lang w:val="zh-CN" w:eastAsia="zh-CN" w:bidi="ar-SA"/>
              </w:rPr>
              <w:t>-</w:t>
            </w:r>
            <w:r>
              <w:rPr>
                <w:rFonts w:hint="eastAsia" w:ascii="宋体" w:hAnsi="宋体" w:cs="宋体"/>
                <w:color w:val="auto"/>
                <w:kern w:val="2"/>
                <w:sz w:val="21"/>
                <w:szCs w:val="21"/>
                <w:highlight w:val="none"/>
                <w:lang w:val="en-US" w:eastAsia="zh-CN" w:bidi="ar-SA"/>
              </w:rPr>
              <w:t>20</w:t>
            </w:r>
            <w:r>
              <w:rPr>
                <w:rFonts w:hint="eastAsia" w:ascii="宋体" w:hAnsi="宋体" w:eastAsia="宋体" w:cs="宋体"/>
                <w:color w:val="auto"/>
                <w:kern w:val="2"/>
                <w:sz w:val="21"/>
                <w:szCs w:val="21"/>
                <w:highlight w:val="none"/>
                <w:lang w:val="zh-CN" w:eastAsia="zh-CN" w:bidi="ar-SA"/>
              </w:rPr>
              <w:t>分；良好的得</w:t>
            </w: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zh-CN" w:eastAsia="zh-CN" w:bidi="ar-SA"/>
              </w:rPr>
              <w:t>-</w:t>
            </w:r>
            <w:r>
              <w:rPr>
                <w:rFonts w:hint="eastAsia" w:ascii="宋体" w:hAnsi="宋体"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zh-CN" w:eastAsia="zh-CN" w:bidi="ar-SA"/>
              </w:rPr>
              <w:t>分；一般的得1-</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zh-CN" w:eastAsia="zh-CN" w:bidi="ar-SA"/>
              </w:rPr>
              <w:t>分；没有的不得分。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5" w:hRule="atLeast"/>
        </w:trPr>
        <w:tc>
          <w:tcPr>
            <w:tcW w:w="1212" w:type="dxa"/>
            <w:vMerge w:val="continue"/>
            <w:tcBorders>
              <w:left w:val="single" w:color="auto" w:sz="4" w:space="0"/>
            </w:tcBorders>
            <w:vAlign w:val="center"/>
          </w:tcPr>
          <w:p>
            <w:pPr>
              <w:pStyle w:val="40"/>
              <w:spacing w:before="12"/>
              <w:ind w:left="175"/>
              <w:jc w:val="both"/>
              <w:rPr>
                <w:rFonts w:hint="eastAsia" w:ascii="宋体" w:hAnsi="宋体" w:eastAsia="宋体" w:cs="宋体"/>
                <w:color w:val="auto"/>
                <w:w w:val="90"/>
                <w:sz w:val="21"/>
                <w:szCs w:val="21"/>
                <w:highlight w:val="none"/>
              </w:rPr>
            </w:pPr>
          </w:p>
        </w:tc>
        <w:tc>
          <w:tcPr>
            <w:tcW w:w="1602" w:type="dxa"/>
            <w:vAlign w:val="center"/>
          </w:tcPr>
          <w:p>
            <w:pPr>
              <w:pStyle w:val="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w:t>
            </w:r>
            <w:r>
              <w:rPr>
                <w:rFonts w:hint="eastAsia" w:ascii="宋体" w:hAnsi="宋体" w:cs="宋体"/>
                <w:sz w:val="21"/>
                <w:szCs w:val="21"/>
                <w:lang w:val="en-US" w:eastAsia="zh-CN"/>
              </w:rPr>
              <w:t>承诺</w:t>
            </w:r>
          </w:p>
          <w:p>
            <w:pPr>
              <w:pStyle w:val="5"/>
              <w:ind w:left="0" w:leftChars="0" w:firstLine="0" w:firstLineChars="0"/>
              <w:jc w:val="center"/>
              <w:rPr>
                <w:rFonts w:hint="eastAsia" w:ascii="宋体" w:hAnsi="宋体" w:eastAsia="宋体" w:cs="宋体"/>
                <w:sz w:val="21"/>
                <w:szCs w:val="21"/>
                <w:lang w:val="zh-CN" w:eastAsia="zh-CN"/>
              </w:rPr>
            </w:pPr>
            <w:r>
              <w:rPr>
                <w:rFonts w:hint="eastAsia" w:ascii="宋体" w:hAnsi="宋体" w:eastAsia="宋体" w:cs="宋体"/>
                <w:color w:val="auto"/>
                <w:kern w:val="2"/>
                <w:sz w:val="21"/>
                <w:szCs w:val="21"/>
                <w:highlight w:val="none"/>
                <w:lang w:val="en-US" w:eastAsia="zh-CN" w:bidi="ar-SA"/>
              </w:rPr>
              <w:t>（0-</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eastAsia="宋体" w:cs="宋体"/>
                <w:color w:val="auto"/>
                <w:kern w:val="2"/>
                <w:sz w:val="21"/>
                <w:szCs w:val="21"/>
                <w:highlight w:val="none"/>
                <w:lang w:val="en-US" w:eastAsia="zh-CN" w:bidi="ar-SA"/>
              </w:rPr>
              <w:t>）</w:t>
            </w:r>
          </w:p>
        </w:tc>
        <w:tc>
          <w:tcPr>
            <w:tcW w:w="6666" w:type="dxa"/>
            <w:vAlign w:val="center"/>
          </w:tcPr>
          <w:p>
            <w:pPr>
              <w:spacing w:line="288" w:lineRule="auto"/>
              <w:ind w:left="216" w:leftChars="103" w:firstLine="0" w:firstLineChars="0"/>
              <w:jc w:val="both"/>
              <w:rPr>
                <w:rFonts w:hint="eastAsia" w:ascii="宋体" w:hAnsi="宋体" w:eastAsia="宋体" w:cs="宋体"/>
                <w:b/>
                <w:bCs/>
                <w:color w:val="auto"/>
                <w:kern w:val="2"/>
                <w:sz w:val="21"/>
                <w:szCs w:val="21"/>
                <w:highlight w:val="none"/>
                <w:lang w:val="en-US" w:eastAsia="zh-CN" w:bidi="ar-SA"/>
              </w:rPr>
            </w:pPr>
            <w:r>
              <w:rPr>
                <w:rFonts w:hint="eastAsia" w:ascii="仿宋" w:hAnsi="仿宋" w:eastAsia="仿宋" w:cs="宋体"/>
                <w:kern w:val="0"/>
                <w:sz w:val="24"/>
                <w:szCs w:val="24"/>
                <w:lang w:val="en-US" w:eastAsia="zh-CN"/>
              </w:rPr>
              <w:t xml:space="preserve"> </w:t>
            </w:r>
            <w:r>
              <w:rPr>
                <w:rFonts w:hint="eastAsia" w:ascii="宋体" w:hAnsi="宋体" w:eastAsia="宋体" w:cs="宋体"/>
                <w:color w:val="auto"/>
                <w:kern w:val="2"/>
                <w:sz w:val="21"/>
                <w:szCs w:val="21"/>
                <w:highlight w:val="none"/>
                <w:lang w:val="en-US" w:eastAsia="zh-CN" w:bidi="ar-SA"/>
              </w:rPr>
              <w:t>针对本项目的服务</w:t>
            </w:r>
            <w:r>
              <w:rPr>
                <w:rFonts w:hint="eastAsia" w:ascii="宋体" w:hAnsi="宋体" w:cs="宋体"/>
                <w:color w:val="auto"/>
                <w:kern w:val="2"/>
                <w:sz w:val="21"/>
                <w:szCs w:val="21"/>
                <w:highlight w:val="none"/>
                <w:lang w:val="en-US" w:eastAsia="zh-CN" w:bidi="ar-SA"/>
              </w:rPr>
              <w:t>质量</w:t>
            </w:r>
            <w:r>
              <w:rPr>
                <w:rFonts w:hint="eastAsia" w:ascii="宋体" w:hAnsi="宋体" w:eastAsia="宋体" w:cs="宋体"/>
                <w:color w:val="auto"/>
                <w:kern w:val="2"/>
                <w:sz w:val="21"/>
                <w:szCs w:val="21"/>
                <w:highlight w:val="none"/>
                <w:lang w:val="en-US" w:eastAsia="zh-CN" w:bidi="ar-SA"/>
              </w:rPr>
              <w:t>承诺指标明确，双方权责清晰，并且保证措施合理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zh-CN" w:eastAsia="zh-CN" w:bidi="ar-SA"/>
              </w:rPr>
              <w:t>优秀的得</w:t>
            </w:r>
            <w:r>
              <w:rPr>
                <w:rFonts w:hint="eastAsia" w:ascii="宋体" w:hAnsi="宋体" w:cs="宋体"/>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zh-CN" w:eastAsia="zh-CN" w:bidi="ar-SA"/>
              </w:rPr>
              <w:t>-1</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zh-CN" w:eastAsia="zh-CN" w:bidi="ar-SA"/>
              </w:rPr>
              <w:t>分；良好的得</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zh-CN" w:eastAsia="zh-CN" w:bidi="ar-SA"/>
              </w:rPr>
              <w:t>-</w:t>
            </w:r>
            <w:r>
              <w:rPr>
                <w:rFonts w:hint="eastAsia" w:ascii="宋体" w:hAnsi="宋体" w:cs="宋体"/>
                <w:color w:val="auto"/>
                <w:kern w:val="2"/>
                <w:sz w:val="21"/>
                <w:szCs w:val="21"/>
                <w:highlight w:val="none"/>
                <w:lang w:val="en-US" w:eastAsia="zh-CN" w:bidi="ar-SA"/>
              </w:rPr>
              <w:t>11</w:t>
            </w:r>
            <w:r>
              <w:rPr>
                <w:rFonts w:hint="eastAsia" w:ascii="宋体" w:hAnsi="宋体" w:eastAsia="宋体" w:cs="宋体"/>
                <w:color w:val="auto"/>
                <w:kern w:val="2"/>
                <w:sz w:val="21"/>
                <w:szCs w:val="21"/>
                <w:highlight w:val="none"/>
                <w:lang w:val="zh-CN" w:eastAsia="zh-CN" w:bidi="ar-SA"/>
              </w:rPr>
              <w:t>分；一般的得1-</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zh-CN" w:eastAsia="zh-CN" w:bidi="ar-SA"/>
              </w:rPr>
              <w:t>分；没有的不得分。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1" w:hRule="atLeast"/>
        </w:trPr>
        <w:tc>
          <w:tcPr>
            <w:tcW w:w="9480" w:type="dxa"/>
            <w:gridSpan w:val="3"/>
            <w:tcBorders>
              <w:top w:val="single" w:color="auto" w:sz="4" w:space="0"/>
              <w:left w:val="single" w:color="auto" w:sz="4" w:space="0"/>
              <w:bottom w:val="single" w:color="auto" w:sz="4" w:space="0"/>
              <w:right w:val="single" w:color="auto" w:sz="4" w:space="0"/>
            </w:tcBorders>
            <w:vAlign w:val="center"/>
          </w:tcPr>
          <w:p>
            <w:pPr>
              <w:pStyle w:val="40"/>
              <w:spacing w:before="12"/>
              <w:ind w:left="106"/>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 100分，供应商综合得分=</w:t>
            </w:r>
            <w:r>
              <w:rPr>
                <w:rFonts w:hint="eastAsia" w:ascii="宋体" w:hAnsi="宋体" w:eastAsia="宋体" w:cs="宋体"/>
                <w:b/>
                <w:color w:val="auto"/>
                <w:sz w:val="21"/>
                <w:szCs w:val="21"/>
                <w:highlight w:val="none"/>
                <w:lang w:val="en-US" w:eastAsia="zh-CN"/>
              </w:rPr>
              <w:t>磋商报价得分+</w:t>
            </w:r>
            <w:r>
              <w:rPr>
                <w:rFonts w:hint="eastAsia" w:ascii="宋体" w:hAnsi="宋体" w:eastAsia="宋体" w:cs="宋体"/>
                <w:b/>
                <w:color w:val="auto"/>
                <w:sz w:val="21"/>
                <w:szCs w:val="21"/>
                <w:highlight w:val="none"/>
              </w:rPr>
              <w:t>商务</w:t>
            </w:r>
            <w:r>
              <w:rPr>
                <w:rFonts w:hint="eastAsia" w:ascii="宋体" w:hAnsi="宋体" w:eastAsia="宋体" w:cs="宋体"/>
                <w:b/>
                <w:color w:val="auto"/>
                <w:sz w:val="21"/>
                <w:szCs w:val="21"/>
                <w:highlight w:val="none"/>
                <w:lang w:val="en-US" w:eastAsia="zh-CN"/>
              </w:rPr>
              <w:t>部分</w:t>
            </w:r>
            <w:r>
              <w:rPr>
                <w:rFonts w:hint="eastAsia" w:ascii="宋体" w:hAnsi="宋体" w:eastAsia="宋体" w:cs="宋体"/>
                <w:b/>
                <w:color w:val="auto"/>
                <w:sz w:val="21"/>
                <w:szCs w:val="21"/>
                <w:highlight w:val="none"/>
              </w:rPr>
              <w:t>得分+技术</w:t>
            </w:r>
            <w:r>
              <w:rPr>
                <w:rFonts w:hint="eastAsia" w:ascii="宋体" w:hAnsi="宋体" w:eastAsia="宋体" w:cs="宋体"/>
                <w:b/>
                <w:color w:val="auto"/>
                <w:sz w:val="21"/>
                <w:szCs w:val="21"/>
                <w:highlight w:val="none"/>
                <w:lang w:val="en-US" w:eastAsia="zh-CN"/>
              </w:rPr>
              <w:t>部分</w:t>
            </w:r>
            <w:r>
              <w:rPr>
                <w:rFonts w:hint="eastAsia" w:ascii="宋体" w:hAnsi="宋体" w:eastAsia="宋体" w:cs="宋体"/>
                <w:b/>
                <w:color w:val="auto"/>
                <w:sz w:val="21"/>
                <w:szCs w:val="21"/>
                <w:highlight w:val="none"/>
              </w:rPr>
              <w:t>得分。</w:t>
            </w:r>
          </w:p>
          <w:p>
            <w:pPr>
              <w:pStyle w:val="40"/>
              <w:spacing w:before="12"/>
              <w:ind w:left="106"/>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评分计算结果保留两位小数，第三位小数四舍五入。</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color w:val="auto"/>
          <w:sz w:val="21"/>
          <w:szCs w:val="21"/>
          <w:highlight w:val="none"/>
          <w:lang w:val="en-US" w:eastAsia="zh-CN"/>
        </w:rPr>
      </w:pPr>
      <w:bookmarkStart w:id="386" w:name="_GoBack"/>
      <w:bookmarkEnd w:id="386"/>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color w:val="auto"/>
          <w:sz w:val="21"/>
          <w:szCs w:val="21"/>
          <w:highlight w:val="none"/>
          <w:lang w:val="en-US" w:eastAsia="zh-CN"/>
        </w:rPr>
      </w:pPr>
    </w:p>
    <w:p>
      <w:pPr>
        <w:pStyle w:val="2"/>
        <w:rPr>
          <w:rFonts w:hint="eastAsia" w:ascii="宋体" w:hAnsi="宋体" w:eastAsia="宋体" w:cs="宋体"/>
          <w:b/>
          <w:color w:val="auto"/>
          <w:sz w:val="21"/>
          <w:szCs w:val="21"/>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after="95" w:afterLines="30" w:line="300" w:lineRule="exact"/>
        <w:jc w:val="both"/>
        <w:textAlignment w:val="auto"/>
        <w:rPr>
          <w:rFonts w:hint="eastAsia" w:ascii="宋体" w:hAnsi="宋体" w:eastAsia="宋体" w:cs="宋体"/>
          <w:b/>
          <w:color w:val="auto"/>
          <w:sz w:val="21"/>
          <w:szCs w:val="21"/>
          <w:highlight w:val="none"/>
          <w:lang w:val="en-US" w:eastAsia="zh-CN"/>
        </w:rPr>
      </w:pPr>
    </w:p>
    <w:sectPr>
      <w:headerReference r:id="rId15" w:type="default"/>
      <w:footerReference r:id="rId16" w:type="default"/>
      <w:pgSz w:w="11906" w:h="16838"/>
      <w:pgMar w:top="1440" w:right="1486" w:bottom="1440" w:left="16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体">
    <w:altName w:val="宋体"/>
    <w:panose1 w:val="00000000000000000000"/>
    <w:charset w:val="86"/>
    <w:family w:val="roma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ó×.2">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7"/>
      </w:rPr>
    </w:pPr>
    <w:r>
      <w:fldChar w:fldCharType="begin"/>
    </w:r>
    <w:r>
      <w:rPr>
        <w:rStyle w:val="27"/>
      </w:rPr>
      <w:instrText xml:space="preserve">PAGE  </w:instrText>
    </w:r>
    <w:r>
      <w:fldChar w:fldCharType="end"/>
    </w:r>
  </w:p>
  <w:p>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jc w:val="center"/>
                          </w:pPr>
                          <w:r>
                            <w:fldChar w:fldCharType="begin"/>
                          </w:r>
                          <w:r>
                            <w:instrText xml:space="preserve">PAGE   \* MERGEFORMAT</w:instrText>
                          </w:r>
                          <w:r>
                            <w:fldChar w:fldCharType="separate"/>
                          </w:r>
                          <w:r>
                            <w:rPr>
                              <w:lang w:val="zh-CN"/>
                            </w:rPr>
                            <w:t>54</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17"/>
                      <w:jc w:val="center"/>
                    </w:pPr>
                    <w:r>
                      <w:fldChar w:fldCharType="begin"/>
                    </w:r>
                    <w:r>
                      <w:instrText xml:space="preserve">PAGE   \* MERGEFORMAT</w:instrText>
                    </w:r>
                    <w:r>
                      <w:fldChar w:fldCharType="separate"/>
                    </w:r>
                    <w:r>
                      <w:rPr>
                        <w:lang w:val="zh-CN"/>
                      </w:rPr>
                      <w:t>54</w:t>
                    </w:r>
                    <w:r>
                      <w:rPr>
                        <w:lang w:val="zh-CN"/>
                      </w:rPr>
                      <w:fldChar w:fldCharType="end"/>
                    </w:r>
                  </w:p>
                </w:txbxContent>
              </v:textbox>
            </v:shape>
          </w:pict>
        </mc:Fallback>
      </mc:AlternateContent>
    </w:r>
  </w:p>
  <w:p>
    <w:pPr>
      <w:pStyle w:val="1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- 34 -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- 34 -</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- 46 -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pPr>
    <w:r>
      <w:rPr>
        <w:rFonts w:hint="eastAsia" w:cs="宋体"/>
        <w:b/>
        <w:bCs/>
        <w:i/>
        <w:iCs/>
        <w:color w:val="3366FF"/>
        <w:sz w:val="21"/>
        <w:szCs w:val="21"/>
      </w:rPr>
      <w:drawing>
        <wp:inline distT="0" distB="0" distL="0" distR="0">
          <wp:extent cx="1181100" cy="295275"/>
          <wp:effectExtent l="0" t="0" r="0" b="9525"/>
          <wp:docPr id="4097" name="图片 1" descr="微信图片_20210223145937"/>
          <wp:cNvGraphicFramePr/>
          <a:graphic xmlns:a="http://schemas.openxmlformats.org/drawingml/2006/main">
            <a:graphicData uri="http://schemas.openxmlformats.org/drawingml/2006/picture">
              <pic:pic xmlns:pic="http://schemas.openxmlformats.org/drawingml/2006/picture">
                <pic:nvPicPr>
                  <pic:cNvPr id="4097" name="图片 1" descr="微信图片_20210223145937"/>
                  <pic:cNvPicPr/>
                </pic:nvPicPr>
                <pic:blipFill>
                  <a:blip r:embed="rId1" cstate="print"/>
                  <a:srcRect/>
                  <a:stretch>
                    <a:fillRect/>
                  </a:stretch>
                </pic:blipFill>
                <pic:spPr>
                  <a:xfrm>
                    <a:off x="0" y="0"/>
                    <a:ext cx="1181100" cy="295275"/>
                  </a:xfrm>
                  <a:prstGeom prst="rect">
                    <a:avLst/>
                  </a:prstGeom>
                </pic:spPr>
              </pic:pic>
            </a:graphicData>
          </a:graphic>
        </wp:inline>
      </w:drawing>
    </w:r>
    <w:r>
      <w:rPr>
        <w:rFonts w:hint="eastAsia" w:cs="宋体"/>
        <w:b/>
        <w:bCs/>
        <w:i w:val="0"/>
        <w:iCs w:val="0"/>
        <w:color w:val="3366FF"/>
        <w:sz w:val="21"/>
        <w:szCs w:val="21"/>
      </w:rPr>
      <w:t>科学公正、守法诚信、优质高效、务实创新、为顾客提供满意的服务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7"/>
      <w:numFmt w:val="chineseCounting"/>
      <w:suff w:val="nothing"/>
      <w:lvlText w:val="%1、"/>
      <w:lvlJc w:val="left"/>
      <w:rPr>
        <w:rFonts w:hint="eastAsia"/>
      </w:rPr>
    </w:lvl>
  </w:abstractNum>
  <w:abstractNum w:abstractNumId="1">
    <w:nsid w:val="31D7F170"/>
    <w:multiLevelType w:val="singleLevel"/>
    <w:tmpl w:val="31D7F170"/>
    <w:lvl w:ilvl="0" w:tentative="0">
      <w:start w:val="1"/>
      <w:numFmt w:val="decimal"/>
      <w:suff w:val="space"/>
      <w:lvlText w:val="(%1)"/>
      <w:lvlJc w:val="left"/>
    </w:lvl>
  </w:abstractNum>
  <w:abstractNum w:abstractNumId="2">
    <w:nsid w:val="3287E947"/>
    <w:multiLevelType w:val="singleLevel"/>
    <w:tmpl w:val="3287E947"/>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04A95"/>
    <w:rsid w:val="00045C3A"/>
    <w:rsid w:val="0004637B"/>
    <w:rsid w:val="000725E0"/>
    <w:rsid w:val="000C1451"/>
    <w:rsid w:val="00145F98"/>
    <w:rsid w:val="001B7605"/>
    <w:rsid w:val="001D4A51"/>
    <w:rsid w:val="0020615F"/>
    <w:rsid w:val="002B66EF"/>
    <w:rsid w:val="002E7E97"/>
    <w:rsid w:val="00305883"/>
    <w:rsid w:val="00306C1D"/>
    <w:rsid w:val="00315921"/>
    <w:rsid w:val="003913B3"/>
    <w:rsid w:val="004543AC"/>
    <w:rsid w:val="00533E4B"/>
    <w:rsid w:val="005D4A34"/>
    <w:rsid w:val="006D5270"/>
    <w:rsid w:val="00746000"/>
    <w:rsid w:val="007D4B67"/>
    <w:rsid w:val="00822C18"/>
    <w:rsid w:val="00927814"/>
    <w:rsid w:val="009364C7"/>
    <w:rsid w:val="00993376"/>
    <w:rsid w:val="009B3ACF"/>
    <w:rsid w:val="00AC07B9"/>
    <w:rsid w:val="00C7599B"/>
    <w:rsid w:val="00C82A1E"/>
    <w:rsid w:val="00CD7C0E"/>
    <w:rsid w:val="00D4613E"/>
    <w:rsid w:val="00D60CCA"/>
    <w:rsid w:val="00E30219"/>
    <w:rsid w:val="00F636C4"/>
    <w:rsid w:val="00F735C3"/>
    <w:rsid w:val="00FC2C02"/>
    <w:rsid w:val="01237BE5"/>
    <w:rsid w:val="0138456B"/>
    <w:rsid w:val="014413AB"/>
    <w:rsid w:val="018F01C9"/>
    <w:rsid w:val="019260F9"/>
    <w:rsid w:val="01AC420A"/>
    <w:rsid w:val="01B07BE9"/>
    <w:rsid w:val="01B15E4E"/>
    <w:rsid w:val="01BE2430"/>
    <w:rsid w:val="01F354DD"/>
    <w:rsid w:val="020302AF"/>
    <w:rsid w:val="020E51E1"/>
    <w:rsid w:val="02254726"/>
    <w:rsid w:val="02372D8A"/>
    <w:rsid w:val="02457847"/>
    <w:rsid w:val="02711FA2"/>
    <w:rsid w:val="027362CC"/>
    <w:rsid w:val="028C1E86"/>
    <w:rsid w:val="028E239D"/>
    <w:rsid w:val="02921FCF"/>
    <w:rsid w:val="029A3D6E"/>
    <w:rsid w:val="02A410A9"/>
    <w:rsid w:val="02AD62A7"/>
    <w:rsid w:val="02B119CA"/>
    <w:rsid w:val="02C910DE"/>
    <w:rsid w:val="02D57BED"/>
    <w:rsid w:val="02ED1948"/>
    <w:rsid w:val="032D3B94"/>
    <w:rsid w:val="034C7867"/>
    <w:rsid w:val="0350052E"/>
    <w:rsid w:val="03715449"/>
    <w:rsid w:val="03760A69"/>
    <w:rsid w:val="037D4B14"/>
    <w:rsid w:val="038633B4"/>
    <w:rsid w:val="03B27976"/>
    <w:rsid w:val="03BE34EF"/>
    <w:rsid w:val="03E10DFD"/>
    <w:rsid w:val="04126FB3"/>
    <w:rsid w:val="04190506"/>
    <w:rsid w:val="045464D7"/>
    <w:rsid w:val="045B606D"/>
    <w:rsid w:val="04696DBE"/>
    <w:rsid w:val="048A069C"/>
    <w:rsid w:val="04AD62B3"/>
    <w:rsid w:val="04B40F7D"/>
    <w:rsid w:val="04C8285C"/>
    <w:rsid w:val="04CE1DCF"/>
    <w:rsid w:val="04E634C1"/>
    <w:rsid w:val="04EB18B0"/>
    <w:rsid w:val="04EE640B"/>
    <w:rsid w:val="04F40F0A"/>
    <w:rsid w:val="04FB0BB2"/>
    <w:rsid w:val="05077C65"/>
    <w:rsid w:val="05345C07"/>
    <w:rsid w:val="053A4FD1"/>
    <w:rsid w:val="05630439"/>
    <w:rsid w:val="0564261D"/>
    <w:rsid w:val="05694D1B"/>
    <w:rsid w:val="056E5485"/>
    <w:rsid w:val="05902AB1"/>
    <w:rsid w:val="05B757A8"/>
    <w:rsid w:val="05C27369"/>
    <w:rsid w:val="05C3018B"/>
    <w:rsid w:val="05D00697"/>
    <w:rsid w:val="05DB3226"/>
    <w:rsid w:val="05E1620A"/>
    <w:rsid w:val="05E3531A"/>
    <w:rsid w:val="05E44F4C"/>
    <w:rsid w:val="05E76440"/>
    <w:rsid w:val="05F21199"/>
    <w:rsid w:val="062D529E"/>
    <w:rsid w:val="063644DB"/>
    <w:rsid w:val="064E1DE9"/>
    <w:rsid w:val="065D2915"/>
    <w:rsid w:val="06620544"/>
    <w:rsid w:val="06655DEA"/>
    <w:rsid w:val="067B202F"/>
    <w:rsid w:val="069F3CB1"/>
    <w:rsid w:val="06A87C0B"/>
    <w:rsid w:val="06A904C1"/>
    <w:rsid w:val="06BF3675"/>
    <w:rsid w:val="06CD1894"/>
    <w:rsid w:val="06D23B8D"/>
    <w:rsid w:val="06D32AA9"/>
    <w:rsid w:val="06DE1E85"/>
    <w:rsid w:val="06FA41C0"/>
    <w:rsid w:val="07051590"/>
    <w:rsid w:val="07064BA0"/>
    <w:rsid w:val="071666A2"/>
    <w:rsid w:val="07275FF7"/>
    <w:rsid w:val="07286CD7"/>
    <w:rsid w:val="076270E5"/>
    <w:rsid w:val="07855BAD"/>
    <w:rsid w:val="07887FEF"/>
    <w:rsid w:val="07AB564F"/>
    <w:rsid w:val="07AE0F00"/>
    <w:rsid w:val="07BA309C"/>
    <w:rsid w:val="07BE3EE0"/>
    <w:rsid w:val="07C83DE8"/>
    <w:rsid w:val="07D76CCE"/>
    <w:rsid w:val="07DF699F"/>
    <w:rsid w:val="07E570F0"/>
    <w:rsid w:val="07F155DF"/>
    <w:rsid w:val="07F95ABA"/>
    <w:rsid w:val="08090B9D"/>
    <w:rsid w:val="08181E8C"/>
    <w:rsid w:val="08223012"/>
    <w:rsid w:val="083549FE"/>
    <w:rsid w:val="083C1C6A"/>
    <w:rsid w:val="0854330B"/>
    <w:rsid w:val="085A3315"/>
    <w:rsid w:val="089722FE"/>
    <w:rsid w:val="08CC47DB"/>
    <w:rsid w:val="08DE7243"/>
    <w:rsid w:val="08E7079B"/>
    <w:rsid w:val="08F01F15"/>
    <w:rsid w:val="08FC086F"/>
    <w:rsid w:val="08FC1DEF"/>
    <w:rsid w:val="09002E51"/>
    <w:rsid w:val="0914131B"/>
    <w:rsid w:val="093F69F8"/>
    <w:rsid w:val="0964585E"/>
    <w:rsid w:val="096545A8"/>
    <w:rsid w:val="0966265E"/>
    <w:rsid w:val="096C68BE"/>
    <w:rsid w:val="09992A93"/>
    <w:rsid w:val="09993ECE"/>
    <w:rsid w:val="09C93E1D"/>
    <w:rsid w:val="09CF54D6"/>
    <w:rsid w:val="09DE2FFA"/>
    <w:rsid w:val="09E11904"/>
    <w:rsid w:val="09E14DA8"/>
    <w:rsid w:val="09EA4228"/>
    <w:rsid w:val="0A0A49CC"/>
    <w:rsid w:val="0A135DB2"/>
    <w:rsid w:val="0A2235FA"/>
    <w:rsid w:val="0A29073B"/>
    <w:rsid w:val="0A5629FD"/>
    <w:rsid w:val="0A575200"/>
    <w:rsid w:val="0A64542E"/>
    <w:rsid w:val="0A804674"/>
    <w:rsid w:val="0AA2391D"/>
    <w:rsid w:val="0AD32D1C"/>
    <w:rsid w:val="0ADE6E10"/>
    <w:rsid w:val="0B073E1A"/>
    <w:rsid w:val="0B131095"/>
    <w:rsid w:val="0B17694F"/>
    <w:rsid w:val="0B1845FE"/>
    <w:rsid w:val="0B1A1C62"/>
    <w:rsid w:val="0B2831D8"/>
    <w:rsid w:val="0B2D0ACC"/>
    <w:rsid w:val="0B431462"/>
    <w:rsid w:val="0B52005D"/>
    <w:rsid w:val="0B8033E6"/>
    <w:rsid w:val="0B8C5877"/>
    <w:rsid w:val="0BAF49D6"/>
    <w:rsid w:val="0BD166DB"/>
    <w:rsid w:val="0C037DF0"/>
    <w:rsid w:val="0C0F687C"/>
    <w:rsid w:val="0C1B1038"/>
    <w:rsid w:val="0C3F2075"/>
    <w:rsid w:val="0C5D6DFF"/>
    <w:rsid w:val="0C5E0069"/>
    <w:rsid w:val="0C5F2932"/>
    <w:rsid w:val="0C7342FA"/>
    <w:rsid w:val="0CD20166"/>
    <w:rsid w:val="0CD80D91"/>
    <w:rsid w:val="0CDE04F0"/>
    <w:rsid w:val="0D454706"/>
    <w:rsid w:val="0D47378E"/>
    <w:rsid w:val="0D4F2867"/>
    <w:rsid w:val="0D653342"/>
    <w:rsid w:val="0D8668CD"/>
    <w:rsid w:val="0D887384"/>
    <w:rsid w:val="0D916EC1"/>
    <w:rsid w:val="0DB00BC0"/>
    <w:rsid w:val="0DCE63F3"/>
    <w:rsid w:val="0DDB7B39"/>
    <w:rsid w:val="0DE320AD"/>
    <w:rsid w:val="0DE41035"/>
    <w:rsid w:val="0DF26FAC"/>
    <w:rsid w:val="0E2E7AD6"/>
    <w:rsid w:val="0E3F4DC1"/>
    <w:rsid w:val="0E4F6850"/>
    <w:rsid w:val="0E5405FA"/>
    <w:rsid w:val="0E624A93"/>
    <w:rsid w:val="0E72399C"/>
    <w:rsid w:val="0E7C68F7"/>
    <w:rsid w:val="0E902429"/>
    <w:rsid w:val="0EB95A0A"/>
    <w:rsid w:val="0EC80501"/>
    <w:rsid w:val="0ED66635"/>
    <w:rsid w:val="0EEA1C0B"/>
    <w:rsid w:val="0EF177CC"/>
    <w:rsid w:val="0EF220D1"/>
    <w:rsid w:val="0F0D4924"/>
    <w:rsid w:val="0F1431C9"/>
    <w:rsid w:val="0F150294"/>
    <w:rsid w:val="0F361EBA"/>
    <w:rsid w:val="0F51692B"/>
    <w:rsid w:val="0F552E49"/>
    <w:rsid w:val="0F660B27"/>
    <w:rsid w:val="0F765C7E"/>
    <w:rsid w:val="0F822B6C"/>
    <w:rsid w:val="0F8E2A53"/>
    <w:rsid w:val="0F9421FB"/>
    <w:rsid w:val="0F9B0D8D"/>
    <w:rsid w:val="0FB02B1B"/>
    <w:rsid w:val="0FC95C6E"/>
    <w:rsid w:val="0FDE19B9"/>
    <w:rsid w:val="0FF63CE8"/>
    <w:rsid w:val="101B460D"/>
    <w:rsid w:val="101C0796"/>
    <w:rsid w:val="1056150C"/>
    <w:rsid w:val="1058216A"/>
    <w:rsid w:val="1060383B"/>
    <w:rsid w:val="10627D06"/>
    <w:rsid w:val="106326EF"/>
    <w:rsid w:val="1070677B"/>
    <w:rsid w:val="10733DF5"/>
    <w:rsid w:val="10775FAC"/>
    <w:rsid w:val="107B17B8"/>
    <w:rsid w:val="108F761D"/>
    <w:rsid w:val="1098354D"/>
    <w:rsid w:val="10C2254C"/>
    <w:rsid w:val="10FF2E8A"/>
    <w:rsid w:val="11010968"/>
    <w:rsid w:val="1108607D"/>
    <w:rsid w:val="110E40B6"/>
    <w:rsid w:val="111254A7"/>
    <w:rsid w:val="11244F9E"/>
    <w:rsid w:val="112F4A97"/>
    <w:rsid w:val="113114BE"/>
    <w:rsid w:val="113551E6"/>
    <w:rsid w:val="113D4520"/>
    <w:rsid w:val="115C7E46"/>
    <w:rsid w:val="118A269E"/>
    <w:rsid w:val="11B70D29"/>
    <w:rsid w:val="11BB0A89"/>
    <w:rsid w:val="11E14FA3"/>
    <w:rsid w:val="11E23680"/>
    <w:rsid w:val="11E309B0"/>
    <w:rsid w:val="11EE63B6"/>
    <w:rsid w:val="11FA4E13"/>
    <w:rsid w:val="12086FC5"/>
    <w:rsid w:val="120C73A3"/>
    <w:rsid w:val="122B2066"/>
    <w:rsid w:val="12583EBD"/>
    <w:rsid w:val="125E4570"/>
    <w:rsid w:val="12691C5C"/>
    <w:rsid w:val="12A113AE"/>
    <w:rsid w:val="12D90CB7"/>
    <w:rsid w:val="12E2258F"/>
    <w:rsid w:val="12F52BE6"/>
    <w:rsid w:val="12F67B4C"/>
    <w:rsid w:val="12FF3025"/>
    <w:rsid w:val="130D09A7"/>
    <w:rsid w:val="1318012F"/>
    <w:rsid w:val="13181B03"/>
    <w:rsid w:val="13182BC0"/>
    <w:rsid w:val="131D5C01"/>
    <w:rsid w:val="137375F6"/>
    <w:rsid w:val="137730C8"/>
    <w:rsid w:val="137D77A4"/>
    <w:rsid w:val="13C03477"/>
    <w:rsid w:val="13F13DA5"/>
    <w:rsid w:val="14020CA3"/>
    <w:rsid w:val="141113EE"/>
    <w:rsid w:val="14242D54"/>
    <w:rsid w:val="14263AD5"/>
    <w:rsid w:val="144841B5"/>
    <w:rsid w:val="144C0238"/>
    <w:rsid w:val="14555FD9"/>
    <w:rsid w:val="1464677C"/>
    <w:rsid w:val="149660DE"/>
    <w:rsid w:val="14980D93"/>
    <w:rsid w:val="149B16E7"/>
    <w:rsid w:val="14A91F42"/>
    <w:rsid w:val="14B06990"/>
    <w:rsid w:val="14DF306E"/>
    <w:rsid w:val="150736E4"/>
    <w:rsid w:val="150A7BD0"/>
    <w:rsid w:val="151D78E4"/>
    <w:rsid w:val="1526009B"/>
    <w:rsid w:val="15293776"/>
    <w:rsid w:val="152C75B4"/>
    <w:rsid w:val="153033F9"/>
    <w:rsid w:val="154243DF"/>
    <w:rsid w:val="15572620"/>
    <w:rsid w:val="156F08E0"/>
    <w:rsid w:val="158E1E89"/>
    <w:rsid w:val="15A04406"/>
    <w:rsid w:val="15BD27B5"/>
    <w:rsid w:val="15C5034A"/>
    <w:rsid w:val="15C9701E"/>
    <w:rsid w:val="15D5467A"/>
    <w:rsid w:val="15D75175"/>
    <w:rsid w:val="15EF1B87"/>
    <w:rsid w:val="160D7BD5"/>
    <w:rsid w:val="16240616"/>
    <w:rsid w:val="162665B0"/>
    <w:rsid w:val="162D490E"/>
    <w:rsid w:val="165069AC"/>
    <w:rsid w:val="16707D0F"/>
    <w:rsid w:val="167F3DFF"/>
    <w:rsid w:val="1697347B"/>
    <w:rsid w:val="16B6387D"/>
    <w:rsid w:val="16B70DA5"/>
    <w:rsid w:val="16BC52C2"/>
    <w:rsid w:val="16BF4FCD"/>
    <w:rsid w:val="16E2516C"/>
    <w:rsid w:val="16EB691A"/>
    <w:rsid w:val="17216860"/>
    <w:rsid w:val="172D1D04"/>
    <w:rsid w:val="172F066C"/>
    <w:rsid w:val="17443693"/>
    <w:rsid w:val="17525D76"/>
    <w:rsid w:val="17570F8B"/>
    <w:rsid w:val="176068C7"/>
    <w:rsid w:val="17681752"/>
    <w:rsid w:val="17774902"/>
    <w:rsid w:val="178B1320"/>
    <w:rsid w:val="1792682F"/>
    <w:rsid w:val="17B542A8"/>
    <w:rsid w:val="17DB257D"/>
    <w:rsid w:val="17DC2C14"/>
    <w:rsid w:val="18157641"/>
    <w:rsid w:val="181B6C66"/>
    <w:rsid w:val="182A0E0A"/>
    <w:rsid w:val="18346513"/>
    <w:rsid w:val="18425691"/>
    <w:rsid w:val="18430D16"/>
    <w:rsid w:val="1847521E"/>
    <w:rsid w:val="1849364C"/>
    <w:rsid w:val="184D5775"/>
    <w:rsid w:val="18571F2A"/>
    <w:rsid w:val="186361D3"/>
    <w:rsid w:val="186758E5"/>
    <w:rsid w:val="186E5413"/>
    <w:rsid w:val="187B1037"/>
    <w:rsid w:val="187E446C"/>
    <w:rsid w:val="188456F7"/>
    <w:rsid w:val="188652C5"/>
    <w:rsid w:val="18925228"/>
    <w:rsid w:val="18BF3435"/>
    <w:rsid w:val="18BF76EE"/>
    <w:rsid w:val="18C05D6C"/>
    <w:rsid w:val="18D83537"/>
    <w:rsid w:val="18DC6C4A"/>
    <w:rsid w:val="1901030D"/>
    <w:rsid w:val="191319E9"/>
    <w:rsid w:val="192833C2"/>
    <w:rsid w:val="193550FF"/>
    <w:rsid w:val="194673FF"/>
    <w:rsid w:val="1947201A"/>
    <w:rsid w:val="195418D8"/>
    <w:rsid w:val="19584CA7"/>
    <w:rsid w:val="195B362A"/>
    <w:rsid w:val="19662614"/>
    <w:rsid w:val="197811D6"/>
    <w:rsid w:val="198454BD"/>
    <w:rsid w:val="198B3DBE"/>
    <w:rsid w:val="198D730B"/>
    <w:rsid w:val="198E2582"/>
    <w:rsid w:val="19AA7869"/>
    <w:rsid w:val="19AE35EA"/>
    <w:rsid w:val="19BC7CB0"/>
    <w:rsid w:val="19CF7EB0"/>
    <w:rsid w:val="19D02FA9"/>
    <w:rsid w:val="19E77F49"/>
    <w:rsid w:val="19F44395"/>
    <w:rsid w:val="1A0E12F2"/>
    <w:rsid w:val="1A3B49C4"/>
    <w:rsid w:val="1A3D4FED"/>
    <w:rsid w:val="1A4B488C"/>
    <w:rsid w:val="1A6D76D7"/>
    <w:rsid w:val="1A81695C"/>
    <w:rsid w:val="1A847F8B"/>
    <w:rsid w:val="1A9A320F"/>
    <w:rsid w:val="1AA26833"/>
    <w:rsid w:val="1ABB71BE"/>
    <w:rsid w:val="1ABD3340"/>
    <w:rsid w:val="1ABF1D44"/>
    <w:rsid w:val="1ACC15FD"/>
    <w:rsid w:val="1AE431B9"/>
    <w:rsid w:val="1AEF122D"/>
    <w:rsid w:val="1AF854BF"/>
    <w:rsid w:val="1B224B8B"/>
    <w:rsid w:val="1B2E19F3"/>
    <w:rsid w:val="1B4136F9"/>
    <w:rsid w:val="1B4C016B"/>
    <w:rsid w:val="1B4D36E0"/>
    <w:rsid w:val="1B527D7D"/>
    <w:rsid w:val="1B5A3640"/>
    <w:rsid w:val="1B5F5AB3"/>
    <w:rsid w:val="1B680D5A"/>
    <w:rsid w:val="1B6E38BC"/>
    <w:rsid w:val="1B6E4418"/>
    <w:rsid w:val="1B986260"/>
    <w:rsid w:val="1BC535BF"/>
    <w:rsid w:val="1BD14242"/>
    <w:rsid w:val="1BD95AA5"/>
    <w:rsid w:val="1BF9466A"/>
    <w:rsid w:val="1BFC5069"/>
    <w:rsid w:val="1C1E3A38"/>
    <w:rsid w:val="1C3550B6"/>
    <w:rsid w:val="1C3607DC"/>
    <w:rsid w:val="1C3642CF"/>
    <w:rsid w:val="1C3840CA"/>
    <w:rsid w:val="1C4563FE"/>
    <w:rsid w:val="1C6C33EF"/>
    <w:rsid w:val="1C6D05AC"/>
    <w:rsid w:val="1C823004"/>
    <w:rsid w:val="1CA6481E"/>
    <w:rsid w:val="1CA71DB4"/>
    <w:rsid w:val="1CAA7C13"/>
    <w:rsid w:val="1CE43AA0"/>
    <w:rsid w:val="1CF241B4"/>
    <w:rsid w:val="1D1547B2"/>
    <w:rsid w:val="1D39053F"/>
    <w:rsid w:val="1D5C1A39"/>
    <w:rsid w:val="1D647268"/>
    <w:rsid w:val="1D705AE4"/>
    <w:rsid w:val="1D7E4906"/>
    <w:rsid w:val="1D80655A"/>
    <w:rsid w:val="1D82332A"/>
    <w:rsid w:val="1D8E2772"/>
    <w:rsid w:val="1D997D78"/>
    <w:rsid w:val="1DC41D19"/>
    <w:rsid w:val="1DD211FE"/>
    <w:rsid w:val="1DE20716"/>
    <w:rsid w:val="1DF54564"/>
    <w:rsid w:val="1DF66883"/>
    <w:rsid w:val="1E254A97"/>
    <w:rsid w:val="1E562334"/>
    <w:rsid w:val="1E587A5C"/>
    <w:rsid w:val="1E842BBB"/>
    <w:rsid w:val="1E854BF2"/>
    <w:rsid w:val="1E8E1D5F"/>
    <w:rsid w:val="1E8F28CF"/>
    <w:rsid w:val="1E9A75A4"/>
    <w:rsid w:val="1EA75BF7"/>
    <w:rsid w:val="1EC201EB"/>
    <w:rsid w:val="1ECA79FC"/>
    <w:rsid w:val="1EF31A48"/>
    <w:rsid w:val="1F0159BB"/>
    <w:rsid w:val="1F142DA3"/>
    <w:rsid w:val="1F234D3F"/>
    <w:rsid w:val="1F431777"/>
    <w:rsid w:val="1F4C2A98"/>
    <w:rsid w:val="1F621153"/>
    <w:rsid w:val="1F965CA9"/>
    <w:rsid w:val="1F973EF0"/>
    <w:rsid w:val="1F9B2BCC"/>
    <w:rsid w:val="1FA035A7"/>
    <w:rsid w:val="1FA559CD"/>
    <w:rsid w:val="1FB27C86"/>
    <w:rsid w:val="1FB87BFA"/>
    <w:rsid w:val="1FC87825"/>
    <w:rsid w:val="1FE664F9"/>
    <w:rsid w:val="1FF308FC"/>
    <w:rsid w:val="1FF83525"/>
    <w:rsid w:val="20150858"/>
    <w:rsid w:val="201B5247"/>
    <w:rsid w:val="202274A7"/>
    <w:rsid w:val="20577592"/>
    <w:rsid w:val="205A5825"/>
    <w:rsid w:val="20622C0A"/>
    <w:rsid w:val="206E47ED"/>
    <w:rsid w:val="206E6068"/>
    <w:rsid w:val="20765958"/>
    <w:rsid w:val="207F0AB2"/>
    <w:rsid w:val="208130B1"/>
    <w:rsid w:val="208E2950"/>
    <w:rsid w:val="20963EAC"/>
    <w:rsid w:val="209D2A0F"/>
    <w:rsid w:val="20F3134C"/>
    <w:rsid w:val="20F61559"/>
    <w:rsid w:val="20F77EBC"/>
    <w:rsid w:val="21184BDE"/>
    <w:rsid w:val="21251F39"/>
    <w:rsid w:val="21311C8E"/>
    <w:rsid w:val="213748C7"/>
    <w:rsid w:val="217425F8"/>
    <w:rsid w:val="21956A2B"/>
    <w:rsid w:val="219F422D"/>
    <w:rsid w:val="21A0693D"/>
    <w:rsid w:val="21A83282"/>
    <w:rsid w:val="21B25C30"/>
    <w:rsid w:val="21BF6D5B"/>
    <w:rsid w:val="21CC4598"/>
    <w:rsid w:val="21CF2173"/>
    <w:rsid w:val="21D26F1D"/>
    <w:rsid w:val="21D87476"/>
    <w:rsid w:val="21D964FC"/>
    <w:rsid w:val="21DD36A1"/>
    <w:rsid w:val="21E166A9"/>
    <w:rsid w:val="21ED7F4F"/>
    <w:rsid w:val="21F45B00"/>
    <w:rsid w:val="221A2761"/>
    <w:rsid w:val="22373F86"/>
    <w:rsid w:val="2245635D"/>
    <w:rsid w:val="22492372"/>
    <w:rsid w:val="22790017"/>
    <w:rsid w:val="22936EF0"/>
    <w:rsid w:val="22BC18BC"/>
    <w:rsid w:val="22E10B5C"/>
    <w:rsid w:val="230762B3"/>
    <w:rsid w:val="23153ED9"/>
    <w:rsid w:val="23237000"/>
    <w:rsid w:val="232B5F33"/>
    <w:rsid w:val="23467A78"/>
    <w:rsid w:val="23490C6A"/>
    <w:rsid w:val="234C4E0B"/>
    <w:rsid w:val="234D0B11"/>
    <w:rsid w:val="23536D15"/>
    <w:rsid w:val="237A2209"/>
    <w:rsid w:val="23C7467A"/>
    <w:rsid w:val="23DD2C84"/>
    <w:rsid w:val="23E73206"/>
    <w:rsid w:val="23EC193C"/>
    <w:rsid w:val="241D7D56"/>
    <w:rsid w:val="24210385"/>
    <w:rsid w:val="24336177"/>
    <w:rsid w:val="243941DE"/>
    <w:rsid w:val="24574B5F"/>
    <w:rsid w:val="245C56D6"/>
    <w:rsid w:val="246C6384"/>
    <w:rsid w:val="24743CD2"/>
    <w:rsid w:val="247C3B44"/>
    <w:rsid w:val="24865040"/>
    <w:rsid w:val="248C3206"/>
    <w:rsid w:val="249047BD"/>
    <w:rsid w:val="24C938A1"/>
    <w:rsid w:val="24CE52B4"/>
    <w:rsid w:val="24D55903"/>
    <w:rsid w:val="24E6722A"/>
    <w:rsid w:val="24E95DA5"/>
    <w:rsid w:val="24EE4AB7"/>
    <w:rsid w:val="24F02B97"/>
    <w:rsid w:val="2504251E"/>
    <w:rsid w:val="2505537F"/>
    <w:rsid w:val="251F584D"/>
    <w:rsid w:val="253C741B"/>
    <w:rsid w:val="253E6BE8"/>
    <w:rsid w:val="25405F22"/>
    <w:rsid w:val="254F37EE"/>
    <w:rsid w:val="256530D2"/>
    <w:rsid w:val="25856132"/>
    <w:rsid w:val="258F7AA1"/>
    <w:rsid w:val="25936EFD"/>
    <w:rsid w:val="25BC78DB"/>
    <w:rsid w:val="25C674A5"/>
    <w:rsid w:val="25CC2D42"/>
    <w:rsid w:val="25F90731"/>
    <w:rsid w:val="260A2D7F"/>
    <w:rsid w:val="2610616F"/>
    <w:rsid w:val="262E4729"/>
    <w:rsid w:val="26351460"/>
    <w:rsid w:val="26460C6F"/>
    <w:rsid w:val="26477DD7"/>
    <w:rsid w:val="264C7C89"/>
    <w:rsid w:val="266673FA"/>
    <w:rsid w:val="26673010"/>
    <w:rsid w:val="266C21B5"/>
    <w:rsid w:val="266D73E0"/>
    <w:rsid w:val="266F5F57"/>
    <w:rsid w:val="269A0FDE"/>
    <w:rsid w:val="26A12520"/>
    <w:rsid w:val="26A40BF0"/>
    <w:rsid w:val="26C55957"/>
    <w:rsid w:val="26D22BB1"/>
    <w:rsid w:val="26D24AFD"/>
    <w:rsid w:val="26D4074D"/>
    <w:rsid w:val="26D44CB3"/>
    <w:rsid w:val="26E9010A"/>
    <w:rsid w:val="26F32688"/>
    <w:rsid w:val="270E323D"/>
    <w:rsid w:val="271A5B3C"/>
    <w:rsid w:val="27207FDF"/>
    <w:rsid w:val="272E5A7C"/>
    <w:rsid w:val="27531F26"/>
    <w:rsid w:val="27674E12"/>
    <w:rsid w:val="276E777E"/>
    <w:rsid w:val="27732CCE"/>
    <w:rsid w:val="27824E30"/>
    <w:rsid w:val="279B0208"/>
    <w:rsid w:val="27E9079E"/>
    <w:rsid w:val="2807612E"/>
    <w:rsid w:val="280F129C"/>
    <w:rsid w:val="28580CD7"/>
    <w:rsid w:val="2861482D"/>
    <w:rsid w:val="28680506"/>
    <w:rsid w:val="287A6E13"/>
    <w:rsid w:val="287D4865"/>
    <w:rsid w:val="288B3560"/>
    <w:rsid w:val="28956E6B"/>
    <w:rsid w:val="289760BB"/>
    <w:rsid w:val="28A354CF"/>
    <w:rsid w:val="28B42BD4"/>
    <w:rsid w:val="28D25604"/>
    <w:rsid w:val="28FB3F47"/>
    <w:rsid w:val="28FD362F"/>
    <w:rsid w:val="29185E1C"/>
    <w:rsid w:val="29206F60"/>
    <w:rsid w:val="292C4500"/>
    <w:rsid w:val="29355412"/>
    <w:rsid w:val="293A47C1"/>
    <w:rsid w:val="29461680"/>
    <w:rsid w:val="29573D1A"/>
    <w:rsid w:val="29595345"/>
    <w:rsid w:val="29621245"/>
    <w:rsid w:val="296607F2"/>
    <w:rsid w:val="297E391D"/>
    <w:rsid w:val="298814C3"/>
    <w:rsid w:val="2989068C"/>
    <w:rsid w:val="298A4BDC"/>
    <w:rsid w:val="298F232A"/>
    <w:rsid w:val="29C80474"/>
    <w:rsid w:val="29CC694F"/>
    <w:rsid w:val="29DC1EFE"/>
    <w:rsid w:val="29F16D31"/>
    <w:rsid w:val="29F52F30"/>
    <w:rsid w:val="2A1515FB"/>
    <w:rsid w:val="2A2A76EA"/>
    <w:rsid w:val="2A2B3503"/>
    <w:rsid w:val="2A392F80"/>
    <w:rsid w:val="2A3D5F43"/>
    <w:rsid w:val="2A5905D0"/>
    <w:rsid w:val="2A5D55DC"/>
    <w:rsid w:val="2A633271"/>
    <w:rsid w:val="2A6728CF"/>
    <w:rsid w:val="2AA77C97"/>
    <w:rsid w:val="2ABD0876"/>
    <w:rsid w:val="2AC80158"/>
    <w:rsid w:val="2ADE5D30"/>
    <w:rsid w:val="2AE07220"/>
    <w:rsid w:val="2AE67100"/>
    <w:rsid w:val="2AEF2AED"/>
    <w:rsid w:val="2AF46167"/>
    <w:rsid w:val="2B306916"/>
    <w:rsid w:val="2B3565F0"/>
    <w:rsid w:val="2B6105A4"/>
    <w:rsid w:val="2B653BD9"/>
    <w:rsid w:val="2B9C3C24"/>
    <w:rsid w:val="2BA331AB"/>
    <w:rsid w:val="2BB305EC"/>
    <w:rsid w:val="2BC23A1F"/>
    <w:rsid w:val="2BCE15C7"/>
    <w:rsid w:val="2BDC0B87"/>
    <w:rsid w:val="2BF03DE4"/>
    <w:rsid w:val="2BFE426F"/>
    <w:rsid w:val="2C12501A"/>
    <w:rsid w:val="2C2E1EFA"/>
    <w:rsid w:val="2C2F6BEC"/>
    <w:rsid w:val="2C3335DD"/>
    <w:rsid w:val="2C666001"/>
    <w:rsid w:val="2C8206B0"/>
    <w:rsid w:val="2C875D5B"/>
    <w:rsid w:val="2C8E3E4F"/>
    <w:rsid w:val="2CA008AA"/>
    <w:rsid w:val="2CCB197B"/>
    <w:rsid w:val="2CEB08C0"/>
    <w:rsid w:val="2CED7951"/>
    <w:rsid w:val="2D0B4B3B"/>
    <w:rsid w:val="2D0B4B41"/>
    <w:rsid w:val="2D0C02CC"/>
    <w:rsid w:val="2D3548CE"/>
    <w:rsid w:val="2D514020"/>
    <w:rsid w:val="2D5C7209"/>
    <w:rsid w:val="2D5E5772"/>
    <w:rsid w:val="2D6F419A"/>
    <w:rsid w:val="2D873C25"/>
    <w:rsid w:val="2D8C5FDB"/>
    <w:rsid w:val="2D9A5862"/>
    <w:rsid w:val="2D9B7484"/>
    <w:rsid w:val="2DB44CF0"/>
    <w:rsid w:val="2DC53BB1"/>
    <w:rsid w:val="2DFA155C"/>
    <w:rsid w:val="2E0C04CB"/>
    <w:rsid w:val="2E1314F6"/>
    <w:rsid w:val="2E1722CF"/>
    <w:rsid w:val="2E1D2A5D"/>
    <w:rsid w:val="2E293D0C"/>
    <w:rsid w:val="2E3C0BA4"/>
    <w:rsid w:val="2E7E2208"/>
    <w:rsid w:val="2E8E0A30"/>
    <w:rsid w:val="2E9302C2"/>
    <w:rsid w:val="2E9E6759"/>
    <w:rsid w:val="2EC34678"/>
    <w:rsid w:val="2ED61054"/>
    <w:rsid w:val="2EF205A7"/>
    <w:rsid w:val="2EF37281"/>
    <w:rsid w:val="2EF94465"/>
    <w:rsid w:val="2F0469BB"/>
    <w:rsid w:val="2F0F5A96"/>
    <w:rsid w:val="2F2204AE"/>
    <w:rsid w:val="2F3E225D"/>
    <w:rsid w:val="2F481714"/>
    <w:rsid w:val="2F4A7B7B"/>
    <w:rsid w:val="2F6254A3"/>
    <w:rsid w:val="2F7363BB"/>
    <w:rsid w:val="2F756152"/>
    <w:rsid w:val="2F934A7F"/>
    <w:rsid w:val="2FCA1F41"/>
    <w:rsid w:val="3000354E"/>
    <w:rsid w:val="30191C93"/>
    <w:rsid w:val="302C1646"/>
    <w:rsid w:val="302C538B"/>
    <w:rsid w:val="30397A64"/>
    <w:rsid w:val="303F4007"/>
    <w:rsid w:val="304B0945"/>
    <w:rsid w:val="30587F92"/>
    <w:rsid w:val="30615FDC"/>
    <w:rsid w:val="30721CA2"/>
    <w:rsid w:val="30811D33"/>
    <w:rsid w:val="30864E31"/>
    <w:rsid w:val="309D1FB1"/>
    <w:rsid w:val="309E1EA9"/>
    <w:rsid w:val="30A12568"/>
    <w:rsid w:val="30A35DE5"/>
    <w:rsid w:val="30AD3FC8"/>
    <w:rsid w:val="30DB2D1F"/>
    <w:rsid w:val="310042A1"/>
    <w:rsid w:val="31035ED8"/>
    <w:rsid w:val="31057BD7"/>
    <w:rsid w:val="31352AFA"/>
    <w:rsid w:val="31372C38"/>
    <w:rsid w:val="313B2C83"/>
    <w:rsid w:val="315C6F7B"/>
    <w:rsid w:val="318E2C0C"/>
    <w:rsid w:val="31A46AB0"/>
    <w:rsid w:val="31CB47EC"/>
    <w:rsid w:val="31E65CD0"/>
    <w:rsid w:val="31E80E72"/>
    <w:rsid w:val="31F43C99"/>
    <w:rsid w:val="31F9761C"/>
    <w:rsid w:val="31FA2893"/>
    <w:rsid w:val="320615D2"/>
    <w:rsid w:val="320B61CA"/>
    <w:rsid w:val="321B6A47"/>
    <w:rsid w:val="3221427A"/>
    <w:rsid w:val="32290589"/>
    <w:rsid w:val="32385866"/>
    <w:rsid w:val="32524603"/>
    <w:rsid w:val="32597BD6"/>
    <w:rsid w:val="325B537F"/>
    <w:rsid w:val="32661404"/>
    <w:rsid w:val="326C2D75"/>
    <w:rsid w:val="32982AB6"/>
    <w:rsid w:val="329D1C82"/>
    <w:rsid w:val="32CF4027"/>
    <w:rsid w:val="32D01A70"/>
    <w:rsid w:val="32D14763"/>
    <w:rsid w:val="32DA0CF4"/>
    <w:rsid w:val="32E26732"/>
    <w:rsid w:val="32ED0FC8"/>
    <w:rsid w:val="330305F9"/>
    <w:rsid w:val="3321482B"/>
    <w:rsid w:val="332B1508"/>
    <w:rsid w:val="332F59AE"/>
    <w:rsid w:val="33342C35"/>
    <w:rsid w:val="333A53B2"/>
    <w:rsid w:val="33436709"/>
    <w:rsid w:val="33446B61"/>
    <w:rsid w:val="335F4387"/>
    <w:rsid w:val="33923E54"/>
    <w:rsid w:val="339D67B1"/>
    <w:rsid w:val="33AF71AB"/>
    <w:rsid w:val="33C23D9F"/>
    <w:rsid w:val="33C852F3"/>
    <w:rsid w:val="33CD6972"/>
    <w:rsid w:val="33F03BB1"/>
    <w:rsid w:val="33F219CB"/>
    <w:rsid w:val="33F97469"/>
    <w:rsid w:val="340E0524"/>
    <w:rsid w:val="34122A59"/>
    <w:rsid w:val="3420451E"/>
    <w:rsid w:val="342D2166"/>
    <w:rsid w:val="342F00A1"/>
    <w:rsid w:val="343A2F39"/>
    <w:rsid w:val="34415668"/>
    <w:rsid w:val="34417EE7"/>
    <w:rsid w:val="34436B7F"/>
    <w:rsid w:val="344A36D8"/>
    <w:rsid w:val="344B2B9A"/>
    <w:rsid w:val="34652BE9"/>
    <w:rsid w:val="348810F8"/>
    <w:rsid w:val="34904F9D"/>
    <w:rsid w:val="34A950EE"/>
    <w:rsid w:val="34CD5D4F"/>
    <w:rsid w:val="34D20E19"/>
    <w:rsid w:val="34DF031C"/>
    <w:rsid w:val="34E61045"/>
    <w:rsid w:val="34F02CBF"/>
    <w:rsid w:val="350440D4"/>
    <w:rsid w:val="352F0876"/>
    <w:rsid w:val="35345866"/>
    <w:rsid w:val="353834B1"/>
    <w:rsid w:val="355C2EE6"/>
    <w:rsid w:val="35713C89"/>
    <w:rsid w:val="357F1262"/>
    <w:rsid w:val="35B16473"/>
    <w:rsid w:val="35B67934"/>
    <w:rsid w:val="35BA12EB"/>
    <w:rsid w:val="35BE1572"/>
    <w:rsid w:val="35BE1722"/>
    <w:rsid w:val="35C63CE6"/>
    <w:rsid w:val="35CD6E8F"/>
    <w:rsid w:val="35D64063"/>
    <w:rsid w:val="35F30772"/>
    <w:rsid w:val="35F76A56"/>
    <w:rsid w:val="36186454"/>
    <w:rsid w:val="36224FF1"/>
    <w:rsid w:val="36236C09"/>
    <w:rsid w:val="3626474C"/>
    <w:rsid w:val="36486D5C"/>
    <w:rsid w:val="364B212C"/>
    <w:rsid w:val="364B6418"/>
    <w:rsid w:val="366149F6"/>
    <w:rsid w:val="36651410"/>
    <w:rsid w:val="36654A41"/>
    <w:rsid w:val="36755D80"/>
    <w:rsid w:val="36812C2E"/>
    <w:rsid w:val="36A41113"/>
    <w:rsid w:val="36B8126B"/>
    <w:rsid w:val="36BE5B77"/>
    <w:rsid w:val="36BF5BD9"/>
    <w:rsid w:val="36E62C5F"/>
    <w:rsid w:val="36FC2FF7"/>
    <w:rsid w:val="36FF51C4"/>
    <w:rsid w:val="3729345E"/>
    <w:rsid w:val="37331B9C"/>
    <w:rsid w:val="374E6E11"/>
    <w:rsid w:val="375D185A"/>
    <w:rsid w:val="377E1242"/>
    <w:rsid w:val="37816524"/>
    <w:rsid w:val="37A33964"/>
    <w:rsid w:val="37B56730"/>
    <w:rsid w:val="37C4315F"/>
    <w:rsid w:val="37C65CD5"/>
    <w:rsid w:val="37FC5393"/>
    <w:rsid w:val="37FD2A0B"/>
    <w:rsid w:val="37FD5147"/>
    <w:rsid w:val="37FF76F2"/>
    <w:rsid w:val="38110454"/>
    <w:rsid w:val="38443B1B"/>
    <w:rsid w:val="38466347"/>
    <w:rsid w:val="3855218F"/>
    <w:rsid w:val="38560B8B"/>
    <w:rsid w:val="388A1276"/>
    <w:rsid w:val="38976B8F"/>
    <w:rsid w:val="38A67DAA"/>
    <w:rsid w:val="38E279A6"/>
    <w:rsid w:val="38F75055"/>
    <w:rsid w:val="390B580F"/>
    <w:rsid w:val="39102524"/>
    <w:rsid w:val="3912351F"/>
    <w:rsid w:val="39191F20"/>
    <w:rsid w:val="392657C8"/>
    <w:rsid w:val="393D5812"/>
    <w:rsid w:val="39416E8C"/>
    <w:rsid w:val="394173C9"/>
    <w:rsid w:val="3969729A"/>
    <w:rsid w:val="396A274D"/>
    <w:rsid w:val="3986450E"/>
    <w:rsid w:val="39B66EC3"/>
    <w:rsid w:val="39EA50E1"/>
    <w:rsid w:val="3A0424DF"/>
    <w:rsid w:val="3A1363AC"/>
    <w:rsid w:val="3A1E03AF"/>
    <w:rsid w:val="3A2C5E4B"/>
    <w:rsid w:val="3A56464C"/>
    <w:rsid w:val="3A637B72"/>
    <w:rsid w:val="3A7931FE"/>
    <w:rsid w:val="3A817A72"/>
    <w:rsid w:val="3A846F81"/>
    <w:rsid w:val="3A875639"/>
    <w:rsid w:val="3A881482"/>
    <w:rsid w:val="3AA53C37"/>
    <w:rsid w:val="3AA868B9"/>
    <w:rsid w:val="3AA93C30"/>
    <w:rsid w:val="3ABC0F62"/>
    <w:rsid w:val="3ABE08F7"/>
    <w:rsid w:val="3AD75C33"/>
    <w:rsid w:val="3ADB2A73"/>
    <w:rsid w:val="3AEA654F"/>
    <w:rsid w:val="3B0E3351"/>
    <w:rsid w:val="3B5F6C2C"/>
    <w:rsid w:val="3B691BA1"/>
    <w:rsid w:val="3B6E5F84"/>
    <w:rsid w:val="3B803942"/>
    <w:rsid w:val="3B8B1608"/>
    <w:rsid w:val="3B987A3E"/>
    <w:rsid w:val="3B9F5BC8"/>
    <w:rsid w:val="3BC75A0C"/>
    <w:rsid w:val="3BD24A47"/>
    <w:rsid w:val="3BEC737A"/>
    <w:rsid w:val="3BF20285"/>
    <w:rsid w:val="3BF50A89"/>
    <w:rsid w:val="3BFA7BFB"/>
    <w:rsid w:val="3C0466EA"/>
    <w:rsid w:val="3C0B2029"/>
    <w:rsid w:val="3C10164D"/>
    <w:rsid w:val="3C2D6DC3"/>
    <w:rsid w:val="3C3530FC"/>
    <w:rsid w:val="3C365DDA"/>
    <w:rsid w:val="3C433C59"/>
    <w:rsid w:val="3C506E72"/>
    <w:rsid w:val="3C5160A4"/>
    <w:rsid w:val="3C575E36"/>
    <w:rsid w:val="3C6619EC"/>
    <w:rsid w:val="3C6A01A7"/>
    <w:rsid w:val="3C6A051F"/>
    <w:rsid w:val="3CB46F2D"/>
    <w:rsid w:val="3CB64642"/>
    <w:rsid w:val="3CC84F02"/>
    <w:rsid w:val="3CCA25E7"/>
    <w:rsid w:val="3CCD5C98"/>
    <w:rsid w:val="3CFC0625"/>
    <w:rsid w:val="3D003241"/>
    <w:rsid w:val="3D097FC2"/>
    <w:rsid w:val="3D180A8A"/>
    <w:rsid w:val="3D441121"/>
    <w:rsid w:val="3D4B04A5"/>
    <w:rsid w:val="3D653163"/>
    <w:rsid w:val="3D6701A2"/>
    <w:rsid w:val="3D9146C1"/>
    <w:rsid w:val="3D9C4B5C"/>
    <w:rsid w:val="3D9D025D"/>
    <w:rsid w:val="3DA85494"/>
    <w:rsid w:val="3DBC0031"/>
    <w:rsid w:val="3DD12E11"/>
    <w:rsid w:val="3DDF3349"/>
    <w:rsid w:val="3E203472"/>
    <w:rsid w:val="3E210325"/>
    <w:rsid w:val="3E49480B"/>
    <w:rsid w:val="3E5F5FAF"/>
    <w:rsid w:val="3E84589F"/>
    <w:rsid w:val="3E850217"/>
    <w:rsid w:val="3E940A9A"/>
    <w:rsid w:val="3E950DAA"/>
    <w:rsid w:val="3EAB0C92"/>
    <w:rsid w:val="3EAB1BA4"/>
    <w:rsid w:val="3ECF7DE5"/>
    <w:rsid w:val="3EE63953"/>
    <w:rsid w:val="3EE72E1B"/>
    <w:rsid w:val="3EF30704"/>
    <w:rsid w:val="3EF33C53"/>
    <w:rsid w:val="3EF654CA"/>
    <w:rsid w:val="3EF96F6D"/>
    <w:rsid w:val="3F0B7F5F"/>
    <w:rsid w:val="3F0F5946"/>
    <w:rsid w:val="3F2020EA"/>
    <w:rsid w:val="3F21604C"/>
    <w:rsid w:val="3F2362FB"/>
    <w:rsid w:val="3F771131"/>
    <w:rsid w:val="3F924BD0"/>
    <w:rsid w:val="3FA3378B"/>
    <w:rsid w:val="3FAD7C31"/>
    <w:rsid w:val="3FB16313"/>
    <w:rsid w:val="3FDC1B22"/>
    <w:rsid w:val="3FE328B9"/>
    <w:rsid w:val="3FEC2746"/>
    <w:rsid w:val="3FFE06FF"/>
    <w:rsid w:val="40021BCF"/>
    <w:rsid w:val="40204F03"/>
    <w:rsid w:val="40295C78"/>
    <w:rsid w:val="40311A2A"/>
    <w:rsid w:val="4052213D"/>
    <w:rsid w:val="405D6608"/>
    <w:rsid w:val="40784691"/>
    <w:rsid w:val="407A5C3D"/>
    <w:rsid w:val="408027F0"/>
    <w:rsid w:val="408A05ED"/>
    <w:rsid w:val="40952C04"/>
    <w:rsid w:val="409967FB"/>
    <w:rsid w:val="40AA5CE8"/>
    <w:rsid w:val="40CF67F8"/>
    <w:rsid w:val="412F4ED7"/>
    <w:rsid w:val="41416411"/>
    <w:rsid w:val="41447CDC"/>
    <w:rsid w:val="415C2C48"/>
    <w:rsid w:val="415D2338"/>
    <w:rsid w:val="41603487"/>
    <w:rsid w:val="4170490C"/>
    <w:rsid w:val="418D1860"/>
    <w:rsid w:val="41912A36"/>
    <w:rsid w:val="41BA5B69"/>
    <w:rsid w:val="41C25CF5"/>
    <w:rsid w:val="41C71BC2"/>
    <w:rsid w:val="41D91E3C"/>
    <w:rsid w:val="41EA6DAA"/>
    <w:rsid w:val="42440E69"/>
    <w:rsid w:val="424470C1"/>
    <w:rsid w:val="425C5F8D"/>
    <w:rsid w:val="42655C0F"/>
    <w:rsid w:val="42B62171"/>
    <w:rsid w:val="42B84882"/>
    <w:rsid w:val="42C36FB4"/>
    <w:rsid w:val="42D93D48"/>
    <w:rsid w:val="42E96E25"/>
    <w:rsid w:val="431A58DF"/>
    <w:rsid w:val="432E1DE7"/>
    <w:rsid w:val="435864A3"/>
    <w:rsid w:val="435A2640"/>
    <w:rsid w:val="43671615"/>
    <w:rsid w:val="43675867"/>
    <w:rsid w:val="43807301"/>
    <w:rsid w:val="438E037E"/>
    <w:rsid w:val="438F100E"/>
    <w:rsid w:val="439E644A"/>
    <w:rsid w:val="439F0AD5"/>
    <w:rsid w:val="43B14E46"/>
    <w:rsid w:val="43BA011D"/>
    <w:rsid w:val="43CF44E1"/>
    <w:rsid w:val="43F73BC0"/>
    <w:rsid w:val="43FF7BAC"/>
    <w:rsid w:val="4416010C"/>
    <w:rsid w:val="44210689"/>
    <w:rsid w:val="443B0468"/>
    <w:rsid w:val="44402A96"/>
    <w:rsid w:val="446F5060"/>
    <w:rsid w:val="448910FA"/>
    <w:rsid w:val="4494309C"/>
    <w:rsid w:val="44952E96"/>
    <w:rsid w:val="449B0240"/>
    <w:rsid w:val="44C71897"/>
    <w:rsid w:val="44C85078"/>
    <w:rsid w:val="44DE54BE"/>
    <w:rsid w:val="44EB4BC7"/>
    <w:rsid w:val="45011266"/>
    <w:rsid w:val="450A75EB"/>
    <w:rsid w:val="451539B9"/>
    <w:rsid w:val="45330206"/>
    <w:rsid w:val="453401B9"/>
    <w:rsid w:val="454377A3"/>
    <w:rsid w:val="454A35A0"/>
    <w:rsid w:val="45532B9E"/>
    <w:rsid w:val="45556B8D"/>
    <w:rsid w:val="458B5CA6"/>
    <w:rsid w:val="45B63F3D"/>
    <w:rsid w:val="45D7045E"/>
    <w:rsid w:val="45E433E3"/>
    <w:rsid w:val="45F55EA8"/>
    <w:rsid w:val="45F73B36"/>
    <w:rsid w:val="461437D2"/>
    <w:rsid w:val="461447AB"/>
    <w:rsid w:val="46285EF0"/>
    <w:rsid w:val="46291699"/>
    <w:rsid w:val="462E61BF"/>
    <w:rsid w:val="4644376B"/>
    <w:rsid w:val="464F674F"/>
    <w:rsid w:val="46551857"/>
    <w:rsid w:val="466661C4"/>
    <w:rsid w:val="466A195C"/>
    <w:rsid w:val="46743CD0"/>
    <w:rsid w:val="46C403CC"/>
    <w:rsid w:val="46CA0EEE"/>
    <w:rsid w:val="46EC3F9B"/>
    <w:rsid w:val="46F353E8"/>
    <w:rsid w:val="47063164"/>
    <w:rsid w:val="47084F8C"/>
    <w:rsid w:val="470973A6"/>
    <w:rsid w:val="4716399D"/>
    <w:rsid w:val="471E00BD"/>
    <w:rsid w:val="47271A92"/>
    <w:rsid w:val="472A0B41"/>
    <w:rsid w:val="473E467A"/>
    <w:rsid w:val="4754121D"/>
    <w:rsid w:val="476120AB"/>
    <w:rsid w:val="47697E70"/>
    <w:rsid w:val="477D2B79"/>
    <w:rsid w:val="47B72300"/>
    <w:rsid w:val="47D106ED"/>
    <w:rsid w:val="47DC4E40"/>
    <w:rsid w:val="47E45D20"/>
    <w:rsid w:val="47EA537E"/>
    <w:rsid w:val="480F0F8E"/>
    <w:rsid w:val="48185E85"/>
    <w:rsid w:val="483045BC"/>
    <w:rsid w:val="483666EA"/>
    <w:rsid w:val="48376528"/>
    <w:rsid w:val="48494852"/>
    <w:rsid w:val="4851355B"/>
    <w:rsid w:val="487545F8"/>
    <w:rsid w:val="48AE4100"/>
    <w:rsid w:val="48DB7D21"/>
    <w:rsid w:val="48ED0701"/>
    <w:rsid w:val="492B5806"/>
    <w:rsid w:val="494600E8"/>
    <w:rsid w:val="494F5C21"/>
    <w:rsid w:val="495B4A6F"/>
    <w:rsid w:val="495B702E"/>
    <w:rsid w:val="49622CF5"/>
    <w:rsid w:val="49706A9F"/>
    <w:rsid w:val="49717FDA"/>
    <w:rsid w:val="497C28A8"/>
    <w:rsid w:val="49AD4432"/>
    <w:rsid w:val="49D72BE7"/>
    <w:rsid w:val="49F16684"/>
    <w:rsid w:val="49FE30B0"/>
    <w:rsid w:val="4A1323A4"/>
    <w:rsid w:val="4A260E76"/>
    <w:rsid w:val="4A3A5AED"/>
    <w:rsid w:val="4A6E2AE9"/>
    <w:rsid w:val="4A7944C1"/>
    <w:rsid w:val="4A8D437F"/>
    <w:rsid w:val="4A8E20F0"/>
    <w:rsid w:val="4AA73E43"/>
    <w:rsid w:val="4ABD1380"/>
    <w:rsid w:val="4AD41823"/>
    <w:rsid w:val="4AF55548"/>
    <w:rsid w:val="4AF80AFA"/>
    <w:rsid w:val="4AF953CF"/>
    <w:rsid w:val="4AFE09DE"/>
    <w:rsid w:val="4B0C34E9"/>
    <w:rsid w:val="4B0D6081"/>
    <w:rsid w:val="4B263BFA"/>
    <w:rsid w:val="4B454B90"/>
    <w:rsid w:val="4B6C5086"/>
    <w:rsid w:val="4B723307"/>
    <w:rsid w:val="4B750249"/>
    <w:rsid w:val="4B7D60F8"/>
    <w:rsid w:val="4BA95AFD"/>
    <w:rsid w:val="4BAC39B2"/>
    <w:rsid w:val="4BC14C25"/>
    <w:rsid w:val="4BC27EF5"/>
    <w:rsid w:val="4BC47DC6"/>
    <w:rsid w:val="4BCC676C"/>
    <w:rsid w:val="4BE25B60"/>
    <w:rsid w:val="4BE87EC8"/>
    <w:rsid w:val="4BEA1F9A"/>
    <w:rsid w:val="4BEE2A0A"/>
    <w:rsid w:val="4C193471"/>
    <w:rsid w:val="4C1C7409"/>
    <w:rsid w:val="4C214F87"/>
    <w:rsid w:val="4C443F00"/>
    <w:rsid w:val="4C511931"/>
    <w:rsid w:val="4C5D7A88"/>
    <w:rsid w:val="4C7A7D06"/>
    <w:rsid w:val="4C9E607B"/>
    <w:rsid w:val="4CA800B8"/>
    <w:rsid w:val="4CB71D51"/>
    <w:rsid w:val="4CBA17E8"/>
    <w:rsid w:val="4CBF247E"/>
    <w:rsid w:val="4CD61A80"/>
    <w:rsid w:val="4D1A6BF3"/>
    <w:rsid w:val="4D1D2A20"/>
    <w:rsid w:val="4D320D35"/>
    <w:rsid w:val="4D395CB6"/>
    <w:rsid w:val="4D3B2A44"/>
    <w:rsid w:val="4D6112D1"/>
    <w:rsid w:val="4D676CE4"/>
    <w:rsid w:val="4D7E5B10"/>
    <w:rsid w:val="4D883C17"/>
    <w:rsid w:val="4D8C7B48"/>
    <w:rsid w:val="4D91298A"/>
    <w:rsid w:val="4D9520BA"/>
    <w:rsid w:val="4DA9210F"/>
    <w:rsid w:val="4DED6174"/>
    <w:rsid w:val="4DF552D4"/>
    <w:rsid w:val="4E051DF0"/>
    <w:rsid w:val="4E15296A"/>
    <w:rsid w:val="4E21054A"/>
    <w:rsid w:val="4E580DE7"/>
    <w:rsid w:val="4E5F7277"/>
    <w:rsid w:val="4E614695"/>
    <w:rsid w:val="4E686C91"/>
    <w:rsid w:val="4E6E6094"/>
    <w:rsid w:val="4E8B7676"/>
    <w:rsid w:val="4E97752D"/>
    <w:rsid w:val="4EBD7A67"/>
    <w:rsid w:val="4EDE082E"/>
    <w:rsid w:val="4EE21A04"/>
    <w:rsid w:val="4EE714CE"/>
    <w:rsid w:val="4EEA2633"/>
    <w:rsid w:val="4EF37AC2"/>
    <w:rsid w:val="4F0D4973"/>
    <w:rsid w:val="4F1B2AB5"/>
    <w:rsid w:val="4F1D58B7"/>
    <w:rsid w:val="4F2327F3"/>
    <w:rsid w:val="4F305F4B"/>
    <w:rsid w:val="4F3235EA"/>
    <w:rsid w:val="4F4B14E1"/>
    <w:rsid w:val="4F4C1064"/>
    <w:rsid w:val="4F940018"/>
    <w:rsid w:val="4F96221E"/>
    <w:rsid w:val="4F9F022F"/>
    <w:rsid w:val="4F9F1292"/>
    <w:rsid w:val="4FA16685"/>
    <w:rsid w:val="4FC34284"/>
    <w:rsid w:val="4FD61711"/>
    <w:rsid w:val="4FD67E0C"/>
    <w:rsid w:val="4FDC09AD"/>
    <w:rsid w:val="4FFE24F0"/>
    <w:rsid w:val="50004A95"/>
    <w:rsid w:val="503B7AB1"/>
    <w:rsid w:val="503F0271"/>
    <w:rsid w:val="503F252D"/>
    <w:rsid w:val="505521D3"/>
    <w:rsid w:val="5062412D"/>
    <w:rsid w:val="50646632"/>
    <w:rsid w:val="50725772"/>
    <w:rsid w:val="50806A49"/>
    <w:rsid w:val="50872FD3"/>
    <w:rsid w:val="50A46DA5"/>
    <w:rsid w:val="50A672C9"/>
    <w:rsid w:val="50AD6C15"/>
    <w:rsid w:val="50B7523E"/>
    <w:rsid w:val="50BC23AA"/>
    <w:rsid w:val="50D509D9"/>
    <w:rsid w:val="50F82420"/>
    <w:rsid w:val="512469CE"/>
    <w:rsid w:val="514B5310"/>
    <w:rsid w:val="515837A7"/>
    <w:rsid w:val="51606E25"/>
    <w:rsid w:val="51692D74"/>
    <w:rsid w:val="51766C35"/>
    <w:rsid w:val="518A2E72"/>
    <w:rsid w:val="519C6CAE"/>
    <w:rsid w:val="51A724EE"/>
    <w:rsid w:val="51CD7D79"/>
    <w:rsid w:val="51D438B2"/>
    <w:rsid w:val="51D70EFC"/>
    <w:rsid w:val="51F272C3"/>
    <w:rsid w:val="51F353B2"/>
    <w:rsid w:val="51FB146D"/>
    <w:rsid w:val="52102656"/>
    <w:rsid w:val="522402DE"/>
    <w:rsid w:val="52382B58"/>
    <w:rsid w:val="52582BAF"/>
    <w:rsid w:val="52837F57"/>
    <w:rsid w:val="52A13CD6"/>
    <w:rsid w:val="52A205BF"/>
    <w:rsid w:val="52A3784B"/>
    <w:rsid w:val="52A5620A"/>
    <w:rsid w:val="52B35099"/>
    <w:rsid w:val="52B50F48"/>
    <w:rsid w:val="52CC3C8B"/>
    <w:rsid w:val="52EA7741"/>
    <w:rsid w:val="52F15263"/>
    <w:rsid w:val="52FA39B7"/>
    <w:rsid w:val="53094F5A"/>
    <w:rsid w:val="531323E4"/>
    <w:rsid w:val="531D2C33"/>
    <w:rsid w:val="531F5A81"/>
    <w:rsid w:val="53263833"/>
    <w:rsid w:val="53284F48"/>
    <w:rsid w:val="534C0E0F"/>
    <w:rsid w:val="53753945"/>
    <w:rsid w:val="537A0388"/>
    <w:rsid w:val="53842010"/>
    <w:rsid w:val="53CB2AB6"/>
    <w:rsid w:val="53ED6A09"/>
    <w:rsid w:val="540347A4"/>
    <w:rsid w:val="540F1095"/>
    <w:rsid w:val="541B1F8C"/>
    <w:rsid w:val="54204A8B"/>
    <w:rsid w:val="54212496"/>
    <w:rsid w:val="542F135C"/>
    <w:rsid w:val="543328AA"/>
    <w:rsid w:val="543C2CC2"/>
    <w:rsid w:val="54492E78"/>
    <w:rsid w:val="54571EE8"/>
    <w:rsid w:val="546227B3"/>
    <w:rsid w:val="547001E6"/>
    <w:rsid w:val="5470318D"/>
    <w:rsid w:val="54731493"/>
    <w:rsid w:val="54836314"/>
    <w:rsid w:val="54914B2C"/>
    <w:rsid w:val="54997B5E"/>
    <w:rsid w:val="549F1B16"/>
    <w:rsid w:val="54A305B9"/>
    <w:rsid w:val="54A32690"/>
    <w:rsid w:val="54AB1160"/>
    <w:rsid w:val="54C90C0B"/>
    <w:rsid w:val="54DE27C8"/>
    <w:rsid w:val="54F37336"/>
    <w:rsid w:val="54F76F42"/>
    <w:rsid w:val="551A5DB1"/>
    <w:rsid w:val="55210F4D"/>
    <w:rsid w:val="552A01E8"/>
    <w:rsid w:val="554326AC"/>
    <w:rsid w:val="55433AEA"/>
    <w:rsid w:val="554675BF"/>
    <w:rsid w:val="555C6AF7"/>
    <w:rsid w:val="555D6AC7"/>
    <w:rsid w:val="55792216"/>
    <w:rsid w:val="558A0E37"/>
    <w:rsid w:val="558D23E4"/>
    <w:rsid w:val="559713B9"/>
    <w:rsid w:val="55AD08B5"/>
    <w:rsid w:val="55C223E4"/>
    <w:rsid w:val="55C26B6F"/>
    <w:rsid w:val="55C670F5"/>
    <w:rsid w:val="55E4512F"/>
    <w:rsid w:val="55F27EEA"/>
    <w:rsid w:val="55F945FE"/>
    <w:rsid w:val="56092CB0"/>
    <w:rsid w:val="562E76AA"/>
    <w:rsid w:val="56351164"/>
    <w:rsid w:val="5636362A"/>
    <w:rsid w:val="564669AF"/>
    <w:rsid w:val="56650CF6"/>
    <w:rsid w:val="5666781A"/>
    <w:rsid w:val="566A3F22"/>
    <w:rsid w:val="568212FC"/>
    <w:rsid w:val="568C7787"/>
    <w:rsid w:val="56A258BE"/>
    <w:rsid w:val="56A25C85"/>
    <w:rsid w:val="56A44EB3"/>
    <w:rsid w:val="56BE233A"/>
    <w:rsid w:val="56CE545D"/>
    <w:rsid w:val="56D24298"/>
    <w:rsid w:val="56FD2DFE"/>
    <w:rsid w:val="570E6F3C"/>
    <w:rsid w:val="57130B43"/>
    <w:rsid w:val="57132FFB"/>
    <w:rsid w:val="5719707E"/>
    <w:rsid w:val="576A7617"/>
    <w:rsid w:val="576D63B4"/>
    <w:rsid w:val="57702DBC"/>
    <w:rsid w:val="577D0632"/>
    <w:rsid w:val="577D4867"/>
    <w:rsid w:val="5783206B"/>
    <w:rsid w:val="578E1CBE"/>
    <w:rsid w:val="57972BC9"/>
    <w:rsid w:val="5799434E"/>
    <w:rsid w:val="57A85A79"/>
    <w:rsid w:val="57BD0C87"/>
    <w:rsid w:val="57C541FB"/>
    <w:rsid w:val="57C73A82"/>
    <w:rsid w:val="580175D2"/>
    <w:rsid w:val="58047C0D"/>
    <w:rsid w:val="582577B6"/>
    <w:rsid w:val="5828502D"/>
    <w:rsid w:val="582871B1"/>
    <w:rsid w:val="58432B60"/>
    <w:rsid w:val="5848258B"/>
    <w:rsid w:val="584E5797"/>
    <w:rsid w:val="58622D79"/>
    <w:rsid w:val="58781BC3"/>
    <w:rsid w:val="587E3B7C"/>
    <w:rsid w:val="58910739"/>
    <w:rsid w:val="58997130"/>
    <w:rsid w:val="58C86A94"/>
    <w:rsid w:val="58CD73F0"/>
    <w:rsid w:val="58CE3458"/>
    <w:rsid w:val="5908312A"/>
    <w:rsid w:val="59234ABE"/>
    <w:rsid w:val="59335394"/>
    <w:rsid w:val="593C3F09"/>
    <w:rsid w:val="5956493B"/>
    <w:rsid w:val="598B5EC5"/>
    <w:rsid w:val="59943C9D"/>
    <w:rsid w:val="599B4722"/>
    <w:rsid w:val="59A4184F"/>
    <w:rsid w:val="59FA1936"/>
    <w:rsid w:val="5A0E3882"/>
    <w:rsid w:val="5A11541E"/>
    <w:rsid w:val="5A12790A"/>
    <w:rsid w:val="5A165648"/>
    <w:rsid w:val="5A3F1F40"/>
    <w:rsid w:val="5A416710"/>
    <w:rsid w:val="5A4D3493"/>
    <w:rsid w:val="5A5137D3"/>
    <w:rsid w:val="5A531846"/>
    <w:rsid w:val="5A720F61"/>
    <w:rsid w:val="5A815A2A"/>
    <w:rsid w:val="5A992C6B"/>
    <w:rsid w:val="5AA31D92"/>
    <w:rsid w:val="5ABD3D41"/>
    <w:rsid w:val="5AC265C5"/>
    <w:rsid w:val="5AC459E4"/>
    <w:rsid w:val="5ACA7CFB"/>
    <w:rsid w:val="5ACB629F"/>
    <w:rsid w:val="5AE04D71"/>
    <w:rsid w:val="5B150525"/>
    <w:rsid w:val="5B160764"/>
    <w:rsid w:val="5B226D7A"/>
    <w:rsid w:val="5B286B66"/>
    <w:rsid w:val="5B2E7769"/>
    <w:rsid w:val="5B491A5F"/>
    <w:rsid w:val="5B5E38E3"/>
    <w:rsid w:val="5B881743"/>
    <w:rsid w:val="5B8C74C6"/>
    <w:rsid w:val="5B941C93"/>
    <w:rsid w:val="5B9530E2"/>
    <w:rsid w:val="5B9C0740"/>
    <w:rsid w:val="5BB20DFA"/>
    <w:rsid w:val="5BC02D98"/>
    <w:rsid w:val="5BD27039"/>
    <w:rsid w:val="5BD67B34"/>
    <w:rsid w:val="5BE16D7E"/>
    <w:rsid w:val="5BE27BDE"/>
    <w:rsid w:val="5BE634BE"/>
    <w:rsid w:val="5BEE09CA"/>
    <w:rsid w:val="5BF630CF"/>
    <w:rsid w:val="5C0D2D4E"/>
    <w:rsid w:val="5C391CEB"/>
    <w:rsid w:val="5C4E6341"/>
    <w:rsid w:val="5C5E77AD"/>
    <w:rsid w:val="5C684645"/>
    <w:rsid w:val="5C862DB1"/>
    <w:rsid w:val="5C9756D3"/>
    <w:rsid w:val="5CAF3A11"/>
    <w:rsid w:val="5CB72CEF"/>
    <w:rsid w:val="5CCB4FB0"/>
    <w:rsid w:val="5CD42ADC"/>
    <w:rsid w:val="5CDD7935"/>
    <w:rsid w:val="5CED1068"/>
    <w:rsid w:val="5D045BF8"/>
    <w:rsid w:val="5D0B3750"/>
    <w:rsid w:val="5D1232C6"/>
    <w:rsid w:val="5D425C32"/>
    <w:rsid w:val="5D445E0A"/>
    <w:rsid w:val="5D466935"/>
    <w:rsid w:val="5D484B3C"/>
    <w:rsid w:val="5D6E5E1E"/>
    <w:rsid w:val="5D940635"/>
    <w:rsid w:val="5D972A2E"/>
    <w:rsid w:val="5DA63671"/>
    <w:rsid w:val="5DA75D46"/>
    <w:rsid w:val="5DAA2F31"/>
    <w:rsid w:val="5DAE2312"/>
    <w:rsid w:val="5DBC1D01"/>
    <w:rsid w:val="5DCA4805"/>
    <w:rsid w:val="5DCB4640"/>
    <w:rsid w:val="5DCD2F66"/>
    <w:rsid w:val="5E155519"/>
    <w:rsid w:val="5E3840F2"/>
    <w:rsid w:val="5E6C3FAE"/>
    <w:rsid w:val="5E753A7E"/>
    <w:rsid w:val="5E880872"/>
    <w:rsid w:val="5E9D08BE"/>
    <w:rsid w:val="5E9D5478"/>
    <w:rsid w:val="5EAD1B76"/>
    <w:rsid w:val="5EBC3DB1"/>
    <w:rsid w:val="5EC470CF"/>
    <w:rsid w:val="5EC85B2F"/>
    <w:rsid w:val="5ECC3E56"/>
    <w:rsid w:val="5EE27FBE"/>
    <w:rsid w:val="5EE72270"/>
    <w:rsid w:val="5F184C2E"/>
    <w:rsid w:val="5F1F7C5A"/>
    <w:rsid w:val="5F2250D6"/>
    <w:rsid w:val="5F2401FB"/>
    <w:rsid w:val="5F2A4809"/>
    <w:rsid w:val="5F667A54"/>
    <w:rsid w:val="5F76082E"/>
    <w:rsid w:val="5F79773C"/>
    <w:rsid w:val="5F7F45E6"/>
    <w:rsid w:val="5F976AAE"/>
    <w:rsid w:val="5FD04517"/>
    <w:rsid w:val="5FD45C66"/>
    <w:rsid w:val="5FE62213"/>
    <w:rsid w:val="5FE858AD"/>
    <w:rsid w:val="5FEE0BB5"/>
    <w:rsid w:val="5FEE6B83"/>
    <w:rsid w:val="5FF62CDA"/>
    <w:rsid w:val="5FFF576E"/>
    <w:rsid w:val="60022996"/>
    <w:rsid w:val="60043578"/>
    <w:rsid w:val="6009431E"/>
    <w:rsid w:val="60153FD2"/>
    <w:rsid w:val="601B677B"/>
    <w:rsid w:val="602B3F44"/>
    <w:rsid w:val="60330654"/>
    <w:rsid w:val="603D488F"/>
    <w:rsid w:val="604160CA"/>
    <w:rsid w:val="604C6F59"/>
    <w:rsid w:val="604E1C0B"/>
    <w:rsid w:val="609258D0"/>
    <w:rsid w:val="609864D9"/>
    <w:rsid w:val="60D35159"/>
    <w:rsid w:val="60DB609D"/>
    <w:rsid w:val="60DD7910"/>
    <w:rsid w:val="60E27F03"/>
    <w:rsid w:val="60E33BAB"/>
    <w:rsid w:val="60EA34E5"/>
    <w:rsid w:val="60EB71D4"/>
    <w:rsid w:val="60F603A0"/>
    <w:rsid w:val="61232B77"/>
    <w:rsid w:val="61614D2C"/>
    <w:rsid w:val="61701CAE"/>
    <w:rsid w:val="617B5AFE"/>
    <w:rsid w:val="61BA04FF"/>
    <w:rsid w:val="61C170DB"/>
    <w:rsid w:val="61DE6552"/>
    <w:rsid w:val="61E77EAE"/>
    <w:rsid w:val="62022855"/>
    <w:rsid w:val="62231733"/>
    <w:rsid w:val="62313045"/>
    <w:rsid w:val="623F6FBD"/>
    <w:rsid w:val="62474CCE"/>
    <w:rsid w:val="62815324"/>
    <w:rsid w:val="62992BBF"/>
    <w:rsid w:val="62AE14AC"/>
    <w:rsid w:val="62CA2484"/>
    <w:rsid w:val="63046028"/>
    <w:rsid w:val="630818C2"/>
    <w:rsid w:val="630948C5"/>
    <w:rsid w:val="63117A04"/>
    <w:rsid w:val="631A2327"/>
    <w:rsid w:val="631B2961"/>
    <w:rsid w:val="6324683C"/>
    <w:rsid w:val="6361159D"/>
    <w:rsid w:val="63654370"/>
    <w:rsid w:val="63986995"/>
    <w:rsid w:val="63E82C47"/>
    <w:rsid w:val="63EB78A6"/>
    <w:rsid w:val="63EE2FE8"/>
    <w:rsid w:val="63EF3646"/>
    <w:rsid w:val="63F12D30"/>
    <w:rsid w:val="63F37801"/>
    <w:rsid w:val="63FD14C2"/>
    <w:rsid w:val="6404260A"/>
    <w:rsid w:val="64070DDF"/>
    <w:rsid w:val="64337FCA"/>
    <w:rsid w:val="643923E1"/>
    <w:rsid w:val="64463AC6"/>
    <w:rsid w:val="64546374"/>
    <w:rsid w:val="645B020A"/>
    <w:rsid w:val="647B0C61"/>
    <w:rsid w:val="64831C0D"/>
    <w:rsid w:val="649A6C84"/>
    <w:rsid w:val="64A97FD8"/>
    <w:rsid w:val="64B96311"/>
    <w:rsid w:val="64C76C27"/>
    <w:rsid w:val="64CB348B"/>
    <w:rsid w:val="64CC4251"/>
    <w:rsid w:val="64CE4472"/>
    <w:rsid w:val="655477D7"/>
    <w:rsid w:val="655526EB"/>
    <w:rsid w:val="6561260B"/>
    <w:rsid w:val="656809DC"/>
    <w:rsid w:val="6571200B"/>
    <w:rsid w:val="65714685"/>
    <w:rsid w:val="6572196B"/>
    <w:rsid w:val="65892AB0"/>
    <w:rsid w:val="6594457B"/>
    <w:rsid w:val="65960085"/>
    <w:rsid w:val="659D2F73"/>
    <w:rsid w:val="65A9207B"/>
    <w:rsid w:val="65BA7E07"/>
    <w:rsid w:val="65F36D30"/>
    <w:rsid w:val="65F66CCA"/>
    <w:rsid w:val="660E223F"/>
    <w:rsid w:val="66137AEB"/>
    <w:rsid w:val="661C4F3D"/>
    <w:rsid w:val="662900E9"/>
    <w:rsid w:val="66397600"/>
    <w:rsid w:val="663F5D6C"/>
    <w:rsid w:val="6664753D"/>
    <w:rsid w:val="66996B0A"/>
    <w:rsid w:val="66A76590"/>
    <w:rsid w:val="66AC239D"/>
    <w:rsid w:val="66AF130E"/>
    <w:rsid w:val="66B04D4E"/>
    <w:rsid w:val="66B674A8"/>
    <w:rsid w:val="66BC51C9"/>
    <w:rsid w:val="66C12396"/>
    <w:rsid w:val="66C34E5D"/>
    <w:rsid w:val="66E47F6C"/>
    <w:rsid w:val="66F11420"/>
    <w:rsid w:val="66F4080A"/>
    <w:rsid w:val="66FB3C69"/>
    <w:rsid w:val="66FC541B"/>
    <w:rsid w:val="67094676"/>
    <w:rsid w:val="670B43F1"/>
    <w:rsid w:val="670B5D1A"/>
    <w:rsid w:val="671D22CB"/>
    <w:rsid w:val="672D5FB6"/>
    <w:rsid w:val="67511F2C"/>
    <w:rsid w:val="675B51A9"/>
    <w:rsid w:val="675D60C5"/>
    <w:rsid w:val="6776052E"/>
    <w:rsid w:val="67BC6C90"/>
    <w:rsid w:val="67D0277E"/>
    <w:rsid w:val="67DD6B10"/>
    <w:rsid w:val="67E14AF9"/>
    <w:rsid w:val="67E72F9F"/>
    <w:rsid w:val="67F610BB"/>
    <w:rsid w:val="67FB3940"/>
    <w:rsid w:val="683941E1"/>
    <w:rsid w:val="683E4589"/>
    <w:rsid w:val="68652EBD"/>
    <w:rsid w:val="68946AB1"/>
    <w:rsid w:val="68B53055"/>
    <w:rsid w:val="68BA1358"/>
    <w:rsid w:val="68BD652F"/>
    <w:rsid w:val="68CB6D09"/>
    <w:rsid w:val="68D33B73"/>
    <w:rsid w:val="68DE31AA"/>
    <w:rsid w:val="68F43DAD"/>
    <w:rsid w:val="6908537E"/>
    <w:rsid w:val="690956F7"/>
    <w:rsid w:val="69494A13"/>
    <w:rsid w:val="696069DC"/>
    <w:rsid w:val="6961077D"/>
    <w:rsid w:val="69643D99"/>
    <w:rsid w:val="69714323"/>
    <w:rsid w:val="698128AD"/>
    <w:rsid w:val="699C6A05"/>
    <w:rsid w:val="69A03202"/>
    <w:rsid w:val="69AF5E57"/>
    <w:rsid w:val="69D0459B"/>
    <w:rsid w:val="69D257C0"/>
    <w:rsid w:val="69E14B14"/>
    <w:rsid w:val="69EA78A9"/>
    <w:rsid w:val="69ED2979"/>
    <w:rsid w:val="69F31C39"/>
    <w:rsid w:val="69F62AF4"/>
    <w:rsid w:val="6A23230F"/>
    <w:rsid w:val="6A282723"/>
    <w:rsid w:val="6A2E5128"/>
    <w:rsid w:val="6A2F41DA"/>
    <w:rsid w:val="6A493D3D"/>
    <w:rsid w:val="6A544521"/>
    <w:rsid w:val="6A6F3D05"/>
    <w:rsid w:val="6A757552"/>
    <w:rsid w:val="6A7C25CE"/>
    <w:rsid w:val="6A7C4F48"/>
    <w:rsid w:val="6A9445E3"/>
    <w:rsid w:val="6A9C6E7A"/>
    <w:rsid w:val="6AA84699"/>
    <w:rsid w:val="6AC76B81"/>
    <w:rsid w:val="6AE27287"/>
    <w:rsid w:val="6B11225C"/>
    <w:rsid w:val="6B1420CE"/>
    <w:rsid w:val="6B172E9A"/>
    <w:rsid w:val="6B231D47"/>
    <w:rsid w:val="6B595ABB"/>
    <w:rsid w:val="6B6B5449"/>
    <w:rsid w:val="6B7319E4"/>
    <w:rsid w:val="6B777198"/>
    <w:rsid w:val="6B7C6701"/>
    <w:rsid w:val="6B826F22"/>
    <w:rsid w:val="6B870C51"/>
    <w:rsid w:val="6B8B195E"/>
    <w:rsid w:val="6BA43417"/>
    <w:rsid w:val="6BA65C8F"/>
    <w:rsid w:val="6BB87769"/>
    <w:rsid w:val="6BBB59B4"/>
    <w:rsid w:val="6BBE72BF"/>
    <w:rsid w:val="6BE027E9"/>
    <w:rsid w:val="6BFA67EE"/>
    <w:rsid w:val="6C0C1C29"/>
    <w:rsid w:val="6C103F42"/>
    <w:rsid w:val="6C1E3278"/>
    <w:rsid w:val="6C286480"/>
    <w:rsid w:val="6C42390F"/>
    <w:rsid w:val="6C5F3CA6"/>
    <w:rsid w:val="6C757B50"/>
    <w:rsid w:val="6CA4016C"/>
    <w:rsid w:val="6CA9427D"/>
    <w:rsid w:val="6CBF1C3B"/>
    <w:rsid w:val="6CDB2E11"/>
    <w:rsid w:val="6CEE03E9"/>
    <w:rsid w:val="6D0D276C"/>
    <w:rsid w:val="6D150A77"/>
    <w:rsid w:val="6D210DF9"/>
    <w:rsid w:val="6D2B0E95"/>
    <w:rsid w:val="6D2F55EC"/>
    <w:rsid w:val="6D3337B6"/>
    <w:rsid w:val="6D510F2F"/>
    <w:rsid w:val="6D555D71"/>
    <w:rsid w:val="6D5F4A7D"/>
    <w:rsid w:val="6D6E425B"/>
    <w:rsid w:val="6D772FD2"/>
    <w:rsid w:val="6D7A4B9F"/>
    <w:rsid w:val="6D8F0525"/>
    <w:rsid w:val="6DA647B9"/>
    <w:rsid w:val="6DB5136B"/>
    <w:rsid w:val="6DB712B0"/>
    <w:rsid w:val="6DC0422B"/>
    <w:rsid w:val="6DC363D1"/>
    <w:rsid w:val="6DC83214"/>
    <w:rsid w:val="6DE02749"/>
    <w:rsid w:val="6DEC4584"/>
    <w:rsid w:val="6E284918"/>
    <w:rsid w:val="6E2B2892"/>
    <w:rsid w:val="6E2C7D8F"/>
    <w:rsid w:val="6E3C4475"/>
    <w:rsid w:val="6E504F9C"/>
    <w:rsid w:val="6E580DA3"/>
    <w:rsid w:val="6E772BC3"/>
    <w:rsid w:val="6E7C7C0E"/>
    <w:rsid w:val="6E86559C"/>
    <w:rsid w:val="6E8D61BD"/>
    <w:rsid w:val="6E9103B3"/>
    <w:rsid w:val="6E915A59"/>
    <w:rsid w:val="6EA969B8"/>
    <w:rsid w:val="6EAC0E4B"/>
    <w:rsid w:val="6EC41135"/>
    <w:rsid w:val="6EC73C54"/>
    <w:rsid w:val="6EDB5252"/>
    <w:rsid w:val="6EEC704E"/>
    <w:rsid w:val="6EF70CBD"/>
    <w:rsid w:val="6EFD04CA"/>
    <w:rsid w:val="6F114EF6"/>
    <w:rsid w:val="6F141B06"/>
    <w:rsid w:val="6F1B2A28"/>
    <w:rsid w:val="6F53446B"/>
    <w:rsid w:val="6F596AB2"/>
    <w:rsid w:val="6F883084"/>
    <w:rsid w:val="6F977280"/>
    <w:rsid w:val="6F986323"/>
    <w:rsid w:val="6FC60123"/>
    <w:rsid w:val="6FCD682F"/>
    <w:rsid w:val="6FCF7432"/>
    <w:rsid w:val="6FD008CB"/>
    <w:rsid w:val="6FD44282"/>
    <w:rsid w:val="6FE8217F"/>
    <w:rsid w:val="6FEA0DFA"/>
    <w:rsid w:val="6FF536A0"/>
    <w:rsid w:val="6FFB7659"/>
    <w:rsid w:val="6FFD58FB"/>
    <w:rsid w:val="7017029D"/>
    <w:rsid w:val="701F6C23"/>
    <w:rsid w:val="70214059"/>
    <w:rsid w:val="70427F59"/>
    <w:rsid w:val="704C4EC0"/>
    <w:rsid w:val="704D2002"/>
    <w:rsid w:val="70743994"/>
    <w:rsid w:val="707F491A"/>
    <w:rsid w:val="7082235D"/>
    <w:rsid w:val="709078BC"/>
    <w:rsid w:val="70A853A1"/>
    <w:rsid w:val="70CC28F5"/>
    <w:rsid w:val="70DB5416"/>
    <w:rsid w:val="70DD6B0F"/>
    <w:rsid w:val="71032015"/>
    <w:rsid w:val="710B1920"/>
    <w:rsid w:val="71144278"/>
    <w:rsid w:val="7117193D"/>
    <w:rsid w:val="71333BDE"/>
    <w:rsid w:val="713D7ECA"/>
    <w:rsid w:val="714E2361"/>
    <w:rsid w:val="7150081A"/>
    <w:rsid w:val="71525605"/>
    <w:rsid w:val="7154556D"/>
    <w:rsid w:val="716B4923"/>
    <w:rsid w:val="719D75B5"/>
    <w:rsid w:val="71AF36C1"/>
    <w:rsid w:val="71B573EC"/>
    <w:rsid w:val="71C17F8B"/>
    <w:rsid w:val="71C20515"/>
    <w:rsid w:val="71CA0AB4"/>
    <w:rsid w:val="71D35665"/>
    <w:rsid w:val="71D54572"/>
    <w:rsid w:val="71EE79E8"/>
    <w:rsid w:val="71F410F2"/>
    <w:rsid w:val="72221371"/>
    <w:rsid w:val="72325697"/>
    <w:rsid w:val="723534B2"/>
    <w:rsid w:val="72396E55"/>
    <w:rsid w:val="724F33C0"/>
    <w:rsid w:val="72606E88"/>
    <w:rsid w:val="7279031A"/>
    <w:rsid w:val="728965C4"/>
    <w:rsid w:val="72A21394"/>
    <w:rsid w:val="72C04310"/>
    <w:rsid w:val="72C86509"/>
    <w:rsid w:val="72E96E7F"/>
    <w:rsid w:val="72EA03D2"/>
    <w:rsid w:val="72F22CE4"/>
    <w:rsid w:val="72F36A5B"/>
    <w:rsid w:val="734B2775"/>
    <w:rsid w:val="73560BE2"/>
    <w:rsid w:val="73641598"/>
    <w:rsid w:val="73673AB3"/>
    <w:rsid w:val="7373279F"/>
    <w:rsid w:val="73791065"/>
    <w:rsid w:val="73923C0F"/>
    <w:rsid w:val="73A33C2D"/>
    <w:rsid w:val="73A7180F"/>
    <w:rsid w:val="73AE2818"/>
    <w:rsid w:val="73BB2126"/>
    <w:rsid w:val="73D8191E"/>
    <w:rsid w:val="73D91197"/>
    <w:rsid w:val="740428C0"/>
    <w:rsid w:val="74320D5A"/>
    <w:rsid w:val="74470A42"/>
    <w:rsid w:val="74523062"/>
    <w:rsid w:val="746A53BC"/>
    <w:rsid w:val="749611DE"/>
    <w:rsid w:val="749A4F41"/>
    <w:rsid w:val="74B54123"/>
    <w:rsid w:val="74D13FA9"/>
    <w:rsid w:val="74D80E4A"/>
    <w:rsid w:val="74DA5A82"/>
    <w:rsid w:val="74F57D2E"/>
    <w:rsid w:val="751D38EF"/>
    <w:rsid w:val="753A7D56"/>
    <w:rsid w:val="75453F10"/>
    <w:rsid w:val="755337A3"/>
    <w:rsid w:val="755F5327"/>
    <w:rsid w:val="757125E3"/>
    <w:rsid w:val="759D4F01"/>
    <w:rsid w:val="75A63738"/>
    <w:rsid w:val="75AF1BCC"/>
    <w:rsid w:val="75D64EDA"/>
    <w:rsid w:val="75DF27E1"/>
    <w:rsid w:val="76085DD4"/>
    <w:rsid w:val="761D2E11"/>
    <w:rsid w:val="761E5956"/>
    <w:rsid w:val="76344143"/>
    <w:rsid w:val="763A7827"/>
    <w:rsid w:val="764D087D"/>
    <w:rsid w:val="764E31BC"/>
    <w:rsid w:val="765D2DCB"/>
    <w:rsid w:val="767E5E58"/>
    <w:rsid w:val="76842EAA"/>
    <w:rsid w:val="76BA3A09"/>
    <w:rsid w:val="76CF23AC"/>
    <w:rsid w:val="76D00D99"/>
    <w:rsid w:val="76F06473"/>
    <w:rsid w:val="77017F6C"/>
    <w:rsid w:val="7733042F"/>
    <w:rsid w:val="774066FF"/>
    <w:rsid w:val="7759066B"/>
    <w:rsid w:val="77806D13"/>
    <w:rsid w:val="77867C2E"/>
    <w:rsid w:val="778D7D58"/>
    <w:rsid w:val="778E3F51"/>
    <w:rsid w:val="779B63E6"/>
    <w:rsid w:val="77CB6E5B"/>
    <w:rsid w:val="77E448C9"/>
    <w:rsid w:val="78061079"/>
    <w:rsid w:val="785868F5"/>
    <w:rsid w:val="78687D8D"/>
    <w:rsid w:val="78705F02"/>
    <w:rsid w:val="78715D94"/>
    <w:rsid w:val="787B1BD3"/>
    <w:rsid w:val="7892499B"/>
    <w:rsid w:val="78963D2D"/>
    <w:rsid w:val="78993F45"/>
    <w:rsid w:val="78A5413D"/>
    <w:rsid w:val="78AF44EF"/>
    <w:rsid w:val="78B633FA"/>
    <w:rsid w:val="78CA697B"/>
    <w:rsid w:val="78D36002"/>
    <w:rsid w:val="78DC4DFE"/>
    <w:rsid w:val="78E25DA0"/>
    <w:rsid w:val="78E41748"/>
    <w:rsid w:val="790F3350"/>
    <w:rsid w:val="79126363"/>
    <w:rsid w:val="79255E11"/>
    <w:rsid w:val="79326981"/>
    <w:rsid w:val="79372C5E"/>
    <w:rsid w:val="793953BD"/>
    <w:rsid w:val="794A4E87"/>
    <w:rsid w:val="795E09D2"/>
    <w:rsid w:val="79763307"/>
    <w:rsid w:val="79764D88"/>
    <w:rsid w:val="79805157"/>
    <w:rsid w:val="799C2DF0"/>
    <w:rsid w:val="79A0525E"/>
    <w:rsid w:val="79AF3AE7"/>
    <w:rsid w:val="79B02283"/>
    <w:rsid w:val="79B86F7D"/>
    <w:rsid w:val="79C71817"/>
    <w:rsid w:val="79DA5156"/>
    <w:rsid w:val="79F41524"/>
    <w:rsid w:val="79FC72BF"/>
    <w:rsid w:val="7A0B2D5B"/>
    <w:rsid w:val="7A0C7490"/>
    <w:rsid w:val="7A1D4FB5"/>
    <w:rsid w:val="7A321DB1"/>
    <w:rsid w:val="7A5B6218"/>
    <w:rsid w:val="7A6200CD"/>
    <w:rsid w:val="7A626C55"/>
    <w:rsid w:val="7A6A31DB"/>
    <w:rsid w:val="7A7B44BE"/>
    <w:rsid w:val="7A7D4D15"/>
    <w:rsid w:val="7A994428"/>
    <w:rsid w:val="7AAE5943"/>
    <w:rsid w:val="7ACA6107"/>
    <w:rsid w:val="7ADB0F57"/>
    <w:rsid w:val="7B094D19"/>
    <w:rsid w:val="7B162FC1"/>
    <w:rsid w:val="7B2A3051"/>
    <w:rsid w:val="7B2A52C0"/>
    <w:rsid w:val="7B455470"/>
    <w:rsid w:val="7B53639E"/>
    <w:rsid w:val="7B584D0B"/>
    <w:rsid w:val="7B5B2C61"/>
    <w:rsid w:val="7B69027F"/>
    <w:rsid w:val="7B6B2BC1"/>
    <w:rsid w:val="7BA80E68"/>
    <w:rsid w:val="7BAC0354"/>
    <w:rsid w:val="7BB17666"/>
    <w:rsid w:val="7BB81960"/>
    <w:rsid w:val="7BB9184C"/>
    <w:rsid w:val="7BB947DE"/>
    <w:rsid w:val="7BBD7506"/>
    <w:rsid w:val="7BCD6FCB"/>
    <w:rsid w:val="7BF54CFD"/>
    <w:rsid w:val="7BFA6183"/>
    <w:rsid w:val="7C042023"/>
    <w:rsid w:val="7C1F1A6F"/>
    <w:rsid w:val="7C2A6A13"/>
    <w:rsid w:val="7C5A2FBD"/>
    <w:rsid w:val="7C5E742D"/>
    <w:rsid w:val="7C884D48"/>
    <w:rsid w:val="7C8F0DFC"/>
    <w:rsid w:val="7C9032DE"/>
    <w:rsid w:val="7CAD6CCD"/>
    <w:rsid w:val="7CB3777E"/>
    <w:rsid w:val="7CBE23AF"/>
    <w:rsid w:val="7CCB265A"/>
    <w:rsid w:val="7CD05F83"/>
    <w:rsid w:val="7CE0425A"/>
    <w:rsid w:val="7D040447"/>
    <w:rsid w:val="7D1D0C21"/>
    <w:rsid w:val="7D1F7A2D"/>
    <w:rsid w:val="7D31246A"/>
    <w:rsid w:val="7D340713"/>
    <w:rsid w:val="7D391DC2"/>
    <w:rsid w:val="7D3A6CDB"/>
    <w:rsid w:val="7D4A69D4"/>
    <w:rsid w:val="7D6876FE"/>
    <w:rsid w:val="7D694CEA"/>
    <w:rsid w:val="7D6B1B50"/>
    <w:rsid w:val="7D6B52D9"/>
    <w:rsid w:val="7D6E728E"/>
    <w:rsid w:val="7D9F189A"/>
    <w:rsid w:val="7DA05B56"/>
    <w:rsid w:val="7DAA612C"/>
    <w:rsid w:val="7DC119E1"/>
    <w:rsid w:val="7DC238C6"/>
    <w:rsid w:val="7DE3305D"/>
    <w:rsid w:val="7E370D29"/>
    <w:rsid w:val="7E373391"/>
    <w:rsid w:val="7E451AE3"/>
    <w:rsid w:val="7E565825"/>
    <w:rsid w:val="7E566D5A"/>
    <w:rsid w:val="7E64778D"/>
    <w:rsid w:val="7E714D12"/>
    <w:rsid w:val="7E7321C0"/>
    <w:rsid w:val="7E7B79DE"/>
    <w:rsid w:val="7E8028AB"/>
    <w:rsid w:val="7E9A1E94"/>
    <w:rsid w:val="7E9D56F1"/>
    <w:rsid w:val="7EAC5FB7"/>
    <w:rsid w:val="7EB72356"/>
    <w:rsid w:val="7ED0427D"/>
    <w:rsid w:val="7EDB2CF6"/>
    <w:rsid w:val="7EE12661"/>
    <w:rsid w:val="7EE15941"/>
    <w:rsid w:val="7F1F2D05"/>
    <w:rsid w:val="7F23704F"/>
    <w:rsid w:val="7F2C5F2D"/>
    <w:rsid w:val="7F4350FE"/>
    <w:rsid w:val="7F53757B"/>
    <w:rsid w:val="7F633A10"/>
    <w:rsid w:val="7F677DDD"/>
    <w:rsid w:val="7F827EC1"/>
    <w:rsid w:val="7F8928BB"/>
    <w:rsid w:val="7FA550BE"/>
    <w:rsid w:val="7FA82C27"/>
    <w:rsid w:val="7FA92259"/>
    <w:rsid w:val="7FB50E3E"/>
    <w:rsid w:val="7FCA533F"/>
    <w:rsid w:val="7FFC2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4">
    <w:name w:val="heading 2"/>
    <w:basedOn w:val="1"/>
    <w:next w:val="5"/>
    <w:qFormat/>
    <w:uiPriority w:val="0"/>
    <w:pPr>
      <w:keepNext/>
      <w:keepLines/>
      <w:spacing w:before="260" w:after="260" w:line="416" w:lineRule="auto"/>
      <w:outlineLvl w:val="1"/>
    </w:pPr>
    <w:rPr>
      <w:rFonts w:ascii="等线 Light" w:hAnsi="等线 Light" w:eastAsia="等线 Light"/>
      <w:b/>
      <w:bCs/>
      <w:sz w:val="32"/>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paragraph" w:styleId="7">
    <w:name w:val="heading 4"/>
    <w:basedOn w:val="1"/>
    <w:next w:val="1"/>
    <w:qFormat/>
    <w:uiPriority w:val="0"/>
    <w:pPr>
      <w:keepNext/>
      <w:outlineLvl w:val="3"/>
    </w:pPr>
    <w:rPr>
      <w:rFonts w:ascii="Times New Roman" w:hAnsi="Times New Roman" w:eastAsia="宋体" w:cs="Times New Roman"/>
      <w:sz w:val="28"/>
      <w:szCs w:val="20"/>
    </w:rPr>
  </w:style>
  <w:style w:type="paragraph" w:styleId="8">
    <w:name w:val="heading 6"/>
    <w:basedOn w:val="1"/>
    <w:next w:val="1"/>
    <w:qFormat/>
    <w:uiPriority w:val="0"/>
    <w:pPr>
      <w:keepNext/>
      <w:keepLines/>
      <w:widowControl w:val="0"/>
      <w:tabs>
        <w:tab w:val="left" w:pos="1152"/>
        <w:tab w:val="left" w:pos="1719"/>
      </w:tabs>
      <w:snapToGrid/>
      <w:spacing w:before="240" w:after="64" w:line="320" w:lineRule="atLeast"/>
      <w:ind w:left="1719" w:hanging="1152"/>
      <w:textAlignment w:val="baseline"/>
      <w:outlineLvl w:val="5"/>
    </w:pPr>
    <w:rPr>
      <w:rFonts w:ascii="Arial" w:hAnsi="Arial" w:eastAsia="黑体"/>
      <w:b/>
      <w:sz w:val="24"/>
      <w:szCs w:val="20"/>
    </w:rPr>
  </w:style>
  <w:style w:type="paragraph" w:styleId="9">
    <w:name w:val="heading 7"/>
    <w:basedOn w:val="1"/>
    <w:next w:val="1"/>
    <w:qFormat/>
    <w:uiPriority w:val="0"/>
    <w:pPr>
      <w:keepNext/>
      <w:keepLines/>
      <w:widowControl w:val="0"/>
      <w:tabs>
        <w:tab w:val="left" w:pos="1296"/>
        <w:tab w:val="left" w:pos="1863"/>
      </w:tabs>
      <w:snapToGrid/>
      <w:spacing w:before="240" w:after="64" w:line="320" w:lineRule="atLeast"/>
      <w:ind w:left="1863" w:hanging="1296"/>
      <w:textAlignment w:val="baseline"/>
      <w:outlineLvl w:val="6"/>
    </w:pPr>
    <w:rPr>
      <w:rFonts w:ascii="Times New Roman" w:hAnsi="Times New Roman" w:eastAsia="宋体"/>
      <w:b/>
      <w:sz w:val="24"/>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rPr>
  </w:style>
  <w:style w:type="paragraph" w:styleId="5">
    <w:name w:val="Normal Indent"/>
    <w:basedOn w:val="1"/>
    <w:next w:val="1"/>
    <w:qFormat/>
    <w:uiPriority w:val="99"/>
    <w:pPr>
      <w:ind w:firstLine="420" w:firstLineChars="200"/>
    </w:pPr>
    <w:rPr>
      <w:sz w:val="24"/>
      <w:szCs w:val="20"/>
    </w:rPr>
  </w:style>
  <w:style w:type="paragraph" w:styleId="10">
    <w:name w:val="annotation text"/>
    <w:basedOn w:val="1"/>
    <w:qFormat/>
    <w:uiPriority w:val="0"/>
    <w:pPr>
      <w:jc w:val="left"/>
    </w:pPr>
  </w:style>
  <w:style w:type="paragraph" w:styleId="11">
    <w:name w:val="Body Text"/>
    <w:basedOn w:val="1"/>
    <w:next w:val="1"/>
    <w:qFormat/>
    <w:uiPriority w:val="0"/>
  </w:style>
  <w:style w:type="paragraph" w:styleId="12">
    <w:name w:val="Body Text Indent"/>
    <w:basedOn w:val="1"/>
    <w:qFormat/>
    <w:uiPriority w:val="0"/>
    <w:pPr>
      <w:spacing w:line="360" w:lineRule="auto"/>
    </w:pPr>
    <w:rPr>
      <w:rFonts w:ascii="仿宋体" w:eastAsia="仿宋体"/>
      <w:sz w:val="24"/>
    </w:rPr>
  </w:style>
  <w:style w:type="paragraph" w:styleId="13">
    <w:name w:val="Plain Text"/>
    <w:basedOn w:val="1"/>
    <w:unhideWhenUsed/>
    <w:qFormat/>
    <w:uiPriority w:val="99"/>
    <w:rPr>
      <w:rFonts w:ascii="宋体" w:hAnsi="Courier New" w:cs="Courier New"/>
      <w:szCs w:val="21"/>
    </w:rPr>
  </w:style>
  <w:style w:type="paragraph" w:styleId="14">
    <w:name w:val="Date"/>
    <w:basedOn w:val="1"/>
    <w:next w:val="1"/>
    <w:qFormat/>
    <w:uiPriority w:val="0"/>
    <w:pPr>
      <w:ind w:left="100" w:leftChars="2500"/>
    </w:pPr>
    <w:rPr>
      <w:rFonts w:ascii="华文仿宋" w:hAnsi="华文仿宋" w:eastAsia="华文仿宋"/>
      <w:sz w:val="24"/>
    </w:rPr>
  </w:style>
  <w:style w:type="paragraph" w:styleId="15">
    <w:name w:val="Body Text Indent 2"/>
    <w:basedOn w:val="1"/>
    <w:qFormat/>
    <w:uiPriority w:val="0"/>
    <w:pPr>
      <w:spacing w:line="360" w:lineRule="auto"/>
      <w:ind w:left="839" w:hanging="839" w:hangingChars="355"/>
    </w:pPr>
    <w:rPr>
      <w:b/>
      <w:sz w:val="24"/>
    </w:rPr>
  </w:style>
  <w:style w:type="paragraph" w:styleId="16">
    <w:name w:val="Balloon Text"/>
    <w:basedOn w:val="1"/>
    <w:link w:val="35"/>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footnote text"/>
    <w:basedOn w:val="1"/>
    <w:qFormat/>
    <w:uiPriority w:val="0"/>
    <w:pPr>
      <w:snapToGrid w:val="0"/>
      <w:jc w:val="left"/>
    </w:pPr>
    <w:rPr>
      <w:rFonts w:ascii="Times New Roman" w:hAnsi="Times New Roman" w:eastAsia="宋体" w:cs="Times New Roman"/>
      <w:sz w:val="18"/>
    </w:rPr>
  </w:style>
  <w:style w:type="paragraph" w:styleId="20">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1">
    <w:name w:val="Title"/>
    <w:basedOn w:val="1"/>
    <w:next w:val="1"/>
    <w:qFormat/>
    <w:uiPriority w:val="0"/>
    <w:pPr>
      <w:spacing w:before="240" w:after="60"/>
      <w:jc w:val="center"/>
      <w:outlineLvl w:val="0"/>
    </w:pPr>
    <w:rPr>
      <w:rFonts w:ascii="Cambria" w:hAnsi="Cambria"/>
      <w:b/>
      <w:bCs/>
      <w:sz w:val="32"/>
      <w:szCs w:val="32"/>
    </w:rPr>
  </w:style>
  <w:style w:type="paragraph" w:styleId="22">
    <w:name w:val="Body Text First Indent"/>
    <w:basedOn w:val="11"/>
    <w:qFormat/>
    <w:uiPriority w:val="0"/>
    <w:pPr>
      <w:ind w:firstLine="420" w:firstLineChars="100"/>
    </w:pPr>
    <w:rPr>
      <w:szCs w:val="21"/>
    </w:rPr>
  </w:style>
  <w:style w:type="table" w:styleId="24">
    <w:name w:val="Table Grid"/>
    <w:basedOn w:val="23"/>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page number"/>
    <w:basedOn w:val="25"/>
    <w:qFormat/>
    <w:uiPriority w:val="0"/>
  </w:style>
  <w:style w:type="paragraph" w:customStyle="1" w:styleId="28">
    <w:name w:val="默认段落字体 Para Char"/>
    <w:basedOn w:val="1"/>
    <w:qFormat/>
    <w:uiPriority w:val="0"/>
    <w:pPr>
      <w:adjustRightInd w:val="0"/>
      <w:spacing w:line="360" w:lineRule="auto"/>
    </w:p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1">
    <w:name w:val="列出段落1"/>
    <w:basedOn w:val="1"/>
    <w:qFormat/>
    <w:uiPriority w:val="34"/>
    <w:pPr>
      <w:ind w:firstLine="420" w:firstLineChars="200"/>
    </w:pPr>
  </w:style>
  <w:style w:type="character" w:customStyle="1" w:styleId="32">
    <w:name w:val="font11"/>
    <w:basedOn w:val="25"/>
    <w:qFormat/>
    <w:uiPriority w:val="0"/>
    <w:rPr>
      <w:rFonts w:hint="default" w:ascii="Times New Roman" w:hAnsi="Times New Roman" w:cs="Times New Roman"/>
      <w:color w:val="000000"/>
      <w:sz w:val="24"/>
      <w:szCs w:val="24"/>
      <w:u w:val="none"/>
    </w:rPr>
  </w:style>
  <w:style w:type="character" w:customStyle="1" w:styleId="33">
    <w:name w:val="font31"/>
    <w:basedOn w:val="25"/>
    <w:qFormat/>
    <w:uiPriority w:val="0"/>
    <w:rPr>
      <w:rFonts w:hint="eastAsia" w:ascii="宋体" w:hAnsi="宋体" w:eastAsia="宋体" w:cs="宋体"/>
      <w:color w:val="000000"/>
      <w:sz w:val="24"/>
      <w:szCs w:val="24"/>
      <w:u w:val="none"/>
    </w:rPr>
  </w:style>
  <w:style w:type="paragraph" w:customStyle="1" w:styleId="34">
    <w:name w:val="WPS Plain"/>
    <w:qFormat/>
    <w:uiPriority w:val="0"/>
    <w:rPr>
      <w:rFonts w:ascii="Times New Roman" w:hAnsi="Times New Roman" w:eastAsia="宋体" w:cs="Times New Roman"/>
      <w:lang w:val="en-US" w:eastAsia="zh-CN" w:bidi="ar-SA"/>
    </w:rPr>
  </w:style>
  <w:style w:type="character" w:customStyle="1" w:styleId="35">
    <w:name w:val="批注框文本 Char"/>
    <w:basedOn w:val="25"/>
    <w:link w:val="16"/>
    <w:qFormat/>
    <w:uiPriority w:val="0"/>
    <w:rPr>
      <w:kern w:val="2"/>
      <w:sz w:val="18"/>
      <w:szCs w:val="18"/>
    </w:rPr>
  </w:style>
  <w:style w:type="paragraph" w:customStyle="1" w:styleId="36">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7">
    <w:name w:val="采购正文"/>
    <w:basedOn w:val="1"/>
    <w:qFormat/>
    <w:uiPriority w:val="0"/>
    <w:pPr>
      <w:snapToGrid w:val="0"/>
      <w:spacing w:line="560" w:lineRule="exact"/>
      <w:ind w:firstLine="480" w:firstLineChars="200"/>
    </w:pPr>
    <w:rPr>
      <w:rFonts w:ascii="仿宋" w:hAnsi="仿宋" w:eastAsia="仿宋" w:cs="Times New Roman"/>
      <w:sz w:val="24"/>
      <w:szCs w:val="24"/>
    </w:rPr>
  </w:style>
  <w:style w:type="paragraph" w:customStyle="1" w:styleId="38">
    <w:name w:val="采购二级"/>
    <w:basedOn w:val="1"/>
    <w:qFormat/>
    <w:uiPriority w:val="99"/>
    <w:pPr>
      <w:snapToGrid w:val="0"/>
      <w:spacing w:line="560" w:lineRule="exact"/>
      <w:ind w:firstLine="480" w:firstLineChars="200"/>
      <w:outlineLvl w:val="1"/>
    </w:pPr>
    <w:rPr>
      <w:rFonts w:ascii="仿宋" w:hAnsi="仿宋" w:eastAsia="仿宋"/>
      <w:b/>
      <w:sz w:val="24"/>
      <w:szCs w:val="24"/>
    </w:rPr>
  </w:style>
  <w:style w:type="paragraph" w:styleId="39">
    <w:name w:val="List Paragraph"/>
    <w:basedOn w:val="1"/>
    <w:qFormat/>
    <w:uiPriority w:val="34"/>
    <w:pPr>
      <w:ind w:firstLine="420" w:firstLineChars="200"/>
    </w:pPr>
  </w:style>
  <w:style w:type="paragraph" w:customStyle="1" w:styleId="40">
    <w:name w:val="Table Paragraph"/>
    <w:basedOn w:val="1"/>
    <w:qFormat/>
    <w:uiPriority w:val="1"/>
    <w:rPr>
      <w:rFonts w:ascii="宋体" w:hAnsi="宋体" w:eastAsia="宋体" w:cs="宋体"/>
      <w:lang w:val="zh-CN" w:eastAsia="zh-CN" w:bidi="zh-CN"/>
    </w:rPr>
  </w:style>
  <w:style w:type="paragraph" w:customStyle="1" w:styleId="41">
    <w:name w:val="Default"/>
    <w:qFormat/>
    <w:uiPriority w:val="0"/>
    <w:pPr>
      <w:widowControl w:val="0"/>
      <w:autoSpaceDE w:val="0"/>
      <w:autoSpaceDN w:val="0"/>
    </w:pPr>
    <w:rPr>
      <w:rFonts w:ascii="ó×.2" w:hAnsi="Calibri" w:eastAsia="ó×.2" w:cs="ó×.2"/>
      <w:color w:val="000000"/>
      <w:kern w:val="0"/>
      <w:sz w:val="24"/>
      <w:szCs w:val="24"/>
      <w:lang w:val="en-US" w:eastAsia="zh-CN" w:bidi="ar-SA"/>
    </w:rPr>
  </w:style>
  <w:style w:type="paragraph" w:customStyle="1" w:styleId="42">
    <w:name w:val="中文正文、"/>
    <w:basedOn w:val="1"/>
    <w:qFormat/>
    <w:uiPriority w:val="0"/>
    <w:pPr>
      <w:spacing w:line="360" w:lineRule="auto"/>
      <w:ind w:firstLine="420" w:firstLineChars="200"/>
      <w:jc w:val="left"/>
    </w:pPr>
    <w:rPr>
      <w:rFonts w:eastAsia="宋体"/>
      <w:sz w:val="21"/>
      <w:szCs w:val="21"/>
    </w:rPr>
  </w:style>
  <w:style w:type="paragraph" w:customStyle="1" w:styleId="43">
    <w:name w:val="reader-word-layer1"/>
    <w:basedOn w:val="1"/>
    <w:qFormat/>
    <w:uiPriority w:val="0"/>
    <w:pPr>
      <w:widowControl/>
      <w:spacing w:after="100" w:afterAutospacing="1"/>
      <w:jc w:val="left"/>
    </w:pPr>
    <w:rPr>
      <w:rFonts w:ascii="宋体" w:hAnsi="宋体" w:eastAsia="宋体" w:cs="宋体"/>
      <w:kern w:val="0"/>
      <w:sz w:val="24"/>
      <w:szCs w:val="24"/>
    </w:rPr>
  </w:style>
  <w:style w:type="paragraph" w:customStyle="1" w:styleId="44">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5">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46">
    <w:name w:val="纯文本1"/>
    <w:basedOn w:val="1"/>
    <w:uiPriority w:val="0"/>
    <w:rPr>
      <w:rFonts w:ascii="宋体" w:hAnsi="Courier New"/>
      <w:kern w:val="0"/>
      <w:sz w:val="20"/>
      <w:szCs w:val="20"/>
    </w:rPr>
  </w:style>
  <w:style w:type="paragraph" w:customStyle="1" w:styleId="4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56</Pages>
  <Words>5099</Words>
  <Characters>29065</Characters>
  <Lines>242</Lines>
  <Paragraphs>68</Paragraphs>
  <TotalTime>1</TotalTime>
  <ScaleCrop>false</ScaleCrop>
  <LinksUpToDate>false</LinksUpToDate>
  <CharactersWithSpaces>34096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2019-04-23T04:10:00Z</dcterms:created>
  <dc:creator>HapPy</dc:creator>
  <cp:lastModifiedBy>Administrator</cp:lastModifiedBy>
  <cp:lastPrinted>2021-05-11T07:18:00Z</cp:lastPrinted>
  <dcterms:modified xsi:type="dcterms:W3CDTF">2021-11-03T12:56:04Z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FB4B13D4F34B46358C486D2E8B8103C9</vt:lpwstr>
  </property>
</Properties>
</file>