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360" w:lineRule="auto"/>
        <w:jc w:val="center"/>
        <w:rPr>
          <w:rFonts w:hint="eastAsia" w:ascii="宋体" w:hAnsi="宋体" w:eastAsia="宋体" w:cs="宋体"/>
          <w:b/>
          <w:color w:val="auto"/>
          <w:sz w:val="56"/>
          <w:szCs w:val="56"/>
          <w:lang w:eastAsia="zh-CN"/>
        </w:rPr>
      </w:pPr>
      <w:bookmarkStart w:id="132" w:name="_GoBack"/>
      <w:r>
        <w:rPr>
          <w:rFonts w:hint="eastAsia" w:ascii="宋体" w:hAnsi="宋体" w:cs="宋体"/>
          <w:b/>
          <w:color w:val="auto"/>
          <w:sz w:val="56"/>
          <w:szCs w:val="56"/>
          <w:lang w:val="en-US" w:eastAsia="zh-CN"/>
        </w:rPr>
        <w:t>新疆维吾尔自治区高级人民法院“两基地一中心”电视机采购项目</w:t>
      </w:r>
    </w:p>
    <w:bookmarkEnd w:id="132"/>
    <w:p>
      <w:pPr>
        <w:tabs>
          <w:tab w:val="left" w:pos="1960"/>
          <w:tab w:val="left" w:pos="3480"/>
          <w:tab w:val="left" w:pos="4980"/>
        </w:tabs>
        <w:spacing w:line="360" w:lineRule="auto"/>
        <w:jc w:val="center"/>
        <w:rPr>
          <w:rFonts w:hint="eastAsia" w:ascii="宋体" w:hAnsi="宋体" w:eastAsia="宋体" w:cs="宋体"/>
          <w:b/>
          <w:sz w:val="52"/>
          <w:szCs w:val="52"/>
        </w:rPr>
      </w:pPr>
    </w:p>
    <w:p>
      <w:pPr>
        <w:pStyle w:val="13"/>
        <w:rPr>
          <w:rFonts w:hint="eastAsia" w:ascii="宋体" w:hAnsi="宋体" w:eastAsia="宋体" w:cs="宋体"/>
          <w:b/>
          <w:sz w:val="52"/>
          <w:szCs w:val="52"/>
        </w:rPr>
      </w:pPr>
    </w:p>
    <w:p>
      <w:pPr>
        <w:rPr>
          <w:rFonts w:hint="eastAsia" w:ascii="宋体" w:hAnsi="宋体" w:eastAsia="宋体" w:cs="宋体"/>
          <w:b/>
          <w:sz w:val="52"/>
          <w:szCs w:val="52"/>
        </w:rPr>
      </w:pPr>
    </w:p>
    <w:p>
      <w:pPr>
        <w:pStyle w:val="2"/>
        <w:rPr>
          <w:rFonts w:hint="eastAsia"/>
        </w:rPr>
      </w:pPr>
    </w:p>
    <w:p>
      <w:pPr>
        <w:rPr>
          <w:rFonts w:hint="eastAsia" w:ascii="宋体" w:hAnsi="宋体" w:eastAsia="宋体" w:cs="宋体"/>
        </w:rPr>
      </w:pPr>
    </w:p>
    <w:p>
      <w:pPr>
        <w:pStyle w:val="12"/>
        <w:rPr>
          <w:rFonts w:hint="eastAsia" w:ascii="宋体" w:hAnsi="宋体" w:eastAsia="宋体" w:cs="宋体"/>
        </w:rPr>
      </w:pPr>
    </w:p>
    <w:p>
      <w:pPr>
        <w:tabs>
          <w:tab w:val="left" w:pos="1960"/>
          <w:tab w:val="left" w:pos="3480"/>
          <w:tab w:val="left" w:pos="4980"/>
        </w:tabs>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56"/>
          <w:szCs w:val="56"/>
        </w:rPr>
        <w:t>竞争性磋商文件</w:t>
      </w:r>
    </w:p>
    <w:p>
      <w:pPr>
        <w:jc w:val="center"/>
        <w:rPr>
          <w:rFonts w:hint="eastAsia" w:ascii="宋体" w:hAnsi="宋体" w:eastAsia="宋体" w:cs="宋体"/>
          <w:lang w:val="en-US" w:eastAsia="zh-CN"/>
        </w:rPr>
      </w:pPr>
      <w:r>
        <w:rPr>
          <w:rFonts w:hint="eastAsia" w:ascii="宋体" w:hAnsi="宋体" w:cs="宋体"/>
          <w:b/>
          <w:sz w:val="32"/>
          <w:szCs w:val="32"/>
          <w:lang w:val="en-US" w:eastAsia="zh-CN"/>
        </w:rPr>
        <w:t>项目编号：[2021]13921号-001</w:t>
      </w:r>
    </w:p>
    <w:p>
      <w:pPr>
        <w:spacing w:line="360" w:lineRule="auto"/>
        <w:rPr>
          <w:rFonts w:hint="eastAsia" w:ascii="宋体" w:hAnsi="宋体" w:eastAsia="宋体" w:cs="宋体"/>
          <w:b/>
          <w:sz w:val="24"/>
        </w:rPr>
      </w:pPr>
    </w:p>
    <w:p>
      <w:pPr>
        <w:rPr>
          <w:rFonts w:hint="eastAsia" w:ascii="宋体" w:hAnsi="宋体" w:eastAsia="宋体" w:cs="宋体"/>
        </w:rPr>
      </w:pPr>
    </w:p>
    <w:p>
      <w:pPr>
        <w:pStyle w:val="13"/>
        <w:rPr>
          <w:rFonts w:hint="eastAsia"/>
        </w:rPr>
      </w:pPr>
    </w:p>
    <w:p>
      <w:pPr>
        <w:rPr>
          <w:rFonts w:hint="eastAsia" w:ascii="宋体" w:hAnsi="宋体" w:eastAsia="宋体" w:cs="宋体"/>
        </w:rPr>
      </w:pPr>
    </w:p>
    <w:p>
      <w:pPr>
        <w:pStyle w:val="12"/>
        <w:ind w:left="0" w:leftChars="0" w:firstLine="0" w:firstLineChars="0"/>
        <w:rPr>
          <w:rFonts w:hint="eastAsia" w:ascii="宋体" w:hAnsi="宋体" w:eastAsia="宋体" w:cs="宋体"/>
        </w:rPr>
      </w:pPr>
    </w:p>
    <w:p>
      <w:pPr>
        <w:spacing w:line="360" w:lineRule="auto"/>
        <w:jc w:val="left"/>
        <w:rPr>
          <w:rFonts w:hint="eastAsia" w:ascii="宋体" w:hAnsi="宋体" w:eastAsia="宋体" w:cs="宋体"/>
          <w:b/>
          <w:sz w:val="32"/>
          <w:szCs w:val="32"/>
          <w:lang w:eastAsia="zh-CN"/>
        </w:rPr>
      </w:pPr>
      <w:r>
        <w:rPr>
          <w:rFonts w:hint="eastAsia" w:ascii="宋体" w:hAnsi="宋体" w:eastAsia="宋体" w:cs="宋体"/>
          <w:b/>
          <w:sz w:val="32"/>
          <w:szCs w:val="32"/>
        </w:rPr>
        <w:t>采购人：</w:t>
      </w:r>
      <w:r>
        <w:rPr>
          <w:rFonts w:hint="eastAsia" w:ascii="宋体" w:hAnsi="宋体" w:cs="宋体"/>
          <w:b/>
          <w:sz w:val="32"/>
          <w:szCs w:val="32"/>
          <w:lang w:val="en-US" w:eastAsia="zh-CN"/>
        </w:rPr>
        <w:t>新疆维吾尔自治区高级人民法院</w:t>
      </w:r>
      <w:r>
        <w:rPr>
          <w:rFonts w:hint="eastAsia" w:ascii="宋体" w:hAnsi="宋体" w:eastAsia="宋体" w:cs="宋体"/>
          <w:b/>
          <w:sz w:val="32"/>
          <w:szCs w:val="32"/>
          <w:lang w:eastAsia="zh-CN"/>
        </w:rPr>
        <w:t xml:space="preserve">   </w:t>
      </w:r>
    </w:p>
    <w:p>
      <w:pPr>
        <w:spacing w:line="360" w:lineRule="auto"/>
        <w:jc w:val="left"/>
        <w:rPr>
          <w:rFonts w:hint="eastAsia" w:ascii="宋体" w:hAnsi="宋体" w:eastAsia="宋体" w:cs="宋体"/>
          <w:b/>
          <w:sz w:val="32"/>
          <w:szCs w:val="32"/>
          <w:lang w:eastAsia="zh-CN"/>
        </w:rPr>
      </w:pPr>
      <w:r>
        <w:rPr>
          <w:rFonts w:hint="eastAsia" w:ascii="宋体" w:hAnsi="宋体" w:eastAsia="宋体" w:cs="宋体"/>
          <w:b/>
          <w:sz w:val="32"/>
          <w:szCs w:val="32"/>
        </w:rPr>
        <w:t>采购代理机构：</w:t>
      </w:r>
      <w:r>
        <w:rPr>
          <w:rFonts w:hint="eastAsia" w:ascii="宋体" w:hAnsi="宋体" w:eastAsia="宋体" w:cs="宋体"/>
          <w:b/>
          <w:sz w:val="32"/>
          <w:szCs w:val="32"/>
          <w:lang w:eastAsia="zh-CN"/>
        </w:rPr>
        <w:t>新疆优尚资创招标代理有限公司</w:t>
      </w:r>
    </w:p>
    <w:p>
      <w:pPr>
        <w:spacing w:line="360" w:lineRule="auto"/>
        <w:jc w:val="left"/>
        <w:rPr>
          <w:rFonts w:hint="eastAsia" w:ascii="宋体" w:hAnsi="宋体" w:eastAsia="宋体" w:cs="宋体"/>
          <w:b/>
          <w:sz w:val="32"/>
          <w:szCs w:val="32"/>
          <w:lang w:eastAsia="zh-CN"/>
        </w:rPr>
      </w:pPr>
      <w:r>
        <w:rPr>
          <w:rFonts w:hint="eastAsia" w:ascii="宋体" w:hAnsi="宋体" w:eastAsia="宋体" w:cs="宋体"/>
          <w:b/>
          <w:sz w:val="32"/>
          <w:szCs w:val="32"/>
        </w:rPr>
        <w:t>联系人：</w:t>
      </w:r>
      <w:r>
        <w:rPr>
          <w:rFonts w:hint="eastAsia" w:ascii="宋体" w:hAnsi="宋体" w:eastAsia="宋体" w:cs="宋体"/>
          <w:b/>
          <w:sz w:val="32"/>
          <w:szCs w:val="32"/>
          <w:lang w:eastAsia="zh-CN"/>
        </w:rPr>
        <w:t>杨晓乐</w:t>
      </w:r>
    </w:p>
    <w:p>
      <w:pPr>
        <w:spacing w:line="360" w:lineRule="auto"/>
        <w:jc w:val="left"/>
        <w:rPr>
          <w:rFonts w:hint="eastAsia" w:ascii="宋体" w:hAnsi="宋体" w:eastAsia="宋体" w:cs="宋体"/>
        </w:rPr>
      </w:pPr>
      <w:r>
        <w:rPr>
          <w:rFonts w:hint="eastAsia" w:ascii="宋体" w:hAnsi="宋体" w:eastAsia="宋体" w:cs="宋体"/>
          <w:b/>
          <w:sz w:val="32"/>
          <w:szCs w:val="32"/>
        </w:rPr>
        <w:t>联系电话：</w:t>
      </w:r>
      <w:r>
        <w:rPr>
          <w:rFonts w:hint="eastAsia" w:ascii="宋体" w:hAnsi="宋体" w:eastAsia="宋体" w:cs="宋体"/>
          <w:b/>
          <w:sz w:val="32"/>
          <w:szCs w:val="32"/>
          <w:lang w:eastAsia="zh-CN"/>
        </w:rPr>
        <w:t>13565961392</w:t>
      </w:r>
    </w:p>
    <w:p>
      <w:pPr>
        <w:rPr>
          <w:rFonts w:hint="eastAsia" w:ascii="宋体" w:hAnsi="宋体" w:eastAsia="宋体" w:cs="宋体"/>
        </w:rPr>
      </w:pPr>
    </w:p>
    <w:p>
      <w:pPr>
        <w:pStyle w:val="12"/>
        <w:rPr>
          <w:rFonts w:hint="eastAsia" w:ascii="宋体" w:hAnsi="宋体" w:eastAsia="宋体" w:cs="宋体"/>
        </w:rPr>
      </w:pPr>
    </w:p>
    <w:p>
      <w:pPr>
        <w:spacing w:line="360" w:lineRule="auto"/>
        <w:jc w:val="center"/>
        <w:rPr>
          <w:rFonts w:hint="eastAsia" w:ascii="宋体" w:hAnsi="宋体" w:eastAsia="宋体" w:cs="宋体"/>
        </w:rPr>
        <w:sectPr>
          <w:headerReference r:id="rId4" w:type="first"/>
          <w:headerReference r:id="rId3" w:type="default"/>
          <w:footerReference r:id="rId5" w:type="even"/>
          <w:pgSz w:w="11907" w:h="16840"/>
          <w:pgMar w:top="1077" w:right="1417" w:bottom="1417" w:left="1417" w:header="680" w:footer="799" w:gutter="0"/>
          <w:pgNumType w:fmt="decimal" w:start="1"/>
          <w:cols w:space="720" w:num="1"/>
          <w:titlePg/>
          <w:docGrid w:type="lines" w:linePitch="409" w:charSpace="0"/>
        </w:sectPr>
      </w:pPr>
      <w:r>
        <w:rPr>
          <w:rFonts w:hint="eastAsia" w:ascii="宋体" w:hAnsi="宋体" w:eastAsia="宋体" w:cs="宋体"/>
          <w:b/>
          <w:bCs w:val="0"/>
          <w:color w:val="auto"/>
          <w:sz w:val="28"/>
          <w:szCs w:val="28"/>
          <w:highlight w:val="none"/>
          <w:lang w:val="en-US" w:eastAsia="zh-CN"/>
        </w:rPr>
        <w:t>二零二一</w:t>
      </w:r>
      <w:r>
        <w:rPr>
          <w:rFonts w:hint="eastAsia" w:ascii="宋体" w:hAnsi="宋体" w:eastAsia="宋体" w:cs="宋体"/>
          <w:b/>
          <w:bCs w:val="0"/>
          <w:color w:val="auto"/>
          <w:sz w:val="28"/>
          <w:szCs w:val="28"/>
          <w:highlight w:val="none"/>
        </w:rPr>
        <w:t>年</w:t>
      </w:r>
      <w:r>
        <w:rPr>
          <w:rFonts w:hint="eastAsia" w:ascii="宋体" w:hAnsi="宋体" w:cs="宋体"/>
          <w:b/>
          <w:bCs w:val="0"/>
          <w:color w:val="auto"/>
          <w:sz w:val="28"/>
          <w:szCs w:val="28"/>
          <w:highlight w:val="none"/>
          <w:lang w:val="en-US" w:eastAsia="zh-CN"/>
        </w:rPr>
        <w:t>十</w:t>
      </w:r>
      <w:r>
        <w:rPr>
          <w:rFonts w:hint="eastAsia" w:ascii="宋体" w:hAnsi="宋体" w:eastAsia="宋体" w:cs="宋体"/>
          <w:b/>
          <w:bCs w:val="0"/>
          <w:color w:val="auto"/>
          <w:sz w:val="28"/>
          <w:szCs w:val="28"/>
          <w:highlight w:val="none"/>
        </w:rPr>
        <w:t>月</w:t>
      </w: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pPr>
        <w:pStyle w:val="29"/>
        <w:tabs>
          <w:tab w:val="right" w:leader="dot" w:pos="9073"/>
        </w:tabs>
        <w:rPr>
          <w:rFonts w:hint="eastAsia" w:ascii="宋体" w:hAnsi="宋体" w:eastAsia="宋体" w:cs="宋体"/>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"1-2"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_Toc29726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_Toc29726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pPr>
        <w:pStyle w:val="29"/>
        <w:tabs>
          <w:tab w:val="right" w:leader="dot" w:pos="9073"/>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_Toc19013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供应商须知</w:t>
      </w:r>
      <w:r>
        <w:rPr>
          <w:rFonts w:hint="eastAsia" w:ascii="宋体" w:hAnsi="宋体" w:eastAsia="宋体" w:cs="宋体"/>
          <w:sz w:val="32"/>
          <w:szCs w:val="32"/>
        </w:rPr>
        <w:tab/>
      </w:r>
      <w:r>
        <w:rPr>
          <w:rFonts w:hint="eastAsia" w:ascii="宋体" w:hAnsi="宋体" w:cs="宋体"/>
          <w:sz w:val="32"/>
          <w:szCs w:val="32"/>
          <w:lang w:val="en-US" w:eastAsia="zh-CN"/>
        </w:rPr>
        <w:t>5</w:t>
      </w:r>
      <w:r>
        <w:rPr>
          <w:rFonts w:hint="eastAsia" w:ascii="宋体" w:hAnsi="宋体" w:eastAsia="宋体" w:cs="宋体"/>
          <w:sz w:val="32"/>
          <w:szCs w:val="32"/>
        </w:rPr>
        <w:fldChar w:fldCharType="end"/>
      </w:r>
    </w:p>
    <w:p>
      <w:pPr>
        <w:pStyle w:val="29"/>
        <w:tabs>
          <w:tab w:val="right" w:leader="dot" w:pos="9073"/>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_Toc30297 </w:instrText>
      </w:r>
      <w:r>
        <w:rPr>
          <w:rFonts w:hint="eastAsia" w:ascii="宋体" w:hAnsi="宋体" w:eastAsia="宋体" w:cs="宋体"/>
          <w:sz w:val="32"/>
          <w:szCs w:val="32"/>
        </w:rPr>
        <w:fldChar w:fldCharType="separate"/>
      </w:r>
      <w:r>
        <w:rPr>
          <w:rFonts w:hint="eastAsia" w:ascii="宋体" w:hAnsi="宋体" w:eastAsia="宋体" w:cs="宋体"/>
          <w:sz w:val="32"/>
          <w:szCs w:val="32"/>
        </w:rPr>
        <w:t>第三章 项目需求</w:t>
      </w:r>
      <w:r>
        <w:rPr>
          <w:rFonts w:hint="eastAsia" w:ascii="宋体" w:hAnsi="宋体" w:eastAsia="宋体" w:cs="宋体"/>
          <w:sz w:val="32"/>
          <w:szCs w:val="32"/>
        </w:rPr>
        <w:tab/>
      </w:r>
      <w:r>
        <w:rPr>
          <w:rFonts w:hint="eastAsia" w:ascii="宋体" w:hAnsi="宋体" w:cs="宋体"/>
          <w:sz w:val="32"/>
          <w:szCs w:val="32"/>
          <w:lang w:val="en-US" w:eastAsia="zh-CN"/>
        </w:rPr>
        <w:t>2</w:t>
      </w:r>
      <w:r>
        <w:rPr>
          <w:rFonts w:hint="eastAsia" w:ascii="宋体" w:hAnsi="宋体" w:eastAsia="宋体" w:cs="宋体"/>
          <w:sz w:val="32"/>
          <w:szCs w:val="32"/>
        </w:rPr>
        <w:fldChar w:fldCharType="end"/>
      </w:r>
      <w:r>
        <w:rPr>
          <w:rFonts w:hint="eastAsia" w:ascii="宋体" w:hAnsi="宋体" w:cs="宋体"/>
          <w:sz w:val="32"/>
          <w:szCs w:val="32"/>
          <w:lang w:val="en-US" w:eastAsia="zh-CN"/>
        </w:rPr>
        <w:t>2</w:t>
      </w:r>
    </w:p>
    <w:p>
      <w:pPr>
        <w:pStyle w:val="29"/>
        <w:tabs>
          <w:tab w:val="right" w:leader="dot" w:pos="9073"/>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_Toc1943 </w:instrText>
      </w:r>
      <w:r>
        <w:rPr>
          <w:rFonts w:hint="eastAsia" w:ascii="宋体" w:hAnsi="宋体" w:eastAsia="宋体" w:cs="宋体"/>
          <w:sz w:val="32"/>
          <w:szCs w:val="32"/>
        </w:rPr>
        <w:fldChar w:fldCharType="separate"/>
      </w:r>
      <w:r>
        <w:rPr>
          <w:rFonts w:hint="eastAsia" w:ascii="宋体" w:hAnsi="宋体" w:eastAsia="宋体" w:cs="宋体"/>
          <w:sz w:val="32"/>
          <w:szCs w:val="32"/>
        </w:rPr>
        <w:t>第四章 合同条款（仅供参考）</w:t>
      </w:r>
      <w:r>
        <w:rPr>
          <w:rFonts w:hint="eastAsia" w:ascii="宋体" w:hAnsi="宋体" w:eastAsia="宋体" w:cs="宋体"/>
          <w:sz w:val="32"/>
          <w:szCs w:val="32"/>
        </w:rPr>
        <w:tab/>
      </w:r>
      <w:r>
        <w:rPr>
          <w:rFonts w:hint="eastAsia" w:ascii="宋体" w:hAnsi="宋体" w:cs="宋体"/>
          <w:sz w:val="32"/>
          <w:szCs w:val="32"/>
          <w:lang w:val="en-US" w:eastAsia="zh-CN"/>
        </w:rPr>
        <w:t>51</w:t>
      </w:r>
      <w:r>
        <w:rPr>
          <w:rFonts w:hint="eastAsia" w:ascii="宋体" w:hAnsi="宋体" w:eastAsia="宋体" w:cs="宋体"/>
          <w:sz w:val="32"/>
          <w:szCs w:val="32"/>
        </w:rPr>
        <w:fldChar w:fldCharType="end"/>
      </w:r>
    </w:p>
    <w:p>
      <w:pPr>
        <w:pStyle w:val="29"/>
        <w:tabs>
          <w:tab w:val="right" w:leader="dot" w:pos="9073"/>
        </w:tabs>
        <w:rPr>
          <w:rFonts w:hint="eastAsia" w:ascii="宋体" w:hAnsi="宋体" w:eastAsia="宋体" w:cs="宋体"/>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_Toc1097 </w:instrText>
      </w:r>
      <w:r>
        <w:rPr>
          <w:rFonts w:hint="eastAsia" w:ascii="宋体" w:hAnsi="宋体" w:eastAsia="宋体" w:cs="宋体"/>
          <w:sz w:val="32"/>
          <w:szCs w:val="32"/>
        </w:rPr>
        <w:fldChar w:fldCharType="separate"/>
      </w:r>
      <w:r>
        <w:rPr>
          <w:rFonts w:hint="eastAsia" w:ascii="宋体" w:hAnsi="宋体" w:eastAsia="宋体" w:cs="宋体"/>
          <w:sz w:val="32"/>
          <w:szCs w:val="32"/>
        </w:rPr>
        <w:t>第五章 竞争性磋商响应文件格式</w:t>
      </w:r>
      <w:r>
        <w:rPr>
          <w:rFonts w:hint="eastAsia" w:ascii="宋体" w:hAnsi="宋体" w:eastAsia="宋体" w:cs="宋体"/>
          <w:sz w:val="32"/>
          <w:szCs w:val="32"/>
        </w:rPr>
        <w:tab/>
      </w:r>
      <w:r>
        <w:rPr>
          <w:rFonts w:hint="eastAsia" w:ascii="宋体" w:hAnsi="宋体" w:cs="宋体"/>
          <w:sz w:val="32"/>
          <w:szCs w:val="32"/>
          <w:lang w:val="en-US" w:eastAsia="zh-CN"/>
        </w:rPr>
        <w:t>5</w:t>
      </w:r>
      <w:r>
        <w:rPr>
          <w:rFonts w:hint="eastAsia" w:ascii="宋体" w:hAnsi="宋体" w:eastAsia="宋体" w:cs="宋体"/>
          <w:sz w:val="32"/>
          <w:szCs w:val="32"/>
        </w:rPr>
        <w:fldChar w:fldCharType="end"/>
      </w:r>
      <w:r>
        <w:rPr>
          <w:rFonts w:hint="eastAsia" w:ascii="宋体" w:hAnsi="宋体" w:cs="宋体"/>
          <w:sz w:val="32"/>
          <w:szCs w:val="32"/>
          <w:lang w:val="en-US" w:eastAsia="zh-CN"/>
        </w:rPr>
        <w:t>3</w:t>
      </w:r>
    </w:p>
    <w:p>
      <w:pPr>
        <w:pStyle w:val="29"/>
        <w:tabs>
          <w:tab w:val="right" w:leader="dot" w:pos="9683"/>
        </w:tabs>
        <w:spacing w:line="360" w:lineRule="auto"/>
        <w:rPr>
          <w:rFonts w:hint="eastAsia" w:ascii="宋体" w:hAnsi="宋体" w:eastAsia="宋体" w:cs="宋体"/>
          <w:b/>
          <w:sz w:val="24"/>
          <w:szCs w:val="24"/>
        </w:rPr>
      </w:pPr>
      <w:r>
        <w:rPr>
          <w:rFonts w:hint="eastAsia" w:ascii="宋体" w:hAnsi="宋体" w:eastAsia="宋体" w:cs="宋体"/>
          <w:sz w:val="32"/>
          <w:szCs w:val="32"/>
        </w:rPr>
        <w:fldChar w:fldCharType="end"/>
      </w:r>
    </w:p>
    <w:p>
      <w:pPr>
        <w:widowControl/>
        <w:spacing w:line="360" w:lineRule="auto"/>
        <w:jc w:val="center"/>
        <w:outlineLvl w:val="0"/>
        <w:rPr>
          <w:rFonts w:hint="eastAsia" w:ascii="宋体" w:hAnsi="宋体" w:eastAsia="宋体" w:cs="宋体"/>
          <w:b/>
          <w:sz w:val="32"/>
          <w:szCs w:val="32"/>
        </w:rPr>
        <w:sectPr>
          <w:footerReference r:id="rId7" w:type="first"/>
          <w:footerReference r:id="rId6" w:type="default"/>
          <w:pgSz w:w="11907" w:h="16840"/>
          <w:pgMar w:top="1077" w:right="1417" w:bottom="1417" w:left="1417" w:header="680" w:footer="799" w:gutter="0"/>
          <w:pgNumType w:fmt="decimal" w:start="1"/>
          <w:cols w:space="720" w:num="1"/>
          <w:docGrid w:type="lines" w:linePitch="409" w:charSpace="0"/>
        </w:sectPr>
      </w:pPr>
      <w:bookmarkStart w:id="0" w:name="_Toc298240402"/>
      <w:bookmarkStart w:id="1" w:name="_Toc349637917"/>
      <w:bookmarkStart w:id="2" w:name="_Toc349573118"/>
    </w:p>
    <w:bookmarkEnd w:id="0"/>
    <w:bookmarkEnd w:id="1"/>
    <w:bookmarkEnd w:id="2"/>
    <w:p>
      <w:pPr>
        <w:widowControl/>
        <w:spacing w:line="360" w:lineRule="auto"/>
        <w:jc w:val="center"/>
        <w:outlineLvl w:val="0"/>
        <w:rPr>
          <w:rFonts w:hint="eastAsia" w:ascii="宋体" w:hAnsi="宋体" w:eastAsia="宋体" w:cs="宋体"/>
          <w:b/>
          <w:sz w:val="32"/>
          <w:szCs w:val="32"/>
        </w:rPr>
      </w:pPr>
      <w:bookmarkStart w:id="3" w:name="_Toc29726"/>
      <w:bookmarkStart w:id="4" w:name="_Toc349637918"/>
      <w:bookmarkStart w:id="5" w:name="_Toc267301280"/>
      <w:bookmarkStart w:id="6" w:name="_Toc298240403"/>
      <w:bookmarkStart w:id="7" w:name="_Toc349573119"/>
      <w:bookmarkStart w:id="8" w:name="_Toc19013"/>
      <w:r>
        <w:rPr>
          <w:rFonts w:hint="eastAsia" w:ascii="宋体" w:hAnsi="宋体" w:eastAsia="宋体" w:cs="宋体"/>
          <w:b/>
          <w:sz w:val="32"/>
          <w:szCs w:val="32"/>
        </w:rPr>
        <w:t>第一章</w:t>
      </w:r>
      <w:bookmarkEnd w:id="3"/>
      <w:r>
        <w:rPr>
          <w:rFonts w:hint="eastAsia" w:ascii="宋体" w:hAnsi="宋体" w:eastAsia="宋体" w:cs="宋体"/>
          <w:b/>
          <w:sz w:val="32"/>
          <w:szCs w:val="32"/>
          <w:lang w:val="en-US" w:eastAsia="zh-CN"/>
        </w:rPr>
        <w:t xml:space="preserve">  </w:t>
      </w:r>
      <w:r>
        <w:rPr>
          <w:rFonts w:hint="eastAsia" w:ascii="宋体" w:hAnsi="宋体" w:eastAsia="宋体" w:cs="宋体"/>
          <w:b/>
          <w:kern w:val="2"/>
          <w:sz w:val="32"/>
          <w:szCs w:val="32"/>
        </w:rPr>
        <w:t>竞争性磋商公告</w:t>
      </w:r>
    </w:p>
    <w:p>
      <w:pPr>
        <w:tabs>
          <w:tab w:val="left" w:pos="1960"/>
          <w:tab w:val="left" w:pos="3480"/>
          <w:tab w:val="left" w:pos="4980"/>
        </w:tabs>
        <w:spacing w:line="360" w:lineRule="auto"/>
        <w:jc w:val="center"/>
        <w:rPr>
          <w:rFonts w:hint="eastAsia" w:ascii="宋体" w:hAnsi="宋体" w:cs="宋体"/>
          <w:b/>
          <w:color w:val="auto"/>
          <w:kern w:val="2"/>
          <w:sz w:val="28"/>
          <w:szCs w:val="28"/>
          <w:lang w:val="en-US" w:eastAsia="zh-CN"/>
        </w:rPr>
      </w:pPr>
      <w:r>
        <w:rPr>
          <w:rFonts w:hint="eastAsia" w:ascii="宋体" w:hAnsi="宋体" w:cs="宋体"/>
          <w:b/>
          <w:color w:val="auto"/>
          <w:kern w:val="2"/>
          <w:sz w:val="28"/>
          <w:szCs w:val="28"/>
          <w:lang w:val="en-US" w:eastAsia="zh-CN"/>
        </w:rPr>
        <w:t>新疆维吾尔自治区高级人民法院“两基地一中心”电视机采购项目</w:t>
      </w:r>
    </w:p>
    <w:p>
      <w:pPr>
        <w:tabs>
          <w:tab w:val="left" w:pos="1960"/>
          <w:tab w:val="left" w:pos="3480"/>
          <w:tab w:val="left" w:pos="4980"/>
        </w:tabs>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kern w:val="2"/>
          <w:sz w:val="28"/>
          <w:szCs w:val="28"/>
        </w:rPr>
        <w:t>竞争性磋商公告</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项目概况</w:t>
      </w:r>
      <w:r>
        <w:rPr>
          <w:rFonts w:hint="eastAsia" w:ascii="宋体" w:hAnsi="宋体" w:eastAsia="宋体" w:cs="宋体"/>
          <w:color w:val="auto"/>
          <w:sz w:val="28"/>
          <w:szCs w:val="28"/>
          <w:lang w:val="en-US" w:eastAsia="zh-CN"/>
        </w:rPr>
        <w:t>:</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cs="宋体"/>
          <w:color w:val="auto"/>
          <w:sz w:val="28"/>
          <w:szCs w:val="28"/>
          <w:u w:val="single"/>
          <w:lang w:val="en-US" w:eastAsia="zh-CN"/>
        </w:rPr>
        <w:t>新疆维吾尔自治区高级人民法院“两基地一中心”电视机采购项目</w:t>
      </w:r>
      <w:r>
        <w:rPr>
          <w:rFonts w:hint="eastAsia" w:ascii="宋体" w:hAnsi="宋体" w:eastAsia="宋体" w:cs="宋体"/>
          <w:color w:val="auto"/>
          <w:sz w:val="28"/>
          <w:szCs w:val="28"/>
        </w:rPr>
        <w:t>的</w:t>
      </w:r>
      <w:r>
        <w:rPr>
          <w:rFonts w:hint="eastAsia" w:ascii="宋体" w:hAnsi="宋体" w:eastAsia="宋体" w:cs="宋体"/>
          <w:sz w:val="28"/>
          <w:szCs w:val="28"/>
        </w:rPr>
        <w:t>潜在供应商应在</w:t>
      </w:r>
      <w:r>
        <w:rPr>
          <w:rFonts w:hint="eastAsia" w:ascii="宋体" w:hAnsi="宋体" w:eastAsia="宋体" w:cs="宋体"/>
          <w:sz w:val="28"/>
          <w:szCs w:val="28"/>
          <w:u w:val="single"/>
          <w:lang w:val="en-US" w:eastAsia="zh-CN"/>
        </w:rPr>
        <w:t>乌鲁木齐市沙依巴克区友好南路198号新疆大公馆E座三单</w:t>
      </w:r>
      <w:r>
        <w:rPr>
          <w:rFonts w:hint="eastAsia" w:ascii="宋体" w:hAnsi="宋体" w:eastAsia="宋体" w:cs="宋体"/>
          <w:color w:val="auto"/>
          <w:sz w:val="28"/>
          <w:szCs w:val="28"/>
          <w:u w:val="single"/>
          <w:lang w:val="en-US" w:eastAsia="zh-CN"/>
        </w:rPr>
        <w:t>元1501室新疆优尚资创招标代理有限公司</w:t>
      </w:r>
      <w:r>
        <w:rPr>
          <w:rFonts w:hint="eastAsia" w:ascii="宋体" w:hAnsi="宋体" w:eastAsia="宋体" w:cs="宋体"/>
          <w:color w:val="auto"/>
          <w:sz w:val="28"/>
          <w:szCs w:val="28"/>
        </w:rPr>
        <w:t>获取</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文件，并于</w:t>
      </w:r>
      <w:r>
        <w:rPr>
          <w:rFonts w:hint="eastAsia" w:ascii="宋体" w:hAnsi="宋体" w:cs="宋体"/>
          <w:color w:val="auto"/>
          <w:sz w:val="28"/>
          <w:szCs w:val="28"/>
          <w:u w:val="single"/>
          <w:lang w:val="en-US" w:eastAsia="zh-CN"/>
        </w:rPr>
        <w:t>2021年11月2日16点00分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napToGrid/>
        <w:spacing w:line="360" w:lineRule="auto"/>
        <w:jc w:val="both"/>
        <w:textAlignment w:val="auto"/>
        <w:rPr>
          <w:rFonts w:hint="eastAsia" w:ascii="宋体" w:hAnsi="宋体" w:eastAsia="宋体" w:cs="宋体"/>
          <w:b/>
          <w:bCs/>
          <w:sz w:val="28"/>
          <w:szCs w:val="28"/>
        </w:rPr>
      </w:pPr>
      <w:bookmarkStart w:id="9" w:name="_Toc35393798"/>
      <w:bookmarkStart w:id="10" w:name="_Toc28359089"/>
      <w:bookmarkStart w:id="11" w:name="_Toc35393629"/>
      <w:bookmarkStart w:id="12" w:name="_Toc28359012"/>
      <w:bookmarkStart w:id="13" w:name="_Toc19479"/>
      <w:r>
        <w:rPr>
          <w:rFonts w:hint="eastAsia" w:ascii="宋体" w:hAnsi="宋体" w:eastAsia="宋体" w:cs="宋体"/>
          <w:b/>
          <w:bCs/>
          <w:sz w:val="28"/>
          <w:szCs w:val="28"/>
        </w:rPr>
        <w:t>一、项目基本情况</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u w:val="none"/>
          <w:lang w:val="en-US" w:eastAsia="zh-CN"/>
        </w:rPr>
        <w:t>项目编号：[2021]13921号-001</w:t>
      </w:r>
      <w:r>
        <w:rPr>
          <w:rFonts w:hint="eastAsia" w:ascii="宋体" w:hAnsi="宋体" w:eastAsia="宋体" w:cs="宋体"/>
          <w:color w:val="auto"/>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lang w:val="en-US" w:eastAsia="zh-CN"/>
        </w:rPr>
        <w:t>新疆维吾尔自治区高级人民法院“两基地一中心”电视机采购项目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竞争性谈判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竞争性磋商 □询价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预算</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rPr>
        <w:t>金额</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元</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1853000.00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元</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1853000.00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采购需求：</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标项名称:</w:t>
      </w:r>
      <w:r>
        <w:rPr>
          <w:rFonts w:hint="eastAsia" w:ascii="宋体" w:hAnsi="宋体" w:cs="宋体"/>
          <w:color w:val="auto"/>
          <w:sz w:val="24"/>
          <w:szCs w:val="24"/>
          <w:lang w:val="en-US" w:eastAsia="zh-CN"/>
        </w:rPr>
        <w:t>新疆维吾尔自治区高级人民法院“两基地一中心”电视机采购项目</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数量:</w:t>
      </w:r>
      <w:r>
        <w:rPr>
          <w:rFonts w:hint="eastAsia" w:ascii="宋体" w:hAnsi="宋体" w:cs="宋体"/>
          <w:color w:val="auto"/>
          <w:sz w:val="24"/>
          <w:szCs w:val="24"/>
          <w:lang w:val="en-US" w:eastAsia="zh-CN"/>
        </w:rPr>
        <w:t xml:space="preserve"> 285</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预算金额（元）</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1853000.00</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单位：台</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简要规格描述或项目基本概况介绍、用途：</w:t>
      </w:r>
      <w:r>
        <w:rPr>
          <w:rFonts w:hint="eastAsia" w:ascii="宋体" w:hAnsi="宋体" w:eastAsia="宋体" w:cs="宋体"/>
          <w:sz w:val="24"/>
          <w:szCs w:val="24"/>
          <w:lang w:eastAsia="zh-CN"/>
        </w:rPr>
        <w:t>详见</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eastAsia="zh-CN"/>
        </w:rPr>
        <w:t>文件</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备注：</w:t>
      </w:r>
      <w:r>
        <w:rPr>
          <w:rFonts w:hint="eastAsia" w:ascii="宋体" w:hAnsi="宋体" w:eastAsia="宋体" w:cs="宋体"/>
          <w:sz w:val="24"/>
          <w:szCs w:val="24"/>
          <w:lang w:eastAsia="zh-CN"/>
        </w:rPr>
        <w:t>无</w:t>
      </w:r>
    </w:p>
    <w:p>
      <w:pPr>
        <w:keepNext w:val="0"/>
        <w:keepLines w:val="0"/>
        <w:pageBreakBefore w:val="0"/>
        <w:widowControl/>
        <w:kinsoku/>
        <w:wordWrap/>
        <w:overflowPunct/>
        <w:topLinePunct w:val="0"/>
        <w:autoSpaceDE/>
        <w:autoSpaceDN/>
        <w:bidi w:val="0"/>
        <w:adjustRightInd w:val="0"/>
        <w:snapToGrid/>
        <w:spacing w:before="313" w:beforeLines="100"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合同履行期限：</w:t>
      </w:r>
      <w:r>
        <w:rPr>
          <w:rFonts w:hint="eastAsia" w:ascii="宋体" w:hAnsi="宋体" w:cs="宋体"/>
          <w:sz w:val="28"/>
          <w:szCs w:val="28"/>
          <w:lang w:val="en-US" w:eastAsia="zh-CN"/>
        </w:rPr>
        <w:t>已与甲方签订合同要求期限为准</w:t>
      </w:r>
    </w:p>
    <w:p>
      <w:pPr>
        <w:keepNext w:val="0"/>
        <w:keepLines w:val="0"/>
        <w:pageBreakBefore w:val="0"/>
        <w:widowControl/>
        <w:kinsoku/>
        <w:wordWrap/>
        <w:overflowPunct/>
        <w:topLinePunct w:val="0"/>
        <w:autoSpaceDE/>
        <w:autoSpaceDN/>
        <w:bidi w:val="0"/>
        <w:adjustRightInd w:val="0"/>
        <w:snapToGrid/>
        <w:spacing w:line="360" w:lineRule="auto"/>
        <w:ind w:left="533" w:leftChars="254"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本项目（否）接受联合体</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14" w:name="_Toc28359013"/>
      <w:bookmarkStart w:id="15" w:name="_Toc35393799"/>
      <w:bookmarkStart w:id="16" w:name="_Toc35393630"/>
      <w:bookmarkStart w:id="17" w:name="_Toc28359090"/>
      <w:bookmarkStart w:id="18" w:name="_Toc29825"/>
      <w:r>
        <w:rPr>
          <w:rFonts w:hint="eastAsia" w:ascii="宋体" w:hAnsi="宋体" w:eastAsia="宋体" w:cs="宋体"/>
          <w:b/>
          <w:bCs/>
          <w:sz w:val="28"/>
          <w:szCs w:val="28"/>
        </w:rPr>
        <w:t>二、申请人的资格要求：</w:t>
      </w:r>
      <w:bookmarkEnd w:id="14"/>
      <w:bookmarkEnd w:id="15"/>
      <w:bookmarkEnd w:id="16"/>
      <w:bookmarkEnd w:id="17"/>
      <w:bookmarkEnd w:id="18"/>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9" w:name="_Toc20835"/>
      <w:bookmarkStart w:id="20" w:name="_Toc35393631"/>
      <w:bookmarkStart w:id="21" w:name="_Toc35393800"/>
      <w:bookmarkStart w:id="22" w:name="_Toc28359091"/>
      <w:bookmarkStart w:id="23" w:name="_Toc28359014"/>
      <w:r>
        <w:rPr>
          <w:rFonts w:hint="eastAsia" w:ascii="宋体" w:hAnsi="宋体" w:eastAsia="宋体" w:cs="宋体"/>
          <w:sz w:val="28"/>
          <w:szCs w:val="28"/>
          <w:lang w:val="en-US" w:eastAsia="zh-CN"/>
        </w:rPr>
        <w:t>1.满足《中华人民共和国政府采购法》第二十二条规定；</w:t>
      </w:r>
      <w:bookmarkEnd w:id="19"/>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24" w:name="_Toc31176"/>
      <w:r>
        <w:rPr>
          <w:rFonts w:hint="eastAsia" w:ascii="宋体" w:hAnsi="宋体" w:eastAsia="宋体" w:cs="宋体"/>
          <w:sz w:val="28"/>
          <w:szCs w:val="28"/>
          <w:lang w:val="en-US" w:eastAsia="zh-CN"/>
        </w:rPr>
        <w:t>2.落实政府采购政策需满足的资格要求：  </w:t>
      </w:r>
      <w:bookmarkEnd w:id="24"/>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（1）《政府采购促进中小企业发展暂行办法》（财库〔20</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46</w:t>
      </w:r>
      <w:r>
        <w:rPr>
          <w:rFonts w:hint="eastAsia" w:ascii="宋体" w:hAnsi="宋体" w:eastAsia="宋体" w:cs="宋体"/>
          <w:sz w:val="28"/>
          <w:szCs w:val="28"/>
          <w:lang w:val="en-US" w:eastAsia="zh-CN"/>
        </w:rPr>
        <w:t>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（3）《财政部 民政部 中国残疾人联合会关于促进残疾人就业政府采购政策的通知》财库〔2017〕141号。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25" w:name="_Toc16168"/>
      <w:r>
        <w:rPr>
          <w:rFonts w:hint="eastAsia" w:ascii="宋体" w:hAnsi="宋体" w:eastAsia="宋体" w:cs="宋体"/>
          <w:sz w:val="28"/>
          <w:szCs w:val="28"/>
          <w:lang w:val="en-US" w:eastAsia="zh-CN"/>
        </w:rPr>
        <w:t>3.本项目的特定资格要求：</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（1）满足《中华人民共和国政府采购法》第二十二条要求，投标人须具有有效的工商营业执照副本（三证合一）且在中华人民共和国境内注册，有能力提供本项目合同项下的全部服务内容的供应商；</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bookmarkEnd w:id="25"/>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（3）与招标人存在利害关系可能影响招标公正性的法人、其他组织或者个人，不得参加投标；</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（5）本项目不接受联合体投标。</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26" w:name="_Toc78"/>
      <w:r>
        <w:rPr>
          <w:rFonts w:hint="eastAsia" w:ascii="宋体" w:hAnsi="宋体" w:eastAsia="宋体" w:cs="宋体"/>
          <w:b/>
          <w:bCs/>
          <w:color w:val="auto"/>
          <w:sz w:val="28"/>
          <w:szCs w:val="28"/>
        </w:rPr>
        <w:t>三、获取采购文件</w:t>
      </w:r>
      <w:bookmarkEnd w:id="20"/>
      <w:bookmarkEnd w:id="21"/>
      <w:bookmarkEnd w:id="22"/>
      <w:bookmarkEnd w:id="23"/>
      <w:bookmarkEnd w:id="26"/>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lang w:val="en-US" w:eastAsia="zh-CN"/>
        </w:rPr>
        <w:t>2021</w:t>
      </w:r>
      <w:r>
        <w:rPr>
          <w:rFonts w:hint="eastAsia" w:ascii="宋体" w:hAnsi="宋体" w:eastAsia="宋体" w:cs="宋体"/>
          <w:color w:val="auto"/>
          <w:sz w:val="28"/>
          <w:szCs w:val="28"/>
          <w:u w:val="single"/>
        </w:rPr>
        <w:t>年</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22</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lang w:val="en-US" w:eastAsia="zh-CN"/>
        </w:rPr>
        <w:t>2021</w:t>
      </w:r>
      <w:r>
        <w:rPr>
          <w:rFonts w:hint="eastAsia" w:ascii="宋体" w:hAnsi="宋体" w:eastAsia="宋体" w:cs="宋体"/>
          <w:color w:val="auto"/>
          <w:sz w:val="28"/>
          <w:szCs w:val="28"/>
          <w:u w:val="single"/>
        </w:rPr>
        <w:t>年</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28</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w:t>
      </w:r>
      <w:r>
        <w:rPr>
          <w:rFonts w:hint="eastAsia" w:ascii="宋体" w:hAnsi="宋体" w:eastAsia="宋体" w:cs="宋体"/>
          <w:color w:val="auto"/>
          <w:sz w:val="28"/>
          <w:szCs w:val="28"/>
          <w:u w:val="none"/>
          <w:lang w:val="en-US" w:eastAsia="zh-CN"/>
        </w:rPr>
        <w:t>每天上午</w:t>
      </w:r>
      <w:r>
        <w:rPr>
          <w:rFonts w:hint="eastAsia" w:ascii="宋体" w:hAnsi="宋体" w:eastAsia="宋体" w:cs="宋体"/>
          <w:color w:val="auto"/>
          <w:sz w:val="28"/>
          <w:szCs w:val="28"/>
          <w:u w:val="single"/>
          <w:lang w:val="en-US" w:eastAsia="zh-CN"/>
        </w:rPr>
        <w:t>10：30</w:t>
      </w:r>
      <w:r>
        <w:rPr>
          <w:rFonts w:hint="eastAsia" w:ascii="宋体" w:hAnsi="宋体" w:eastAsia="宋体" w:cs="宋体"/>
          <w:color w:val="auto"/>
          <w:sz w:val="28"/>
          <w:szCs w:val="28"/>
          <w:u w:val="none"/>
          <w:lang w:val="en-US" w:eastAsia="zh-CN"/>
        </w:rPr>
        <w:t>至</w:t>
      </w:r>
      <w:r>
        <w:rPr>
          <w:rFonts w:hint="eastAsia" w:ascii="宋体" w:hAnsi="宋体" w:eastAsia="宋体" w:cs="宋体"/>
          <w:color w:val="auto"/>
          <w:sz w:val="28"/>
          <w:szCs w:val="28"/>
          <w:u w:val="single"/>
          <w:lang w:val="en-US" w:eastAsia="zh-CN"/>
        </w:rPr>
        <w:t>13：30</w:t>
      </w:r>
      <w:r>
        <w:rPr>
          <w:rFonts w:hint="eastAsia" w:ascii="宋体" w:hAnsi="宋体" w:eastAsia="宋体" w:cs="宋体"/>
          <w:color w:val="auto"/>
          <w:sz w:val="28"/>
          <w:szCs w:val="28"/>
          <w:u w:val="none"/>
          <w:lang w:val="en-US" w:eastAsia="zh-CN"/>
        </w:rPr>
        <w:t>，下午</w:t>
      </w:r>
      <w:r>
        <w:rPr>
          <w:rFonts w:hint="eastAsia" w:ascii="宋体" w:hAnsi="宋体" w:eastAsia="宋体" w:cs="宋体"/>
          <w:color w:val="auto"/>
          <w:sz w:val="28"/>
          <w:szCs w:val="28"/>
          <w:u w:val="single"/>
          <w:lang w:val="en-US" w:eastAsia="zh-CN"/>
        </w:rPr>
        <w:t>15：30</w:t>
      </w:r>
      <w:r>
        <w:rPr>
          <w:rFonts w:hint="eastAsia" w:ascii="宋体" w:hAnsi="宋体" w:eastAsia="宋体" w:cs="宋体"/>
          <w:color w:val="auto"/>
          <w:sz w:val="28"/>
          <w:szCs w:val="28"/>
          <w:u w:val="none"/>
          <w:lang w:val="en-US" w:eastAsia="zh-CN"/>
        </w:rPr>
        <w:t>至</w:t>
      </w:r>
      <w:r>
        <w:rPr>
          <w:rFonts w:hint="eastAsia" w:ascii="宋体" w:hAnsi="宋体" w:eastAsia="宋体" w:cs="宋体"/>
          <w:color w:val="auto"/>
          <w:sz w:val="28"/>
          <w:szCs w:val="28"/>
          <w:u w:val="single"/>
          <w:lang w:val="en-US" w:eastAsia="zh-CN"/>
        </w:rPr>
        <w:t>19：00</w:t>
      </w:r>
      <w:r>
        <w:rPr>
          <w:rFonts w:hint="eastAsia" w:ascii="宋体" w:hAnsi="宋体" w:eastAsia="宋体" w:cs="宋体"/>
          <w:color w:val="auto"/>
          <w:sz w:val="28"/>
          <w:szCs w:val="28"/>
          <w:u w:val="none"/>
          <w:lang w:val="en-US" w:eastAsia="zh-CN"/>
        </w:rPr>
        <w:t>（北京时间，法定节假日除外）</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地点：乌鲁木齐市沙依巴克区友好南路198号新疆大公馆E座3单元1501室</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方式：现场购买</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售价：200元</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27" w:name="_Toc28359092"/>
      <w:bookmarkStart w:id="28" w:name="_Toc28359015"/>
      <w:bookmarkStart w:id="29" w:name="_Toc35393801"/>
      <w:bookmarkStart w:id="30" w:name="_Toc25150"/>
      <w:bookmarkStart w:id="31" w:name="_Toc35393632"/>
      <w:r>
        <w:rPr>
          <w:rFonts w:hint="eastAsia" w:ascii="宋体" w:hAnsi="宋体" w:eastAsia="宋体" w:cs="宋体"/>
          <w:b/>
          <w:bCs/>
          <w:color w:val="auto"/>
          <w:sz w:val="28"/>
          <w:szCs w:val="28"/>
        </w:rPr>
        <w:t>四、响应文件提交</w:t>
      </w:r>
      <w:bookmarkEnd w:id="27"/>
      <w:bookmarkEnd w:id="28"/>
      <w:bookmarkEnd w:id="29"/>
      <w:bookmarkEnd w:id="30"/>
      <w:bookmarkEnd w:id="31"/>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cs="宋体"/>
          <w:color w:val="auto"/>
          <w:sz w:val="28"/>
          <w:szCs w:val="28"/>
          <w:u w:val="single"/>
          <w:lang w:val="en-US" w:eastAsia="zh-CN"/>
        </w:rPr>
        <w:t>2021年11月2日16点00分</w:t>
      </w:r>
      <w:r>
        <w:rPr>
          <w:rFonts w:hint="eastAsia" w:ascii="宋体" w:hAnsi="宋体" w:eastAsia="宋体" w:cs="宋体"/>
          <w:bCs/>
          <w:color w:val="auto"/>
          <w:sz w:val="28"/>
          <w:szCs w:val="28"/>
        </w:rPr>
        <w:t>（北京时间）</w:t>
      </w:r>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地点：</w:t>
      </w:r>
      <w:r>
        <w:rPr>
          <w:rFonts w:hint="eastAsia" w:ascii="宋体" w:hAnsi="宋体" w:eastAsia="宋体" w:cs="宋体"/>
          <w:color w:val="auto"/>
          <w:sz w:val="28"/>
          <w:szCs w:val="28"/>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32" w:name="_Toc28359093"/>
      <w:bookmarkStart w:id="33" w:name="_Toc35393633"/>
      <w:bookmarkStart w:id="34" w:name="_Toc181"/>
      <w:bookmarkStart w:id="35" w:name="_Toc35393802"/>
      <w:bookmarkStart w:id="36" w:name="_Toc28359016"/>
      <w:r>
        <w:rPr>
          <w:rFonts w:hint="eastAsia" w:ascii="宋体" w:hAnsi="宋体" w:eastAsia="宋体" w:cs="宋体"/>
          <w:b/>
          <w:bCs/>
          <w:color w:val="auto"/>
          <w:sz w:val="28"/>
          <w:szCs w:val="28"/>
        </w:rPr>
        <w:t>五、开启</w:t>
      </w:r>
      <w:bookmarkEnd w:id="32"/>
      <w:bookmarkEnd w:id="33"/>
      <w:bookmarkEnd w:id="34"/>
      <w:bookmarkEnd w:id="35"/>
      <w:bookmarkEnd w:id="36"/>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时间：</w:t>
      </w:r>
      <w:r>
        <w:rPr>
          <w:rFonts w:hint="eastAsia" w:ascii="宋体" w:hAnsi="宋体" w:cs="宋体"/>
          <w:color w:val="auto"/>
          <w:sz w:val="28"/>
          <w:szCs w:val="28"/>
          <w:u w:val="single"/>
          <w:lang w:val="en-US" w:eastAsia="zh-CN"/>
        </w:rPr>
        <w:t>2021年11月2日16点00分</w:t>
      </w:r>
      <w:r>
        <w:rPr>
          <w:rFonts w:hint="eastAsia" w:ascii="宋体" w:hAnsi="宋体" w:eastAsia="宋体" w:cs="宋体"/>
          <w:bCs/>
          <w:color w:val="auto"/>
          <w:sz w:val="28"/>
          <w:szCs w:val="28"/>
        </w:rPr>
        <w:t>（北京时间）</w:t>
      </w:r>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color w:val="auto"/>
          <w:sz w:val="28"/>
          <w:szCs w:val="28"/>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37" w:name="_Toc35393803"/>
      <w:bookmarkStart w:id="38" w:name="_Toc31526"/>
      <w:bookmarkStart w:id="39" w:name="_Toc35393634"/>
      <w:bookmarkStart w:id="40" w:name="_Toc28359094"/>
      <w:bookmarkStart w:id="41" w:name="_Toc28359017"/>
      <w:r>
        <w:rPr>
          <w:rFonts w:hint="eastAsia" w:ascii="宋体" w:hAnsi="宋体" w:eastAsia="宋体" w:cs="宋体"/>
          <w:b/>
          <w:bCs/>
          <w:sz w:val="28"/>
          <w:szCs w:val="28"/>
        </w:rPr>
        <w:t>六、公告期限</w:t>
      </w:r>
      <w:bookmarkEnd w:id="37"/>
      <w:bookmarkEnd w:id="38"/>
      <w:bookmarkEnd w:id="39"/>
      <w:bookmarkEnd w:id="40"/>
      <w:bookmarkEnd w:id="41"/>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w:t>
      </w:r>
    </w:p>
    <w:p>
      <w:pPr>
        <w:keepNext w:val="0"/>
        <w:keepLines w:val="0"/>
        <w:pageBreakBefore w:val="0"/>
        <w:numPr>
          <w:ilvl w:val="0"/>
          <w:numId w:val="1"/>
        </w:numPr>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42" w:name="_Toc35393635"/>
      <w:bookmarkStart w:id="43" w:name="_Toc25155"/>
      <w:bookmarkStart w:id="44" w:name="_Toc35393804"/>
      <w:r>
        <w:rPr>
          <w:rFonts w:hint="eastAsia" w:ascii="宋体" w:hAnsi="宋体" w:eastAsia="宋体" w:cs="宋体"/>
          <w:b/>
          <w:bCs/>
          <w:sz w:val="28"/>
          <w:szCs w:val="28"/>
        </w:rPr>
        <w:t>其他补充事宜</w:t>
      </w:r>
      <w:bookmarkEnd w:id="42"/>
      <w:bookmarkEnd w:id="43"/>
      <w:bookmarkEnd w:id="44"/>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凡符合资格要求，且有意参加投标的投标单位，须携带营业执照副本原件、法定代表人参加时提供：身份证原件，或委托代理人参加时提供：身份证原件、法定代表人身份证复印件</w:t>
      </w:r>
      <w:r>
        <w:rPr>
          <w:rFonts w:hint="eastAsia" w:ascii="宋体" w:hAnsi="宋体" w:cs="宋体"/>
          <w:kern w:val="0"/>
          <w:sz w:val="28"/>
          <w:szCs w:val="28"/>
          <w:lang w:val="en-US" w:eastAsia="zh-CN"/>
        </w:rPr>
        <w:t>、</w:t>
      </w:r>
      <w:r>
        <w:rPr>
          <w:rFonts w:hint="eastAsia" w:ascii="宋体" w:hAnsi="宋体" w:eastAsia="宋体" w:cs="宋体"/>
          <w:kern w:val="0"/>
          <w:sz w:val="28"/>
          <w:szCs w:val="28"/>
          <w:lang w:val="en-US" w:eastAsia="zh-CN"/>
        </w:rPr>
        <w:t>授权委托书</w:t>
      </w:r>
      <w:r>
        <w:rPr>
          <w:rFonts w:hint="eastAsia" w:ascii="宋体" w:hAnsi="宋体" w:cs="宋体"/>
          <w:kern w:val="0"/>
          <w:sz w:val="28"/>
          <w:szCs w:val="28"/>
          <w:lang w:val="en-US" w:eastAsia="zh-CN"/>
        </w:rPr>
        <w:t>原件</w:t>
      </w:r>
      <w:r>
        <w:rPr>
          <w:rFonts w:hint="eastAsia" w:ascii="宋体" w:hAnsi="宋体" w:eastAsia="宋体" w:cs="宋体"/>
          <w:kern w:val="0"/>
          <w:sz w:val="28"/>
          <w:szCs w:val="28"/>
          <w:lang w:val="en-US" w:eastAsia="zh-CN"/>
        </w:rPr>
        <w:t>（以上资料</w:t>
      </w:r>
      <w:r>
        <w:rPr>
          <w:rFonts w:hint="eastAsia" w:ascii="宋体" w:hAnsi="宋体" w:cs="宋体"/>
          <w:kern w:val="0"/>
          <w:sz w:val="28"/>
          <w:szCs w:val="28"/>
          <w:lang w:val="en-US" w:eastAsia="zh-CN"/>
        </w:rPr>
        <w:t>同时</w:t>
      </w:r>
      <w:r>
        <w:rPr>
          <w:rFonts w:hint="eastAsia" w:ascii="宋体" w:hAnsi="宋体" w:eastAsia="宋体" w:cs="宋体"/>
          <w:kern w:val="0"/>
          <w:sz w:val="28"/>
          <w:szCs w:val="28"/>
          <w:lang w:val="en-US" w:eastAsia="zh-CN"/>
        </w:rPr>
        <w:t>提供复印件加盖公章一套）到新疆优尚资创招标代理有限公司报名，领取招标文件，招标文件售后不退。</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45" w:name="_Toc25037"/>
      <w:bookmarkStart w:id="46" w:name="_Toc35393805"/>
      <w:bookmarkStart w:id="47" w:name="_Toc35393636"/>
      <w:bookmarkStart w:id="48" w:name="_Toc28359095"/>
      <w:bookmarkStart w:id="49" w:name="_Toc28359018"/>
      <w:r>
        <w:rPr>
          <w:rFonts w:hint="eastAsia" w:ascii="宋体" w:hAnsi="宋体" w:eastAsia="宋体" w:cs="宋体"/>
          <w:b/>
          <w:bCs/>
          <w:sz w:val="28"/>
          <w:szCs w:val="28"/>
        </w:rPr>
        <w:t>八、凡对本次采购提出询问，请按以下方式联系</w:t>
      </w:r>
      <w:bookmarkEnd w:id="45"/>
      <w:bookmarkEnd w:id="46"/>
      <w:bookmarkEnd w:id="47"/>
      <w:bookmarkEnd w:id="48"/>
      <w:bookmarkEnd w:id="49"/>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50" w:name="_Toc23552"/>
      <w:r>
        <w:rPr>
          <w:rFonts w:hint="eastAsia" w:ascii="宋体" w:hAnsi="宋体" w:eastAsia="宋体" w:cs="宋体"/>
          <w:color w:val="000000"/>
          <w:sz w:val="28"/>
          <w:szCs w:val="28"/>
          <w:lang w:val="en-US" w:eastAsia="zh-CN"/>
        </w:rPr>
        <w:t>1.采购人信息</w:t>
      </w:r>
      <w:bookmarkEnd w:id="50"/>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 称：新疆维吾尔自治区高级人民法院　　　　　　　　　　</w:t>
      </w:r>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 址：乌鲁木齐市水磨沟区昆仑路19号　　　　　　　</w:t>
      </w:r>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联系方式：田工  17709913858 　　　　　　</w:t>
      </w:r>
      <w:r>
        <w:rPr>
          <w:rFonts w:hint="eastAsia" w:ascii="宋体" w:hAnsi="宋体" w:eastAsia="宋体" w:cs="宋体"/>
          <w:color w:val="000000"/>
          <w:sz w:val="28"/>
          <w:szCs w:val="28"/>
          <w:lang w:val="en-US" w:eastAsia="zh-CN"/>
        </w:rPr>
        <w:t xml:space="preserve">　　　 </w:t>
      </w:r>
      <w:bookmarkStart w:id="51" w:name="_Toc28359086"/>
      <w:bookmarkStart w:id="52" w:name="_Toc28359009"/>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53" w:name="_Toc31905"/>
      <w:r>
        <w:rPr>
          <w:rFonts w:hint="eastAsia" w:ascii="宋体" w:hAnsi="宋体" w:eastAsia="宋体" w:cs="宋体"/>
          <w:color w:val="000000"/>
          <w:sz w:val="28"/>
          <w:szCs w:val="28"/>
          <w:lang w:val="en-US" w:eastAsia="zh-CN"/>
        </w:rPr>
        <w:t>2.采购代理机构信息</w:t>
      </w:r>
      <w:bookmarkEnd w:id="51"/>
      <w:bookmarkEnd w:id="52"/>
      <w:bookmarkEnd w:id="53"/>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 称：新疆优尚资创招标代理有限公司　　　　　　　　　　　</w:t>
      </w:r>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　址：乌鲁木齐市沙依巴克区友好南路198号新疆大公馆E座3单元1501室　　　　　　　　　　　　</w:t>
      </w:r>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联系方式：0991-2605777　　　　　　　　　　　　</w:t>
      </w:r>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54" w:name="_Toc16388"/>
      <w:r>
        <w:rPr>
          <w:rFonts w:hint="eastAsia" w:ascii="宋体" w:hAnsi="宋体" w:eastAsia="宋体" w:cs="宋体"/>
          <w:color w:val="000000"/>
          <w:sz w:val="28"/>
          <w:szCs w:val="28"/>
          <w:lang w:val="en-US" w:eastAsia="zh-CN"/>
        </w:rPr>
        <w:t>3.项目联系方式</w:t>
      </w:r>
      <w:bookmarkEnd w:id="54"/>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项目联系人：杨晓乐</w:t>
      </w:r>
    </w:p>
    <w:p>
      <w:pPr>
        <w:pStyle w:val="3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电　话：13565961392  </w:t>
      </w:r>
    </w:p>
    <w:p>
      <w:pPr>
        <w:rPr>
          <w:rFonts w:hint="eastAsia" w:ascii="宋体" w:hAnsi="宋体" w:eastAsia="宋体" w:cs="宋体"/>
        </w:rPr>
      </w:pPr>
    </w:p>
    <w:p>
      <w:pPr>
        <w:widowControl/>
        <w:shd w:val="clear" w:color="auto" w:fill="FFFFFF"/>
        <w:spacing w:line="360" w:lineRule="auto"/>
        <w:ind w:firstLine="352" w:firstLineChars="147"/>
        <w:jc w:val="left"/>
        <w:rPr>
          <w:rFonts w:hint="eastAsia" w:ascii="宋体" w:hAnsi="宋体" w:eastAsia="宋体" w:cs="宋体"/>
          <w:color w:val="000000"/>
          <w:kern w:val="0"/>
          <w:sz w:val="24"/>
          <w:szCs w:val="24"/>
        </w:rPr>
      </w:pPr>
    </w:p>
    <w:p>
      <w:pPr>
        <w:spacing w:line="360" w:lineRule="auto"/>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rPr>
      </w:pPr>
    </w:p>
    <w:p>
      <w:pPr>
        <w:rPr>
          <w:rFonts w:hint="eastAsia" w:ascii="宋体" w:hAnsi="宋体" w:eastAsia="宋体" w:cs="宋体"/>
          <w:sz w:val="24"/>
          <w:szCs w:val="24"/>
        </w:rPr>
      </w:pPr>
    </w:p>
    <w:p>
      <w:pPr>
        <w:widowControl/>
        <w:spacing w:line="360" w:lineRule="auto"/>
        <w:jc w:val="center"/>
        <w:outlineLvl w:val="0"/>
        <w:rPr>
          <w:rFonts w:hint="eastAsia" w:ascii="宋体" w:hAnsi="宋体" w:eastAsia="宋体" w:cs="宋体"/>
          <w:b/>
          <w:sz w:val="32"/>
          <w:szCs w:val="32"/>
        </w:rPr>
      </w:pPr>
      <w:r>
        <w:rPr>
          <w:rFonts w:hint="eastAsia" w:ascii="宋体" w:hAnsi="宋体" w:eastAsia="宋体" w:cs="宋体"/>
          <w:b/>
          <w:sz w:val="32"/>
          <w:szCs w:val="32"/>
        </w:rPr>
        <w:t>第二章  供应商须知</w:t>
      </w:r>
      <w:bookmarkEnd w:id="4"/>
      <w:bookmarkEnd w:id="5"/>
      <w:bookmarkEnd w:id="6"/>
      <w:bookmarkEnd w:id="7"/>
      <w:bookmarkEnd w:id="8"/>
      <w:bookmarkStart w:id="55" w:name="_Toc349573120"/>
      <w:bookmarkStart w:id="56" w:name="_Toc349637919"/>
      <w:bookmarkStart w:id="57" w:name="_Toc298240404"/>
      <w:bookmarkStart w:id="58" w:name="_Toc267301281"/>
    </w:p>
    <w:p>
      <w:pPr>
        <w:spacing w:line="360" w:lineRule="auto"/>
        <w:jc w:val="center"/>
        <w:rPr>
          <w:rFonts w:hint="eastAsia" w:ascii="宋体" w:hAnsi="宋体" w:eastAsia="宋体" w:cs="宋体"/>
          <w:b/>
          <w:sz w:val="28"/>
          <w:szCs w:val="28"/>
        </w:rPr>
      </w:pPr>
      <w:bookmarkStart w:id="59" w:name="_Toc462223631"/>
      <w:r>
        <w:rPr>
          <w:rFonts w:hint="eastAsia" w:ascii="宋体" w:hAnsi="宋体" w:eastAsia="宋体" w:cs="宋体"/>
          <w:b/>
          <w:sz w:val="28"/>
          <w:szCs w:val="28"/>
        </w:rPr>
        <w:t>供应商须知前附表</w:t>
      </w:r>
      <w:bookmarkEnd w:id="55"/>
      <w:bookmarkEnd w:id="56"/>
      <w:bookmarkEnd w:id="57"/>
      <w:bookmarkEnd w:id="58"/>
      <w:bookmarkEnd w:id="59"/>
    </w:p>
    <w:tbl>
      <w:tblPr>
        <w:tblStyle w:val="39"/>
        <w:tblW w:w="93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86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8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cs="宋体"/>
                <w:sz w:val="24"/>
                <w:szCs w:val="24"/>
                <w:lang w:val="en-US" w:eastAsia="zh-CN"/>
              </w:rPr>
              <w:t>新疆维吾尔自治区高级人民法院“两基地一中心”电视机采购项目</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项目编号：[2021]13921号-001</w:t>
            </w:r>
            <w:r>
              <w:rPr>
                <w:rFonts w:hint="eastAsia" w:ascii="宋体" w:hAnsi="宋体" w:eastAsia="宋体" w:cs="宋体"/>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采购人名称：新疆维吾尔自治区高级人民法院   </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田工</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联系电话：17709913858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招标代理机构名称：新疆优尚资创招标代理有限公司</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联系人：杨晓乐</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电话：13565961392</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单位地址：乌鲁木齐市沙依巴克区友好南路198号新疆大公馆E座3单元1501室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磋商响应保证金金额：</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本项目的投标保证金为：</w:t>
            </w:r>
            <w:r>
              <w:rPr>
                <w:rFonts w:hint="eastAsia" w:ascii="宋体" w:hAnsi="宋体" w:cs="宋体"/>
                <w:sz w:val="24"/>
                <w:szCs w:val="24"/>
                <w:lang w:val="en-US" w:eastAsia="zh-CN"/>
              </w:rPr>
              <w:t>37000.00</w:t>
            </w:r>
            <w:r>
              <w:rPr>
                <w:rFonts w:hint="eastAsia" w:ascii="宋体" w:hAnsi="宋体" w:eastAsia="宋体" w:cs="宋体"/>
                <w:sz w:val="24"/>
                <w:szCs w:val="24"/>
                <w:lang w:val="en-US" w:eastAsia="zh-CN"/>
              </w:rPr>
              <w:t>元（大写</w:t>
            </w:r>
            <w:r>
              <w:rPr>
                <w:rFonts w:hint="eastAsia" w:ascii="宋体" w:hAnsi="宋体" w:cs="宋体"/>
                <w:sz w:val="24"/>
                <w:szCs w:val="24"/>
                <w:lang w:val="en-US" w:eastAsia="zh-CN"/>
              </w:rPr>
              <w:t>叁万柒仟元</w:t>
            </w:r>
            <w:r>
              <w:rPr>
                <w:rFonts w:hint="eastAsia" w:ascii="宋体" w:hAnsi="宋体" w:eastAsia="宋体" w:cs="宋体"/>
                <w:sz w:val="24"/>
                <w:szCs w:val="24"/>
                <w:lang w:val="en-US" w:eastAsia="zh-CN"/>
              </w:rPr>
              <w:t>整）</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注：投标人向银行办理投标保证金汇（转）款时，应在用途栏（备注栏）准确注明“</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项目编号</w:t>
            </w:r>
            <w:r>
              <w:rPr>
                <w:rFonts w:hint="eastAsia" w:ascii="宋体" w:hAnsi="宋体" w:eastAsia="宋体" w:cs="宋体"/>
                <w:b/>
                <w:bCs/>
                <w:sz w:val="24"/>
                <w:szCs w:val="24"/>
                <w:lang w:val="en-US" w:eastAsia="zh-CN"/>
              </w:rPr>
              <w:t>）投标保证金”字样，由于未按要求注明信息而导致的一切后果由投标人承担。</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账户信息：新疆优尚资创招标代理有限公司</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开户行：兴业银行股份有限公司乌鲁木齐友好路支行</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账号：512050100100247121</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行号：309881002052</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投标保证金截止时间：投标文件的递交截止时间之前（以到账时间为准）。</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投标保证金的形式：支票、网银及电汇形式投标人基本账户转出。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center"/>
              <w:textAlignment w:val="auto"/>
              <w:rPr>
                <w:rFonts w:hint="default" w:ascii="宋体" w:hAnsi="宋体" w:eastAsia="宋体" w:cs="宋体"/>
                <w:b/>
                <w:color w:val="000000"/>
                <w:kern w:val="0"/>
                <w:sz w:val="24"/>
                <w:szCs w:val="24"/>
                <w:lang w:val="en-US" w:eastAsia="zh-CN"/>
              </w:rPr>
            </w:pPr>
            <w:r>
              <w:rPr>
                <w:rFonts w:hint="eastAsia" w:ascii="宋体" w:hAnsi="宋体" w:cs="宋体"/>
                <w:sz w:val="24"/>
                <w:szCs w:val="24"/>
                <w:lang w:val="en-US" w:eastAsia="zh-CN"/>
              </w:rPr>
              <w:t>5</w:t>
            </w:r>
          </w:p>
        </w:tc>
        <w:tc>
          <w:tcPr>
            <w:tcW w:w="8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采购预算：¥</w:t>
            </w:r>
            <w:r>
              <w:rPr>
                <w:rFonts w:hint="eastAsia" w:ascii="宋体" w:hAnsi="宋体" w:cs="宋体"/>
                <w:b w:val="0"/>
                <w:bCs/>
                <w:color w:val="000000"/>
                <w:kern w:val="0"/>
                <w:sz w:val="24"/>
                <w:szCs w:val="24"/>
                <w:lang w:val="en-US" w:eastAsia="zh-CN"/>
              </w:rPr>
              <w:t>185.3</w:t>
            </w:r>
            <w:r>
              <w:rPr>
                <w:rFonts w:hint="eastAsia" w:ascii="宋体" w:hAnsi="宋体" w:eastAsia="宋体" w:cs="宋体"/>
                <w:b w:val="0"/>
                <w:bCs/>
                <w:color w:val="000000"/>
                <w:kern w:val="0"/>
                <w:sz w:val="24"/>
                <w:szCs w:val="24"/>
                <w:lang w:val="en-US" w:eastAsia="zh-CN"/>
              </w:rPr>
              <w:t>万元</w:t>
            </w:r>
            <w:r>
              <w:rPr>
                <w:rFonts w:hint="eastAsia" w:ascii="宋体" w:hAnsi="宋体" w:eastAsia="宋体" w:cs="宋体"/>
                <w:b w:val="0"/>
                <w:bCs/>
                <w:color w:val="000000"/>
                <w:kern w:val="0"/>
                <w:sz w:val="24"/>
                <w:szCs w:val="24"/>
              </w:rPr>
              <w:t>（大写：</w:t>
            </w:r>
            <w:r>
              <w:rPr>
                <w:rFonts w:hint="eastAsia" w:ascii="宋体" w:hAnsi="宋体" w:cs="宋体"/>
                <w:b w:val="0"/>
                <w:bCs/>
                <w:color w:val="000000"/>
                <w:kern w:val="0"/>
                <w:sz w:val="24"/>
                <w:szCs w:val="24"/>
                <w:lang w:val="en-US" w:eastAsia="zh-CN"/>
              </w:rPr>
              <w:t>壹佰捌拾伍万叁仟</w:t>
            </w:r>
            <w:r>
              <w:rPr>
                <w:rFonts w:hint="eastAsia" w:ascii="宋体" w:hAnsi="宋体" w:eastAsia="宋体" w:cs="宋体"/>
                <w:b w:val="0"/>
                <w:bCs/>
                <w:color w:val="000000"/>
                <w:kern w:val="0"/>
                <w:sz w:val="24"/>
                <w:szCs w:val="24"/>
                <w:lang w:val="en-US" w:eastAsia="zh-CN"/>
              </w:rPr>
              <w:t>元整</w:t>
            </w:r>
            <w:r>
              <w:rPr>
                <w:rFonts w:hint="eastAsia" w:ascii="宋体" w:hAnsi="宋体" w:eastAsia="宋体" w:cs="宋体"/>
                <w:b w:val="0"/>
                <w:bCs/>
                <w:color w:val="000000"/>
                <w:kern w:val="0"/>
                <w:sz w:val="24"/>
                <w:szCs w:val="24"/>
              </w:rPr>
              <w:t>）</w:t>
            </w:r>
          </w:p>
          <w:p>
            <w:pPr>
              <w:keepNext w:val="0"/>
              <w:keepLines w:val="0"/>
              <w:pageBreakBefore w:val="0"/>
              <w:widowControl w:val="0"/>
              <w:kinsoku/>
              <w:wordWrap/>
              <w:overflowPunct/>
              <w:topLinePunct w:val="0"/>
              <w:autoSpaceDE/>
              <w:autoSpaceDN/>
              <w:bidi w:val="0"/>
              <w:spacing w:line="288" w:lineRule="auto"/>
              <w:jc w:val="both"/>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备注：</w:t>
            </w:r>
            <w:r>
              <w:rPr>
                <w:rFonts w:hint="eastAsia" w:ascii="宋体" w:hAnsi="宋体" w:eastAsia="宋体" w:cs="宋体"/>
                <w:b/>
                <w:color w:val="000000"/>
                <w:kern w:val="0"/>
                <w:sz w:val="24"/>
                <w:szCs w:val="24"/>
                <w:lang w:val="en-US" w:eastAsia="zh-CN"/>
              </w:rPr>
              <w:t>1.投标报价高于预算限价按废标处理，敬请投标人注意！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tabs>
                <w:tab w:val="left" w:pos="252"/>
                <w:tab w:val="left" w:pos="671"/>
              </w:tabs>
              <w:kinsoku/>
              <w:wordWrap/>
              <w:overflowPunct/>
              <w:topLinePunct w:val="0"/>
              <w:autoSpaceDE/>
              <w:autoSpaceDN/>
              <w:bidi w:val="0"/>
              <w:spacing w:line="288" w:lineRule="auto"/>
              <w:jc w:val="center"/>
              <w:textAlignment w:val="auto"/>
              <w:rPr>
                <w:rFonts w:hint="eastAsia" w:ascii="宋体" w:hAnsi="宋体" w:eastAsia="宋体" w:cs="宋体"/>
                <w:color w:val="000000"/>
                <w:spacing w:val="8"/>
                <w:sz w:val="24"/>
                <w:szCs w:val="24"/>
                <w:lang w:eastAsia="zh-CN"/>
              </w:rPr>
            </w:pPr>
            <w:r>
              <w:rPr>
                <w:rFonts w:hint="eastAsia" w:ascii="宋体" w:hAnsi="宋体" w:eastAsia="宋体" w:cs="宋体"/>
                <w:color w:val="000000"/>
                <w:spacing w:val="8"/>
                <w:sz w:val="24"/>
                <w:szCs w:val="24"/>
                <w:lang w:val="en-US" w:eastAsia="zh-CN"/>
              </w:rPr>
              <w:t>6</w:t>
            </w:r>
          </w:p>
        </w:tc>
        <w:tc>
          <w:tcPr>
            <w:tcW w:w="8660" w:type="dxa"/>
            <w:tcBorders>
              <w:top w:val="single" w:color="auto" w:sz="4" w:space="0"/>
              <w:left w:val="single" w:color="auto" w:sz="4" w:space="0"/>
              <w:bottom w:val="single" w:color="auto" w:sz="4" w:space="0"/>
              <w:right w:val="single" w:color="auto" w:sz="4" w:space="0"/>
            </w:tcBorders>
            <w:vAlign w:val="center"/>
          </w:tcPr>
          <w:p>
            <w:pPr>
              <w:pStyle w:val="98"/>
              <w:keepNext w:val="0"/>
              <w:keepLines w:val="0"/>
              <w:pageBreakBefore w:val="0"/>
              <w:widowControl w:val="0"/>
              <w:kinsoku/>
              <w:wordWrap/>
              <w:overflowPunct/>
              <w:topLinePunct w:val="0"/>
              <w:autoSpaceDE/>
              <w:autoSpaceDN/>
              <w:bidi w:val="0"/>
              <w:spacing w:line="288" w:lineRule="auto"/>
              <w:ind w:firstLine="0" w:firstLineChars="0"/>
              <w:jc w:val="both"/>
              <w:textAlignment w:val="auto"/>
              <w:rPr>
                <w:rFonts w:hint="eastAsia" w:ascii="宋体" w:hAnsi="宋体" w:eastAsia="宋体" w:cs="宋体"/>
                <w:bCs/>
                <w:sz w:val="24"/>
                <w:szCs w:val="24"/>
              </w:rPr>
            </w:pPr>
            <w:r>
              <w:rPr>
                <w:rFonts w:hint="eastAsia" w:ascii="宋体" w:hAnsi="宋体" w:eastAsia="宋体" w:cs="宋体"/>
                <w:b/>
                <w:sz w:val="24"/>
                <w:szCs w:val="24"/>
              </w:rPr>
              <w:t>供应商的资格要求</w:t>
            </w:r>
            <w:r>
              <w:rPr>
                <w:rFonts w:hint="eastAsia" w:ascii="宋体" w:hAnsi="宋体" w:eastAsia="宋体" w:cs="宋体"/>
                <w:bCs/>
                <w:sz w:val="24"/>
                <w:szCs w:val="24"/>
              </w:rPr>
              <w:t>：</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2.落实政府采购政策需满足的资格要求：  </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（1）《政府采购促进中小企业发展暂行办法》（财库〔2020〕46号）； </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（2）《财政部、司法部关于政府采购支持监狱企业发展有关问题的通知》（财库〔2014〕68号）； </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（3）《财政部 民政部 中国残疾人联合会关于促进残疾人就业政府采购政策的通知》财库〔2017〕141号。  </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（1）满足《中华人民共和国政府采购法》第二十二条要求，投标人须具有有效的工商营业执照副本（三证合一）且在中华人民共和国境内注册，有能力提供本项目合同项下的全部服务内容的供应商；</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（3）与招标人存在利害关系可能影响招标公正性的法人、其他组织或者个人，不得参加投标；</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（4）单位负责人为同一人或者存在控股、管理关系的不同单位，不得参加同一标段投标或者未划分标段的同一招标项目投标。违反前两款规定的，相关投标均无效；</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（5）本项目不接受联合体投标。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磋商响应有效期：60天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磋商</w:t>
            </w:r>
            <w:r>
              <w:rPr>
                <w:rFonts w:hint="eastAsia" w:ascii="宋体" w:hAnsi="宋体" w:eastAsia="宋体" w:cs="宋体"/>
                <w:sz w:val="24"/>
                <w:szCs w:val="24"/>
                <w:lang w:val="en-US" w:eastAsia="zh-CN"/>
              </w:rPr>
              <w:t>报价</w:t>
            </w:r>
            <w:r>
              <w:rPr>
                <w:rFonts w:hint="eastAsia" w:ascii="宋体" w:hAnsi="宋体" w:eastAsia="宋体" w:cs="宋体"/>
                <w:sz w:val="24"/>
                <w:szCs w:val="24"/>
                <w:lang w:val="zh-CN" w:eastAsia="zh-CN"/>
              </w:rPr>
              <w:t>轮数:两轮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*开标现场查验：</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1、营业执照</w:t>
            </w:r>
            <w:r>
              <w:rPr>
                <w:rFonts w:hint="eastAsia" w:ascii="宋体" w:hAnsi="宋体" w:cs="宋体"/>
                <w:sz w:val="24"/>
                <w:szCs w:val="24"/>
                <w:lang w:val="en-US" w:eastAsia="zh-CN"/>
              </w:rPr>
              <w:t>副本</w:t>
            </w:r>
            <w:r>
              <w:rPr>
                <w:rFonts w:hint="eastAsia" w:ascii="宋体" w:hAnsi="宋体" w:eastAsia="宋体" w:cs="宋体"/>
                <w:sz w:val="24"/>
                <w:szCs w:val="24"/>
                <w:lang w:val="en-US" w:eastAsia="zh-CN"/>
              </w:rPr>
              <w:t>；</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、供应商提供法人授权委托书及被授权人身份证明原件； </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、投标保证金缴纳凭证或收据。</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注：以上现场查验均为原件单独提交审核、复印件</w:t>
            </w:r>
            <w:r>
              <w:rPr>
                <w:rFonts w:hint="eastAsia" w:ascii="宋体" w:hAnsi="宋体" w:cs="宋体"/>
                <w:b/>
                <w:bCs/>
                <w:sz w:val="24"/>
                <w:szCs w:val="24"/>
                <w:lang w:val="en-US" w:eastAsia="zh-CN"/>
              </w:rPr>
              <w:t>胶装</w:t>
            </w:r>
            <w:r>
              <w:rPr>
                <w:rFonts w:hint="eastAsia" w:ascii="宋体" w:hAnsi="宋体" w:eastAsia="宋体" w:cs="宋体"/>
                <w:b/>
                <w:bCs/>
                <w:sz w:val="24"/>
                <w:szCs w:val="24"/>
                <w:lang w:val="en-US" w:eastAsia="zh-CN"/>
              </w:rPr>
              <w:t>在投标文件中，不合格或缺少一项将被认为资格审查不合格，将取消其竞标资格。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投标文件份数：正本一份，副本两份一</w:t>
            </w:r>
            <w:r>
              <w:rPr>
                <w:rFonts w:hint="eastAsia" w:ascii="宋体" w:hAnsi="宋体" w:cs="宋体"/>
                <w:sz w:val="24"/>
                <w:szCs w:val="24"/>
                <w:lang w:val="en-US" w:eastAsia="zh-CN"/>
              </w:rPr>
              <w:t>起</w:t>
            </w:r>
            <w:r>
              <w:rPr>
                <w:rFonts w:hint="eastAsia" w:ascii="宋体" w:hAnsi="宋体" w:eastAsia="宋体" w:cs="宋体"/>
                <w:sz w:val="24"/>
                <w:szCs w:val="24"/>
                <w:lang w:val="en-US" w:eastAsia="zh-CN"/>
              </w:rPr>
              <w:t>密封</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开标一览表一份（单独密封）</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电子版</w:t>
            </w:r>
            <w:r>
              <w:rPr>
                <w:rFonts w:hint="eastAsia" w:ascii="宋体" w:hAnsi="宋体" w:cs="宋体"/>
                <w:sz w:val="24"/>
                <w:szCs w:val="24"/>
                <w:lang w:val="en-US" w:eastAsia="zh-CN"/>
              </w:rPr>
              <w:t>一</w:t>
            </w:r>
            <w:r>
              <w:rPr>
                <w:rFonts w:hint="eastAsia" w:ascii="宋体" w:hAnsi="宋体" w:eastAsia="宋体" w:cs="宋体"/>
                <w:sz w:val="24"/>
                <w:szCs w:val="24"/>
                <w:lang w:val="en-US" w:eastAsia="zh-CN"/>
              </w:rPr>
              <w:t>份（U盘</w:t>
            </w:r>
            <w:r>
              <w:rPr>
                <w:rFonts w:hint="eastAsia" w:ascii="宋体" w:hAnsi="宋体" w:cs="宋体"/>
                <w:sz w:val="24"/>
                <w:szCs w:val="24"/>
                <w:lang w:val="en-US" w:eastAsia="zh-CN"/>
              </w:rPr>
              <w:t>形式并可与投标文件一起</w:t>
            </w:r>
            <w:r>
              <w:rPr>
                <w:rFonts w:hint="eastAsia" w:ascii="宋体" w:hAnsi="宋体" w:eastAsia="宋体" w:cs="宋体"/>
                <w:sz w:val="24"/>
                <w:szCs w:val="24"/>
                <w:lang w:val="en-US" w:eastAsia="zh-CN"/>
              </w:rPr>
              <w:t>密封）</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注：若未按规定封装则视为无效投标，招标人、招标代理机构有权拒收，为无效投标。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磋商响应性文件以密封形式递交至：乌鲁木齐市沙依巴克区友好南路198号新疆大公馆A座1010室</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磋商响应性文件递交截止时间：</w:t>
            </w:r>
            <w:r>
              <w:rPr>
                <w:rFonts w:hint="eastAsia" w:ascii="宋体" w:hAnsi="宋体" w:cs="宋体"/>
                <w:color w:val="auto"/>
                <w:sz w:val="24"/>
                <w:szCs w:val="24"/>
                <w:lang w:val="en-US" w:eastAsia="zh-CN"/>
              </w:rPr>
              <w:t>2021年11月2日16点00分</w:t>
            </w:r>
            <w:r>
              <w:rPr>
                <w:rFonts w:hint="eastAsia" w:ascii="宋体" w:hAnsi="宋体" w:eastAsia="宋体" w:cs="宋体"/>
                <w:color w:val="auto"/>
                <w:sz w:val="24"/>
                <w:szCs w:val="24"/>
                <w:lang w:val="en-US" w:eastAsia="zh-CN"/>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磋商开启日期：</w:t>
            </w:r>
            <w:r>
              <w:rPr>
                <w:rFonts w:hint="eastAsia" w:ascii="宋体" w:hAnsi="宋体" w:cs="宋体"/>
                <w:color w:val="auto"/>
                <w:sz w:val="24"/>
                <w:szCs w:val="24"/>
                <w:lang w:val="en-US" w:eastAsia="zh-CN"/>
              </w:rPr>
              <w:t>2021年11月2日16点00分</w:t>
            </w:r>
            <w:r>
              <w:rPr>
                <w:rFonts w:hint="eastAsia" w:ascii="宋体" w:hAnsi="宋体" w:eastAsia="宋体" w:cs="宋体"/>
                <w:color w:val="auto"/>
                <w:sz w:val="24"/>
                <w:szCs w:val="24"/>
                <w:lang w:val="en-US" w:eastAsia="zh-CN"/>
              </w:rPr>
              <w:t>（（北京时间）</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磋商开启地点：乌鲁木齐市沙依巴克区友好南路198号新疆大公馆A座1010室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3</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供货期：合同签订后七日内（日历日）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质保期：三年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732"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15</w:t>
            </w:r>
          </w:p>
        </w:tc>
        <w:tc>
          <w:tcPr>
            <w:tcW w:w="8660" w:type="dxa"/>
            <w:tcBorders>
              <w:top w:val="single" w:color="auto" w:sz="4" w:space="0"/>
              <w:left w:val="single" w:color="auto" w:sz="4" w:space="0"/>
              <w:bottom w:val="single" w:color="auto" w:sz="4" w:space="0"/>
              <w:right w:val="single" w:color="auto" w:sz="4" w:space="0"/>
            </w:tcBorders>
            <w:vAlign w:val="center"/>
          </w:tcPr>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投标文件中有弄虚作假的内容，其投标文件作废。（如假证书、假业绩、隐瞒不良行为记录、夸大荣誉、使用非本单位在职员工的相关证件及不符合招标文件规定的条款等）；在签订合同之前，采购人如发现投标人的投标文件有弄虚作假内容，招标人可拒绝与其签订合同。并将其列入政府采购黑名单库。</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sz w:val="24"/>
                <w:szCs w:val="24"/>
                <w:lang w:val="en-US" w:eastAsia="zh-CN"/>
              </w:rPr>
              <w:t>3.适用于本供应商须知的额外增加的变动：代理服务费由成交方向新疆优尚资创招标代理有限公司支付，招标代理服务收费以中标价为基准价，参照计价格[2002]1980号文按差额定率累进法计算收取。</w:t>
            </w:r>
          </w:p>
        </w:tc>
      </w:tr>
    </w:tbl>
    <w:p>
      <w:pPr>
        <w:pStyle w:val="4"/>
        <w:pageBreakBefore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s="宋体"/>
          <w:sz w:val="28"/>
          <w:szCs w:val="28"/>
        </w:rPr>
      </w:pPr>
      <w:r>
        <w:rPr>
          <w:rFonts w:hint="eastAsia" w:ascii="宋体" w:hAnsi="宋体" w:eastAsia="宋体" w:cs="宋体"/>
          <w:sz w:val="28"/>
          <w:szCs w:val="28"/>
        </w:rPr>
        <w:br w:type="page"/>
      </w:r>
      <w:bookmarkStart w:id="60" w:name="_Toc298240405"/>
      <w:bookmarkStart w:id="61" w:name="_Toc462223632"/>
      <w:bookmarkStart w:id="62" w:name="_Toc349637920"/>
      <w:bookmarkStart w:id="63" w:name="_Toc349573121"/>
      <w:bookmarkStart w:id="64" w:name="_Toc30151"/>
      <w:bookmarkStart w:id="65" w:name="_Toc267301282"/>
      <w:bookmarkStart w:id="66" w:name="_Toc12110"/>
      <w:r>
        <w:rPr>
          <w:rFonts w:hint="eastAsia" w:ascii="宋体" w:hAnsi="宋体" w:eastAsia="宋体" w:cs="宋体"/>
          <w:sz w:val="28"/>
          <w:szCs w:val="28"/>
        </w:rPr>
        <w:t>（一）说　明</w:t>
      </w:r>
      <w:bookmarkEnd w:id="60"/>
      <w:bookmarkEnd w:id="61"/>
      <w:bookmarkEnd w:id="62"/>
      <w:bookmarkEnd w:id="63"/>
      <w:bookmarkEnd w:id="64"/>
      <w:bookmarkEnd w:id="65"/>
      <w:bookmarkEnd w:id="66"/>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1、适用范围</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1.1 本磋商文件仅适用于本次磋商邀请中所叙述项目的货物及服务采购。</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2、定义</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sz w:val="24"/>
        </w:rPr>
        <w:t>2.</w:t>
      </w:r>
      <w:r>
        <w:rPr>
          <w:rFonts w:hint="eastAsia" w:ascii="宋体" w:hAnsi="宋体" w:eastAsia="宋体" w:cs="宋体"/>
          <w:color w:val="000000"/>
          <w:sz w:val="24"/>
        </w:rPr>
        <w:t>1 “招标代理机构”系指</w:t>
      </w:r>
      <w:r>
        <w:rPr>
          <w:rFonts w:hint="eastAsia" w:ascii="宋体" w:hAnsi="宋体" w:eastAsia="宋体" w:cs="宋体"/>
          <w:color w:val="000000"/>
          <w:sz w:val="24"/>
          <w:lang w:eastAsia="zh-CN"/>
        </w:rPr>
        <w:t>新疆优尚资创招标代理有限公司</w:t>
      </w:r>
      <w:r>
        <w:rPr>
          <w:rFonts w:hint="eastAsia" w:ascii="宋体" w:hAnsi="宋体" w:eastAsia="宋体" w:cs="宋体"/>
          <w:color w:val="000000"/>
          <w:sz w:val="24"/>
        </w:rPr>
        <w:t>；</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2.2 “需方”系指</w:t>
      </w:r>
      <w:r>
        <w:rPr>
          <w:rFonts w:hint="eastAsia" w:ascii="宋体" w:hAnsi="宋体" w:cs="宋体"/>
          <w:sz w:val="24"/>
          <w:szCs w:val="24"/>
          <w:lang w:val="en-US" w:eastAsia="zh-CN"/>
        </w:rPr>
        <w:t>新疆维吾尔自治区高级人民法院</w:t>
      </w:r>
      <w:r>
        <w:rPr>
          <w:rFonts w:hint="eastAsia" w:ascii="宋体" w:hAnsi="宋体" w:eastAsia="宋体" w:cs="宋体"/>
          <w:color w:val="000000"/>
          <w:sz w:val="24"/>
        </w:rPr>
        <w:t>；</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2.3 “磋商供应商”系指向招标代理机构提交磋商响应性文件的制造商或代理商；</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2.4 “成交方”系指在本次磋商中成交，将被授予合同的供应商，即成为“成交方”。</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color w:val="000000"/>
          <w:sz w:val="24"/>
        </w:rPr>
      </w:pPr>
      <w:r>
        <w:rPr>
          <w:rFonts w:hint="eastAsia" w:ascii="宋体" w:hAnsi="宋体" w:eastAsia="宋体" w:cs="宋体"/>
          <w:color w:val="000000"/>
          <w:sz w:val="24"/>
        </w:rPr>
        <w:t>3、合格的供应商</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3.1 有能力提供磋商文件中所要求的货物及服务、资格审查合格的制造商或代理商为合格的供应商；</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sz w:val="24"/>
        </w:rPr>
      </w:pPr>
      <w:r>
        <w:rPr>
          <w:rFonts w:hint="eastAsia" w:ascii="宋体" w:hAnsi="宋体" w:eastAsia="宋体" w:cs="宋体"/>
          <w:color w:val="000000"/>
          <w:sz w:val="24"/>
        </w:rPr>
        <w:t>3.2 供应商必须遵守有关的国内法律和规章条例。</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color w:val="000000"/>
          <w:sz w:val="24"/>
        </w:rPr>
      </w:pPr>
      <w:r>
        <w:rPr>
          <w:rFonts w:hint="eastAsia" w:ascii="宋体" w:hAnsi="宋体" w:eastAsia="宋体" w:cs="宋体"/>
          <w:color w:val="000000"/>
          <w:sz w:val="24"/>
        </w:rPr>
        <w:t>4、供应商资格</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0"/>
          <w:lang w:val="en-US" w:eastAsia="zh-CN" w:bidi="ar-SA"/>
        </w:rPr>
        <w:t xml:space="preserve">4.1 </w:t>
      </w:r>
      <w:r>
        <w:rPr>
          <w:rFonts w:hint="eastAsia" w:ascii="宋体" w:hAnsi="宋体" w:eastAsia="宋体" w:cs="宋体"/>
          <w:sz w:val="24"/>
          <w:szCs w:val="24"/>
          <w:lang w:val="en-US" w:eastAsia="zh-CN"/>
        </w:rPr>
        <w:t>满足《中华人民共和国政府采购法》第二十二条要求，投标人须具有有效的工商营业执照副本（三证合一）且在中华人民共和国境内注册，有能力提供本项目合同项下的全部服务内容的供应商；</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cs="宋体"/>
          <w:color w:val="000000"/>
          <w:kern w:val="2"/>
          <w:sz w:val="24"/>
          <w:szCs w:val="20"/>
          <w:lang w:val="en-US" w:eastAsia="zh-CN" w:bidi="ar-SA"/>
        </w:rPr>
        <w:t xml:space="preserve">4.2 </w:t>
      </w:r>
      <w:r>
        <w:rPr>
          <w:rFonts w:hint="eastAsia" w:ascii="宋体" w:hAnsi="宋体" w:eastAsia="宋体" w:cs="宋体"/>
          <w:sz w:val="24"/>
          <w:szCs w:val="24"/>
          <w:lang w:val="en-US" w:eastAsia="zh-CN"/>
        </w:rPr>
        <w:t>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0"/>
          <w:lang w:val="en-US" w:eastAsia="zh-CN" w:bidi="ar-SA"/>
        </w:rPr>
        <w:t>4.</w:t>
      </w:r>
      <w:r>
        <w:rPr>
          <w:rFonts w:hint="eastAsia" w:ascii="宋体" w:hAnsi="宋体" w:cs="宋体"/>
          <w:color w:val="000000"/>
          <w:kern w:val="2"/>
          <w:sz w:val="24"/>
          <w:szCs w:val="20"/>
          <w:lang w:val="en-US" w:eastAsia="zh-CN" w:bidi="ar-SA"/>
        </w:rPr>
        <w:t>3</w:t>
      </w:r>
      <w:r>
        <w:rPr>
          <w:rFonts w:hint="eastAsia" w:ascii="宋体" w:hAnsi="宋体" w:eastAsia="宋体" w:cs="宋体"/>
          <w:color w:val="000000"/>
          <w:kern w:val="2"/>
          <w:sz w:val="24"/>
          <w:szCs w:val="20"/>
          <w:lang w:val="en-US" w:eastAsia="zh-CN" w:bidi="ar-SA"/>
        </w:rPr>
        <w:t xml:space="preserve"> </w:t>
      </w:r>
      <w:r>
        <w:rPr>
          <w:rFonts w:hint="eastAsia" w:ascii="宋体" w:hAnsi="宋体" w:eastAsia="宋体" w:cs="宋体"/>
          <w:sz w:val="24"/>
          <w:szCs w:val="24"/>
          <w:lang w:val="en-US" w:eastAsia="zh-CN"/>
        </w:rPr>
        <w:t>与招标人存在利害关系可能影响招标公正性的法人、其他组织或者个人，不得参加投标；</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0"/>
          <w:lang w:val="en-US" w:eastAsia="zh-CN" w:bidi="ar-SA"/>
        </w:rPr>
        <w:t>4.</w:t>
      </w:r>
      <w:r>
        <w:rPr>
          <w:rFonts w:hint="eastAsia" w:ascii="宋体" w:hAnsi="宋体" w:cs="宋体"/>
          <w:color w:val="000000"/>
          <w:kern w:val="2"/>
          <w:sz w:val="24"/>
          <w:szCs w:val="20"/>
          <w:lang w:val="en-US" w:eastAsia="zh-CN" w:bidi="ar-SA"/>
        </w:rPr>
        <w:t>4</w:t>
      </w:r>
      <w:r>
        <w:rPr>
          <w:rFonts w:hint="eastAsia" w:ascii="宋体" w:hAnsi="宋体" w:eastAsia="宋体" w:cs="宋体"/>
          <w:color w:val="000000"/>
          <w:kern w:val="2"/>
          <w:sz w:val="24"/>
          <w:szCs w:val="20"/>
          <w:lang w:val="en-US" w:eastAsia="zh-CN" w:bidi="ar-SA"/>
        </w:rPr>
        <w:t xml:space="preserve"> </w:t>
      </w:r>
      <w:r>
        <w:rPr>
          <w:rFonts w:hint="eastAsia" w:ascii="宋体" w:hAnsi="宋体" w:eastAsia="宋体" w:cs="宋体"/>
          <w:sz w:val="24"/>
          <w:szCs w:val="24"/>
          <w:lang w:val="en-US" w:eastAsia="zh-CN"/>
        </w:rPr>
        <w:t>单位负责人为同一人或者存在控股、管理关系的不同单位，不得参加同一标段投标或者未划分标段的同一招标项目投标。违反前两款规定的，相关投标均无效；</w:t>
      </w:r>
    </w:p>
    <w:p>
      <w:pPr>
        <w:pStyle w:val="35"/>
        <w:pageBreakBefore w:val="0"/>
        <w:kinsoku/>
        <w:wordWrap/>
        <w:overflowPunct/>
        <w:topLinePunct w:val="0"/>
        <w:autoSpaceDE/>
        <w:autoSpaceDN/>
        <w:bidi w:val="0"/>
        <w:spacing w:before="0" w:beforeAutospacing="0" w:after="0" w:afterAutospacing="0" w:line="360" w:lineRule="auto"/>
        <w:ind w:left="0" w:leftChars="0" w:firstLine="468" w:firstLineChars="195"/>
        <w:rPr>
          <w:rFonts w:hint="eastAsia" w:ascii="宋体" w:hAnsi="宋体" w:eastAsia="宋体" w:cs="宋体"/>
          <w:color w:val="000000"/>
        </w:rPr>
      </w:pPr>
      <w:r>
        <w:rPr>
          <w:rFonts w:hint="eastAsia" w:ascii="宋体" w:hAnsi="宋体" w:eastAsia="宋体" w:cs="宋体"/>
          <w:sz w:val="24"/>
          <w:szCs w:val="24"/>
          <w:lang w:val="en-US" w:eastAsia="zh-CN"/>
        </w:rPr>
        <w:t>4.5 本项目不接受联合体投标。</w:t>
      </w:r>
      <w:r>
        <w:rPr>
          <w:rFonts w:hint="eastAsia" w:ascii="宋体" w:hAnsi="宋体" w:eastAsia="宋体" w:cs="宋体"/>
          <w:color w:val="000000"/>
        </w:rPr>
        <w:t xml:space="preserve">        </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5、磋商费用</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color w:val="000000"/>
          <w:sz w:val="24"/>
        </w:rPr>
        <w:t>5.1</w:t>
      </w:r>
      <w:r>
        <w:rPr>
          <w:rFonts w:hint="eastAsia" w:ascii="宋体" w:hAnsi="宋体" w:eastAsia="宋体" w:cs="宋体"/>
          <w:sz w:val="24"/>
        </w:rPr>
        <w:t xml:space="preserve"> 无论磋商过程中的作法和结果如何，供应商将自行承担所有与参加磋商有关的全部费用。</w:t>
      </w:r>
      <w:bookmarkStart w:id="67" w:name="_Toc267301283"/>
      <w:bookmarkStart w:id="68" w:name="_Toc349637921"/>
      <w:bookmarkStart w:id="69" w:name="_Toc462223633"/>
      <w:bookmarkStart w:id="70" w:name="_Toc349573122"/>
      <w:bookmarkStart w:id="71" w:name="_Toc27522"/>
      <w:bookmarkStart w:id="72" w:name="_Toc298240406"/>
    </w:p>
    <w:p>
      <w:pPr>
        <w:pageBreakBefore w:val="0"/>
        <w:kinsoku/>
        <w:wordWrap/>
        <w:overflowPunct/>
        <w:topLinePunct w:val="0"/>
        <w:autoSpaceDE/>
        <w:autoSpaceDN/>
        <w:bidi w:val="0"/>
        <w:spacing w:beforeAutospacing="0" w:afterAutospacing="0" w:line="360" w:lineRule="auto"/>
        <w:ind w:left="0" w:leftChars="0" w:firstLine="562" w:firstLineChars="200"/>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（二）  磋商文件</w:t>
      </w:r>
      <w:bookmarkEnd w:id="67"/>
      <w:bookmarkEnd w:id="68"/>
      <w:bookmarkEnd w:id="69"/>
      <w:bookmarkEnd w:id="70"/>
      <w:bookmarkEnd w:id="71"/>
      <w:bookmarkEnd w:id="72"/>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6、磋商文件构成</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6.1磋商文件包括：</w:t>
      </w:r>
    </w:p>
    <w:p>
      <w:pPr>
        <w:pageBreakBefore w:val="0"/>
        <w:kinsoku/>
        <w:wordWrap/>
        <w:overflowPunct/>
        <w:topLinePunct w:val="0"/>
        <w:autoSpaceDE/>
        <w:autoSpaceDN/>
        <w:bidi w:val="0"/>
        <w:spacing w:beforeAutospacing="0" w:afterAutospacing="0" w:line="360" w:lineRule="auto"/>
        <w:ind w:left="0" w:leftChars="0" w:firstLine="753" w:firstLineChars="314"/>
        <w:rPr>
          <w:rFonts w:hint="eastAsia" w:ascii="宋体" w:hAnsi="宋体" w:eastAsia="宋体" w:cs="宋体"/>
          <w:sz w:val="24"/>
        </w:rPr>
      </w:pPr>
      <w:r>
        <w:rPr>
          <w:rFonts w:hint="eastAsia" w:ascii="宋体" w:hAnsi="宋体" w:eastAsia="宋体" w:cs="宋体"/>
          <w:sz w:val="24"/>
        </w:rPr>
        <w:t xml:space="preserve">6.1.1 </w:t>
      </w:r>
      <w:r>
        <w:rPr>
          <w:rFonts w:hint="eastAsia" w:ascii="宋体" w:hAnsi="宋体" w:cs="宋体"/>
          <w:sz w:val="24"/>
          <w:lang w:val="en-US" w:eastAsia="zh-CN"/>
        </w:rPr>
        <w:t>竞争性磋商公告</w:t>
      </w:r>
      <w:r>
        <w:rPr>
          <w:rFonts w:hint="eastAsia" w:ascii="宋体" w:hAnsi="宋体" w:eastAsia="宋体" w:cs="宋体"/>
          <w:sz w:val="24"/>
        </w:rPr>
        <w:t>；</w:t>
      </w:r>
    </w:p>
    <w:p>
      <w:pPr>
        <w:pageBreakBefore w:val="0"/>
        <w:kinsoku/>
        <w:wordWrap/>
        <w:overflowPunct/>
        <w:topLinePunct w:val="0"/>
        <w:autoSpaceDE/>
        <w:autoSpaceDN/>
        <w:bidi w:val="0"/>
        <w:spacing w:beforeAutospacing="0" w:afterAutospacing="0" w:line="360" w:lineRule="auto"/>
        <w:ind w:left="0" w:leftChars="0" w:firstLine="753" w:firstLineChars="314"/>
        <w:rPr>
          <w:rFonts w:hint="eastAsia" w:ascii="宋体" w:hAnsi="宋体" w:eastAsia="宋体" w:cs="宋体"/>
          <w:sz w:val="24"/>
        </w:rPr>
      </w:pPr>
      <w:r>
        <w:rPr>
          <w:rFonts w:hint="eastAsia" w:ascii="宋体" w:hAnsi="宋体" w:eastAsia="宋体" w:cs="宋体"/>
          <w:sz w:val="24"/>
        </w:rPr>
        <w:t>6.1.2 供应商须知；</w:t>
      </w:r>
    </w:p>
    <w:p>
      <w:pPr>
        <w:pageBreakBefore w:val="0"/>
        <w:kinsoku/>
        <w:wordWrap/>
        <w:overflowPunct/>
        <w:topLinePunct w:val="0"/>
        <w:autoSpaceDE/>
        <w:autoSpaceDN/>
        <w:bidi w:val="0"/>
        <w:spacing w:beforeAutospacing="0" w:afterAutospacing="0" w:line="360" w:lineRule="auto"/>
        <w:ind w:left="0" w:leftChars="0" w:firstLine="753" w:firstLineChars="314"/>
        <w:rPr>
          <w:rFonts w:hint="eastAsia" w:ascii="宋体" w:hAnsi="宋体" w:eastAsia="宋体" w:cs="宋体"/>
          <w:sz w:val="24"/>
        </w:rPr>
      </w:pPr>
      <w:r>
        <w:rPr>
          <w:rFonts w:hint="eastAsia" w:ascii="宋体" w:hAnsi="宋体" w:eastAsia="宋体" w:cs="宋体"/>
          <w:sz w:val="24"/>
        </w:rPr>
        <w:t>6.1.3 项目需求；</w:t>
      </w:r>
    </w:p>
    <w:p>
      <w:pPr>
        <w:pageBreakBefore w:val="0"/>
        <w:kinsoku/>
        <w:wordWrap/>
        <w:overflowPunct/>
        <w:topLinePunct w:val="0"/>
        <w:autoSpaceDE/>
        <w:autoSpaceDN/>
        <w:bidi w:val="0"/>
        <w:spacing w:beforeAutospacing="0" w:afterAutospacing="0" w:line="360" w:lineRule="auto"/>
        <w:ind w:left="0" w:leftChars="0" w:firstLine="753" w:firstLineChars="314"/>
        <w:rPr>
          <w:rFonts w:hint="eastAsia" w:ascii="宋体" w:hAnsi="宋体" w:eastAsia="宋体" w:cs="宋体"/>
          <w:sz w:val="24"/>
        </w:rPr>
      </w:pPr>
      <w:r>
        <w:rPr>
          <w:rFonts w:hint="eastAsia" w:ascii="宋体" w:hAnsi="宋体" w:eastAsia="宋体" w:cs="宋体"/>
          <w:sz w:val="24"/>
        </w:rPr>
        <w:t>6.1.4 合同条款；</w:t>
      </w:r>
    </w:p>
    <w:p>
      <w:pPr>
        <w:pageBreakBefore w:val="0"/>
        <w:kinsoku/>
        <w:wordWrap/>
        <w:overflowPunct/>
        <w:topLinePunct w:val="0"/>
        <w:autoSpaceDE/>
        <w:autoSpaceDN/>
        <w:bidi w:val="0"/>
        <w:spacing w:beforeAutospacing="0" w:afterAutospacing="0" w:line="360" w:lineRule="auto"/>
        <w:ind w:left="0" w:leftChars="0" w:firstLine="753" w:firstLineChars="314"/>
        <w:rPr>
          <w:rFonts w:hint="eastAsia" w:ascii="宋体" w:hAnsi="宋体" w:eastAsia="宋体" w:cs="宋体"/>
          <w:sz w:val="24"/>
        </w:rPr>
      </w:pPr>
      <w:r>
        <w:rPr>
          <w:rFonts w:hint="eastAsia" w:ascii="宋体" w:hAnsi="宋体" w:eastAsia="宋体" w:cs="宋体"/>
          <w:sz w:val="24"/>
        </w:rPr>
        <w:t>6.1.5 竞争性磋商响应文件格式。</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6.2 磋商文件以中文编写。</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7、磋商文件澄清</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7.1 供应商对磋商文件有疑问的，可以向招标代理机构提出询问，招标代理机构将及时做出答复；</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7.2 供应商对磋商文件有质疑，须在磋商响应文件</w:t>
      </w:r>
      <w:r>
        <w:rPr>
          <w:rFonts w:hint="eastAsia" w:ascii="宋体" w:hAnsi="宋体" w:eastAsia="宋体" w:cs="宋体"/>
          <w:sz w:val="24"/>
          <w:szCs w:val="24"/>
        </w:rPr>
        <w:t>递交截止时间3日以前，以书面形式向招标机构提出质疑；招标机构在收到书面质疑后尽快做</w:t>
      </w:r>
      <w:r>
        <w:rPr>
          <w:rFonts w:hint="eastAsia" w:ascii="宋体" w:hAnsi="宋体" w:eastAsia="宋体" w:cs="宋体"/>
          <w:sz w:val="24"/>
        </w:rPr>
        <w:t>出答复，并以书面形式通知质疑供应商。</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8、 磋商文件的修改</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rPr>
        <w:t>8.1 对磋商文件进行必要的修改，招标代理机</w:t>
      </w:r>
      <w:r>
        <w:rPr>
          <w:rFonts w:hint="eastAsia" w:ascii="宋体" w:hAnsi="宋体" w:eastAsia="宋体" w:cs="宋体"/>
          <w:sz w:val="24"/>
          <w:szCs w:val="24"/>
        </w:rPr>
        <w:t>构将在投标截止时间2日前以书面形式通知所有购买磋商文件的供应商。该修改的内容为磋商文件的组成部分；</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8.2 供应商在规定的时间内未对磋商文件提出澄清要求的，招标代理机构将视其为同意。</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8.3 在投标截止时间前，招标机构可视具体情况延长磋商截止时间，并将变更时间书面通知所有购买磋商文件的供应商。</w:t>
      </w:r>
    </w:p>
    <w:p>
      <w:pPr>
        <w:pStyle w:val="4"/>
        <w:pageBreakBefore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s="宋体"/>
          <w:sz w:val="28"/>
          <w:szCs w:val="28"/>
        </w:rPr>
      </w:pPr>
      <w:bookmarkStart w:id="73" w:name="_Toc349573123"/>
      <w:bookmarkStart w:id="74" w:name="_Toc462223634"/>
      <w:bookmarkStart w:id="75" w:name="_Toc267301284"/>
      <w:bookmarkStart w:id="76" w:name="_Toc20862"/>
      <w:bookmarkStart w:id="77" w:name="_Toc298240407"/>
      <w:bookmarkStart w:id="78" w:name="_Toc28111"/>
      <w:bookmarkStart w:id="79" w:name="_Toc349637922"/>
      <w:r>
        <w:rPr>
          <w:rFonts w:hint="eastAsia" w:ascii="宋体" w:hAnsi="宋体" w:eastAsia="宋体" w:cs="宋体"/>
          <w:sz w:val="28"/>
          <w:szCs w:val="28"/>
        </w:rPr>
        <w:t>（三） 磋商响应性文件的编写</w:t>
      </w:r>
      <w:bookmarkEnd w:id="73"/>
      <w:bookmarkEnd w:id="74"/>
      <w:bookmarkEnd w:id="75"/>
      <w:bookmarkEnd w:id="76"/>
      <w:bookmarkEnd w:id="77"/>
      <w:bookmarkEnd w:id="78"/>
      <w:bookmarkEnd w:id="79"/>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9、要求</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9.1 供应商应仔细阅读磋商文件的所有内容，按磋商文件的要求提供磋商响应性文件，并保证所提供的全部资料的真实性，以使其磋商响应对磋商文件作出实质性响应，否则，其磋商可能被拒绝。</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10、磋商语言</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11、磋商响应性文件的构成</w:t>
      </w:r>
    </w:p>
    <w:p>
      <w:pPr>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rPr>
      </w:pPr>
      <w:r>
        <w:rPr>
          <w:rFonts w:hint="eastAsia" w:ascii="宋体" w:hAnsi="宋体" w:eastAsia="宋体" w:cs="宋体"/>
          <w:color w:val="auto"/>
          <w:sz w:val="24"/>
        </w:rPr>
        <w:t>11.1 供应商编写的磋商响应性文件应包括下列内容：</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11.1.1 </w:t>
      </w:r>
      <w:r>
        <w:rPr>
          <w:rFonts w:hint="eastAsia" w:ascii="宋体" w:hAnsi="宋体" w:eastAsia="宋体" w:cs="宋体"/>
          <w:color w:val="000000"/>
          <w:sz w:val="24"/>
        </w:rPr>
        <w:t>磋 商 响 应 函（附件1）</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11.1.2 </w:t>
      </w:r>
      <w:r>
        <w:rPr>
          <w:rFonts w:hint="eastAsia" w:ascii="宋体" w:hAnsi="宋体" w:eastAsia="宋体" w:cs="宋体"/>
          <w:color w:val="000000"/>
          <w:sz w:val="24"/>
        </w:rPr>
        <w:t>法定代表人身份证明（附件2）</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11.1.3 </w:t>
      </w:r>
      <w:r>
        <w:rPr>
          <w:rFonts w:hint="eastAsia" w:ascii="宋体" w:hAnsi="宋体" w:eastAsia="宋体" w:cs="宋体"/>
          <w:color w:val="000000"/>
          <w:sz w:val="24"/>
        </w:rPr>
        <w:t>法定代表人授权委托书（附件3）</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11.1.4 </w:t>
      </w:r>
      <w:r>
        <w:rPr>
          <w:rFonts w:hint="eastAsia" w:ascii="宋体" w:hAnsi="宋体" w:eastAsia="宋体" w:cs="宋体"/>
          <w:color w:val="000000"/>
          <w:sz w:val="24"/>
        </w:rPr>
        <w:t>磋商报价表（开标一览表）（附件4）</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11.1.5 </w:t>
      </w:r>
      <w:r>
        <w:rPr>
          <w:rFonts w:hint="eastAsia" w:ascii="宋体" w:hAnsi="宋体" w:eastAsia="宋体" w:cs="宋体"/>
          <w:color w:val="000000"/>
          <w:sz w:val="24"/>
        </w:rPr>
        <w:t>商务偏离表（附件5）</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11.1.6 </w:t>
      </w:r>
      <w:r>
        <w:rPr>
          <w:rFonts w:hint="eastAsia" w:ascii="宋体" w:hAnsi="宋体" w:eastAsia="宋体" w:cs="宋体"/>
          <w:color w:val="000000"/>
          <w:sz w:val="24"/>
        </w:rPr>
        <w:t>资格证明文件</w:t>
      </w:r>
    </w:p>
    <w:p>
      <w:pPr>
        <w:spacing w:line="360" w:lineRule="auto"/>
        <w:ind w:firstLine="480" w:firstLineChars="200"/>
        <w:textAlignment w:val="baseline"/>
        <w:rPr>
          <w:rFonts w:hint="eastAsia" w:ascii="宋体" w:hAnsi="宋体" w:eastAsia="宋体" w:cs="宋体"/>
          <w:color w:val="000000"/>
          <w:sz w:val="24"/>
        </w:rPr>
      </w:pPr>
      <w:r>
        <w:rPr>
          <w:rFonts w:hint="eastAsia" w:ascii="宋体" w:hAnsi="宋体" w:cs="宋体"/>
          <w:color w:val="000000"/>
          <w:sz w:val="24"/>
          <w:lang w:val="en-US" w:eastAsia="zh-CN"/>
        </w:rPr>
        <w:t xml:space="preserve">11.1.7 </w:t>
      </w:r>
      <w:r>
        <w:rPr>
          <w:rFonts w:hint="eastAsia" w:ascii="宋体" w:hAnsi="宋体" w:eastAsia="宋体" w:cs="宋体"/>
          <w:color w:val="000000"/>
          <w:sz w:val="24"/>
          <w:lang w:eastAsia="zh-CN"/>
        </w:rPr>
        <w:t>类似业绩</w:t>
      </w:r>
      <w:r>
        <w:rPr>
          <w:rFonts w:hint="eastAsia" w:ascii="宋体" w:hAnsi="宋体" w:eastAsia="宋体" w:cs="宋体"/>
          <w:color w:val="000000"/>
          <w:sz w:val="24"/>
        </w:rPr>
        <w:t>（附件6）</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11.1.8 拟投入项目人员情况表（附件7）</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11.1.9 技术偏离表（附件8）</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11.1.10 供应商反商业贿赂承诺书（附件9）</w:t>
      </w:r>
    </w:p>
    <w:p>
      <w:pPr>
        <w:spacing w:line="360" w:lineRule="auto"/>
        <w:ind w:firstLine="480" w:firstLineChars="200"/>
        <w:textAlignment w:val="baseline"/>
        <w:rPr>
          <w:rFonts w:hint="default" w:ascii="宋体" w:hAnsi="宋体" w:cs="宋体"/>
          <w:color w:val="000000"/>
          <w:sz w:val="24"/>
          <w:lang w:val="en-US" w:eastAsia="zh-CN"/>
        </w:rPr>
      </w:pPr>
      <w:r>
        <w:rPr>
          <w:rFonts w:hint="eastAsia" w:ascii="宋体" w:hAnsi="宋体" w:cs="宋体"/>
          <w:color w:val="000000"/>
          <w:sz w:val="24"/>
          <w:lang w:val="en-US" w:eastAsia="zh-CN"/>
        </w:rPr>
        <w:t>11.1.11 产品相关检测报告</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11.1.12 供货方案</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11.1.13 配送方案</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11.1.14 应急保障措施</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11.1.15 服务承诺</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11.1.16 售后服务方案</w:t>
      </w:r>
    </w:p>
    <w:p>
      <w:pPr>
        <w:spacing w:line="360" w:lineRule="auto"/>
        <w:ind w:firstLine="480" w:firstLineChars="200"/>
        <w:textAlignment w:val="baseline"/>
        <w:rPr>
          <w:rFonts w:hint="eastAsia" w:ascii="宋体" w:hAnsi="宋体" w:cs="宋体"/>
          <w:color w:val="000000"/>
          <w:sz w:val="24"/>
          <w:lang w:val="en-US" w:eastAsia="zh-CN"/>
        </w:rPr>
      </w:pPr>
      <w:r>
        <w:rPr>
          <w:rFonts w:hint="eastAsia" w:ascii="宋体" w:hAnsi="宋体" w:cs="宋体"/>
          <w:color w:val="000000"/>
          <w:sz w:val="24"/>
          <w:lang w:val="en-US" w:eastAsia="zh-CN"/>
        </w:rPr>
        <w:t>11.1.17 投标人认为有必要提交的其他相关证明材料</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11.2 供应商应将磋商响应性文件</w:t>
      </w:r>
      <w:r>
        <w:rPr>
          <w:rFonts w:hint="eastAsia" w:ascii="宋体" w:hAnsi="宋体" w:cs="宋体"/>
          <w:sz w:val="24"/>
          <w:lang w:eastAsia="zh-CN"/>
        </w:rPr>
        <w:t>胶装</w:t>
      </w:r>
      <w:r>
        <w:rPr>
          <w:rFonts w:hint="eastAsia" w:ascii="宋体" w:hAnsi="宋体" w:eastAsia="宋体" w:cs="宋体"/>
          <w:sz w:val="24"/>
        </w:rPr>
        <w:t>成册，并填写文件资料清单。</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12、磋商响应文件格式</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12.1 供应商应按磋商文件的范本格式中提供的文件格式填写。</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13、磋商报价</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13.2 算术性修正。算术性修正是指对磋商响应文件的报价明细进行校核，并对其算术上和运算上的差错给予修正。修正的原则如下：</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13.2.1 当以数字表示的金额与文字表示的金额有差异时，以文字表示的金额为准；</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13.2.2 当单价与数量相乘不等于合价时，以单价计算为准。如果单价有明显的小数点位置差错，应以标出的合价为准，同时对单价予以修正；</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13.2.3 当各明细部分的价格累计不等于合价时，应以各明细的累计计数为准，修正合价。</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13.2.4 按以上原则对算术性差错修正，应取得供应商的同意，并确认修正后最终磋商报价。如果供应商拒绝确认，则其磋商响应文件将不予以评审并按废标处理，没收其投标担保。</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14、投标货币</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14.1人民币报价。</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15、供应商的证明文件：</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pacing w:val="8"/>
          <w:sz w:val="24"/>
          <w:szCs w:val="24"/>
        </w:rPr>
      </w:pPr>
      <w:r>
        <w:rPr>
          <w:rFonts w:hint="eastAsia" w:ascii="宋体" w:hAnsi="宋体" w:eastAsia="宋体" w:cs="宋体"/>
          <w:sz w:val="24"/>
        </w:rPr>
        <w:t>供应商必须提交证明其有资格进行磋商和有能力履行合同的文件（范本格式），作为磋商响应文件的一部分。</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16、参数符合磋商文件规定的技术要求</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sz w:val="24"/>
        </w:rPr>
      </w:pPr>
      <w:r>
        <w:rPr>
          <w:rFonts w:hint="eastAsia" w:ascii="宋体" w:hAnsi="宋体" w:eastAsia="宋体" w:cs="宋体"/>
          <w:sz w:val="24"/>
        </w:rPr>
        <w:t>16.1供应商提交的成果资料符合磋商文件规定的要求，作为磋商响应文件的一部分。</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17、磋商的有效期</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17.1 磋商响应文件从磋商之日起，投标有效期为60天。（如不满足将导致废标）</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17.2 在特殊情况下，招标代理机构可与供应商商量延长磋商响应文件的有效期。</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18、磋商响应性文件的书写要求。</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18.1 磋商响应性文件须打印。</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18.2 磋商响应性文件应清楚工整，修改处应由磋商供应商全权代表签章。</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 xml:space="preserve">18.3 </w:t>
      </w:r>
      <w:r>
        <w:rPr>
          <w:rFonts w:hint="eastAsia" w:ascii="宋体" w:hAnsi="宋体" w:eastAsia="宋体" w:cs="宋体"/>
          <w:b/>
          <w:sz w:val="24"/>
        </w:rPr>
        <w:t>磋商响应性文件中要求由投标人法定代表人或被授权人签字的内容必须签字、盖章的内容必须盖章，否则视为无效投标。</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19、投标保证金</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rPr>
      </w:pPr>
      <w:r>
        <w:rPr>
          <w:rFonts w:hint="eastAsia" w:ascii="宋体" w:hAnsi="宋体" w:eastAsia="宋体" w:cs="宋体"/>
          <w:sz w:val="24"/>
        </w:rPr>
        <w:t>19.1供应商按照供应商须知附表中</w:t>
      </w:r>
      <w:r>
        <w:rPr>
          <w:rFonts w:hint="eastAsia" w:ascii="宋体" w:hAnsi="宋体" w:eastAsia="宋体" w:cs="宋体"/>
          <w:color w:val="auto"/>
          <w:sz w:val="24"/>
        </w:rPr>
        <w:t>要求缴纳磋商响应保证金。</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19.2 本次招标仅接受网银或电汇作为磋商保证金，</w:t>
      </w:r>
      <w:r>
        <w:rPr>
          <w:rFonts w:hint="eastAsia" w:ascii="宋体" w:hAnsi="宋体" w:eastAsia="宋体" w:cs="宋体"/>
          <w:color w:val="auto"/>
          <w:sz w:val="24"/>
          <w:szCs w:val="24"/>
        </w:rPr>
        <w:t>磋商保证金有效期应当与磋商响应有效期一致</w:t>
      </w:r>
      <w:r>
        <w:rPr>
          <w:rFonts w:hint="eastAsia" w:ascii="宋体" w:hAnsi="宋体" w:eastAsia="宋体" w:cs="宋体"/>
          <w:color w:val="auto"/>
          <w:sz w:val="24"/>
        </w:rPr>
        <w:t>。</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rPr>
      </w:pPr>
      <w:r>
        <w:rPr>
          <w:rFonts w:hint="eastAsia" w:ascii="宋体" w:hAnsi="宋体" w:eastAsia="宋体" w:cs="宋体"/>
          <w:color w:val="auto"/>
          <w:sz w:val="24"/>
        </w:rPr>
        <w:t>19.3磋商保证金的退还时间：</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color w:val="auto"/>
          <w:sz w:val="24"/>
        </w:rPr>
      </w:pPr>
      <w:r>
        <w:rPr>
          <w:rFonts w:hint="eastAsia" w:ascii="宋体" w:hAnsi="宋体" w:eastAsia="宋体" w:cs="宋体"/>
          <w:color w:val="auto"/>
          <w:sz w:val="24"/>
        </w:rPr>
        <w:t>19.3.1中标供应商的投标保证金，将在合同签订后的5个工作日内予以退还；未中标供应商的投标保证金在中标通知书发出后5个工作日内予以退还。</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19.4未按规定提交磋商保证金的投标，将被视为磋商无效。</w:t>
      </w:r>
    </w:p>
    <w:p>
      <w:pPr>
        <w:pStyle w:val="23"/>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19.5下列任何情况发生时，磋商保证金将被没收：</w:t>
      </w:r>
    </w:p>
    <w:p>
      <w:pPr>
        <w:pStyle w:val="23"/>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color w:val="auto"/>
          <w:sz w:val="24"/>
        </w:rPr>
      </w:pPr>
      <w:r>
        <w:rPr>
          <w:rFonts w:hint="eastAsia" w:ascii="宋体" w:hAnsi="宋体" w:eastAsia="宋体" w:cs="宋体"/>
          <w:color w:val="auto"/>
          <w:sz w:val="24"/>
        </w:rPr>
        <w:t>19.5.1供应商在磋商文件规定的投标有效期内撤回其磋商；</w:t>
      </w:r>
    </w:p>
    <w:p>
      <w:pPr>
        <w:pStyle w:val="23"/>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color w:val="auto"/>
          <w:sz w:val="24"/>
        </w:rPr>
      </w:pPr>
      <w:r>
        <w:rPr>
          <w:rFonts w:hint="eastAsia" w:ascii="宋体" w:hAnsi="宋体" w:eastAsia="宋体" w:cs="宋体"/>
          <w:color w:val="auto"/>
          <w:sz w:val="24"/>
        </w:rPr>
        <w:t>19.5.2成交方在规定期限内未能：</w:t>
      </w:r>
    </w:p>
    <w:p>
      <w:pPr>
        <w:pStyle w:val="23"/>
        <w:pageBreakBefore w:val="0"/>
        <w:kinsoku/>
        <w:wordWrap/>
        <w:overflowPunct/>
        <w:topLinePunct w:val="0"/>
        <w:autoSpaceDE/>
        <w:autoSpaceDN/>
        <w:bidi w:val="0"/>
        <w:spacing w:beforeAutospacing="0" w:afterAutospacing="0"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19.5.2.1按本须知第31条规定签订合同；</w:t>
      </w:r>
    </w:p>
    <w:p>
      <w:pPr>
        <w:pStyle w:val="23"/>
        <w:pageBreakBefore w:val="0"/>
        <w:kinsoku/>
        <w:wordWrap/>
        <w:overflowPunct/>
        <w:topLinePunct w:val="0"/>
        <w:autoSpaceDE/>
        <w:autoSpaceDN/>
        <w:bidi w:val="0"/>
        <w:spacing w:beforeAutospacing="0" w:afterAutospacing="0"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19.5.2.2按须知第32条向买方提交履约保证金；</w:t>
      </w:r>
    </w:p>
    <w:p>
      <w:pPr>
        <w:pStyle w:val="23"/>
        <w:pageBreakBefore w:val="0"/>
        <w:kinsoku/>
        <w:wordWrap/>
        <w:overflowPunct/>
        <w:topLinePunct w:val="0"/>
        <w:autoSpaceDE/>
        <w:autoSpaceDN/>
        <w:bidi w:val="0"/>
        <w:spacing w:beforeAutospacing="0" w:afterAutospacing="0" w:line="360" w:lineRule="auto"/>
        <w:ind w:firstLine="720" w:firstLineChars="300"/>
        <w:rPr>
          <w:rFonts w:hint="eastAsia" w:ascii="宋体" w:hAnsi="宋体" w:eastAsia="宋体" w:cs="宋体"/>
          <w:color w:val="auto"/>
          <w:sz w:val="24"/>
        </w:rPr>
      </w:pPr>
      <w:r>
        <w:rPr>
          <w:rFonts w:hint="eastAsia" w:ascii="宋体" w:hAnsi="宋体" w:eastAsia="宋体" w:cs="宋体"/>
          <w:color w:val="auto"/>
          <w:sz w:val="24"/>
        </w:rPr>
        <w:t>19.5.2.3按本须知第33条规定向招标代理机构交纳代理服务费。</w:t>
      </w:r>
    </w:p>
    <w:p>
      <w:pPr>
        <w:pStyle w:val="4"/>
        <w:pageBreakBefore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s="宋体"/>
          <w:color w:val="auto"/>
          <w:sz w:val="28"/>
          <w:szCs w:val="28"/>
        </w:rPr>
      </w:pPr>
      <w:bookmarkStart w:id="80" w:name="_Toc13555"/>
      <w:bookmarkStart w:id="81" w:name="_Toc267301285"/>
      <w:bookmarkStart w:id="82" w:name="_Toc18623"/>
      <w:bookmarkStart w:id="83" w:name="_Toc298240408"/>
      <w:bookmarkStart w:id="84" w:name="_Toc349573124"/>
      <w:bookmarkStart w:id="85" w:name="_Toc462223635"/>
      <w:bookmarkStart w:id="86" w:name="_Toc349637923"/>
      <w:r>
        <w:rPr>
          <w:rFonts w:hint="eastAsia" w:ascii="宋体" w:hAnsi="宋体" w:eastAsia="宋体" w:cs="宋体"/>
          <w:color w:val="auto"/>
          <w:sz w:val="28"/>
          <w:szCs w:val="28"/>
        </w:rPr>
        <w:t>（四）  磋商响应文件的递交</w:t>
      </w:r>
      <w:bookmarkEnd w:id="80"/>
      <w:bookmarkEnd w:id="81"/>
      <w:bookmarkEnd w:id="82"/>
      <w:bookmarkEnd w:id="83"/>
      <w:bookmarkEnd w:id="84"/>
      <w:bookmarkEnd w:id="85"/>
      <w:bookmarkEnd w:id="86"/>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color w:val="auto"/>
          <w:sz w:val="24"/>
        </w:rPr>
      </w:pPr>
      <w:r>
        <w:rPr>
          <w:rFonts w:hint="eastAsia" w:ascii="宋体" w:hAnsi="宋体" w:eastAsia="宋体" w:cs="宋体"/>
          <w:color w:val="auto"/>
          <w:sz w:val="24"/>
        </w:rPr>
        <w:t>20、磋商响应性文件的密封与标记</w:t>
      </w:r>
    </w:p>
    <w:p>
      <w:pPr>
        <w:pageBreakBefore w:val="0"/>
        <w:kinsoku/>
        <w:wordWrap/>
        <w:overflowPunct/>
        <w:topLinePunct w:val="0"/>
        <w:autoSpaceDE/>
        <w:autoSpaceDN/>
        <w:bidi w:val="0"/>
        <w:spacing w:beforeAutospacing="0" w:afterAutospacing="0" w:line="360" w:lineRule="auto"/>
        <w:ind w:left="239" w:leftChars="114"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rPr>
        <w:t>20.1 供应商应将磋商响应性文件正、副本密封</w:t>
      </w:r>
      <w:r>
        <w:rPr>
          <w:rFonts w:hint="eastAsia" w:ascii="宋体" w:hAnsi="宋体" w:eastAsia="宋体" w:cs="宋体"/>
          <w:color w:val="auto"/>
          <w:sz w:val="24"/>
          <w:lang w:val="en-US" w:eastAsia="zh-CN"/>
        </w:rPr>
        <w:t>在一起</w:t>
      </w:r>
      <w:r>
        <w:rPr>
          <w:rFonts w:hint="eastAsia" w:ascii="宋体" w:hAnsi="宋体" w:eastAsia="宋体" w:cs="宋体"/>
          <w:color w:val="auto"/>
          <w:sz w:val="24"/>
        </w:rPr>
        <w:t>，在密封件的封面上标明：</w:t>
      </w:r>
      <w:r>
        <w:rPr>
          <w:rFonts w:hint="eastAsia" w:ascii="宋体" w:hAnsi="宋体" w:eastAsia="宋体" w:cs="宋体"/>
          <w:color w:val="auto"/>
          <w:sz w:val="24"/>
          <w:lang w:val="en-US" w:eastAsia="zh-CN"/>
        </w:rPr>
        <w:t>（“正本”或“副本”）</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招标单位： </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项目名称：    </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项目编号：</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投标单位名称：</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联系电话：</w:t>
      </w:r>
    </w:p>
    <w:p>
      <w:pPr>
        <w:pageBreakBefore w:val="0"/>
        <w:kinsoku/>
        <w:wordWrap/>
        <w:overflowPunct/>
        <w:topLinePunct w:val="0"/>
        <w:autoSpaceDE/>
        <w:autoSpaceDN/>
        <w:bidi w:val="0"/>
        <w:spacing w:beforeAutospacing="0" w:afterAutospacing="0" w:line="360" w:lineRule="auto"/>
        <w:ind w:left="120" w:leftChars="0" w:hanging="120" w:hangingChars="50"/>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注明“</w:t>
      </w:r>
      <w:r>
        <w:rPr>
          <w:rFonts w:hint="eastAsia" w:ascii="宋体" w:hAnsi="宋体" w:cs="宋体"/>
          <w:b/>
          <w:bCs/>
          <w:color w:val="auto"/>
          <w:sz w:val="24"/>
          <w:lang w:val="en-US" w:eastAsia="zh-CN"/>
        </w:rPr>
        <w:t>2021年11月2日16点00分</w:t>
      </w:r>
      <w:r>
        <w:rPr>
          <w:rFonts w:hint="eastAsia" w:ascii="宋体" w:hAnsi="宋体" w:eastAsia="宋体" w:cs="宋体"/>
          <w:b/>
          <w:bCs/>
          <w:color w:val="auto"/>
          <w:sz w:val="24"/>
          <w:lang w:val="en-US" w:eastAsia="zh-CN"/>
        </w:rPr>
        <w:t>（北京时间）前不得启封”字样</w:t>
      </w:r>
    </w:p>
    <w:p>
      <w:pPr>
        <w:pageBreakBefore w:val="0"/>
        <w:kinsoku/>
        <w:wordWrap/>
        <w:overflowPunct/>
        <w:topLinePunct w:val="0"/>
        <w:autoSpaceDE/>
        <w:autoSpaceDN/>
        <w:bidi w:val="0"/>
        <w:spacing w:beforeAutospacing="0" w:afterAutospacing="0" w:line="360" w:lineRule="auto"/>
        <w:ind w:left="239" w:leftChars="114" w:firstLine="360" w:firstLineChars="15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20.2 为方便磋商，磋商报价表单独密封，并在信封上标明“磋商报价表”字样。</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 磋商响应文件递交截止时间</w:t>
      </w:r>
    </w:p>
    <w:p>
      <w:pPr>
        <w:pageBreakBefore w:val="0"/>
        <w:kinsoku/>
        <w:wordWrap/>
        <w:overflowPunct/>
        <w:topLinePunct w:val="0"/>
        <w:autoSpaceDE/>
        <w:autoSpaceDN/>
        <w:bidi w:val="0"/>
        <w:spacing w:beforeAutospacing="0" w:afterAutospacing="0" w:line="360" w:lineRule="auto"/>
        <w:ind w:left="239" w:leftChars="114" w:firstLine="360" w:firstLineChars="150"/>
        <w:rPr>
          <w:rFonts w:hint="eastAsia" w:ascii="宋体" w:hAnsi="宋体" w:eastAsia="宋体" w:cs="宋体"/>
          <w:color w:val="auto"/>
          <w:sz w:val="24"/>
        </w:rPr>
      </w:pPr>
      <w:r>
        <w:rPr>
          <w:rFonts w:hint="eastAsia" w:ascii="宋体" w:hAnsi="宋体" w:eastAsia="宋体" w:cs="宋体"/>
          <w:color w:val="auto"/>
          <w:sz w:val="24"/>
          <w:lang w:val="en-US" w:eastAsia="zh-CN"/>
        </w:rPr>
        <w:t>21.1 磋商响应文件的递交截止时间为：</w:t>
      </w:r>
      <w:r>
        <w:rPr>
          <w:rFonts w:hint="eastAsia" w:ascii="宋体" w:hAnsi="宋体" w:cs="宋体"/>
          <w:color w:val="auto"/>
          <w:sz w:val="24"/>
          <w:lang w:val="en-US" w:eastAsia="zh-CN"/>
        </w:rPr>
        <w:t>2021年11月2日16点00分</w:t>
      </w:r>
      <w:r>
        <w:rPr>
          <w:rFonts w:hint="eastAsia" w:ascii="宋体" w:hAnsi="宋体" w:eastAsia="宋体" w:cs="宋体"/>
          <w:color w:val="auto"/>
          <w:sz w:val="24"/>
          <w:szCs w:val="24"/>
        </w:rPr>
        <w:t>（北京时间）</w:t>
      </w:r>
      <w:r>
        <w:rPr>
          <w:rFonts w:hint="eastAsia" w:ascii="宋体" w:hAnsi="宋体" w:eastAsia="宋体" w:cs="宋体"/>
          <w:color w:val="auto"/>
          <w:sz w:val="24"/>
        </w:rPr>
        <w:t>。</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auto"/>
          <w:sz w:val="24"/>
        </w:rPr>
      </w:pPr>
      <w:r>
        <w:rPr>
          <w:rFonts w:hint="eastAsia" w:ascii="宋体" w:hAnsi="宋体" w:eastAsia="宋体" w:cs="宋体"/>
          <w:color w:val="auto"/>
          <w:sz w:val="24"/>
        </w:rPr>
        <w:t>磋商响应文件以密封形式递交至：开标现场</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21.2 所有磋商响应文件都必须按招标代理机构在磋商邀请中规定的投标截止时间之前送到磋商文件规定的地点。</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21.3 出现第8.2款因磋商文件的修改推迟投标截止时间时，则按招标代理机构修改通知规定的时间递交。</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22、磋商响应文件的修改和撤销</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22.1 供应商在提交磋商响应文件后可对其磋商响应文件进行修改或撤销，但招标代理机构须在投标截止时间之前收到该修改或撤销的书面通知，该通知须有经正式授权的供应商代表签字。</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22.2 供应商不得在磋商时间起至磋商有效期期满前撤销磋商响应文件。否则招标代理机构将没收其磋商保证金。</w:t>
      </w:r>
    </w:p>
    <w:p>
      <w:pPr>
        <w:pStyle w:val="4"/>
        <w:pageBreakBefore w:val="0"/>
        <w:kinsoku/>
        <w:wordWrap/>
        <w:overflowPunct/>
        <w:topLinePunct w:val="0"/>
        <w:autoSpaceDE/>
        <w:autoSpaceDN/>
        <w:bidi w:val="0"/>
        <w:spacing w:before="0" w:beforeAutospacing="0" w:after="0" w:afterAutospacing="0" w:line="360" w:lineRule="auto"/>
        <w:ind w:left="0" w:leftChars="0"/>
        <w:jc w:val="center"/>
        <w:rPr>
          <w:rFonts w:hint="eastAsia" w:ascii="宋体" w:hAnsi="宋体" w:eastAsia="宋体" w:cs="宋体"/>
          <w:sz w:val="28"/>
          <w:szCs w:val="28"/>
        </w:rPr>
      </w:pPr>
      <w:bookmarkStart w:id="87" w:name="_Toc23240"/>
      <w:bookmarkStart w:id="88" w:name="_Toc462223636"/>
      <w:bookmarkStart w:id="89" w:name="_Toc267301286"/>
      <w:bookmarkStart w:id="90" w:name="_Toc349637924"/>
      <w:bookmarkStart w:id="91" w:name="_Toc349573125"/>
      <w:bookmarkStart w:id="92" w:name="_Toc298240409"/>
      <w:bookmarkStart w:id="93" w:name="_Toc5827"/>
      <w:r>
        <w:rPr>
          <w:rFonts w:hint="eastAsia" w:ascii="宋体" w:hAnsi="宋体" w:eastAsia="宋体" w:cs="宋体"/>
          <w:sz w:val="28"/>
          <w:szCs w:val="28"/>
        </w:rPr>
        <w:t>（五） 磋商程序</w:t>
      </w:r>
      <w:bookmarkEnd w:id="87"/>
      <w:bookmarkEnd w:id="88"/>
      <w:bookmarkEnd w:id="89"/>
      <w:bookmarkEnd w:id="90"/>
      <w:bookmarkEnd w:id="91"/>
      <w:bookmarkEnd w:id="92"/>
      <w:bookmarkEnd w:id="93"/>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23、磋商</w:t>
      </w:r>
    </w:p>
    <w:p>
      <w:pPr>
        <w:pageBreakBefore w:val="0"/>
        <w:kinsoku/>
        <w:wordWrap/>
        <w:overflowPunct/>
        <w:topLinePunct w:val="0"/>
        <w:autoSpaceDE/>
        <w:autoSpaceDN/>
        <w:bidi w:val="0"/>
        <w:spacing w:beforeAutospacing="0" w:afterAutospacing="0" w:line="360" w:lineRule="auto"/>
        <w:ind w:left="239" w:leftChars="114" w:firstLine="360" w:firstLineChars="150"/>
        <w:rPr>
          <w:rFonts w:hint="eastAsia" w:ascii="宋体" w:hAnsi="宋体" w:eastAsia="宋体" w:cs="宋体"/>
          <w:color w:val="000000"/>
          <w:sz w:val="24"/>
        </w:rPr>
      </w:pPr>
      <w:r>
        <w:rPr>
          <w:rFonts w:hint="eastAsia" w:ascii="宋体" w:hAnsi="宋体" w:eastAsia="宋体" w:cs="宋体"/>
          <w:sz w:val="24"/>
        </w:rPr>
        <w:t>23.1磋商时，有关行政监督部门或公证部门的工作人员将对供应商进行资格初审。</w:t>
      </w:r>
    </w:p>
    <w:p>
      <w:pPr>
        <w:pageBreakBefore w:val="0"/>
        <w:kinsoku/>
        <w:wordWrap/>
        <w:overflowPunct/>
        <w:topLinePunct w:val="0"/>
        <w:autoSpaceDE/>
        <w:autoSpaceDN/>
        <w:bidi w:val="0"/>
        <w:spacing w:beforeAutospacing="0" w:afterAutospacing="0" w:line="360" w:lineRule="auto"/>
        <w:ind w:left="0" w:leftChars="0" w:firstLine="482" w:firstLineChars="200"/>
        <w:rPr>
          <w:rFonts w:hint="eastAsia" w:ascii="宋体" w:hAnsi="宋体" w:eastAsia="宋体" w:cs="宋体"/>
          <w:color w:val="000000"/>
          <w:sz w:val="24"/>
        </w:rPr>
      </w:pPr>
      <w:r>
        <w:rPr>
          <w:rFonts w:hint="eastAsia" w:ascii="宋体" w:hAnsi="宋体" w:eastAsia="宋体" w:cs="宋体"/>
          <w:b/>
          <w:bCs/>
          <w:color w:val="000000"/>
          <w:sz w:val="24"/>
        </w:rPr>
        <w:t>供应商应在密封的磋商响应文件之外随身携带原件</w:t>
      </w:r>
      <w:r>
        <w:rPr>
          <w:rFonts w:hint="eastAsia" w:ascii="宋体" w:hAnsi="宋体" w:eastAsia="宋体" w:cs="宋体"/>
          <w:color w:val="000000"/>
          <w:sz w:val="24"/>
        </w:rPr>
        <w:t>：</w:t>
      </w:r>
    </w:p>
    <w:p>
      <w:pPr>
        <w:pStyle w:val="35"/>
        <w:pageBreakBefore w:val="0"/>
        <w:kinsoku/>
        <w:wordWrap/>
        <w:overflowPunct/>
        <w:topLinePunct w:val="0"/>
        <w:autoSpaceDE/>
        <w:autoSpaceDN/>
        <w:bidi w:val="0"/>
        <w:spacing w:before="0" w:beforeAutospacing="0" w:after="0" w:afterAutospacing="0" w:line="360" w:lineRule="auto"/>
        <w:ind w:left="0" w:leftChars="0" w:firstLine="480" w:firstLineChars="200"/>
        <w:rPr>
          <w:rFonts w:hint="eastAsia" w:ascii="宋体" w:hAnsi="宋体" w:eastAsia="宋体" w:cs="宋体"/>
          <w:color w:val="000000"/>
          <w:lang w:val="en-US" w:eastAsia="zh-CN"/>
        </w:rPr>
      </w:pPr>
      <w:r>
        <w:rPr>
          <w:rFonts w:hint="eastAsia" w:ascii="宋体" w:hAnsi="宋体" w:eastAsia="宋体" w:cs="宋体"/>
          <w:color w:val="000000"/>
        </w:rPr>
        <w:t>①</w:t>
      </w:r>
      <w:r>
        <w:rPr>
          <w:rFonts w:hint="eastAsia" w:ascii="宋体" w:hAnsi="宋体" w:eastAsia="宋体" w:cs="宋体"/>
          <w:color w:val="000000"/>
          <w:lang w:val="en-US" w:eastAsia="zh-CN"/>
        </w:rPr>
        <w:t xml:space="preserve"> 营业执照副本；</w:t>
      </w:r>
    </w:p>
    <w:p>
      <w:pPr>
        <w:pStyle w:val="35"/>
        <w:pageBreakBefore w:val="0"/>
        <w:kinsoku/>
        <w:wordWrap/>
        <w:overflowPunct/>
        <w:topLinePunct w:val="0"/>
        <w:autoSpaceDE/>
        <w:autoSpaceDN/>
        <w:bidi w:val="0"/>
        <w:spacing w:before="0" w:beforeAutospacing="0" w:after="0" w:afterAutospacing="0" w:line="360" w:lineRule="auto"/>
        <w:ind w:left="0" w:leftChars="0" w:firstLine="480" w:firstLineChars="200"/>
        <w:rPr>
          <w:rFonts w:hint="eastAsia" w:ascii="宋体" w:hAnsi="宋体" w:eastAsia="宋体" w:cs="宋体"/>
          <w:color w:val="000000"/>
          <w:lang w:val="en-US" w:eastAsia="zh-CN"/>
        </w:rPr>
      </w:pPr>
      <w:r>
        <w:rPr>
          <w:rFonts w:hint="eastAsia" w:ascii="宋体" w:hAnsi="宋体" w:eastAsia="宋体" w:cs="宋体"/>
          <w:color w:val="000000"/>
        </w:rPr>
        <w:t>②</w:t>
      </w:r>
      <w:r>
        <w:rPr>
          <w:rFonts w:hint="eastAsia" w:ascii="宋体" w:hAnsi="宋体" w:eastAsia="宋体" w:cs="宋体"/>
          <w:color w:val="000000"/>
          <w:lang w:val="en-US" w:eastAsia="zh-CN"/>
        </w:rPr>
        <w:t xml:space="preserve"> 供应商提供法人授权委托书及被授权人身份证明原件；</w:t>
      </w:r>
    </w:p>
    <w:p>
      <w:pPr>
        <w:pStyle w:val="35"/>
        <w:pageBreakBefore w:val="0"/>
        <w:kinsoku/>
        <w:wordWrap/>
        <w:overflowPunct/>
        <w:topLinePunct w:val="0"/>
        <w:autoSpaceDE/>
        <w:autoSpaceDN/>
        <w:bidi w:val="0"/>
        <w:spacing w:before="0" w:beforeAutospacing="0" w:after="0" w:afterAutospacing="0" w:line="360" w:lineRule="auto"/>
        <w:ind w:left="0" w:leftChars="0" w:firstLine="480" w:firstLineChars="200"/>
        <w:rPr>
          <w:rFonts w:hint="eastAsia" w:ascii="宋体" w:hAnsi="宋体" w:eastAsia="宋体" w:cs="宋体"/>
          <w:color w:val="000000"/>
          <w:lang w:val="en-US" w:eastAsia="zh-CN"/>
        </w:rPr>
      </w:pPr>
      <w:r>
        <w:rPr>
          <w:rFonts w:hint="eastAsia" w:ascii="宋体" w:hAnsi="宋体" w:eastAsia="宋体" w:cs="宋体"/>
          <w:color w:val="000000"/>
        </w:rPr>
        <w:t>③</w:t>
      </w:r>
      <w:r>
        <w:rPr>
          <w:rFonts w:hint="eastAsia" w:ascii="宋体" w:hAnsi="宋体" w:eastAsia="宋体" w:cs="宋体"/>
          <w:color w:val="000000"/>
          <w:lang w:val="en-US" w:eastAsia="zh-CN"/>
        </w:rPr>
        <w:t xml:space="preserve"> 投标保证金缴纳凭证或收据。</w:t>
      </w:r>
    </w:p>
    <w:p>
      <w:pPr>
        <w:pageBreakBefore w:val="0"/>
        <w:kinsoku/>
        <w:wordWrap/>
        <w:overflowPunct/>
        <w:topLinePunct w:val="0"/>
        <w:autoSpaceDE/>
        <w:autoSpaceDN/>
        <w:bidi w:val="0"/>
        <w:spacing w:beforeAutospacing="0" w:afterAutospacing="0" w:line="360" w:lineRule="auto"/>
        <w:ind w:left="0" w:leftChars="0" w:firstLine="482" w:firstLineChars="200"/>
        <w:rPr>
          <w:rFonts w:hint="eastAsia" w:ascii="宋体" w:hAnsi="宋体" w:eastAsia="宋体" w:cs="宋体"/>
          <w:color w:val="000000"/>
          <w:kern w:val="0"/>
          <w:sz w:val="24"/>
          <w:szCs w:val="24"/>
        </w:rPr>
      </w:pPr>
      <w:r>
        <w:rPr>
          <w:rFonts w:hint="eastAsia" w:ascii="宋体" w:hAnsi="宋体" w:eastAsia="宋体" w:cs="宋体"/>
          <w:b/>
          <w:color w:val="000000"/>
          <w:sz w:val="24"/>
          <w:szCs w:val="24"/>
        </w:rPr>
        <w:t>注：以上</w:t>
      </w:r>
      <w:r>
        <w:rPr>
          <w:rFonts w:hint="eastAsia" w:ascii="宋体" w:hAnsi="宋体" w:eastAsia="宋体" w:cs="宋体"/>
          <w:b/>
          <w:color w:val="000000"/>
          <w:sz w:val="24"/>
          <w:szCs w:val="24"/>
          <w:lang w:eastAsia="zh-CN"/>
        </w:rPr>
        <w:t>现场查验资料</w:t>
      </w:r>
      <w:r>
        <w:rPr>
          <w:rFonts w:hint="eastAsia" w:ascii="宋体" w:hAnsi="宋体" w:eastAsia="宋体" w:cs="宋体"/>
          <w:b/>
          <w:color w:val="000000"/>
          <w:sz w:val="24"/>
          <w:szCs w:val="24"/>
        </w:rPr>
        <w:t>均为原件单独提交审核、复印件</w:t>
      </w:r>
      <w:r>
        <w:rPr>
          <w:rFonts w:hint="eastAsia" w:ascii="宋体" w:hAnsi="宋体" w:cs="宋体"/>
          <w:b/>
          <w:color w:val="000000"/>
          <w:sz w:val="24"/>
          <w:szCs w:val="24"/>
          <w:lang w:eastAsia="zh-CN"/>
        </w:rPr>
        <w:t>胶装</w:t>
      </w:r>
      <w:r>
        <w:rPr>
          <w:rFonts w:hint="eastAsia" w:ascii="宋体" w:hAnsi="宋体" w:eastAsia="宋体" w:cs="宋体"/>
          <w:b/>
          <w:color w:val="000000"/>
          <w:sz w:val="24"/>
          <w:szCs w:val="24"/>
        </w:rPr>
        <w:t>在投标文件中，不合格或缺少一项将被认为资格审查不合格，将取消其竞标资格。</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以备磋商前做初步的审查，确认其是否已具备提交磋商响应文件的资格。但该初步审查并不妨碍磋商小组对供应商进行的进一步资格详细审查。</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23.2 本次磋商按磋商文件中磋商邀请规定的时间地点进行磋商，</w:t>
      </w:r>
      <w:r>
        <w:rPr>
          <w:rFonts w:hint="eastAsia" w:ascii="宋体" w:hAnsi="宋体" w:eastAsia="宋体" w:cs="宋体"/>
          <w:sz w:val="24"/>
        </w:rPr>
        <w:t>将邀请供应商的法定代表人或其授权委托人准时参加磋商会。</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23.3</w:t>
      </w:r>
      <w:r>
        <w:rPr>
          <w:rFonts w:hint="eastAsia" w:ascii="宋体" w:hAnsi="宋体" w:eastAsia="宋体" w:cs="宋体"/>
          <w:sz w:val="24"/>
          <w:szCs w:val="24"/>
        </w:rPr>
        <w:t>宣布磋商响应文件开启顺序</w:t>
      </w:r>
      <w:r>
        <w:rPr>
          <w:rFonts w:hint="eastAsia" w:ascii="宋体" w:hAnsi="宋体" w:eastAsia="宋体" w:cs="宋体"/>
          <w:sz w:val="30"/>
          <w:szCs w:val="30"/>
        </w:rPr>
        <w:t>。</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23.4 磋商时检查磋商响应文件密封情况。</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23.5 磋商原则在磋商会议上宣布。</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23.6 对采购方的纪律要求</w:t>
      </w:r>
    </w:p>
    <w:p>
      <w:pPr>
        <w:pageBreakBefore w:val="0"/>
        <w:kinsoku/>
        <w:wordWrap/>
        <w:overflowPunct/>
        <w:topLinePunct w:val="0"/>
        <w:autoSpaceDE/>
        <w:autoSpaceDN/>
        <w:bidi w:val="0"/>
        <w:spacing w:beforeAutospacing="0" w:afterAutospacing="0" w:line="360" w:lineRule="auto"/>
        <w:ind w:left="0" w:leftChars="0" w:firstLine="360" w:firstLineChars="150"/>
        <w:rPr>
          <w:rFonts w:hint="eastAsia" w:ascii="宋体" w:hAnsi="宋体" w:eastAsia="宋体" w:cs="宋体"/>
          <w:sz w:val="24"/>
        </w:rPr>
      </w:pPr>
      <w:r>
        <w:rPr>
          <w:rFonts w:hint="eastAsia" w:ascii="宋体" w:hAnsi="宋体" w:eastAsia="宋体" w:cs="宋体"/>
          <w:sz w:val="24"/>
        </w:rPr>
        <w:t xml:space="preserve"> 采购方不得泄露磋商活动中应当保密的情况和资料，不得与供应商串通损害国家利益、社会公共利益或者他人合法权益。</w:t>
      </w:r>
    </w:p>
    <w:p>
      <w:pPr>
        <w:pageBreakBefore w:val="0"/>
        <w:kinsoku/>
        <w:wordWrap/>
        <w:overflowPunct/>
        <w:topLinePunct w:val="0"/>
        <w:autoSpaceDE/>
        <w:autoSpaceDN/>
        <w:bidi w:val="0"/>
        <w:spacing w:beforeAutospacing="0" w:afterAutospacing="0" w:line="360" w:lineRule="auto"/>
        <w:ind w:firstLine="480" w:firstLineChars="200"/>
        <w:rPr>
          <w:rFonts w:hint="eastAsia" w:ascii="宋体" w:hAnsi="宋体" w:eastAsia="宋体" w:cs="宋体"/>
          <w:sz w:val="24"/>
        </w:rPr>
      </w:pPr>
      <w:r>
        <w:rPr>
          <w:rFonts w:hint="eastAsia" w:ascii="宋体" w:hAnsi="宋体" w:eastAsia="宋体" w:cs="宋体"/>
          <w:sz w:val="24"/>
        </w:rPr>
        <w:t>23.7对供应商的纪律要求</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23.8 对与磋商活动有关的工作人员的纪律要求</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23.9对磋商小组成员要求磋商纪律</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23.9.1磋商小组应当依照有关法律法规的规定，按照磋商文件确定的磋商标准和办法客观、公正的对磋商响应文件提出评审意见。磋商文件设有规定的磋商标准和方法不得作为磋商依据。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23.9.2磋商小组成员不得私下接触供应商，不得收受供应商给予的财务或者其他好处，不得向采购方征询确定成交方意向。</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23.9.3不得接受任何单位或个人明示或暗示提出的倾向或排斥特定供应商的要求。</w:t>
      </w:r>
    </w:p>
    <w:p>
      <w:pPr>
        <w:pageBreakBefore w:val="0"/>
        <w:kinsoku/>
        <w:wordWrap/>
        <w:overflowPunct/>
        <w:topLinePunct w:val="0"/>
        <w:autoSpaceDE/>
        <w:autoSpaceDN/>
        <w:bidi w:val="0"/>
        <w:spacing w:beforeAutospacing="0" w:afterAutospacing="0" w:line="360" w:lineRule="auto"/>
        <w:ind w:left="0" w:leftChars="0" w:firstLine="720" w:firstLineChars="300"/>
        <w:rPr>
          <w:rFonts w:hint="eastAsia" w:ascii="宋体" w:hAnsi="宋体" w:eastAsia="宋体" w:cs="宋体"/>
          <w:sz w:val="24"/>
        </w:rPr>
      </w:pPr>
      <w:r>
        <w:rPr>
          <w:rFonts w:hint="eastAsia" w:ascii="宋体" w:hAnsi="宋体" w:eastAsia="宋体" w:cs="宋体"/>
          <w:sz w:val="24"/>
        </w:rPr>
        <w:t>23.9.4不得有其他不客观，不公正履行职务的行为。</w:t>
      </w:r>
    </w:p>
    <w:p>
      <w:pPr>
        <w:pageBreakBefore w:val="0"/>
        <w:kinsoku/>
        <w:wordWrap/>
        <w:overflowPunct/>
        <w:topLinePunct w:val="0"/>
        <w:autoSpaceDE/>
        <w:autoSpaceDN/>
        <w:bidi w:val="0"/>
        <w:spacing w:beforeAutospacing="0" w:afterAutospacing="0" w:line="360" w:lineRule="auto"/>
        <w:ind w:left="0" w:leftChars="0"/>
        <w:rPr>
          <w:rFonts w:hint="eastAsia" w:ascii="宋体" w:hAnsi="宋体" w:eastAsia="宋体" w:cs="宋体"/>
          <w:sz w:val="24"/>
        </w:rPr>
      </w:pPr>
      <w:r>
        <w:rPr>
          <w:rFonts w:hint="eastAsia" w:ascii="宋体" w:hAnsi="宋体" w:eastAsia="宋体" w:cs="宋体"/>
          <w:sz w:val="24"/>
        </w:rPr>
        <w:t>24、磋商过程</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24.1 磋商的依据为磋商文件和磋商响应文件。</w:t>
      </w:r>
    </w:p>
    <w:p>
      <w:pPr>
        <w:pageBreakBefore w:val="0"/>
        <w:kinsoku/>
        <w:wordWrap/>
        <w:overflowPunct/>
        <w:topLinePunct w:val="0"/>
        <w:autoSpaceDE/>
        <w:autoSpaceDN/>
        <w:bidi w:val="0"/>
        <w:spacing w:beforeAutospacing="0" w:afterAutospacing="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24.2 磋商后磋商小组审查磋商响应文件是否完整，是否有计算错误，要求的保证金是否提供，文件是否恰当地签署。</w:t>
      </w:r>
    </w:p>
    <w:tbl>
      <w:tblPr>
        <w:tblStyle w:val="39"/>
        <w:tblW w:w="8523" w:type="dxa"/>
        <w:jc w:val="center"/>
        <w:tblLayout w:type="fixed"/>
        <w:tblCellMar>
          <w:top w:w="0" w:type="dxa"/>
          <w:left w:w="108" w:type="dxa"/>
          <w:bottom w:w="0" w:type="dxa"/>
          <w:right w:w="108" w:type="dxa"/>
        </w:tblCellMar>
      </w:tblPr>
      <w:tblGrid>
        <w:gridCol w:w="535"/>
        <w:gridCol w:w="4751"/>
        <w:gridCol w:w="564"/>
        <w:gridCol w:w="564"/>
        <w:gridCol w:w="564"/>
        <w:gridCol w:w="565"/>
        <w:gridCol w:w="563"/>
        <w:gridCol w:w="417"/>
      </w:tblGrid>
      <w:tr>
        <w:tblPrEx>
          <w:tblCellMar>
            <w:top w:w="0" w:type="dxa"/>
            <w:left w:w="108" w:type="dxa"/>
            <w:bottom w:w="0" w:type="dxa"/>
            <w:right w:w="108" w:type="dxa"/>
          </w:tblCellMar>
        </w:tblPrEx>
        <w:trPr>
          <w:trHeight w:val="468" w:hRule="atLeast"/>
          <w:jc w:val="center"/>
        </w:trPr>
        <w:tc>
          <w:tcPr>
            <w:tcW w:w="8523" w:type="dxa"/>
            <w:gridSpan w:val="8"/>
            <w:tcBorders>
              <w:top w:val="nil"/>
              <w:left w:val="nil"/>
              <w:bottom w:val="single" w:color="auto" w:sz="4" w:space="0"/>
              <w:right w:val="nil"/>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8"/>
                <w:szCs w:val="28"/>
              </w:rPr>
              <w:t>初步评审</w:t>
            </w:r>
          </w:p>
        </w:tc>
      </w:tr>
      <w:tr>
        <w:tblPrEx>
          <w:tblCellMar>
            <w:top w:w="0" w:type="dxa"/>
            <w:left w:w="108" w:type="dxa"/>
            <w:bottom w:w="0" w:type="dxa"/>
            <w:right w:w="108" w:type="dxa"/>
          </w:tblCellMar>
        </w:tblPrEx>
        <w:trPr>
          <w:trHeight w:val="555" w:hRule="atLeast"/>
          <w:jc w:val="center"/>
        </w:trPr>
        <w:tc>
          <w:tcPr>
            <w:tcW w:w="535" w:type="dxa"/>
            <w:vMerge w:val="restart"/>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47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评  比  内  容</w:t>
            </w:r>
          </w:p>
        </w:tc>
        <w:tc>
          <w:tcPr>
            <w:tcW w:w="1128" w:type="dxa"/>
            <w:gridSpan w:val="2"/>
            <w:tcBorders>
              <w:top w:val="single" w:color="auto" w:sz="4" w:space="0"/>
              <w:left w:val="nil"/>
              <w:bottom w:val="nil"/>
              <w:right w:val="single" w:color="000000" w:sz="4" w:space="0"/>
            </w:tcBorders>
            <w:vAlign w:val="center"/>
          </w:tcPr>
          <w:p>
            <w:pPr>
              <w:widowControl/>
              <w:spacing w:line="360" w:lineRule="auto"/>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投标人A</w:t>
            </w:r>
          </w:p>
        </w:tc>
        <w:tc>
          <w:tcPr>
            <w:tcW w:w="1129" w:type="dxa"/>
            <w:gridSpan w:val="2"/>
            <w:tcBorders>
              <w:top w:val="single" w:color="auto" w:sz="4" w:space="0"/>
              <w:left w:val="nil"/>
              <w:bottom w:val="nil"/>
              <w:right w:val="single" w:color="000000" w:sz="4" w:space="0"/>
            </w:tcBorders>
            <w:vAlign w:val="center"/>
          </w:tcPr>
          <w:p>
            <w:pPr>
              <w:widowControl/>
              <w:spacing w:line="360" w:lineRule="auto"/>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投标人B</w:t>
            </w:r>
          </w:p>
        </w:tc>
        <w:tc>
          <w:tcPr>
            <w:tcW w:w="980" w:type="dxa"/>
            <w:gridSpan w:val="2"/>
            <w:tcBorders>
              <w:top w:val="single" w:color="auto" w:sz="4" w:space="0"/>
              <w:left w:val="nil"/>
              <w:bottom w:val="nil"/>
              <w:right w:val="single" w:color="000000" w:sz="4" w:space="0"/>
            </w:tcBorders>
            <w:vAlign w:val="center"/>
          </w:tcPr>
          <w:p>
            <w:pPr>
              <w:widowControl/>
              <w:spacing w:line="360" w:lineRule="auto"/>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w:t>
            </w:r>
          </w:p>
        </w:tc>
      </w:tr>
      <w:tr>
        <w:tblPrEx>
          <w:tblCellMar>
            <w:top w:w="0" w:type="dxa"/>
            <w:left w:w="108" w:type="dxa"/>
            <w:bottom w:w="0" w:type="dxa"/>
            <w:right w:w="108" w:type="dxa"/>
          </w:tblCellMar>
        </w:tblPrEx>
        <w:trPr>
          <w:trHeight w:val="435" w:hRule="atLeast"/>
          <w:jc w:val="center"/>
        </w:trPr>
        <w:tc>
          <w:tcPr>
            <w:tcW w:w="535" w:type="dxa"/>
            <w:vMerge w:val="continue"/>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宋体" w:hAnsi="宋体" w:eastAsia="宋体" w:cs="宋体"/>
                <w:b/>
                <w:bCs/>
                <w:kern w:val="0"/>
                <w:sz w:val="24"/>
              </w:rPr>
            </w:pPr>
          </w:p>
        </w:tc>
        <w:tc>
          <w:tcPr>
            <w:tcW w:w="47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b/>
                <w:bCs/>
                <w:color w:val="000000"/>
                <w:kern w:val="0"/>
                <w:sz w:val="24"/>
              </w:rPr>
            </w:pPr>
          </w:p>
        </w:tc>
        <w:tc>
          <w:tcPr>
            <w:tcW w:w="5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是</w:t>
            </w:r>
          </w:p>
        </w:tc>
        <w:tc>
          <w:tcPr>
            <w:tcW w:w="5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否</w:t>
            </w:r>
          </w:p>
        </w:tc>
        <w:tc>
          <w:tcPr>
            <w:tcW w:w="5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是</w:t>
            </w:r>
          </w:p>
        </w:tc>
        <w:tc>
          <w:tcPr>
            <w:tcW w:w="56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否</w:t>
            </w:r>
          </w:p>
        </w:tc>
        <w:tc>
          <w:tcPr>
            <w:tcW w:w="56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是</w:t>
            </w:r>
          </w:p>
        </w:tc>
        <w:tc>
          <w:tcPr>
            <w:tcW w:w="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0"/>
              </w:rPr>
            </w:pPr>
            <w:r>
              <w:rPr>
                <w:rFonts w:hint="eastAsia" w:ascii="宋体" w:hAnsi="宋体" w:eastAsia="宋体" w:cs="宋体"/>
                <w:b/>
                <w:bCs/>
                <w:color w:val="000000"/>
                <w:kern w:val="0"/>
                <w:sz w:val="20"/>
              </w:rPr>
              <w:t>否</w:t>
            </w:r>
          </w:p>
        </w:tc>
      </w:tr>
      <w:tr>
        <w:tblPrEx>
          <w:tblCellMar>
            <w:top w:w="0" w:type="dxa"/>
            <w:left w:w="108" w:type="dxa"/>
            <w:bottom w:w="0" w:type="dxa"/>
            <w:right w:w="108" w:type="dxa"/>
          </w:tblCellMar>
        </w:tblPrEx>
        <w:trPr>
          <w:trHeight w:val="58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1</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投标书是否密封；</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43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2</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投标书是否按规定的要求编制；</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49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3</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法定代表人或授权委托人是否签字和是否加盖单位公章；</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450"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4</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投标书送达时间是否没有超过投标的截止时间；</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43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5</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投标人是否没有递交两份或两份以上内容不同的投标书；</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46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6</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投标人的法定代表人或授权委托人是否参加开标会议。</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630"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7</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投标人的投标资格是否满足国家有关规定和招标文件的要求；</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8</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是否按招标文件的要求提供投标保证金；</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r>
              <w:rPr>
                <w:rFonts w:hint="eastAsia" w:ascii="宋体" w:hAnsi="宋体" w:eastAsia="宋体" w:cs="宋体"/>
                <w:b/>
                <w:bCs/>
                <w:color w:val="000000"/>
                <w:kern w:val="0"/>
                <w:sz w:val="16"/>
                <w:szCs w:val="16"/>
              </w:rPr>
              <w:t>　</w:t>
            </w: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r>
              <w:rPr>
                <w:rFonts w:hint="eastAsia" w:ascii="宋体" w:hAnsi="宋体" w:eastAsia="宋体" w:cs="宋体"/>
                <w:b/>
                <w:bCs/>
                <w:kern w:val="0"/>
                <w:sz w:val="16"/>
                <w:szCs w:val="16"/>
              </w:rPr>
              <w:t>　</w:t>
            </w:r>
          </w:p>
        </w:tc>
      </w:tr>
      <w:tr>
        <w:tblPrEx>
          <w:tblCellMar>
            <w:top w:w="0" w:type="dxa"/>
            <w:left w:w="108" w:type="dxa"/>
            <w:bottom w:w="0" w:type="dxa"/>
            <w:right w:w="108" w:type="dxa"/>
          </w:tblCellMar>
        </w:tblPrEx>
        <w:trPr>
          <w:trHeight w:val="675" w:hRule="atLeast"/>
          <w:jc w:val="center"/>
        </w:trPr>
        <w:tc>
          <w:tcPr>
            <w:tcW w:w="5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9</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投标文件没有附有招标人不能接受的条款；</w:t>
            </w:r>
          </w:p>
        </w:tc>
        <w:tc>
          <w:tcPr>
            <w:tcW w:w="5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p>
        </w:tc>
        <w:tc>
          <w:tcPr>
            <w:tcW w:w="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p>
        </w:tc>
      </w:tr>
      <w:tr>
        <w:tblPrEx>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10</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没有与招标文件有重大偏离的投标文件</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p>
        </w:tc>
      </w:tr>
      <w:tr>
        <w:tblPrEx>
          <w:tblCellMar>
            <w:top w:w="0" w:type="dxa"/>
            <w:left w:w="108" w:type="dxa"/>
            <w:bottom w:w="0" w:type="dxa"/>
            <w:right w:w="108" w:type="dxa"/>
          </w:tblCellMar>
        </w:tblPrEx>
        <w:trPr>
          <w:trHeight w:val="675" w:hRule="atLeast"/>
          <w:jc w:val="center"/>
        </w:trPr>
        <w:tc>
          <w:tcPr>
            <w:tcW w:w="53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24"/>
              </w:rPr>
            </w:pPr>
            <w:r>
              <w:rPr>
                <w:rFonts w:hint="eastAsia" w:ascii="宋体" w:hAnsi="宋体" w:eastAsia="宋体" w:cs="宋体"/>
                <w:b/>
                <w:bCs/>
                <w:kern w:val="0"/>
                <w:sz w:val="24"/>
              </w:rPr>
              <w:t>11</w:t>
            </w:r>
          </w:p>
        </w:tc>
        <w:tc>
          <w:tcPr>
            <w:tcW w:w="4751"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s="宋体"/>
                <w:sz w:val="24"/>
                <w:szCs w:val="22"/>
              </w:rPr>
            </w:pPr>
            <w:r>
              <w:rPr>
                <w:rFonts w:hint="eastAsia" w:ascii="宋体" w:hAnsi="宋体" w:eastAsia="宋体" w:cs="宋体"/>
                <w:sz w:val="24"/>
                <w:szCs w:val="22"/>
              </w:rPr>
              <w:t>是否满足招标文件规定的其他实质性要求；</w:t>
            </w: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5"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16"/>
                <w:szCs w:val="16"/>
              </w:rPr>
            </w:pPr>
          </w:p>
        </w:tc>
        <w:tc>
          <w:tcPr>
            <w:tcW w:w="56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p>
        </w:tc>
        <w:tc>
          <w:tcPr>
            <w:tcW w:w="417"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kern w:val="0"/>
                <w:sz w:val="16"/>
                <w:szCs w:val="16"/>
              </w:rPr>
            </w:pPr>
          </w:p>
        </w:tc>
      </w:tr>
      <w:tr>
        <w:tblPrEx>
          <w:tblCellMar>
            <w:top w:w="0" w:type="dxa"/>
            <w:left w:w="108" w:type="dxa"/>
            <w:bottom w:w="0" w:type="dxa"/>
            <w:right w:w="108" w:type="dxa"/>
          </w:tblCellMar>
        </w:tblPrEx>
        <w:trPr>
          <w:trHeight w:val="277" w:hRule="atLeast"/>
          <w:jc w:val="center"/>
        </w:trPr>
        <w:tc>
          <w:tcPr>
            <w:tcW w:w="5286"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是否符合通过</w:t>
            </w:r>
          </w:p>
        </w:tc>
        <w:tc>
          <w:tcPr>
            <w:tcW w:w="1128"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　</w:t>
            </w:r>
          </w:p>
        </w:tc>
        <w:tc>
          <w:tcPr>
            <w:tcW w:w="1129"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　</w:t>
            </w:r>
          </w:p>
        </w:tc>
        <w:tc>
          <w:tcPr>
            <w:tcW w:w="98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375" w:hRule="atLeast"/>
          <w:jc w:val="center"/>
        </w:trPr>
        <w:tc>
          <w:tcPr>
            <w:tcW w:w="8523" w:type="dxa"/>
            <w:gridSpan w:val="8"/>
            <w:tcBorders>
              <w:top w:val="single" w:color="auto" w:sz="4" w:space="0"/>
              <w:left w:val="nil"/>
              <w:bottom w:val="nil"/>
              <w:right w:val="nil"/>
            </w:tcBorders>
            <w:vAlign w:val="center"/>
          </w:tcPr>
          <w:p>
            <w:pPr>
              <w:widowControl/>
              <w:spacing w:line="360" w:lineRule="auto"/>
              <w:jc w:val="left"/>
              <w:rPr>
                <w:rFonts w:hint="eastAsia" w:ascii="宋体" w:hAnsi="宋体" w:eastAsia="宋体" w:cs="宋体"/>
                <w:color w:val="000000"/>
                <w:kern w:val="0"/>
                <w:sz w:val="24"/>
              </w:rPr>
            </w:pPr>
            <w:r>
              <w:rPr>
                <w:rFonts w:hint="eastAsia" w:ascii="宋体" w:hAnsi="宋体" w:eastAsia="宋体" w:cs="宋体"/>
                <w:color w:val="000000"/>
                <w:kern w:val="0"/>
                <w:sz w:val="24"/>
              </w:rPr>
              <w:t>备注：1、上述各项中用“√”表示符合或不符合；</w:t>
            </w:r>
          </w:p>
        </w:tc>
      </w:tr>
      <w:tr>
        <w:tblPrEx>
          <w:tblCellMar>
            <w:top w:w="0" w:type="dxa"/>
            <w:left w:w="108" w:type="dxa"/>
            <w:bottom w:w="0" w:type="dxa"/>
            <w:right w:w="108" w:type="dxa"/>
          </w:tblCellMar>
        </w:tblPrEx>
        <w:trPr>
          <w:trHeight w:val="465" w:hRule="atLeast"/>
          <w:jc w:val="center"/>
        </w:trPr>
        <w:tc>
          <w:tcPr>
            <w:tcW w:w="5286" w:type="dxa"/>
            <w:gridSpan w:val="2"/>
            <w:tcBorders>
              <w:top w:val="nil"/>
              <w:left w:val="nil"/>
              <w:bottom w:val="nil"/>
              <w:right w:val="nil"/>
            </w:tcBorders>
            <w:vAlign w:val="center"/>
          </w:tcPr>
          <w:p>
            <w:pPr>
              <w:widowControl/>
              <w:spacing w:line="360" w:lineRule="auto"/>
              <w:jc w:val="left"/>
              <w:rPr>
                <w:rFonts w:hint="eastAsia" w:ascii="宋体" w:hAnsi="宋体" w:eastAsia="宋体" w:cs="宋体"/>
                <w:kern w:val="0"/>
                <w:sz w:val="24"/>
              </w:rPr>
            </w:pPr>
            <w:r>
              <w:rPr>
                <w:rFonts w:hint="eastAsia" w:ascii="宋体" w:hAnsi="宋体" w:eastAsia="宋体" w:cs="宋体"/>
                <w:kern w:val="0"/>
                <w:sz w:val="24"/>
              </w:rPr>
              <w:t>评标小组专家签名：</w:t>
            </w:r>
          </w:p>
        </w:tc>
        <w:tc>
          <w:tcPr>
            <w:tcW w:w="564" w:type="dxa"/>
            <w:tcBorders>
              <w:top w:val="nil"/>
              <w:left w:val="nil"/>
              <w:bottom w:val="nil"/>
              <w:right w:val="nil"/>
            </w:tcBorders>
            <w:vAlign w:val="center"/>
          </w:tcPr>
          <w:p>
            <w:pPr>
              <w:widowControl/>
              <w:spacing w:line="360" w:lineRule="auto"/>
              <w:jc w:val="left"/>
              <w:rPr>
                <w:rFonts w:hint="eastAsia" w:ascii="宋体" w:hAnsi="宋体" w:eastAsia="宋体" w:cs="宋体"/>
                <w:kern w:val="0"/>
                <w:sz w:val="24"/>
              </w:rPr>
            </w:pPr>
          </w:p>
        </w:tc>
        <w:tc>
          <w:tcPr>
            <w:tcW w:w="564" w:type="dxa"/>
            <w:tcBorders>
              <w:top w:val="nil"/>
              <w:left w:val="nil"/>
              <w:bottom w:val="nil"/>
              <w:right w:val="nil"/>
            </w:tcBorders>
            <w:vAlign w:val="center"/>
          </w:tcPr>
          <w:p>
            <w:pPr>
              <w:widowControl/>
              <w:spacing w:line="360" w:lineRule="auto"/>
              <w:jc w:val="left"/>
              <w:rPr>
                <w:rFonts w:hint="eastAsia" w:ascii="宋体" w:hAnsi="宋体" w:eastAsia="宋体" w:cs="宋体"/>
                <w:kern w:val="0"/>
                <w:sz w:val="24"/>
              </w:rPr>
            </w:pPr>
          </w:p>
        </w:tc>
        <w:tc>
          <w:tcPr>
            <w:tcW w:w="564" w:type="dxa"/>
            <w:tcBorders>
              <w:top w:val="nil"/>
              <w:left w:val="nil"/>
              <w:bottom w:val="nil"/>
              <w:right w:val="nil"/>
            </w:tcBorders>
            <w:vAlign w:val="center"/>
          </w:tcPr>
          <w:p>
            <w:pPr>
              <w:widowControl/>
              <w:spacing w:line="360" w:lineRule="auto"/>
              <w:jc w:val="left"/>
              <w:rPr>
                <w:rFonts w:hint="eastAsia" w:ascii="宋体" w:hAnsi="宋体" w:eastAsia="宋体" w:cs="宋体"/>
                <w:kern w:val="0"/>
                <w:sz w:val="24"/>
              </w:rPr>
            </w:pPr>
          </w:p>
        </w:tc>
        <w:tc>
          <w:tcPr>
            <w:tcW w:w="565" w:type="dxa"/>
            <w:tcBorders>
              <w:top w:val="nil"/>
              <w:left w:val="nil"/>
              <w:bottom w:val="nil"/>
              <w:right w:val="nil"/>
            </w:tcBorders>
            <w:vAlign w:val="center"/>
          </w:tcPr>
          <w:p>
            <w:pPr>
              <w:widowControl/>
              <w:spacing w:line="360" w:lineRule="auto"/>
              <w:jc w:val="left"/>
              <w:rPr>
                <w:rFonts w:hint="eastAsia" w:ascii="宋体" w:hAnsi="宋体" w:eastAsia="宋体" w:cs="宋体"/>
                <w:kern w:val="0"/>
                <w:sz w:val="24"/>
              </w:rPr>
            </w:pPr>
          </w:p>
        </w:tc>
        <w:tc>
          <w:tcPr>
            <w:tcW w:w="563" w:type="dxa"/>
            <w:tcBorders>
              <w:top w:val="nil"/>
              <w:left w:val="nil"/>
              <w:bottom w:val="nil"/>
              <w:right w:val="nil"/>
            </w:tcBorders>
            <w:vAlign w:val="center"/>
          </w:tcPr>
          <w:p>
            <w:pPr>
              <w:widowControl/>
              <w:spacing w:line="360" w:lineRule="auto"/>
              <w:jc w:val="left"/>
              <w:rPr>
                <w:rFonts w:hint="eastAsia" w:ascii="宋体" w:hAnsi="宋体" w:eastAsia="宋体" w:cs="宋体"/>
                <w:b/>
                <w:bCs/>
                <w:kern w:val="0"/>
                <w:sz w:val="28"/>
                <w:szCs w:val="28"/>
              </w:rPr>
            </w:pPr>
          </w:p>
        </w:tc>
        <w:tc>
          <w:tcPr>
            <w:tcW w:w="417" w:type="dxa"/>
            <w:tcBorders>
              <w:top w:val="nil"/>
              <w:left w:val="nil"/>
              <w:bottom w:val="nil"/>
              <w:right w:val="nil"/>
            </w:tcBorders>
            <w:vAlign w:val="center"/>
          </w:tcPr>
          <w:p>
            <w:pPr>
              <w:widowControl/>
              <w:spacing w:line="360" w:lineRule="auto"/>
              <w:jc w:val="left"/>
              <w:rPr>
                <w:rFonts w:hint="eastAsia" w:ascii="宋体" w:hAnsi="宋体" w:eastAsia="宋体" w:cs="宋体"/>
                <w:kern w:val="0"/>
                <w:sz w:val="24"/>
              </w:rPr>
            </w:pPr>
          </w:p>
        </w:tc>
      </w:tr>
    </w:tbl>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24.3 在对磋商响应文件进行详细评估之前，磋商小组将依据供应商提供的资格证明文件审查供应商的财务、技术和生产能力。如果确定供应商无资格履行合同，其投标将被拒绝。</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pPr>
        <w:spacing w:line="360" w:lineRule="auto"/>
        <w:rPr>
          <w:rFonts w:hint="eastAsia" w:ascii="宋体" w:hAnsi="宋体" w:eastAsia="宋体" w:cs="宋体"/>
          <w:sz w:val="24"/>
        </w:rPr>
      </w:pPr>
      <w:r>
        <w:rPr>
          <w:rFonts w:hint="eastAsia" w:ascii="宋体" w:hAnsi="宋体" w:eastAsia="宋体" w:cs="宋体"/>
          <w:sz w:val="24"/>
        </w:rPr>
        <w:t>25、磋商响应文件的澄清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25.2 要澄清的答复应是书面的，但不得对磋商内容进行实质性修改。澄清文件须由供应商法人代表或法人授权代表签字和/或加盖公章并作为磋商响应文件的组成部分。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25.3 磋商结束后，磋商小组要求所有参加磋商的供应商在规定的时间内进行最后报价。</w:t>
      </w:r>
    </w:p>
    <w:p>
      <w:pPr>
        <w:spacing w:line="360" w:lineRule="auto"/>
        <w:rPr>
          <w:rFonts w:hint="eastAsia" w:ascii="宋体" w:hAnsi="宋体" w:eastAsia="宋体" w:cs="宋体"/>
          <w:sz w:val="24"/>
        </w:rPr>
      </w:pPr>
      <w:r>
        <w:rPr>
          <w:rFonts w:hint="eastAsia" w:ascii="宋体" w:hAnsi="宋体" w:eastAsia="宋体" w:cs="宋体"/>
          <w:sz w:val="24"/>
        </w:rPr>
        <w:t>26、确定成交供应商的办法</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26.1磋商小组按照磋商文件要求对磋商响应文件中的供应商资格、供应商资格证明文件、重要技术指标以及技术和商务上要求的其它重要内容进行审核。</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26.2磋商小组和供应商磋商过程中作出的书面承诺是否符合磋商文件中对质量、技术和服务的要求。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rPr>
        <w:t>26.3</w:t>
      </w:r>
      <w:r>
        <w:rPr>
          <w:rFonts w:hint="eastAsia" w:ascii="宋体" w:hAnsi="宋体" w:eastAsia="宋体" w:cs="宋体"/>
          <w:sz w:val="24"/>
          <w:szCs w:val="24"/>
          <w:shd w:val="clear" w:color="auto" w:fill="FFFFFF"/>
        </w:rPr>
        <w:t>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hint="eastAsia"/>
          <w:lang w:eastAsia="zh-CN"/>
        </w:rPr>
      </w:pPr>
      <w:r>
        <w:rPr>
          <w:rFonts w:hint="eastAsia" w:ascii="宋体" w:hAnsi="宋体" w:eastAsia="宋体" w:cs="宋体"/>
          <w:bCs/>
          <w:sz w:val="24"/>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w:t>
      </w:r>
      <w:r>
        <w:rPr>
          <w:rFonts w:hint="eastAsia" w:ascii="宋体" w:hAnsi="宋体" w:cs="宋体"/>
          <w:bCs/>
          <w:sz w:val="24"/>
          <w:lang w:val="en-US" w:eastAsia="zh-CN"/>
        </w:rPr>
        <w:t>3</w:t>
      </w:r>
      <w:r>
        <w:rPr>
          <w:rFonts w:hint="eastAsia" w:ascii="宋体" w:hAnsi="宋体" w:eastAsia="宋体" w:cs="宋体"/>
          <w:bCs/>
          <w:sz w:val="24"/>
          <w:lang w:val="en-US" w:eastAsia="zh-CN"/>
        </w:rPr>
        <w:t>0</w:t>
      </w:r>
      <w:r>
        <w:rPr>
          <w:rFonts w:hint="eastAsia" w:ascii="宋体" w:hAnsi="宋体" w:eastAsia="宋体" w:cs="宋体"/>
          <w:bCs/>
          <w:sz w:val="24"/>
        </w:rPr>
        <w:t>分，技术、商务、售后服务因素占</w:t>
      </w:r>
      <w:r>
        <w:rPr>
          <w:rFonts w:hint="eastAsia" w:ascii="宋体" w:hAnsi="宋体" w:cs="宋体"/>
          <w:bCs/>
          <w:sz w:val="24"/>
          <w:lang w:val="en-US" w:eastAsia="zh-CN"/>
        </w:rPr>
        <w:t>7</w:t>
      </w:r>
      <w:r>
        <w:rPr>
          <w:rFonts w:hint="eastAsia" w:ascii="宋体" w:hAnsi="宋体" w:eastAsia="宋体" w:cs="宋体"/>
          <w:bCs/>
          <w:sz w:val="24"/>
          <w:lang w:val="en-US" w:eastAsia="zh-CN"/>
        </w:rPr>
        <w:t>0</w:t>
      </w:r>
      <w:r>
        <w:rPr>
          <w:rFonts w:hint="eastAsia" w:ascii="宋体" w:hAnsi="宋体" w:eastAsia="宋体" w:cs="宋体"/>
          <w:bCs/>
          <w:sz w:val="24"/>
        </w:rPr>
        <w:t>分。将每位投标商的价格得分</w:t>
      </w:r>
      <w:r>
        <w:rPr>
          <w:rFonts w:hint="eastAsia" w:ascii="宋体" w:hAnsi="宋体" w:eastAsia="宋体" w:cs="宋体"/>
          <w:bCs/>
          <w:sz w:val="24"/>
          <w:lang w:eastAsia="zh-CN"/>
        </w:rPr>
        <w:t>、</w:t>
      </w:r>
      <w:r>
        <w:rPr>
          <w:rFonts w:hint="eastAsia" w:ascii="宋体" w:hAnsi="宋体" w:eastAsia="宋体" w:cs="宋体"/>
          <w:bCs/>
          <w:sz w:val="24"/>
        </w:rPr>
        <w:t>商务得分、技术得分</w:t>
      </w:r>
      <w:r>
        <w:rPr>
          <w:rFonts w:hint="eastAsia" w:ascii="宋体" w:hAnsi="宋体" w:eastAsia="宋体" w:cs="宋体"/>
          <w:bCs/>
          <w:color w:val="000000"/>
          <w:sz w:val="24"/>
        </w:rPr>
        <w:t>相加即为该投标商的总得分。详细评分标准如下：</w:t>
      </w:r>
    </w:p>
    <w:tbl>
      <w:tblPr>
        <w:tblStyle w:val="39"/>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351"/>
        <w:gridCol w:w="6326"/>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87" w:type="pct"/>
            <w:gridSpan w:val="2"/>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评分项目</w:t>
            </w:r>
          </w:p>
        </w:tc>
        <w:tc>
          <w:tcPr>
            <w:tcW w:w="3456" w:type="pct"/>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评分项内容</w:t>
            </w:r>
          </w:p>
        </w:tc>
        <w:tc>
          <w:tcPr>
            <w:tcW w:w="456" w:type="pct"/>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1087" w:type="pct"/>
            <w:gridSpan w:val="2"/>
            <w:shd w:val="clear" w:color="auto" w:fill="auto"/>
            <w:vAlign w:val="center"/>
          </w:tcPr>
          <w:p>
            <w:pPr>
              <w:widowControl/>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价格分</w:t>
            </w:r>
          </w:p>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w:t>
            </w:r>
            <w:r>
              <w:rPr>
                <w:rFonts w:hint="eastAsia" w:ascii="宋体" w:hAnsi="宋体" w:cs="宋体"/>
                <w:b/>
                <w:bCs/>
                <w:kern w:val="0"/>
                <w:sz w:val="21"/>
                <w:szCs w:val="21"/>
                <w:lang w:val="en-US" w:eastAsia="zh-CN"/>
              </w:rPr>
              <w:t>3</w:t>
            </w:r>
            <w:r>
              <w:rPr>
                <w:rFonts w:hint="eastAsia" w:ascii="宋体" w:hAnsi="宋体" w:eastAsia="宋体" w:cs="宋体"/>
                <w:b/>
                <w:bCs/>
                <w:kern w:val="0"/>
                <w:sz w:val="21"/>
                <w:szCs w:val="21"/>
                <w:lang w:val="en-US" w:eastAsia="zh-CN"/>
              </w:rPr>
              <w:t>0</w:t>
            </w:r>
            <w:r>
              <w:rPr>
                <w:rFonts w:hint="eastAsia" w:ascii="宋体" w:hAnsi="宋体" w:eastAsia="宋体" w:cs="宋体"/>
                <w:b/>
                <w:bCs/>
                <w:kern w:val="0"/>
                <w:sz w:val="21"/>
                <w:szCs w:val="21"/>
              </w:rPr>
              <w:t>分）</w:t>
            </w:r>
          </w:p>
        </w:tc>
        <w:tc>
          <w:tcPr>
            <w:tcW w:w="3456" w:type="pct"/>
            <w:shd w:val="clear" w:color="auto" w:fill="auto"/>
            <w:vAlign w:val="center"/>
          </w:tcPr>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价格得分的评分方法：基本分</w:t>
            </w:r>
            <w:r>
              <w:rPr>
                <w:rFonts w:hint="eastAsia" w:ascii="宋体" w:hAnsi="宋体" w:cs="宋体"/>
                <w:kern w:val="0"/>
                <w:sz w:val="21"/>
                <w:szCs w:val="21"/>
                <w:lang w:val="en-US" w:eastAsia="zh-CN"/>
              </w:rPr>
              <w:t>30</w:t>
            </w:r>
            <w:r>
              <w:rPr>
                <w:rFonts w:hint="eastAsia" w:ascii="宋体" w:hAnsi="宋体" w:eastAsia="宋体" w:cs="宋体"/>
                <w:kern w:val="0"/>
                <w:sz w:val="21"/>
                <w:szCs w:val="21"/>
              </w:rPr>
              <w:t>分。</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经评审委员会评审的最低有效投标报价作为评标基准价；</w:t>
            </w:r>
          </w:p>
          <w:p>
            <w:pPr>
              <w:widowControl/>
              <w:jc w:val="left"/>
              <w:rPr>
                <w:rFonts w:hint="default" w:ascii="宋体" w:hAnsi="宋体" w:eastAsia="宋体" w:cs="宋体"/>
                <w:kern w:val="0"/>
                <w:sz w:val="21"/>
                <w:szCs w:val="21"/>
                <w:lang w:val="en-US" w:eastAsia="zh-CN"/>
              </w:rPr>
            </w:pPr>
            <w:r>
              <w:rPr>
                <w:rFonts w:hint="eastAsia" w:ascii="宋体" w:hAnsi="宋体" w:eastAsia="宋体" w:cs="宋体"/>
                <w:kern w:val="0"/>
                <w:sz w:val="21"/>
                <w:szCs w:val="21"/>
              </w:rPr>
              <w:t>投标报价得分=(评标基准价／投标报价)×</w:t>
            </w:r>
            <w:r>
              <w:rPr>
                <w:rFonts w:hint="eastAsia" w:ascii="宋体" w:hAnsi="宋体" w:cs="宋体"/>
                <w:kern w:val="0"/>
                <w:sz w:val="21"/>
                <w:szCs w:val="21"/>
                <w:lang w:val="en-US" w:eastAsia="zh-CN"/>
              </w:rPr>
              <w:t>30%</w:t>
            </w:r>
            <w:r>
              <w:rPr>
                <w:rFonts w:hint="eastAsia" w:ascii="宋体" w:hAnsi="宋体" w:eastAsia="宋体" w:cs="宋体"/>
                <w:kern w:val="0"/>
                <w:sz w:val="21"/>
                <w:szCs w:val="21"/>
              </w:rPr>
              <w:t>×</w:t>
            </w:r>
            <w:r>
              <w:rPr>
                <w:rFonts w:hint="eastAsia" w:ascii="宋体" w:hAnsi="宋体" w:cs="宋体"/>
                <w:kern w:val="0"/>
                <w:sz w:val="21"/>
                <w:szCs w:val="21"/>
                <w:lang w:val="en-US" w:eastAsia="zh-CN"/>
              </w:rPr>
              <w:t>100</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非有效报价不参与评标基准价的计算，但不以此否决其报价。如此类推，算出所有投标供应商的价格得分。</w:t>
            </w:r>
          </w:p>
          <w:p>
            <w:pPr>
              <w:widowControl/>
              <w:jc w:val="left"/>
              <w:rPr>
                <w:rFonts w:hint="eastAsia" w:ascii="宋体" w:hAnsi="宋体" w:eastAsia="宋体" w:cs="宋体"/>
                <w:kern w:val="0"/>
                <w:sz w:val="21"/>
                <w:szCs w:val="21"/>
              </w:rPr>
            </w:pPr>
            <w:r>
              <w:rPr>
                <w:rFonts w:hint="eastAsia" w:ascii="宋体" w:hAnsi="宋体" w:eastAsia="宋体" w:cs="宋体"/>
                <w:kern w:val="0"/>
                <w:sz w:val="21"/>
                <w:szCs w:val="21"/>
              </w:rPr>
              <w:t>注：（1）如供应商为小微企业，需提供《小微企业声明函》及相关证明文件，对小型和微型企业产品的价格给予6%的扣除，用扣除后的价格参与评审。</w:t>
            </w:r>
          </w:p>
        </w:tc>
        <w:tc>
          <w:tcPr>
            <w:tcW w:w="456" w:type="pct"/>
            <w:shd w:val="clear" w:color="auto" w:fill="auto"/>
            <w:vAlign w:val="center"/>
          </w:tcPr>
          <w:p>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9" w:type="pct"/>
            <w:vMerge w:val="restart"/>
            <w:shd w:val="clear" w:color="auto" w:fill="auto"/>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技术部分</w:t>
            </w:r>
          </w:p>
          <w:p>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w:t>
            </w:r>
            <w:r>
              <w:rPr>
                <w:rFonts w:hint="eastAsia" w:ascii="宋体" w:hAnsi="宋体" w:cs="宋体"/>
                <w:b/>
                <w:bCs/>
                <w:kern w:val="0"/>
                <w:sz w:val="21"/>
                <w:szCs w:val="21"/>
                <w:lang w:val="en-US" w:eastAsia="zh-CN"/>
              </w:rPr>
              <w:t>6</w:t>
            </w:r>
            <w:r>
              <w:rPr>
                <w:rFonts w:hint="eastAsia" w:ascii="宋体" w:hAnsi="宋体" w:eastAsia="宋体" w:cs="宋体"/>
                <w:b/>
                <w:bCs/>
                <w:kern w:val="0"/>
                <w:sz w:val="21"/>
                <w:szCs w:val="21"/>
                <w:lang w:val="en-US" w:eastAsia="zh-CN"/>
              </w:rPr>
              <w:t>0分）</w:t>
            </w:r>
          </w:p>
        </w:tc>
        <w:tc>
          <w:tcPr>
            <w:tcW w:w="738" w:type="pct"/>
            <w:shd w:val="clear" w:color="auto" w:fill="auto"/>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技术参数</w:t>
            </w:r>
          </w:p>
        </w:tc>
        <w:tc>
          <w:tcPr>
            <w:tcW w:w="3456" w:type="pct"/>
            <w:shd w:val="clear" w:color="auto" w:fill="auto"/>
            <w:vAlign w:val="center"/>
          </w:tcPr>
          <w:p>
            <w:pPr>
              <w:widowControl/>
              <w:spacing w:line="300" w:lineRule="exact"/>
              <w:jc w:val="left"/>
              <w:rPr>
                <w:rFonts w:hint="default" w:ascii="宋体" w:hAnsi="宋体" w:eastAsia="宋体" w:cs="宋体"/>
                <w:color w:val="000000"/>
                <w:kern w:val="0"/>
                <w:sz w:val="21"/>
                <w:szCs w:val="21"/>
                <w:lang w:val="en-US" w:eastAsia="zh-CN" w:bidi="ar-SA"/>
              </w:rPr>
            </w:pPr>
            <w:r>
              <w:rPr>
                <w:rFonts w:hint="eastAsia" w:ascii="宋体" w:hAnsi="宋体" w:eastAsia="宋体" w:cs="宋体"/>
                <w:color w:val="auto"/>
                <w:kern w:val="0"/>
                <w:szCs w:val="21"/>
                <w:highlight w:val="none"/>
              </w:rPr>
              <w:t>技术参数满足招标文件要求</w:t>
            </w:r>
            <w:r>
              <w:rPr>
                <w:rFonts w:hint="eastAsia" w:ascii="宋体" w:hAnsi="宋体" w:cs="宋体"/>
                <w:color w:val="auto"/>
                <w:kern w:val="0"/>
                <w:szCs w:val="21"/>
                <w:highlight w:val="none"/>
                <w:lang w:val="en-US" w:eastAsia="zh-CN"/>
              </w:rPr>
              <w:t>并出具相关检测报告及3C认证的</w:t>
            </w:r>
            <w:r>
              <w:rPr>
                <w:rFonts w:hint="eastAsia" w:ascii="宋体" w:hAnsi="宋体" w:eastAsia="宋体" w:cs="宋体"/>
                <w:color w:val="auto"/>
                <w:kern w:val="0"/>
                <w:szCs w:val="21"/>
                <w:highlight w:val="none"/>
              </w:rPr>
              <w:t>得1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分，低于参数</w:t>
            </w:r>
            <w:r>
              <w:rPr>
                <w:rFonts w:hint="eastAsia" w:ascii="宋体" w:hAnsi="宋体" w:cs="宋体"/>
                <w:color w:val="auto"/>
                <w:kern w:val="0"/>
                <w:szCs w:val="21"/>
                <w:highlight w:val="none"/>
                <w:lang w:val="en-US" w:eastAsia="zh-CN"/>
              </w:rPr>
              <w:t>及要求</w:t>
            </w:r>
            <w:r>
              <w:rPr>
                <w:rFonts w:hint="eastAsia" w:ascii="宋体" w:hAnsi="宋体" w:eastAsia="宋体" w:cs="宋体"/>
                <w:color w:val="auto"/>
                <w:kern w:val="0"/>
                <w:szCs w:val="21"/>
                <w:highlight w:val="none"/>
              </w:rPr>
              <w:t>每一项扣</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扣完为止。</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49" w:type="pct"/>
            <w:vMerge w:val="continue"/>
            <w:shd w:val="clear" w:color="auto" w:fill="auto"/>
            <w:vAlign w:val="center"/>
          </w:tcPr>
          <w:p>
            <w:pPr>
              <w:widowControl/>
              <w:jc w:val="center"/>
              <w:rPr>
                <w:rFonts w:hint="eastAsia" w:ascii="宋体" w:hAnsi="宋体" w:eastAsia="宋体" w:cs="宋体"/>
                <w:b/>
                <w:bCs/>
                <w:kern w:val="0"/>
                <w:sz w:val="21"/>
                <w:szCs w:val="21"/>
              </w:rPr>
            </w:pPr>
          </w:p>
        </w:tc>
        <w:tc>
          <w:tcPr>
            <w:tcW w:w="738" w:type="pct"/>
            <w:shd w:val="clear" w:color="auto" w:fill="auto"/>
            <w:vAlign w:val="center"/>
          </w:tcPr>
          <w:p>
            <w:pPr>
              <w:widowControl/>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供货方案</w:t>
            </w:r>
          </w:p>
        </w:tc>
        <w:tc>
          <w:tcPr>
            <w:tcW w:w="3456" w:type="pct"/>
            <w:shd w:val="clear" w:color="auto" w:fill="auto"/>
            <w:vAlign w:val="center"/>
          </w:tcPr>
          <w:p>
            <w:pPr>
              <w:widowControl/>
              <w:spacing w:line="300" w:lineRule="exact"/>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1"/>
                <w:szCs w:val="22"/>
                <w:highlight w:val="none"/>
                <w:lang w:val="en-US" w:eastAsia="zh-CN" w:bidi="zh-CN"/>
              </w:rPr>
              <w:t>包括人员配置、供货时间</w:t>
            </w:r>
            <w:r>
              <w:rPr>
                <w:rFonts w:hint="eastAsia" w:ascii="宋体" w:hAnsi="宋体" w:cs="宋体"/>
                <w:color w:val="auto"/>
                <w:kern w:val="2"/>
                <w:sz w:val="21"/>
                <w:szCs w:val="22"/>
                <w:highlight w:val="none"/>
                <w:lang w:val="en-US" w:eastAsia="zh-CN" w:bidi="zh-CN"/>
              </w:rPr>
              <w:t>（七天内完成供货）</w:t>
            </w:r>
            <w:r>
              <w:rPr>
                <w:rFonts w:hint="eastAsia" w:ascii="宋体" w:hAnsi="宋体" w:eastAsia="宋体" w:cs="宋体"/>
                <w:color w:val="auto"/>
                <w:kern w:val="2"/>
                <w:sz w:val="21"/>
                <w:szCs w:val="22"/>
                <w:highlight w:val="none"/>
                <w:lang w:val="en-US" w:eastAsia="zh-CN" w:bidi="zh-CN"/>
              </w:rPr>
              <w:t>、供货保障措施，根据技术指标要求及参数等综合评判，优计[7-10]分，良计[4-6)分，一般计[</w:t>
            </w:r>
            <w:r>
              <w:rPr>
                <w:rFonts w:hint="eastAsia" w:ascii="宋体" w:hAnsi="宋体" w:cs="宋体"/>
                <w:color w:val="auto"/>
                <w:kern w:val="2"/>
                <w:sz w:val="21"/>
                <w:szCs w:val="22"/>
                <w:highlight w:val="none"/>
                <w:lang w:val="en-US" w:eastAsia="zh-CN" w:bidi="zh-CN"/>
              </w:rPr>
              <w:t>1</w:t>
            </w:r>
            <w:r>
              <w:rPr>
                <w:rFonts w:hint="eastAsia" w:ascii="宋体" w:hAnsi="宋体" w:eastAsia="宋体" w:cs="宋体"/>
                <w:color w:val="auto"/>
                <w:kern w:val="2"/>
                <w:sz w:val="21"/>
                <w:szCs w:val="22"/>
                <w:highlight w:val="none"/>
                <w:lang w:val="en-US" w:eastAsia="zh-CN" w:bidi="zh-CN"/>
              </w:rPr>
              <w:t>-3)分</w:t>
            </w:r>
            <w:r>
              <w:rPr>
                <w:rFonts w:hint="eastAsia" w:ascii="宋体" w:hAnsi="宋体" w:cs="宋体"/>
                <w:color w:val="auto"/>
                <w:kern w:val="2"/>
                <w:sz w:val="21"/>
                <w:szCs w:val="22"/>
                <w:highlight w:val="none"/>
                <w:lang w:val="en-US" w:eastAsia="zh-CN" w:bidi="zh-CN"/>
              </w:rPr>
              <w:t>，没有不得分。</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349" w:type="pct"/>
            <w:vMerge w:val="continue"/>
            <w:shd w:val="clear" w:color="auto" w:fill="auto"/>
            <w:vAlign w:val="center"/>
          </w:tcPr>
          <w:p>
            <w:pPr>
              <w:widowControl/>
              <w:jc w:val="center"/>
              <w:rPr>
                <w:rFonts w:hint="eastAsia" w:ascii="宋体" w:hAnsi="宋体" w:eastAsia="宋体" w:cs="宋体"/>
                <w:b/>
                <w:bCs/>
                <w:kern w:val="0"/>
                <w:sz w:val="21"/>
                <w:szCs w:val="21"/>
              </w:rPr>
            </w:pPr>
          </w:p>
        </w:tc>
        <w:tc>
          <w:tcPr>
            <w:tcW w:w="738" w:type="pct"/>
            <w:shd w:val="clear" w:color="auto" w:fill="auto"/>
            <w:vAlign w:val="center"/>
          </w:tcPr>
          <w:p>
            <w:pPr>
              <w:widowControl/>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配送方案</w:t>
            </w:r>
          </w:p>
        </w:tc>
        <w:tc>
          <w:tcPr>
            <w:tcW w:w="3456" w:type="pct"/>
            <w:shd w:val="clear" w:color="auto" w:fill="auto"/>
            <w:vAlign w:val="center"/>
          </w:tcPr>
          <w:p>
            <w:pPr>
              <w:widowControl/>
              <w:spacing w:line="30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2"/>
                <w:sz w:val="21"/>
                <w:szCs w:val="22"/>
                <w:highlight w:val="none"/>
                <w:lang w:val="en-US" w:eastAsia="zh-CN" w:bidi="zh-CN"/>
              </w:rPr>
              <w:t>保证配送的及时性、完好程度、服务质量等（备注：尤其是在针对</w:t>
            </w:r>
            <w:r>
              <w:rPr>
                <w:rFonts w:hint="eastAsia" w:ascii="宋体" w:hAnsi="宋体" w:cs="宋体"/>
                <w:color w:val="auto"/>
                <w:kern w:val="2"/>
                <w:sz w:val="21"/>
                <w:szCs w:val="22"/>
                <w:highlight w:val="none"/>
                <w:lang w:val="en-US" w:eastAsia="zh-CN" w:bidi="zh-CN"/>
              </w:rPr>
              <w:t>疫情</w:t>
            </w:r>
            <w:r>
              <w:rPr>
                <w:rFonts w:hint="eastAsia" w:ascii="宋体" w:hAnsi="宋体" w:eastAsia="宋体" w:cs="宋体"/>
                <w:color w:val="auto"/>
                <w:kern w:val="2"/>
                <w:sz w:val="21"/>
                <w:szCs w:val="22"/>
                <w:highlight w:val="none"/>
                <w:lang w:val="en-US" w:eastAsia="zh-CN" w:bidi="zh-CN"/>
              </w:rPr>
              <w:t>上如何保证</w:t>
            </w:r>
            <w:r>
              <w:rPr>
                <w:rFonts w:hint="eastAsia" w:ascii="宋体" w:hAnsi="宋体" w:cs="宋体"/>
                <w:color w:val="auto"/>
                <w:kern w:val="2"/>
                <w:sz w:val="21"/>
                <w:szCs w:val="22"/>
                <w:highlight w:val="none"/>
                <w:lang w:val="en-US" w:eastAsia="zh-CN" w:bidi="zh-CN"/>
              </w:rPr>
              <w:t>产品</w:t>
            </w:r>
            <w:r>
              <w:rPr>
                <w:rFonts w:hint="eastAsia" w:ascii="宋体" w:hAnsi="宋体" w:eastAsia="宋体" w:cs="宋体"/>
                <w:color w:val="auto"/>
                <w:kern w:val="2"/>
                <w:sz w:val="21"/>
                <w:szCs w:val="22"/>
                <w:highlight w:val="none"/>
                <w:lang w:val="en-US" w:eastAsia="zh-CN" w:bidi="zh-CN"/>
              </w:rPr>
              <w:t>从存储、运输上符合相关卫生保障措施），优计[7-10]分，良计[4-6)分，一般计[</w:t>
            </w:r>
            <w:r>
              <w:rPr>
                <w:rFonts w:hint="eastAsia" w:ascii="宋体" w:hAnsi="宋体" w:cs="宋体"/>
                <w:color w:val="auto"/>
                <w:kern w:val="2"/>
                <w:sz w:val="21"/>
                <w:szCs w:val="22"/>
                <w:highlight w:val="none"/>
                <w:lang w:val="en-US" w:eastAsia="zh-CN" w:bidi="zh-CN"/>
              </w:rPr>
              <w:t>1</w:t>
            </w:r>
            <w:r>
              <w:rPr>
                <w:rFonts w:hint="eastAsia" w:ascii="宋体" w:hAnsi="宋体" w:eastAsia="宋体" w:cs="宋体"/>
                <w:color w:val="auto"/>
                <w:kern w:val="2"/>
                <w:sz w:val="21"/>
                <w:szCs w:val="22"/>
                <w:highlight w:val="none"/>
                <w:lang w:val="en-US" w:eastAsia="zh-CN" w:bidi="zh-CN"/>
              </w:rPr>
              <w:t>-3)分</w:t>
            </w:r>
            <w:r>
              <w:rPr>
                <w:rFonts w:hint="eastAsia" w:ascii="宋体" w:hAnsi="宋体" w:cs="宋体"/>
                <w:color w:val="auto"/>
                <w:kern w:val="2"/>
                <w:sz w:val="21"/>
                <w:szCs w:val="22"/>
                <w:highlight w:val="none"/>
                <w:lang w:val="en-US" w:eastAsia="zh-CN" w:bidi="zh-CN"/>
              </w:rPr>
              <w:t>，没有不得分。</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9" w:type="pct"/>
            <w:vMerge w:val="continue"/>
            <w:shd w:val="clear" w:color="auto" w:fill="auto"/>
            <w:vAlign w:val="center"/>
          </w:tcPr>
          <w:p>
            <w:pPr>
              <w:widowControl/>
              <w:jc w:val="center"/>
              <w:rPr>
                <w:rFonts w:hint="eastAsia" w:ascii="宋体" w:hAnsi="宋体" w:eastAsia="宋体" w:cs="宋体"/>
                <w:b/>
                <w:bCs/>
                <w:kern w:val="0"/>
                <w:sz w:val="21"/>
                <w:szCs w:val="21"/>
              </w:rPr>
            </w:pPr>
          </w:p>
        </w:tc>
        <w:tc>
          <w:tcPr>
            <w:tcW w:w="738" w:type="pct"/>
            <w:shd w:val="clear" w:color="auto" w:fill="auto"/>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应急保</w:t>
            </w:r>
          </w:p>
          <w:p>
            <w:pPr>
              <w:widowControl/>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障措施</w:t>
            </w:r>
          </w:p>
        </w:tc>
        <w:tc>
          <w:tcPr>
            <w:tcW w:w="3456" w:type="pct"/>
            <w:shd w:val="clear" w:color="auto" w:fill="auto"/>
            <w:vAlign w:val="center"/>
          </w:tcPr>
          <w:p>
            <w:pPr>
              <w:widowControl/>
              <w:spacing w:line="300" w:lineRule="exact"/>
              <w:jc w:val="left"/>
              <w:rPr>
                <w:rFonts w:hint="eastAsia" w:ascii="宋体" w:hAnsi="宋体" w:cs="宋体"/>
                <w:color w:val="auto"/>
                <w:kern w:val="0"/>
                <w:szCs w:val="21"/>
                <w:highlight w:val="none"/>
                <w:lang w:val="zh-CN" w:eastAsia="zh-CN"/>
              </w:rPr>
            </w:pPr>
            <w:r>
              <w:rPr>
                <w:rFonts w:hint="eastAsia" w:ascii="宋体" w:hAnsi="宋体" w:eastAsia="宋体" w:cs="宋体"/>
                <w:color w:val="auto"/>
                <w:kern w:val="2"/>
                <w:sz w:val="21"/>
                <w:szCs w:val="22"/>
                <w:highlight w:val="none"/>
                <w:lang w:val="en-US" w:eastAsia="zh-CN" w:bidi="zh-CN"/>
              </w:rPr>
              <w:t>对重大或突发事件应急保障方案措施进行评审，重大或突发事件应急保障方案较为全面、科学、具体，遇突发情况通过补救能够满足供应的得，优计[7-10]分，良计[4-6)分，一般计[</w:t>
            </w:r>
            <w:r>
              <w:rPr>
                <w:rFonts w:hint="eastAsia" w:ascii="宋体" w:hAnsi="宋体" w:cs="宋体"/>
                <w:color w:val="auto"/>
                <w:kern w:val="2"/>
                <w:sz w:val="21"/>
                <w:szCs w:val="22"/>
                <w:highlight w:val="none"/>
                <w:lang w:val="en-US" w:eastAsia="zh-CN" w:bidi="zh-CN"/>
              </w:rPr>
              <w:t>1</w:t>
            </w:r>
            <w:r>
              <w:rPr>
                <w:rFonts w:hint="eastAsia" w:ascii="宋体" w:hAnsi="宋体" w:eastAsia="宋体" w:cs="宋体"/>
                <w:color w:val="auto"/>
                <w:kern w:val="2"/>
                <w:sz w:val="21"/>
                <w:szCs w:val="22"/>
                <w:highlight w:val="none"/>
                <w:lang w:val="en-US" w:eastAsia="zh-CN" w:bidi="zh-CN"/>
              </w:rPr>
              <w:t>-3)分</w:t>
            </w:r>
            <w:r>
              <w:rPr>
                <w:rFonts w:hint="eastAsia" w:ascii="宋体" w:hAnsi="宋体" w:cs="宋体"/>
                <w:color w:val="auto"/>
                <w:kern w:val="2"/>
                <w:sz w:val="21"/>
                <w:szCs w:val="22"/>
                <w:highlight w:val="none"/>
                <w:lang w:val="en-US" w:eastAsia="zh-CN" w:bidi="zh-CN"/>
              </w:rPr>
              <w:t>，没有不得分。</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9" w:type="pct"/>
            <w:vMerge w:val="continue"/>
            <w:shd w:val="clear" w:color="auto" w:fill="auto"/>
            <w:vAlign w:val="center"/>
          </w:tcPr>
          <w:p>
            <w:pPr>
              <w:widowControl/>
              <w:jc w:val="center"/>
              <w:rPr>
                <w:rFonts w:hint="eastAsia" w:ascii="宋体" w:hAnsi="宋体" w:eastAsia="宋体" w:cs="宋体"/>
                <w:b/>
                <w:bCs/>
                <w:kern w:val="0"/>
                <w:sz w:val="21"/>
                <w:szCs w:val="21"/>
              </w:rPr>
            </w:pPr>
          </w:p>
        </w:tc>
        <w:tc>
          <w:tcPr>
            <w:tcW w:w="738" w:type="pct"/>
            <w:shd w:val="clear" w:color="auto" w:fill="auto"/>
            <w:vAlign w:val="center"/>
          </w:tcPr>
          <w:p>
            <w:pPr>
              <w:widowControl/>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到货要求</w:t>
            </w:r>
          </w:p>
        </w:tc>
        <w:tc>
          <w:tcPr>
            <w:tcW w:w="3456" w:type="pct"/>
            <w:shd w:val="clear" w:color="auto" w:fill="auto"/>
            <w:vAlign w:val="center"/>
          </w:tcPr>
          <w:p>
            <w:pPr>
              <w:adjustRightInd w:val="0"/>
              <w:snapToGrid w:val="0"/>
              <w:spacing w:line="40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2"/>
                <w:sz w:val="21"/>
                <w:szCs w:val="22"/>
                <w:highlight w:val="none"/>
                <w:lang w:val="en-US" w:eastAsia="zh-CN" w:bidi="zh-CN"/>
              </w:rPr>
              <w:t>承诺的产品的到货时间及退换货服务承诺。由评委进行评议进行横向比较，优计[7-10]分，良计[4-6)分，一般计[</w:t>
            </w:r>
            <w:r>
              <w:rPr>
                <w:rFonts w:hint="eastAsia" w:ascii="宋体" w:hAnsi="宋体" w:cs="宋体"/>
                <w:color w:val="auto"/>
                <w:kern w:val="2"/>
                <w:sz w:val="21"/>
                <w:szCs w:val="22"/>
                <w:highlight w:val="none"/>
                <w:lang w:val="en-US" w:eastAsia="zh-CN" w:bidi="zh-CN"/>
              </w:rPr>
              <w:t>1</w:t>
            </w:r>
            <w:r>
              <w:rPr>
                <w:rFonts w:hint="eastAsia" w:ascii="宋体" w:hAnsi="宋体" w:eastAsia="宋体" w:cs="宋体"/>
                <w:color w:val="auto"/>
                <w:kern w:val="2"/>
                <w:sz w:val="21"/>
                <w:szCs w:val="22"/>
                <w:highlight w:val="none"/>
                <w:lang w:val="en-US" w:eastAsia="zh-CN" w:bidi="zh-CN"/>
              </w:rPr>
              <w:t>-3)分</w:t>
            </w:r>
            <w:r>
              <w:rPr>
                <w:rFonts w:hint="eastAsia" w:ascii="宋体" w:hAnsi="宋体" w:cs="宋体"/>
                <w:color w:val="auto"/>
                <w:kern w:val="2"/>
                <w:sz w:val="21"/>
                <w:szCs w:val="22"/>
                <w:highlight w:val="none"/>
                <w:lang w:val="en-US" w:eastAsia="zh-CN" w:bidi="zh-CN"/>
              </w:rPr>
              <w:t>，没有不得分。</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49" w:type="pct"/>
            <w:vMerge w:val="continue"/>
            <w:shd w:val="clear" w:color="auto" w:fill="auto"/>
            <w:vAlign w:val="center"/>
          </w:tcPr>
          <w:p>
            <w:pPr>
              <w:widowControl/>
              <w:jc w:val="center"/>
              <w:rPr>
                <w:rFonts w:hint="eastAsia" w:ascii="宋体" w:hAnsi="宋体" w:eastAsia="宋体" w:cs="宋体"/>
                <w:b/>
                <w:bCs/>
                <w:kern w:val="0"/>
                <w:sz w:val="21"/>
                <w:szCs w:val="21"/>
              </w:rPr>
            </w:pPr>
          </w:p>
        </w:tc>
        <w:tc>
          <w:tcPr>
            <w:tcW w:w="738" w:type="pct"/>
            <w:shd w:val="clear" w:color="auto" w:fill="auto"/>
            <w:vAlign w:val="center"/>
          </w:tcPr>
          <w:p>
            <w:pPr>
              <w:widowControl/>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售后服务</w:t>
            </w:r>
          </w:p>
          <w:p>
            <w:pPr>
              <w:widowControl/>
              <w:jc w:val="center"/>
              <w:rPr>
                <w:rFonts w:hint="default"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措施、方案</w:t>
            </w:r>
          </w:p>
        </w:tc>
        <w:tc>
          <w:tcPr>
            <w:tcW w:w="3456" w:type="pct"/>
            <w:shd w:val="clear" w:color="auto" w:fill="auto"/>
            <w:vAlign w:val="center"/>
          </w:tcPr>
          <w:p>
            <w:pPr>
              <w:widowControl/>
              <w:spacing w:line="30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2"/>
                <w:sz w:val="21"/>
                <w:szCs w:val="22"/>
                <w:highlight w:val="none"/>
                <w:lang w:val="en-US" w:eastAsia="zh-CN" w:bidi="zh-CN"/>
              </w:rPr>
              <w:t>在本地有售后服务点或仓库仓储场地（需提供场地的产权或租赁合同等相关证明文件），服务方案细致合理、针对性强。优计[7-10]分，良计[4-6)分，一般计[</w:t>
            </w:r>
            <w:r>
              <w:rPr>
                <w:rFonts w:hint="eastAsia" w:ascii="宋体" w:hAnsi="宋体" w:cs="宋体"/>
                <w:color w:val="auto"/>
                <w:kern w:val="2"/>
                <w:sz w:val="21"/>
                <w:szCs w:val="22"/>
                <w:highlight w:val="none"/>
                <w:lang w:val="en-US" w:eastAsia="zh-CN" w:bidi="zh-CN"/>
              </w:rPr>
              <w:t>1</w:t>
            </w:r>
            <w:r>
              <w:rPr>
                <w:rFonts w:hint="eastAsia" w:ascii="宋体" w:hAnsi="宋体" w:eastAsia="宋体" w:cs="宋体"/>
                <w:color w:val="auto"/>
                <w:kern w:val="2"/>
                <w:sz w:val="21"/>
                <w:szCs w:val="22"/>
                <w:highlight w:val="none"/>
                <w:lang w:val="en-US" w:eastAsia="zh-CN" w:bidi="zh-CN"/>
              </w:rPr>
              <w:t>-3)分</w:t>
            </w:r>
            <w:r>
              <w:rPr>
                <w:rFonts w:hint="eastAsia" w:ascii="宋体" w:hAnsi="宋体" w:cs="宋体"/>
                <w:color w:val="auto"/>
                <w:kern w:val="2"/>
                <w:sz w:val="21"/>
                <w:szCs w:val="22"/>
                <w:highlight w:val="none"/>
                <w:lang w:val="en-US" w:eastAsia="zh-CN" w:bidi="zh-CN"/>
              </w:rPr>
              <w:t>，没有不得分。</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49" w:type="pct"/>
            <w:vMerge w:val="restart"/>
            <w:shd w:val="clear" w:color="auto" w:fill="auto"/>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商务</w:t>
            </w:r>
            <w:r>
              <w:rPr>
                <w:rFonts w:hint="eastAsia" w:ascii="宋体" w:hAnsi="宋体" w:eastAsia="宋体" w:cs="宋体"/>
                <w:b/>
                <w:bCs/>
                <w:kern w:val="0"/>
                <w:sz w:val="21"/>
                <w:szCs w:val="21"/>
                <w:lang w:val="en-US" w:eastAsia="zh-CN"/>
              </w:rPr>
              <w:t>部分（10分）</w:t>
            </w:r>
          </w:p>
        </w:tc>
        <w:tc>
          <w:tcPr>
            <w:tcW w:w="738" w:type="pct"/>
            <w:shd w:val="clear" w:color="auto" w:fill="auto"/>
            <w:vAlign w:val="center"/>
          </w:tcPr>
          <w:p>
            <w:pPr>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eastAsia="zh-CN"/>
              </w:rPr>
              <w:t>标书质量</w:t>
            </w:r>
          </w:p>
        </w:tc>
        <w:tc>
          <w:tcPr>
            <w:tcW w:w="3456" w:type="pct"/>
            <w:shd w:val="clear" w:color="auto" w:fill="auto"/>
            <w:vAlign w:val="center"/>
          </w:tcPr>
          <w:p>
            <w:pPr>
              <w:pStyle w:val="12"/>
              <w:ind w:left="0" w:leftChars="0" w:firstLine="0"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标书制作规范，有目录、编</w:t>
            </w:r>
            <w:r>
              <w:rPr>
                <w:rFonts w:hint="eastAsia" w:ascii="宋体" w:hAnsi="宋体" w:cs="宋体"/>
                <w:kern w:val="2"/>
                <w:sz w:val="21"/>
                <w:szCs w:val="21"/>
                <w:lang w:val="en-US" w:eastAsia="zh-CN" w:bidi="ar-SA"/>
              </w:rPr>
              <w:t>页码、胶装成册、书面整洁无涂改、</w:t>
            </w:r>
            <w:r>
              <w:rPr>
                <w:rFonts w:hint="eastAsia" w:ascii="宋体" w:hAnsi="宋体" w:eastAsia="宋体" w:cs="宋体"/>
                <w:kern w:val="2"/>
                <w:sz w:val="21"/>
                <w:szCs w:val="21"/>
                <w:lang w:val="en-US" w:eastAsia="zh-CN" w:bidi="ar-SA"/>
              </w:rPr>
              <w:t>排版等制作规范得2分，每有一处错误或材料缺失扣0.5分，扣完为止</w:t>
            </w:r>
            <w:r>
              <w:rPr>
                <w:rFonts w:hint="eastAsia" w:ascii="宋体" w:hAnsi="宋体" w:cs="宋体"/>
                <w:kern w:val="2"/>
                <w:sz w:val="21"/>
                <w:szCs w:val="21"/>
                <w:lang w:val="en-US" w:eastAsia="zh-CN" w:bidi="ar-SA"/>
              </w:rPr>
              <w:t>。</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49" w:type="pct"/>
            <w:vMerge w:val="continue"/>
            <w:vAlign w:val="center"/>
          </w:tcPr>
          <w:p>
            <w:pPr>
              <w:widowControl/>
              <w:jc w:val="left"/>
              <w:rPr>
                <w:rFonts w:hint="eastAsia" w:ascii="宋体" w:hAnsi="宋体" w:eastAsia="宋体" w:cs="宋体"/>
                <w:b/>
                <w:bCs/>
                <w:kern w:val="0"/>
                <w:sz w:val="21"/>
                <w:szCs w:val="21"/>
              </w:rPr>
            </w:pPr>
          </w:p>
        </w:tc>
        <w:tc>
          <w:tcPr>
            <w:tcW w:w="738" w:type="pct"/>
            <w:vAlign w:val="center"/>
          </w:tcPr>
          <w:p>
            <w:pPr>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类似项目业绩</w:t>
            </w:r>
          </w:p>
        </w:tc>
        <w:tc>
          <w:tcPr>
            <w:tcW w:w="3456" w:type="pct"/>
            <w:vAlign w:val="center"/>
          </w:tcPr>
          <w:p>
            <w:pPr>
              <w:numPr>
                <w:ilvl w:val="0"/>
                <w:numId w:val="0"/>
              </w:numPr>
              <w:ind w:right="170" w:rightChars="81"/>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w:t>
            </w:r>
            <w:r>
              <w:rPr>
                <w:rFonts w:hint="eastAsia" w:ascii="宋体" w:hAnsi="宋体" w:cs="宋体"/>
                <w:sz w:val="21"/>
                <w:szCs w:val="21"/>
                <w:lang w:val="en-US" w:eastAsia="zh-CN"/>
              </w:rPr>
              <w:t>近三年（2018年-至今）</w:t>
            </w:r>
            <w:r>
              <w:rPr>
                <w:rFonts w:hint="eastAsia" w:ascii="宋体" w:hAnsi="宋体" w:eastAsia="宋体" w:cs="宋体"/>
                <w:sz w:val="21"/>
                <w:szCs w:val="21"/>
                <w:lang w:val="en-US" w:eastAsia="zh-CN"/>
              </w:rPr>
              <w:t>类似项目业绩，每提供一个得2分，最多得8分（需提供中标通知书</w:t>
            </w:r>
            <w:r>
              <w:rPr>
                <w:rFonts w:hint="eastAsia" w:ascii="宋体" w:hAnsi="宋体" w:cs="宋体"/>
                <w:sz w:val="21"/>
                <w:szCs w:val="21"/>
                <w:lang w:val="en-US" w:eastAsia="zh-CN"/>
              </w:rPr>
              <w:t>及</w:t>
            </w:r>
            <w:r>
              <w:rPr>
                <w:rFonts w:hint="eastAsia" w:ascii="宋体" w:hAnsi="宋体" w:eastAsia="宋体" w:cs="宋体"/>
                <w:sz w:val="21"/>
                <w:szCs w:val="21"/>
                <w:lang w:val="en-US" w:eastAsia="zh-CN"/>
              </w:rPr>
              <w:t>合同复印件）。</w:t>
            </w:r>
          </w:p>
        </w:tc>
        <w:tc>
          <w:tcPr>
            <w:tcW w:w="456" w:type="pct"/>
            <w:shd w:val="clear" w:color="auto" w:fill="auto"/>
            <w:vAlign w:val="center"/>
          </w:tcPr>
          <w:p>
            <w:pPr>
              <w:widowControl/>
              <w:jc w:val="center"/>
              <w:rPr>
                <w:rFonts w:hint="eastAsia" w:ascii="宋体" w:hAnsi="宋体" w:cs="宋体"/>
                <w:kern w:val="0"/>
                <w:sz w:val="21"/>
                <w:szCs w:val="21"/>
                <w:lang w:val="en-US" w:eastAsia="zh-CN"/>
              </w:rPr>
            </w:pPr>
            <w:r>
              <w:rPr>
                <w:rFonts w:hint="eastAsia" w:ascii="宋体" w:hAnsi="宋体" w:cs="宋体"/>
                <w:kern w:val="0"/>
                <w:sz w:val="21"/>
                <w:szCs w:val="21"/>
                <w:lang w:val="en-US" w:eastAsia="zh-CN"/>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000" w:type="pct"/>
            <w:gridSpan w:val="4"/>
            <w:vAlign w:val="center"/>
          </w:tcPr>
          <w:p>
            <w:pPr>
              <w:tabs>
                <w:tab w:val="left" w:pos="900"/>
              </w:tabs>
              <w:jc w:val="left"/>
              <w:rPr>
                <w:rFonts w:hint="eastAsia" w:ascii="宋体" w:hAnsi="宋体" w:eastAsia="宋体" w:cs="宋体"/>
                <w:bCs/>
                <w:sz w:val="21"/>
                <w:szCs w:val="21"/>
                <w:lang w:val="en-US" w:eastAsia="zh-CN"/>
              </w:rPr>
            </w:pPr>
            <w:r>
              <w:rPr>
                <w:rFonts w:hint="eastAsia" w:ascii="宋体" w:hAnsi="宋体" w:eastAsia="宋体" w:cs="宋体"/>
                <w:b/>
                <w:bCs w:val="0"/>
                <w:sz w:val="24"/>
                <w:szCs w:val="24"/>
              </w:rPr>
              <w:t>说明：以上评分标准涉及的所有证明文件（证书及相关证明资料），需要在投标文件中须附相关复印件并加盖投标单位公章，否则不计分，且投标人须对复印件的真实性负责，如存在弄虚作假行为，视为无效投标处理。</w:t>
            </w:r>
          </w:p>
        </w:tc>
      </w:tr>
    </w:tbl>
    <w:p>
      <w:pPr>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bCs/>
          <w:sz w:val="24"/>
        </w:rPr>
        <w:t>26.4</w:t>
      </w:r>
      <w:r>
        <w:rPr>
          <w:rFonts w:hint="eastAsia" w:ascii="宋体" w:hAnsi="宋体" w:eastAsia="宋体" w:cs="宋体"/>
          <w:sz w:val="24"/>
          <w:szCs w:val="24"/>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360" w:lineRule="auto"/>
        <w:rPr>
          <w:rFonts w:hint="eastAsia" w:ascii="宋体" w:hAnsi="宋体" w:eastAsia="宋体" w:cs="宋体"/>
          <w:sz w:val="24"/>
        </w:rPr>
      </w:pPr>
      <w:r>
        <w:rPr>
          <w:rFonts w:hint="eastAsia" w:ascii="宋体" w:hAnsi="宋体" w:eastAsia="宋体" w:cs="宋体"/>
          <w:sz w:val="24"/>
        </w:rPr>
        <w:t>27．磋商过程的保密性</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27.2 供应商在磋商过程中，所进行的力图影响磋商结果的，不符合《政府采购法》及本次磋商中有关规定的活动，将被取消其磋商资格。</w:t>
      </w:r>
    </w:p>
    <w:p>
      <w:pPr>
        <w:pStyle w:val="4"/>
        <w:spacing w:before="100" w:beforeAutospacing="1" w:after="100" w:afterAutospacing="1" w:line="360" w:lineRule="auto"/>
        <w:jc w:val="center"/>
        <w:rPr>
          <w:rFonts w:hint="eastAsia" w:ascii="宋体" w:hAnsi="宋体" w:eastAsia="宋体" w:cs="宋体"/>
          <w:sz w:val="28"/>
          <w:szCs w:val="28"/>
        </w:rPr>
      </w:pPr>
      <w:bookmarkStart w:id="94" w:name="_Toc462223637"/>
      <w:bookmarkStart w:id="95" w:name="_Toc298240410"/>
      <w:bookmarkStart w:id="96" w:name="_Toc349637925"/>
      <w:bookmarkStart w:id="97" w:name="_Toc349573126"/>
      <w:bookmarkStart w:id="98" w:name="_Toc1884"/>
      <w:bookmarkStart w:id="99" w:name="_Toc267301287"/>
      <w:bookmarkStart w:id="100" w:name="_Toc22635"/>
      <w:r>
        <w:rPr>
          <w:rFonts w:hint="eastAsia" w:ascii="宋体" w:hAnsi="宋体" w:eastAsia="宋体" w:cs="宋体"/>
          <w:sz w:val="28"/>
          <w:szCs w:val="28"/>
        </w:rPr>
        <w:t>（六）  授予合同</w:t>
      </w:r>
      <w:bookmarkEnd w:id="94"/>
      <w:bookmarkEnd w:id="95"/>
      <w:bookmarkEnd w:id="96"/>
      <w:bookmarkEnd w:id="97"/>
      <w:bookmarkEnd w:id="98"/>
      <w:bookmarkEnd w:id="99"/>
      <w:bookmarkEnd w:id="100"/>
    </w:p>
    <w:p>
      <w:pPr>
        <w:spacing w:line="360" w:lineRule="auto"/>
        <w:rPr>
          <w:rFonts w:hint="eastAsia" w:ascii="宋体" w:hAnsi="宋体" w:eastAsia="宋体" w:cs="宋体"/>
          <w:sz w:val="24"/>
        </w:rPr>
      </w:pPr>
      <w:r>
        <w:rPr>
          <w:rFonts w:hint="eastAsia" w:ascii="宋体" w:hAnsi="宋体" w:eastAsia="宋体" w:cs="宋体"/>
          <w:sz w:val="24"/>
        </w:rPr>
        <w:t>28、合同授予标准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28.1</w:t>
      </w:r>
      <w:r>
        <w:rPr>
          <w:rFonts w:hint="eastAsia" w:ascii="宋体" w:hAnsi="宋体" w:eastAsia="宋体" w:cs="宋体"/>
          <w:bCs/>
          <w:sz w:val="24"/>
        </w:rPr>
        <w:t>合同将授予被确定为实质上响应磋商文件要求，符合采购需求、质量和服务相等且报价最低的供应商</w:t>
      </w: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28.2 最低报价不一定是被授予合同的保证。</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28.3 如果确定该供应商无法圆满履行合同，招标代理机构将对下一个可能中标的供应商资格作出类似的审查。</w:t>
      </w:r>
    </w:p>
    <w:p>
      <w:pPr>
        <w:spacing w:line="360" w:lineRule="auto"/>
        <w:rPr>
          <w:rFonts w:hint="eastAsia" w:ascii="宋体" w:hAnsi="宋体" w:eastAsia="宋体" w:cs="宋体"/>
          <w:sz w:val="24"/>
        </w:rPr>
      </w:pPr>
      <w:r>
        <w:rPr>
          <w:rFonts w:hint="eastAsia" w:ascii="宋体" w:hAnsi="宋体" w:eastAsia="宋体" w:cs="宋体"/>
          <w:sz w:val="24"/>
        </w:rPr>
        <w:t>29、接受和拒绝任何或所有磋商的权力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29.1为维护国家利益，买方在授予合同之前仍有选择或拒绝任何全部磋商的权力，并对所采取的行为不作任何解释。</w:t>
      </w:r>
    </w:p>
    <w:p>
      <w:pPr>
        <w:spacing w:line="360" w:lineRule="auto"/>
        <w:rPr>
          <w:rFonts w:hint="eastAsia" w:ascii="宋体" w:hAnsi="宋体" w:eastAsia="宋体" w:cs="宋体"/>
          <w:sz w:val="24"/>
        </w:rPr>
      </w:pPr>
      <w:r>
        <w:rPr>
          <w:rFonts w:hint="eastAsia" w:ascii="宋体" w:hAnsi="宋体" w:eastAsia="宋体" w:cs="宋体"/>
          <w:sz w:val="24"/>
        </w:rPr>
        <w:t>30、成交通知书</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30.1 成交公告期满后，招标代理机构将以书面形式发出《成交通知书》，但发出时间不超过磋商有效期，《成交通知书》一经发出即发生法律效力。</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30.2 《成交通知书》将作为签订合同的依据。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30.3 招标代理机构将在成交方按规定签订合同并提交履约保证金（如适用）后退还其磋商保证金。</w:t>
      </w:r>
    </w:p>
    <w:p>
      <w:pPr>
        <w:spacing w:line="360" w:lineRule="auto"/>
        <w:rPr>
          <w:rFonts w:hint="eastAsia" w:ascii="宋体" w:hAnsi="宋体" w:eastAsia="宋体" w:cs="宋体"/>
          <w:sz w:val="24"/>
        </w:rPr>
      </w:pPr>
      <w:r>
        <w:rPr>
          <w:rFonts w:hint="eastAsia" w:ascii="宋体" w:hAnsi="宋体" w:eastAsia="宋体" w:cs="宋体"/>
          <w:sz w:val="24"/>
        </w:rPr>
        <w:t>31、签订合同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31.1 供应商收到《成交通知书》后，按《成交通知书》中规定的时间地点与买方签订合同。买方和成交方不得再订立背离合同实质性内容的其他协议。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31.2如成交方拒签合同，则按违约处理。招标代理机构没收其磋商保证金。</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31.3磋商文件、成交方的磋商响应文件及其澄清文件等，均为签订经济合同的依据。</w:t>
      </w:r>
    </w:p>
    <w:p>
      <w:pPr>
        <w:spacing w:line="360" w:lineRule="auto"/>
        <w:rPr>
          <w:rFonts w:hint="eastAsia" w:ascii="宋体" w:hAnsi="宋体" w:eastAsia="宋体" w:cs="宋体"/>
          <w:sz w:val="24"/>
        </w:rPr>
      </w:pPr>
      <w:r>
        <w:rPr>
          <w:rFonts w:hint="eastAsia" w:ascii="宋体" w:hAnsi="宋体" w:eastAsia="宋体" w:cs="宋体"/>
          <w:sz w:val="24"/>
        </w:rPr>
        <w:t>32、履约保证金（如适用）</w:t>
      </w:r>
    </w:p>
    <w:p>
      <w:pPr>
        <w:spacing w:line="360" w:lineRule="auto"/>
        <w:ind w:left="728" w:leftChars="185" w:hanging="340" w:hangingChars="142"/>
        <w:rPr>
          <w:rFonts w:hint="eastAsia" w:ascii="宋体" w:hAnsi="宋体" w:eastAsia="宋体" w:cs="宋体"/>
          <w:sz w:val="24"/>
        </w:rPr>
      </w:pPr>
      <w:r>
        <w:rPr>
          <w:rFonts w:hint="eastAsia" w:ascii="宋体" w:hAnsi="宋体" w:eastAsia="宋体" w:cs="宋体"/>
          <w:sz w:val="24"/>
        </w:rPr>
        <w:t>32.1成交方应按合同规定的方式、时间和金额向买方提交履约保证金。</w:t>
      </w:r>
    </w:p>
    <w:p>
      <w:pPr>
        <w:spacing w:line="360" w:lineRule="auto"/>
        <w:rPr>
          <w:rFonts w:hint="eastAsia" w:ascii="宋体" w:hAnsi="宋体" w:eastAsia="宋体" w:cs="宋体"/>
          <w:sz w:val="24"/>
        </w:rPr>
      </w:pPr>
      <w:r>
        <w:rPr>
          <w:rFonts w:hint="eastAsia" w:ascii="宋体" w:hAnsi="宋体" w:eastAsia="宋体" w:cs="宋体"/>
          <w:sz w:val="24"/>
        </w:rPr>
        <w:t>33、招标代理服务费</w:t>
      </w:r>
    </w:p>
    <w:p>
      <w:pPr>
        <w:pStyle w:val="23"/>
        <w:spacing w:line="360" w:lineRule="auto"/>
        <w:ind w:firstLine="480" w:firstLineChars="200"/>
        <w:rPr>
          <w:rFonts w:hint="eastAsia" w:ascii="宋体" w:hAnsi="宋体" w:eastAsia="宋体" w:cs="宋体"/>
          <w:sz w:val="24"/>
        </w:rPr>
      </w:pPr>
      <w:r>
        <w:rPr>
          <w:rFonts w:hint="eastAsia" w:ascii="宋体" w:hAnsi="宋体" w:eastAsia="宋体" w:cs="宋体"/>
          <w:sz w:val="24"/>
        </w:rPr>
        <w:t>33.1成交方须向招标代理机构按如下标准和期限交纳招标代理代理服务费：</w:t>
      </w:r>
    </w:p>
    <w:p>
      <w:pPr>
        <w:pStyle w:val="23"/>
        <w:adjustRightInd w:val="0"/>
        <w:spacing w:line="360" w:lineRule="auto"/>
        <w:ind w:left="718" w:leftChars="342"/>
        <w:rPr>
          <w:rFonts w:hint="eastAsia" w:ascii="宋体" w:hAnsi="宋体" w:eastAsia="宋体" w:cs="宋体"/>
          <w:sz w:val="24"/>
        </w:rPr>
      </w:pPr>
      <w:r>
        <w:rPr>
          <w:rFonts w:hint="eastAsia" w:ascii="宋体" w:hAnsi="宋体" w:eastAsia="宋体" w:cs="宋体"/>
          <w:bCs/>
          <w:sz w:val="24"/>
        </w:rPr>
        <w:t>33.1.1</w:t>
      </w:r>
      <w:r>
        <w:rPr>
          <w:rFonts w:hint="eastAsia" w:ascii="宋体" w:hAnsi="宋体" w:eastAsia="宋体" w:cs="宋体"/>
          <w:sz w:val="24"/>
          <w:szCs w:val="24"/>
        </w:rPr>
        <w:t>成交方须向</w:t>
      </w:r>
      <w:r>
        <w:rPr>
          <w:rFonts w:hint="eastAsia" w:ascii="宋体" w:hAnsi="宋体" w:eastAsia="宋体" w:cs="宋体"/>
          <w:sz w:val="24"/>
          <w:szCs w:val="24"/>
          <w:lang w:eastAsia="zh-CN"/>
        </w:rPr>
        <w:t>新疆优尚资创招标代理有限公司新疆分公司</w:t>
      </w:r>
      <w:r>
        <w:rPr>
          <w:rFonts w:hint="eastAsia" w:ascii="宋体" w:hAnsi="宋体" w:eastAsia="宋体" w:cs="宋体"/>
          <w:sz w:val="24"/>
          <w:szCs w:val="24"/>
        </w:rPr>
        <w:t>支付</w:t>
      </w:r>
      <w:r>
        <w:rPr>
          <w:rFonts w:hint="eastAsia" w:ascii="宋体" w:hAnsi="宋体" w:eastAsia="宋体" w:cs="宋体"/>
          <w:sz w:val="24"/>
        </w:rPr>
        <w:t>招标代理服务费。</w:t>
      </w:r>
    </w:p>
    <w:p>
      <w:pPr>
        <w:pStyle w:val="23"/>
        <w:adjustRightInd w:val="0"/>
        <w:spacing w:line="360" w:lineRule="auto"/>
        <w:ind w:firstLine="720" w:firstLineChars="300"/>
        <w:rPr>
          <w:rFonts w:hint="eastAsia" w:ascii="宋体" w:hAnsi="宋体" w:eastAsia="宋体" w:cs="宋体"/>
          <w:bCs/>
          <w:sz w:val="24"/>
        </w:rPr>
      </w:pPr>
      <w:r>
        <w:rPr>
          <w:rFonts w:hint="eastAsia" w:ascii="宋体" w:hAnsi="宋体" w:eastAsia="宋体" w:cs="宋体"/>
          <w:bCs/>
          <w:sz w:val="24"/>
        </w:rPr>
        <w:t>33.1.2 在合同签订后一周内，成交方须按规定的标准以网银或电汇的方式一次性向招标代理机构缴纳磋商代理服务费。</w:t>
      </w:r>
      <w:bookmarkStart w:id="101" w:name="_Toc267301288"/>
    </w:p>
    <w:p>
      <w:pPr>
        <w:pStyle w:val="4"/>
        <w:spacing w:before="100" w:beforeAutospacing="1" w:after="100" w:afterAutospacing="1" w:line="360" w:lineRule="auto"/>
        <w:jc w:val="center"/>
        <w:rPr>
          <w:rFonts w:hint="eastAsia" w:ascii="宋体" w:hAnsi="宋体" w:eastAsia="宋体" w:cs="宋体"/>
          <w:bCs/>
          <w:sz w:val="24"/>
        </w:rPr>
      </w:pPr>
      <w:bookmarkStart w:id="102" w:name="_Toc30666"/>
      <w:bookmarkStart w:id="103" w:name="_Toc15189"/>
      <w:bookmarkStart w:id="104" w:name="_Toc462223638"/>
      <w:r>
        <w:rPr>
          <w:rFonts w:hint="eastAsia" w:ascii="宋体" w:hAnsi="宋体" w:eastAsia="宋体" w:cs="宋体"/>
          <w:sz w:val="28"/>
          <w:szCs w:val="28"/>
        </w:rPr>
        <w:t>（七）  磋商失败条件</w:t>
      </w:r>
      <w:bookmarkEnd w:id="102"/>
      <w:bookmarkEnd w:id="103"/>
      <w:bookmarkEnd w:id="104"/>
    </w:p>
    <w:p>
      <w:pPr>
        <w:pStyle w:val="23"/>
        <w:tabs>
          <w:tab w:val="left" w:pos="720"/>
          <w:tab w:val="left" w:pos="900"/>
          <w:tab w:val="left" w:pos="1260"/>
        </w:tabs>
        <w:adjustRightInd w:val="0"/>
        <w:spacing w:line="360" w:lineRule="auto"/>
        <w:ind w:left="720" w:hanging="720" w:hangingChars="300"/>
        <w:rPr>
          <w:rFonts w:hint="eastAsia" w:ascii="宋体" w:hAnsi="宋体" w:eastAsia="宋体" w:cs="宋体"/>
          <w:bCs/>
          <w:sz w:val="24"/>
        </w:rPr>
      </w:pPr>
      <w:r>
        <w:rPr>
          <w:rFonts w:hint="eastAsia" w:ascii="宋体" w:hAnsi="宋体" w:eastAsia="宋体" w:cs="宋体"/>
          <w:bCs/>
          <w:sz w:val="24"/>
        </w:rPr>
        <w:t>34、出现影响采购公正的违法、违规行为的；</w:t>
      </w:r>
    </w:p>
    <w:p>
      <w:pPr>
        <w:pStyle w:val="23"/>
        <w:tabs>
          <w:tab w:val="left" w:pos="720"/>
          <w:tab w:val="left" w:pos="900"/>
          <w:tab w:val="left" w:pos="1260"/>
        </w:tabs>
        <w:adjustRightInd w:val="0"/>
        <w:spacing w:line="360" w:lineRule="auto"/>
        <w:ind w:left="720" w:hanging="720" w:hangingChars="300"/>
        <w:rPr>
          <w:rFonts w:hint="eastAsia" w:ascii="宋体" w:hAnsi="宋体" w:eastAsia="宋体" w:cs="宋体"/>
          <w:bCs/>
          <w:sz w:val="24"/>
        </w:rPr>
      </w:pPr>
      <w:r>
        <w:rPr>
          <w:rFonts w:hint="eastAsia" w:ascii="宋体" w:hAnsi="宋体" w:eastAsia="宋体" w:cs="宋体"/>
          <w:bCs/>
          <w:sz w:val="24"/>
        </w:rPr>
        <w:t>35、因重大变故，采购任务取消的；</w:t>
      </w:r>
    </w:p>
    <w:p>
      <w:pPr>
        <w:pStyle w:val="23"/>
        <w:tabs>
          <w:tab w:val="left" w:pos="720"/>
          <w:tab w:val="left" w:pos="900"/>
          <w:tab w:val="left" w:pos="1260"/>
        </w:tabs>
        <w:adjustRightInd w:val="0"/>
        <w:spacing w:line="360" w:lineRule="auto"/>
        <w:ind w:left="720" w:hanging="720" w:hangingChars="300"/>
        <w:rPr>
          <w:rFonts w:hint="eastAsia" w:ascii="宋体" w:hAnsi="宋体" w:eastAsia="宋体" w:cs="宋体"/>
          <w:bCs/>
          <w:sz w:val="24"/>
        </w:rPr>
      </w:pPr>
      <w:r>
        <w:rPr>
          <w:rFonts w:hint="eastAsia" w:ascii="宋体" w:hAnsi="宋体" w:eastAsia="宋体" w:cs="宋体"/>
          <w:bCs/>
          <w:sz w:val="24"/>
        </w:rPr>
        <w:t>36、磋商响应文件截止时间后，实际参与的供应商不足法定家数的；</w:t>
      </w:r>
    </w:p>
    <w:p>
      <w:pPr>
        <w:pStyle w:val="23"/>
        <w:tabs>
          <w:tab w:val="left" w:pos="720"/>
          <w:tab w:val="left" w:pos="900"/>
          <w:tab w:val="left" w:pos="1260"/>
        </w:tabs>
        <w:adjustRightInd w:val="0"/>
        <w:spacing w:line="360" w:lineRule="auto"/>
        <w:ind w:left="720" w:hanging="720" w:hangingChars="300"/>
        <w:rPr>
          <w:rFonts w:hint="eastAsia" w:ascii="宋体" w:hAnsi="宋体" w:eastAsia="宋体" w:cs="宋体"/>
          <w:bCs/>
          <w:sz w:val="24"/>
        </w:rPr>
      </w:pPr>
      <w:r>
        <w:rPr>
          <w:rFonts w:hint="eastAsia" w:ascii="宋体" w:hAnsi="宋体" w:eastAsia="宋体" w:cs="宋体"/>
          <w:bCs/>
          <w:sz w:val="24"/>
        </w:rPr>
        <w:t>37、最终报价均超过采购预算的；</w:t>
      </w:r>
    </w:p>
    <w:p>
      <w:pPr>
        <w:spacing w:line="360" w:lineRule="auto"/>
        <w:rPr>
          <w:rFonts w:hint="eastAsia" w:ascii="宋体" w:hAnsi="宋体" w:eastAsia="宋体" w:cs="宋体"/>
          <w:bCs/>
          <w:sz w:val="24"/>
          <w:szCs w:val="22"/>
        </w:rPr>
      </w:pPr>
      <w:r>
        <w:rPr>
          <w:rFonts w:hint="eastAsia" w:ascii="宋体" w:hAnsi="宋体" w:eastAsia="宋体" w:cs="宋体"/>
          <w:bCs/>
          <w:sz w:val="24"/>
          <w:szCs w:val="22"/>
        </w:rPr>
        <w:t>38、对磋商文件作出实质性响应的供应商不足法定家数的；</w:t>
      </w:r>
    </w:p>
    <w:p>
      <w:pPr>
        <w:widowControl/>
        <w:spacing w:line="360" w:lineRule="auto"/>
        <w:jc w:val="center"/>
        <w:outlineLvl w:val="0"/>
        <w:rPr>
          <w:rFonts w:hint="eastAsia" w:ascii="宋体" w:hAnsi="宋体" w:eastAsia="宋体" w:cs="宋体"/>
          <w:sz w:val="32"/>
          <w:szCs w:val="32"/>
        </w:rPr>
        <w:sectPr>
          <w:footerReference r:id="rId8" w:type="default"/>
          <w:pgSz w:w="11907" w:h="16840"/>
          <w:pgMar w:top="1077" w:right="1417" w:bottom="1417" w:left="1417" w:header="680" w:footer="799" w:gutter="0"/>
          <w:pgNumType w:fmt="decimal" w:start="1"/>
          <w:cols w:space="720" w:num="1"/>
          <w:docGrid w:type="lines" w:linePitch="409" w:charSpace="0"/>
        </w:sectPr>
      </w:pPr>
    </w:p>
    <w:bookmarkEnd w:id="101"/>
    <w:p>
      <w:pPr>
        <w:widowControl/>
        <w:numPr>
          <w:ilvl w:val="0"/>
          <w:numId w:val="2"/>
        </w:numPr>
        <w:spacing w:line="240" w:lineRule="auto"/>
        <w:jc w:val="center"/>
        <w:outlineLvl w:val="0"/>
        <w:rPr>
          <w:rFonts w:hint="eastAsia" w:ascii="宋体" w:hAnsi="宋体" w:eastAsia="宋体" w:cs="宋体"/>
          <w:b/>
          <w:sz w:val="32"/>
          <w:szCs w:val="32"/>
          <w:lang w:val="en-US" w:eastAsia="zh-CN"/>
        </w:rPr>
      </w:pPr>
      <w:bookmarkStart w:id="105" w:name="_Toc30297"/>
      <w:r>
        <w:rPr>
          <w:rFonts w:hint="eastAsia" w:ascii="宋体" w:hAnsi="宋体" w:eastAsia="宋体" w:cs="宋体"/>
          <w:b/>
          <w:sz w:val="32"/>
          <w:szCs w:val="32"/>
        </w:rPr>
        <w:t>项目需求</w:t>
      </w:r>
      <w:bookmarkEnd w:id="105"/>
      <w:bookmarkStart w:id="106" w:name="_Toc1943"/>
    </w:p>
    <w:tbl>
      <w:tblPr>
        <w:tblStyle w:val="39"/>
        <w:tblW w:w="94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2032"/>
        <w:gridCol w:w="6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采购</w:t>
            </w:r>
          </w:p>
          <w:p>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内容</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val="en-US" w:eastAsia="zh-CN"/>
              </w:rPr>
            </w:pPr>
            <w:r>
              <w:rPr>
                <w:rFonts w:hint="eastAsia" w:ascii="宋体" w:hAnsi="宋体" w:eastAsia="宋体" w:cs="宋体"/>
                <w:b/>
                <w:bCs/>
                <w:i w:val="0"/>
                <w:iCs w:val="0"/>
                <w:color w:val="auto"/>
                <w:sz w:val="24"/>
                <w:szCs w:val="24"/>
                <w:u w:val="none"/>
                <w:lang w:val="en-US" w:eastAsia="zh-CN"/>
              </w:rPr>
              <w:t>数量</w:t>
            </w:r>
          </w:p>
        </w:tc>
        <w:tc>
          <w:tcPr>
            <w:tcW w:w="6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2"/>
                <w:sz w:val="24"/>
                <w:szCs w:val="24"/>
                <w:u w:val="none"/>
                <w:lang w:val="en-US" w:eastAsia="zh-CN" w:bidi="ar-SA"/>
              </w:rPr>
            </w:pPr>
            <w:r>
              <w:rPr>
                <w:rFonts w:hint="eastAsia" w:ascii="宋体" w:hAnsi="宋体" w:cs="宋体"/>
                <w:b/>
                <w:bCs/>
                <w:i w:val="0"/>
                <w:iCs w:val="0"/>
                <w:color w:val="auto"/>
                <w:kern w:val="2"/>
                <w:sz w:val="24"/>
                <w:szCs w:val="24"/>
                <w:u w:val="none"/>
                <w:lang w:val="en-US" w:eastAsia="zh-CN" w:bidi="ar-SA"/>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电视机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263</w:t>
            </w:r>
          </w:p>
        </w:tc>
        <w:tc>
          <w:tcPr>
            <w:tcW w:w="6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65寸；屏幕比例：16:9无边框全面屏 分辨率：4K超高清3840X2160高色域电视  色域覆盖率：BT709色域值130% 刷新率120HZ+MEMC CPU架构：四核 GPU：G52MP2(四核）运行内存RAM:3GB 存储内存ROM:32GB  动态对比度5000:1可控调节（可手动打开或关闭） 带自然光护眼技术  WIFI：内置、支持2.4G&amp;5G频段  音频：带DDAS数字动态声鼓，支持Dolby音频解码， HDR:要求符合全生态HDR技术 需支持8K视频解码 AI智慧声控可语音点播电影、电视剧、音乐、天气预报、英文翻译等、 机身接口：HDMI2.1接口3组 USB2.0接口2组 AV输入：1组 RJ45接口：1组 RF高清接口：1组 USB播放音视频要求：图片、MP3多媒体播放、MEPG-2,MEPG-4,H.264/H.265, AVS/AVS+等格式 音频WMA/AC3/AAC/DTS等格式 功能要求：实现多屏互动  网络投屏 网络教育内容 在线影院</w:t>
            </w:r>
            <w:r>
              <w:rPr>
                <w:rFonts w:hint="eastAsia" w:ascii="宋体" w:hAnsi="宋体" w:cs="宋体"/>
                <w:i w:val="0"/>
                <w:iCs w:val="0"/>
                <w:color w:val="000000"/>
                <w:kern w:val="2"/>
                <w:sz w:val="22"/>
                <w:szCs w:val="22"/>
                <w:u w:val="none"/>
                <w:lang w:val="en-US" w:eastAsia="zh-CN" w:bidi="ar-SA"/>
              </w:rPr>
              <w:t xml:space="preserve"> 影音娱乐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8" w:hRule="atLeast"/>
        </w:trPr>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电视机</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22</w:t>
            </w:r>
          </w:p>
        </w:tc>
        <w:tc>
          <w:tcPr>
            <w:tcW w:w="6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 xml:space="preserve">65寸；屏幕比例：16:9无边框全面屏 外壳体金属材质   分辨率：4K超高清3840X2160量子点电视  色域覆盖率：BT709色域值157%  CPU架构：四核 GPU：G52MP2(四核）运行内存RAM:3GB 存储内存ROM:32GB  动态对比度5000:1可控调节（可手动打开或关闭） 带自然光护眼技术  WIFI：内置、支持2.4G&amp;5G频段  音频：带DDAS数字动态声鼓，支持Dolby音频解码，电视机音响可实现智能音响模式（关屏使用音响）音响单元可分频独立控制。 HDR:要求符合全生态HDR技术 需支持8K视频解码 AI智慧声控可语音点播电影、电视剧、音乐、天气预报、英文翻译等、社交功能：要求可实现线上视频会议，6路视频通话链接，具备人脸识别系统，多屏互动。 机身接口：HDMI2.1接口3组 USB2.0接口2组 AV输入：1组 RJ45接口：1组 RF高清接口：1组 USB播放音视频要求：图片、MP3多媒体播放、MEPG-2,MEPG-4,H.264/H.265, AVS/AVS+等格式 音频WMA/AC3/AAC/DTS等格式 功能要求：实现多屏互动  网络投屏 网络教育内容 在线影院 </w:t>
            </w:r>
            <w:r>
              <w:rPr>
                <w:rFonts w:hint="eastAsia" w:ascii="宋体" w:hAnsi="宋体" w:cs="宋体"/>
                <w:i w:val="0"/>
                <w:iCs w:val="0"/>
                <w:color w:val="000000"/>
                <w:kern w:val="2"/>
                <w:sz w:val="22"/>
                <w:szCs w:val="22"/>
                <w:u w:val="none"/>
                <w:lang w:val="en-US" w:eastAsia="zh-CN" w:bidi="ar-SA"/>
              </w:rPr>
              <w:t>影音娱乐</w:t>
            </w:r>
          </w:p>
        </w:tc>
      </w:tr>
    </w:tbl>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宋体" w:hAnsi="宋体" w:eastAsia="宋体" w:cs="宋体"/>
          <w:b/>
          <w:bCs w:val="0"/>
          <w:sz w:val="24"/>
          <w:szCs w:val="24"/>
          <w:lang w:val="en-US" w:eastAsia="zh-CN"/>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宋体" w:hAnsi="宋体" w:eastAsia="宋体" w:cs="宋体"/>
          <w:b/>
          <w:bCs w:val="0"/>
          <w:sz w:val="24"/>
          <w:szCs w:val="24"/>
          <w:lang w:val="en-US" w:eastAsia="zh-CN"/>
        </w:rPr>
      </w:pPr>
    </w:p>
    <w:p>
      <w:pPr>
        <w:tabs>
          <w:tab w:val="left" w:pos="720"/>
        </w:tabs>
        <w:spacing w:line="360" w:lineRule="auto"/>
        <w:rPr>
          <w:rFonts w:hint="eastAsia" w:ascii="宋体" w:hAnsi="宋体" w:eastAsia="宋体" w:cs="宋体"/>
          <w:b/>
          <w:bCs/>
          <w:sz w:val="24"/>
          <w:szCs w:val="24"/>
        </w:rPr>
      </w:pPr>
      <w:r>
        <w:rPr>
          <w:rFonts w:hint="eastAsia" w:ascii="宋体" w:hAnsi="宋体" w:eastAsia="宋体" w:cs="宋体"/>
          <w:b/>
          <w:bCs w:val="0"/>
          <w:sz w:val="24"/>
          <w:szCs w:val="24"/>
          <w:lang w:val="en-US" w:eastAsia="zh-CN"/>
        </w:rPr>
        <w:t>1、</w:t>
      </w:r>
      <w:r>
        <w:rPr>
          <w:rFonts w:hint="eastAsia" w:ascii="宋体" w:hAnsi="宋体" w:eastAsia="宋体" w:cs="宋体"/>
          <w:b/>
          <w:bCs/>
          <w:sz w:val="24"/>
          <w:szCs w:val="24"/>
        </w:rPr>
        <w:t>质量要求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.1 投标供应商必须根据采购文件的要求积极响应，提供的产品不得低于用户的要求。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.2 投标产品属于国家规定“三包”范围的，其产品质量保证期不得低于“三包”规定。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.3 质量保证期过后，采购人需要继续由原供应商和制造商提供售后服务的，该供应商和制造商应以优惠价格提供售后服务。</w:t>
      </w:r>
    </w:p>
    <w:p>
      <w:pPr>
        <w:tabs>
          <w:tab w:val="left" w:pos="900"/>
          <w:tab w:val="left" w:pos="5500"/>
        </w:tabs>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2</w:t>
      </w:r>
      <w:r>
        <w:rPr>
          <w:rFonts w:hint="eastAsia" w:ascii="宋体" w:hAnsi="宋体" w:eastAsia="宋体" w:cs="宋体"/>
          <w:b/>
          <w:bCs/>
          <w:sz w:val="24"/>
          <w:szCs w:val="24"/>
        </w:rPr>
        <w:t>、商务要求</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投标报价为</w:t>
      </w:r>
      <w:r>
        <w:rPr>
          <w:rFonts w:hint="eastAsia" w:ascii="宋体" w:hAnsi="宋体" w:eastAsia="宋体" w:cs="宋体"/>
          <w:sz w:val="24"/>
          <w:szCs w:val="24"/>
          <w:lang w:eastAsia="zh-CN"/>
        </w:rPr>
        <w:t>成交</w:t>
      </w:r>
      <w:r>
        <w:rPr>
          <w:rFonts w:hint="eastAsia" w:ascii="宋体" w:hAnsi="宋体" w:eastAsia="宋体" w:cs="宋体"/>
          <w:sz w:val="24"/>
          <w:szCs w:val="24"/>
        </w:rPr>
        <w:t>人送货到目的地的</w:t>
      </w:r>
      <w:r>
        <w:rPr>
          <w:rFonts w:hint="eastAsia" w:ascii="宋体" w:hAnsi="宋体" w:eastAsia="宋体" w:cs="宋体"/>
          <w:sz w:val="24"/>
          <w:szCs w:val="24"/>
          <w:lang w:eastAsia="zh-CN"/>
        </w:rPr>
        <w:t>供货</w:t>
      </w:r>
      <w:r>
        <w:rPr>
          <w:rFonts w:hint="eastAsia" w:ascii="宋体" w:hAnsi="宋体" w:eastAsia="宋体" w:cs="宋体"/>
          <w:sz w:val="24"/>
          <w:szCs w:val="24"/>
        </w:rPr>
        <w:t>价，包括包装及运输、税费等所有费用。</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 xml:space="preserve">.2 </w:t>
      </w:r>
      <w:r>
        <w:rPr>
          <w:rFonts w:hint="eastAsia" w:ascii="宋体" w:hAnsi="宋体" w:cs="宋体"/>
          <w:sz w:val="24"/>
          <w:szCs w:val="24"/>
          <w:lang w:val="en-US" w:eastAsia="zh-CN"/>
        </w:rPr>
        <w:t>为</w:t>
      </w:r>
      <w:r>
        <w:rPr>
          <w:rFonts w:hint="eastAsia" w:ascii="宋体" w:hAnsi="宋体" w:eastAsia="宋体" w:cs="宋体"/>
          <w:sz w:val="24"/>
          <w:szCs w:val="24"/>
          <w:lang w:val="en-US" w:eastAsia="zh-CN"/>
        </w:rPr>
        <w:t>全力推进项目建设</w:t>
      </w:r>
      <w:r>
        <w:rPr>
          <w:rFonts w:hint="eastAsia" w:ascii="宋体" w:hAnsi="宋体" w:cs="宋体"/>
          <w:sz w:val="24"/>
          <w:szCs w:val="24"/>
          <w:lang w:val="en-US" w:eastAsia="zh-CN"/>
        </w:rPr>
        <w:t>，供应商需</w:t>
      </w:r>
      <w:r>
        <w:rPr>
          <w:rFonts w:hint="eastAsia" w:ascii="宋体" w:hAnsi="宋体" w:eastAsia="宋体" w:cs="宋体"/>
          <w:sz w:val="24"/>
          <w:szCs w:val="24"/>
          <w:lang w:val="en-US" w:eastAsia="zh-CN"/>
        </w:rPr>
        <w:t>自采购合同签订后</w:t>
      </w:r>
      <w:r>
        <w:rPr>
          <w:rFonts w:hint="eastAsia" w:ascii="宋体" w:hAnsi="宋体" w:cs="宋体"/>
          <w:sz w:val="24"/>
          <w:szCs w:val="24"/>
          <w:lang w:val="en-US" w:eastAsia="zh-CN"/>
        </w:rPr>
        <w:t>七</w:t>
      </w:r>
      <w:r>
        <w:rPr>
          <w:rFonts w:hint="eastAsia" w:ascii="宋体" w:hAnsi="宋体" w:eastAsia="宋体" w:cs="宋体"/>
          <w:sz w:val="24"/>
          <w:szCs w:val="24"/>
          <w:lang w:val="en-US" w:eastAsia="zh-CN"/>
        </w:rPr>
        <w:t>日内</w:t>
      </w:r>
      <w:r>
        <w:rPr>
          <w:rFonts w:hint="eastAsia" w:ascii="宋体" w:hAnsi="宋体" w:cs="宋体"/>
          <w:sz w:val="24"/>
          <w:szCs w:val="24"/>
          <w:lang w:val="en-US" w:eastAsia="zh-CN"/>
        </w:rPr>
        <w:t>必须完成供货</w:t>
      </w:r>
      <w:r>
        <w:rPr>
          <w:rFonts w:hint="eastAsia" w:ascii="宋体" w:hAnsi="宋体" w:eastAsia="宋体" w:cs="宋体"/>
          <w:sz w:val="24"/>
          <w:szCs w:val="24"/>
          <w:lang w:val="en-US" w:eastAsia="zh-CN"/>
        </w:rPr>
        <w:t>并完成调换，交货地点以采购人通知为准</w:t>
      </w:r>
      <w:r>
        <w:rPr>
          <w:rFonts w:hint="eastAsia" w:ascii="宋体" w:hAnsi="宋体" w:cs="宋体"/>
          <w:sz w:val="24"/>
          <w:szCs w:val="24"/>
          <w:lang w:val="en-US" w:eastAsia="zh-CN"/>
        </w:rPr>
        <w:t>。</w:t>
      </w:r>
    </w:p>
    <w:p>
      <w:pPr>
        <w:pStyle w:val="2"/>
        <w:rPr>
          <w:rFonts w:hint="eastAsia" w:ascii="宋体" w:hAnsi="宋体" w:cs="宋体"/>
          <w:b/>
          <w:bCs/>
          <w:sz w:val="24"/>
          <w:szCs w:val="24"/>
          <w:lang w:val="en-US" w:eastAsia="zh-CN"/>
        </w:rPr>
      </w:pPr>
      <w:r>
        <w:rPr>
          <w:rFonts w:hint="eastAsia" w:ascii="宋体" w:hAnsi="宋体" w:cs="宋体"/>
          <w:b/>
          <w:bCs/>
          <w:sz w:val="24"/>
          <w:szCs w:val="24"/>
          <w:lang w:val="en-US" w:eastAsia="zh-CN"/>
        </w:rPr>
        <w:t>3、安装要求</w:t>
      </w: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3.1</w:t>
      </w:r>
      <w:r>
        <w:rPr>
          <w:rFonts w:hint="default" w:ascii="宋体" w:hAnsi="宋体" w:cs="宋体"/>
          <w:sz w:val="24"/>
          <w:szCs w:val="24"/>
          <w:lang w:val="en-US" w:eastAsia="zh-CN"/>
        </w:rPr>
        <w:t>根据施工现场要求镶嵌式安装</w:t>
      </w:r>
      <w:r>
        <w:rPr>
          <w:rFonts w:hint="eastAsia" w:ascii="宋体" w:hAnsi="宋体" w:cs="宋体"/>
          <w:sz w:val="24"/>
          <w:szCs w:val="24"/>
          <w:lang w:val="en-US" w:eastAsia="zh-CN"/>
        </w:rPr>
        <w:t>。</w:t>
      </w:r>
    </w:p>
    <w:p>
      <w:pPr>
        <w:spacing w:line="360" w:lineRule="auto"/>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w:t>
      </w:r>
      <w:r>
        <w:rPr>
          <w:rFonts w:hint="default" w:ascii="宋体" w:hAnsi="宋体" w:cs="宋体"/>
          <w:sz w:val="24"/>
          <w:szCs w:val="24"/>
          <w:lang w:val="en-US" w:eastAsia="zh-CN"/>
        </w:rPr>
        <w:t>2</w:t>
      </w:r>
      <w:r>
        <w:rPr>
          <w:rFonts w:hint="eastAsia" w:ascii="宋体" w:hAnsi="宋体" w:cs="宋体"/>
          <w:sz w:val="24"/>
          <w:szCs w:val="24"/>
          <w:lang w:val="en-US" w:eastAsia="zh-CN"/>
        </w:rPr>
        <w:t xml:space="preserve"> </w:t>
      </w:r>
      <w:r>
        <w:rPr>
          <w:rFonts w:hint="default" w:ascii="宋体" w:hAnsi="宋体" w:cs="宋体"/>
          <w:sz w:val="24"/>
          <w:szCs w:val="24"/>
          <w:lang w:val="en-US" w:eastAsia="zh-CN"/>
        </w:rPr>
        <w:t>挂架材质要求不低于吕合金材质。</w:t>
      </w:r>
    </w:p>
    <w:p>
      <w:pPr>
        <w:spacing w:line="360" w:lineRule="auto"/>
        <w:ind w:firstLine="480" w:firstLineChars="200"/>
        <w:rPr>
          <w:rFonts w:hint="default" w:ascii="宋体" w:hAnsi="宋体" w:cs="宋体"/>
          <w:sz w:val="24"/>
          <w:szCs w:val="24"/>
          <w:lang w:val="en-US" w:eastAsia="zh-CN"/>
        </w:rPr>
      </w:pPr>
      <w:r>
        <w:rPr>
          <w:rFonts w:hint="default" w:ascii="宋体" w:hAnsi="宋体" w:cs="宋体"/>
          <w:sz w:val="24"/>
          <w:szCs w:val="24"/>
          <w:lang w:val="en-US" w:eastAsia="zh-CN"/>
        </w:rPr>
        <w:t>3.</w:t>
      </w:r>
      <w:r>
        <w:rPr>
          <w:rFonts w:hint="eastAsia" w:ascii="宋体" w:hAnsi="宋体" w:cs="宋体"/>
          <w:sz w:val="24"/>
          <w:szCs w:val="24"/>
          <w:lang w:val="en-US" w:eastAsia="zh-CN"/>
        </w:rPr>
        <w:t>3</w:t>
      </w:r>
      <w:r>
        <w:rPr>
          <w:rFonts w:hint="default" w:ascii="宋体" w:hAnsi="宋体" w:cs="宋体"/>
          <w:sz w:val="24"/>
          <w:szCs w:val="24"/>
          <w:lang w:val="en-US" w:eastAsia="zh-CN"/>
        </w:rPr>
        <w:t>挂架安装要求可调节角度</w:t>
      </w:r>
      <w:r>
        <w:rPr>
          <w:rFonts w:hint="eastAsia" w:ascii="宋体" w:hAnsi="宋体" w:cs="宋体"/>
          <w:sz w:val="24"/>
          <w:szCs w:val="24"/>
          <w:lang w:val="en-US" w:eastAsia="zh-CN"/>
        </w:rPr>
        <w:t>.</w:t>
      </w:r>
    </w:p>
    <w:p>
      <w:pPr>
        <w:spacing w:line="360" w:lineRule="auto"/>
        <w:rPr>
          <w:rFonts w:hint="eastAsia" w:ascii="宋体" w:hAnsi="宋体" w:eastAsia="宋体" w:cs="宋体"/>
          <w:b/>
          <w:bCs/>
          <w:sz w:val="24"/>
          <w:szCs w:val="24"/>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验收及售后要求</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.1 货物到达现场后，供应商应在使用单位人员在场情况下当面开箱，共同清点、检查外观，做出开箱记录，双方签字确认</w:t>
      </w:r>
      <w:r>
        <w:rPr>
          <w:rFonts w:hint="eastAsia" w:ascii="宋体" w:hAnsi="宋体" w:cs="宋体"/>
          <w:sz w:val="24"/>
          <w:szCs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.2 供应商应保证货物到达采购人所在地完好无损，如有缺漏、损坏，由供应商负责调换、补齐或赔偿。</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 xml:space="preserve">.3 </w:t>
      </w:r>
      <w:r>
        <w:rPr>
          <w:rFonts w:hint="eastAsia" w:ascii="宋体" w:hAnsi="宋体" w:cs="宋体"/>
          <w:sz w:val="24"/>
          <w:szCs w:val="24"/>
          <w:lang w:val="en-US" w:eastAsia="zh-CN"/>
        </w:rPr>
        <w:t>所有货物在</w:t>
      </w:r>
      <w:r>
        <w:rPr>
          <w:rFonts w:hint="eastAsia" w:asciiTheme="minorEastAsia" w:hAnsiTheme="minorEastAsia" w:eastAsiaTheme="minorEastAsia" w:cstheme="minorEastAsia"/>
          <w:b w:val="0"/>
          <w:bCs w:val="0"/>
          <w:color w:val="000000"/>
          <w:kern w:val="0"/>
          <w:sz w:val="24"/>
          <w:szCs w:val="24"/>
          <w:lang w:bidi="ar"/>
        </w:rPr>
        <w:t>质量检查</w:t>
      </w:r>
      <w:r>
        <w:rPr>
          <w:rFonts w:hint="eastAsia" w:asciiTheme="minorEastAsia" w:hAnsiTheme="minorEastAsia" w:eastAsiaTheme="minorEastAsia" w:cstheme="minorEastAsia"/>
          <w:b w:val="0"/>
          <w:bCs w:val="0"/>
          <w:color w:val="000000"/>
          <w:kern w:val="0"/>
          <w:sz w:val="24"/>
          <w:szCs w:val="24"/>
          <w:lang w:eastAsia="zh-CN" w:bidi="ar"/>
        </w:rPr>
        <w:t>、</w:t>
      </w:r>
      <w:r>
        <w:rPr>
          <w:rFonts w:hint="eastAsia" w:asciiTheme="minorEastAsia" w:hAnsiTheme="minorEastAsia" w:eastAsiaTheme="minorEastAsia" w:cstheme="minorEastAsia"/>
          <w:b w:val="0"/>
          <w:bCs w:val="0"/>
          <w:color w:val="000000"/>
          <w:kern w:val="0"/>
          <w:sz w:val="24"/>
          <w:szCs w:val="24"/>
          <w:lang w:val="en-US" w:eastAsia="zh-CN" w:bidi="ar"/>
        </w:rPr>
        <w:t>调试安装</w:t>
      </w:r>
      <w:r>
        <w:rPr>
          <w:rFonts w:hint="eastAsia" w:asciiTheme="minorEastAsia" w:hAnsiTheme="minorEastAsia" w:eastAsiaTheme="minorEastAsia" w:cstheme="minorEastAsia"/>
          <w:b w:val="0"/>
          <w:bCs w:val="0"/>
          <w:color w:val="000000"/>
          <w:kern w:val="0"/>
          <w:sz w:val="24"/>
          <w:szCs w:val="24"/>
          <w:lang w:bidi="ar"/>
        </w:rPr>
        <w:t>合格符合要求后，才作为最终验收。</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.4 售后服务中，维修使用的备品备件及易损件应为原厂配件，未经采购人同意不得使用非原厂配件，常用的、容易损坏的备品备件及易损件的价格清单须在响应文件中列出。</w:t>
      </w:r>
    </w:p>
    <w:p>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 xml:space="preserve"> 在货物使用过程中出现问题，供应商应在出现问题6小时内响应，12小时内到达现场，24小时内解决问题。如不能解决，应提供采购人可以接受的解决方案。</w:t>
      </w:r>
    </w:p>
    <w:p>
      <w:pPr>
        <w:pStyle w:val="18"/>
        <w:rPr>
          <w:rFonts w:hint="default" w:eastAsia="宋体"/>
          <w:lang w:val="en-US" w:eastAsia="zh-CN"/>
        </w:rPr>
      </w:pPr>
      <w:r>
        <w:rPr>
          <w:rFonts w:hint="eastAsia" w:ascii="宋体" w:hAnsi="宋体" w:cs="宋体"/>
          <w:sz w:val="24"/>
          <w:szCs w:val="24"/>
          <w:lang w:val="en-US" w:eastAsia="zh-CN"/>
        </w:rPr>
        <w:t xml:space="preserve">    4.6 </w:t>
      </w:r>
      <w:r>
        <w:rPr>
          <w:rFonts w:hint="eastAsia" w:ascii="宋体" w:hAnsi="宋体" w:eastAsia="宋体" w:cs="宋体"/>
          <w:sz w:val="24"/>
          <w:szCs w:val="24"/>
          <w:lang w:eastAsia="zh-CN"/>
        </w:rPr>
        <w:t>投标供应商</w:t>
      </w:r>
      <w:r>
        <w:rPr>
          <w:rFonts w:hint="eastAsia" w:ascii="宋体" w:hAnsi="宋体" w:eastAsia="宋体" w:cs="宋体"/>
          <w:sz w:val="24"/>
          <w:szCs w:val="24"/>
        </w:rPr>
        <w:t>应提供良好的售后服务，所有货物应承诺免费保修</w:t>
      </w:r>
      <w:r>
        <w:rPr>
          <w:rFonts w:hint="eastAsia" w:ascii="宋体" w:hAnsi="宋体" w:cs="宋体"/>
          <w:sz w:val="24"/>
          <w:szCs w:val="24"/>
          <w:lang w:val="en-US" w:eastAsia="zh-CN"/>
        </w:rPr>
        <w:t>三</w:t>
      </w:r>
      <w:r>
        <w:rPr>
          <w:rFonts w:hint="eastAsia" w:ascii="宋体" w:hAnsi="宋体" w:eastAsia="宋体" w:cs="宋体"/>
          <w:sz w:val="24"/>
          <w:szCs w:val="24"/>
          <w:lang w:val="en-US" w:eastAsia="zh-CN"/>
        </w:rPr>
        <w:t>年</w:t>
      </w:r>
      <w:r>
        <w:rPr>
          <w:rFonts w:hint="eastAsia" w:ascii="宋体" w:hAnsi="宋体" w:eastAsia="宋体" w:cs="宋体"/>
          <w:sz w:val="24"/>
          <w:szCs w:val="24"/>
        </w:rPr>
        <w:t>。</w:t>
      </w: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p>
    <w:p>
      <w:pPr>
        <w:pStyle w:val="1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z w:val="32"/>
          <w:szCs w:val="32"/>
        </w:rPr>
      </w:pPr>
      <w:r>
        <w:rPr>
          <w:rFonts w:hint="eastAsia" w:ascii="宋体" w:hAnsi="宋体" w:eastAsia="宋体" w:cs="宋体"/>
          <w:b/>
          <w:sz w:val="32"/>
          <w:szCs w:val="32"/>
        </w:rPr>
        <w:t>第四章  合同条款（仅供参考）</w:t>
      </w:r>
      <w:bookmarkEnd w:id="106"/>
    </w:p>
    <w:p>
      <w:pPr>
        <w:spacing w:line="360" w:lineRule="auto"/>
        <w:jc w:val="center"/>
        <w:rPr>
          <w:sz w:val="24"/>
          <w:szCs w:val="24"/>
        </w:rPr>
      </w:pPr>
      <w:bookmarkStart w:id="107" w:name="_Toc381724074"/>
      <w:bookmarkStart w:id="108" w:name="_Toc455412770"/>
      <w:bookmarkStart w:id="109" w:name="_Toc462223649"/>
      <w:r>
        <w:rPr>
          <w:b/>
          <w:sz w:val="24"/>
          <w:szCs w:val="24"/>
        </w:rPr>
        <w:t>（本合同条款仅供参考，</w:t>
      </w:r>
      <w:r>
        <w:rPr>
          <w:rFonts w:hint="eastAsia"/>
          <w:b/>
          <w:sz w:val="24"/>
          <w:szCs w:val="24"/>
        </w:rPr>
        <w:t>最终合同以双方协商为准</w:t>
      </w:r>
      <w:r>
        <w:rPr>
          <w:b/>
          <w:sz w:val="24"/>
          <w:szCs w:val="24"/>
        </w:rPr>
        <w:t>）</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b/>
          <w:bCs/>
          <w:color w:val="000000"/>
          <w:kern w:val="0"/>
          <w:sz w:val="24"/>
          <w:lang w:bidi="ar"/>
        </w:rPr>
        <w:t xml:space="preserve">一、合同主要条款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1、定义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1.1 甲方（需方）即采购人，是指通过招标采购，接受合同货物及服务的各级 国家机关、事业单位和团体组织。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1.2 乙方（供方）即中标人，是指中标后提供合同货物和服务的自然人、法人及其他组织。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1.3 合同是指由甲乙双方按照</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和</w:t>
      </w:r>
      <w:r>
        <w:rPr>
          <w:rFonts w:hint="eastAsia" w:asciiTheme="minorEastAsia" w:hAnsiTheme="minorEastAsia" w:eastAsiaTheme="minorEastAsia" w:cstheme="minorEastAsia"/>
          <w:color w:val="000000"/>
          <w:kern w:val="0"/>
          <w:sz w:val="24"/>
          <w:lang w:eastAsia="zh-CN" w:bidi="ar"/>
        </w:rPr>
        <w:t>响应文件</w:t>
      </w:r>
      <w:r>
        <w:rPr>
          <w:rFonts w:hint="eastAsia" w:asciiTheme="minorEastAsia" w:hAnsiTheme="minorEastAsia" w:eastAsiaTheme="minorEastAsia" w:cstheme="minorEastAsia"/>
          <w:color w:val="000000"/>
          <w:kern w:val="0"/>
          <w:sz w:val="24"/>
          <w:lang w:bidi="ar"/>
        </w:rPr>
        <w:t xml:space="preserve">的实质性内容，通过协商一致达成的书面协议。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1.4 合同价格指以中标价格为依据，在供方全面履行合同义务后，需方（或财政部门）应支付给供方的金额。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2、服务内容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合同包括以下内容：服务项目名称、服务提供地点、服务期限、服务标准等内容。</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3、合同价格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3.1 合同价格即合同总价。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3.2 合同价格包括人员工资、各类社保费用、税费、为保证服务质量所购买或租赁设备的费用等。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4、转包或分包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4.1 本合同范围的服务内容，应由乙方直接供应，不得转让他人供应；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4.2 非经甲方书面同意，乙方不得将本合同范围的服务全部或部分分包给他人；</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4.3 如有转让和未经甲方同意的分包行为，甲方有权解除合同，没收履约保证金并追究乙方的违约责任。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5、服务质量保证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5.1 乙方应按</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 xml:space="preserve">规定的服务标准向甲方提供服务。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5.2 乙方提供的服务标准达不到</w:t>
      </w:r>
      <w:r>
        <w:rPr>
          <w:rFonts w:hint="eastAsia" w:asciiTheme="minorEastAsia" w:hAnsiTheme="minorEastAsia" w:eastAsiaTheme="minorEastAsia" w:cstheme="minorEastAsia"/>
          <w:color w:val="000000"/>
          <w:kern w:val="0"/>
          <w:sz w:val="24"/>
          <w:lang w:eastAsia="zh-CN" w:bidi="ar"/>
        </w:rPr>
        <w:t>磋商文件</w:t>
      </w:r>
      <w:r>
        <w:rPr>
          <w:rFonts w:hint="eastAsia" w:asciiTheme="minorEastAsia" w:hAnsiTheme="minorEastAsia" w:eastAsiaTheme="minorEastAsia" w:cstheme="minorEastAsia"/>
          <w:color w:val="000000"/>
          <w:kern w:val="0"/>
          <w:sz w:val="24"/>
          <w:lang w:bidi="ar"/>
        </w:rPr>
        <w:t xml:space="preserve">规定者，除承担相应责任外，将按失信行为处置。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6、付款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6.1 本合同使用货币币制如未作特别说明均为人民币。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6.2 付款方式：银行转账、现金支票。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6.3 付款方法：</w:t>
      </w:r>
    </w:p>
    <w:p>
      <w:pPr>
        <w:widowControl/>
        <w:spacing w:line="360" w:lineRule="auto"/>
        <w:jc w:val="left"/>
        <w:rPr>
          <w:rFonts w:asciiTheme="minorEastAsia" w:hAnsiTheme="minorEastAsia" w:eastAsiaTheme="minorEastAsia" w:cstheme="minorEastAsia"/>
          <w:color w:val="000000"/>
          <w:kern w:val="0"/>
          <w:sz w:val="24"/>
          <w:lang w:bidi="ar"/>
        </w:rPr>
      </w:pPr>
      <w:r>
        <w:rPr>
          <w:rFonts w:hint="eastAsia" w:asciiTheme="minorEastAsia" w:hAnsiTheme="minorEastAsia" w:eastAsiaTheme="minorEastAsia" w:cstheme="minorEastAsia"/>
          <w:color w:val="000000"/>
          <w:kern w:val="0"/>
          <w:sz w:val="24"/>
          <w:lang w:bidi="ar"/>
        </w:rPr>
        <w:t xml:space="preserve">7、检查考核 </w:t>
      </w:r>
    </w:p>
    <w:p>
      <w:pPr>
        <w:widowControl/>
        <w:spacing w:line="360" w:lineRule="auto"/>
        <w:jc w:val="left"/>
      </w:pPr>
      <w:r>
        <w:rPr>
          <w:rFonts w:hint="eastAsia" w:asciiTheme="minorEastAsia" w:hAnsiTheme="minorEastAsia" w:eastAsiaTheme="minorEastAsia" w:cstheme="minorEastAsia"/>
          <w:color w:val="000000"/>
          <w:kern w:val="0"/>
          <w:sz w:val="24"/>
          <w:lang w:bidi="ar"/>
        </w:rPr>
        <w:t xml:space="preserve">XXXXXXXXXXXXXXXXXXXXXXXXXXXXXXXXXXXXXXXXXXXXXXXXXXXX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8、合同争议的解决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8.1 当事人友好协商达成一致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8.2 在 60 天内当事人协商不能达成协议的，可提请采购人当地仲裁机构仲裁。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9、违约责任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按《中华人民共和国民法典》、《中华人民共和国政府采购法》有关条款，或由供需双方约定。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10、合同生效及其它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10.1 合同生效及其效力应符合《中华人民共和国民法典》有关规定。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10.2 合同应经当事人法定代表人或委托代理人签字，加盖双方合同专用章或公章。</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10.3 合同所包括附件，是合同不可分割的一部分，具有同等法律效力。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10.4 合同需提供担保的，按《中华人民共和国担保法》规定执行。 </w:t>
      </w:r>
    </w:p>
    <w:p>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lang w:bidi="ar"/>
        </w:rPr>
        <w:t xml:space="preserve">10.5 本合同条件未尽事宜依照《中华人民共和国民法典》，由供需双方共同协商确定。 </w:t>
      </w:r>
    </w:p>
    <w:p>
      <w:pPr>
        <w:spacing w:line="360" w:lineRule="auto"/>
        <w:rPr>
          <w:rFonts w:hint="eastAsia" w:ascii="宋体" w:hAnsi="宋体" w:eastAsia="宋体" w:cs="宋体"/>
          <w:sz w:val="24"/>
        </w:rPr>
      </w:pPr>
    </w:p>
    <w:bookmarkEnd w:id="107"/>
    <w:bookmarkEnd w:id="108"/>
    <w:bookmarkEnd w:id="109"/>
    <w:p>
      <w:pPr>
        <w:spacing w:line="360" w:lineRule="auto"/>
        <w:ind w:firstLine="480" w:firstLineChars="200"/>
        <w:textAlignment w:val="baseline"/>
        <w:rPr>
          <w:rFonts w:hint="eastAsia" w:ascii="宋体" w:hAnsi="宋体" w:eastAsia="宋体" w:cs="宋体"/>
          <w:sz w:val="24"/>
        </w:rPr>
        <w:sectPr>
          <w:pgSz w:w="11907" w:h="16840"/>
          <w:pgMar w:top="1077" w:right="1417" w:bottom="1417" w:left="1417" w:header="680" w:footer="799" w:gutter="0"/>
          <w:pgNumType w:fmt="decimal"/>
          <w:cols w:space="720" w:num="1"/>
          <w:titlePg/>
          <w:docGrid w:type="lines" w:linePitch="409" w:charSpace="0"/>
        </w:sectPr>
      </w:pPr>
    </w:p>
    <w:p>
      <w:pPr>
        <w:pStyle w:val="3"/>
        <w:spacing w:after="100" w:afterAutospacing="1" w:line="360" w:lineRule="auto"/>
        <w:ind w:left="0" w:firstLine="0"/>
        <w:jc w:val="center"/>
        <w:rPr>
          <w:rFonts w:hint="eastAsia" w:ascii="宋体" w:hAnsi="宋体" w:eastAsia="宋体" w:cs="宋体"/>
          <w:sz w:val="32"/>
          <w:szCs w:val="32"/>
        </w:rPr>
      </w:pPr>
      <w:bookmarkStart w:id="110" w:name="_Toc1097"/>
      <w:r>
        <w:rPr>
          <w:rFonts w:hint="eastAsia" w:ascii="宋体" w:hAnsi="宋体" w:eastAsia="宋体" w:cs="宋体"/>
          <w:sz w:val="32"/>
          <w:szCs w:val="32"/>
        </w:rPr>
        <w:t>第五章  竞争性磋商响应文件格式</w:t>
      </w:r>
      <w:bookmarkEnd w:id="110"/>
    </w:p>
    <w:p>
      <w:pPr>
        <w:autoSpaceDE w:val="0"/>
        <w:autoSpaceDN w:val="0"/>
        <w:adjustRightInd w:val="0"/>
        <w:jc w:val="right"/>
        <w:rPr>
          <w:rFonts w:hint="eastAsia" w:ascii="宋体" w:hAnsi="宋体" w:eastAsia="宋体" w:cs="宋体"/>
          <w:b/>
          <w:sz w:val="24"/>
        </w:rPr>
      </w:pPr>
    </w:p>
    <w:p>
      <w:pPr>
        <w:autoSpaceDE w:val="0"/>
        <w:autoSpaceDN w:val="0"/>
        <w:adjustRightInd w:val="0"/>
        <w:jc w:val="right"/>
        <w:rPr>
          <w:rFonts w:hint="eastAsia" w:ascii="宋体" w:hAnsi="宋体" w:eastAsia="宋体" w:cs="宋体"/>
          <w:b/>
          <w:spacing w:val="-6"/>
          <w:kern w:val="0"/>
          <w:sz w:val="32"/>
          <w:szCs w:val="32"/>
          <w:bdr w:val="single" w:color="auto" w:sz="4" w:space="0"/>
        </w:rPr>
      </w:pPr>
      <w:r>
        <w:rPr>
          <w:rFonts w:hint="eastAsia" w:ascii="宋体" w:hAnsi="宋体" w:eastAsia="宋体" w:cs="宋体"/>
          <w:b/>
          <w:sz w:val="24"/>
        </w:rPr>
        <w:t xml:space="preserve">         </w:t>
      </w:r>
      <w:r>
        <w:rPr>
          <w:rFonts w:hint="eastAsia" w:ascii="宋体" w:hAnsi="宋体" w:eastAsia="宋体" w:cs="宋体"/>
          <w:b/>
          <w:spacing w:val="-6"/>
          <w:kern w:val="0"/>
          <w:sz w:val="32"/>
          <w:szCs w:val="32"/>
          <w:bdr w:val="single" w:color="auto" w:sz="4" w:space="0"/>
        </w:rPr>
        <w:t>正本(或副本)</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pStyle w:val="13"/>
        <w:ind w:firstLine="480"/>
        <w:rPr>
          <w:rFonts w:hint="eastAsia" w:ascii="宋体" w:hAnsi="宋体" w:eastAsia="宋体" w:cs="宋体"/>
          <w:sz w:val="24"/>
        </w:rPr>
      </w:pP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pPr>
        <w:spacing w:line="360" w:lineRule="auto"/>
        <w:rPr>
          <w:rFonts w:hint="eastAsia" w:ascii="宋体" w:hAnsi="宋体" w:eastAsia="宋体" w:cs="宋体"/>
          <w:sz w:val="28"/>
          <w:szCs w:val="28"/>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sz w:val="24"/>
        </w:rPr>
      </w:pPr>
    </w:p>
    <w:p>
      <w:pPr>
        <w:spacing w:line="360" w:lineRule="auto"/>
        <w:jc w:val="center"/>
        <w:rPr>
          <w:rFonts w:hint="eastAsia" w:ascii="宋体" w:hAnsi="宋体" w:eastAsia="宋体" w:cs="宋体"/>
          <w:b/>
          <w:sz w:val="44"/>
          <w:szCs w:val="44"/>
        </w:rPr>
      </w:pPr>
    </w:p>
    <w:p>
      <w:pPr>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响应文件</w:t>
      </w:r>
    </w:p>
    <w:p>
      <w:pPr>
        <w:spacing w:line="360" w:lineRule="auto"/>
        <w:jc w:val="center"/>
        <w:rPr>
          <w:rFonts w:hint="eastAsia" w:ascii="宋体" w:hAnsi="宋体" w:eastAsia="宋体" w:cs="宋体"/>
          <w:sz w:val="24"/>
        </w:rPr>
      </w:pPr>
    </w:p>
    <w:p>
      <w:pPr>
        <w:pStyle w:val="13"/>
        <w:rPr>
          <w:rFonts w:hint="eastAsia" w:ascii="宋体" w:hAnsi="宋体" w:eastAsia="宋体" w:cs="宋体"/>
          <w:sz w:val="24"/>
        </w:rPr>
      </w:pPr>
    </w:p>
    <w:p>
      <w:pPr>
        <w:rPr>
          <w:rFonts w:hint="eastAsia" w:ascii="宋体" w:hAnsi="宋体" w:eastAsia="宋体" w:cs="宋体"/>
          <w:sz w:val="24"/>
        </w:rPr>
      </w:pPr>
    </w:p>
    <w:p>
      <w:pPr>
        <w:pStyle w:val="13"/>
        <w:rPr>
          <w:rFonts w:hint="eastAsia" w:ascii="宋体" w:hAnsi="宋体" w:eastAsia="宋体" w:cs="宋体"/>
          <w:sz w:val="24"/>
        </w:rPr>
      </w:pPr>
    </w:p>
    <w:p>
      <w:pPr>
        <w:rPr>
          <w:rFonts w:hint="eastAsia" w:ascii="宋体" w:hAnsi="宋体" w:eastAsia="宋体" w:cs="宋体"/>
          <w:sz w:val="24"/>
        </w:rPr>
      </w:pPr>
    </w:p>
    <w:p>
      <w:pPr>
        <w:pStyle w:val="13"/>
        <w:rPr>
          <w:rFonts w:hint="eastAsia" w:ascii="宋体" w:hAnsi="宋体" w:eastAsia="宋体" w:cs="宋体"/>
          <w:sz w:val="24"/>
        </w:rPr>
      </w:pPr>
    </w:p>
    <w:p>
      <w:pPr>
        <w:rPr>
          <w:rFonts w:hint="eastAsia" w:ascii="宋体" w:hAnsi="宋体" w:eastAsia="宋体" w:cs="宋体"/>
          <w:sz w:val="24"/>
        </w:rPr>
      </w:pPr>
    </w:p>
    <w:p>
      <w:pPr>
        <w:pStyle w:val="13"/>
        <w:rPr>
          <w:rFonts w:hint="eastAsia" w:ascii="宋体" w:hAnsi="宋体" w:eastAsia="宋体" w:cs="宋体"/>
          <w:sz w:val="24"/>
        </w:rPr>
      </w:pPr>
    </w:p>
    <w:p>
      <w:pPr>
        <w:rPr>
          <w:rFonts w:hint="eastAsia" w:ascii="宋体" w:hAnsi="宋体" w:eastAsia="宋体" w:cs="宋体"/>
        </w:rPr>
      </w:pPr>
    </w:p>
    <w:p>
      <w:pPr>
        <w:spacing w:line="360" w:lineRule="auto"/>
        <w:ind w:left="599" w:leftChars="228" w:hanging="120" w:hangingChars="50"/>
        <w:rPr>
          <w:rFonts w:hint="eastAsia" w:ascii="宋体" w:hAnsi="宋体" w:eastAsia="宋体" w:cs="宋体"/>
          <w:sz w:val="24"/>
          <w:lang w:val="en-US" w:eastAsia="zh-CN"/>
        </w:rPr>
      </w:pPr>
      <w:r>
        <w:rPr>
          <w:rFonts w:hint="eastAsia" w:ascii="宋体" w:hAnsi="宋体" w:eastAsia="宋体" w:cs="宋体"/>
          <w:sz w:val="24"/>
          <w:lang w:val="en-US" w:eastAsia="zh-CN"/>
        </w:rPr>
        <w:t xml:space="preserve">招标单位： </w:t>
      </w:r>
    </w:p>
    <w:p>
      <w:pPr>
        <w:spacing w:line="360" w:lineRule="auto"/>
        <w:ind w:left="599" w:leftChars="228" w:hanging="120" w:hangingChars="50"/>
        <w:rPr>
          <w:rFonts w:hint="eastAsia" w:ascii="宋体" w:hAnsi="宋体" w:eastAsia="宋体" w:cs="宋体"/>
          <w:sz w:val="24"/>
          <w:lang w:val="en-US" w:eastAsia="zh-CN"/>
        </w:rPr>
      </w:pPr>
      <w:r>
        <w:rPr>
          <w:rFonts w:hint="eastAsia" w:ascii="宋体" w:hAnsi="宋体" w:eastAsia="宋体" w:cs="宋体"/>
          <w:sz w:val="24"/>
          <w:lang w:val="en-US" w:eastAsia="zh-CN"/>
        </w:rPr>
        <w:t xml:space="preserve">项目名称：    </w:t>
      </w:r>
    </w:p>
    <w:p>
      <w:pPr>
        <w:spacing w:line="360" w:lineRule="auto"/>
        <w:ind w:left="599" w:leftChars="228" w:hanging="120" w:hangingChars="50"/>
        <w:rPr>
          <w:rFonts w:hint="eastAsia" w:ascii="宋体" w:hAnsi="宋体" w:eastAsia="宋体" w:cs="宋体"/>
          <w:sz w:val="24"/>
          <w:lang w:val="en-US" w:eastAsia="zh-CN"/>
        </w:rPr>
      </w:pPr>
      <w:r>
        <w:rPr>
          <w:rFonts w:hint="eastAsia" w:ascii="宋体" w:hAnsi="宋体" w:eastAsia="宋体" w:cs="宋体"/>
          <w:sz w:val="24"/>
          <w:lang w:val="en-US" w:eastAsia="zh-CN"/>
        </w:rPr>
        <w:t>项目编号：</w:t>
      </w:r>
    </w:p>
    <w:p>
      <w:pPr>
        <w:spacing w:line="360" w:lineRule="auto"/>
        <w:ind w:left="599" w:leftChars="228" w:hanging="120" w:hangingChars="50"/>
        <w:rPr>
          <w:rFonts w:hint="eastAsia" w:ascii="宋体" w:hAnsi="宋体" w:eastAsia="宋体" w:cs="宋体"/>
          <w:sz w:val="24"/>
          <w:lang w:val="en-US" w:eastAsia="zh-CN"/>
        </w:rPr>
      </w:pPr>
      <w:r>
        <w:rPr>
          <w:rFonts w:hint="eastAsia" w:ascii="宋体" w:hAnsi="宋体" w:eastAsia="宋体" w:cs="宋体"/>
          <w:sz w:val="24"/>
          <w:lang w:val="en-US" w:eastAsia="zh-CN"/>
        </w:rPr>
        <w:t>投标单位名称</w:t>
      </w:r>
      <w:r>
        <w:rPr>
          <w:rFonts w:hint="eastAsia" w:ascii="宋体" w:hAnsi="宋体" w:cs="宋体"/>
          <w:sz w:val="24"/>
          <w:lang w:val="en-US" w:eastAsia="zh-CN"/>
        </w:rPr>
        <w:t>（盖章）</w:t>
      </w:r>
      <w:r>
        <w:rPr>
          <w:rFonts w:hint="eastAsia" w:ascii="宋体" w:hAnsi="宋体" w:eastAsia="宋体" w:cs="宋体"/>
          <w:sz w:val="24"/>
          <w:lang w:val="en-US" w:eastAsia="zh-CN"/>
        </w:rPr>
        <w:t>：</w:t>
      </w:r>
    </w:p>
    <w:p>
      <w:pPr>
        <w:spacing w:line="360" w:lineRule="auto"/>
        <w:ind w:left="599" w:leftChars="228" w:hanging="120" w:hangingChars="50"/>
        <w:rPr>
          <w:rFonts w:hint="eastAsia" w:ascii="宋体" w:hAnsi="宋体" w:eastAsia="宋体" w:cs="宋体"/>
          <w:sz w:val="24"/>
          <w:lang w:val="en-US" w:eastAsia="zh-CN"/>
        </w:rPr>
      </w:pPr>
      <w:r>
        <w:rPr>
          <w:rFonts w:hint="eastAsia" w:ascii="宋体" w:hAnsi="宋体" w:eastAsia="宋体" w:cs="宋体"/>
          <w:sz w:val="24"/>
          <w:lang w:val="en-US" w:eastAsia="zh-CN"/>
        </w:rPr>
        <w:t>联系人：</w:t>
      </w:r>
    </w:p>
    <w:p>
      <w:pPr>
        <w:spacing w:line="360" w:lineRule="auto"/>
        <w:ind w:left="599" w:leftChars="228" w:hanging="120" w:hangingChars="50"/>
        <w:rPr>
          <w:rFonts w:hint="eastAsia" w:ascii="宋体" w:hAnsi="宋体" w:eastAsia="宋体" w:cs="宋体"/>
          <w:sz w:val="24"/>
          <w:lang w:val="en-US" w:eastAsia="zh-CN"/>
        </w:rPr>
      </w:pPr>
      <w:r>
        <w:rPr>
          <w:rFonts w:hint="eastAsia" w:ascii="宋体" w:hAnsi="宋体" w:eastAsia="宋体" w:cs="宋体"/>
          <w:sz w:val="24"/>
          <w:lang w:val="en-US" w:eastAsia="zh-CN"/>
        </w:rPr>
        <w:t>联系电话：</w:t>
      </w:r>
    </w:p>
    <w:p>
      <w:pPr>
        <w:spacing w:line="360" w:lineRule="auto"/>
        <w:rPr>
          <w:rFonts w:hint="eastAsia" w:ascii="宋体" w:hAnsi="宋体" w:eastAsia="宋体" w:cs="宋体"/>
          <w:b/>
          <w:color w:val="000000"/>
          <w:sz w:val="32"/>
          <w:szCs w:val="32"/>
        </w:rPr>
      </w:pPr>
    </w:p>
    <w:p>
      <w:pPr>
        <w:spacing w:line="360" w:lineRule="auto"/>
        <w:rPr>
          <w:rFonts w:hint="eastAsia" w:ascii="宋体" w:hAnsi="宋体" w:eastAsia="宋体" w:cs="宋体"/>
          <w:b/>
          <w:color w:val="000000"/>
          <w:sz w:val="32"/>
          <w:szCs w:val="32"/>
        </w:rPr>
      </w:pPr>
    </w:p>
    <w:p>
      <w:pPr>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目   录</w:t>
      </w:r>
    </w:p>
    <w:p>
      <w:pPr>
        <w:spacing w:line="360" w:lineRule="auto"/>
        <w:ind w:firstLine="480" w:firstLineChars="200"/>
        <w:textAlignment w:val="baseline"/>
        <w:rPr>
          <w:rFonts w:hint="eastAsia" w:ascii="宋体" w:hAnsi="宋体" w:eastAsia="宋体" w:cs="宋体"/>
          <w:color w:val="000000"/>
          <w:sz w:val="24"/>
          <w:lang w:val="en-US" w:eastAsia="zh-CN"/>
        </w:rPr>
      </w:pP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一、磋 商 响 应 函（附件1）</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二、法定代表人身份证明（附件2）</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三、法定代表人授权委托书（附件3）</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四、磋商报价表（开标一览表）（附件4）</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五、商务偏离表（附件5）</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六、资格证明文件</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七、类似业绩（附件6）</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八、拟投入项目人员情况表（附件7）</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九、技术偏离表（附件8）</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十、供应商反商业贿赂承诺书（附件9）</w:t>
      </w:r>
    </w:p>
    <w:p>
      <w:pPr>
        <w:spacing w:line="360" w:lineRule="auto"/>
        <w:ind w:firstLine="480" w:firstLineChars="200"/>
        <w:textAlignment w:val="baseline"/>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十一、产品</w:t>
      </w:r>
      <w:r>
        <w:rPr>
          <w:rFonts w:hint="eastAsia" w:ascii="宋体" w:hAnsi="宋体" w:cs="宋体"/>
          <w:color w:val="000000"/>
          <w:sz w:val="24"/>
          <w:lang w:val="en-US" w:eastAsia="zh-CN"/>
        </w:rPr>
        <w:t>相关</w:t>
      </w:r>
      <w:r>
        <w:rPr>
          <w:rFonts w:hint="eastAsia" w:ascii="宋体" w:hAnsi="宋体" w:eastAsia="宋体" w:cs="宋体"/>
          <w:color w:val="000000"/>
          <w:sz w:val="24"/>
          <w:lang w:val="en-US" w:eastAsia="zh-CN"/>
        </w:rPr>
        <w:t>检测报告</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十一、产品相关检测报告</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十二、供货方案</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十三、配送方案</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十四、应急保障措施</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十五、服务承诺</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十六、售后服务方案</w:t>
      </w:r>
    </w:p>
    <w:p>
      <w:pPr>
        <w:spacing w:line="360" w:lineRule="auto"/>
        <w:ind w:firstLine="480" w:firstLineChars="200"/>
        <w:textAlignment w:val="baseline"/>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十七、投标人认为有必要提交的其他相关证明材料</w:t>
      </w:r>
    </w:p>
    <w:p>
      <w:pPr>
        <w:spacing w:line="360" w:lineRule="auto"/>
        <w:rPr>
          <w:rFonts w:hint="eastAsia" w:ascii="宋体" w:hAnsi="宋体" w:eastAsia="宋体" w:cs="宋体"/>
          <w:b/>
          <w:color w:val="000000"/>
          <w:sz w:val="32"/>
          <w:szCs w:val="32"/>
        </w:rPr>
      </w:pPr>
    </w:p>
    <w:p>
      <w:pPr>
        <w:spacing w:line="360" w:lineRule="auto"/>
        <w:rPr>
          <w:rFonts w:hint="eastAsia" w:ascii="宋体" w:hAnsi="宋体" w:eastAsia="宋体" w:cs="宋体"/>
          <w:b/>
          <w:color w:val="000000"/>
          <w:sz w:val="32"/>
          <w:szCs w:val="32"/>
        </w:rPr>
      </w:pPr>
    </w:p>
    <w:p>
      <w:pPr>
        <w:spacing w:line="360" w:lineRule="auto"/>
        <w:rPr>
          <w:rFonts w:hint="eastAsia" w:ascii="宋体" w:hAnsi="宋体" w:eastAsia="宋体" w:cs="宋体"/>
          <w:b/>
          <w:color w:val="000000"/>
          <w:sz w:val="32"/>
          <w:szCs w:val="32"/>
        </w:rPr>
      </w:pPr>
    </w:p>
    <w:p>
      <w:pPr>
        <w:spacing w:line="360" w:lineRule="auto"/>
        <w:rPr>
          <w:rFonts w:hint="eastAsia" w:ascii="宋体" w:hAnsi="宋体" w:eastAsia="宋体" w:cs="宋体"/>
          <w:b/>
          <w:color w:val="000000"/>
          <w:sz w:val="32"/>
          <w:szCs w:val="32"/>
        </w:rPr>
      </w:pPr>
    </w:p>
    <w:p>
      <w:pPr>
        <w:spacing w:line="360" w:lineRule="auto"/>
        <w:rPr>
          <w:rFonts w:hint="eastAsia" w:ascii="宋体" w:hAnsi="宋体" w:eastAsia="宋体" w:cs="宋体"/>
          <w:b/>
          <w:color w:val="000000"/>
          <w:sz w:val="32"/>
          <w:szCs w:val="32"/>
        </w:rPr>
      </w:pPr>
    </w:p>
    <w:p>
      <w:pPr>
        <w:pStyle w:val="18"/>
        <w:rPr>
          <w:rFonts w:hint="eastAsia" w:ascii="宋体" w:hAnsi="宋体" w:eastAsia="宋体" w:cs="宋体"/>
          <w:b/>
          <w:color w:val="000000"/>
          <w:sz w:val="32"/>
          <w:szCs w:val="32"/>
        </w:rPr>
      </w:pPr>
    </w:p>
    <w:p>
      <w:pPr>
        <w:rPr>
          <w:rFonts w:hint="eastAsia" w:ascii="宋体" w:hAnsi="宋体" w:eastAsia="宋体" w:cs="宋体"/>
          <w:b/>
          <w:color w:val="000000"/>
          <w:sz w:val="32"/>
          <w:szCs w:val="32"/>
        </w:rPr>
      </w:pPr>
    </w:p>
    <w:p>
      <w:pPr>
        <w:pStyle w:val="18"/>
        <w:rPr>
          <w:rFonts w:hint="eastAsia" w:ascii="宋体" w:hAnsi="宋体" w:eastAsia="宋体" w:cs="宋体"/>
          <w:b/>
          <w:color w:val="000000"/>
          <w:sz w:val="32"/>
          <w:szCs w:val="32"/>
        </w:rPr>
      </w:pPr>
    </w:p>
    <w:p>
      <w:pPr>
        <w:rPr>
          <w:rFonts w:hint="eastAsia"/>
        </w:rPr>
      </w:pPr>
    </w:p>
    <w:p>
      <w:pPr>
        <w:spacing w:line="360" w:lineRule="auto"/>
        <w:rPr>
          <w:rFonts w:hint="eastAsia" w:ascii="宋体" w:hAnsi="宋体" w:eastAsia="宋体" w:cs="宋体"/>
          <w:b/>
          <w:color w:val="000000"/>
          <w:sz w:val="32"/>
          <w:szCs w:val="32"/>
        </w:rPr>
      </w:pPr>
      <w:r>
        <w:rPr>
          <w:rFonts w:hint="eastAsia" w:ascii="宋体" w:hAnsi="宋体" w:eastAsia="宋体" w:cs="宋体"/>
          <w:b/>
          <w:color w:val="000000"/>
          <w:sz w:val="32"/>
          <w:szCs w:val="32"/>
        </w:rPr>
        <w:t>附件1：</w:t>
      </w:r>
    </w:p>
    <w:p>
      <w:pPr>
        <w:spacing w:line="360" w:lineRule="auto"/>
        <w:jc w:val="center"/>
        <w:outlineLvl w:val="1"/>
        <w:rPr>
          <w:rFonts w:hint="eastAsia" w:ascii="宋体" w:hAnsi="宋体" w:eastAsia="宋体" w:cs="宋体"/>
          <w:b/>
          <w:color w:val="000000"/>
          <w:sz w:val="32"/>
          <w:szCs w:val="32"/>
        </w:rPr>
      </w:pPr>
      <w:bookmarkStart w:id="111" w:name="_Toc14176"/>
      <w:bookmarkStart w:id="112" w:name="_Toc9840"/>
      <w:r>
        <w:rPr>
          <w:rFonts w:hint="eastAsia" w:ascii="宋体" w:hAnsi="宋体" w:eastAsia="宋体" w:cs="宋体"/>
          <w:b/>
          <w:color w:val="000000"/>
          <w:sz w:val="32"/>
          <w:szCs w:val="32"/>
        </w:rPr>
        <w:t>一、磋 商 响 应 函</w:t>
      </w:r>
      <w:bookmarkEnd w:id="111"/>
      <w:bookmarkEnd w:id="112"/>
    </w:p>
    <w:p>
      <w:pPr>
        <w:spacing w:line="360" w:lineRule="auto"/>
        <w:rPr>
          <w:rFonts w:hint="eastAsia" w:ascii="宋体" w:hAnsi="宋体" w:eastAsia="宋体" w:cs="宋体"/>
          <w:color w:val="000000"/>
          <w:sz w:val="24"/>
          <w:lang w:eastAsia="zh-CN"/>
        </w:rPr>
      </w:pPr>
      <w:r>
        <w:rPr>
          <w:rFonts w:hint="eastAsia" w:ascii="宋体" w:hAnsi="宋体" w:eastAsia="宋体" w:cs="宋体"/>
          <w:bCs/>
          <w:color w:val="000000"/>
          <w:sz w:val="24"/>
        </w:rPr>
        <w:t>致：</w:t>
      </w:r>
      <w:r>
        <w:rPr>
          <w:rFonts w:hint="eastAsia" w:ascii="宋体" w:hAnsi="宋体" w:eastAsia="宋体" w:cs="宋体"/>
          <w:color w:val="000000"/>
          <w:sz w:val="24"/>
          <w:lang w:eastAsia="zh-CN"/>
        </w:rPr>
        <w:t>新疆优尚资创招标代理有限公司</w:t>
      </w:r>
    </w:p>
    <w:p>
      <w:pPr>
        <w:spacing w:line="360" w:lineRule="auto"/>
        <w:ind w:firstLine="456" w:firstLineChars="200"/>
        <w:rPr>
          <w:rFonts w:hint="eastAsia" w:ascii="宋体" w:hAnsi="宋体" w:eastAsia="宋体" w:cs="宋体"/>
          <w:color w:val="000000"/>
          <w:sz w:val="24"/>
        </w:rPr>
      </w:pPr>
      <w:r>
        <w:rPr>
          <w:rFonts w:hint="eastAsia" w:ascii="宋体" w:hAnsi="宋体" w:eastAsia="宋体" w:cs="宋体"/>
          <w:color w:val="000000"/>
          <w:spacing w:val="-6"/>
          <w:sz w:val="24"/>
        </w:rPr>
        <w:t>根据贵方</w:t>
      </w:r>
      <w:r>
        <w:rPr>
          <w:rFonts w:hint="eastAsia" w:ascii="宋体" w:hAnsi="宋体" w:eastAsia="宋体" w:cs="宋体"/>
          <w:color w:val="000000"/>
          <w:spacing w:val="-6"/>
          <w:sz w:val="24"/>
          <w:u w:val="single"/>
        </w:rPr>
        <w:t xml:space="preserve">                             </w:t>
      </w:r>
      <w:r>
        <w:rPr>
          <w:rFonts w:hint="eastAsia" w:ascii="宋体" w:hAnsi="宋体" w:eastAsia="宋体" w:cs="宋体"/>
          <w:color w:val="000000"/>
          <w:spacing w:val="-6"/>
          <w:sz w:val="24"/>
        </w:rPr>
        <w:t>项目</w:t>
      </w:r>
      <w:r>
        <w:rPr>
          <w:rFonts w:hint="eastAsia" w:ascii="宋体" w:hAnsi="宋体" w:eastAsia="宋体" w:cs="宋体"/>
          <w:color w:val="000000"/>
          <w:sz w:val="24"/>
        </w:rPr>
        <w:t>的</w:t>
      </w:r>
      <w:r>
        <w:rPr>
          <w:rFonts w:hint="eastAsia" w:ascii="宋体" w:hAnsi="宋体" w:eastAsia="宋体" w:cs="宋体"/>
          <w:color w:val="000000"/>
          <w:spacing w:val="-6"/>
          <w:sz w:val="24"/>
        </w:rPr>
        <w:t>招标采购</w:t>
      </w: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)，正式授权的下述签字人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（姓名和职务）代表供应商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（磋商供应商名称），提交下述文件正本一份，副本</w:t>
      </w:r>
      <w:r>
        <w:rPr>
          <w:rFonts w:hint="eastAsia" w:ascii="宋体" w:hAnsi="宋体" w:cs="宋体"/>
          <w:color w:val="000000"/>
          <w:sz w:val="24"/>
          <w:lang w:val="en-US" w:eastAsia="zh-CN"/>
        </w:rPr>
        <w:t>两</w:t>
      </w:r>
      <w:r>
        <w:rPr>
          <w:rFonts w:hint="eastAsia" w:ascii="宋体" w:hAnsi="宋体" w:eastAsia="宋体" w:cs="宋体"/>
          <w:color w:val="000000"/>
          <w:sz w:val="24"/>
        </w:rPr>
        <w:t>份， 开标一览表一份</w:t>
      </w:r>
      <w:r>
        <w:rPr>
          <w:rFonts w:hint="eastAsia" w:ascii="宋体" w:hAnsi="宋体" w:cs="宋体"/>
          <w:color w:val="000000"/>
          <w:sz w:val="24"/>
          <w:lang w:eastAsia="zh-CN"/>
        </w:rPr>
        <w:t>，</w:t>
      </w:r>
      <w:r>
        <w:rPr>
          <w:rFonts w:hint="eastAsia" w:ascii="宋体" w:hAnsi="宋体" w:cs="宋体"/>
          <w:color w:val="000000"/>
          <w:sz w:val="24"/>
          <w:lang w:val="en-US" w:eastAsia="zh-CN"/>
        </w:rPr>
        <w:t>电子版一份</w:t>
      </w:r>
      <w:r>
        <w:rPr>
          <w:rFonts w:hint="eastAsia" w:ascii="宋体" w:hAnsi="宋体" w:eastAsia="宋体" w:cs="宋体"/>
          <w:color w:val="000000"/>
          <w:sz w:val="24"/>
        </w:rPr>
        <w:t xml:space="preserve">。   </w:t>
      </w:r>
    </w:p>
    <w:p>
      <w:pPr>
        <w:spacing w:line="360" w:lineRule="auto"/>
        <w:rPr>
          <w:rFonts w:hint="eastAsia" w:ascii="宋体" w:hAnsi="宋体" w:eastAsia="宋体" w:cs="宋体"/>
          <w:color w:val="000000"/>
          <w:sz w:val="24"/>
        </w:rPr>
      </w:pPr>
      <w:r>
        <w:rPr>
          <w:rFonts w:hint="eastAsia" w:ascii="宋体" w:hAnsi="宋体" w:eastAsia="宋体" w:cs="宋体"/>
          <w:color w:val="000000"/>
          <w:sz w:val="24"/>
        </w:rPr>
        <w:t xml:space="preserve">    据此函，签字人兹宣布同意如下条款：</w:t>
      </w:r>
    </w:p>
    <w:p>
      <w:pPr>
        <w:numPr>
          <w:ilvl w:val="0"/>
          <w:numId w:val="3"/>
        </w:numPr>
        <w:spacing w:line="360" w:lineRule="auto"/>
        <w:rPr>
          <w:rFonts w:hint="eastAsia" w:ascii="宋体" w:hAnsi="宋体" w:eastAsia="宋体" w:cs="宋体"/>
          <w:color w:val="000000"/>
          <w:sz w:val="24"/>
        </w:rPr>
      </w:pPr>
      <w:r>
        <w:rPr>
          <w:rFonts w:hint="eastAsia" w:ascii="宋体" w:hAnsi="宋体" w:eastAsia="宋体" w:cs="宋体"/>
          <w:color w:val="000000"/>
          <w:sz w:val="24"/>
        </w:rPr>
        <w:t>所附磋商价格表中规定的应提供和交付的货物及服务磋商总价为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（大写）。</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⑵ 我们将按磋商文件的规定履行合同责任和义务。</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⑶ 我们已详细审查全部磋商文件，包括修改意见（如有则附）以及全部参考资料和有关附件。我们完全理解并同意放弃对这方面有不明及误解而要求招标方解释和承担责任的权利。</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⑷ 在供应商须知规定的磋商有效期内遵循本磋商响应性文件，并在磋商须知规定的磋商有效期期满之前具有约束力。</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⑸ 如果在规定的磋商有效期内撤回投标，我们的磋商保证金可被贵方没收。</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⑹ 同意提供贵方可能要求的与本投标有关的任何证据或资料。</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⑺ 我们同意提供按照招标单位可能出示的与其投标有关的一切数据或资料。</w:t>
      </w:r>
    </w:p>
    <w:p>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⑻ 我们理解贵方不一定要接受最低报价的投标或收到的任何投标。</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⑼ 与本投标有关的一切正式往来通讯请寄至：</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电话：</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传真：</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rPr>
      </w:pP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24"/>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附件2：</w:t>
      </w:r>
      <w:bookmarkStart w:id="113" w:name="_Toc139965362"/>
    </w:p>
    <w:p>
      <w:pPr>
        <w:spacing w:line="360" w:lineRule="auto"/>
        <w:jc w:val="center"/>
        <w:outlineLvl w:val="1"/>
        <w:rPr>
          <w:rFonts w:hint="eastAsia" w:ascii="宋体" w:hAnsi="宋体" w:eastAsia="宋体" w:cs="宋体"/>
          <w:b/>
          <w:sz w:val="32"/>
          <w:szCs w:val="32"/>
        </w:rPr>
      </w:pPr>
      <w:bookmarkStart w:id="114" w:name="_Toc13125"/>
      <w:bookmarkStart w:id="115" w:name="_Toc22204"/>
      <w:bookmarkStart w:id="116" w:name="_Toc327439494"/>
      <w:r>
        <w:rPr>
          <w:rFonts w:hint="eastAsia" w:ascii="宋体" w:hAnsi="宋体" w:eastAsia="宋体" w:cs="宋体"/>
          <w:b/>
          <w:sz w:val="32"/>
          <w:szCs w:val="32"/>
        </w:rPr>
        <w:t>二、法定代表人身份证明</w:t>
      </w:r>
      <w:bookmarkEnd w:id="114"/>
      <w:bookmarkEnd w:id="115"/>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磋商供应商名称：</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地址：</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（磋商供应商名称）的法定代表人。</w:t>
      </w:r>
    </w:p>
    <w:p>
      <w:pPr>
        <w:spacing w:line="360" w:lineRule="auto"/>
        <w:ind w:firstLine="960" w:firstLineChars="400"/>
        <w:rPr>
          <w:rFonts w:hint="eastAsia" w:ascii="宋体" w:hAnsi="宋体" w:eastAsia="宋体" w:cs="宋体"/>
          <w:sz w:val="24"/>
        </w:rPr>
      </w:pPr>
      <w:r>
        <w:rPr>
          <w:rFonts w:hint="eastAsia" w:ascii="宋体" w:hAnsi="宋体" w:eastAsia="宋体" w:cs="宋体"/>
          <w:sz w:val="24"/>
        </w:rPr>
        <w:t>特此证明。</w:t>
      </w:r>
    </w:p>
    <w:p>
      <w:pPr>
        <w:spacing w:line="360" w:lineRule="auto"/>
        <w:jc w:val="center"/>
        <w:rPr>
          <w:rFonts w:hint="eastAsia" w:ascii="宋体" w:hAnsi="宋体" w:eastAsia="宋体" w:cs="宋体"/>
          <w:b/>
          <w:sz w:val="32"/>
          <w:szCs w:val="32"/>
        </w:rPr>
      </w:pP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法定代表人（签字或盖章）：</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p>
    <w:tbl>
      <w:tblPr>
        <w:tblStyle w:val="39"/>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法定代表人身份证</w:t>
            </w:r>
          </w:p>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复印件正面</w:t>
            </w:r>
          </w:p>
        </w:tc>
        <w:tc>
          <w:tcPr>
            <w:tcW w:w="4610" w:type="dxa"/>
            <w:vAlign w:val="center"/>
          </w:tcPr>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法定代表人身份证</w:t>
            </w:r>
          </w:p>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复印件反面</w:t>
            </w:r>
          </w:p>
        </w:tc>
      </w:tr>
    </w:tbl>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附件3：</w:t>
      </w:r>
    </w:p>
    <w:p>
      <w:pPr>
        <w:spacing w:line="360" w:lineRule="auto"/>
        <w:jc w:val="center"/>
        <w:outlineLvl w:val="1"/>
        <w:rPr>
          <w:rFonts w:hint="eastAsia" w:ascii="宋体" w:hAnsi="宋体" w:eastAsia="宋体" w:cs="宋体"/>
          <w:b/>
          <w:sz w:val="32"/>
          <w:szCs w:val="32"/>
        </w:rPr>
      </w:pPr>
      <w:bookmarkStart w:id="117" w:name="_Toc3591"/>
      <w:bookmarkStart w:id="118" w:name="_Toc31757"/>
      <w:r>
        <w:rPr>
          <w:rFonts w:hint="eastAsia" w:ascii="宋体" w:hAnsi="宋体" w:eastAsia="宋体" w:cs="宋体"/>
          <w:b/>
          <w:sz w:val="32"/>
          <w:szCs w:val="32"/>
        </w:rPr>
        <w:t>三、法定代表人授权委托书</w:t>
      </w:r>
      <w:bookmarkEnd w:id="117"/>
      <w:bookmarkEnd w:id="118"/>
    </w:p>
    <w:p>
      <w:pPr>
        <w:spacing w:line="360" w:lineRule="auto"/>
        <w:jc w:val="center"/>
        <w:rPr>
          <w:rFonts w:hint="eastAsia" w:ascii="宋体" w:hAnsi="宋体" w:eastAsia="宋体" w:cs="宋体"/>
          <w:sz w:val="24"/>
        </w:rPr>
      </w:pPr>
    </w:p>
    <w:p>
      <w:pPr>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rPr>
        <w:t>本授权书声明：我单位的</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（法人代表姓名、职务）代表本单位授权</w:t>
      </w:r>
      <w:r>
        <w:rPr>
          <w:rFonts w:hint="eastAsia" w:ascii="宋体" w:hAnsi="宋体" w:eastAsia="宋体" w:cs="宋体"/>
          <w:color w:val="000000"/>
          <w:sz w:val="24"/>
          <w:u w:val="single"/>
        </w:rPr>
        <w:t xml:space="preserve"> </w:t>
      </w:r>
    </w:p>
    <w:p>
      <w:pPr>
        <w:spacing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（被授权人的姓名、职务）为本单位的合法代理人，就</w:t>
      </w:r>
      <w:r>
        <w:rPr>
          <w:rFonts w:hint="eastAsia" w:ascii="宋体" w:hAnsi="宋体" w:eastAsia="宋体" w:cs="宋体"/>
          <w:color w:val="000000"/>
          <w:sz w:val="24"/>
          <w:u w:val="single"/>
        </w:rPr>
        <w:t xml:space="preserve">               </w:t>
      </w:r>
    </w:p>
    <w:p>
      <w:pPr>
        <w:spacing w:line="360" w:lineRule="auto"/>
        <w:jc w:val="left"/>
        <w:rPr>
          <w:rFonts w:hint="eastAsia"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项目的投标及合同的执行、完成，以本单位的名义处理一切与之有关的事务。</w:t>
      </w:r>
    </w:p>
    <w:p>
      <w:pPr>
        <w:spacing w:line="360" w:lineRule="auto"/>
        <w:ind w:firstLine="538"/>
        <w:jc w:val="left"/>
        <w:rPr>
          <w:rFonts w:hint="eastAsia" w:ascii="宋体" w:hAnsi="宋体" w:eastAsia="宋体" w:cs="宋体"/>
          <w:color w:val="000000"/>
          <w:sz w:val="24"/>
        </w:rPr>
      </w:pPr>
      <w:r>
        <w:rPr>
          <w:rFonts w:hint="eastAsia" w:ascii="宋体" w:hAnsi="宋体" w:eastAsia="宋体" w:cs="宋体"/>
          <w:color w:val="000000"/>
          <w:sz w:val="24"/>
        </w:rPr>
        <w:t>本授权书于</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日签字生效，特此声明。</w:t>
      </w:r>
    </w:p>
    <w:p>
      <w:pPr>
        <w:spacing w:line="360" w:lineRule="auto"/>
        <w:ind w:firstLine="538"/>
        <w:jc w:val="left"/>
        <w:rPr>
          <w:rFonts w:hint="eastAsia" w:ascii="宋体" w:hAnsi="宋体" w:eastAsia="宋体" w:cs="宋体"/>
          <w:color w:val="000000"/>
          <w:sz w:val="24"/>
        </w:rPr>
      </w:pPr>
    </w:p>
    <w:p>
      <w:pPr>
        <w:spacing w:line="360" w:lineRule="auto"/>
        <w:ind w:firstLine="538"/>
        <w:jc w:val="left"/>
        <w:rPr>
          <w:rFonts w:hint="eastAsia" w:ascii="宋体" w:hAnsi="宋体" w:eastAsia="宋体" w:cs="宋体"/>
          <w:color w:val="000000"/>
          <w:sz w:val="24"/>
        </w:rPr>
      </w:pPr>
    </w:p>
    <w:p>
      <w:pPr>
        <w:spacing w:after="120" w:afterLines="50" w:line="360" w:lineRule="auto"/>
        <w:ind w:firstLine="437"/>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after="120" w:afterLines="50" w:line="360" w:lineRule="auto"/>
        <w:ind w:firstLine="437"/>
        <w:rPr>
          <w:rFonts w:hint="eastAsia" w:ascii="宋体" w:hAnsi="宋体" w:eastAsia="宋体" w:cs="宋体"/>
          <w:color w:val="000000"/>
          <w:sz w:val="24"/>
        </w:rPr>
      </w:pPr>
      <w:r>
        <w:rPr>
          <w:rFonts w:hint="eastAsia" w:ascii="宋体" w:hAnsi="宋体" w:eastAsia="宋体" w:cs="宋体"/>
          <w:color w:val="000000"/>
          <w:sz w:val="24"/>
        </w:rPr>
        <w:t>法定代表人（签字或盖章）：</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after="120" w:afterLines="50" w:line="360" w:lineRule="auto"/>
        <w:ind w:firstLine="437"/>
        <w:rPr>
          <w:rFonts w:hint="eastAsia" w:ascii="宋体" w:hAnsi="宋体" w:eastAsia="宋体" w:cs="宋体"/>
          <w:color w:val="000000"/>
          <w:sz w:val="24"/>
          <w:u w:val="single"/>
        </w:rPr>
      </w:pPr>
      <w:r>
        <w:rPr>
          <w:rFonts w:hint="eastAsia" w:ascii="宋体" w:hAnsi="宋体" w:eastAsia="宋体" w:cs="宋体"/>
          <w:color w:val="000000"/>
          <w:sz w:val="24"/>
        </w:rPr>
        <w:t>授权代表人（签字或盖章）：</w:t>
      </w:r>
      <w:r>
        <w:rPr>
          <w:rFonts w:hint="eastAsia" w:ascii="宋体" w:hAnsi="宋体" w:eastAsia="宋体" w:cs="宋体"/>
          <w:color w:val="000000"/>
          <w:sz w:val="24"/>
          <w:u w:val="single"/>
        </w:rPr>
        <w:t xml:space="preserve">                       </w:t>
      </w:r>
    </w:p>
    <w:p>
      <w:pPr>
        <w:spacing w:line="360" w:lineRule="auto"/>
        <w:ind w:firstLine="470" w:firstLineChars="196"/>
        <w:rPr>
          <w:rFonts w:hint="eastAsia" w:ascii="宋体" w:hAnsi="宋体" w:eastAsia="宋体" w:cs="宋体"/>
          <w:sz w:val="24"/>
        </w:rPr>
      </w:pPr>
      <w:r>
        <w:rPr>
          <w:rFonts w:hint="eastAsia" w:ascii="宋体" w:hAnsi="宋体" w:eastAsia="宋体" w:cs="宋体"/>
          <w:color w:val="000000"/>
          <w:sz w:val="24"/>
        </w:rPr>
        <w:t>日期：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日</w:t>
      </w:r>
      <w:r>
        <w:rPr>
          <w:rFonts w:hint="eastAsia" w:ascii="宋体" w:hAnsi="宋体" w:eastAsia="宋体" w:cs="宋体"/>
          <w:color w:val="000000"/>
        </w:rPr>
        <w:t xml:space="preserve">   </w:t>
      </w:r>
    </w:p>
    <w:p>
      <w:pPr>
        <w:spacing w:line="360" w:lineRule="auto"/>
        <w:jc w:val="right"/>
        <w:rPr>
          <w:rFonts w:hint="eastAsia" w:ascii="宋体" w:hAnsi="宋体" w:eastAsia="宋体" w:cs="宋体"/>
          <w:sz w:val="24"/>
        </w:rPr>
      </w:pPr>
    </w:p>
    <w:tbl>
      <w:tblPr>
        <w:tblStyle w:val="39"/>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法定代表人身份证</w:t>
            </w:r>
          </w:p>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复印件（正、反面）</w:t>
            </w:r>
          </w:p>
        </w:tc>
        <w:tc>
          <w:tcPr>
            <w:tcW w:w="4610" w:type="dxa"/>
            <w:vAlign w:val="center"/>
          </w:tcPr>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被授权人身份证</w:t>
            </w:r>
          </w:p>
          <w:p>
            <w:pPr>
              <w:spacing w:after="120" w:afterLines="50" w:line="360" w:lineRule="auto"/>
              <w:jc w:val="center"/>
              <w:rPr>
                <w:rFonts w:hint="eastAsia" w:ascii="宋体" w:hAnsi="宋体" w:eastAsia="宋体" w:cs="宋体"/>
                <w:b/>
                <w:sz w:val="24"/>
              </w:rPr>
            </w:pPr>
            <w:r>
              <w:rPr>
                <w:rFonts w:hint="eastAsia" w:ascii="宋体" w:hAnsi="宋体" w:eastAsia="宋体" w:cs="宋体"/>
                <w:b/>
                <w:sz w:val="24"/>
              </w:rPr>
              <w:t>复印件（正、反面）</w:t>
            </w:r>
          </w:p>
        </w:tc>
      </w:tr>
    </w:tbl>
    <w:p>
      <w:pPr>
        <w:spacing w:before="0" w:after="0" w:line="360" w:lineRule="auto"/>
        <w:outlineLvl w:val="9"/>
        <w:rPr>
          <w:rFonts w:hint="eastAsia" w:ascii="宋体" w:hAnsi="宋体" w:eastAsia="宋体" w:cs="宋体"/>
          <w:spacing w:val="10"/>
          <w:sz w:val="24"/>
          <w:szCs w:val="24"/>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pPr>
    </w:p>
    <w:p>
      <w:pPr>
        <w:spacing w:line="360" w:lineRule="auto"/>
        <w:rPr>
          <w:rFonts w:hint="eastAsia" w:ascii="宋体" w:hAnsi="宋体" w:eastAsia="宋体" w:cs="宋体"/>
        </w:rPr>
        <w:sectPr>
          <w:headerReference r:id="rId9" w:type="default"/>
          <w:pgSz w:w="11906" w:h="16838"/>
          <w:pgMar w:top="1077" w:right="1417" w:bottom="1417" w:left="1417" w:header="851" w:footer="992" w:gutter="0"/>
          <w:pgNumType w:fmt="decimal"/>
          <w:cols w:space="720" w:num="1"/>
          <w:docGrid w:linePitch="312" w:charSpace="0"/>
        </w:sectPr>
      </w:pPr>
    </w:p>
    <w:bookmarkEnd w:id="113"/>
    <w:bookmarkEnd w:id="116"/>
    <w:p>
      <w:pPr>
        <w:spacing w:line="360" w:lineRule="auto"/>
        <w:jc w:val="left"/>
        <w:rPr>
          <w:rFonts w:hint="eastAsia" w:ascii="宋体" w:hAnsi="宋体" w:eastAsia="宋体" w:cs="宋体"/>
          <w:b/>
          <w:color w:val="000000"/>
          <w:sz w:val="32"/>
          <w:szCs w:val="32"/>
        </w:rPr>
      </w:pPr>
      <w:r>
        <w:rPr>
          <w:rFonts w:hint="eastAsia" w:ascii="宋体" w:hAnsi="宋体" w:eastAsia="宋体" w:cs="宋体"/>
          <w:b/>
          <w:color w:val="000000"/>
          <w:sz w:val="32"/>
          <w:szCs w:val="32"/>
        </w:rPr>
        <w:t>附件4：</w:t>
      </w:r>
    </w:p>
    <w:p>
      <w:pPr>
        <w:spacing w:line="360" w:lineRule="auto"/>
        <w:jc w:val="center"/>
        <w:outlineLvl w:val="1"/>
        <w:rPr>
          <w:rFonts w:hint="eastAsia" w:ascii="宋体" w:hAnsi="宋体" w:eastAsia="宋体" w:cs="宋体"/>
          <w:b/>
          <w:color w:val="000000"/>
          <w:sz w:val="32"/>
          <w:szCs w:val="32"/>
        </w:rPr>
      </w:pPr>
      <w:bookmarkStart w:id="119" w:name="_Toc10400"/>
      <w:bookmarkStart w:id="120" w:name="_Toc22062"/>
      <w:r>
        <w:rPr>
          <w:rFonts w:hint="eastAsia" w:ascii="宋体" w:hAnsi="宋体" w:eastAsia="宋体" w:cs="宋体"/>
          <w:b/>
          <w:color w:val="000000"/>
          <w:sz w:val="32"/>
          <w:szCs w:val="32"/>
        </w:rPr>
        <w:t>四、磋商报价表（开标一览表）</w:t>
      </w:r>
      <w:bookmarkEnd w:id="119"/>
      <w:bookmarkEnd w:id="120"/>
    </w:p>
    <w:p>
      <w:pPr>
        <w:pStyle w:val="106"/>
        <w:spacing w:line="360" w:lineRule="auto"/>
        <w:ind w:left="-181" w:leftChars="-86" w:firstLine="482" w:firstLineChars="200"/>
        <w:jc w:val="both"/>
        <w:rPr>
          <w:rFonts w:hint="eastAsia" w:ascii="宋体" w:hAnsi="宋体" w:eastAsia="宋体" w:cs="宋体"/>
          <w:b/>
          <w:color w:val="auto"/>
          <w:kern w:val="2"/>
          <w:szCs w:val="20"/>
        </w:rPr>
      </w:pPr>
      <w:r>
        <w:rPr>
          <w:rFonts w:hint="eastAsia" w:ascii="宋体" w:hAnsi="宋体" w:eastAsia="宋体" w:cs="宋体"/>
          <w:b/>
          <w:color w:val="auto"/>
          <w:kern w:val="2"/>
          <w:szCs w:val="20"/>
        </w:rPr>
        <w:t>项目名称：                             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211"/>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160" w:type="dxa"/>
            <w:vAlign w:val="center"/>
          </w:tcPr>
          <w:p>
            <w:pPr>
              <w:pStyle w:val="106"/>
              <w:ind w:left="-104" w:leftChars="-342" w:right="-743" w:rightChars="-354" w:hanging="614" w:hangingChars="256"/>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211"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4547" w:type="dxa"/>
            <w:vAlign w:val="center"/>
          </w:tcPr>
          <w:p>
            <w:pPr>
              <w:pStyle w:val="106"/>
              <w:ind w:left="-3" w:right="-25"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160" w:type="dxa"/>
            <w:vAlign w:val="center"/>
          </w:tcPr>
          <w:p>
            <w:pPr>
              <w:pStyle w:val="106"/>
              <w:ind w:left="-105" w:right="-97" w:firstLine="72" w:firstLine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211" w:type="dxa"/>
            <w:vAlign w:val="center"/>
          </w:tcPr>
          <w:p>
            <w:pPr>
              <w:pStyle w:val="113"/>
              <w:snapToGrid w:val="0"/>
              <w:spacing w:line="400" w:lineRule="exact"/>
              <w:ind w:left="473" w:hanging="473"/>
              <w:jc w:val="both"/>
              <w:rPr>
                <w:rFonts w:hint="eastAsia" w:ascii="宋体" w:hAnsi="宋体" w:eastAsia="宋体" w:cs="宋体"/>
                <w:color w:val="auto"/>
                <w:sz w:val="24"/>
                <w:szCs w:val="24"/>
              </w:rPr>
            </w:pPr>
            <w:r>
              <w:rPr>
                <w:rFonts w:hint="eastAsia" w:ascii="宋体" w:hAnsi="宋体" w:eastAsia="宋体" w:cs="宋体"/>
                <w:color w:val="auto"/>
                <w:sz w:val="24"/>
                <w:szCs w:val="24"/>
              </w:rPr>
              <w:t>投标总报价</w:t>
            </w:r>
          </w:p>
        </w:tc>
        <w:tc>
          <w:tcPr>
            <w:tcW w:w="4547" w:type="dxa"/>
            <w:vAlign w:val="center"/>
          </w:tcPr>
          <w:p>
            <w:pPr>
              <w:pStyle w:val="113"/>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113"/>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106"/>
              <w:ind w:left="-342" w:right="-354"/>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918" w:type="dxa"/>
            <w:gridSpan w:val="3"/>
            <w:vAlign w:val="center"/>
          </w:tcPr>
          <w:p>
            <w:pPr>
              <w:pStyle w:val="106"/>
              <w:ind w:left="-2" w:leftChars="-1" w:right="-35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供货期</w:t>
            </w:r>
            <w:r>
              <w:rPr>
                <w:rFonts w:hint="eastAsia" w:ascii="宋体" w:hAnsi="宋体" w:eastAsia="宋体" w:cs="宋体"/>
                <w:color w:val="auto"/>
                <w:sz w:val="24"/>
                <w:szCs w:val="24"/>
              </w:rPr>
              <w:t>:</w:t>
            </w:r>
          </w:p>
          <w:p>
            <w:pPr>
              <w:pStyle w:val="106"/>
              <w:ind w:left="-2" w:leftChars="-1" w:right="-354"/>
              <w:rPr>
                <w:rFonts w:hint="eastAsia" w:ascii="宋体" w:hAnsi="宋体" w:eastAsia="宋体" w:cs="宋体"/>
                <w:color w:val="auto"/>
                <w:sz w:val="24"/>
                <w:szCs w:val="24"/>
              </w:rPr>
            </w:pPr>
          </w:p>
          <w:p>
            <w:pPr>
              <w:pStyle w:val="106"/>
              <w:ind w:left="-2" w:leftChars="-1" w:right="-35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rPr>
              <w:t>：</w:t>
            </w:r>
          </w:p>
        </w:tc>
      </w:tr>
    </w:tbl>
    <w:p>
      <w:pPr>
        <w:jc w:val="left"/>
        <w:rPr>
          <w:rFonts w:hint="eastAsia" w:ascii="宋体" w:hAnsi="宋体" w:eastAsia="宋体" w:cs="宋体"/>
          <w:b/>
          <w:szCs w:val="21"/>
        </w:rPr>
      </w:pPr>
    </w:p>
    <w:p>
      <w:pPr>
        <w:jc w:val="left"/>
        <w:rPr>
          <w:rFonts w:hint="eastAsia" w:ascii="宋体" w:hAnsi="宋体" w:eastAsia="宋体" w:cs="宋体"/>
          <w:b/>
          <w:szCs w:val="21"/>
        </w:rPr>
      </w:pPr>
      <w:r>
        <w:rPr>
          <w:rFonts w:hint="eastAsia" w:ascii="宋体" w:hAnsi="宋体" w:eastAsia="宋体" w:cs="宋体"/>
          <w:b/>
          <w:szCs w:val="21"/>
        </w:rPr>
        <w:t xml:space="preserve">注：1.表中大小写不一致时，以大写为准。     </w:t>
      </w:r>
    </w:p>
    <w:p>
      <w:pPr>
        <w:autoSpaceDE w:val="0"/>
        <w:autoSpaceDN w:val="0"/>
        <w:adjustRightInd w:val="0"/>
        <w:jc w:val="left"/>
        <w:rPr>
          <w:rFonts w:hint="eastAsia" w:ascii="宋体" w:hAnsi="宋体" w:eastAsia="宋体" w:cs="宋体"/>
          <w:b/>
          <w:szCs w:val="21"/>
        </w:rPr>
      </w:pPr>
      <w:r>
        <w:rPr>
          <w:rFonts w:hint="eastAsia" w:ascii="宋体" w:hAnsi="宋体" w:eastAsia="宋体" w:cs="宋体"/>
          <w:b/>
          <w:szCs w:val="21"/>
        </w:rPr>
        <w:t xml:space="preserve">    2.此表一式两份，一份用信封单独密封，另一份</w:t>
      </w:r>
      <w:r>
        <w:rPr>
          <w:rFonts w:hint="eastAsia" w:ascii="宋体" w:hAnsi="宋体" w:cs="宋体"/>
          <w:b/>
          <w:szCs w:val="21"/>
          <w:lang w:eastAsia="zh-CN"/>
        </w:rPr>
        <w:t>胶装</w:t>
      </w:r>
      <w:r>
        <w:rPr>
          <w:rFonts w:hint="eastAsia" w:ascii="宋体" w:hAnsi="宋体" w:eastAsia="宋体" w:cs="宋体"/>
          <w:b/>
          <w:szCs w:val="21"/>
        </w:rPr>
        <w:t xml:space="preserve">在响应文件正本中，两个表须内容必须一致。 </w:t>
      </w:r>
    </w:p>
    <w:p>
      <w:pPr>
        <w:autoSpaceDE w:val="0"/>
        <w:autoSpaceDN w:val="0"/>
        <w:adjustRightInd w:val="0"/>
        <w:jc w:val="left"/>
        <w:rPr>
          <w:rFonts w:hint="eastAsia" w:ascii="宋体" w:hAnsi="宋体" w:eastAsia="宋体" w:cs="宋体"/>
          <w:b/>
          <w:szCs w:val="21"/>
        </w:rPr>
      </w:pPr>
      <w:r>
        <w:rPr>
          <w:rFonts w:hint="eastAsia" w:ascii="宋体" w:hAnsi="宋体" w:eastAsia="宋体" w:cs="宋体"/>
          <w:b/>
          <w:szCs w:val="21"/>
        </w:rPr>
        <w:t xml:space="preserve">    3.投标总报价包括</w:t>
      </w:r>
      <w:r>
        <w:rPr>
          <w:rFonts w:hint="eastAsia" w:ascii="宋体" w:hAnsi="宋体" w:eastAsia="宋体" w:cs="宋体"/>
          <w:b/>
          <w:szCs w:val="21"/>
          <w:lang w:eastAsia="zh-CN"/>
        </w:rPr>
        <w:t>设备费</w:t>
      </w:r>
      <w:r>
        <w:rPr>
          <w:rFonts w:hint="eastAsia" w:ascii="宋体" w:hAnsi="宋体" w:eastAsia="宋体" w:cs="宋体"/>
          <w:b/>
          <w:szCs w:val="21"/>
        </w:rPr>
        <w:t>、</w:t>
      </w:r>
      <w:r>
        <w:rPr>
          <w:rFonts w:hint="eastAsia" w:ascii="宋体" w:hAnsi="宋体" w:eastAsia="宋体" w:cs="宋体"/>
          <w:b/>
          <w:szCs w:val="21"/>
          <w:lang w:eastAsia="zh-CN"/>
        </w:rPr>
        <w:t>运费、</w:t>
      </w:r>
      <w:r>
        <w:rPr>
          <w:rFonts w:hint="eastAsia" w:ascii="宋体" w:hAnsi="宋体" w:eastAsia="宋体" w:cs="宋体"/>
          <w:b/>
          <w:szCs w:val="21"/>
        </w:rPr>
        <w:t>保险费、税金、及其他不可预见费等全部费用。</w:t>
      </w:r>
    </w:p>
    <w:p>
      <w:pPr>
        <w:autoSpaceDE w:val="0"/>
        <w:autoSpaceDN w:val="0"/>
        <w:adjustRightInd w:val="0"/>
        <w:jc w:val="left"/>
        <w:rPr>
          <w:rFonts w:hint="eastAsia" w:ascii="宋体" w:hAnsi="宋体" w:eastAsia="宋体" w:cs="宋体"/>
          <w:b/>
          <w:szCs w:val="21"/>
        </w:rPr>
      </w:pPr>
      <w:r>
        <w:rPr>
          <w:rFonts w:hint="eastAsia" w:ascii="宋体" w:hAnsi="宋体" w:eastAsia="宋体" w:cs="宋体"/>
          <w:b/>
          <w:szCs w:val="21"/>
        </w:rPr>
        <w:t xml:space="preserve">    4.本表中“投标总报价”必须与《</w:t>
      </w:r>
      <w:r>
        <w:rPr>
          <w:rFonts w:hint="eastAsia" w:ascii="宋体" w:hAnsi="宋体" w:eastAsia="宋体" w:cs="宋体"/>
          <w:b/>
          <w:szCs w:val="21"/>
          <w:lang w:eastAsia="zh-CN"/>
        </w:rPr>
        <w:t>磋商响应</w:t>
      </w:r>
      <w:r>
        <w:rPr>
          <w:rFonts w:hint="eastAsia" w:ascii="宋体" w:hAnsi="宋体" w:eastAsia="宋体" w:cs="宋体"/>
          <w:b/>
          <w:szCs w:val="21"/>
        </w:rPr>
        <w:t>函》中的“</w:t>
      </w:r>
      <w:r>
        <w:rPr>
          <w:rFonts w:hint="eastAsia" w:ascii="宋体" w:hAnsi="宋体" w:eastAsia="宋体" w:cs="宋体"/>
          <w:b/>
          <w:szCs w:val="21"/>
          <w:lang w:eastAsia="zh-CN"/>
        </w:rPr>
        <w:t>磋商</w:t>
      </w:r>
      <w:r>
        <w:rPr>
          <w:rFonts w:hint="eastAsia" w:ascii="宋体" w:hAnsi="宋体" w:eastAsia="宋体" w:cs="宋体"/>
          <w:b/>
          <w:szCs w:val="21"/>
        </w:rPr>
        <w:t>总价”及《报价明细表》中的“</w:t>
      </w:r>
      <w:r>
        <w:rPr>
          <w:rFonts w:hint="eastAsia" w:ascii="宋体" w:hAnsi="宋体" w:eastAsia="宋体" w:cs="宋体"/>
          <w:b/>
          <w:bCs/>
          <w:szCs w:val="21"/>
        </w:rPr>
        <w:t>投标总报价</w:t>
      </w:r>
      <w:r>
        <w:rPr>
          <w:rFonts w:hint="eastAsia" w:ascii="宋体" w:hAnsi="宋体" w:eastAsia="宋体" w:cs="宋体"/>
          <w:b/>
          <w:szCs w:val="21"/>
        </w:rPr>
        <w:t>”均保持一致，如不一致，以《开标一览表》为准。</w:t>
      </w:r>
    </w:p>
    <w:p>
      <w:pPr>
        <w:pStyle w:val="106"/>
        <w:rPr>
          <w:rFonts w:hint="eastAsia" w:ascii="宋体" w:hAnsi="宋体" w:eastAsia="宋体" w:cs="宋体"/>
          <w:color w:val="auto"/>
          <w:sz w:val="21"/>
          <w:szCs w:val="21"/>
        </w:rPr>
      </w:pPr>
    </w:p>
    <w:p>
      <w:pPr>
        <w:spacing w:line="360" w:lineRule="auto"/>
        <w:jc w:val="left"/>
        <w:rPr>
          <w:rFonts w:hint="eastAsia" w:ascii="宋体" w:hAnsi="宋体" w:eastAsia="宋体" w:cs="宋体"/>
          <w:color w:val="000000"/>
          <w:sz w:val="24"/>
        </w:rPr>
      </w:pPr>
    </w:p>
    <w:p>
      <w:pPr>
        <w:spacing w:line="360" w:lineRule="auto"/>
        <w:jc w:val="left"/>
        <w:rPr>
          <w:rFonts w:hint="eastAsia" w:ascii="宋体" w:hAnsi="宋体" w:eastAsia="宋体" w:cs="宋体"/>
          <w:color w:val="000000"/>
          <w:sz w:val="24"/>
        </w:rPr>
      </w:pPr>
    </w:p>
    <w:p>
      <w:pPr>
        <w:spacing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pStyle w:val="106"/>
        <w:rPr>
          <w:rFonts w:hint="eastAsia" w:ascii="宋体" w:hAnsi="宋体" w:eastAsia="宋体" w:cs="宋体"/>
          <w:color w:val="auto"/>
        </w:rPr>
      </w:pPr>
      <w:r>
        <w:rPr>
          <w:rFonts w:hint="eastAsia" w:ascii="宋体" w:hAnsi="宋体" w:eastAsia="宋体" w:cs="宋体"/>
          <w:color w:val="auto"/>
          <w:sz w:val="24"/>
          <w:szCs w:val="24"/>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rPr>
        <w:t xml:space="preserve">          </w:t>
      </w:r>
    </w:p>
    <w:p>
      <w:pPr>
        <w:pStyle w:val="12"/>
        <w:rPr>
          <w:rFonts w:hint="eastAsia" w:ascii="宋体" w:hAnsi="宋体" w:eastAsia="宋体" w:cs="宋体"/>
        </w:rPr>
        <w:sectPr>
          <w:headerReference r:id="rId10" w:type="default"/>
          <w:pgSz w:w="11906" w:h="16838"/>
          <w:pgMar w:top="1077" w:right="1417" w:bottom="1417" w:left="1417" w:header="851" w:footer="992" w:gutter="0"/>
          <w:pgNumType w:fmt="decimal"/>
          <w:cols w:space="720" w:num="1"/>
          <w:docGrid w:linePitch="312" w:charSpace="0"/>
        </w:sectPr>
      </w:pPr>
    </w:p>
    <w:p>
      <w:pPr>
        <w:jc w:val="center"/>
        <w:rPr>
          <w:rFonts w:hint="eastAsia" w:ascii="宋体" w:hAnsi="宋体" w:eastAsia="宋体" w:cs="宋体"/>
          <w:b/>
          <w:sz w:val="30"/>
        </w:rPr>
      </w:pPr>
      <w:r>
        <w:rPr>
          <w:rFonts w:hint="eastAsia" w:ascii="宋体" w:hAnsi="宋体" w:eastAsia="宋体" w:cs="宋体"/>
          <w:b/>
          <w:sz w:val="30"/>
        </w:rPr>
        <w:t>附表</w:t>
      </w:r>
      <w:r>
        <w:rPr>
          <w:rFonts w:hint="eastAsia" w:ascii="宋体" w:hAnsi="宋体" w:eastAsia="宋体" w:cs="宋体"/>
          <w:b/>
          <w:sz w:val="30"/>
          <w:lang w:val="en-US" w:eastAsia="zh-CN"/>
        </w:rPr>
        <w:t>4</w:t>
      </w:r>
      <w:r>
        <w:rPr>
          <w:rFonts w:hint="eastAsia" w:ascii="宋体" w:hAnsi="宋体" w:eastAsia="宋体" w:cs="宋体"/>
          <w:b/>
          <w:sz w:val="30"/>
        </w:rPr>
        <w:t>-1  报价明细表</w:t>
      </w:r>
    </w:p>
    <w:p>
      <w:pPr>
        <w:rPr>
          <w:rFonts w:hint="eastAsia" w:ascii="宋体" w:hAnsi="宋体" w:eastAsia="宋体" w:cs="宋体"/>
          <w:b/>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2"/>
          <w:lang w:eastAsia="zh-CN"/>
        </w:rPr>
      </w:pPr>
      <w:r>
        <w:rPr>
          <w:rFonts w:hint="eastAsia" w:ascii="宋体" w:hAnsi="宋体" w:eastAsia="宋体" w:cs="宋体"/>
          <w:bCs/>
          <w:sz w:val="24"/>
          <w:szCs w:val="22"/>
          <w:lang w:eastAsia="zh-CN"/>
        </w:rPr>
        <w:t>项目名称：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rPr>
      </w:pPr>
      <w:r>
        <w:rPr>
          <w:rFonts w:hint="eastAsia" w:ascii="宋体" w:hAnsi="宋体" w:eastAsia="宋体" w:cs="宋体"/>
          <w:bCs/>
          <w:sz w:val="24"/>
        </w:rPr>
        <w:t xml:space="preserve">投标人名称：                                      </w:t>
      </w:r>
    </w:p>
    <w:tbl>
      <w:tblPr>
        <w:tblStyle w:val="39"/>
        <w:tblW w:w="10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069"/>
        <w:gridCol w:w="1332"/>
        <w:gridCol w:w="819"/>
        <w:gridCol w:w="1016"/>
        <w:gridCol w:w="1026"/>
        <w:gridCol w:w="1570"/>
        <w:gridCol w:w="865"/>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序号</w:t>
            </w:r>
          </w:p>
        </w:tc>
        <w:tc>
          <w:tcPr>
            <w:tcW w:w="2069" w:type="dxa"/>
            <w:vAlign w:val="center"/>
          </w:tcPr>
          <w:p>
            <w:pPr>
              <w:jc w:val="center"/>
              <w:rPr>
                <w:rFonts w:hint="eastAsia" w:ascii="宋体" w:hAnsi="宋体" w:eastAsia="宋体" w:cs="宋体"/>
                <w:sz w:val="24"/>
              </w:rPr>
            </w:pPr>
            <w:r>
              <w:rPr>
                <w:rFonts w:hint="eastAsia" w:ascii="宋体" w:hAnsi="宋体" w:eastAsia="宋体" w:cs="宋体"/>
                <w:sz w:val="24"/>
              </w:rPr>
              <w:t>内容</w:t>
            </w:r>
          </w:p>
        </w:tc>
        <w:tc>
          <w:tcPr>
            <w:tcW w:w="1332"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规格型号</w:t>
            </w:r>
          </w:p>
        </w:tc>
        <w:tc>
          <w:tcPr>
            <w:tcW w:w="819"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数量</w:t>
            </w:r>
          </w:p>
        </w:tc>
        <w:tc>
          <w:tcPr>
            <w:tcW w:w="1016"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单价（元）</w:t>
            </w:r>
          </w:p>
        </w:tc>
        <w:tc>
          <w:tcPr>
            <w:tcW w:w="1026"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合价（元）</w:t>
            </w:r>
          </w:p>
        </w:tc>
        <w:tc>
          <w:tcPr>
            <w:tcW w:w="1570"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生产厂家及品牌</w:t>
            </w:r>
          </w:p>
        </w:tc>
        <w:tc>
          <w:tcPr>
            <w:tcW w:w="865"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产地</w:t>
            </w:r>
          </w:p>
        </w:tc>
        <w:tc>
          <w:tcPr>
            <w:tcW w:w="862" w:type="dxa"/>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1</w:t>
            </w:r>
          </w:p>
        </w:tc>
        <w:tc>
          <w:tcPr>
            <w:tcW w:w="2069" w:type="dxa"/>
            <w:vAlign w:val="center"/>
          </w:tcPr>
          <w:p>
            <w:pPr>
              <w:jc w:val="center"/>
              <w:rPr>
                <w:rFonts w:hint="eastAsia" w:ascii="宋体" w:hAnsi="宋体" w:eastAsia="宋体" w:cs="宋体"/>
                <w:bCs/>
                <w:sz w:val="24"/>
              </w:rPr>
            </w:pPr>
          </w:p>
        </w:tc>
        <w:tc>
          <w:tcPr>
            <w:tcW w:w="1332" w:type="dxa"/>
            <w:vAlign w:val="center"/>
          </w:tcPr>
          <w:p>
            <w:pPr>
              <w:jc w:val="center"/>
              <w:rPr>
                <w:rFonts w:hint="eastAsia" w:ascii="宋体" w:hAnsi="宋体" w:eastAsia="宋体" w:cs="宋体"/>
                <w:bCs/>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2</w:t>
            </w:r>
          </w:p>
        </w:tc>
        <w:tc>
          <w:tcPr>
            <w:tcW w:w="2069" w:type="dxa"/>
            <w:vAlign w:val="center"/>
          </w:tcPr>
          <w:p>
            <w:pPr>
              <w:jc w:val="center"/>
              <w:rPr>
                <w:rFonts w:hint="eastAsia" w:ascii="宋体" w:hAnsi="宋体" w:eastAsia="宋体" w:cs="宋体"/>
                <w:bCs/>
                <w:sz w:val="24"/>
              </w:rPr>
            </w:pPr>
          </w:p>
        </w:tc>
        <w:tc>
          <w:tcPr>
            <w:tcW w:w="1332" w:type="dxa"/>
            <w:vAlign w:val="center"/>
          </w:tcPr>
          <w:p>
            <w:pPr>
              <w:jc w:val="center"/>
              <w:rPr>
                <w:rFonts w:hint="eastAsia" w:ascii="宋体" w:hAnsi="宋体" w:eastAsia="宋体" w:cs="宋体"/>
                <w:bCs/>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3</w:t>
            </w:r>
          </w:p>
        </w:tc>
        <w:tc>
          <w:tcPr>
            <w:tcW w:w="2069" w:type="dxa"/>
            <w:vAlign w:val="center"/>
          </w:tcPr>
          <w:p>
            <w:pPr>
              <w:jc w:val="center"/>
              <w:rPr>
                <w:rFonts w:hint="eastAsia" w:ascii="宋体" w:hAnsi="宋体" w:eastAsia="宋体" w:cs="宋体"/>
                <w:bCs/>
                <w:sz w:val="24"/>
              </w:rPr>
            </w:pP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4</w:t>
            </w:r>
          </w:p>
        </w:tc>
        <w:tc>
          <w:tcPr>
            <w:tcW w:w="2069" w:type="dxa"/>
            <w:vAlign w:val="center"/>
          </w:tcPr>
          <w:p>
            <w:pPr>
              <w:widowControl/>
              <w:jc w:val="left"/>
              <w:rPr>
                <w:rFonts w:hint="eastAsia" w:ascii="宋体" w:hAnsi="宋体" w:eastAsia="宋体" w:cs="宋体"/>
                <w:kern w:val="0"/>
                <w:szCs w:val="21"/>
              </w:rPr>
            </w:pP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5</w:t>
            </w:r>
          </w:p>
        </w:tc>
        <w:tc>
          <w:tcPr>
            <w:tcW w:w="2069" w:type="dxa"/>
            <w:vAlign w:val="center"/>
          </w:tcPr>
          <w:p>
            <w:pPr>
              <w:widowControl/>
              <w:jc w:val="left"/>
              <w:rPr>
                <w:rFonts w:hint="eastAsia" w:ascii="宋体" w:hAnsi="宋体" w:eastAsia="宋体" w:cs="宋体"/>
                <w:kern w:val="0"/>
                <w:szCs w:val="21"/>
              </w:rPr>
            </w:pP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5" w:type="dxa"/>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2069" w:type="dxa"/>
            <w:vAlign w:val="center"/>
          </w:tcPr>
          <w:p>
            <w:pPr>
              <w:widowControl/>
              <w:jc w:val="left"/>
              <w:rPr>
                <w:rFonts w:hint="eastAsia" w:ascii="宋体" w:hAnsi="宋体" w:eastAsia="宋体" w:cs="宋体"/>
                <w:kern w:val="0"/>
                <w:szCs w:val="21"/>
              </w:rPr>
            </w:pP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w:t>
            </w:r>
          </w:p>
        </w:tc>
        <w:tc>
          <w:tcPr>
            <w:tcW w:w="2069" w:type="dxa"/>
            <w:vAlign w:val="center"/>
          </w:tcPr>
          <w:p>
            <w:pPr>
              <w:adjustRightInd w:val="0"/>
              <w:snapToGrid w:val="0"/>
              <w:rPr>
                <w:rFonts w:hint="eastAsia" w:ascii="宋体" w:hAnsi="宋体" w:eastAsia="宋体" w:cs="宋体"/>
                <w:szCs w:val="21"/>
              </w:rPr>
            </w:pPr>
            <w:r>
              <w:rPr>
                <w:rFonts w:hint="eastAsia" w:ascii="宋体" w:hAnsi="宋体" w:eastAsia="宋体" w:cs="宋体"/>
                <w:szCs w:val="21"/>
              </w:rPr>
              <w:t>税费</w:t>
            </w: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55" w:type="dxa"/>
            <w:vAlign w:val="center"/>
          </w:tcPr>
          <w:p>
            <w:pPr>
              <w:jc w:val="center"/>
              <w:rPr>
                <w:rFonts w:hint="eastAsia" w:ascii="宋体" w:hAnsi="宋体" w:eastAsia="宋体" w:cs="宋体"/>
                <w:sz w:val="24"/>
              </w:rPr>
            </w:pPr>
            <w:r>
              <w:rPr>
                <w:rFonts w:hint="eastAsia" w:ascii="宋体" w:hAnsi="宋体" w:eastAsia="宋体" w:cs="宋体"/>
                <w:sz w:val="24"/>
              </w:rPr>
              <w:t>…</w:t>
            </w:r>
          </w:p>
        </w:tc>
        <w:tc>
          <w:tcPr>
            <w:tcW w:w="2069" w:type="dxa"/>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其他</w:t>
            </w: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855" w:type="dxa"/>
            <w:vAlign w:val="center"/>
          </w:tcPr>
          <w:p>
            <w:pPr>
              <w:jc w:val="center"/>
              <w:rPr>
                <w:rFonts w:hint="eastAsia" w:ascii="宋体" w:hAnsi="宋体" w:eastAsia="宋体" w:cs="宋体"/>
                <w:sz w:val="24"/>
              </w:rPr>
            </w:pPr>
          </w:p>
        </w:tc>
        <w:tc>
          <w:tcPr>
            <w:tcW w:w="2069" w:type="dxa"/>
            <w:vAlign w:val="center"/>
          </w:tcPr>
          <w:p>
            <w:pPr>
              <w:adjustRightInd w:val="0"/>
              <w:snapToGrid w:val="0"/>
              <w:jc w:val="center"/>
              <w:rPr>
                <w:rFonts w:hint="eastAsia" w:ascii="宋体" w:hAnsi="宋体" w:eastAsia="宋体" w:cs="宋体"/>
                <w:bCs/>
                <w:szCs w:val="21"/>
              </w:rPr>
            </w:pPr>
            <w:r>
              <w:rPr>
                <w:rFonts w:hint="eastAsia" w:ascii="宋体" w:hAnsi="宋体" w:eastAsia="宋体" w:cs="宋体"/>
                <w:bCs/>
                <w:szCs w:val="21"/>
              </w:rPr>
              <w:t>投标总报价</w:t>
            </w:r>
          </w:p>
        </w:tc>
        <w:tc>
          <w:tcPr>
            <w:tcW w:w="1332" w:type="dxa"/>
            <w:vAlign w:val="center"/>
          </w:tcPr>
          <w:p>
            <w:pPr>
              <w:jc w:val="center"/>
              <w:rPr>
                <w:rFonts w:hint="eastAsia" w:ascii="宋体" w:hAnsi="宋体" w:eastAsia="宋体" w:cs="宋体"/>
                <w:sz w:val="24"/>
              </w:rPr>
            </w:pPr>
          </w:p>
        </w:tc>
        <w:tc>
          <w:tcPr>
            <w:tcW w:w="819" w:type="dxa"/>
            <w:vAlign w:val="center"/>
          </w:tcPr>
          <w:p>
            <w:pPr>
              <w:jc w:val="center"/>
              <w:rPr>
                <w:rFonts w:hint="eastAsia" w:ascii="宋体" w:hAnsi="宋体" w:eastAsia="宋体" w:cs="宋体"/>
                <w:sz w:val="24"/>
              </w:rPr>
            </w:pPr>
          </w:p>
        </w:tc>
        <w:tc>
          <w:tcPr>
            <w:tcW w:w="1016" w:type="dxa"/>
            <w:vAlign w:val="center"/>
          </w:tcPr>
          <w:p>
            <w:pPr>
              <w:jc w:val="center"/>
              <w:rPr>
                <w:rFonts w:hint="eastAsia" w:ascii="宋体" w:hAnsi="宋体" w:eastAsia="宋体" w:cs="宋体"/>
                <w:sz w:val="24"/>
              </w:rPr>
            </w:pPr>
          </w:p>
        </w:tc>
        <w:tc>
          <w:tcPr>
            <w:tcW w:w="1026" w:type="dxa"/>
            <w:vAlign w:val="center"/>
          </w:tcPr>
          <w:p>
            <w:pPr>
              <w:jc w:val="center"/>
              <w:rPr>
                <w:rFonts w:hint="eastAsia" w:ascii="宋体" w:hAnsi="宋体" w:eastAsia="宋体" w:cs="宋体"/>
                <w:sz w:val="24"/>
              </w:rPr>
            </w:pPr>
          </w:p>
        </w:tc>
        <w:tc>
          <w:tcPr>
            <w:tcW w:w="1570" w:type="dxa"/>
            <w:vAlign w:val="center"/>
          </w:tcPr>
          <w:p>
            <w:pPr>
              <w:jc w:val="center"/>
              <w:rPr>
                <w:rFonts w:hint="eastAsia" w:ascii="宋体" w:hAnsi="宋体" w:eastAsia="宋体" w:cs="宋体"/>
                <w:sz w:val="24"/>
              </w:rPr>
            </w:pPr>
          </w:p>
        </w:tc>
        <w:tc>
          <w:tcPr>
            <w:tcW w:w="865" w:type="dxa"/>
            <w:vAlign w:val="center"/>
          </w:tcPr>
          <w:p>
            <w:pPr>
              <w:jc w:val="center"/>
              <w:rPr>
                <w:rFonts w:hint="eastAsia" w:ascii="宋体" w:hAnsi="宋体" w:eastAsia="宋体" w:cs="宋体"/>
                <w:sz w:val="24"/>
              </w:rPr>
            </w:pPr>
          </w:p>
        </w:tc>
        <w:tc>
          <w:tcPr>
            <w:tcW w:w="862" w:type="dxa"/>
            <w:vAlign w:val="center"/>
          </w:tcPr>
          <w:p>
            <w:pPr>
              <w:jc w:val="center"/>
              <w:rPr>
                <w:rFonts w:hint="eastAsia" w:ascii="宋体" w:hAnsi="宋体" w:eastAsia="宋体" w:cs="宋体"/>
                <w:sz w:val="24"/>
              </w:rPr>
            </w:pPr>
          </w:p>
        </w:tc>
      </w:tr>
    </w:tbl>
    <w:p>
      <w:pPr>
        <w:pStyle w:val="28"/>
        <w:pBdr>
          <w:bottom w:val="none" w:color="auto" w:sz="0" w:space="0"/>
        </w:pBdr>
        <w:tabs>
          <w:tab w:val="left" w:pos="420"/>
        </w:tabs>
        <w:snapToGrid/>
        <w:spacing w:line="400" w:lineRule="exact"/>
        <w:jc w:val="both"/>
        <w:rPr>
          <w:rFonts w:hint="eastAsia" w:ascii="宋体" w:hAnsi="宋体" w:eastAsia="宋体" w:cs="宋体"/>
          <w:sz w:val="21"/>
          <w:szCs w:val="21"/>
        </w:rPr>
      </w:pPr>
    </w:p>
    <w:p>
      <w:pPr>
        <w:pStyle w:val="28"/>
        <w:pBdr>
          <w:bottom w:val="none" w:color="auto" w:sz="0" w:space="0"/>
        </w:pBdr>
        <w:tabs>
          <w:tab w:val="left" w:pos="420"/>
        </w:tabs>
        <w:snapToGrid/>
        <w:spacing w:line="400" w:lineRule="exact"/>
        <w:ind w:left="630" w:hanging="630" w:hangingChars="300"/>
        <w:jc w:val="both"/>
        <w:rPr>
          <w:rFonts w:hint="eastAsia" w:ascii="宋体" w:hAnsi="宋体" w:eastAsia="宋体" w:cs="宋体"/>
          <w:bCs/>
          <w:sz w:val="21"/>
          <w:szCs w:val="21"/>
        </w:rPr>
      </w:pPr>
      <w:r>
        <w:rPr>
          <w:rFonts w:hint="eastAsia" w:ascii="宋体" w:hAnsi="宋体" w:eastAsia="宋体" w:cs="宋体"/>
          <w:sz w:val="21"/>
          <w:szCs w:val="21"/>
        </w:rPr>
        <w:t xml:space="preserve">注：1. </w:t>
      </w:r>
      <w:r>
        <w:rPr>
          <w:rFonts w:hint="eastAsia" w:ascii="宋体" w:hAnsi="宋体" w:eastAsia="宋体" w:cs="宋体"/>
          <w:bCs/>
          <w:sz w:val="21"/>
          <w:szCs w:val="21"/>
        </w:rPr>
        <w:t>此表中的投标总报价必须与“开标一览表”中的“投标总报价”一致。</w:t>
      </w:r>
    </w:p>
    <w:p>
      <w:pPr>
        <w:ind w:left="2880" w:hanging="2880"/>
        <w:rPr>
          <w:rFonts w:hint="eastAsia" w:ascii="宋体" w:hAnsi="宋体" w:eastAsia="宋体" w:cs="宋体"/>
          <w:sz w:val="24"/>
          <w:u w:val="single"/>
        </w:rPr>
      </w:pPr>
    </w:p>
    <w:p>
      <w:pPr>
        <w:spacing w:line="360" w:lineRule="exact"/>
        <w:rPr>
          <w:rFonts w:hint="eastAsia" w:ascii="宋体" w:hAnsi="宋体" w:eastAsia="宋体" w:cs="宋体"/>
          <w:sz w:val="24"/>
        </w:rPr>
      </w:pPr>
      <w:r>
        <w:rPr>
          <w:rFonts w:hint="eastAsia" w:ascii="宋体" w:hAnsi="宋体" w:eastAsia="宋体" w:cs="宋体"/>
          <w:sz w:val="24"/>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pStyle w:val="133"/>
        <w:widowControl w:val="0"/>
        <w:spacing w:line="360" w:lineRule="exact"/>
        <w:rPr>
          <w:rFonts w:hint="eastAsia" w:ascii="宋体" w:hAnsi="宋体" w:eastAsia="宋体" w:cs="宋体"/>
          <w:szCs w:val="24"/>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附件5：</w:t>
      </w:r>
    </w:p>
    <w:p>
      <w:pPr>
        <w:spacing w:line="360" w:lineRule="auto"/>
        <w:jc w:val="center"/>
        <w:outlineLvl w:val="1"/>
        <w:rPr>
          <w:rFonts w:hint="eastAsia" w:ascii="宋体" w:hAnsi="宋体" w:eastAsia="宋体" w:cs="宋体"/>
          <w:b/>
          <w:sz w:val="32"/>
          <w:szCs w:val="32"/>
        </w:rPr>
      </w:pPr>
      <w:bookmarkStart w:id="121" w:name="_Toc21924"/>
      <w:bookmarkStart w:id="122" w:name="_Toc25467"/>
      <w:r>
        <w:rPr>
          <w:rFonts w:hint="eastAsia" w:ascii="宋体" w:hAnsi="宋体" w:eastAsia="宋体" w:cs="宋体"/>
          <w:b/>
          <w:sz w:val="32"/>
          <w:szCs w:val="32"/>
        </w:rPr>
        <w:t>五、商务偏离表</w:t>
      </w:r>
      <w:bookmarkEnd w:id="121"/>
      <w:bookmarkEnd w:id="122"/>
    </w:p>
    <w:p>
      <w:pPr>
        <w:spacing w:line="360" w:lineRule="auto"/>
        <w:jc w:val="center"/>
        <w:rPr>
          <w:rFonts w:hint="eastAsia" w:ascii="宋体" w:hAnsi="宋体" w:eastAsia="宋体" w:cs="宋体"/>
          <w:b/>
          <w:sz w:val="24"/>
        </w:rPr>
      </w:pPr>
    </w:p>
    <w:tbl>
      <w:tblPr>
        <w:tblStyle w:val="39"/>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序号</w:t>
            </w: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招标文件条目号</w:t>
            </w: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招标文件的商务条款</w:t>
            </w:r>
          </w:p>
        </w:tc>
        <w:tc>
          <w:tcPr>
            <w:tcW w:w="2345" w:type="dxa"/>
            <w:vAlign w:val="center"/>
          </w:tcPr>
          <w:p>
            <w:pPr>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投标文件的商务条款</w:t>
            </w: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偏离情况</w:t>
            </w: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r>
              <w:rPr>
                <w:rFonts w:hint="eastAsia" w:ascii="宋体" w:hAnsi="宋体" w:eastAsia="宋体" w:cs="宋体"/>
                <w:bCs/>
                <w:color w:val="000000"/>
                <w:sz w:val="24"/>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1983"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8" w:type="dxa"/>
            <w:tcMar>
              <w:top w:w="15" w:type="dxa"/>
              <w:left w:w="15" w:type="dxa"/>
              <w:bottom w:w="0" w:type="dxa"/>
              <w:right w:w="15" w:type="dxa"/>
            </w:tcMar>
            <w:vAlign w:val="center"/>
          </w:tcPr>
          <w:p>
            <w:pPr>
              <w:spacing w:line="360" w:lineRule="auto"/>
              <w:jc w:val="center"/>
              <w:rPr>
                <w:rFonts w:hint="eastAsia" w:ascii="宋体" w:hAnsi="宋体" w:eastAsia="宋体" w:cs="宋体"/>
                <w:bCs/>
                <w:color w:val="000000"/>
                <w:sz w:val="24"/>
              </w:rPr>
            </w:pPr>
          </w:p>
        </w:tc>
        <w:tc>
          <w:tcPr>
            <w:tcW w:w="2345" w:type="dxa"/>
            <w:vAlign w:val="center"/>
          </w:tcPr>
          <w:p>
            <w:pPr>
              <w:spacing w:line="360" w:lineRule="auto"/>
              <w:jc w:val="center"/>
              <w:rPr>
                <w:rFonts w:hint="eastAsia" w:ascii="宋体" w:hAnsi="宋体" w:eastAsia="宋体" w:cs="宋体"/>
                <w:bCs/>
                <w:color w:val="000000"/>
                <w:sz w:val="24"/>
              </w:rPr>
            </w:pPr>
          </w:p>
        </w:tc>
        <w:tc>
          <w:tcPr>
            <w:tcW w:w="1274" w:type="dxa"/>
            <w:tcBorders>
              <w:right w:val="single" w:color="auto" w:sz="4" w:space="0"/>
            </w:tcBorders>
            <w:vAlign w:val="center"/>
          </w:tcPr>
          <w:p>
            <w:pPr>
              <w:spacing w:line="360" w:lineRule="auto"/>
              <w:jc w:val="center"/>
              <w:rPr>
                <w:rFonts w:hint="eastAsia" w:ascii="宋体" w:hAnsi="宋体" w:eastAsia="宋体" w:cs="宋体"/>
                <w:bCs/>
                <w:color w:val="000000"/>
                <w:sz w:val="24"/>
              </w:rPr>
            </w:pPr>
          </w:p>
        </w:tc>
        <w:tc>
          <w:tcPr>
            <w:tcW w:w="900" w:type="dxa"/>
            <w:tcBorders>
              <w:left w:val="single" w:color="auto" w:sz="4" w:space="0"/>
            </w:tcBorders>
            <w:vAlign w:val="center"/>
          </w:tcPr>
          <w:p>
            <w:pPr>
              <w:spacing w:line="360" w:lineRule="auto"/>
              <w:jc w:val="center"/>
              <w:rPr>
                <w:rFonts w:hint="eastAsia" w:ascii="宋体" w:hAnsi="宋体" w:eastAsia="宋体" w:cs="宋体"/>
                <w:bCs/>
                <w:color w:val="000000"/>
                <w:sz w:val="24"/>
              </w:rPr>
            </w:pPr>
          </w:p>
        </w:tc>
      </w:tr>
    </w:tbl>
    <w:p>
      <w:pPr>
        <w:spacing w:line="360" w:lineRule="auto"/>
        <w:rPr>
          <w:rFonts w:hint="eastAsia" w:ascii="宋体" w:hAnsi="宋体" w:eastAsia="宋体" w:cs="宋体"/>
          <w:sz w:val="24"/>
        </w:rPr>
      </w:pPr>
      <w:r>
        <w:rPr>
          <w:rFonts w:hint="eastAsia" w:ascii="宋体" w:hAnsi="宋体" w:eastAsia="宋体" w:cs="宋体"/>
          <w:sz w:val="24"/>
        </w:rPr>
        <w:t>注：除本商务偏离表中所列的偏离内容外，其他所有商务条款均应完全响应“磋商文件”中的要求。</w:t>
      </w:r>
    </w:p>
    <w:p>
      <w:pPr>
        <w:spacing w:line="360" w:lineRule="auto"/>
        <w:rPr>
          <w:rFonts w:hint="eastAsia" w:ascii="宋体" w:hAnsi="宋体" w:eastAsia="宋体" w:cs="宋体"/>
          <w:sz w:val="24"/>
        </w:rPr>
      </w:pPr>
    </w:p>
    <w:p>
      <w:pPr>
        <w:spacing w:line="360" w:lineRule="auto"/>
        <w:rPr>
          <w:rFonts w:hint="eastAsia" w:ascii="宋体" w:hAnsi="宋体" w:eastAsia="宋体" w:cs="宋体"/>
          <w:sz w:val="24"/>
        </w:rPr>
      </w:pPr>
    </w:p>
    <w:p>
      <w:pPr>
        <w:spacing w:line="360" w:lineRule="auto"/>
        <w:rPr>
          <w:rFonts w:hint="eastAsia" w:ascii="宋体" w:hAnsi="宋体" w:eastAsia="宋体" w:cs="宋体"/>
          <w:color w:val="000000"/>
          <w:sz w:val="24"/>
          <w:u w:val="single"/>
        </w:rPr>
      </w:pPr>
      <w:bookmarkStart w:id="123" w:name="_Toc327439493"/>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snapToGrid w:val="0"/>
        <w:spacing w:line="360" w:lineRule="auto"/>
        <w:ind w:firstLine="5880" w:firstLineChars="2450"/>
        <w:rPr>
          <w:rFonts w:hint="eastAsia" w:ascii="宋体" w:hAnsi="宋体" w:eastAsia="宋体" w:cs="宋体"/>
          <w:bCs/>
          <w:sz w:val="24"/>
          <w:u w:val="single"/>
        </w:rPr>
      </w:pPr>
    </w:p>
    <w:p>
      <w:pPr>
        <w:snapToGrid w:val="0"/>
        <w:spacing w:line="360" w:lineRule="auto"/>
        <w:ind w:firstLine="5880" w:firstLineChars="2450"/>
        <w:rPr>
          <w:rFonts w:hint="eastAsia" w:ascii="宋体" w:hAnsi="宋体" w:eastAsia="宋体" w:cs="宋体"/>
          <w:bCs/>
          <w:sz w:val="24"/>
          <w:u w:val="single"/>
        </w:rPr>
      </w:pPr>
    </w:p>
    <w:p>
      <w:pPr>
        <w:snapToGrid w:val="0"/>
        <w:spacing w:line="360" w:lineRule="auto"/>
        <w:ind w:firstLine="5880" w:firstLineChars="2450"/>
        <w:rPr>
          <w:rFonts w:hint="eastAsia" w:ascii="宋体" w:hAnsi="宋体" w:eastAsia="宋体" w:cs="宋体"/>
          <w:bCs/>
          <w:sz w:val="24"/>
          <w:u w:val="single"/>
        </w:rPr>
      </w:pPr>
    </w:p>
    <w:p>
      <w:pPr>
        <w:snapToGrid w:val="0"/>
        <w:spacing w:line="360" w:lineRule="auto"/>
        <w:ind w:firstLine="5880" w:firstLineChars="2450"/>
        <w:rPr>
          <w:rFonts w:hint="eastAsia" w:ascii="宋体" w:hAnsi="宋体" w:eastAsia="宋体" w:cs="宋体"/>
          <w:bCs/>
          <w:sz w:val="24"/>
          <w:u w:val="single"/>
        </w:rPr>
      </w:pPr>
    </w:p>
    <w:p>
      <w:pPr>
        <w:snapToGrid w:val="0"/>
        <w:spacing w:line="360" w:lineRule="auto"/>
        <w:ind w:firstLine="5880" w:firstLineChars="2450"/>
        <w:rPr>
          <w:rFonts w:hint="eastAsia" w:ascii="宋体" w:hAnsi="宋体" w:eastAsia="宋体" w:cs="宋体"/>
          <w:bCs/>
          <w:sz w:val="24"/>
          <w:u w:val="single"/>
        </w:rPr>
      </w:pPr>
    </w:p>
    <w:p>
      <w:pPr>
        <w:snapToGrid w:val="0"/>
        <w:spacing w:line="360" w:lineRule="auto"/>
        <w:ind w:firstLine="5880" w:firstLineChars="2450"/>
        <w:rPr>
          <w:rFonts w:hint="eastAsia" w:ascii="宋体" w:hAnsi="宋体" w:eastAsia="宋体" w:cs="宋体"/>
          <w:bCs/>
          <w:sz w:val="24"/>
          <w:u w:val="single"/>
        </w:rPr>
      </w:pPr>
    </w:p>
    <w:p>
      <w:pPr>
        <w:snapToGrid w:val="0"/>
        <w:spacing w:line="360" w:lineRule="auto"/>
        <w:rPr>
          <w:rFonts w:hint="eastAsia" w:ascii="宋体" w:hAnsi="宋体" w:eastAsia="宋体" w:cs="宋体"/>
          <w:bCs/>
          <w:sz w:val="24"/>
          <w:u w:val="single"/>
        </w:rPr>
      </w:pPr>
    </w:p>
    <w:p>
      <w:pPr>
        <w:spacing w:line="360" w:lineRule="auto"/>
        <w:ind w:right="600"/>
        <w:rPr>
          <w:rFonts w:hint="eastAsia" w:ascii="宋体" w:hAnsi="宋体" w:eastAsia="宋体" w:cs="宋体"/>
          <w:b/>
          <w:sz w:val="24"/>
        </w:rPr>
      </w:pPr>
    </w:p>
    <w:p>
      <w:pPr>
        <w:spacing w:line="360" w:lineRule="auto"/>
        <w:ind w:right="600"/>
        <w:rPr>
          <w:rFonts w:hint="eastAsia" w:ascii="宋体" w:hAnsi="宋体" w:eastAsia="宋体" w:cs="宋体"/>
          <w:b/>
          <w:sz w:val="24"/>
        </w:rPr>
      </w:pPr>
    </w:p>
    <w:p>
      <w:pPr>
        <w:spacing w:line="360" w:lineRule="auto"/>
        <w:ind w:right="600"/>
        <w:rPr>
          <w:rFonts w:hint="eastAsia" w:ascii="宋体" w:hAnsi="宋体" w:eastAsia="宋体" w:cs="宋体"/>
          <w:b/>
          <w:sz w:val="24"/>
        </w:rPr>
      </w:pPr>
    </w:p>
    <w:p>
      <w:pPr>
        <w:spacing w:line="360" w:lineRule="auto"/>
        <w:ind w:right="600"/>
        <w:jc w:val="center"/>
        <w:outlineLvl w:val="1"/>
        <w:rPr>
          <w:rFonts w:hint="eastAsia" w:ascii="宋体" w:hAnsi="宋体" w:eastAsia="宋体" w:cs="宋体"/>
          <w:b/>
          <w:sz w:val="32"/>
          <w:szCs w:val="32"/>
        </w:rPr>
      </w:pPr>
      <w:bookmarkStart w:id="124" w:name="_Toc8157"/>
      <w:bookmarkStart w:id="125" w:name="_Toc15032"/>
      <w:r>
        <w:rPr>
          <w:rFonts w:hint="eastAsia" w:ascii="宋体" w:hAnsi="宋体" w:eastAsia="宋体" w:cs="宋体"/>
          <w:b/>
          <w:sz w:val="32"/>
          <w:szCs w:val="32"/>
        </w:rPr>
        <w:t>六、资格证明文件</w:t>
      </w:r>
      <w:bookmarkEnd w:id="124"/>
      <w:bookmarkEnd w:id="125"/>
    </w:p>
    <w:p>
      <w:pPr>
        <w:pStyle w:val="34"/>
        <w:rPr>
          <w:rFonts w:hint="eastAsia" w:ascii="宋体" w:hAnsi="宋体" w:eastAsia="宋体" w:cs="宋体"/>
          <w:b/>
          <w:sz w:val="32"/>
          <w:szCs w:val="32"/>
          <w:lang w:val="en-US" w:eastAsia="zh-CN"/>
        </w:rPr>
      </w:pPr>
    </w:p>
    <w:p>
      <w:pPr>
        <w:pStyle w:val="18"/>
        <w:spacing w:line="360" w:lineRule="auto"/>
        <w:ind w:firstLine="960" w:firstLineChars="400"/>
        <w:rPr>
          <w:rFonts w:hint="eastAsia" w:ascii="宋体" w:hAnsi="宋体" w:eastAsia="宋体" w:cs="宋体"/>
          <w:color w:val="000000"/>
          <w:lang w:eastAsia="zh-CN"/>
        </w:rPr>
      </w:pPr>
      <w:r>
        <w:rPr>
          <w:rFonts w:hint="eastAsia" w:ascii="宋体" w:hAnsi="宋体" w:cs="宋体"/>
          <w:color w:val="000000"/>
          <w:lang w:val="en-US" w:eastAsia="zh-CN"/>
        </w:rPr>
        <w:t>1.</w:t>
      </w:r>
      <w:r>
        <w:rPr>
          <w:rFonts w:hint="eastAsia" w:ascii="宋体" w:hAnsi="宋体" w:eastAsia="宋体" w:cs="宋体"/>
          <w:color w:val="000000"/>
          <w:lang w:eastAsia="zh-CN"/>
        </w:rPr>
        <w:t>供应商提供有效的统一社会信用代码的营业执照（须有相应经营范围）副本，供应商必须是中华人民共和国境内注册的，具有独立承担民事责任的能力；</w:t>
      </w:r>
    </w:p>
    <w:p>
      <w:pPr>
        <w:pStyle w:val="18"/>
        <w:spacing w:line="360" w:lineRule="auto"/>
        <w:ind w:firstLine="960" w:firstLineChars="400"/>
        <w:rPr>
          <w:rFonts w:hint="eastAsia" w:ascii="宋体" w:hAnsi="宋体" w:eastAsia="宋体" w:cs="宋体"/>
          <w:color w:val="000000"/>
        </w:rPr>
      </w:pPr>
      <w:r>
        <w:rPr>
          <w:rFonts w:hint="eastAsia" w:ascii="宋体" w:hAnsi="宋体" w:cs="宋体"/>
          <w:color w:val="000000"/>
          <w:lang w:val="en-US" w:eastAsia="zh-CN"/>
        </w:rPr>
        <w:t>2.</w:t>
      </w:r>
      <w:r>
        <w:rPr>
          <w:rFonts w:hint="eastAsia" w:ascii="宋体" w:hAnsi="宋体" w:eastAsia="宋体" w:cs="宋体"/>
          <w:color w:val="000000"/>
        </w:rPr>
        <w:t>投标保证金</w:t>
      </w:r>
      <w:r>
        <w:rPr>
          <w:rFonts w:hint="eastAsia" w:ascii="宋体" w:hAnsi="宋体" w:cs="宋体"/>
          <w:color w:val="000000"/>
          <w:lang w:val="en-US" w:eastAsia="zh-CN"/>
        </w:rPr>
        <w:t>缴纳</w:t>
      </w:r>
      <w:r>
        <w:rPr>
          <w:rFonts w:hint="eastAsia" w:ascii="宋体" w:hAnsi="宋体" w:eastAsia="宋体" w:cs="宋体"/>
          <w:color w:val="000000"/>
        </w:rPr>
        <w:t>证明</w:t>
      </w:r>
    </w:p>
    <w:p>
      <w:pPr>
        <w:pStyle w:val="34"/>
        <w:rPr>
          <w:rFonts w:hint="eastAsia" w:ascii="宋体" w:hAnsi="宋体" w:eastAsia="宋体" w:cs="宋体"/>
          <w:b/>
          <w:sz w:val="32"/>
          <w:szCs w:val="32"/>
        </w:rPr>
      </w:pPr>
    </w:p>
    <w:p>
      <w:pPr>
        <w:pStyle w:val="34"/>
        <w:rPr>
          <w:rFonts w:hint="eastAsia" w:ascii="宋体" w:hAnsi="宋体" w:eastAsia="宋体" w:cs="宋体"/>
          <w:b/>
          <w:sz w:val="32"/>
          <w:szCs w:val="32"/>
        </w:rPr>
      </w:pPr>
    </w:p>
    <w:p>
      <w:pPr>
        <w:spacing w:line="360" w:lineRule="auto"/>
        <w:ind w:right="600"/>
        <w:rPr>
          <w:rFonts w:hint="eastAsia" w:ascii="宋体" w:hAnsi="宋体" w:eastAsia="宋体" w:cs="宋体"/>
          <w:b/>
          <w:sz w:val="32"/>
          <w:szCs w:val="32"/>
        </w:rPr>
      </w:pPr>
    </w:p>
    <w:p>
      <w:pPr>
        <w:spacing w:line="360" w:lineRule="auto"/>
        <w:ind w:right="600"/>
        <w:rPr>
          <w:rFonts w:hint="eastAsia" w:ascii="宋体" w:hAnsi="宋体" w:eastAsia="宋体" w:cs="宋体"/>
          <w:b/>
          <w:sz w:val="32"/>
          <w:szCs w:val="32"/>
        </w:rPr>
      </w:pPr>
    </w:p>
    <w:p>
      <w:pPr>
        <w:spacing w:line="360" w:lineRule="auto"/>
        <w:ind w:right="600"/>
        <w:rPr>
          <w:rFonts w:hint="eastAsia" w:ascii="宋体" w:hAnsi="宋体" w:eastAsia="宋体" w:cs="宋体"/>
          <w:b/>
          <w:sz w:val="32"/>
          <w:szCs w:val="32"/>
        </w:rPr>
      </w:pPr>
    </w:p>
    <w:p>
      <w:pPr>
        <w:spacing w:line="360" w:lineRule="auto"/>
        <w:ind w:right="600"/>
        <w:rPr>
          <w:rFonts w:hint="eastAsia" w:ascii="宋体" w:hAnsi="宋体" w:eastAsia="宋体" w:cs="宋体"/>
          <w:b/>
          <w:sz w:val="32"/>
          <w:szCs w:val="32"/>
        </w:rPr>
      </w:pPr>
    </w:p>
    <w:p>
      <w:pPr>
        <w:spacing w:line="360" w:lineRule="auto"/>
        <w:ind w:right="600"/>
        <w:rPr>
          <w:rFonts w:hint="eastAsia" w:ascii="宋体" w:hAnsi="宋体" w:eastAsia="宋体" w:cs="宋体"/>
          <w:b/>
          <w:sz w:val="32"/>
          <w:szCs w:val="32"/>
        </w:rPr>
        <w:sectPr>
          <w:pgSz w:w="11906" w:h="16838"/>
          <w:pgMar w:top="1077" w:right="1417" w:bottom="1417" w:left="1417" w:header="851" w:footer="992" w:gutter="0"/>
          <w:pgNumType w:fmt="decimal"/>
          <w:cols w:space="720" w:num="1"/>
          <w:docGrid w:linePitch="312" w:charSpace="0"/>
        </w:sectPr>
      </w:pPr>
    </w:p>
    <w:p>
      <w:pPr>
        <w:spacing w:line="360" w:lineRule="auto"/>
        <w:ind w:right="600"/>
        <w:rPr>
          <w:rFonts w:hint="eastAsia" w:ascii="宋体" w:hAnsi="宋体" w:eastAsia="宋体" w:cs="宋体"/>
          <w:b/>
          <w:sz w:val="32"/>
          <w:szCs w:val="32"/>
        </w:rPr>
      </w:pPr>
      <w:r>
        <w:rPr>
          <w:rFonts w:hint="eastAsia" w:ascii="宋体" w:hAnsi="宋体" w:eastAsia="宋体" w:cs="宋体"/>
          <w:b/>
          <w:sz w:val="32"/>
          <w:szCs w:val="32"/>
        </w:rPr>
        <w:t>附件6：</w:t>
      </w:r>
    </w:p>
    <w:p>
      <w:pPr>
        <w:spacing w:line="360" w:lineRule="auto"/>
        <w:jc w:val="center"/>
        <w:outlineLvl w:val="1"/>
        <w:rPr>
          <w:rFonts w:hint="eastAsia" w:ascii="宋体" w:hAnsi="宋体" w:eastAsia="宋体" w:cs="宋体"/>
          <w:b/>
          <w:sz w:val="32"/>
          <w:szCs w:val="32"/>
          <w:lang w:eastAsia="zh-CN"/>
        </w:rPr>
      </w:pPr>
      <w:bookmarkStart w:id="126" w:name="_Toc262"/>
      <w:bookmarkStart w:id="127" w:name="_Toc13906"/>
      <w:r>
        <w:rPr>
          <w:rFonts w:hint="eastAsia" w:ascii="宋体" w:hAnsi="宋体" w:eastAsia="宋体" w:cs="宋体"/>
          <w:b/>
          <w:sz w:val="32"/>
          <w:szCs w:val="32"/>
          <w:lang w:eastAsia="zh-CN"/>
        </w:rPr>
        <w:t>七</w:t>
      </w:r>
      <w:r>
        <w:rPr>
          <w:rFonts w:hint="eastAsia" w:ascii="宋体" w:hAnsi="宋体" w:eastAsia="宋体" w:cs="宋体"/>
          <w:b/>
          <w:sz w:val="32"/>
          <w:szCs w:val="32"/>
        </w:rPr>
        <w:t>、</w:t>
      </w:r>
      <w:r>
        <w:rPr>
          <w:rFonts w:hint="eastAsia" w:ascii="宋体" w:hAnsi="宋体" w:eastAsia="宋体" w:cs="宋体"/>
          <w:b/>
          <w:sz w:val="32"/>
          <w:szCs w:val="32"/>
          <w:lang w:eastAsia="zh-CN"/>
        </w:rPr>
        <w:t>类似业绩</w:t>
      </w:r>
      <w:bookmarkEnd w:id="126"/>
      <w:bookmarkEnd w:id="127"/>
    </w:p>
    <w:p>
      <w:pPr>
        <w:spacing w:line="360" w:lineRule="auto"/>
        <w:jc w:val="center"/>
        <w:rPr>
          <w:rFonts w:hint="eastAsia" w:ascii="宋体" w:hAnsi="宋体" w:eastAsia="宋体" w:cs="宋体"/>
        </w:rPr>
      </w:pPr>
    </w:p>
    <w:tbl>
      <w:tblPr>
        <w:tblStyle w:val="3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3547"/>
        <w:gridCol w:w="2031"/>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090" w:type="dxa"/>
            <w:shd w:val="clear" w:color="auto" w:fill="E6E6E6"/>
          </w:tcPr>
          <w:p>
            <w:pPr>
              <w:pStyle w:val="113"/>
              <w:spacing w:line="440" w:lineRule="exact"/>
              <w:jc w:val="center"/>
              <w:rPr>
                <w:rFonts w:ascii="宋体" w:hAnsi="宋体"/>
                <w:color w:val="auto"/>
                <w:szCs w:val="21"/>
              </w:rPr>
            </w:pPr>
            <w:r>
              <w:rPr>
                <w:rFonts w:hint="eastAsia" w:ascii="宋体" w:hAnsi="宋体"/>
                <w:color w:val="auto"/>
                <w:szCs w:val="21"/>
              </w:rPr>
              <w:t>地　区</w:t>
            </w:r>
          </w:p>
        </w:tc>
        <w:tc>
          <w:tcPr>
            <w:tcW w:w="3547" w:type="dxa"/>
            <w:shd w:val="clear" w:color="auto" w:fill="E6E6E6"/>
          </w:tcPr>
          <w:p>
            <w:pPr>
              <w:pStyle w:val="113"/>
              <w:spacing w:line="440" w:lineRule="exact"/>
              <w:ind w:right="-107" w:rightChars="-51"/>
              <w:jc w:val="center"/>
              <w:rPr>
                <w:rFonts w:ascii="宋体" w:hAnsi="宋体"/>
                <w:color w:val="auto"/>
                <w:szCs w:val="21"/>
              </w:rPr>
            </w:pPr>
            <w:r>
              <w:rPr>
                <w:rFonts w:hint="eastAsia" w:ascii="宋体" w:hAnsi="宋体"/>
                <w:color w:val="auto"/>
                <w:szCs w:val="21"/>
              </w:rPr>
              <w:t>项目名称</w:t>
            </w:r>
          </w:p>
        </w:tc>
        <w:tc>
          <w:tcPr>
            <w:tcW w:w="2031" w:type="dxa"/>
            <w:shd w:val="clear" w:color="auto" w:fill="E6E6E6"/>
          </w:tcPr>
          <w:p>
            <w:pPr>
              <w:pStyle w:val="113"/>
              <w:spacing w:line="440" w:lineRule="exact"/>
              <w:ind w:firstLine="360" w:firstLineChars="150"/>
              <w:rPr>
                <w:rFonts w:ascii="宋体" w:hAnsi="宋体"/>
                <w:color w:val="auto"/>
                <w:szCs w:val="21"/>
              </w:rPr>
            </w:pPr>
            <w:r>
              <w:rPr>
                <w:rFonts w:hint="eastAsia" w:ascii="宋体" w:hAnsi="宋体"/>
                <w:color w:val="auto"/>
                <w:szCs w:val="21"/>
              </w:rPr>
              <w:t>金　额</w:t>
            </w:r>
          </w:p>
        </w:tc>
        <w:tc>
          <w:tcPr>
            <w:tcW w:w="1620" w:type="dxa"/>
            <w:shd w:val="clear" w:color="auto" w:fill="E6E6E6"/>
          </w:tcPr>
          <w:p>
            <w:pPr>
              <w:pStyle w:val="113"/>
              <w:spacing w:line="440" w:lineRule="exact"/>
              <w:jc w:val="center"/>
              <w:rPr>
                <w:rFonts w:ascii="宋体" w:hAnsi="宋体"/>
                <w:color w:val="auto"/>
                <w:szCs w:val="21"/>
              </w:rPr>
            </w:pPr>
            <w:r>
              <w:rPr>
                <w:rFonts w:hint="eastAsia" w:ascii="宋体" w:hAnsi="宋体"/>
                <w:color w:val="auto"/>
                <w:szCs w:val="21"/>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r>
              <w:rPr>
                <w:rFonts w:hint="eastAsia" w:ascii="宋体" w:hAnsi="宋体"/>
                <w:sz w:val="24"/>
                <w:szCs w:val="21"/>
              </w:rPr>
              <w:t xml:space="preserve"> </w:t>
            </w: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090" w:type="dxa"/>
          </w:tcPr>
          <w:p>
            <w:pPr>
              <w:spacing w:line="440" w:lineRule="exact"/>
              <w:rPr>
                <w:rFonts w:ascii="宋体" w:hAnsi="宋体"/>
                <w:sz w:val="24"/>
                <w:szCs w:val="21"/>
              </w:rPr>
            </w:pPr>
          </w:p>
        </w:tc>
        <w:tc>
          <w:tcPr>
            <w:tcW w:w="3547" w:type="dxa"/>
          </w:tcPr>
          <w:p>
            <w:pPr>
              <w:spacing w:line="440" w:lineRule="exact"/>
              <w:rPr>
                <w:rFonts w:ascii="宋体" w:hAnsi="宋体"/>
                <w:sz w:val="24"/>
                <w:szCs w:val="21"/>
              </w:rPr>
            </w:pPr>
          </w:p>
        </w:tc>
        <w:tc>
          <w:tcPr>
            <w:tcW w:w="2031" w:type="dxa"/>
          </w:tcPr>
          <w:p>
            <w:pPr>
              <w:spacing w:line="440" w:lineRule="exact"/>
              <w:rPr>
                <w:rFonts w:ascii="宋体" w:hAnsi="宋体"/>
                <w:sz w:val="24"/>
                <w:szCs w:val="21"/>
              </w:rPr>
            </w:pPr>
          </w:p>
        </w:tc>
        <w:tc>
          <w:tcPr>
            <w:tcW w:w="1620" w:type="dxa"/>
          </w:tcPr>
          <w:p>
            <w:pPr>
              <w:spacing w:line="440" w:lineRule="exact"/>
              <w:rPr>
                <w:rFonts w:ascii="宋体" w:hAnsi="宋体"/>
                <w:sz w:val="24"/>
                <w:szCs w:val="21"/>
              </w:rPr>
            </w:pPr>
          </w:p>
        </w:tc>
      </w:tr>
    </w:tbl>
    <w:p>
      <w:pPr>
        <w:spacing w:line="360" w:lineRule="auto"/>
        <w:ind w:firstLine="240" w:firstLineChars="100"/>
        <w:rPr>
          <w:rFonts w:hint="eastAsia" w:ascii="宋体" w:hAnsi="宋体" w:eastAsia="宋体" w:cs="宋体"/>
          <w:sz w:val="24"/>
        </w:rPr>
      </w:pPr>
      <w:r>
        <w:rPr>
          <w:rFonts w:hint="eastAsia" w:ascii="宋体" w:hAnsi="宋体" w:eastAsia="宋体" w:cs="宋体"/>
          <w:sz w:val="24"/>
        </w:rPr>
        <w:t>注：后附相关证明材料</w:t>
      </w:r>
    </w:p>
    <w:p>
      <w:pPr>
        <w:spacing w:line="360" w:lineRule="auto"/>
        <w:rPr>
          <w:rFonts w:hint="eastAsia" w:ascii="宋体" w:hAnsi="宋体" w:eastAsia="宋体" w:cs="宋体"/>
          <w:b/>
          <w:sz w:val="28"/>
        </w:rPr>
      </w:pPr>
    </w:p>
    <w:p>
      <w:pPr>
        <w:spacing w:line="360" w:lineRule="auto"/>
        <w:rPr>
          <w:rFonts w:hint="eastAsia" w:ascii="宋体" w:hAnsi="宋体" w:eastAsia="宋体" w:cs="宋体"/>
          <w:b/>
          <w:sz w:val="28"/>
        </w:rPr>
      </w:pP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jc w:val="left"/>
        <w:rPr>
          <w:rFonts w:hint="eastAsia" w:ascii="宋体" w:hAnsi="宋体" w:cs="宋体"/>
          <w:b/>
          <w:sz w:val="32"/>
          <w:szCs w:val="32"/>
          <w:lang w:val="en-US" w:eastAsia="zh-CN"/>
        </w:rPr>
      </w:pPr>
      <w:r>
        <w:rPr>
          <w:rFonts w:hint="eastAsia" w:ascii="宋体" w:hAnsi="宋体" w:cs="宋体"/>
          <w:b/>
          <w:sz w:val="32"/>
          <w:szCs w:val="32"/>
          <w:lang w:val="en-US" w:eastAsia="zh-CN"/>
        </w:rPr>
        <w:t>附件7：</w:t>
      </w:r>
    </w:p>
    <w:p>
      <w:pPr>
        <w:spacing w:line="360" w:lineRule="auto"/>
        <w:jc w:val="center"/>
        <w:outlineLvl w:val="1"/>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八、</w:t>
      </w:r>
      <w:r>
        <w:rPr>
          <w:rFonts w:hint="eastAsia" w:ascii="宋体" w:hAnsi="宋体" w:eastAsia="宋体" w:cs="宋体"/>
          <w:b/>
          <w:sz w:val="32"/>
          <w:szCs w:val="32"/>
          <w:lang w:eastAsia="zh-CN"/>
        </w:rPr>
        <w:t>拟投入项目人员情况表</w:t>
      </w:r>
    </w:p>
    <w:p>
      <w:pPr>
        <w:spacing w:line="440" w:lineRule="exact"/>
        <w:rPr>
          <w:rFonts w:ascii="宋体" w:hAnsi="宋体"/>
          <w:b/>
          <w:sz w:val="24"/>
          <w:szCs w:val="21"/>
        </w:rPr>
      </w:pPr>
    </w:p>
    <w:p>
      <w:pPr>
        <w:numPr>
          <w:ilvl w:val="0"/>
          <w:numId w:val="4"/>
        </w:numPr>
        <w:spacing w:line="440" w:lineRule="exact"/>
        <w:rPr>
          <w:rFonts w:ascii="宋体" w:hAnsi="宋体"/>
          <w:b/>
          <w:sz w:val="24"/>
          <w:szCs w:val="21"/>
        </w:rPr>
      </w:pPr>
      <w:r>
        <w:rPr>
          <w:rFonts w:hint="eastAsia" w:ascii="宋体" w:hAnsi="宋体"/>
          <w:b/>
          <w:sz w:val="24"/>
          <w:szCs w:val="21"/>
        </w:rPr>
        <w:t>项目负责人简历表</w:t>
      </w:r>
    </w:p>
    <w:tbl>
      <w:tblPr>
        <w:tblStyle w:val="39"/>
        <w:tblW w:w="9240" w:type="dxa"/>
        <w:jc w:val="center"/>
        <w:tblLayout w:type="fixed"/>
        <w:tblCellMar>
          <w:top w:w="0" w:type="dxa"/>
          <w:left w:w="108" w:type="dxa"/>
          <w:bottom w:w="0" w:type="dxa"/>
          <w:right w:w="108" w:type="dxa"/>
        </w:tblCellMar>
      </w:tblPr>
      <w:tblGrid>
        <w:gridCol w:w="1182"/>
        <w:gridCol w:w="1963"/>
        <w:gridCol w:w="709"/>
        <w:gridCol w:w="1932"/>
        <w:gridCol w:w="1593"/>
        <w:gridCol w:w="1861"/>
      </w:tblGrid>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姓名</w:t>
            </w:r>
          </w:p>
        </w:tc>
        <w:tc>
          <w:tcPr>
            <w:tcW w:w="196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年龄</w:t>
            </w:r>
          </w:p>
        </w:tc>
        <w:tc>
          <w:tcPr>
            <w:tcW w:w="193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身份证号码</w:t>
            </w:r>
          </w:p>
        </w:tc>
        <w:tc>
          <w:tcPr>
            <w:tcW w:w="1861"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sz w:val="24"/>
                <w:szCs w:val="21"/>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毕业学校</w:t>
            </w:r>
          </w:p>
        </w:tc>
        <w:tc>
          <w:tcPr>
            <w:tcW w:w="4604"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专     业</w:t>
            </w:r>
          </w:p>
        </w:tc>
        <w:tc>
          <w:tcPr>
            <w:tcW w:w="1861"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sz w:val="24"/>
                <w:szCs w:val="21"/>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学位</w:t>
            </w:r>
          </w:p>
        </w:tc>
        <w:tc>
          <w:tcPr>
            <w:tcW w:w="196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c>
          <w:tcPr>
            <w:tcW w:w="709"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职称</w:t>
            </w:r>
          </w:p>
        </w:tc>
        <w:tc>
          <w:tcPr>
            <w:tcW w:w="193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职     务</w:t>
            </w:r>
          </w:p>
        </w:tc>
        <w:tc>
          <w:tcPr>
            <w:tcW w:w="1861"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sz w:val="24"/>
                <w:szCs w:val="21"/>
              </w:rPr>
            </w:pPr>
          </w:p>
        </w:tc>
      </w:tr>
      <w:tr>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现所在机构或部门</w:t>
            </w:r>
          </w:p>
        </w:tc>
        <w:tc>
          <w:tcPr>
            <w:tcW w:w="4604"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c>
          <w:tcPr>
            <w:tcW w:w="1593"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服务时间</w:t>
            </w:r>
          </w:p>
        </w:tc>
        <w:tc>
          <w:tcPr>
            <w:tcW w:w="1861"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sz w:val="24"/>
                <w:szCs w:val="21"/>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p>
            <w:pPr>
              <w:spacing w:line="440" w:lineRule="exact"/>
              <w:jc w:val="center"/>
              <w:rPr>
                <w:rFonts w:ascii="宋体" w:hAnsi="宋体"/>
                <w:sz w:val="24"/>
                <w:szCs w:val="21"/>
              </w:rPr>
            </w:pPr>
            <w:r>
              <w:rPr>
                <w:rFonts w:hint="eastAsia" w:ascii="宋体" w:hAnsi="宋体"/>
                <w:sz w:val="24"/>
                <w:szCs w:val="21"/>
              </w:rPr>
              <w:t>主要经历</w:t>
            </w:r>
          </w:p>
          <w:p>
            <w:pPr>
              <w:spacing w:line="440" w:lineRule="exact"/>
              <w:jc w:val="center"/>
              <w:rPr>
                <w:rFonts w:ascii="宋体" w:hAnsi="宋体"/>
                <w:sz w:val="24"/>
                <w:szCs w:val="21"/>
              </w:rPr>
            </w:pPr>
          </w:p>
        </w:tc>
        <w:tc>
          <w:tcPr>
            <w:tcW w:w="8058" w:type="dxa"/>
            <w:gridSpan w:val="5"/>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日期</w:t>
            </w:r>
          </w:p>
        </w:tc>
        <w:tc>
          <w:tcPr>
            <w:tcW w:w="267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参加过的项目名称</w:t>
            </w:r>
          </w:p>
        </w:tc>
        <w:tc>
          <w:tcPr>
            <w:tcW w:w="3525"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jc w:val="center"/>
              <w:rPr>
                <w:rFonts w:ascii="宋体" w:hAnsi="宋体"/>
                <w:sz w:val="24"/>
                <w:szCs w:val="21"/>
              </w:rPr>
            </w:pPr>
            <w:r>
              <w:rPr>
                <w:rFonts w:hint="eastAsia" w:ascii="宋体" w:hAnsi="宋体"/>
                <w:sz w:val="24"/>
                <w:szCs w:val="21"/>
              </w:rPr>
              <w:t>担任何职务</w:t>
            </w:r>
          </w:p>
        </w:tc>
        <w:tc>
          <w:tcPr>
            <w:tcW w:w="1861" w:type="dxa"/>
            <w:tcBorders>
              <w:top w:val="single" w:color="auto" w:sz="6" w:space="0"/>
              <w:left w:val="single" w:color="auto" w:sz="6" w:space="0"/>
              <w:bottom w:val="single" w:color="auto" w:sz="6" w:space="0"/>
              <w:right w:val="single" w:color="auto" w:sz="6" w:space="0"/>
            </w:tcBorders>
          </w:tcPr>
          <w:p>
            <w:pPr>
              <w:spacing w:line="440" w:lineRule="exact"/>
              <w:jc w:val="center"/>
              <w:rPr>
                <w:rFonts w:ascii="宋体" w:hAnsi="宋体"/>
                <w:sz w:val="24"/>
                <w:szCs w:val="21"/>
              </w:rPr>
            </w:pPr>
            <w:r>
              <w:rPr>
                <w:rFonts w:hint="eastAsia" w:ascii="宋体" w:hAnsi="宋体"/>
                <w:sz w:val="24"/>
                <w:szCs w:val="21"/>
              </w:rPr>
              <w:t>备注</w:t>
            </w: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26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3525"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1861"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r>
      <w:tr>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26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3525"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1861"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r>
      <w:tr>
        <w:tblPrEx>
          <w:tblCellMar>
            <w:top w:w="0" w:type="dxa"/>
            <w:left w:w="108" w:type="dxa"/>
            <w:bottom w:w="0" w:type="dxa"/>
            <w:right w:w="108" w:type="dxa"/>
          </w:tblCellMar>
        </w:tblPrEx>
        <w:trPr>
          <w:jc w:val="center"/>
        </w:trPr>
        <w:tc>
          <w:tcPr>
            <w:tcW w:w="118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2672"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3525"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c>
          <w:tcPr>
            <w:tcW w:w="1861"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sz w:val="24"/>
                <w:szCs w:val="21"/>
              </w:rPr>
            </w:pPr>
          </w:p>
        </w:tc>
      </w:tr>
    </w:tbl>
    <w:p>
      <w:pPr>
        <w:autoSpaceDE w:val="0"/>
        <w:autoSpaceDN w:val="0"/>
        <w:adjustRightInd w:val="0"/>
        <w:spacing w:line="440" w:lineRule="exact"/>
        <w:rPr>
          <w:rFonts w:ascii="宋体" w:hAnsi="宋体"/>
          <w:b/>
          <w:bCs/>
          <w:sz w:val="24"/>
          <w:szCs w:val="21"/>
        </w:rPr>
      </w:pPr>
    </w:p>
    <w:p>
      <w:pPr>
        <w:autoSpaceDE w:val="0"/>
        <w:autoSpaceDN w:val="0"/>
        <w:adjustRightInd w:val="0"/>
        <w:spacing w:line="440" w:lineRule="exact"/>
        <w:rPr>
          <w:rFonts w:ascii="宋体" w:hAnsi="宋体"/>
          <w:b/>
          <w:bCs/>
          <w:sz w:val="24"/>
          <w:szCs w:val="21"/>
        </w:rPr>
      </w:pPr>
      <w:r>
        <w:rPr>
          <w:rFonts w:hint="eastAsia" w:ascii="宋体" w:hAnsi="宋体"/>
          <w:b/>
          <w:bCs/>
          <w:sz w:val="24"/>
          <w:szCs w:val="21"/>
        </w:rPr>
        <w:t>2、拟投入本项目的主要成员表</w:t>
      </w:r>
    </w:p>
    <w:tbl>
      <w:tblPr>
        <w:tblStyle w:val="3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08"/>
        <w:gridCol w:w="1066"/>
        <w:gridCol w:w="1974"/>
        <w:gridCol w:w="1559"/>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807" w:type="dxa"/>
            <w:vAlign w:val="center"/>
          </w:tcPr>
          <w:p>
            <w:pPr>
              <w:spacing w:line="440" w:lineRule="exact"/>
              <w:jc w:val="center"/>
              <w:rPr>
                <w:rFonts w:ascii="宋体" w:hAnsi="宋体"/>
                <w:sz w:val="24"/>
                <w:szCs w:val="21"/>
              </w:rPr>
            </w:pPr>
            <w:r>
              <w:rPr>
                <w:rFonts w:hint="eastAsia" w:ascii="宋体" w:hAnsi="宋体"/>
                <w:sz w:val="24"/>
                <w:szCs w:val="21"/>
              </w:rPr>
              <w:t>序号</w:t>
            </w:r>
          </w:p>
        </w:tc>
        <w:tc>
          <w:tcPr>
            <w:tcW w:w="1708" w:type="dxa"/>
            <w:vAlign w:val="center"/>
          </w:tcPr>
          <w:p>
            <w:pPr>
              <w:spacing w:line="440" w:lineRule="exact"/>
              <w:jc w:val="center"/>
              <w:rPr>
                <w:rFonts w:ascii="宋体" w:hAnsi="宋体"/>
                <w:sz w:val="24"/>
                <w:szCs w:val="21"/>
              </w:rPr>
            </w:pPr>
            <w:r>
              <w:rPr>
                <w:rFonts w:hint="eastAsia" w:ascii="宋体" w:hAnsi="宋体"/>
                <w:sz w:val="24"/>
                <w:szCs w:val="21"/>
              </w:rPr>
              <w:t>姓名</w:t>
            </w:r>
          </w:p>
        </w:tc>
        <w:tc>
          <w:tcPr>
            <w:tcW w:w="1066" w:type="dxa"/>
            <w:vAlign w:val="center"/>
          </w:tcPr>
          <w:p>
            <w:pPr>
              <w:spacing w:line="440" w:lineRule="exact"/>
              <w:jc w:val="center"/>
              <w:rPr>
                <w:rFonts w:ascii="宋体" w:hAnsi="宋体"/>
                <w:sz w:val="24"/>
                <w:szCs w:val="21"/>
              </w:rPr>
            </w:pPr>
            <w:r>
              <w:rPr>
                <w:rFonts w:hint="eastAsia" w:ascii="宋体" w:hAnsi="宋体"/>
                <w:sz w:val="24"/>
                <w:szCs w:val="21"/>
              </w:rPr>
              <w:t>性别</w:t>
            </w:r>
          </w:p>
        </w:tc>
        <w:tc>
          <w:tcPr>
            <w:tcW w:w="1974" w:type="dxa"/>
            <w:vAlign w:val="center"/>
          </w:tcPr>
          <w:p>
            <w:pPr>
              <w:spacing w:line="440" w:lineRule="exact"/>
              <w:jc w:val="center"/>
              <w:rPr>
                <w:rFonts w:ascii="宋体" w:hAnsi="宋体"/>
                <w:sz w:val="24"/>
                <w:szCs w:val="21"/>
              </w:rPr>
            </w:pPr>
            <w:r>
              <w:rPr>
                <w:rFonts w:hint="eastAsia" w:ascii="宋体" w:hAnsi="宋体"/>
                <w:sz w:val="24"/>
                <w:szCs w:val="21"/>
              </w:rPr>
              <w:t>职称</w:t>
            </w:r>
          </w:p>
        </w:tc>
        <w:tc>
          <w:tcPr>
            <w:tcW w:w="1559" w:type="dxa"/>
            <w:vAlign w:val="center"/>
          </w:tcPr>
          <w:p>
            <w:pPr>
              <w:spacing w:line="440" w:lineRule="exact"/>
              <w:jc w:val="center"/>
              <w:rPr>
                <w:rFonts w:ascii="宋体" w:hAnsi="宋体"/>
                <w:sz w:val="24"/>
                <w:szCs w:val="21"/>
              </w:rPr>
            </w:pPr>
            <w:r>
              <w:rPr>
                <w:rFonts w:hint="eastAsia" w:ascii="宋体" w:hAnsi="宋体"/>
                <w:sz w:val="24"/>
                <w:szCs w:val="21"/>
              </w:rPr>
              <w:t>岗位</w:t>
            </w:r>
          </w:p>
        </w:tc>
        <w:tc>
          <w:tcPr>
            <w:tcW w:w="1946" w:type="dxa"/>
            <w:vAlign w:val="center"/>
          </w:tcPr>
          <w:p>
            <w:pPr>
              <w:spacing w:line="440" w:lineRule="exact"/>
              <w:jc w:val="center"/>
              <w:rPr>
                <w:rFonts w:ascii="宋体" w:hAnsi="宋体"/>
                <w:sz w:val="24"/>
                <w:szCs w:val="21"/>
              </w:rPr>
            </w:pPr>
            <w:r>
              <w:rPr>
                <w:rFonts w:hint="eastAsia" w:ascii="宋体" w:hAnsi="宋体"/>
                <w:sz w:val="24"/>
                <w:szCs w:val="21"/>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ascii="宋体" w:hAnsi="宋体"/>
                <w:sz w:val="24"/>
                <w:szCs w:val="21"/>
              </w:rPr>
            </w:pPr>
            <w:r>
              <w:rPr>
                <w:rFonts w:hint="eastAsia" w:ascii="宋体" w:hAnsi="宋体"/>
                <w:sz w:val="24"/>
                <w:szCs w:val="21"/>
              </w:rPr>
              <w:t>1</w:t>
            </w:r>
          </w:p>
        </w:tc>
        <w:tc>
          <w:tcPr>
            <w:tcW w:w="1708" w:type="dxa"/>
          </w:tcPr>
          <w:p>
            <w:pPr>
              <w:spacing w:line="440" w:lineRule="exact"/>
              <w:jc w:val="center"/>
              <w:rPr>
                <w:rFonts w:ascii="宋体" w:hAnsi="宋体"/>
                <w:sz w:val="24"/>
                <w:szCs w:val="21"/>
              </w:rPr>
            </w:pPr>
          </w:p>
        </w:tc>
        <w:tc>
          <w:tcPr>
            <w:tcW w:w="1066" w:type="dxa"/>
          </w:tcPr>
          <w:p>
            <w:pPr>
              <w:spacing w:line="440" w:lineRule="exact"/>
              <w:jc w:val="center"/>
              <w:rPr>
                <w:rFonts w:ascii="宋体" w:hAnsi="宋体"/>
                <w:sz w:val="24"/>
                <w:szCs w:val="21"/>
              </w:rPr>
            </w:pPr>
          </w:p>
        </w:tc>
        <w:tc>
          <w:tcPr>
            <w:tcW w:w="1974" w:type="dxa"/>
          </w:tcPr>
          <w:p>
            <w:pPr>
              <w:spacing w:line="440" w:lineRule="exact"/>
              <w:jc w:val="center"/>
              <w:rPr>
                <w:rFonts w:ascii="宋体" w:hAnsi="宋体"/>
                <w:sz w:val="24"/>
                <w:szCs w:val="21"/>
              </w:rPr>
            </w:pPr>
          </w:p>
        </w:tc>
        <w:tc>
          <w:tcPr>
            <w:tcW w:w="1559" w:type="dxa"/>
          </w:tcPr>
          <w:p>
            <w:pPr>
              <w:spacing w:line="440" w:lineRule="exact"/>
              <w:jc w:val="center"/>
              <w:rPr>
                <w:rFonts w:ascii="宋体" w:hAnsi="宋体"/>
                <w:sz w:val="24"/>
                <w:szCs w:val="21"/>
              </w:rPr>
            </w:pPr>
          </w:p>
        </w:tc>
        <w:tc>
          <w:tcPr>
            <w:tcW w:w="1946" w:type="dxa"/>
          </w:tcPr>
          <w:p>
            <w:pPr>
              <w:spacing w:line="440" w:lineRule="exact"/>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ascii="宋体" w:hAnsi="宋体"/>
                <w:sz w:val="24"/>
                <w:szCs w:val="21"/>
              </w:rPr>
            </w:pPr>
            <w:r>
              <w:rPr>
                <w:rFonts w:hint="eastAsia" w:ascii="宋体" w:hAnsi="宋体"/>
                <w:sz w:val="24"/>
                <w:szCs w:val="21"/>
              </w:rPr>
              <w:t>2</w:t>
            </w:r>
          </w:p>
        </w:tc>
        <w:tc>
          <w:tcPr>
            <w:tcW w:w="1708" w:type="dxa"/>
          </w:tcPr>
          <w:p>
            <w:pPr>
              <w:spacing w:line="440" w:lineRule="exact"/>
              <w:jc w:val="center"/>
              <w:rPr>
                <w:rFonts w:ascii="宋体" w:hAnsi="宋体"/>
                <w:sz w:val="24"/>
                <w:szCs w:val="21"/>
              </w:rPr>
            </w:pPr>
          </w:p>
        </w:tc>
        <w:tc>
          <w:tcPr>
            <w:tcW w:w="1066" w:type="dxa"/>
          </w:tcPr>
          <w:p>
            <w:pPr>
              <w:spacing w:line="440" w:lineRule="exact"/>
              <w:jc w:val="center"/>
              <w:rPr>
                <w:rFonts w:ascii="宋体" w:hAnsi="宋体"/>
                <w:sz w:val="24"/>
                <w:szCs w:val="21"/>
              </w:rPr>
            </w:pPr>
          </w:p>
        </w:tc>
        <w:tc>
          <w:tcPr>
            <w:tcW w:w="1974" w:type="dxa"/>
          </w:tcPr>
          <w:p>
            <w:pPr>
              <w:spacing w:line="440" w:lineRule="exact"/>
              <w:jc w:val="center"/>
              <w:rPr>
                <w:rFonts w:ascii="宋体" w:hAnsi="宋体"/>
                <w:sz w:val="24"/>
                <w:szCs w:val="21"/>
              </w:rPr>
            </w:pPr>
          </w:p>
        </w:tc>
        <w:tc>
          <w:tcPr>
            <w:tcW w:w="1559" w:type="dxa"/>
          </w:tcPr>
          <w:p>
            <w:pPr>
              <w:spacing w:line="440" w:lineRule="exact"/>
              <w:jc w:val="center"/>
              <w:rPr>
                <w:rFonts w:ascii="宋体" w:hAnsi="宋体"/>
                <w:sz w:val="24"/>
                <w:szCs w:val="21"/>
              </w:rPr>
            </w:pPr>
          </w:p>
        </w:tc>
        <w:tc>
          <w:tcPr>
            <w:tcW w:w="1946" w:type="dxa"/>
          </w:tcPr>
          <w:p>
            <w:pPr>
              <w:spacing w:line="440" w:lineRule="exact"/>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Pr>
          <w:p>
            <w:pPr>
              <w:spacing w:line="440" w:lineRule="exact"/>
              <w:jc w:val="center"/>
              <w:rPr>
                <w:rFonts w:ascii="宋体" w:hAnsi="宋体"/>
                <w:sz w:val="24"/>
                <w:szCs w:val="21"/>
              </w:rPr>
            </w:pPr>
            <w:r>
              <w:rPr>
                <w:rFonts w:hint="eastAsia" w:ascii="宋体" w:hAnsi="宋体"/>
                <w:sz w:val="24"/>
                <w:szCs w:val="21"/>
              </w:rPr>
              <w:t>3</w:t>
            </w:r>
          </w:p>
        </w:tc>
        <w:tc>
          <w:tcPr>
            <w:tcW w:w="1708" w:type="dxa"/>
          </w:tcPr>
          <w:p>
            <w:pPr>
              <w:spacing w:line="440" w:lineRule="exact"/>
              <w:jc w:val="center"/>
              <w:rPr>
                <w:rFonts w:ascii="宋体" w:hAnsi="宋体"/>
                <w:sz w:val="24"/>
                <w:szCs w:val="21"/>
              </w:rPr>
            </w:pPr>
          </w:p>
        </w:tc>
        <w:tc>
          <w:tcPr>
            <w:tcW w:w="1066" w:type="dxa"/>
          </w:tcPr>
          <w:p>
            <w:pPr>
              <w:spacing w:line="440" w:lineRule="exact"/>
              <w:jc w:val="center"/>
              <w:rPr>
                <w:rFonts w:ascii="宋体" w:hAnsi="宋体"/>
                <w:sz w:val="24"/>
                <w:szCs w:val="21"/>
              </w:rPr>
            </w:pPr>
          </w:p>
        </w:tc>
        <w:tc>
          <w:tcPr>
            <w:tcW w:w="1974" w:type="dxa"/>
          </w:tcPr>
          <w:p>
            <w:pPr>
              <w:spacing w:line="440" w:lineRule="exact"/>
              <w:jc w:val="center"/>
              <w:rPr>
                <w:rFonts w:ascii="宋体" w:hAnsi="宋体"/>
                <w:sz w:val="24"/>
                <w:szCs w:val="21"/>
              </w:rPr>
            </w:pPr>
          </w:p>
        </w:tc>
        <w:tc>
          <w:tcPr>
            <w:tcW w:w="1559" w:type="dxa"/>
          </w:tcPr>
          <w:p>
            <w:pPr>
              <w:spacing w:line="440" w:lineRule="exact"/>
              <w:jc w:val="center"/>
              <w:rPr>
                <w:rFonts w:ascii="宋体" w:hAnsi="宋体"/>
                <w:sz w:val="24"/>
                <w:szCs w:val="21"/>
              </w:rPr>
            </w:pPr>
          </w:p>
        </w:tc>
        <w:tc>
          <w:tcPr>
            <w:tcW w:w="1946" w:type="dxa"/>
          </w:tcPr>
          <w:p>
            <w:pPr>
              <w:spacing w:line="440" w:lineRule="exact"/>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7" w:type="dxa"/>
          </w:tcPr>
          <w:p>
            <w:pPr>
              <w:spacing w:line="440" w:lineRule="exact"/>
              <w:jc w:val="center"/>
              <w:rPr>
                <w:rFonts w:ascii="宋体" w:hAnsi="宋体"/>
                <w:sz w:val="24"/>
                <w:szCs w:val="21"/>
              </w:rPr>
            </w:pPr>
            <w:r>
              <w:rPr>
                <w:rFonts w:hint="eastAsia" w:ascii="宋体" w:hAnsi="宋体"/>
                <w:sz w:val="24"/>
                <w:szCs w:val="21"/>
              </w:rPr>
              <w:t>4</w:t>
            </w:r>
          </w:p>
        </w:tc>
        <w:tc>
          <w:tcPr>
            <w:tcW w:w="1708" w:type="dxa"/>
          </w:tcPr>
          <w:p>
            <w:pPr>
              <w:spacing w:line="440" w:lineRule="exact"/>
              <w:jc w:val="center"/>
              <w:rPr>
                <w:rFonts w:ascii="宋体" w:hAnsi="宋体"/>
                <w:sz w:val="24"/>
                <w:szCs w:val="21"/>
              </w:rPr>
            </w:pPr>
          </w:p>
        </w:tc>
        <w:tc>
          <w:tcPr>
            <w:tcW w:w="1066" w:type="dxa"/>
          </w:tcPr>
          <w:p>
            <w:pPr>
              <w:spacing w:line="440" w:lineRule="exact"/>
              <w:jc w:val="center"/>
              <w:rPr>
                <w:rFonts w:ascii="宋体" w:hAnsi="宋体"/>
                <w:sz w:val="24"/>
                <w:szCs w:val="21"/>
              </w:rPr>
            </w:pPr>
          </w:p>
        </w:tc>
        <w:tc>
          <w:tcPr>
            <w:tcW w:w="1974" w:type="dxa"/>
          </w:tcPr>
          <w:p>
            <w:pPr>
              <w:spacing w:line="440" w:lineRule="exact"/>
              <w:jc w:val="center"/>
              <w:rPr>
                <w:rFonts w:ascii="宋体" w:hAnsi="宋体"/>
                <w:sz w:val="24"/>
                <w:szCs w:val="21"/>
              </w:rPr>
            </w:pPr>
          </w:p>
        </w:tc>
        <w:tc>
          <w:tcPr>
            <w:tcW w:w="1559" w:type="dxa"/>
          </w:tcPr>
          <w:p>
            <w:pPr>
              <w:spacing w:line="440" w:lineRule="exact"/>
              <w:jc w:val="center"/>
              <w:rPr>
                <w:rFonts w:ascii="宋体" w:hAnsi="宋体"/>
                <w:sz w:val="24"/>
                <w:szCs w:val="21"/>
              </w:rPr>
            </w:pPr>
          </w:p>
        </w:tc>
        <w:tc>
          <w:tcPr>
            <w:tcW w:w="1946" w:type="dxa"/>
          </w:tcPr>
          <w:p>
            <w:pPr>
              <w:spacing w:line="440" w:lineRule="exact"/>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7" w:type="dxa"/>
          </w:tcPr>
          <w:p>
            <w:pPr>
              <w:spacing w:line="440" w:lineRule="exact"/>
              <w:jc w:val="center"/>
              <w:rPr>
                <w:rFonts w:ascii="宋体" w:hAnsi="宋体"/>
                <w:sz w:val="24"/>
                <w:szCs w:val="21"/>
              </w:rPr>
            </w:pPr>
          </w:p>
        </w:tc>
        <w:tc>
          <w:tcPr>
            <w:tcW w:w="1708" w:type="dxa"/>
          </w:tcPr>
          <w:p>
            <w:pPr>
              <w:spacing w:line="440" w:lineRule="exact"/>
              <w:jc w:val="center"/>
              <w:rPr>
                <w:rFonts w:ascii="宋体" w:hAnsi="宋体"/>
                <w:sz w:val="24"/>
                <w:szCs w:val="21"/>
              </w:rPr>
            </w:pPr>
          </w:p>
        </w:tc>
        <w:tc>
          <w:tcPr>
            <w:tcW w:w="1066" w:type="dxa"/>
          </w:tcPr>
          <w:p>
            <w:pPr>
              <w:spacing w:line="440" w:lineRule="exact"/>
              <w:jc w:val="center"/>
              <w:rPr>
                <w:rFonts w:ascii="宋体" w:hAnsi="宋体"/>
                <w:sz w:val="24"/>
                <w:szCs w:val="21"/>
              </w:rPr>
            </w:pPr>
          </w:p>
        </w:tc>
        <w:tc>
          <w:tcPr>
            <w:tcW w:w="1974" w:type="dxa"/>
          </w:tcPr>
          <w:p>
            <w:pPr>
              <w:spacing w:line="440" w:lineRule="exact"/>
              <w:jc w:val="center"/>
              <w:rPr>
                <w:rFonts w:ascii="宋体" w:hAnsi="宋体"/>
                <w:sz w:val="24"/>
                <w:szCs w:val="21"/>
              </w:rPr>
            </w:pPr>
          </w:p>
        </w:tc>
        <w:tc>
          <w:tcPr>
            <w:tcW w:w="1559" w:type="dxa"/>
          </w:tcPr>
          <w:p>
            <w:pPr>
              <w:spacing w:line="440" w:lineRule="exact"/>
              <w:jc w:val="center"/>
              <w:rPr>
                <w:rFonts w:ascii="宋体" w:hAnsi="宋体"/>
                <w:sz w:val="24"/>
                <w:szCs w:val="21"/>
              </w:rPr>
            </w:pPr>
          </w:p>
        </w:tc>
        <w:tc>
          <w:tcPr>
            <w:tcW w:w="1946" w:type="dxa"/>
          </w:tcPr>
          <w:p>
            <w:pPr>
              <w:spacing w:line="440" w:lineRule="exact"/>
              <w:jc w:val="center"/>
              <w:rPr>
                <w:rFonts w:ascii="宋体" w:hAnsi="宋体"/>
                <w:sz w:val="24"/>
                <w:szCs w:val="21"/>
              </w:rPr>
            </w:pPr>
          </w:p>
        </w:tc>
      </w:tr>
    </w:tbl>
    <w:p>
      <w:pPr>
        <w:spacing w:line="440" w:lineRule="exact"/>
        <w:rPr>
          <w:rFonts w:ascii="宋体" w:hAnsi="宋体"/>
          <w:b/>
          <w:sz w:val="24"/>
          <w:szCs w:val="21"/>
        </w:rPr>
      </w:pPr>
    </w:p>
    <w:p>
      <w:pPr>
        <w:spacing w:line="440" w:lineRule="exact"/>
        <w:rPr>
          <w:rFonts w:ascii="宋体" w:hAnsi="宋体"/>
          <w:b/>
          <w:sz w:val="24"/>
          <w:szCs w:val="21"/>
        </w:rPr>
      </w:pPr>
    </w:p>
    <w:p>
      <w:pPr>
        <w:spacing w:line="440" w:lineRule="exact"/>
        <w:rPr>
          <w:rFonts w:ascii="宋体" w:hAnsi="宋体"/>
          <w:b/>
          <w:sz w:val="24"/>
          <w:szCs w:val="21"/>
        </w:rPr>
      </w:pPr>
      <w:r>
        <w:rPr>
          <w:rFonts w:hint="eastAsia" w:ascii="宋体" w:hAnsi="宋体"/>
          <w:b/>
          <w:sz w:val="24"/>
          <w:szCs w:val="21"/>
        </w:rPr>
        <w:t>附：主要成员及项目负责人相关证书其他证明材料文件。</w:t>
      </w: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附件</w:t>
      </w:r>
      <w:r>
        <w:rPr>
          <w:rFonts w:hint="eastAsia" w:ascii="宋体" w:hAnsi="宋体" w:cs="宋体"/>
          <w:b/>
          <w:sz w:val="32"/>
          <w:szCs w:val="32"/>
          <w:lang w:val="en-US" w:eastAsia="zh-CN"/>
        </w:rPr>
        <w:t>8</w:t>
      </w:r>
      <w:r>
        <w:rPr>
          <w:rFonts w:hint="eastAsia" w:ascii="宋体" w:hAnsi="宋体" w:eastAsia="宋体" w:cs="宋体"/>
          <w:b/>
          <w:sz w:val="32"/>
          <w:szCs w:val="32"/>
        </w:rPr>
        <w:t>：</w:t>
      </w:r>
    </w:p>
    <w:p>
      <w:pPr>
        <w:snapToGrid w:val="0"/>
        <w:spacing w:line="360" w:lineRule="auto"/>
        <w:jc w:val="center"/>
        <w:outlineLvl w:val="1"/>
        <w:rPr>
          <w:rFonts w:hint="eastAsia" w:ascii="宋体" w:hAnsi="宋体" w:eastAsia="宋体" w:cs="宋体"/>
          <w:b/>
          <w:sz w:val="32"/>
          <w:szCs w:val="32"/>
        </w:rPr>
      </w:pPr>
      <w:bookmarkStart w:id="128" w:name="_Toc6340"/>
      <w:bookmarkStart w:id="129" w:name="_Toc11708"/>
      <w:r>
        <w:rPr>
          <w:rFonts w:hint="eastAsia" w:ascii="宋体" w:hAnsi="宋体" w:cs="宋体"/>
          <w:b/>
          <w:sz w:val="32"/>
          <w:szCs w:val="32"/>
          <w:lang w:val="en-US" w:eastAsia="zh-CN"/>
        </w:rPr>
        <w:t>九</w:t>
      </w:r>
      <w:r>
        <w:rPr>
          <w:rFonts w:hint="eastAsia" w:ascii="宋体" w:hAnsi="宋体" w:eastAsia="宋体" w:cs="宋体"/>
          <w:b/>
          <w:sz w:val="32"/>
          <w:szCs w:val="32"/>
        </w:rPr>
        <w:t>、技术偏离表</w:t>
      </w:r>
      <w:bookmarkEnd w:id="128"/>
      <w:bookmarkEnd w:id="129"/>
    </w:p>
    <w:tbl>
      <w:tblPr>
        <w:tblStyle w:val="39"/>
        <w:tblW w:w="9755" w:type="dxa"/>
        <w:jc w:val="center"/>
        <w:tblLayout w:type="fixed"/>
        <w:tblCellMar>
          <w:top w:w="0" w:type="dxa"/>
          <w:left w:w="0" w:type="dxa"/>
          <w:bottom w:w="0" w:type="dxa"/>
          <w:right w:w="0" w:type="dxa"/>
        </w:tblCellMar>
      </w:tblPr>
      <w:tblGrid>
        <w:gridCol w:w="672"/>
        <w:gridCol w:w="2383"/>
        <w:gridCol w:w="2302"/>
        <w:gridCol w:w="2495"/>
        <w:gridCol w:w="1203"/>
        <w:gridCol w:w="700"/>
      </w:tblGrid>
      <w:tr>
        <w:tblPrEx>
          <w:tblCellMar>
            <w:top w:w="0" w:type="dxa"/>
            <w:left w:w="0" w:type="dxa"/>
            <w:bottom w:w="0" w:type="dxa"/>
            <w:right w:w="0" w:type="dxa"/>
          </w:tblCellMar>
        </w:tblPrEx>
        <w:trPr>
          <w:cantSplit/>
          <w:trHeight w:val="549" w:hRule="atLeast"/>
          <w:jc w:val="center"/>
        </w:trPr>
        <w:tc>
          <w:tcPr>
            <w:tcW w:w="67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lang w:eastAsia="zh-CN"/>
              </w:rPr>
              <w:t>序</w:t>
            </w:r>
            <w:r>
              <w:rPr>
                <w:rFonts w:hint="eastAsia" w:ascii="宋体" w:hAnsi="宋体" w:eastAsia="宋体" w:cs="宋体"/>
                <w:color w:val="000000"/>
                <w:sz w:val="24"/>
              </w:rPr>
              <w:t>号</w:t>
            </w:r>
          </w:p>
        </w:tc>
        <w:tc>
          <w:tcPr>
            <w:tcW w:w="2383"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招标内容</w:t>
            </w:r>
          </w:p>
        </w:tc>
        <w:tc>
          <w:tcPr>
            <w:tcW w:w="4797"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规格响应情况</w:t>
            </w:r>
          </w:p>
        </w:tc>
        <w:tc>
          <w:tcPr>
            <w:tcW w:w="12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lang w:eastAsia="zh-CN"/>
              </w:rPr>
              <w:t>说明</w:t>
            </w:r>
          </w:p>
        </w:tc>
      </w:tr>
      <w:tr>
        <w:tblPrEx>
          <w:tblCellMar>
            <w:top w:w="0" w:type="dxa"/>
            <w:left w:w="0" w:type="dxa"/>
            <w:bottom w:w="0" w:type="dxa"/>
            <w:right w:w="0" w:type="dxa"/>
          </w:tblCellMar>
        </w:tblPrEx>
        <w:trPr>
          <w:cantSplit/>
          <w:trHeight w:val="1048" w:hRule="atLeast"/>
          <w:jc w:val="center"/>
        </w:trPr>
        <w:tc>
          <w:tcPr>
            <w:tcW w:w="67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rPr>
            </w:pPr>
          </w:p>
        </w:tc>
        <w:tc>
          <w:tcPr>
            <w:tcW w:w="238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磋商文件技术要求</w:t>
            </w:r>
          </w:p>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的内容与数值</w:t>
            </w: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磋商供应商的技术响</w:t>
            </w:r>
          </w:p>
          <w:p>
            <w:pPr>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应内容与数值</w:t>
            </w: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right="458" w:rightChars="218"/>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hint="eastAsia" w:ascii="宋体" w:hAnsi="宋体" w:eastAsia="宋体" w:cs="宋体"/>
                <w:color w:val="000000"/>
                <w:sz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ind w:left="-15" w:leftChars="-7"/>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sz w:val="24"/>
              </w:rPr>
            </w:pPr>
          </w:p>
        </w:tc>
        <w:tc>
          <w:tcPr>
            <w:tcW w:w="2383"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302"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2495" w:type="dxa"/>
            <w:tcBorders>
              <w:top w:val="nil"/>
              <w:left w:val="nil"/>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360" w:lineRule="auto"/>
              <w:jc w:val="center"/>
              <w:rPr>
                <w:rFonts w:hint="eastAsia" w:ascii="宋体" w:hAnsi="宋体" w:eastAsia="宋体" w:cs="宋体"/>
                <w:color w:val="000000"/>
                <w:sz w:val="24"/>
              </w:rPr>
            </w:pPr>
          </w:p>
        </w:tc>
      </w:tr>
      <w:tr>
        <w:tblPrEx>
          <w:tblCellMar>
            <w:top w:w="0" w:type="dxa"/>
            <w:left w:w="0" w:type="dxa"/>
            <w:bottom w:w="0" w:type="dxa"/>
            <w:right w:w="0" w:type="dxa"/>
          </w:tblCellMar>
        </w:tblPrEx>
        <w:trPr>
          <w:trHeight w:val="539" w:hRule="atLeast"/>
          <w:jc w:val="center"/>
        </w:trPr>
        <w:tc>
          <w:tcPr>
            <w:tcW w:w="672" w:type="dxa"/>
            <w:tcBorders>
              <w:top w:val="nil"/>
              <w:left w:val="single" w:color="auto" w:sz="4" w:space="0"/>
              <w:bottom w:val="single" w:color="auto" w:sz="4" w:space="0"/>
              <w:right w:val="single" w:color="auto" w:sz="4" w:space="0"/>
            </w:tcBorders>
            <w:vAlign w:val="bottom"/>
          </w:tcPr>
          <w:p>
            <w:pPr>
              <w:spacing w:line="360" w:lineRule="auto"/>
              <w:rPr>
                <w:rFonts w:hint="eastAsia" w:ascii="宋体" w:hAnsi="宋体" w:eastAsia="宋体" w:cs="宋体"/>
                <w:color w:val="000000"/>
                <w:sz w:val="24"/>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hint="eastAsia" w:ascii="宋体" w:hAnsi="宋体" w:eastAsia="宋体" w:cs="宋体"/>
                <w:color w:val="000000"/>
                <w:sz w:val="24"/>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r>
      <w:tr>
        <w:tblPrEx>
          <w:tblCellMar>
            <w:top w:w="0" w:type="dxa"/>
            <w:left w:w="0" w:type="dxa"/>
            <w:bottom w:w="0" w:type="dxa"/>
            <w:right w:w="0" w:type="dxa"/>
          </w:tblCellMar>
        </w:tblPrEx>
        <w:trPr>
          <w:trHeight w:val="559" w:hRule="atLeast"/>
          <w:jc w:val="center"/>
        </w:trPr>
        <w:tc>
          <w:tcPr>
            <w:tcW w:w="672" w:type="dxa"/>
            <w:tcBorders>
              <w:top w:val="nil"/>
              <w:left w:val="single" w:color="auto" w:sz="4" w:space="0"/>
              <w:bottom w:val="single" w:color="auto" w:sz="4" w:space="0"/>
              <w:right w:val="single" w:color="auto" w:sz="4" w:space="0"/>
            </w:tcBorders>
            <w:vAlign w:val="bottom"/>
          </w:tcPr>
          <w:p>
            <w:pPr>
              <w:spacing w:line="360" w:lineRule="auto"/>
              <w:rPr>
                <w:rFonts w:hint="eastAsia" w:ascii="宋体" w:hAnsi="宋体" w:eastAsia="宋体" w:cs="宋体"/>
                <w:color w:val="000000"/>
                <w:sz w:val="24"/>
              </w:rPr>
            </w:pPr>
          </w:p>
        </w:tc>
        <w:tc>
          <w:tcPr>
            <w:tcW w:w="2383"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c>
          <w:tcPr>
            <w:tcW w:w="2302"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jc w:val="center"/>
              <w:rPr>
                <w:rFonts w:hint="eastAsia" w:ascii="宋体" w:hAnsi="宋体" w:eastAsia="宋体" w:cs="宋体"/>
                <w:color w:val="000000"/>
                <w:sz w:val="24"/>
              </w:rPr>
            </w:pPr>
          </w:p>
        </w:tc>
        <w:tc>
          <w:tcPr>
            <w:tcW w:w="2495" w:type="dxa"/>
            <w:tcBorders>
              <w:top w:val="nil"/>
              <w:left w:val="nil"/>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c>
          <w:tcPr>
            <w:tcW w:w="1203"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c>
          <w:tcPr>
            <w:tcW w:w="700"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360" w:lineRule="auto"/>
              <w:rPr>
                <w:rFonts w:hint="eastAsia" w:ascii="宋体" w:hAnsi="宋体" w:eastAsia="宋体" w:cs="宋体"/>
                <w:color w:val="000000"/>
                <w:sz w:val="24"/>
              </w:rPr>
            </w:pPr>
          </w:p>
        </w:tc>
      </w:tr>
    </w:tbl>
    <w:p>
      <w:pPr>
        <w:snapToGrid w:val="0"/>
        <w:spacing w:line="360" w:lineRule="auto"/>
        <w:jc w:val="center"/>
        <w:rPr>
          <w:rFonts w:hint="eastAsia" w:ascii="宋体" w:hAnsi="宋体" w:eastAsia="宋体" w:cs="宋体"/>
          <w:b/>
          <w:sz w:val="30"/>
          <w:szCs w:val="30"/>
        </w:rPr>
      </w:pPr>
    </w:p>
    <w:p>
      <w:pPr>
        <w:pStyle w:val="34"/>
        <w:rPr>
          <w:rFonts w:hint="eastAsia" w:ascii="宋体" w:hAnsi="宋体" w:eastAsia="宋体" w:cs="宋体"/>
          <w:b/>
          <w:bCs/>
          <w:sz w:val="24"/>
          <w:szCs w:val="24"/>
        </w:rPr>
      </w:pPr>
      <w:r>
        <w:rPr>
          <w:rFonts w:hint="eastAsia" w:ascii="宋体" w:hAnsi="宋体" w:eastAsia="宋体" w:cs="宋体"/>
          <w:b/>
          <w:bCs/>
          <w:sz w:val="24"/>
          <w:szCs w:val="24"/>
        </w:rPr>
        <w:t>注：无论正偏离或负偏离,供应商均需在“技术偏离表”一栏中列明响应的详细内容，否则视同供应商响应情况为“响应”。</w:t>
      </w:r>
    </w:p>
    <w:p>
      <w:pPr>
        <w:pStyle w:val="23"/>
        <w:spacing w:line="360" w:lineRule="auto"/>
        <w:jc w:val="center"/>
        <w:rPr>
          <w:rFonts w:hint="eastAsia" w:ascii="宋体" w:hAnsi="宋体" w:eastAsia="宋体" w:cs="宋体"/>
          <w:b/>
          <w:sz w:val="18"/>
        </w:rPr>
      </w:pPr>
    </w:p>
    <w:p>
      <w:pPr>
        <w:pStyle w:val="31"/>
        <w:spacing w:line="360" w:lineRule="auto"/>
        <w:ind w:left="480" w:hanging="480"/>
        <w:rPr>
          <w:rFonts w:hint="eastAsia" w:ascii="宋体" w:hAnsi="宋体" w:eastAsia="宋体" w:cs="宋体"/>
          <w:b w:val="0"/>
        </w:rPr>
      </w:pPr>
    </w:p>
    <w:p>
      <w:pPr>
        <w:pStyle w:val="31"/>
        <w:spacing w:line="360" w:lineRule="auto"/>
        <w:ind w:left="480" w:hanging="480"/>
        <w:rPr>
          <w:rFonts w:hint="eastAsia" w:ascii="宋体" w:hAnsi="宋体" w:eastAsia="宋体" w:cs="宋体"/>
          <w:b w:val="0"/>
        </w:rPr>
      </w:pPr>
    </w:p>
    <w:p>
      <w:pPr>
        <w:spacing w:line="360" w:lineRule="auto"/>
        <w:rPr>
          <w:rFonts w:hint="eastAsia" w:ascii="宋体" w:hAnsi="宋体" w:eastAsia="宋体" w:cs="宋体"/>
          <w:bCs/>
          <w:sz w:val="24"/>
        </w:rPr>
      </w:pPr>
    </w:p>
    <w:p>
      <w:pPr>
        <w:spacing w:line="360" w:lineRule="auto"/>
        <w:rPr>
          <w:rFonts w:hint="eastAsia" w:ascii="宋体" w:hAnsi="宋体" w:eastAsia="宋体" w:cs="宋体"/>
          <w:bCs/>
          <w:sz w:val="24"/>
        </w:rPr>
      </w:pP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bookmarkEnd w:id="123"/>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sectPr>
          <w:pgSz w:w="11906" w:h="16838"/>
          <w:pgMar w:top="1077" w:right="1417" w:bottom="1417" w:left="1417" w:header="851" w:footer="992" w:gutter="0"/>
          <w:pgNumType w:fmt="decimal"/>
          <w:cols w:space="425" w:num="1"/>
          <w:docGrid w:type="lines" w:linePitch="312" w:charSpace="0"/>
        </w:sect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附件</w:t>
      </w:r>
      <w:r>
        <w:rPr>
          <w:rFonts w:hint="eastAsia" w:ascii="宋体" w:hAnsi="宋体" w:cs="宋体"/>
          <w:b/>
          <w:sz w:val="32"/>
          <w:szCs w:val="32"/>
          <w:lang w:val="en-US" w:eastAsia="zh-CN"/>
        </w:rPr>
        <w:t>9</w:t>
      </w:r>
      <w:r>
        <w:rPr>
          <w:rFonts w:hint="eastAsia" w:ascii="宋体" w:hAnsi="宋体" w:eastAsia="宋体" w:cs="宋体"/>
          <w:b/>
          <w:sz w:val="32"/>
          <w:szCs w:val="32"/>
        </w:rPr>
        <w:t>：</w:t>
      </w: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w:t>
      </w:r>
      <w:r>
        <w:rPr>
          <w:rFonts w:hint="eastAsia" w:ascii="宋体" w:hAnsi="宋体" w:eastAsia="宋体" w:cs="宋体"/>
          <w:b/>
          <w:sz w:val="32"/>
          <w:szCs w:val="32"/>
          <w:lang w:val="en-US" w:eastAsia="zh-CN"/>
        </w:rPr>
        <w:t>十、</w:t>
      </w:r>
      <w:r>
        <w:rPr>
          <w:rFonts w:hint="eastAsia" w:ascii="宋体" w:hAnsi="宋体" w:eastAsia="宋体" w:cs="宋体"/>
          <w:b/>
          <w:sz w:val="32"/>
          <w:szCs w:val="32"/>
        </w:rPr>
        <w:t>供应商反商业贿赂承诺书</w:t>
      </w:r>
    </w:p>
    <w:p>
      <w:pPr>
        <w:autoSpaceDE w:val="0"/>
        <w:autoSpaceDN w:val="0"/>
        <w:adjustRightInd w:val="0"/>
        <w:spacing w:line="360" w:lineRule="auto"/>
        <w:jc w:val="left"/>
        <w:rPr>
          <w:rFonts w:hint="eastAsia" w:ascii="宋体" w:hAnsi="宋体" w:eastAsia="宋体" w:cs="宋体"/>
          <w:kern w:val="0"/>
          <w:sz w:val="24"/>
        </w:rPr>
      </w:pPr>
    </w:p>
    <w:p>
      <w:pPr>
        <w:autoSpaceDE w:val="0"/>
        <w:autoSpaceDN w:val="0"/>
        <w:adjustRightInd w:val="0"/>
        <w:spacing w:line="360" w:lineRule="auto"/>
        <w:ind w:firstLine="432"/>
        <w:jc w:val="left"/>
        <w:rPr>
          <w:rFonts w:hint="eastAsia" w:ascii="宋体" w:hAnsi="宋体" w:eastAsia="宋体" w:cs="宋体"/>
          <w:b/>
          <w:bCs/>
          <w:kern w:val="0"/>
          <w:sz w:val="24"/>
          <w:szCs w:val="24"/>
        </w:rPr>
      </w:pPr>
      <w:r>
        <w:rPr>
          <w:rFonts w:hint="eastAsia" w:ascii="宋体" w:hAnsi="宋体" w:eastAsia="宋体" w:cs="宋体"/>
          <w:kern w:val="0"/>
          <w:sz w:val="24"/>
          <w:szCs w:val="24"/>
        </w:rPr>
        <w:t>我公司承诺在</w:t>
      </w:r>
      <w:r>
        <w:rPr>
          <w:rFonts w:hint="eastAsia" w:ascii="宋体" w:hAnsi="宋体" w:eastAsia="宋体" w:cs="宋体"/>
          <w:kern w:val="0"/>
          <w:sz w:val="24"/>
          <w:szCs w:val="24"/>
          <w:u w:val="single"/>
        </w:rPr>
        <w:t>（项目编号、项目名称）</w:t>
      </w:r>
      <w:r>
        <w:rPr>
          <w:rFonts w:hint="eastAsia" w:ascii="宋体" w:hAnsi="宋体" w:eastAsia="宋体" w:cs="宋体"/>
          <w:kern w:val="0"/>
          <w:sz w:val="24"/>
          <w:szCs w:val="24"/>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ind w:firstLine="897"/>
        <w:jc w:val="left"/>
        <w:rPr>
          <w:rFonts w:hint="eastAsia" w:ascii="宋体" w:hAnsi="宋体" w:eastAsia="宋体" w:cs="宋体"/>
          <w:b/>
          <w:bCs/>
          <w:kern w:val="0"/>
          <w:sz w:val="24"/>
          <w:szCs w:val="24"/>
        </w:rPr>
      </w:pPr>
      <w:r>
        <w:rPr>
          <w:rFonts w:hint="eastAsia" w:ascii="宋体" w:hAnsi="宋体" w:eastAsia="宋体" w:cs="宋体"/>
          <w:kern w:val="0"/>
          <w:sz w:val="24"/>
          <w:szCs w:val="24"/>
        </w:rPr>
        <w:t>法定代表人：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 </w:t>
      </w:r>
    </w:p>
    <w:p>
      <w:pPr>
        <w:autoSpaceDE w:val="0"/>
        <w:autoSpaceDN w:val="0"/>
        <w:adjustRightInd w:val="0"/>
        <w:spacing w:line="360" w:lineRule="auto"/>
        <w:ind w:firstLine="897"/>
        <w:jc w:val="left"/>
        <w:rPr>
          <w:rFonts w:hint="eastAsia" w:ascii="宋体" w:hAnsi="宋体" w:eastAsia="宋体" w:cs="宋体"/>
          <w:b/>
          <w:bCs/>
          <w:kern w:val="0"/>
          <w:sz w:val="24"/>
          <w:szCs w:val="24"/>
        </w:rPr>
      </w:pPr>
      <w:r>
        <w:rPr>
          <w:rFonts w:hint="eastAsia" w:ascii="宋体" w:hAnsi="宋体" w:eastAsia="宋体" w:cs="宋体"/>
          <w:kern w:val="0"/>
          <w:sz w:val="24"/>
          <w:szCs w:val="24"/>
        </w:rPr>
        <w:t>法人授权代表：</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 </w:t>
      </w:r>
    </w:p>
    <w:p>
      <w:pPr>
        <w:autoSpaceDE w:val="0"/>
        <w:autoSpaceDN w:val="0"/>
        <w:adjustRightInd w:val="0"/>
        <w:spacing w:line="360" w:lineRule="auto"/>
        <w:ind w:firstLine="897"/>
        <w:jc w:val="left"/>
        <w:rPr>
          <w:rFonts w:hint="eastAsia" w:ascii="宋体" w:hAnsi="宋体" w:eastAsia="宋体" w:cs="宋体"/>
          <w:b/>
          <w:bCs/>
          <w:kern w:val="0"/>
          <w:sz w:val="24"/>
          <w:szCs w:val="24"/>
          <w:u w:val="single"/>
          <w:lang w:val="en-US" w:eastAsia="zh-CN"/>
        </w:rPr>
      </w:pPr>
      <w:r>
        <w:rPr>
          <w:rFonts w:hint="eastAsia" w:ascii="宋体" w:hAnsi="宋体" w:eastAsia="宋体" w:cs="宋体"/>
          <w:kern w:val="0"/>
          <w:sz w:val="24"/>
          <w:szCs w:val="24"/>
        </w:rPr>
        <w:t xml:space="preserve">项目经办人： </w:t>
      </w:r>
      <w:r>
        <w:rPr>
          <w:rFonts w:hint="eastAsia" w:ascii="宋体" w:hAnsi="宋体" w:eastAsia="宋体" w:cs="宋体"/>
          <w:kern w:val="0"/>
          <w:sz w:val="24"/>
          <w:szCs w:val="24"/>
          <w:u w:val="single"/>
          <w:lang w:val="en-US" w:eastAsia="zh-CN"/>
        </w:rPr>
        <w:t xml:space="preserve">                          </w:t>
      </w: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我公司承诺在参加本次投标前三年内，无以下行为： </w:t>
      </w:r>
    </w:p>
    <w:p>
      <w:pPr>
        <w:autoSpaceDE w:val="0"/>
        <w:autoSpaceDN w:val="0"/>
        <w:adjustRightInd w:val="0"/>
        <w:spacing w:line="360" w:lineRule="auto"/>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重大违法行为； </w:t>
      </w:r>
    </w:p>
    <w:p>
      <w:pPr>
        <w:autoSpaceDE w:val="0"/>
        <w:autoSpaceDN w:val="0"/>
        <w:adjustRightInd w:val="0"/>
        <w:spacing w:line="360" w:lineRule="auto"/>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商业贿赂行为； </w:t>
      </w:r>
    </w:p>
    <w:p>
      <w:pPr>
        <w:autoSpaceDE w:val="0"/>
        <w:autoSpaceDN w:val="0"/>
        <w:adjustRightInd w:val="0"/>
        <w:spacing w:line="360" w:lineRule="auto"/>
        <w:ind w:firstLine="480"/>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政府采购法《第七十七条》，列入不良行为记录名单的各种行为； </w:t>
      </w:r>
    </w:p>
    <w:p>
      <w:pPr>
        <w:autoSpaceDE w:val="0"/>
        <w:autoSpaceDN w:val="0"/>
        <w:adjustRightInd w:val="0"/>
        <w:spacing w:line="360" w:lineRule="auto"/>
        <w:jc w:val="left"/>
        <w:rPr>
          <w:rFonts w:hint="eastAsia" w:ascii="宋体" w:hAnsi="宋体" w:eastAsia="宋体" w:cs="宋体"/>
          <w:kern w:val="0"/>
          <w:sz w:val="24"/>
          <w:szCs w:val="24"/>
        </w:rPr>
      </w:pPr>
    </w:p>
    <w:p>
      <w:pPr>
        <w:autoSpaceDE w:val="0"/>
        <w:autoSpaceDN w:val="0"/>
        <w:adjustRightInd w:val="0"/>
        <w:spacing w:line="360" w:lineRule="auto"/>
        <w:jc w:val="left"/>
        <w:rPr>
          <w:rFonts w:hint="eastAsia" w:ascii="宋体" w:hAnsi="宋体" w:eastAsia="宋体" w:cs="宋体"/>
          <w:b/>
          <w:bCs/>
          <w:kern w:val="0"/>
          <w:sz w:val="24"/>
          <w:szCs w:val="24"/>
        </w:rPr>
      </w:pPr>
      <w:r>
        <w:rPr>
          <w:rFonts w:hint="eastAsia" w:ascii="宋体" w:hAnsi="宋体" w:eastAsia="宋体" w:cs="宋体"/>
          <w:kern w:val="0"/>
          <w:sz w:val="24"/>
          <w:szCs w:val="24"/>
        </w:rPr>
        <w:t xml:space="preserve">如有上述行为，我公司及项目参与人员自愿放弃本次项目的投标、报价资格，若为预中标、成交人，也自愿放弃中标、成交资格 </w:t>
      </w:r>
    </w:p>
    <w:p>
      <w:pPr>
        <w:autoSpaceDE w:val="0"/>
        <w:autoSpaceDN w:val="0"/>
        <w:adjustRightInd w:val="0"/>
        <w:spacing w:line="360" w:lineRule="auto"/>
        <w:ind w:firstLine="480"/>
        <w:jc w:val="left"/>
        <w:rPr>
          <w:rFonts w:hint="eastAsia" w:ascii="宋体" w:hAnsi="宋体" w:eastAsia="宋体" w:cs="宋体"/>
          <w:b/>
          <w:bCs/>
          <w:kern w:val="0"/>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spacing w:line="360" w:lineRule="auto"/>
        <w:rPr>
          <w:rFonts w:hint="eastAsia" w:ascii="宋体" w:hAnsi="宋体" w:eastAsia="宋体" w:cs="宋体"/>
          <w:sz w:val="24"/>
        </w:rPr>
      </w:pPr>
    </w:p>
    <w:p>
      <w:pPr>
        <w:spacing w:line="360" w:lineRule="auto"/>
        <w:jc w:val="center"/>
        <w:outlineLvl w:val="1"/>
        <w:rPr>
          <w:rFonts w:hint="eastAsia" w:ascii="宋体" w:hAnsi="宋体" w:eastAsia="宋体" w:cs="宋体"/>
          <w:b/>
          <w:color w:val="000000"/>
          <w:sz w:val="32"/>
          <w:szCs w:val="32"/>
          <w:lang w:eastAsia="zh-CN"/>
        </w:rPr>
      </w:pPr>
      <w:bookmarkStart w:id="130" w:name="_Toc19689"/>
      <w:bookmarkStart w:id="131" w:name="_Toc23347"/>
    </w:p>
    <w:p>
      <w:pPr>
        <w:pStyle w:val="21"/>
        <w:rPr>
          <w:rFonts w:hint="eastAsia"/>
          <w:lang w:eastAsia="zh-CN"/>
        </w:rPr>
      </w:pPr>
    </w:p>
    <w:p>
      <w:pPr>
        <w:spacing w:line="360" w:lineRule="auto"/>
        <w:jc w:val="center"/>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十一、</w:t>
      </w:r>
      <w:r>
        <w:rPr>
          <w:rFonts w:hint="eastAsia" w:ascii="宋体" w:hAnsi="宋体" w:cs="宋体"/>
          <w:b/>
          <w:sz w:val="32"/>
          <w:szCs w:val="32"/>
          <w:lang w:val="en-US" w:eastAsia="zh-CN"/>
        </w:rPr>
        <w:t>产品相关检测报告</w:t>
      </w:r>
    </w:p>
    <w:p>
      <w:pPr>
        <w:spacing w:line="360" w:lineRule="auto"/>
        <w:jc w:val="center"/>
        <w:rPr>
          <w:rFonts w:hint="eastAsia" w:ascii="宋体" w:hAnsi="宋体" w:cs="宋体"/>
          <w:b/>
          <w:sz w:val="32"/>
          <w:szCs w:val="32"/>
          <w:lang w:val="en-US" w:eastAsia="zh-CN"/>
        </w:rPr>
      </w:pPr>
      <w:r>
        <w:rPr>
          <w:rFonts w:hint="eastAsia" w:ascii="宋体" w:hAnsi="宋体" w:cs="宋体"/>
          <w:b/>
          <w:sz w:val="32"/>
          <w:szCs w:val="32"/>
          <w:lang w:val="en-US" w:eastAsia="zh-CN"/>
        </w:rPr>
        <w:t>十二、供货方案</w:t>
      </w:r>
    </w:p>
    <w:p>
      <w:pPr>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十三、配送方案</w:t>
      </w:r>
    </w:p>
    <w:p>
      <w:pPr>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十四、应急保障措施</w:t>
      </w:r>
    </w:p>
    <w:p>
      <w:pPr>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十五、服务承诺</w:t>
      </w:r>
    </w:p>
    <w:p>
      <w:pPr>
        <w:spacing w:line="360" w:lineRule="auto"/>
        <w:jc w:val="center"/>
        <w:rPr>
          <w:rFonts w:hint="default" w:ascii="宋体" w:hAnsi="宋体" w:eastAsia="宋体" w:cs="宋体"/>
          <w:b/>
          <w:sz w:val="32"/>
          <w:szCs w:val="32"/>
          <w:lang w:val="en-US" w:eastAsia="zh-CN"/>
        </w:rPr>
      </w:pPr>
      <w:r>
        <w:rPr>
          <w:rFonts w:hint="eastAsia" w:ascii="宋体" w:hAnsi="宋体" w:eastAsia="宋体" w:cs="宋体"/>
          <w:b/>
          <w:sz w:val="32"/>
          <w:szCs w:val="32"/>
          <w:lang w:val="en-US" w:eastAsia="zh-CN"/>
        </w:rPr>
        <w:t>十六、售后服务方案</w:t>
      </w:r>
    </w:p>
    <w:p>
      <w:pPr>
        <w:spacing w:line="360" w:lineRule="auto"/>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十七、投标人认为有必要提交的其他相关证明材料</w:t>
      </w:r>
    </w:p>
    <w:p>
      <w:pPr>
        <w:spacing w:line="360" w:lineRule="auto"/>
        <w:jc w:val="center"/>
        <w:outlineLvl w:val="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pStyle w:val="21"/>
        <w:rPr>
          <w:rFonts w:hint="default" w:ascii="宋体" w:hAnsi="宋体" w:eastAsia="宋体" w:cs="宋体"/>
          <w:b/>
          <w:color w:val="000000"/>
          <w:sz w:val="32"/>
          <w:szCs w:val="32"/>
          <w:lang w:val="en-US" w:eastAsia="zh-CN"/>
        </w:rPr>
      </w:pPr>
    </w:p>
    <w:p>
      <w:pPr>
        <w:spacing w:line="360" w:lineRule="auto"/>
        <w:jc w:val="center"/>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eastAsia="zh-CN"/>
        </w:rPr>
        <w:t>最终</w:t>
      </w:r>
      <w:r>
        <w:rPr>
          <w:rFonts w:hint="eastAsia" w:ascii="宋体" w:hAnsi="宋体" w:eastAsia="宋体" w:cs="宋体"/>
          <w:b/>
          <w:color w:val="000000"/>
          <w:sz w:val="32"/>
          <w:szCs w:val="32"/>
        </w:rPr>
        <w:t>报价表（</w:t>
      </w:r>
      <w:r>
        <w:rPr>
          <w:rFonts w:hint="eastAsia" w:ascii="宋体" w:hAnsi="宋体" w:eastAsia="宋体" w:cs="宋体"/>
          <w:b/>
          <w:color w:val="000000"/>
          <w:sz w:val="32"/>
          <w:szCs w:val="32"/>
          <w:lang w:eastAsia="zh-CN"/>
        </w:rPr>
        <w:t>二轮报价</w:t>
      </w:r>
      <w:r>
        <w:rPr>
          <w:rFonts w:hint="eastAsia" w:ascii="宋体" w:hAnsi="宋体" w:eastAsia="宋体" w:cs="宋体"/>
          <w:b/>
          <w:color w:val="000000"/>
          <w:sz w:val="32"/>
          <w:szCs w:val="32"/>
        </w:rPr>
        <w:t>）</w:t>
      </w:r>
      <w:bookmarkEnd w:id="130"/>
      <w:bookmarkEnd w:id="131"/>
    </w:p>
    <w:p>
      <w:pPr>
        <w:pStyle w:val="106"/>
        <w:spacing w:line="360" w:lineRule="auto"/>
        <w:ind w:left="-181" w:leftChars="-86" w:firstLine="482" w:firstLineChars="200"/>
        <w:jc w:val="both"/>
        <w:rPr>
          <w:rFonts w:hint="eastAsia" w:ascii="宋体" w:hAnsi="宋体" w:eastAsia="宋体" w:cs="宋体"/>
          <w:b/>
          <w:color w:val="auto"/>
          <w:kern w:val="2"/>
          <w:szCs w:val="20"/>
        </w:rPr>
      </w:pPr>
    </w:p>
    <w:p>
      <w:pPr>
        <w:pStyle w:val="106"/>
        <w:spacing w:line="360" w:lineRule="auto"/>
        <w:ind w:left="-181" w:leftChars="-86" w:firstLine="482" w:firstLineChars="200"/>
        <w:jc w:val="both"/>
        <w:rPr>
          <w:rFonts w:hint="eastAsia" w:ascii="宋体" w:hAnsi="宋体" w:eastAsia="宋体" w:cs="宋体"/>
          <w:b/>
          <w:color w:val="auto"/>
          <w:kern w:val="2"/>
          <w:szCs w:val="20"/>
        </w:rPr>
      </w:pPr>
      <w:r>
        <w:rPr>
          <w:rFonts w:hint="eastAsia" w:ascii="宋体" w:hAnsi="宋体" w:eastAsia="宋体" w:cs="宋体"/>
          <w:b/>
          <w:color w:val="auto"/>
          <w:kern w:val="2"/>
          <w:szCs w:val="20"/>
        </w:rPr>
        <w:t>项目名称：                             项目编号：</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211"/>
        <w:gridCol w:w="4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160" w:type="dxa"/>
            <w:vAlign w:val="center"/>
          </w:tcPr>
          <w:p>
            <w:pPr>
              <w:pStyle w:val="106"/>
              <w:ind w:left="-104" w:leftChars="-342" w:right="-743" w:rightChars="-354" w:hanging="614" w:hangingChars="256"/>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3211" w:type="dxa"/>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内容</w:t>
            </w:r>
          </w:p>
        </w:tc>
        <w:tc>
          <w:tcPr>
            <w:tcW w:w="4547" w:type="dxa"/>
            <w:vAlign w:val="center"/>
          </w:tcPr>
          <w:p>
            <w:pPr>
              <w:pStyle w:val="106"/>
              <w:ind w:left="-3" w:right="-25"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trPr>
        <w:tc>
          <w:tcPr>
            <w:tcW w:w="1160" w:type="dxa"/>
            <w:vAlign w:val="center"/>
          </w:tcPr>
          <w:p>
            <w:pPr>
              <w:pStyle w:val="106"/>
              <w:ind w:left="-105" w:right="-97" w:firstLine="72" w:firstLineChars="3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211" w:type="dxa"/>
            <w:vAlign w:val="center"/>
          </w:tcPr>
          <w:p>
            <w:pPr>
              <w:pStyle w:val="113"/>
              <w:snapToGrid w:val="0"/>
              <w:spacing w:line="400" w:lineRule="exact"/>
              <w:ind w:left="473" w:hanging="473"/>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最终</w:t>
            </w:r>
            <w:r>
              <w:rPr>
                <w:rFonts w:hint="eastAsia" w:ascii="宋体" w:hAnsi="宋体" w:eastAsia="宋体" w:cs="宋体"/>
                <w:color w:val="auto"/>
                <w:sz w:val="24"/>
                <w:szCs w:val="24"/>
              </w:rPr>
              <w:t>报价</w:t>
            </w:r>
          </w:p>
        </w:tc>
        <w:tc>
          <w:tcPr>
            <w:tcW w:w="4547" w:type="dxa"/>
            <w:vAlign w:val="center"/>
          </w:tcPr>
          <w:p>
            <w:pPr>
              <w:pStyle w:val="113"/>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113"/>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pPr>
              <w:pStyle w:val="106"/>
              <w:ind w:left="-342" w:right="-354"/>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8918" w:type="dxa"/>
            <w:gridSpan w:val="3"/>
            <w:vAlign w:val="center"/>
          </w:tcPr>
          <w:p>
            <w:pPr>
              <w:pStyle w:val="106"/>
              <w:ind w:left="-2" w:leftChars="-1" w:right="-35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供货期</w:t>
            </w:r>
            <w:r>
              <w:rPr>
                <w:rFonts w:hint="eastAsia" w:ascii="宋体" w:hAnsi="宋体" w:eastAsia="宋体" w:cs="宋体"/>
                <w:color w:val="auto"/>
                <w:sz w:val="24"/>
                <w:szCs w:val="24"/>
              </w:rPr>
              <w:t>:</w:t>
            </w:r>
          </w:p>
          <w:p>
            <w:pPr>
              <w:pStyle w:val="106"/>
              <w:ind w:left="-2" w:leftChars="-1" w:right="-354"/>
              <w:rPr>
                <w:rFonts w:hint="eastAsia" w:ascii="宋体" w:hAnsi="宋体" w:eastAsia="宋体" w:cs="宋体"/>
                <w:color w:val="auto"/>
                <w:sz w:val="24"/>
                <w:szCs w:val="24"/>
              </w:rPr>
            </w:pPr>
          </w:p>
          <w:p>
            <w:pPr>
              <w:pStyle w:val="106"/>
              <w:ind w:left="-2" w:leftChars="-1" w:right="-354"/>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质保期</w:t>
            </w:r>
            <w:r>
              <w:rPr>
                <w:rFonts w:hint="eastAsia" w:ascii="宋体" w:hAnsi="宋体" w:eastAsia="宋体" w:cs="宋体"/>
                <w:color w:val="auto"/>
                <w:sz w:val="24"/>
                <w:szCs w:val="24"/>
              </w:rPr>
              <w:t>：</w:t>
            </w:r>
          </w:p>
        </w:tc>
      </w:tr>
    </w:tbl>
    <w:p>
      <w:pPr>
        <w:jc w:val="left"/>
        <w:rPr>
          <w:rFonts w:hint="eastAsia" w:ascii="宋体" w:hAnsi="宋体" w:eastAsia="宋体" w:cs="宋体"/>
          <w:b/>
          <w:szCs w:val="21"/>
        </w:rPr>
      </w:pPr>
    </w:p>
    <w:p>
      <w:pPr>
        <w:pStyle w:val="106"/>
        <w:rPr>
          <w:rFonts w:hint="eastAsia" w:ascii="宋体" w:hAnsi="宋体" w:eastAsia="宋体" w:cs="宋体"/>
          <w:color w:val="auto"/>
          <w:sz w:val="21"/>
          <w:szCs w:val="21"/>
        </w:rPr>
      </w:pPr>
    </w:p>
    <w:p>
      <w:pPr>
        <w:spacing w:line="360" w:lineRule="auto"/>
        <w:jc w:val="left"/>
        <w:rPr>
          <w:rFonts w:hint="eastAsia" w:ascii="宋体" w:hAnsi="宋体" w:eastAsia="宋体" w:cs="宋体"/>
          <w:color w:val="000000"/>
          <w:sz w:val="24"/>
        </w:rPr>
      </w:pPr>
    </w:p>
    <w:p>
      <w:pPr>
        <w:spacing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rPr>
        <w:t>磋商供应商名称（公章）：</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color w:val="000000"/>
          <w:sz w:val="24"/>
        </w:rPr>
        <w:t>法定代表人或授权代表人（签字）：</w:t>
      </w:r>
      <w:r>
        <w:rPr>
          <w:rFonts w:hint="eastAsia" w:ascii="宋体" w:hAnsi="宋体" w:eastAsia="宋体" w:cs="宋体"/>
          <w:color w:val="000000"/>
          <w:sz w:val="24"/>
          <w:u w:val="single"/>
        </w:rPr>
        <w:t xml:space="preserve">                      </w:t>
      </w:r>
    </w:p>
    <w:p>
      <w:pPr>
        <w:spacing w:line="360" w:lineRule="auto"/>
        <w:rPr>
          <w:rFonts w:hint="eastAsia" w:ascii="宋体" w:hAnsi="宋体" w:eastAsia="宋体" w:cs="宋体"/>
          <w:color w:val="000000"/>
          <w:sz w:val="24"/>
          <w:u w:val="single"/>
        </w:rPr>
      </w:pPr>
      <w:r>
        <w:rPr>
          <w:rFonts w:hint="eastAsia" w:ascii="宋体" w:hAnsi="宋体" w:eastAsia="宋体" w:cs="宋体"/>
          <w:bCs/>
          <w:color w:val="000000"/>
          <w:sz w:val="24"/>
        </w:rPr>
        <w:t>日期：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pPr>
        <w:pStyle w:val="23"/>
        <w:spacing w:line="440" w:lineRule="exact"/>
        <w:rPr>
          <w:rFonts w:hint="eastAsia" w:ascii="宋体" w:hAnsi="宋体" w:eastAsia="宋体" w:cs="宋体"/>
          <w:b/>
          <w:bCs/>
          <w:color w:val="FF0000"/>
          <w:sz w:val="24"/>
          <w:szCs w:val="24"/>
        </w:rPr>
      </w:pPr>
    </w:p>
    <w:p>
      <w:pPr>
        <w:pStyle w:val="23"/>
        <w:spacing w:line="440" w:lineRule="exact"/>
        <w:rPr>
          <w:rFonts w:hint="eastAsia" w:ascii="宋体" w:hAnsi="宋体" w:eastAsia="宋体" w:cs="宋体"/>
          <w:b/>
          <w:bCs/>
          <w:color w:val="FF0000"/>
          <w:sz w:val="24"/>
          <w:szCs w:val="24"/>
        </w:rPr>
      </w:pPr>
    </w:p>
    <w:p>
      <w:pPr>
        <w:pStyle w:val="23"/>
        <w:spacing w:line="440" w:lineRule="exact"/>
        <w:rPr>
          <w:rFonts w:hint="eastAsia" w:ascii="宋体" w:hAnsi="宋体" w:eastAsia="宋体" w:cs="宋体"/>
          <w:b/>
          <w:bCs/>
          <w:color w:val="FF0000"/>
          <w:sz w:val="24"/>
          <w:szCs w:val="24"/>
        </w:rPr>
      </w:pPr>
    </w:p>
    <w:p>
      <w:pPr>
        <w:pStyle w:val="23"/>
        <w:spacing w:line="440" w:lineRule="exact"/>
        <w:ind w:firstLine="482" w:firstLineChars="200"/>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注：本页《</w:t>
      </w:r>
      <w:r>
        <w:rPr>
          <w:rFonts w:hint="eastAsia" w:ascii="宋体" w:hAnsi="宋体" w:eastAsia="宋体" w:cs="宋体"/>
          <w:b/>
          <w:bCs/>
          <w:color w:val="FF0000"/>
          <w:sz w:val="24"/>
          <w:szCs w:val="24"/>
          <w:lang w:eastAsia="zh-CN"/>
        </w:rPr>
        <w:t>最终</w:t>
      </w:r>
      <w:r>
        <w:rPr>
          <w:rFonts w:hint="eastAsia" w:ascii="宋体" w:hAnsi="宋体" w:eastAsia="宋体" w:cs="宋体"/>
          <w:b/>
          <w:bCs/>
          <w:color w:val="FF0000"/>
          <w:sz w:val="24"/>
          <w:szCs w:val="24"/>
        </w:rPr>
        <w:t>报价表》由供应商在</w:t>
      </w:r>
      <w:r>
        <w:rPr>
          <w:rFonts w:hint="eastAsia" w:ascii="宋体" w:hAnsi="宋体" w:eastAsia="宋体" w:cs="宋体"/>
          <w:b/>
          <w:bCs/>
          <w:color w:val="FF0000"/>
          <w:sz w:val="24"/>
          <w:szCs w:val="24"/>
          <w:lang w:val="en-US" w:eastAsia="zh-CN"/>
        </w:rPr>
        <w:t>开标</w:t>
      </w:r>
      <w:r>
        <w:rPr>
          <w:rFonts w:hint="eastAsia" w:ascii="宋体" w:hAnsi="宋体" w:eastAsia="宋体" w:cs="宋体"/>
          <w:b/>
          <w:bCs/>
          <w:color w:val="FF0000"/>
          <w:sz w:val="24"/>
          <w:szCs w:val="24"/>
        </w:rPr>
        <w:t>现场</w:t>
      </w:r>
      <w:r>
        <w:rPr>
          <w:rFonts w:hint="eastAsia" w:ascii="宋体" w:hAnsi="宋体" w:eastAsia="宋体" w:cs="宋体"/>
          <w:b/>
          <w:bCs/>
          <w:color w:val="FF0000"/>
          <w:sz w:val="24"/>
          <w:szCs w:val="24"/>
          <w:lang w:val="en-US" w:eastAsia="zh-CN"/>
        </w:rPr>
        <w:t>磋商</w:t>
      </w:r>
      <w:r>
        <w:rPr>
          <w:rFonts w:hint="eastAsia" w:ascii="宋体" w:hAnsi="宋体" w:eastAsia="宋体" w:cs="宋体"/>
          <w:b/>
          <w:bCs/>
          <w:color w:val="FF0000"/>
          <w:sz w:val="24"/>
          <w:szCs w:val="24"/>
        </w:rPr>
        <w:t>情况填写，请加盖公章后带至</w:t>
      </w:r>
      <w:r>
        <w:rPr>
          <w:rFonts w:hint="eastAsia" w:ascii="宋体" w:hAnsi="宋体" w:eastAsia="宋体" w:cs="宋体"/>
          <w:b/>
          <w:bCs/>
          <w:color w:val="FF0000"/>
          <w:sz w:val="24"/>
          <w:szCs w:val="24"/>
          <w:lang w:val="en-US" w:eastAsia="zh-CN"/>
        </w:rPr>
        <w:t>磋商</w:t>
      </w:r>
      <w:r>
        <w:rPr>
          <w:rFonts w:hint="eastAsia" w:ascii="宋体" w:hAnsi="宋体" w:eastAsia="宋体" w:cs="宋体"/>
          <w:b/>
          <w:bCs/>
          <w:color w:val="FF0000"/>
          <w:sz w:val="24"/>
          <w:szCs w:val="24"/>
        </w:rPr>
        <w:t>现场备填(不需</w:t>
      </w:r>
      <w:r>
        <w:rPr>
          <w:rFonts w:hint="eastAsia" w:hAnsi="宋体" w:cs="宋体"/>
          <w:b/>
          <w:bCs/>
          <w:color w:val="FF0000"/>
          <w:sz w:val="24"/>
          <w:szCs w:val="24"/>
          <w:lang w:eastAsia="zh-CN"/>
        </w:rPr>
        <w:t>胶装</w:t>
      </w:r>
      <w:r>
        <w:rPr>
          <w:rFonts w:hint="eastAsia" w:ascii="宋体" w:hAnsi="宋体" w:eastAsia="宋体" w:cs="宋体"/>
          <w:b/>
          <w:bCs/>
          <w:color w:val="FF0000"/>
          <w:sz w:val="24"/>
          <w:szCs w:val="24"/>
        </w:rPr>
        <w:t>在响应文件内)。</w:t>
      </w:r>
    </w:p>
    <w:sectPr>
      <w:pgSz w:w="11906" w:h="16838"/>
      <w:pgMar w:top="107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000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50"/>
      </w:rPr>
    </w:pPr>
    <w:r>
      <w:fldChar w:fldCharType="begin"/>
    </w:r>
    <w:r>
      <w:rPr>
        <w:rStyle w:val="50"/>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18"/>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0" distR="0" simplePos="0" relativeHeight="251659264" behindDoc="0" locked="0" layoutInCell="1" allowOverlap="1">
              <wp:simplePos x="0" y="0"/>
              <wp:positionH relativeFrom="margin">
                <wp:posOffset>5704840</wp:posOffset>
              </wp:positionH>
              <wp:positionV relativeFrom="paragraph">
                <wp:posOffset>-63500</wp:posOffset>
              </wp:positionV>
              <wp:extent cx="1828800" cy="1828800"/>
              <wp:effectExtent l="0" t="0" r="0" b="0"/>
              <wp:wrapNone/>
              <wp:docPr id="4099"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5" o:spid="_x0000_s1026" o:spt="1" style="position:absolute;left:0pt;margin-left:449.2pt;margin-top:-5pt;height:144pt;width:144pt;mso-position-horizontal-relative:margin;mso-wrap-style:none;z-index:251659264;mso-width-relative:page;mso-height-relative:page;" filled="f" stroked="f" coordsize="21600,21600" o:gfxdata="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WSQdLXAAAADAEAAA8AAAAAAAAAAQAgAAAA&#10;IgAAAGRycy9kb3ducmV2LnhtbFBLAQIUABQAAAAIAIdO4kARtdOo0wEAAJ4DAAAOAAAAAAAAAAEA&#10;IAAAACYBAABkcnMvZTJvRG9jLnhtbFBLBQYAAAAABgAGAFkBAABrBQ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918"/>
      </w:tabs>
    </w:pPr>
    <w:r>
      <w:rPr>
        <w:sz w:val="21"/>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vcJbQAQAAng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XZZkihOW3vzy88fl15/L&#10;7+/sJjnUB6zo4EO4hylDCpPcoQWbviSEDdnV89VVNUQmaXO5Xq3XCVtSbU4Ip3i8HgDje+UtS0HN&#10;gZ4tuylOHzGOR+cjqZtxaXX+ThszVtNOkWiOxFIUh/0wsd375kwqaegJvPPwjbOenrzmjiacM/PB&#10;kaNpOuYA5mA/B8JJuljzyNkxgD50eZISDQzvjpGoZJ6p8dht4kPPlpVOI5bm4mmeTz3+Vt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N8vcJbQAQAAngMAAA4AAAAAAAAAAQAgAAAAHwEAAGRy&#10;cy9lMm9Eb2MueG1sUEsFBgAAAAAGAAYAWQEAAGEFAAAAAA==&#10;">
              <v:fill on="f" focussize="0,0"/>
              <v:stroke on="f"/>
              <v:imagedata o:title=""/>
              <o:lock v:ext="edit" aspectratio="f"/>
              <v:textbox inset="0mm,0mm,0mm,0mm" style="mso-fit-shape-to-text:t;">
                <w:txbxContent>
                  <w:p>
                    <w:pPr>
                      <w:pStyle w:val="2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rect>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pPr>
    <w:r>
      <w:rPr>
        <w:rFonts w:hint="eastAsia" w:cs="宋体"/>
        <w:b/>
        <w:bCs/>
        <w:i/>
        <w:iCs/>
        <w:color w:val="3366FF"/>
        <w:sz w:val="21"/>
        <w:szCs w:val="21"/>
      </w:rPr>
      <w:drawing>
        <wp:inline distT="0" distB="0" distL="0" distR="0">
          <wp:extent cx="1181100" cy="295275"/>
          <wp:effectExtent l="0" t="0" r="0" b="9525"/>
          <wp:docPr id="4097" name="图片 1" descr="微信图片_20210223145937"/>
          <wp:cNvGraphicFramePr/>
          <a:graphic xmlns:a="http://schemas.openxmlformats.org/drawingml/2006/main">
            <a:graphicData uri="http://schemas.openxmlformats.org/drawingml/2006/picture">
              <pic:pic xmlns:pic="http://schemas.openxmlformats.org/drawingml/2006/picture">
                <pic:nvPicPr>
                  <pic:cNvPr id="4097" name="图片 1" descr="微信图片_20210223145937"/>
                  <pic:cNvPicPr/>
                </pic:nvPicPr>
                <pic:blipFill>
                  <a:blip r:embed="rId1" cstate="print"/>
                  <a:srcRect/>
                  <a:stretch>
                    <a:fillRect/>
                  </a:stretch>
                </pic:blipFill>
                <pic:spPr>
                  <a:xfrm>
                    <a:off x="0" y="0"/>
                    <a:ext cx="1181100" cy="295275"/>
                  </a:xfrm>
                  <a:prstGeom prst="rect">
                    <a:avLst/>
                  </a:prstGeom>
                </pic:spPr>
              </pic:pic>
            </a:graphicData>
          </a:graphic>
        </wp:inline>
      </w:drawing>
    </w:r>
    <w:r>
      <w:rPr>
        <w:rFonts w:hint="eastAsia" w:cs="宋体"/>
        <w:b/>
        <w:bCs/>
        <w:i w:val="0"/>
        <w:iCs w:val="0"/>
        <w:color w:val="3366FF"/>
        <w:sz w:val="21"/>
        <w:szCs w:val="21"/>
      </w:rPr>
      <w:t>科学公正、守法诚信、优质高效、务实创新、为顾客提供满意的服务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pPr>
    <w:r>
      <w:rPr>
        <w:rFonts w:hint="eastAsia" w:cs="宋体"/>
        <w:b/>
        <w:bCs/>
        <w:i/>
        <w:iCs/>
        <w:color w:val="3366FF"/>
        <w:sz w:val="21"/>
        <w:szCs w:val="21"/>
      </w:rPr>
      <w:drawing>
        <wp:inline distT="0" distB="0" distL="0" distR="0">
          <wp:extent cx="1181100" cy="295275"/>
          <wp:effectExtent l="0" t="0" r="0" b="9525"/>
          <wp:docPr id="4098" name="图片 104" descr="微信图片_20210223145937"/>
          <wp:cNvGraphicFramePr/>
          <a:graphic xmlns:a="http://schemas.openxmlformats.org/drawingml/2006/main">
            <a:graphicData uri="http://schemas.openxmlformats.org/drawingml/2006/picture">
              <pic:pic xmlns:pic="http://schemas.openxmlformats.org/drawingml/2006/picture">
                <pic:nvPicPr>
                  <pic:cNvPr id="4098" name="图片 104" descr="微信图片_20210223145937"/>
                  <pic:cNvPicPr/>
                </pic:nvPicPr>
                <pic:blipFill>
                  <a:blip r:embed="rId1" cstate="print"/>
                  <a:srcRect/>
                  <a:stretch>
                    <a:fillRect/>
                  </a:stretch>
                </pic:blipFill>
                <pic:spPr>
                  <a:xfrm>
                    <a:off x="0" y="0"/>
                    <a:ext cx="1181100" cy="295275"/>
                  </a:xfrm>
                  <a:prstGeom prst="rect">
                    <a:avLst/>
                  </a:prstGeom>
                </pic:spPr>
              </pic:pic>
            </a:graphicData>
          </a:graphic>
        </wp:inline>
      </w:drawing>
    </w:r>
    <w:r>
      <w:rPr>
        <w:rFonts w:hint="eastAsia" w:cs="宋体"/>
        <w:b/>
        <w:bCs/>
        <w:i w:val="0"/>
        <w:iCs w:val="0"/>
        <w:color w:val="3366FF"/>
        <w:sz w:val="21"/>
        <w:szCs w:val="21"/>
      </w:rPr>
      <w:t>科学公正、守法诚信、优质高效、务实创新、为顾客提供满意的服务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rPr>
        <w:rFonts w:hint="eastAsia" w:eastAsia="宋体"/>
        <w:lang w:eastAsia="zh-CN"/>
      </w:rPr>
    </w:pPr>
    <w:r>
      <w:rPr>
        <w:rFonts w:hint="eastAsia"/>
        <w:lang w:eastAsia="zh-CN"/>
      </w:rPr>
      <w:tab/>
    </w:r>
    <w:r>
      <w:rPr>
        <w:rFonts w:hint="eastAsia" w:cs="宋体"/>
        <w:b/>
        <w:bCs/>
        <w:i/>
        <w:iCs/>
        <w:color w:val="3366FF"/>
        <w:sz w:val="21"/>
        <w:szCs w:val="21"/>
      </w:rPr>
      <w:drawing>
        <wp:inline distT="0" distB="0" distL="0" distR="0">
          <wp:extent cx="1181100" cy="295275"/>
          <wp:effectExtent l="0" t="0" r="0" b="9525"/>
          <wp:docPr id="4101" name="图片 7" descr="微信图片_20210223145937"/>
          <wp:cNvGraphicFramePr/>
          <a:graphic xmlns:a="http://schemas.openxmlformats.org/drawingml/2006/main">
            <a:graphicData uri="http://schemas.openxmlformats.org/drawingml/2006/picture">
              <pic:pic xmlns:pic="http://schemas.openxmlformats.org/drawingml/2006/picture">
                <pic:nvPicPr>
                  <pic:cNvPr id="4101" name="图片 7" descr="微信图片_20210223145937"/>
                  <pic:cNvPicPr/>
                </pic:nvPicPr>
                <pic:blipFill>
                  <a:blip r:embed="rId1" cstate="print"/>
                  <a:srcRect/>
                  <a:stretch>
                    <a:fillRect/>
                  </a:stretch>
                </pic:blipFill>
                <pic:spPr>
                  <a:xfrm>
                    <a:off x="0" y="0"/>
                    <a:ext cx="1181100" cy="295275"/>
                  </a:xfrm>
                  <a:prstGeom prst="rect">
                    <a:avLst/>
                  </a:prstGeom>
                </pic:spPr>
              </pic:pic>
            </a:graphicData>
          </a:graphic>
        </wp:inline>
      </w:drawing>
    </w:r>
    <w:r>
      <w:rPr>
        <w:rFonts w:hint="eastAsia" w:cs="宋体"/>
        <w:b/>
        <w:bCs/>
        <w:i w:val="0"/>
        <w:iCs w:val="0"/>
        <w:color w:val="3366FF"/>
        <w:sz w:val="21"/>
        <w:szCs w:val="21"/>
      </w:rPr>
      <w:t>科学公正、守法诚信、优质高效、务实创新、为顾客提供满意的服务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single" w:color="auto" w:sz="4" w:space="1"/>
      </w:pBdr>
    </w:pPr>
    <w:r>
      <w:rPr>
        <w:rFonts w:hint="eastAsia"/>
        <w:lang w:eastAsia="zh-CN"/>
      </w:rPr>
      <w:tab/>
    </w:r>
    <w:r>
      <w:rPr>
        <w:rFonts w:hint="eastAsia" w:cs="宋体"/>
        <w:b/>
        <w:bCs/>
        <w:i/>
        <w:iCs/>
        <w:color w:val="3366FF"/>
        <w:sz w:val="21"/>
        <w:szCs w:val="21"/>
      </w:rPr>
      <w:drawing>
        <wp:inline distT="0" distB="0" distL="0" distR="0">
          <wp:extent cx="1181100" cy="295275"/>
          <wp:effectExtent l="0" t="0" r="0" b="9525"/>
          <wp:docPr id="4102" name="图片 8" descr="微信图片_20210223145937"/>
          <wp:cNvGraphicFramePr/>
          <a:graphic xmlns:a="http://schemas.openxmlformats.org/drawingml/2006/main">
            <a:graphicData uri="http://schemas.openxmlformats.org/drawingml/2006/picture">
              <pic:pic xmlns:pic="http://schemas.openxmlformats.org/drawingml/2006/picture">
                <pic:nvPicPr>
                  <pic:cNvPr id="4102" name="图片 8" descr="微信图片_20210223145937"/>
                  <pic:cNvPicPr/>
                </pic:nvPicPr>
                <pic:blipFill>
                  <a:blip r:embed="rId1" cstate="print"/>
                  <a:srcRect/>
                  <a:stretch>
                    <a:fillRect/>
                  </a:stretch>
                </pic:blipFill>
                <pic:spPr>
                  <a:xfrm>
                    <a:off x="0" y="0"/>
                    <a:ext cx="1181100" cy="295275"/>
                  </a:xfrm>
                  <a:prstGeom prst="rect">
                    <a:avLst/>
                  </a:prstGeom>
                </pic:spPr>
              </pic:pic>
            </a:graphicData>
          </a:graphic>
        </wp:inline>
      </w:drawing>
    </w:r>
    <w:r>
      <w:rPr>
        <w:rFonts w:hint="eastAsia" w:cs="宋体"/>
        <w:b/>
        <w:bCs/>
        <w:i w:val="0"/>
        <w:iCs w:val="0"/>
        <w:color w:val="3366FF"/>
        <w:sz w:val="21"/>
        <w:szCs w:val="21"/>
      </w:rPr>
      <w:t>科学公正、守法诚信、优质高效、务实创新、为顾客提供满意的服务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abstractNum w:abstractNumId="1">
    <w:nsid w:val="00000001"/>
    <w:multiLevelType w:val="singleLevel"/>
    <w:tmpl w:val="00000001"/>
    <w:lvl w:ilvl="0" w:tentative="0">
      <w:start w:val="3"/>
      <w:numFmt w:val="chineseCounting"/>
      <w:suff w:val="space"/>
      <w:lvlText w:val="第%1章"/>
      <w:lvlJc w:val="left"/>
      <w:rPr>
        <w:rFonts w:hint="eastAsia"/>
      </w:rPr>
    </w:lvl>
  </w:abstractNum>
  <w:abstractNum w:abstractNumId="2">
    <w:nsid w:val="00000002"/>
    <w:multiLevelType w:val="multilevel"/>
    <w:tmpl w:val="00000002"/>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03"/>
    <w:multiLevelType w:val="multilevel"/>
    <w:tmpl w:val="0000000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A0DCB"/>
    <w:rsid w:val="027B3615"/>
    <w:rsid w:val="033D31D6"/>
    <w:rsid w:val="04A07A9A"/>
    <w:rsid w:val="08A731E2"/>
    <w:rsid w:val="0D6D409A"/>
    <w:rsid w:val="0E625511"/>
    <w:rsid w:val="140A1259"/>
    <w:rsid w:val="16A37DFE"/>
    <w:rsid w:val="1E1735E5"/>
    <w:rsid w:val="1E657105"/>
    <w:rsid w:val="202945DB"/>
    <w:rsid w:val="22B47301"/>
    <w:rsid w:val="283F6DF9"/>
    <w:rsid w:val="29186952"/>
    <w:rsid w:val="2A0C1A02"/>
    <w:rsid w:val="2B53035C"/>
    <w:rsid w:val="2C8B27EC"/>
    <w:rsid w:val="31686503"/>
    <w:rsid w:val="32D32503"/>
    <w:rsid w:val="33A26DD6"/>
    <w:rsid w:val="33EF6F08"/>
    <w:rsid w:val="33F500BB"/>
    <w:rsid w:val="3B041C92"/>
    <w:rsid w:val="3C752C36"/>
    <w:rsid w:val="3EAF2420"/>
    <w:rsid w:val="434B2D7D"/>
    <w:rsid w:val="440419E0"/>
    <w:rsid w:val="445323EB"/>
    <w:rsid w:val="44E93175"/>
    <w:rsid w:val="46D00252"/>
    <w:rsid w:val="4AE444B4"/>
    <w:rsid w:val="4C000B54"/>
    <w:rsid w:val="4D2C1312"/>
    <w:rsid w:val="4FF91277"/>
    <w:rsid w:val="50AE7927"/>
    <w:rsid w:val="51F80CA9"/>
    <w:rsid w:val="56C05D91"/>
    <w:rsid w:val="5E6442A1"/>
    <w:rsid w:val="5E9F25C9"/>
    <w:rsid w:val="5EB9006B"/>
    <w:rsid w:val="5FB80AFF"/>
    <w:rsid w:val="60B25F0A"/>
    <w:rsid w:val="622863DF"/>
    <w:rsid w:val="63DC088F"/>
    <w:rsid w:val="648510B1"/>
    <w:rsid w:val="655E771B"/>
    <w:rsid w:val="65846125"/>
    <w:rsid w:val="696500E2"/>
    <w:rsid w:val="6D496B6B"/>
    <w:rsid w:val="6E7215D4"/>
    <w:rsid w:val="73CE60F0"/>
    <w:rsid w:val="743B5951"/>
    <w:rsid w:val="77B56F05"/>
    <w:rsid w:val="7BAC4D76"/>
    <w:rsid w:val="7C34082A"/>
    <w:rsid w:val="7C79031A"/>
    <w:rsid w:val="7EAC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tabs>
        <w:tab w:val="left" w:pos="360"/>
      </w:tabs>
      <w:ind w:left="360" w:hanging="360"/>
      <w:outlineLvl w:val="0"/>
    </w:pPr>
    <w:rPr>
      <w:b/>
    </w:rPr>
  </w:style>
  <w:style w:type="paragraph" w:styleId="4">
    <w:name w:val="heading 2"/>
    <w:basedOn w:val="1"/>
    <w:next w:val="1"/>
    <w:link w:val="56"/>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link w:val="57"/>
    <w:qFormat/>
    <w:uiPriority w:val="0"/>
    <w:pPr>
      <w:outlineLvl w:val="2"/>
    </w:pPr>
    <w:rPr>
      <w:bCs/>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9"/>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60"/>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61"/>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62"/>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63"/>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48">
    <w:name w:val="Default Paragraph Font"/>
    <w:qFormat/>
    <w:uiPriority w:val="1"/>
  </w:style>
  <w:style w:type="table" w:default="1" w:styleId="39">
    <w:name w:val="Normal Table"/>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12">
    <w:name w:val="table of authorities"/>
    <w:basedOn w:val="1"/>
    <w:next w:val="1"/>
    <w:qFormat/>
    <w:uiPriority w:val="99"/>
    <w:pPr>
      <w:ind w:left="420" w:leftChars="200"/>
    </w:pPr>
  </w:style>
  <w:style w:type="paragraph" w:styleId="13">
    <w:name w:val="Normal Indent"/>
    <w:basedOn w:val="1"/>
    <w:next w:val="1"/>
    <w:link w:val="88"/>
    <w:qFormat/>
    <w:uiPriority w:val="99"/>
    <w:pPr>
      <w:ind w:firstLine="420" w:firstLineChars="200"/>
    </w:pPr>
    <w:rPr>
      <w:rFonts w:ascii="Calibri" w:hAnsi="Calibri" w:eastAsia="宋体" w:cs="宋体"/>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101"/>
    <w:qFormat/>
    <w:uiPriority w:val="0"/>
    <w:pPr>
      <w:shd w:val="clear" w:color="auto" w:fill="000080"/>
    </w:pPr>
    <w:rPr>
      <w:rFonts w:ascii="Calibri" w:hAnsi="Calibri" w:eastAsia="宋体" w:cs="宋体"/>
      <w:szCs w:val="22"/>
    </w:rPr>
  </w:style>
  <w:style w:type="paragraph" w:styleId="16">
    <w:name w:val="annotation text"/>
    <w:basedOn w:val="1"/>
    <w:link w:val="129"/>
    <w:qFormat/>
    <w:uiPriority w:val="99"/>
    <w:pPr>
      <w:jc w:val="left"/>
    </w:pPr>
  </w:style>
  <w:style w:type="paragraph" w:styleId="17">
    <w:name w:val="Salutation"/>
    <w:basedOn w:val="1"/>
    <w:next w:val="1"/>
    <w:link w:val="65"/>
    <w:qFormat/>
    <w:uiPriority w:val="0"/>
    <w:rPr>
      <w:rFonts w:ascii="宋体"/>
      <w:b/>
      <w:sz w:val="28"/>
    </w:rPr>
  </w:style>
  <w:style w:type="paragraph" w:styleId="18">
    <w:name w:val="Body Text"/>
    <w:basedOn w:val="1"/>
    <w:next w:val="1"/>
    <w:link w:val="105"/>
    <w:qFormat/>
    <w:uiPriority w:val="0"/>
    <w:rPr>
      <w:rFonts w:ascii="Arial" w:hAnsi="Arial" w:eastAsia="宋体" w:cs="Arial"/>
      <w:sz w:val="24"/>
      <w:szCs w:val="22"/>
    </w:rPr>
  </w:style>
  <w:style w:type="paragraph" w:styleId="19">
    <w:name w:val="Body Text Indent"/>
    <w:basedOn w:val="1"/>
    <w:next w:val="20"/>
    <w:link w:val="67"/>
    <w:qFormat/>
    <w:uiPriority w:val="0"/>
    <w:pPr>
      <w:ind w:firstLine="480"/>
    </w:pPr>
    <w:rPr>
      <w:rFonts w:ascii="宋体" w:hAnsi="宋体"/>
      <w:sz w:val="24"/>
    </w:rPr>
  </w:style>
  <w:style w:type="paragraph" w:customStyle="1" w:styleId="20">
    <w:name w:val="_Style 3"/>
    <w:next w:val="1"/>
    <w:qFormat/>
    <w:uiPriority w:val="0"/>
    <w:pPr>
      <w:wordWrap w:val="0"/>
    </w:pPr>
    <w:rPr>
      <w:rFonts w:ascii="Times New Roman" w:hAnsi="Times New Roman" w:eastAsia="宋体" w:cs="Times New Roman"/>
      <w:sz w:val="32"/>
      <w:lang w:val="en-US" w:eastAsia="zh-CN" w:bidi="ar-SA"/>
    </w:rPr>
  </w:style>
  <w:style w:type="paragraph" w:styleId="21">
    <w:name w:val="Block Text"/>
    <w:basedOn w:val="1"/>
    <w:unhideWhenUsed/>
    <w:qFormat/>
    <w:uiPriority w:val="99"/>
    <w:pPr>
      <w:spacing w:after="120"/>
      <w:ind w:left="1440" w:leftChars="700" w:right="1440" w:rightChars="700"/>
    </w:pPr>
  </w:style>
  <w:style w:type="paragraph" w:styleId="22">
    <w:name w:val="toc 3"/>
    <w:basedOn w:val="1"/>
    <w:next w:val="1"/>
    <w:qFormat/>
    <w:uiPriority w:val="39"/>
    <w:pPr>
      <w:ind w:left="840" w:leftChars="400"/>
    </w:pPr>
  </w:style>
  <w:style w:type="paragraph" w:styleId="23">
    <w:name w:val="Plain Text"/>
    <w:basedOn w:val="1"/>
    <w:link w:val="107"/>
    <w:qFormat/>
    <w:uiPriority w:val="0"/>
    <w:rPr>
      <w:rFonts w:ascii="宋体" w:hAnsi="Courier New" w:cs="宋体"/>
      <w:szCs w:val="22"/>
    </w:rPr>
  </w:style>
  <w:style w:type="paragraph" w:styleId="24">
    <w:name w:val="Date"/>
    <w:basedOn w:val="1"/>
    <w:next w:val="1"/>
    <w:link w:val="69"/>
    <w:qFormat/>
    <w:uiPriority w:val="0"/>
    <w:pPr>
      <w:ind w:left="100"/>
    </w:pPr>
    <w:rPr>
      <w:sz w:val="24"/>
    </w:rPr>
  </w:style>
  <w:style w:type="paragraph" w:styleId="25">
    <w:name w:val="Body Text Indent 2"/>
    <w:basedOn w:val="1"/>
    <w:link w:val="100"/>
    <w:qFormat/>
    <w:uiPriority w:val="0"/>
    <w:pPr>
      <w:ind w:firstLine="435"/>
    </w:pPr>
    <w:rPr>
      <w:rFonts w:ascii="宋体" w:hAnsi="宋体" w:eastAsia="宋体" w:cs="宋体"/>
      <w:sz w:val="24"/>
      <w:szCs w:val="22"/>
    </w:rPr>
  </w:style>
  <w:style w:type="paragraph" w:styleId="26">
    <w:name w:val="Balloon Text"/>
    <w:basedOn w:val="1"/>
    <w:link w:val="71"/>
    <w:qFormat/>
    <w:uiPriority w:val="0"/>
    <w:rPr>
      <w:sz w:val="18"/>
      <w:szCs w:val="18"/>
    </w:rPr>
  </w:style>
  <w:style w:type="paragraph" w:styleId="27">
    <w:name w:val="footer"/>
    <w:basedOn w:val="1"/>
    <w:link w:val="72"/>
    <w:qFormat/>
    <w:uiPriority w:val="99"/>
    <w:pPr>
      <w:tabs>
        <w:tab w:val="center" w:pos="4153"/>
        <w:tab w:val="right" w:pos="8306"/>
      </w:tabs>
      <w:snapToGrid w:val="0"/>
      <w:jc w:val="left"/>
    </w:pPr>
    <w:rPr>
      <w:sz w:val="18"/>
      <w:szCs w:val="18"/>
    </w:rPr>
  </w:style>
  <w:style w:type="paragraph" w:styleId="28">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footnote text"/>
    <w:basedOn w:val="1"/>
    <w:qFormat/>
    <w:uiPriority w:val="0"/>
    <w:pPr>
      <w:snapToGrid w:val="0"/>
      <w:jc w:val="left"/>
    </w:pPr>
    <w:rPr>
      <w:sz w:val="18"/>
    </w:rPr>
  </w:style>
  <w:style w:type="paragraph" w:styleId="31">
    <w:name w:val="Body Text Indent 3"/>
    <w:basedOn w:val="1"/>
    <w:link w:val="74"/>
    <w:qFormat/>
    <w:uiPriority w:val="0"/>
    <w:pPr>
      <w:ind w:left="471" w:hanging="471" w:hangingChars="200"/>
    </w:pPr>
    <w:rPr>
      <w:rFonts w:ascii="Arial" w:hAnsi="Arial" w:cs="Arial"/>
      <w:b/>
      <w:bCs/>
      <w:sz w:val="24"/>
    </w:rPr>
  </w:style>
  <w:style w:type="paragraph" w:styleId="32">
    <w:name w:val="toc 2"/>
    <w:basedOn w:val="1"/>
    <w:next w:val="1"/>
    <w:qFormat/>
    <w:uiPriority w:val="39"/>
    <w:pPr>
      <w:ind w:left="420" w:leftChars="200"/>
    </w:pPr>
  </w:style>
  <w:style w:type="paragraph" w:styleId="33">
    <w:name w:val="Body Text 2"/>
    <w:basedOn w:val="1"/>
    <w:link w:val="75"/>
    <w:qFormat/>
    <w:uiPriority w:val="0"/>
    <w:pPr>
      <w:spacing w:line="360" w:lineRule="auto"/>
    </w:pPr>
    <w:rPr>
      <w:b/>
      <w:sz w:val="28"/>
      <w:szCs w:val="21"/>
    </w:rPr>
  </w:style>
  <w:style w:type="paragraph" w:styleId="34">
    <w:name w:val="HTML Preformatted"/>
    <w:basedOn w:val="1"/>
    <w:qFormat/>
    <w:uiPriority w:val="0"/>
    <w:rPr>
      <w:rFonts w:ascii="Courier New" w:hAnsi="Courier New"/>
      <w:sz w:val="20"/>
    </w:rPr>
  </w:style>
  <w:style w:type="paragraph" w:styleId="35">
    <w:name w:val="Normal (Web)"/>
    <w:basedOn w:val="1"/>
    <w:link w:val="117"/>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6">
    <w:name w:val="annotation subject"/>
    <w:basedOn w:val="16"/>
    <w:next w:val="16"/>
    <w:link w:val="130"/>
    <w:qFormat/>
    <w:uiPriority w:val="99"/>
    <w:rPr>
      <w:b/>
      <w:bCs/>
    </w:rPr>
  </w:style>
  <w:style w:type="paragraph" w:styleId="37">
    <w:name w:val="Body Text First Indent"/>
    <w:basedOn w:val="18"/>
    <w:link w:val="112"/>
    <w:qFormat/>
    <w:uiPriority w:val="0"/>
    <w:pPr>
      <w:spacing w:after="120"/>
      <w:ind w:firstLine="420" w:firstLineChars="100"/>
    </w:pPr>
  </w:style>
  <w:style w:type="paragraph" w:styleId="38">
    <w:name w:val="Body Text First Indent 2"/>
    <w:basedOn w:val="19"/>
    <w:qFormat/>
    <w:uiPriority w:val="99"/>
    <w:pPr>
      <w:ind w:firstLine="420"/>
    </w:pPr>
    <w:rPr>
      <w:rFonts w:ascii="Arial" w:hAnsi="Arial" w:eastAsia="仿宋_GB2312"/>
      <w:sz w:val="28"/>
    </w:rPr>
  </w:style>
  <w:style w:type="table" w:styleId="40">
    <w:name w:val="Table Grid"/>
    <w:basedOn w:val="39"/>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
    <w:name w:val="Medium Grid 3"/>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42">
    <w:name w:val="Medium Grid 3 Accent 1"/>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43">
    <w:name w:val="Medium Grid 3 Accent 2"/>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44">
    <w:name w:val="Medium Grid 3 Accent 3"/>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45">
    <w:name w:val="Medium Grid 3 Accent 4"/>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46">
    <w:name w:val="Medium Grid 3 Accent 5"/>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47">
    <w:name w:val="Medium Grid 3 Accent 6"/>
    <w:basedOn w:val="39"/>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49">
    <w:name w:val="Strong"/>
    <w:basedOn w:val="48"/>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basedOn w:val="48"/>
    <w:qFormat/>
    <w:uiPriority w:val="99"/>
    <w:rPr>
      <w:color w:val="0000FF"/>
      <w:u w:val="single"/>
    </w:rPr>
  </w:style>
  <w:style w:type="character" w:styleId="54">
    <w:name w:val="annotation reference"/>
    <w:basedOn w:val="48"/>
    <w:qFormat/>
    <w:uiPriority w:val="99"/>
    <w:rPr>
      <w:sz w:val="21"/>
      <w:szCs w:val="21"/>
    </w:rPr>
  </w:style>
  <w:style w:type="character" w:customStyle="1" w:styleId="55">
    <w:name w:val="标题 1 字符"/>
    <w:basedOn w:val="48"/>
    <w:link w:val="3"/>
    <w:qFormat/>
    <w:uiPriority w:val="0"/>
    <w:rPr>
      <w:rFonts w:ascii="Times New Roman" w:hAnsi="Times New Roman" w:eastAsia="宋体" w:cs="Times New Roman"/>
      <w:b/>
      <w:szCs w:val="20"/>
    </w:rPr>
  </w:style>
  <w:style w:type="character" w:customStyle="1" w:styleId="56">
    <w:name w:val="标题 2 字符"/>
    <w:basedOn w:val="48"/>
    <w:link w:val="4"/>
    <w:qFormat/>
    <w:uiPriority w:val="0"/>
    <w:rPr>
      <w:rFonts w:ascii="Arial" w:hAnsi="Arial" w:eastAsia="黑体" w:cs="Times New Roman"/>
      <w:b/>
      <w:sz w:val="32"/>
      <w:szCs w:val="20"/>
    </w:rPr>
  </w:style>
  <w:style w:type="character" w:customStyle="1" w:styleId="57">
    <w:name w:val="标题 3 字符"/>
    <w:basedOn w:val="48"/>
    <w:link w:val="5"/>
    <w:qFormat/>
    <w:uiPriority w:val="0"/>
    <w:rPr>
      <w:rFonts w:ascii="Times New Roman" w:hAnsi="Times New Roman" w:eastAsia="宋体" w:cs="Times New Roman"/>
      <w:b/>
      <w:bCs/>
      <w:sz w:val="32"/>
      <w:szCs w:val="32"/>
    </w:rPr>
  </w:style>
  <w:style w:type="character" w:customStyle="1" w:styleId="58">
    <w:name w:val="标题 4 字符"/>
    <w:basedOn w:val="48"/>
    <w:link w:val="6"/>
    <w:qFormat/>
    <w:uiPriority w:val="0"/>
    <w:rPr>
      <w:rFonts w:ascii="Arial" w:hAnsi="Arial" w:eastAsia="黑体" w:cs="Times New Roman"/>
      <w:b/>
      <w:bCs/>
      <w:sz w:val="28"/>
      <w:szCs w:val="28"/>
    </w:rPr>
  </w:style>
  <w:style w:type="character" w:customStyle="1" w:styleId="59">
    <w:name w:val="标题 5 字符"/>
    <w:basedOn w:val="48"/>
    <w:link w:val="7"/>
    <w:qFormat/>
    <w:uiPriority w:val="0"/>
    <w:rPr>
      <w:rFonts w:ascii="Times New Roman" w:hAnsi="Times New Roman" w:eastAsia="宋体" w:cs="Times New Roman"/>
      <w:b/>
      <w:sz w:val="28"/>
      <w:szCs w:val="20"/>
    </w:rPr>
  </w:style>
  <w:style w:type="character" w:customStyle="1" w:styleId="60">
    <w:name w:val="标题 6 字符"/>
    <w:basedOn w:val="48"/>
    <w:link w:val="8"/>
    <w:qFormat/>
    <w:uiPriority w:val="0"/>
    <w:rPr>
      <w:rFonts w:ascii="Arial" w:hAnsi="Arial" w:eastAsia="黑体" w:cs="Times New Roman"/>
      <w:b/>
      <w:sz w:val="24"/>
      <w:szCs w:val="20"/>
    </w:rPr>
  </w:style>
  <w:style w:type="character" w:customStyle="1" w:styleId="61">
    <w:name w:val="标题 7 字符"/>
    <w:basedOn w:val="48"/>
    <w:link w:val="9"/>
    <w:qFormat/>
    <w:uiPriority w:val="0"/>
    <w:rPr>
      <w:rFonts w:ascii="Times New Roman" w:hAnsi="Times New Roman" w:eastAsia="宋体" w:cs="Times New Roman"/>
      <w:b/>
      <w:sz w:val="24"/>
      <w:szCs w:val="20"/>
    </w:rPr>
  </w:style>
  <w:style w:type="character" w:customStyle="1" w:styleId="62">
    <w:name w:val="标题 8 字符"/>
    <w:basedOn w:val="48"/>
    <w:link w:val="10"/>
    <w:qFormat/>
    <w:uiPriority w:val="0"/>
    <w:rPr>
      <w:rFonts w:ascii="Arial" w:hAnsi="Arial" w:eastAsia="黑体" w:cs="Times New Roman"/>
      <w:sz w:val="24"/>
      <w:szCs w:val="20"/>
    </w:rPr>
  </w:style>
  <w:style w:type="character" w:customStyle="1" w:styleId="63">
    <w:name w:val="标题 9 字符"/>
    <w:basedOn w:val="48"/>
    <w:link w:val="11"/>
    <w:qFormat/>
    <w:uiPriority w:val="0"/>
    <w:rPr>
      <w:rFonts w:ascii="Arial" w:hAnsi="Arial" w:eastAsia="黑体" w:cs="Times New Roman"/>
      <w:szCs w:val="20"/>
    </w:rPr>
  </w:style>
  <w:style w:type="character" w:customStyle="1" w:styleId="64">
    <w:name w:val="文档结构图 Char"/>
    <w:basedOn w:val="48"/>
    <w:qFormat/>
    <w:uiPriority w:val="0"/>
    <w:rPr>
      <w:rFonts w:ascii="宋体" w:hAnsi="Times New Roman" w:eastAsia="宋体" w:cs="Times New Roman"/>
      <w:sz w:val="18"/>
      <w:szCs w:val="18"/>
    </w:rPr>
  </w:style>
  <w:style w:type="character" w:customStyle="1" w:styleId="65">
    <w:name w:val="称呼 字符"/>
    <w:basedOn w:val="48"/>
    <w:link w:val="17"/>
    <w:qFormat/>
    <w:uiPriority w:val="0"/>
    <w:rPr>
      <w:rFonts w:ascii="宋体" w:hAnsi="Times New Roman" w:eastAsia="宋体" w:cs="Times New Roman"/>
      <w:b/>
      <w:sz w:val="28"/>
      <w:szCs w:val="20"/>
    </w:rPr>
  </w:style>
  <w:style w:type="character" w:customStyle="1" w:styleId="66">
    <w:name w:val="正文文本 Char"/>
    <w:basedOn w:val="48"/>
    <w:qFormat/>
    <w:uiPriority w:val="0"/>
    <w:rPr>
      <w:rFonts w:ascii="Times New Roman" w:hAnsi="Times New Roman" w:eastAsia="宋体" w:cs="Times New Roman"/>
      <w:szCs w:val="20"/>
    </w:rPr>
  </w:style>
  <w:style w:type="character" w:customStyle="1" w:styleId="67">
    <w:name w:val="正文文本缩进 字符"/>
    <w:basedOn w:val="48"/>
    <w:link w:val="19"/>
    <w:qFormat/>
    <w:uiPriority w:val="0"/>
    <w:rPr>
      <w:rFonts w:ascii="宋体" w:hAnsi="宋体" w:eastAsia="宋体" w:cs="Times New Roman"/>
      <w:sz w:val="24"/>
      <w:szCs w:val="20"/>
    </w:rPr>
  </w:style>
  <w:style w:type="character" w:customStyle="1" w:styleId="68">
    <w:name w:val="纯文本 Char"/>
    <w:basedOn w:val="48"/>
    <w:qFormat/>
    <w:uiPriority w:val="0"/>
    <w:rPr>
      <w:rFonts w:ascii="宋体" w:hAnsi="Courier New" w:eastAsia="宋体" w:cs="Courier New"/>
      <w:szCs w:val="21"/>
    </w:rPr>
  </w:style>
  <w:style w:type="character" w:customStyle="1" w:styleId="69">
    <w:name w:val="日期 字符"/>
    <w:basedOn w:val="48"/>
    <w:link w:val="24"/>
    <w:qFormat/>
    <w:uiPriority w:val="0"/>
    <w:rPr>
      <w:rFonts w:ascii="Times New Roman" w:hAnsi="Times New Roman" w:eastAsia="宋体" w:cs="Times New Roman"/>
      <w:sz w:val="24"/>
      <w:szCs w:val="20"/>
    </w:rPr>
  </w:style>
  <w:style w:type="character" w:customStyle="1" w:styleId="70">
    <w:name w:val="正文文本缩进 2 Char"/>
    <w:basedOn w:val="48"/>
    <w:qFormat/>
    <w:uiPriority w:val="0"/>
    <w:rPr>
      <w:rFonts w:ascii="Times New Roman" w:hAnsi="Times New Roman" w:eastAsia="宋体" w:cs="Times New Roman"/>
      <w:szCs w:val="20"/>
    </w:rPr>
  </w:style>
  <w:style w:type="character" w:customStyle="1" w:styleId="71">
    <w:name w:val="批注框文本 字符"/>
    <w:basedOn w:val="48"/>
    <w:link w:val="26"/>
    <w:qFormat/>
    <w:uiPriority w:val="0"/>
    <w:rPr>
      <w:rFonts w:ascii="Times New Roman" w:hAnsi="Times New Roman" w:eastAsia="宋体" w:cs="Times New Roman"/>
      <w:sz w:val="18"/>
      <w:szCs w:val="18"/>
    </w:rPr>
  </w:style>
  <w:style w:type="character" w:customStyle="1" w:styleId="72">
    <w:name w:val="页脚 字符"/>
    <w:basedOn w:val="48"/>
    <w:link w:val="27"/>
    <w:qFormat/>
    <w:uiPriority w:val="99"/>
    <w:rPr>
      <w:rFonts w:ascii="Times New Roman" w:hAnsi="Times New Roman" w:eastAsia="宋体" w:cs="Times New Roman"/>
      <w:sz w:val="18"/>
      <w:szCs w:val="18"/>
    </w:rPr>
  </w:style>
  <w:style w:type="character" w:customStyle="1" w:styleId="73">
    <w:name w:val="页眉 字符"/>
    <w:basedOn w:val="48"/>
    <w:link w:val="28"/>
    <w:qFormat/>
    <w:uiPriority w:val="99"/>
    <w:rPr>
      <w:rFonts w:ascii="Times New Roman" w:hAnsi="Times New Roman" w:eastAsia="宋体" w:cs="Times New Roman"/>
      <w:sz w:val="18"/>
      <w:szCs w:val="18"/>
    </w:rPr>
  </w:style>
  <w:style w:type="character" w:customStyle="1" w:styleId="74">
    <w:name w:val="正文文本缩进 3 字符"/>
    <w:basedOn w:val="48"/>
    <w:link w:val="31"/>
    <w:qFormat/>
    <w:uiPriority w:val="0"/>
    <w:rPr>
      <w:rFonts w:ascii="Arial" w:hAnsi="Arial" w:eastAsia="宋体" w:cs="Arial"/>
      <w:b/>
      <w:bCs/>
      <w:sz w:val="24"/>
      <w:szCs w:val="20"/>
    </w:rPr>
  </w:style>
  <w:style w:type="character" w:customStyle="1" w:styleId="75">
    <w:name w:val="正文文本 2 字符"/>
    <w:basedOn w:val="48"/>
    <w:link w:val="33"/>
    <w:qFormat/>
    <w:uiPriority w:val="0"/>
    <w:rPr>
      <w:rFonts w:ascii="Times New Roman" w:hAnsi="Times New Roman" w:eastAsia="宋体" w:cs="Times New Roman"/>
      <w:b/>
      <w:sz w:val="28"/>
      <w:szCs w:val="21"/>
    </w:rPr>
  </w:style>
  <w:style w:type="character" w:customStyle="1" w:styleId="76">
    <w:name w:val="正文首行缩进 Char"/>
    <w:basedOn w:val="66"/>
    <w:qFormat/>
    <w:uiPriority w:val="0"/>
    <w:rPr>
      <w:rFonts w:ascii="Times New Roman" w:hAnsi="Times New Roman" w:eastAsia="宋体" w:cs="Times New Roman"/>
      <w:szCs w:val="20"/>
    </w:rPr>
  </w:style>
  <w:style w:type="character" w:customStyle="1" w:styleId="77">
    <w:name w:val="p21"/>
    <w:qFormat/>
    <w:uiPriority w:val="0"/>
    <w:rPr>
      <w:rFonts w:hint="default" w:ascii="Arial" w:hAnsi="Arial" w:cs="Arial"/>
      <w:color w:val="333333"/>
      <w:sz w:val="18"/>
      <w:szCs w:val="18"/>
      <w:u w:val="none"/>
    </w:rPr>
  </w:style>
  <w:style w:type="character" w:customStyle="1" w:styleId="78">
    <w:name w:val="font21"/>
    <w:basedOn w:val="48"/>
    <w:qFormat/>
    <w:uiPriority w:val="0"/>
    <w:rPr>
      <w:rFonts w:hint="eastAsia" w:ascii="宋体" w:hAnsi="宋体" w:eastAsia="宋体" w:cs="宋体"/>
      <w:color w:val="000000"/>
      <w:sz w:val="22"/>
      <w:szCs w:val="22"/>
      <w:u w:val="none"/>
    </w:rPr>
  </w:style>
  <w:style w:type="character" w:customStyle="1" w:styleId="79">
    <w:name w:val="所标正文 Char Char"/>
    <w:link w:val="80"/>
    <w:qFormat/>
    <w:uiPriority w:val="0"/>
    <w:rPr>
      <w:rFonts w:ascii="仿宋_GB2312" w:hAnsi="Calibri" w:eastAsia="仿宋_GB2312"/>
      <w:sz w:val="30"/>
      <w:szCs w:val="28"/>
    </w:rPr>
  </w:style>
  <w:style w:type="paragraph" w:customStyle="1" w:styleId="80">
    <w:name w:val="所标正文"/>
    <w:basedOn w:val="1"/>
    <w:link w:val="79"/>
    <w:qFormat/>
    <w:uiPriority w:val="0"/>
    <w:pPr>
      <w:spacing w:line="360" w:lineRule="auto"/>
      <w:ind w:firstLine="200" w:firstLineChars="200"/>
    </w:pPr>
    <w:rPr>
      <w:rFonts w:ascii="仿宋_GB2312" w:hAnsi="Calibri" w:eastAsia="仿宋_GB2312" w:cs="宋体"/>
      <w:sz w:val="30"/>
      <w:szCs w:val="28"/>
    </w:rPr>
  </w:style>
  <w:style w:type="character" w:customStyle="1" w:styleId="81">
    <w:name w:val="正文文字 Char1"/>
    <w:link w:val="82"/>
    <w:qFormat/>
    <w:uiPriority w:val="0"/>
    <w:rPr>
      <w:rFonts w:ascii="宋体" w:eastAsia="宋体"/>
      <w:color w:val="000000"/>
      <w:sz w:val="28"/>
      <w:u w:color="000000"/>
    </w:rPr>
  </w:style>
  <w:style w:type="paragraph" w:customStyle="1" w:styleId="82">
    <w:name w:val="正文文字"/>
    <w:basedOn w:val="1"/>
    <w:link w:val="81"/>
    <w:qFormat/>
    <w:uiPriority w:val="0"/>
    <w:pPr>
      <w:widowControl/>
      <w:spacing w:line="2375" w:lineRule="atLeast"/>
      <w:ind w:firstLine="419"/>
      <w:textAlignment w:val="baseline"/>
    </w:pPr>
    <w:rPr>
      <w:rFonts w:ascii="宋体" w:hAnsi="Calibri" w:cs="宋体"/>
      <w:color w:val="000000"/>
      <w:sz w:val="28"/>
      <w:szCs w:val="22"/>
      <w:u w:color="000000"/>
    </w:rPr>
  </w:style>
  <w:style w:type="character" w:customStyle="1" w:styleId="83">
    <w:name w:val="marklong"/>
    <w:basedOn w:val="48"/>
    <w:qFormat/>
    <w:uiPriority w:val="0"/>
  </w:style>
  <w:style w:type="character" w:customStyle="1" w:styleId="84">
    <w:name w:val="unnamed1"/>
    <w:basedOn w:val="48"/>
    <w:qFormat/>
    <w:uiPriority w:val="0"/>
  </w:style>
  <w:style w:type="character" w:customStyle="1" w:styleId="85">
    <w:name w:val="css21"/>
    <w:qFormat/>
    <w:uiPriority w:val="0"/>
    <w:rPr>
      <w:sz w:val="18"/>
      <w:szCs w:val="18"/>
    </w:rPr>
  </w:style>
  <w:style w:type="character" w:customStyle="1" w:styleId="86">
    <w:name w:val="font01"/>
    <w:basedOn w:val="48"/>
    <w:qFormat/>
    <w:uiPriority w:val="0"/>
    <w:rPr>
      <w:rFonts w:hint="eastAsia" w:ascii="宋体" w:hAnsi="宋体" w:eastAsia="宋体" w:cs="宋体"/>
      <w:color w:val="000000"/>
      <w:sz w:val="22"/>
      <w:szCs w:val="22"/>
      <w:u w:val="none"/>
    </w:rPr>
  </w:style>
  <w:style w:type="character" w:customStyle="1" w:styleId="87">
    <w:name w:val="纯文本 Char Char Char Char Char Char"/>
    <w:qFormat/>
    <w:uiPriority w:val="0"/>
    <w:rPr>
      <w:rFonts w:ascii="宋体" w:hAnsi="Courier New" w:eastAsia="宋体"/>
      <w:kern w:val="2"/>
      <w:sz w:val="21"/>
      <w:lang w:val="en-US" w:eastAsia="zh-CN" w:bidi="ar-SA"/>
    </w:rPr>
  </w:style>
  <w:style w:type="character" w:customStyle="1" w:styleId="88">
    <w:name w:val="正文缩进 字符"/>
    <w:link w:val="13"/>
    <w:qFormat/>
    <w:uiPriority w:val="99"/>
    <w:rPr>
      <w:szCs w:val="24"/>
    </w:rPr>
  </w:style>
  <w:style w:type="character" w:customStyle="1" w:styleId="89">
    <w:name w:val="样式 正文缩进 + 首行缩进:  2 字符 Char"/>
    <w:link w:val="90"/>
    <w:qFormat/>
    <w:uiPriority w:val="0"/>
    <w:rPr>
      <w:sz w:val="24"/>
    </w:rPr>
  </w:style>
  <w:style w:type="paragraph" w:customStyle="1" w:styleId="90">
    <w:name w:val="样式 正文缩进 + 首行缩进:  2 字符"/>
    <w:basedOn w:val="13"/>
    <w:link w:val="89"/>
    <w:qFormat/>
    <w:uiPriority w:val="0"/>
    <w:pPr>
      <w:spacing w:line="360" w:lineRule="auto"/>
      <w:ind w:firstLine="200"/>
    </w:pPr>
    <w:rPr>
      <w:sz w:val="24"/>
      <w:szCs w:val="22"/>
    </w:rPr>
  </w:style>
  <w:style w:type="character" w:customStyle="1" w:styleId="91">
    <w:name w:val="标准段落正文 Char"/>
    <w:link w:val="92"/>
    <w:qFormat/>
    <w:uiPriority w:val="0"/>
    <w:rPr>
      <w:rFonts w:cs="宋体"/>
      <w:sz w:val="24"/>
    </w:rPr>
  </w:style>
  <w:style w:type="paragraph" w:customStyle="1" w:styleId="92">
    <w:name w:val="标准段落正文"/>
    <w:basedOn w:val="1"/>
    <w:link w:val="91"/>
    <w:qFormat/>
    <w:uiPriority w:val="0"/>
    <w:pPr>
      <w:spacing w:line="360" w:lineRule="auto"/>
      <w:ind w:firstLine="482"/>
    </w:pPr>
    <w:rPr>
      <w:rFonts w:ascii="Calibri" w:hAnsi="Calibri" w:eastAsia="宋体" w:cs="宋体"/>
      <w:sz w:val="24"/>
      <w:szCs w:val="22"/>
    </w:rPr>
  </w:style>
  <w:style w:type="character" w:customStyle="1" w:styleId="93">
    <w:name w:val="正文文字 Char"/>
    <w:qFormat/>
    <w:uiPriority w:val="0"/>
    <w:rPr>
      <w:rFonts w:ascii="Arial" w:hAnsi="Arial" w:eastAsia="宋体" w:cs="Arial"/>
      <w:kern w:val="2"/>
      <w:sz w:val="24"/>
      <w:lang w:val="en-US" w:eastAsia="zh-CN" w:bidi="ar-SA"/>
    </w:rPr>
  </w:style>
  <w:style w:type="character" w:customStyle="1" w:styleId="94">
    <w:name w:val="书籍标题1"/>
    <w:qFormat/>
    <w:uiPriority w:val="0"/>
    <w:rPr>
      <w:b/>
      <w:bCs/>
      <w:smallCaps/>
      <w:spacing w:val="5"/>
    </w:rPr>
  </w:style>
  <w:style w:type="character" w:customStyle="1" w:styleId="95">
    <w:name w:val="con"/>
    <w:qFormat/>
    <w:uiPriority w:val="0"/>
  </w:style>
  <w:style w:type="character" w:customStyle="1" w:styleId="96">
    <w:name w:val="明显参考1"/>
    <w:qFormat/>
    <w:uiPriority w:val="0"/>
    <w:rPr>
      <w:b/>
      <w:bCs/>
      <w:smallCaps/>
      <w:color w:val="C0504D"/>
      <w:spacing w:val="5"/>
      <w:u w:val="single"/>
    </w:rPr>
  </w:style>
  <w:style w:type="character" w:customStyle="1" w:styleId="97">
    <w:name w:val="grame"/>
    <w:basedOn w:val="48"/>
    <w:qFormat/>
    <w:uiPriority w:val="0"/>
  </w:style>
  <w:style w:type="paragraph" w:customStyle="1" w:styleId="98">
    <w:name w:val="列出段落1"/>
    <w:basedOn w:val="1"/>
    <w:qFormat/>
    <w:uiPriority w:val="34"/>
    <w:pPr>
      <w:ind w:firstLine="420" w:firstLineChars="200"/>
    </w:pPr>
    <w:rPr>
      <w:rFonts w:ascii="Calibri" w:hAnsi="Calibri"/>
      <w:szCs w:val="22"/>
    </w:rPr>
  </w:style>
  <w:style w:type="paragraph" w:customStyle="1" w:styleId="99">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100">
    <w:name w:val="正文文本缩进 2 字符"/>
    <w:basedOn w:val="48"/>
    <w:link w:val="25"/>
    <w:qFormat/>
    <w:uiPriority w:val="0"/>
    <w:rPr>
      <w:rFonts w:ascii="宋体" w:hAnsi="宋体"/>
      <w:sz w:val="24"/>
    </w:rPr>
  </w:style>
  <w:style w:type="character" w:customStyle="1" w:styleId="101">
    <w:name w:val="文档结构图 字符"/>
    <w:basedOn w:val="48"/>
    <w:link w:val="15"/>
    <w:qFormat/>
    <w:uiPriority w:val="0"/>
    <w:rPr>
      <w:shd w:val="clear" w:color="auto" w:fill="000080"/>
    </w:rPr>
  </w:style>
  <w:style w:type="paragraph" w:customStyle="1" w:styleId="102">
    <w:name w:val="Char"/>
    <w:basedOn w:val="1"/>
    <w:qFormat/>
    <w:uiPriority w:val="0"/>
    <w:rPr>
      <w:rFonts w:ascii="Tahoma" w:hAnsi="Tahoma" w:cs="仿宋_GB2312"/>
      <w:sz w:val="24"/>
      <w:szCs w:val="28"/>
    </w:rPr>
  </w:style>
  <w:style w:type="paragraph" w:customStyle="1" w:styleId="103">
    <w:name w:val="正文缩进1"/>
    <w:basedOn w:val="1"/>
    <w:qFormat/>
    <w:uiPriority w:val="0"/>
    <w:pPr>
      <w:ind w:firstLine="420" w:firstLineChars="200"/>
    </w:pPr>
    <w:rPr>
      <w:rFonts w:ascii="Calibri" w:hAnsi="Calibri"/>
    </w:rPr>
  </w:style>
  <w:style w:type="paragraph" w:customStyle="1" w:styleId="104">
    <w:name w:val="条目3"/>
    <w:basedOn w:val="23"/>
    <w:qFormat/>
    <w:uiPriority w:val="0"/>
  </w:style>
  <w:style w:type="character" w:customStyle="1" w:styleId="105">
    <w:name w:val="正文文本 字符"/>
    <w:basedOn w:val="48"/>
    <w:link w:val="18"/>
    <w:qFormat/>
    <w:uiPriority w:val="0"/>
    <w:rPr>
      <w:rFonts w:ascii="Arial" w:hAnsi="Arial" w:cs="Arial"/>
      <w:sz w:val="24"/>
    </w:rPr>
  </w:style>
  <w:style w:type="paragraph" w:customStyle="1" w:styleId="10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7">
    <w:name w:val="纯文本 字符"/>
    <w:basedOn w:val="48"/>
    <w:link w:val="23"/>
    <w:qFormat/>
    <w:uiPriority w:val="0"/>
    <w:rPr>
      <w:rFonts w:ascii="宋体" w:hAnsi="Courier New" w:eastAsia="宋体"/>
    </w:rPr>
  </w:style>
  <w:style w:type="paragraph" w:customStyle="1" w:styleId="108">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9">
    <w:name w:val="列出段落11"/>
    <w:basedOn w:val="1"/>
    <w:qFormat/>
    <w:uiPriority w:val="0"/>
    <w:pPr>
      <w:ind w:firstLine="420" w:firstLineChars="200"/>
    </w:pPr>
  </w:style>
  <w:style w:type="paragraph" w:customStyle="1" w:styleId="110">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11">
    <w:name w:val="首页大标题"/>
    <w:basedOn w:val="80"/>
    <w:qFormat/>
    <w:uiPriority w:val="0"/>
    <w:pPr>
      <w:ind w:firstLine="0" w:firstLineChars="0"/>
      <w:jc w:val="center"/>
    </w:pPr>
    <w:rPr>
      <w:rFonts w:ascii="黑体" w:eastAsia="黑体"/>
      <w:b/>
      <w:sz w:val="52"/>
    </w:rPr>
  </w:style>
  <w:style w:type="character" w:customStyle="1" w:styleId="112">
    <w:name w:val="正文文本首行缩进 字符"/>
    <w:basedOn w:val="105"/>
    <w:link w:val="37"/>
    <w:qFormat/>
    <w:uiPriority w:val="0"/>
    <w:rPr>
      <w:rFonts w:ascii="Arial" w:hAnsi="Arial" w:cs="Arial"/>
      <w:sz w:val="24"/>
    </w:rPr>
  </w:style>
  <w:style w:type="paragraph" w:customStyle="1" w:styleId="11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4">
    <w:name w:val="p0"/>
    <w:basedOn w:val="1"/>
    <w:qFormat/>
    <w:uiPriority w:val="0"/>
    <w:pPr>
      <w:widowControl/>
    </w:pPr>
    <w:rPr>
      <w:kern w:val="0"/>
      <w:szCs w:val="21"/>
    </w:rPr>
  </w:style>
  <w:style w:type="paragraph" w:customStyle="1" w:styleId="115">
    <w:name w:val="条目2"/>
    <w:basedOn w:val="23"/>
    <w:qFormat/>
    <w:uiPriority w:val="0"/>
    <w:pPr>
      <w:tabs>
        <w:tab w:val="left" w:pos="420"/>
      </w:tabs>
      <w:spacing w:line="360" w:lineRule="auto"/>
      <w:ind w:left="420" w:hanging="420"/>
    </w:pPr>
    <w:rPr>
      <w:color w:val="000000"/>
      <w:sz w:val="30"/>
    </w:rPr>
  </w:style>
  <w:style w:type="paragraph" w:customStyle="1" w:styleId="116">
    <w:name w:val="1 Char Char Char Char"/>
    <w:basedOn w:val="1"/>
    <w:qFormat/>
    <w:uiPriority w:val="0"/>
    <w:rPr>
      <w:rFonts w:ascii="Tahoma" w:hAnsi="Tahoma"/>
      <w:sz w:val="24"/>
    </w:rPr>
  </w:style>
  <w:style w:type="character" w:customStyle="1" w:styleId="117">
    <w:name w:val="普通(网站) 字符"/>
    <w:link w:val="35"/>
    <w:qFormat/>
    <w:uiPriority w:val="99"/>
    <w:rPr>
      <w:rFonts w:ascii="Arial Unicode MS" w:hAnsi="Arial Unicode MS" w:eastAsia="Arial Unicode MS" w:cs="Arial Unicode MS"/>
      <w:kern w:val="0"/>
      <w:sz w:val="24"/>
      <w:szCs w:val="24"/>
    </w:rPr>
  </w:style>
  <w:style w:type="paragraph" w:styleId="118">
    <w:name w:val="List Paragraph"/>
    <w:basedOn w:val="1"/>
    <w:qFormat/>
    <w:uiPriority w:val="34"/>
    <w:pPr>
      <w:ind w:firstLine="420" w:firstLineChars="200"/>
    </w:pPr>
    <w:rPr>
      <w:rFonts w:ascii="Calibri" w:hAnsi="Calibri" w:eastAsia="宋体" w:cs="宋体"/>
      <w:szCs w:val="22"/>
    </w:rPr>
  </w:style>
  <w:style w:type="paragraph" w:customStyle="1" w:styleId="119">
    <w:name w:val="宋体小四"/>
    <w:basedOn w:val="1"/>
    <w:qFormat/>
    <w:uiPriority w:val="0"/>
    <w:pPr>
      <w:spacing w:line="360" w:lineRule="auto"/>
      <w:ind w:firstLine="480" w:firstLineChars="200"/>
    </w:pPr>
    <w:rPr>
      <w:rFonts w:ascii="Arial" w:hAnsi="Arial"/>
      <w:sz w:val="24"/>
    </w:rPr>
  </w:style>
  <w:style w:type="paragraph" w:customStyle="1" w:styleId="120">
    <w:name w:val="列出段落2"/>
    <w:basedOn w:val="1"/>
    <w:qFormat/>
    <w:uiPriority w:val="34"/>
    <w:pPr>
      <w:ind w:firstLine="420" w:firstLineChars="200"/>
    </w:pPr>
    <w:rPr>
      <w:rFonts w:ascii="Calibri" w:hAnsi="Calibri" w:cs="宋体"/>
      <w:szCs w:val="24"/>
    </w:rPr>
  </w:style>
  <w:style w:type="paragraph" w:customStyle="1" w:styleId="121">
    <w:name w:val="验收文档-首页保密文字"/>
    <w:basedOn w:val="1"/>
    <w:qFormat/>
    <w:uiPriority w:val="0"/>
    <w:pPr>
      <w:tabs>
        <w:tab w:val="left" w:pos="2700"/>
      </w:tabs>
      <w:spacing w:line="520" w:lineRule="exact"/>
      <w:jc w:val="center"/>
    </w:pPr>
    <w:rPr>
      <w:rFonts w:ascii="仿宋_GB2312" w:eastAsia="仿宋_GB2312" w:cs="宋体"/>
      <w:sz w:val="28"/>
      <w:szCs w:val="24"/>
    </w:rPr>
  </w:style>
  <w:style w:type="paragraph" w:customStyle="1" w:styleId="122">
    <w:name w:val="样式1"/>
    <w:basedOn w:val="5"/>
    <w:qFormat/>
    <w:uiPriority w:val="0"/>
    <w:rPr>
      <w:rFonts w:ascii="宋体" w:hAnsi="宋体"/>
      <w:szCs w:val="21"/>
    </w:rPr>
  </w:style>
  <w:style w:type="paragraph" w:customStyle="1" w:styleId="123">
    <w:name w:val="验收文档-首页主标题"/>
    <w:basedOn w:val="1"/>
    <w:qFormat/>
    <w:uiPriority w:val="0"/>
    <w:pPr>
      <w:jc w:val="center"/>
    </w:pPr>
    <w:rPr>
      <w:rFonts w:ascii="黑体" w:eastAsia="黑体"/>
      <w:sz w:val="52"/>
      <w:szCs w:val="52"/>
    </w:rPr>
  </w:style>
  <w:style w:type="paragraph" w:customStyle="1" w:styleId="124">
    <w:name w:val="TOC 标题1"/>
    <w:basedOn w:val="3"/>
    <w:next w:val="1"/>
    <w:qFormat/>
    <w:uiPriority w:val="39"/>
    <w:pPr>
      <w:widowControl/>
      <w:spacing w:before="240" w:line="259" w:lineRule="auto"/>
      <w:ind w:left="0" w:firstLine="0"/>
      <w:jc w:val="left"/>
      <w:outlineLvl w:val="9"/>
    </w:pPr>
    <w:rPr>
      <w:rFonts w:ascii="Cambria" w:hAnsi="Cambria" w:eastAsia="宋体" w:cs="宋体"/>
      <w:color w:val="376092"/>
      <w:kern w:val="0"/>
      <w:sz w:val="32"/>
      <w:szCs w:val="32"/>
    </w:rPr>
  </w:style>
  <w:style w:type="paragraph" w:customStyle="1" w:styleId="1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26">
    <w:name w:val="表头"/>
    <w:basedOn w:val="1"/>
    <w:qFormat/>
    <w:uiPriority w:val="0"/>
    <w:pPr>
      <w:widowControl/>
      <w:spacing w:line="276" w:lineRule="auto"/>
      <w:jc w:val="center"/>
    </w:pPr>
    <w:rPr>
      <w:rFonts w:ascii="宋体" w:hAnsi="宋体"/>
      <w:b/>
    </w:rPr>
  </w:style>
  <w:style w:type="paragraph" w:customStyle="1" w:styleId="127">
    <w:name w:val="表格内容"/>
    <w:basedOn w:val="1"/>
    <w:qFormat/>
    <w:uiPriority w:val="0"/>
    <w:pPr>
      <w:widowControl/>
      <w:spacing w:line="276" w:lineRule="auto"/>
      <w:jc w:val="left"/>
    </w:pPr>
    <w:rPr>
      <w:rFonts w:ascii="宋体" w:hAnsi="宋体"/>
      <w:kern w:val="0"/>
    </w:rPr>
  </w:style>
  <w:style w:type="paragraph" w:customStyle="1" w:styleId="128">
    <w:name w:val="表格内容左对齐"/>
    <w:basedOn w:val="1"/>
    <w:qFormat/>
    <w:uiPriority w:val="2"/>
    <w:pPr>
      <w:widowControl/>
      <w:jc w:val="left"/>
    </w:pPr>
    <w:rPr>
      <w:rFonts w:ascii="Calibri" w:hAnsi="Calibri"/>
      <w:kern w:val="0"/>
    </w:rPr>
  </w:style>
  <w:style w:type="character" w:customStyle="1" w:styleId="129">
    <w:name w:val="批注文字 字符"/>
    <w:basedOn w:val="48"/>
    <w:link w:val="16"/>
    <w:qFormat/>
    <w:uiPriority w:val="99"/>
    <w:rPr>
      <w:kern w:val="2"/>
      <w:sz w:val="21"/>
    </w:rPr>
  </w:style>
  <w:style w:type="character" w:customStyle="1" w:styleId="130">
    <w:name w:val="批注主题 字符"/>
    <w:basedOn w:val="129"/>
    <w:link w:val="36"/>
    <w:qFormat/>
    <w:uiPriority w:val="99"/>
    <w:rPr>
      <w:b/>
      <w:bCs/>
      <w:kern w:val="2"/>
      <w:sz w:val="21"/>
    </w:rPr>
  </w:style>
  <w:style w:type="paragraph" w:customStyle="1" w:styleId="131">
    <w:name w:val="List Paragraph1"/>
    <w:basedOn w:val="1"/>
    <w:qFormat/>
    <w:uiPriority w:val="0"/>
    <w:pPr>
      <w:ind w:firstLine="420" w:firstLineChars="200"/>
    </w:pPr>
    <w:rPr>
      <w:rFonts w:ascii="Calibri" w:hAnsi="Calibri"/>
      <w:szCs w:val="24"/>
    </w:rPr>
  </w:style>
  <w:style w:type="table" w:customStyle="1" w:styleId="132">
    <w:name w:val="Grid Table 5 Dark Accent 3"/>
    <w:basedOn w:val="39"/>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cPr>
      <w:shd w:val="clear" w:color="auto" w:fill="EAF1D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9BBB59"/>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9BBB59"/>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9BBB59"/>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9BBB59"/>
      </w:tcPr>
    </w:tblStylePr>
    <w:tblStylePr w:type="band1Vert">
      <w:tcPr>
        <w:shd w:val="clear" w:color="auto" w:fill="D6E3BC"/>
      </w:tcPr>
    </w:tblStylePr>
    <w:tblStylePr w:type="band1Horz">
      <w:tcPr>
        <w:shd w:val="clear" w:color="auto" w:fill="D6E3BC"/>
      </w:tcPr>
    </w:tblStyle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34">
    <w:name w:val="Table Paragraph"/>
    <w:basedOn w:val="1"/>
    <w:qFormat/>
    <w:uiPriority w:val="1"/>
    <w:rPr>
      <w:rFonts w:cs="宋体"/>
      <w:lang w:val="zh-CN" w:bidi="zh-CN"/>
    </w:rPr>
  </w:style>
  <w:style w:type="table" w:customStyle="1" w:styleId="135">
    <w:name w:val="Table"/>
    <w:unhideWhenUsed/>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19682</Words>
  <Characters>21388</Characters>
  <Paragraphs>1495</Paragraphs>
  <TotalTime>3</TotalTime>
  <ScaleCrop>false</ScaleCrop>
  <LinksUpToDate>false</LinksUpToDate>
  <CharactersWithSpaces>23766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2021-06-18T01:34:00Z</dcterms:created>
  <dc:creator>Administrator</dc:creator>
  <cp:lastModifiedBy>Administrator</cp:lastModifiedBy>
  <cp:lastPrinted>2021-07-13T03:13:00Z</cp:lastPrinted>
  <dcterms:modified xsi:type="dcterms:W3CDTF">2021-11-03T12:47:31Z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6B9FEE0A917E4C2497ADFBFFACB35CA9</vt:lpwstr>
  </property>
</Properties>
</file>