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cs="宋体"/>
          <w:b/>
          <w:sz w:val="36"/>
          <w:szCs w:val="36"/>
          <w:lang w:val="en-US" w:eastAsia="zh-CN"/>
        </w:rPr>
      </w:pPr>
    </w:p>
    <w:p>
      <w:pPr>
        <w:jc w:val="center"/>
        <w:rPr>
          <w:rFonts w:hint="eastAsia"/>
          <w:b/>
          <w:color w:val="auto"/>
          <w:sz w:val="18"/>
          <w:szCs w:val="18"/>
          <w:lang w:val="en-US" w:eastAsia="zh-CN"/>
        </w:rPr>
      </w:pPr>
    </w:p>
    <w:p>
      <w:pPr>
        <w:adjustRightInd w:val="0"/>
        <w:snapToGrid w:val="0"/>
        <w:jc w:val="center"/>
        <w:rPr>
          <w:rFonts w:hint="eastAsia" w:ascii="宋体" w:hAnsi="宋体" w:eastAsia="宋体" w:cs="宋体"/>
          <w:b/>
          <w:bCs/>
          <w:color w:val="auto"/>
          <w:sz w:val="72"/>
          <w:szCs w:val="72"/>
          <w:highlight w:val="none"/>
          <w:lang w:val="en-US" w:eastAsia="zh-CN"/>
        </w:rPr>
      </w:pPr>
      <w:r>
        <w:rPr>
          <w:rFonts w:hint="eastAsia" w:ascii="宋体" w:hAnsi="宋体" w:cs="宋体"/>
          <w:b/>
          <w:bCs/>
          <w:color w:val="auto"/>
          <w:sz w:val="72"/>
          <w:szCs w:val="72"/>
          <w:highlight w:val="none"/>
          <w:lang w:val="en-US" w:eastAsia="zh-CN"/>
        </w:rPr>
        <w:t>乌什县殡仪馆火化设施及设备采购项目</w:t>
      </w:r>
    </w:p>
    <w:p>
      <w:pPr>
        <w:pStyle w:val="6"/>
        <w:rPr>
          <w:rFonts w:hint="eastAsia"/>
        </w:rPr>
      </w:pPr>
    </w:p>
    <w:p>
      <w:pPr>
        <w:rPr>
          <w:rFonts w:hint="eastAsia"/>
        </w:rPr>
      </w:pPr>
    </w:p>
    <w:p>
      <w:pPr>
        <w:pStyle w:val="2"/>
        <w:rPr>
          <w:rFonts w:hint="eastAsia" w:ascii="宋体" w:hAnsi="宋体" w:eastAsia="宋体" w:cs="宋体"/>
        </w:rPr>
      </w:pPr>
    </w:p>
    <w:p>
      <w:pPr>
        <w:adjustRightInd w:val="0"/>
        <w:snapToGrid w:val="0"/>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lang w:eastAsia="zh-CN"/>
        </w:rPr>
        <w:t>竞争性磋商</w:t>
      </w:r>
      <w:r>
        <w:rPr>
          <w:rFonts w:hint="eastAsia" w:ascii="宋体" w:hAnsi="宋体" w:eastAsia="宋体" w:cs="宋体"/>
          <w:b/>
          <w:bCs/>
          <w:color w:val="auto"/>
          <w:sz w:val="72"/>
          <w:szCs w:val="72"/>
          <w:highlight w:val="none"/>
        </w:rPr>
        <w:t>文件</w:t>
      </w:r>
    </w:p>
    <w:p>
      <w:pPr>
        <w:adjustRightInd w:val="0"/>
        <w:snapToGrid w:val="0"/>
        <w:spacing w:line="400" w:lineRule="exact"/>
        <w:jc w:val="center"/>
        <w:rPr>
          <w:rFonts w:hint="eastAsia" w:ascii="宋体" w:hAnsi="宋体" w:eastAsia="宋体" w:cs="宋体"/>
          <w:b/>
          <w:bCs/>
          <w:color w:val="auto"/>
          <w:kern w:val="0"/>
          <w:sz w:val="28"/>
          <w:szCs w:val="28"/>
          <w:highlight w:val="none"/>
        </w:rPr>
      </w:pPr>
    </w:p>
    <w:p>
      <w:pPr>
        <w:adjustRightInd w:val="0"/>
        <w:snapToGrid w:val="0"/>
        <w:spacing w:line="400" w:lineRule="exact"/>
        <w:jc w:val="center"/>
        <w:rPr>
          <w:rFonts w:hint="eastAsia" w:ascii="宋体" w:hAnsi="宋体" w:eastAsia="宋体" w:cs="宋体"/>
          <w:color w:val="auto"/>
          <w:highlight w:val="none"/>
        </w:rPr>
      </w:pPr>
    </w:p>
    <w:p>
      <w:pPr>
        <w:adjustRightInd w:val="0"/>
        <w:snapToGrid w:val="0"/>
        <w:spacing w:line="400" w:lineRule="exact"/>
        <w:jc w:val="center"/>
        <w:rPr>
          <w:rFonts w:hint="eastAsia" w:ascii="宋体" w:hAnsi="宋体" w:eastAsia="宋体" w:cs="宋体"/>
          <w:color w:val="auto"/>
          <w:highlight w:val="none"/>
        </w:rPr>
      </w:pPr>
    </w:p>
    <w:p>
      <w:pPr>
        <w:pStyle w:val="2"/>
        <w:ind w:left="0" w:leftChars="0" w:firstLine="0" w:firstLineChars="0"/>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jc w:val="both"/>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项目</w:t>
      </w:r>
      <w:r>
        <w:rPr>
          <w:rFonts w:hint="eastAsia" w:ascii="宋体" w:hAnsi="宋体" w:eastAsia="宋体" w:cs="宋体"/>
          <w:b/>
          <w:bCs/>
          <w:color w:val="auto"/>
          <w:sz w:val="32"/>
          <w:szCs w:val="32"/>
          <w:highlight w:val="none"/>
          <w:lang w:eastAsia="zh-CN"/>
        </w:rPr>
        <w:t>编号：</w:t>
      </w:r>
      <w:r>
        <w:rPr>
          <w:rFonts w:hint="eastAsia" w:ascii="宋体" w:hAnsi="宋体" w:eastAsia="宋体" w:cs="宋体"/>
          <w:b/>
          <w:bCs/>
          <w:color w:val="auto"/>
          <w:sz w:val="32"/>
          <w:szCs w:val="32"/>
          <w:highlight w:val="none"/>
          <w:lang w:val="en-US" w:eastAsia="zh-CN"/>
        </w:rPr>
        <w:t>WSX[2021]-285</w:t>
      </w:r>
    </w:p>
    <w:p>
      <w:pPr>
        <w:pStyle w:val="2"/>
        <w:jc w:val="both"/>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eastAsia="zh-CN"/>
        </w:rPr>
        <w:t>采购人</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val="en-US" w:eastAsia="zh-CN"/>
        </w:rPr>
        <w:t xml:space="preserve"> 乌什县民政局</w:t>
      </w:r>
    </w:p>
    <w:p>
      <w:pPr>
        <w:pStyle w:val="2"/>
        <w:jc w:val="both"/>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代理机构：</w:t>
      </w:r>
      <w:r>
        <w:rPr>
          <w:rFonts w:hint="eastAsia" w:ascii="宋体" w:hAnsi="宋体" w:eastAsia="宋体" w:cs="宋体"/>
          <w:b/>
          <w:bCs/>
          <w:color w:val="auto"/>
          <w:sz w:val="32"/>
          <w:szCs w:val="32"/>
          <w:highlight w:val="none"/>
          <w:lang w:eastAsia="zh-CN"/>
        </w:rPr>
        <w:t xml:space="preserve">新疆好谋略城市建设咨询管理有限公司 </w:t>
      </w:r>
    </w:p>
    <w:p>
      <w:pPr>
        <w:pStyle w:val="2"/>
        <w:jc w:val="center"/>
        <w:rPr>
          <w:rFonts w:hint="eastAsia" w:ascii="宋体" w:hAnsi="宋体" w:eastAsia="宋体" w:cs="宋体"/>
          <w:b/>
          <w:bCs/>
          <w:color w:val="auto"/>
          <w:sz w:val="32"/>
          <w:szCs w:val="32"/>
          <w:highlight w:val="none"/>
        </w:rPr>
      </w:pPr>
    </w:p>
    <w:p>
      <w:pPr>
        <w:pStyle w:val="2"/>
        <w:rPr>
          <w:rFonts w:hint="eastAsia" w:ascii="宋体" w:hAnsi="宋体" w:eastAsia="宋体" w:cs="宋体"/>
          <w:b/>
          <w:bCs/>
          <w:color w:val="0000FF"/>
          <w:sz w:val="32"/>
          <w:szCs w:val="32"/>
          <w:highlight w:val="none"/>
        </w:rPr>
      </w:pPr>
    </w:p>
    <w:p>
      <w:pPr>
        <w:pStyle w:val="2"/>
        <w:ind w:firstLine="964" w:firstLineChars="300"/>
        <w:jc w:val="center"/>
        <w:rPr>
          <w:rFonts w:hint="eastAsia" w:ascii="宋体" w:hAnsi="宋体" w:eastAsia="宋体" w:cs="宋体"/>
          <w:color w:val="auto"/>
          <w:sz w:val="32"/>
          <w:szCs w:val="32"/>
          <w:highlight w:val="none"/>
          <w:lang w:val="en-US" w:eastAsia="zh-CN"/>
        </w:rPr>
        <w:sectPr>
          <w:headerReference r:id="rId4" w:type="default"/>
          <w:pgSz w:w="11906" w:h="16838"/>
          <w:pgMar w:top="1418" w:right="1418" w:bottom="1418" w:left="1418" w:header="851" w:footer="992" w:gutter="0"/>
          <w:pgNumType w:fmt="decimal" w:start="1"/>
          <w:cols w:space="720" w:num="1"/>
          <w:docGrid w:type="lines" w:linePitch="312" w:charSpace="0"/>
        </w:sectPr>
      </w:pPr>
      <w:r>
        <w:rPr>
          <w:rFonts w:hint="eastAsia" w:ascii="宋体" w:hAnsi="宋体" w:eastAsia="宋体" w:cs="宋体"/>
          <w:b/>
          <w:bCs/>
          <w:color w:val="auto"/>
          <w:sz w:val="32"/>
          <w:szCs w:val="32"/>
          <w:highlight w:val="none"/>
          <w:lang w:eastAsia="zh-CN"/>
        </w:rPr>
        <w:t>二零二一</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eastAsia="zh-CN"/>
        </w:rPr>
        <w:t>十</w:t>
      </w:r>
      <w:r>
        <w:rPr>
          <w:rFonts w:hint="eastAsia" w:ascii="宋体" w:hAnsi="宋体" w:eastAsia="宋体" w:cs="宋体"/>
          <w:b/>
          <w:bCs/>
          <w:color w:val="auto"/>
          <w:sz w:val="32"/>
          <w:szCs w:val="32"/>
          <w:highlight w:val="none"/>
          <w:lang w:val="en-US" w:eastAsia="zh-CN"/>
        </w:rPr>
        <w:t>月</w:t>
      </w:r>
    </w:p>
    <w:p>
      <w:pPr>
        <w:keepNext w:val="0"/>
        <w:keepLines w:val="0"/>
        <w:pageBreakBefore w:val="0"/>
        <w:widowControl w:val="0"/>
        <w:kinsoku/>
        <w:wordWrap/>
        <w:overflowPunct/>
        <w:topLinePunct w:val="0"/>
        <w:autoSpaceDE/>
        <w:autoSpaceDN/>
        <w:bidi w:val="0"/>
        <w:adjustRightInd w:val="0"/>
        <w:snapToGrid w:val="0"/>
        <w:spacing w:before="625" w:beforeLines="200" w:after="625" w:afterLines="200" w:line="600" w:lineRule="exact"/>
        <w:jc w:val="center"/>
        <w:textAlignment w:val="auto"/>
        <w:rPr>
          <w:rFonts w:hint="eastAsia" w:ascii="宋体" w:hAnsi="宋体"/>
          <w:b/>
          <w:bCs/>
          <w:color w:val="auto"/>
          <w:sz w:val="32"/>
          <w:szCs w:val="32"/>
          <w:lang w:eastAsia="zh-CN"/>
        </w:rPr>
      </w:pPr>
      <w:r>
        <w:rPr>
          <w:rFonts w:hint="eastAsia" w:ascii="宋体" w:hAnsi="宋体"/>
          <w:b/>
          <w:bCs/>
          <w:color w:val="auto"/>
          <w:sz w:val="32"/>
          <w:szCs w:val="32"/>
          <w:lang w:eastAsia="zh-CN"/>
        </w:rPr>
        <w:t>竞争性磋商文件</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560"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项目</w:t>
      </w:r>
      <w:r>
        <w:rPr>
          <w:rFonts w:hint="eastAsia" w:ascii="宋体" w:hAnsi="宋体" w:eastAsia="宋体" w:cs="宋体"/>
          <w:color w:val="auto"/>
          <w:sz w:val="28"/>
          <w:szCs w:val="28"/>
          <w:highlight w:val="none"/>
        </w:rPr>
        <w:t>名称:</w:t>
      </w:r>
      <w:r>
        <w:rPr>
          <w:rFonts w:hint="eastAsia" w:ascii="宋体" w:hAnsi="宋体" w:eastAsia="宋体" w:cs="宋体"/>
          <w:color w:val="auto"/>
          <w:sz w:val="28"/>
          <w:szCs w:val="28"/>
          <w:highlight w:val="none"/>
          <w:lang w:val="en-US" w:eastAsia="zh-CN"/>
        </w:rPr>
        <w:t>乌什县殡仪馆火化设施及设备采购项目</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560"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招标人（公章）：</w:t>
      </w:r>
      <w:r>
        <w:rPr>
          <w:rFonts w:hint="eastAsia" w:ascii="宋体" w:hAnsi="宋体" w:eastAsia="宋体" w:cs="宋体"/>
          <w:color w:val="auto"/>
          <w:sz w:val="28"/>
          <w:szCs w:val="28"/>
          <w:highlight w:val="none"/>
          <w:lang w:val="en-US" w:eastAsia="zh-CN"/>
        </w:rPr>
        <w:t xml:space="preserve"> 乌什县民政局  </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法定代表人（签章）：   </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560" w:firstLineChars="200"/>
        <w:jc w:val="both"/>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联</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人：</w:t>
      </w:r>
      <w:r>
        <w:rPr>
          <w:rFonts w:hint="eastAsia" w:ascii="宋体" w:hAnsi="宋体" w:eastAsia="宋体" w:cs="宋体"/>
          <w:color w:val="auto"/>
          <w:sz w:val="28"/>
          <w:szCs w:val="28"/>
          <w:highlight w:val="none"/>
          <w:lang w:val="en-US" w:eastAsia="zh-CN"/>
        </w:rPr>
        <w:t>杨小强</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560" w:firstLineChars="200"/>
        <w:jc w:val="both"/>
        <w:textAlignment w:val="auto"/>
        <w:outlineLvl w:val="9"/>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联系</w:t>
      </w:r>
      <w:r>
        <w:rPr>
          <w:rFonts w:hint="eastAsia" w:ascii="宋体" w:hAnsi="宋体" w:eastAsia="宋体" w:cs="宋体"/>
          <w:color w:val="auto"/>
          <w:sz w:val="28"/>
          <w:szCs w:val="28"/>
          <w:highlight w:val="none"/>
        </w:rPr>
        <w:t>电话：</w:t>
      </w:r>
      <w:r>
        <w:rPr>
          <w:rFonts w:hint="eastAsia" w:ascii="宋体" w:hAnsi="宋体" w:eastAsia="宋体" w:cs="宋体"/>
          <w:color w:val="auto"/>
          <w:sz w:val="28"/>
          <w:szCs w:val="28"/>
          <w:highlight w:val="none"/>
          <w:lang w:val="en-US" w:eastAsia="zh-CN"/>
        </w:rPr>
        <w:t>15109970635</w:t>
      </w:r>
    </w:p>
    <w:p>
      <w:pPr>
        <w:keepNext w:val="0"/>
        <w:keepLines w:val="0"/>
        <w:pageBreakBefore w:val="0"/>
        <w:widowControl w:val="0"/>
        <w:kinsoku/>
        <w:wordWrap/>
        <w:overflowPunct/>
        <w:topLinePunct w:val="0"/>
        <w:autoSpaceDE/>
        <w:autoSpaceDN/>
        <w:bidi w:val="0"/>
        <w:adjustRightInd w:val="0"/>
        <w:snapToGrid/>
        <w:spacing w:line="600" w:lineRule="exact"/>
        <w:ind w:firstLine="440" w:firstLineChars="200"/>
        <w:jc w:val="both"/>
        <w:textAlignment w:val="auto"/>
        <w:rPr>
          <w:rFonts w:hint="default" w:ascii="仿宋" w:hAnsi="仿宋" w:eastAsia="仿宋" w:cs="Times New Roman"/>
          <w:color w:val="auto"/>
          <w:sz w:val="22"/>
          <w:szCs w:val="22"/>
          <w:lang w:val="en-US" w:eastAsia="zh-CN" w:bidi="ar-SA"/>
        </w:rPr>
      </w:pPr>
      <w:r>
        <w:rPr>
          <w:rFonts w:hint="eastAsia" w:ascii="仿宋" w:hAnsi="仿宋" w:eastAsia="仿宋" w:cs="Times New Roman"/>
          <w:color w:val="auto"/>
          <w:sz w:val="22"/>
          <w:szCs w:val="22"/>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spacing w:line="600" w:lineRule="exact"/>
        <w:ind w:right="0" w:rightChars="0"/>
        <w:jc w:val="both"/>
        <w:textAlignment w:val="auto"/>
        <w:outlineLvl w:val="9"/>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spacing w:line="600" w:lineRule="exact"/>
        <w:ind w:firstLine="560" w:firstLineChars="200"/>
        <w:jc w:val="both"/>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highlight w:val="none"/>
        </w:rPr>
        <w:t>代理机构（公章）：新疆好谋略城市建设咨询管理有限公司</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法定代表人（签章）：</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560" w:firstLineChars="200"/>
        <w:jc w:val="both"/>
        <w:textAlignment w:val="auto"/>
        <w:outlineLvl w:val="9"/>
        <w:rPr>
          <w:rFonts w:hint="eastAsia" w:ascii="宋体" w:hAnsi="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赵丹</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560" w:firstLineChars="200"/>
        <w:jc w:val="both"/>
        <w:textAlignment w:val="auto"/>
        <w:outlineLvl w:val="9"/>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eastAsia="zh-CN"/>
        </w:rPr>
        <w:t>联系</w:t>
      </w:r>
      <w:r>
        <w:rPr>
          <w:rFonts w:hint="eastAsia" w:ascii="宋体" w:hAnsi="宋体" w:eastAsia="宋体" w:cs="宋体"/>
          <w:color w:val="auto"/>
          <w:sz w:val="28"/>
          <w:szCs w:val="28"/>
          <w:highlight w:val="none"/>
        </w:rPr>
        <w:t>电话</w:t>
      </w:r>
      <w:r>
        <w:rPr>
          <w:rFonts w:hint="eastAsia" w:ascii="宋体" w:hAnsi="宋体" w:eastAsia="宋体" w:cs="宋体"/>
          <w:color w:val="auto"/>
          <w:sz w:val="28"/>
          <w:szCs w:val="28"/>
          <w:highlight w:val="none"/>
          <w:lang w:eastAsia="zh-CN"/>
        </w:rPr>
        <w:t>：</w:t>
      </w:r>
      <w:r>
        <w:rPr>
          <w:rFonts w:hint="eastAsia" w:ascii="宋体" w:hAnsi="宋体" w:cs="宋体"/>
          <w:color w:val="auto"/>
          <w:sz w:val="28"/>
          <w:szCs w:val="28"/>
          <w:highlight w:val="none"/>
          <w:lang w:val="en-US" w:eastAsia="zh-CN"/>
        </w:rPr>
        <w:t>15569122015</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联系地址：</w:t>
      </w:r>
      <w:r>
        <w:rPr>
          <w:rFonts w:hint="eastAsia" w:ascii="宋体" w:hAnsi="宋体" w:eastAsia="宋体" w:cs="宋体"/>
          <w:color w:val="auto"/>
          <w:sz w:val="28"/>
          <w:szCs w:val="28"/>
          <w:highlight w:val="none"/>
          <w:lang w:eastAsia="zh-CN"/>
        </w:rPr>
        <w:t>阿克苏市红桥街道行署东院高层1</w:t>
      </w:r>
      <w:r>
        <w:rPr>
          <w:rFonts w:hint="eastAsia" w:ascii="宋体" w:hAnsi="宋体" w:eastAsia="宋体" w:cs="宋体"/>
          <w:color w:val="auto"/>
          <w:sz w:val="28"/>
          <w:szCs w:val="28"/>
          <w:highlight w:val="none"/>
          <w:lang w:val="en-US" w:eastAsia="zh-CN"/>
        </w:rPr>
        <w:t>栋</w:t>
      </w: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单元</w:t>
      </w:r>
      <w:r>
        <w:rPr>
          <w:rFonts w:hint="eastAsia" w:ascii="宋体" w:hAnsi="宋体" w:eastAsia="宋体" w:cs="宋体"/>
          <w:color w:val="auto"/>
          <w:sz w:val="28"/>
          <w:szCs w:val="28"/>
          <w:highlight w:val="none"/>
          <w:lang w:eastAsia="zh-CN"/>
        </w:rPr>
        <w:t>103室</w:t>
      </w:r>
      <w:r>
        <w:rPr>
          <w:rFonts w:hint="eastAsia" w:ascii="宋体" w:hAnsi="宋体" w:eastAsia="宋体" w:cs="宋体"/>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560" w:firstLineChars="200"/>
        <w:jc w:val="both"/>
        <w:textAlignment w:val="auto"/>
        <w:outlineLvl w:val="9"/>
        <w:rPr>
          <w:rFonts w:hint="eastAsia" w:ascii="宋体" w:hAnsi="宋体" w:cs="宋体"/>
          <w:b/>
          <w:bCs/>
          <w:color w:val="auto"/>
          <w:sz w:val="44"/>
          <w:szCs w:val="52"/>
          <w:lang w:val="zh-CN"/>
        </w:rPr>
      </w:pPr>
      <w:r>
        <w:rPr>
          <w:rFonts w:hint="eastAsia" w:ascii="宋体" w:hAnsi="宋体" w:eastAsia="宋体" w:cs="宋体"/>
          <w:color w:val="auto"/>
          <w:sz w:val="28"/>
          <w:szCs w:val="28"/>
          <w:highlight w:val="none"/>
          <w:lang w:val="en-US" w:eastAsia="zh-CN"/>
        </w:rPr>
        <w:t xml:space="preserve"> </w:t>
      </w:r>
    </w:p>
    <w:p>
      <w:pPr>
        <w:jc w:val="center"/>
        <w:rPr>
          <w:rFonts w:hint="eastAsia" w:ascii="宋体" w:hAnsi="宋体" w:cs="宋体"/>
          <w:b/>
          <w:bCs/>
          <w:color w:val="auto"/>
          <w:sz w:val="44"/>
          <w:szCs w:val="52"/>
          <w:lang w:val="zh-CN"/>
        </w:rPr>
      </w:pPr>
    </w:p>
    <w:p>
      <w:pPr>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zh-CN"/>
        </w:rPr>
        <w:t>年</w:t>
      </w:r>
      <w:r>
        <w:rPr>
          <w:rFonts w:hint="eastAsia" w:ascii="宋体" w:hAnsi="宋体" w:eastAsia="宋体" w:cs="宋体"/>
          <w:color w:val="auto"/>
          <w:sz w:val="28"/>
          <w:szCs w:val="28"/>
          <w:highlight w:val="none"/>
          <w:lang w:val="en-US" w:eastAsia="zh-CN"/>
        </w:rPr>
        <w:t xml:space="preserve">  月  日</w:t>
      </w:r>
    </w:p>
    <w:p>
      <w:pPr>
        <w:bidi w:val="0"/>
        <w:rPr>
          <w:rFonts w:hint="eastAsia"/>
        </w:rPr>
      </w:pPr>
    </w:p>
    <w:p>
      <w:pPr>
        <w:bidi w:val="0"/>
        <w:rPr>
          <w:rFonts w:hint="eastAsia"/>
        </w:rPr>
      </w:pPr>
    </w:p>
    <w:p>
      <w:pPr>
        <w:bidi w:val="0"/>
        <w:rPr>
          <w:rFonts w:hint="eastAsia"/>
        </w:rPr>
      </w:pPr>
    </w:p>
    <w:p>
      <w:pPr>
        <w:pStyle w:val="20"/>
        <w:adjustRightInd w:val="0"/>
        <w:snapToGrid w:val="0"/>
        <w:spacing w:line="360" w:lineRule="auto"/>
        <w:jc w:val="center"/>
        <w:rPr>
          <w:rFonts w:hint="eastAsia" w:hAnsi="宋体" w:cs="宋体"/>
          <w:b/>
          <w:spacing w:val="160"/>
          <w:sz w:val="32"/>
          <w:szCs w:val="32"/>
        </w:rPr>
      </w:pPr>
    </w:p>
    <w:p>
      <w:pPr>
        <w:pStyle w:val="20"/>
        <w:adjustRightInd w:val="0"/>
        <w:snapToGrid w:val="0"/>
        <w:spacing w:line="360" w:lineRule="auto"/>
        <w:jc w:val="center"/>
        <w:rPr>
          <w:rFonts w:hint="eastAsia" w:hAnsi="宋体" w:cs="宋体"/>
          <w:b/>
          <w:spacing w:val="160"/>
          <w:sz w:val="32"/>
          <w:szCs w:val="32"/>
        </w:rPr>
      </w:pPr>
      <w:r>
        <w:rPr>
          <w:rFonts w:hint="eastAsia" w:hAnsi="宋体" w:cs="宋体"/>
          <w:b/>
          <w:spacing w:val="160"/>
          <w:sz w:val="32"/>
          <w:szCs w:val="32"/>
        </w:rPr>
        <w:t>目录</w:t>
      </w:r>
    </w:p>
    <w:p>
      <w:pPr>
        <w:autoSpaceDE w:val="0"/>
        <w:autoSpaceDN w:val="0"/>
        <w:adjustRightInd w:val="0"/>
        <w:snapToGrid w:val="0"/>
        <w:spacing w:line="360" w:lineRule="auto"/>
        <w:rPr>
          <w:rFonts w:hint="eastAsia" w:ascii="宋体" w:hAnsi="宋体" w:cs="宋体"/>
          <w:szCs w:val="21"/>
        </w:rPr>
      </w:pPr>
    </w:p>
    <w:p>
      <w:pPr>
        <w:pStyle w:val="25"/>
        <w:tabs>
          <w:tab w:val="right" w:leader="dot" w:pos="9746"/>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TOC \o "1-1" \h \u </w:instrText>
      </w:r>
      <w:r>
        <w:rPr>
          <w:rFonts w:hint="eastAsia" w:ascii="宋体" w:hAnsi="宋体" w:cs="宋体"/>
          <w:spacing w:val="160"/>
          <w:szCs w:val="24"/>
          <w:highlight w:val="none"/>
        </w:rPr>
        <w:fldChar w:fldCharType="separate"/>
      </w: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_Toc6342 </w:instrText>
      </w:r>
      <w:r>
        <w:rPr>
          <w:rFonts w:hint="eastAsia" w:ascii="宋体" w:hAnsi="宋体" w:cs="宋体"/>
          <w:spacing w:val="160"/>
          <w:szCs w:val="24"/>
          <w:highlight w:val="none"/>
        </w:rPr>
        <w:fldChar w:fldCharType="separate"/>
      </w:r>
      <w:r>
        <w:rPr>
          <w:rFonts w:hint="eastAsia"/>
        </w:rPr>
        <w:t>第一章 竞争性磋商</w:t>
      </w:r>
      <w:r>
        <w:rPr>
          <w:rFonts w:hint="eastAsia"/>
          <w:lang w:eastAsia="zh-CN"/>
        </w:rPr>
        <w:t>公告</w:t>
      </w:r>
      <w:r>
        <w:tab/>
      </w:r>
      <w:r>
        <w:fldChar w:fldCharType="begin"/>
      </w:r>
      <w:r>
        <w:instrText xml:space="preserve"> PAGEREF _Toc6342 \h </w:instrText>
      </w:r>
      <w:r>
        <w:fldChar w:fldCharType="separate"/>
      </w:r>
      <w:r>
        <w:t>1</w:t>
      </w:r>
      <w:r>
        <w:fldChar w:fldCharType="end"/>
      </w:r>
      <w:r>
        <w:rPr>
          <w:rFonts w:hint="eastAsia" w:ascii="宋体" w:hAnsi="宋体" w:cs="宋体"/>
          <w:spacing w:val="160"/>
          <w:szCs w:val="24"/>
          <w:highlight w:val="none"/>
        </w:rPr>
        <w:fldChar w:fldCharType="end"/>
      </w:r>
    </w:p>
    <w:p>
      <w:pPr>
        <w:pStyle w:val="25"/>
        <w:tabs>
          <w:tab w:val="right" w:leader="dot" w:pos="9746"/>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_Toc22183 </w:instrText>
      </w:r>
      <w:r>
        <w:rPr>
          <w:rFonts w:hint="eastAsia" w:ascii="宋体" w:hAnsi="宋体" w:cs="宋体"/>
          <w:spacing w:val="160"/>
          <w:szCs w:val="24"/>
          <w:highlight w:val="none"/>
        </w:rPr>
        <w:fldChar w:fldCharType="separate"/>
      </w:r>
      <w:r>
        <w:rPr>
          <w:rFonts w:hint="eastAsia"/>
          <w:lang w:val="en-US" w:eastAsia="zh-CN"/>
        </w:rPr>
        <w:t xml:space="preserve">第二章 </w:t>
      </w:r>
      <w:r>
        <w:rPr>
          <w:rFonts w:hint="eastAsia"/>
        </w:rPr>
        <w:t>供应商须知</w:t>
      </w:r>
      <w:r>
        <w:tab/>
      </w:r>
      <w:r>
        <w:fldChar w:fldCharType="begin"/>
      </w:r>
      <w:r>
        <w:instrText xml:space="preserve"> PAGEREF _Toc22183 \h </w:instrText>
      </w:r>
      <w:r>
        <w:fldChar w:fldCharType="separate"/>
      </w:r>
      <w:r>
        <w:t>5</w:t>
      </w:r>
      <w:r>
        <w:fldChar w:fldCharType="end"/>
      </w:r>
      <w:r>
        <w:rPr>
          <w:rFonts w:hint="eastAsia" w:ascii="宋体" w:hAnsi="宋体" w:cs="宋体"/>
          <w:spacing w:val="160"/>
          <w:szCs w:val="24"/>
          <w:highlight w:val="none"/>
        </w:rPr>
        <w:fldChar w:fldCharType="end"/>
      </w:r>
    </w:p>
    <w:p>
      <w:pPr>
        <w:pStyle w:val="25"/>
        <w:tabs>
          <w:tab w:val="right" w:leader="dot" w:pos="9746"/>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_Toc24870 </w:instrText>
      </w:r>
      <w:r>
        <w:rPr>
          <w:rFonts w:hint="eastAsia" w:ascii="宋体" w:hAnsi="宋体" w:cs="宋体"/>
          <w:spacing w:val="160"/>
          <w:szCs w:val="24"/>
          <w:highlight w:val="none"/>
        </w:rPr>
        <w:fldChar w:fldCharType="separate"/>
      </w:r>
      <w:r>
        <w:rPr>
          <w:rFonts w:hint="eastAsia"/>
        </w:rPr>
        <w:t>第三章 采购需求</w:t>
      </w:r>
      <w:r>
        <w:tab/>
      </w:r>
      <w:r>
        <w:fldChar w:fldCharType="begin"/>
      </w:r>
      <w:r>
        <w:instrText xml:space="preserve"> PAGEREF _Toc24870 \h </w:instrText>
      </w:r>
      <w:r>
        <w:fldChar w:fldCharType="separate"/>
      </w:r>
      <w:r>
        <w:t>23</w:t>
      </w:r>
      <w:r>
        <w:fldChar w:fldCharType="end"/>
      </w:r>
      <w:r>
        <w:rPr>
          <w:rFonts w:hint="eastAsia" w:ascii="宋体" w:hAnsi="宋体" w:cs="宋体"/>
          <w:spacing w:val="160"/>
          <w:szCs w:val="24"/>
          <w:highlight w:val="none"/>
        </w:rPr>
        <w:fldChar w:fldCharType="end"/>
      </w:r>
    </w:p>
    <w:p>
      <w:pPr>
        <w:pStyle w:val="25"/>
        <w:tabs>
          <w:tab w:val="right" w:leader="dot" w:pos="9746"/>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_Toc15329 </w:instrText>
      </w:r>
      <w:r>
        <w:rPr>
          <w:rFonts w:hint="eastAsia" w:ascii="宋体" w:hAnsi="宋体" w:cs="宋体"/>
          <w:spacing w:val="160"/>
          <w:szCs w:val="24"/>
          <w:highlight w:val="none"/>
        </w:rPr>
        <w:fldChar w:fldCharType="separate"/>
      </w:r>
      <w:r>
        <w:rPr>
          <w:rFonts w:hint="eastAsia"/>
        </w:rPr>
        <w:t>第四章 评审方法</w:t>
      </w:r>
      <w:r>
        <w:tab/>
      </w:r>
      <w:r>
        <w:fldChar w:fldCharType="begin"/>
      </w:r>
      <w:r>
        <w:instrText xml:space="preserve"> PAGEREF _Toc15329 \h </w:instrText>
      </w:r>
      <w:r>
        <w:fldChar w:fldCharType="separate"/>
      </w:r>
      <w:r>
        <w:t>46</w:t>
      </w:r>
      <w:r>
        <w:fldChar w:fldCharType="end"/>
      </w:r>
      <w:r>
        <w:rPr>
          <w:rFonts w:hint="eastAsia" w:ascii="宋体" w:hAnsi="宋体" w:cs="宋体"/>
          <w:spacing w:val="160"/>
          <w:szCs w:val="24"/>
          <w:highlight w:val="none"/>
        </w:rPr>
        <w:fldChar w:fldCharType="end"/>
      </w:r>
    </w:p>
    <w:p>
      <w:pPr>
        <w:pStyle w:val="25"/>
        <w:tabs>
          <w:tab w:val="right" w:leader="dot" w:pos="9746"/>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_Toc26812 </w:instrText>
      </w:r>
      <w:r>
        <w:rPr>
          <w:rFonts w:hint="eastAsia" w:ascii="宋体" w:hAnsi="宋体" w:cs="宋体"/>
          <w:spacing w:val="160"/>
          <w:szCs w:val="24"/>
          <w:highlight w:val="none"/>
        </w:rPr>
        <w:fldChar w:fldCharType="separate"/>
      </w:r>
      <w:r>
        <w:rPr>
          <w:rFonts w:hint="eastAsia"/>
        </w:rPr>
        <w:t>第五章 合同</w:t>
      </w:r>
      <w:r>
        <w:rPr>
          <w:rFonts w:hint="eastAsia"/>
          <w:lang w:eastAsia="zh-CN"/>
        </w:rPr>
        <w:t>文件</w:t>
      </w:r>
      <w:r>
        <w:tab/>
      </w:r>
      <w:r>
        <w:fldChar w:fldCharType="begin"/>
      </w:r>
      <w:r>
        <w:instrText xml:space="preserve"> PAGEREF _Toc26812 \h </w:instrText>
      </w:r>
      <w:r>
        <w:fldChar w:fldCharType="separate"/>
      </w:r>
      <w:r>
        <w:t>53</w:t>
      </w:r>
      <w:r>
        <w:fldChar w:fldCharType="end"/>
      </w:r>
      <w:r>
        <w:rPr>
          <w:rFonts w:hint="eastAsia" w:ascii="宋体" w:hAnsi="宋体" w:cs="宋体"/>
          <w:spacing w:val="160"/>
          <w:szCs w:val="24"/>
          <w:highlight w:val="none"/>
        </w:rPr>
        <w:fldChar w:fldCharType="end"/>
      </w:r>
    </w:p>
    <w:p>
      <w:pPr>
        <w:pStyle w:val="25"/>
        <w:tabs>
          <w:tab w:val="right" w:leader="dot" w:pos="9746"/>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_Toc26619 </w:instrText>
      </w:r>
      <w:r>
        <w:rPr>
          <w:rFonts w:hint="eastAsia" w:ascii="宋体" w:hAnsi="宋体" w:cs="宋体"/>
          <w:spacing w:val="160"/>
          <w:szCs w:val="24"/>
          <w:highlight w:val="none"/>
        </w:rPr>
        <w:fldChar w:fldCharType="separate"/>
      </w:r>
      <w:r>
        <w:rPr>
          <w:rFonts w:hint="eastAsia"/>
        </w:rPr>
        <w:t>第六章 响应文件格式</w:t>
      </w:r>
      <w:r>
        <w:tab/>
      </w:r>
      <w:r>
        <w:fldChar w:fldCharType="begin"/>
      </w:r>
      <w:r>
        <w:instrText xml:space="preserve"> PAGEREF _Toc26619 \h </w:instrText>
      </w:r>
      <w:r>
        <w:fldChar w:fldCharType="separate"/>
      </w:r>
      <w:r>
        <w:t>54</w:t>
      </w:r>
      <w:r>
        <w:fldChar w:fldCharType="end"/>
      </w:r>
      <w:r>
        <w:rPr>
          <w:rFonts w:hint="eastAsia" w:ascii="宋体" w:hAnsi="宋体" w:cs="宋体"/>
          <w:spacing w:val="160"/>
          <w:szCs w:val="24"/>
          <w:highlight w:val="none"/>
        </w:rPr>
        <w:fldChar w:fldCharType="end"/>
      </w:r>
    </w:p>
    <w:p>
      <w:pPr>
        <w:pStyle w:val="2"/>
        <w:ind w:left="0" w:leftChars="0" w:firstLine="0" w:firstLineChars="0"/>
        <w:rPr>
          <w:rFonts w:hint="eastAsia" w:ascii="宋体" w:hAnsi="宋体" w:cs="宋体"/>
          <w:spacing w:val="160"/>
          <w:szCs w:val="24"/>
        </w:rPr>
      </w:pPr>
      <w:r>
        <w:rPr>
          <w:rFonts w:hint="eastAsia" w:ascii="宋体" w:hAnsi="宋体" w:cs="宋体"/>
          <w:spacing w:val="160"/>
          <w:szCs w:val="24"/>
          <w:highlight w:val="none"/>
        </w:rPr>
        <w:fldChar w:fldCharType="end"/>
      </w: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4"/>
        <w:numPr>
          <w:ilvl w:val="0"/>
          <w:numId w:val="2"/>
        </w:numPr>
        <w:spacing w:before="0" w:after="0" w:line="240" w:lineRule="auto"/>
        <w:ind w:left="0" w:leftChars="0"/>
        <w:sectPr>
          <w:footerReference r:id="rId5" w:type="default"/>
          <w:pgSz w:w="11906" w:h="16838"/>
          <w:pgMar w:top="1440" w:right="1080" w:bottom="1440" w:left="1080" w:header="851" w:footer="992" w:gutter="0"/>
          <w:pgNumType w:fmt="decimal"/>
          <w:cols w:space="425" w:num="1"/>
          <w:docGrid w:linePitch="312" w:charSpace="0"/>
        </w:sectPr>
      </w:pPr>
      <w:bookmarkStart w:id="0" w:name="_Toc21151"/>
      <w:bookmarkStart w:id="1" w:name="_Toc456718476"/>
    </w:p>
    <w:p>
      <w:pPr>
        <w:pStyle w:val="4"/>
        <w:numPr>
          <w:ilvl w:val="0"/>
          <w:numId w:val="2"/>
        </w:numPr>
        <w:spacing w:before="0" w:after="0" w:line="240" w:lineRule="auto"/>
        <w:ind w:left="0" w:leftChars="0"/>
      </w:pPr>
      <w:r>
        <w:rPr>
          <w:rFonts w:hint="eastAsia"/>
          <w:lang w:val="en-US" w:eastAsia="zh-CN"/>
        </w:rPr>
        <w:t xml:space="preserve"> </w:t>
      </w:r>
      <w:bookmarkStart w:id="2" w:name="_Toc6342"/>
      <w:bookmarkStart w:id="3" w:name="_Toc4209"/>
      <w:r>
        <w:rPr>
          <w:rFonts w:hint="eastAsia"/>
        </w:rPr>
        <w:t>竞争性磋商</w:t>
      </w:r>
      <w:bookmarkEnd w:id="0"/>
      <w:r>
        <w:rPr>
          <w:rFonts w:hint="eastAsia"/>
          <w:lang w:eastAsia="zh-CN"/>
        </w:rPr>
        <w:t>公告</w:t>
      </w:r>
      <w:bookmarkEnd w:id="2"/>
      <w:bookmarkEnd w:id="3"/>
    </w:p>
    <w:p>
      <w:pPr>
        <w:rPr>
          <w:rFonts w:hint="eastAsia"/>
          <w:lang w:eastAsia="zh-CN"/>
        </w:rPr>
      </w:pPr>
    </w:p>
    <w:p>
      <w:pPr>
        <w:pStyle w:val="4"/>
        <w:keepNext/>
        <w:keepLines/>
        <w:pageBreakBefore w:val="0"/>
        <w:widowControl w:val="0"/>
        <w:tabs>
          <w:tab w:val="left" w:pos="0"/>
        </w:tabs>
        <w:kinsoku/>
        <w:wordWrap/>
        <w:overflowPunct/>
        <w:topLinePunct w:val="0"/>
        <w:autoSpaceDE w:val="0"/>
        <w:autoSpaceDN w:val="0"/>
        <w:bidi w:val="0"/>
        <w:adjustRightInd w:val="0"/>
        <w:snapToGrid/>
        <w:spacing w:before="0" w:beforeAutospacing="0" w:after="0" w:afterAutospacing="0" w:line="240" w:lineRule="auto"/>
        <w:jc w:val="center"/>
        <w:textAlignment w:val="auto"/>
      </w:pPr>
      <w:bookmarkStart w:id="4" w:name="_Toc35393797"/>
      <w:bookmarkStart w:id="5" w:name="_Toc28359011"/>
      <w:r>
        <w:rPr>
          <w:rFonts w:hint="eastAsia" w:ascii="黑体" w:hAnsi="黑体" w:eastAsia="黑体" w:cs="黑体"/>
          <w:lang w:val="en-US" w:eastAsia="zh-CN"/>
        </w:rPr>
        <w:t>乌什县殡仪馆火化设施及设备采购项目竞争性磋商</w:t>
      </w:r>
      <w:r>
        <w:rPr>
          <w:rFonts w:hint="eastAsia" w:ascii="黑体" w:hAnsi="黑体" w:eastAsia="黑体" w:cs="黑体"/>
        </w:rPr>
        <w:t>公告</w:t>
      </w:r>
      <w:bookmarkEnd w:id="4"/>
      <w:bookmarkEnd w:id="5"/>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u w:val="single"/>
          <w:lang w:val="en-US" w:eastAsia="zh-CN"/>
        </w:rPr>
      </w:pPr>
      <w:bookmarkStart w:id="6" w:name="_Toc28359012"/>
      <w:bookmarkStart w:id="7" w:name="_Toc35393629"/>
      <w:bookmarkStart w:id="8" w:name="_Toc28359089"/>
      <w:bookmarkStart w:id="9" w:name="_Toc35393798"/>
      <w:r>
        <w:rPr>
          <w:rFonts w:hint="eastAsia" w:ascii="仿宋_GB2312" w:hAnsi="仿宋_GB2312" w:eastAsia="仿宋_GB2312" w:cs="仿宋_GB2312"/>
          <w:sz w:val="28"/>
          <w:szCs w:val="28"/>
          <w:u w:val="single"/>
          <w:lang w:val="en-US" w:eastAsia="zh-CN"/>
        </w:rPr>
        <w:t>乌什县殡仪馆火化设施及设备采购项目的潜在供应商应在政采云网上自主注册后报名获取采购文件，</w:t>
      </w:r>
      <w:r>
        <w:rPr>
          <w:rFonts w:hint="eastAsia" w:ascii="仿宋_GB2312" w:hAnsi="仿宋_GB2312" w:eastAsia="仿宋_GB2312" w:cs="仿宋_GB2312"/>
          <w:color w:val="auto"/>
          <w:sz w:val="28"/>
          <w:szCs w:val="28"/>
          <w:u w:val="single"/>
          <w:lang w:val="en-US" w:eastAsia="zh-CN"/>
        </w:rPr>
        <w:t>并于2021年11月4日11点00分（北京时间）前提交响应文件。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Style w:val="37"/>
          <w:rFonts w:hint="eastAsia" w:ascii="仿宋_GB2312" w:hAnsi="仿宋_GB2312" w:eastAsia="仿宋_GB2312" w:cs="仿宋_GB2312"/>
          <w:kern w:val="0"/>
          <w:sz w:val="28"/>
          <w:szCs w:val="28"/>
          <w:lang w:val="en-US" w:eastAsia="zh-CN" w:bidi="ar-SA"/>
        </w:rPr>
      </w:pPr>
      <w:r>
        <w:rPr>
          <w:rStyle w:val="37"/>
          <w:rFonts w:hint="eastAsia" w:ascii="仿宋_GB2312" w:hAnsi="仿宋_GB2312" w:eastAsia="仿宋_GB2312" w:cs="仿宋_GB2312"/>
          <w:kern w:val="0"/>
          <w:sz w:val="28"/>
          <w:szCs w:val="28"/>
          <w:lang w:val="en-US" w:eastAsia="zh-CN" w:bidi="ar-SA"/>
        </w:rPr>
        <w:t>一、项目基本情况</w:t>
      </w:r>
      <w:bookmarkEnd w:id="6"/>
      <w:bookmarkEnd w:id="7"/>
      <w:bookmarkEnd w:id="8"/>
      <w:bookmarkEnd w:id="9"/>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项目编号：WSX[2021]-285</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项目名称：乌什县殡仪馆火化设施及设备采购项目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采购方式：竞争性磋商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预算金额：1599042.26</w:t>
      </w:r>
      <w:r>
        <w:rPr>
          <w:rFonts w:hint="eastAsia" w:ascii="仿宋" w:hAnsi="仿宋" w:eastAsia="仿宋"/>
          <w:color w:val="auto"/>
          <w:sz w:val="28"/>
          <w:szCs w:val="28"/>
          <w:lang w:val="en-US" w:eastAsia="zh-CN"/>
        </w:rPr>
        <w:t>元（大写：壹佰伍拾玖万玖仟零肆拾贰元贰角陆分）</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最高限价：1599042.26</w:t>
      </w:r>
      <w:r>
        <w:rPr>
          <w:rFonts w:hint="eastAsia" w:ascii="仿宋" w:hAnsi="仿宋" w:eastAsia="仿宋"/>
          <w:color w:val="auto"/>
          <w:sz w:val="28"/>
          <w:szCs w:val="28"/>
          <w:lang w:val="en-US" w:eastAsia="zh-CN"/>
        </w:rPr>
        <w:t>元（大写：壹佰伍拾玖万玖仟零肆拾贰元贰角陆分）</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采购需求：</w:t>
      </w:r>
    </w:p>
    <w:tbl>
      <w:tblPr>
        <w:tblStyle w:val="33"/>
        <w:tblW w:w="90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44"/>
        <w:gridCol w:w="1514"/>
        <w:gridCol w:w="865"/>
        <w:gridCol w:w="1898"/>
        <w:gridCol w:w="768"/>
        <w:gridCol w:w="2296"/>
        <w:gridCol w:w="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8" w:hRule="atLeast"/>
        </w:trPr>
        <w:tc>
          <w:tcPr>
            <w:tcW w:w="114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280" w:firstLine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标项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280" w:firstLine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序号</w:t>
            </w:r>
          </w:p>
        </w:tc>
        <w:tc>
          <w:tcPr>
            <w:tcW w:w="151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280" w:firstLine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标项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280" w:firstLine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名称</w:t>
            </w:r>
          </w:p>
        </w:tc>
        <w:tc>
          <w:tcPr>
            <w:tcW w:w="86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数量</w:t>
            </w:r>
          </w:p>
        </w:tc>
        <w:tc>
          <w:tcPr>
            <w:tcW w:w="189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left="280" w:hanging="280" w:hanging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预算金额(元)</w:t>
            </w:r>
          </w:p>
        </w:tc>
        <w:tc>
          <w:tcPr>
            <w:tcW w:w="76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单位</w:t>
            </w:r>
          </w:p>
        </w:tc>
        <w:tc>
          <w:tcPr>
            <w:tcW w:w="229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简要规格描述</w:t>
            </w:r>
          </w:p>
        </w:tc>
        <w:tc>
          <w:tcPr>
            <w:tcW w:w="60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50" w:hRule="atLeast"/>
        </w:trPr>
        <w:tc>
          <w:tcPr>
            <w:tcW w:w="114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151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乌什县殡仪馆火化设施及设备采购项目</w:t>
            </w:r>
          </w:p>
        </w:tc>
        <w:tc>
          <w:tcPr>
            <w:tcW w:w="86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280" w:firstLineChars="1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189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1599042.26</w:t>
            </w:r>
          </w:p>
        </w:tc>
        <w:tc>
          <w:tcPr>
            <w:tcW w:w="76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批</w:t>
            </w:r>
          </w:p>
        </w:tc>
        <w:tc>
          <w:tcPr>
            <w:tcW w:w="229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本工程为乌什县殡仪馆火化设施及设备采购项目；火化间建筑面积132.02㎡，建筑高度为8.15m，结构形式为框架结构</w:t>
            </w:r>
          </w:p>
        </w:tc>
        <w:tc>
          <w:tcPr>
            <w:tcW w:w="60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w:t>
            </w:r>
          </w:p>
        </w:tc>
      </w:tr>
    </w:tbl>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rPr>
      </w:pPr>
      <w:bookmarkStart w:id="10" w:name="_Toc28359014"/>
      <w:bookmarkStart w:id="11" w:name="_Toc28359091"/>
      <w:bookmarkStart w:id="12" w:name="_Toc35393631"/>
      <w:bookmarkStart w:id="13" w:name="_Toc35393800"/>
      <w:r>
        <w:rPr>
          <w:rFonts w:hint="eastAsia" w:ascii="仿宋_GB2312" w:hAnsi="仿宋_GB2312" w:eastAsia="仿宋_GB2312" w:cs="仿宋_GB2312"/>
          <w:color w:val="auto"/>
          <w:sz w:val="28"/>
          <w:szCs w:val="28"/>
        </w:rPr>
        <w:t>合同履约期限：</w:t>
      </w:r>
      <w:r>
        <w:rPr>
          <w:rFonts w:hint="eastAsia" w:ascii="仿宋_GB2312" w:hAnsi="仿宋_GB2312" w:eastAsia="仿宋_GB2312" w:cs="仿宋_GB2312"/>
          <w:color w:val="auto"/>
          <w:sz w:val="28"/>
          <w:szCs w:val="28"/>
          <w:lang w:val="en-US" w:eastAsia="zh-CN"/>
        </w:rPr>
        <w:t>自合同签订之日起30日历天</w:t>
      </w:r>
      <w:r>
        <w:rPr>
          <w:rFonts w:hint="eastAsia" w:ascii="仿宋_GB2312" w:hAnsi="仿宋_GB2312" w:eastAsia="仿宋_GB2312" w:cs="仿宋_GB2312"/>
          <w:color w:val="auto"/>
          <w:sz w:val="28"/>
          <w:szCs w:val="28"/>
        </w:rPr>
        <w:t> </w:t>
      </w:r>
    </w:p>
    <w:p>
      <w:pPr>
        <w:pageBreakBefore w:val="0"/>
        <w:kinsoku/>
        <w:overflowPunct/>
        <w:topLinePunct w:val="0"/>
        <w:bidi w:val="0"/>
        <w:snapToGrid/>
        <w:spacing w:beforeAutospacing="0" w:afterAutospacing="0"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val="en-US" w:eastAsia="zh-CN"/>
        </w:rPr>
        <w:t>不</w:t>
      </w:r>
      <w:r>
        <w:rPr>
          <w:rFonts w:hint="eastAsia" w:ascii="仿宋" w:hAnsi="仿宋" w:eastAsia="仿宋"/>
          <w:sz w:val="28"/>
          <w:szCs w:val="28"/>
        </w:rPr>
        <w:t>接受联合体</w:t>
      </w:r>
      <w:r>
        <w:rPr>
          <w:rFonts w:hint="eastAsia" w:ascii="仿宋" w:hAnsi="仿宋" w:eastAsia="仿宋"/>
          <w:sz w:val="28"/>
          <w:szCs w:val="28"/>
          <w:lang w:val="en-US" w:eastAsia="zh-CN"/>
        </w:rPr>
        <w:t>投标</w:t>
      </w:r>
      <w:r>
        <w:rPr>
          <w:rFonts w:hint="eastAsia" w:ascii="仿宋" w:hAnsi="仿宋" w:eastAsia="仿宋"/>
          <w:sz w:val="28"/>
          <w:szCs w:val="28"/>
        </w:rPr>
        <w:t>。</w:t>
      </w:r>
    </w:p>
    <w:p>
      <w:pPr>
        <w:pStyle w:val="2"/>
        <w:ind w:left="0" w:leftChars="0" w:firstLine="0" w:firstLineChars="0"/>
        <w:rPr>
          <w:rFonts w:hint="eastAsia"/>
        </w:rPr>
      </w:pPr>
      <w:r>
        <w:rPr>
          <w:rStyle w:val="37"/>
          <w:rFonts w:hint="eastAsia" w:ascii="仿宋_GB2312" w:hAnsi="仿宋_GB2312" w:eastAsia="仿宋_GB2312" w:cs="仿宋_GB2312"/>
          <w:kern w:val="0"/>
          <w:sz w:val="28"/>
          <w:szCs w:val="28"/>
          <w:lang w:val="en-US" w:eastAsia="zh-CN" w:bidi="ar-SA"/>
        </w:rPr>
        <w:t>二、申请人的资格要求：</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（1）《新疆维吾尔自治区政府采购促进中小企业发展管理实施办法》（新财规〔2021〕6号）；</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（3）《国务院办公厅关于建立政府强制采购节能产品制度的通知》（国发办[2007]51号）；</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（4）《财政部 民政部 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3、本项目的特定资格要求：</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（1）有效经年检的营业执照；</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default"/>
          <w:color w:val="0000FF"/>
          <w:sz w:val="28"/>
          <w:szCs w:val="28"/>
          <w:lang w:val="en-US" w:eastAsia="zh-CN"/>
        </w:rPr>
      </w:pPr>
      <w:r>
        <w:rPr>
          <w:rFonts w:hint="eastAsia" w:ascii="仿宋_GB2312" w:hAnsi="仿宋_GB2312" w:eastAsia="仿宋_GB2312" w:cs="仿宋_GB2312"/>
          <w:color w:val="auto"/>
          <w:sz w:val="28"/>
          <w:szCs w:val="28"/>
          <w:lang w:val="en-US" w:eastAsia="zh-CN"/>
        </w:rPr>
        <w:t>（2）具备建筑工程施工总承包叁级及以上资质，有效的安全生产许可证，项目负责人需具备建筑工程专业二级及以上注册建造师资格及有效的安全生产考核合格证书，且未担任其他在建建设工程项目的项目经理;外省投标企业须提供《新疆维吾尔自治区区外建设工程企业信息登记册》或新疆工程建设云下载审核通过的信息报送册，且项目负责人须为《新疆维吾尔自治区区外建设工程企业信息登记册》或新疆工程建设云下载审核通过的信息报送册中备案人员。</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供应商如在“信用中国”网站、中国政府采购网、国家企业信用信息公示系统被列入严重违法失信行为记录名单的（尚在处罚期内的），将拒绝其参加本次政府采购活动﹙投标人网上自行打印后加盖投标单位公章﹚；</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（4）相互关联存在实际控制、管理关系的两个企业，不得参加同一项目的投标；</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Style w:val="37"/>
          <w:rFonts w:hint="eastAsia" w:ascii="仿宋_GB2312" w:hAnsi="仿宋_GB2312" w:eastAsia="仿宋_GB2312" w:cs="仿宋_GB2312"/>
          <w:kern w:val="0"/>
          <w:sz w:val="28"/>
          <w:szCs w:val="28"/>
          <w:lang w:val="en-US" w:eastAsia="zh-CN" w:bidi="ar-SA"/>
        </w:rPr>
      </w:pPr>
      <w:r>
        <w:rPr>
          <w:rStyle w:val="37"/>
          <w:rFonts w:hint="eastAsia" w:ascii="仿宋_GB2312" w:hAnsi="仿宋_GB2312" w:eastAsia="仿宋_GB2312" w:cs="仿宋_GB2312"/>
          <w:kern w:val="0"/>
          <w:sz w:val="28"/>
          <w:szCs w:val="28"/>
          <w:lang w:val="en-US" w:eastAsia="zh-CN" w:bidi="ar-SA"/>
        </w:rPr>
        <w:t>三、获取采购文件</w:t>
      </w:r>
      <w:bookmarkEnd w:id="10"/>
      <w:bookmarkEnd w:id="11"/>
      <w:bookmarkEnd w:id="12"/>
      <w:bookmarkEnd w:id="13"/>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时间：2021年10月25日至2021年10月29日，每天上午10：00至14:00，下午15:30至19:30（北京时间，法定节假日除外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地点：政采云平台报名成功后获取</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方式：政采云报名成功后自行下载采购文件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售价：0元</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Style w:val="37"/>
          <w:rFonts w:hint="eastAsia" w:ascii="仿宋_GB2312" w:hAnsi="仿宋_GB2312" w:eastAsia="仿宋_GB2312" w:cs="仿宋_GB2312"/>
          <w:kern w:val="0"/>
          <w:sz w:val="28"/>
          <w:szCs w:val="28"/>
          <w:lang w:val="en-US" w:eastAsia="zh-CN" w:bidi="ar-SA"/>
        </w:rPr>
      </w:pPr>
      <w:bookmarkStart w:id="14" w:name="_Toc35393632"/>
      <w:bookmarkStart w:id="15" w:name="_Toc28359015"/>
      <w:bookmarkStart w:id="16" w:name="_Toc35393801"/>
      <w:bookmarkStart w:id="17" w:name="_Toc28359092"/>
      <w:r>
        <w:rPr>
          <w:rStyle w:val="37"/>
          <w:rFonts w:hint="eastAsia" w:ascii="仿宋_GB2312" w:hAnsi="仿宋_GB2312" w:eastAsia="仿宋_GB2312" w:cs="仿宋_GB2312"/>
          <w:kern w:val="0"/>
          <w:sz w:val="28"/>
          <w:szCs w:val="28"/>
          <w:lang w:val="en-US" w:eastAsia="zh-CN" w:bidi="ar-SA"/>
        </w:rPr>
        <w:t>四、响应文件提交</w:t>
      </w:r>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0000FF"/>
          <w:sz w:val="28"/>
          <w:szCs w:val="28"/>
          <w:lang w:val="en-US" w:eastAsia="zh-CN"/>
        </w:rPr>
      </w:pPr>
      <w:r>
        <w:rPr>
          <w:rFonts w:hint="eastAsia" w:ascii="仿宋_GB2312" w:hAnsi="仿宋_GB2312" w:eastAsia="仿宋_GB2312" w:cs="仿宋_GB2312"/>
          <w:color w:val="auto"/>
          <w:sz w:val="28"/>
          <w:szCs w:val="28"/>
          <w:lang w:val="en-US" w:eastAsia="zh-CN"/>
        </w:rPr>
        <w:t>截止时间：2021年11月4日11点00分（北京时间）</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地点：</w:t>
      </w:r>
      <w:bookmarkStart w:id="18" w:name="_Toc35393802"/>
      <w:bookmarkStart w:id="19" w:name="_Toc28359016"/>
      <w:bookmarkStart w:id="20" w:name="_Toc35393633"/>
      <w:bookmarkStart w:id="21" w:name="_Toc28359093"/>
      <w:r>
        <w:rPr>
          <w:rFonts w:hint="eastAsia" w:ascii="仿宋_GB2312" w:hAnsi="仿宋_GB2312" w:eastAsia="仿宋_GB2312" w:cs="仿宋_GB2312"/>
          <w:color w:val="auto"/>
          <w:sz w:val="28"/>
          <w:szCs w:val="28"/>
          <w:lang w:val="en-US" w:eastAsia="zh-CN"/>
        </w:rPr>
        <w:t>乌什县政务服务和公共资源交易中心三楼开标大厅（乌什县原职业中学院内）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Style w:val="37"/>
          <w:rFonts w:hint="eastAsia" w:ascii="仿宋_GB2312" w:hAnsi="仿宋_GB2312" w:eastAsia="仿宋_GB2312" w:cs="仿宋_GB2312"/>
          <w:kern w:val="0"/>
          <w:sz w:val="28"/>
          <w:szCs w:val="28"/>
          <w:lang w:val="en-US" w:eastAsia="zh-CN" w:bidi="ar-SA"/>
        </w:rPr>
      </w:pPr>
      <w:r>
        <w:rPr>
          <w:rStyle w:val="37"/>
          <w:rFonts w:hint="eastAsia" w:ascii="仿宋_GB2312" w:hAnsi="仿宋_GB2312" w:eastAsia="仿宋_GB2312" w:cs="仿宋_GB2312"/>
          <w:kern w:val="0"/>
          <w:sz w:val="28"/>
          <w:szCs w:val="28"/>
          <w:lang w:val="en-US" w:eastAsia="zh-CN" w:bidi="ar-SA"/>
        </w:rPr>
        <w:t>五、响应文件开启</w:t>
      </w:r>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时间：2021年11月4日11点00分（北京时间）</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地点：</w:t>
      </w:r>
      <w:bookmarkStart w:id="22" w:name="_Toc35393634"/>
      <w:bookmarkStart w:id="23" w:name="_Toc35393803"/>
      <w:bookmarkStart w:id="24" w:name="_Toc28359017"/>
      <w:bookmarkStart w:id="25" w:name="_Toc28359094"/>
      <w:r>
        <w:rPr>
          <w:rFonts w:hint="eastAsia" w:ascii="仿宋_GB2312" w:hAnsi="仿宋_GB2312" w:eastAsia="仿宋_GB2312" w:cs="仿宋_GB2312"/>
          <w:color w:val="auto"/>
          <w:sz w:val="28"/>
          <w:szCs w:val="28"/>
          <w:lang w:val="en-US" w:eastAsia="zh-CN"/>
        </w:rPr>
        <w:t>乌什县政务服务和公共资源交易中心三楼开标大厅（乌什县原职业中学院内）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Style w:val="37"/>
          <w:rFonts w:hint="eastAsia" w:ascii="仿宋_GB2312" w:hAnsi="仿宋_GB2312" w:eastAsia="仿宋_GB2312" w:cs="仿宋_GB2312"/>
          <w:kern w:val="0"/>
          <w:sz w:val="28"/>
          <w:szCs w:val="28"/>
          <w:lang w:val="en-US" w:eastAsia="zh-CN" w:bidi="ar-SA"/>
        </w:rPr>
      </w:pPr>
      <w:r>
        <w:rPr>
          <w:rStyle w:val="37"/>
          <w:rFonts w:hint="eastAsia" w:ascii="仿宋_GB2312" w:hAnsi="仿宋_GB2312" w:eastAsia="仿宋_GB2312" w:cs="仿宋_GB2312"/>
          <w:kern w:val="0"/>
          <w:sz w:val="28"/>
          <w:szCs w:val="28"/>
          <w:lang w:val="en-US" w:eastAsia="zh-CN" w:bidi="ar-SA"/>
        </w:rPr>
        <w:t>六、公告期限</w:t>
      </w:r>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ascii="仿宋" w:hAnsi="仿宋" w:eastAsia="仿宋" w:cs="宋体"/>
          <w:kern w:val="0"/>
          <w:sz w:val="28"/>
          <w:szCs w:val="28"/>
        </w:rPr>
      </w:pPr>
      <w:r>
        <w:rPr>
          <w:rFonts w:hint="eastAsia" w:ascii="仿宋_GB2312" w:hAnsi="仿宋_GB2312" w:eastAsia="仿宋_GB2312" w:cs="仿宋_GB2312"/>
          <w:color w:val="auto"/>
          <w:sz w:val="28"/>
          <w:szCs w:val="28"/>
          <w:lang w:val="en-US" w:eastAsia="zh-CN"/>
        </w:rPr>
        <w:t>自本公告发布之日起5个工作日。</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Style w:val="37"/>
          <w:rFonts w:hint="eastAsia" w:ascii="仿宋_GB2312" w:hAnsi="仿宋_GB2312" w:eastAsia="仿宋_GB2312" w:cs="仿宋_GB2312"/>
          <w:kern w:val="0"/>
          <w:sz w:val="28"/>
          <w:szCs w:val="28"/>
          <w:lang w:val="en-US" w:eastAsia="zh-CN" w:bidi="ar-SA"/>
        </w:rPr>
      </w:pPr>
      <w:bookmarkStart w:id="26" w:name="_Toc35393804"/>
      <w:bookmarkStart w:id="27" w:name="_Toc35393635"/>
      <w:r>
        <w:rPr>
          <w:rStyle w:val="37"/>
          <w:rFonts w:hint="eastAsia" w:ascii="仿宋_GB2312" w:hAnsi="仿宋_GB2312" w:eastAsia="仿宋_GB2312" w:cs="仿宋_GB2312"/>
          <w:kern w:val="0"/>
          <w:sz w:val="28"/>
          <w:szCs w:val="28"/>
          <w:lang w:val="en-US" w:eastAsia="zh-CN" w:bidi="ar-SA"/>
        </w:rPr>
        <w:t>七、其他补充事宜</w:t>
      </w:r>
      <w:bookmarkEnd w:id="26"/>
      <w:bookmarkEnd w:id="27"/>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bookmarkStart w:id="28" w:name="_Toc28359018"/>
      <w:bookmarkStart w:id="29" w:name="_Toc35393805"/>
      <w:bookmarkStart w:id="30" w:name="_Toc35393636"/>
      <w:bookmarkStart w:id="31" w:name="_Toc28359095"/>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pacing w:val="-20"/>
          <w:sz w:val="28"/>
          <w:szCs w:val="28"/>
          <w:lang w:val="en-US" w:eastAsia="zh-CN"/>
        </w:rPr>
        <w:t>本次公告在新疆政府采购网、乌什县人民政府网及阿克苏政府网同时发布</w:t>
      </w: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2、请投标单位随时关注本项目的变更、答疑、澄清文件。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Style w:val="37"/>
          <w:rFonts w:hint="eastAsia" w:ascii="仿宋_GB2312" w:hAnsi="仿宋_GB2312" w:eastAsia="仿宋_GB2312" w:cs="仿宋_GB2312"/>
          <w:kern w:val="0"/>
          <w:sz w:val="28"/>
          <w:szCs w:val="28"/>
          <w:lang w:val="en-US" w:eastAsia="zh-CN" w:bidi="ar-SA"/>
        </w:rPr>
      </w:pPr>
      <w:r>
        <w:rPr>
          <w:rStyle w:val="37"/>
          <w:rFonts w:hint="eastAsia" w:ascii="仿宋_GB2312" w:hAnsi="仿宋_GB2312" w:eastAsia="仿宋_GB2312" w:cs="仿宋_GB2312"/>
          <w:kern w:val="0"/>
          <w:sz w:val="28"/>
          <w:szCs w:val="28"/>
          <w:lang w:val="en-US" w:eastAsia="zh-CN" w:bidi="ar-SA"/>
        </w:rPr>
        <w:t>八、凡对本次采购提出询问，请按以下方式联系。</w:t>
      </w:r>
      <w:bookmarkEnd w:id="28"/>
      <w:bookmarkEnd w:id="29"/>
      <w:bookmarkEnd w:id="30"/>
      <w:bookmarkEnd w:id="31"/>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bookmarkStart w:id="32" w:name="_Toc28359096"/>
      <w:bookmarkStart w:id="33" w:name="_Toc28359019"/>
      <w:bookmarkStart w:id="34" w:name="_Toc35393637"/>
      <w:bookmarkStart w:id="35" w:name="_Toc35393806"/>
      <w:r>
        <w:rPr>
          <w:rFonts w:hint="eastAsia" w:ascii="仿宋_GB2312" w:hAnsi="仿宋_GB2312" w:eastAsia="仿宋_GB2312" w:cs="仿宋_GB2312"/>
          <w:color w:val="auto"/>
          <w:sz w:val="28"/>
          <w:szCs w:val="28"/>
          <w:lang w:val="en-US" w:eastAsia="zh-CN"/>
        </w:rPr>
        <w:t>1、采购人信息</w:t>
      </w:r>
      <w:bookmarkEnd w:id="32"/>
      <w:bookmarkEnd w:id="33"/>
      <w:bookmarkEnd w:id="34"/>
      <w:bookmarkEnd w:id="35"/>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名    称：乌什县民政局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地    址：乌什县乌什镇新城路民政综合大楼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联系方式：15109970635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bookmarkStart w:id="36" w:name="_Toc35393638"/>
      <w:bookmarkStart w:id="37" w:name="_Toc28359020"/>
      <w:bookmarkStart w:id="38" w:name="_Toc28359097"/>
      <w:bookmarkStart w:id="39" w:name="_Toc35393807"/>
      <w:r>
        <w:rPr>
          <w:rFonts w:hint="eastAsia" w:ascii="仿宋_GB2312" w:hAnsi="仿宋_GB2312" w:eastAsia="仿宋_GB2312" w:cs="仿宋_GB2312"/>
          <w:color w:val="auto"/>
          <w:sz w:val="28"/>
          <w:szCs w:val="28"/>
          <w:lang w:val="en-US" w:eastAsia="zh-CN"/>
        </w:rPr>
        <w:t>2、采购代理机构信息</w:t>
      </w:r>
      <w:bookmarkEnd w:id="36"/>
      <w:bookmarkEnd w:id="37"/>
      <w:bookmarkEnd w:id="38"/>
      <w:bookmarkEnd w:id="39"/>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名    称：新疆好谋略城市建设咨询管理有限公司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　　址：阿克苏市红桥街道行署东院高层1栋2单元103室</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联系方式：0997-7777399</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bookmarkStart w:id="40" w:name="_Toc35393808"/>
      <w:bookmarkStart w:id="41" w:name="_Toc28359098"/>
      <w:bookmarkStart w:id="42" w:name="_Toc28359021"/>
      <w:bookmarkStart w:id="43" w:name="_Toc35393639"/>
      <w:r>
        <w:rPr>
          <w:rFonts w:hint="eastAsia" w:ascii="仿宋_GB2312" w:hAnsi="仿宋_GB2312" w:eastAsia="仿宋_GB2312" w:cs="仿宋_GB2312"/>
          <w:color w:val="auto"/>
          <w:sz w:val="28"/>
          <w:szCs w:val="28"/>
          <w:lang w:val="en-US" w:eastAsia="zh-CN"/>
        </w:rPr>
        <w:t>3、项目联系方式</w:t>
      </w:r>
      <w:bookmarkEnd w:id="40"/>
      <w:bookmarkEnd w:id="41"/>
      <w:bookmarkEnd w:id="42"/>
      <w:bookmarkEnd w:id="43"/>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项目联系人：赵丹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pPr>
      <w:r>
        <w:rPr>
          <w:rFonts w:hint="eastAsia" w:ascii="仿宋_GB2312" w:hAnsi="仿宋_GB2312" w:eastAsia="仿宋_GB2312" w:cs="仿宋_GB2312"/>
          <w:color w:val="auto"/>
          <w:sz w:val="28"/>
          <w:szCs w:val="28"/>
          <w:lang w:val="en-US" w:eastAsia="zh-CN"/>
        </w:rPr>
        <w:t>电　　 话：15569122015</w:t>
      </w: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4"/>
        <w:numPr>
          <w:ilvl w:val="0"/>
          <w:numId w:val="2"/>
        </w:numPr>
        <w:spacing w:before="0" w:after="0" w:line="240" w:lineRule="auto"/>
        <w:ind w:left="0" w:leftChars="0"/>
        <w:rPr>
          <w:rFonts w:hint="eastAsia"/>
          <w:lang w:val="en-US" w:eastAsia="zh-CN"/>
        </w:rPr>
      </w:pPr>
      <w:bookmarkStart w:id="44" w:name="_Toc1347"/>
      <w:bookmarkStart w:id="45" w:name="_Toc10571"/>
      <w:r>
        <w:rPr>
          <w:rFonts w:hint="eastAsia"/>
          <w:lang w:val="en-US" w:eastAsia="zh-CN"/>
        </w:rPr>
        <w:t xml:space="preserve"> </w:t>
      </w:r>
      <w:bookmarkStart w:id="46" w:name="_Toc22183"/>
      <w:bookmarkStart w:id="47" w:name="_Toc136"/>
      <w:r>
        <w:rPr>
          <w:rFonts w:hint="eastAsia"/>
        </w:rPr>
        <w:t>供应商须知</w:t>
      </w:r>
      <w:bookmarkEnd w:id="44"/>
      <w:bookmarkEnd w:id="45"/>
      <w:bookmarkEnd w:id="46"/>
      <w:bookmarkEnd w:id="47"/>
      <w:bookmarkStart w:id="48" w:name="_Toc21720"/>
    </w:p>
    <w:p>
      <w:pPr>
        <w:pStyle w:val="5"/>
        <w:jc w:val="center"/>
        <w:rPr>
          <w:rFonts w:hint="eastAsia"/>
        </w:rPr>
      </w:pPr>
      <w:r>
        <w:rPr>
          <w:rFonts w:hint="eastAsia"/>
        </w:rPr>
        <w:t>供应商须知前附表</w:t>
      </w:r>
      <w:bookmarkEnd w:id="48"/>
    </w:p>
    <w:tbl>
      <w:tblPr>
        <w:tblStyle w:val="33"/>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628"/>
        <w:gridCol w:w="6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blHeader/>
          <w:jc w:val="center"/>
        </w:trPr>
        <w:tc>
          <w:tcPr>
            <w:tcW w:w="971" w:type="dxa"/>
            <w:vAlign w:val="center"/>
          </w:tcPr>
          <w:p>
            <w:pPr>
              <w:adjustRightInd w:val="0"/>
              <w:snapToGrid w:val="0"/>
              <w:spacing w:before="120" w:beforeLines="50" w:line="240" w:lineRule="auto"/>
              <w:jc w:val="center"/>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序列号</w:t>
            </w:r>
          </w:p>
        </w:tc>
        <w:tc>
          <w:tcPr>
            <w:tcW w:w="2628" w:type="dxa"/>
            <w:vAlign w:val="center"/>
          </w:tcPr>
          <w:p>
            <w:pPr>
              <w:adjustRightInd w:val="0"/>
              <w:snapToGrid w:val="0"/>
              <w:spacing w:before="120" w:beforeLines="50" w:line="240" w:lineRule="auto"/>
              <w:jc w:val="center"/>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条款名称</w:t>
            </w:r>
          </w:p>
        </w:tc>
        <w:tc>
          <w:tcPr>
            <w:tcW w:w="6203" w:type="dxa"/>
            <w:vAlign w:val="center"/>
          </w:tcPr>
          <w:p>
            <w:pPr>
              <w:adjustRightInd w:val="0"/>
              <w:snapToGrid w:val="0"/>
              <w:spacing w:before="120" w:beforeLines="50" w:line="240" w:lineRule="auto"/>
              <w:jc w:val="center"/>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971"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1.1.1</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highlight w:val="green"/>
                <w:u w:val="none"/>
              </w:rPr>
            </w:pPr>
            <w:r>
              <w:rPr>
                <w:rFonts w:hint="eastAsia" w:ascii="宋体" w:hAnsi="宋体" w:eastAsia="宋体" w:cs="宋体"/>
                <w:b/>
                <w:bCs/>
                <w:color w:val="000000"/>
                <w:sz w:val="24"/>
                <w:szCs w:val="24"/>
                <w:u w:val="none"/>
              </w:rPr>
              <w:t>项目名称</w:t>
            </w:r>
          </w:p>
        </w:tc>
        <w:tc>
          <w:tcPr>
            <w:tcW w:w="6203" w:type="dxa"/>
            <w:vAlign w:val="center"/>
          </w:tcPr>
          <w:p>
            <w:pPr>
              <w:adjustRightInd w:val="0"/>
              <w:snapToGrid w:val="0"/>
              <w:spacing w:before="120" w:beforeLines="50" w:line="240" w:lineRule="auto"/>
              <w:jc w:val="left"/>
              <w:rPr>
                <w:rFonts w:hint="eastAsia" w:ascii="宋体" w:hAnsi="宋体" w:eastAsia="宋体" w:cs="宋体"/>
                <w:color w:val="000000"/>
                <w:sz w:val="24"/>
                <w:szCs w:val="24"/>
                <w:highlight w:val="none"/>
                <w:u w:val="none"/>
                <w:lang w:val="en-US"/>
              </w:rPr>
            </w:pPr>
            <w:r>
              <w:rPr>
                <w:rFonts w:hint="eastAsia" w:ascii="宋体" w:hAnsi="宋体" w:cs="宋体"/>
                <w:color w:val="000000"/>
                <w:sz w:val="24"/>
                <w:szCs w:val="24"/>
                <w:highlight w:val="none"/>
                <w:u w:val="none"/>
                <w:lang w:val="en-US" w:eastAsia="zh-CN"/>
              </w:rPr>
              <w:t>乌什县殡仪馆火化设施及设备采购项目</w:t>
            </w:r>
            <w:r>
              <w:rPr>
                <w:rFonts w:hint="eastAsia" w:ascii="宋体" w:hAnsi="宋体" w:eastAsia="宋体" w:cs="宋体"/>
                <w:color w:val="000000"/>
                <w:sz w:val="24"/>
                <w:szCs w:val="24"/>
                <w:highlight w:val="none"/>
                <w:u w:val="none"/>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971"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1.2.1</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采购人</w:t>
            </w:r>
          </w:p>
        </w:tc>
        <w:tc>
          <w:tcPr>
            <w:tcW w:w="6203"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名称：乌什县民政局               </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地址：乌什县乌什镇新城路民政综合大楼              </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联系人：杨小强 </w:t>
            </w:r>
          </w:p>
          <w:p>
            <w:pPr>
              <w:pStyle w:val="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en-US" w:eastAsia="zh-CN"/>
              </w:rPr>
              <w:t xml:space="preserve">电话：15109970635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971"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1.2.2</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采购代理机构</w:t>
            </w:r>
          </w:p>
        </w:tc>
        <w:tc>
          <w:tcPr>
            <w:tcW w:w="6203" w:type="dxa"/>
            <w:vAlign w:val="center"/>
          </w:tcPr>
          <w:p>
            <w:pPr>
              <w:pStyle w:val="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 xml:space="preserve">名称：新疆好谋略城市建设咨询管理有限公司                            </w:t>
            </w:r>
          </w:p>
          <w:p>
            <w:pPr>
              <w:pStyle w:val="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 xml:space="preserve">地址：阿克苏市红桥街道行署东院高层1栋2单元103室                    </w:t>
            </w:r>
          </w:p>
          <w:p>
            <w:pPr>
              <w:pStyle w:val="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 xml:space="preserve">联系人：赵丹            </w:t>
            </w:r>
          </w:p>
          <w:p>
            <w:pPr>
              <w:pStyle w:val="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 xml:space="preserve">电话：15569122015 </w:t>
            </w:r>
            <w:r>
              <w:rPr>
                <w:rFonts w:hint="eastAsia" w:ascii="宋体" w:hAnsi="宋体" w:eastAsia="宋体" w:cs="宋体"/>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971"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1.2.3</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监管部门</w:t>
            </w:r>
          </w:p>
        </w:tc>
        <w:tc>
          <w:tcPr>
            <w:tcW w:w="6203"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zh-CN" w:eastAsia="zh-CN"/>
              </w:rPr>
              <w:t>名  称：</w:t>
            </w:r>
            <w:r>
              <w:rPr>
                <w:rFonts w:hint="eastAsia" w:ascii="宋体" w:hAnsi="宋体" w:eastAsia="宋体" w:cs="宋体"/>
                <w:kern w:val="0"/>
                <w:sz w:val="24"/>
                <w:lang w:val="en-US" w:eastAsia="zh-CN"/>
              </w:rPr>
              <w:t xml:space="preserve">乌什县财政局采购办                             </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zh-CN" w:eastAsia="zh-CN"/>
              </w:rPr>
              <w:t>地  址：</w:t>
            </w:r>
            <w:r>
              <w:rPr>
                <w:rFonts w:hint="eastAsia" w:ascii="宋体" w:hAnsi="宋体" w:eastAsia="宋体" w:cs="宋体"/>
                <w:color w:val="auto"/>
                <w:sz w:val="24"/>
                <w:lang w:val="en-US" w:eastAsia="zh-CN"/>
              </w:rPr>
              <w:t>乌什县新城路</w:t>
            </w:r>
            <w:r>
              <w:rPr>
                <w:rFonts w:hint="eastAsia" w:ascii="宋体" w:hAnsi="宋体" w:eastAsia="宋体" w:cs="宋体"/>
                <w:kern w:val="0"/>
                <w:sz w:val="24"/>
                <w:lang w:val="en-US" w:eastAsia="zh-CN"/>
              </w:rPr>
              <w:t xml:space="preserve">                              </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zh-CN" w:eastAsia="zh-CN"/>
              </w:rPr>
              <w:t>电  话：</w:t>
            </w:r>
            <w:r>
              <w:rPr>
                <w:rFonts w:hint="eastAsia" w:ascii="宋体" w:hAnsi="宋体" w:eastAsia="宋体" w:cs="宋体"/>
                <w:color w:val="auto"/>
                <w:sz w:val="24"/>
              </w:rPr>
              <w:t>0997-5323876</w:t>
            </w:r>
            <w:r>
              <w:rPr>
                <w:rFonts w:hint="eastAsia" w:ascii="宋体" w:hAnsi="宋体" w:eastAsia="宋体" w:cs="宋体"/>
                <w:kern w:val="0"/>
                <w:sz w:val="24"/>
                <w:lang w:val="en-US" w:eastAsia="zh-CN"/>
              </w:rPr>
              <w:t xml:space="preserve">                               </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联系人：</w:t>
            </w:r>
            <w:r>
              <w:rPr>
                <w:rFonts w:hint="eastAsia" w:ascii="宋体" w:hAnsi="宋体" w:eastAsia="宋体" w:cs="宋体"/>
                <w:color w:val="auto"/>
                <w:sz w:val="24"/>
              </w:rPr>
              <w:t>约热古丽</w:t>
            </w:r>
            <w:r>
              <w:rPr>
                <w:rFonts w:hint="eastAsia" w:ascii="宋体" w:hAnsi="宋体" w:eastAsia="宋体" w:cs="宋体"/>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1.4.1</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cs="Times New Roman" w:asciiTheme="majorEastAsia" w:hAnsiTheme="majorEastAsia" w:eastAsiaTheme="majorEastAsia"/>
                <w:sz w:val="28"/>
                <w:szCs w:val="28"/>
              </w:rPr>
              <w:t>★</w:t>
            </w:r>
            <w:r>
              <w:rPr>
                <w:rFonts w:hint="eastAsia" w:ascii="宋体" w:hAnsi="宋体" w:eastAsia="宋体" w:cs="宋体"/>
                <w:b/>
                <w:bCs/>
                <w:color w:val="000000"/>
                <w:sz w:val="24"/>
                <w:szCs w:val="24"/>
                <w:u w:val="none"/>
              </w:rPr>
              <w:t>供应商资格</w:t>
            </w:r>
            <w:r>
              <w:rPr>
                <w:rFonts w:hint="eastAsia" w:ascii="宋体" w:hAnsi="宋体" w:cs="宋体"/>
                <w:b/>
                <w:bCs/>
                <w:color w:val="000000"/>
                <w:sz w:val="24"/>
                <w:szCs w:val="24"/>
                <w:u w:val="none"/>
                <w:lang w:eastAsia="zh-CN"/>
              </w:rPr>
              <w:t>要求</w:t>
            </w:r>
          </w:p>
        </w:tc>
        <w:tc>
          <w:tcPr>
            <w:tcW w:w="6203" w:type="dxa"/>
            <w:vAlign w:val="center"/>
          </w:tcPr>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2、落实政府采购政策需满足的资格要求：</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（1）《新疆维吾尔自治区政府采购促进中小企业发展管理实施办法》（新财规〔2021〕6号）；</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（3）《国务院办公厅关于建立政府强制采购节能产品制度的通知》（国发办[2007]51号）；</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（4）《财政部 民政部 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3、本项目的特定资格要求：</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（1）有效经年检的营业执照；</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2）具备建筑工程施工总承包叁级及以上资质，有效的安全生产许可证，项目负责人需具备建筑工程专业二级及以上注册建造师资格及有效的安全生产考核合格证书，且未担任其他在建建设工程项目的项目经理;外省投标企业须提供《新疆维吾尔自治区区外建设工程企业信息登记册》或新疆工程建设云下载审核通过的信息报送册，且项目负责人须为《新疆维吾尔自治区区外建设工程企业信息登记册》或新疆工程建设云下载审核通过的信息报送册中备案人员。</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（3）供应商如在“信用中国”网站、</w:t>
            </w:r>
            <w:r>
              <w:rPr>
                <w:rFonts w:hint="eastAsia" w:ascii="宋体" w:hAnsi="宋体" w:cs="宋体"/>
                <w:color w:val="000000"/>
                <w:sz w:val="24"/>
                <w:szCs w:val="24"/>
                <w:u w:val="none"/>
                <w:lang w:val="en-US" w:eastAsia="zh-CN"/>
              </w:rPr>
              <w:t>“</w:t>
            </w:r>
            <w:r>
              <w:rPr>
                <w:rFonts w:hint="eastAsia" w:ascii="宋体" w:hAnsi="宋体" w:eastAsia="宋体" w:cs="宋体"/>
                <w:color w:val="000000"/>
                <w:sz w:val="24"/>
                <w:szCs w:val="24"/>
                <w:u w:val="none"/>
                <w:lang w:val="en-US" w:eastAsia="zh-CN"/>
              </w:rPr>
              <w:t>中国政府采购网</w:t>
            </w:r>
            <w:r>
              <w:rPr>
                <w:rFonts w:hint="eastAsia" w:ascii="宋体" w:hAnsi="宋体" w:cs="宋体"/>
                <w:color w:val="000000"/>
                <w:sz w:val="24"/>
                <w:szCs w:val="24"/>
                <w:u w:val="none"/>
                <w:lang w:val="en-US" w:eastAsia="zh-CN"/>
              </w:rPr>
              <w:t>”</w:t>
            </w:r>
            <w:r>
              <w:rPr>
                <w:rFonts w:hint="eastAsia" w:ascii="宋体" w:hAnsi="宋体" w:eastAsia="宋体" w:cs="宋体"/>
                <w:color w:val="000000"/>
                <w:sz w:val="24"/>
                <w:szCs w:val="24"/>
                <w:u w:val="none"/>
                <w:lang w:val="en-US" w:eastAsia="zh-CN"/>
              </w:rPr>
              <w:t>、</w:t>
            </w:r>
            <w:r>
              <w:rPr>
                <w:rFonts w:hint="eastAsia" w:ascii="宋体" w:hAnsi="宋体" w:cs="宋体"/>
                <w:color w:val="000000"/>
                <w:sz w:val="24"/>
                <w:szCs w:val="24"/>
                <w:u w:val="none"/>
                <w:lang w:val="en-US" w:eastAsia="zh-CN"/>
              </w:rPr>
              <w:t>“</w:t>
            </w:r>
            <w:r>
              <w:rPr>
                <w:rFonts w:hint="eastAsia" w:ascii="宋体" w:hAnsi="宋体" w:eastAsia="宋体" w:cs="宋体"/>
                <w:color w:val="000000"/>
                <w:sz w:val="24"/>
                <w:szCs w:val="24"/>
                <w:u w:val="none"/>
                <w:lang w:val="en-US" w:eastAsia="zh-CN"/>
              </w:rPr>
              <w:t>国家企业信用信息公示系统</w:t>
            </w:r>
            <w:r>
              <w:rPr>
                <w:rFonts w:hint="eastAsia" w:ascii="宋体" w:hAnsi="宋体" w:cs="宋体"/>
                <w:color w:val="000000"/>
                <w:sz w:val="24"/>
                <w:szCs w:val="24"/>
                <w:u w:val="none"/>
                <w:lang w:val="en-US" w:eastAsia="zh-CN"/>
              </w:rPr>
              <w:t>”</w:t>
            </w:r>
            <w:r>
              <w:rPr>
                <w:rFonts w:hint="eastAsia" w:ascii="宋体" w:hAnsi="宋体" w:eastAsia="宋体" w:cs="宋体"/>
                <w:color w:val="000000"/>
                <w:sz w:val="24"/>
                <w:szCs w:val="24"/>
                <w:u w:val="none"/>
                <w:lang w:val="en-US" w:eastAsia="zh-CN"/>
              </w:rPr>
              <w:t>被列入严重违法失信行为记录名单的（尚在处罚期内的），将拒绝其参加本次政府采购活动﹙投标人网上自行打印后加盖投标单位公章﹚；</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 xml:space="preserve">（4）相互关联存在实际控制、管理关系的两个企业，不得参加同一项目的投标。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1.5</w:t>
            </w:r>
          </w:p>
        </w:tc>
        <w:tc>
          <w:tcPr>
            <w:tcW w:w="2628" w:type="dxa"/>
            <w:vAlign w:val="center"/>
          </w:tcPr>
          <w:p>
            <w:pPr>
              <w:adjustRightInd w:val="0"/>
              <w:snapToGrid w:val="0"/>
              <w:spacing w:before="156" w:beforeLines="50"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auto"/>
                <w:sz w:val="24"/>
                <w:szCs w:val="24"/>
                <w:highlight w:val="none"/>
                <w:lang w:eastAsia="zh-CN"/>
              </w:rPr>
              <w:t>是否接受联合体投标</w:t>
            </w:r>
          </w:p>
        </w:tc>
        <w:tc>
          <w:tcPr>
            <w:tcW w:w="6203"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☑不接受</w:t>
            </w:r>
          </w:p>
          <w:p>
            <w:pPr>
              <w:pStyle w:val="2"/>
              <w:spacing w:line="240" w:lineRule="auto"/>
              <w:ind w:left="0" w:leftChars="0" w:firstLine="0" w:firstLineChars="0"/>
              <w:rPr>
                <w:rFonts w:hint="eastAsia" w:ascii="宋体" w:hAnsi="宋体" w:eastAsia="宋体" w:cs="宋体"/>
                <w:color w:val="000000"/>
                <w:sz w:val="24"/>
                <w:szCs w:val="24"/>
                <w:u w:val="none"/>
              </w:rPr>
            </w:pPr>
            <w:r>
              <w:rPr>
                <w:rFonts w:hint="eastAsia" w:ascii="宋体" w:hAnsi="宋体" w:eastAsia="宋体" w:cs="宋体"/>
                <w:kern w:val="0"/>
                <w:sz w:val="24"/>
                <w:lang w:val="en-US" w:eastAsia="zh-CN"/>
              </w:rPr>
              <w:sym w:font="Wingdings 2" w:char="00A3"/>
            </w:r>
            <w:r>
              <w:rPr>
                <w:rFonts w:hint="eastAsia" w:ascii="宋体" w:hAnsi="宋体" w:eastAsia="宋体" w:cs="宋体"/>
                <w:kern w:val="0"/>
                <w:sz w:val="24"/>
                <w:lang w:val="en-US" w:eastAsia="zh-CN"/>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71" w:type="dxa"/>
            <w:vAlign w:val="center"/>
          </w:tcPr>
          <w:p>
            <w:pPr>
              <w:adjustRightInd w:val="0"/>
              <w:snapToGrid w:val="0"/>
              <w:spacing w:before="156"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1.9.1</w:t>
            </w:r>
          </w:p>
        </w:tc>
        <w:tc>
          <w:tcPr>
            <w:tcW w:w="2628" w:type="dxa"/>
            <w:vAlign w:val="center"/>
          </w:tcPr>
          <w:p>
            <w:pPr>
              <w:adjustRightInd w:val="0"/>
              <w:snapToGrid w:val="0"/>
              <w:spacing w:before="156" w:beforeLines="50" w:line="240" w:lineRule="auto"/>
              <w:jc w:val="center"/>
              <w:rPr>
                <w:rFonts w:hint="eastAsia" w:cs="Times New Roman" w:asciiTheme="majorEastAsia" w:hAnsiTheme="majorEastAsia" w:eastAsiaTheme="majorEastAsia"/>
                <w:sz w:val="28"/>
                <w:szCs w:val="28"/>
              </w:rPr>
            </w:pPr>
            <w:r>
              <w:rPr>
                <w:rFonts w:hint="eastAsia" w:ascii="宋体" w:hAnsi="宋体" w:cs="宋体"/>
                <w:b/>
                <w:bCs/>
                <w:color w:val="auto"/>
                <w:sz w:val="24"/>
                <w:szCs w:val="24"/>
                <w:u w:val="none"/>
                <w:lang w:eastAsia="zh-CN"/>
              </w:rPr>
              <w:t>是否组织</w:t>
            </w:r>
            <w:r>
              <w:rPr>
                <w:rFonts w:hint="eastAsia" w:ascii="宋体" w:hAnsi="宋体" w:eastAsia="宋体" w:cs="宋体"/>
                <w:b/>
                <w:bCs/>
                <w:color w:val="auto"/>
                <w:sz w:val="24"/>
                <w:szCs w:val="24"/>
                <w:u w:val="none"/>
                <w:lang w:eastAsia="zh-CN"/>
              </w:rPr>
              <w:t>现场考察</w:t>
            </w:r>
          </w:p>
        </w:tc>
        <w:tc>
          <w:tcPr>
            <w:tcW w:w="6203" w:type="dxa"/>
            <w:vAlign w:val="center"/>
          </w:tcPr>
          <w:p>
            <w:pPr>
              <w:pStyle w:val="2"/>
              <w:spacing w:line="240" w:lineRule="auto"/>
              <w:ind w:left="0" w:leftChars="0" w:firstLine="0" w:firstLineChars="0"/>
              <w:rPr>
                <w:rFonts w:hint="eastAsia" w:ascii="宋体" w:hAnsi="宋体" w:eastAsia="宋体" w:cs="宋体"/>
                <w:kern w:val="0"/>
                <w:sz w:val="24"/>
                <w:szCs w:val="20"/>
                <w:lang w:val="en-US" w:eastAsia="zh-CN"/>
              </w:rPr>
            </w:pPr>
            <w:r>
              <w:rPr>
                <w:rFonts w:hint="eastAsia" w:ascii="宋体" w:hAnsi="宋体" w:eastAsia="宋体" w:cs="宋体"/>
                <w:kern w:val="0"/>
                <w:sz w:val="24"/>
                <w:lang w:val="en-US" w:eastAsia="zh-CN"/>
              </w:rPr>
              <w:t>☑</w:t>
            </w:r>
            <w:r>
              <w:rPr>
                <w:rFonts w:hint="eastAsia" w:ascii="宋体" w:hAnsi="宋体" w:eastAsia="宋体" w:cs="宋体"/>
                <w:kern w:val="0"/>
                <w:sz w:val="24"/>
                <w:szCs w:val="20"/>
                <w:lang w:val="en-US" w:eastAsia="zh-CN"/>
              </w:rPr>
              <w:t>不组织</w:t>
            </w:r>
          </w:p>
          <w:p>
            <w:pPr>
              <w:pStyle w:val="2"/>
              <w:spacing w:line="240" w:lineRule="auto"/>
              <w:ind w:left="0" w:leftChars="0" w:firstLine="0" w:firstLineChars="0"/>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□组织，时间：/</w:t>
            </w:r>
          </w:p>
          <w:p>
            <w:pPr>
              <w:pStyle w:val="2"/>
              <w:spacing w:line="240" w:lineRule="auto"/>
              <w:ind w:left="0" w:leftChars="0" w:firstLine="960" w:firstLineChars="400"/>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71" w:type="dxa"/>
            <w:vAlign w:val="center"/>
          </w:tcPr>
          <w:p>
            <w:pPr>
              <w:adjustRightInd w:val="0"/>
              <w:snapToGrid w:val="0"/>
              <w:spacing w:before="156"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auto"/>
                <w:sz w:val="24"/>
                <w:szCs w:val="24"/>
                <w:u w:val="none"/>
                <w:lang w:val="en-US" w:eastAsia="zh-CN"/>
              </w:rPr>
              <w:t>1.10.1</w:t>
            </w:r>
          </w:p>
        </w:tc>
        <w:tc>
          <w:tcPr>
            <w:tcW w:w="2628" w:type="dxa"/>
            <w:vAlign w:val="center"/>
          </w:tcPr>
          <w:p>
            <w:pPr>
              <w:adjustRightInd w:val="0"/>
              <w:snapToGrid w:val="0"/>
              <w:spacing w:before="156" w:beforeLines="50"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auto"/>
                <w:sz w:val="24"/>
                <w:szCs w:val="24"/>
                <w:u w:val="none"/>
                <w:lang w:eastAsia="zh-CN"/>
              </w:rPr>
              <w:t>分包</w:t>
            </w:r>
          </w:p>
        </w:tc>
        <w:tc>
          <w:tcPr>
            <w:tcW w:w="6203"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☑不允许</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□允许，分包内容要求：</w:t>
            </w:r>
          </w:p>
          <w:p>
            <w:pPr>
              <w:pStyle w:val="2"/>
              <w:spacing w:line="240" w:lineRule="auto"/>
              <w:ind w:left="0" w:leftChars="0" w:firstLine="960" w:firstLineChars="4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分包金额要求：</w:t>
            </w:r>
          </w:p>
          <w:p>
            <w:pPr>
              <w:pStyle w:val="2"/>
              <w:spacing w:line="240" w:lineRule="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kern w:val="0"/>
                <w:sz w:val="24"/>
                <w:lang w:val="en-US" w:eastAsia="zh-CN"/>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971" w:type="dxa"/>
            <w:vAlign w:val="center"/>
          </w:tcPr>
          <w:p>
            <w:pPr>
              <w:adjustRightInd w:val="0"/>
              <w:snapToGrid w:val="0"/>
              <w:spacing w:before="156"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auto"/>
                <w:sz w:val="24"/>
                <w:szCs w:val="24"/>
                <w:u w:val="none"/>
                <w:lang w:val="en-US" w:eastAsia="zh-CN"/>
              </w:rPr>
              <w:t>1.11.4</w:t>
            </w:r>
          </w:p>
        </w:tc>
        <w:tc>
          <w:tcPr>
            <w:tcW w:w="2628" w:type="dxa"/>
            <w:vAlign w:val="center"/>
          </w:tcPr>
          <w:p>
            <w:pPr>
              <w:adjustRightInd w:val="0"/>
              <w:snapToGrid w:val="0"/>
              <w:spacing w:before="156" w:beforeLines="50"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auto"/>
                <w:sz w:val="24"/>
                <w:szCs w:val="24"/>
                <w:u w:val="none"/>
                <w:lang w:eastAsia="zh-CN"/>
              </w:rPr>
              <w:t>非实质性要求和条件是否允许偏离</w:t>
            </w:r>
          </w:p>
        </w:tc>
        <w:tc>
          <w:tcPr>
            <w:tcW w:w="6203" w:type="dxa"/>
            <w:vAlign w:val="center"/>
          </w:tcPr>
          <w:p>
            <w:pPr>
              <w:pStyle w:val="2"/>
              <w:spacing w:line="240" w:lineRule="auto"/>
              <w:ind w:left="0" w:leftChars="0" w:firstLine="0" w:firstLineChars="0"/>
              <w:rPr>
                <w:rFonts w:hint="eastAsia" w:ascii="宋体" w:hAnsi="宋体" w:eastAsia="宋体" w:cs="宋体"/>
                <w:color w:val="000000"/>
                <w:sz w:val="24"/>
                <w:szCs w:val="24"/>
                <w:highlight w:val="none"/>
                <w:u w:val="none"/>
                <w:lang w:val="en-US" w:eastAsia="zh-CN"/>
              </w:rPr>
            </w:pPr>
            <w:r>
              <w:rPr>
                <w:rFonts w:hint="eastAsia" w:ascii="宋体" w:hAnsi="宋体" w:eastAsia="宋体" w:cs="宋体"/>
                <w:kern w:val="0"/>
                <w:sz w:val="24"/>
                <w:lang w:val="en-US"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3" w:hRule="atLeast"/>
          <w:jc w:val="center"/>
        </w:trPr>
        <w:tc>
          <w:tcPr>
            <w:tcW w:w="971" w:type="dxa"/>
            <w:vAlign w:val="center"/>
          </w:tcPr>
          <w:p>
            <w:pPr>
              <w:adjustRightInd w:val="0"/>
              <w:snapToGrid w:val="0"/>
              <w:spacing w:before="156" w:beforeLines="50" w:line="240" w:lineRule="auto"/>
              <w:jc w:val="center"/>
              <w:rPr>
                <w:rFonts w:hint="default" w:ascii="宋体" w:hAnsi="宋体" w:cs="宋体"/>
                <w:b/>
                <w:bCs/>
                <w:color w:val="auto"/>
                <w:sz w:val="24"/>
                <w:szCs w:val="24"/>
                <w:u w:val="none"/>
                <w:lang w:val="en-US" w:eastAsia="zh-CN"/>
              </w:rPr>
            </w:pPr>
            <w:r>
              <w:rPr>
                <w:rFonts w:hint="eastAsia" w:ascii="宋体" w:hAnsi="宋体" w:cs="宋体"/>
                <w:b/>
                <w:bCs/>
                <w:color w:val="auto"/>
                <w:sz w:val="24"/>
                <w:szCs w:val="24"/>
                <w:u w:val="none"/>
                <w:lang w:val="en-US" w:eastAsia="zh-CN"/>
              </w:rPr>
              <w:t>3.4.5</w:t>
            </w:r>
          </w:p>
        </w:tc>
        <w:tc>
          <w:tcPr>
            <w:tcW w:w="2628" w:type="dxa"/>
            <w:vAlign w:val="center"/>
          </w:tcPr>
          <w:p>
            <w:pPr>
              <w:adjustRightInd w:val="0"/>
              <w:snapToGrid w:val="0"/>
              <w:spacing w:before="156" w:beforeLines="50" w:line="240" w:lineRule="auto"/>
              <w:jc w:val="center"/>
              <w:rPr>
                <w:rFonts w:hint="eastAsia" w:ascii="宋体" w:hAnsi="宋体" w:eastAsia="宋体" w:cs="宋体"/>
                <w:b/>
                <w:bCs/>
                <w:color w:val="auto"/>
                <w:sz w:val="24"/>
                <w:szCs w:val="24"/>
                <w:u w:val="none"/>
                <w:lang w:eastAsia="zh-CN"/>
              </w:rPr>
            </w:pPr>
            <w:r>
              <w:rPr>
                <w:rFonts w:hint="eastAsia" w:ascii="宋体" w:hAnsi="宋体" w:eastAsia="宋体" w:cs="宋体"/>
                <w:b/>
                <w:bCs/>
                <w:color w:val="auto"/>
                <w:sz w:val="24"/>
                <w:szCs w:val="24"/>
                <w:u w:val="none"/>
                <w:lang w:eastAsia="zh-CN"/>
              </w:rPr>
              <w:t>★预算金额</w:t>
            </w:r>
          </w:p>
        </w:tc>
        <w:tc>
          <w:tcPr>
            <w:tcW w:w="6203" w:type="dxa"/>
            <w:vAlign w:val="center"/>
          </w:tcPr>
          <w:p>
            <w:pPr>
              <w:pStyle w:val="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 xml:space="preserve">金额（小写）：1599042.26元  </w:t>
            </w:r>
            <w:r>
              <w:rPr>
                <w:rFonts w:hint="eastAsia" w:ascii="宋体" w:hAnsi="宋体" w:eastAsia="宋体" w:cs="宋体"/>
                <w:kern w:val="0"/>
                <w:sz w:val="24"/>
                <w:lang w:val="en-US" w:eastAsia="zh-CN"/>
              </w:rPr>
              <w:t xml:space="preserve">                            </w:t>
            </w:r>
          </w:p>
          <w:p>
            <w:pPr>
              <w:pStyle w:val="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金额（大写）：壹佰伍拾玖万玖仟零肆拾贰元贰角陆分</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本项目设有最高限价：1599042.26</w:t>
            </w:r>
            <w:r>
              <w:rPr>
                <w:rFonts w:hint="eastAsia" w:ascii="宋体" w:hAnsi="宋体" w:eastAsia="宋体" w:cs="宋体"/>
                <w:kern w:val="0"/>
                <w:sz w:val="24"/>
                <w:lang w:val="zh-CN" w:eastAsia="zh-CN"/>
              </w:rPr>
              <w:t>元</w:t>
            </w:r>
            <w:r>
              <w:rPr>
                <w:rFonts w:hint="eastAsia" w:ascii="宋体" w:hAnsi="宋体" w:eastAsia="宋体" w:cs="宋体"/>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W w:w="971"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3.5.1</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eastAsia="宋体" w:cs="宋体"/>
                <w:b/>
                <w:bCs/>
                <w:color w:val="000000"/>
                <w:sz w:val="24"/>
                <w:szCs w:val="24"/>
                <w:u w:val="none"/>
              </w:rPr>
              <w:t>备选方案</w:t>
            </w:r>
          </w:p>
        </w:tc>
        <w:tc>
          <w:tcPr>
            <w:tcW w:w="6203"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☑不接受            </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3.6.1</w:t>
            </w:r>
          </w:p>
        </w:tc>
        <w:tc>
          <w:tcPr>
            <w:tcW w:w="2628" w:type="dxa"/>
            <w:vAlign w:val="center"/>
          </w:tcPr>
          <w:p>
            <w:pPr>
              <w:adjustRightInd w:val="0"/>
              <w:snapToGrid w:val="0"/>
              <w:spacing w:before="120" w:beforeLines="50" w:line="240" w:lineRule="auto"/>
              <w:jc w:val="center"/>
              <w:rPr>
                <w:rFonts w:hint="eastAsia" w:ascii="宋体" w:hAnsi="宋体" w:cs="宋体" w:eastAsiaTheme="majorEastAsia"/>
                <w:b/>
                <w:bCs/>
                <w:color w:val="000000"/>
                <w:sz w:val="24"/>
                <w:szCs w:val="24"/>
                <w:u w:val="none"/>
                <w:lang w:eastAsia="zh-CN"/>
              </w:rPr>
            </w:pPr>
            <w:r>
              <w:rPr>
                <w:rFonts w:hint="eastAsia" w:cs="Times New Roman" w:asciiTheme="majorEastAsia" w:hAnsiTheme="majorEastAsia" w:eastAsiaTheme="majorEastAsia"/>
                <w:sz w:val="28"/>
                <w:szCs w:val="28"/>
              </w:rPr>
              <w:t>★</w:t>
            </w:r>
            <w:r>
              <w:rPr>
                <w:rFonts w:hint="eastAsia" w:ascii="宋体" w:hAnsi="宋体" w:cs="宋体"/>
                <w:b/>
                <w:bCs/>
                <w:color w:val="000000"/>
                <w:sz w:val="24"/>
                <w:szCs w:val="24"/>
                <w:u w:val="none"/>
                <w:lang w:eastAsia="zh-CN"/>
              </w:rPr>
              <w:t>响应保证金</w:t>
            </w:r>
          </w:p>
        </w:tc>
        <w:tc>
          <w:tcPr>
            <w:tcW w:w="6203"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☑不要求</w:t>
            </w:r>
          </w:p>
          <w:p>
            <w:pPr>
              <w:pStyle w:val="2"/>
              <w:spacing w:line="240" w:lineRule="auto"/>
              <w:ind w:left="0" w:leftChars="0" w:firstLine="0" w:firstLineChars="0"/>
              <w:rPr>
                <w:rFonts w:hint="eastAsia" w:ascii="宋体" w:hAnsi="宋体" w:eastAsia="宋体" w:cs="宋体"/>
                <w:color w:val="000000"/>
                <w:sz w:val="24"/>
                <w:szCs w:val="24"/>
                <w:u w:val="none"/>
              </w:rPr>
            </w:pPr>
            <w:r>
              <w:rPr>
                <w:rFonts w:hint="eastAsia" w:ascii="宋体" w:hAnsi="宋体" w:eastAsia="宋体" w:cs="宋体"/>
                <w:kern w:val="0"/>
                <w:sz w:val="28"/>
                <w:szCs w:val="21"/>
                <w:lang w:val="en-US" w:eastAsia="zh-CN"/>
              </w:rPr>
              <w:sym w:font="Wingdings 2" w:char="00A3"/>
            </w:r>
            <w:r>
              <w:rPr>
                <w:rFonts w:hint="eastAsia" w:ascii="宋体" w:hAnsi="宋体" w:eastAsia="宋体" w:cs="宋体"/>
                <w:kern w:val="0"/>
                <w:sz w:val="24"/>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3.7.1</w:t>
            </w:r>
          </w:p>
        </w:tc>
        <w:tc>
          <w:tcPr>
            <w:tcW w:w="2628" w:type="dxa"/>
            <w:vAlign w:val="center"/>
          </w:tcPr>
          <w:p>
            <w:pPr>
              <w:adjustRightInd w:val="0"/>
              <w:snapToGrid w:val="0"/>
              <w:spacing w:before="120" w:beforeLines="50" w:line="240" w:lineRule="auto"/>
              <w:jc w:val="center"/>
              <w:rPr>
                <w:rFonts w:hint="eastAsia" w:cs="Times New Roman" w:asciiTheme="majorEastAsia" w:hAnsiTheme="majorEastAsia" w:eastAsiaTheme="majorEastAsia"/>
                <w:sz w:val="28"/>
                <w:szCs w:val="28"/>
                <w:lang w:eastAsia="zh-CN"/>
              </w:rPr>
            </w:pPr>
            <w:r>
              <w:rPr>
                <w:rFonts w:hint="eastAsia" w:cs="Times New Roman" w:asciiTheme="majorEastAsia" w:hAnsiTheme="majorEastAsia" w:eastAsiaTheme="majorEastAsia"/>
                <w:sz w:val="28"/>
                <w:szCs w:val="28"/>
              </w:rPr>
              <w:t>★</w:t>
            </w:r>
            <w:r>
              <w:rPr>
                <w:rFonts w:hint="eastAsia" w:ascii="宋体" w:hAnsi="宋体" w:cs="宋体"/>
                <w:b/>
                <w:bCs/>
                <w:color w:val="000000"/>
                <w:sz w:val="24"/>
                <w:szCs w:val="24"/>
                <w:u w:val="none"/>
                <w:lang w:eastAsia="zh-CN"/>
              </w:rPr>
              <w:t>投标有效期</w:t>
            </w:r>
          </w:p>
        </w:tc>
        <w:tc>
          <w:tcPr>
            <w:tcW w:w="6203" w:type="dxa"/>
            <w:vAlign w:val="center"/>
          </w:tcPr>
          <w:p>
            <w:pPr>
              <w:spacing w:line="240" w:lineRule="auto"/>
              <w:ind w:left="520" w:leftChars="1" w:hanging="518" w:hangingChars="216"/>
              <w:rPr>
                <w:rFonts w:hint="eastAsia" w:ascii="宋体" w:hAnsi="宋体" w:eastAsia="宋体" w:cs="宋体"/>
                <w:color w:val="000000"/>
                <w:sz w:val="24"/>
                <w:szCs w:val="24"/>
                <w:highlight w:val="none"/>
                <w:u w:val="none"/>
                <w:lang w:val="en-US" w:eastAsia="zh-CN"/>
              </w:rPr>
            </w:pPr>
            <w:r>
              <w:rPr>
                <w:rFonts w:hint="eastAsia" w:ascii="宋体" w:hAnsi="宋体" w:cs="宋体"/>
                <w:color w:val="000000"/>
                <w:sz w:val="24"/>
                <w:szCs w:val="24"/>
                <w:u w:val="none"/>
                <w:lang w:val="en-US" w:eastAsia="zh-CN"/>
              </w:rPr>
              <w:t>60</w:t>
            </w:r>
            <w:r>
              <w:rPr>
                <w:rFonts w:hint="eastAsia" w:ascii="宋体" w:hAnsi="宋体" w:eastAsia="宋体" w:cs="宋体"/>
                <w:color w:val="000000"/>
                <w:sz w:val="24"/>
                <w:szCs w:val="24"/>
                <w:u w:val="none"/>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4.1.1</w:t>
            </w:r>
          </w:p>
        </w:tc>
        <w:tc>
          <w:tcPr>
            <w:tcW w:w="2628" w:type="dxa"/>
            <w:vAlign w:val="center"/>
          </w:tcPr>
          <w:p>
            <w:pPr>
              <w:adjustRightInd w:val="0"/>
              <w:snapToGrid w:val="0"/>
              <w:spacing w:before="120" w:beforeLines="50" w:line="240" w:lineRule="auto"/>
              <w:jc w:val="center"/>
              <w:rPr>
                <w:rFonts w:hint="eastAsia" w:cs="Times New Roman" w:asciiTheme="majorEastAsia" w:hAnsiTheme="majorEastAsia" w:eastAsiaTheme="majorEastAsia"/>
                <w:sz w:val="28"/>
                <w:szCs w:val="28"/>
              </w:rPr>
            </w:pPr>
            <w:r>
              <w:rPr>
                <w:rFonts w:hint="eastAsia" w:ascii="宋体" w:hAnsi="宋体" w:cs="宋体"/>
                <w:b/>
                <w:bCs/>
                <w:color w:val="000000"/>
                <w:sz w:val="24"/>
                <w:szCs w:val="24"/>
                <w:u w:val="none"/>
                <w:lang w:val="en-US" w:eastAsia="zh-CN"/>
              </w:rPr>
              <w:t>响应</w:t>
            </w:r>
            <w:r>
              <w:rPr>
                <w:rFonts w:hint="eastAsia" w:ascii="宋体" w:hAnsi="宋体" w:eastAsia="宋体" w:cs="宋体"/>
                <w:b/>
                <w:bCs/>
                <w:color w:val="000000"/>
                <w:sz w:val="24"/>
                <w:szCs w:val="24"/>
                <w:u w:val="none"/>
              </w:rPr>
              <w:t>文件份数</w:t>
            </w:r>
          </w:p>
        </w:tc>
        <w:tc>
          <w:tcPr>
            <w:tcW w:w="6203" w:type="dxa"/>
            <w:vAlign w:val="center"/>
          </w:tcPr>
          <w:p>
            <w:pPr>
              <w:autoSpaceDE w:val="0"/>
              <w:autoSpaceDN w:val="0"/>
              <w:adjustRightInd w:val="0"/>
              <w:spacing w:line="240" w:lineRule="auto"/>
              <w:rPr>
                <w:rFonts w:hint="eastAsia" w:ascii="宋体" w:hAnsi="宋体" w:eastAsia="宋体" w:cs="宋体"/>
                <w:color w:val="000000"/>
                <w:kern w:val="0"/>
                <w:sz w:val="24"/>
                <w:szCs w:val="24"/>
                <w:u w:val="none"/>
                <w:lang w:val="en-US" w:eastAsia="zh-CN"/>
              </w:rPr>
            </w:pPr>
            <w:r>
              <w:rPr>
                <w:rFonts w:hint="eastAsia" w:ascii="宋体" w:hAnsi="宋体" w:eastAsia="宋体" w:cs="宋体"/>
                <w:color w:val="000000"/>
                <w:kern w:val="0"/>
                <w:sz w:val="24"/>
                <w:szCs w:val="24"/>
                <w:u w:val="none"/>
                <w:lang w:val="en-US" w:eastAsia="zh-CN"/>
              </w:rPr>
              <w:t>正本一份，副本</w:t>
            </w:r>
            <w:r>
              <w:rPr>
                <w:rFonts w:hint="eastAsia" w:ascii="宋体" w:hAnsi="宋体" w:cs="宋体"/>
                <w:color w:val="000000"/>
                <w:kern w:val="0"/>
                <w:sz w:val="24"/>
                <w:szCs w:val="24"/>
                <w:u w:val="none"/>
                <w:lang w:val="en-US" w:eastAsia="zh-CN"/>
              </w:rPr>
              <w:t>三</w:t>
            </w:r>
            <w:r>
              <w:rPr>
                <w:rFonts w:hint="eastAsia" w:ascii="宋体" w:hAnsi="宋体" w:eastAsia="宋体" w:cs="宋体"/>
                <w:color w:val="000000"/>
                <w:kern w:val="0"/>
                <w:sz w:val="24"/>
                <w:szCs w:val="24"/>
                <w:u w:val="none"/>
                <w:lang w:val="en-US" w:eastAsia="zh-CN"/>
              </w:rPr>
              <w:t>份</w:t>
            </w:r>
            <w:r>
              <w:rPr>
                <w:rFonts w:hint="eastAsia" w:ascii="宋体" w:hAnsi="宋体" w:cs="宋体"/>
                <w:color w:val="000000"/>
                <w:kern w:val="0"/>
                <w:sz w:val="24"/>
                <w:szCs w:val="24"/>
                <w:u w:val="none"/>
                <w:lang w:val="en-US" w:eastAsia="zh-CN"/>
              </w:rPr>
              <w:t>；</w:t>
            </w:r>
          </w:p>
          <w:p>
            <w:pPr>
              <w:autoSpaceDE w:val="0"/>
              <w:autoSpaceDN w:val="0"/>
              <w:adjustRightInd w:val="0"/>
              <w:spacing w:line="240" w:lineRule="auto"/>
              <w:rPr>
                <w:rFonts w:hint="eastAsia" w:ascii="宋体" w:hAnsi="宋体" w:eastAsia="宋体" w:cs="宋体"/>
                <w:color w:val="000000"/>
                <w:sz w:val="24"/>
                <w:szCs w:val="24"/>
                <w:u w:val="none"/>
              </w:rPr>
            </w:pPr>
            <w:r>
              <w:rPr>
                <w:rFonts w:hint="eastAsia" w:ascii="宋体" w:hAnsi="宋体" w:eastAsia="宋体" w:cs="宋体"/>
                <w:color w:val="000000"/>
                <w:kern w:val="0"/>
                <w:sz w:val="24"/>
                <w:szCs w:val="24"/>
                <w:u w:val="none"/>
                <w:lang w:val="en-US" w:eastAsia="zh-CN"/>
              </w:rPr>
              <w:t>注：不分册装订，采用</w:t>
            </w:r>
            <w:r>
              <w:rPr>
                <w:rFonts w:hint="eastAsia" w:ascii="宋体" w:hAnsi="宋体" w:eastAsia="宋体" w:cs="宋体"/>
                <w:b/>
                <w:bCs/>
                <w:color w:val="000000"/>
                <w:kern w:val="0"/>
                <w:sz w:val="24"/>
                <w:szCs w:val="24"/>
                <w:u w:val="single"/>
                <w:lang w:val="en-US" w:eastAsia="zh-CN"/>
              </w:rPr>
              <w:t>死页胶装</w:t>
            </w:r>
            <w:r>
              <w:rPr>
                <w:rFonts w:hint="eastAsia" w:ascii="宋体" w:hAnsi="宋体" w:eastAsia="宋体" w:cs="宋体"/>
                <w:color w:val="000000"/>
                <w:kern w:val="0"/>
                <w:sz w:val="24"/>
                <w:szCs w:val="24"/>
                <w:u w:val="none"/>
                <w:lang w:val="en-US" w:eastAsia="zh-CN"/>
              </w:rPr>
              <w:t>方式装订,装订应牢固、不易拆散和换页，不得采用活页装订。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4.2.2</w:t>
            </w:r>
          </w:p>
        </w:tc>
        <w:tc>
          <w:tcPr>
            <w:tcW w:w="2628" w:type="dxa"/>
            <w:vAlign w:val="center"/>
          </w:tcPr>
          <w:p>
            <w:pPr>
              <w:adjustRightInd w:val="0"/>
              <w:snapToGrid w:val="0"/>
              <w:spacing w:before="120" w:beforeLines="50" w:line="240" w:lineRule="auto"/>
              <w:jc w:val="center"/>
              <w:rPr>
                <w:rFonts w:hint="eastAsia" w:ascii="宋体" w:hAnsi="宋体" w:cs="宋体"/>
                <w:b/>
                <w:bCs/>
                <w:color w:val="000000"/>
                <w:sz w:val="24"/>
                <w:szCs w:val="24"/>
                <w:u w:val="none"/>
                <w:lang w:val="en-US" w:eastAsia="zh-CN"/>
              </w:rPr>
            </w:pPr>
            <w:r>
              <w:rPr>
                <w:rFonts w:hint="eastAsia" w:ascii="宋体" w:hAnsi="宋体" w:eastAsia="宋体" w:cs="宋体"/>
                <w:b/>
                <w:bCs/>
                <w:color w:val="000000"/>
                <w:sz w:val="24"/>
                <w:szCs w:val="24"/>
                <w:u w:val="none"/>
                <w:lang w:val="en-US" w:eastAsia="zh-CN"/>
              </w:rPr>
              <w:t>封套内容</w:t>
            </w:r>
          </w:p>
        </w:tc>
        <w:tc>
          <w:tcPr>
            <w:tcW w:w="6203" w:type="dxa"/>
            <w:vAlign w:val="center"/>
          </w:tcPr>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项目名称：</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项目编码：</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招标人名称：</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投标人名称：</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法定代表人：</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投标人地址：</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邮政编码：</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联系人：</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联系电话：</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响应文件在2021年11月4日11:00 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4.3.2</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lang w:val="en-US" w:eastAsia="zh-CN"/>
              </w:rPr>
            </w:pPr>
            <w:r>
              <w:rPr>
                <w:rFonts w:hint="eastAsia" w:cs="Times New Roman" w:asciiTheme="majorEastAsia" w:hAnsiTheme="majorEastAsia" w:eastAsiaTheme="majorEastAsia"/>
                <w:sz w:val="28"/>
                <w:szCs w:val="28"/>
              </w:rPr>
              <w:t>★</w:t>
            </w:r>
            <w:r>
              <w:rPr>
                <w:rFonts w:hint="eastAsia" w:ascii="宋体" w:hAnsi="宋体" w:eastAsia="宋体" w:cs="宋体"/>
                <w:b/>
                <w:bCs/>
                <w:color w:val="000000"/>
                <w:sz w:val="24"/>
                <w:szCs w:val="24"/>
                <w:u w:val="none"/>
              </w:rPr>
              <w:t>响应文件递交截止时间</w:t>
            </w:r>
            <w:r>
              <w:rPr>
                <w:rFonts w:hint="eastAsia" w:ascii="宋体" w:hAnsi="宋体" w:cs="宋体"/>
                <w:b/>
                <w:bCs/>
                <w:color w:val="000000"/>
                <w:sz w:val="24"/>
                <w:szCs w:val="24"/>
                <w:u w:val="none"/>
                <w:lang w:eastAsia="zh-CN"/>
              </w:rPr>
              <w:t>及地点</w:t>
            </w:r>
          </w:p>
        </w:tc>
        <w:tc>
          <w:tcPr>
            <w:tcW w:w="6203" w:type="dxa"/>
            <w:vAlign w:val="center"/>
          </w:tcPr>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 xml:space="preserve">时间：2021年11月4日11:00                         </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地点：乌什县政务服务和公共资源交易中心三楼开标大厅（乌什县原职业中学院内）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5.1</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cs="Times New Roman" w:asciiTheme="majorEastAsia" w:hAnsiTheme="majorEastAsia" w:eastAsiaTheme="majorEastAsia"/>
                <w:sz w:val="28"/>
                <w:szCs w:val="28"/>
              </w:rPr>
              <w:t>★</w:t>
            </w:r>
            <w:r>
              <w:rPr>
                <w:rFonts w:hint="eastAsia" w:ascii="宋体" w:hAnsi="宋体" w:eastAsia="宋体" w:cs="宋体"/>
                <w:b/>
                <w:bCs/>
                <w:color w:val="000000"/>
                <w:sz w:val="24"/>
                <w:szCs w:val="24"/>
                <w:u w:val="none"/>
              </w:rPr>
              <w:t>磋商时间</w:t>
            </w:r>
            <w:r>
              <w:rPr>
                <w:rFonts w:hint="eastAsia" w:ascii="宋体" w:hAnsi="宋体" w:cs="宋体"/>
                <w:b/>
                <w:bCs/>
                <w:color w:val="000000"/>
                <w:sz w:val="24"/>
                <w:szCs w:val="24"/>
                <w:u w:val="none"/>
                <w:lang w:eastAsia="zh-CN"/>
              </w:rPr>
              <w:t>及</w:t>
            </w:r>
            <w:r>
              <w:rPr>
                <w:rFonts w:hint="eastAsia" w:ascii="宋体" w:hAnsi="宋体" w:eastAsia="宋体" w:cs="宋体"/>
                <w:b/>
                <w:bCs/>
                <w:color w:val="000000"/>
                <w:sz w:val="24"/>
                <w:szCs w:val="24"/>
                <w:u w:val="none"/>
              </w:rPr>
              <w:t>地点</w:t>
            </w:r>
          </w:p>
        </w:tc>
        <w:tc>
          <w:tcPr>
            <w:tcW w:w="6203" w:type="dxa"/>
            <w:vAlign w:val="center"/>
          </w:tcPr>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 xml:space="preserve">时间：2021年11月4日11:00                         </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地点：乌什县政务服务和公共资源交易中心三楼开标大厅（乌什县原职业中学院内）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71" w:type="dxa"/>
            <w:vMerge w:val="restart"/>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5.2</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lang w:eastAsia="zh-CN"/>
              </w:rPr>
            </w:pPr>
            <w:r>
              <w:rPr>
                <w:rFonts w:hint="eastAsia" w:ascii="宋体" w:hAnsi="宋体" w:cs="宋体"/>
                <w:b/>
                <w:bCs/>
                <w:color w:val="000000"/>
                <w:sz w:val="24"/>
                <w:szCs w:val="24"/>
                <w:u w:val="none"/>
                <w:lang w:val="en-US" w:eastAsia="zh-CN"/>
              </w:rPr>
              <w:t>资格</w:t>
            </w:r>
            <w:r>
              <w:rPr>
                <w:rFonts w:hint="eastAsia" w:ascii="宋体" w:hAnsi="宋体" w:cs="宋体"/>
                <w:b/>
                <w:bCs/>
                <w:color w:val="000000"/>
                <w:sz w:val="24"/>
                <w:szCs w:val="24"/>
                <w:u w:val="none"/>
                <w:lang w:eastAsia="zh-CN"/>
              </w:rPr>
              <w:t>查验内容</w:t>
            </w:r>
          </w:p>
        </w:tc>
        <w:tc>
          <w:tcPr>
            <w:tcW w:w="6203" w:type="dxa"/>
            <w:vAlign w:val="center"/>
          </w:tcPr>
          <w:p>
            <w:pPr>
              <w:pStyle w:val="2"/>
              <w:spacing w:line="240" w:lineRule="auto"/>
              <w:ind w:left="0" w:leftChars="0"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供应商的法定代表人或其授权代表应当按时参加，并在采购机构按磋商程序进行点名时，现场提交以下证明资料，以证明其出席。</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企业法人营业执照》、《建筑业企业资质证书》、《安全生产许可证》或安全生产合格证（或由建设行政主管部门出示的资质年审证明）。（注：外省区进疆施工企业还应提交《新疆维吾尔自治区区外建设工程企业信息报送册》或已在新疆建设云上信息登记)。</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2、授权委托人到场，提供本人身份证原件及法人授权委托书原件。</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3、授权委托人及拟派建造师近三个月社保缴纳证明原件（退休人员提供退休证）。</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4、拟派建造师注册证书或临时执业证书和安全培训合格证（外省区进疆施工企业拟派建造师还需与新疆维吾尔自治区外建设工程企业信息报送册备案人员相符或与新疆建设云上备案人员相符）。</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5、“信用中国”网站和“中国政府采购网”的查询结果的截图及“国家企业信用信息公示”报告打印件加盖公章（打印时间须在报名至开标截止时间内）。</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6、提交控制价确认函、工程建设项目廉政责任书和建设工程诚信投标承诺书，各一式四份（注：廉政责任书和建设工程诚信投标承诺书加盖投标人公章，廉政责任书招标人公章开标现场统一加盖，否则取消投标资格）。</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7、使用新疆籍农民工承诺书及对使用用工需求总数和一般普工及技能工人需求人数、预计用工时间、薪酬等方面进行预估规划原件。</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注：法定代表人身份证明及法定代表人授权委托书需单独提供，并与投标文件中所提供的一致。</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原件不全或不符的均视为不通过资格审查；上述证件齐全、满足要求的投标人为有效投标人。上述证件的公证件，本次招标不予认可。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71" w:type="dxa"/>
            <w:vMerge w:val="continue"/>
            <w:vAlign w:val="center"/>
          </w:tcPr>
          <w:p>
            <w:pPr>
              <w:adjustRightInd w:val="0"/>
              <w:snapToGrid w:val="0"/>
              <w:spacing w:before="120" w:beforeLines="50" w:line="240" w:lineRule="auto"/>
              <w:jc w:val="center"/>
              <w:rPr>
                <w:rFonts w:hint="eastAsia" w:ascii="宋体" w:hAnsi="宋体" w:cs="宋体"/>
                <w:b/>
                <w:bCs/>
                <w:color w:val="000000"/>
                <w:sz w:val="24"/>
                <w:szCs w:val="24"/>
                <w:u w:val="none"/>
                <w:lang w:val="en-US" w:eastAsia="zh-CN"/>
              </w:rPr>
            </w:pPr>
          </w:p>
        </w:tc>
        <w:tc>
          <w:tcPr>
            <w:tcW w:w="2628" w:type="dxa"/>
            <w:vAlign w:val="center"/>
          </w:tcPr>
          <w:p>
            <w:pPr>
              <w:spacing w:before="120" w:line="240" w:lineRule="auto"/>
              <w:jc w:val="center"/>
              <w:rPr>
                <w:rFonts w:hint="eastAsia" w:ascii="宋体" w:hAnsi="宋体" w:cs="宋体"/>
                <w:b/>
                <w:bCs/>
                <w:color w:val="000000"/>
                <w:sz w:val="24"/>
                <w:szCs w:val="24"/>
                <w:u w:val="none"/>
                <w:lang w:eastAsia="zh-CN"/>
              </w:rPr>
            </w:pPr>
            <w:r>
              <w:rPr>
                <w:rFonts w:hint="eastAsia" w:ascii="宋体" w:hAnsi="宋体" w:eastAsia="宋体" w:cs="宋体"/>
                <w:b/>
                <w:bCs/>
                <w:color w:val="auto"/>
                <w:sz w:val="24"/>
                <w:szCs w:val="24"/>
                <w:highlight w:val="none"/>
                <w:u w:val="none"/>
                <w:lang w:eastAsia="zh-CN"/>
              </w:rPr>
              <w:t>是否公开开启响应文件</w:t>
            </w:r>
          </w:p>
        </w:tc>
        <w:tc>
          <w:tcPr>
            <w:tcW w:w="6203"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☑是</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sym w:font="Wingdings 2" w:char="00A3"/>
            </w:r>
            <w:r>
              <w:rPr>
                <w:rFonts w:hint="eastAsia" w:ascii="宋体" w:hAnsi="宋体" w:eastAsia="宋体" w:cs="宋体"/>
                <w:kern w:val="0"/>
                <w:sz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6.1.1</w:t>
            </w:r>
          </w:p>
        </w:tc>
        <w:tc>
          <w:tcPr>
            <w:tcW w:w="2628" w:type="dxa"/>
            <w:vAlign w:val="center"/>
          </w:tcPr>
          <w:p>
            <w:pPr>
              <w:adjustRightInd w:val="0"/>
              <w:snapToGrid w:val="0"/>
              <w:spacing w:before="120" w:beforeLines="50" w:line="240" w:lineRule="auto"/>
              <w:jc w:val="center"/>
              <w:rPr>
                <w:rFonts w:hint="eastAsia" w:ascii="宋体" w:hAnsi="宋体" w:cs="宋体"/>
                <w:b/>
                <w:bCs/>
                <w:color w:val="000000"/>
                <w:sz w:val="24"/>
                <w:szCs w:val="24"/>
                <w:u w:val="none"/>
                <w:lang w:eastAsia="zh-CN"/>
              </w:rPr>
            </w:pPr>
            <w:r>
              <w:rPr>
                <w:rFonts w:hint="eastAsia" w:ascii="宋体" w:hAnsi="宋体" w:eastAsia="宋体" w:cs="宋体"/>
                <w:b/>
                <w:bCs/>
                <w:color w:val="000000"/>
                <w:sz w:val="24"/>
                <w:szCs w:val="24"/>
                <w:u w:val="none"/>
              </w:rPr>
              <w:t>磋商小组的组建及确定方式</w:t>
            </w:r>
          </w:p>
        </w:tc>
        <w:tc>
          <w:tcPr>
            <w:tcW w:w="6203"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招标采购单位依法组建磋商小组共 5 人组成，其中采购人代表</w:t>
            </w:r>
            <w:r>
              <w:rPr>
                <w:rFonts w:hint="eastAsia" w:ascii="宋体" w:hAnsi="宋体" w:eastAsia="宋体" w:cs="宋体"/>
                <w:kern w:val="0"/>
                <w:sz w:val="24"/>
                <w:u w:val="single"/>
                <w:lang w:val="en-US" w:eastAsia="zh-CN"/>
              </w:rPr>
              <w:t xml:space="preserve">  0   </w:t>
            </w:r>
            <w:r>
              <w:rPr>
                <w:rFonts w:hint="eastAsia" w:ascii="宋体" w:hAnsi="宋体" w:eastAsia="宋体" w:cs="宋体"/>
                <w:kern w:val="0"/>
                <w:sz w:val="24"/>
                <w:lang w:val="en-US" w:eastAsia="zh-CN"/>
              </w:rPr>
              <w:t>人和专家评委</w:t>
            </w:r>
            <w:r>
              <w:rPr>
                <w:rFonts w:hint="eastAsia" w:ascii="宋体" w:hAnsi="宋体" w:eastAsia="宋体" w:cs="宋体"/>
                <w:kern w:val="0"/>
                <w:sz w:val="24"/>
                <w:u w:val="single"/>
                <w:lang w:val="en-US" w:eastAsia="zh-CN"/>
              </w:rPr>
              <w:t xml:space="preserve"> 5 </w:t>
            </w:r>
            <w:r>
              <w:rPr>
                <w:rFonts w:hint="eastAsia" w:ascii="宋体" w:hAnsi="宋体" w:eastAsia="宋体" w:cs="宋体"/>
                <w:kern w:val="0"/>
                <w:sz w:val="24"/>
                <w:lang w:val="en-US" w:eastAsia="zh-CN"/>
              </w:rPr>
              <w:t>人。</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专家确定方式：</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☑政府采购云平台线上自行抽取 </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sym w:font="Wingdings 2" w:char="00A3"/>
            </w:r>
            <w:r>
              <w:rPr>
                <w:rFonts w:hint="eastAsia" w:ascii="宋体" w:hAnsi="宋体" w:eastAsia="宋体" w:cs="宋体"/>
                <w:kern w:val="0"/>
                <w:sz w:val="24"/>
                <w:lang w:val="en-US" w:eastAsia="zh-CN"/>
              </w:rPr>
              <w:t xml:space="preserve">政府采购专家库随机抽取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7.1.3</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成交结果公告媒介</w:t>
            </w:r>
          </w:p>
        </w:tc>
        <w:tc>
          <w:tcPr>
            <w:tcW w:w="6203" w:type="dxa"/>
            <w:vAlign w:val="center"/>
          </w:tcPr>
          <w:p>
            <w:pPr>
              <w:adjustRightInd w:val="0"/>
              <w:snapToGrid w:val="0"/>
              <w:spacing w:before="120" w:beforeLines="50" w:line="240" w:lineRule="auto"/>
              <w:jc w:val="left"/>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新疆政府采购网、阿克苏政府网、乌什县人民政府网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jc w:val="center"/>
        </w:trPr>
        <w:tc>
          <w:tcPr>
            <w:tcW w:w="9802" w:type="dxa"/>
            <w:gridSpan w:val="3"/>
            <w:vAlign w:val="center"/>
          </w:tcPr>
          <w:p>
            <w:pPr>
              <w:adjustRightInd w:val="0"/>
              <w:snapToGrid w:val="0"/>
              <w:spacing w:before="120" w:beforeLines="50" w:line="240" w:lineRule="auto"/>
              <w:jc w:val="left"/>
              <w:rPr>
                <w:rFonts w:hint="eastAsia" w:ascii="宋体" w:hAnsi="宋体" w:eastAsia="宋体" w:cs="宋体"/>
                <w:color w:val="000000"/>
                <w:sz w:val="24"/>
                <w:szCs w:val="24"/>
                <w:highlight w:val="none"/>
                <w:u w:val="none"/>
                <w:lang w:val="en-US" w:eastAsia="zh-CN"/>
              </w:rPr>
            </w:pPr>
            <w:r>
              <w:rPr>
                <w:rFonts w:hint="eastAsia" w:ascii="宋体" w:hAnsi="宋体" w:eastAsia="宋体" w:cs="宋体"/>
                <w:b/>
                <w:bCs/>
                <w:color w:val="auto"/>
                <w:sz w:val="24"/>
                <w:szCs w:val="24"/>
                <w:u w:val="none"/>
              </w:rPr>
              <w:t>采购人认为</w:t>
            </w:r>
            <w:r>
              <w:rPr>
                <w:rFonts w:hint="eastAsia" w:ascii="宋体" w:hAnsi="宋体" w:cs="宋体"/>
                <w:b/>
                <w:bCs/>
                <w:color w:val="auto"/>
                <w:sz w:val="24"/>
                <w:szCs w:val="24"/>
                <w:u w:val="none"/>
                <w:lang w:eastAsia="zh-CN"/>
              </w:rPr>
              <w:t>需要</w:t>
            </w:r>
            <w:r>
              <w:rPr>
                <w:rFonts w:hint="eastAsia" w:ascii="宋体" w:hAnsi="宋体" w:eastAsia="宋体" w:cs="宋体"/>
                <w:b/>
                <w:bCs/>
                <w:color w:val="auto"/>
                <w:sz w:val="24"/>
                <w:szCs w:val="24"/>
                <w:u w:val="none"/>
              </w:rPr>
              <w:t>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71"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w:t>
            </w:r>
          </w:p>
        </w:tc>
        <w:tc>
          <w:tcPr>
            <w:tcW w:w="2628" w:type="dxa"/>
            <w:vAlign w:val="center"/>
          </w:tcPr>
          <w:p>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bCs/>
                <w:kern w:val="2"/>
                <w:sz w:val="24"/>
                <w:szCs w:val="22"/>
                <w:u w:val="none"/>
                <w:lang w:val="en-US" w:eastAsia="zh-CN" w:bidi="ar-SA"/>
              </w:rPr>
            </w:pPr>
            <w:r>
              <w:rPr>
                <w:rFonts w:hint="eastAsia" w:ascii="宋体" w:hAnsi="宋体" w:cs="宋体"/>
                <w:b/>
                <w:bCs/>
                <w:sz w:val="24"/>
                <w:u w:val="none"/>
              </w:rPr>
              <w:t>磋商轮数和最后报价的其他要求</w:t>
            </w:r>
          </w:p>
        </w:tc>
        <w:tc>
          <w:tcPr>
            <w:tcW w:w="6203" w:type="dxa"/>
            <w:vAlign w:val="center"/>
          </w:tcPr>
          <w:p>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hAnsi="宋体" w:cs="宋体"/>
                <w:color w:val="0000FF"/>
                <w:kern w:val="0"/>
                <w:sz w:val="24"/>
                <w:u w:val="none"/>
                <w:lang w:val="zh-CN"/>
              </w:rPr>
            </w:pPr>
            <w:r>
              <w:rPr>
                <w:rFonts w:hint="eastAsia" w:ascii="宋体" w:hAnsi="宋体" w:cs="宋体"/>
                <w:kern w:val="0"/>
                <w:sz w:val="24"/>
                <w:u w:val="none"/>
                <w:lang w:val="zh-CN"/>
              </w:rPr>
              <w:t>1、磋商轮数:两轮（采取一轮公开报价，一轮背靠背式报价）</w:t>
            </w:r>
          </w:p>
          <w:p>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hAnsi="宋体" w:cs="宋体"/>
                <w:bCs/>
                <w:sz w:val="24"/>
                <w:u w:val="none"/>
              </w:rPr>
            </w:pPr>
            <w:r>
              <w:rPr>
                <w:rFonts w:hint="eastAsia" w:ascii="宋体" w:hAnsi="宋体" w:cs="宋体"/>
                <w:kern w:val="0"/>
                <w:sz w:val="24"/>
                <w:u w:val="none"/>
                <w:lang w:val="zh-CN"/>
              </w:rPr>
              <w:t>2、最后一轮磋商结束后，所有仍在参加磋商的供应商按照磋商小组的要求做最后报价（含修正的响应文件，如有），最后报价由其</w:t>
            </w:r>
            <w:r>
              <w:rPr>
                <w:rFonts w:hint="eastAsia" w:ascii="宋体" w:hAnsi="宋体" w:cs="宋体"/>
                <w:sz w:val="24"/>
                <w:u w:val="none"/>
              </w:rPr>
              <w:t>法定代表人或其授权代表</w:t>
            </w:r>
            <w:r>
              <w:rPr>
                <w:rFonts w:hint="eastAsia" w:ascii="宋体" w:hAnsi="宋体" w:cs="宋体"/>
                <w:bCs/>
                <w:sz w:val="24"/>
                <w:u w:val="none"/>
              </w:rPr>
              <w:t>签字后密封递交给采购代理机构。</w:t>
            </w:r>
          </w:p>
          <w:p>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kern w:val="2"/>
                <w:sz w:val="24"/>
                <w:szCs w:val="22"/>
                <w:u w:val="none"/>
                <w:lang w:val="en-US" w:eastAsia="zh-CN" w:bidi="ar-SA"/>
              </w:rPr>
            </w:pPr>
            <w:r>
              <w:rPr>
                <w:rFonts w:hint="eastAsia" w:ascii="宋体" w:hAnsi="宋体" w:cs="宋体"/>
                <w:kern w:val="0"/>
                <w:sz w:val="24"/>
                <w:u w:val="none"/>
                <w:lang w:val="zh-CN"/>
              </w:rPr>
              <w:t>3、最后报价的递交地点、公布地点同开标地点，并在所有参加磋商的供应商见证下统一集中收缴，逐一展示、公布和登记报价，</w:t>
            </w:r>
            <w:r>
              <w:rPr>
                <w:rFonts w:hint="eastAsia" w:ascii="宋体" w:hAnsi="宋体" w:cs="宋体"/>
                <w:bCs/>
                <w:sz w:val="24"/>
                <w:u w:val="none"/>
              </w:rPr>
              <w:t>并由供应商代表签字确认以示公开。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71"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2</w:t>
            </w:r>
          </w:p>
        </w:tc>
        <w:tc>
          <w:tcPr>
            <w:tcW w:w="2628" w:type="dxa"/>
            <w:vAlign w:val="center"/>
          </w:tcPr>
          <w:p>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cs="宋体"/>
                <w:b/>
                <w:bCs/>
                <w:sz w:val="24"/>
                <w:u w:val="none"/>
              </w:rPr>
            </w:pPr>
            <w:r>
              <w:rPr>
                <w:rFonts w:hint="eastAsia" w:ascii="宋体" w:hAnsi="宋体" w:cs="宋体"/>
                <w:b/>
                <w:bCs/>
                <w:sz w:val="24"/>
                <w:u w:val="none"/>
              </w:rPr>
              <w:t>重大违法记录</w:t>
            </w:r>
          </w:p>
        </w:tc>
        <w:tc>
          <w:tcPr>
            <w:tcW w:w="6203" w:type="dxa"/>
            <w:vAlign w:val="center"/>
          </w:tcPr>
          <w:p>
            <w:pPr>
              <w:keepNext w:val="0"/>
              <w:keepLines w:val="0"/>
              <w:pageBreakBefore w:val="0"/>
              <w:widowControl w:val="0"/>
              <w:numPr>
                <w:ilvl w:val="0"/>
                <w:numId w:val="3"/>
              </w:numPr>
              <w:kinsoku/>
              <w:wordWrap/>
              <w:overflowPunct/>
              <w:topLinePunct w:val="0"/>
              <w:bidi w:val="0"/>
              <w:snapToGrid/>
              <w:spacing w:line="440" w:lineRule="exact"/>
              <w:textAlignment w:val="auto"/>
              <w:rPr>
                <w:rFonts w:hint="eastAsia" w:ascii="宋体" w:hAnsi="宋体" w:cs="宋体"/>
                <w:sz w:val="24"/>
                <w:u w:val="none"/>
                <w:lang w:eastAsia="zh-CN"/>
              </w:rPr>
            </w:pPr>
            <w:r>
              <w:rPr>
                <w:rFonts w:hint="eastAsia" w:ascii="宋体" w:hAnsi="宋体" w:cs="宋体"/>
                <w:sz w:val="24"/>
                <w:u w:val="none"/>
              </w:rPr>
              <w:t>供应商因违法经营受到刑事处罚或者责令停产停业、吊销许可证或者执照、较大数额罚款等行政处罚</w:t>
            </w:r>
            <w:r>
              <w:rPr>
                <w:rFonts w:hint="eastAsia" w:ascii="宋体" w:hAnsi="宋体" w:cs="宋体"/>
                <w:sz w:val="24"/>
                <w:u w:val="none"/>
                <w:lang w:eastAsia="zh-CN"/>
              </w:rPr>
              <w:t>；</w:t>
            </w:r>
          </w:p>
          <w:p>
            <w:pPr>
              <w:keepNext w:val="0"/>
              <w:keepLines w:val="0"/>
              <w:pageBreakBefore w:val="0"/>
              <w:widowControl w:val="0"/>
              <w:numPr>
                <w:ilvl w:val="0"/>
                <w:numId w:val="0"/>
              </w:numPr>
              <w:kinsoku/>
              <w:wordWrap/>
              <w:overflowPunct/>
              <w:topLinePunct w:val="0"/>
              <w:bidi w:val="0"/>
              <w:snapToGrid/>
              <w:spacing w:line="440" w:lineRule="exact"/>
              <w:ind w:leftChars="0"/>
              <w:textAlignment w:val="auto"/>
              <w:rPr>
                <w:rFonts w:hint="eastAsia" w:ascii="宋体" w:hAnsi="宋体" w:cs="宋体"/>
                <w:kern w:val="0"/>
                <w:sz w:val="24"/>
                <w:u w:val="none"/>
                <w:lang w:val="zh-CN"/>
              </w:rPr>
            </w:pPr>
            <w:r>
              <w:rPr>
                <w:rFonts w:hint="eastAsia" w:ascii="宋体" w:hAnsi="宋体" w:cs="Times New Roman"/>
                <w:kern w:val="1"/>
                <w:sz w:val="24"/>
                <w:szCs w:val="24"/>
                <w:lang w:val="en-US" w:eastAsia="zh-CN" w:bidi="ar-SA"/>
              </w:rPr>
              <w:t>2、供应商未被“信用中国”（www.creditchina.gov.cn）、“中国政府采购网”（www.ccgp.gov.cn）、“国家企业信用信息公示系统”（http://www.gsxt.gov.cn）列入失信被执行人、重大税收违法案件当事人名单、政府采购严重违法失信行为记录名单的（尚在处罚期内的）、经营异常名录的，否则将拒绝其参加本次政府采购活动﹙投标人网上自行打印后加盖投标单位公章且网页打印时间须在报名时间内﹚。</w:t>
            </w:r>
            <w:r>
              <w:rPr>
                <w:rFonts w:hint="eastAsia" w:ascii="宋体" w:hAnsi="宋体" w:cs="宋体"/>
                <w:sz w:val="24"/>
                <w:lang w:val="en-US" w:eastAsia="zh-CN"/>
              </w:rPr>
              <w:t>3、</w:t>
            </w:r>
            <w:r>
              <w:rPr>
                <w:rFonts w:ascii="宋体" w:hAnsi="宋体" w:eastAsia="宋体" w:cs="宋体"/>
                <w:sz w:val="24"/>
                <w:szCs w:val="24"/>
              </w:rPr>
              <w:t>县级及以上建设行政主管部门文件明确记《不良行为记录》的情形。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71"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3</w:t>
            </w:r>
          </w:p>
        </w:tc>
        <w:tc>
          <w:tcPr>
            <w:tcW w:w="2628" w:type="dxa"/>
            <w:vAlign w:val="center"/>
          </w:tcPr>
          <w:p>
            <w:pPr>
              <w:spacing w:line="240" w:lineRule="auto"/>
              <w:jc w:val="center"/>
              <w:rPr>
                <w:rFonts w:hint="eastAsia" w:ascii="宋体" w:hAnsi="宋体" w:eastAsia="宋体" w:cs="宋体"/>
                <w:b/>
                <w:bCs/>
                <w:color w:val="000000"/>
                <w:kern w:val="0"/>
                <w:sz w:val="24"/>
                <w:szCs w:val="24"/>
                <w:u w:val="none"/>
                <w:lang w:val="en-US" w:eastAsia="zh-CN" w:bidi="ar-SA"/>
              </w:rPr>
            </w:pPr>
            <w:r>
              <w:rPr>
                <w:rFonts w:hint="eastAsia" w:cs="Times New Roman" w:asciiTheme="majorEastAsia" w:hAnsiTheme="majorEastAsia" w:eastAsiaTheme="majorEastAsia"/>
                <w:sz w:val="28"/>
                <w:szCs w:val="28"/>
              </w:rPr>
              <w:t>★</w:t>
            </w:r>
            <w:r>
              <w:rPr>
                <w:rFonts w:hint="eastAsia" w:ascii="宋体" w:hAnsi="宋体" w:eastAsia="宋体" w:cs="宋体"/>
                <w:b/>
                <w:bCs/>
                <w:color w:val="000000"/>
                <w:kern w:val="0"/>
                <w:sz w:val="24"/>
                <w:szCs w:val="24"/>
                <w:u w:val="none"/>
              </w:rPr>
              <w:t>履约保证金</w:t>
            </w:r>
          </w:p>
        </w:tc>
        <w:tc>
          <w:tcPr>
            <w:tcW w:w="6203" w:type="dxa"/>
            <w:vAlign w:val="center"/>
          </w:tcPr>
          <w:p>
            <w:pPr>
              <w:pStyle w:val="70"/>
              <w:spacing w:line="240" w:lineRule="auto"/>
              <w:ind w:left="0" w:leftChars="0" w:firstLine="0" w:firstLineChars="0"/>
              <w:rPr>
                <w:rFonts w:hint="eastAsia" w:ascii="宋体" w:hAnsi="宋体" w:eastAsia="宋体" w:cs="宋体"/>
                <w:kern w:val="0"/>
                <w:sz w:val="24"/>
              </w:rPr>
            </w:pPr>
            <w:r>
              <w:rPr>
                <w:rFonts w:hint="eastAsia" w:ascii="宋体" w:hAnsi="宋体" w:eastAsia="宋体" w:cs="宋体"/>
                <w:kern w:val="0"/>
                <w:sz w:val="24"/>
                <w:lang w:val="en-US" w:eastAsia="zh-CN"/>
              </w:rPr>
              <w:t>☑</w:t>
            </w:r>
            <w:r>
              <w:rPr>
                <w:rFonts w:hint="eastAsia" w:ascii="宋体" w:hAnsi="宋体" w:eastAsia="宋体" w:cs="宋体"/>
                <w:kern w:val="0"/>
                <w:sz w:val="24"/>
              </w:rPr>
              <w:t>要求，履约保证金的形式：</w:t>
            </w:r>
            <w:r>
              <w:rPr>
                <w:rFonts w:hint="eastAsia" w:ascii="宋体" w:hAnsi="宋体" w:eastAsia="宋体" w:cs="宋体"/>
                <w:color w:val="auto"/>
                <w:kern w:val="0"/>
                <w:sz w:val="24"/>
                <w:highlight w:val="none"/>
                <w:lang w:val="en-US" w:eastAsia="zh-CN"/>
              </w:rPr>
              <w:t>支票、汇票、银行转账或银行保函、工程履约保证保险等法律法规规定的形式</w:t>
            </w:r>
          </w:p>
          <w:p>
            <w:pPr>
              <w:pStyle w:val="70"/>
              <w:spacing w:line="240" w:lineRule="auto"/>
              <w:ind w:left="0" w:leftChars="0" w:firstLine="960" w:firstLineChars="400"/>
              <w:rPr>
                <w:rFonts w:hint="eastAsia" w:ascii="宋体" w:hAnsi="宋体" w:eastAsia="宋体" w:cs="宋体"/>
                <w:kern w:val="0"/>
                <w:sz w:val="24"/>
              </w:rPr>
            </w:pPr>
            <w:r>
              <w:rPr>
                <w:rFonts w:hint="eastAsia" w:ascii="宋体" w:hAnsi="宋体" w:eastAsia="宋体" w:cs="宋体"/>
                <w:kern w:val="0"/>
                <w:sz w:val="24"/>
              </w:rPr>
              <w:t>履约保证金的金额：</w:t>
            </w:r>
            <w:r>
              <w:rPr>
                <w:rFonts w:hint="eastAsia" w:ascii="宋体" w:hAnsi="宋体" w:eastAsia="宋体" w:cs="宋体"/>
                <w:kern w:val="0"/>
                <w:sz w:val="24"/>
                <w:highlight w:val="none"/>
              </w:rPr>
              <w:t>中标合同金额的</w:t>
            </w:r>
            <w:r>
              <w:rPr>
                <w:rFonts w:hint="eastAsia" w:ascii="宋体" w:hAnsi="宋体" w:eastAsia="宋体" w:cs="宋体"/>
                <w:kern w:val="0"/>
                <w:sz w:val="24"/>
                <w:highlight w:val="none"/>
                <w:lang w:val="en-US" w:eastAsia="zh-CN"/>
              </w:rPr>
              <w:t>6</w:t>
            </w:r>
            <w:r>
              <w:rPr>
                <w:rFonts w:hint="eastAsia" w:ascii="宋体" w:hAnsi="宋体" w:eastAsia="宋体" w:cs="宋体"/>
                <w:kern w:val="0"/>
                <w:sz w:val="24"/>
                <w:highlight w:val="none"/>
              </w:rPr>
              <w:t>%</w:t>
            </w:r>
          </w:p>
          <w:p>
            <w:pPr>
              <w:spacing w:line="240" w:lineRule="auto"/>
              <w:rPr>
                <w:rFonts w:hint="eastAsia" w:ascii="宋体" w:hAnsi="宋体" w:eastAsia="宋体" w:cs="宋体"/>
                <w:color w:val="000000"/>
                <w:kern w:val="0"/>
                <w:sz w:val="24"/>
                <w:szCs w:val="24"/>
                <w:u w:val="none"/>
                <w:lang w:val="en-US" w:eastAsia="zh-CN" w:bidi="ar-SA"/>
              </w:rPr>
            </w:pPr>
            <w:r>
              <w:rPr>
                <w:rFonts w:hint="eastAsia" w:ascii="宋体" w:hAnsi="宋体" w:eastAsia="宋体" w:cs="宋体"/>
                <w:kern w:val="0"/>
                <w:sz w:val="24"/>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71"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4</w:t>
            </w:r>
          </w:p>
        </w:tc>
        <w:tc>
          <w:tcPr>
            <w:tcW w:w="2628" w:type="dxa"/>
            <w:vAlign w:val="center"/>
          </w:tcPr>
          <w:p>
            <w:pPr>
              <w:spacing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000000"/>
                <w:kern w:val="0"/>
                <w:sz w:val="24"/>
                <w:szCs w:val="24"/>
                <w:u w:val="none"/>
                <w:lang w:eastAsia="zh-CN"/>
              </w:rPr>
              <w:t>本项目是</w:t>
            </w:r>
            <w:r>
              <w:rPr>
                <w:rFonts w:hint="eastAsia" w:ascii="宋体" w:hAnsi="宋体" w:eastAsia="宋体" w:cs="宋体"/>
                <w:b/>
                <w:bCs/>
                <w:color w:val="000000"/>
                <w:kern w:val="0"/>
                <w:sz w:val="24"/>
                <w:szCs w:val="24"/>
                <w:u w:val="none"/>
                <w:lang w:val="en-US" w:eastAsia="zh-CN"/>
              </w:rPr>
              <w:t>否</w:t>
            </w:r>
            <w:r>
              <w:rPr>
                <w:rFonts w:hint="eastAsia" w:ascii="宋体" w:hAnsi="宋体" w:eastAsia="宋体" w:cs="宋体"/>
                <w:b/>
                <w:bCs/>
                <w:color w:val="000000"/>
                <w:kern w:val="0"/>
                <w:sz w:val="24"/>
                <w:szCs w:val="24"/>
                <w:u w:val="none"/>
                <w:lang w:eastAsia="zh-CN"/>
              </w:rPr>
              <w:t>专门面向中小企业</w:t>
            </w:r>
          </w:p>
        </w:tc>
        <w:tc>
          <w:tcPr>
            <w:tcW w:w="6203" w:type="dxa"/>
            <w:vAlign w:val="center"/>
          </w:tcPr>
          <w:p>
            <w:pPr>
              <w:autoSpaceDE w:val="0"/>
              <w:autoSpaceDN w:val="0"/>
              <w:adjustRightInd w:val="0"/>
              <w:spacing w:line="240" w:lineRule="auto"/>
              <w:rPr>
                <w:rFonts w:hint="default" w:ascii="宋体" w:hAnsi="宋体" w:eastAsia="宋体" w:cs="宋体"/>
                <w:kern w:val="0"/>
                <w:sz w:val="24"/>
                <w:u w:val="none"/>
                <w:lang w:val="en-US" w:eastAsia="zh-CN"/>
              </w:rPr>
            </w:pPr>
            <w:r>
              <w:rPr>
                <w:rFonts w:hint="eastAsia" w:ascii="宋体" w:hAnsi="宋体" w:eastAsia="宋体" w:cs="宋体"/>
                <w:kern w:val="0"/>
                <w:sz w:val="24"/>
                <w:u w:val="none"/>
              </w:rPr>
              <w:t>□</w:t>
            </w:r>
            <w:r>
              <w:rPr>
                <w:rFonts w:hint="eastAsia" w:ascii="宋体" w:hAnsi="宋体" w:eastAsia="宋体" w:cs="宋体"/>
                <w:kern w:val="0"/>
                <w:sz w:val="24"/>
                <w:u w:val="none"/>
                <w:lang w:eastAsia="zh-CN"/>
              </w:rPr>
              <w:t>是，中小企业需要满足的要求：</w:t>
            </w:r>
            <w:r>
              <w:rPr>
                <w:rFonts w:hint="eastAsia" w:ascii="宋体" w:hAnsi="宋体" w:eastAsia="宋体" w:cs="宋体"/>
                <w:kern w:val="0"/>
                <w:sz w:val="24"/>
                <w:u w:val="none"/>
                <w:lang w:val="en-US" w:eastAsia="zh-CN"/>
              </w:rPr>
              <w:t>/</w:t>
            </w:r>
          </w:p>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lang w:val="en-US" w:eastAsia="zh-CN"/>
              </w:rPr>
              <w:t>☑</w:t>
            </w:r>
            <w:r>
              <w:rPr>
                <w:rFonts w:hint="eastAsia" w:ascii="宋体" w:hAnsi="宋体" w:eastAsia="宋体" w:cs="宋体"/>
                <w:kern w:val="0"/>
                <w:sz w:val="24"/>
                <w:u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71"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5</w:t>
            </w:r>
          </w:p>
        </w:tc>
        <w:tc>
          <w:tcPr>
            <w:tcW w:w="2628" w:type="dxa"/>
            <w:vAlign w:val="center"/>
          </w:tcPr>
          <w:p>
            <w:pPr>
              <w:spacing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000000"/>
                <w:kern w:val="0"/>
                <w:sz w:val="24"/>
                <w:szCs w:val="24"/>
                <w:u w:val="none"/>
              </w:rPr>
              <w:t>中小企业</w:t>
            </w:r>
            <w:r>
              <w:rPr>
                <w:rFonts w:hint="eastAsia" w:ascii="宋体" w:hAnsi="宋体" w:eastAsia="宋体" w:cs="宋体"/>
                <w:b/>
                <w:bCs/>
                <w:color w:val="000000"/>
                <w:kern w:val="0"/>
                <w:sz w:val="24"/>
                <w:szCs w:val="24"/>
                <w:u w:val="none"/>
                <w:lang w:eastAsia="zh-CN"/>
              </w:rPr>
              <w:t>扶持</w:t>
            </w:r>
            <w:r>
              <w:rPr>
                <w:rFonts w:hint="eastAsia" w:ascii="宋体" w:hAnsi="宋体" w:eastAsia="宋体" w:cs="宋体"/>
                <w:b/>
                <w:bCs/>
                <w:color w:val="000000"/>
                <w:kern w:val="0"/>
                <w:sz w:val="24"/>
                <w:szCs w:val="24"/>
                <w:u w:val="none"/>
              </w:rPr>
              <w:t>政策</w:t>
            </w:r>
          </w:p>
        </w:tc>
        <w:tc>
          <w:tcPr>
            <w:tcW w:w="6203" w:type="dxa"/>
            <w:vAlign w:val="center"/>
          </w:tcPr>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lang w:eastAsia="zh-CN"/>
              </w:rPr>
              <w:t>详见第四章“评审方法”对应内容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71" w:type="dxa"/>
            <w:vAlign w:val="center"/>
          </w:tcPr>
          <w:p>
            <w:pPr>
              <w:adjustRightInd w:val="0"/>
              <w:snapToGrid w:val="0"/>
              <w:spacing w:before="156"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6</w:t>
            </w:r>
          </w:p>
        </w:tc>
        <w:tc>
          <w:tcPr>
            <w:tcW w:w="2628" w:type="dxa"/>
            <w:vAlign w:val="center"/>
          </w:tcPr>
          <w:p>
            <w:pPr>
              <w:spacing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000000"/>
                <w:kern w:val="0"/>
                <w:sz w:val="24"/>
                <w:szCs w:val="24"/>
                <w:u w:val="none"/>
                <w:lang w:eastAsia="zh-CN"/>
              </w:rPr>
              <w:t>本项目所属行业</w:t>
            </w:r>
          </w:p>
        </w:tc>
        <w:tc>
          <w:tcPr>
            <w:tcW w:w="6203" w:type="dxa"/>
            <w:vAlign w:val="center"/>
          </w:tcPr>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highlight w:val="none"/>
                <w:lang w:eastAsia="zh-CN"/>
              </w:rPr>
              <w:t>建筑业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71"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7</w:t>
            </w:r>
          </w:p>
        </w:tc>
        <w:tc>
          <w:tcPr>
            <w:tcW w:w="2628" w:type="dxa"/>
            <w:vAlign w:val="center"/>
          </w:tcPr>
          <w:p>
            <w:pPr>
              <w:spacing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000000"/>
                <w:kern w:val="0"/>
                <w:sz w:val="24"/>
                <w:szCs w:val="24"/>
                <w:u w:val="none"/>
                <w:lang w:eastAsia="zh-CN"/>
              </w:rPr>
              <w:t>优先采购</w:t>
            </w:r>
            <w:r>
              <w:rPr>
                <w:rFonts w:hint="eastAsia" w:ascii="宋体" w:hAnsi="宋体" w:eastAsia="宋体" w:cs="宋体"/>
                <w:b/>
                <w:bCs/>
                <w:color w:val="000000"/>
                <w:kern w:val="0"/>
                <w:sz w:val="24"/>
                <w:szCs w:val="24"/>
                <w:u w:val="none"/>
              </w:rPr>
              <w:t>节能、</w:t>
            </w:r>
            <w:r>
              <w:rPr>
                <w:rFonts w:hint="eastAsia" w:ascii="宋体" w:hAnsi="宋体" w:eastAsia="宋体" w:cs="宋体"/>
                <w:b/>
                <w:bCs/>
                <w:color w:val="000000"/>
                <w:kern w:val="0"/>
                <w:sz w:val="24"/>
                <w:szCs w:val="24"/>
                <w:u w:val="none"/>
                <w:lang w:eastAsia="zh-CN"/>
              </w:rPr>
              <w:t>环境标志产品</w:t>
            </w:r>
          </w:p>
        </w:tc>
        <w:tc>
          <w:tcPr>
            <w:tcW w:w="6203" w:type="dxa"/>
            <w:vAlign w:val="center"/>
          </w:tcPr>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lang w:eastAsia="zh-CN"/>
              </w:rPr>
              <w:t>详见第四章“评审方法”对应内容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71" w:type="dxa"/>
            <w:vAlign w:val="center"/>
          </w:tcPr>
          <w:p>
            <w:pPr>
              <w:adjustRightInd w:val="0"/>
              <w:snapToGrid w:val="0"/>
              <w:spacing w:before="156"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8</w:t>
            </w:r>
          </w:p>
        </w:tc>
        <w:tc>
          <w:tcPr>
            <w:tcW w:w="2628" w:type="dxa"/>
            <w:vAlign w:val="center"/>
          </w:tcPr>
          <w:p>
            <w:pPr>
              <w:spacing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000000"/>
                <w:kern w:val="0"/>
                <w:sz w:val="24"/>
                <w:szCs w:val="24"/>
                <w:u w:val="none"/>
              </w:rPr>
              <w:t>重大违法记录</w:t>
            </w:r>
          </w:p>
        </w:tc>
        <w:tc>
          <w:tcPr>
            <w:tcW w:w="6203" w:type="dxa"/>
            <w:vAlign w:val="center"/>
          </w:tcPr>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color w:val="000000"/>
                <w:kern w:val="0"/>
                <w:sz w:val="24"/>
                <w:szCs w:val="24"/>
                <w:u w:val="none"/>
              </w:rPr>
              <w:t>供应商因违法经营受到刑事处罚或者责令停产停业、吊销许可证或者执照、较大数额罚款等行政处罚。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71"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9</w:t>
            </w:r>
          </w:p>
        </w:tc>
        <w:tc>
          <w:tcPr>
            <w:tcW w:w="2628" w:type="dxa"/>
            <w:vAlign w:val="center"/>
          </w:tcPr>
          <w:p>
            <w:pPr>
              <w:spacing w:line="240" w:lineRule="auto"/>
              <w:jc w:val="center"/>
              <w:rPr>
                <w:rFonts w:hint="eastAsia" w:ascii="宋体" w:hAnsi="宋体" w:eastAsia="宋体" w:cs="宋体"/>
                <w:b/>
                <w:bCs/>
                <w:color w:val="000000"/>
                <w:kern w:val="0"/>
                <w:sz w:val="24"/>
                <w:szCs w:val="24"/>
                <w:u w:val="none"/>
              </w:rPr>
            </w:pPr>
            <w:r>
              <w:rPr>
                <w:rFonts w:hint="eastAsia" w:cs="Times New Roman" w:asciiTheme="majorEastAsia" w:hAnsiTheme="majorEastAsia" w:eastAsiaTheme="majorEastAsia"/>
                <w:sz w:val="28"/>
                <w:szCs w:val="28"/>
              </w:rPr>
              <w:t>★</w:t>
            </w:r>
            <w:r>
              <w:rPr>
                <w:rFonts w:hint="eastAsia" w:ascii="宋体" w:hAnsi="宋体" w:eastAsia="宋体" w:cs="宋体"/>
                <w:b/>
                <w:bCs/>
                <w:color w:val="000000"/>
                <w:sz w:val="24"/>
                <w:szCs w:val="24"/>
                <w:u w:val="none"/>
                <w:lang w:val="en-US" w:eastAsia="zh-CN"/>
              </w:rPr>
              <w:t>代理</w:t>
            </w:r>
            <w:r>
              <w:rPr>
                <w:rFonts w:hint="eastAsia" w:ascii="宋体" w:hAnsi="宋体" w:eastAsia="宋体" w:cs="宋体"/>
                <w:b/>
                <w:bCs/>
                <w:color w:val="000000"/>
                <w:sz w:val="24"/>
                <w:szCs w:val="24"/>
                <w:u w:val="none"/>
              </w:rPr>
              <w:t>服务费</w:t>
            </w:r>
          </w:p>
        </w:tc>
        <w:tc>
          <w:tcPr>
            <w:tcW w:w="6203" w:type="dxa"/>
            <w:vAlign w:val="center"/>
          </w:tcPr>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szCs w:val="22"/>
                <w:lang w:val="en-US" w:eastAsia="zh-CN" w:bidi="ar-SA"/>
              </w:rPr>
              <w:t>由中标供应商支付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71"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10</w:t>
            </w:r>
          </w:p>
        </w:tc>
        <w:tc>
          <w:tcPr>
            <w:tcW w:w="2628" w:type="dxa"/>
            <w:vAlign w:val="center"/>
          </w:tcPr>
          <w:p>
            <w:pPr>
              <w:spacing w:line="240" w:lineRule="auto"/>
              <w:jc w:val="center"/>
              <w:rPr>
                <w:rFonts w:hint="eastAsia" w:ascii="宋体" w:hAnsi="宋体" w:eastAsia="宋体" w:cs="宋体"/>
                <w:b/>
                <w:bCs/>
                <w:color w:val="000000"/>
                <w:sz w:val="24"/>
                <w:szCs w:val="24"/>
                <w:u w:val="none"/>
                <w:lang w:val="en-US" w:eastAsia="zh-CN"/>
              </w:rPr>
            </w:pPr>
            <w:r>
              <w:rPr>
                <w:rFonts w:hint="eastAsia" w:cs="Times New Roman" w:asciiTheme="majorEastAsia" w:hAnsiTheme="majorEastAsia" w:eastAsiaTheme="majorEastAsia"/>
                <w:sz w:val="28"/>
                <w:szCs w:val="28"/>
              </w:rPr>
              <w:t>★</w:t>
            </w:r>
            <w:r>
              <w:rPr>
                <w:rFonts w:hint="eastAsia" w:ascii="宋体" w:hAnsi="宋体" w:cs="宋体"/>
                <w:b/>
                <w:bCs/>
                <w:color w:val="000000"/>
                <w:sz w:val="24"/>
                <w:szCs w:val="24"/>
                <w:u w:val="none"/>
                <w:lang w:val="en-US" w:eastAsia="zh-CN"/>
              </w:rPr>
              <w:t>场地服务费</w:t>
            </w:r>
          </w:p>
        </w:tc>
        <w:tc>
          <w:tcPr>
            <w:tcW w:w="6203" w:type="dxa"/>
            <w:vAlign w:val="center"/>
          </w:tcPr>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szCs w:val="22"/>
                <w:lang w:val="en-US" w:eastAsia="zh-CN" w:bidi="ar-SA"/>
              </w:rPr>
              <w:t>按规定缴纳场地费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71"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11</w:t>
            </w:r>
          </w:p>
        </w:tc>
        <w:tc>
          <w:tcPr>
            <w:tcW w:w="2628" w:type="dxa"/>
            <w:vAlign w:val="center"/>
          </w:tcPr>
          <w:p>
            <w:pPr>
              <w:spacing w:line="240" w:lineRule="auto"/>
              <w:jc w:val="center"/>
              <w:rPr>
                <w:rFonts w:hint="eastAsia" w:ascii="宋体" w:hAnsi="宋体" w:cs="宋体"/>
                <w:b/>
                <w:bCs/>
                <w:color w:val="000000"/>
                <w:sz w:val="24"/>
                <w:szCs w:val="24"/>
                <w:u w:val="none"/>
                <w:lang w:val="en-US" w:eastAsia="zh-CN"/>
              </w:rPr>
            </w:pPr>
            <w:r>
              <w:rPr>
                <w:rFonts w:hint="eastAsia" w:cs="Times New Roman" w:asciiTheme="majorEastAsia" w:hAnsiTheme="majorEastAsia" w:eastAsiaTheme="majorEastAsia"/>
                <w:sz w:val="28"/>
                <w:szCs w:val="28"/>
              </w:rPr>
              <w:t>★</w:t>
            </w:r>
            <w:r>
              <w:rPr>
                <w:rFonts w:hint="eastAsia" w:ascii="宋体" w:hAnsi="宋体" w:cs="宋体"/>
                <w:b/>
                <w:bCs/>
                <w:color w:val="000000"/>
                <w:sz w:val="24"/>
                <w:szCs w:val="24"/>
                <w:u w:val="none"/>
                <w:lang w:val="en-US" w:eastAsia="zh-CN"/>
              </w:rPr>
              <w:t>公证费</w:t>
            </w:r>
          </w:p>
        </w:tc>
        <w:tc>
          <w:tcPr>
            <w:tcW w:w="6203" w:type="dxa"/>
            <w:vAlign w:val="center"/>
          </w:tcPr>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szCs w:val="22"/>
                <w:lang w:val="en-US" w:eastAsia="zh-CN" w:bidi="ar-SA"/>
              </w:rPr>
              <w:t>由中标供应商办理公证书时支付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71" w:type="dxa"/>
            <w:vAlign w:val="center"/>
          </w:tcPr>
          <w:p>
            <w:pPr>
              <w:adjustRightInd w:val="0"/>
              <w:snapToGrid w:val="0"/>
              <w:spacing w:before="156" w:beforeLines="50" w:line="240" w:lineRule="auto"/>
              <w:jc w:val="center"/>
              <w:rPr>
                <w:rFonts w:hint="default" w:ascii="宋体" w:hAnsi="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12</w:t>
            </w:r>
          </w:p>
        </w:tc>
        <w:tc>
          <w:tcPr>
            <w:tcW w:w="2628" w:type="dxa"/>
            <w:vAlign w:val="center"/>
          </w:tcPr>
          <w:p>
            <w:pPr>
              <w:spacing w:line="240" w:lineRule="auto"/>
              <w:jc w:val="center"/>
              <w:rPr>
                <w:rFonts w:hint="eastAsia" w:ascii="宋体" w:hAnsi="宋体" w:cs="宋体"/>
                <w:b/>
                <w:bCs/>
                <w:color w:val="000000"/>
                <w:sz w:val="24"/>
                <w:szCs w:val="24"/>
                <w:highlight w:val="none"/>
                <w:u w:val="none"/>
                <w:lang w:val="en-US" w:eastAsia="zh-CN"/>
              </w:rPr>
            </w:pPr>
            <w:r>
              <w:rPr>
                <w:rFonts w:hint="eastAsia" w:ascii="宋体" w:hAnsi="宋体" w:cs="宋体"/>
                <w:b/>
                <w:bCs/>
                <w:color w:val="000000"/>
                <w:sz w:val="24"/>
                <w:szCs w:val="24"/>
                <w:highlight w:val="none"/>
                <w:u w:val="none"/>
                <w:lang w:val="en-US" w:eastAsia="zh-CN"/>
              </w:rPr>
              <w:t>合同履约期限</w:t>
            </w:r>
          </w:p>
        </w:tc>
        <w:tc>
          <w:tcPr>
            <w:tcW w:w="6203" w:type="dxa"/>
            <w:vAlign w:val="center"/>
          </w:tcPr>
          <w:p>
            <w:pPr>
              <w:spacing w:line="240" w:lineRule="auto"/>
              <w:jc w:val="left"/>
              <w:rPr>
                <w:rFonts w:hint="eastAsia" w:ascii="宋体" w:hAnsi="宋体" w:cs="宋体"/>
                <w:b w:val="0"/>
                <w:bCs w:val="0"/>
                <w:color w:val="000000"/>
                <w:sz w:val="24"/>
                <w:szCs w:val="24"/>
                <w:highlight w:val="none"/>
                <w:u w:val="none"/>
                <w:lang w:val="en-US" w:eastAsia="zh-CN"/>
              </w:rPr>
            </w:pPr>
            <w:r>
              <w:rPr>
                <w:rFonts w:hint="eastAsia" w:ascii="宋体" w:hAnsi="宋体" w:cs="宋体"/>
                <w:b w:val="0"/>
                <w:bCs w:val="0"/>
                <w:color w:val="000000"/>
                <w:sz w:val="24"/>
                <w:szCs w:val="24"/>
                <w:highlight w:val="none"/>
                <w:u w:val="none"/>
                <w:lang w:val="en-US" w:eastAsia="zh-CN"/>
              </w:rPr>
              <w:t>自合同签订之日起30日历天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71" w:type="dxa"/>
            <w:vAlign w:val="center"/>
          </w:tcPr>
          <w:p>
            <w:pPr>
              <w:adjustRightInd w:val="0"/>
              <w:snapToGrid w:val="0"/>
              <w:spacing w:before="156" w:beforeLines="50" w:line="240" w:lineRule="auto"/>
              <w:jc w:val="center"/>
              <w:rPr>
                <w:rFonts w:hint="default" w:ascii="宋体" w:hAnsi="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13</w:t>
            </w:r>
          </w:p>
        </w:tc>
        <w:tc>
          <w:tcPr>
            <w:tcW w:w="2628" w:type="dxa"/>
            <w:vAlign w:val="center"/>
          </w:tcPr>
          <w:p>
            <w:pPr>
              <w:spacing w:line="240" w:lineRule="auto"/>
              <w:jc w:val="center"/>
              <w:rPr>
                <w:rFonts w:hint="eastAsia" w:ascii="宋体" w:hAnsi="宋体" w:cs="宋体"/>
                <w:b/>
                <w:bCs/>
                <w:color w:val="000000"/>
                <w:sz w:val="24"/>
                <w:szCs w:val="24"/>
                <w:u w:val="none"/>
                <w:lang w:val="en-US" w:eastAsia="zh-CN"/>
              </w:rPr>
            </w:pPr>
            <w:bookmarkStart w:id="162" w:name="_GoBack"/>
            <w:bookmarkEnd w:id="162"/>
            <w:r>
              <w:rPr>
                <w:rFonts w:hint="eastAsia" w:ascii="宋体" w:hAnsi="宋体" w:cs="宋体"/>
                <w:b/>
                <w:bCs/>
                <w:color w:val="000000"/>
                <w:sz w:val="24"/>
                <w:szCs w:val="24"/>
                <w:u w:val="none"/>
                <w:lang w:val="en-US" w:eastAsia="zh-CN"/>
              </w:rPr>
              <w:t>建设地点</w:t>
            </w:r>
          </w:p>
        </w:tc>
        <w:tc>
          <w:tcPr>
            <w:tcW w:w="6203" w:type="dxa"/>
            <w:vAlign w:val="center"/>
          </w:tcPr>
          <w:p>
            <w:pPr>
              <w:spacing w:line="240" w:lineRule="auto"/>
              <w:jc w:val="left"/>
              <w:rPr>
                <w:rFonts w:hint="eastAsia" w:ascii="宋体" w:hAnsi="宋体" w:cs="宋体"/>
                <w:b w:val="0"/>
                <w:bCs w:val="0"/>
                <w:color w:val="000000"/>
                <w:sz w:val="24"/>
                <w:szCs w:val="24"/>
                <w:u w:val="none"/>
                <w:lang w:val="en-US" w:eastAsia="zh-CN"/>
              </w:rPr>
            </w:pPr>
            <w:r>
              <w:rPr>
                <w:rFonts w:hint="eastAsia" w:ascii="宋体" w:hAnsi="宋体" w:cs="宋体"/>
                <w:color w:val="000000"/>
                <w:kern w:val="0"/>
                <w:sz w:val="24"/>
                <w:highlight w:val="none"/>
                <w:u w:val="none"/>
                <w:lang w:val="en-US" w:eastAsia="zh-CN"/>
              </w:rPr>
              <w:t>乌什县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4" w:hRule="atLeast"/>
          <w:jc w:val="center"/>
        </w:trPr>
        <w:tc>
          <w:tcPr>
            <w:tcW w:w="971" w:type="dxa"/>
            <w:vAlign w:val="center"/>
          </w:tcPr>
          <w:p>
            <w:pPr>
              <w:adjustRightInd w:val="0"/>
              <w:snapToGrid w:val="0"/>
              <w:spacing w:before="156" w:beforeLines="50" w:line="240" w:lineRule="auto"/>
              <w:jc w:val="center"/>
              <w:rPr>
                <w:rFonts w:hint="default" w:ascii="宋体" w:hAnsi="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14</w:t>
            </w:r>
          </w:p>
        </w:tc>
        <w:tc>
          <w:tcPr>
            <w:tcW w:w="2628" w:type="dxa"/>
            <w:vAlign w:val="center"/>
          </w:tcPr>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2"/>
                <w:sz w:val="24"/>
                <w:szCs w:val="24"/>
                <w:lang w:val="en-US" w:eastAsia="zh-CN" w:bidi="ar-SA"/>
              </w:rPr>
            </w:pPr>
            <w:r>
              <w:rPr>
                <w:rFonts w:hint="eastAsia" w:ascii="宋体" w:hAnsi="宋体" w:cs="宋体"/>
                <w:b/>
                <w:bCs/>
                <w:color w:val="000000"/>
                <w:sz w:val="24"/>
                <w:szCs w:val="24"/>
                <w:u w:val="none"/>
                <w:lang w:val="zh-CN" w:eastAsia="zh-CN"/>
              </w:rPr>
              <w:t>节能、环保政府采购政策</w:t>
            </w:r>
          </w:p>
        </w:tc>
        <w:tc>
          <w:tcPr>
            <w:tcW w:w="6203" w:type="dxa"/>
            <w:vAlign w:val="center"/>
          </w:tcPr>
          <w:p>
            <w:pPr>
              <w:spacing w:line="240" w:lineRule="auto"/>
              <w:jc w:val="left"/>
              <w:rPr>
                <w:rFonts w:hint="eastAsia" w:ascii="宋体" w:hAnsi="宋体" w:cs="宋体"/>
                <w:color w:val="000000"/>
                <w:kern w:val="0"/>
                <w:sz w:val="24"/>
                <w:highlight w:val="none"/>
                <w:u w:val="none"/>
                <w:lang w:val="en-US" w:eastAsia="zh-CN"/>
              </w:rPr>
            </w:pPr>
            <w:r>
              <w:rPr>
                <w:rFonts w:hint="eastAsia" w:ascii="宋体" w:hAnsi="宋体" w:cs="宋体"/>
                <w:color w:val="000000"/>
                <w:kern w:val="0"/>
                <w:sz w:val="24"/>
                <w:highlight w:val="none"/>
                <w:u w:val="none"/>
                <w:lang w:val="en-US" w:eastAsia="zh-CN"/>
              </w:rPr>
              <w:t>严格执行《财政部 发展改革委 生态环境部 市场监管总局关于调整优化节能产品、环境标志产品政府采购执行机制的通知》（财库</w:t>
            </w:r>
          </w:p>
          <w:p>
            <w:pPr>
              <w:spacing w:line="240" w:lineRule="auto"/>
              <w:jc w:val="left"/>
              <w:rPr>
                <w:rFonts w:hint="eastAsia" w:ascii="宋体" w:hAnsi="宋体" w:cs="宋体"/>
                <w:color w:val="000000"/>
                <w:kern w:val="0"/>
                <w:sz w:val="24"/>
                <w:highlight w:val="none"/>
                <w:u w:val="none"/>
                <w:lang w:val="en-US" w:eastAsia="zh-CN"/>
              </w:rPr>
            </w:pPr>
            <w:r>
              <w:rPr>
                <w:rFonts w:hint="eastAsia" w:ascii="宋体" w:hAnsi="宋体" w:cs="宋体"/>
                <w:color w:val="000000"/>
                <w:kern w:val="0"/>
                <w:sz w:val="24"/>
                <w:highlight w:val="none"/>
                <w:u w:val="none"/>
                <w:lang w:val="en-US" w:eastAsia="zh-CN"/>
              </w:rPr>
              <w:t>〔2019〕9  号）、关于印发节能产品政府采购品目清单的通知（财库</w:t>
            </w:r>
          </w:p>
          <w:p>
            <w:pPr>
              <w:spacing w:line="240" w:lineRule="auto"/>
              <w:jc w:val="left"/>
              <w:rPr>
                <w:rFonts w:hint="eastAsia" w:ascii="仿宋" w:hAnsi="仿宋" w:eastAsia="仿宋" w:cs="仿宋"/>
                <w:color w:val="auto"/>
                <w:kern w:val="2"/>
                <w:sz w:val="24"/>
                <w:szCs w:val="24"/>
                <w:lang w:val="en-US" w:eastAsia="zh-CN" w:bidi="ar-SA"/>
              </w:rPr>
            </w:pPr>
            <w:r>
              <w:rPr>
                <w:rFonts w:hint="eastAsia" w:ascii="宋体" w:hAnsi="宋体" w:cs="宋体"/>
                <w:color w:val="000000"/>
                <w:kern w:val="0"/>
                <w:sz w:val="24"/>
                <w:highlight w:val="none"/>
                <w:u w:val="none"/>
                <w:lang w:val="en-US" w:eastAsia="zh-CN"/>
              </w:rPr>
              <w:t>〔2019〕19 号）、关于印发环境标志产品政府采购品目清单的通知（财库〔2019〕18 号）、市场监管总局关于发布参与实施政府采购节能产品、环境标志产品认证机构名录的公告（2019 年第 16 号），本次采购产品类别属于政府强制采购产品类别的，应当按照要求提供依据国家确定的认证机构出具的、处于有效期之内的节能产品或环境标志产品认证证书，否则响应文件无效；属于政府优先采购产品类别的，应当按照要求提供依据国家确定的认证机构出具的、处于有效期之内的节能产品或环境标志产品认证证书，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9802" w:type="dxa"/>
            <w:gridSpan w:val="3"/>
            <w:vAlign w:val="center"/>
          </w:tcPr>
          <w:p>
            <w:pPr>
              <w:spacing w:line="240" w:lineRule="auto"/>
              <w:jc w:val="left"/>
              <w:rPr>
                <w:rFonts w:hint="eastAsia" w:ascii="宋体" w:hAnsi="宋体" w:cs="宋体"/>
                <w:color w:val="000000"/>
                <w:kern w:val="0"/>
                <w:sz w:val="24"/>
                <w:highlight w:val="none"/>
                <w:u w:val="none"/>
                <w:lang w:val="en-US" w:eastAsia="zh-CN"/>
              </w:rPr>
            </w:pPr>
            <w:r>
              <w:rPr>
                <w:rFonts w:hint="eastAsia" w:ascii="宋体" w:hAnsi="宋体" w:eastAsia="宋体" w:cs="宋体"/>
                <w:kern w:val="0"/>
                <w:sz w:val="24"/>
                <w:szCs w:val="20"/>
                <w:highlight w:val="none"/>
                <w:lang w:val="en-US" w:eastAsia="zh-CN" w:bidi="ar-SA"/>
              </w:rPr>
              <w:t>为方便广大中小企业、政府部门和社会公众识别企业规模类型，工业和信息化部组织开发了中小企业规模类型自测小程序，并于2020年2月27日上线运行，在国务院客户端和工业和信息化部网站（https://www.miit.gov.cn/）上均有链接，广大中小企业和各类社会机构填写企业所属的行业和指标数据自动生成企业规模类型测试结果。</w:t>
            </w:r>
          </w:p>
        </w:tc>
      </w:tr>
    </w:tbl>
    <w:p>
      <w:pPr>
        <w:spacing w:line="440" w:lineRule="exact"/>
        <w:rPr>
          <w:rFonts w:hint="eastAsia"/>
          <w:lang w:eastAsia="zh-CN"/>
        </w:rPr>
        <w:sectPr>
          <w:footerReference r:id="rId6" w:type="default"/>
          <w:pgSz w:w="11906" w:h="16838"/>
          <w:pgMar w:top="1440" w:right="1080" w:bottom="1440" w:left="1080" w:header="851" w:footer="992" w:gutter="0"/>
          <w:pgNumType w:fmt="decimal" w:start="1"/>
          <w:cols w:space="425" w:num="1"/>
          <w:docGrid w:linePitch="312" w:charSpace="0"/>
        </w:sectPr>
      </w:pPr>
      <w:r>
        <w:rPr>
          <w:rFonts w:hint="eastAsia" w:ascii="宋体" w:hAnsi="宋体" w:eastAsia="宋体" w:cs="宋体"/>
          <w:b/>
          <w:bCs/>
          <w:kern w:val="0"/>
          <w:sz w:val="24"/>
          <w:szCs w:val="22"/>
        </w:rPr>
        <w:t>注：</w:t>
      </w:r>
      <w:r>
        <w:rPr>
          <w:rFonts w:hint="eastAsia" w:ascii="宋体" w:hAnsi="宋体" w:eastAsia="宋体" w:cs="宋体"/>
          <w:sz w:val="24"/>
          <w:szCs w:val="22"/>
          <w:lang w:val="en-US" w:eastAsia="zh-CN"/>
        </w:rPr>
        <w:t>1</w:t>
      </w:r>
      <w:r>
        <w:rPr>
          <w:rFonts w:hint="eastAsia" w:ascii="宋体" w:hAnsi="宋体" w:eastAsia="宋体" w:cs="宋体"/>
          <w:sz w:val="24"/>
          <w:szCs w:val="22"/>
        </w:rPr>
        <w:t>、本表内容与</w:t>
      </w:r>
      <w:r>
        <w:rPr>
          <w:rFonts w:hint="eastAsia" w:ascii="宋体" w:hAnsi="宋体" w:cs="宋体"/>
          <w:sz w:val="24"/>
          <w:szCs w:val="22"/>
          <w:lang w:eastAsia="zh-CN"/>
        </w:rPr>
        <w:t>磋商</w:t>
      </w:r>
      <w:r>
        <w:rPr>
          <w:rFonts w:hint="eastAsia" w:ascii="宋体" w:hAnsi="宋体" w:eastAsia="宋体" w:cs="宋体"/>
          <w:sz w:val="24"/>
          <w:szCs w:val="22"/>
        </w:rPr>
        <w:t>文件其它内容不一致的，应当以本表内容为准。</w:t>
      </w:r>
      <w:r>
        <w:rPr>
          <w:rFonts w:hint="eastAsia" w:ascii="宋体" w:hAnsi="宋体" w:eastAsia="宋体" w:cs="宋体"/>
          <w:kern w:val="0"/>
          <w:sz w:val="24"/>
          <w:szCs w:val="22"/>
          <w:lang w:val="en-US" w:eastAsia="zh-CN"/>
        </w:rPr>
        <w:t>2</w:t>
      </w:r>
      <w:r>
        <w:rPr>
          <w:rFonts w:hint="eastAsia" w:ascii="宋体" w:hAnsi="宋体" w:eastAsia="宋体" w:cs="宋体"/>
          <w:kern w:val="0"/>
          <w:sz w:val="24"/>
          <w:szCs w:val="22"/>
        </w:rPr>
        <w:t>、本表中“</w:t>
      </w:r>
      <w:r>
        <w:rPr>
          <w:rFonts w:hint="eastAsia" w:ascii="宋体" w:hAnsi="宋体" w:eastAsia="宋体" w:cs="宋体"/>
          <w:kern w:val="0"/>
          <w:sz w:val="24"/>
          <w:szCs w:val="22"/>
        </w:rPr>
        <w:fldChar w:fldCharType="begin"/>
      </w:r>
      <w:r>
        <w:rPr>
          <w:rFonts w:hint="eastAsia" w:ascii="宋体" w:hAnsi="宋体" w:eastAsia="宋体" w:cs="宋体"/>
          <w:kern w:val="0"/>
          <w:sz w:val="22"/>
          <w:szCs w:val="22"/>
        </w:rPr>
        <w:instrText xml:space="preserve"> eq \o\ac(</w:instrText>
      </w:r>
      <w:r>
        <w:rPr>
          <w:rFonts w:hint="eastAsia" w:ascii="宋体" w:hAnsi="宋体" w:eastAsia="宋体" w:cs="宋体"/>
          <w:kern w:val="0"/>
          <w:position w:val="-4"/>
          <w:sz w:val="33"/>
          <w:szCs w:val="22"/>
        </w:rPr>
        <w:instrText xml:space="preserve">□</w:instrText>
      </w:r>
      <w:r>
        <w:rPr>
          <w:rFonts w:hint="eastAsia" w:ascii="宋体" w:hAnsi="宋体" w:eastAsia="宋体" w:cs="宋体"/>
          <w:kern w:val="0"/>
          <w:position w:val="0"/>
          <w:sz w:val="22"/>
          <w:szCs w:val="22"/>
        </w:rPr>
        <w:instrText xml:space="preserve">,√)</w:instrText>
      </w:r>
      <w:r>
        <w:rPr>
          <w:rFonts w:hint="eastAsia" w:ascii="宋体" w:hAnsi="宋体" w:eastAsia="宋体" w:cs="宋体"/>
          <w:kern w:val="0"/>
          <w:sz w:val="24"/>
          <w:szCs w:val="22"/>
        </w:rPr>
        <w:fldChar w:fldCharType="end"/>
      </w:r>
      <w:r>
        <w:rPr>
          <w:rFonts w:hint="eastAsia" w:ascii="宋体" w:hAnsi="宋体" w:eastAsia="宋体" w:cs="宋体"/>
          <w:kern w:val="0"/>
          <w:sz w:val="24"/>
          <w:szCs w:val="22"/>
        </w:rPr>
        <w:t>”标示选择使用该项</w:t>
      </w:r>
      <w:r>
        <w:rPr>
          <w:rFonts w:hint="eastAsia" w:ascii="宋体" w:hAnsi="宋体" w:cs="宋体"/>
          <w:kern w:val="0"/>
          <w:sz w:val="24"/>
          <w:szCs w:val="22"/>
          <w:lang w:eastAsia="zh-CN"/>
        </w:rPr>
        <w:t>。</w:t>
      </w:r>
    </w:p>
    <w:bookmarkEnd w:id="1"/>
    <w:p>
      <w:pPr>
        <w:pStyle w:val="5"/>
        <w:pageBreakBefore w:val="0"/>
        <w:kinsoku/>
        <w:overflowPunct/>
        <w:autoSpaceDE/>
        <w:autoSpaceDN/>
        <w:bidi w:val="0"/>
        <w:spacing w:line="400" w:lineRule="exact"/>
        <w:rPr>
          <w:rFonts w:hint="eastAsia"/>
        </w:rPr>
      </w:pPr>
      <w:bookmarkStart w:id="49" w:name="_Toc20823274"/>
      <w:bookmarkEnd w:id="49"/>
      <w:bookmarkStart w:id="50" w:name="_Toc16938518"/>
      <w:bookmarkEnd w:id="50"/>
      <w:bookmarkStart w:id="51" w:name="_Toc120614213"/>
      <w:bookmarkEnd w:id="51"/>
      <w:bookmarkStart w:id="52" w:name="_Toc455227390"/>
      <w:bookmarkEnd w:id="52"/>
      <w:bookmarkStart w:id="53" w:name="_Toc513029202"/>
      <w:bookmarkEnd w:id="53"/>
      <w:bookmarkStart w:id="54" w:name="_Toc1621"/>
      <w:bookmarkStart w:id="55" w:name="_Toc20759"/>
      <w:r>
        <w:rPr>
          <w:rFonts w:hint="eastAsia"/>
        </w:rPr>
        <w:t>一、说明</w:t>
      </w:r>
      <w:bookmarkEnd w:id="54"/>
      <w:bookmarkEnd w:id="55"/>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1.1适用范围</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w:t>
      </w:r>
      <w:r>
        <w:rPr>
          <w:rFonts w:hint="eastAsia" w:ascii="宋体" w:hAnsi="宋体" w:eastAsia="宋体" w:cs="宋体"/>
          <w:sz w:val="24"/>
          <w:szCs w:val="24"/>
        </w:rPr>
        <w:t>1本磋商文件仅适用于本磋商</w:t>
      </w:r>
      <w:r>
        <w:rPr>
          <w:rFonts w:hint="eastAsia" w:ascii="宋体" w:hAnsi="宋体" w:eastAsia="宋体" w:cs="宋体"/>
          <w:sz w:val="24"/>
          <w:szCs w:val="24"/>
          <w:lang w:eastAsia="zh-CN"/>
        </w:rPr>
        <w:t>文件</w:t>
      </w:r>
      <w:r>
        <w:rPr>
          <w:rFonts w:hint="eastAsia" w:ascii="宋体" w:hAnsi="宋体" w:eastAsia="宋体" w:cs="宋体"/>
          <w:sz w:val="24"/>
          <w:szCs w:val="24"/>
        </w:rPr>
        <w:t>中所述项目的采购。</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1.2定义</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eastAsia="zh-CN"/>
        </w:rPr>
      </w:pPr>
      <w:r>
        <w:rPr>
          <w:rFonts w:hint="eastAsia" w:ascii="宋体" w:hAnsi="宋体" w:eastAsia="宋体" w:cs="宋体"/>
          <w:sz w:val="24"/>
          <w:szCs w:val="24"/>
        </w:rPr>
        <w:t>1.2.1“采购人”是指：详见</w:t>
      </w:r>
      <w:r>
        <w:rPr>
          <w:rFonts w:hint="eastAsia" w:ascii="宋体" w:hAnsi="宋体" w:eastAsia="宋体" w:cs="宋体"/>
          <w:sz w:val="24"/>
          <w:szCs w:val="24"/>
          <w:highlight w:val="none"/>
        </w:rPr>
        <w:t>供应商须知前附表</w:t>
      </w:r>
      <w:r>
        <w:rPr>
          <w:rFonts w:hint="eastAsia" w:ascii="宋体" w:hAnsi="宋体" w:eastAsia="宋体" w:cs="宋体"/>
          <w:sz w:val="24"/>
          <w:szCs w:val="24"/>
          <w:lang w:eastAsia="zh-CN"/>
        </w:rPr>
        <w:t>。</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eastAsia="zh-CN"/>
        </w:rPr>
      </w:pPr>
      <w:r>
        <w:rPr>
          <w:rFonts w:hint="eastAsia" w:ascii="宋体" w:hAnsi="宋体" w:eastAsia="宋体" w:cs="宋体"/>
          <w:sz w:val="24"/>
          <w:szCs w:val="24"/>
        </w:rPr>
        <w:t>1.2.2“采购代理机构”是指：详见供应商须知前附表</w:t>
      </w:r>
      <w:r>
        <w:rPr>
          <w:rFonts w:hint="eastAsia" w:ascii="宋体" w:hAnsi="宋体" w:eastAsia="宋体" w:cs="宋体"/>
          <w:sz w:val="24"/>
          <w:szCs w:val="24"/>
          <w:lang w:eastAsia="zh-CN"/>
        </w:rPr>
        <w:t>。</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eastAsia="zh-CN"/>
        </w:rPr>
      </w:pPr>
      <w:r>
        <w:rPr>
          <w:rFonts w:hint="eastAsia" w:ascii="宋体" w:hAnsi="宋体" w:eastAsia="宋体" w:cs="宋体"/>
          <w:sz w:val="24"/>
          <w:szCs w:val="24"/>
        </w:rPr>
        <w:t>1.2.3“监管部门”是指：详见供应商须知前附表</w:t>
      </w:r>
      <w:r>
        <w:rPr>
          <w:rFonts w:hint="eastAsia" w:ascii="宋体" w:hAnsi="宋体" w:eastAsia="宋体" w:cs="宋体"/>
          <w:sz w:val="24"/>
          <w:szCs w:val="24"/>
          <w:lang w:eastAsia="zh-CN"/>
        </w:rPr>
        <w:t>。</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1.2.4 “供应商”是指：响应磋商文件要求并且符合磋商文件规定资格条件和参加竞争性磋商的法人、其他组织或者自然人。</w:t>
      </w:r>
    </w:p>
    <w:p>
      <w:pPr>
        <w:pageBreakBefore w:val="0"/>
        <w:kinsoku/>
        <w:overflow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5</w:t>
      </w:r>
      <w:r>
        <w:rPr>
          <w:rFonts w:hint="eastAsia" w:ascii="宋体" w:hAnsi="宋体" w:eastAsia="宋体" w:cs="宋体"/>
          <w:sz w:val="24"/>
          <w:szCs w:val="24"/>
        </w:rPr>
        <w:t>“成交供应商”是指</w:t>
      </w:r>
      <w:r>
        <w:rPr>
          <w:rFonts w:hint="eastAsia" w:ascii="宋体" w:hAnsi="宋体" w:eastAsia="宋体" w:cs="宋体"/>
          <w:sz w:val="24"/>
          <w:szCs w:val="24"/>
          <w:lang w:eastAsia="zh-CN"/>
        </w:rPr>
        <w:t>：</w:t>
      </w:r>
      <w:r>
        <w:rPr>
          <w:rFonts w:hint="eastAsia" w:ascii="宋体" w:hAnsi="宋体" w:eastAsia="宋体" w:cs="宋体"/>
          <w:sz w:val="24"/>
          <w:szCs w:val="24"/>
        </w:rPr>
        <w:t>是指经磋商小组评审，授予合同的供应商。</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6</w:t>
      </w:r>
      <w:r>
        <w:rPr>
          <w:rFonts w:hint="eastAsia" w:ascii="宋体" w:hAnsi="宋体" w:eastAsia="宋体" w:cs="宋体"/>
          <w:sz w:val="24"/>
          <w:szCs w:val="24"/>
        </w:rPr>
        <w:t>采购人和采购代理机构统称为招标采购单位。</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1.3货物</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1.3.1“货物”是指：供应商制造或组织符合磋商文件要求的货物，包括原材料、燃料、设备、产品等。磋商文件中没有提及招标货物来源地的，根据《政府采购法》的相关规定均应是本国货物，另有规定的除外。</w:t>
      </w:r>
      <w:r>
        <w:rPr>
          <w:rFonts w:hint="eastAsia" w:ascii="宋体" w:hAnsi="宋体" w:eastAsia="宋体" w:cs="宋体"/>
          <w:snapToGrid w:val="0"/>
          <w:kern w:val="0"/>
          <w:sz w:val="24"/>
          <w:szCs w:val="24"/>
        </w:rPr>
        <w:t>提供的货物必须是其合法生产的符合国家有关标准要求的货物，并能够按照合同规定的品牌、产地、质量、价格和有效期等履约。</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lang w:val="en-US" w:eastAsia="zh-CN"/>
        </w:rPr>
        <w:t>1.4</w:t>
      </w:r>
      <w:r>
        <w:rPr>
          <w:rFonts w:hint="eastAsia" w:ascii="宋体" w:hAnsi="宋体" w:eastAsia="宋体" w:cs="宋体"/>
          <w:b/>
          <w:sz w:val="24"/>
          <w:szCs w:val="24"/>
          <w:lang w:eastAsia="zh-CN"/>
        </w:rPr>
        <w:t>磋商</w:t>
      </w:r>
      <w:r>
        <w:rPr>
          <w:rFonts w:hint="eastAsia" w:ascii="宋体" w:hAnsi="宋体" w:eastAsia="宋体" w:cs="宋体"/>
          <w:b/>
          <w:sz w:val="24"/>
          <w:szCs w:val="24"/>
        </w:rPr>
        <w:t>供应商资格要求</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1.4.1</w:t>
      </w:r>
      <w:r>
        <w:rPr>
          <w:rFonts w:hint="eastAsia" w:ascii="宋体" w:hAnsi="宋体" w:eastAsia="宋体" w:cs="宋体"/>
          <w:color w:val="auto"/>
          <w:sz w:val="24"/>
          <w:szCs w:val="24"/>
        </w:rPr>
        <w:t>符合供应商须知前附表所规定的供应商资格要求，并满足本文件实质性要求和条件的规定。</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color w:val="auto"/>
          <w:sz w:val="24"/>
          <w:szCs w:val="24"/>
          <w:lang w:val="en-US" w:eastAsia="zh-CN"/>
        </w:rPr>
        <w:t>1.4.2</w:t>
      </w:r>
      <w:r>
        <w:rPr>
          <w:rFonts w:hint="eastAsia" w:ascii="宋体" w:hAnsi="宋体" w:eastAsia="宋体" w:cs="宋体"/>
          <w:color w:val="auto"/>
          <w:sz w:val="24"/>
          <w:szCs w:val="24"/>
        </w:rPr>
        <w:t>投</w:t>
      </w:r>
      <w:r>
        <w:rPr>
          <w:rFonts w:hint="eastAsia" w:ascii="宋体" w:hAnsi="宋体" w:eastAsia="宋体" w:cs="宋体"/>
          <w:sz w:val="24"/>
          <w:szCs w:val="24"/>
        </w:rPr>
        <w:t>标人或投标人之间如果存在下列情形之一的，不得同时参加同一包（标段）或者不分包（标段）的同一项目投标：</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（1）单位负责人为同一个人或者存在直接控股、管理关系的不同投标人；</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（2）母公司、全资子公司及其控股公司；</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（3）为本次采购项目提供整体设计、规范编制或者项目管理、监理、检测等服务的投标人；</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（4）参加投标的其他组织之间存在特殊的利害关系的；</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（5）法律法规规定的其他情形。</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1.4.3</w:t>
      </w:r>
      <w:r>
        <w:rPr>
          <w:rFonts w:hint="eastAsia" w:ascii="宋体" w:hAnsi="宋体" w:eastAsia="宋体" w:cs="宋体"/>
          <w:sz w:val="24"/>
          <w:szCs w:val="24"/>
        </w:rPr>
        <w:t>投标人不得存在下列情形之一：</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（1）被依法暂停或者取消投标资格；</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（2）被责令停产停业，暂扣或者吊销许可证，暂扣或者吊销执照；</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（3）进入清算程序，或被宣告破产，或其他丧失履约能力的情形；</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（4）在近三年内发生重大产品质量问题（以相关行业主管部门的行政处罚决定或司法机关出具的有关法律文书为准）；</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（5）被工商行政管理机关在全国企业信用信息公示系统中列入严重违法失信企业名单；</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（6）被最高人民法院在“信用中国”网站（www.creditchina.gov.cn）或各级信用信息共享平台中列入失信被执行人名单；</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（7）在“中国政府采购网”网站（http://www.ccgp.gov.cn/）中列入政府采购严重违法失信行为信息记录名单；</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（8）法律法规规定的其他情形。</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val="en-US"/>
        </w:rPr>
      </w:pPr>
      <w:r>
        <w:rPr>
          <w:rFonts w:hint="eastAsia" w:ascii="宋体" w:hAnsi="宋体" w:eastAsia="宋体" w:cs="宋体"/>
          <w:sz w:val="24"/>
          <w:szCs w:val="24"/>
          <w:lang w:val="en-US" w:eastAsia="zh-CN"/>
        </w:rPr>
        <w:t>1.4.4供应商应当按照采购代理机构规定的合法方式获得本项目磋商文件。</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1.5联合体投标</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供应商须知前附表规定接受联合体投标的，联合体除应符合上述资格要求外，还应遵守以下规定：</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1.5.1</w:t>
      </w:r>
      <w:r>
        <w:rPr>
          <w:rFonts w:hint="eastAsia" w:ascii="宋体" w:hAnsi="宋体" w:eastAsia="宋体" w:cs="宋体"/>
          <w:sz w:val="24"/>
          <w:szCs w:val="24"/>
        </w:rPr>
        <w:t>两个以上供应商可以组成一个联合体，以一个供应商的身份共同参与磋商。</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1.5.2</w:t>
      </w:r>
      <w:r>
        <w:rPr>
          <w:rFonts w:hint="eastAsia" w:ascii="宋体" w:hAnsi="宋体" w:eastAsia="宋体" w:cs="宋体"/>
          <w:sz w:val="24"/>
          <w:szCs w:val="24"/>
        </w:rPr>
        <w:t>采取联合体形式磋商的，联合体各方均应当符合政府采购法第二十二条规定的条件。采购人根据采购项目的特殊要求规定供应商特定条件的，联合体各方中至少有一方符合磋商文件规定的特定条件。</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1.5.3</w:t>
      </w:r>
      <w:r>
        <w:rPr>
          <w:rFonts w:hint="eastAsia" w:ascii="宋体" w:hAnsi="宋体" w:eastAsia="宋体" w:cs="宋体"/>
          <w:sz w:val="24"/>
          <w:szCs w:val="24"/>
        </w:rPr>
        <w:t>联合体各方之间必须签订联合磋商协议，明确约定联合体主体及各方承担的工作和相应的责任，其响应文件中必须提供联合磋商协议。</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1.5.4</w:t>
      </w:r>
      <w:r>
        <w:rPr>
          <w:rFonts w:hint="eastAsia" w:ascii="宋体" w:hAnsi="宋体" w:eastAsia="宋体" w:cs="宋体"/>
          <w:sz w:val="24"/>
          <w:szCs w:val="24"/>
        </w:rPr>
        <w:t>以联合体形式参加政府采购活动的，联合体各方不得再单独参加或者与其他供应商另外组成联合体参加同一合同项下的政府采购活动。</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1.5.5</w:t>
      </w:r>
      <w:r>
        <w:rPr>
          <w:rFonts w:hint="eastAsia" w:ascii="宋体" w:hAnsi="宋体" w:eastAsia="宋体" w:cs="宋体"/>
          <w:sz w:val="24"/>
          <w:szCs w:val="24"/>
        </w:rPr>
        <w:t>采取联合体形式投标的，其响应文件必须由联合体所有成员或其各自正式书面授权的代表签署（盖章），以便对所有成员作为整体及作为个体均具有法律约束力。</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1.5.6</w:t>
      </w:r>
      <w:r>
        <w:rPr>
          <w:rFonts w:hint="eastAsia" w:ascii="宋体" w:hAnsi="宋体" w:eastAsia="宋体" w:cs="宋体"/>
          <w:sz w:val="24"/>
          <w:szCs w:val="24"/>
        </w:rPr>
        <w:t>联合体成交的，联合体各方应当共同与采购人签订采购合同。</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1.5.7</w:t>
      </w:r>
      <w:r>
        <w:rPr>
          <w:rFonts w:hint="eastAsia" w:ascii="宋体" w:hAnsi="宋体" w:eastAsia="宋体" w:cs="宋体"/>
          <w:sz w:val="24"/>
          <w:szCs w:val="24"/>
        </w:rPr>
        <w:t>联合体中有同类资质的供应商按照联合体分工承担相同工作的，应当按照资质等级较低的供应商确定资质等级。</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6</w:t>
      </w:r>
      <w:r>
        <w:rPr>
          <w:rFonts w:hint="eastAsia" w:ascii="宋体" w:hAnsi="宋体" w:eastAsia="宋体" w:cs="宋体"/>
          <w:b/>
          <w:sz w:val="24"/>
          <w:szCs w:val="24"/>
        </w:rPr>
        <w:t>磋商费用</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供应商应承担所有与准备和参加竞争性磋商有关的费用。不论磋商的结果如何，采购单位均无义务和责任承担这些费用。</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eastAsia="zh-CN"/>
        </w:rPr>
      </w:pPr>
      <w:r>
        <w:rPr>
          <w:rFonts w:hint="eastAsia" w:ascii="宋体" w:hAnsi="宋体" w:eastAsia="宋体" w:cs="宋体"/>
          <w:b/>
          <w:sz w:val="24"/>
          <w:szCs w:val="24"/>
        </w:rPr>
        <w:t>1.</w:t>
      </w:r>
      <w:r>
        <w:rPr>
          <w:rFonts w:hint="eastAsia" w:ascii="宋体" w:hAnsi="宋体" w:eastAsia="宋体" w:cs="宋体"/>
          <w:b/>
          <w:sz w:val="24"/>
          <w:szCs w:val="24"/>
          <w:lang w:val="en-US" w:eastAsia="zh-CN"/>
        </w:rPr>
        <w:t>7</w:t>
      </w:r>
      <w:r>
        <w:rPr>
          <w:rFonts w:hint="eastAsia" w:ascii="宋体" w:hAnsi="宋体" w:eastAsia="宋体" w:cs="宋体"/>
          <w:b/>
          <w:sz w:val="24"/>
          <w:szCs w:val="24"/>
          <w:lang w:eastAsia="zh-CN"/>
        </w:rPr>
        <w:t>计量单位</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除技术要求中另有规定外，本文件所要求使用的计量单位均应采用国家法定计量单位。</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lang w:val="en-US" w:eastAsia="zh-CN"/>
        </w:rPr>
        <w:t>1.8</w:t>
      </w:r>
      <w:r>
        <w:rPr>
          <w:rFonts w:hint="eastAsia" w:ascii="宋体" w:hAnsi="宋体" w:eastAsia="宋体" w:cs="宋体"/>
          <w:b/>
          <w:sz w:val="24"/>
          <w:szCs w:val="24"/>
        </w:rPr>
        <w:t>竞争性</w:t>
      </w:r>
      <w:r>
        <w:rPr>
          <w:rFonts w:hint="eastAsia" w:hAnsi="宋体" w:cs="宋体"/>
          <w:b/>
          <w:color w:val="auto"/>
          <w:sz w:val="24"/>
          <w:szCs w:val="24"/>
          <w:lang w:eastAsia="zh-CN"/>
        </w:rPr>
        <w:t>磋商</w:t>
      </w:r>
      <w:r>
        <w:rPr>
          <w:rFonts w:hint="eastAsia" w:ascii="宋体" w:hAnsi="宋体" w:eastAsia="宋体" w:cs="宋体"/>
          <w:b/>
          <w:sz w:val="24"/>
          <w:szCs w:val="24"/>
        </w:rPr>
        <w:t>文件的约束力</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供应商一旦购买了本竞争性磋商文件并决定参加竞争性磋商，即被认为接受了本竞争性磋商文件的规定和约束。</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1.9现场考察</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1.9.1</w:t>
      </w:r>
      <w:r>
        <w:rPr>
          <w:rFonts w:hint="eastAsia" w:ascii="宋体" w:hAnsi="宋体" w:eastAsia="宋体" w:cs="宋体"/>
          <w:sz w:val="24"/>
          <w:szCs w:val="24"/>
        </w:rPr>
        <w:t>本项目是否统一组织投标人现场考察见</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rPr>
        <w:t>中的规定。无论是否统一组织，投标人应对供货现场和周围环境进行勘察，以获取编制</w:t>
      </w:r>
      <w:r>
        <w:rPr>
          <w:rFonts w:hint="eastAsia" w:ascii="宋体" w:hAnsi="宋体" w:eastAsia="宋体" w:cs="宋体"/>
          <w:sz w:val="24"/>
          <w:szCs w:val="24"/>
          <w:lang w:eastAsia="zh-CN"/>
        </w:rPr>
        <w:t>响应</w:t>
      </w:r>
      <w:r>
        <w:rPr>
          <w:rFonts w:hint="eastAsia" w:ascii="宋体" w:hAnsi="宋体" w:eastAsia="宋体" w:cs="宋体"/>
          <w:sz w:val="24"/>
          <w:szCs w:val="24"/>
        </w:rPr>
        <w:t>文件所需的资料。</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1.9.2</w:t>
      </w:r>
      <w:r>
        <w:rPr>
          <w:rFonts w:hint="eastAsia" w:ascii="宋体" w:hAnsi="宋体" w:eastAsia="宋体" w:cs="宋体"/>
          <w:sz w:val="24"/>
          <w:szCs w:val="24"/>
        </w:rPr>
        <w:t>现场考察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1.9.3</w:t>
      </w:r>
      <w:r>
        <w:rPr>
          <w:rFonts w:hint="eastAsia" w:ascii="宋体" w:hAnsi="宋体" w:eastAsia="宋体" w:cs="宋体"/>
          <w:sz w:val="24"/>
          <w:szCs w:val="24"/>
        </w:rPr>
        <w:t>除非有特殊要求，</w:t>
      </w:r>
      <w:r>
        <w:rPr>
          <w:rFonts w:hint="eastAsia" w:ascii="宋体" w:hAnsi="宋体" w:cs="宋体"/>
          <w:sz w:val="24"/>
          <w:szCs w:val="24"/>
          <w:lang w:eastAsia="zh-CN"/>
        </w:rPr>
        <w:t>磋商文件</w:t>
      </w:r>
      <w:r>
        <w:rPr>
          <w:rFonts w:hint="eastAsia" w:ascii="宋体" w:hAnsi="宋体" w:eastAsia="宋体" w:cs="宋体"/>
          <w:sz w:val="24"/>
          <w:szCs w:val="24"/>
        </w:rPr>
        <w:t>不单独提供供货使用地的自然环境、气候条件、公用设施等情况，投标人被视为熟悉上述与履行合同有关的一切情况。</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1.9.4</w:t>
      </w:r>
      <w:r>
        <w:rPr>
          <w:rFonts w:hint="eastAsia" w:ascii="宋体" w:hAnsi="宋体" w:eastAsia="宋体" w:cs="宋体"/>
          <w:sz w:val="24"/>
          <w:szCs w:val="24"/>
        </w:rPr>
        <w:t>除采购人原因外，投标人自行负责在现场考察中所发生的人员伤亡和财产损失。</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1.10分包</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1.10.1</w:t>
      </w:r>
      <w:r>
        <w:rPr>
          <w:rFonts w:hint="eastAsia" w:ascii="宋体" w:hAnsi="宋体" w:eastAsia="宋体" w:cs="宋体"/>
          <w:sz w:val="24"/>
          <w:szCs w:val="24"/>
        </w:rPr>
        <w:t>投标人拟在中标后将中标项目的非主体设备进行分包的，应符合</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须知前附表规定的分包内容、分包金额和资质要求等限制性条件，除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rPr>
        <w:t xml:space="preserve">规定的非主体设备外，其他工作不得分包。 </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1.10.2</w:t>
      </w:r>
      <w:r>
        <w:rPr>
          <w:rFonts w:hint="eastAsia" w:ascii="宋体" w:hAnsi="宋体" w:eastAsia="宋体" w:cs="宋体"/>
          <w:sz w:val="24"/>
          <w:szCs w:val="24"/>
        </w:rPr>
        <w:t>中标人不得向他人转让中标项目，接受分包的人不得再次分包。中标人应当就分包项目向采购人负责，接受分包的人就分包项目承担连带责任。</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1.11偏离</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1.11.1</w:t>
      </w:r>
      <w:r>
        <w:rPr>
          <w:rFonts w:hint="eastAsia" w:ascii="宋体" w:hAnsi="宋体" w:eastAsia="宋体" w:cs="宋体"/>
          <w:sz w:val="24"/>
          <w:szCs w:val="24"/>
        </w:rPr>
        <w:t>除法律、法规和规章规定外，</w:t>
      </w:r>
      <w:r>
        <w:rPr>
          <w:rFonts w:hint="eastAsia" w:ascii="宋体" w:hAnsi="宋体" w:eastAsia="宋体" w:cs="宋体"/>
          <w:sz w:val="24"/>
          <w:szCs w:val="24"/>
          <w:lang w:eastAsia="zh-CN"/>
        </w:rPr>
        <w:t>磋商</w:t>
      </w:r>
      <w:r>
        <w:rPr>
          <w:rFonts w:hint="eastAsia" w:ascii="宋体" w:hAnsi="宋体" w:eastAsia="宋体" w:cs="宋体"/>
          <w:sz w:val="24"/>
          <w:szCs w:val="24"/>
        </w:rPr>
        <w:t>文件中用文字规定或标注“★”符号的条款为实质性要求和条件；未用文字规定或“★”符号标注的条款为非实质性要求和条件。</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1.11.2</w:t>
      </w:r>
      <w:r>
        <w:rPr>
          <w:rFonts w:hint="eastAsia" w:ascii="宋体" w:hAnsi="宋体" w:eastAsia="宋体" w:cs="宋体"/>
          <w:sz w:val="24"/>
          <w:szCs w:val="24"/>
        </w:rPr>
        <w:t>偏离是指</w:t>
      </w:r>
      <w:r>
        <w:rPr>
          <w:rFonts w:hint="eastAsia" w:ascii="宋体" w:hAnsi="宋体" w:eastAsia="宋体" w:cs="宋体"/>
          <w:sz w:val="24"/>
          <w:szCs w:val="24"/>
          <w:lang w:eastAsia="zh-CN"/>
        </w:rPr>
        <w:t>响应</w:t>
      </w:r>
      <w:r>
        <w:rPr>
          <w:rFonts w:hint="eastAsia" w:ascii="宋体" w:hAnsi="宋体" w:eastAsia="宋体" w:cs="宋体"/>
          <w:sz w:val="24"/>
          <w:szCs w:val="24"/>
        </w:rPr>
        <w:t>文件不满足或者不响应</w:t>
      </w:r>
      <w:r>
        <w:rPr>
          <w:rFonts w:hint="eastAsia" w:ascii="宋体" w:hAnsi="宋体" w:eastAsia="宋体" w:cs="宋体"/>
          <w:sz w:val="24"/>
          <w:szCs w:val="24"/>
          <w:lang w:eastAsia="zh-CN"/>
        </w:rPr>
        <w:t>磋商</w:t>
      </w:r>
      <w:r>
        <w:rPr>
          <w:rFonts w:hint="eastAsia" w:ascii="宋体" w:hAnsi="宋体" w:eastAsia="宋体" w:cs="宋体"/>
          <w:sz w:val="24"/>
          <w:szCs w:val="24"/>
        </w:rPr>
        <w:t>文件的要求。偏离分为偏离</w:t>
      </w:r>
      <w:r>
        <w:rPr>
          <w:rFonts w:hint="eastAsia" w:ascii="宋体" w:hAnsi="宋体" w:eastAsia="宋体" w:cs="宋体"/>
          <w:sz w:val="24"/>
          <w:szCs w:val="24"/>
          <w:lang w:eastAsia="zh-CN"/>
        </w:rPr>
        <w:t>磋商</w:t>
      </w:r>
      <w:r>
        <w:rPr>
          <w:rFonts w:hint="eastAsia" w:ascii="宋体" w:hAnsi="宋体" w:eastAsia="宋体" w:cs="宋体"/>
          <w:sz w:val="24"/>
          <w:szCs w:val="24"/>
        </w:rPr>
        <w:t>文件的实质性要求和条件及偏离</w:t>
      </w:r>
      <w:r>
        <w:rPr>
          <w:rFonts w:hint="eastAsia" w:ascii="宋体" w:hAnsi="宋体" w:eastAsia="宋体" w:cs="宋体"/>
          <w:sz w:val="24"/>
          <w:szCs w:val="24"/>
          <w:lang w:eastAsia="zh-CN"/>
        </w:rPr>
        <w:t>磋商</w:t>
      </w:r>
      <w:r>
        <w:rPr>
          <w:rFonts w:hint="eastAsia" w:ascii="宋体" w:hAnsi="宋体" w:eastAsia="宋体" w:cs="宋体"/>
          <w:sz w:val="24"/>
          <w:szCs w:val="24"/>
        </w:rPr>
        <w:t>文件的非实质性要求和条件。</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1.11.3</w:t>
      </w:r>
      <w:r>
        <w:rPr>
          <w:rFonts w:hint="eastAsia" w:ascii="宋体" w:hAnsi="宋体" w:eastAsia="宋体" w:cs="宋体"/>
          <w:sz w:val="24"/>
          <w:szCs w:val="24"/>
          <w:lang w:eastAsia="zh-CN"/>
        </w:rPr>
        <w:t>响应</w:t>
      </w:r>
      <w:r>
        <w:rPr>
          <w:rFonts w:hint="eastAsia" w:ascii="宋体" w:hAnsi="宋体" w:eastAsia="宋体" w:cs="宋体"/>
          <w:sz w:val="24"/>
          <w:szCs w:val="24"/>
        </w:rPr>
        <w:t>文件偏离</w:t>
      </w:r>
      <w:r>
        <w:rPr>
          <w:rFonts w:hint="eastAsia" w:ascii="宋体" w:hAnsi="宋体" w:eastAsia="宋体" w:cs="宋体"/>
          <w:sz w:val="24"/>
          <w:szCs w:val="24"/>
          <w:lang w:eastAsia="zh-CN"/>
        </w:rPr>
        <w:t>磋商</w:t>
      </w:r>
      <w:r>
        <w:rPr>
          <w:rFonts w:hint="eastAsia" w:ascii="宋体" w:hAnsi="宋体" w:eastAsia="宋体" w:cs="宋体"/>
          <w:sz w:val="24"/>
          <w:szCs w:val="24"/>
        </w:rPr>
        <w:t>文件的实质性要求和条件，在评标时其投标将被否决。</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1.11.4响应文件偏离磋商文件的非实质性要求和条件见</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highlight w:val="none"/>
          <w:lang w:val="en-US" w:eastAsia="zh-CN"/>
        </w:rPr>
        <w:t>。</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1.12知识产权</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1.12.1</w:t>
      </w:r>
      <w:r>
        <w:rPr>
          <w:rFonts w:hint="eastAsia" w:ascii="宋体" w:hAnsi="宋体" w:eastAsia="宋体" w:cs="宋体"/>
          <w:sz w:val="24"/>
          <w:szCs w:val="24"/>
          <w:highlight w:val="none"/>
          <w:lang w:val="en-US" w:eastAsia="zh-CN"/>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1.12.2</w:t>
      </w:r>
      <w:r>
        <w:rPr>
          <w:rFonts w:hint="eastAsia" w:ascii="宋体" w:hAnsi="宋体" w:eastAsia="宋体" w:cs="宋体"/>
          <w:sz w:val="24"/>
          <w:szCs w:val="24"/>
          <w:highlight w:val="none"/>
          <w:lang w:val="en-US" w:eastAsia="zh-CN"/>
        </w:rPr>
        <w:t>招标人享有本项目实施过程中产生的知识成果及知识产权。</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1.12.3</w:t>
      </w:r>
      <w:r>
        <w:rPr>
          <w:rFonts w:hint="eastAsia" w:ascii="宋体" w:hAnsi="宋体" w:eastAsia="宋体" w:cs="宋体"/>
          <w:sz w:val="24"/>
          <w:szCs w:val="24"/>
          <w:highlight w:val="none"/>
          <w:lang w:val="en-US" w:eastAsia="zh-CN"/>
        </w:rPr>
        <w:t>投标人如欲在项目实施过程中采用自有知识成果，需在响应文件中声明，并提供相关知识产权证明文件。使用该知识成果后，投标人需提供开发接口和开发手册等技术文档，并承诺提供无限期技术支持，招标人享有永久使用权。</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1.12.4</w:t>
      </w:r>
      <w:r>
        <w:rPr>
          <w:rFonts w:hint="eastAsia" w:ascii="宋体" w:hAnsi="宋体" w:eastAsia="宋体" w:cs="宋体"/>
          <w:sz w:val="24"/>
          <w:szCs w:val="24"/>
          <w:highlight w:val="none"/>
          <w:lang w:val="en-US" w:eastAsia="zh-CN"/>
        </w:rPr>
        <w:t>如采用投标人所不拥有的知识产权，则在</w:t>
      </w:r>
      <w:r>
        <w:rPr>
          <w:rFonts w:hint="eastAsia" w:ascii="宋体" w:hAnsi="宋体" w:cs="宋体"/>
          <w:sz w:val="24"/>
          <w:szCs w:val="24"/>
          <w:highlight w:val="none"/>
          <w:lang w:val="en-US" w:eastAsia="zh-CN"/>
        </w:rPr>
        <w:t>投标报价</w:t>
      </w:r>
      <w:r>
        <w:rPr>
          <w:rFonts w:hint="eastAsia" w:ascii="宋体" w:hAnsi="宋体" w:eastAsia="宋体" w:cs="宋体"/>
          <w:sz w:val="24"/>
          <w:szCs w:val="24"/>
          <w:highlight w:val="none"/>
          <w:lang w:val="en-US" w:eastAsia="zh-CN"/>
        </w:rPr>
        <w:t>中必须包括合法获取该知识产权的相关费用。</w:t>
      </w:r>
    </w:p>
    <w:p>
      <w:pPr>
        <w:pStyle w:val="5"/>
        <w:pageBreakBefore w:val="0"/>
        <w:kinsoku/>
        <w:overflowPunct/>
        <w:autoSpaceDE/>
        <w:autoSpaceDN/>
        <w:bidi w:val="0"/>
        <w:spacing w:line="400" w:lineRule="exact"/>
      </w:pPr>
      <w:bookmarkStart w:id="56" w:name="_Toc446599311"/>
      <w:bookmarkStart w:id="57" w:name="_Toc18317"/>
      <w:bookmarkStart w:id="58" w:name="_Toc3092"/>
      <w:bookmarkStart w:id="59" w:name="_Toc293736011"/>
      <w:bookmarkStart w:id="60" w:name="_Toc293738992"/>
      <w:bookmarkStart w:id="61" w:name="_Toc293736054"/>
      <w:r>
        <w:rPr>
          <w:rFonts w:hint="eastAsia"/>
        </w:rPr>
        <w:t>二、磋商文件</w:t>
      </w:r>
      <w:bookmarkEnd w:id="56"/>
      <w:bookmarkEnd w:id="57"/>
      <w:bookmarkEnd w:id="58"/>
      <w:bookmarkEnd w:id="59"/>
      <w:bookmarkEnd w:id="60"/>
      <w:bookmarkEnd w:id="61"/>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2.1磋商文件的构成</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2.1.1磋商文件由下列文件以及在采购过程中发出的修正和补充文件组成：</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(1)磋商</w:t>
      </w:r>
      <w:r>
        <w:rPr>
          <w:rFonts w:hint="eastAsia" w:ascii="宋体" w:hAnsi="宋体" w:cs="宋体"/>
          <w:sz w:val="24"/>
          <w:szCs w:val="24"/>
          <w:lang w:eastAsia="zh-CN"/>
        </w:rPr>
        <w:t>公告（</w:t>
      </w:r>
      <w:r>
        <w:rPr>
          <w:rFonts w:hint="eastAsia" w:ascii="宋体" w:hAnsi="宋体" w:eastAsia="宋体" w:cs="宋体"/>
          <w:sz w:val="24"/>
          <w:szCs w:val="24"/>
          <w:lang w:eastAsia="zh-CN"/>
        </w:rPr>
        <w:t>邀请</w:t>
      </w:r>
      <w:r>
        <w:rPr>
          <w:rFonts w:hint="eastAsia" w:ascii="宋体" w:hAnsi="宋体" w:cs="宋体"/>
          <w:sz w:val="24"/>
          <w:szCs w:val="24"/>
          <w:lang w:eastAsia="zh-CN"/>
        </w:rPr>
        <w:t>书）</w:t>
      </w:r>
      <w:r>
        <w:rPr>
          <w:rFonts w:hint="eastAsia" w:ascii="宋体" w:hAnsi="宋体" w:eastAsia="宋体" w:cs="宋体"/>
          <w:sz w:val="24"/>
          <w:szCs w:val="24"/>
        </w:rPr>
        <w:t>；</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(2)供应商须知；</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(3)采购</w:t>
      </w:r>
      <w:r>
        <w:rPr>
          <w:rFonts w:hint="eastAsia" w:ascii="宋体" w:hAnsi="宋体" w:eastAsia="宋体" w:cs="宋体"/>
          <w:sz w:val="24"/>
          <w:szCs w:val="24"/>
          <w:lang w:eastAsia="zh-CN"/>
        </w:rPr>
        <w:t>需求</w:t>
      </w:r>
      <w:r>
        <w:rPr>
          <w:rFonts w:hint="eastAsia" w:ascii="宋体" w:hAnsi="宋体" w:eastAsia="宋体" w:cs="宋体"/>
          <w:sz w:val="24"/>
          <w:szCs w:val="24"/>
        </w:rPr>
        <w:t>；</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(4)评审方法；</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(5)合同</w:t>
      </w:r>
      <w:r>
        <w:rPr>
          <w:rFonts w:hint="eastAsia" w:ascii="宋体" w:hAnsi="宋体" w:cs="宋体"/>
          <w:sz w:val="24"/>
          <w:szCs w:val="24"/>
          <w:lang w:eastAsia="zh-CN"/>
        </w:rPr>
        <w:t>文件</w:t>
      </w:r>
      <w:r>
        <w:rPr>
          <w:rFonts w:hint="eastAsia" w:ascii="宋体" w:hAnsi="宋体" w:eastAsia="宋体" w:cs="宋体"/>
          <w:sz w:val="24"/>
          <w:szCs w:val="24"/>
        </w:rPr>
        <w:t>；</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(6)响应文件格式；</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(7)在磋商过程中由采购单位发出的澄清和补充文件等。</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2.2磋商文件的澄清</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sz w:val="24"/>
          <w:szCs w:val="24"/>
        </w:rPr>
        <w:t>2.2.1供应商应仔细阅读和检查磋商文件的全部内容。供应商若对磋商文件有任何疑问，均应在响应文件递交截止时间5日</w:t>
      </w:r>
      <w:r>
        <w:rPr>
          <w:rFonts w:hint="eastAsia" w:ascii="宋体" w:hAnsi="宋体" w:eastAsia="宋体" w:cs="宋体"/>
          <w:color w:val="auto"/>
          <w:sz w:val="24"/>
          <w:szCs w:val="24"/>
        </w:rPr>
        <w:t>前</w:t>
      </w:r>
      <w:r>
        <w:rPr>
          <w:rFonts w:hint="eastAsia" w:ascii="宋体" w:hAnsi="宋体" w:eastAsia="宋体" w:cs="宋体"/>
          <w:color w:val="auto"/>
          <w:sz w:val="24"/>
          <w:szCs w:val="24"/>
          <w:lang w:eastAsia="zh-CN"/>
        </w:rPr>
        <w:t>递交书面文件或</w:t>
      </w:r>
      <w:r>
        <w:rPr>
          <w:rFonts w:hint="eastAsia" w:ascii="宋体" w:hAnsi="宋体" w:eastAsia="宋体" w:cs="宋体"/>
          <w:color w:val="auto"/>
          <w:sz w:val="24"/>
          <w:szCs w:val="24"/>
        </w:rPr>
        <w:t>进行网上提问。采购单位对供应商所要求澄清的内容均予以答复。必要时，采购单位将组织相关专家召开答疑会，并</w:t>
      </w:r>
      <w:r>
        <w:rPr>
          <w:rFonts w:hint="eastAsia" w:ascii="宋体" w:hAnsi="宋体" w:eastAsia="宋体" w:cs="宋体"/>
          <w:color w:val="auto"/>
          <w:sz w:val="24"/>
          <w:szCs w:val="24"/>
          <w:lang w:eastAsia="zh-CN"/>
        </w:rPr>
        <w:t>以书面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z w:val="24"/>
          <w:szCs w:val="24"/>
        </w:rPr>
        <w:t>向所有供应商公布澄清文件。澄清文件作为磋商文件的组成部分，对供应商具有同等约束作用。</w:t>
      </w:r>
    </w:p>
    <w:p>
      <w:pPr>
        <w:pStyle w:val="13"/>
        <w:pageBreakBefore w:val="0"/>
        <w:kinsoku/>
        <w:overflowPunct/>
        <w:autoSpaceDE/>
        <w:autoSpaceDN/>
        <w:bidi w:val="0"/>
        <w:spacing w:line="400" w:lineRule="exact"/>
        <w:ind w:firstLine="460" w:firstLineChars="202"/>
        <w:jc w:val="left"/>
        <w:rPr>
          <w:rFonts w:hint="eastAsia" w:ascii="宋体" w:hAnsi="宋体" w:eastAsia="宋体" w:cs="宋体"/>
          <w:color w:val="auto"/>
          <w:sz w:val="24"/>
          <w:szCs w:val="24"/>
        </w:rPr>
      </w:pPr>
      <w:r>
        <w:rPr>
          <w:rFonts w:hint="eastAsia" w:ascii="宋体" w:hAnsi="宋体" w:eastAsia="宋体" w:cs="宋体"/>
          <w:color w:val="auto"/>
          <w:spacing w:val="-6"/>
          <w:sz w:val="24"/>
          <w:szCs w:val="24"/>
        </w:rPr>
        <w:t>2.2.2</w:t>
      </w:r>
      <w:r>
        <w:rPr>
          <w:rFonts w:hint="eastAsia" w:ascii="宋体" w:hAnsi="宋体" w:eastAsia="宋体" w:cs="宋体"/>
          <w:color w:val="auto"/>
          <w:sz w:val="24"/>
          <w:szCs w:val="24"/>
        </w:rPr>
        <w:t>供应商在本项目采购公告期限届满之日起</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个工作日内未对磋商文件提出异议的，采购单位将视其为同意。在规定的时间后就磋商文件内容提出的质疑将不予受理。</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rPr>
      </w:pPr>
      <w:r>
        <w:rPr>
          <w:rFonts w:hint="eastAsia" w:ascii="宋体" w:hAnsi="宋体" w:eastAsia="宋体" w:cs="宋体"/>
          <w:b/>
          <w:color w:val="auto"/>
          <w:sz w:val="24"/>
          <w:szCs w:val="24"/>
        </w:rPr>
        <w:t>2.3磋商文件的修改</w:t>
      </w:r>
    </w:p>
    <w:p>
      <w:pPr>
        <w:pStyle w:val="13"/>
        <w:pageBreakBefore w:val="0"/>
        <w:kinsoku/>
        <w:overflowPunct/>
        <w:autoSpaceDE/>
        <w:autoSpaceDN/>
        <w:bidi w:val="0"/>
        <w:spacing w:line="400" w:lineRule="exact"/>
        <w:ind w:firstLine="460" w:firstLineChars="202"/>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2.3.1采购单位可以对已发出的磋商文件进行必要的澄清或者修改。</w:t>
      </w:r>
      <w:r>
        <w:rPr>
          <w:rFonts w:hint="eastAsia" w:ascii="宋体" w:hAnsi="宋体" w:eastAsia="宋体" w:cs="宋体"/>
          <w:color w:val="auto"/>
          <w:sz w:val="24"/>
          <w:szCs w:val="24"/>
        </w:rPr>
        <w:t>澄清或者修改</w:t>
      </w:r>
      <w:r>
        <w:rPr>
          <w:rFonts w:hint="eastAsia" w:ascii="宋体" w:hAnsi="宋体" w:eastAsia="宋体" w:cs="宋体"/>
          <w:color w:val="auto"/>
          <w:spacing w:val="-6"/>
          <w:sz w:val="24"/>
          <w:szCs w:val="24"/>
        </w:rPr>
        <w:t>的内容可能影响响应文件编制的，采购单位将在响应文件递交截止时间</w:t>
      </w:r>
      <w:r>
        <w:rPr>
          <w:rFonts w:hint="eastAsia" w:ascii="宋体" w:hAnsi="宋体" w:eastAsia="宋体" w:cs="宋体"/>
          <w:color w:val="auto"/>
          <w:spacing w:val="-6"/>
          <w:sz w:val="24"/>
          <w:szCs w:val="24"/>
          <w:lang w:val="en-US" w:eastAsia="zh-CN"/>
        </w:rPr>
        <w:t>5</w:t>
      </w:r>
      <w:r>
        <w:rPr>
          <w:rFonts w:hint="eastAsia" w:ascii="宋体" w:hAnsi="宋体" w:eastAsia="宋体" w:cs="宋体"/>
          <w:color w:val="auto"/>
          <w:spacing w:val="-6"/>
          <w:sz w:val="24"/>
          <w:szCs w:val="24"/>
        </w:rPr>
        <w:t>日前</w:t>
      </w:r>
      <w:r>
        <w:rPr>
          <w:rFonts w:hint="eastAsia" w:ascii="宋体" w:hAnsi="宋体" w:eastAsia="宋体" w:cs="宋体"/>
          <w:color w:val="auto"/>
          <w:spacing w:val="-6"/>
          <w:sz w:val="24"/>
          <w:szCs w:val="24"/>
          <w:lang w:eastAsia="zh-CN"/>
        </w:rPr>
        <w:t>以</w:t>
      </w:r>
      <w:r>
        <w:rPr>
          <w:rFonts w:hint="eastAsia" w:ascii="宋体" w:hAnsi="宋体" w:eastAsia="宋体" w:cs="宋体"/>
          <w:color w:val="auto"/>
          <w:sz w:val="24"/>
          <w:szCs w:val="24"/>
          <w:lang w:eastAsia="zh-CN"/>
        </w:rPr>
        <w:t>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pacing w:val="-6"/>
          <w:sz w:val="24"/>
          <w:szCs w:val="24"/>
        </w:rPr>
        <w:t xml:space="preserve">发布更正公告。 </w:t>
      </w:r>
    </w:p>
    <w:p>
      <w:pPr>
        <w:pStyle w:val="13"/>
        <w:pageBreakBefore w:val="0"/>
        <w:kinsoku/>
        <w:overflowPunct/>
        <w:autoSpaceDE/>
        <w:autoSpaceDN/>
        <w:bidi w:val="0"/>
        <w:spacing w:line="400" w:lineRule="exact"/>
        <w:ind w:firstLine="460" w:firstLineChars="202"/>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2.3.2澄清或者修改的内容是磋商文件的组成部分，将</w:t>
      </w:r>
      <w:r>
        <w:rPr>
          <w:rFonts w:hint="eastAsia" w:ascii="宋体" w:hAnsi="宋体" w:eastAsia="宋体" w:cs="宋体"/>
          <w:color w:val="auto"/>
          <w:sz w:val="24"/>
          <w:szCs w:val="24"/>
          <w:lang w:eastAsia="zh-CN"/>
        </w:rPr>
        <w:t>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pacing w:val="-6"/>
          <w:sz w:val="24"/>
          <w:szCs w:val="24"/>
        </w:rPr>
        <w:t>向所有供应商公布澄清或者修改文件，澄清或者修改文件对供应商具有约束力。</w:t>
      </w:r>
    </w:p>
    <w:p>
      <w:pPr>
        <w:pStyle w:val="13"/>
        <w:pageBreakBefore w:val="0"/>
        <w:kinsoku/>
        <w:overflowPunct/>
        <w:autoSpaceDE/>
        <w:autoSpaceDN/>
        <w:bidi w:val="0"/>
        <w:spacing w:line="400" w:lineRule="exact"/>
        <w:ind w:firstLine="460" w:firstLineChars="202"/>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2.3.3为使供应商有充足的时间对磋商文件的修改部分进行研究，采购单位可适当推迟响应文件截止期，并通过</w:t>
      </w:r>
      <w:r>
        <w:rPr>
          <w:rFonts w:hint="eastAsia" w:ascii="宋体" w:hAnsi="宋体" w:eastAsia="宋体" w:cs="宋体"/>
          <w:color w:val="auto"/>
          <w:sz w:val="24"/>
          <w:szCs w:val="24"/>
          <w:lang w:eastAsia="zh-CN"/>
        </w:rPr>
        <w:t>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pacing w:val="-6"/>
          <w:sz w:val="24"/>
          <w:szCs w:val="24"/>
        </w:rPr>
        <w:t>发布公告通知所有</w:t>
      </w:r>
      <w:r>
        <w:rPr>
          <w:rFonts w:hint="eastAsia" w:ascii="宋体" w:hAnsi="宋体" w:eastAsia="宋体" w:cs="宋体"/>
          <w:color w:val="auto"/>
          <w:spacing w:val="-6"/>
          <w:sz w:val="24"/>
          <w:szCs w:val="24"/>
          <w:lang w:eastAsia="zh-CN"/>
        </w:rPr>
        <w:t>获取</w:t>
      </w:r>
      <w:r>
        <w:rPr>
          <w:rFonts w:hint="eastAsia" w:ascii="宋体" w:hAnsi="宋体" w:eastAsia="宋体" w:cs="宋体"/>
          <w:color w:val="auto"/>
          <w:spacing w:val="-6"/>
          <w:sz w:val="24"/>
          <w:szCs w:val="24"/>
        </w:rPr>
        <w:t>磋商文件的供应商。</w:t>
      </w:r>
    </w:p>
    <w:p>
      <w:pPr>
        <w:pStyle w:val="13"/>
        <w:pageBreakBefore w:val="0"/>
        <w:kinsoku/>
        <w:overflowPunct/>
        <w:autoSpaceDE/>
        <w:autoSpaceDN/>
        <w:bidi w:val="0"/>
        <w:spacing w:line="400" w:lineRule="exact"/>
        <w:ind w:firstLine="460" w:firstLineChars="202"/>
        <w:jc w:val="left"/>
        <w:rPr>
          <w:rFonts w:hint="eastAsia" w:ascii="宋体" w:hAnsi="宋体" w:eastAsia="宋体" w:cs="宋体"/>
          <w:spacing w:val="-6"/>
          <w:sz w:val="24"/>
          <w:szCs w:val="24"/>
        </w:rPr>
      </w:pPr>
      <w:r>
        <w:rPr>
          <w:rFonts w:hint="eastAsia" w:ascii="宋体" w:hAnsi="宋体" w:eastAsia="宋体" w:cs="宋体"/>
          <w:color w:val="auto"/>
          <w:spacing w:val="-6"/>
          <w:sz w:val="24"/>
          <w:szCs w:val="24"/>
        </w:rPr>
        <w:t>2.3.4供应商应注意及时</w:t>
      </w:r>
      <w:r>
        <w:rPr>
          <w:rFonts w:hint="eastAsia" w:ascii="宋体" w:hAnsi="宋体" w:eastAsia="宋体" w:cs="宋体"/>
          <w:color w:val="auto"/>
          <w:spacing w:val="-6"/>
          <w:sz w:val="24"/>
          <w:szCs w:val="24"/>
          <w:lang w:eastAsia="zh-CN"/>
        </w:rPr>
        <w:t>接收或</w:t>
      </w:r>
      <w:r>
        <w:rPr>
          <w:rFonts w:hint="eastAsia" w:ascii="宋体" w:hAnsi="宋体" w:eastAsia="宋体" w:cs="宋体"/>
          <w:color w:val="auto"/>
          <w:spacing w:val="-6"/>
          <w:sz w:val="24"/>
          <w:szCs w:val="24"/>
        </w:rPr>
        <w:t>浏览网上发布的澄清或修改通知，因供应商原</w:t>
      </w:r>
      <w:r>
        <w:rPr>
          <w:rFonts w:hint="eastAsia" w:ascii="宋体" w:hAnsi="宋体" w:eastAsia="宋体" w:cs="宋体"/>
          <w:spacing w:val="-6"/>
          <w:sz w:val="24"/>
          <w:szCs w:val="24"/>
        </w:rPr>
        <w:t>因未及时获知澄清、修改或补充内容而导致的任何后果将由供应商自行承担。</w:t>
      </w:r>
    </w:p>
    <w:p>
      <w:pPr>
        <w:pStyle w:val="5"/>
        <w:pageBreakBefore w:val="0"/>
        <w:kinsoku/>
        <w:overflowPunct/>
        <w:autoSpaceDE/>
        <w:autoSpaceDN/>
        <w:bidi w:val="0"/>
        <w:spacing w:line="400" w:lineRule="exact"/>
      </w:pPr>
      <w:bookmarkStart w:id="62" w:name="_Toc293738993"/>
      <w:bookmarkStart w:id="63" w:name="_Toc293736055"/>
      <w:bookmarkStart w:id="64" w:name="_Toc446599312"/>
      <w:bookmarkStart w:id="65" w:name="_Toc13231"/>
      <w:bookmarkStart w:id="66" w:name="_Toc293736012"/>
      <w:bookmarkStart w:id="67" w:name="_Toc1735"/>
      <w:r>
        <w:rPr>
          <w:rFonts w:hint="eastAsia"/>
        </w:rPr>
        <w:t>三、响应文件的编制</w:t>
      </w:r>
      <w:bookmarkEnd w:id="62"/>
      <w:bookmarkEnd w:id="63"/>
      <w:bookmarkEnd w:id="64"/>
      <w:bookmarkEnd w:id="65"/>
      <w:bookmarkEnd w:id="66"/>
      <w:bookmarkEnd w:id="67"/>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3.1响应文件的语言</w:t>
      </w:r>
    </w:p>
    <w:p>
      <w:pPr>
        <w:pStyle w:val="13"/>
        <w:pageBreakBefore w:val="0"/>
        <w:kinsoku/>
        <w:overflowPunct/>
        <w:autoSpaceDE/>
        <w:autoSpaceDN/>
        <w:bidi w:val="0"/>
        <w:spacing w:line="400" w:lineRule="exact"/>
        <w:ind w:firstLine="460" w:firstLineChars="202"/>
        <w:jc w:val="left"/>
        <w:rPr>
          <w:rFonts w:hint="eastAsia" w:ascii="宋体" w:hAnsi="宋体" w:eastAsia="宋体" w:cs="宋体"/>
          <w:spacing w:val="-6"/>
          <w:sz w:val="24"/>
          <w:szCs w:val="24"/>
        </w:rPr>
      </w:pPr>
      <w:r>
        <w:rPr>
          <w:rFonts w:hint="eastAsia" w:ascii="宋体" w:hAnsi="宋体" w:eastAsia="宋体" w:cs="宋体"/>
          <w:spacing w:val="-6"/>
          <w:sz w:val="24"/>
          <w:szCs w:val="24"/>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3.2响应文件的构成</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sz w:val="24"/>
          <w:szCs w:val="24"/>
        </w:rPr>
      </w:pPr>
      <w:r>
        <w:rPr>
          <w:rFonts w:hint="eastAsia" w:ascii="宋体" w:hAnsi="宋体" w:eastAsia="宋体" w:cs="宋体"/>
          <w:sz w:val="24"/>
          <w:szCs w:val="24"/>
        </w:rPr>
        <w:t>响应文件由</w:t>
      </w:r>
      <w:r>
        <w:rPr>
          <w:rFonts w:hint="eastAsia" w:ascii="宋体" w:hAnsi="宋体" w:eastAsia="宋体" w:cs="宋体"/>
          <w:b/>
          <w:bCs/>
          <w:sz w:val="24"/>
          <w:szCs w:val="24"/>
        </w:rPr>
        <w:t>“资格证明文件”、“商务文件”</w:t>
      </w:r>
      <w:r>
        <w:rPr>
          <w:rFonts w:hint="eastAsia" w:hAnsi="宋体" w:cs="宋体"/>
          <w:b/>
          <w:bCs/>
          <w:sz w:val="24"/>
          <w:szCs w:val="24"/>
          <w:lang w:eastAsia="zh-CN"/>
        </w:rPr>
        <w:t>、</w:t>
      </w:r>
      <w:r>
        <w:rPr>
          <w:rFonts w:hint="eastAsia" w:ascii="宋体" w:hAnsi="宋体" w:eastAsia="宋体" w:cs="宋体"/>
          <w:b/>
          <w:bCs/>
          <w:sz w:val="24"/>
          <w:szCs w:val="24"/>
        </w:rPr>
        <w:t>“技术文件”</w:t>
      </w:r>
      <w:r>
        <w:rPr>
          <w:rFonts w:hint="eastAsia" w:ascii="宋体" w:hAnsi="宋体" w:eastAsia="宋体" w:cs="宋体"/>
          <w:sz w:val="24"/>
          <w:szCs w:val="24"/>
        </w:rPr>
        <w:t>组成（具体内容要求详见第六章“响应文件格式”）。供应商在</w:t>
      </w:r>
      <w:r>
        <w:rPr>
          <w:rFonts w:hint="eastAsia" w:hAnsi="宋体" w:cs="宋体"/>
          <w:sz w:val="24"/>
          <w:szCs w:val="24"/>
          <w:lang w:eastAsia="zh-CN"/>
        </w:rPr>
        <w:t>磋商</w:t>
      </w:r>
      <w:r>
        <w:rPr>
          <w:rFonts w:hint="eastAsia" w:ascii="宋体" w:hAnsi="宋体" w:eastAsia="宋体" w:cs="宋体"/>
          <w:sz w:val="24"/>
          <w:szCs w:val="24"/>
        </w:rPr>
        <w:t>和评审过程中做出的符合竞争性</w:t>
      </w:r>
      <w:r>
        <w:rPr>
          <w:rFonts w:hint="eastAsia" w:hAnsi="宋体" w:cs="宋体"/>
          <w:sz w:val="24"/>
          <w:szCs w:val="24"/>
          <w:lang w:eastAsia="zh-CN"/>
        </w:rPr>
        <w:t>磋商</w:t>
      </w:r>
      <w:r>
        <w:rPr>
          <w:rFonts w:hint="eastAsia" w:ascii="宋体" w:hAnsi="宋体" w:eastAsia="宋体" w:cs="宋体"/>
          <w:sz w:val="24"/>
          <w:szCs w:val="24"/>
        </w:rPr>
        <w:t>文件要求的澄清、说明或补正，构成响应文件的组成部分。</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3.3响应文件编制</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3.3.1</w:t>
      </w:r>
      <w:r>
        <w:rPr>
          <w:rFonts w:hint="eastAsia" w:ascii="宋体" w:hAnsi="宋体" w:eastAsia="宋体" w:cs="宋体"/>
          <w:kern w:val="0"/>
          <w:sz w:val="24"/>
          <w:szCs w:val="24"/>
          <w:lang w:val="en-US" w:eastAsia="zh-CN"/>
        </w:rPr>
        <w:t>响应文件应按照磋商文件要求进行制作编制，并对其提交的响应文件的真实性、合法性承担法律责任。保证目录清晰、内容完整。响应文件各类证件须与磋商供应商注册登记资料相一致。</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3.3.2响应文件应当对磋商文件有关</w:t>
      </w:r>
      <w:r>
        <w:rPr>
          <w:rFonts w:hint="eastAsia" w:ascii="宋体" w:hAnsi="宋体" w:eastAsia="宋体" w:cs="宋体"/>
          <w:b/>
          <w:bCs/>
          <w:kern w:val="0"/>
          <w:sz w:val="24"/>
          <w:szCs w:val="24"/>
          <w:lang w:val="en-US" w:eastAsia="zh-CN"/>
        </w:rPr>
        <w:t>技术要求、合同条件、投标有效期、</w:t>
      </w:r>
      <w:r>
        <w:rPr>
          <w:rFonts w:hint="eastAsia" w:ascii="宋体" w:hAnsi="宋体" w:cs="宋体"/>
          <w:b/>
          <w:bCs/>
          <w:kern w:val="0"/>
          <w:sz w:val="24"/>
          <w:szCs w:val="24"/>
          <w:lang w:val="en-US" w:eastAsia="zh-CN"/>
        </w:rPr>
        <w:t>响应保证金</w:t>
      </w:r>
      <w:r>
        <w:rPr>
          <w:rFonts w:hint="eastAsia" w:ascii="宋体" w:hAnsi="宋体" w:eastAsia="宋体" w:cs="宋体"/>
          <w:b/>
          <w:bCs/>
          <w:kern w:val="0"/>
          <w:sz w:val="24"/>
          <w:szCs w:val="24"/>
          <w:lang w:val="en-US" w:eastAsia="zh-CN"/>
        </w:rPr>
        <w:t>、投标报价、响应文件密封、响应文件签署盖章、响应文件格式</w:t>
      </w:r>
      <w:r>
        <w:rPr>
          <w:rFonts w:hint="eastAsia" w:ascii="宋体" w:hAnsi="宋体" w:eastAsia="宋体" w:cs="宋体"/>
          <w:kern w:val="0"/>
          <w:sz w:val="24"/>
          <w:szCs w:val="24"/>
          <w:lang w:val="en-US" w:eastAsia="zh-CN"/>
        </w:rPr>
        <w:t>等实质性内容作出响应。响应文件满足磋商文件实质性要求的基础上，可以提出比磋商文件要求更有利于采购人的承诺。</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3.3.3</w:t>
      </w:r>
      <w:r>
        <w:rPr>
          <w:rFonts w:hint="eastAsia" w:ascii="宋体" w:hAnsi="宋体" w:eastAsia="宋体" w:cs="宋体"/>
          <w:kern w:val="0"/>
          <w:sz w:val="24"/>
          <w:szCs w:val="24"/>
        </w:rPr>
        <w:t>供应商提交的响应文件以及供应商与采购代理机构和采购人就有关</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的所有来往函电均应使用中文。供应商提交的支持文件和印刷的文献可以使用别的语言，但其相应内容必须附有中文翻译文本，在解释响应文件时以翻译文本为主。</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3.3.4</w:t>
      </w:r>
      <w:r>
        <w:rPr>
          <w:rFonts w:hint="eastAsia" w:ascii="宋体" w:hAnsi="宋体" w:eastAsia="宋体" w:cs="宋体"/>
          <w:kern w:val="0"/>
          <w:sz w:val="24"/>
          <w:szCs w:val="24"/>
        </w:rPr>
        <w:t>供应商应认真阅读、并充分理解本文件的全部内容（包括所有的澄清、修改等内容），承诺并履行</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文件中各项条款规定及要求。</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3.3.5</w:t>
      </w:r>
      <w:r>
        <w:rPr>
          <w:rFonts w:hint="eastAsia" w:ascii="宋体" w:hAnsi="宋体" w:eastAsia="宋体" w:cs="宋体"/>
          <w:kern w:val="0"/>
          <w:sz w:val="24"/>
          <w:szCs w:val="24"/>
        </w:rPr>
        <w:t>响应文件必须按</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文件的全部内容，包括所有的澄清、修改等通知及附件进行编制。</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3.3.6</w:t>
      </w:r>
      <w:r>
        <w:rPr>
          <w:rFonts w:hint="eastAsia" w:ascii="宋体" w:hAnsi="宋体" w:eastAsia="宋体" w:cs="宋体"/>
          <w:kern w:val="0"/>
          <w:sz w:val="24"/>
          <w:szCs w:val="24"/>
        </w:rPr>
        <w:t>如因供应商只填写和提供了</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文件要求的部分内容和附件，而给评审造成困难，其可能导致的结果和责任由供应商自行承担。</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3.3.</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供应商必须保证响应文件所提供的全部资料真实可靠，并接受采购单位对其中任何资料进一步核实的要求。</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3.4</w:t>
      </w:r>
      <w:r>
        <w:rPr>
          <w:rFonts w:hint="eastAsia" w:hAnsi="宋体" w:cs="宋体"/>
          <w:b/>
          <w:sz w:val="24"/>
          <w:szCs w:val="24"/>
          <w:lang w:eastAsia="zh-CN"/>
        </w:rPr>
        <w:t>投标报价</w:t>
      </w:r>
      <w:r>
        <w:rPr>
          <w:rFonts w:hint="eastAsia" w:ascii="宋体" w:hAnsi="宋体" w:eastAsia="宋体" w:cs="宋体"/>
          <w:b/>
          <w:sz w:val="24"/>
          <w:szCs w:val="24"/>
        </w:rPr>
        <w:t>要求</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3.4.1</w:t>
      </w:r>
      <w:r>
        <w:rPr>
          <w:rFonts w:hint="eastAsia" w:ascii="宋体" w:hAnsi="宋体" w:eastAsia="宋体" w:cs="宋体"/>
          <w:color w:val="auto"/>
          <w:sz w:val="24"/>
          <w:szCs w:val="24"/>
          <w:highlight w:val="none"/>
          <w:lang w:val="en-US" w:eastAsia="zh-CN"/>
        </w:rPr>
        <w:t>投标人所承建的工程均以人民币报价。</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3.4.2</w:t>
      </w:r>
      <w:r>
        <w:rPr>
          <w:rFonts w:hint="eastAsia" w:ascii="宋体" w:hAnsi="宋体" w:eastAsia="宋体" w:cs="宋体"/>
          <w:color w:val="auto"/>
          <w:sz w:val="24"/>
          <w:szCs w:val="24"/>
          <w:highlight w:val="none"/>
          <w:lang w:val="en-US" w:eastAsia="zh-CN"/>
        </w:rPr>
        <w:t>投标人应按第三章采购需求中提供的“工程量清单”填写相应报价。</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3.4.3</w:t>
      </w:r>
      <w:r>
        <w:rPr>
          <w:rFonts w:hint="eastAsia" w:ascii="宋体" w:hAnsi="宋体" w:eastAsia="宋体" w:cs="宋体"/>
          <w:color w:val="auto"/>
          <w:sz w:val="24"/>
          <w:szCs w:val="24"/>
          <w:highlight w:val="none"/>
          <w:lang w:val="en-US" w:eastAsia="zh-CN"/>
        </w:rPr>
        <w:t>投标人的投标报价，应是完成本投标人须知前附表所列工程招标范围、工期及质量要求的全部内容。</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kern w:val="0"/>
          <w:sz w:val="24"/>
          <w:szCs w:val="24"/>
        </w:rPr>
        <w:t>3.4.5</w:t>
      </w:r>
      <w:r>
        <w:rPr>
          <w:rFonts w:hint="eastAsia" w:ascii="宋体" w:hAnsi="宋体" w:eastAsia="宋体" w:cs="宋体"/>
          <w:color w:val="auto"/>
          <w:sz w:val="24"/>
          <w:szCs w:val="24"/>
          <w:highlight w:val="none"/>
          <w:lang w:val="en-US" w:eastAsia="zh-CN"/>
        </w:rPr>
        <w:t>本项目预算金额见供应商须知前附表。采购人设有最高限价的，供应商的报价不得超过最高限价，否则其投标无效，最高限价在供应商须知前附表中载明。</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3.5备选方案</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rPr>
        <w:t>3.5.1供应商应按</w:t>
      </w:r>
      <w:r>
        <w:rPr>
          <w:rFonts w:hint="eastAsia" w:ascii="宋体" w:hAnsi="宋体" w:eastAsia="宋体" w:cs="宋体"/>
          <w:kern w:val="0"/>
          <w:sz w:val="24"/>
          <w:szCs w:val="24"/>
          <w:highlight w:val="none"/>
        </w:rPr>
        <w:t>照供应商须知前附表要求编制磋商备选方案，否则将被视为无效响应文件。</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3.</w:t>
      </w:r>
      <w:r>
        <w:rPr>
          <w:rFonts w:hint="eastAsia" w:ascii="宋体" w:hAnsi="宋体" w:eastAsia="宋体" w:cs="宋体"/>
          <w:b/>
          <w:sz w:val="24"/>
          <w:szCs w:val="24"/>
          <w:highlight w:val="none"/>
          <w:lang w:val="en-US" w:eastAsia="zh-CN"/>
        </w:rPr>
        <w:t>6</w:t>
      </w:r>
      <w:r>
        <w:rPr>
          <w:rFonts w:hint="eastAsia" w:hAnsi="宋体" w:cs="宋体"/>
          <w:b/>
          <w:sz w:val="24"/>
          <w:szCs w:val="24"/>
          <w:highlight w:val="none"/>
          <w:lang w:eastAsia="zh-CN"/>
        </w:rPr>
        <w:t>响应保证金（本项目不适用）</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.1</w:t>
      </w:r>
      <w:r>
        <w:rPr>
          <w:rFonts w:hint="eastAsia" w:ascii="宋体" w:hAnsi="宋体" w:eastAsia="宋体" w:cs="宋体"/>
          <w:kern w:val="0"/>
          <w:sz w:val="24"/>
          <w:szCs w:val="24"/>
          <w:highlight w:val="none"/>
        </w:rPr>
        <w:t>本项目</w:t>
      </w:r>
      <w:r>
        <w:rPr>
          <w:rFonts w:hint="eastAsia" w:ascii="宋体" w:hAnsi="宋体" w:cs="宋体"/>
          <w:kern w:val="0"/>
          <w:sz w:val="24"/>
          <w:szCs w:val="24"/>
          <w:highlight w:val="none"/>
          <w:lang w:eastAsia="zh-CN"/>
        </w:rPr>
        <w:t>响应保证金</w:t>
      </w:r>
      <w:r>
        <w:rPr>
          <w:rFonts w:hint="eastAsia" w:ascii="宋体" w:hAnsi="宋体" w:eastAsia="宋体" w:cs="宋体"/>
          <w:kern w:val="0"/>
          <w:sz w:val="24"/>
          <w:szCs w:val="24"/>
          <w:highlight w:val="none"/>
        </w:rPr>
        <w:t>收取要求见供应商须知前附表，</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应在</w:t>
      </w:r>
      <w:r>
        <w:rPr>
          <w:rFonts w:hint="eastAsia" w:ascii="宋体" w:hAnsi="宋体" w:cs="宋体"/>
          <w:kern w:val="0"/>
          <w:sz w:val="24"/>
          <w:szCs w:val="24"/>
          <w:lang w:eastAsia="zh-CN"/>
        </w:rPr>
        <w:t>投标有效期</w:t>
      </w:r>
      <w:r>
        <w:rPr>
          <w:rFonts w:hint="eastAsia" w:ascii="宋体" w:hAnsi="宋体" w:eastAsia="宋体" w:cs="宋体"/>
          <w:kern w:val="0"/>
          <w:sz w:val="24"/>
          <w:szCs w:val="24"/>
        </w:rPr>
        <w:t>内有效。</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.2对于未按规定提交</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的，即到响应文件递交截止时间前未提交</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，提交的</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形式、数量和有效期不满足</w:t>
      </w:r>
      <w:r>
        <w:rPr>
          <w:rFonts w:hint="eastAsia" w:ascii="宋体" w:hAnsi="宋体" w:cs="宋体"/>
          <w:kern w:val="0"/>
          <w:sz w:val="24"/>
          <w:szCs w:val="24"/>
          <w:lang w:eastAsia="zh-CN"/>
        </w:rPr>
        <w:t>磋商</w:t>
      </w:r>
      <w:r>
        <w:rPr>
          <w:rFonts w:hint="eastAsia" w:ascii="宋体" w:hAnsi="宋体" w:eastAsia="宋体" w:cs="宋体"/>
          <w:kern w:val="0"/>
          <w:sz w:val="24"/>
          <w:szCs w:val="24"/>
        </w:rPr>
        <w:t>文件要求的，其投标无效。</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.3未成交的供应商，其</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在成交公告公布后5个工作日内退还；成交供应商的</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,在成交供应商与采购人签订合同后5个工作日内退还；如有质疑或投诉，采购代理机构将在质疑和投诉处理完毕后5个工作日内。</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cs="宋体"/>
          <w:color w:val="auto"/>
          <w:kern w:val="0"/>
          <w:sz w:val="24"/>
          <w:szCs w:val="24"/>
          <w:lang w:val="en-US" w:eastAsia="zh-CN"/>
        </w:rPr>
        <w:t>6</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rPr>
        <w:t>有下列情形之一的，保证金将被没收：</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供应商在</w:t>
      </w:r>
      <w:r>
        <w:rPr>
          <w:rFonts w:hint="eastAsia" w:hAnsi="宋体" w:cs="宋体"/>
          <w:color w:val="auto"/>
          <w:kern w:val="0"/>
          <w:sz w:val="24"/>
          <w:szCs w:val="24"/>
          <w:lang w:eastAsia="zh-CN"/>
        </w:rPr>
        <w:t>投标有效期</w:t>
      </w:r>
      <w:r>
        <w:rPr>
          <w:rFonts w:hint="eastAsia" w:ascii="宋体" w:hAnsi="宋体" w:eastAsia="宋体" w:cs="宋体"/>
          <w:color w:val="auto"/>
          <w:kern w:val="0"/>
          <w:sz w:val="24"/>
          <w:szCs w:val="24"/>
        </w:rPr>
        <w:t>内无正当理由撤回其</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响应文件或者在</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过程中无正当理由退出</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活动；</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（2）为谋取最终成交，</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供应商在整个</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过程中提供的相关文件被确认是虚假的、不真实的；</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（3）参加</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的供应商之间被证实有串通、欺诈行为或者恶意进行竞争，影响采购人合法权益的。</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（4）整个采购活动中采取不正当手段诋毁、排挤其他供应商的；</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（5）与采购人相关工作人员恶意串通的；</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（6）向采购人相关工作人员行贿或者提供其他不正当利益的；</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（7）成交供应商在规定期限内未能根据规定签订合同；</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（8）成交供应商在规定期限内未能根据规定交纳履约保证金。</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eastAsia="zh-CN"/>
        </w:rPr>
      </w:pPr>
      <w:r>
        <w:rPr>
          <w:rFonts w:hint="eastAsia" w:ascii="宋体" w:hAnsi="宋体" w:eastAsia="宋体" w:cs="宋体"/>
          <w:b/>
          <w:sz w:val="24"/>
          <w:szCs w:val="24"/>
        </w:rPr>
        <w:t>3.</w:t>
      </w:r>
      <w:r>
        <w:rPr>
          <w:rFonts w:hint="eastAsia" w:hAnsi="宋体" w:cs="宋体"/>
          <w:b/>
          <w:sz w:val="24"/>
          <w:szCs w:val="24"/>
          <w:lang w:val="en-US" w:eastAsia="zh-CN"/>
        </w:rPr>
        <w:t>7</w:t>
      </w:r>
      <w:r>
        <w:rPr>
          <w:rFonts w:hint="eastAsia" w:hAnsi="宋体" w:cs="宋体"/>
          <w:b/>
          <w:sz w:val="24"/>
          <w:szCs w:val="24"/>
          <w:lang w:eastAsia="zh-CN"/>
        </w:rPr>
        <w:t>投标有效期</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7</w:t>
      </w:r>
      <w:r>
        <w:rPr>
          <w:rFonts w:hint="eastAsia" w:ascii="宋体" w:hAnsi="宋体" w:eastAsia="宋体" w:cs="宋体"/>
          <w:kern w:val="0"/>
          <w:sz w:val="24"/>
          <w:szCs w:val="24"/>
        </w:rPr>
        <w:t>.1</w:t>
      </w:r>
      <w:r>
        <w:rPr>
          <w:rFonts w:hint="eastAsia" w:ascii="宋体" w:hAnsi="宋体" w:cs="宋体"/>
          <w:kern w:val="0"/>
          <w:sz w:val="24"/>
          <w:szCs w:val="24"/>
          <w:lang w:eastAsia="zh-CN"/>
        </w:rPr>
        <w:t>投标有效期</w:t>
      </w:r>
      <w:r>
        <w:rPr>
          <w:rFonts w:hint="eastAsia" w:ascii="宋体" w:hAnsi="宋体" w:eastAsia="宋体" w:cs="宋体"/>
          <w:kern w:val="0"/>
          <w:sz w:val="24"/>
          <w:szCs w:val="24"/>
        </w:rPr>
        <w:t>详</w:t>
      </w:r>
      <w:r>
        <w:rPr>
          <w:rFonts w:hint="eastAsia" w:ascii="宋体" w:hAnsi="宋体" w:eastAsia="宋体" w:cs="宋体"/>
          <w:kern w:val="0"/>
          <w:sz w:val="24"/>
          <w:szCs w:val="24"/>
          <w:highlight w:val="none"/>
        </w:rPr>
        <w:t>见供应商须知前附表</w:t>
      </w:r>
      <w:r>
        <w:rPr>
          <w:rFonts w:hint="eastAsia" w:ascii="宋体" w:hAnsi="宋体" w:eastAsia="宋体" w:cs="宋体"/>
          <w:kern w:val="0"/>
          <w:sz w:val="24"/>
          <w:szCs w:val="24"/>
        </w:rPr>
        <w:t>。供应商响应文件中有效期不足的将被视为无效文件。</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7</w:t>
      </w:r>
      <w:r>
        <w:rPr>
          <w:rFonts w:hint="eastAsia" w:ascii="宋体" w:hAnsi="宋体" w:eastAsia="宋体" w:cs="宋体"/>
          <w:kern w:val="0"/>
          <w:sz w:val="24"/>
          <w:szCs w:val="24"/>
        </w:rPr>
        <w:t>.2 有效期内供应商未经采购结果确认</w:t>
      </w:r>
      <w:r>
        <w:rPr>
          <w:rFonts w:hint="eastAsia" w:ascii="宋体" w:hAnsi="宋体" w:cs="宋体"/>
          <w:kern w:val="0"/>
          <w:sz w:val="24"/>
          <w:szCs w:val="24"/>
          <w:lang w:eastAsia="zh-CN"/>
        </w:rPr>
        <w:t>磋商</w:t>
      </w:r>
      <w:r>
        <w:rPr>
          <w:rFonts w:hint="eastAsia" w:ascii="宋体" w:hAnsi="宋体" w:eastAsia="宋体" w:cs="宋体"/>
          <w:kern w:val="0"/>
          <w:sz w:val="24"/>
          <w:szCs w:val="24"/>
        </w:rPr>
        <w:t>达成一致不得改变其磋商最后报价及承诺的全部义务。</w:t>
      </w:r>
    </w:p>
    <w:p>
      <w:pPr>
        <w:pStyle w:val="5"/>
        <w:pageBreakBefore w:val="0"/>
        <w:kinsoku/>
        <w:overflowPunct/>
        <w:autoSpaceDE/>
        <w:autoSpaceDN/>
        <w:bidi w:val="0"/>
        <w:spacing w:line="400" w:lineRule="exact"/>
        <w:rPr>
          <w:rFonts w:hint="eastAsia" w:cs="Times New Roman"/>
        </w:rPr>
      </w:pPr>
      <w:bookmarkStart w:id="68" w:name="_Toc446599313"/>
      <w:bookmarkStart w:id="69" w:name="_Toc293736056"/>
      <w:bookmarkStart w:id="70" w:name="_Toc293738994"/>
      <w:bookmarkStart w:id="71" w:name="_Toc293736013"/>
      <w:r>
        <w:rPr>
          <w:rFonts w:hint="eastAsia" w:cs="Times New Roman"/>
        </w:rPr>
        <w:t>四、响应文件的递交</w:t>
      </w:r>
      <w:bookmarkEnd w:id="68"/>
      <w:bookmarkEnd w:id="69"/>
      <w:bookmarkEnd w:id="70"/>
      <w:bookmarkEnd w:id="71"/>
    </w:p>
    <w:p>
      <w:pPr>
        <w:pStyle w:val="13"/>
        <w:pageBreakBefore w:val="0"/>
        <w:kinsoku/>
        <w:overflowPunct/>
        <w:autoSpaceDE/>
        <w:autoSpaceDN/>
        <w:bidi w:val="0"/>
        <w:spacing w:line="400" w:lineRule="exact"/>
        <w:ind w:firstLine="487" w:firstLineChars="202"/>
        <w:jc w:val="left"/>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4.1</w:t>
      </w:r>
      <w:r>
        <w:rPr>
          <w:rFonts w:hint="eastAsia" w:ascii="宋体" w:hAnsi="宋体" w:eastAsia="宋体" w:cs="宋体"/>
          <w:b/>
          <w:bCs/>
          <w:kern w:val="0"/>
          <w:sz w:val="24"/>
          <w:szCs w:val="24"/>
        </w:rPr>
        <w:t>响应文件的份数</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lang w:val="en-US" w:eastAsia="zh-CN"/>
        </w:rPr>
        <w:t>4.1.1</w:t>
      </w:r>
      <w:r>
        <w:rPr>
          <w:rFonts w:hint="eastAsia" w:ascii="宋体" w:hAnsi="宋体" w:eastAsia="宋体" w:cs="宋体"/>
          <w:kern w:val="0"/>
          <w:sz w:val="24"/>
          <w:szCs w:val="24"/>
        </w:rPr>
        <w:t>响应文件份数要</w:t>
      </w:r>
      <w:r>
        <w:rPr>
          <w:rFonts w:hint="eastAsia" w:ascii="宋体" w:hAnsi="宋体" w:eastAsia="宋体" w:cs="宋体"/>
          <w:kern w:val="0"/>
          <w:sz w:val="24"/>
          <w:szCs w:val="24"/>
          <w:highlight w:val="none"/>
        </w:rPr>
        <w:t>求见供应商须知前附表。正本和副本的封面右上角上应清楚地标记“正本”或“副本”的字样。当副本和正本不一致时，以正本文件为准。 响应文件的正本与副本应分别装订，响应文件需分册装订的，具体分册装订要求供应商须知前附表。</w:t>
      </w:r>
    </w:p>
    <w:p>
      <w:pPr>
        <w:pStyle w:val="13"/>
        <w:pageBreakBefore w:val="0"/>
        <w:kinsoku/>
        <w:overflowPunct/>
        <w:autoSpaceDE/>
        <w:autoSpaceDN/>
        <w:bidi w:val="0"/>
        <w:spacing w:line="400" w:lineRule="exact"/>
        <w:ind w:firstLine="487" w:firstLineChars="202"/>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4.</w:t>
      </w:r>
      <w:r>
        <w:rPr>
          <w:rFonts w:hint="eastAsia" w:ascii="宋体" w:hAnsi="宋体" w:eastAsia="宋体" w:cs="宋体"/>
          <w:b/>
          <w:bCs/>
          <w:kern w:val="0"/>
          <w:sz w:val="24"/>
          <w:szCs w:val="24"/>
          <w:lang w:val="en-US" w:eastAsia="zh-CN"/>
        </w:rPr>
        <w:t>2</w:t>
      </w:r>
      <w:r>
        <w:rPr>
          <w:rFonts w:hint="eastAsia" w:ascii="宋体" w:hAnsi="宋体" w:eastAsia="宋体" w:cs="宋体"/>
          <w:b/>
          <w:bCs/>
          <w:kern w:val="0"/>
          <w:sz w:val="24"/>
          <w:szCs w:val="24"/>
        </w:rPr>
        <w:t>响应文件的密封和标记</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4.2.1</w:t>
      </w:r>
      <w:r>
        <w:rPr>
          <w:rFonts w:hint="eastAsia" w:ascii="宋体" w:hAnsi="宋体" w:eastAsia="宋体" w:cs="宋体"/>
          <w:kern w:val="0"/>
          <w:sz w:val="24"/>
          <w:szCs w:val="24"/>
        </w:rPr>
        <w:t>响应文件应用不褪色的材料书写或打印，并按第六章“响应文件格式”的要求进行签字和（或）盖章。由供应商的法定代表人（单位负责人）签字的，应附法定代表人（单位负责人）身份证明，由代理人签字的，应附授权委托书，身份证明或授权委托书应符合第六章“响应文件格式”的要求。响应文件应尽量避免涂改、行间插字或删除。如果出现上述情况，改动之处应由供应商的法定代表人（单位负责人）或其授权的代理人签字或盖单位章。</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lang w:val="en-US" w:eastAsia="zh-CN"/>
        </w:rPr>
        <w:t>4.2.2</w:t>
      </w:r>
      <w:r>
        <w:rPr>
          <w:rFonts w:hint="eastAsia" w:ascii="宋体" w:hAnsi="宋体" w:eastAsia="宋体" w:cs="宋体"/>
          <w:kern w:val="0"/>
          <w:sz w:val="24"/>
          <w:szCs w:val="24"/>
        </w:rPr>
        <w:t>响应文件应密封包装，并在封套的封口处加盖供应商单位章或由供应商的法定代表人（单位负责人）或其授权的代理人签字或盖章。响应文件封套上应写明的内容</w:t>
      </w:r>
      <w:r>
        <w:rPr>
          <w:rFonts w:hint="eastAsia" w:ascii="宋体" w:hAnsi="宋体" w:eastAsia="宋体" w:cs="宋体"/>
          <w:kern w:val="0"/>
          <w:sz w:val="24"/>
          <w:szCs w:val="24"/>
          <w:highlight w:val="none"/>
        </w:rPr>
        <w:t>见供应商须知前附表。未按要求密封的响应文件，采购人将予以拒收。</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4.</w:t>
      </w:r>
      <w:r>
        <w:rPr>
          <w:rFonts w:hint="eastAsia" w:ascii="宋体" w:hAnsi="宋体" w:eastAsia="宋体" w:cs="宋体"/>
          <w:b/>
          <w:sz w:val="24"/>
          <w:szCs w:val="24"/>
          <w:highlight w:val="none"/>
          <w:lang w:val="en-US" w:eastAsia="zh-CN"/>
        </w:rPr>
        <w:t>3</w:t>
      </w:r>
      <w:r>
        <w:rPr>
          <w:rFonts w:hint="eastAsia" w:ascii="宋体" w:hAnsi="宋体" w:eastAsia="宋体" w:cs="宋体"/>
          <w:b/>
          <w:color w:val="000000" w:themeColor="text1"/>
          <w:sz w:val="24"/>
          <w:szCs w:val="24"/>
          <w:highlight w:val="none"/>
          <w14:textFill>
            <w14:solidFill>
              <w14:schemeClr w14:val="tx1"/>
            </w14:solidFill>
          </w14:textFill>
        </w:rPr>
        <w:t>响</w:t>
      </w:r>
      <w:r>
        <w:rPr>
          <w:rFonts w:hint="eastAsia" w:ascii="宋体" w:hAnsi="宋体" w:eastAsia="宋体" w:cs="宋体"/>
          <w:b/>
          <w:sz w:val="24"/>
          <w:szCs w:val="24"/>
          <w:highlight w:val="none"/>
        </w:rPr>
        <w:t>应文件</w:t>
      </w:r>
      <w:r>
        <w:rPr>
          <w:rFonts w:hint="eastAsia" w:ascii="宋体" w:hAnsi="宋体" w:eastAsia="宋体" w:cs="宋体"/>
          <w:b/>
          <w:color w:val="000000" w:themeColor="text1"/>
          <w:sz w:val="24"/>
          <w:szCs w:val="24"/>
          <w:highlight w:val="none"/>
          <w14:textFill>
            <w14:solidFill>
              <w14:schemeClr w14:val="tx1"/>
            </w14:solidFill>
          </w14:textFill>
        </w:rPr>
        <w:t>的</w:t>
      </w:r>
      <w:r>
        <w:rPr>
          <w:rFonts w:hint="eastAsia" w:ascii="宋体" w:hAnsi="宋体" w:eastAsia="宋体" w:cs="宋体"/>
          <w:b/>
          <w:sz w:val="24"/>
          <w:szCs w:val="24"/>
          <w:highlight w:val="none"/>
        </w:rPr>
        <w:t>递交</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highlight w:val="none"/>
        </w:rPr>
        <w:t>4.</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.1供应商应在供应商须知前附表规定的响应</w:t>
      </w:r>
      <w:r>
        <w:rPr>
          <w:rFonts w:hint="eastAsia" w:ascii="宋体" w:hAnsi="宋体" w:eastAsia="宋体" w:cs="宋体"/>
          <w:kern w:val="0"/>
          <w:sz w:val="24"/>
          <w:szCs w:val="24"/>
        </w:rPr>
        <w:t>文件递交截止时间前将响应文件</w:t>
      </w:r>
      <w:r>
        <w:rPr>
          <w:rFonts w:hint="eastAsia" w:ascii="宋体" w:hAnsi="宋体" w:eastAsia="宋体" w:cs="宋体"/>
          <w:kern w:val="0"/>
          <w:sz w:val="24"/>
          <w:szCs w:val="24"/>
          <w:lang w:eastAsia="zh-CN"/>
        </w:rPr>
        <w:t>递交至指定地点</w:t>
      </w:r>
      <w:r>
        <w:rPr>
          <w:rFonts w:hint="eastAsia" w:ascii="宋体" w:hAnsi="宋体" w:eastAsia="宋体" w:cs="宋体"/>
          <w:kern w:val="0"/>
          <w:sz w:val="24"/>
          <w:szCs w:val="24"/>
        </w:rPr>
        <w:t>。未在响应文件递交截止时间前</w:t>
      </w:r>
      <w:r>
        <w:rPr>
          <w:rFonts w:hint="eastAsia" w:ascii="宋体" w:hAnsi="宋体" w:eastAsia="宋体" w:cs="宋体"/>
          <w:kern w:val="0"/>
          <w:sz w:val="24"/>
          <w:szCs w:val="24"/>
          <w:lang w:eastAsia="zh-CN"/>
        </w:rPr>
        <w:t>递交的</w:t>
      </w:r>
      <w:r>
        <w:rPr>
          <w:rFonts w:hint="eastAsia" w:ascii="宋体" w:hAnsi="宋体" w:eastAsia="宋体" w:cs="宋体"/>
          <w:kern w:val="0"/>
          <w:sz w:val="24"/>
          <w:szCs w:val="24"/>
        </w:rPr>
        <w:t>响应文件视为逾期送达。逾期送达的或者未送达指定地点的响应文件，采购单位不予受理。</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采购</w:t>
      </w:r>
      <w:r>
        <w:rPr>
          <w:rFonts w:hint="eastAsia" w:ascii="宋体" w:hAnsi="宋体" w:eastAsia="宋体" w:cs="宋体"/>
          <w:kern w:val="0"/>
          <w:sz w:val="24"/>
          <w:szCs w:val="24"/>
        </w:rPr>
        <w:t>单位将拒绝并原封退回在规定的响应文件递交截止期后送达的任何响应文件。</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color w:val="000000"/>
          <w:kern w:val="0"/>
          <w:sz w:val="24"/>
          <w:szCs w:val="24"/>
        </w:rPr>
      </w:pPr>
      <w:r>
        <w:rPr>
          <w:rFonts w:hint="eastAsia" w:ascii="宋体" w:hAnsi="宋体" w:eastAsia="宋体" w:cs="宋体"/>
          <w:b/>
          <w:sz w:val="24"/>
          <w:szCs w:val="24"/>
        </w:rPr>
        <w:t>4.4响应文件的修改和撤回</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4.4.2供应商所提交的响应文件在评审结束后，无论中标与否都不退还。</w:t>
      </w:r>
    </w:p>
    <w:p>
      <w:pPr>
        <w:pStyle w:val="5"/>
        <w:pageBreakBefore w:val="0"/>
        <w:kinsoku/>
        <w:overflowPunct/>
        <w:autoSpaceDE/>
        <w:autoSpaceDN/>
        <w:bidi w:val="0"/>
        <w:spacing w:line="400" w:lineRule="exact"/>
        <w:rPr>
          <w:rFonts w:hint="eastAsia" w:cs="Times New Roman"/>
          <w:color w:val="auto"/>
          <w:lang w:eastAsia="zh-CN"/>
        </w:rPr>
      </w:pPr>
      <w:r>
        <w:rPr>
          <w:rFonts w:hint="eastAsia" w:cs="Times New Roman"/>
          <w:color w:val="auto"/>
          <w:lang w:val="en-US" w:eastAsia="zh-CN"/>
        </w:rPr>
        <w:t>五</w:t>
      </w:r>
      <w:r>
        <w:rPr>
          <w:rFonts w:hint="eastAsia" w:cs="Times New Roman"/>
          <w:color w:val="auto"/>
        </w:rPr>
        <w:t>、</w:t>
      </w:r>
      <w:r>
        <w:rPr>
          <w:rFonts w:hint="eastAsia" w:cs="Times New Roman"/>
          <w:color w:val="auto"/>
          <w:lang w:eastAsia="zh-CN"/>
        </w:rPr>
        <w:t>开启响应文件</w:t>
      </w:r>
    </w:p>
    <w:p>
      <w:pPr>
        <w:pStyle w:val="20"/>
        <w:pageBreakBefore w:val="0"/>
        <w:kinsoku/>
        <w:overflowPunct/>
        <w:autoSpaceDE/>
        <w:autoSpaceDN/>
        <w:bidi w:val="0"/>
        <w:spacing w:line="400" w:lineRule="exact"/>
        <w:ind w:firstLine="484" w:firstLineChars="201"/>
        <w:contextualSpacing/>
        <w:jc w:val="left"/>
        <w:rPr>
          <w:rFonts w:hint="default" w:ascii="宋体" w:hAnsi="宋体" w:eastAsia="宋体" w:cs="宋体"/>
          <w:b/>
          <w:sz w:val="24"/>
          <w:szCs w:val="24"/>
          <w:lang w:val="en-US" w:eastAsia="zh-CN"/>
        </w:rPr>
      </w:pPr>
      <w:r>
        <w:rPr>
          <w:rFonts w:hint="eastAsia" w:hAnsi="宋体" w:cs="宋体"/>
          <w:b/>
          <w:sz w:val="24"/>
          <w:szCs w:val="24"/>
          <w:lang w:val="en-US" w:eastAsia="zh-CN"/>
        </w:rPr>
        <w:t>5</w:t>
      </w:r>
      <w:r>
        <w:rPr>
          <w:rFonts w:hint="eastAsia" w:ascii="宋体" w:hAnsi="宋体" w:eastAsia="宋体" w:cs="宋体"/>
          <w:b/>
          <w:sz w:val="24"/>
          <w:szCs w:val="24"/>
          <w:lang w:val="en-US" w:eastAsia="zh-CN"/>
        </w:rPr>
        <w:t>.</w:t>
      </w:r>
      <w:r>
        <w:rPr>
          <w:rFonts w:hint="eastAsia" w:hAnsi="宋体" w:cs="宋体"/>
          <w:b/>
          <w:sz w:val="24"/>
          <w:szCs w:val="24"/>
          <w:lang w:val="en-US" w:eastAsia="zh-CN"/>
        </w:rPr>
        <w:t>磋商活动</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.1采购人将在供应商须知前附表规定的时间和地点组织</w:t>
      </w:r>
      <w:r>
        <w:rPr>
          <w:rFonts w:hint="eastAsia" w:ascii="宋体" w:hAnsi="宋体" w:cs="宋体"/>
          <w:color w:val="auto"/>
          <w:sz w:val="24"/>
          <w:szCs w:val="24"/>
          <w:lang w:val="en-US" w:eastAsia="zh-CN"/>
        </w:rPr>
        <w:t>磋商活动</w:t>
      </w:r>
      <w:r>
        <w:rPr>
          <w:rFonts w:hint="eastAsia" w:ascii="宋体" w:hAnsi="宋体" w:eastAsia="宋体" w:cs="宋体"/>
          <w:color w:val="auto"/>
          <w:sz w:val="24"/>
          <w:szCs w:val="24"/>
          <w:lang w:val="en-US" w:eastAsia="zh-CN"/>
        </w:rPr>
        <w:t>，邀请供应商法定代表人（单位负责人）或其授权代表携带有效证件准时参加，参加</w:t>
      </w:r>
      <w:r>
        <w:rPr>
          <w:rFonts w:hint="eastAsia" w:ascii="宋体" w:hAnsi="宋体" w:cs="宋体"/>
          <w:color w:val="auto"/>
          <w:sz w:val="24"/>
          <w:szCs w:val="24"/>
          <w:lang w:val="en-US" w:eastAsia="zh-CN"/>
        </w:rPr>
        <w:t>磋商活动</w:t>
      </w:r>
      <w:r>
        <w:rPr>
          <w:rFonts w:hint="eastAsia" w:ascii="宋体" w:hAnsi="宋体" w:eastAsia="宋体" w:cs="宋体"/>
          <w:color w:val="auto"/>
          <w:sz w:val="24"/>
          <w:szCs w:val="24"/>
          <w:lang w:val="en-US" w:eastAsia="zh-CN"/>
        </w:rPr>
        <w:t>的代表需签名以证明其出席。未参加</w:t>
      </w:r>
      <w:r>
        <w:rPr>
          <w:rFonts w:hint="eastAsia" w:ascii="宋体" w:hAnsi="宋体" w:cs="宋体"/>
          <w:color w:val="auto"/>
          <w:sz w:val="24"/>
          <w:szCs w:val="24"/>
          <w:lang w:val="en-US" w:eastAsia="zh-CN"/>
        </w:rPr>
        <w:t>磋商活动</w:t>
      </w:r>
      <w:r>
        <w:rPr>
          <w:rFonts w:hint="eastAsia" w:ascii="宋体" w:hAnsi="宋体" w:eastAsia="宋体" w:cs="宋体"/>
          <w:color w:val="auto"/>
          <w:sz w:val="24"/>
          <w:szCs w:val="24"/>
          <w:lang w:val="en-US" w:eastAsia="zh-CN"/>
        </w:rPr>
        <w:t>，视同认可</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结果。采购代理机构主持</w:t>
      </w:r>
      <w:r>
        <w:rPr>
          <w:rFonts w:hint="eastAsia" w:ascii="宋体" w:hAnsi="宋体" w:cs="宋体"/>
          <w:color w:val="auto"/>
          <w:sz w:val="24"/>
          <w:szCs w:val="24"/>
          <w:lang w:val="en-US" w:eastAsia="zh-CN"/>
        </w:rPr>
        <w:t>磋商活动</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val="en-US" w:eastAsia="zh-CN"/>
        </w:rPr>
        <w:t>.2主持人按下列程序主持</w:t>
      </w:r>
      <w:r>
        <w:rPr>
          <w:rFonts w:hint="eastAsia" w:ascii="宋体" w:hAnsi="宋体" w:cs="宋体"/>
          <w:b/>
          <w:bCs/>
          <w:color w:val="auto"/>
          <w:sz w:val="24"/>
          <w:szCs w:val="24"/>
          <w:lang w:val="en-US" w:eastAsia="zh-CN"/>
        </w:rPr>
        <w:t>磋商活动</w:t>
      </w:r>
      <w:r>
        <w:rPr>
          <w:rFonts w:hint="eastAsia" w:ascii="宋体" w:hAnsi="宋体" w:eastAsia="宋体" w:cs="宋体"/>
          <w:b/>
          <w:bCs/>
          <w:color w:val="auto"/>
          <w:sz w:val="24"/>
          <w:szCs w:val="24"/>
          <w:lang w:val="en-US" w:eastAsia="zh-CN"/>
        </w:rPr>
        <w:t>：</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（1）宣布纪律；</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（2）宣布参会人员姓名；</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（3）公布在响应文件递交截止时间前递交响应文件的供应商名称；</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（4）由采购人代表、监督人员及公证人员现场查验供应商须知前附表规定内容；</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（5）由供应商代表检查确认响应文件的密封情况；</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（6）按供应商须知前附表规定是否公开开启响应文件；</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（7）供应商代表、采购人代表、监督人员、公证人员、记录人等有关人员在开启记录上签字确认；</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（8）会议结束。</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val="en-US" w:eastAsia="zh-CN"/>
        </w:rPr>
        <w:t>.3</w:t>
      </w:r>
      <w:r>
        <w:rPr>
          <w:rFonts w:hint="eastAsia" w:ascii="宋体" w:hAnsi="宋体" w:cs="宋体"/>
          <w:b/>
          <w:bCs/>
          <w:color w:val="auto"/>
          <w:sz w:val="24"/>
          <w:szCs w:val="24"/>
          <w:lang w:val="en-US" w:eastAsia="zh-CN"/>
        </w:rPr>
        <w:t>现场磋商</w:t>
      </w:r>
      <w:r>
        <w:rPr>
          <w:rFonts w:hint="eastAsia" w:ascii="宋体" w:hAnsi="宋体" w:eastAsia="宋体" w:cs="宋体"/>
          <w:b/>
          <w:bCs/>
          <w:color w:val="auto"/>
          <w:sz w:val="24"/>
          <w:szCs w:val="24"/>
          <w:lang w:val="en-US" w:eastAsia="zh-CN"/>
        </w:rPr>
        <w:t>异议</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供应商代表对会议过程和会议记录有异议的，以及认为采购人、采购代理机构相关工作人员有需要回避的情形，应当场提出询问或者回避申请，采购人、采购代理机构对</w:t>
      </w:r>
      <w:r>
        <w:rPr>
          <w:rFonts w:hint="eastAsia" w:ascii="宋体" w:hAnsi="宋体" w:cs="宋体"/>
          <w:color w:val="auto"/>
          <w:sz w:val="24"/>
          <w:szCs w:val="24"/>
          <w:lang w:val="en-US" w:eastAsia="zh-CN"/>
        </w:rPr>
        <w:t>供应商代表</w:t>
      </w:r>
      <w:r>
        <w:rPr>
          <w:rFonts w:hint="eastAsia" w:ascii="宋体" w:hAnsi="宋体" w:eastAsia="宋体" w:cs="宋体"/>
          <w:color w:val="auto"/>
          <w:sz w:val="24"/>
          <w:szCs w:val="24"/>
          <w:lang w:val="en-US" w:eastAsia="zh-CN"/>
        </w:rPr>
        <w:t>提出询问或者回避申请，当场作出答复，并制作记录。</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val="en-US" w:eastAsia="zh-CN"/>
        </w:rPr>
        <w:t>.4在政府采购活动中，采购人员及相关人员与投标人有下列利害关系之一的，应当回避：</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（一）参加采购活动前3年内与投标人存在劳动关系；</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（二）参加采购活动前3年内担任投标人的董事、监事；</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（三）参加采购活动前3年内是投标人的控股股东或者实际控制人；</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（四）与投标人的法定代表人或者负责人有夫妻、直系血亲、三代以内旁系血亲或者近姻亲关系；</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（五）与投标人有其他可能影响政府采购活动公平、公正进行的关系。</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pPr>
        <w:pStyle w:val="5"/>
        <w:pageBreakBefore w:val="0"/>
        <w:kinsoku/>
        <w:overflowPunct/>
        <w:autoSpaceDE/>
        <w:autoSpaceDN/>
        <w:bidi w:val="0"/>
        <w:spacing w:line="400" w:lineRule="exact"/>
        <w:rPr>
          <w:rFonts w:hint="eastAsia"/>
          <w:color w:val="auto"/>
          <w:lang w:val="en-US" w:eastAsia="zh-CN"/>
        </w:rPr>
      </w:pPr>
      <w:r>
        <w:rPr>
          <w:rFonts w:hint="eastAsia" w:cs="Times New Roman"/>
          <w:color w:val="auto"/>
          <w:lang w:val="en-US" w:eastAsia="zh-CN"/>
        </w:rPr>
        <w:t>六</w:t>
      </w:r>
      <w:r>
        <w:rPr>
          <w:rFonts w:hint="eastAsia" w:cs="Times New Roman"/>
          <w:color w:val="auto"/>
        </w:rPr>
        <w:t>、</w:t>
      </w:r>
      <w:r>
        <w:rPr>
          <w:rFonts w:hint="eastAsia" w:cs="Times New Roman"/>
          <w:color w:val="auto"/>
          <w:lang w:eastAsia="zh-CN"/>
        </w:rPr>
        <w:t>磋商和评审</w:t>
      </w:r>
    </w:p>
    <w:p>
      <w:pPr>
        <w:pageBreakBefore w:val="0"/>
        <w:widowControl/>
        <w:kinsoku/>
        <w:overflowPunct/>
        <w:autoSpaceDE/>
        <w:autoSpaceDN/>
        <w:bidi w:val="0"/>
        <w:spacing w:line="400" w:lineRule="exact"/>
        <w:ind w:firstLine="482" w:firstLineChars="200"/>
        <w:textAlignment w:val="baseline"/>
        <w:rPr>
          <w:rFonts w:hint="eastAsia" w:ascii="宋体" w:hAnsi="宋体" w:eastAsia="宋体" w:cs="宋体"/>
          <w:b/>
          <w:sz w:val="24"/>
          <w:szCs w:val="24"/>
        </w:rPr>
      </w:pPr>
      <w:r>
        <w:rPr>
          <w:rFonts w:hint="eastAsia" w:ascii="宋体" w:hAnsi="宋体" w:cs="宋体"/>
          <w:b/>
          <w:sz w:val="24"/>
          <w:szCs w:val="24"/>
          <w:lang w:val="en-US" w:eastAsia="zh-CN"/>
        </w:rPr>
        <w:t>6.1</w:t>
      </w:r>
      <w:r>
        <w:rPr>
          <w:rFonts w:hint="eastAsia" w:ascii="宋体" w:hAnsi="宋体" w:eastAsia="宋体" w:cs="宋体"/>
          <w:b/>
          <w:sz w:val="24"/>
          <w:szCs w:val="24"/>
        </w:rPr>
        <w:t>磋商小组的组成</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val="en-US" w:eastAsia="zh-CN"/>
        </w:rPr>
        <w:t>6.1</w:t>
      </w:r>
      <w:r>
        <w:rPr>
          <w:rFonts w:hint="eastAsia" w:ascii="宋体" w:hAnsi="宋体" w:eastAsia="宋体" w:cs="宋体"/>
          <w:kern w:val="0"/>
          <w:sz w:val="24"/>
          <w:szCs w:val="24"/>
        </w:rPr>
        <w:t>.1除</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须知前附表规定外，</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小组由采购人代表和评审专家共3人以上单数组成，其中评审专家的人数不得少于</w:t>
      </w:r>
      <w:r>
        <w:rPr>
          <w:rFonts w:hint="eastAsia" w:ascii="宋体" w:hAnsi="宋体" w:cs="宋体"/>
          <w:kern w:val="0"/>
          <w:sz w:val="24"/>
          <w:szCs w:val="24"/>
          <w:lang w:eastAsia="zh-CN"/>
        </w:rPr>
        <w:t>磋商</w:t>
      </w:r>
      <w:r>
        <w:rPr>
          <w:rFonts w:hint="eastAsia" w:ascii="宋体" w:hAnsi="宋体" w:eastAsia="宋体" w:cs="宋体"/>
          <w:kern w:val="0"/>
          <w:sz w:val="24"/>
          <w:szCs w:val="24"/>
        </w:rPr>
        <w:t>小组成员总数的2/3。</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小组成员由采购人依法组建,采购人代表不得担任</w:t>
      </w:r>
      <w:r>
        <w:rPr>
          <w:rFonts w:hint="eastAsia" w:ascii="宋体" w:hAnsi="宋体" w:cs="宋体"/>
          <w:kern w:val="0"/>
          <w:sz w:val="24"/>
          <w:szCs w:val="24"/>
          <w:lang w:eastAsia="zh-CN"/>
        </w:rPr>
        <w:t>磋商</w:t>
      </w:r>
      <w:r>
        <w:rPr>
          <w:rFonts w:hint="eastAsia" w:ascii="宋体" w:hAnsi="宋体" w:eastAsia="宋体" w:cs="宋体"/>
          <w:kern w:val="0"/>
          <w:sz w:val="24"/>
          <w:szCs w:val="24"/>
        </w:rPr>
        <w:t>小组组长,不得以评审专家身份参加采购项目的评审。</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val="en-US" w:eastAsia="zh-CN"/>
        </w:rPr>
        <w:t>6.1.2</w:t>
      </w:r>
      <w:r>
        <w:rPr>
          <w:rFonts w:hint="eastAsia" w:ascii="宋体" w:hAnsi="宋体" w:cs="宋体"/>
          <w:kern w:val="0"/>
          <w:sz w:val="24"/>
          <w:szCs w:val="24"/>
          <w:lang w:eastAsia="zh-CN"/>
        </w:rPr>
        <w:t>磋商</w:t>
      </w:r>
      <w:r>
        <w:rPr>
          <w:rFonts w:hint="eastAsia" w:ascii="宋体" w:hAnsi="宋体" w:eastAsia="宋体" w:cs="宋体"/>
          <w:kern w:val="0"/>
          <w:sz w:val="24"/>
          <w:szCs w:val="24"/>
        </w:rPr>
        <w:t>小组应以科学、公正的态度参加评审工作并推荐成交候选人。评审专家在评审过程中不受任何干扰，独立、负责地提出评审意见，并对自己的评审意见承担责任。</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val="en-US" w:eastAsia="zh-CN"/>
        </w:rPr>
        <w:t>6.1.3</w:t>
      </w:r>
      <w:r>
        <w:rPr>
          <w:rFonts w:hint="eastAsia" w:ascii="宋体" w:hAnsi="宋体" w:eastAsia="宋体" w:cs="宋体"/>
          <w:kern w:val="0"/>
          <w:sz w:val="24"/>
          <w:szCs w:val="24"/>
        </w:rPr>
        <w:t>回避情形</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eastAsia="zh-CN"/>
        </w:rPr>
        <w:t>磋商</w:t>
      </w:r>
      <w:r>
        <w:rPr>
          <w:rFonts w:hint="eastAsia" w:ascii="宋体" w:hAnsi="宋体" w:eastAsia="宋体" w:cs="宋体"/>
          <w:kern w:val="0"/>
          <w:sz w:val="24"/>
          <w:szCs w:val="24"/>
        </w:rPr>
        <w:t>小组成员有下列情形之一的，应当回避：</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（1）参加采购活动前三年内,与供应商存在劳动关系,或者担任过供应商的董事、监事,或者是供应商的控股股东或实际控制人；</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（2）与供应商的法定代表人或者负责人有夫妻、直系血亲、三代以内旁系血亲或者近姻亲关系；</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（3）与供应商有其他可能影响政府采购活动公平、公正进行的关系。</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eastAsia="zh-CN"/>
        </w:rPr>
        <w:t>磋商</w:t>
      </w:r>
      <w:r>
        <w:rPr>
          <w:rFonts w:hint="eastAsia" w:ascii="宋体" w:hAnsi="宋体" w:eastAsia="宋体" w:cs="宋体"/>
          <w:kern w:val="0"/>
          <w:sz w:val="24"/>
          <w:szCs w:val="24"/>
        </w:rPr>
        <w:t>小组发现本人与参加本项目的供应商有利害关系的,应当主动提出回避。采购人或者采购代理机构发现</w:t>
      </w:r>
      <w:r>
        <w:rPr>
          <w:rFonts w:hint="eastAsia" w:ascii="宋体" w:hAnsi="宋体" w:cs="宋体"/>
          <w:kern w:val="0"/>
          <w:sz w:val="24"/>
          <w:szCs w:val="24"/>
          <w:lang w:eastAsia="zh-CN"/>
        </w:rPr>
        <w:t>磋商</w:t>
      </w:r>
      <w:r>
        <w:rPr>
          <w:rFonts w:hint="eastAsia" w:ascii="宋体" w:hAnsi="宋体" w:eastAsia="宋体" w:cs="宋体"/>
          <w:kern w:val="0"/>
          <w:sz w:val="24"/>
          <w:szCs w:val="24"/>
        </w:rPr>
        <w:t>小组与参加采购活动的供应商有利害关系的,应当要求其回避。</w:t>
      </w:r>
    </w:p>
    <w:p>
      <w:pPr>
        <w:pStyle w:val="13"/>
        <w:pageBreakBefore w:val="0"/>
        <w:kinsoku/>
        <w:overflowPunct/>
        <w:autoSpaceDE/>
        <w:autoSpaceDN/>
        <w:bidi w:val="0"/>
        <w:spacing w:line="400" w:lineRule="exact"/>
        <w:ind w:firstLine="487" w:firstLineChars="202"/>
        <w:jc w:val="left"/>
        <w:rPr>
          <w:rFonts w:hint="eastAsia" w:ascii="宋体" w:hAnsi="宋体" w:eastAsia="宋体" w:cs="宋体"/>
          <w:b/>
          <w:bCs/>
          <w:kern w:val="0"/>
          <w:sz w:val="24"/>
          <w:szCs w:val="24"/>
        </w:rPr>
      </w:pPr>
      <w:r>
        <w:rPr>
          <w:rFonts w:hint="eastAsia" w:ascii="宋体" w:hAnsi="宋体" w:cs="宋体"/>
          <w:b/>
          <w:bCs/>
          <w:kern w:val="0"/>
          <w:sz w:val="24"/>
          <w:szCs w:val="24"/>
          <w:lang w:val="en-US" w:eastAsia="zh-CN"/>
        </w:rPr>
        <w:t>6.2</w:t>
      </w:r>
      <w:r>
        <w:rPr>
          <w:rFonts w:hint="eastAsia" w:ascii="宋体" w:hAnsi="宋体" w:eastAsia="宋体" w:cs="宋体"/>
          <w:b/>
          <w:bCs/>
          <w:kern w:val="0"/>
          <w:sz w:val="24"/>
          <w:szCs w:val="24"/>
        </w:rPr>
        <w:t>磋商方法</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bookmarkStart w:id="72" w:name="_Toc293736015"/>
      <w:bookmarkStart w:id="73" w:name="_Toc293738996"/>
      <w:bookmarkStart w:id="74" w:name="_Toc21441"/>
      <w:bookmarkStart w:id="75" w:name="_Toc10373"/>
      <w:bookmarkStart w:id="76" w:name="_Toc446599315"/>
      <w:bookmarkStart w:id="77" w:name="_Toc293736058"/>
      <w:r>
        <w:rPr>
          <w:rFonts w:hint="eastAsia" w:ascii="宋体" w:hAnsi="宋体" w:eastAsia="宋体" w:cs="宋体"/>
          <w:color w:val="auto"/>
          <w:sz w:val="24"/>
          <w:szCs w:val="24"/>
          <w:lang w:val="en-US" w:eastAsia="zh-CN"/>
        </w:rPr>
        <w:t>6.2.1初步评审</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color w:val="auto"/>
          <w:lang w:val="en-US" w:eastAsia="zh-CN"/>
        </w:rPr>
      </w:pPr>
      <w:r>
        <w:rPr>
          <w:rFonts w:hint="eastAsia" w:ascii="宋体" w:hAnsi="宋体" w:eastAsia="宋体" w:cs="宋体"/>
          <w:color w:val="auto"/>
          <w:sz w:val="24"/>
          <w:szCs w:val="24"/>
          <w:lang w:val="en-US" w:eastAsia="zh-CN"/>
        </w:rPr>
        <w:t>磋商小组将按照磋商文件第四章“评审办法”确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磋商文件的要求，只有资格和符合性评审合格且实质性响应磋商文件要求的供应商才可通过初步评审。</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6.2.2磋商</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磋商小组按照第四章“评审办法”规定的评审程序和评审标准对供应商递交的响应文件进行评审和比较，第四章“评审办法”没有规定的内容，不作为评审依据。</w:t>
      </w:r>
    </w:p>
    <w:p>
      <w:pPr>
        <w:pStyle w:val="5"/>
        <w:pageBreakBefore w:val="0"/>
        <w:kinsoku/>
        <w:overflowPunct/>
        <w:autoSpaceDE/>
        <w:autoSpaceDN/>
        <w:bidi w:val="0"/>
        <w:spacing w:line="400" w:lineRule="exact"/>
        <w:rPr>
          <w:rFonts w:hint="eastAsia" w:cs="Times New Roman"/>
          <w:lang w:eastAsia="zh-CN"/>
        </w:rPr>
      </w:pPr>
      <w:bookmarkStart w:id="78" w:name="_Toc456291531"/>
      <w:bookmarkStart w:id="79" w:name="_Toc456291159"/>
      <w:bookmarkStart w:id="80" w:name="_Toc29411"/>
      <w:bookmarkStart w:id="81" w:name="_Toc2"/>
      <w:bookmarkStart w:id="82" w:name="_Toc456291473"/>
      <w:bookmarkStart w:id="83" w:name="_Toc456291348"/>
      <w:bookmarkStart w:id="84" w:name="_Toc456291274"/>
      <w:bookmarkStart w:id="85" w:name="_Toc456291254"/>
      <w:r>
        <w:rPr>
          <w:rFonts w:hint="eastAsia" w:cs="Times New Roman"/>
          <w:lang w:eastAsia="zh-CN"/>
        </w:rPr>
        <w:t>七、推荐成交供应商</w:t>
      </w:r>
      <w:bookmarkEnd w:id="78"/>
      <w:bookmarkEnd w:id="79"/>
      <w:bookmarkEnd w:id="80"/>
      <w:bookmarkEnd w:id="81"/>
      <w:bookmarkEnd w:id="82"/>
      <w:bookmarkEnd w:id="83"/>
      <w:bookmarkEnd w:id="84"/>
      <w:bookmarkEnd w:id="85"/>
    </w:p>
    <w:p>
      <w:pPr>
        <w:pStyle w:val="13"/>
        <w:pageBreakBefore w:val="0"/>
        <w:kinsoku/>
        <w:overflowPunct/>
        <w:autoSpaceDE/>
        <w:autoSpaceDN/>
        <w:bidi w:val="0"/>
        <w:spacing w:line="400" w:lineRule="exact"/>
        <w:ind w:firstLine="487" w:firstLineChars="202"/>
        <w:jc w:val="left"/>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7.1推荐成交供应商</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7.1.1磋商小组应当根据综合评分情况，按照评审得分由高到低的顺序推荐3名成交候选人，并编写评审报告。</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7.1</w:t>
      </w:r>
      <w:r>
        <w:rPr>
          <w:rFonts w:hint="eastAsia" w:ascii="宋体" w:hAnsi="宋体" w:eastAsia="宋体" w:cs="宋体"/>
          <w:color w:val="auto"/>
          <w:sz w:val="24"/>
          <w:szCs w:val="24"/>
          <w:lang w:val="en-US" w:eastAsia="zh-CN"/>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7.1.3成交供应商确定后，采购代理机构将在供应商须知前附表规定的媒介发布成交公告，公告期为3日历天，同时向成交供应商发出《成交通知书》。《成交通知书》是合同的组成部分,对成交供应商和采购人具有同等法律效力。</w:t>
      </w:r>
    </w:p>
    <w:p>
      <w:pPr>
        <w:pStyle w:val="5"/>
        <w:pageBreakBefore w:val="0"/>
        <w:kinsoku/>
        <w:overflowPunct/>
        <w:autoSpaceDE/>
        <w:autoSpaceDN/>
        <w:bidi w:val="0"/>
        <w:spacing w:line="400" w:lineRule="exact"/>
        <w:rPr>
          <w:rFonts w:asciiTheme="majorEastAsia" w:hAnsiTheme="majorEastAsia" w:eastAsiaTheme="majorEastAsia"/>
          <w:b/>
          <w:sz w:val="28"/>
          <w:szCs w:val="28"/>
          <w:highlight w:val="green"/>
        </w:rPr>
      </w:pPr>
      <w:r>
        <w:rPr>
          <w:rFonts w:hint="eastAsia"/>
          <w:lang w:eastAsia="zh-CN"/>
        </w:rPr>
        <w:t>八</w:t>
      </w:r>
      <w:r>
        <w:rPr>
          <w:rFonts w:hint="eastAsia"/>
        </w:rPr>
        <w:t>、</w:t>
      </w:r>
      <w:r>
        <w:rPr>
          <w:rFonts w:hint="eastAsia"/>
          <w:lang w:eastAsia="zh-CN"/>
        </w:rPr>
        <w:t>签订</w:t>
      </w:r>
      <w:r>
        <w:rPr>
          <w:rFonts w:hint="eastAsia"/>
        </w:rPr>
        <w:t>合同</w:t>
      </w:r>
      <w:bookmarkEnd w:id="72"/>
      <w:bookmarkEnd w:id="73"/>
      <w:bookmarkEnd w:id="74"/>
      <w:bookmarkEnd w:id="75"/>
      <w:bookmarkEnd w:id="76"/>
      <w:bookmarkEnd w:id="77"/>
    </w:p>
    <w:p>
      <w:pPr>
        <w:pStyle w:val="13"/>
        <w:pageBreakBefore w:val="0"/>
        <w:kinsoku/>
        <w:overflowPunct/>
        <w:autoSpaceDE/>
        <w:autoSpaceDN/>
        <w:bidi w:val="0"/>
        <w:spacing w:line="400" w:lineRule="exact"/>
        <w:ind w:firstLine="487" w:firstLineChars="202"/>
        <w:jc w:val="left"/>
        <w:rPr>
          <w:rFonts w:hint="eastAsia"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8</w:t>
      </w:r>
      <w:r>
        <w:rPr>
          <w:rFonts w:hint="eastAsia" w:ascii="宋体" w:hAnsi="宋体" w:eastAsia="宋体" w:cs="宋体"/>
          <w:b/>
          <w:bCs/>
          <w:kern w:val="0"/>
          <w:sz w:val="24"/>
          <w:szCs w:val="24"/>
          <w:lang w:val="en-US" w:eastAsia="zh-CN"/>
        </w:rPr>
        <w:t>.1 签订合同</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r>
        <w:rPr>
          <w:rFonts w:hint="eastAsia" w:ascii="宋体" w:hAnsi="宋体" w:eastAsia="宋体" w:cs="宋体"/>
          <w:kern w:val="0"/>
          <w:sz w:val="24"/>
          <w:szCs w:val="24"/>
          <w:lang w:val="en-US" w:eastAsia="zh-CN"/>
        </w:rPr>
        <w:t>.1.1采购人应在成交通知书发出后30日内，根据成交结果和磋商文件、响应文件及有关补遗文件和确认</w:t>
      </w:r>
      <w:r>
        <w:rPr>
          <w:rFonts w:hint="eastAsia" w:ascii="宋体" w:hAnsi="宋体" w:cs="宋体"/>
          <w:kern w:val="0"/>
          <w:sz w:val="24"/>
          <w:szCs w:val="24"/>
          <w:lang w:val="en-US" w:eastAsia="zh-CN"/>
        </w:rPr>
        <w:t>磋商</w:t>
      </w:r>
      <w:r>
        <w:rPr>
          <w:rFonts w:hint="eastAsia" w:ascii="宋体" w:hAnsi="宋体" w:eastAsia="宋体" w:cs="宋体"/>
          <w:kern w:val="0"/>
          <w:sz w:val="24"/>
          <w:szCs w:val="24"/>
          <w:lang w:val="en-US" w:eastAsia="zh-CN"/>
        </w:rPr>
        <w:t>备忘录拟定的合同文本与成交供应商签订项目合同。</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r>
        <w:rPr>
          <w:rFonts w:hint="eastAsia" w:ascii="宋体" w:hAnsi="宋体" w:eastAsia="宋体" w:cs="宋体"/>
          <w:kern w:val="0"/>
          <w:sz w:val="24"/>
          <w:szCs w:val="24"/>
          <w:lang w:val="en-US" w:eastAsia="zh-CN"/>
        </w:rPr>
        <w:t>.1.2采购人应按磋商文件要求和中标人的响应文件承诺订立书面合同，不得超出磋商文件和中标人响应文件的范围，也不得再另行订立背离合同实质性内容的其他协议。</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r>
        <w:rPr>
          <w:rFonts w:hint="eastAsia" w:ascii="宋体" w:hAnsi="宋体" w:eastAsia="宋体" w:cs="宋体"/>
          <w:kern w:val="0"/>
          <w:sz w:val="24"/>
          <w:szCs w:val="24"/>
          <w:lang w:val="en-US" w:eastAsia="zh-CN"/>
        </w:rPr>
        <w:t>.1.3采购人应在《中标通知书》发出之日起30天内与中标人签订政府采购合同。签订政府采购合同后7个工作日内，采购人应将政府采购合同副本报政府采购监管部门备案。</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8.1.4</w:t>
      </w:r>
      <w:r>
        <w:rPr>
          <w:rFonts w:hint="eastAsia" w:ascii="宋体" w:hAnsi="宋体" w:eastAsia="宋体" w:cs="宋体"/>
          <w:kern w:val="0"/>
          <w:sz w:val="24"/>
          <w:szCs w:val="24"/>
          <w:lang w:val="en-US" w:eastAsia="zh-CN"/>
        </w:rPr>
        <w:t>采购人如需追加与合同标的相同的货物或服务，在不改变合同其他条款的前提下，提交追加合同的申请报经财政部门审核后，可与中标人签订补充合同，但所有补充合同的采购金额不得超过原合同金额的百分之十。</w:t>
      </w:r>
    </w:p>
    <w:p>
      <w:pPr>
        <w:pStyle w:val="5"/>
        <w:pageBreakBefore w:val="0"/>
        <w:kinsoku/>
        <w:overflowPunct/>
        <w:autoSpaceDE/>
        <w:autoSpaceDN/>
        <w:bidi w:val="0"/>
        <w:spacing w:line="400" w:lineRule="exact"/>
        <w:rPr>
          <w:rFonts w:hint="eastAsia" w:cs="Times New Roman"/>
          <w:lang w:eastAsia="zh-CN"/>
        </w:rPr>
      </w:pPr>
      <w:bookmarkStart w:id="86" w:name="_Toc456291256"/>
      <w:bookmarkStart w:id="87" w:name="_Toc456291533"/>
      <w:bookmarkStart w:id="88" w:name="_Toc5694"/>
      <w:bookmarkStart w:id="89" w:name="_Toc456291475"/>
      <w:bookmarkStart w:id="90" w:name="_Toc7269"/>
      <w:bookmarkStart w:id="91" w:name="_Toc456291350"/>
      <w:bookmarkStart w:id="92" w:name="_Toc456291161"/>
      <w:bookmarkStart w:id="93" w:name="_Toc456291276"/>
      <w:r>
        <w:rPr>
          <w:rFonts w:hint="eastAsia" w:cs="Times New Roman"/>
          <w:lang w:eastAsia="zh-CN"/>
        </w:rPr>
        <w:t>九、质疑</w:t>
      </w:r>
      <w:bookmarkEnd w:id="86"/>
      <w:bookmarkEnd w:id="87"/>
      <w:bookmarkEnd w:id="88"/>
      <w:bookmarkEnd w:id="89"/>
      <w:bookmarkEnd w:id="90"/>
      <w:bookmarkEnd w:id="91"/>
      <w:bookmarkEnd w:id="92"/>
      <w:bookmarkEnd w:id="93"/>
    </w:p>
    <w:p>
      <w:pPr>
        <w:pStyle w:val="13"/>
        <w:pageBreakBefore w:val="0"/>
        <w:kinsoku/>
        <w:overflowPunct/>
        <w:autoSpaceDE/>
        <w:autoSpaceDN/>
        <w:bidi w:val="0"/>
        <w:spacing w:line="400" w:lineRule="exact"/>
        <w:ind w:firstLine="487" w:firstLineChars="202"/>
        <w:jc w:val="left"/>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9.1质疑</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9.1.1如果</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供应商对此次采购活动有疑问，可依据《政府采购法》、《政府采购质疑和投诉办法》等相关规定，在规定时间内以书面形式向采购人和采购代理机构提出质疑。质疑书应当包括下列主要内容（质疑函格式见附件）：</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①质疑人的名称、地址、电话等；</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②质疑人法人签章和单位公章；</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③具体的质疑事项及事实依据；</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④明确的请求和必要（合法来源）的证明材料；</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⑤以联合体形式参与</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的，则必须联合体各方共同签署、盖章；</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⑥提起质疑的日期。</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特注：未按上述程序规定的必备内容进行质疑的，政府采购机构将不予以受理。</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9.1.2成交公告期限届满之日起7个工作日内如有质疑的，采购人或采购代理机构将依法给与答复，并将结果告知所有当事人。</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9.1.3质疑供应商对采购人或采购代理机构答复不满意，可在15个工作日内向监管部门投诉。</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9.1.4</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供应商的质疑和投诉应有事实依据，若为无效投诉，监管部门将按有关规定给予处罚。</w:t>
      </w:r>
    </w:p>
    <w:p>
      <w:pPr>
        <w:pStyle w:val="5"/>
        <w:pageBreakBefore w:val="0"/>
        <w:kinsoku/>
        <w:overflowPunct/>
        <w:autoSpaceDE/>
        <w:autoSpaceDN/>
        <w:bidi w:val="0"/>
        <w:spacing w:line="400" w:lineRule="exact"/>
        <w:rPr>
          <w:rFonts w:hint="eastAsia" w:cs="Times New Roman"/>
          <w:lang w:eastAsia="zh-CN"/>
        </w:rPr>
      </w:pPr>
      <w:bookmarkStart w:id="94" w:name="_Toc456291534"/>
      <w:bookmarkStart w:id="95" w:name="_Toc456291162"/>
      <w:bookmarkStart w:id="96" w:name="_Toc11180"/>
      <w:bookmarkStart w:id="97" w:name="_Toc456291277"/>
      <w:bookmarkStart w:id="98" w:name="_Toc456291351"/>
      <w:bookmarkStart w:id="99" w:name="_Toc25716"/>
      <w:bookmarkStart w:id="100" w:name="_Toc456291257"/>
      <w:bookmarkStart w:id="101" w:name="_Toc456291476"/>
      <w:r>
        <w:rPr>
          <w:rFonts w:hint="eastAsia" w:cs="Times New Roman"/>
          <w:lang w:eastAsia="zh-CN"/>
        </w:rPr>
        <w:t>十、</w:t>
      </w:r>
      <w:bookmarkEnd w:id="94"/>
      <w:bookmarkEnd w:id="95"/>
      <w:bookmarkEnd w:id="96"/>
      <w:bookmarkEnd w:id="97"/>
      <w:bookmarkEnd w:id="98"/>
      <w:bookmarkEnd w:id="99"/>
      <w:bookmarkEnd w:id="100"/>
      <w:bookmarkEnd w:id="101"/>
      <w:r>
        <w:rPr>
          <w:rFonts w:hint="eastAsia" w:cs="Times New Roman"/>
          <w:lang w:eastAsia="zh-CN"/>
        </w:rPr>
        <w:t>纪律要求</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10.1对采购人的纪律要求</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采购人不得泄露</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采购活动中应当保密的情况和资料，不得与供应商串通损害国家利益、社会公共利益或者他人合法权益。</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10.2对供应商的纪律要求</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供应商不得相互串通或者与采购人串通，不得向采购人或者</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小组成员行贿谋取成交，不得以他人名义参加</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采购活动或者以其他方式弄虚作假骗取成交；供应商不得以任何方式干扰、影响评审工作。</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10.3对</w:t>
      </w:r>
      <w:r>
        <w:rPr>
          <w:rFonts w:hint="eastAsia" w:ascii="宋体" w:hAnsi="宋体" w:cs="宋体"/>
          <w:b/>
          <w:bCs/>
          <w:color w:val="auto"/>
          <w:sz w:val="24"/>
          <w:szCs w:val="24"/>
          <w:lang w:val="en-US" w:eastAsia="zh-CN"/>
        </w:rPr>
        <w:t>磋商</w:t>
      </w:r>
      <w:r>
        <w:rPr>
          <w:rFonts w:hint="eastAsia" w:ascii="宋体" w:hAnsi="宋体" w:eastAsia="宋体" w:cs="宋体"/>
          <w:b/>
          <w:bCs/>
          <w:color w:val="auto"/>
          <w:sz w:val="24"/>
          <w:szCs w:val="24"/>
          <w:lang w:val="en-US" w:eastAsia="zh-CN"/>
        </w:rPr>
        <w:t>小组成员的纪律要求</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小组成员不得收受他人的财务或者其他好处，不得向他人透露对响应文件的评审和比较、候选成交供应商的推荐情况以及评审有关的其他情况。在</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活动中，</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小组成员应当客观、公正地履行职责，遵守职业道德，不得擅离职守、影响</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工作的正常进行，不得使用第四章“评审办法”没有规定的评审因素和标准进行评审。</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10.4对与</w:t>
      </w:r>
      <w:r>
        <w:rPr>
          <w:rFonts w:hint="eastAsia" w:ascii="宋体" w:hAnsi="宋体" w:cs="宋体"/>
          <w:b/>
          <w:bCs/>
          <w:color w:val="auto"/>
          <w:sz w:val="24"/>
          <w:szCs w:val="24"/>
          <w:lang w:val="en-US" w:eastAsia="zh-CN"/>
        </w:rPr>
        <w:t>磋商</w:t>
      </w:r>
      <w:r>
        <w:rPr>
          <w:rFonts w:hint="eastAsia" w:ascii="宋体" w:hAnsi="宋体" w:eastAsia="宋体" w:cs="宋体"/>
          <w:b/>
          <w:bCs/>
          <w:color w:val="auto"/>
          <w:sz w:val="24"/>
          <w:szCs w:val="24"/>
          <w:lang w:val="en-US" w:eastAsia="zh-CN"/>
        </w:rPr>
        <w:t>活动有关的工作人员的纪律要求</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与</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活动有关的工作人员不得收受他人的财务或者其他好处，不得向他人透露对响应文件的评审和比较、候选成交供应商的推荐情况以及评审有关的其他情况。在</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活动中，与</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活动有关的工作人员不得擅离职守、影响</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工作的正常进行。</w:t>
      </w:r>
      <w:r>
        <w:rPr>
          <w:rFonts w:hint="eastAsia" w:ascii="宋体" w:hAnsi="宋体" w:eastAsia="宋体" w:cs="宋体"/>
          <w:color w:val="auto"/>
          <w:kern w:val="2"/>
          <w:sz w:val="24"/>
          <w:szCs w:val="24"/>
          <w:lang w:val="en-US" w:eastAsia="zh-CN" w:bidi="ar-SA"/>
        </w:rPr>
        <w:t xml:space="preserve">    </w:t>
      </w:r>
    </w:p>
    <w:p>
      <w:pPr>
        <w:pStyle w:val="5"/>
        <w:pageBreakBefore w:val="0"/>
        <w:kinsoku/>
        <w:overflowPunct/>
        <w:autoSpaceDE/>
        <w:autoSpaceDN/>
        <w:bidi w:val="0"/>
        <w:spacing w:line="400" w:lineRule="exact"/>
        <w:rPr>
          <w:rFonts w:hint="eastAsia" w:cs="Times New Roman"/>
          <w:lang w:eastAsia="zh-CN"/>
        </w:rPr>
      </w:pPr>
      <w:r>
        <w:rPr>
          <w:rFonts w:hint="eastAsia" w:cs="Times New Roman"/>
          <w:lang w:eastAsia="zh-CN"/>
        </w:rPr>
        <w:t>十一、需要补充的其他内容</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8"/>
          <w:highlight w:val="cyan"/>
        </w:rPr>
      </w:pPr>
      <w:r>
        <w:rPr>
          <w:rFonts w:hint="eastAsia" w:ascii="宋体" w:hAnsi="宋体" w:eastAsia="宋体" w:cs="宋体"/>
          <w:color w:val="auto"/>
          <w:sz w:val="24"/>
          <w:szCs w:val="24"/>
          <w:lang w:val="en-US" w:eastAsia="zh-CN"/>
        </w:rPr>
        <w:t>需要补充的其他内容：详见供应商须知前附表</w:t>
      </w:r>
    </w:p>
    <w:p>
      <w:pPr>
        <w:pStyle w:val="2"/>
        <w:ind w:left="0" w:leftChars="0" w:firstLine="0" w:firstLineChars="0"/>
        <w:rPr>
          <w:rFonts w:hint="eastAsia" w:ascii="宋体" w:hAnsi="宋体" w:eastAsia="宋体" w:cs="宋体"/>
          <w:color w:val="auto"/>
          <w:sz w:val="28"/>
          <w:highlight w:val="cyan"/>
        </w:rPr>
      </w:pPr>
    </w:p>
    <w:p>
      <w:pPr>
        <w:pStyle w:val="2"/>
        <w:ind w:left="0" w:leftChars="0" w:firstLine="0" w:firstLineChars="0"/>
        <w:rPr>
          <w:rFonts w:hint="eastAsia" w:ascii="宋体" w:hAnsi="宋体" w:eastAsia="宋体" w:cs="宋体"/>
          <w:color w:val="auto"/>
          <w:sz w:val="28"/>
          <w:highlight w:val="cyan"/>
        </w:rPr>
      </w:pPr>
    </w:p>
    <w:p>
      <w:pPr>
        <w:pStyle w:val="2"/>
        <w:ind w:left="0" w:leftChars="0" w:firstLine="0" w:firstLineChars="0"/>
        <w:rPr>
          <w:rFonts w:hint="eastAsia"/>
        </w:rPr>
      </w:pPr>
    </w:p>
    <w:p>
      <w:pPr>
        <w:pStyle w:val="79"/>
        <w:rPr>
          <w:rFonts w:hint="eastAsia" w:ascii="宋体" w:hAnsi="宋体" w:eastAsia="宋体" w:cs="宋体"/>
          <w:color w:val="auto"/>
          <w:sz w:val="24"/>
          <w:lang w:eastAsia="zh-CN"/>
        </w:rPr>
      </w:pPr>
      <w:r>
        <w:rPr>
          <w:rFonts w:hint="eastAsia" w:ascii="宋体" w:hAnsi="宋体" w:eastAsia="宋体" w:cs="宋体"/>
          <w:color w:val="auto"/>
          <w:sz w:val="24"/>
          <w:lang w:eastAsia="zh-CN"/>
        </w:rPr>
        <w:t>附件：</w:t>
      </w:r>
    </w:p>
    <w:p>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质疑函范本</w:t>
      </w:r>
    </w:p>
    <w:p>
      <w:pPr>
        <w:adjustRightInd w:val="0"/>
        <w:snapToGrid w:val="0"/>
        <w:spacing w:before="312" w:beforeLines="100"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一、质疑供应商基本信息</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质疑供应商：</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授权代表：</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地址： </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二、质疑项目基本情况</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质疑项目的名称：</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质疑项目的编号：</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包号：</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采购人名称：</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采购文件获取日期：</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三、质疑事项具体内容</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质疑事项1：</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事实依据：</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法律依据：</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质疑事项2</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四、与质疑事项相关的质疑请求</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请求：</w:t>
      </w:r>
      <w:r>
        <w:rPr>
          <w:rFonts w:hint="eastAsia" w:ascii="宋体" w:hAnsi="宋体" w:eastAsia="宋体" w:cs="宋体"/>
          <w:color w:val="auto"/>
          <w:sz w:val="24"/>
          <w:szCs w:val="24"/>
          <w:u w:val="dotted"/>
        </w:rPr>
        <w:t xml:space="preserve">                                                                     </w:t>
      </w: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签字(签章)：                   公章：                      </w:t>
      </w: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日期：    </w:t>
      </w:r>
    </w:p>
    <w:p>
      <w:pPr>
        <w:spacing w:line="40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质疑函制作说明：</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1.供应商提出质疑时，应提交质疑函和必要的证明材料。</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rPr>
        <w:t>供应商签署的授权委托书。授权委托书应载明代理人的姓名或者名称、代理事项、具体权限、期限和相关事项。</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3.质疑供应商若对项目的某一分包进行质疑，质疑函中应列明具体分包号。</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4.质疑函的质疑事项应具体、明确，并有必要的事实依据和法律依据。</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5.质疑函的质疑请求应与质疑事项相关。</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6.质疑供应商为自然人的，质疑函应由本人签字；质疑供应商为法人或者其他组织的，质疑函应由法定代表人、主要负责人，或者其授权代表签字或者盖章，并加盖公章。</w:t>
      </w: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4"/>
        <w:numPr>
          <w:ilvl w:val="0"/>
          <w:numId w:val="2"/>
        </w:numPr>
        <w:spacing w:before="0" w:after="0" w:line="240" w:lineRule="auto"/>
        <w:ind w:left="0" w:leftChars="0"/>
        <w:rPr>
          <w:rFonts w:hint="eastAsia"/>
        </w:rPr>
      </w:pPr>
      <w:bookmarkStart w:id="102" w:name="_Toc293736062"/>
      <w:bookmarkStart w:id="103" w:name="_Toc293739000"/>
      <w:bookmarkStart w:id="104" w:name="_Toc293736019"/>
      <w:bookmarkStart w:id="105" w:name="_Toc446599321"/>
      <w:bookmarkStart w:id="106" w:name="_Toc28105"/>
      <w:bookmarkStart w:id="107" w:name="_Toc28752"/>
      <w:bookmarkStart w:id="108" w:name="_Toc446599322"/>
      <w:bookmarkStart w:id="109" w:name="_Toc293736063"/>
      <w:bookmarkStart w:id="110" w:name="_Toc293739001"/>
      <w:bookmarkStart w:id="111" w:name="_Toc293736020"/>
      <w:r>
        <w:rPr>
          <w:rFonts w:hint="eastAsia"/>
          <w:lang w:val="en-US" w:eastAsia="zh-CN"/>
        </w:rPr>
        <w:t xml:space="preserve"> </w:t>
      </w:r>
      <w:bookmarkStart w:id="112" w:name="_Toc21897"/>
      <w:bookmarkStart w:id="113" w:name="_Toc24870"/>
      <w:r>
        <w:rPr>
          <w:rFonts w:hint="eastAsia"/>
        </w:rPr>
        <w:t>采购</w:t>
      </w:r>
      <w:bookmarkEnd w:id="102"/>
      <w:bookmarkEnd w:id="103"/>
      <w:bookmarkEnd w:id="104"/>
      <w:bookmarkStart w:id="114" w:name="_Toc294515580"/>
      <w:r>
        <w:rPr>
          <w:rFonts w:hint="eastAsia"/>
        </w:rPr>
        <w:t>需求</w:t>
      </w:r>
      <w:bookmarkEnd w:id="105"/>
      <w:bookmarkEnd w:id="106"/>
      <w:bookmarkEnd w:id="107"/>
      <w:bookmarkEnd w:id="112"/>
      <w:bookmarkEnd w:id="113"/>
    </w:p>
    <w:bookmarkEnd w:id="114"/>
    <w:p>
      <w:pPr>
        <w:pStyle w:val="5"/>
        <w:pageBreakBefore w:val="0"/>
        <w:widowControl w:val="0"/>
        <w:kinsoku/>
        <w:wordWrap/>
        <w:overflowPunct/>
        <w:topLinePunct w:val="0"/>
        <w:autoSpaceDE/>
        <w:autoSpaceDN/>
        <w:bidi w:val="0"/>
        <w:adjustRightInd/>
        <w:snapToGrid/>
        <w:spacing w:line="400" w:lineRule="exact"/>
        <w:jc w:val="left"/>
        <w:textAlignment w:val="auto"/>
        <w:rPr>
          <w:rFonts w:hint="eastAsia" w:eastAsia="宋体" w:cs="宋体"/>
          <w:b/>
          <w:bCs/>
          <w:color w:val="auto"/>
          <w:sz w:val="24"/>
          <w:szCs w:val="24"/>
          <w:lang w:val="en-US" w:eastAsia="zh-CN"/>
        </w:rPr>
      </w:pPr>
      <w:bookmarkStart w:id="115" w:name="_Toc28106"/>
      <w:r>
        <w:rPr>
          <w:rFonts w:hint="eastAsia" w:eastAsia="宋体" w:cs="宋体"/>
          <w:b/>
          <w:bCs/>
          <w:color w:val="auto"/>
          <w:sz w:val="24"/>
          <w:szCs w:val="24"/>
          <w:lang w:val="en-US" w:eastAsia="zh-CN"/>
        </w:rPr>
        <w:t>一、项目概况</w:t>
      </w:r>
      <w:bookmarkEnd w:id="115"/>
    </w:p>
    <w:p>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sz w:val="24"/>
          <w:szCs w:val="24"/>
          <w:lang w:val="en-US" w:eastAsia="zh-CN"/>
        </w:rPr>
        <w:t>本工程为乌什县殡仪馆火化设施及设备采购项目；火化间建筑面积132.02㎡，建筑高度为8.15m，结构形式为框架结构。</w:t>
      </w:r>
    </w:p>
    <w:p>
      <w:pPr>
        <w:pStyle w:val="5"/>
        <w:pageBreakBefore w:val="0"/>
        <w:widowControl w:val="0"/>
        <w:kinsoku/>
        <w:wordWrap/>
        <w:overflowPunct/>
        <w:topLinePunct w:val="0"/>
        <w:autoSpaceDE/>
        <w:autoSpaceDN/>
        <w:bidi w:val="0"/>
        <w:adjustRightInd/>
        <w:snapToGrid/>
        <w:spacing w:line="400" w:lineRule="exact"/>
        <w:jc w:val="left"/>
        <w:textAlignment w:val="auto"/>
        <w:rPr>
          <w:rFonts w:hint="eastAsia" w:eastAsia="宋体" w:cs="宋体"/>
          <w:b/>
          <w:bCs/>
          <w:color w:val="auto"/>
          <w:sz w:val="24"/>
          <w:szCs w:val="24"/>
          <w:lang w:val="en-US" w:eastAsia="zh-CN"/>
        </w:rPr>
      </w:pPr>
      <w:bookmarkStart w:id="116" w:name="_Toc17536"/>
      <w:r>
        <w:rPr>
          <w:rFonts w:hint="eastAsia" w:eastAsia="宋体" w:cs="宋体"/>
          <w:b/>
          <w:bCs/>
          <w:color w:val="auto"/>
          <w:sz w:val="24"/>
          <w:szCs w:val="24"/>
          <w:lang w:val="en-US" w:eastAsia="zh-CN"/>
        </w:rPr>
        <w:t>二、工程量清单</w:t>
      </w:r>
      <w:bookmarkEnd w:id="116"/>
    </w:p>
    <w:p>
      <w:pPr>
        <w:widowControl/>
        <w:spacing w:line="400" w:lineRule="exact"/>
        <w:ind w:firstLine="480" w:firstLineChars="200"/>
        <w:jc w:val="left"/>
        <w:rPr>
          <w:rFonts w:hint="eastAsia"/>
          <w:lang w:val="en-US" w:eastAsia="zh-CN"/>
        </w:rPr>
      </w:pPr>
      <w:r>
        <w:rPr>
          <w:rFonts w:hint="eastAsia" w:ascii="宋体" w:hAnsi="宋体" w:eastAsia="宋体" w:cs="宋体"/>
          <w:color w:val="auto"/>
          <w:sz w:val="24"/>
          <w:szCs w:val="24"/>
          <w:lang w:val="en-US" w:eastAsia="zh-CN"/>
        </w:rPr>
        <w:t>工程量清单表格</w:t>
      </w:r>
      <w:r>
        <w:rPr>
          <w:rFonts w:hint="eastAsia" w:ascii="宋体" w:hAnsi="宋体" w:cs="宋体"/>
          <w:color w:val="auto"/>
          <w:sz w:val="24"/>
          <w:szCs w:val="24"/>
          <w:lang w:val="en-US" w:eastAsia="zh-CN"/>
        </w:rPr>
        <w:t>（另册）</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 工程量清单说明</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本工程量清单是根据</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 本工程量清单应与</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文件中的投标人须知、合同条款、技术标准和要求及图纸等一起阅读和理解。</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 本工程量清单仅是投标报价的共同基础，实际工程计量和工程价款的支付应遵循合同条款的约定和技术标准和要求的有关规定。</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 补充子目工程量计算规则及子目工作内容说明：按有合同约束力的图纸所标示尺寸的理论净值计算（详见工程量清单）。</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1.5本条第1.1款中约定的计量和计价规则适用于合同履约过程中工程量计量与价款支付、工程变更、索赔和工程结算。</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 本条与下述第2条和第3条的说明内容是构成合同文件的已标价工程量清单的组成部分。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 投标报价说明</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2.1投标报价应根据</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文件中的有关计价要求，并按照下列依据自主报价。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  本</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  《建设工程工程量清单计价规范》；</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  国家或省级、行业建设主管部门颁发的计价办法；</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  企业定额，国家或省级、行业建设主管部门颁发的计价定额；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  </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文件(包括工程量清单)的澄清、补充和修改文件；</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  建设工程设计文件及相关资料；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  施工现场情况、工程特点及拟定的投标施工组织设计或施工方案；</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  与建设项目相关的标准、规定等技术资料；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  市场价格信息或工程造价管理机构发布的工程造价信息；</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 其他的相关资料。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 工程量清单中的每一子目须填入单价或价格，且只允许有一个报价。工程量清单中投标人没有填入单价或价格的子目，其费用视为已分摊在工程量清单中其他相关子目的单价或价格之中。</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2.3工程量清单中标价的单价或金额，应包括所需人工费、材料费、施工机械使用费和管理费及利润，以及一定范围内的风险费用。所谓“一定范围内的风险”是指合同约定的风险。</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 投标总报价为投标人完成招标范围所述的全部工程内容的体现和完成该工程项目的成本、管理费、技术措施费、利润、风险费及政策性文件规定的不可竞争费用、规费和税金等所有费用，以及所有根据合同或其它原因由投标人支付的税金和其它应缴纳的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 “投标报价汇总表”中的投标总价由分部分项工程费、措施项目费、其他项目费、规费和税金组成，并且“投标报价汇总表”中的投标总价应当与构成已标价工程量清单的分部分项工程费、措施项目费、其他项目费、规费、税金的合计金额一致。投标人应依据《 建设工程工程量清单计价规范》（GB50500—2013）、企业定额及当地市场因素及工程特点等报出综合单价。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2.5.1除非招标人对</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文件予以修改，投标人必须按照招标人提供的分部分项工程量清单，列出分部分项工程量的综合单价和合价。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2.5.2 投标人在进行工程量清单单价合同方式招标的投标报价时，不能进行投标总价优惠（或降价、让利），投标人对投标报价的任何优惠（或降价、让利）均应反映在相应清单项目的综合单价中。不得出现任意一项单价重大让利，低于成本报价。投标人不得以自有机械闲置、自有材料等不计成本为由进行投标报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2.5.3 每一分项只允许有一个报价，任何有选择的报价将不予接受。投标人未填列综合单价或合价的分项工程，在实施后，招标人将不予以支付，并视为该项费用已包括在其他有价款的综合单价或合价内。由于承包人自行计算错误或漏报的，将不再给予调整。</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2.5.4 分部分项工程量清单已包括本投标人须知前附表第1.3.1条确定的本项目招标范围内施工图全部内容，并须在招标过程中经投标人提出质询，招标人以答疑的形式确认，结算工程量以完成的实体量为准。中标人由于自身原因造成工程量的增加不以任何形式调增。分部分项工程量调整按照以下方法调整：</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已标价工程量清单中有适用于变更工作的子目的，采用该子目的单价。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已标价工程量清单中无适用于变更工作的子目，但有类似子目的，可在合理范围内参照类似子目的单价，由监理人按第3.5 款商定或确定变更工作的单价。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已标价工程量清单中无适用或类似子目的单价，可按照成本加利润的原则，由监理人按通用条款第3.5 款商定或确定变更工作的单价。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2.6分部分项工程项目按下列要求报价：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2.6.1  分部分项工程量清单计价应依据计价规范中关于综合单价的组成内容确定报价。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2.6.2  如果分部分项工程量清单中涉及“材料（工程设备）暂估单价及调整表”中列出的材料和工程设备，则应将该类材料和工程设备的暂估单价本身以及除对应的规费及税金以外的费用计入分部分项工程量清单相应子目的综合单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2.6.3  如果分部分项工程量清单中涉及“发包人提供的材料和工程设备一览表”(见第四章合同条款及格式附件2)中列出的材料和工程设备，则该类材料和工程设备供应至现场指定位置的采购供应价本身不计入投标报价，但应将该类材料和工程设备的安装、安装所需要的辅助材料、安装损耗以及其他必要的辅助工作及其对应的管理费及利润计入分部分项工程量清单相应子目的综合单价，并其他项目清单报价中计取与合同约定服务内容相对应的总承包服务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2.6.4  “分部分项工程和单价措施项目清单与计价表”所列各子目的综合单价组成中，各子目的人工、材料和机械台班消耗量由投标人按照其自身情况做充分的、竞争性考虑。材料消耗量包括损耗量。</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2.6.5  投标人在投标文件中提交并构成合同文件的“主要材料和工程设备选用表”中所列的材料和工程设备的价格是指此类材料和工程设备到达施工现场指定堆放地点的落地价格，即包括采购、包装、运输、装卸、堆放等到达施工现场指定落地或堆放地点之前的全部费用，但不包括落地之后发生的仓储、保管、库损以及从堆放地点运至安装地点的二次搬运费用。“主要材料和工程设备选用表”中所列材料和工程设备的价格应与构成综合单价相应材料或工程设备的价格一致。落地之后发生的仓储、保管、库损以及从堆放地点运至安装地点的二次搬运等其他费用均应在投标报价中考虑。</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    措施项目按下列要求报价：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2.7.1  措施项目清单计价应根据投标人的施工组织设计进行报价。可以计量工程量的措施项目，应按分部分项工程量清单的方式采用综合单价计价；其余的措施项目可以“项”为单位的方式计价。投标人所填报价格应包括除规费、税金外的全部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2.7.2  措施项目清单中的安全文明施工费不得作为竞争性费用。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2.7.3  招标人提供的措施项目清单中所列项目仅指一般的通用项目，投标人在报价时应充分、全面地阅读和理解</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的相关内容和约定，包括第七章“技术标准和要求”的相关约定，详实了解工程场地及其周围环境，充分考虑招标工程特点及拟定的施工方案和施工组织设计，对招标人给出的措施项目清单的内容进行细化或增减。</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2.7.4  “总价措施项目清单与计价表”中所填写的报价金额，应全面涵盖</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文件约定的投标人中标后施工、竣工、交付本工程并维修其任何缺陷所需要履行的责任和义务的全部费用。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2.8其他项目清单费应按下列规定报价：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2.8.1  暂列金额按“暂列金额明细表”中列出的金额报价，此处的暂列金额是招标人在</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文件中统一给定的，并不包括本章第2.8.3项的计日工金额。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2.8.2  暂估价分为材料和工程设备暂估单价和专业工程暂估价两类。其中的材料和工程设备暂估单价进入分部分项工程量清单之综合单价，不在其他项目清单中汇总；专业工程暂估价直接按“专业工程暂估价及结算表”中列出的金额计入其他项目清单报价。中标后，凡给出暂估价的材料，中标单位需要进行采购时，须由招标单位与中标单位双方共同询价确定材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2.8.3  计日工按“计日工表”中列出的子目和估算数量，自主确定综合单价并计算计日工金额。计日工综合单价均不包括规费和税金，其中：</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  劳务单价应当包括工人工资、交通费用、各种补贴、劳动安全保护、社保费用、手提手动和电动工器具、施工场地内已经搭设的脚手架、水电和低值易耗品费用、现场管理费用、企业管理费和利润；</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  材料价格包括材料运到现场的价格以及现场搬运、仓储、二次搬运、损耗、保险、企业管理费和利润，但不包括规费和税金。</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  施工机械限于在施工场地(现场)的机械设备，其价格包括租赁或折旧、维修、维护和燃油等消耗品以及操作人员费用，包括承包人企业管理费和利润，但不包括规费和税金。辅助人员按劳务价格另计。</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2.8.4 总承包服务费各投标人根据</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文件中列出的内容和要求，按本</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文件的“总承包服务费计价表”中自报费率并计算金额。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 规费和税金应按“规费、税金项目计价表”所列项目不得作为竞争性费用。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2.10  除</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文件有强制性规定以及不可竞争部分以外，投标报价由投标人自主确定，但不得低于其成本。</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2.11  工程量清单计价所涉及的生产资源(包括各类人工、材料、工程设备、施工设备、临时设施、临时用水、临时用电等)的投标价格，应根据自身的信息渠道和采购渠道，分析其市场价格水平并判断其整个施工周期内的变化趋势，体现投标人自身的管理水平、技术水平和综合实力。</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2.12  管理费应由投标人在保证不低于其成本的基础上做竞争性考虑；利润由投标人根据自身情况和综合实力做竞争性考虑。</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2.13  投标报价中应考虑</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文件中要求投标人承担的风险范围以及相关的费用。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2.14  投标总价为投标人在投标文件中提出的各项支付金额的总和，为实施、完成招标工程并修补缺陷以及履行</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文件中约定的风险范围内的所有责任和义务所发生的全部费用。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2.15  有关投标报价的其他说明：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 其他说明</w:t>
      </w:r>
    </w:p>
    <w:p>
      <w:pPr>
        <w:widowControl/>
        <w:spacing w:line="400" w:lineRule="exact"/>
        <w:ind w:firstLine="480" w:firstLineChars="200"/>
        <w:jc w:val="left"/>
        <w:rPr>
          <w:rFonts w:hint="default"/>
          <w:lang w:val="en-US" w:eastAsia="zh-CN"/>
        </w:rPr>
      </w:pPr>
      <w:r>
        <w:rPr>
          <w:rFonts w:hint="eastAsia" w:ascii="宋体" w:hAnsi="宋体" w:eastAsia="宋体" w:cs="宋体"/>
          <w:color w:val="auto"/>
          <w:sz w:val="24"/>
          <w:szCs w:val="24"/>
          <w:lang w:val="en-US" w:eastAsia="zh-CN"/>
        </w:rPr>
        <w:t>3.1 投标人应先到工地踏勘以及充分了解工地位置、情况、道路、储存空间、装卸限制及任何其他足以影响承包价的情况，任何因忽视或误解工地情况而导致的索赔或工期延长申请将不被批准。</w:t>
      </w:r>
    </w:p>
    <w:p>
      <w:pPr>
        <w:pStyle w:val="5"/>
        <w:pageBreakBefore w:val="0"/>
        <w:widowControl w:val="0"/>
        <w:kinsoku/>
        <w:wordWrap/>
        <w:overflowPunct/>
        <w:topLinePunct w:val="0"/>
        <w:autoSpaceDE/>
        <w:autoSpaceDN/>
        <w:bidi w:val="0"/>
        <w:adjustRightInd/>
        <w:snapToGrid/>
        <w:spacing w:line="400" w:lineRule="exact"/>
        <w:jc w:val="left"/>
        <w:textAlignment w:val="auto"/>
        <w:rPr>
          <w:rFonts w:hint="eastAsia" w:eastAsia="宋体" w:cs="宋体"/>
          <w:b/>
          <w:bCs/>
          <w:color w:val="auto"/>
          <w:sz w:val="24"/>
          <w:szCs w:val="24"/>
          <w:lang w:val="en-US" w:eastAsia="zh-CN"/>
        </w:rPr>
      </w:pPr>
      <w:bookmarkStart w:id="117" w:name="_Toc30143"/>
      <w:r>
        <w:rPr>
          <w:rFonts w:hint="eastAsia" w:eastAsia="宋体" w:cs="宋体"/>
          <w:b/>
          <w:bCs/>
          <w:color w:val="auto"/>
          <w:sz w:val="24"/>
          <w:szCs w:val="24"/>
          <w:lang w:val="en-US" w:eastAsia="zh-CN"/>
        </w:rPr>
        <w:t>三、技术标准和要求</w:t>
      </w:r>
      <w:bookmarkEnd w:id="117"/>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1.工程说明</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工程概况</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l.1.1 本工程基本情况如下：</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工程名称：</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乌什县殡仪馆火化设施及设备采购项目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建设规模： </w:t>
      </w:r>
      <w:r>
        <w:rPr>
          <w:rFonts w:hint="eastAsia" w:ascii="宋体" w:hAnsi="宋体" w:eastAsia="宋体" w:cs="宋体"/>
          <w:color w:val="auto"/>
          <w:sz w:val="24"/>
          <w:szCs w:val="24"/>
          <w:u w:val="single"/>
          <w:lang w:val="en-US" w:eastAsia="zh-CN"/>
        </w:rPr>
        <w:t>详见发包人提供资料</w:t>
      </w:r>
      <w:r>
        <w:rPr>
          <w:rFonts w:hint="eastAsia" w:ascii="宋体" w:hAnsi="宋体" w:eastAsia="宋体" w:cs="宋体"/>
          <w:color w:val="auto"/>
          <w:sz w:val="24"/>
          <w:szCs w:val="24"/>
          <w:lang w:val="en-US" w:eastAsia="zh-CN"/>
        </w:rPr>
        <w:t xml:space="preserve">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结构类型: </w:t>
      </w:r>
      <w:r>
        <w:rPr>
          <w:rFonts w:hint="eastAsia" w:ascii="宋体" w:hAnsi="宋体" w:eastAsia="宋体" w:cs="宋体"/>
          <w:color w:val="auto"/>
          <w:sz w:val="24"/>
          <w:szCs w:val="24"/>
          <w:u w:val="single"/>
          <w:lang w:val="en-US" w:eastAsia="zh-CN"/>
        </w:rPr>
        <w:t xml:space="preserve"> 详见发包人提供资料</w:t>
      </w:r>
      <w:r>
        <w:rPr>
          <w:rFonts w:hint="eastAsia" w:ascii="宋体" w:hAnsi="宋体" w:eastAsia="宋体" w:cs="宋体"/>
          <w:color w:val="auto"/>
          <w:sz w:val="24"/>
          <w:szCs w:val="24"/>
          <w:lang w:val="en-US" w:eastAsia="zh-CN"/>
        </w:rPr>
        <w:t xml:space="preserve">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 本工程施工场地(现场)具体地理位置如下：</w:t>
      </w:r>
      <w:r>
        <w:rPr>
          <w:rFonts w:hint="eastAsia" w:ascii="宋体" w:hAnsi="宋体" w:eastAsia="宋体" w:cs="宋体"/>
          <w:color w:val="auto"/>
          <w:sz w:val="24"/>
          <w:szCs w:val="24"/>
          <w:u w:val="single"/>
          <w:lang w:val="en-US" w:eastAsia="zh-CN"/>
        </w:rPr>
        <w:t xml:space="preserve">  详见发包人提供资料 </w:t>
      </w:r>
      <w:r>
        <w:rPr>
          <w:rFonts w:hint="eastAsia" w:ascii="宋体" w:hAnsi="宋体" w:eastAsia="宋体" w:cs="宋体"/>
          <w:color w:val="auto"/>
          <w:sz w:val="24"/>
          <w:szCs w:val="24"/>
          <w:lang w:val="en-US" w:eastAsia="zh-CN"/>
        </w:rPr>
        <w:t xml:space="preserve">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  现场条件和周围环境</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1.2.1 本工程施工场地(现场)已经具备施工条件。施工场地(现场)临时水源接口位置、临时电源接口位置、临时排污口位置、建筑红线位置、道路交通和出入口、以及施工场地(现场)和周围环境等情况。</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1.2.2施工场地(现场)临时供水管径：</w:t>
      </w:r>
      <w:r>
        <w:rPr>
          <w:rFonts w:hint="eastAsia" w:ascii="宋体" w:hAnsi="宋体" w:eastAsia="宋体" w:cs="宋体"/>
          <w:color w:val="auto"/>
          <w:sz w:val="24"/>
          <w:szCs w:val="24"/>
          <w:u w:val="single"/>
          <w:lang w:val="en-US" w:eastAsia="zh-CN"/>
        </w:rPr>
        <w:t xml:space="preserve">    详见发包人提供资料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施工场地(现场)临时排污管径：</w:t>
      </w:r>
      <w:r>
        <w:rPr>
          <w:rFonts w:hint="eastAsia" w:ascii="宋体" w:hAnsi="宋体" w:eastAsia="宋体" w:cs="宋体"/>
          <w:color w:val="auto"/>
          <w:sz w:val="24"/>
          <w:szCs w:val="24"/>
          <w:u w:val="single"/>
          <w:lang w:val="en-US" w:eastAsia="zh-CN"/>
        </w:rPr>
        <w:t xml:space="preserve">   详见发包人提供资料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施工场地(现场)临时雨水管径：</w:t>
      </w:r>
      <w:r>
        <w:rPr>
          <w:rFonts w:hint="eastAsia" w:ascii="宋体" w:hAnsi="宋体" w:eastAsia="宋体" w:cs="宋体"/>
          <w:color w:val="auto"/>
          <w:sz w:val="24"/>
          <w:szCs w:val="24"/>
          <w:u w:val="single"/>
          <w:lang w:val="en-US" w:eastAsia="zh-CN"/>
        </w:rPr>
        <w:t xml:space="preserve">   详见发包人提供资料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施工现场临时供电容量(变压器输出功率)：</w:t>
      </w:r>
      <w:r>
        <w:rPr>
          <w:rFonts w:hint="eastAsia" w:ascii="宋体" w:hAnsi="宋体" w:eastAsia="宋体" w:cs="宋体"/>
          <w:color w:val="auto"/>
          <w:sz w:val="24"/>
          <w:szCs w:val="24"/>
          <w:u w:val="single"/>
          <w:lang w:val="en-US" w:eastAsia="zh-CN"/>
        </w:rPr>
        <w:t xml:space="preserve">   详见发包人提供资料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 现场条件和周围环境的其他资料和信息数据如下：各投标单位应认真踏勘工程现场，熟悉施工现场及周围地形、地貌、水文、地质、周围交通道路、地下管线等情况，发包方负责提供招标图纸、地质资料（包括地下管线、构筑物、道路等情况），投标单位应核实上述资料以获得一切可能影响合同价款的直接资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1.2.4 承包人被认为已在本工程投标阶段踏勘现场时充分了解本工程现场条件和周围环境，并已在其投标时就此给予了充分的考虑。</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 地质及水文资料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 现场地质及水文资料和信息数据如下：</w:t>
      </w:r>
      <w:r>
        <w:rPr>
          <w:rFonts w:hint="eastAsia" w:ascii="宋体" w:hAnsi="宋体" w:eastAsia="宋体" w:cs="宋体"/>
          <w:color w:val="auto"/>
          <w:sz w:val="24"/>
          <w:szCs w:val="24"/>
          <w:u w:val="single"/>
          <w:lang w:val="en-US" w:eastAsia="zh-CN"/>
        </w:rPr>
        <w:t xml:space="preserve"> 开工时提供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 资料和信息的使用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 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2.承包范围</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 承包范围</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2.1.1 承包人自行施工范围：</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本工程承包人自行施工的工程范围如下：/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2.1.2 承包范围内的暂估价项目</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2.1.2.1 承包范围内以暂估价形式实施的专业工程见电子竞争性</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文件XML清单中相应内容。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2.1.2.2 承包范围内以暂估价形式实施的材料和工程设备见电子竞争性</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文件XML清单中相应内容。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2.1.3 承包范围内的暂列金额项目：</w:t>
      </w:r>
      <w:r>
        <w:rPr>
          <w:rFonts w:hint="eastAsia" w:ascii="宋体" w:hAnsi="宋体" w:eastAsia="宋体" w:cs="宋体"/>
          <w:color w:val="auto"/>
          <w:sz w:val="24"/>
          <w:szCs w:val="24"/>
          <w:u w:val="single"/>
          <w:lang w:val="en-US" w:eastAsia="zh-CN"/>
        </w:rPr>
        <w:t xml:space="preserve"> 详见发包人提供资料  。</w:t>
      </w:r>
      <w:r>
        <w:rPr>
          <w:rFonts w:hint="eastAsia" w:ascii="宋体" w:hAnsi="宋体" w:eastAsia="宋体" w:cs="宋体"/>
          <w:color w:val="auto"/>
          <w:sz w:val="24"/>
          <w:szCs w:val="24"/>
          <w:u w:val="single"/>
          <w:lang w:val="en-US" w:eastAsia="zh-CN"/>
        </w:rPr>
        <w:tab/>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 发包人发包专业工程和发包人供应的材料和工程设备</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2.2.1 由发包人发包的专业工程属于与本工程有关的其他工程，不属于承包人的承包范围。发包人发包的专业工程如下：</w:t>
      </w:r>
      <w:r>
        <w:rPr>
          <w:rFonts w:hint="eastAsia" w:ascii="宋体" w:hAnsi="宋体" w:eastAsia="宋体" w:cs="宋体"/>
          <w:color w:val="auto"/>
          <w:sz w:val="24"/>
          <w:szCs w:val="24"/>
          <w:u w:val="single"/>
          <w:lang w:val="en-US" w:eastAsia="zh-CN"/>
        </w:rPr>
        <w:t xml:space="preserve">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2.2.2 由发包人供应的材料和工程设备不属于承包人的承包范围。</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  承包人与发包人发包专业工程承包人的工作界面</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2.3.1 承包人与发包人发包专业工程承包人以及与发包人供应的材料和设备的投标人之间的工作界面划分如下：</w:t>
      </w:r>
      <w:r>
        <w:rPr>
          <w:rFonts w:hint="eastAsia" w:ascii="宋体" w:hAnsi="宋体" w:eastAsia="宋体" w:cs="宋体"/>
          <w:color w:val="auto"/>
          <w:sz w:val="24"/>
          <w:szCs w:val="24"/>
          <w:u w:val="single"/>
          <w:lang w:val="en-US" w:eastAsia="zh-CN"/>
        </w:rPr>
        <w:t>无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 承包人需要为发包人和监理人提供的现场办公条件和设施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2.4.1 承包人需要为发包人和监理人提供的现场办公条件和设施及其详细要求如下：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3.工期要求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合同工期</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本工程合同工期和计划开、竣工日期为承包人在响应函附录中承诺的工期和计划开、竣工日期，并在合同协议书中载明。</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 关于工期的一般规定</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3.2.1 承包人在响应函中承诺的工期和计划开、竣工日期之间发生矛盾或者不一致时，以承包人承诺的工期为准。实际开工日期以通用合同条款对应内容约定的监理人发出的开工通知中载明的开工日期为准。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3.2.2 如果承包人在响应函附录中承诺的工期提前于发包人在本工程竞争性</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承包人在响应函附录中所承诺的工期应当包括实施并完成本节上述2.1.2项规定的暂估价项目和上述2.1.3项规定的实际可能发生的暂列金额在内的所有工作的工期。</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4.质量要求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质量标准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4.1.1 本工程要求的质量标准为符合现行国家有关工程施工验收规范和标准的要求合格。</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特殊质量要求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4.2.1 有关本工程质量方面的特殊要求如下：无。</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5.适用规范和标准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适用的规范、标准和规程</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5.1.1 除合同另有约定外，本工程适用现行国家、行业和地方规范、标准和规程。适用于本工程的国家、行业和地方的规范、标准和规范等的名录见本章第二节。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构成合同文件的任何内容与适用的规范、标准和规程之间出现矛盾，承包人应书面要求监理人予以澄清，除监理人有特别指示外，承包人应按照其中要求最严格的标准执行。</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5.1.2 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对应内容的约定办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5.2 技术标准和要求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5.2.1 适用本工程的技术标准和要求见本章第二节。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5.2.2 有合同约束力的图纸和其他设计文件中的有关文字说明是本节的组成内容。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6.安全文明施工</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安全防护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 在工程施工、竣工、交付及修补任何缺陷的过程中，承包人应当始终遵守国家和地方有关安全生产的法律、法规、规范、标准和规程等，按照通用合同条款对应内容的约定履行其安全施工职责。</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6.1.2 承包人应坚持“安全第一，预防为主”的方针，建立、健全安全生产责任制度和安全生产教育培训制度。在整个工程施工期间，承包人应在施工场地(现场)设立、提供和维护并在有关工作完成或竣工后撤除：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（1）设立在现场入口显著位置的现场施工总平面图、总平面管理、安全生产、文明施工、环境保护、质量控制、材料管理等的规章制度和主要参建单位名称和工程概况等说明的图板；</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（2）为确保工程安全施工须设立的足够的标志、宣传画、标语、指示牌、警告牌、火警、匪警和急救电话提示牌等等；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（3）洞口和临边位置的安全防护设施，包括护身栏杆、脚手架、洞口盖板和加筋、竖井防护栏杆、防护棚、防护网、坡道等等；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（4）安全带、安全绳、安全帽、安全网、绝缘鞋、绝缘手套、防护口罩和防护衣等安全生产用品；</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（5）所有机械设备包括各类电动工具的安全保护和接地装置和操作说明；</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（6）装备良好的临时急救站和配备称职的医护人员；</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（7）主要作业场所和临时安全疏散通道24小时36伏安全照明和必要的警示等以防止各种可能的事故；</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（8）足够数量的和合格的手提灭火器；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（9）装备良好的易燃易爆物品仓库和相应的使用管理制度；</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（10）对涉及明火施工的工作制定诸如用火证等的管理制度；</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（11）其他：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6.1.3 安全文明施工费用必须专款专用，承包人应对其由于安全文明施工费用和施工安全措施不到位而发生的安全事故承担全部责任。</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6.1.4 承包人应建立专门的施工场地(现场)安全生产管理机构，配备足够数量的和符合有关规定的专职安全生产管理人员，负责日常安全生产巡查和专项检查，召集和主持现场全体人员参加的安全生产例会(每周至少一次)，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和专职安全生产管理人员均应当具备有效的安全生产考核合格证书。</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6.1.5 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6.1.6 承包人应为其进场施工人员配备必需的安全防护设施和设备，承包人还应为施工场地(现场)邻近地区的所有者和占有者、公众和其他人员，提供一切必要的临时道路、人行道、防护棚、围栏及警告等，以确保财产和人身安全以及最大程度地降低施工可能造成的不便。</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6.1.7 承包人应在施工场地(现场)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6.1.8 承包人应对施工场地(现场)内由其提供并安装的所有提升架、外用电梯和塔吊等垂直和水平运输机械进行安全围护，包括卸料平台门的安全开关、警示铃和警示灯，卸料平台的护身栏杆，脚手架和安全网等等；所有的机械设备应设置安全操作防护罩，并在醒目位置张挂详细的安全操作要点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6.1.9 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规、规章、规范、标准和规程等的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6.1.10 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6.1.11 在永久工程和施工边坡、建筑物基坑、地下洞室等的开挖过程中，应根据其施工安全的需要和(或)监理人指示，安装必要的施工安全监测仪器，及时进行必要的施工安全监测，并定期将安全监测成果提交监理人，以防止引起任何沉降、变形或其他影响正常施工进度的损害。</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6.1.12 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6.1.13 承包人应成立应急救援小组，配备必要的应急救援器材和设备，制定灾害和生产安全事故的应急救援预案，并将应急救援预案报送监理人。应急救援预案应能随时组织应救专职人员、并定期组织演练。</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6.1.14 施工过程中需要使用爆破或带炸药的工具等危险性施工方法时，承包人应提前通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6.1.15 基坑支护与降水工程、土方开挖工程、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6.1.16 承包人应按照通用合同条款对应内容的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6.1.17 承包人还应根据有关法律、法规、规定和条例等的要求，制定一套安全生产应急措施和程序，保证一旦出现任何安全事故，能立即保护好现场，抢救伤员和财产，保证施工生产的正常进行，防止损失扩大。</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6.1.18 安全防护方面的其他要求如下：/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临时消防</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6.2.1 承包人应建立消防安全责任制度，制定用火、用电和使用易燃易爆等危险品的消防安全管理制度和操作规程。各项制度和规程等应满足相关法律法规和政府消防管理机构的要求。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6.2.2 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6.2.3 承包人应当成立由项目主要负责人担任组长的临时消防组或消防队，宣传消防基本知识和基本操作培训，组织消防演练，保证一旦发生火灾，能够组织有效的自救，保护生命和财产安全。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6.2.4 施工场地(现场)内的易燃、易爆物品应单独和安全地存放，设专人进行存放和领用管理。施工场地(现场)储有或正在使用易燃、易爆或可燃材料时或有明火施工的工序，应当实行严格的“用火证”管理制度。</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6.2.5 临时消防方面的其他要求如下：/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临时供电</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6.3.1 承包人应当根据《施工现场临时用电安全技术规范》最新版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6.3.2 承包人应为施工场地(现场)，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6.3.3 临时供电系统的电缆、电线、配电箱、控制柜、开关箱、漏电保护器等材料设备均应当具有生产(制造)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严地面明设，并应避免机械损伤和介质腐蚀。埋地电缆路径应设方位标志。各种配电设备均设有防止漏电和防雨防水设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6.3.4 承包人应在施工作业区、施工道路、临时设施、办公区和生活区设置足够的照明，地下工程照明系统的电压不得高于36V，在潮湿和易触及带电体场所的照明供电电压不应大于24V。不便于使用电器照明的工作面应采用特殊照明设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6.3.5 凡可能漏电伤人或易受雷击的电器及建筑物均应设置接地和避雷装置。承包人应负责避雷装置的采购、安装、管理和维修，并建立定期检查制度。</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6.3.6 临时用电方面的其他要求如下：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劳动保护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6.4.1 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6.4.2 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6.4.3 承包人应为其履行本合同所雇佣的职员和工人提供和维护任何必要的膳宿条件和生活环境，包括但不限于宿舍、围栏、供水(饮用及其他目的用水)、供电、卫生设备、食堂及炊具、防火及灭火设备、供热、家具及其他正常膳宿条件和生活环境所需的必需品，并应考虑宗教和民族习惯。</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6.4.4 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6.4.5 承包人应在现场设立专门的临时医疗站，配备足够的设施、药物和称职的医务人员，承包人还应准备急救担架，用于一旦发生安全事故时对受伤人员的急救。</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6.4.6 劳动保护方面的其他要求如下：/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 脚手架</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6.5.1 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6.5.2 所有脚手架，尤其是大型、复杂、高耸和非常规脚手架，要编制专项施工方案，还应当经过安全验算，脚手架安全验算结果必须报送监理人核查后方可实施。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6.5.3 搭设爬架、挂架、超高脚手架等特种或新型脚手架时，承包人应确保此类脚手架的安全性和保证此类脚手架已经过有关行政管理部门允许使用的批准，并承担与此有关的一切费用。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6.5.4 承包人应当加强脚手架的日常安全巡查，及时对其中的安全隐患进行整改，确保脚手架使用安全。雨、雪、雾、霜和大风等天气后，承包人必须对脚手架进行安全巡查，并及时消除安全隐患。</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6.5.5 承包人应允许发包人、监理人、专业分包人、独立承包人(如果有)和有关行政管理部门或者机构免费使用承包人在现场搭设的任何已有脚手架，并就其安全使用做必要交底说明。承包人在拆除任何脚手架前，应书面请示监理人他将要拆除的脚手架是否为发包人、监理人、专业分包人、独立承包人(如果有)和政府有关机构所需，只有在获得监理人书面批准后，承包人才能拆除相关脚手架，否则承包人应自费重新搭设。</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6.5.6 脚手架的其他要求如下：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6.6 施工安全措施计划</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6.6.1 承包人应根据《中华人民共和国安全生产法》、《职业健康安全管理体系规范》、《中华人民共和国消防法》、《中华人民共和国道路交通安全法》、《中华人民共和国传染病防治法实施办法》和地方有关的法规等，按照合同条款对应内容的约定，编制一份施工安全措施计划，报送监理人审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6.6.2 施工安全措施计划是承包人阐明其安全管理方针、管理体系、安全制度和安全措施等的文件，其内容应当反映现行法律法规规定的和合同条款约定的以及本条上述约定的承包人安全职责，包括但不限于：</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(1)施工安全管理机构的设置；</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(2)专职安全管理人员的配备；</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(3)安全责任制度和管理措施；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(4)安全教育和培训制度及管理措施；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(5)各项安全生产规章制度和操作规程；</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(6)各项施工安全措施和防护措施；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(7)危险品管理和使用制度；</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(8)安全设施、设备、器材和劳动保护用品的配置；</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(9)其他：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安全措施的项目和范围，应符合国家颁发的《安全技术措施计划的项目总名称表》及其附录H、I、J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6.6.3 施工安全措施计划应当在专用合同条款对应内容约定的期限内报送监理人。承包人应当严格执行经监理人批准的施工安全措施计划，并及时补充、修订和完善施工安全措施计划，确保安全生产。</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 文明施工</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6.7.1 承包人应遵守国家和工程所在地有关法规、规范、规程和标准的规定，履行文明施工义务，确保文明施工专项费用专款专用。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6.7.2 承包人应当规范现场施工秩序，实行标准化管理：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(1)承包人的施工场地(现场)必须干净整治、做到无积水、无淤泥、无杂物，材料堆放整齐；</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(2)施工场地(现场)应进行硬化处理，定期定时洒水，做好防治扬尘和大气污染工作；</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(3)严格遵守“工完、料尽、场地净”的原则，不留垃圾、不留剩余施工材料和施工机具，各种设备运转正常；</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(4)承包人修建的施工临时设施应符合监理人批准的施工规划要求，并应满足本节规定的各项安全要求；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(5)监理人可要求承包人在施工场地(现场)设置各级承包人的安全文明施工责任牌等文明施工警示牌；</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(6)材料进入现场应按指定位置堆放整齐，不得影响现场施工和堵塞施工、消防通道。材料堆放场地应有专职的管理人员；</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(7)施工和安装用的各种扣件、紧固件、绳索具、小型配件、镙钉等应在专设的仓库内装箱放置；</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(8)现场风、水管及照明电线的布置应安全、合理、规范、有序，做到整齐美观。不得随意架设和造成隐患或影响施工。</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6.7.3 承包人应为其雇佣的施工工人建立并维护相应的生活宿舍、食堂、浴室、厕所和文化活动室等，其标准应满足政府有关机构的生活标准和卫生标准等的要求。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6.7.4 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6.7.5 在工程施工期间，承包人应始终避免现场出现不必要的障碍物，妥当存放并处置施工设备和多余的材料，及时从现场清除运走任何废料、垃圾或不再需要的临时工程和设施。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6.7.6 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6.7.7 承包人应在现场设立固定的垃圾临时存放点并在各楼层或区域设立必要的垃圾箱；所有垃圾必须在当天清除出现场，并按有关行政管理部门的规定，运送到指定的垃圾消纳场。</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6.7.8 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浇注、材料运输、材料装卸、现场清理等工作中应采取一切必要的措施防止影响公共交通。</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6.7.9 承包人应当制订成品保护措施计划，并提供必要的人员、材料和设备用于整个工程的成品保护，包括对已完成的所有分包人和独立承包人(如果有)的工程或工作的保护，防止已完工作遭受任何损坏或破坏。成品保护措施应当合理安排工序，并包括工作面移交制度和责任赔偿制度。成品保护措施计划最迟应当在任何专业分包人或独立承包人进场施工前不少于28天报监理人审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6.7.10 文明施工方面的其他要求如下：/。</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 环境保护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6.8.1 在工程施工、完工及修补任何缺陷的过程中，承包人应当始终遵守国家和工程所在地有关环境保护、水土保护和污染防治的法律、法规、规章、规范、标准和规程等，按照通用合同条款对应内容的约定履行其环境与生态保护职责。</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6.8.2 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6.8.3 承包人制订施工方案和组织措施时应当同步考虑环境和资源保护，包括水土资源保护、噪声、振动和照明污染防治、固体废弃物处理、污水和废气处理、粉尘和扬尘控制、道路污染防治、卫生防疫、禁止有害材料、节能减排以及不可再生资源的循环使用等因素。</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6.8.4 承包人应当做好施工场地(现场)范围内各项工程的开挖支护、截水、降水、灌浆、衬砌、挡护结构及排水等工程防护措施。施工场地(现场)内所有边坡应当采取有效的水土流失防治和保持措施。承包人采用的降水方案应当充分考虑对地下水的保护和合理使用，如果国家和(或)地方人民政府有特别规定的，承包人应当遵守有关规定。承包人还应设置完善的排水系统，保持施工场地(现场)始终处于良好的排水状态，防止降雨径流对施工场地(现场)的冲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6.8.5 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如放射性材料、石棉制品等)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6.8.6 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6.8.7 承包人应当保证施工生产用水和生活用水符合国家有关标准的规定。承包人还应建设、运行和维护施工生产和生活污水收集和处理系统(包括排污口接入)，建立符合排放标准的临时沉淀池和化粪池等，不得将未处理的污水直接或间接排放或造成地表水体、地下水体或生产和生活供水系统的污染。</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6.8.8 承包人应当采取有效措施，建立相应的过滤、分离、分解或沉淀等处理系统，不得让有害物质(如燃料、油料、化学品、酸等，以及超过剂量的有害气体和尘埃、污水、泥土或水、弃渣等)污染施工场地(现场)及其周边环境。承包人施工工序、工作时间安排和施工设备的配置应当充分考虑降低噪声和照明等对施工场地 (现场)周边生产和生活的影响，并满足国家和地方政府有关规定的要求。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6.8.9 环境保护方面的其他要求如下：/。</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6.9 施工环保措施计划</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6.9.1 通用合同条款对应内容约定的施工环保措施计划是承包人阐明环保方针和拟采用的环保措施及方法等的文件，其内容应包括但不限于：</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(1)承包人生活区(如果有)的生活用水和生活污水处理措施；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(2)施工生产废水处理措施；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(3)施工扬尘和废气的处理措施；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(4)施工噪声和光污染控制措施；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(5)节能减排措施；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(6)不可再生资源循环利用措施；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(7)固体废弃物处理措施；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(8)人群健康保护和卫生防疫措施；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(9)防止误用有害材料的保证措施；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(10)施工边坡工程的水土流失保护措施；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(11)道路污染防治措施；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(12)完工后场地清理及其植被(如果有)恢复的规划和措施；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(13)其他：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6.9.2 施工环保措施计划应当在专用合同条款对应内容约定的期限内报送监理人。承包人应当严格执行经监理人批准的施工环保措施计划，并及时补充、修订和完善施工环保措施计划。</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7.治安保卫</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承包人应为施工场地(现场)提供24小时的保安保卫服务，配备足够的保安人员和保安设备，防止未经批准的任何人进入现场，控制人员、材料和设备等的进出场，防止现场材料、设备或其他任何物品的失窃，禁止任何现场内的打架斗殴事件。</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承包人的保安人员应是训练有素的专业保安人员，承包人可以雇佣专业保安公司负责现场保安和保卫；保安保卫制度除规范现场出入大门控制外，还应规定定时和不定时的施工场地(现场)周边和全现场的保安巡逻。</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7.3 承包人应制定并实施严格的施工场地(现场)出入制度并报监理人审批；车辆的出入须有出入审批制度，并有指定的专人负责管理；人员进出现场应有出入证，出入证须以经过监理人批准的格式印制。</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7.4 承包人应确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7.5 承包人应为施工场地(现场)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7.6 承包人应当保证发包人支付的工程款项仅用于本合同目的，及时和足额地向所雇佣的人员支付劳动报酬，并制定严格的工人工资支付保障措施，确保所有分包人及时支付所雇佣工人的工资，有效防止影响社会安定的群体事件发生，并保障发包人免于因承包人(包括其分包人)拖欠工人工资而可能遭受的任何处罚、索赔、损失和损害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7.7 施工场地(现场)治安管理计划的要求：  施工单位按照相关规定要求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7.8 突发治安事件紧急预案的要求： 施工单位按照相关规定要求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7.9治安保卫方面的其他要求如下： 施工单位按照相关规定要求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8.地上、地下设施和周边建筑物的临时保护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承包人应为施工场地及其周边现有的地上、地下设施和建筑物提供足够的临时保护设施，确保施工过程中这些设施和建筑物不会受到干扰和破坏。</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承包人应当制订现有设施临时保护方案和应急处理方案，并在本工程开工前至少提前7天报送监理人，监理人应在收到现有设施临时保护方案后的3天内批复承包人。承包人应当严格执行经监理人批准的保护方案，并保证在任何可能影响周边现有的地上、地下设施或周边建筑物的施工作业开始前，相应的临时保护设施能够落实到位。</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8.3 发包人特别提醒承包人注意以下地上、地下设施和周边建筑物的保护：对已完工程进行必要的保护，如有破坏，自行负责修复，并承担相关的费用。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8.4 地上、地下设施和周边建筑物的临时保护的其他要求如下：对已完工程进行必要的保护，如有破坏，自行负责修复，并承担相关的费用。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9.样品和材料代换</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 样品</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9.1.1 本工程需要承包人提供样品的材料和工程设备如下：/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9.1.2 对于本款第9.1.1项约定的材料和工程设备，承包人应按照专用合同条款对应内容约定的期限，向监理人提交样品并附上任何必要的说明书、生产(制造)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9.1.3 合同条款对应内容约定的依法不需要招标的、以暂估价形式包括在工程量清单中的材料和工程设备，所附资料除本款对应内容约定的内容外，还应附上价格资料，每一类材料设备，至少应准备符合合同要求的三个产品，价格分高、中、低三档，以便监理人和发包人选择和批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9.1.4 监理人应在收到承包人报送的样品后7天内转呈发包人并附上监理人的书面审批意见。发包人在收到通过监理人转交的样品以及监理人的审批意见后7天内就此样品给出书面批复。监理人应在收到样品后21天内通知承包人他相关样品所做出的决定或指示(同时抄送一份给发包人)。承包人应根据监理人的书面批复和指示相应地进行下一步工作。如果监理人未能在承包人报送样品后21天内给出书面批复，承包人应就此通知监理人，要求尽快批复。如果发包人在收到此类通知后7天内仍未对样品进行批复，则视为监理人和发包人已经批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9.1.5 得到批准后的样品由监理人负责存放。但承包人应为保存样品提供适当和固定的场所并保持适当和良好的环境条件。</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9.1.6 提供样品和提供存放样品场所的费用由承包人承担。</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 材料代换</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9.2.1 如果任何后继法律、法规、规章、规范、标准和规程等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9.2.2 如果使用替代品，承包人应至少在被替代品按批准的进度计划用于永久工程前56天以书面形式通知监理人并随此通知提交下列文件：</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(1)拟被替代的合同约定的材料和工程设备的名称、数量、规格、型号、品牌、性能、价格及其他任何详细资料；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(2)拟采用的替代品的名称、数量、规格、型号、品牌、性能、价格及其他任何必要的详细资料；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（3)替代品使用的工程部位；</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(4)采用替代品的理由和原因说明；</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(5)替代品与合同中约定的产品之间的差异以及使用替代品后可能对工程产生的任何影响；</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(6)价格上的差异；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(7)监理人为做出适当的决定而随时要求承包人提供的任何其他文件。</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监理人在收到此类通知及上述文件后，应在28天内向承包人给出书面指示。如果28天内监理人未给出书面指示，应视为监理人和发包人已经批准使用上述替代品，承包人可以据此使用替代品。</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9.2.3任何情况下，替代品都应遵守本合同中对相关材料和工程设备的要求。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9.2.4 如果承包人根据本条约定使用了替代品，监理人应与承包人适当协商之后并在合理的期限内确定替代材料和工程设备与合同中约定的材料和工程设备之间的价值差值，并决定：</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(1)如果替代材料和工程设备的价值高于合同中约定的材料和工程设备的价值，则将高出部分的价值追加到签约合同价中并相应地通知承包人；</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(2)如果替代材料和工程设备的价值低于合同中约定的材料和工程设备的价值，则将节余部分的价值从签约合同价中扣除并相应地通知承包人。</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10.进口材料和工程设备</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本工程需要进口的材料和工程设备如下：/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10.2上述进口材料和工程设备采购、进口、报关、清关、商检、境内运输(包括保险)、保管的责任以及费用承担方式划分如下：/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11.进度报告和进度例会</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 进度报告</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11.1.1施工过程中，承包人应向监理人指定的代表呈递一份每日的日进度报表、每周的周进度报表和每月的月进度报表。除非监理人同意，日进度报表应在次日上午九点前递交，周进度报表应在次周的周一上午九时前递交，月进度报表应随合同条款对应内容约定的进度付款申请单一并递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11.1.2日和周进度报表的内容应至少包括每日在现场工作的技术管理人员数量、各工种技术工人和非技术工人数量、后勤人员数量、参观现场的人员数量，包括分包人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11.1.3月进度报表应当反映月完成工程量和累计完成工程量(包括永久工程和临时工程)、材料实际进货、消耗和库存量、现场施工设备的投运数量和运行状况、工程设备的到货情况、劳动力数量(本月及预计未来三个月劳动力的数量)、当前影响施工进度计划的因素和采取的改进措施、进度计划调整及其说明、质量事故和质量缺陷处理纪录、质量状况评价、安全施工措施计划实施情况、安全事故以及人员伤亡和财产损失情况(如果有)、环境保护措施实施和文明施工措施实施情况。</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11.1.4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11.1.5各个进度报表的格式和内容应经过监理人的审批。进度报表应如实填写，由承包人授权代表签名，并报监理人的指定代表签名确认后再行分发。</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11.1.6如果监理人认为必要，进度报告和进度照片应同时以存储在磁盘或光盘中的数据文件的形式递交给发包人和监理人。数据文件采用的应用软件及其版本应经过监理人的审批。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11.1.7有关进度报告的其他要求：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 进度例会</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11.2.1监理人将主持召开有发包人、承包人、独立承包人和主要分包人等与本工程建设有关各方出席的每周一次的进度例会。必要时，监理人可随时召集所有上述各方或其中部分单位参加的会议。承包人应保证能代表其当场作出决定的高级管理人员出席会议。</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11.2.2进度例会的内容将涉及合同管理、进度协调和工程管理的各个方面，由监理人准备的会议议题将随会议通知在会议召开前至少24小时发给各参会方。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11.2.3监理人应当做好会议记录，并在会议结束时由与会各方签字确认。监理人应根据会议记录整理出会议纪要，并在相应会议后24小时内分发给出席会议的各方。会议纪要应当如实反映会议记录的内容，包括任何决定、存在的问题、责任方、有关工作的时间目标等等。各方在收到会议纪要后24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11.2.4有关进度例会的其他要求：/。</w:t>
      </w:r>
    </w:p>
    <w:p>
      <w:pPr>
        <w:widowControl/>
        <w:spacing w:line="400" w:lineRule="exact"/>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12.试验和检验</w:t>
      </w:r>
    </w:p>
    <w:p>
      <w:pPr>
        <w:widowControl/>
        <w:spacing w:line="400" w:lineRule="exact"/>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12.1 承包人应当按照工程施工验收规范和标准的规定和通用合同条款第14条的约定，对用于永久工程的主要材料、半成品、成品、建筑构配件、工程设备等进行试验和检验。</w:t>
      </w:r>
    </w:p>
    <w:p>
      <w:pPr>
        <w:widowControl/>
        <w:spacing w:line="400" w:lineRule="exact"/>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12.2 本工程需要承包人进行试验和检验的材料、工程设备和工艺如下：按规定报检测机构检测 。</w:t>
      </w:r>
    </w:p>
    <w:p>
      <w:pPr>
        <w:widowControl/>
        <w:spacing w:line="400" w:lineRule="exact"/>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监理人可以根据工程需要，指示承包人进行其他现场材料和工艺的试验和检验。</w:t>
      </w:r>
    </w:p>
    <w:p>
      <w:pPr>
        <w:widowControl/>
        <w:spacing w:line="400" w:lineRule="exact"/>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12.3本工程需要由监理人和承包人共同进行试验和检验的材料、工程设备和工艺如下：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12.4 本条上述约定需要进行检验的材料、工程设备和工艺在经过检验并获得监理人批准以前，不得用于任何永久工程。</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12.5 承包人应为任何材料、工程设备和工艺的检查、检测和检验提供劳务、电力、燃料、备用品、设备和仪器以及必要的协助。监理人及其任何授权人员应能够在任何时候进入现场及正在为工程制造、装配、准备材料和(或)工程设备的车间和场所进行任何必要的检查。无论这些车间和场所是否属于承包人，承包人都应提供一切便利，并协助其取得相应的权力和(或)许可。</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12.6 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12.7 承包人应在监理人的监督下，对涉及结构安全的试块、试件以及有关材料进行现场取样，并送  相关  质量检测单位进行检测。</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12.8 除合同另有约定外，承包人应负担本合同项下的所有材料、工程设备和工艺检验的费用。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13.计日工</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 通用合同条款对应内容约定的计日工，一般适用于合同约定之外的或者因变更而产生的、工程量清单中没有设立相应子目或者即便有相应子目但因工作条件发生变化而无法适用的额外工作，尤其是那些时间不允许事先商定价格的额外工作。计日工在发包人认为必要时，由监理人按通用合同条款对应内容约定通知承包人实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13.2 在工程实际开工后14天内，承包人应当按通用合同条款对应内容约定的计日工报表内容，准备一份计日工日报表的格式，报送监理人审批，监理人应当在收到之日后7天内给予批复或提出修改意见。</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13.3 按计日工实施相关变更的过程中，承包人应当按经监理人批准的计日工日报表格式，每天提交计日工报表和有关凭证，报送监理人审批，监理人应当在收到相关报表和凭证后24小时内给予批复。</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13.4 计日工劳务按工日(8小时)计量，单次4小时以内按0.5个工日，单次4小时至8小时按1个工日，加班时间按照国家劳动法律法规的规定办理。实施计日工的劳务人员仅应包括直接从事计日工工作的工人和班组长(如果有)，不应包括工长及其以上管理人员。</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13.5 已标价工程量清单计日工材料表中未列出的材料，实际发生于计日工时，其价格按照经监理人事先审批的材料运到现场的价格和有关材料采购的发票票面价格(运到现场价)中的较低者结算，另计一个在计日工材料表中填写的包括承包人企业管理费、利润在内的一个固定百分比，规费和税金另计。</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13.6 施工机械按台班计量(8小时)，单次4小时以内按0.5个台班，单次4小时至8小时按1个台班，操作人员加班时间按照国家劳动法律法规的规定办理。计日工如果需要使用场外施工机械，台班费用和进出场费用按市场平均价格，由承包人事后报监理人审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13.7 关于计日工的其他约定：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14.计量与支付</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 付款申请单</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14.1.1 在工程实际开工后14天内，承包人应当按照合同条款第17条的约定，准备一份已完工程量报表、进度付款申请单和计量文件的格式等报送监理人，监理人应当在收到承包人报送的格式后7天内给予批复或者提出修改意见。</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14.1.2 根据合同条款对应内容，承包人应当在合同约定的每个付款周期末，对当期完成的各项工程量进行计量和计价，并按照对应内容的约定，对当期应增加和扣减的各类款项进行梳理和汇总，按经监理人批准的格式和专用合同条款约定的份数和内容准备并向监理人递交进度付款申请单，并将进度付款申请单连同已完工程量报表、有关计量资料以及能够证明其进度付款申请单中所索要款项符合合同约定的各个支持性文件同时报送监理人审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14.1.3 竣工付款申请单的内容按专用合同条款对应内容的约定。采用单价合同形式的，竣工付款申请单应当附上按通用合同条款对应内容确定的结算工程量和最近一欠进度付款和竣工付款之间完成的各子目的工程量计量文件。采用总价合同形式的，签约合同价所基于的工程量就是相应的竣工结算工程量，但是，变更应按合同约定进行计量和计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14.1.4 竣工结算总价(合同价格)应当按以下内容梳理：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(1)签约合同价；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(2)应当扣减的项目；</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1)所有暂列金额；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2)所有暂估价；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3)根据专用合同条款对应内容应扣减的变更金额；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4)根据专用合同条款对应内容应扣减的价格调整(下调部分)；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5)根据通用合同条款对应内容应扣减的发包人索赔金额；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6)甩项工程的合同价值(如果有)；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7)根据合同约定发包人应扣减的其他金额。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(3)应当增加的项目；</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1)实际发生的暂列金额(包括计日工)；</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2)实际发生的暂估价；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3)根据专用合同条款对应内容应增加的变更金额；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4)根据专用合同条款对应内容应增加的价格调整(上调部分)；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5)根据专用合同条款对应内容应增加的承包人索赔金额；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6)根据合同约定承包人应当得到的其他金额。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(4)规费和税金差额部分。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14.1.5 最终结清申请单的应付金额应当按下列内容梳理：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(1)按合同约定扣留的质量保证金；</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(2)应当扣除的金额：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1)按通用合同条对应内容约定扣留的质量保证金；</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2)按通用合同条对应内容约定扣除的质量保证金；</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3)根据通用合同条款对应内容应扣减的缺陷责任期内发生的发包人索赔金额；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4)根据合同约定应扣减的其他金额。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(3)应当增加的金额：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1)已完且符合合同约定的甩项工程的价值；</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2)按通用合同条对应内容约定由承包人修复的发包人原因造成的缺陷的价值；</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3)根据通用合同条款对应内容应增加的缺陷责任期内发生的承包人索赔金额；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4)根据合同约定承包人应当得到的其他金额。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最终结清应当由发包人和承包人按照“多退少补”的原则办理。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14.1.6 竣工付款申请单和最终结清申请单应当比照进度付款申请单的格式准备，并提供相关证明材料。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14.2  其他约定</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其他约定内容：/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15.竣工验收和工程移交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15.1 竣工验收前的清理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15.1.1 在向监理人提交竣工验收申请报告前，承包人应当完成竣工验收前的清理工作，包括但不限于：</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(1)从永久工程内清除所有剩余材料、杂物、垃圾等等；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(2)清洗工程的所有地面、墙面、楼面、路面等表面；</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(3)清洗和擦洗所有玻璃、磁砖、石材和所有金属面；</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(4)修缮所有损坏、清除所有污迹、替换所有需更换的材料；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(5)所有表面完成约定的装修和装饰；</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(6)检查和调试所有的门、窗、抽屉等以确保他们开启的顺畅；</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(7)检查和调试所有的五金件并上油；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(8)检查、测试和确保所有服务系统、设施和设备达到良好的运行状态和效果；</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(9)所有钥匙(如果有)贴上标签并固定到钥匙排上随时可以交给监理人。</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15.1.2 清理工作所需费用由承包人承担。</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15.2 竣工验收申请报告</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15.2.1 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15.2.2 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15.2.3 竣工验收申请报告应当按通用合同条款对应内容附上下列内容：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承包人的自行检查和评定记录文件，即除监理人同意列入缺陷责任期内完成的尾工(甩项)工程和缺陷修补工作外，合同范围内的全部单位工程以及有关工作，包括合同要求的试验、试运行以及检验和验收均已完成，并符合合同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（2）按专用合同条款对应内容约定的内容和份数整理的符合要求的竣工资料；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（3）按监理人的要求编制了在缺陷责任期内完成的尾工(甩项)工程和缺陷修补工作清单以及相应施工计划；</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（4）监理人要求在竣工验收前应完成的其他工作的证明材料；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（5）监理人要求提交的竣工验收资料清单；</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（6）通用合同条款对应内容约定的单位工程竣工验收成果和结论文件(如果有)；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（7）专用合同条款对应内容约定的质量保修书(此前已经提交的不再提交)；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（8）其他：</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15.3 竣工清场</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15.3.1 监理人颁发(出具)工程接收证书后，承包人应在56天内按以下要求对施工场地(现场)进行清理：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(1)从施工场地(现场)清除所有杂物和垃圾等等；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(2)从施工场地现场拆除所有的临时工程和临时设施并恢复地面原状，但经监理人批准的护坡桩、锚杆、塔吊基础和无法拆除的埋入式模板等无法拆除的临时设施除外；</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(3)撤离所有承包人施工设备和剩余材料(经监理人同意需在缺陷责任期内继续使用的除外)；</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(4)监理人指示的其他清场工作。</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16.其他要求                                                       </w:t>
      </w:r>
      <w:bookmarkStart w:id="118" w:name="_Toc13521"/>
    </w:p>
    <w:p>
      <w:pPr>
        <w:widowControl/>
        <w:spacing w:line="400" w:lineRule="exact"/>
        <w:ind w:firstLine="480" w:firstLineChars="200"/>
        <w:jc w:val="left"/>
        <w:rPr>
          <w:rFonts w:hint="eastAsia" w:ascii="宋体" w:hAnsi="宋体" w:eastAsia="宋体" w:cs="宋体"/>
          <w:color w:val="auto"/>
          <w:sz w:val="24"/>
          <w:szCs w:val="24"/>
          <w:lang w:val="en-US" w:eastAsia="zh-CN"/>
        </w:rPr>
      </w:pPr>
    </w:p>
    <w:p>
      <w:pPr>
        <w:widowControl/>
        <w:spacing w:line="400" w:lineRule="exact"/>
        <w:ind w:firstLine="482" w:firstLineChars="200"/>
        <w:jc w:val="left"/>
        <w:rPr>
          <w:rFonts w:hint="eastAsia" w:eastAsia="宋体" w:cs="宋体"/>
          <w:b/>
          <w:bCs/>
          <w:color w:val="auto"/>
          <w:sz w:val="24"/>
          <w:szCs w:val="24"/>
          <w:lang w:val="en-US" w:eastAsia="zh-CN"/>
        </w:rPr>
      </w:pPr>
      <w:r>
        <w:rPr>
          <w:rFonts w:hint="eastAsia" w:eastAsia="宋体" w:cs="宋体"/>
          <w:b/>
          <w:bCs/>
          <w:color w:val="auto"/>
          <w:sz w:val="24"/>
          <w:szCs w:val="24"/>
          <w:lang w:val="en-US" w:eastAsia="zh-CN"/>
        </w:rPr>
        <w:t>四、其他要求</w:t>
      </w:r>
      <w:bookmarkEnd w:id="118"/>
    </w:p>
    <w:p>
      <w:pPr>
        <w:rPr>
          <w:rFonts w:hint="eastAsia"/>
          <w:b/>
          <w:bCs/>
          <w:sz w:val="28"/>
          <w:szCs w:val="28"/>
        </w:rPr>
      </w:pPr>
    </w:p>
    <w:p>
      <w:pPr>
        <w:pStyle w:val="4"/>
        <w:numPr>
          <w:ilvl w:val="0"/>
          <w:numId w:val="2"/>
        </w:numPr>
        <w:spacing w:before="0" w:after="0" w:line="240" w:lineRule="auto"/>
        <w:ind w:left="0" w:leftChars="0"/>
        <w:rPr>
          <w:rFonts w:hint="eastAsia"/>
        </w:rPr>
      </w:pPr>
      <w:bookmarkStart w:id="119" w:name="_Toc20816"/>
      <w:bookmarkStart w:id="120" w:name="_Toc10724"/>
      <w:r>
        <w:rPr>
          <w:rFonts w:hint="eastAsia"/>
          <w:lang w:val="en-US" w:eastAsia="zh-CN"/>
        </w:rPr>
        <w:t xml:space="preserve"> </w:t>
      </w:r>
      <w:bookmarkStart w:id="121" w:name="_Toc23076"/>
      <w:bookmarkStart w:id="122" w:name="_Toc15329"/>
      <w:r>
        <w:rPr>
          <w:rFonts w:hint="eastAsia"/>
        </w:rPr>
        <w:t>评审方法</w:t>
      </w:r>
      <w:bookmarkEnd w:id="108"/>
      <w:bookmarkEnd w:id="109"/>
      <w:bookmarkEnd w:id="110"/>
      <w:bookmarkEnd w:id="111"/>
      <w:bookmarkEnd w:id="119"/>
      <w:bookmarkEnd w:id="120"/>
      <w:bookmarkEnd w:id="121"/>
      <w:bookmarkEnd w:id="122"/>
    </w:p>
    <w:p>
      <w:pPr>
        <w:tabs>
          <w:tab w:val="left" w:pos="420"/>
          <w:tab w:val="left" w:pos="7560"/>
          <w:tab w:val="left" w:pos="7740"/>
          <w:tab w:val="left" w:pos="7920"/>
        </w:tabs>
        <w:adjustRightInd w:val="0"/>
        <w:snapToGrid w:val="0"/>
        <w:spacing w:line="360" w:lineRule="exact"/>
        <w:rPr>
          <w:rFonts w:hint="eastAsia" w:ascii="宋体" w:hAnsi="宋体"/>
          <w:b/>
          <w:sz w:val="28"/>
          <w:szCs w:val="24"/>
          <w:highlight w:val="white"/>
          <w:lang w:val="en-US" w:eastAsia="zh-CN"/>
        </w:rPr>
      </w:pPr>
      <w:bookmarkStart w:id="123" w:name="_Toc293739005"/>
      <w:bookmarkStart w:id="124" w:name="_Toc293736067"/>
      <w:bookmarkStart w:id="125" w:name="_Toc293736024"/>
      <w:bookmarkStart w:id="126" w:name="_Toc446599330"/>
    </w:p>
    <w:p>
      <w:pPr>
        <w:spacing w:line="500" w:lineRule="exact"/>
        <w:outlineLvl w:val="1"/>
        <w:rPr>
          <w:rFonts w:hint="eastAsia" w:ascii="宋体" w:hAnsi="宋体"/>
          <w:b/>
          <w:sz w:val="28"/>
          <w:szCs w:val="24"/>
          <w:highlight w:val="white"/>
          <w:lang w:val="en-US" w:eastAsia="zh-CN"/>
        </w:rPr>
      </w:pPr>
      <w:bookmarkStart w:id="127" w:name="_Toc12926"/>
      <w:bookmarkStart w:id="128" w:name="_Toc16809"/>
      <w:r>
        <w:rPr>
          <w:rFonts w:hint="eastAsia" w:ascii="宋体" w:hAnsi="宋体" w:eastAsia="宋体" w:cs="宋体"/>
          <w:b/>
          <w:sz w:val="28"/>
          <w:szCs w:val="28"/>
          <w:lang w:eastAsia="zh-CN"/>
        </w:rPr>
        <w:t>一、评</w:t>
      </w:r>
      <w:r>
        <w:rPr>
          <w:rFonts w:hint="eastAsia" w:ascii="宋体" w:hAnsi="宋体" w:cs="宋体"/>
          <w:b/>
          <w:sz w:val="28"/>
          <w:szCs w:val="28"/>
          <w:lang w:eastAsia="zh-CN"/>
        </w:rPr>
        <w:t>审</w:t>
      </w:r>
      <w:r>
        <w:rPr>
          <w:rFonts w:hint="eastAsia" w:ascii="宋体" w:hAnsi="宋体" w:eastAsia="宋体" w:cs="宋体"/>
          <w:b/>
          <w:sz w:val="28"/>
          <w:szCs w:val="28"/>
          <w:lang w:eastAsia="zh-CN"/>
        </w:rPr>
        <w:t>办法</w:t>
      </w:r>
      <w:r>
        <w:rPr>
          <w:rFonts w:hint="eastAsia" w:ascii="宋体" w:hAnsi="宋体" w:eastAsia="宋体" w:cs="宋体"/>
          <w:b/>
          <w:sz w:val="28"/>
          <w:szCs w:val="28"/>
        </w:rPr>
        <w:t>前附表</w:t>
      </w:r>
      <w:bookmarkEnd w:id="127"/>
      <w:bookmarkEnd w:id="128"/>
    </w:p>
    <w:tbl>
      <w:tblPr>
        <w:tblStyle w:val="33"/>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708"/>
        <w:gridCol w:w="5845"/>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0" w:hRule="atLeast"/>
          <w:jc w:val="center"/>
        </w:trPr>
        <w:tc>
          <w:tcPr>
            <w:tcW w:w="2910" w:type="dxa"/>
            <w:gridSpan w:val="2"/>
            <w:noWrap w:val="0"/>
            <w:vAlign w:val="center"/>
          </w:tcPr>
          <w:p>
            <w:pPr>
              <w:spacing w:line="360" w:lineRule="auto"/>
              <w:ind w:firstLine="649" w:firstLineChars="294"/>
              <w:jc w:val="both"/>
              <w:rPr>
                <w:rFonts w:hint="eastAsia" w:ascii="宋体" w:hAnsi="宋体" w:eastAsia="宋体" w:cs="宋体"/>
                <w:b/>
                <w:sz w:val="22"/>
                <w:szCs w:val="22"/>
              </w:rPr>
            </w:pPr>
            <w:r>
              <w:rPr>
                <w:rFonts w:hint="eastAsia" w:ascii="宋体" w:hAnsi="宋体" w:eastAsia="宋体" w:cs="宋体"/>
                <w:b/>
                <w:sz w:val="22"/>
                <w:szCs w:val="22"/>
              </w:rPr>
              <w:t>评分因素</w:t>
            </w:r>
          </w:p>
        </w:tc>
        <w:tc>
          <w:tcPr>
            <w:tcW w:w="5845" w:type="dxa"/>
            <w:noWrap w:val="0"/>
            <w:vAlign w:val="center"/>
          </w:tcPr>
          <w:p>
            <w:pPr>
              <w:spacing w:line="360" w:lineRule="auto"/>
              <w:jc w:val="center"/>
              <w:rPr>
                <w:rFonts w:hint="eastAsia" w:ascii="宋体" w:hAnsi="宋体" w:eastAsia="宋体" w:cs="宋体"/>
                <w:b/>
                <w:sz w:val="22"/>
                <w:szCs w:val="22"/>
              </w:rPr>
            </w:pPr>
            <w:r>
              <w:rPr>
                <w:rFonts w:hint="eastAsia" w:ascii="宋体" w:hAnsi="宋体" w:eastAsia="宋体" w:cs="宋体"/>
                <w:b/>
                <w:sz w:val="22"/>
                <w:szCs w:val="22"/>
              </w:rPr>
              <w:t>评分标准</w:t>
            </w:r>
          </w:p>
        </w:tc>
        <w:tc>
          <w:tcPr>
            <w:tcW w:w="1235" w:type="dxa"/>
            <w:noWrap w:val="0"/>
            <w:vAlign w:val="center"/>
          </w:tcPr>
          <w:p>
            <w:pPr>
              <w:spacing w:line="360" w:lineRule="auto"/>
              <w:jc w:val="center"/>
              <w:rPr>
                <w:rFonts w:hint="eastAsia" w:ascii="宋体" w:hAnsi="宋体" w:eastAsia="宋体" w:cs="宋体"/>
                <w:b/>
                <w:sz w:val="22"/>
                <w:szCs w:val="22"/>
                <w:lang w:eastAsia="zh-CN"/>
              </w:rPr>
            </w:pPr>
            <w:r>
              <w:rPr>
                <w:rFonts w:hint="eastAsia" w:ascii="宋体" w:hAnsi="宋体" w:eastAsia="宋体" w:cs="宋体"/>
                <w:b/>
                <w:sz w:val="22"/>
                <w:szCs w:val="22"/>
              </w:rPr>
              <w:t>评审</w:t>
            </w:r>
            <w:r>
              <w:rPr>
                <w:rFonts w:hint="eastAsia" w:ascii="宋体" w:hAnsi="宋体" w:eastAsia="宋体" w:cs="宋体"/>
                <w:b/>
                <w:sz w:val="22"/>
                <w:szCs w:val="22"/>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restart"/>
            <w:noWrap w:val="0"/>
            <w:vAlign w:val="center"/>
          </w:tcPr>
          <w:p>
            <w:pPr>
              <w:spacing w:line="360" w:lineRule="auto"/>
              <w:ind w:firstLine="110" w:firstLineChars="50"/>
              <w:jc w:val="both"/>
              <w:rPr>
                <w:rFonts w:hint="eastAsia" w:ascii="宋体" w:hAnsi="宋体" w:eastAsia="宋体" w:cs="宋体"/>
                <w:sz w:val="22"/>
                <w:szCs w:val="22"/>
              </w:rPr>
            </w:pPr>
            <w:r>
              <w:rPr>
                <w:rFonts w:hint="eastAsia" w:ascii="宋体" w:hAnsi="宋体" w:eastAsia="宋体" w:cs="宋体"/>
                <w:sz w:val="22"/>
                <w:szCs w:val="22"/>
              </w:rPr>
              <w:t>初步评审</w:t>
            </w:r>
          </w:p>
        </w:tc>
        <w:tc>
          <w:tcPr>
            <w:tcW w:w="1708" w:type="dxa"/>
            <w:noWrap w:val="0"/>
            <w:vAlign w:val="center"/>
          </w:tcPr>
          <w:p>
            <w:pPr>
              <w:spacing w:line="360" w:lineRule="auto"/>
              <w:jc w:val="center"/>
              <w:rPr>
                <w:rFonts w:hint="eastAsia" w:ascii="宋体" w:hAnsi="宋体" w:eastAsia="宋体" w:cs="宋体"/>
                <w:b/>
                <w:sz w:val="22"/>
                <w:szCs w:val="22"/>
                <w:lang w:eastAsia="zh-CN"/>
              </w:rPr>
            </w:pPr>
            <w:r>
              <w:rPr>
                <w:rFonts w:hint="eastAsia" w:ascii="宋体" w:hAnsi="宋体" w:eastAsia="宋体" w:cs="宋体"/>
                <w:sz w:val="22"/>
                <w:szCs w:val="22"/>
                <w:highlight w:val="none"/>
              </w:rPr>
              <w:t>资格</w:t>
            </w:r>
            <w:r>
              <w:rPr>
                <w:rFonts w:hint="eastAsia" w:ascii="宋体" w:hAnsi="宋体" w:eastAsia="宋体" w:cs="宋体"/>
                <w:sz w:val="22"/>
                <w:szCs w:val="22"/>
                <w:highlight w:val="none"/>
                <w:lang w:eastAsia="zh-CN"/>
              </w:rPr>
              <w:t>审查</w:t>
            </w:r>
          </w:p>
        </w:tc>
        <w:tc>
          <w:tcPr>
            <w:tcW w:w="5845" w:type="dxa"/>
            <w:vMerge w:val="restart"/>
            <w:noWrap w:val="0"/>
            <w:vAlign w:val="center"/>
          </w:tcPr>
          <w:p>
            <w:pPr>
              <w:spacing w:line="360" w:lineRule="auto"/>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详见附表</w:t>
            </w:r>
            <w:r>
              <w:rPr>
                <w:rFonts w:hint="eastAsia" w:ascii="宋体" w:hAnsi="宋体" w:cs="宋体"/>
                <w:sz w:val="22"/>
                <w:szCs w:val="22"/>
                <w:lang w:eastAsia="zh-CN"/>
              </w:rPr>
              <w:t>一</w:t>
            </w:r>
          </w:p>
        </w:tc>
        <w:tc>
          <w:tcPr>
            <w:tcW w:w="1235" w:type="dxa"/>
            <w:vMerge w:val="restart"/>
            <w:noWrap w:val="0"/>
            <w:vAlign w:val="top"/>
          </w:tcPr>
          <w:p>
            <w:pPr>
              <w:spacing w:line="360" w:lineRule="auto"/>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top"/>
          </w:tcPr>
          <w:p>
            <w:pPr>
              <w:spacing w:line="360" w:lineRule="auto"/>
              <w:jc w:val="center"/>
              <w:rPr>
                <w:rFonts w:hint="eastAsia" w:ascii="宋体" w:hAnsi="宋体" w:eastAsia="宋体" w:cs="宋体"/>
                <w:sz w:val="22"/>
                <w:szCs w:val="22"/>
              </w:rPr>
            </w:pPr>
          </w:p>
        </w:tc>
        <w:tc>
          <w:tcPr>
            <w:tcW w:w="1708" w:type="dxa"/>
            <w:noWrap w:val="0"/>
            <w:vAlign w:val="center"/>
          </w:tcPr>
          <w:p>
            <w:pPr>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rPr>
              <w:t>符合性</w:t>
            </w:r>
            <w:r>
              <w:rPr>
                <w:rFonts w:hint="eastAsia" w:ascii="宋体" w:hAnsi="宋体" w:eastAsia="宋体" w:cs="宋体"/>
                <w:sz w:val="22"/>
                <w:szCs w:val="22"/>
                <w:lang w:eastAsia="zh-CN"/>
              </w:rPr>
              <w:t>审查</w:t>
            </w:r>
          </w:p>
        </w:tc>
        <w:tc>
          <w:tcPr>
            <w:tcW w:w="5845" w:type="dxa"/>
            <w:vMerge w:val="continue"/>
            <w:noWrap w:val="0"/>
            <w:vAlign w:val="center"/>
          </w:tcPr>
          <w:p>
            <w:pPr>
              <w:spacing w:line="440" w:lineRule="exact"/>
              <w:jc w:val="left"/>
              <w:rPr>
                <w:rFonts w:hint="eastAsia" w:ascii="宋体" w:hAnsi="宋体" w:eastAsia="宋体" w:cs="宋体"/>
                <w:sz w:val="22"/>
                <w:szCs w:val="22"/>
              </w:rPr>
            </w:pPr>
          </w:p>
        </w:tc>
        <w:tc>
          <w:tcPr>
            <w:tcW w:w="1235" w:type="dxa"/>
            <w:vMerge w:val="continue"/>
            <w:noWrap w:val="0"/>
            <w:vAlign w:val="top"/>
          </w:tcPr>
          <w:p>
            <w:pPr>
              <w:spacing w:line="360" w:lineRule="auto"/>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4"/>
            <w:noWrap w:val="0"/>
            <w:vAlign w:val="center"/>
          </w:tcPr>
          <w:p>
            <w:pPr>
              <w:spacing w:line="360" w:lineRule="auto"/>
              <w:jc w:val="both"/>
              <w:rPr>
                <w:rFonts w:hint="eastAsia" w:ascii="宋体" w:hAnsi="宋体" w:eastAsia="宋体" w:cs="宋体"/>
                <w:sz w:val="22"/>
                <w:szCs w:val="22"/>
                <w:lang w:val="en-US" w:eastAsia="zh-CN"/>
              </w:rPr>
            </w:pPr>
            <w:r>
              <w:rPr>
                <w:rFonts w:hint="eastAsia" w:ascii="宋体" w:hAnsi="宋体" w:eastAsia="宋体" w:cs="宋体"/>
                <w:sz w:val="22"/>
                <w:szCs w:val="22"/>
                <w:lang w:eastAsia="zh-CN"/>
              </w:rPr>
              <w:t>说明：</w:t>
            </w:r>
            <w:r>
              <w:rPr>
                <w:rFonts w:hint="eastAsia" w:ascii="宋体" w:hAnsi="宋体" w:eastAsia="宋体" w:cs="宋体"/>
                <w:sz w:val="22"/>
                <w:szCs w:val="22"/>
              </w:rPr>
              <w:t>初步评审</w:t>
            </w:r>
            <w:r>
              <w:rPr>
                <w:rFonts w:hint="eastAsia" w:ascii="宋体" w:hAnsi="宋体" w:eastAsia="宋体" w:cs="宋体"/>
                <w:sz w:val="22"/>
                <w:szCs w:val="22"/>
                <w:lang w:eastAsia="zh-CN"/>
              </w:rPr>
              <w:t>不通</w:t>
            </w:r>
            <w:r>
              <w:rPr>
                <w:rFonts w:hint="eastAsia" w:ascii="宋体" w:hAnsi="宋体" w:eastAsia="宋体" w:cs="宋体"/>
                <w:color w:val="auto"/>
                <w:sz w:val="22"/>
                <w:szCs w:val="22"/>
                <w:lang w:eastAsia="zh-CN"/>
              </w:rPr>
              <w:t>过的</w:t>
            </w:r>
            <w:r>
              <w:rPr>
                <w:rFonts w:hint="eastAsia" w:ascii="宋体" w:hAnsi="宋体" w:eastAsia="宋体" w:cs="宋体"/>
                <w:color w:val="auto"/>
                <w:sz w:val="22"/>
                <w:szCs w:val="22"/>
                <w:lang w:val="en-US" w:eastAsia="zh-CN"/>
              </w:rPr>
              <w:t>不再进入详细评审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7" w:hRule="atLeast"/>
          <w:jc w:val="center"/>
        </w:trPr>
        <w:tc>
          <w:tcPr>
            <w:tcW w:w="2910" w:type="dxa"/>
            <w:gridSpan w:val="2"/>
            <w:noWrap w:val="0"/>
            <w:vAlign w:val="top"/>
          </w:tcPr>
          <w:p>
            <w:pPr>
              <w:spacing w:line="360" w:lineRule="auto"/>
              <w:ind w:firstLine="541" w:firstLineChars="245"/>
              <w:rPr>
                <w:rFonts w:hint="eastAsia" w:ascii="宋体" w:hAnsi="宋体" w:eastAsia="宋体" w:cs="宋体"/>
                <w:sz w:val="22"/>
                <w:szCs w:val="22"/>
              </w:rPr>
            </w:pPr>
            <w:r>
              <w:rPr>
                <w:rFonts w:hint="eastAsia" w:ascii="宋体" w:hAnsi="宋体" w:eastAsia="宋体" w:cs="宋体"/>
                <w:b/>
                <w:sz w:val="22"/>
                <w:szCs w:val="22"/>
              </w:rPr>
              <w:t>评分因素</w:t>
            </w:r>
          </w:p>
        </w:tc>
        <w:tc>
          <w:tcPr>
            <w:tcW w:w="5845" w:type="dxa"/>
            <w:noWrap w:val="0"/>
            <w:vAlign w:val="center"/>
          </w:tcPr>
          <w:p>
            <w:pPr>
              <w:spacing w:line="360" w:lineRule="auto"/>
              <w:jc w:val="center"/>
              <w:rPr>
                <w:rFonts w:hint="eastAsia" w:ascii="宋体" w:hAnsi="宋体" w:eastAsia="宋体" w:cs="宋体"/>
                <w:sz w:val="22"/>
                <w:szCs w:val="22"/>
              </w:rPr>
            </w:pPr>
            <w:r>
              <w:rPr>
                <w:rFonts w:hint="eastAsia" w:ascii="宋体" w:hAnsi="宋体" w:eastAsia="宋体" w:cs="宋体"/>
                <w:b/>
                <w:sz w:val="22"/>
                <w:szCs w:val="22"/>
              </w:rPr>
              <w:t>评分标准</w:t>
            </w:r>
          </w:p>
        </w:tc>
        <w:tc>
          <w:tcPr>
            <w:tcW w:w="1235" w:type="dxa"/>
            <w:noWrap w:val="0"/>
            <w:vAlign w:val="top"/>
          </w:tcPr>
          <w:p>
            <w:pPr>
              <w:spacing w:line="360" w:lineRule="auto"/>
              <w:jc w:val="center"/>
              <w:rPr>
                <w:rFonts w:hint="eastAsia" w:ascii="宋体" w:hAnsi="宋体" w:eastAsia="宋体" w:cs="宋体"/>
                <w:sz w:val="22"/>
                <w:szCs w:val="22"/>
              </w:rPr>
            </w:pPr>
            <w:r>
              <w:rPr>
                <w:rFonts w:hint="eastAsia" w:ascii="宋体" w:hAnsi="宋体" w:eastAsia="宋体" w:cs="宋体"/>
                <w:b/>
                <w:sz w:val="22"/>
                <w:szCs w:val="22"/>
              </w:rPr>
              <w:t>权重分配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40" w:hRule="atLeast"/>
          <w:jc w:val="center"/>
        </w:trPr>
        <w:tc>
          <w:tcPr>
            <w:tcW w:w="1202" w:type="dxa"/>
            <w:vMerge w:val="restart"/>
            <w:noWrap w:val="0"/>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详细评审</w:t>
            </w:r>
          </w:p>
        </w:tc>
        <w:tc>
          <w:tcPr>
            <w:tcW w:w="1708" w:type="dxa"/>
            <w:noWrap w:val="0"/>
            <w:vAlign w:val="center"/>
          </w:tcPr>
          <w:p>
            <w:pPr>
              <w:spacing w:line="360" w:lineRule="auto"/>
              <w:jc w:val="center"/>
              <w:rPr>
                <w:rFonts w:hint="eastAsia" w:ascii="宋体" w:hAnsi="宋体" w:eastAsia="宋体" w:cs="宋体"/>
                <w:sz w:val="22"/>
                <w:szCs w:val="22"/>
                <w:highlight w:val="none"/>
              </w:rPr>
            </w:pPr>
            <w:r>
              <w:rPr>
                <w:rFonts w:hint="eastAsia" w:ascii="宋体" w:hAnsi="宋体" w:cs="宋体"/>
                <w:sz w:val="22"/>
                <w:szCs w:val="22"/>
                <w:highlight w:val="none"/>
                <w:lang w:eastAsia="zh-CN"/>
              </w:rPr>
              <w:t>商务</w:t>
            </w:r>
            <w:r>
              <w:rPr>
                <w:rFonts w:hint="eastAsia" w:ascii="宋体" w:hAnsi="宋体" w:eastAsia="宋体" w:cs="宋体"/>
                <w:sz w:val="22"/>
                <w:szCs w:val="22"/>
                <w:highlight w:val="none"/>
              </w:rPr>
              <w:t>报价评审</w:t>
            </w:r>
          </w:p>
          <w:p>
            <w:pPr>
              <w:spacing w:line="360" w:lineRule="auto"/>
              <w:jc w:val="center"/>
              <w:rPr>
                <w:rFonts w:hint="eastAsia" w:ascii="宋体" w:hAnsi="宋体" w:eastAsia="宋体" w:cs="宋体"/>
                <w:sz w:val="22"/>
                <w:szCs w:val="22"/>
              </w:rPr>
            </w:pPr>
            <w:r>
              <w:rPr>
                <w:rFonts w:hint="eastAsia" w:ascii="宋体" w:hAnsi="宋体" w:eastAsia="宋体" w:cs="宋体"/>
                <w:sz w:val="22"/>
                <w:szCs w:val="22"/>
                <w:highlight w:val="none"/>
              </w:rPr>
              <w:t>（</w:t>
            </w:r>
            <w:r>
              <w:rPr>
                <w:rFonts w:hint="eastAsia" w:ascii="宋体" w:hAnsi="宋体" w:cs="宋体"/>
                <w:sz w:val="22"/>
                <w:szCs w:val="22"/>
                <w:highlight w:val="none"/>
                <w:lang w:val="en-US" w:eastAsia="zh-CN"/>
              </w:rPr>
              <w:t>30</w:t>
            </w:r>
            <w:r>
              <w:rPr>
                <w:rFonts w:hint="eastAsia" w:ascii="宋体" w:hAnsi="宋体" w:eastAsia="宋体" w:cs="宋体"/>
                <w:sz w:val="22"/>
                <w:szCs w:val="22"/>
                <w:highlight w:val="none"/>
              </w:rPr>
              <w:t>分）</w:t>
            </w:r>
          </w:p>
        </w:tc>
        <w:tc>
          <w:tcPr>
            <w:tcW w:w="5845" w:type="dxa"/>
            <w:noWrap w:val="0"/>
            <w:vAlign w:val="center"/>
          </w:tcPr>
          <w:p>
            <w:pPr>
              <w:spacing w:line="360" w:lineRule="auto"/>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评标基准价=最终投标报价的最低值，最终投标报价等于基准值的得满分，投标报价得分=（评标基准价/最终投标报价）×价格权重×100。磋商小组只对</w:t>
            </w:r>
            <w:r>
              <w:rPr>
                <w:rFonts w:hint="eastAsia" w:ascii="宋体" w:hAnsi="宋体" w:cs="宋体"/>
                <w:kern w:val="2"/>
                <w:sz w:val="22"/>
                <w:szCs w:val="22"/>
                <w:highlight w:val="none"/>
                <w:lang w:val="en-US" w:eastAsia="zh-CN" w:bidi="ar-SA"/>
              </w:rPr>
              <w:t>通过</w:t>
            </w:r>
            <w:r>
              <w:rPr>
                <w:rFonts w:hint="eastAsia" w:ascii="宋体" w:hAnsi="宋体" w:eastAsia="宋体" w:cs="宋体"/>
                <w:sz w:val="22"/>
                <w:szCs w:val="22"/>
              </w:rPr>
              <w:t>初步评审</w:t>
            </w:r>
            <w:r>
              <w:rPr>
                <w:rFonts w:hint="eastAsia" w:ascii="宋体" w:hAnsi="宋体" w:eastAsia="宋体" w:cs="宋体"/>
                <w:kern w:val="2"/>
                <w:sz w:val="22"/>
                <w:szCs w:val="22"/>
                <w:highlight w:val="none"/>
                <w:lang w:val="en-US" w:eastAsia="zh-CN" w:bidi="ar-SA"/>
              </w:rPr>
              <w:t>的响应文件进行价格评议</w:t>
            </w:r>
            <w:r>
              <w:rPr>
                <w:rFonts w:hint="eastAsia" w:ascii="宋体" w:hAnsi="宋体" w:cs="宋体"/>
                <w:kern w:val="2"/>
                <w:sz w:val="22"/>
                <w:szCs w:val="22"/>
                <w:highlight w:val="none"/>
                <w:lang w:val="en-US" w:eastAsia="zh-CN" w:bidi="ar-SA"/>
              </w:rPr>
              <w:t>。</w:t>
            </w:r>
          </w:p>
          <w:p>
            <w:pPr>
              <w:spacing w:line="360" w:lineRule="auto"/>
              <w:rPr>
                <w:rFonts w:hint="eastAsia" w:ascii="宋体" w:hAnsi="宋体" w:eastAsia="宋体" w:cs="宋体"/>
                <w:sz w:val="28"/>
                <w:szCs w:val="18"/>
                <w:highlight w:val="none"/>
                <w:lang w:eastAsia="zh-CN"/>
              </w:rPr>
            </w:pPr>
            <w:r>
              <w:rPr>
                <w:rFonts w:hint="eastAsia" w:ascii="宋体" w:hAnsi="宋体" w:eastAsia="宋体" w:cs="宋体"/>
                <w:kern w:val="2"/>
                <w:sz w:val="22"/>
                <w:szCs w:val="22"/>
                <w:highlight w:val="none"/>
                <w:lang w:val="en-US" w:eastAsia="zh-CN" w:bidi="ar-SA"/>
              </w:rPr>
              <w:t>注：中小企业</w:t>
            </w:r>
            <w:r>
              <w:rPr>
                <w:rFonts w:hint="eastAsia" w:ascii="宋体" w:hAnsi="宋体" w:cs="宋体"/>
                <w:kern w:val="2"/>
                <w:sz w:val="22"/>
                <w:szCs w:val="22"/>
                <w:highlight w:val="none"/>
                <w:lang w:val="en-US" w:eastAsia="zh-CN" w:bidi="ar-SA"/>
              </w:rPr>
              <w:t>报价</w:t>
            </w:r>
            <w:r>
              <w:rPr>
                <w:rFonts w:hint="eastAsia" w:ascii="宋体" w:hAnsi="宋体" w:eastAsia="宋体" w:cs="宋体"/>
                <w:kern w:val="2"/>
                <w:sz w:val="22"/>
                <w:szCs w:val="22"/>
                <w:highlight w:val="none"/>
                <w:lang w:val="en-US" w:eastAsia="zh-CN" w:bidi="ar-SA"/>
              </w:rPr>
              <w:t>价格扣除后的报价=投标报价×（</w:t>
            </w:r>
            <w:r>
              <w:rPr>
                <w:rFonts w:hint="eastAsia" w:ascii="宋体" w:hAnsi="宋体" w:cs="宋体"/>
                <w:kern w:val="2"/>
                <w:sz w:val="22"/>
                <w:szCs w:val="22"/>
                <w:highlight w:val="none"/>
                <w:lang w:val="en-US" w:eastAsia="zh-CN" w:bidi="ar-SA"/>
              </w:rPr>
              <w:t>3</w:t>
            </w:r>
            <w:r>
              <w:rPr>
                <w:rFonts w:hint="eastAsia" w:ascii="宋体" w:hAnsi="宋体" w:eastAsia="宋体" w:cs="宋体"/>
                <w:kern w:val="2"/>
                <w:sz w:val="22"/>
                <w:szCs w:val="22"/>
                <w:highlight w:val="none"/>
                <w:lang w:val="en-US" w:eastAsia="zh-CN" w:bidi="ar-SA"/>
              </w:rPr>
              <w:t>%），以价格扣除后的报价作为评审依据。</w:t>
            </w:r>
          </w:p>
        </w:tc>
        <w:tc>
          <w:tcPr>
            <w:tcW w:w="1235" w:type="dxa"/>
            <w:noWrap w:val="0"/>
            <w:vAlign w:val="center"/>
          </w:tcPr>
          <w:p>
            <w:pPr>
              <w:spacing w:line="360" w:lineRule="auto"/>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30</w:t>
            </w:r>
            <w:r>
              <w:rPr>
                <w:rFonts w:hint="eastAsia" w:ascii="宋体" w:hAnsi="宋体" w:eastAsia="宋体" w:cs="宋体"/>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top"/>
          </w:tcPr>
          <w:p>
            <w:pPr>
              <w:spacing w:line="360" w:lineRule="auto"/>
              <w:jc w:val="center"/>
              <w:rPr>
                <w:rFonts w:hint="eastAsia" w:ascii="宋体" w:hAnsi="宋体" w:eastAsia="宋体" w:cs="宋体"/>
                <w:sz w:val="22"/>
                <w:szCs w:val="22"/>
              </w:rPr>
            </w:pPr>
          </w:p>
        </w:tc>
        <w:tc>
          <w:tcPr>
            <w:tcW w:w="1708" w:type="dxa"/>
            <w:noWrap w:val="0"/>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技术标评审</w:t>
            </w:r>
          </w:p>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val="en-US" w:eastAsia="zh-CN"/>
              </w:rPr>
              <w:t>100</w:t>
            </w:r>
            <w:r>
              <w:rPr>
                <w:rFonts w:hint="eastAsia" w:ascii="宋体" w:hAnsi="宋体" w:eastAsia="宋体" w:cs="宋体"/>
                <w:sz w:val="22"/>
                <w:szCs w:val="22"/>
              </w:rPr>
              <w:t>分）</w:t>
            </w:r>
          </w:p>
        </w:tc>
        <w:tc>
          <w:tcPr>
            <w:tcW w:w="5845" w:type="dxa"/>
            <w:noWrap w:val="0"/>
            <w:vAlign w:val="center"/>
          </w:tcPr>
          <w:p>
            <w:pPr>
              <w:spacing w:line="360" w:lineRule="auto"/>
              <w:jc w:val="lef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详见附表</w:t>
            </w:r>
            <w:r>
              <w:rPr>
                <w:rFonts w:hint="eastAsia" w:ascii="宋体" w:hAnsi="宋体" w:cs="宋体"/>
                <w:sz w:val="22"/>
                <w:szCs w:val="22"/>
                <w:highlight w:val="none"/>
                <w:lang w:eastAsia="zh-CN"/>
              </w:rPr>
              <w:t>二</w:t>
            </w:r>
          </w:p>
        </w:tc>
        <w:tc>
          <w:tcPr>
            <w:tcW w:w="1235" w:type="dxa"/>
            <w:noWrap w:val="0"/>
            <w:vAlign w:val="center"/>
          </w:tcPr>
          <w:p>
            <w:pPr>
              <w:spacing w:line="360" w:lineRule="auto"/>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7</w:t>
            </w:r>
            <w:r>
              <w:rPr>
                <w:rFonts w:hint="eastAsia" w:ascii="宋体" w:hAnsi="宋体" w:eastAsia="宋体" w:cs="宋体"/>
                <w:sz w:val="22"/>
                <w:szCs w:val="22"/>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910" w:type="dxa"/>
            <w:gridSpan w:val="2"/>
            <w:noWrap w:val="0"/>
            <w:vAlign w:val="top"/>
          </w:tcPr>
          <w:p>
            <w:pPr>
              <w:spacing w:line="360" w:lineRule="auto"/>
              <w:jc w:val="center"/>
              <w:rPr>
                <w:rFonts w:hint="eastAsia" w:ascii="宋体" w:hAnsi="宋体" w:eastAsia="宋体" w:cs="宋体"/>
                <w:sz w:val="22"/>
                <w:szCs w:val="22"/>
              </w:rPr>
            </w:pPr>
          </w:p>
          <w:p>
            <w:pPr>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rPr>
              <w:t>合计</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100分</w:t>
            </w:r>
            <w:r>
              <w:rPr>
                <w:rFonts w:hint="eastAsia" w:ascii="宋体" w:hAnsi="宋体" w:eastAsia="宋体" w:cs="宋体"/>
                <w:sz w:val="22"/>
                <w:szCs w:val="22"/>
                <w:lang w:eastAsia="zh-CN"/>
              </w:rPr>
              <w:t>）</w:t>
            </w:r>
          </w:p>
        </w:tc>
        <w:tc>
          <w:tcPr>
            <w:tcW w:w="5845" w:type="dxa"/>
            <w:noWrap w:val="0"/>
            <w:vAlign w:val="center"/>
          </w:tcPr>
          <w:p>
            <w:pPr>
              <w:spacing w:line="360" w:lineRule="auto"/>
              <w:jc w:val="center"/>
              <w:rPr>
                <w:rFonts w:hint="eastAsia" w:ascii="宋体" w:hAnsi="宋体" w:eastAsia="宋体" w:cs="宋体"/>
                <w:sz w:val="22"/>
                <w:szCs w:val="22"/>
              </w:rPr>
            </w:pPr>
          </w:p>
        </w:tc>
        <w:tc>
          <w:tcPr>
            <w:tcW w:w="1235" w:type="dxa"/>
            <w:noWrap w:val="0"/>
            <w:vAlign w:val="top"/>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4"/>
            <w:noWrap w:val="0"/>
            <w:vAlign w:val="center"/>
          </w:tcPr>
          <w:p>
            <w:pPr>
              <w:spacing w:line="360" w:lineRule="auto"/>
              <w:jc w:val="both"/>
              <w:rPr>
                <w:rFonts w:hint="eastAsia" w:ascii="宋体" w:hAnsi="宋体" w:eastAsia="宋体" w:cs="宋体"/>
                <w:sz w:val="22"/>
                <w:szCs w:val="22"/>
              </w:rPr>
            </w:pPr>
            <w:r>
              <w:rPr>
                <w:rFonts w:hint="eastAsia" w:ascii="宋体" w:hAnsi="宋体" w:eastAsia="宋体" w:cs="宋体"/>
                <w:color w:val="000000"/>
                <w:sz w:val="22"/>
                <w:szCs w:val="22"/>
              </w:rPr>
              <w:t>注</w:t>
            </w:r>
            <w:r>
              <w:rPr>
                <w:rFonts w:hint="eastAsia" w:ascii="宋体" w:hAnsi="宋体" w:eastAsia="宋体" w:cs="宋体"/>
                <w:sz w:val="22"/>
                <w:szCs w:val="22"/>
              </w:rPr>
              <w:t>：</w:t>
            </w:r>
            <w:r>
              <w:rPr>
                <w:rFonts w:hint="eastAsia" w:ascii="宋体" w:hAnsi="宋体" w:eastAsia="宋体" w:cs="宋体"/>
                <w:color w:val="000000"/>
                <w:sz w:val="22"/>
                <w:szCs w:val="22"/>
              </w:rPr>
              <w:t>评分分值计算保留小数点后两位，小数点后第三位“四舍五入”</w:t>
            </w:r>
          </w:p>
        </w:tc>
      </w:tr>
    </w:tbl>
    <w:p>
      <w:pPr>
        <w:pStyle w:val="2"/>
        <w:ind w:left="0" w:leftChars="0" w:firstLine="0" w:firstLineChars="0"/>
        <w:rPr>
          <w:rFonts w:hint="eastAsia" w:ascii="宋体" w:hAnsi="宋体" w:eastAsia="宋体" w:cs="Times New Roman"/>
          <w:kern w:val="2"/>
          <w:sz w:val="28"/>
          <w:szCs w:val="24"/>
          <w:highlight w:val="whit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highlight w:val="none"/>
          <w:lang w:eastAsia="zh-CN"/>
        </w:rPr>
      </w:pPr>
      <w:r>
        <w:rPr>
          <w:rFonts w:hint="eastAsia" w:ascii="宋体" w:hAnsi="宋体" w:eastAsia="宋体" w:cs="宋体"/>
          <w:b/>
          <w:bCs/>
          <w:sz w:val="24"/>
          <w:highlight w:val="none"/>
          <w:lang w:eastAsia="zh-CN"/>
        </w:rPr>
        <w:t>政府采购政策功能落实：</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本项目按照《新疆维吾尔自治区政府采购促进中小企业发展管理实施办法》执行</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一、关于中小企业、</w:t>
      </w:r>
      <w:r>
        <w:rPr>
          <w:rFonts w:hint="eastAsia" w:ascii="宋体" w:hAnsi="宋体" w:eastAsia="宋体" w:cs="宋体"/>
          <w:sz w:val="24"/>
          <w:szCs w:val="24"/>
          <w:highlight w:val="none"/>
        </w:rPr>
        <w:t>残疾人福利</w:t>
      </w:r>
      <w:r>
        <w:rPr>
          <w:rFonts w:hint="eastAsia" w:ascii="宋体" w:hAnsi="宋体" w:eastAsia="宋体" w:cs="宋体"/>
          <w:sz w:val="24"/>
          <w:szCs w:val="24"/>
          <w:highlight w:val="none"/>
          <w:lang w:eastAsia="zh-CN"/>
        </w:rPr>
        <w:t>性</w:t>
      </w:r>
      <w:r>
        <w:rPr>
          <w:rFonts w:hint="eastAsia" w:ascii="宋体" w:hAnsi="宋体" w:eastAsia="宋体" w:cs="宋体"/>
          <w:sz w:val="24"/>
          <w:szCs w:val="24"/>
          <w:highlight w:val="none"/>
        </w:rPr>
        <w:t>单位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监狱企业</w:t>
      </w:r>
      <w:r>
        <w:rPr>
          <w:rFonts w:hint="eastAsia" w:ascii="宋体" w:hAnsi="宋体" w:eastAsia="宋体" w:cs="宋体"/>
          <w:sz w:val="24"/>
          <w:szCs w:val="24"/>
          <w:highlight w:val="none"/>
          <w:lang w:eastAsia="zh-CN"/>
        </w:rPr>
        <w:t>扶持政策落实的规定：</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中</w:t>
      </w:r>
      <w:r>
        <w:rPr>
          <w:rFonts w:hint="eastAsia" w:ascii="宋体" w:hAnsi="宋体" w:eastAsia="宋体" w:cs="宋体"/>
          <w:sz w:val="24"/>
          <w:szCs w:val="24"/>
          <w:highlight w:val="none"/>
        </w:rPr>
        <w:t>小企业</w:t>
      </w:r>
      <w:r>
        <w:rPr>
          <w:rFonts w:hint="eastAsia" w:ascii="宋体" w:hAnsi="宋体" w:eastAsia="宋体" w:cs="宋体"/>
          <w:sz w:val="24"/>
          <w:szCs w:val="24"/>
          <w:highlight w:val="none"/>
          <w:lang w:eastAsia="zh-CN"/>
        </w:rPr>
        <w:t>报价的</w:t>
      </w:r>
      <w:r>
        <w:rPr>
          <w:rFonts w:hint="eastAsia" w:ascii="宋体" w:hAnsi="宋体" w:eastAsia="宋体" w:cs="宋体"/>
          <w:sz w:val="24"/>
          <w:szCs w:val="24"/>
          <w:highlight w:val="none"/>
        </w:rPr>
        <w:t>价格扣除</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（1）本项目对</w:t>
      </w:r>
      <w:r>
        <w:rPr>
          <w:rFonts w:hint="eastAsia" w:ascii="宋体" w:hAnsi="宋体" w:eastAsia="宋体" w:cs="宋体"/>
          <w:sz w:val="24"/>
          <w:szCs w:val="24"/>
          <w:highlight w:val="none"/>
          <w:lang w:eastAsia="zh-CN"/>
        </w:rPr>
        <w:t>中</w:t>
      </w:r>
      <w:r>
        <w:rPr>
          <w:rFonts w:hint="eastAsia" w:ascii="宋体" w:hAnsi="宋体" w:eastAsia="宋体" w:cs="宋体"/>
          <w:sz w:val="24"/>
          <w:szCs w:val="24"/>
          <w:highlight w:val="none"/>
        </w:rPr>
        <w:t>小企业</w:t>
      </w:r>
      <w:r>
        <w:rPr>
          <w:rFonts w:hint="eastAsia" w:ascii="宋体" w:hAnsi="宋体" w:eastAsia="宋体" w:cs="宋体"/>
          <w:sz w:val="24"/>
          <w:szCs w:val="24"/>
          <w:highlight w:val="none"/>
          <w:lang w:eastAsia="zh-CN"/>
        </w:rPr>
        <w:t>报价的价格</w:t>
      </w:r>
      <w:r>
        <w:rPr>
          <w:rFonts w:hint="eastAsia" w:ascii="宋体" w:hAnsi="宋体" w:eastAsia="宋体" w:cs="宋体"/>
          <w:sz w:val="24"/>
          <w:szCs w:val="24"/>
          <w:highlight w:val="none"/>
        </w:rPr>
        <w:t>给予</w:t>
      </w:r>
      <w:r>
        <w:rPr>
          <w:rFonts w:hint="eastAsia" w:ascii="宋体" w:hAnsi="宋体" w:eastAsia="宋体" w:cs="宋体"/>
          <w:b/>
          <w:bCs/>
          <w:sz w:val="24"/>
          <w:szCs w:val="24"/>
          <w:highlight w:val="none"/>
          <w:u w:val="single"/>
          <w:lang w:val="en-US" w:eastAsia="zh-CN"/>
        </w:rPr>
        <w:t>3</w:t>
      </w:r>
      <w:r>
        <w:rPr>
          <w:rFonts w:hint="eastAsia" w:ascii="宋体" w:hAnsi="宋体" w:eastAsia="宋体" w:cs="宋体"/>
          <w:b/>
          <w:bCs/>
          <w:sz w:val="24"/>
          <w:szCs w:val="24"/>
          <w:highlight w:val="none"/>
          <w:u w:val="single"/>
        </w:rPr>
        <w:t>%</w:t>
      </w:r>
      <w:r>
        <w:rPr>
          <w:rFonts w:hint="eastAsia" w:ascii="宋体" w:hAnsi="宋体" w:eastAsia="宋体" w:cs="宋体"/>
          <w:sz w:val="24"/>
          <w:szCs w:val="24"/>
          <w:highlight w:val="none"/>
        </w:rPr>
        <w:t>的扣除，用扣除后的价格参与评审。</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（2）供应商需按照</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的要求提供《</w:t>
      </w:r>
      <w:r>
        <w:rPr>
          <w:rFonts w:hint="eastAsia" w:ascii="宋体" w:hAnsi="宋体" w:eastAsia="宋体" w:cs="宋体"/>
          <w:sz w:val="24"/>
          <w:szCs w:val="24"/>
          <w:highlight w:val="none"/>
          <w:lang w:eastAsia="zh-CN"/>
        </w:rPr>
        <w:t>中小</w:t>
      </w:r>
      <w:r>
        <w:rPr>
          <w:rFonts w:hint="eastAsia" w:ascii="宋体" w:hAnsi="宋体" w:eastAsia="宋体" w:cs="宋体"/>
          <w:sz w:val="24"/>
          <w:szCs w:val="24"/>
          <w:highlight w:val="none"/>
        </w:rPr>
        <w:t>企业声明函》</w:t>
      </w:r>
      <w:r>
        <w:rPr>
          <w:rFonts w:hint="eastAsia" w:ascii="宋体" w:hAnsi="宋体" w:eastAsia="宋体" w:cs="宋体"/>
          <w:sz w:val="24"/>
          <w:szCs w:val="24"/>
          <w:highlight w:val="none"/>
          <w:lang w:eastAsia="zh-CN"/>
        </w:rPr>
        <w:t>，详见第六章“响应文件格式”附件八</w:t>
      </w:r>
      <w:r>
        <w:rPr>
          <w:rFonts w:hint="eastAsia" w:ascii="宋体" w:hAnsi="宋体" w:eastAsia="宋体" w:cs="宋体"/>
          <w:sz w:val="24"/>
          <w:szCs w:val="24"/>
          <w:highlight w:val="none"/>
        </w:rPr>
        <w:t>。</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（3）企业标准请参照《关于印发中小企业划型标准规定的通知》（工信部联企业[2011]300号）文件规定自行填写。</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2、残疾人福利</w:t>
      </w:r>
      <w:r>
        <w:rPr>
          <w:rFonts w:hint="eastAsia" w:ascii="宋体" w:hAnsi="宋体" w:eastAsia="宋体" w:cs="宋体"/>
          <w:sz w:val="24"/>
          <w:szCs w:val="24"/>
          <w:highlight w:val="none"/>
          <w:lang w:eastAsia="zh-CN"/>
        </w:rPr>
        <w:t>性</w:t>
      </w:r>
      <w:r>
        <w:rPr>
          <w:rFonts w:hint="eastAsia" w:ascii="宋体" w:hAnsi="宋体" w:eastAsia="宋体" w:cs="宋体"/>
          <w:sz w:val="24"/>
          <w:szCs w:val="24"/>
          <w:highlight w:val="none"/>
        </w:rPr>
        <w:t>单位</w:t>
      </w:r>
      <w:r>
        <w:rPr>
          <w:rFonts w:hint="eastAsia" w:ascii="宋体" w:hAnsi="宋体" w:eastAsia="宋体" w:cs="宋体"/>
          <w:sz w:val="24"/>
          <w:szCs w:val="24"/>
          <w:highlight w:val="none"/>
          <w:lang w:eastAsia="zh-CN"/>
        </w:rPr>
        <w:t>报价的</w:t>
      </w:r>
      <w:r>
        <w:rPr>
          <w:rFonts w:hint="eastAsia" w:ascii="宋体" w:hAnsi="宋体" w:eastAsia="宋体" w:cs="宋体"/>
          <w:sz w:val="24"/>
          <w:szCs w:val="24"/>
          <w:highlight w:val="none"/>
        </w:rPr>
        <w:t>价格扣除</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（1）本项目对残疾人福利性单位视同小型、微型企业，给予</w:t>
      </w:r>
      <w:r>
        <w:rPr>
          <w:rFonts w:hint="eastAsia" w:ascii="宋体" w:hAnsi="宋体" w:eastAsia="宋体" w:cs="宋体"/>
          <w:b/>
          <w:bCs/>
          <w:sz w:val="24"/>
          <w:szCs w:val="24"/>
          <w:highlight w:val="none"/>
          <w:u w:val="single"/>
          <w:lang w:val="en-US" w:eastAsia="zh-CN"/>
        </w:rPr>
        <w:t>3</w:t>
      </w:r>
      <w:r>
        <w:rPr>
          <w:rFonts w:hint="eastAsia" w:ascii="宋体" w:hAnsi="宋体" w:eastAsia="宋体" w:cs="宋体"/>
          <w:b/>
          <w:bCs/>
          <w:sz w:val="24"/>
          <w:szCs w:val="24"/>
          <w:highlight w:val="none"/>
          <w:u w:val="single"/>
        </w:rPr>
        <w:t>%</w:t>
      </w:r>
      <w:r>
        <w:rPr>
          <w:rFonts w:hint="eastAsia" w:ascii="宋体" w:hAnsi="宋体" w:eastAsia="宋体" w:cs="宋体"/>
          <w:sz w:val="24"/>
          <w:szCs w:val="24"/>
          <w:highlight w:val="none"/>
        </w:rPr>
        <w:t>的价格扣除，用扣除后的价格参与评审。</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（2）残疾人福利</w:t>
      </w:r>
      <w:r>
        <w:rPr>
          <w:rFonts w:hint="eastAsia" w:ascii="宋体" w:hAnsi="宋体" w:eastAsia="宋体" w:cs="宋体"/>
          <w:sz w:val="24"/>
          <w:szCs w:val="24"/>
          <w:highlight w:val="none"/>
          <w:lang w:eastAsia="zh-CN"/>
        </w:rPr>
        <w:t>性</w:t>
      </w:r>
      <w:r>
        <w:rPr>
          <w:rFonts w:hint="eastAsia" w:ascii="宋体" w:hAnsi="宋体" w:eastAsia="宋体" w:cs="宋体"/>
          <w:sz w:val="24"/>
          <w:szCs w:val="24"/>
          <w:highlight w:val="none"/>
        </w:rPr>
        <w:t>单位需按照采购文件的要求提供《残疾人福利性单位声明函》。</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（3）残疾人福利</w:t>
      </w:r>
      <w:r>
        <w:rPr>
          <w:rFonts w:hint="eastAsia" w:ascii="宋体" w:hAnsi="宋体" w:eastAsia="宋体" w:cs="宋体"/>
          <w:sz w:val="24"/>
          <w:szCs w:val="24"/>
          <w:highlight w:val="none"/>
          <w:lang w:eastAsia="zh-CN"/>
        </w:rPr>
        <w:t>性</w:t>
      </w:r>
      <w:r>
        <w:rPr>
          <w:rFonts w:hint="eastAsia" w:ascii="宋体" w:hAnsi="宋体" w:eastAsia="宋体" w:cs="宋体"/>
          <w:sz w:val="24"/>
          <w:szCs w:val="24"/>
          <w:highlight w:val="none"/>
        </w:rPr>
        <w:t>单位标准请参照《关于促进残疾人就业政府采购政策的通知》（财库〔2017〕141号）。</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3、监狱和戒毒企业</w:t>
      </w:r>
      <w:r>
        <w:rPr>
          <w:rFonts w:hint="eastAsia" w:ascii="宋体" w:hAnsi="宋体" w:eastAsia="宋体" w:cs="宋体"/>
          <w:sz w:val="24"/>
          <w:szCs w:val="24"/>
          <w:highlight w:val="none"/>
          <w:lang w:eastAsia="zh-CN"/>
        </w:rPr>
        <w:t>报价的</w:t>
      </w:r>
      <w:r>
        <w:rPr>
          <w:rFonts w:hint="eastAsia" w:ascii="宋体" w:hAnsi="宋体" w:eastAsia="宋体" w:cs="宋体"/>
          <w:sz w:val="24"/>
          <w:szCs w:val="24"/>
          <w:highlight w:val="none"/>
        </w:rPr>
        <w:t>价格扣除</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（1）本项目对监狱和戒毒企业（简称监狱企业）视同小型、微型企业，给予</w:t>
      </w:r>
      <w:r>
        <w:rPr>
          <w:rFonts w:hint="eastAsia" w:ascii="宋体" w:hAnsi="宋体" w:eastAsia="宋体" w:cs="宋体"/>
          <w:b/>
          <w:bCs/>
          <w:sz w:val="24"/>
          <w:szCs w:val="24"/>
          <w:highlight w:val="none"/>
          <w:u w:val="single"/>
          <w:lang w:val="en-US" w:eastAsia="zh-CN"/>
        </w:rPr>
        <w:t>3</w:t>
      </w:r>
      <w:r>
        <w:rPr>
          <w:rFonts w:hint="eastAsia" w:ascii="宋体" w:hAnsi="宋体" w:eastAsia="宋体" w:cs="宋体"/>
          <w:b/>
          <w:bCs/>
          <w:sz w:val="24"/>
          <w:szCs w:val="24"/>
          <w:highlight w:val="none"/>
          <w:u w:val="single"/>
        </w:rPr>
        <w:t>%</w:t>
      </w:r>
      <w:r>
        <w:rPr>
          <w:rFonts w:hint="eastAsia" w:ascii="宋体" w:hAnsi="宋体" w:eastAsia="宋体" w:cs="宋体"/>
          <w:sz w:val="24"/>
          <w:szCs w:val="24"/>
          <w:highlight w:val="none"/>
        </w:rPr>
        <w:t>的价格扣除，用扣除后的价格参与评审。</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（2）监狱企业参加政府采购活动时，需提供由省级以上监狱管理局、戒毒管理局(含新疆生产建设兵团)出具的属于监狱企业的证明文件。供应商如不提供上述证明文件，价格将不做相应扣除。</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（3）监狱企业标准请参照《关于政府采购支持监狱企业发展有关问题的通知》（财库[2014]68号）。</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4、残疾人福利单位、监狱企业属于小型、微型企业的，不重复享受政策。</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大中型企业和其他自然人、法人或者其他组织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w:t>
      </w:r>
      <w:r>
        <w:rPr>
          <w:rFonts w:hint="eastAsia" w:ascii="宋体" w:hAnsi="宋体" w:eastAsia="宋体" w:cs="宋体"/>
          <w:sz w:val="24"/>
          <w:szCs w:val="24"/>
          <w:highlight w:val="none"/>
          <w:lang w:eastAsia="zh-CN"/>
        </w:rPr>
        <w:t>（注意：组成联合体的中小</w:t>
      </w:r>
      <w:r>
        <w:rPr>
          <w:rFonts w:hint="eastAsia" w:ascii="宋体" w:hAnsi="宋体" w:eastAsia="宋体" w:cs="宋体"/>
          <w:sz w:val="24"/>
          <w:szCs w:val="24"/>
          <w:highlight w:val="none"/>
        </w:rPr>
        <w:t>企业</w:t>
      </w:r>
      <w:r>
        <w:rPr>
          <w:rFonts w:hint="eastAsia" w:ascii="宋体" w:hAnsi="宋体" w:eastAsia="宋体" w:cs="宋体"/>
          <w:sz w:val="24"/>
          <w:szCs w:val="24"/>
          <w:highlight w:val="none"/>
          <w:lang w:eastAsia="zh-CN"/>
        </w:rPr>
        <w:t>与联合体内其他</w:t>
      </w:r>
      <w:r>
        <w:rPr>
          <w:rFonts w:hint="eastAsia" w:ascii="宋体" w:hAnsi="宋体" w:eastAsia="宋体" w:cs="宋体"/>
          <w:sz w:val="24"/>
          <w:szCs w:val="24"/>
          <w:highlight w:val="none"/>
        </w:rPr>
        <w:t>企业</w:t>
      </w:r>
      <w:r>
        <w:rPr>
          <w:rFonts w:hint="eastAsia" w:ascii="宋体" w:hAnsi="宋体" w:eastAsia="宋体" w:cs="宋体"/>
          <w:sz w:val="24"/>
          <w:szCs w:val="24"/>
          <w:highlight w:val="none"/>
          <w:lang w:eastAsia="zh-CN"/>
        </w:rPr>
        <w:t>之间不得存在直接控股、管理关系）</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6、联合体各方均为小型、微型企业（残疾人福利单位、监狱企业）的，联合体享受</w:t>
      </w:r>
      <w:r>
        <w:rPr>
          <w:rFonts w:hint="eastAsia" w:ascii="宋体" w:hAnsi="宋体" w:eastAsia="宋体" w:cs="宋体"/>
          <w:b/>
          <w:bCs/>
          <w:sz w:val="24"/>
          <w:szCs w:val="24"/>
          <w:highlight w:val="none"/>
          <w:u w:val="single"/>
          <w:lang w:val="en-US" w:eastAsia="zh-CN"/>
        </w:rPr>
        <w:t>3</w:t>
      </w:r>
      <w:r>
        <w:rPr>
          <w:rFonts w:hint="eastAsia" w:ascii="宋体" w:hAnsi="宋体" w:eastAsia="宋体" w:cs="宋体"/>
          <w:b/>
          <w:bCs/>
          <w:sz w:val="24"/>
          <w:szCs w:val="24"/>
          <w:highlight w:val="none"/>
          <w:u w:val="single"/>
        </w:rPr>
        <w:t>%</w:t>
      </w:r>
      <w:r>
        <w:rPr>
          <w:rFonts w:hint="eastAsia" w:ascii="宋体" w:hAnsi="宋体" w:eastAsia="宋体" w:cs="宋体"/>
          <w:sz w:val="24"/>
          <w:szCs w:val="24"/>
          <w:highlight w:val="none"/>
        </w:rPr>
        <w:t>价格扣除，用扣除后的价格参与评审。</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79"/>
        <w:rPr>
          <w:rFonts w:hint="eastAsia" w:ascii="宋体" w:hAnsi="宋体" w:eastAsia="宋体" w:cs="宋体"/>
          <w:sz w:val="22"/>
          <w:szCs w:val="22"/>
          <w:highlight w:val="white"/>
          <w:lang w:val="en-US" w:eastAsia="zh-CN"/>
        </w:rPr>
      </w:pPr>
      <w:r>
        <w:rPr>
          <w:rFonts w:hint="eastAsia" w:ascii="宋体" w:hAnsi="宋体" w:eastAsia="宋体" w:cs="宋体"/>
          <w:sz w:val="22"/>
          <w:szCs w:val="22"/>
          <w:highlight w:val="white"/>
          <w:lang w:eastAsia="zh-CN"/>
        </w:rPr>
        <w:t>附表</w:t>
      </w:r>
      <w:r>
        <w:rPr>
          <w:rFonts w:hint="eastAsia" w:ascii="宋体" w:hAnsi="宋体" w:cs="宋体"/>
          <w:sz w:val="22"/>
          <w:szCs w:val="22"/>
          <w:highlight w:val="white"/>
          <w:lang w:eastAsia="zh-CN"/>
        </w:rPr>
        <w:t>一</w:t>
      </w:r>
      <w:r>
        <w:rPr>
          <w:rFonts w:hint="eastAsia" w:ascii="宋体" w:hAnsi="宋体" w:eastAsia="宋体" w:cs="宋体"/>
          <w:sz w:val="22"/>
          <w:szCs w:val="22"/>
          <w:highlight w:val="white"/>
          <w:lang w:val="en-US" w:eastAsia="zh-CN"/>
        </w:rPr>
        <w:t>：</w:t>
      </w:r>
    </w:p>
    <w:p>
      <w:pPr>
        <w:pStyle w:val="79"/>
        <w:jc w:val="center"/>
        <w:rPr>
          <w:rFonts w:hint="eastAsia" w:ascii="宋体" w:hAnsi="宋体" w:eastAsia="宋体" w:cs="宋体"/>
          <w:sz w:val="28"/>
          <w:szCs w:val="28"/>
          <w:highlight w:val="white"/>
          <w:lang w:val="en-US" w:eastAsia="zh-CN"/>
        </w:rPr>
      </w:pPr>
      <w:r>
        <w:rPr>
          <w:rFonts w:hint="eastAsia" w:ascii="宋体" w:hAnsi="宋体" w:eastAsia="宋体" w:cs="宋体"/>
          <w:b/>
          <w:bCs/>
          <w:sz w:val="28"/>
          <w:szCs w:val="32"/>
          <w:highlight w:val="white"/>
          <w:lang w:eastAsia="zh-CN"/>
        </w:rPr>
        <w:t>初步评审－资格、符合性审查表</w:t>
      </w:r>
    </w:p>
    <w:tbl>
      <w:tblPr>
        <w:tblStyle w:val="33"/>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6"/>
        <w:gridCol w:w="539"/>
        <w:gridCol w:w="3016"/>
        <w:gridCol w:w="4946"/>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095" w:type="dxa"/>
            <w:gridSpan w:val="2"/>
            <w:noWrap w:val="0"/>
            <w:vAlign w:val="center"/>
          </w:tcPr>
          <w:p>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评</w:t>
            </w:r>
            <w:r>
              <w:rPr>
                <w:rFonts w:hint="eastAsia" w:ascii="宋体" w:hAnsi="宋体" w:eastAsia="宋体" w:cs="宋体"/>
                <w:b/>
                <w:sz w:val="21"/>
                <w:szCs w:val="21"/>
                <w:lang w:eastAsia="zh-CN"/>
              </w:rPr>
              <w:t>审</w:t>
            </w:r>
            <w:r>
              <w:rPr>
                <w:rFonts w:hint="eastAsia" w:ascii="宋体" w:hAnsi="宋体" w:eastAsia="宋体" w:cs="宋体"/>
                <w:b/>
                <w:sz w:val="21"/>
                <w:szCs w:val="21"/>
              </w:rPr>
              <w:t>因素</w:t>
            </w:r>
          </w:p>
        </w:tc>
        <w:tc>
          <w:tcPr>
            <w:tcW w:w="3016" w:type="dxa"/>
            <w:noWrap w:val="0"/>
            <w:vAlign w:val="center"/>
          </w:tcPr>
          <w:p>
            <w:pPr>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rPr>
              <w:t>评</w:t>
            </w:r>
            <w:r>
              <w:rPr>
                <w:rFonts w:hint="eastAsia" w:ascii="宋体" w:hAnsi="宋体" w:eastAsia="宋体" w:cs="宋体"/>
                <w:b/>
                <w:sz w:val="21"/>
                <w:szCs w:val="21"/>
                <w:lang w:eastAsia="zh-CN"/>
              </w:rPr>
              <w:t>审内容</w:t>
            </w:r>
          </w:p>
        </w:tc>
        <w:tc>
          <w:tcPr>
            <w:tcW w:w="4946" w:type="dxa"/>
            <w:noWrap w:val="0"/>
            <w:vAlign w:val="center"/>
          </w:tcPr>
          <w:p>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w:t>
            </w:r>
            <w:r>
              <w:rPr>
                <w:rFonts w:hint="eastAsia" w:ascii="宋体" w:hAnsi="宋体" w:eastAsia="宋体" w:cs="宋体"/>
                <w:b/>
                <w:sz w:val="21"/>
                <w:szCs w:val="21"/>
                <w:highlight w:val="none"/>
                <w:lang w:eastAsia="zh-CN"/>
              </w:rPr>
              <w:t>审</w:t>
            </w:r>
            <w:r>
              <w:rPr>
                <w:rFonts w:hint="eastAsia" w:ascii="宋体" w:hAnsi="宋体" w:eastAsia="宋体" w:cs="宋体"/>
                <w:b/>
                <w:sz w:val="21"/>
                <w:szCs w:val="21"/>
                <w:highlight w:val="none"/>
              </w:rPr>
              <w:t>标准</w:t>
            </w:r>
          </w:p>
        </w:tc>
        <w:tc>
          <w:tcPr>
            <w:tcW w:w="933" w:type="dxa"/>
            <w:noWrap w:val="0"/>
            <w:vAlign w:val="top"/>
          </w:tcPr>
          <w:p>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556" w:type="dxa"/>
            <w:vMerge w:val="restart"/>
            <w:noWrap w:val="0"/>
            <w:vAlign w:val="top"/>
          </w:tcPr>
          <w:p>
            <w:pPr>
              <w:spacing w:line="240" w:lineRule="auto"/>
              <w:rPr>
                <w:rFonts w:hint="eastAsia" w:ascii="宋体" w:hAnsi="宋体" w:eastAsia="宋体" w:cs="宋体"/>
                <w:sz w:val="21"/>
                <w:szCs w:val="21"/>
              </w:rPr>
            </w:pPr>
          </w:p>
          <w:p>
            <w:pPr>
              <w:spacing w:line="240" w:lineRule="auto"/>
              <w:rPr>
                <w:rFonts w:hint="eastAsia" w:ascii="宋体" w:hAnsi="宋体" w:eastAsia="宋体" w:cs="宋体"/>
                <w:sz w:val="21"/>
                <w:szCs w:val="21"/>
              </w:rPr>
            </w:pPr>
          </w:p>
          <w:p>
            <w:pPr>
              <w:spacing w:line="240" w:lineRule="auto"/>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初</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步</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评</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审</w:t>
            </w:r>
          </w:p>
          <w:p>
            <w:pPr>
              <w:spacing w:line="240" w:lineRule="auto"/>
              <w:jc w:val="center"/>
              <w:rPr>
                <w:rFonts w:hint="eastAsia" w:ascii="宋体" w:hAnsi="宋体" w:eastAsia="宋体" w:cs="宋体"/>
                <w:sz w:val="21"/>
                <w:szCs w:val="21"/>
              </w:rPr>
            </w:pPr>
          </w:p>
          <w:p>
            <w:pPr>
              <w:pStyle w:val="2"/>
              <w:spacing w:line="240" w:lineRule="auto"/>
              <w:rPr>
                <w:rFonts w:hint="eastAsia" w:ascii="宋体" w:hAnsi="宋体" w:eastAsia="宋体" w:cs="宋体"/>
                <w:sz w:val="21"/>
                <w:szCs w:val="21"/>
              </w:rPr>
            </w:pPr>
          </w:p>
        </w:tc>
        <w:tc>
          <w:tcPr>
            <w:tcW w:w="539" w:type="dxa"/>
            <w:vMerge w:val="restart"/>
            <w:noWrap w:val="0"/>
            <w:vAlign w:val="center"/>
          </w:tcPr>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资</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格</w:t>
            </w:r>
          </w:p>
          <w:p>
            <w:pPr>
              <w:spacing w:line="240" w:lineRule="auto"/>
              <w:ind w:firstLine="105" w:firstLineChars="5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审</w:t>
            </w:r>
          </w:p>
          <w:p>
            <w:pPr>
              <w:spacing w:line="240" w:lineRule="auto"/>
              <w:ind w:firstLine="105" w:firstLineChars="50"/>
              <w:jc w:val="center"/>
              <w:rPr>
                <w:rFonts w:hint="eastAsia" w:ascii="宋体" w:hAnsi="宋体" w:eastAsia="宋体" w:cs="宋体"/>
                <w:b/>
                <w:sz w:val="21"/>
                <w:szCs w:val="21"/>
              </w:rPr>
            </w:pPr>
            <w:r>
              <w:rPr>
                <w:rFonts w:hint="eastAsia" w:ascii="宋体" w:hAnsi="宋体" w:eastAsia="宋体" w:cs="宋体"/>
                <w:sz w:val="21"/>
                <w:szCs w:val="21"/>
              </w:rPr>
              <w:t>查</w:t>
            </w:r>
          </w:p>
        </w:tc>
        <w:tc>
          <w:tcPr>
            <w:tcW w:w="301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具有独立承担民事责任的能力</w:t>
            </w:r>
          </w:p>
        </w:tc>
        <w:tc>
          <w:tcPr>
            <w:tcW w:w="494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lang w:val="en-US" w:eastAsia="zh-CN"/>
              </w:rPr>
              <w:t>经年检有效的营业执照</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301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具有良好的商业信誉和健全的财务会计制度</w:t>
            </w:r>
          </w:p>
        </w:tc>
        <w:tc>
          <w:tcPr>
            <w:tcW w:w="494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近</w:t>
            </w:r>
            <w:r>
              <w:rPr>
                <w:rFonts w:hint="eastAsia" w:ascii="宋体" w:hAnsi="宋体" w:cs="宋体"/>
                <w:color w:val="auto"/>
                <w:sz w:val="21"/>
                <w:szCs w:val="21"/>
                <w:lang w:val="en-US" w:eastAsia="zh-CN"/>
              </w:rPr>
              <w:t>三</w:t>
            </w:r>
            <w:r>
              <w:rPr>
                <w:rFonts w:hint="eastAsia" w:ascii="宋体" w:hAnsi="宋体" w:eastAsia="宋体" w:cs="宋体"/>
                <w:color w:val="auto"/>
                <w:sz w:val="21"/>
                <w:szCs w:val="21"/>
                <w:lang w:val="en-US" w:eastAsia="zh-CN"/>
              </w:rPr>
              <w:t>年财务审计报告或财务报表（企业成立不足</w:t>
            </w:r>
            <w:r>
              <w:rPr>
                <w:rFonts w:hint="eastAsia" w:ascii="宋体" w:hAnsi="宋体" w:cs="宋体"/>
                <w:color w:val="auto"/>
                <w:sz w:val="21"/>
                <w:szCs w:val="21"/>
                <w:lang w:val="en-US" w:eastAsia="zh-CN"/>
              </w:rPr>
              <w:t>一</w:t>
            </w:r>
            <w:r>
              <w:rPr>
                <w:rFonts w:hint="eastAsia" w:ascii="宋体" w:hAnsi="宋体" w:eastAsia="宋体" w:cs="宋体"/>
                <w:color w:val="auto"/>
                <w:sz w:val="21"/>
                <w:szCs w:val="21"/>
                <w:lang w:val="en-US" w:eastAsia="zh-CN"/>
              </w:rPr>
              <w:t>年提供成立至今的）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301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资质证书</w:t>
            </w:r>
            <w:r>
              <w:rPr>
                <w:rFonts w:hint="eastAsia" w:ascii="宋体" w:hAnsi="宋体" w:cs="宋体"/>
                <w:sz w:val="21"/>
                <w:szCs w:val="21"/>
                <w:lang w:eastAsia="zh-CN"/>
              </w:rPr>
              <w:t>及安全生产许可证</w:t>
            </w:r>
          </w:p>
        </w:tc>
        <w:tc>
          <w:tcPr>
            <w:tcW w:w="494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有效</w:t>
            </w:r>
            <w:r>
              <w:rPr>
                <w:rFonts w:hint="eastAsia" w:ascii="宋体" w:hAnsi="宋体" w:cs="宋体"/>
                <w:color w:val="auto"/>
                <w:sz w:val="21"/>
                <w:szCs w:val="21"/>
                <w:lang w:val="en-US" w:eastAsia="zh-CN"/>
              </w:rPr>
              <w:t>的</w:t>
            </w:r>
            <w:r>
              <w:rPr>
                <w:rFonts w:hint="eastAsia" w:ascii="宋体" w:hAnsi="宋体" w:eastAsia="宋体" w:cs="宋体"/>
                <w:sz w:val="21"/>
                <w:szCs w:val="21"/>
                <w:lang w:eastAsia="zh-CN"/>
              </w:rPr>
              <w:t>资质证书</w:t>
            </w:r>
            <w:r>
              <w:rPr>
                <w:rFonts w:hint="eastAsia" w:ascii="宋体" w:hAnsi="宋体" w:cs="宋体"/>
                <w:sz w:val="21"/>
                <w:szCs w:val="21"/>
                <w:lang w:eastAsia="zh-CN"/>
              </w:rPr>
              <w:t>及安全生产许可证，符合招标文件要求</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301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有依法缴纳税收和社会保障资金的良好记录</w:t>
            </w:r>
          </w:p>
        </w:tc>
        <w:tc>
          <w:tcPr>
            <w:tcW w:w="494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近</w:t>
            </w:r>
            <w:r>
              <w:rPr>
                <w:rFonts w:hint="eastAsia" w:ascii="宋体" w:hAnsi="宋体" w:cs="宋体"/>
                <w:color w:val="auto"/>
                <w:sz w:val="21"/>
                <w:szCs w:val="21"/>
                <w:lang w:val="en-US" w:eastAsia="zh-CN"/>
              </w:rPr>
              <w:t>三个月</w:t>
            </w:r>
            <w:r>
              <w:rPr>
                <w:rFonts w:hint="eastAsia" w:ascii="宋体" w:hAnsi="宋体" w:eastAsia="宋体" w:cs="宋体"/>
                <w:color w:val="auto"/>
                <w:sz w:val="21"/>
                <w:szCs w:val="21"/>
                <w:lang w:val="en-US" w:eastAsia="zh-CN"/>
              </w:rPr>
              <w:t>完税证明</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授权委托人及拟派建造师</w:t>
            </w:r>
            <w:r>
              <w:rPr>
                <w:rFonts w:hint="eastAsia" w:ascii="宋体" w:hAnsi="宋体" w:eastAsia="宋体" w:cs="宋体"/>
                <w:color w:val="auto"/>
                <w:sz w:val="21"/>
                <w:szCs w:val="21"/>
                <w:lang w:eastAsia="zh-CN"/>
              </w:rPr>
              <w:t>近</w:t>
            </w:r>
            <w:r>
              <w:rPr>
                <w:rFonts w:hint="eastAsia" w:ascii="宋体" w:hAnsi="宋体" w:cs="宋体"/>
                <w:color w:val="auto"/>
                <w:sz w:val="21"/>
                <w:szCs w:val="21"/>
                <w:lang w:val="en-US" w:eastAsia="zh-CN"/>
              </w:rPr>
              <w:t>三个月</w:t>
            </w:r>
            <w:r>
              <w:rPr>
                <w:rFonts w:hint="eastAsia" w:ascii="宋体" w:hAnsi="宋体" w:eastAsia="宋体" w:cs="宋体"/>
                <w:color w:val="auto"/>
                <w:sz w:val="21"/>
                <w:szCs w:val="21"/>
              </w:rPr>
              <w:t>社保缴纳证明（如有退休人员提供退休证）</w:t>
            </w:r>
            <w:r>
              <w:rPr>
                <w:rFonts w:hint="eastAsia" w:ascii="宋体" w:hAnsi="宋体" w:eastAsia="宋体" w:cs="宋体"/>
                <w:color w:val="auto"/>
                <w:sz w:val="21"/>
                <w:szCs w:val="21"/>
                <w:lang w:eastAsia="zh-CN"/>
              </w:rPr>
              <w:t>。</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301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具有履行合同所必需的设备和专业技术能力</w:t>
            </w:r>
          </w:p>
        </w:tc>
        <w:tc>
          <w:tcPr>
            <w:tcW w:w="494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投标人履行合同所必须的设备和专业技术能力的证明材料或声明</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301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参加政府采购活动前三年内，在经营活动中没有重大违法记录</w:t>
            </w:r>
          </w:p>
        </w:tc>
        <w:tc>
          <w:tcPr>
            <w:tcW w:w="494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color w:val="auto"/>
                <w:sz w:val="21"/>
                <w:szCs w:val="21"/>
              </w:rPr>
              <w:t>参加政府采购活动前</w:t>
            </w:r>
            <w:r>
              <w:rPr>
                <w:rFonts w:hint="eastAsia" w:ascii="宋体" w:hAnsi="宋体" w:cs="宋体"/>
                <w:color w:val="auto"/>
                <w:sz w:val="21"/>
                <w:szCs w:val="21"/>
                <w:lang w:eastAsia="zh-CN"/>
              </w:rPr>
              <w:t>三</w:t>
            </w:r>
            <w:r>
              <w:rPr>
                <w:rFonts w:hint="eastAsia" w:ascii="宋体" w:hAnsi="宋体" w:eastAsia="宋体" w:cs="宋体"/>
                <w:color w:val="auto"/>
                <w:sz w:val="21"/>
                <w:szCs w:val="21"/>
              </w:rPr>
              <w:t>年内在经营活动中没有重大违法记录的书面声明</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301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lang w:eastAsia="zh-CN"/>
              </w:rPr>
              <w:t>其他要求</w:t>
            </w:r>
          </w:p>
        </w:tc>
        <w:tc>
          <w:tcPr>
            <w:tcW w:w="494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“信用中国”网站</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中国政府采购网</w:t>
            </w:r>
            <w:r>
              <w:rPr>
                <w:rFonts w:hint="eastAsia" w:ascii="宋体" w:hAnsi="宋体" w:cs="宋体"/>
                <w:color w:val="auto"/>
                <w:sz w:val="21"/>
                <w:szCs w:val="21"/>
                <w:lang w:val="en-US" w:eastAsia="zh-CN"/>
              </w:rPr>
              <w:t>”“国家企业信用信息公示”</w:t>
            </w:r>
            <w:r>
              <w:rPr>
                <w:rFonts w:hint="eastAsia" w:ascii="宋体" w:hAnsi="宋体" w:eastAsia="宋体" w:cs="宋体"/>
                <w:color w:val="auto"/>
                <w:sz w:val="21"/>
                <w:szCs w:val="21"/>
                <w:lang w:val="en-US" w:eastAsia="zh-CN"/>
              </w:rPr>
              <w:t>的查询结果的截图打印件加盖公章</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noWrap w:val="0"/>
            <w:vAlign w:val="top"/>
          </w:tcPr>
          <w:p>
            <w:pPr>
              <w:pStyle w:val="2"/>
              <w:spacing w:line="240" w:lineRule="auto"/>
              <w:rPr>
                <w:rFonts w:hint="eastAsia" w:ascii="宋体" w:hAnsi="宋体" w:eastAsia="宋体" w:cs="宋体"/>
                <w:sz w:val="21"/>
                <w:szCs w:val="21"/>
              </w:rPr>
            </w:pPr>
          </w:p>
        </w:tc>
        <w:tc>
          <w:tcPr>
            <w:tcW w:w="539" w:type="dxa"/>
            <w:vMerge w:val="restart"/>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符</w:t>
            </w:r>
          </w:p>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w:t>
            </w:r>
          </w:p>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性</w:t>
            </w:r>
          </w:p>
          <w:p>
            <w:pPr>
              <w:spacing w:line="24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审</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highlight w:val="none"/>
              </w:rPr>
              <w:t>查</w:t>
            </w: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投标人名称与购买文件时一致且有有效变更证明的；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按照</w:t>
            </w:r>
            <w:r>
              <w:rPr>
                <w:rFonts w:hint="eastAsia" w:ascii="宋体" w:hAnsi="宋体" w:cs="宋体"/>
                <w:color w:val="auto"/>
                <w:sz w:val="21"/>
                <w:szCs w:val="21"/>
                <w:lang w:eastAsia="zh-CN"/>
              </w:rPr>
              <w:t>磋商</w:t>
            </w:r>
            <w:r>
              <w:rPr>
                <w:rFonts w:hint="eastAsia" w:ascii="宋体" w:hAnsi="宋体" w:eastAsia="宋体" w:cs="宋体"/>
                <w:color w:val="auto"/>
                <w:sz w:val="21"/>
                <w:szCs w:val="21"/>
              </w:rPr>
              <w:t>文件规定要求签署、盖章的；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sz w:val="21"/>
                <w:szCs w:val="21"/>
                <w:lang w:eastAsia="zh-CN"/>
              </w:rPr>
              <w:t>投标人报价低于</w:t>
            </w:r>
            <w:r>
              <w:rPr>
                <w:rFonts w:hint="eastAsia" w:ascii="宋体" w:hAnsi="宋体" w:cs="宋体"/>
                <w:sz w:val="21"/>
                <w:szCs w:val="21"/>
                <w:lang w:eastAsia="zh-CN"/>
              </w:rPr>
              <w:t>磋商</w:t>
            </w:r>
            <w:r>
              <w:rPr>
                <w:rFonts w:hint="eastAsia" w:ascii="宋体" w:hAnsi="宋体" w:eastAsia="宋体" w:cs="宋体"/>
                <w:sz w:val="21"/>
                <w:szCs w:val="21"/>
                <w:lang w:eastAsia="zh-CN"/>
              </w:rPr>
              <w:t>文件规定的预算金额（最高限价）；</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sz w:val="21"/>
                <w:szCs w:val="21"/>
                <w:lang w:eastAsia="zh-CN"/>
              </w:rPr>
              <w:t>投标有效期</w:t>
            </w:r>
            <w:r>
              <w:rPr>
                <w:rFonts w:hint="eastAsia" w:ascii="宋体" w:hAnsi="宋体" w:eastAsia="宋体" w:cs="宋体"/>
                <w:sz w:val="21"/>
                <w:szCs w:val="21"/>
              </w:rPr>
              <w:t>符合</w:t>
            </w:r>
            <w:r>
              <w:rPr>
                <w:rFonts w:hint="eastAsia" w:ascii="宋体" w:hAnsi="宋体" w:cs="宋体"/>
                <w:sz w:val="21"/>
                <w:szCs w:val="21"/>
                <w:lang w:eastAsia="zh-CN"/>
              </w:rPr>
              <w:t>磋商</w:t>
            </w:r>
            <w:r>
              <w:rPr>
                <w:rFonts w:hint="eastAsia" w:ascii="宋体" w:hAnsi="宋体" w:eastAsia="宋体" w:cs="宋体"/>
                <w:sz w:val="21"/>
                <w:szCs w:val="21"/>
              </w:rPr>
              <w:t>文件中规定</w:t>
            </w:r>
            <w:r>
              <w:rPr>
                <w:rFonts w:hint="eastAsia" w:ascii="宋体" w:hAnsi="宋体" w:eastAsia="宋体" w:cs="宋体"/>
                <w:sz w:val="21"/>
                <w:szCs w:val="21"/>
                <w:lang w:eastAsia="zh-CN"/>
              </w:rPr>
              <w:t>；</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sz w:val="21"/>
                <w:szCs w:val="21"/>
                <w:lang w:eastAsia="zh-CN"/>
              </w:rPr>
              <w:t>工期符合</w:t>
            </w:r>
            <w:r>
              <w:rPr>
                <w:rFonts w:hint="eastAsia" w:ascii="宋体" w:hAnsi="宋体" w:cs="宋体"/>
                <w:sz w:val="21"/>
                <w:szCs w:val="21"/>
                <w:lang w:eastAsia="zh-CN"/>
              </w:rPr>
              <w:t>磋商</w:t>
            </w:r>
            <w:r>
              <w:rPr>
                <w:rFonts w:hint="eastAsia" w:ascii="宋体" w:hAnsi="宋体" w:eastAsia="宋体" w:cs="宋体"/>
                <w:sz w:val="21"/>
                <w:szCs w:val="21"/>
                <w:lang w:eastAsia="zh-CN"/>
              </w:rPr>
              <w:t>文件规定期限的；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sz w:val="21"/>
                <w:szCs w:val="21"/>
                <w:lang w:eastAsia="zh-CN"/>
              </w:rPr>
              <w:t>投标人的项目负责人是投标人（备案的）注册执业人员（建造师），或者具备项目负责人资格条件的；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响应文件载明的技术规格、技术标准、货物包装方式、检验标准和方法等，符合</w:t>
            </w:r>
            <w:r>
              <w:rPr>
                <w:rFonts w:hint="eastAsia" w:ascii="宋体" w:hAnsi="宋体" w:cs="宋体"/>
                <w:sz w:val="21"/>
                <w:szCs w:val="21"/>
                <w:lang w:eastAsia="zh-CN"/>
              </w:rPr>
              <w:t>磋商</w:t>
            </w:r>
            <w:r>
              <w:rPr>
                <w:rFonts w:hint="eastAsia" w:ascii="宋体" w:hAnsi="宋体" w:eastAsia="宋体" w:cs="宋体"/>
                <w:sz w:val="21"/>
                <w:szCs w:val="21"/>
                <w:lang w:eastAsia="zh-CN"/>
              </w:rPr>
              <w:t>文件要求的；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spacing w:line="240" w:lineRule="auto"/>
              <w:jc w:val="both"/>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按</w:t>
            </w:r>
            <w:r>
              <w:rPr>
                <w:rFonts w:hint="eastAsia" w:ascii="宋体" w:hAnsi="宋体" w:cs="宋体"/>
                <w:kern w:val="2"/>
                <w:sz w:val="21"/>
                <w:szCs w:val="21"/>
                <w:lang w:val="en-US" w:eastAsia="zh-CN" w:bidi="ar-SA"/>
              </w:rPr>
              <w:t>磋商</w:t>
            </w:r>
            <w:r>
              <w:rPr>
                <w:rFonts w:hint="eastAsia" w:ascii="宋体" w:hAnsi="宋体" w:eastAsia="宋体" w:cs="宋体"/>
                <w:kern w:val="2"/>
                <w:sz w:val="21"/>
                <w:szCs w:val="21"/>
                <w:lang w:val="en-US" w:eastAsia="zh-CN" w:bidi="ar-SA"/>
              </w:rPr>
              <w:t>文件要求提供投标报价的电子响应文件的；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spacing w:line="240" w:lineRule="auto"/>
              <w:jc w:val="both"/>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按</w:t>
            </w:r>
            <w:r>
              <w:rPr>
                <w:rFonts w:hint="eastAsia" w:ascii="宋体" w:hAnsi="宋体" w:cs="宋体"/>
                <w:kern w:val="2"/>
                <w:sz w:val="21"/>
                <w:szCs w:val="21"/>
                <w:lang w:val="en-US" w:eastAsia="zh-CN" w:bidi="ar-SA"/>
              </w:rPr>
              <w:t>磋商</w:t>
            </w:r>
            <w:r>
              <w:rPr>
                <w:rFonts w:hint="eastAsia" w:ascii="宋体" w:hAnsi="宋体" w:eastAsia="宋体" w:cs="宋体"/>
                <w:kern w:val="2"/>
                <w:sz w:val="21"/>
                <w:szCs w:val="21"/>
                <w:lang w:val="en-US" w:eastAsia="zh-CN" w:bidi="ar-SA"/>
              </w:rPr>
              <w:t>文件规定的格式填写，无内容不全或关键字迹模糊、无法辨认的；（包括分部分项工程量清单中暂估价、暂列金额的改动）</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spacing w:line="240" w:lineRule="auto"/>
              <w:jc w:val="both"/>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没有改变</w:t>
            </w:r>
            <w:r>
              <w:rPr>
                <w:rFonts w:hint="eastAsia" w:ascii="宋体" w:hAnsi="宋体" w:cs="宋体"/>
                <w:kern w:val="2"/>
                <w:sz w:val="21"/>
                <w:szCs w:val="21"/>
                <w:lang w:val="en-US" w:eastAsia="zh-CN" w:bidi="ar-SA"/>
              </w:rPr>
              <w:t>磋商</w:t>
            </w:r>
            <w:r>
              <w:rPr>
                <w:rFonts w:hint="eastAsia" w:ascii="宋体" w:hAnsi="宋体" w:eastAsia="宋体" w:cs="宋体"/>
                <w:kern w:val="2"/>
                <w:sz w:val="21"/>
                <w:szCs w:val="21"/>
                <w:lang w:val="en-US" w:eastAsia="zh-CN" w:bidi="ar-SA"/>
              </w:rPr>
              <w:t>文件提供的工程量清单中的项目编码、项目名称、项目特征、计量单位、工程量的；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spacing w:line="240" w:lineRule="auto"/>
              <w:jc w:val="both"/>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未将工程排污费、社会保障费、住房公积金、大型机械检测检验费等规费和增值税销项税额等税金，以及安全文明施工费列入招标投标竞争性费用的；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spacing w:line="240" w:lineRule="auto"/>
              <w:jc w:val="both"/>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符合磋商文件中规定的实质性要求和条件（磋商文件中标注“★”符号的所有条款）；</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响应</w:t>
            </w:r>
            <w:r>
              <w:rPr>
                <w:rFonts w:hint="eastAsia" w:ascii="宋体" w:hAnsi="宋体" w:eastAsia="宋体" w:cs="宋体"/>
                <w:sz w:val="21"/>
                <w:szCs w:val="21"/>
              </w:rPr>
              <w:t>文件中</w:t>
            </w:r>
            <w:r>
              <w:rPr>
                <w:rFonts w:hint="eastAsia" w:ascii="宋体" w:hAnsi="宋体" w:eastAsia="宋体" w:cs="宋体"/>
                <w:sz w:val="21"/>
                <w:szCs w:val="21"/>
                <w:lang w:eastAsia="zh-CN"/>
              </w:rPr>
              <w:t>没</w:t>
            </w:r>
            <w:r>
              <w:rPr>
                <w:rFonts w:hint="eastAsia" w:ascii="宋体" w:hAnsi="宋体" w:eastAsia="宋体" w:cs="宋体"/>
                <w:sz w:val="21"/>
                <w:szCs w:val="21"/>
              </w:rPr>
              <w:t>有</w:t>
            </w:r>
            <w:r>
              <w:rPr>
                <w:rFonts w:hint="eastAsia" w:ascii="宋体" w:hAnsi="宋体" w:eastAsia="宋体" w:cs="宋体"/>
                <w:sz w:val="21"/>
                <w:szCs w:val="21"/>
                <w:lang w:eastAsia="zh-CN"/>
              </w:rPr>
              <w:t>招标人</w:t>
            </w:r>
            <w:r>
              <w:rPr>
                <w:rFonts w:hint="eastAsia" w:ascii="宋体" w:hAnsi="宋体" w:eastAsia="宋体" w:cs="宋体"/>
                <w:sz w:val="21"/>
                <w:szCs w:val="21"/>
              </w:rPr>
              <w:t>不能接受的附加条件的；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不存在不符合</w:t>
            </w:r>
            <w:r>
              <w:rPr>
                <w:rFonts w:hint="eastAsia" w:ascii="宋体" w:hAnsi="宋体" w:eastAsia="宋体" w:cs="宋体"/>
                <w:sz w:val="21"/>
                <w:szCs w:val="21"/>
              </w:rPr>
              <w:t>法律、法规及本</w:t>
            </w:r>
            <w:r>
              <w:rPr>
                <w:rFonts w:hint="eastAsia" w:ascii="宋体" w:hAnsi="宋体" w:cs="宋体"/>
                <w:sz w:val="21"/>
                <w:szCs w:val="21"/>
                <w:lang w:eastAsia="zh-CN"/>
              </w:rPr>
              <w:t>磋商</w:t>
            </w:r>
            <w:r>
              <w:rPr>
                <w:rFonts w:hint="eastAsia" w:ascii="宋体" w:hAnsi="宋体" w:eastAsia="宋体" w:cs="宋体"/>
                <w:sz w:val="21"/>
                <w:szCs w:val="21"/>
              </w:rPr>
              <w:t>文件规定的其他情形</w:t>
            </w:r>
            <w:r>
              <w:rPr>
                <w:rFonts w:hint="eastAsia" w:ascii="宋体" w:hAnsi="宋体" w:eastAsia="宋体" w:cs="宋体"/>
                <w:sz w:val="21"/>
                <w:szCs w:val="21"/>
                <w:lang w:eastAsia="zh-CN"/>
              </w:rPr>
              <w:t>。</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2" w:hRule="atLeast"/>
          <w:jc w:val="center"/>
        </w:trPr>
        <w:tc>
          <w:tcPr>
            <w:tcW w:w="9990" w:type="dxa"/>
            <w:gridSpan w:val="5"/>
            <w:noWrap w:val="0"/>
            <w:vAlign w:val="center"/>
          </w:tcPr>
          <w:p>
            <w:pPr>
              <w:spacing w:line="240" w:lineRule="auto"/>
              <w:jc w:val="both"/>
              <w:rPr>
                <w:rFonts w:hint="eastAsia" w:ascii="宋体" w:hAnsi="宋体" w:eastAsia="宋体" w:cs="宋体"/>
                <w:b/>
                <w:sz w:val="21"/>
                <w:szCs w:val="21"/>
              </w:rPr>
            </w:pPr>
            <w:r>
              <w:rPr>
                <w:rFonts w:hint="eastAsia" w:ascii="宋体" w:hAnsi="宋体" w:eastAsia="宋体" w:cs="宋体"/>
                <w:b/>
                <w:sz w:val="21"/>
                <w:szCs w:val="21"/>
              </w:rPr>
              <w:t>注：以上检查内容必须全部</w:t>
            </w:r>
            <w:r>
              <w:rPr>
                <w:rFonts w:hint="eastAsia" w:ascii="宋体" w:hAnsi="宋体" w:eastAsia="宋体" w:cs="宋体"/>
                <w:b/>
                <w:sz w:val="21"/>
                <w:szCs w:val="21"/>
                <w:lang w:eastAsia="zh-CN"/>
              </w:rPr>
              <w:t>满足</w:t>
            </w:r>
            <w:r>
              <w:rPr>
                <w:rFonts w:hint="eastAsia" w:ascii="宋体" w:hAnsi="宋体" w:eastAsia="宋体" w:cs="宋体"/>
                <w:b/>
                <w:sz w:val="21"/>
                <w:szCs w:val="21"/>
              </w:rPr>
              <w:t>检查标准，否则</w:t>
            </w:r>
            <w:r>
              <w:rPr>
                <w:rFonts w:hint="eastAsia" w:ascii="宋体" w:hAnsi="宋体" w:eastAsia="宋体" w:cs="宋体"/>
                <w:b/>
                <w:sz w:val="21"/>
                <w:szCs w:val="21"/>
                <w:lang w:eastAsia="zh-CN"/>
              </w:rPr>
              <w:t>视</w:t>
            </w:r>
            <w:r>
              <w:rPr>
                <w:rFonts w:hint="eastAsia" w:ascii="宋体" w:hAnsi="宋体" w:eastAsia="宋体" w:cs="宋体"/>
                <w:b/>
                <w:sz w:val="21"/>
                <w:szCs w:val="21"/>
              </w:rPr>
              <w:t>为无效</w:t>
            </w:r>
            <w:r>
              <w:rPr>
                <w:rFonts w:hint="eastAsia" w:ascii="宋体" w:hAnsi="宋体" w:eastAsia="宋体" w:cs="宋体"/>
                <w:b/>
                <w:sz w:val="21"/>
                <w:szCs w:val="21"/>
                <w:lang w:eastAsia="zh-CN"/>
              </w:rPr>
              <w:t>投</w:t>
            </w:r>
            <w:r>
              <w:rPr>
                <w:rFonts w:hint="eastAsia" w:ascii="宋体" w:hAnsi="宋体" w:eastAsia="宋体" w:cs="宋体"/>
                <w:b/>
                <w:sz w:val="21"/>
                <w:szCs w:val="21"/>
              </w:rPr>
              <w:t>标。</w:t>
            </w:r>
          </w:p>
        </w:tc>
      </w:tr>
    </w:tbl>
    <w:p>
      <w:pPr>
        <w:tabs>
          <w:tab w:val="left" w:pos="420"/>
          <w:tab w:val="left" w:pos="7560"/>
          <w:tab w:val="left" w:pos="7740"/>
          <w:tab w:val="left" w:pos="7920"/>
        </w:tabs>
        <w:adjustRightInd w:val="0"/>
        <w:snapToGrid w:val="0"/>
        <w:spacing w:line="360" w:lineRule="exact"/>
        <w:rPr>
          <w:rFonts w:hint="eastAsia" w:ascii="宋体" w:hAnsi="宋体"/>
          <w:b/>
          <w:sz w:val="28"/>
          <w:szCs w:val="24"/>
          <w:highlight w:val="white"/>
          <w:lang w:val="en-US" w:eastAsia="zh-CN"/>
        </w:rPr>
      </w:pPr>
    </w:p>
    <w:p>
      <w:pPr>
        <w:pStyle w:val="2"/>
        <w:rPr>
          <w:rFonts w:hint="eastAsia"/>
          <w:lang w:val="en-US" w:eastAsia="zh-CN"/>
        </w:rPr>
      </w:pPr>
    </w:p>
    <w:p>
      <w:pPr>
        <w:rPr>
          <w:rFonts w:hint="eastAsia"/>
          <w:lang w:val="en-US" w:eastAsia="zh-CN"/>
        </w:rPr>
      </w:pPr>
    </w:p>
    <w:p>
      <w:pPr>
        <w:pStyle w:val="79"/>
        <w:rPr>
          <w:rFonts w:hint="eastAsia" w:ascii="宋体" w:hAnsi="宋体" w:eastAsia="宋体" w:cs="宋体"/>
          <w:sz w:val="22"/>
          <w:szCs w:val="22"/>
          <w:highlight w:val="white"/>
          <w:lang w:val="en-US" w:eastAsia="zh-CN"/>
        </w:rPr>
      </w:pPr>
      <w:r>
        <w:rPr>
          <w:rFonts w:hint="eastAsia" w:ascii="宋体" w:hAnsi="宋体" w:eastAsia="宋体" w:cs="宋体"/>
          <w:sz w:val="22"/>
          <w:szCs w:val="22"/>
          <w:highlight w:val="white"/>
          <w:lang w:eastAsia="zh-CN"/>
        </w:rPr>
        <w:t>附表</w:t>
      </w:r>
      <w:r>
        <w:rPr>
          <w:rFonts w:hint="eastAsia" w:ascii="宋体" w:hAnsi="宋体" w:cs="宋体"/>
          <w:sz w:val="22"/>
          <w:szCs w:val="22"/>
          <w:highlight w:val="white"/>
          <w:lang w:eastAsia="zh-CN"/>
        </w:rPr>
        <w:t>二</w:t>
      </w:r>
      <w:r>
        <w:rPr>
          <w:rFonts w:hint="eastAsia" w:ascii="宋体" w:hAnsi="宋体" w:eastAsia="宋体" w:cs="宋体"/>
          <w:sz w:val="22"/>
          <w:szCs w:val="22"/>
          <w:highlight w:val="white"/>
          <w:lang w:val="en-US" w:eastAsia="zh-CN"/>
        </w:rPr>
        <w:t>：</w:t>
      </w:r>
    </w:p>
    <w:p>
      <w:pPr>
        <w:pStyle w:val="79"/>
        <w:jc w:val="center"/>
        <w:rPr>
          <w:rFonts w:hint="eastAsia" w:ascii="宋体" w:hAnsi="宋体" w:eastAsia="宋体" w:cs="宋体"/>
          <w:sz w:val="22"/>
          <w:szCs w:val="22"/>
          <w:highlight w:val="white"/>
          <w:lang w:val="en-US" w:eastAsia="zh-CN"/>
        </w:rPr>
      </w:pPr>
      <w:r>
        <w:rPr>
          <w:rFonts w:hint="eastAsia" w:ascii="宋体" w:hAnsi="宋体" w:cs="宋体"/>
          <w:b/>
          <w:bCs/>
          <w:sz w:val="28"/>
          <w:szCs w:val="32"/>
          <w:highlight w:val="white"/>
          <w:lang w:eastAsia="zh-CN"/>
        </w:rPr>
        <w:t>技术标评审</w:t>
      </w:r>
      <w:r>
        <w:rPr>
          <w:rFonts w:hint="eastAsia" w:ascii="宋体" w:hAnsi="宋体" w:eastAsia="宋体" w:cs="宋体"/>
          <w:b/>
          <w:bCs/>
          <w:sz w:val="28"/>
          <w:szCs w:val="32"/>
          <w:highlight w:val="white"/>
          <w:lang w:eastAsia="zh-CN"/>
        </w:rPr>
        <w:t>表</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22"/>
        <w:gridCol w:w="1160"/>
        <w:gridCol w:w="1044"/>
        <w:gridCol w:w="63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1422" w:type="dxa"/>
            <w:noWrap w:val="0"/>
            <w:vAlign w:val="center"/>
          </w:tcPr>
          <w:p>
            <w:pPr>
              <w:widowControl/>
              <w:spacing w:line="340" w:lineRule="exact"/>
              <w:jc w:val="center"/>
              <w:rPr>
                <w:rFonts w:hint="eastAsia" w:ascii="宋体" w:hAnsi="宋体" w:eastAsia="宋体" w:cs="宋体"/>
                <w:b/>
                <w:sz w:val="24"/>
                <w:highlight w:val="none"/>
              </w:rPr>
            </w:pPr>
            <w:r>
              <w:rPr>
                <w:rFonts w:hint="eastAsia" w:ascii="宋体" w:hAnsi="宋体" w:eastAsia="宋体" w:cs="宋体"/>
                <w:b/>
                <w:sz w:val="24"/>
                <w:highlight w:val="none"/>
              </w:rPr>
              <w:t>项目分值</w:t>
            </w:r>
          </w:p>
        </w:tc>
        <w:tc>
          <w:tcPr>
            <w:tcW w:w="2204" w:type="dxa"/>
            <w:gridSpan w:val="2"/>
            <w:noWrap w:val="0"/>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b/>
                <w:sz w:val="24"/>
                <w:highlight w:val="none"/>
              </w:rPr>
              <w:t>评分内容</w:t>
            </w:r>
          </w:p>
        </w:tc>
        <w:tc>
          <w:tcPr>
            <w:tcW w:w="6336" w:type="dxa"/>
            <w:noWrap w:val="0"/>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评分方法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6" w:hRule="atLeast"/>
          <w:jc w:val="center"/>
        </w:trPr>
        <w:tc>
          <w:tcPr>
            <w:tcW w:w="1422" w:type="dxa"/>
            <w:vMerge w:val="restart"/>
            <w:noWrap w:val="0"/>
            <w:vAlign w:val="center"/>
          </w:tcPr>
          <w:p>
            <w:pPr>
              <w:widowControl/>
              <w:spacing w:line="340" w:lineRule="exact"/>
              <w:jc w:val="center"/>
              <w:rPr>
                <w:rFonts w:hint="eastAsia" w:ascii="宋体" w:hAnsi="宋体" w:eastAsia="宋体" w:cs="宋体"/>
                <w:sz w:val="28"/>
                <w:highlight w:val="none"/>
              </w:rPr>
            </w:pPr>
            <w:r>
              <w:rPr>
                <w:rFonts w:hint="eastAsia" w:ascii="宋体" w:hAnsi="宋体" w:eastAsia="宋体" w:cs="宋体"/>
                <w:sz w:val="28"/>
                <w:highlight w:val="none"/>
              </w:rPr>
              <w:t>技术标</w:t>
            </w:r>
          </w:p>
          <w:p>
            <w:pPr>
              <w:widowControl/>
              <w:spacing w:line="340" w:lineRule="exact"/>
              <w:jc w:val="center"/>
              <w:rPr>
                <w:rFonts w:hint="eastAsia" w:ascii="宋体" w:hAnsi="宋体" w:eastAsia="宋体" w:cs="宋体"/>
                <w:sz w:val="28"/>
                <w:highlight w:val="none"/>
              </w:rPr>
            </w:pPr>
            <w:r>
              <w:rPr>
                <w:rFonts w:hint="eastAsia" w:ascii="宋体" w:hAnsi="宋体" w:eastAsia="宋体" w:cs="宋体"/>
                <w:sz w:val="28"/>
                <w:highlight w:val="none"/>
              </w:rPr>
              <w:t>100分</w:t>
            </w:r>
          </w:p>
          <w:p>
            <w:pPr>
              <w:widowControl/>
              <w:spacing w:line="340" w:lineRule="exact"/>
              <w:jc w:val="center"/>
              <w:rPr>
                <w:rFonts w:hint="eastAsia" w:ascii="宋体" w:hAnsi="宋体" w:eastAsia="宋体" w:cs="宋体"/>
                <w:highlight w:val="none"/>
              </w:rPr>
            </w:pPr>
          </w:p>
        </w:tc>
        <w:tc>
          <w:tcPr>
            <w:tcW w:w="1160" w:type="dxa"/>
            <w:vMerge w:val="restart"/>
            <w:noWrap w:val="0"/>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全面性</w:t>
            </w:r>
          </w:p>
          <w:p>
            <w:pPr>
              <w:widowControl/>
              <w:spacing w:line="340" w:lineRule="exact"/>
              <w:jc w:val="center"/>
              <w:rPr>
                <w:rFonts w:hint="eastAsia" w:ascii="宋体" w:hAnsi="宋体" w:eastAsia="宋体" w:cs="宋体"/>
                <w:highlight w:val="none"/>
              </w:rPr>
            </w:pPr>
            <w:r>
              <w:rPr>
                <w:rFonts w:hint="eastAsia" w:ascii="宋体" w:hAnsi="宋体" w:eastAsia="宋体" w:cs="宋体"/>
                <w:sz w:val="24"/>
                <w:highlight w:val="none"/>
              </w:rPr>
              <w:t>20分</w:t>
            </w: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0～4</w:t>
            </w:r>
          </w:p>
        </w:tc>
        <w:tc>
          <w:tcPr>
            <w:tcW w:w="6336" w:type="dxa"/>
            <w:noWrap w:val="0"/>
            <w:vAlign w:val="center"/>
          </w:tcPr>
          <w:p>
            <w:pPr>
              <w:pStyle w:val="95"/>
              <w:spacing w:line="340" w:lineRule="exact"/>
              <w:textAlignment w:val="center"/>
              <w:rPr>
                <w:rFonts w:hint="eastAsia" w:ascii="宋体" w:hAnsi="宋体" w:eastAsia="宋体" w:cs="宋体"/>
                <w:sz w:val="21"/>
                <w:highlight w:val="none"/>
              </w:rPr>
            </w:pPr>
            <w:r>
              <w:rPr>
                <w:rFonts w:hint="eastAsia" w:ascii="宋体" w:hAnsi="宋体" w:eastAsia="宋体" w:cs="宋体"/>
                <w:sz w:val="21"/>
                <w:highlight w:val="none"/>
              </w:rPr>
              <w:t>施工方法先进得4分，一般得2分，否则酌情扣分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0"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0～4</w:t>
            </w:r>
          </w:p>
        </w:tc>
        <w:tc>
          <w:tcPr>
            <w:tcW w:w="6336" w:type="dxa"/>
            <w:noWrap w:val="0"/>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施工设备、劳动力计划合理得4分，一般得2分，否则酌情扣分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确保工程质量、工期、安全措施得力得3分，否则酌情扣分；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文明施工措施可信度高得3分，否则酌情扣分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0"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施工总进度计划合理得3分，否则酌情扣分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9"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平面布置合理得3分（附图），否则酌情扣分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restart"/>
            <w:noWrap w:val="0"/>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可行性</w:t>
            </w:r>
          </w:p>
          <w:p>
            <w:pPr>
              <w:widowControl/>
              <w:spacing w:line="340" w:lineRule="exact"/>
              <w:jc w:val="center"/>
              <w:rPr>
                <w:rFonts w:hint="eastAsia" w:ascii="宋体" w:hAnsi="宋体" w:eastAsia="宋体" w:cs="宋体"/>
                <w:highlight w:val="none"/>
              </w:rPr>
            </w:pPr>
            <w:r>
              <w:rPr>
                <w:rFonts w:hint="eastAsia" w:ascii="宋体" w:hAnsi="宋体" w:eastAsia="宋体" w:cs="宋体"/>
                <w:sz w:val="24"/>
                <w:highlight w:val="none"/>
              </w:rPr>
              <w:t>20分</w:t>
            </w: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0～6</w:t>
            </w:r>
          </w:p>
        </w:tc>
        <w:tc>
          <w:tcPr>
            <w:tcW w:w="6336" w:type="dxa"/>
            <w:noWrap w:val="0"/>
            <w:vAlign w:val="center"/>
          </w:tcPr>
          <w:p>
            <w:pPr>
              <w:pStyle w:val="95"/>
              <w:spacing w:line="340" w:lineRule="exact"/>
              <w:textAlignment w:val="center"/>
              <w:rPr>
                <w:rFonts w:hint="eastAsia" w:ascii="宋体" w:hAnsi="宋体" w:eastAsia="宋体" w:cs="宋体"/>
                <w:sz w:val="21"/>
                <w:highlight w:val="none"/>
              </w:rPr>
            </w:pPr>
            <w:r>
              <w:rPr>
                <w:rFonts w:hint="eastAsia" w:ascii="宋体" w:hAnsi="宋体" w:eastAsia="宋体" w:cs="宋体"/>
                <w:sz w:val="21"/>
                <w:highlight w:val="none"/>
              </w:rPr>
              <w:t>涉及主要内容齐全措施计划详尽得6分，一般得3分，否则酌情扣分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1"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0～6</w:t>
            </w:r>
          </w:p>
        </w:tc>
        <w:tc>
          <w:tcPr>
            <w:tcW w:w="6336" w:type="dxa"/>
            <w:noWrap w:val="0"/>
            <w:vAlign w:val="center"/>
          </w:tcPr>
          <w:p>
            <w:pPr>
              <w:pStyle w:val="23"/>
              <w:widowControl/>
              <w:snapToGrid/>
              <w:spacing w:line="340" w:lineRule="exact"/>
              <w:jc w:val="both"/>
              <w:rPr>
                <w:rFonts w:hint="eastAsia" w:ascii="宋体" w:hAnsi="宋体" w:eastAsia="宋体" w:cs="宋体"/>
                <w:sz w:val="21"/>
                <w:highlight w:val="none"/>
              </w:rPr>
            </w:pPr>
            <w:r>
              <w:rPr>
                <w:rFonts w:hint="eastAsia" w:ascii="宋体" w:hAnsi="宋体" w:eastAsia="宋体" w:cs="宋体"/>
                <w:sz w:val="21"/>
                <w:highlight w:val="none"/>
              </w:rPr>
              <w:t>流水段的划分合理得6分，一般得3分，否则酌情扣分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pStyle w:val="23"/>
              <w:widowControl/>
              <w:snapToGrid/>
              <w:spacing w:line="340" w:lineRule="exact"/>
              <w:jc w:val="both"/>
              <w:rPr>
                <w:rFonts w:hint="eastAsia" w:ascii="宋体" w:hAnsi="宋体" w:eastAsia="宋体" w:cs="宋体"/>
                <w:sz w:val="21"/>
                <w:highlight w:val="none"/>
              </w:rPr>
            </w:pPr>
            <w:r>
              <w:rPr>
                <w:rFonts w:hint="eastAsia" w:ascii="宋体" w:hAnsi="宋体" w:eastAsia="宋体" w:cs="宋体"/>
                <w:sz w:val="21"/>
                <w:highlight w:val="none"/>
              </w:rPr>
              <w:t>流水作业的合理性得3分，否则酌情扣分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0"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pStyle w:val="23"/>
              <w:widowControl/>
              <w:snapToGrid/>
              <w:spacing w:line="340" w:lineRule="exact"/>
              <w:jc w:val="both"/>
              <w:rPr>
                <w:rFonts w:hint="eastAsia" w:ascii="宋体" w:hAnsi="宋体" w:eastAsia="宋体" w:cs="宋体"/>
                <w:sz w:val="21"/>
                <w:highlight w:val="none"/>
              </w:rPr>
            </w:pPr>
            <w:r>
              <w:rPr>
                <w:rFonts w:hint="eastAsia" w:ascii="宋体" w:hAnsi="宋体" w:eastAsia="宋体" w:cs="宋体"/>
                <w:sz w:val="21"/>
                <w:highlight w:val="none"/>
              </w:rPr>
              <w:t>各项交叉作业切合实际得3分，否则酌情扣分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9"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0～2</w:t>
            </w:r>
          </w:p>
        </w:tc>
        <w:tc>
          <w:tcPr>
            <w:tcW w:w="6336" w:type="dxa"/>
            <w:noWrap w:val="0"/>
            <w:vAlign w:val="center"/>
          </w:tcPr>
          <w:p>
            <w:pPr>
              <w:pStyle w:val="23"/>
              <w:widowControl/>
              <w:snapToGrid/>
              <w:spacing w:line="340" w:lineRule="exact"/>
              <w:jc w:val="both"/>
              <w:rPr>
                <w:rFonts w:hint="eastAsia" w:ascii="宋体" w:hAnsi="宋体" w:eastAsia="宋体" w:cs="宋体"/>
                <w:sz w:val="21"/>
                <w:highlight w:val="none"/>
              </w:rPr>
            </w:pPr>
            <w:r>
              <w:rPr>
                <w:rFonts w:hint="eastAsia" w:ascii="宋体" w:hAnsi="宋体" w:eastAsia="宋体" w:cs="宋体"/>
                <w:sz w:val="21"/>
                <w:highlight w:val="none"/>
              </w:rPr>
              <w:t>机具合理可行得2分，否则酌情扣分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3"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restart"/>
            <w:noWrap w:val="0"/>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针对性</w:t>
            </w:r>
          </w:p>
          <w:p>
            <w:pPr>
              <w:widowControl/>
              <w:spacing w:line="340" w:lineRule="exact"/>
              <w:jc w:val="center"/>
              <w:rPr>
                <w:rFonts w:hint="eastAsia" w:ascii="宋体" w:hAnsi="宋体" w:eastAsia="宋体" w:cs="宋体"/>
                <w:highlight w:val="none"/>
              </w:rPr>
            </w:pPr>
            <w:r>
              <w:rPr>
                <w:rFonts w:hint="eastAsia" w:ascii="宋体" w:hAnsi="宋体" w:eastAsia="宋体" w:cs="宋体"/>
                <w:sz w:val="24"/>
                <w:highlight w:val="none"/>
              </w:rPr>
              <w:t>25分</w:t>
            </w: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0～8</w:t>
            </w:r>
          </w:p>
        </w:tc>
        <w:tc>
          <w:tcPr>
            <w:tcW w:w="6336" w:type="dxa"/>
            <w:noWrap w:val="0"/>
            <w:vAlign w:val="center"/>
          </w:tcPr>
          <w:p>
            <w:pPr>
              <w:pStyle w:val="95"/>
              <w:spacing w:line="340" w:lineRule="exact"/>
              <w:textAlignment w:val="center"/>
              <w:rPr>
                <w:rFonts w:hint="eastAsia" w:ascii="宋体" w:hAnsi="宋体" w:eastAsia="宋体" w:cs="宋体"/>
                <w:sz w:val="21"/>
                <w:highlight w:val="none"/>
              </w:rPr>
            </w:pPr>
            <w:r>
              <w:rPr>
                <w:rFonts w:hint="eastAsia" w:ascii="宋体" w:hAnsi="宋体" w:eastAsia="宋体" w:cs="宋体"/>
                <w:sz w:val="21"/>
                <w:highlight w:val="none"/>
              </w:rPr>
              <w:t>涉及重点内容突出得8分、尚可得5分，一般得2分，否则酌情扣分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2"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pStyle w:val="23"/>
              <w:widowControl/>
              <w:snapToGrid/>
              <w:spacing w:line="340" w:lineRule="exact"/>
              <w:rPr>
                <w:rFonts w:hint="eastAsia" w:ascii="宋体" w:hAnsi="宋体" w:eastAsia="宋体" w:cs="宋体"/>
                <w:sz w:val="21"/>
                <w:highlight w:val="none"/>
              </w:rPr>
            </w:pPr>
            <w:r>
              <w:rPr>
                <w:rFonts w:hint="eastAsia" w:ascii="宋体" w:hAnsi="宋体" w:eastAsia="宋体" w:cs="宋体"/>
                <w:sz w:val="21"/>
                <w:highlight w:val="none"/>
              </w:rPr>
              <w:t>工程项目的质保体系健全得3分，否则酌情扣分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pStyle w:val="23"/>
              <w:widowControl/>
              <w:snapToGrid/>
              <w:spacing w:line="340" w:lineRule="exact"/>
              <w:rPr>
                <w:rFonts w:hint="eastAsia" w:ascii="宋体" w:hAnsi="宋体" w:eastAsia="宋体" w:cs="宋体"/>
                <w:sz w:val="21"/>
                <w:highlight w:val="none"/>
              </w:rPr>
            </w:pPr>
            <w:r>
              <w:rPr>
                <w:rFonts w:hint="eastAsia" w:ascii="宋体" w:hAnsi="宋体" w:eastAsia="宋体" w:cs="宋体"/>
                <w:sz w:val="21"/>
                <w:highlight w:val="none"/>
              </w:rPr>
              <w:t>安保体系健全有效得3分，否则酌情扣分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0～5</w:t>
            </w:r>
          </w:p>
        </w:tc>
        <w:tc>
          <w:tcPr>
            <w:tcW w:w="6336" w:type="dxa"/>
            <w:noWrap w:val="0"/>
            <w:vAlign w:val="center"/>
          </w:tcPr>
          <w:p>
            <w:pPr>
              <w:pStyle w:val="23"/>
              <w:widowControl/>
              <w:snapToGrid/>
              <w:spacing w:line="340" w:lineRule="exact"/>
              <w:rPr>
                <w:rFonts w:hint="eastAsia" w:ascii="宋体" w:hAnsi="宋体" w:eastAsia="宋体" w:cs="宋体"/>
                <w:sz w:val="21"/>
                <w:highlight w:val="none"/>
              </w:rPr>
            </w:pPr>
            <w:r>
              <w:rPr>
                <w:rFonts w:hint="eastAsia" w:ascii="宋体" w:hAnsi="宋体" w:eastAsia="宋体" w:cs="宋体"/>
                <w:sz w:val="21"/>
                <w:highlight w:val="none"/>
              </w:rPr>
              <w:t>创优措施切实可行得5分，尚可得3分，否则酌情扣分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pStyle w:val="23"/>
              <w:widowControl/>
              <w:snapToGrid/>
              <w:spacing w:line="340" w:lineRule="exact"/>
              <w:rPr>
                <w:rFonts w:hint="eastAsia" w:ascii="宋体" w:hAnsi="宋体" w:eastAsia="宋体" w:cs="宋体"/>
                <w:sz w:val="21"/>
                <w:highlight w:val="none"/>
              </w:rPr>
            </w:pPr>
            <w:r>
              <w:rPr>
                <w:rFonts w:hint="eastAsia" w:ascii="宋体" w:hAnsi="宋体" w:eastAsia="宋体" w:cs="宋体"/>
                <w:sz w:val="21"/>
                <w:highlight w:val="none"/>
              </w:rPr>
              <w:t>工程的安全措施得力3分，一般得1分，否则酌情扣分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pStyle w:val="23"/>
              <w:widowControl/>
              <w:snapToGrid/>
              <w:spacing w:line="340" w:lineRule="exact"/>
              <w:rPr>
                <w:rFonts w:hint="eastAsia" w:ascii="宋体" w:hAnsi="宋体" w:eastAsia="宋体" w:cs="宋体"/>
                <w:sz w:val="21"/>
                <w:highlight w:val="none"/>
              </w:rPr>
            </w:pPr>
            <w:r>
              <w:rPr>
                <w:rFonts w:hint="eastAsia" w:ascii="宋体" w:hAnsi="宋体" w:eastAsia="宋体" w:cs="宋体"/>
                <w:sz w:val="21"/>
                <w:highlight w:val="none"/>
              </w:rPr>
              <w:t>文明施工措施得力得3分，否则酌情扣分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restart"/>
            <w:noWrap w:val="0"/>
            <w:vAlign w:val="center"/>
          </w:tcPr>
          <w:p>
            <w:pPr>
              <w:pStyle w:val="95"/>
              <w:spacing w:line="34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先进性</w:t>
            </w:r>
          </w:p>
          <w:p>
            <w:pPr>
              <w:widowControl/>
              <w:spacing w:line="340" w:lineRule="exact"/>
              <w:jc w:val="center"/>
              <w:rPr>
                <w:rFonts w:hint="eastAsia" w:ascii="宋体" w:hAnsi="宋体" w:eastAsia="宋体" w:cs="宋体"/>
                <w:highlight w:val="none"/>
              </w:rPr>
            </w:pPr>
            <w:r>
              <w:rPr>
                <w:rFonts w:hint="eastAsia" w:ascii="宋体" w:hAnsi="宋体" w:eastAsia="宋体" w:cs="宋体"/>
                <w:sz w:val="24"/>
                <w:highlight w:val="none"/>
              </w:rPr>
              <w:t>20分</w:t>
            </w: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0～6</w:t>
            </w:r>
          </w:p>
        </w:tc>
        <w:tc>
          <w:tcPr>
            <w:tcW w:w="6336" w:type="dxa"/>
            <w:noWrap w:val="0"/>
            <w:vAlign w:val="center"/>
          </w:tcPr>
          <w:p>
            <w:pPr>
              <w:pStyle w:val="95"/>
              <w:spacing w:line="340" w:lineRule="exact"/>
              <w:textAlignment w:val="center"/>
              <w:rPr>
                <w:rFonts w:hint="eastAsia" w:ascii="宋体" w:hAnsi="宋体" w:eastAsia="宋体" w:cs="宋体"/>
                <w:sz w:val="21"/>
                <w:highlight w:val="none"/>
              </w:rPr>
            </w:pPr>
            <w:r>
              <w:rPr>
                <w:rFonts w:hint="eastAsia" w:ascii="宋体" w:hAnsi="宋体" w:eastAsia="宋体" w:cs="宋体"/>
                <w:sz w:val="21"/>
                <w:highlight w:val="none"/>
              </w:rPr>
              <w:t>采用新工艺、新技术、新设备各得2分，没有不得分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0～8</w:t>
            </w:r>
          </w:p>
        </w:tc>
        <w:tc>
          <w:tcPr>
            <w:tcW w:w="6336" w:type="dxa"/>
            <w:noWrap w:val="0"/>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在确保工程质量前提下，有降低成本、缩短工期、减轻劳动强度提高进度提案者得8分，方案尚可得5分，一般得2分，否则酌情扣分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0～6</w:t>
            </w:r>
          </w:p>
        </w:tc>
        <w:tc>
          <w:tcPr>
            <w:tcW w:w="6336" w:type="dxa"/>
            <w:noWrap w:val="0"/>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执行国家强制性条文得3分、有切实可行的保证措施各得3分，否则酌情扣分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restart"/>
            <w:noWrap w:val="0"/>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强制性</w:t>
            </w:r>
          </w:p>
          <w:p>
            <w:pPr>
              <w:widowControl/>
              <w:spacing w:line="340" w:lineRule="exact"/>
              <w:jc w:val="center"/>
              <w:rPr>
                <w:rFonts w:hint="eastAsia" w:ascii="宋体" w:hAnsi="宋体" w:eastAsia="宋体" w:cs="宋体"/>
                <w:highlight w:val="none"/>
              </w:rPr>
            </w:pPr>
            <w:r>
              <w:rPr>
                <w:rFonts w:hint="eastAsia" w:ascii="宋体" w:hAnsi="宋体" w:eastAsia="宋体" w:cs="宋体"/>
                <w:sz w:val="24"/>
                <w:highlight w:val="none"/>
              </w:rPr>
              <w:t>7分</w:t>
            </w: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0～4</w:t>
            </w:r>
          </w:p>
        </w:tc>
        <w:tc>
          <w:tcPr>
            <w:tcW w:w="6336" w:type="dxa"/>
            <w:noWrap w:val="0"/>
            <w:vAlign w:val="center"/>
          </w:tcPr>
          <w:p>
            <w:pPr>
              <w:pStyle w:val="95"/>
              <w:spacing w:line="340" w:lineRule="exact"/>
              <w:textAlignment w:val="center"/>
              <w:rPr>
                <w:rFonts w:hint="eastAsia" w:ascii="宋体" w:hAnsi="宋体" w:eastAsia="宋体" w:cs="宋体"/>
                <w:sz w:val="21"/>
                <w:highlight w:val="none"/>
              </w:rPr>
            </w:pPr>
            <w:r>
              <w:rPr>
                <w:rFonts w:hint="eastAsia" w:ascii="宋体" w:hAnsi="宋体" w:eastAsia="宋体" w:cs="宋体"/>
                <w:sz w:val="21"/>
                <w:highlight w:val="none"/>
              </w:rPr>
              <w:t>制定了质量通病的防治措施、措施可行各得2分，否则酌情扣分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widowControl/>
              <w:spacing w:line="340" w:lineRule="exact"/>
              <w:jc w:val="left"/>
              <w:rPr>
                <w:rFonts w:hint="eastAsia" w:ascii="宋体" w:hAnsi="宋体" w:eastAsia="宋体" w:cs="宋体"/>
                <w:highlight w:val="none"/>
              </w:rPr>
            </w:pPr>
            <w:r>
              <w:rPr>
                <w:rFonts w:hint="eastAsia" w:ascii="宋体" w:hAnsi="宋体" w:eastAsia="宋体" w:cs="宋体"/>
                <w:highlight w:val="none"/>
              </w:rPr>
              <w:t>执行国家强制性条文、有切实可行的保证措施得3分，否则酌情扣分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restart"/>
            <w:noWrap w:val="0"/>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承诺</w:t>
            </w:r>
          </w:p>
          <w:p>
            <w:pPr>
              <w:widowControl/>
              <w:spacing w:line="340" w:lineRule="exact"/>
              <w:jc w:val="center"/>
              <w:rPr>
                <w:rFonts w:hint="eastAsia" w:ascii="宋体" w:hAnsi="宋体" w:eastAsia="宋体" w:cs="宋体"/>
                <w:highlight w:val="none"/>
              </w:rPr>
            </w:pPr>
            <w:r>
              <w:rPr>
                <w:rFonts w:hint="eastAsia" w:ascii="宋体" w:hAnsi="宋体" w:eastAsia="宋体" w:cs="宋体"/>
                <w:sz w:val="24"/>
                <w:highlight w:val="none"/>
              </w:rPr>
              <w:t>8分</w:t>
            </w: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0～4</w:t>
            </w:r>
          </w:p>
        </w:tc>
        <w:tc>
          <w:tcPr>
            <w:tcW w:w="6336" w:type="dxa"/>
            <w:noWrap w:val="0"/>
            <w:vAlign w:val="center"/>
          </w:tcPr>
          <w:p>
            <w:pPr>
              <w:widowControl/>
              <w:spacing w:line="340" w:lineRule="exact"/>
              <w:textAlignment w:val="center"/>
              <w:rPr>
                <w:rFonts w:hint="eastAsia" w:ascii="宋体" w:hAnsi="宋体" w:eastAsia="宋体" w:cs="宋体"/>
                <w:highlight w:val="none"/>
              </w:rPr>
            </w:pPr>
            <w:r>
              <w:rPr>
                <w:rFonts w:hint="eastAsia" w:ascii="宋体" w:hAnsi="宋体" w:eastAsia="宋体" w:cs="宋体"/>
                <w:highlight w:val="none"/>
              </w:rPr>
              <w:t>保修有承诺、有违约经济处罚且措施可行各得2分，否则酌情扣分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0～4</w:t>
            </w:r>
          </w:p>
        </w:tc>
        <w:tc>
          <w:tcPr>
            <w:tcW w:w="6336" w:type="dxa"/>
            <w:noWrap w:val="0"/>
            <w:vAlign w:val="center"/>
          </w:tcPr>
          <w:p>
            <w:pPr>
              <w:widowControl/>
              <w:spacing w:line="340" w:lineRule="exact"/>
              <w:jc w:val="left"/>
              <w:rPr>
                <w:rFonts w:hint="eastAsia" w:ascii="宋体" w:hAnsi="宋体" w:eastAsia="宋体" w:cs="宋体"/>
                <w:highlight w:val="none"/>
              </w:rPr>
            </w:pPr>
            <w:r>
              <w:rPr>
                <w:rFonts w:hint="eastAsia" w:ascii="宋体" w:hAnsi="宋体" w:eastAsia="宋体" w:cs="宋体"/>
                <w:highlight w:val="none"/>
              </w:rPr>
              <w:t>承诺达到优质质量标准、并有切实可行质量保证措施得3分，否则酌情扣分；达不到有违约经济处罚的得1分，否则不得分</w:t>
            </w:r>
          </w:p>
        </w:tc>
      </w:tr>
    </w:tbl>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kern w:val="0"/>
          <w:sz w:val="24"/>
          <w:lang w:eastAsia="zh-CN"/>
        </w:rPr>
      </w:pPr>
      <w:bookmarkStart w:id="129" w:name="_Toc25362"/>
      <w:bookmarkStart w:id="130" w:name="_Toc14001"/>
      <w:r>
        <w:rPr>
          <w:rFonts w:hint="eastAsia" w:ascii="宋体" w:hAnsi="宋体" w:eastAsia="宋体" w:cs="宋体"/>
          <w:b/>
          <w:sz w:val="28"/>
          <w:szCs w:val="28"/>
          <w:lang w:eastAsia="zh-CN"/>
        </w:rPr>
        <w:t>二、评</w:t>
      </w:r>
      <w:r>
        <w:rPr>
          <w:rFonts w:hint="eastAsia" w:ascii="宋体" w:hAnsi="宋体" w:cs="宋体"/>
          <w:b/>
          <w:sz w:val="28"/>
          <w:szCs w:val="28"/>
          <w:lang w:eastAsia="zh-CN"/>
        </w:rPr>
        <w:t>审</w:t>
      </w:r>
      <w:r>
        <w:rPr>
          <w:rFonts w:hint="eastAsia" w:ascii="宋体" w:hAnsi="宋体" w:eastAsia="宋体" w:cs="宋体"/>
          <w:b/>
          <w:sz w:val="28"/>
          <w:szCs w:val="28"/>
          <w:lang w:eastAsia="zh-CN"/>
        </w:rPr>
        <w:t>办法正文部分</w:t>
      </w:r>
      <w:bookmarkEnd w:id="129"/>
      <w:bookmarkEnd w:id="130"/>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经磋商确定最终采购需求和提交最后报价的供应商后，由磋商小组采用综合评分法对提交最后报价的供应商的响应文件和最后报价进行综合评分。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综合评分法，是指响应文件满足磋商文件全部实质性要求且按评审因素的量化指标评审得分最高的供应商为成交候选供应商的评审方法。</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评审时，磋商小组各成员应当独立对每个有效响应的文件进行评价、打分，然后汇总每个供应商每项评分因素的得分。</w:t>
      </w:r>
    </w:p>
    <w:p>
      <w:pPr>
        <w:pStyle w:val="13"/>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2.1</w:t>
      </w:r>
      <w:r>
        <w:rPr>
          <w:rFonts w:hint="eastAsia" w:ascii="宋体" w:hAnsi="宋体" w:eastAsia="宋体" w:cs="宋体"/>
          <w:b/>
          <w:bCs/>
          <w:sz w:val="24"/>
          <w:szCs w:val="24"/>
        </w:rPr>
        <w:t>响应文件的初审</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初审分为资格审查和符合性审查。</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2.1.1</w:t>
      </w:r>
      <w:r>
        <w:rPr>
          <w:rFonts w:hint="eastAsia" w:ascii="宋体" w:hAnsi="宋体" w:eastAsia="宋体" w:cs="宋体"/>
          <w:sz w:val="24"/>
          <w:szCs w:val="24"/>
        </w:rPr>
        <w:t>资格审查</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（1）磋商小组根据评</w:t>
      </w:r>
      <w:r>
        <w:rPr>
          <w:rFonts w:hint="eastAsia" w:ascii="宋体" w:hAnsi="宋体" w:eastAsia="宋体" w:cs="宋体"/>
          <w:sz w:val="24"/>
          <w:szCs w:val="24"/>
          <w:lang w:eastAsia="zh-CN"/>
        </w:rPr>
        <w:t>标</w:t>
      </w:r>
      <w:r>
        <w:rPr>
          <w:rFonts w:hint="eastAsia" w:ascii="宋体" w:hAnsi="宋体" w:eastAsia="宋体" w:cs="宋体"/>
          <w:sz w:val="24"/>
          <w:szCs w:val="24"/>
        </w:rPr>
        <w:t>办法前附表规定的评审因素和评审标准，对供应商的响应文件进行资格评审。资格审查不合格的供应商的响应文件作无效文件处理。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（2）磋商小组在进行资格检查时，不得改变磋商文件中已载明的资格条件、标准和办法。资格审查不合格的供应商的响应文件作无效文件处理。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）磋商小组在评审中必要时可按供应商提供的联系方式就有关问题进行查询核实，或要求供应商做出书面澄清，查询及澄清结果将作为审查的依据。</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）通过全部资格审查条件合格的供应商才能通过资格审查，其响应文件方可进入下一个检查阶段。</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2.1.2</w:t>
      </w:r>
      <w:r>
        <w:rPr>
          <w:rFonts w:hint="eastAsia" w:ascii="宋体" w:hAnsi="宋体" w:eastAsia="宋体" w:cs="宋体"/>
          <w:sz w:val="24"/>
          <w:szCs w:val="24"/>
        </w:rPr>
        <w:t>符合性审查</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磋商小组根据评</w:t>
      </w:r>
      <w:r>
        <w:rPr>
          <w:rFonts w:hint="eastAsia" w:ascii="宋体" w:hAnsi="宋体" w:eastAsia="宋体" w:cs="宋体"/>
          <w:sz w:val="24"/>
          <w:szCs w:val="24"/>
          <w:lang w:eastAsia="zh-CN"/>
        </w:rPr>
        <w:t>标</w:t>
      </w:r>
      <w:r>
        <w:rPr>
          <w:rFonts w:hint="eastAsia" w:ascii="宋体" w:hAnsi="宋体" w:eastAsia="宋体" w:cs="宋体"/>
          <w:sz w:val="24"/>
          <w:szCs w:val="24"/>
        </w:rPr>
        <w:t>办法前附表规定的评审因素和评审标准，对供应商的响应文件进行符合性审查。符合性审查不合格的供应商的响应文件作无效文件处理。</w:t>
      </w:r>
    </w:p>
    <w:p>
      <w:pPr>
        <w:pStyle w:val="13"/>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2.2</w:t>
      </w:r>
      <w:r>
        <w:rPr>
          <w:rFonts w:hint="eastAsia" w:ascii="宋体" w:hAnsi="宋体" w:eastAsia="宋体" w:cs="宋体"/>
          <w:b/>
          <w:bCs/>
          <w:sz w:val="24"/>
          <w:szCs w:val="24"/>
        </w:rPr>
        <w:t>响应文件</w:t>
      </w:r>
      <w:r>
        <w:rPr>
          <w:rFonts w:hint="eastAsia" w:ascii="宋体" w:hAnsi="宋体" w:cs="宋体"/>
          <w:b/>
          <w:bCs/>
          <w:sz w:val="24"/>
          <w:szCs w:val="24"/>
          <w:lang w:eastAsia="zh-CN"/>
        </w:rPr>
        <w:t>的</w:t>
      </w:r>
      <w:r>
        <w:rPr>
          <w:rFonts w:hint="eastAsia" w:ascii="宋体" w:hAnsi="宋体" w:eastAsia="宋体" w:cs="宋体"/>
          <w:b/>
          <w:bCs/>
          <w:sz w:val="24"/>
          <w:szCs w:val="24"/>
        </w:rPr>
        <w:t>澄清、说明和更正</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cs="宋体"/>
          <w:sz w:val="24"/>
          <w:szCs w:val="24"/>
          <w:lang w:val="en-US" w:eastAsia="zh-CN"/>
        </w:rPr>
        <w:t>1</w:t>
      </w:r>
      <w:r>
        <w:rPr>
          <w:rFonts w:hint="eastAsia" w:ascii="宋体" w:hAnsi="宋体" w:eastAsia="宋体" w:cs="宋体"/>
          <w:sz w:val="24"/>
          <w:szCs w:val="24"/>
        </w:rPr>
        <w:t>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cs="宋体"/>
          <w:sz w:val="24"/>
          <w:szCs w:val="24"/>
          <w:lang w:val="en-US" w:eastAsia="zh-CN"/>
        </w:rPr>
        <w:t>2</w:t>
      </w:r>
      <w:r>
        <w:rPr>
          <w:rFonts w:hint="eastAsia" w:ascii="宋体" w:hAnsi="宋体" w:eastAsia="宋体" w:cs="宋体"/>
          <w:sz w:val="24"/>
          <w:szCs w:val="24"/>
        </w:rPr>
        <w:t>实质上没有响应磋商文件要求的响应文件将被视为无效文件。供应商不得通过修正或撤销不合要求的偏离从而使其成为实质上响应的文件。</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2.2.5</w:t>
      </w:r>
      <w:r>
        <w:rPr>
          <w:rFonts w:hint="eastAsia" w:ascii="宋体" w:hAnsi="宋体" w:eastAsia="宋体" w:cs="宋体"/>
          <w:sz w:val="24"/>
          <w:szCs w:val="24"/>
        </w:rPr>
        <w:t>供应商的澄清文件是其响应文件的组成部分。</w:t>
      </w:r>
    </w:p>
    <w:p>
      <w:pPr>
        <w:pStyle w:val="13"/>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3</w:t>
      </w:r>
      <w:r>
        <w:rPr>
          <w:rFonts w:hint="eastAsia" w:ascii="宋体" w:hAnsi="宋体" w:eastAsia="宋体" w:cs="宋体"/>
          <w:b/>
          <w:bCs/>
          <w:sz w:val="24"/>
          <w:szCs w:val="24"/>
        </w:rPr>
        <w:t>磋商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.1磋商小组所有成员应当集中与单一供应商分别进行磋商，并给予所有参加磋商的供应商平等的磋商机会。</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.2在磋商过程中，磋商小组可以根据磋商文件和磋商情况实质性变动采购需求中的技术、服务要求以及合同草案条款，但不得变动磋商文件中的其他内容。实质性变动的内容，须经采购人代表确认。</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.3对磋商文件作出的实质性变动是磋商文件的有效组成部分，磋商小组应当及时以书面形式同时通知所有参加磋商的供应商。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.5磋商文件能够详细列明采购标的的技术、服务要求的，磋商结束后，磋商小组应当要求所有实质性响应的供应商在规定时间内提交最后报价，提交最后报价的供应商不得少于</w:t>
      </w:r>
      <w:r>
        <w:rPr>
          <w:rFonts w:hint="eastAsia" w:ascii="宋体" w:hAnsi="宋体" w:eastAsia="宋体" w:cs="宋体"/>
          <w:sz w:val="24"/>
          <w:szCs w:val="24"/>
          <w:lang w:val="en-US" w:eastAsia="zh-CN"/>
        </w:rPr>
        <w:t>3</w:t>
      </w:r>
      <w:r>
        <w:rPr>
          <w:rFonts w:hint="eastAsia" w:ascii="宋体" w:hAnsi="宋体" w:eastAsia="宋体" w:cs="宋体"/>
          <w:sz w:val="24"/>
          <w:szCs w:val="24"/>
        </w:rPr>
        <w:t>家。</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.6磋商文件不能详细列明采购标的的技术、服务要求，需经磋商由供应商提供最终设计方案或解决方案的，磋商结束后，磋商小组应当按照少数服从多数的原则投票推荐</w:t>
      </w:r>
      <w:r>
        <w:rPr>
          <w:rFonts w:hint="eastAsia" w:ascii="宋体" w:hAnsi="宋体" w:eastAsia="宋体" w:cs="宋体"/>
          <w:sz w:val="24"/>
          <w:szCs w:val="24"/>
          <w:lang w:val="en-US" w:eastAsia="zh-CN"/>
        </w:rPr>
        <w:t>3</w:t>
      </w:r>
      <w:r>
        <w:rPr>
          <w:rFonts w:hint="eastAsia" w:ascii="宋体" w:hAnsi="宋体" w:eastAsia="宋体" w:cs="宋体"/>
          <w:sz w:val="24"/>
          <w:szCs w:val="24"/>
        </w:rPr>
        <w:t>家以上供应商的设计方案或者解决方案，并要求其在规定时间内提交最后报价。</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.7已提交响应文件的供应商，在提交最后报价之前，可以根据磋商情况退出磋商。其</w:t>
      </w:r>
      <w:r>
        <w:rPr>
          <w:rFonts w:hint="eastAsia" w:ascii="宋体" w:hAnsi="宋体" w:cs="宋体"/>
          <w:sz w:val="24"/>
          <w:szCs w:val="24"/>
          <w:lang w:eastAsia="zh-CN"/>
        </w:rPr>
        <w:t>响应保证金</w:t>
      </w:r>
      <w:r>
        <w:rPr>
          <w:rFonts w:hint="eastAsia" w:ascii="宋体" w:hAnsi="宋体" w:eastAsia="宋体" w:cs="宋体"/>
          <w:sz w:val="24"/>
          <w:szCs w:val="24"/>
        </w:rPr>
        <w:t>将予以退还。</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.8最后报价是供应商响应文件的有效组成部分。</w:t>
      </w:r>
      <w:r>
        <w:rPr>
          <w:rFonts w:hint="eastAsia" w:ascii="宋体" w:hAnsi="宋体" w:eastAsia="宋体" w:cs="宋体"/>
          <w:sz w:val="24"/>
          <w:szCs w:val="24"/>
          <w:highlight w:val="none"/>
        </w:rPr>
        <w:t>符合</w:t>
      </w:r>
      <w:r>
        <w:rPr>
          <w:rFonts w:hint="eastAsia" w:ascii="宋体" w:hAnsi="宋体" w:eastAsia="宋体" w:cs="宋体"/>
          <w:sz w:val="24"/>
          <w:szCs w:val="24"/>
          <w:highlight w:val="none"/>
          <w:lang w:eastAsia="zh-CN"/>
        </w:rPr>
        <w:t>《政府采购竞争性磋商采购方式管理暂行办法》</w:t>
      </w:r>
      <w:r>
        <w:rPr>
          <w:rFonts w:hint="eastAsia" w:ascii="宋体" w:hAnsi="宋体" w:eastAsia="宋体" w:cs="宋体"/>
          <w:sz w:val="24"/>
          <w:szCs w:val="24"/>
          <w:highlight w:val="none"/>
        </w:rPr>
        <w:t>第三条第四项情形</w:t>
      </w:r>
      <w:r>
        <w:rPr>
          <w:rFonts w:hint="eastAsia" w:ascii="宋体" w:hAnsi="宋体" w:eastAsia="宋体" w:cs="宋体"/>
          <w:sz w:val="24"/>
          <w:szCs w:val="24"/>
          <w:highlight w:val="none"/>
          <w:lang w:eastAsia="zh-CN"/>
        </w:rPr>
        <w:t>：市场竞争不充分的科研项目，以及需要扶持的科技成果转化项目</w:t>
      </w:r>
      <w:r>
        <w:rPr>
          <w:rFonts w:hint="eastAsia" w:ascii="宋体" w:hAnsi="宋体" w:eastAsia="宋体" w:cs="宋体"/>
          <w:sz w:val="24"/>
          <w:szCs w:val="24"/>
          <w:highlight w:val="none"/>
        </w:rPr>
        <w:t>，提交最后报价的供应商可</w:t>
      </w:r>
      <w:r>
        <w:rPr>
          <w:rFonts w:hint="eastAsia" w:ascii="宋体" w:hAnsi="宋体" w:eastAsia="宋体" w:cs="宋体"/>
          <w:sz w:val="24"/>
          <w:szCs w:val="24"/>
        </w:rPr>
        <w:t>以为2家。</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.9经磋商确定最终采购需求和提交最后报价的供应商后，由磋商小组采用综合评分法对提交最后报价的供应商的响应文件和最后报价进行综合评分。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.10采购结果确认</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（3）条款是指磋商过程中确定的最终采购需求及报价。</w:t>
      </w:r>
    </w:p>
    <w:p>
      <w:pPr>
        <w:pStyle w:val="13"/>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4</w:t>
      </w:r>
      <w:r>
        <w:rPr>
          <w:rFonts w:hint="eastAsia" w:ascii="宋体" w:hAnsi="宋体" w:eastAsia="宋体" w:cs="宋体"/>
          <w:b/>
          <w:bCs/>
          <w:sz w:val="24"/>
          <w:szCs w:val="24"/>
          <w:lang w:val="en-US" w:eastAsia="zh-CN"/>
        </w:rPr>
        <w:t>推荐成交供应商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pPr>
        <w:pStyle w:val="13"/>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5</w:t>
      </w:r>
      <w:r>
        <w:rPr>
          <w:rFonts w:hint="eastAsia" w:ascii="宋体" w:hAnsi="宋体" w:eastAsia="宋体" w:cs="宋体"/>
          <w:b/>
          <w:bCs/>
          <w:sz w:val="24"/>
          <w:szCs w:val="24"/>
          <w:lang w:val="en-US" w:eastAsia="zh-CN"/>
        </w:rPr>
        <w:t>确定成交供应商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.1</w:t>
      </w:r>
      <w:r>
        <w:rPr>
          <w:rFonts w:hint="eastAsia" w:ascii="宋体" w:hAnsi="宋体" w:eastAsia="宋体" w:cs="宋体"/>
          <w:sz w:val="24"/>
          <w:szCs w:val="24"/>
        </w:rPr>
        <w:t>采购代理机构应当在评审结束后2个工作日内将评审报告送采购人确认。</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.2</w:t>
      </w:r>
      <w:r>
        <w:rPr>
          <w:rFonts w:hint="eastAsia" w:ascii="宋体" w:hAnsi="宋体" w:eastAsia="宋体" w:cs="宋体"/>
          <w:sz w:val="24"/>
          <w:szCs w:val="24"/>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sz w:val="28"/>
          <w:szCs w:val="28"/>
          <w:lang w:val="en-US" w:eastAsia="zh-CN"/>
        </w:rPr>
      </w:pPr>
      <w:bookmarkStart w:id="131" w:name="_Toc19418"/>
      <w:r>
        <w:rPr>
          <w:rFonts w:hint="eastAsia" w:ascii="宋体" w:hAnsi="宋体" w:eastAsia="宋体" w:cs="宋体"/>
          <w:b/>
          <w:sz w:val="28"/>
          <w:szCs w:val="28"/>
          <w:lang w:val="en-US" w:eastAsia="zh-CN"/>
        </w:rPr>
        <w:t>三、串通投标的情况</w:t>
      </w:r>
      <w:bookmarkEnd w:id="131"/>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有下列情形之一的，视为投标人串通投标，其投标无效：</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1、不同投标人的</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由同一单位或者个人编制；</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2、不同投标人委托同一单位或者个人办理投标事宜；</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3、不同投标人的</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载明的项目管理成员或者联系人员为同一人；</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4、不同投标人的</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异常一致或者投标报价呈规律性差异；</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5、不同投标人的</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相互混装；</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cs="Times New Roman" w:asciiTheme="majorEastAsia" w:hAnsiTheme="majorEastAsia" w:eastAsiaTheme="majorEastAsia"/>
          <w:sz w:val="28"/>
          <w:szCs w:val="28"/>
        </w:rPr>
      </w:pPr>
      <w:r>
        <w:rPr>
          <w:rFonts w:hint="eastAsia" w:ascii="宋体" w:hAnsi="宋体" w:eastAsia="宋体" w:cs="宋体"/>
          <w:sz w:val="24"/>
          <w:szCs w:val="24"/>
          <w:lang w:val="en-US" w:eastAsia="zh-CN"/>
        </w:rPr>
        <w:t>6、不同投标人的</w:t>
      </w:r>
      <w:r>
        <w:rPr>
          <w:rFonts w:hint="eastAsia" w:ascii="宋体" w:hAnsi="宋体" w:cs="宋体"/>
          <w:sz w:val="24"/>
          <w:szCs w:val="24"/>
          <w:lang w:val="en-US" w:eastAsia="zh-CN"/>
        </w:rPr>
        <w:t>响应保证金</w:t>
      </w:r>
      <w:r>
        <w:rPr>
          <w:rFonts w:hint="eastAsia" w:ascii="宋体" w:hAnsi="宋体" w:eastAsia="宋体" w:cs="宋体"/>
          <w:sz w:val="24"/>
          <w:szCs w:val="24"/>
          <w:lang w:val="en-US" w:eastAsia="zh-CN"/>
        </w:rPr>
        <w:t>从同一单位或者个人的账户转出。</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sz w:val="28"/>
          <w:szCs w:val="28"/>
          <w:lang w:val="en-US" w:eastAsia="zh-CN"/>
        </w:rPr>
      </w:pPr>
      <w:r>
        <w:rPr>
          <w:rFonts w:hint="eastAsia" w:ascii="宋体" w:hAnsi="宋体" w:cs="宋体"/>
          <w:b/>
          <w:sz w:val="28"/>
          <w:szCs w:val="28"/>
          <w:lang w:val="en-US" w:eastAsia="zh-CN"/>
        </w:rPr>
        <w:t>四</w:t>
      </w:r>
      <w:r>
        <w:rPr>
          <w:rFonts w:hint="eastAsia" w:ascii="宋体" w:hAnsi="宋体" w:eastAsia="宋体" w:cs="宋体"/>
          <w:b/>
          <w:sz w:val="28"/>
          <w:szCs w:val="28"/>
          <w:lang w:val="en-US" w:eastAsia="zh-CN"/>
        </w:rPr>
        <w:t>、无效投标条款和废标条款</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4.1无效投标条款</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投标人不遵循公平竞争的原则，恶意串通，妨碍其他投标人的竞争，损害采购人或者其他投标人的合法权益，评标委员会应当认定其投标无效。</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4.2废标条款：</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4.2.1符合专业条件的供应商或者对磋商文件作实质响应的供应商不足三家的；</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4.2.2出现影响采购公正的违法、违规行为的；</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4.2.3投标人的报价均超过了采购预算，采购人不能支付的；</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4.2.4因重大变故，采购任务取消的。</w:t>
      </w:r>
    </w:p>
    <w:p>
      <w:pPr>
        <w:pStyle w:val="13"/>
        <w:spacing w:line="500" w:lineRule="exact"/>
        <w:ind w:firstLine="565" w:firstLineChars="202"/>
        <w:jc w:val="left"/>
        <w:rPr>
          <w:rFonts w:hint="eastAsia" w:cs="Times New Roman" w:asciiTheme="majorEastAsia" w:hAnsiTheme="majorEastAsia" w:eastAsiaTheme="majorEastAsia"/>
          <w:sz w:val="28"/>
          <w:szCs w:val="28"/>
        </w:rPr>
      </w:pPr>
    </w:p>
    <w:p>
      <w:pPr>
        <w:pStyle w:val="13"/>
        <w:spacing w:line="500" w:lineRule="exact"/>
        <w:ind w:firstLine="565" w:firstLineChars="202"/>
        <w:jc w:val="left"/>
        <w:rPr>
          <w:rFonts w:hint="eastAsia" w:cs="Times New Roman" w:asciiTheme="majorEastAsia" w:hAnsiTheme="majorEastAsia" w:eastAsiaTheme="majorEastAsia"/>
          <w:sz w:val="28"/>
          <w:szCs w:val="28"/>
        </w:rPr>
      </w:pPr>
    </w:p>
    <w:p>
      <w:pPr>
        <w:pStyle w:val="13"/>
        <w:spacing w:line="500" w:lineRule="exact"/>
        <w:ind w:firstLine="565" w:firstLineChars="202"/>
        <w:jc w:val="left"/>
        <w:rPr>
          <w:rFonts w:hint="eastAsia" w:cs="Times New Roman" w:asciiTheme="majorEastAsia" w:hAnsiTheme="majorEastAsia" w:eastAsiaTheme="majorEastAsia"/>
          <w:sz w:val="28"/>
          <w:szCs w:val="28"/>
        </w:rPr>
      </w:pPr>
    </w:p>
    <w:p>
      <w:pPr>
        <w:rPr>
          <w:rFonts w:hint="eastAsia"/>
          <w:sz w:val="28"/>
          <w:highlight w:val="white"/>
        </w:rPr>
      </w:pPr>
    </w:p>
    <w:p>
      <w:pPr>
        <w:pStyle w:val="4"/>
        <w:numPr>
          <w:ilvl w:val="0"/>
          <w:numId w:val="2"/>
        </w:numPr>
        <w:spacing w:before="0" w:after="0" w:line="240" w:lineRule="auto"/>
        <w:ind w:left="0" w:leftChars="0"/>
        <w:rPr>
          <w:rFonts w:hint="eastAsia"/>
        </w:rPr>
      </w:pPr>
      <w:bookmarkStart w:id="132" w:name="_Toc22804"/>
      <w:bookmarkStart w:id="133" w:name="_Toc6170"/>
      <w:r>
        <w:rPr>
          <w:rFonts w:hint="eastAsia"/>
          <w:lang w:val="en-US" w:eastAsia="zh-CN"/>
        </w:rPr>
        <w:t xml:space="preserve"> </w:t>
      </w:r>
      <w:bookmarkStart w:id="134" w:name="_Toc10028"/>
      <w:bookmarkStart w:id="135" w:name="_Toc26812"/>
      <w:r>
        <w:rPr>
          <w:rFonts w:hint="eastAsia"/>
        </w:rPr>
        <w:t>合同</w:t>
      </w:r>
      <w:bookmarkEnd w:id="123"/>
      <w:bookmarkEnd w:id="124"/>
      <w:bookmarkEnd w:id="125"/>
      <w:bookmarkEnd w:id="126"/>
      <w:bookmarkEnd w:id="132"/>
      <w:bookmarkEnd w:id="133"/>
      <w:bookmarkEnd w:id="134"/>
      <w:r>
        <w:rPr>
          <w:rFonts w:hint="eastAsia"/>
          <w:lang w:eastAsia="zh-CN"/>
        </w:rPr>
        <w:t>文件</w:t>
      </w:r>
      <w:bookmarkEnd w:id="135"/>
    </w:p>
    <w:p>
      <w:pPr>
        <w:rPr>
          <w:rFonts w:hint="eastAsia"/>
        </w:rPr>
      </w:pPr>
    </w:p>
    <w:p>
      <w:pPr>
        <w:rPr>
          <w:rFonts w:hint="eastAsia"/>
        </w:rPr>
      </w:pPr>
    </w:p>
    <w:p>
      <w:pPr>
        <w:spacing w:line="46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通用合同条款直接引用住房城乡建设部、国家工商行政管理总局制定</w:t>
      </w:r>
      <w:r>
        <w:rPr>
          <w:rFonts w:hint="eastAsia" w:ascii="宋体" w:hAnsi="宋体" w:eastAsia="宋体" w:cs="宋体"/>
          <w:sz w:val="24"/>
          <w:highlight w:val="none"/>
          <w:lang w:eastAsia="zh-CN"/>
        </w:rPr>
        <w:t>的</w:t>
      </w:r>
      <w:r>
        <w:rPr>
          <w:rFonts w:hint="eastAsia" w:ascii="宋体" w:hAnsi="宋体" w:eastAsia="宋体" w:cs="宋体"/>
          <w:sz w:val="24"/>
          <w:highlight w:val="none"/>
        </w:rPr>
        <w:t>《建设工程施工合同（示范文本）》（GF-2017-0201）（以下简称《示范文本》）</w:t>
      </w:r>
      <w:r>
        <w:rPr>
          <w:rFonts w:hint="eastAsia" w:ascii="宋体" w:hAnsi="宋体" w:eastAsia="宋体" w:cs="宋体"/>
          <w:sz w:val="24"/>
          <w:highlight w:val="none"/>
          <w:lang w:eastAsia="zh-CN"/>
        </w:rPr>
        <w:t>。</w:t>
      </w:r>
    </w:p>
    <w:p>
      <w:pPr>
        <w:jc w:val="left"/>
        <w:rPr>
          <w:rFonts w:asciiTheme="majorEastAsia" w:hAnsiTheme="majorEastAsia" w:eastAsiaTheme="majorEastAsia"/>
          <w:bCs/>
          <w:sz w:val="28"/>
          <w:szCs w:val="28"/>
          <w:shd w:val="clear" w:color="auto" w:fill="92D050"/>
        </w:rPr>
      </w:pPr>
      <w:r>
        <w:rPr>
          <w:rFonts w:hint="eastAsia" w:ascii="宋体" w:hAnsi="宋体" w:eastAsia="宋体" w:cs="宋体"/>
          <w:sz w:val="24"/>
          <w:highlight w:val="none"/>
        </w:rPr>
        <w:t>专用合同条款</w:t>
      </w:r>
      <w:r>
        <w:rPr>
          <w:rFonts w:hint="eastAsia" w:ascii="宋体" w:hAnsi="宋体" w:eastAsia="宋体" w:cs="宋体"/>
          <w:sz w:val="24"/>
          <w:highlight w:val="none"/>
          <w:lang w:eastAsia="zh-CN"/>
        </w:rPr>
        <w:t>由</w:t>
      </w:r>
      <w:r>
        <w:rPr>
          <w:rFonts w:hint="eastAsia" w:ascii="宋体" w:hAnsi="宋体" w:eastAsia="宋体" w:cs="宋体"/>
          <w:sz w:val="24"/>
          <w:highlight w:val="none"/>
        </w:rPr>
        <w:t>甲方与中标企业签定合同时具体约定</w:t>
      </w:r>
      <w:r>
        <w:rPr>
          <w:rFonts w:hint="eastAsia" w:ascii="宋体" w:hAnsi="宋体" w:eastAsia="宋体" w:cs="宋体"/>
          <w:sz w:val="24"/>
          <w:highlight w:val="none"/>
          <w:lang w:eastAsia="zh-CN"/>
        </w:rPr>
        <w:t>。</w:t>
      </w:r>
    </w:p>
    <w:p>
      <w:pPr>
        <w:widowControl/>
        <w:jc w:val="left"/>
        <w:rPr>
          <w:rFonts w:asciiTheme="majorEastAsia" w:hAnsiTheme="majorEastAsia" w:eastAsiaTheme="majorEastAsia"/>
          <w:bCs/>
          <w:color w:val="000000" w:themeColor="text1"/>
          <w:sz w:val="28"/>
          <w:szCs w:val="28"/>
          <w:shd w:val="clear" w:color="auto" w:fill="00B050"/>
          <w14:textFill>
            <w14:solidFill>
              <w14:schemeClr w14:val="tx1"/>
            </w14:solidFill>
          </w14:textFill>
        </w:rPr>
      </w:pPr>
    </w:p>
    <w:p>
      <w:pPr>
        <w:widowControl/>
        <w:jc w:val="left"/>
        <w:rPr>
          <w:rFonts w:asciiTheme="majorEastAsia" w:hAnsiTheme="majorEastAsia" w:eastAsiaTheme="majorEastAsia"/>
          <w:bCs/>
          <w:color w:val="000000" w:themeColor="text1"/>
          <w:sz w:val="28"/>
          <w:szCs w:val="28"/>
          <w14:textFill>
            <w14:solidFill>
              <w14:schemeClr w14:val="tx1"/>
            </w14:solidFill>
          </w14:textFill>
        </w:rPr>
      </w:pPr>
    </w:p>
    <w:p>
      <w:pPr>
        <w:widowControl/>
        <w:jc w:val="left"/>
        <w:rPr>
          <w:rFonts w:asciiTheme="majorEastAsia" w:hAnsiTheme="majorEastAsia" w:eastAsiaTheme="majorEastAsia"/>
          <w:bCs/>
          <w:color w:val="000000" w:themeColor="text1"/>
          <w:sz w:val="28"/>
          <w:szCs w:val="28"/>
          <w14:textFill>
            <w14:solidFill>
              <w14:schemeClr w14:val="tx1"/>
            </w14:solidFill>
          </w14:textFill>
        </w:rPr>
      </w:pPr>
      <w:r>
        <w:rPr>
          <w:rFonts w:asciiTheme="majorEastAsia" w:hAnsiTheme="majorEastAsia" w:eastAsiaTheme="majorEastAsia"/>
          <w:bCs/>
          <w:color w:val="000000" w:themeColor="text1"/>
          <w:sz w:val="28"/>
          <w:szCs w:val="28"/>
          <w14:textFill>
            <w14:solidFill>
              <w14:schemeClr w14:val="tx1"/>
            </w14:solidFill>
          </w14:textFill>
        </w:rPr>
        <w:br w:type="page"/>
      </w:r>
    </w:p>
    <w:p>
      <w:pPr>
        <w:widowControl/>
        <w:jc w:val="left"/>
        <w:rPr>
          <w:rFonts w:asciiTheme="majorEastAsia" w:hAnsiTheme="majorEastAsia" w:eastAsiaTheme="majorEastAsia"/>
          <w:bCs/>
          <w:color w:val="000000" w:themeColor="text1"/>
          <w:sz w:val="28"/>
          <w:szCs w:val="28"/>
          <w14:textFill>
            <w14:solidFill>
              <w14:schemeClr w14:val="tx1"/>
            </w14:solidFill>
          </w14:textFill>
        </w:rPr>
      </w:pPr>
    </w:p>
    <w:p>
      <w:pPr>
        <w:pStyle w:val="4"/>
        <w:numPr>
          <w:ilvl w:val="0"/>
          <w:numId w:val="2"/>
        </w:numPr>
        <w:spacing w:before="0" w:after="0" w:line="240" w:lineRule="auto"/>
        <w:ind w:left="0" w:leftChars="0"/>
        <w:rPr>
          <w:rFonts w:hint="eastAsia"/>
        </w:rPr>
      </w:pPr>
      <w:bookmarkStart w:id="136" w:name="_Toc7411"/>
      <w:bookmarkStart w:id="137" w:name="_Toc18901"/>
      <w:bookmarkStart w:id="138" w:name="_Toc257633148"/>
      <w:r>
        <w:rPr>
          <w:rFonts w:hint="eastAsia"/>
          <w:lang w:val="en-US" w:eastAsia="zh-CN"/>
        </w:rPr>
        <w:t xml:space="preserve"> </w:t>
      </w:r>
      <w:bookmarkStart w:id="139" w:name="_Toc16000"/>
      <w:bookmarkStart w:id="140" w:name="_Toc26619"/>
      <w:r>
        <w:rPr>
          <w:rFonts w:hint="eastAsia"/>
        </w:rPr>
        <w:t>响应文件格式</w:t>
      </w:r>
      <w:bookmarkEnd w:id="136"/>
      <w:bookmarkEnd w:id="137"/>
      <w:bookmarkEnd w:id="139"/>
      <w:bookmarkEnd w:id="140"/>
    </w:p>
    <w:p>
      <w:pPr>
        <w:rPr>
          <w:rFonts w:hint="eastAsia"/>
          <w:sz w:val="24"/>
        </w:rPr>
      </w:pPr>
    </w:p>
    <w:p>
      <w:pPr>
        <w:spacing w:line="360" w:lineRule="auto"/>
        <w:jc w:val="center"/>
        <w:rPr>
          <w:rFonts w:hint="eastAsia" w:ascii="宋体" w:hAnsi="宋体"/>
          <w:b/>
          <w:sz w:val="28"/>
        </w:rPr>
      </w:pPr>
      <w:r>
        <w:rPr>
          <w:rFonts w:hint="eastAsia" w:ascii="宋体" w:hAnsi="宋体"/>
          <w:b/>
          <w:sz w:val="28"/>
          <w:lang w:eastAsia="zh-CN"/>
        </w:rPr>
        <w:t>响应</w:t>
      </w:r>
      <w:r>
        <w:rPr>
          <w:rFonts w:hint="eastAsia" w:ascii="宋体" w:hAnsi="宋体"/>
          <w:b/>
          <w:sz w:val="28"/>
        </w:rPr>
        <w:t>文件封面</w:t>
      </w:r>
    </w:p>
    <w:p>
      <w:pPr>
        <w:spacing w:line="360" w:lineRule="auto"/>
        <w:rPr>
          <w:rFonts w:hint="eastAsia" w:ascii="宋体" w:hAnsi="宋体"/>
          <w:b/>
          <w:sz w:val="28"/>
        </w:rPr>
      </w:pPr>
    </w:p>
    <w:p>
      <w:pPr>
        <w:spacing w:line="360" w:lineRule="auto"/>
        <w:jc w:val="center"/>
        <w:rPr>
          <w:rFonts w:hint="eastAsia" w:ascii="宋体" w:hAnsi="宋体"/>
          <w:sz w:val="28"/>
        </w:rPr>
      </w:pPr>
    </w:p>
    <w:p>
      <w:pPr>
        <w:spacing w:line="360" w:lineRule="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（项目名称）</w:t>
      </w:r>
    </w:p>
    <w:p>
      <w:pPr>
        <w:spacing w:line="360" w:lineRule="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（项目编号）</w:t>
      </w:r>
    </w:p>
    <w:p>
      <w:pPr>
        <w:spacing w:line="360" w:lineRule="auto"/>
        <w:jc w:val="center"/>
        <w:rPr>
          <w:rFonts w:hint="eastAsia" w:ascii="宋体" w:hAnsi="宋体"/>
          <w:sz w:val="28"/>
          <w:szCs w:val="28"/>
        </w:rPr>
      </w:pPr>
    </w:p>
    <w:p>
      <w:pPr>
        <w:spacing w:line="360" w:lineRule="auto"/>
        <w:rPr>
          <w:rFonts w:hint="eastAsia" w:ascii="宋体" w:hAnsi="宋体"/>
          <w:sz w:val="28"/>
          <w:szCs w:val="28"/>
        </w:rPr>
      </w:pPr>
      <w:r>
        <w:rPr>
          <w:rFonts w:hint="eastAsia" w:ascii="宋体" w:hAnsi="宋体"/>
          <w:sz w:val="28"/>
          <w:szCs w:val="28"/>
        </w:rPr>
        <w:t xml:space="preserve">                  </w:t>
      </w:r>
    </w:p>
    <w:p>
      <w:pPr>
        <w:spacing w:line="360" w:lineRule="auto"/>
        <w:jc w:val="center"/>
        <w:rPr>
          <w:rFonts w:hint="eastAsia" w:ascii="宋体" w:hAnsi="宋体"/>
          <w:sz w:val="28"/>
        </w:rPr>
      </w:pPr>
    </w:p>
    <w:p>
      <w:pPr>
        <w:spacing w:line="360" w:lineRule="auto"/>
        <w:jc w:val="center"/>
        <w:rPr>
          <w:rFonts w:hint="eastAsia" w:ascii="宋体" w:hAnsi="宋体"/>
          <w:sz w:val="28"/>
        </w:rPr>
      </w:pPr>
    </w:p>
    <w:p>
      <w:pPr>
        <w:spacing w:line="360" w:lineRule="auto"/>
        <w:jc w:val="center"/>
        <w:rPr>
          <w:rFonts w:hint="eastAsia" w:eastAsia="黑体"/>
          <w:b/>
          <w:sz w:val="72"/>
          <w:szCs w:val="72"/>
        </w:rPr>
      </w:pPr>
      <w:r>
        <w:rPr>
          <w:rFonts w:hint="eastAsia" w:eastAsia="黑体"/>
          <w:b/>
          <w:sz w:val="72"/>
          <w:szCs w:val="72"/>
          <w:lang w:val="en-US" w:eastAsia="zh-CN"/>
        </w:rPr>
        <w:t>响应</w:t>
      </w:r>
      <w:r>
        <w:rPr>
          <w:rFonts w:hint="eastAsia" w:eastAsia="黑体"/>
          <w:b/>
          <w:sz w:val="72"/>
          <w:szCs w:val="72"/>
        </w:rPr>
        <w:t>文件</w:t>
      </w:r>
    </w:p>
    <w:p>
      <w:pPr>
        <w:spacing w:line="360" w:lineRule="auto"/>
        <w:jc w:val="center"/>
        <w:rPr>
          <w:rFonts w:hint="eastAsia" w:ascii="宋体" w:hAnsi="宋体"/>
          <w:sz w:val="28"/>
        </w:rPr>
      </w:pPr>
    </w:p>
    <w:p>
      <w:pPr>
        <w:spacing w:line="360" w:lineRule="auto"/>
        <w:jc w:val="both"/>
        <w:rPr>
          <w:rFonts w:hint="eastAsia" w:ascii="宋体" w:hAnsi="宋体"/>
          <w:b/>
          <w:sz w:val="28"/>
        </w:rPr>
      </w:pPr>
    </w:p>
    <w:p>
      <w:pPr>
        <w:spacing w:line="360" w:lineRule="auto"/>
        <w:jc w:val="center"/>
        <w:rPr>
          <w:rFonts w:hint="eastAsia" w:ascii="宋体" w:hAnsi="宋体"/>
          <w:b/>
          <w:sz w:val="28"/>
        </w:rPr>
      </w:pPr>
    </w:p>
    <w:p>
      <w:pPr>
        <w:spacing w:line="360" w:lineRule="auto"/>
        <w:jc w:val="center"/>
        <w:rPr>
          <w:rFonts w:hint="eastAsia" w:ascii="宋体" w:hAnsi="宋体"/>
          <w:b/>
          <w:sz w:val="28"/>
        </w:rPr>
      </w:pPr>
    </w:p>
    <w:p>
      <w:pPr>
        <w:spacing w:line="360" w:lineRule="auto"/>
        <w:jc w:val="center"/>
        <w:rPr>
          <w:rFonts w:hint="eastAsia" w:ascii="宋体" w:hAnsi="宋体"/>
          <w:sz w:val="28"/>
          <w:szCs w:val="28"/>
          <w:u w:val="single"/>
        </w:rPr>
      </w:pPr>
      <w:r>
        <w:rPr>
          <w:rFonts w:hint="eastAsia" w:ascii="宋体" w:hAnsi="宋体"/>
          <w:sz w:val="28"/>
          <w:szCs w:val="28"/>
          <w:lang w:eastAsia="zh-CN"/>
        </w:rPr>
        <w:t>供应商：</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szCs w:val="28"/>
          <w:lang w:eastAsia="zh-CN"/>
        </w:rPr>
        <w:t>公</w:t>
      </w:r>
      <w:r>
        <w:rPr>
          <w:rFonts w:hint="eastAsia" w:ascii="宋体" w:hAnsi="宋体"/>
          <w:sz w:val="28"/>
          <w:szCs w:val="28"/>
        </w:rPr>
        <w:t>章）</w:t>
      </w:r>
    </w:p>
    <w:p>
      <w:pPr>
        <w:spacing w:line="360" w:lineRule="auto"/>
        <w:jc w:val="center"/>
        <w:rPr>
          <w:rFonts w:hint="eastAsia" w:ascii="宋体" w:hAnsi="宋体"/>
          <w:sz w:val="28"/>
          <w:szCs w:val="28"/>
        </w:rPr>
      </w:pPr>
      <w:r>
        <w:rPr>
          <w:rFonts w:hint="eastAsia" w:ascii="宋体" w:hAnsi="宋体"/>
          <w:sz w:val="28"/>
          <w:szCs w:val="28"/>
        </w:rPr>
        <w:t>法定代表人</w:t>
      </w:r>
      <w:r>
        <w:rPr>
          <w:rFonts w:hint="eastAsia" w:ascii="宋体" w:hAnsi="宋体" w:eastAsia="宋体" w:cs="宋体"/>
          <w:color w:val="auto"/>
          <w:sz w:val="28"/>
          <w:szCs w:val="28"/>
          <w:highlight w:val="none"/>
          <w:lang w:val="en-US" w:eastAsia="zh-CN"/>
        </w:rPr>
        <w:t>（单位负责人）</w:t>
      </w:r>
      <w:r>
        <w:rPr>
          <w:rFonts w:hint="eastAsia" w:ascii="宋体" w:hAnsi="宋体" w:eastAsia="宋体" w:cs="宋体"/>
          <w:color w:val="000000"/>
          <w:sz w:val="28"/>
          <w:szCs w:val="28"/>
          <w:lang w:eastAsia="zh-CN"/>
        </w:rPr>
        <w:t>或授权委托人</w:t>
      </w:r>
      <w:r>
        <w:rPr>
          <w:rFonts w:hint="eastAsia" w:ascii="宋体" w:hAnsi="宋体" w:cs="宋体"/>
          <w:color w:val="000000"/>
          <w:sz w:val="28"/>
          <w:szCs w:val="28"/>
          <w:lang w:eastAsia="zh-CN"/>
        </w:rPr>
        <w:t>：</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szCs w:val="28"/>
          <w:lang w:eastAsia="zh-CN"/>
        </w:rPr>
        <w:t>签字或盖章</w:t>
      </w:r>
      <w:r>
        <w:rPr>
          <w:rFonts w:hint="eastAsia" w:ascii="宋体" w:hAnsi="宋体"/>
          <w:sz w:val="28"/>
          <w:szCs w:val="28"/>
        </w:rPr>
        <w:t>）</w:t>
      </w:r>
    </w:p>
    <w:p>
      <w:pPr>
        <w:spacing w:line="360" w:lineRule="auto"/>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eastAsia="zh-CN"/>
        </w:rPr>
        <w:t>：</w:t>
      </w:r>
      <w:r>
        <w:rPr>
          <w:rFonts w:hint="eastAsia" w:ascii="宋体" w:hAnsi="宋体"/>
          <w:sz w:val="28"/>
          <w:szCs w:val="28"/>
          <w:u w:val="single"/>
        </w:rPr>
        <w:t xml:space="preserve">                   </w:t>
      </w:r>
      <w:r>
        <w:rPr>
          <w:rFonts w:hint="eastAsia" w:ascii="宋体" w:hAnsi="宋体"/>
          <w:sz w:val="28"/>
          <w:szCs w:val="28"/>
        </w:rPr>
        <w:t>（年/月/日）</w:t>
      </w:r>
    </w:p>
    <w:p>
      <w:pPr>
        <w:spacing w:line="360" w:lineRule="auto"/>
        <w:jc w:val="both"/>
        <w:rPr>
          <w:rFonts w:hint="eastAsia" w:ascii="宋体" w:hAnsi="宋体"/>
          <w:sz w:val="28"/>
          <w:szCs w:val="28"/>
        </w:rPr>
      </w:pPr>
    </w:p>
    <w:p>
      <w:pPr>
        <w:spacing w:line="360" w:lineRule="auto"/>
        <w:jc w:val="both"/>
        <w:rPr>
          <w:rFonts w:hint="eastAsia" w:ascii="宋体" w:hAnsi="宋体"/>
          <w:sz w:val="28"/>
          <w:szCs w:val="28"/>
        </w:rPr>
      </w:pPr>
    </w:p>
    <w:p>
      <w:pPr>
        <w:spacing w:line="360" w:lineRule="auto"/>
        <w:jc w:val="both"/>
        <w:rPr>
          <w:rFonts w:hint="eastAsia" w:ascii="宋体" w:hAnsi="宋体"/>
          <w:sz w:val="28"/>
          <w:szCs w:val="28"/>
        </w:rPr>
      </w:pPr>
    </w:p>
    <w:p>
      <w:pPr>
        <w:pStyle w:val="2"/>
        <w:rPr>
          <w:rFonts w:hint="eastAsia"/>
        </w:rPr>
      </w:pPr>
    </w:p>
    <w:p>
      <w:pPr>
        <w:pStyle w:val="2"/>
        <w:rPr>
          <w:rFonts w:hint="eastAsia"/>
        </w:rPr>
      </w:pPr>
    </w:p>
    <w:p>
      <w:pPr>
        <w:pStyle w:val="6"/>
        <w:numPr>
          <w:ilvl w:val="2"/>
          <w:numId w:val="0"/>
        </w:numPr>
        <w:spacing w:before="145" w:beforeLines="50" w:after="145" w:afterLines="50" w:line="300" w:lineRule="auto"/>
        <w:ind w:leftChars="0"/>
        <w:jc w:val="center"/>
        <w:rPr>
          <w:rFonts w:hint="eastAsia" w:eastAsia="宋体"/>
          <w:lang w:eastAsia="zh-CN"/>
        </w:rPr>
      </w:pPr>
      <w:r>
        <w:rPr>
          <w:rFonts w:hint="eastAsia" w:ascii="宋体" w:eastAsia="宋体" w:cs="宋体"/>
          <w:b w:val="0"/>
          <w:bCs w:val="0"/>
          <w:sz w:val="30"/>
          <w:szCs w:val="30"/>
          <w:lang w:eastAsia="zh-CN"/>
        </w:rPr>
        <w:t>目录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kern w:val="2"/>
          <w:sz w:val="32"/>
          <w:szCs w:val="28"/>
          <w:highlight w:val="red"/>
          <w:u w:val="none"/>
          <w:lang w:val="en-US" w:eastAsia="zh-CN" w:bidi="ar-SA"/>
        </w:rPr>
      </w:pPr>
      <w:r>
        <w:rPr>
          <w:rFonts w:hint="eastAsia" w:ascii="宋体" w:hAnsi="宋体" w:eastAsia="宋体" w:cs="宋体"/>
          <w:b/>
          <w:bCs/>
          <w:color w:val="auto"/>
          <w:kern w:val="2"/>
          <w:sz w:val="32"/>
          <w:szCs w:val="28"/>
          <w:highlight w:val="none"/>
          <w:u w:val="none"/>
          <w:lang w:val="en-US" w:eastAsia="zh-CN" w:bidi="ar-SA"/>
        </w:rPr>
        <w:t>一、资格证明文件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sz w:val="24"/>
          <w:lang w:val="en-US" w:eastAsia="zh-CN"/>
        </w:rPr>
        <w:t>★</w:t>
      </w:r>
      <w:r>
        <w:rPr>
          <w:rFonts w:hint="eastAsia" w:ascii="宋体" w:hAnsi="宋体" w:eastAsia="宋体" w:cs="宋体"/>
          <w:kern w:val="2"/>
          <w:sz w:val="24"/>
          <w:szCs w:val="22"/>
          <w:u w:val="none"/>
          <w:lang w:val="en-US" w:eastAsia="zh-CN" w:bidi="ar-SA"/>
        </w:rPr>
        <w:t>符合《中华人民共和国政府采购法》第二十二条第一款规定的条件，提供下列材料：</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具有独立承担民事责任的能力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b w:val="0"/>
          <w:bCs w:val="0"/>
          <w:color w:val="auto"/>
          <w:kern w:val="2"/>
          <w:sz w:val="24"/>
          <w:szCs w:val="22"/>
          <w:u w:val="none"/>
          <w:lang w:val="en-US" w:eastAsia="zh-CN" w:bidi="ar-SA"/>
        </w:rPr>
        <w:t>经年检有效的营业执照</w:t>
      </w:r>
      <w:r>
        <w:rPr>
          <w:rFonts w:hint="eastAsia" w:ascii="宋体" w:hAnsi="宋体" w:eastAsia="宋体" w:cs="宋体"/>
          <w:kern w:val="2"/>
          <w:sz w:val="24"/>
          <w:szCs w:val="22"/>
          <w:u w:val="none"/>
          <w:lang w:val="en-US" w:eastAsia="zh-CN" w:bidi="ar-SA"/>
        </w:rPr>
        <w:t>、资质证书、安全生产许可证、进疆报送册等原件复印件；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注：提供材料为原件复印件并加盖公章</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具有良好的商业信誉和健全的财务会计制度</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2"/>
          <w:sz w:val="24"/>
          <w:szCs w:val="22"/>
          <w:u w:val="none"/>
          <w:lang w:val="en-US" w:eastAsia="zh-CN" w:bidi="ar-SA"/>
        </w:rPr>
      </w:pPr>
      <w:r>
        <w:rPr>
          <w:rFonts w:hint="eastAsia" w:ascii="宋体" w:hAnsi="宋体" w:eastAsia="宋体" w:cs="宋体"/>
          <w:b w:val="0"/>
          <w:bCs w:val="0"/>
          <w:kern w:val="2"/>
          <w:sz w:val="24"/>
          <w:szCs w:val="22"/>
          <w:u w:val="none"/>
          <w:lang w:val="en-US" w:eastAsia="zh-CN" w:bidi="ar-SA"/>
        </w:rPr>
        <w:t>近3年财务审计报告或财务报表（企业成立不足一年提供成立至今的）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3、有依法缴纳税收和社会保障资金的良好记录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近三个月完税证明；授权委托人及拟派建造师近三个月社保缴纳证明（如有退休人员提供退休证）</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default"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注：提供材料为原件复印件并加盖公章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4、具备履行合同所必需专业能力的书面声明（格式见附件一）</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5、参加政府采购活动前三年内在经营活动中没有重大违法记录的书面声明（格式见附件二）</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b w:val="0"/>
          <w:bCs w:val="0"/>
          <w:color w:val="auto"/>
          <w:sz w:val="24"/>
          <w:highlight w:val="none"/>
          <w:lang w:val="en-US" w:eastAsia="zh-CN"/>
        </w:rPr>
      </w:pPr>
      <w:r>
        <w:rPr>
          <w:rFonts w:hint="eastAsia" w:ascii="宋体" w:hAnsi="宋体" w:eastAsia="宋体" w:cs="宋体"/>
          <w:b/>
          <w:bCs/>
          <w:kern w:val="2"/>
          <w:sz w:val="24"/>
          <w:szCs w:val="22"/>
          <w:u w:val="none"/>
          <w:lang w:val="en-US" w:eastAsia="zh-CN" w:bidi="ar-SA"/>
        </w:rPr>
        <w:t>6、法律、行政法规规定的其他条件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kern w:val="2"/>
          <w:sz w:val="24"/>
          <w:szCs w:val="22"/>
          <w:u w:val="none"/>
          <w:lang w:val="en-US" w:eastAsia="zh-CN" w:bidi="ar-SA"/>
        </w:rPr>
      </w:pPr>
      <w:r>
        <w:rPr>
          <w:rFonts w:hint="eastAsia" w:ascii="宋体" w:hAnsi="宋体" w:eastAsia="宋体" w:cs="宋体"/>
          <w:b/>
          <w:bCs/>
          <w:color w:val="auto"/>
          <w:kern w:val="2"/>
          <w:sz w:val="24"/>
          <w:szCs w:val="22"/>
          <w:u w:val="none"/>
          <w:lang w:val="en-US" w:eastAsia="zh-CN" w:bidi="ar-SA"/>
        </w:rPr>
        <w:t>7、其它材料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b w:val="0"/>
          <w:bCs w:val="0"/>
          <w:kern w:val="2"/>
          <w:sz w:val="24"/>
          <w:szCs w:val="22"/>
          <w:u w:val="none"/>
          <w:lang w:val="en-US" w:eastAsia="zh-CN" w:bidi="ar-SA"/>
        </w:rPr>
        <w:t>7.1</w:t>
      </w:r>
      <w:r>
        <w:rPr>
          <w:rFonts w:hint="eastAsia" w:ascii="宋体" w:hAnsi="宋体" w:eastAsia="宋体" w:cs="宋体"/>
          <w:kern w:val="2"/>
          <w:sz w:val="24"/>
          <w:szCs w:val="22"/>
          <w:u w:val="none"/>
          <w:lang w:val="en-US" w:eastAsia="zh-CN" w:bidi="ar-SA"/>
        </w:rPr>
        <w:t>书面声明：表示自己与其他参与同一合同项下的供应商，不存在《政府采购法实施条例》第十八条规定的关联关系。</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（1）简单的书面声明</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2）详细的书面声明包括如下内容：供应商法定代表人（单位负责人）在其单位外的其他单位担任法定代表人（单位负责人）的信息；供应商直接控股、存在管理关系的其他单位信息；供应商为本项目提供整体设计、规范编制或者项目管理、监理、检测等服务情形。</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7.2提供“信用中国”网站和“中国政府采购网”网站企业信用信息查询记录（复印件加盖公章）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7.3供应商认为需要提供的其他材料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kern w:val="2"/>
          <w:sz w:val="32"/>
          <w:szCs w:val="28"/>
          <w:u w:val="none"/>
          <w:lang w:val="en-US" w:eastAsia="zh-CN" w:bidi="ar-SA"/>
        </w:rPr>
      </w:pPr>
      <w:r>
        <w:rPr>
          <w:rFonts w:hint="eastAsia" w:ascii="宋体" w:hAnsi="宋体" w:eastAsia="宋体" w:cs="宋体"/>
          <w:b/>
          <w:bCs/>
          <w:kern w:val="2"/>
          <w:sz w:val="32"/>
          <w:szCs w:val="28"/>
          <w:u w:val="none"/>
          <w:lang w:val="en-US" w:eastAsia="zh-CN" w:bidi="ar-SA"/>
        </w:rPr>
        <w:t>二、商务文件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（1）法定代表人（单位负责人）身份证明、授权委托书（格式见附件三）</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（2）投标人基本情况表（格式见附件四）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（3）项目管理机构（格式见附件五）</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（4）响应函（格式见附件六）</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（5）投标报价清单：按照本文件提供的工程量清单进行报价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（6）其他投标资料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lang w:val="en-US" w:eastAsia="zh-CN"/>
        </w:rPr>
      </w:pPr>
      <w:r>
        <w:rPr>
          <w:rFonts w:hint="eastAsia" w:ascii="宋体" w:hAnsi="宋体" w:eastAsia="宋体" w:cs="宋体"/>
          <w:b/>
          <w:bCs/>
          <w:kern w:val="2"/>
          <w:sz w:val="32"/>
          <w:szCs w:val="28"/>
          <w:u w:val="none"/>
          <w:lang w:val="en-US" w:eastAsia="zh-CN" w:bidi="ar-SA"/>
        </w:rPr>
        <w:t>三、技术文件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 全面性</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1.1工程概况、施工组织方案；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1.2施工机械设备、劳动力投入计划；</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1.3质量、工期、投资控制方案；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1.4文明施工措施；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1.5施工总进度计划（附图）；</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1.6施工现场平面布置（附图）；</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 可行性</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2.1施工措施及计划；</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2.2施工现场流水段的划分；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2.3施工现场流水作业；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2.4施工现场交叉作业；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2.5施工现场机具配置和布置；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 针对性</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3.1施工的重点和关键部位处理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3.2质保体系；</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3.3安保体系；</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3.4创优措施；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3.5安全措施；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3.6文明施工和防止扰民措施。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4. 先进性</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4.1采用的新工艺、新技术、新设备；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4.2在确保工程质量前提下，有降低成本、缩短工期、减轻劳动强度、提高进度的方案；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4.3在执行国家强制性条文前提下体现施工的先进性措施。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5. 强制性</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5.1防治质量通病的措施；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5.2执行国家强制性条文的保证措施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6. 承诺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6.1保修承诺和违约经济处罚承诺；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6.2工程质量争优承诺及保证质量措施。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注：投标文件须按技术标格式目录顺序编写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kern w:val="2"/>
          <w:sz w:val="32"/>
          <w:szCs w:val="28"/>
          <w:u w:val="none"/>
          <w:lang w:val="en-US" w:eastAsia="zh-CN" w:bidi="ar-SA"/>
        </w:rPr>
      </w:pPr>
      <w:r>
        <w:rPr>
          <w:rFonts w:hint="eastAsia" w:ascii="宋体" w:hAnsi="宋体" w:eastAsia="宋体" w:cs="宋体"/>
          <w:b/>
          <w:bCs/>
          <w:kern w:val="2"/>
          <w:sz w:val="32"/>
          <w:szCs w:val="28"/>
          <w:u w:val="none"/>
          <w:lang w:val="en-US" w:eastAsia="zh-CN" w:bidi="ar-SA"/>
        </w:rPr>
        <w:t>三、其他文件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（1）中小企业声明函（格式见附件七）；</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（2）残疾人福利性单位声明函（格式见附件八）；</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（3）供应商认为需要提供的其他材料</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sz w:val="28"/>
          <w:szCs w:val="28"/>
        </w:rPr>
      </w:pPr>
      <w:r>
        <w:rPr>
          <w:rFonts w:hint="eastAsia" w:ascii="宋体" w:hAnsi="宋体"/>
          <w:sz w:val="28"/>
          <w:szCs w:val="28"/>
        </w:rPr>
        <w:br w:type="page"/>
      </w:r>
    </w:p>
    <w:bookmarkEnd w:id="138"/>
    <w:p>
      <w:pPr>
        <w:pStyle w:val="6"/>
        <w:numPr>
          <w:ilvl w:val="2"/>
          <w:numId w:val="0"/>
        </w:numPr>
        <w:spacing w:before="145" w:beforeLines="50" w:after="145" w:afterLines="50" w:line="300" w:lineRule="auto"/>
        <w:ind w:leftChars="0"/>
        <w:jc w:val="both"/>
        <w:rPr>
          <w:rFonts w:hint="eastAsia" w:ascii="宋体" w:hAnsi="宋体" w:eastAsia="宋体" w:cs="宋体"/>
          <w:b w:val="0"/>
          <w:bCs w:val="0"/>
          <w:sz w:val="30"/>
          <w:szCs w:val="30"/>
        </w:rPr>
      </w:pPr>
      <w:bookmarkStart w:id="141" w:name="_Toc534816643"/>
      <w:bookmarkStart w:id="142" w:name="_Toc534725614"/>
      <w:bookmarkStart w:id="143" w:name="_Toc519111281"/>
      <w:r>
        <w:rPr>
          <w:rFonts w:hint="eastAsia" w:ascii="宋体" w:hAnsi="宋体" w:eastAsia="宋体" w:cs="宋体"/>
          <w:b w:val="0"/>
          <w:bCs w:val="0"/>
          <w:sz w:val="30"/>
          <w:szCs w:val="30"/>
          <w:lang w:eastAsia="zh-CN"/>
        </w:rPr>
        <w:t>附件一：</w:t>
      </w:r>
      <w:r>
        <w:rPr>
          <w:rFonts w:hint="eastAsia" w:ascii="宋体" w:hAnsi="宋体" w:eastAsia="宋体" w:cs="宋体"/>
          <w:b w:val="0"/>
          <w:bCs w:val="0"/>
          <w:sz w:val="30"/>
          <w:szCs w:val="30"/>
        </w:rPr>
        <w:t>具备履行合同所必需的设备和专业技术能力的书面声明</w:t>
      </w:r>
      <w:bookmarkEnd w:id="141"/>
      <w:bookmarkEnd w:id="142"/>
    </w:p>
    <w:p>
      <w:pPr>
        <w:spacing w:before="145" w:beforeLines="50" w:after="145" w:afterLines="50" w:line="300" w:lineRule="auto"/>
        <w:ind w:firstLine="492"/>
        <w:rPr>
          <w:rFonts w:hint="eastAsia" w:ascii="宋体" w:hAnsi="宋体" w:eastAsia="宋体" w:cs="宋体"/>
          <w:bCs/>
          <w:sz w:val="24"/>
        </w:rPr>
      </w:pPr>
      <w:r>
        <w:rPr>
          <w:rFonts w:hint="eastAsia" w:ascii="宋体" w:hAnsi="宋体" w:eastAsia="宋体" w:cs="宋体"/>
          <w:bCs/>
          <w:sz w:val="24"/>
        </w:rPr>
        <w:t>我单位郑重声明：我单位具备履行本项采购合同所必需的设备和专业技术能力，为履行本项采购合同我公司具备如下主要设备和主要专业技术能力：</w:t>
      </w:r>
    </w:p>
    <w:p>
      <w:pPr>
        <w:spacing w:before="145" w:beforeLines="50" w:after="145" w:afterLines="50" w:line="300" w:lineRule="auto"/>
        <w:ind w:firstLine="492"/>
        <w:rPr>
          <w:rFonts w:hint="eastAsia" w:ascii="宋体" w:hAnsi="宋体" w:eastAsia="宋体" w:cs="宋体"/>
          <w:bCs/>
          <w:sz w:val="24"/>
        </w:rPr>
      </w:pPr>
      <w:r>
        <w:rPr>
          <w:rFonts w:hint="eastAsia" w:ascii="宋体" w:hAnsi="宋体" w:eastAsia="宋体" w:cs="宋体"/>
          <w:bCs/>
          <w:sz w:val="24"/>
        </w:rPr>
        <w:t>主要设备有：</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w:t>
      </w:r>
    </w:p>
    <w:p>
      <w:pPr>
        <w:spacing w:before="145" w:beforeLines="50" w:after="145" w:afterLines="50" w:line="300" w:lineRule="auto"/>
        <w:ind w:firstLine="492"/>
        <w:rPr>
          <w:rFonts w:hint="eastAsia" w:ascii="宋体" w:hAnsi="宋体" w:eastAsia="宋体" w:cs="宋体"/>
          <w:bCs/>
          <w:sz w:val="24"/>
        </w:rPr>
      </w:pPr>
      <w:r>
        <w:rPr>
          <w:rFonts w:hint="eastAsia" w:ascii="宋体" w:hAnsi="宋体" w:eastAsia="宋体" w:cs="宋体"/>
          <w:bCs/>
          <w:sz w:val="24"/>
        </w:rPr>
        <w:t>主要专业技术能力有：</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w:t>
      </w:r>
    </w:p>
    <w:p>
      <w:pPr>
        <w:pStyle w:val="79"/>
        <w:rPr>
          <w:rFonts w:hint="eastAsia" w:ascii="宋体" w:hAnsi="宋体" w:eastAsia="宋体" w:cs="宋体"/>
        </w:rPr>
      </w:pPr>
    </w:p>
    <w:p>
      <w:pPr>
        <w:pStyle w:val="81"/>
        <w:tabs>
          <w:tab w:val="left" w:pos="750"/>
        </w:tabs>
        <w:adjustRightInd w:val="0"/>
        <w:snapToGrid w:val="0"/>
        <w:spacing w:line="500" w:lineRule="exact"/>
        <w:rPr>
          <w:rFonts w:hint="eastAsia" w:ascii="宋体" w:hAnsi="宋体" w:eastAsia="宋体" w:cs="宋体"/>
          <w:sz w:val="24"/>
          <w:szCs w:val="24"/>
        </w:rPr>
      </w:pPr>
      <w:r>
        <w:rPr>
          <w:rFonts w:hint="eastAsia" w:ascii="宋体" w:hAnsi="宋体" w:eastAsia="宋体" w:cs="宋体"/>
          <w:bCs/>
        </w:rPr>
        <w:t xml:space="preserve">                                 </w:t>
      </w: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p>
    <w:p>
      <w:pPr>
        <w:pStyle w:val="81"/>
        <w:tabs>
          <w:tab w:val="left" w:pos="750"/>
        </w:tabs>
        <w:adjustRightInd w:val="0"/>
        <w:snapToGrid w:val="0"/>
        <w:spacing w:line="500" w:lineRule="exact"/>
        <w:rPr>
          <w:rFonts w:hint="eastAsia" w:ascii="宋体" w:hAnsi="宋体" w:eastAsia="宋体" w:cs="宋体"/>
          <w:sz w:val="24"/>
          <w:szCs w:val="24"/>
        </w:rPr>
      </w:pPr>
    </w:p>
    <w:p>
      <w:pPr>
        <w:pStyle w:val="81"/>
        <w:tabs>
          <w:tab w:val="left" w:pos="750"/>
        </w:tabs>
        <w:adjustRightInd w:val="0"/>
        <w:snapToGrid w:val="0"/>
        <w:spacing w:line="500" w:lineRule="exact"/>
        <w:ind w:firstLine="720" w:firstLineChars="3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6"/>
        <w:numPr>
          <w:ilvl w:val="2"/>
          <w:numId w:val="0"/>
        </w:numPr>
        <w:spacing w:before="145" w:beforeLines="50" w:after="145" w:afterLines="50" w:line="300" w:lineRule="auto"/>
        <w:ind w:leftChars="0"/>
        <w:jc w:val="both"/>
        <w:rPr>
          <w:rFonts w:hint="eastAsia" w:ascii="宋体" w:hAnsi="宋体" w:eastAsia="宋体" w:cs="宋体"/>
          <w:b w:val="0"/>
          <w:bCs w:val="0"/>
          <w:sz w:val="30"/>
          <w:szCs w:val="30"/>
          <w:lang w:eastAsia="zh-CN"/>
        </w:rPr>
      </w:pPr>
      <w:bookmarkStart w:id="144" w:name="_Toc534725615"/>
      <w:bookmarkStart w:id="145" w:name="_Toc534816644"/>
      <w:r>
        <w:rPr>
          <w:rFonts w:hint="eastAsia" w:ascii="宋体" w:hAnsi="宋体" w:eastAsia="宋体" w:cs="宋体"/>
          <w:b w:val="0"/>
          <w:bCs w:val="0"/>
          <w:sz w:val="30"/>
          <w:szCs w:val="30"/>
          <w:lang w:eastAsia="zh-CN"/>
        </w:rPr>
        <w:t>附件二：参加政府采购活动前 3 年内在经营活动中没有重大违法记录的书面声明</w:t>
      </w:r>
      <w:bookmarkEnd w:id="144"/>
      <w:bookmarkEnd w:id="145"/>
    </w:p>
    <w:p>
      <w:pPr>
        <w:spacing w:before="145" w:beforeLines="50" w:after="145" w:afterLines="50" w:line="300" w:lineRule="auto"/>
        <w:rPr>
          <w:rFonts w:hint="eastAsia" w:ascii="宋体" w:hAnsi="宋体" w:eastAsia="宋体" w:cs="宋体"/>
          <w:b/>
          <w:bCs/>
          <w:sz w:val="44"/>
          <w:szCs w:val="44"/>
        </w:rPr>
      </w:pPr>
      <w:r>
        <w:rPr>
          <w:rFonts w:hint="eastAsia" w:ascii="宋体" w:hAnsi="宋体" w:eastAsia="宋体" w:cs="宋体"/>
          <w:b/>
          <w:bCs/>
          <w:sz w:val="44"/>
          <w:szCs w:val="44"/>
        </w:rPr>
        <w:t xml:space="preserve">                 声  明</w:t>
      </w:r>
    </w:p>
    <w:p>
      <w:pPr>
        <w:spacing w:before="145" w:beforeLines="50" w:after="145" w:afterLines="50" w:line="300" w:lineRule="auto"/>
        <w:rPr>
          <w:rFonts w:hint="eastAsia" w:ascii="宋体" w:hAnsi="宋体" w:eastAsia="宋体" w:cs="宋体"/>
          <w:bCs/>
          <w:sz w:val="24"/>
        </w:rPr>
      </w:pPr>
      <w:r>
        <w:rPr>
          <w:rFonts w:hint="eastAsia" w:ascii="宋体" w:hAnsi="宋体" w:eastAsia="宋体" w:cs="宋体"/>
          <w:b/>
          <w:bCs/>
          <w:sz w:val="24"/>
        </w:rPr>
        <w:t xml:space="preserve">    </w:t>
      </w:r>
      <w:r>
        <w:rPr>
          <w:rFonts w:hint="eastAsia" w:ascii="宋体" w:hAnsi="宋体" w:eastAsia="宋体" w:cs="宋体"/>
          <w:bCs/>
          <w:sz w:val="24"/>
        </w:rPr>
        <w:t xml:space="preserve">我单位郑重声明：参加本次政府采购活动前 </w:t>
      </w:r>
      <w:r>
        <w:rPr>
          <w:rFonts w:hint="eastAsia" w:ascii="宋体" w:hAnsi="宋体" w:cs="宋体"/>
          <w:bCs/>
          <w:sz w:val="24"/>
          <w:lang w:eastAsia="zh-CN"/>
        </w:rPr>
        <w:t>三</w:t>
      </w:r>
      <w:r>
        <w:rPr>
          <w:rFonts w:hint="eastAsia" w:ascii="宋体" w:hAnsi="宋体" w:eastAsia="宋体" w:cs="宋体"/>
          <w:bCs/>
          <w:sz w:val="24"/>
        </w:rPr>
        <w:t xml:space="preserve"> 年内，我单位在经营活动中没有因违法经营受到刑事处罚或者责令停产停业、吊销许可证或者执照、较大数额罚款等行政处罚。</w:t>
      </w:r>
    </w:p>
    <w:p>
      <w:pPr>
        <w:spacing w:before="145" w:beforeLines="50" w:after="145" w:afterLines="50" w:line="300" w:lineRule="auto"/>
        <w:rPr>
          <w:rFonts w:hint="eastAsia" w:ascii="宋体" w:hAnsi="宋体" w:eastAsia="宋体" w:cs="宋体"/>
          <w:bCs/>
          <w:sz w:val="24"/>
        </w:rPr>
      </w:pPr>
    </w:p>
    <w:p>
      <w:pPr>
        <w:pStyle w:val="81"/>
        <w:tabs>
          <w:tab w:val="left" w:pos="750"/>
        </w:tabs>
        <w:adjustRightInd w:val="0"/>
        <w:snapToGrid w:val="0"/>
        <w:spacing w:line="500" w:lineRule="exact"/>
        <w:rPr>
          <w:rFonts w:hint="eastAsia" w:ascii="宋体" w:hAnsi="宋体" w:eastAsia="宋体" w:cs="宋体"/>
          <w:sz w:val="24"/>
          <w:szCs w:val="24"/>
        </w:rPr>
      </w:pPr>
      <w:r>
        <w:rPr>
          <w:rFonts w:hint="eastAsia" w:ascii="宋体" w:hAnsi="宋体" w:eastAsia="宋体" w:cs="宋体"/>
          <w:bCs/>
        </w:rPr>
        <w:t xml:space="preserve">   </w:t>
      </w:r>
      <w:r>
        <w:rPr>
          <w:rFonts w:hint="eastAsia" w:ascii="宋体" w:hAnsi="宋体" w:eastAsia="宋体" w:cs="宋体"/>
          <w:bCs/>
          <w:lang w:val="en-US" w:eastAsia="zh-CN"/>
        </w:rPr>
        <w:t xml:space="preserve">                             </w:t>
      </w:r>
      <w:r>
        <w:rPr>
          <w:rFonts w:hint="eastAsia" w:ascii="宋体" w:hAnsi="宋体" w:eastAsia="宋体" w:cs="宋体"/>
          <w:bCs/>
        </w:rPr>
        <w:t xml:space="preserve"> </w:t>
      </w: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81"/>
        <w:tabs>
          <w:tab w:val="left" w:pos="750"/>
        </w:tabs>
        <w:adjustRightInd w:val="0"/>
        <w:snapToGrid w:val="0"/>
        <w:spacing w:line="500" w:lineRule="exact"/>
        <w:ind w:firstLine="720" w:firstLineChars="3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6"/>
        <w:numPr>
          <w:ilvl w:val="0"/>
          <w:numId w:val="0"/>
        </w:numPr>
        <w:spacing w:before="145" w:beforeLines="50" w:after="145" w:afterLines="50" w:line="300" w:lineRule="auto"/>
        <w:ind w:leftChars="0"/>
        <w:jc w:val="both"/>
        <w:rPr>
          <w:rFonts w:hint="eastAsia" w:ascii="宋体" w:hAnsi="宋体" w:eastAsia="宋体" w:cs="宋体"/>
          <w:b w:val="0"/>
          <w:bCs w:val="0"/>
          <w:sz w:val="30"/>
          <w:szCs w:val="30"/>
        </w:rPr>
      </w:pPr>
      <w:r>
        <w:rPr>
          <w:rFonts w:hint="eastAsia" w:ascii="宋体" w:hAnsi="宋体" w:eastAsia="宋体" w:cs="宋体"/>
          <w:b w:val="0"/>
          <w:bCs w:val="0"/>
          <w:sz w:val="30"/>
          <w:szCs w:val="30"/>
          <w:lang w:eastAsia="zh-CN"/>
        </w:rPr>
        <w:t>附件三：</w:t>
      </w:r>
      <w:r>
        <w:rPr>
          <w:rFonts w:hint="eastAsia" w:ascii="宋体" w:hAnsi="宋体" w:eastAsia="宋体" w:cs="宋体"/>
          <w:b w:val="0"/>
          <w:bCs w:val="0"/>
          <w:sz w:val="30"/>
          <w:szCs w:val="30"/>
        </w:rPr>
        <w:t>法定代表人（单位负责人）身份证明及授权委托书</w:t>
      </w:r>
      <w:bookmarkEnd w:id="143"/>
    </w:p>
    <w:p>
      <w:pPr>
        <w:rPr>
          <w:rFonts w:hint="eastAsia" w:ascii="宋体" w:hAnsi="宋体" w:eastAsia="宋体" w:cs="宋体"/>
        </w:rPr>
      </w:pPr>
    </w:p>
    <w:p>
      <w:pPr>
        <w:pStyle w:val="82"/>
        <w:jc w:val="center"/>
        <w:outlineLvl w:val="9"/>
        <w:rPr>
          <w:rFonts w:hint="eastAsia" w:ascii="宋体" w:hAnsi="宋体" w:eastAsia="宋体" w:cs="宋体"/>
          <w:b w:val="0"/>
          <w:sz w:val="24"/>
          <w:szCs w:val="24"/>
          <w:lang w:eastAsia="zh-CN"/>
        </w:rPr>
      </w:pPr>
      <w:bookmarkStart w:id="146" w:name="_Toc519111282"/>
      <w:bookmarkStart w:id="147" w:name="_Toc468535482"/>
      <w:bookmarkStart w:id="148" w:name="_Toc480368653"/>
      <w:bookmarkStart w:id="149" w:name="_Toc480368424"/>
      <w:bookmarkStart w:id="150" w:name="_Toc480368595"/>
      <w:bookmarkStart w:id="151" w:name="_Toc480371721"/>
      <w:r>
        <w:rPr>
          <w:rFonts w:hint="eastAsia" w:ascii="宋体" w:hAnsi="宋体" w:eastAsia="宋体" w:cs="宋体"/>
          <w:b w:val="0"/>
          <w:sz w:val="24"/>
          <w:szCs w:val="24"/>
        </w:rPr>
        <w:t>法定代表人（单位负责人）资格证明文件</w:t>
      </w:r>
      <w:bookmarkEnd w:id="146"/>
      <w:bookmarkEnd w:id="147"/>
      <w:bookmarkEnd w:id="148"/>
      <w:bookmarkEnd w:id="149"/>
      <w:bookmarkEnd w:id="150"/>
      <w:bookmarkEnd w:id="151"/>
    </w:p>
    <w:p>
      <w:pPr>
        <w:pStyle w:val="81"/>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采购人</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pStyle w:val="81"/>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兹有</w:t>
      </w:r>
      <w:r>
        <w:rPr>
          <w:rFonts w:hint="eastAsia" w:ascii="宋体" w:hAnsi="宋体" w:eastAsia="宋体" w:cs="宋体"/>
          <w:sz w:val="24"/>
          <w:szCs w:val="24"/>
          <w:u w:val="single"/>
        </w:rPr>
        <w:t xml:space="preserve">          </w:t>
      </w:r>
      <w:r>
        <w:rPr>
          <w:rFonts w:hint="eastAsia" w:ascii="宋体" w:hAnsi="宋体" w:eastAsia="宋体" w:cs="宋体"/>
          <w:sz w:val="24"/>
          <w:szCs w:val="24"/>
        </w:rPr>
        <w:t>同志为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公司法定代表人（单位负责人），代表我公司办理一切社会公务事宜，具有法律效力。 </w:t>
      </w:r>
    </w:p>
    <w:p>
      <w:pPr>
        <w:pStyle w:val="81"/>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附法定代表人（单位负责人）基本情况： </w:t>
      </w:r>
    </w:p>
    <w:p>
      <w:pPr>
        <w:pStyle w:val="81"/>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pStyle w:val="81"/>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pStyle w:val="81"/>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u w:val="single"/>
        </w:rPr>
        <w:t xml:space="preserve">                       </w:t>
      </w:r>
    </w:p>
    <w:p>
      <w:pPr>
        <w:pStyle w:val="81"/>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电话号码：</w:t>
      </w:r>
      <w:r>
        <w:rPr>
          <w:rFonts w:hint="eastAsia" w:ascii="宋体" w:hAnsi="宋体" w:eastAsia="宋体" w:cs="宋体"/>
          <w:sz w:val="24"/>
          <w:szCs w:val="24"/>
          <w:u w:val="single"/>
        </w:rPr>
        <w:t xml:space="preserve">                   </w:t>
      </w: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p>
    <w:p>
      <w:pPr>
        <w:pStyle w:val="81"/>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w:t>
      </w:r>
    </w:p>
    <w:tbl>
      <w:tblPr>
        <w:tblStyle w:val="33"/>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pPr>
              <w:pStyle w:val="81"/>
              <w:adjustRightInd w:val="0"/>
              <w:snapToGrid w:val="0"/>
              <w:spacing w:line="500" w:lineRule="exact"/>
              <w:jc w:val="center"/>
              <w:rPr>
                <w:rFonts w:hint="eastAsia" w:ascii="宋体" w:hAnsi="宋体" w:eastAsia="宋体" w:cs="宋体"/>
                <w:sz w:val="24"/>
                <w:szCs w:val="24"/>
              </w:rPr>
            </w:pPr>
          </w:p>
          <w:p>
            <w:pPr>
              <w:pStyle w:val="81"/>
              <w:adjustRightInd w:val="0"/>
              <w:snapToGrid w:val="0"/>
              <w:spacing w:line="500" w:lineRule="exact"/>
              <w:jc w:val="center"/>
              <w:rPr>
                <w:rFonts w:hint="eastAsia" w:ascii="宋体" w:hAnsi="宋体" w:eastAsia="宋体" w:cs="宋体"/>
                <w:sz w:val="24"/>
                <w:szCs w:val="24"/>
              </w:rPr>
            </w:pPr>
          </w:p>
          <w:p>
            <w:pPr>
              <w:pStyle w:val="81"/>
              <w:adjustRightInd w:val="0"/>
              <w:snapToGrid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法定代表人（单位负责人）《居民身份证》扫描件</w:t>
            </w:r>
          </w:p>
        </w:tc>
      </w:tr>
    </w:tbl>
    <w:p>
      <w:pPr>
        <w:pStyle w:val="81"/>
        <w:adjustRightInd w:val="0"/>
        <w:snapToGrid w:val="0"/>
        <w:spacing w:line="500" w:lineRule="exact"/>
        <w:rPr>
          <w:rFonts w:hint="eastAsia" w:ascii="宋体" w:hAnsi="宋体" w:eastAsia="宋体" w:cs="宋体"/>
          <w:sz w:val="24"/>
          <w:szCs w:val="24"/>
        </w:rPr>
      </w:pPr>
    </w:p>
    <w:p>
      <w:pPr>
        <w:pStyle w:val="81"/>
        <w:tabs>
          <w:tab w:val="left" w:pos="750"/>
        </w:tabs>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p>
    <w:p>
      <w:pPr>
        <w:pStyle w:val="81"/>
        <w:tabs>
          <w:tab w:val="left" w:pos="750"/>
        </w:tabs>
        <w:adjustRightInd w:val="0"/>
        <w:snapToGrid w:val="0"/>
        <w:spacing w:line="500" w:lineRule="exact"/>
        <w:rPr>
          <w:rFonts w:hint="eastAsia" w:ascii="宋体" w:hAnsi="宋体" w:eastAsia="宋体" w:cs="宋体"/>
          <w:sz w:val="24"/>
          <w:szCs w:val="24"/>
        </w:rPr>
      </w:pPr>
    </w:p>
    <w:p>
      <w:pPr>
        <w:pStyle w:val="81"/>
        <w:tabs>
          <w:tab w:val="left" w:pos="750"/>
        </w:tabs>
        <w:adjustRightInd w:val="0"/>
        <w:snapToGrid w:val="0"/>
        <w:spacing w:line="5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法定代表人（单位负责人）（</w:t>
      </w:r>
      <w:r>
        <w:rPr>
          <w:rFonts w:hint="eastAsia" w:ascii="宋体" w:hAnsi="宋体" w:cs="宋体"/>
          <w:sz w:val="24"/>
          <w:szCs w:val="24"/>
          <w:lang w:eastAsia="zh-CN"/>
        </w:rPr>
        <w:t>签字或盖章</w:t>
      </w:r>
      <w:r>
        <w:rPr>
          <w:rFonts w:hint="eastAsia" w:ascii="宋体" w:hAnsi="宋体" w:eastAsia="宋体" w:cs="宋体"/>
          <w:sz w:val="24"/>
          <w:szCs w:val="24"/>
        </w:rPr>
        <w:t>） ：</w:t>
      </w:r>
      <w:r>
        <w:rPr>
          <w:rFonts w:hint="eastAsia" w:ascii="宋体" w:hAnsi="宋体" w:eastAsia="宋体" w:cs="宋体"/>
          <w:sz w:val="24"/>
          <w:szCs w:val="24"/>
          <w:u w:val="single"/>
        </w:rPr>
        <w:t xml:space="preserve">           </w:t>
      </w:r>
    </w:p>
    <w:p>
      <w:pPr>
        <w:pStyle w:val="81"/>
        <w:tabs>
          <w:tab w:val="left" w:pos="750"/>
        </w:tabs>
        <w:adjustRightInd w:val="0"/>
        <w:snapToGrid w:val="0"/>
        <w:spacing w:line="500" w:lineRule="exact"/>
        <w:rPr>
          <w:rFonts w:hint="eastAsia" w:ascii="宋体" w:hAnsi="宋体" w:eastAsia="宋体" w:cs="宋体"/>
          <w:sz w:val="24"/>
          <w:szCs w:val="24"/>
        </w:rPr>
      </w:pPr>
    </w:p>
    <w:p>
      <w:pPr>
        <w:pStyle w:val="81"/>
        <w:tabs>
          <w:tab w:val="left" w:pos="750"/>
        </w:tabs>
        <w:adjustRightInd w:val="0"/>
        <w:snapToGrid w:val="0"/>
        <w:spacing w:line="5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rPr>
          <w:rFonts w:hint="eastAsia"/>
        </w:rPr>
      </w:pPr>
    </w:p>
    <w:p>
      <w:pPr>
        <w:rPr>
          <w:rFonts w:hint="eastAsia"/>
          <w:lang w:eastAsia="zh-CN"/>
        </w:rPr>
      </w:pPr>
      <w:r>
        <w:rPr>
          <w:rFonts w:hint="eastAsia"/>
        </w:rPr>
        <w:t xml:space="preserve"> </w:t>
      </w:r>
      <w:bookmarkStart w:id="152" w:name="_Toc468535483"/>
    </w:p>
    <w:p>
      <w:pPr>
        <w:pStyle w:val="81"/>
        <w:rPr>
          <w:rFonts w:hint="eastAsia" w:ascii="宋体" w:hAnsi="宋体" w:eastAsia="宋体" w:cs="宋体"/>
          <w:lang w:eastAsia="zh-CN"/>
        </w:rPr>
      </w:pPr>
    </w:p>
    <w:p>
      <w:pPr>
        <w:pStyle w:val="82"/>
        <w:outlineLvl w:val="9"/>
        <w:rPr>
          <w:rFonts w:hint="eastAsia" w:ascii="宋体" w:hAnsi="宋体" w:eastAsia="宋体" w:cs="宋体"/>
          <w:b w:val="0"/>
          <w:sz w:val="24"/>
          <w:szCs w:val="24"/>
        </w:rPr>
      </w:pPr>
      <w:r>
        <w:rPr>
          <w:rFonts w:hint="eastAsia" w:ascii="宋体" w:hAnsi="宋体" w:eastAsia="宋体" w:cs="宋体"/>
          <w:b w:val="0"/>
        </w:rPr>
        <w:t xml:space="preserve"> </w:t>
      </w:r>
      <w:bookmarkStart w:id="153" w:name="_Toc480368425"/>
      <w:bookmarkStart w:id="154" w:name="_Toc480368596"/>
      <w:bookmarkStart w:id="155" w:name="_Toc480368654"/>
      <w:bookmarkStart w:id="156" w:name="_Toc480371722"/>
      <w:bookmarkStart w:id="157" w:name="_Toc519111283"/>
      <w:r>
        <w:rPr>
          <w:rFonts w:hint="eastAsia" w:ascii="宋体" w:hAnsi="宋体" w:eastAsia="宋体" w:cs="宋体"/>
          <w:b w:val="0"/>
          <w:sz w:val="24"/>
          <w:szCs w:val="24"/>
        </w:rPr>
        <w:t>法定代表人（单位负责人）授权书</w:t>
      </w:r>
      <w:bookmarkEnd w:id="152"/>
      <w:bookmarkEnd w:id="153"/>
      <w:bookmarkEnd w:id="154"/>
      <w:bookmarkEnd w:id="155"/>
      <w:bookmarkEnd w:id="156"/>
      <w:bookmarkEnd w:id="157"/>
    </w:p>
    <w:p>
      <w:pPr>
        <w:pStyle w:val="81"/>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采购人</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pStyle w:val="81"/>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同志为我公司参加贵单位组织的编号为</w:t>
      </w:r>
      <w:r>
        <w:rPr>
          <w:rFonts w:hint="eastAsia" w:ascii="宋体" w:hAnsi="宋体" w:eastAsia="宋体" w:cs="宋体"/>
          <w:sz w:val="24"/>
          <w:szCs w:val="24"/>
          <w:u w:val="single"/>
        </w:rPr>
        <w:t>（项目编号）</w:t>
      </w:r>
      <w:r>
        <w:rPr>
          <w:rFonts w:hint="eastAsia" w:ascii="宋体" w:hAnsi="宋体" w:eastAsia="宋体" w:cs="宋体"/>
          <w:sz w:val="24"/>
          <w:szCs w:val="24"/>
        </w:rPr>
        <w:t>的</w:t>
      </w:r>
      <w:r>
        <w:rPr>
          <w:rFonts w:hint="eastAsia" w:ascii="宋体" w:hAnsi="宋体" w:eastAsia="宋体" w:cs="宋体"/>
          <w:sz w:val="24"/>
          <w:szCs w:val="24"/>
          <w:u w:val="single"/>
        </w:rPr>
        <w:t>（项 目 名 称）</w:t>
      </w:r>
      <w:r>
        <w:rPr>
          <w:rFonts w:hint="eastAsia" w:ascii="宋体" w:hAnsi="宋体" w:eastAsia="宋体" w:cs="宋体"/>
          <w:sz w:val="24"/>
          <w:szCs w:val="24"/>
        </w:rPr>
        <w:t>采购活动的投标代表人，全权代表我公司处理在该项目采购活动中的一切事宜。代理期限从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日起至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日止。 </w:t>
      </w:r>
    </w:p>
    <w:p>
      <w:pPr>
        <w:pStyle w:val="81"/>
        <w:spacing w:line="500" w:lineRule="exact"/>
        <w:rPr>
          <w:rFonts w:hint="eastAsia" w:ascii="宋体" w:hAnsi="宋体" w:eastAsia="宋体" w:cs="宋体"/>
          <w:sz w:val="24"/>
          <w:szCs w:val="24"/>
        </w:rPr>
      </w:pPr>
    </w:p>
    <w:p>
      <w:pPr>
        <w:pStyle w:val="81"/>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p>
    <w:p>
      <w:pPr>
        <w:pStyle w:val="81"/>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法定代表人（单位负责人）（</w:t>
      </w:r>
      <w:r>
        <w:rPr>
          <w:rFonts w:hint="eastAsia" w:ascii="宋体" w:hAnsi="宋体" w:cs="宋体"/>
          <w:sz w:val="24"/>
          <w:szCs w:val="24"/>
          <w:lang w:eastAsia="zh-CN"/>
        </w:rPr>
        <w:t>签字或盖章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81"/>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81"/>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p>
    <w:p>
      <w:pPr>
        <w:pStyle w:val="81"/>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w:t>
      </w:r>
    </w:p>
    <w:p>
      <w:pPr>
        <w:pStyle w:val="81"/>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代理人工作单位：</w:t>
      </w:r>
      <w:r>
        <w:rPr>
          <w:rFonts w:hint="eastAsia" w:ascii="宋体" w:hAnsi="宋体" w:eastAsia="宋体" w:cs="宋体"/>
          <w:sz w:val="24"/>
          <w:szCs w:val="24"/>
          <w:u w:val="single"/>
        </w:rPr>
        <w:t xml:space="preserve">                          </w:t>
      </w:r>
    </w:p>
    <w:p>
      <w:pPr>
        <w:pStyle w:val="81"/>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性别：</w:t>
      </w:r>
      <w:r>
        <w:rPr>
          <w:rFonts w:hint="eastAsia" w:ascii="宋体" w:hAnsi="宋体" w:eastAsia="宋体" w:cs="宋体"/>
          <w:sz w:val="24"/>
          <w:szCs w:val="24"/>
          <w:u w:val="single"/>
        </w:rPr>
        <w:t xml:space="preserve">      </w:t>
      </w:r>
    </w:p>
    <w:p>
      <w:pPr>
        <w:pStyle w:val="81"/>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pStyle w:val="81"/>
        <w:adjustRightInd w:val="0"/>
        <w:snapToGrid w:val="0"/>
        <w:spacing w:line="500" w:lineRule="exact"/>
        <w:ind w:left="-88" w:leftChars="-42" w:firstLine="600" w:firstLineChars="250"/>
        <w:rPr>
          <w:rFonts w:hint="eastAsia" w:ascii="宋体" w:hAnsi="宋体" w:eastAsia="宋体" w:cs="宋体"/>
          <w:sz w:val="24"/>
          <w:szCs w:val="24"/>
          <w:u w:val="single"/>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noWrap w:val="0"/>
            <w:vAlign w:val="top"/>
          </w:tcPr>
          <w:p>
            <w:pPr>
              <w:pStyle w:val="81"/>
              <w:spacing w:line="500" w:lineRule="exact"/>
              <w:rPr>
                <w:rFonts w:hint="eastAsia" w:ascii="宋体" w:hAnsi="宋体" w:eastAsia="宋体" w:cs="宋体"/>
                <w:sz w:val="24"/>
                <w:szCs w:val="24"/>
              </w:rPr>
            </w:pPr>
            <w:r>
              <w:rPr>
                <w:rFonts w:hint="eastAsia" w:ascii="宋体" w:hAnsi="宋体" w:eastAsia="宋体" w:cs="宋体"/>
                <w:sz w:val="24"/>
                <w:szCs w:val="24"/>
              </w:rPr>
              <w:t>粘贴被授权人身份证（扫描件）</w:t>
            </w:r>
          </w:p>
        </w:tc>
      </w:tr>
    </w:tbl>
    <w:p>
      <w:pPr>
        <w:autoSpaceDE w:val="0"/>
        <w:autoSpaceDN w:val="0"/>
        <w:adjustRightInd w:val="0"/>
        <w:spacing w:line="500" w:lineRule="exact"/>
        <w:ind w:firstLine="141" w:firstLineChars="50"/>
        <w:jc w:val="left"/>
        <w:rPr>
          <w:rFonts w:asciiTheme="majorEastAsia" w:hAnsiTheme="majorEastAsia" w:eastAsiaTheme="majorEastAsia"/>
          <w:b/>
          <w:kern w:val="0"/>
          <w:sz w:val="28"/>
          <w:szCs w:val="28"/>
        </w:rPr>
      </w:pPr>
    </w:p>
    <w:p>
      <w:pPr>
        <w:autoSpaceDE w:val="0"/>
        <w:autoSpaceDN w:val="0"/>
        <w:adjustRightInd w:val="0"/>
        <w:spacing w:line="500" w:lineRule="exact"/>
        <w:ind w:firstLine="141" w:firstLineChars="50"/>
        <w:jc w:val="left"/>
        <w:rPr>
          <w:rFonts w:asciiTheme="majorEastAsia" w:hAnsiTheme="majorEastAsia" w:eastAsiaTheme="majorEastAsia"/>
          <w:b/>
          <w:kern w:val="0"/>
          <w:sz w:val="28"/>
          <w:szCs w:val="28"/>
        </w:rPr>
      </w:pPr>
    </w:p>
    <w:p>
      <w:pPr>
        <w:pStyle w:val="89"/>
        <w:tabs>
          <w:tab w:val="left" w:pos="8786"/>
        </w:tabs>
        <w:spacing w:after="0" w:line="360" w:lineRule="auto"/>
        <w:rPr>
          <w:rFonts w:hint="eastAsia" w:ascii="宋体" w:hAnsi="宋体" w:eastAsia="宋体" w:cs="宋体"/>
          <w:b/>
          <w:color w:val="auto"/>
          <w:sz w:val="24"/>
          <w:lang w:eastAsia="zh-CN"/>
        </w:rPr>
      </w:pPr>
      <w:r>
        <w:rPr>
          <w:rFonts w:hint="eastAsia" w:ascii="宋体" w:hAnsi="宋体" w:cs="宋体"/>
          <w:b/>
          <w:color w:val="auto"/>
          <w:sz w:val="24"/>
          <w:lang w:eastAsia="zh-CN"/>
        </w:rPr>
        <w:t>注：供应商法定代表人（单位负责人）亲自签署响应文件、亲自参加磋商的，不需提供。</w:t>
      </w:r>
    </w:p>
    <w:p>
      <w:pPr>
        <w:autoSpaceDE w:val="0"/>
        <w:autoSpaceDN w:val="0"/>
        <w:adjustRightInd w:val="0"/>
        <w:spacing w:line="500" w:lineRule="exact"/>
        <w:ind w:firstLine="141" w:firstLineChars="50"/>
        <w:jc w:val="left"/>
        <w:rPr>
          <w:rFonts w:asciiTheme="majorEastAsia" w:hAnsiTheme="majorEastAsia" w:eastAsiaTheme="majorEastAsia"/>
          <w:b/>
          <w:kern w:val="0"/>
          <w:sz w:val="28"/>
          <w:szCs w:val="28"/>
        </w:rPr>
      </w:pPr>
    </w:p>
    <w:p>
      <w:pPr>
        <w:pStyle w:val="93"/>
        <w:rPr>
          <w:rFonts w:hint="eastAsia" w:ascii="宋体" w:hAnsi="宋体" w:eastAsia="宋体" w:cs="宋体"/>
          <w:sz w:val="24"/>
          <w:szCs w:val="21"/>
          <w:highlight w:val="none"/>
        </w:rPr>
      </w:pPr>
      <w:bookmarkStart w:id="158" w:name="_Toc18115"/>
    </w:p>
    <w:p>
      <w:pPr>
        <w:spacing w:before="156" w:beforeLines="50" w:after="312" w:afterLines="100" w:line="440" w:lineRule="exact"/>
        <w:jc w:val="left"/>
        <w:outlineLvl w:val="3"/>
        <w:rPr>
          <w:rFonts w:hint="eastAsia" w:ascii="宋体" w:hAnsi="宋体" w:cs="宋体"/>
          <w:b w:val="0"/>
          <w:bCs w:val="0"/>
          <w:color w:val="auto"/>
          <w:sz w:val="30"/>
          <w:szCs w:val="30"/>
          <w:lang w:val="en-US" w:eastAsia="zh-CN"/>
        </w:rPr>
      </w:pPr>
      <w:r>
        <w:rPr>
          <w:rFonts w:hint="eastAsia" w:ascii="宋体" w:hAnsi="宋体" w:eastAsia="宋体" w:cs="宋体"/>
          <w:b w:val="0"/>
          <w:bCs w:val="0"/>
          <w:color w:val="auto"/>
          <w:sz w:val="30"/>
          <w:szCs w:val="30"/>
          <w:lang w:eastAsia="zh-CN"/>
        </w:rPr>
        <w:t>附件</w:t>
      </w:r>
      <w:r>
        <w:rPr>
          <w:rFonts w:hint="eastAsia" w:eastAsia="宋体" w:cs="宋体"/>
          <w:b w:val="0"/>
          <w:bCs w:val="0"/>
          <w:color w:val="auto"/>
          <w:sz w:val="30"/>
          <w:szCs w:val="30"/>
          <w:lang w:eastAsia="zh-CN"/>
        </w:rPr>
        <w:t>四</w:t>
      </w:r>
      <w:r>
        <w:rPr>
          <w:rFonts w:hint="eastAsia" w:ascii="宋体" w:hAnsi="宋体" w:eastAsia="宋体" w:cs="宋体"/>
          <w:b w:val="0"/>
          <w:bCs w:val="0"/>
          <w:color w:val="auto"/>
          <w:sz w:val="30"/>
          <w:szCs w:val="30"/>
          <w:lang w:eastAsia="zh-CN"/>
        </w:rPr>
        <w:t>：</w:t>
      </w:r>
      <w:r>
        <w:rPr>
          <w:rFonts w:hint="eastAsia" w:ascii="宋体" w:hAnsi="宋体" w:cs="宋体"/>
          <w:b w:val="0"/>
          <w:bCs w:val="0"/>
          <w:color w:val="auto"/>
          <w:sz w:val="30"/>
          <w:szCs w:val="30"/>
          <w:lang w:val="en-US" w:eastAsia="zh-CN"/>
        </w:rPr>
        <w:t xml:space="preserve">                 </w:t>
      </w:r>
    </w:p>
    <w:p>
      <w:pPr>
        <w:spacing w:before="156" w:beforeLines="50" w:after="312" w:afterLines="100" w:line="440" w:lineRule="exact"/>
        <w:jc w:val="center"/>
        <w:outlineLvl w:val="3"/>
        <w:rPr>
          <w:rFonts w:hint="eastAsia" w:ascii="宋体" w:hAnsi="宋体" w:cs="宋体"/>
          <w:b/>
          <w:color w:val="auto"/>
          <w:sz w:val="28"/>
          <w:szCs w:val="28"/>
        </w:rPr>
      </w:pPr>
      <w:r>
        <w:rPr>
          <w:rFonts w:hint="eastAsia" w:ascii="宋体" w:hAnsi="宋体" w:eastAsia="宋体" w:cs="宋体"/>
          <w:b w:val="0"/>
          <w:bCs w:val="0"/>
          <w:color w:val="auto"/>
          <w:sz w:val="30"/>
          <w:szCs w:val="30"/>
          <w:lang w:eastAsia="zh-CN"/>
        </w:rPr>
        <w:t>投标人基本情况表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1048"/>
        <w:gridCol w:w="293"/>
        <w:gridCol w:w="1119"/>
        <w:gridCol w:w="940"/>
        <w:gridCol w:w="559"/>
        <w:gridCol w:w="1456"/>
        <w:gridCol w:w="304"/>
        <w:gridCol w:w="828"/>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投标人名称</w:t>
            </w:r>
          </w:p>
        </w:tc>
        <w:tc>
          <w:tcPr>
            <w:tcW w:w="8202" w:type="dxa"/>
            <w:gridSpan w:val="9"/>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注册地址</w:t>
            </w:r>
          </w:p>
        </w:tc>
        <w:tc>
          <w:tcPr>
            <w:tcW w:w="3959" w:type="dxa"/>
            <w:gridSpan w:val="5"/>
            <w:noWrap w:val="0"/>
            <w:vAlign w:val="center"/>
          </w:tcPr>
          <w:p>
            <w:pPr>
              <w:jc w:val="center"/>
              <w:rPr>
                <w:rFonts w:hint="eastAsia" w:ascii="宋体" w:hAnsi="宋体" w:cs="宋体"/>
                <w:color w:val="auto"/>
                <w:szCs w:val="21"/>
              </w:rPr>
            </w:pPr>
          </w:p>
        </w:tc>
        <w:tc>
          <w:tcPr>
            <w:tcW w:w="1456" w:type="dxa"/>
            <w:noWrap w:val="0"/>
            <w:vAlign w:val="center"/>
          </w:tcPr>
          <w:p>
            <w:pPr>
              <w:jc w:val="center"/>
              <w:rPr>
                <w:rFonts w:hint="eastAsia" w:ascii="宋体" w:hAnsi="宋体" w:cs="宋体"/>
                <w:color w:val="auto"/>
                <w:szCs w:val="21"/>
              </w:rPr>
            </w:pPr>
            <w:r>
              <w:rPr>
                <w:rFonts w:hint="eastAsia" w:ascii="宋体" w:hAnsi="宋体" w:cs="宋体"/>
                <w:color w:val="auto"/>
                <w:szCs w:val="21"/>
              </w:rPr>
              <w:t>邮政编码</w:t>
            </w:r>
          </w:p>
        </w:tc>
        <w:tc>
          <w:tcPr>
            <w:tcW w:w="2787" w:type="dxa"/>
            <w:gridSpan w:val="3"/>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Merge w:val="restart"/>
            <w:noWrap w:val="0"/>
            <w:vAlign w:val="center"/>
          </w:tcPr>
          <w:p>
            <w:pPr>
              <w:jc w:val="center"/>
              <w:rPr>
                <w:rFonts w:hint="eastAsia" w:ascii="宋体" w:hAnsi="宋体" w:cs="宋体"/>
                <w:color w:val="auto"/>
                <w:szCs w:val="21"/>
              </w:rPr>
            </w:pPr>
            <w:r>
              <w:rPr>
                <w:rFonts w:hint="eastAsia" w:ascii="宋体" w:hAnsi="宋体" w:cs="宋体"/>
                <w:color w:val="auto"/>
                <w:szCs w:val="21"/>
              </w:rPr>
              <w:t>联系方式</w:t>
            </w:r>
          </w:p>
        </w:tc>
        <w:tc>
          <w:tcPr>
            <w:tcW w:w="1341" w:type="dxa"/>
            <w:gridSpan w:val="2"/>
            <w:noWrap w:val="0"/>
            <w:vAlign w:val="center"/>
          </w:tcPr>
          <w:p>
            <w:pPr>
              <w:jc w:val="center"/>
              <w:rPr>
                <w:rFonts w:hint="eastAsia" w:ascii="宋体" w:hAnsi="宋体" w:cs="宋体"/>
                <w:color w:val="auto"/>
                <w:szCs w:val="21"/>
              </w:rPr>
            </w:pPr>
            <w:r>
              <w:rPr>
                <w:rFonts w:hint="eastAsia" w:ascii="宋体" w:hAnsi="宋体" w:cs="宋体"/>
                <w:color w:val="auto"/>
                <w:szCs w:val="21"/>
              </w:rPr>
              <w:t>联系人</w:t>
            </w:r>
          </w:p>
        </w:tc>
        <w:tc>
          <w:tcPr>
            <w:tcW w:w="2618" w:type="dxa"/>
            <w:gridSpan w:val="3"/>
            <w:noWrap w:val="0"/>
            <w:vAlign w:val="center"/>
          </w:tcPr>
          <w:p>
            <w:pPr>
              <w:jc w:val="center"/>
              <w:rPr>
                <w:rFonts w:hint="eastAsia" w:ascii="宋体" w:hAnsi="宋体" w:cs="宋体"/>
                <w:color w:val="auto"/>
                <w:szCs w:val="21"/>
              </w:rPr>
            </w:pPr>
          </w:p>
        </w:tc>
        <w:tc>
          <w:tcPr>
            <w:tcW w:w="1456" w:type="dxa"/>
            <w:noWrap w:val="0"/>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rPr>
              <w:t>电话</w:t>
            </w:r>
            <w:r>
              <w:rPr>
                <w:rFonts w:hint="eastAsia" w:ascii="宋体" w:hAnsi="宋体" w:cs="宋体"/>
                <w:color w:val="auto"/>
                <w:szCs w:val="21"/>
                <w:lang w:eastAsia="zh-CN"/>
              </w:rPr>
              <w:t>（手机）</w:t>
            </w:r>
          </w:p>
        </w:tc>
        <w:tc>
          <w:tcPr>
            <w:tcW w:w="2787" w:type="dxa"/>
            <w:gridSpan w:val="3"/>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Merge w:val="continue"/>
            <w:noWrap w:val="0"/>
            <w:vAlign w:val="center"/>
          </w:tcPr>
          <w:p>
            <w:pPr>
              <w:jc w:val="center"/>
              <w:rPr>
                <w:rFonts w:hint="eastAsia" w:ascii="宋体" w:hAnsi="宋体" w:cs="宋体"/>
                <w:color w:val="auto"/>
                <w:szCs w:val="21"/>
              </w:rPr>
            </w:pPr>
          </w:p>
        </w:tc>
        <w:tc>
          <w:tcPr>
            <w:tcW w:w="1341" w:type="dxa"/>
            <w:gridSpan w:val="2"/>
            <w:noWrap w:val="0"/>
            <w:vAlign w:val="center"/>
          </w:tcPr>
          <w:p>
            <w:pPr>
              <w:jc w:val="center"/>
              <w:rPr>
                <w:rFonts w:hint="eastAsia" w:ascii="宋体" w:hAnsi="宋体" w:cs="宋体"/>
                <w:color w:val="auto"/>
                <w:szCs w:val="21"/>
              </w:rPr>
            </w:pPr>
            <w:r>
              <w:rPr>
                <w:rFonts w:hint="eastAsia" w:ascii="宋体" w:hAnsi="宋体" w:cs="宋体"/>
                <w:color w:val="auto"/>
                <w:szCs w:val="21"/>
              </w:rPr>
              <w:t>传  真</w:t>
            </w:r>
          </w:p>
        </w:tc>
        <w:tc>
          <w:tcPr>
            <w:tcW w:w="2618" w:type="dxa"/>
            <w:gridSpan w:val="3"/>
            <w:noWrap w:val="0"/>
            <w:vAlign w:val="center"/>
          </w:tcPr>
          <w:p>
            <w:pPr>
              <w:jc w:val="center"/>
              <w:rPr>
                <w:rFonts w:hint="eastAsia" w:ascii="宋体" w:hAnsi="宋体" w:cs="宋体"/>
                <w:color w:val="auto"/>
                <w:szCs w:val="21"/>
              </w:rPr>
            </w:pPr>
          </w:p>
        </w:tc>
        <w:tc>
          <w:tcPr>
            <w:tcW w:w="1456" w:type="dxa"/>
            <w:noWrap w:val="0"/>
            <w:vAlign w:val="center"/>
          </w:tcPr>
          <w:p>
            <w:pPr>
              <w:jc w:val="center"/>
              <w:rPr>
                <w:rFonts w:hint="eastAsia" w:ascii="宋体" w:hAnsi="宋体" w:cs="宋体"/>
                <w:color w:val="auto"/>
                <w:szCs w:val="21"/>
              </w:rPr>
            </w:pPr>
            <w:r>
              <w:rPr>
                <w:rFonts w:hint="eastAsia" w:ascii="宋体" w:hAnsi="宋体" w:cs="宋体"/>
                <w:color w:val="auto"/>
                <w:szCs w:val="21"/>
              </w:rPr>
              <w:t>网  址</w:t>
            </w:r>
          </w:p>
        </w:tc>
        <w:tc>
          <w:tcPr>
            <w:tcW w:w="2787" w:type="dxa"/>
            <w:gridSpan w:val="3"/>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组织结构</w:t>
            </w:r>
          </w:p>
        </w:tc>
        <w:tc>
          <w:tcPr>
            <w:tcW w:w="8202" w:type="dxa"/>
            <w:gridSpan w:val="9"/>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法定代表人</w:t>
            </w:r>
          </w:p>
        </w:tc>
        <w:tc>
          <w:tcPr>
            <w:tcW w:w="1048" w:type="dxa"/>
            <w:noWrap w:val="0"/>
            <w:vAlign w:val="center"/>
          </w:tcPr>
          <w:p>
            <w:pPr>
              <w:jc w:val="center"/>
              <w:rPr>
                <w:rFonts w:hint="eastAsia" w:ascii="宋体" w:hAnsi="宋体" w:cs="宋体"/>
                <w:color w:val="auto"/>
                <w:szCs w:val="21"/>
              </w:rPr>
            </w:pPr>
            <w:r>
              <w:rPr>
                <w:rFonts w:hint="eastAsia" w:ascii="宋体" w:hAnsi="宋体" w:cs="宋体"/>
                <w:color w:val="auto"/>
                <w:szCs w:val="21"/>
              </w:rPr>
              <w:t>姓名</w:t>
            </w:r>
          </w:p>
        </w:tc>
        <w:tc>
          <w:tcPr>
            <w:tcW w:w="1412" w:type="dxa"/>
            <w:gridSpan w:val="2"/>
            <w:noWrap w:val="0"/>
            <w:vAlign w:val="center"/>
          </w:tcPr>
          <w:p>
            <w:pPr>
              <w:jc w:val="center"/>
              <w:rPr>
                <w:rFonts w:hint="eastAsia" w:ascii="宋体" w:hAnsi="宋体" w:cs="宋体"/>
                <w:color w:val="auto"/>
                <w:szCs w:val="21"/>
              </w:rPr>
            </w:pPr>
          </w:p>
        </w:tc>
        <w:tc>
          <w:tcPr>
            <w:tcW w:w="1499" w:type="dxa"/>
            <w:gridSpan w:val="2"/>
            <w:noWrap w:val="0"/>
            <w:vAlign w:val="center"/>
          </w:tcPr>
          <w:p>
            <w:pPr>
              <w:jc w:val="center"/>
              <w:rPr>
                <w:rFonts w:hint="eastAsia" w:ascii="宋体" w:hAnsi="宋体" w:cs="宋体"/>
                <w:color w:val="auto"/>
                <w:szCs w:val="21"/>
              </w:rPr>
            </w:pPr>
            <w:r>
              <w:rPr>
                <w:rFonts w:hint="eastAsia" w:ascii="宋体" w:hAnsi="宋体" w:cs="宋体"/>
                <w:color w:val="auto"/>
                <w:szCs w:val="21"/>
              </w:rPr>
              <w:t>技术职称</w:t>
            </w:r>
          </w:p>
        </w:tc>
        <w:tc>
          <w:tcPr>
            <w:tcW w:w="1760" w:type="dxa"/>
            <w:gridSpan w:val="2"/>
            <w:noWrap w:val="0"/>
            <w:vAlign w:val="center"/>
          </w:tcPr>
          <w:p>
            <w:pPr>
              <w:jc w:val="center"/>
              <w:rPr>
                <w:rFonts w:hint="eastAsia" w:ascii="宋体" w:hAnsi="宋体" w:cs="宋体"/>
                <w:color w:val="auto"/>
                <w:szCs w:val="21"/>
              </w:rPr>
            </w:pPr>
          </w:p>
        </w:tc>
        <w:tc>
          <w:tcPr>
            <w:tcW w:w="828" w:type="dxa"/>
            <w:noWrap w:val="0"/>
            <w:vAlign w:val="center"/>
          </w:tcPr>
          <w:p>
            <w:pPr>
              <w:jc w:val="center"/>
              <w:rPr>
                <w:rFonts w:hint="eastAsia" w:ascii="宋体" w:hAnsi="宋体" w:cs="宋体"/>
                <w:color w:val="auto"/>
                <w:szCs w:val="21"/>
              </w:rPr>
            </w:pPr>
            <w:r>
              <w:rPr>
                <w:rFonts w:hint="eastAsia" w:ascii="宋体" w:hAnsi="宋体" w:cs="宋体"/>
                <w:color w:val="auto"/>
                <w:szCs w:val="21"/>
              </w:rPr>
              <w:t>电话</w:t>
            </w:r>
          </w:p>
        </w:tc>
        <w:tc>
          <w:tcPr>
            <w:tcW w:w="1655" w:type="dxa"/>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技术负责人</w:t>
            </w:r>
          </w:p>
        </w:tc>
        <w:tc>
          <w:tcPr>
            <w:tcW w:w="1048" w:type="dxa"/>
            <w:noWrap w:val="0"/>
            <w:vAlign w:val="center"/>
          </w:tcPr>
          <w:p>
            <w:pPr>
              <w:jc w:val="center"/>
              <w:rPr>
                <w:rFonts w:hint="eastAsia" w:ascii="宋体" w:hAnsi="宋体" w:cs="宋体"/>
                <w:color w:val="auto"/>
                <w:szCs w:val="21"/>
              </w:rPr>
            </w:pPr>
            <w:r>
              <w:rPr>
                <w:rFonts w:hint="eastAsia" w:ascii="宋体" w:hAnsi="宋体" w:cs="宋体"/>
                <w:color w:val="auto"/>
                <w:szCs w:val="21"/>
              </w:rPr>
              <w:t>姓名</w:t>
            </w:r>
          </w:p>
        </w:tc>
        <w:tc>
          <w:tcPr>
            <w:tcW w:w="1412" w:type="dxa"/>
            <w:gridSpan w:val="2"/>
            <w:noWrap w:val="0"/>
            <w:vAlign w:val="center"/>
          </w:tcPr>
          <w:p>
            <w:pPr>
              <w:jc w:val="center"/>
              <w:rPr>
                <w:rFonts w:hint="eastAsia" w:ascii="宋体" w:hAnsi="宋体" w:cs="宋体"/>
                <w:color w:val="auto"/>
                <w:szCs w:val="21"/>
              </w:rPr>
            </w:pPr>
          </w:p>
        </w:tc>
        <w:tc>
          <w:tcPr>
            <w:tcW w:w="1499" w:type="dxa"/>
            <w:gridSpan w:val="2"/>
            <w:noWrap w:val="0"/>
            <w:vAlign w:val="center"/>
          </w:tcPr>
          <w:p>
            <w:pPr>
              <w:jc w:val="center"/>
              <w:rPr>
                <w:rFonts w:hint="eastAsia" w:ascii="宋体" w:hAnsi="宋体" w:cs="宋体"/>
                <w:color w:val="auto"/>
                <w:szCs w:val="21"/>
              </w:rPr>
            </w:pPr>
            <w:r>
              <w:rPr>
                <w:rFonts w:hint="eastAsia" w:ascii="宋体" w:hAnsi="宋体" w:cs="宋体"/>
                <w:color w:val="auto"/>
                <w:szCs w:val="21"/>
              </w:rPr>
              <w:t>技术职称</w:t>
            </w:r>
          </w:p>
        </w:tc>
        <w:tc>
          <w:tcPr>
            <w:tcW w:w="1760" w:type="dxa"/>
            <w:gridSpan w:val="2"/>
            <w:noWrap w:val="0"/>
            <w:vAlign w:val="center"/>
          </w:tcPr>
          <w:p>
            <w:pPr>
              <w:jc w:val="center"/>
              <w:rPr>
                <w:rFonts w:hint="eastAsia" w:ascii="宋体" w:hAnsi="宋体" w:cs="宋体"/>
                <w:color w:val="auto"/>
                <w:szCs w:val="21"/>
              </w:rPr>
            </w:pPr>
          </w:p>
        </w:tc>
        <w:tc>
          <w:tcPr>
            <w:tcW w:w="828" w:type="dxa"/>
            <w:noWrap w:val="0"/>
            <w:vAlign w:val="center"/>
          </w:tcPr>
          <w:p>
            <w:pPr>
              <w:jc w:val="center"/>
              <w:rPr>
                <w:rFonts w:hint="eastAsia" w:ascii="宋体" w:hAnsi="宋体" w:cs="宋体"/>
                <w:color w:val="auto"/>
                <w:szCs w:val="21"/>
              </w:rPr>
            </w:pPr>
            <w:r>
              <w:rPr>
                <w:rFonts w:hint="eastAsia" w:ascii="宋体" w:hAnsi="宋体" w:cs="宋体"/>
                <w:color w:val="auto"/>
                <w:szCs w:val="21"/>
              </w:rPr>
              <w:t>电话</w:t>
            </w:r>
          </w:p>
        </w:tc>
        <w:tc>
          <w:tcPr>
            <w:tcW w:w="1655" w:type="dxa"/>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成立时间</w:t>
            </w:r>
          </w:p>
        </w:tc>
        <w:tc>
          <w:tcPr>
            <w:tcW w:w="2460" w:type="dxa"/>
            <w:gridSpan w:val="3"/>
            <w:noWrap w:val="0"/>
            <w:vAlign w:val="center"/>
          </w:tcPr>
          <w:p>
            <w:pPr>
              <w:jc w:val="center"/>
              <w:rPr>
                <w:rFonts w:hint="eastAsia" w:ascii="宋体" w:hAnsi="宋体" w:cs="宋体"/>
                <w:color w:val="auto"/>
                <w:szCs w:val="21"/>
              </w:rPr>
            </w:pPr>
          </w:p>
        </w:tc>
        <w:tc>
          <w:tcPr>
            <w:tcW w:w="5742" w:type="dxa"/>
            <w:gridSpan w:val="6"/>
            <w:noWrap w:val="0"/>
            <w:vAlign w:val="center"/>
          </w:tcPr>
          <w:p>
            <w:pPr>
              <w:jc w:val="center"/>
              <w:rPr>
                <w:rFonts w:hint="eastAsia" w:ascii="宋体" w:hAnsi="宋体" w:cs="宋体"/>
                <w:color w:val="auto"/>
                <w:szCs w:val="21"/>
              </w:rPr>
            </w:pPr>
            <w:r>
              <w:rPr>
                <w:rFonts w:hint="eastAsia" w:ascii="宋体" w:hAnsi="宋体" w:cs="宋体"/>
                <w:color w:val="auto"/>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企业资质等级</w:t>
            </w:r>
          </w:p>
        </w:tc>
        <w:tc>
          <w:tcPr>
            <w:tcW w:w="1048" w:type="dxa"/>
            <w:noWrap w:val="0"/>
            <w:vAlign w:val="center"/>
          </w:tcPr>
          <w:p>
            <w:pPr>
              <w:jc w:val="center"/>
              <w:rPr>
                <w:rFonts w:hint="eastAsia" w:ascii="宋体" w:hAnsi="宋体" w:cs="宋体"/>
                <w:color w:val="auto"/>
                <w:szCs w:val="21"/>
              </w:rPr>
            </w:pPr>
          </w:p>
        </w:tc>
        <w:tc>
          <w:tcPr>
            <w:tcW w:w="1412" w:type="dxa"/>
            <w:gridSpan w:val="2"/>
            <w:noWrap w:val="0"/>
            <w:vAlign w:val="center"/>
          </w:tcPr>
          <w:p>
            <w:pPr>
              <w:jc w:val="center"/>
              <w:rPr>
                <w:rFonts w:hint="eastAsia" w:ascii="宋体" w:hAnsi="宋体" w:cs="宋体"/>
                <w:color w:val="auto"/>
                <w:szCs w:val="21"/>
              </w:rPr>
            </w:pPr>
          </w:p>
        </w:tc>
        <w:tc>
          <w:tcPr>
            <w:tcW w:w="940" w:type="dxa"/>
            <w:vMerge w:val="restart"/>
            <w:noWrap w:val="0"/>
            <w:vAlign w:val="center"/>
          </w:tcPr>
          <w:p>
            <w:pPr>
              <w:jc w:val="center"/>
              <w:rPr>
                <w:rFonts w:hint="eastAsia" w:ascii="宋体" w:hAnsi="宋体" w:cs="宋体"/>
                <w:color w:val="auto"/>
                <w:szCs w:val="21"/>
              </w:rPr>
            </w:pPr>
            <w:r>
              <w:rPr>
                <w:rFonts w:hint="eastAsia" w:ascii="宋体" w:hAnsi="宋体" w:cs="宋体"/>
                <w:color w:val="auto"/>
                <w:szCs w:val="21"/>
              </w:rPr>
              <w:t>其中</w:t>
            </w:r>
          </w:p>
        </w:tc>
        <w:tc>
          <w:tcPr>
            <w:tcW w:w="2319" w:type="dxa"/>
            <w:gridSpan w:val="3"/>
            <w:noWrap w:val="0"/>
            <w:vAlign w:val="center"/>
          </w:tcPr>
          <w:p>
            <w:pPr>
              <w:jc w:val="center"/>
              <w:rPr>
                <w:rFonts w:hint="eastAsia" w:ascii="宋体" w:hAnsi="宋体" w:cs="宋体"/>
                <w:color w:val="auto"/>
                <w:szCs w:val="21"/>
              </w:rPr>
            </w:pPr>
            <w:r>
              <w:rPr>
                <w:rFonts w:hint="eastAsia" w:ascii="宋体" w:hAnsi="宋体" w:cs="宋体"/>
                <w:color w:val="auto"/>
                <w:szCs w:val="21"/>
              </w:rPr>
              <w:t>项目经理</w:t>
            </w:r>
          </w:p>
        </w:tc>
        <w:tc>
          <w:tcPr>
            <w:tcW w:w="2483" w:type="dxa"/>
            <w:gridSpan w:val="2"/>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营业执照号</w:t>
            </w:r>
          </w:p>
        </w:tc>
        <w:tc>
          <w:tcPr>
            <w:tcW w:w="1048" w:type="dxa"/>
            <w:noWrap w:val="0"/>
            <w:vAlign w:val="center"/>
          </w:tcPr>
          <w:p>
            <w:pPr>
              <w:jc w:val="center"/>
              <w:rPr>
                <w:rFonts w:hint="eastAsia" w:ascii="宋体" w:hAnsi="宋体" w:cs="宋体"/>
                <w:color w:val="auto"/>
                <w:szCs w:val="21"/>
              </w:rPr>
            </w:pPr>
          </w:p>
        </w:tc>
        <w:tc>
          <w:tcPr>
            <w:tcW w:w="1412" w:type="dxa"/>
            <w:gridSpan w:val="2"/>
            <w:noWrap w:val="0"/>
            <w:vAlign w:val="center"/>
          </w:tcPr>
          <w:p>
            <w:pPr>
              <w:jc w:val="center"/>
              <w:rPr>
                <w:rFonts w:hint="eastAsia" w:ascii="宋体" w:hAnsi="宋体" w:cs="宋体"/>
                <w:color w:val="auto"/>
                <w:szCs w:val="21"/>
              </w:rPr>
            </w:pPr>
          </w:p>
        </w:tc>
        <w:tc>
          <w:tcPr>
            <w:tcW w:w="940" w:type="dxa"/>
            <w:vMerge w:val="continue"/>
            <w:noWrap w:val="0"/>
            <w:vAlign w:val="center"/>
          </w:tcPr>
          <w:p>
            <w:pPr>
              <w:jc w:val="center"/>
              <w:rPr>
                <w:rFonts w:hint="eastAsia" w:ascii="宋体" w:hAnsi="宋体" w:cs="宋体"/>
                <w:color w:val="auto"/>
                <w:szCs w:val="21"/>
              </w:rPr>
            </w:pPr>
          </w:p>
        </w:tc>
        <w:tc>
          <w:tcPr>
            <w:tcW w:w="2319" w:type="dxa"/>
            <w:gridSpan w:val="3"/>
            <w:noWrap w:val="0"/>
            <w:vAlign w:val="center"/>
          </w:tcPr>
          <w:p>
            <w:pPr>
              <w:jc w:val="center"/>
              <w:rPr>
                <w:rFonts w:hint="eastAsia" w:ascii="宋体" w:hAnsi="宋体" w:cs="宋体"/>
                <w:color w:val="auto"/>
                <w:szCs w:val="21"/>
              </w:rPr>
            </w:pPr>
            <w:r>
              <w:rPr>
                <w:rFonts w:hint="eastAsia" w:ascii="宋体" w:hAnsi="宋体" w:cs="宋体"/>
                <w:color w:val="auto"/>
                <w:szCs w:val="21"/>
              </w:rPr>
              <w:t>高级职称人员</w:t>
            </w:r>
          </w:p>
        </w:tc>
        <w:tc>
          <w:tcPr>
            <w:tcW w:w="2483" w:type="dxa"/>
            <w:gridSpan w:val="2"/>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注册资金</w:t>
            </w:r>
          </w:p>
        </w:tc>
        <w:tc>
          <w:tcPr>
            <w:tcW w:w="1048" w:type="dxa"/>
            <w:noWrap w:val="0"/>
            <w:vAlign w:val="center"/>
          </w:tcPr>
          <w:p>
            <w:pPr>
              <w:jc w:val="center"/>
              <w:rPr>
                <w:rFonts w:hint="eastAsia" w:ascii="宋体" w:hAnsi="宋体" w:cs="宋体"/>
                <w:color w:val="auto"/>
                <w:szCs w:val="21"/>
              </w:rPr>
            </w:pPr>
          </w:p>
        </w:tc>
        <w:tc>
          <w:tcPr>
            <w:tcW w:w="1412" w:type="dxa"/>
            <w:gridSpan w:val="2"/>
            <w:noWrap w:val="0"/>
            <w:vAlign w:val="center"/>
          </w:tcPr>
          <w:p>
            <w:pPr>
              <w:jc w:val="center"/>
              <w:rPr>
                <w:rFonts w:hint="eastAsia" w:ascii="宋体" w:hAnsi="宋体" w:cs="宋体"/>
                <w:color w:val="auto"/>
                <w:szCs w:val="21"/>
              </w:rPr>
            </w:pPr>
          </w:p>
        </w:tc>
        <w:tc>
          <w:tcPr>
            <w:tcW w:w="940" w:type="dxa"/>
            <w:vMerge w:val="continue"/>
            <w:noWrap w:val="0"/>
            <w:vAlign w:val="center"/>
          </w:tcPr>
          <w:p>
            <w:pPr>
              <w:jc w:val="center"/>
              <w:rPr>
                <w:rFonts w:hint="eastAsia" w:ascii="宋体" w:hAnsi="宋体" w:cs="宋体"/>
                <w:color w:val="auto"/>
                <w:szCs w:val="21"/>
              </w:rPr>
            </w:pPr>
          </w:p>
        </w:tc>
        <w:tc>
          <w:tcPr>
            <w:tcW w:w="2319" w:type="dxa"/>
            <w:gridSpan w:val="3"/>
            <w:noWrap w:val="0"/>
            <w:vAlign w:val="center"/>
          </w:tcPr>
          <w:p>
            <w:pPr>
              <w:jc w:val="center"/>
              <w:rPr>
                <w:rFonts w:hint="eastAsia" w:ascii="宋体" w:hAnsi="宋体" w:cs="宋体"/>
                <w:color w:val="auto"/>
                <w:szCs w:val="21"/>
              </w:rPr>
            </w:pPr>
            <w:r>
              <w:rPr>
                <w:rFonts w:hint="eastAsia" w:ascii="宋体" w:hAnsi="宋体" w:cs="宋体"/>
                <w:color w:val="auto"/>
                <w:szCs w:val="21"/>
              </w:rPr>
              <w:t>中级职称人员</w:t>
            </w:r>
          </w:p>
        </w:tc>
        <w:tc>
          <w:tcPr>
            <w:tcW w:w="2483" w:type="dxa"/>
            <w:gridSpan w:val="2"/>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开户银行</w:t>
            </w:r>
          </w:p>
        </w:tc>
        <w:tc>
          <w:tcPr>
            <w:tcW w:w="1048" w:type="dxa"/>
            <w:noWrap w:val="0"/>
            <w:vAlign w:val="center"/>
          </w:tcPr>
          <w:p>
            <w:pPr>
              <w:jc w:val="center"/>
              <w:rPr>
                <w:rFonts w:hint="eastAsia" w:ascii="宋体" w:hAnsi="宋体" w:cs="宋体"/>
                <w:color w:val="auto"/>
                <w:szCs w:val="21"/>
              </w:rPr>
            </w:pPr>
          </w:p>
        </w:tc>
        <w:tc>
          <w:tcPr>
            <w:tcW w:w="1412" w:type="dxa"/>
            <w:gridSpan w:val="2"/>
            <w:noWrap w:val="0"/>
            <w:vAlign w:val="center"/>
          </w:tcPr>
          <w:p>
            <w:pPr>
              <w:jc w:val="center"/>
              <w:rPr>
                <w:rFonts w:hint="eastAsia" w:ascii="宋体" w:hAnsi="宋体" w:cs="宋体"/>
                <w:color w:val="auto"/>
                <w:szCs w:val="21"/>
              </w:rPr>
            </w:pPr>
          </w:p>
        </w:tc>
        <w:tc>
          <w:tcPr>
            <w:tcW w:w="940" w:type="dxa"/>
            <w:vMerge w:val="continue"/>
            <w:noWrap w:val="0"/>
            <w:vAlign w:val="center"/>
          </w:tcPr>
          <w:p>
            <w:pPr>
              <w:jc w:val="center"/>
              <w:rPr>
                <w:rFonts w:hint="eastAsia" w:ascii="宋体" w:hAnsi="宋体" w:cs="宋体"/>
                <w:color w:val="auto"/>
                <w:szCs w:val="21"/>
              </w:rPr>
            </w:pPr>
          </w:p>
        </w:tc>
        <w:tc>
          <w:tcPr>
            <w:tcW w:w="2319" w:type="dxa"/>
            <w:gridSpan w:val="3"/>
            <w:noWrap w:val="0"/>
            <w:vAlign w:val="center"/>
          </w:tcPr>
          <w:p>
            <w:pPr>
              <w:jc w:val="center"/>
              <w:rPr>
                <w:rFonts w:hint="eastAsia" w:ascii="宋体" w:hAnsi="宋体" w:cs="宋体"/>
                <w:color w:val="auto"/>
                <w:szCs w:val="21"/>
              </w:rPr>
            </w:pPr>
            <w:r>
              <w:rPr>
                <w:rFonts w:hint="eastAsia" w:ascii="宋体" w:hAnsi="宋体" w:cs="宋体"/>
                <w:color w:val="auto"/>
                <w:szCs w:val="21"/>
              </w:rPr>
              <w:t>初级职称人员</w:t>
            </w:r>
          </w:p>
        </w:tc>
        <w:tc>
          <w:tcPr>
            <w:tcW w:w="2483" w:type="dxa"/>
            <w:gridSpan w:val="2"/>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账号</w:t>
            </w:r>
          </w:p>
        </w:tc>
        <w:tc>
          <w:tcPr>
            <w:tcW w:w="1048" w:type="dxa"/>
            <w:noWrap w:val="0"/>
            <w:vAlign w:val="center"/>
          </w:tcPr>
          <w:p>
            <w:pPr>
              <w:jc w:val="center"/>
              <w:rPr>
                <w:rFonts w:hint="eastAsia" w:ascii="宋体" w:hAnsi="宋体" w:cs="宋体"/>
                <w:color w:val="auto"/>
                <w:szCs w:val="21"/>
              </w:rPr>
            </w:pPr>
          </w:p>
        </w:tc>
        <w:tc>
          <w:tcPr>
            <w:tcW w:w="1412" w:type="dxa"/>
            <w:gridSpan w:val="2"/>
            <w:noWrap w:val="0"/>
            <w:vAlign w:val="center"/>
          </w:tcPr>
          <w:p>
            <w:pPr>
              <w:jc w:val="center"/>
              <w:rPr>
                <w:rFonts w:hint="eastAsia" w:ascii="宋体" w:hAnsi="宋体" w:cs="宋体"/>
                <w:color w:val="auto"/>
                <w:szCs w:val="21"/>
              </w:rPr>
            </w:pPr>
          </w:p>
        </w:tc>
        <w:tc>
          <w:tcPr>
            <w:tcW w:w="940" w:type="dxa"/>
            <w:vMerge w:val="continue"/>
            <w:noWrap w:val="0"/>
            <w:vAlign w:val="center"/>
          </w:tcPr>
          <w:p>
            <w:pPr>
              <w:jc w:val="center"/>
              <w:rPr>
                <w:rFonts w:hint="eastAsia" w:ascii="宋体" w:hAnsi="宋体" w:cs="宋体"/>
                <w:color w:val="auto"/>
                <w:szCs w:val="21"/>
              </w:rPr>
            </w:pPr>
          </w:p>
        </w:tc>
        <w:tc>
          <w:tcPr>
            <w:tcW w:w="2319" w:type="dxa"/>
            <w:gridSpan w:val="3"/>
            <w:noWrap w:val="0"/>
            <w:vAlign w:val="center"/>
          </w:tcPr>
          <w:p>
            <w:pPr>
              <w:jc w:val="center"/>
              <w:rPr>
                <w:rFonts w:hint="eastAsia" w:ascii="宋体" w:hAnsi="宋体" w:cs="宋体"/>
                <w:color w:val="auto"/>
                <w:szCs w:val="21"/>
              </w:rPr>
            </w:pPr>
            <w:r>
              <w:rPr>
                <w:rFonts w:hint="eastAsia" w:ascii="宋体" w:hAnsi="宋体" w:cs="宋体"/>
                <w:color w:val="auto"/>
                <w:szCs w:val="21"/>
              </w:rPr>
              <w:t>技  工</w:t>
            </w:r>
          </w:p>
        </w:tc>
        <w:tc>
          <w:tcPr>
            <w:tcW w:w="2483" w:type="dxa"/>
            <w:gridSpan w:val="2"/>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经营范围</w:t>
            </w:r>
          </w:p>
        </w:tc>
        <w:tc>
          <w:tcPr>
            <w:tcW w:w="8202" w:type="dxa"/>
            <w:gridSpan w:val="9"/>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备注</w:t>
            </w:r>
          </w:p>
        </w:tc>
        <w:tc>
          <w:tcPr>
            <w:tcW w:w="8202" w:type="dxa"/>
            <w:gridSpan w:val="9"/>
            <w:noWrap w:val="0"/>
            <w:vAlign w:val="center"/>
          </w:tcPr>
          <w:p>
            <w:pPr>
              <w:jc w:val="center"/>
              <w:rPr>
                <w:rFonts w:hint="eastAsia" w:ascii="宋体" w:hAnsi="宋体" w:cs="宋体"/>
                <w:color w:val="auto"/>
                <w:szCs w:val="21"/>
              </w:rPr>
            </w:pPr>
          </w:p>
        </w:tc>
      </w:tr>
    </w:tbl>
    <w:p>
      <w:pPr>
        <w:spacing w:line="440" w:lineRule="exact"/>
        <w:rPr>
          <w:rFonts w:hint="eastAsia" w:ascii="宋体" w:hAnsi="宋体" w:cs="宋体"/>
          <w:color w:val="auto"/>
          <w:sz w:val="24"/>
          <w:szCs w:val="21"/>
        </w:rPr>
      </w:pPr>
      <w:r>
        <w:rPr>
          <w:rFonts w:hint="eastAsia" w:ascii="宋体" w:hAnsi="宋体" w:cs="宋体"/>
          <w:color w:val="auto"/>
          <w:sz w:val="24"/>
          <w:szCs w:val="21"/>
        </w:rPr>
        <w:t>备注：</w:t>
      </w:r>
      <w:r>
        <w:rPr>
          <w:rFonts w:hint="eastAsia" w:ascii="宋体" w:hAnsi="宋体" w:cs="宋体"/>
          <w:color w:val="auto"/>
          <w:sz w:val="24"/>
          <w:szCs w:val="21"/>
          <w:lang w:val="en-US" w:eastAsia="zh-CN"/>
        </w:rPr>
        <w:t>1、</w:t>
      </w:r>
      <w:r>
        <w:rPr>
          <w:rFonts w:hint="eastAsia" w:ascii="宋体" w:hAnsi="宋体" w:cs="宋体"/>
          <w:color w:val="auto"/>
          <w:sz w:val="24"/>
          <w:szCs w:val="21"/>
        </w:rPr>
        <w:t>本表后应附企业法人营业执照、企业资质证书、安全生产许可证、新疆维吾尔自治区区外建设工程企业信息登记册（如是外地投标人）等材料的复印件。</w:t>
      </w:r>
    </w:p>
    <w:p>
      <w:pPr>
        <w:spacing w:line="440" w:lineRule="exact"/>
        <w:rPr>
          <w:rFonts w:hint="eastAsia" w:ascii="宋体" w:hAnsi="宋体" w:cs="宋体"/>
          <w:color w:val="auto"/>
          <w:sz w:val="24"/>
          <w:szCs w:val="21"/>
          <w:lang w:val="en-US" w:eastAsia="zh-CN"/>
        </w:rPr>
      </w:pPr>
      <w:r>
        <w:rPr>
          <w:rFonts w:hint="eastAsia" w:ascii="宋体" w:hAnsi="宋体" w:cs="宋体"/>
          <w:color w:val="auto"/>
          <w:sz w:val="24"/>
          <w:szCs w:val="21"/>
          <w:lang w:val="en-US" w:eastAsia="zh-CN"/>
        </w:rPr>
        <w:t>2、联系方式上填写的联系人必须为本项目的主要负责人。</w:t>
      </w:r>
    </w:p>
    <w:p>
      <w:pPr>
        <w:spacing w:line="440" w:lineRule="exact"/>
        <w:rPr>
          <w:rFonts w:hint="eastAsia" w:ascii="宋体" w:hAnsi="宋体" w:cs="宋体"/>
          <w:color w:val="auto"/>
          <w:sz w:val="24"/>
          <w:szCs w:val="21"/>
          <w:lang w:eastAsia="zh-CN"/>
        </w:rPr>
      </w:pPr>
    </w:p>
    <w:p>
      <w:pPr>
        <w:pStyle w:val="6"/>
        <w:numPr>
          <w:ilvl w:val="2"/>
          <w:numId w:val="0"/>
        </w:numPr>
        <w:spacing w:before="145" w:beforeLines="50" w:after="145" w:afterLines="50" w:line="300" w:lineRule="auto"/>
        <w:ind w:leftChars="0"/>
        <w:jc w:val="both"/>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eastAsia="zh-CN"/>
        </w:rPr>
        <w:t>附件</w:t>
      </w:r>
      <w:r>
        <w:rPr>
          <w:rFonts w:hint="eastAsia" w:eastAsia="宋体" w:cs="宋体"/>
          <w:b w:val="0"/>
          <w:bCs w:val="0"/>
          <w:color w:val="auto"/>
          <w:sz w:val="30"/>
          <w:szCs w:val="30"/>
          <w:lang w:eastAsia="zh-CN"/>
        </w:rPr>
        <w:t>五</w:t>
      </w:r>
      <w:r>
        <w:rPr>
          <w:rFonts w:hint="eastAsia" w:ascii="宋体" w:hAnsi="宋体" w:eastAsia="宋体" w:cs="宋体"/>
          <w:b w:val="0"/>
          <w:bCs w:val="0"/>
          <w:color w:val="auto"/>
          <w:sz w:val="30"/>
          <w:szCs w:val="30"/>
          <w:lang w:eastAsia="zh-CN"/>
        </w:rPr>
        <w:t>：</w:t>
      </w:r>
      <w:r>
        <w:rPr>
          <w:rFonts w:hint="eastAsia" w:ascii="宋体" w:hAnsi="宋体" w:cs="宋体"/>
          <w:b w:val="0"/>
          <w:bCs w:val="0"/>
          <w:color w:val="auto"/>
          <w:sz w:val="30"/>
          <w:szCs w:val="30"/>
          <w:lang w:val="en-US" w:eastAsia="zh-CN"/>
        </w:rPr>
        <w:t xml:space="preserve">  </w:t>
      </w:r>
    </w:p>
    <w:p>
      <w:pPr>
        <w:pStyle w:val="6"/>
        <w:numPr>
          <w:ilvl w:val="2"/>
          <w:numId w:val="0"/>
        </w:numPr>
        <w:spacing w:before="145" w:beforeLines="50" w:after="145" w:afterLines="50" w:line="300" w:lineRule="auto"/>
        <w:ind w:leftChars="0" w:firstLine="4500" w:firstLineChars="1500"/>
        <w:jc w:val="both"/>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eastAsia="zh-CN"/>
        </w:rPr>
        <w:t>项目管理机构</w:t>
      </w:r>
    </w:p>
    <w:p>
      <w:pPr>
        <w:pStyle w:val="6"/>
        <w:numPr>
          <w:ilvl w:val="2"/>
          <w:numId w:val="0"/>
        </w:numPr>
        <w:spacing w:before="145" w:beforeLines="50" w:after="145" w:afterLines="50" w:line="300" w:lineRule="auto"/>
        <w:ind w:leftChars="0"/>
        <w:jc w:val="both"/>
        <w:rPr>
          <w:rFonts w:hint="eastAsia" w:ascii="宋体" w:hAnsi="宋体" w:eastAsia="宋体" w:cs="宋体"/>
          <w:b w:val="0"/>
          <w:bCs w:val="0"/>
          <w:color w:val="auto"/>
          <w:sz w:val="30"/>
          <w:szCs w:val="30"/>
          <w:lang w:eastAsia="zh-CN"/>
        </w:rPr>
      </w:pPr>
      <w:bookmarkStart w:id="159" w:name="_Toc12180"/>
      <w:r>
        <w:rPr>
          <w:rFonts w:hint="eastAsia" w:ascii="宋体" w:hAnsi="宋体" w:eastAsia="宋体" w:cs="宋体"/>
          <w:b w:val="0"/>
          <w:bCs w:val="0"/>
          <w:color w:val="auto"/>
          <w:sz w:val="30"/>
          <w:szCs w:val="30"/>
          <w:lang w:eastAsia="zh-CN"/>
        </w:rPr>
        <w:t>（一）项目管理机构组成表</w:t>
      </w:r>
      <w:bookmarkEnd w:id="159"/>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830"/>
        <w:gridCol w:w="829"/>
        <w:gridCol w:w="1245"/>
        <w:gridCol w:w="829"/>
        <w:gridCol w:w="830"/>
        <w:gridCol w:w="829"/>
        <w:gridCol w:w="2907"/>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dxa"/>
            <w:vMerge w:val="restart"/>
            <w:noWrap w:val="0"/>
            <w:vAlign w:val="center"/>
          </w:tcPr>
          <w:p>
            <w:pPr>
              <w:spacing w:line="360" w:lineRule="auto"/>
              <w:jc w:val="center"/>
              <w:rPr>
                <w:rFonts w:hint="eastAsia" w:ascii="宋体" w:hAnsi="宋体" w:cs="宋体"/>
                <w:szCs w:val="21"/>
              </w:rPr>
            </w:pPr>
            <w:r>
              <w:rPr>
                <w:rFonts w:hint="eastAsia" w:ascii="宋体" w:hAnsi="宋体" w:cs="宋体"/>
                <w:szCs w:val="21"/>
              </w:rPr>
              <w:t>职务</w:t>
            </w:r>
          </w:p>
        </w:tc>
        <w:tc>
          <w:tcPr>
            <w:tcW w:w="830" w:type="dxa"/>
            <w:vMerge w:val="restart"/>
            <w:noWrap w:val="0"/>
            <w:vAlign w:val="center"/>
          </w:tcPr>
          <w:p>
            <w:pPr>
              <w:spacing w:line="360" w:lineRule="auto"/>
              <w:jc w:val="center"/>
              <w:rPr>
                <w:rFonts w:hint="eastAsia" w:ascii="宋体" w:hAnsi="宋体" w:cs="宋体"/>
                <w:szCs w:val="21"/>
              </w:rPr>
            </w:pPr>
            <w:r>
              <w:rPr>
                <w:rFonts w:hint="eastAsia" w:ascii="宋体" w:hAnsi="宋体" w:cs="宋体"/>
                <w:szCs w:val="21"/>
              </w:rPr>
              <w:t>姓名</w:t>
            </w:r>
          </w:p>
        </w:tc>
        <w:tc>
          <w:tcPr>
            <w:tcW w:w="829" w:type="dxa"/>
            <w:vMerge w:val="restart"/>
            <w:noWrap w:val="0"/>
            <w:vAlign w:val="center"/>
          </w:tcPr>
          <w:p>
            <w:pPr>
              <w:spacing w:line="360" w:lineRule="auto"/>
              <w:jc w:val="center"/>
              <w:rPr>
                <w:rFonts w:hint="eastAsia" w:ascii="宋体" w:hAnsi="宋体" w:cs="宋体"/>
                <w:szCs w:val="21"/>
              </w:rPr>
            </w:pPr>
            <w:r>
              <w:rPr>
                <w:rFonts w:hint="eastAsia" w:ascii="宋体" w:hAnsi="宋体" w:cs="宋体"/>
                <w:szCs w:val="21"/>
              </w:rPr>
              <w:t>职称</w:t>
            </w:r>
          </w:p>
        </w:tc>
        <w:tc>
          <w:tcPr>
            <w:tcW w:w="6640" w:type="dxa"/>
            <w:gridSpan w:val="5"/>
            <w:noWrap w:val="0"/>
            <w:vAlign w:val="center"/>
          </w:tcPr>
          <w:p>
            <w:pPr>
              <w:spacing w:line="360" w:lineRule="auto"/>
              <w:jc w:val="center"/>
              <w:rPr>
                <w:rFonts w:hint="eastAsia" w:ascii="宋体" w:hAnsi="宋体" w:cs="宋体"/>
                <w:szCs w:val="21"/>
              </w:rPr>
            </w:pPr>
            <w:r>
              <w:rPr>
                <w:rFonts w:hint="eastAsia" w:ascii="宋体" w:hAnsi="宋体" w:cs="宋体"/>
                <w:szCs w:val="21"/>
              </w:rPr>
              <w:t>执业或职业资格证明</w:t>
            </w:r>
          </w:p>
        </w:tc>
        <w:tc>
          <w:tcPr>
            <w:tcW w:w="773" w:type="dxa"/>
            <w:noWrap w:val="0"/>
            <w:vAlign w:val="center"/>
          </w:tcPr>
          <w:p>
            <w:pPr>
              <w:spacing w:line="360" w:lineRule="auto"/>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dxa"/>
            <w:vMerge w:val="continue"/>
            <w:noWrap w:val="0"/>
            <w:vAlign w:val="center"/>
          </w:tcPr>
          <w:p>
            <w:pPr>
              <w:spacing w:line="360" w:lineRule="auto"/>
              <w:jc w:val="center"/>
              <w:rPr>
                <w:rFonts w:hint="eastAsia" w:ascii="宋体" w:hAnsi="宋体" w:cs="宋体"/>
                <w:szCs w:val="21"/>
              </w:rPr>
            </w:pPr>
          </w:p>
        </w:tc>
        <w:tc>
          <w:tcPr>
            <w:tcW w:w="830" w:type="dxa"/>
            <w:vMerge w:val="continue"/>
            <w:noWrap w:val="0"/>
            <w:vAlign w:val="center"/>
          </w:tcPr>
          <w:p>
            <w:pPr>
              <w:spacing w:line="360" w:lineRule="auto"/>
              <w:jc w:val="center"/>
              <w:rPr>
                <w:rFonts w:hint="eastAsia" w:ascii="宋体" w:hAnsi="宋体" w:cs="宋体"/>
                <w:szCs w:val="21"/>
              </w:rPr>
            </w:pPr>
          </w:p>
        </w:tc>
        <w:tc>
          <w:tcPr>
            <w:tcW w:w="829" w:type="dxa"/>
            <w:vMerge w:val="continue"/>
            <w:noWrap w:val="0"/>
            <w:vAlign w:val="center"/>
          </w:tcPr>
          <w:p>
            <w:pPr>
              <w:spacing w:line="360" w:lineRule="auto"/>
              <w:jc w:val="center"/>
              <w:rPr>
                <w:rFonts w:hint="eastAsia" w:ascii="宋体" w:hAnsi="宋体" w:cs="宋体"/>
                <w:szCs w:val="21"/>
              </w:rPr>
            </w:pPr>
          </w:p>
        </w:tc>
        <w:tc>
          <w:tcPr>
            <w:tcW w:w="1245" w:type="dxa"/>
            <w:noWrap w:val="0"/>
            <w:vAlign w:val="center"/>
          </w:tcPr>
          <w:p>
            <w:pPr>
              <w:spacing w:line="360" w:lineRule="auto"/>
              <w:jc w:val="center"/>
              <w:rPr>
                <w:rFonts w:hint="eastAsia" w:ascii="宋体" w:hAnsi="宋体" w:cs="宋体"/>
                <w:szCs w:val="21"/>
              </w:rPr>
            </w:pPr>
            <w:r>
              <w:rPr>
                <w:rFonts w:hint="eastAsia" w:ascii="宋体" w:hAnsi="宋体" w:cs="宋体"/>
                <w:szCs w:val="21"/>
              </w:rPr>
              <w:t>证书名称</w:t>
            </w:r>
          </w:p>
        </w:tc>
        <w:tc>
          <w:tcPr>
            <w:tcW w:w="829" w:type="dxa"/>
            <w:noWrap w:val="0"/>
            <w:vAlign w:val="center"/>
          </w:tcPr>
          <w:p>
            <w:pPr>
              <w:spacing w:line="360" w:lineRule="auto"/>
              <w:jc w:val="center"/>
              <w:rPr>
                <w:rFonts w:hint="eastAsia" w:ascii="宋体" w:hAnsi="宋体" w:cs="宋体"/>
                <w:szCs w:val="21"/>
              </w:rPr>
            </w:pPr>
            <w:r>
              <w:rPr>
                <w:rFonts w:hint="eastAsia" w:ascii="宋体" w:hAnsi="宋体" w:cs="宋体"/>
                <w:szCs w:val="21"/>
              </w:rPr>
              <w:t>级别</w:t>
            </w:r>
          </w:p>
        </w:tc>
        <w:tc>
          <w:tcPr>
            <w:tcW w:w="830" w:type="dxa"/>
            <w:noWrap w:val="0"/>
            <w:vAlign w:val="center"/>
          </w:tcPr>
          <w:p>
            <w:pPr>
              <w:spacing w:line="360" w:lineRule="auto"/>
              <w:jc w:val="center"/>
              <w:rPr>
                <w:rFonts w:hint="eastAsia" w:ascii="宋体" w:hAnsi="宋体" w:cs="宋体"/>
                <w:szCs w:val="21"/>
              </w:rPr>
            </w:pPr>
            <w:r>
              <w:rPr>
                <w:rFonts w:hint="eastAsia" w:ascii="宋体" w:hAnsi="宋体" w:cs="宋体"/>
                <w:szCs w:val="21"/>
              </w:rPr>
              <w:t>证号</w:t>
            </w:r>
          </w:p>
        </w:tc>
        <w:tc>
          <w:tcPr>
            <w:tcW w:w="829" w:type="dxa"/>
            <w:noWrap w:val="0"/>
            <w:vAlign w:val="center"/>
          </w:tcPr>
          <w:p>
            <w:pPr>
              <w:spacing w:line="360" w:lineRule="auto"/>
              <w:jc w:val="center"/>
              <w:rPr>
                <w:rFonts w:hint="eastAsia" w:ascii="宋体" w:hAnsi="宋体" w:cs="宋体"/>
                <w:szCs w:val="21"/>
              </w:rPr>
            </w:pPr>
            <w:r>
              <w:rPr>
                <w:rFonts w:hint="eastAsia" w:ascii="宋体" w:hAnsi="宋体" w:cs="宋体"/>
                <w:szCs w:val="21"/>
              </w:rPr>
              <w:t>专业</w:t>
            </w:r>
          </w:p>
        </w:tc>
        <w:tc>
          <w:tcPr>
            <w:tcW w:w="2907" w:type="dxa"/>
            <w:noWrap w:val="0"/>
            <w:vAlign w:val="center"/>
          </w:tcPr>
          <w:p>
            <w:pPr>
              <w:spacing w:line="360" w:lineRule="auto"/>
              <w:jc w:val="center"/>
              <w:rPr>
                <w:rFonts w:hint="eastAsia" w:ascii="宋体" w:hAnsi="宋体" w:cs="宋体"/>
                <w:szCs w:val="21"/>
              </w:rPr>
            </w:pPr>
            <w:r>
              <w:rPr>
                <w:rFonts w:hint="eastAsia" w:ascii="宋体" w:hAnsi="宋体" w:cs="宋体"/>
                <w:szCs w:val="21"/>
              </w:rPr>
              <w:t>养老保险</w:t>
            </w:r>
          </w:p>
        </w:tc>
        <w:tc>
          <w:tcPr>
            <w:tcW w:w="773" w:type="dxa"/>
            <w:noWrap w:val="0"/>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center"/>
          </w:tcPr>
          <w:p>
            <w:pPr>
              <w:spacing w:line="360" w:lineRule="auto"/>
              <w:jc w:val="center"/>
              <w:rPr>
                <w:rFonts w:hint="eastAsia" w:ascii="宋体" w:hAnsi="宋体" w:cs="宋体"/>
                <w:color w:val="00CCFF"/>
                <w:szCs w:val="21"/>
              </w:rPr>
            </w:pPr>
          </w:p>
        </w:tc>
        <w:tc>
          <w:tcPr>
            <w:tcW w:w="830" w:type="dxa"/>
            <w:noWrap w:val="0"/>
            <w:vAlign w:val="center"/>
          </w:tcPr>
          <w:p>
            <w:pPr>
              <w:spacing w:line="360" w:lineRule="auto"/>
              <w:jc w:val="center"/>
              <w:rPr>
                <w:rFonts w:hint="eastAsia" w:ascii="宋体" w:hAnsi="宋体" w:cs="宋体"/>
                <w:color w:val="00CCFF"/>
                <w:szCs w:val="21"/>
              </w:rPr>
            </w:pPr>
          </w:p>
        </w:tc>
        <w:tc>
          <w:tcPr>
            <w:tcW w:w="829" w:type="dxa"/>
            <w:noWrap w:val="0"/>
            <w:vAlign w:val="center"/>
          </w:tcPr>
          <w:p>
            <w:pPr>
              <w:spacing w:line="360" w:lineRule="auto"/>
              <w:jc w:val="center"/>
              <w:rPr>
                <w:rFonts w:hint="eastAsia" w:ascii="宋体" w:hAnsi="宋体" w:cs="宋体"/>
                <w:color w:val="00CCFF"/>
                <w:szCs w:val="21"/>
              </w:rPr>
            </w:pPr>
          </w:p>
        </w:tc>
        <w:tc>
          <w:tcPr>
            <w:tcW w:w="1245" w:type="dxa"/>
            <w:noWrap w:val="0"/>
            <w:vAlign w:val="center"/>
          </w:tcPr>
          <w:p>
            <w:pPr>
              <w:spacing w:line="360" w:lineRule="auto"/>
              <w:jc w:val="center"/>
              <w:rPr>
                <w:rFonts w:hint="eastAsia" w:ascii="宋体" w:hAnsi="宋体" w:cs="宋体"/>
                <w:color w:val="00CCFF"/>
                <w:szCs w:val="21"/>
              </w:rPr>
            </w:pPr>
          </w:p>
        </w:tc>
        <w:tc>
          <w:tcPr>
            <w:tcW w:w="829" w:type="dxa"/>
            <w:noWrap w:val="0"/>
            <w:vAlign w:val="center"/>
          </w:tcPr>
          <w:p>
            <w:pPr>
              <w:spacing w:line="360" w:lineRule="auto"/>
              <w:jc w:val="center"/>
              <w:rPr>
                <w:rFonts w:hint="eastAsia" w:ascii="宋体" w:hAnsi="宋体" w:cs="宋体"/>
                <w:color w:val="00CCFF"/>
                <w:szCs w:val="21"/>
              </w:rPr>
            </w:pPr>
          </w:p>
        </w:tc>
        <w:tc>
          <w:tcPr>
            <w:tcW w:w="830" w:type="dxa"/>
            <w:noWrap w:val="0"/>
            <w:vAlign w:val="center"/>
          </w:tcPr>
          <w:p>
            <w:pPr>
              <w:spacing w:line="360" w:lineRule="auto"/>
              <w:jc w:val="center"/>
              <w:rPr>
                <w:rFonts w:hint="eastAsia" w:ascii="宋体" w:hAnsi="宋体" w:cs="宋体"/>
                <w:color w:val="00CCFF"/>
                <w:szCs w:val="21"/>
              </w:rPr>
            </w:pPr>
          </w:p>
        </w:tc>
        <w:tc>
          <w:tcPr>
            <w:tcW w:w="829" w:type="dxa"/>
            <w:noWrap w:val="0"/>
            <w:vAlign w:val="center"/>
          </w:tcPr>
          <w:p>
            <w:pPr>
              <w:spacing w:line="360" w:lineRule="auto"/>
              <w:jc w:val="center"/>
              <w:rPr>
                <w:rFonts w:hint="eastAsia" w:ascii="宋体" w:hAnsi="宋体" w:cs="宋体"/>
                <w:color w:val="00CCFF"/>
                <w:szCs w:val="21"/>
              </w:rPr>
            </w:pPr>
          </w:p>
        </w:tc>
        <w:tc>
          <w:tcPr>
            <w:tcW w:w="2907" w:type="dxa"/>
            <w:noWrap w:val="0"/>
            <w:vAlign w:val="center"/>
          </w:tcPr>
          <w:p>
            <w:pPr>
              <w:spacing w:line="360" w:lineRule="auto"/>
              <w:jc w:val="center"/>
              <w:rPr>
                <w:rFonts w:hint="eastAsia" w:ascii="宋体" w:hAnsi="宋体" w:cs="宋体"/>
                <w:color w:val="00CCFF"/>
                <w:szCs w:val="21"/>
              </w:rPr>
            </w:pPr>
          </w:p>
        </w:tc>
        <w:tc>
          <w:tcPr>
            <w:tcW w:w="773" w:type="dxa"/>
            <w:noWrap w:val="0"/>
            <w:vAlign w:val="center"/>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1245"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2907" w:type="dxa"/>
            <w:noWrap w:val="0"/>
            <w:vAlign w:val="top"/>
          </w:tcPr>
          <w:p>
            <w:pPr>
              <w:spacing w:line="360" w:lineRule="auto"/>
              <w:jc w:val="center"/>
              <w:rPr>
                <w:rFonts w:hint="eastAsia" w:ascii="宋体" w:hAnsi="宋体" w:cs="宋体"/>
                <w:color w:val="00CCFF"/>
                <w:szCs w:val="21"/>
              </w:rPr>
            </w:pPr>
          </w:p>
        </w:tc>
        <w:tc>
          <w:tcPr>
            <w:tcW w:w="773"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1245"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2907" w:type="dxa"/>
            <w:noWrap w:val="0"/>
            <w:vAlign w:val="top"/>
          </w:tcPr>
          <w:p>
            <w:pPr>
              <w:spacing w:line="360" w:lineRule="auto"/>
              <w:jc w:val="center"/>
              <w:rPr>
                <w:rFonts w:hint="eastAsia" w:ascii="宋体" w:hAnsi="宋体" w:cs="宋体"/>
                <w:color w:val="00CCFF"/>
                <w:szCs w:val="21"/>
              </w:rPr>
            </w:pPr>
          </w:p>
        </w:tc>
        <w:tc>
          <w:tcPr>
            <w:tcW w:w="773"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1245"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2907" w:type="dxa"/>
            <w:noWrap w:val="0"/>
            <w:vAlign w:val="top"/>
          </w:tcPr>
          <w:p>
            <w:pPr>
              <w:spacing w:line="360" w:lineRule="auto"/>
              <w:jc w:val="center"/>
              <w:rPr>
                <w:rFonts w:hint="eastAsia" w:ascii="宋体" w:hAnsi="宋体" w:cs="宋体"/>
                <w:color w:val="00CCFF"/>
                <w:szCs w:val="21"/>
              </w:rPr>
            </w:pPr>
          </w:p>
        </w:tc>
        <w:tc>
          <w:tcPr>
            <w:tcW w:w="773"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1245"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2907" w:type="dxa"/>
            <w:noWrap w:val="0"/>
            <w:vAlign w:val="top"/>
          </w:tcPr>
          <w:p>
            <w:pPr>
              <w:spacing w:line="360" w:lineRule="auto"/>
              <w:jc w:val="center"/>
              <w:rPr>
                <w:rFonts w:hint="eastAsia" w:ascii="宋体" w:hAnsi="宋体" w:cs="宋体"/>
                <w:color w:val="00CCFF"/>
                <w:szCs w:val="21"/>
              </w:rPr>
            </w:pPr>
          </w:p>
        </w:tc>
        <w:tc>
          <w:tcPr>
            <w:tcW w:w="773"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1245"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2907" w:type="dxa"/>
            <w:noWrap w:val="0"/>
            <w:vAlign w:val="top"/>
          </w:tcPr>
          <w:p>
            <w:pPr>
              <w:spacing w:line="360" w:lineRule="auto"/>
              <w:jc w:val="center"/>
              <w:rPr>
                <w:rFonts w:hint="eastAsia" w:ascii="宋体" w:hAnsi="宋体" w:cs="宋体"/>
                <w:color w:val="00CCFF"/>
                <w:szCs w:val="21"/>
              </w:rPr>
            </w:pPr>
          </w:p>
        </w:tc>
        <w:tc>
          <w:tcPr>
            <w:tcW w:w="773"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1245"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2907" w:type="dxa"/>
            <w:noWrap w:val="0"/>
            <w:vAlign w:val="top"/>
          </w:tcPr>
          <w:p>
            <w:pPr>
              <w:spacing w:line="360" w:lineRule="auto"/>
              <w:jc w:val="center"/>
              <w:rPr>
                <w:rFonts w:hint="eastAsia" w:ascii="宋体" w:hAnsi="宋体" w:cs="宋体"/>
                <w:color w:val="00CCFF"/>
                <w:szCs w:val="21"/>
              </w:rPr>
            </w:pPr>
          </w:p>
        </w:tc>
        <w:tc>
          <w:tcPr>
            <w:tcW w:w="773"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1245"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2907" w:type="dxa"/>
            <w:noWrap w:val="0"/>
            <w:vAlign w:val="top"/>
          </w:tcPr>
          <w:p>
            <w:pPr>
              <w:spacing w:line="360" w:lineRule="auto"/>
              <w:jc w:val="center"/>
              <w:rPr>
                <w:rFonts w:hint="eastAsia" w:ascii="宋体" w:hAnsi="宋体" w:cs="宋体"/>
                <w:color w:val="00CCFF"/>
                <w:szCs w:val="21"/>
              </w:rPr>
            </w:pPr>
          </w:p>
        </w:tc>
        <w:tc>
          <w:tcPr>
            <w:tcW w:w="773"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1245"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2907" w:type="dxa"/>
            <w:noWrap w:val="0"/>
            <w:vAlign w:val="top"/>
          </w:tcPr>
          <w:p>
            <w:pPr>
              <w:spacing w:line="360" w:lineRule="auto"/>
              <w:jc w:val="center"/>
              <w:rPr>
                <w:rFonts w:hint="eastAsia" w:ascii="宋体" w:hAnsi="宋体" w:cs="宋体"/>
                <w:color w:val="00CCFF"/>
                <w:szCs w:val="21"/>
              </w:rPr>
            </w:pPr>
          </w:p>
        </w:tc>
        <w:tc>
          <w:tcPr>
            <w:tcW w:w="773"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bl>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both"/>
        <w:rPr>
          <w:rFonts w:hint="eastAsia" w:ascii="宋体" w:hAnsi="宋体" w:eastAsia="宋体" w:cs="宋体"/>
          <w:b w:val="0"/>
          <w:bCs w:val="0"/>
          <w:color w:val="auto"/>
          <w:sz w:val="30"/>
          <w:szCs w:val="30"/>
          <w:lang w:eastAsia="zh-CN"/>
        </w:rPr>
      </w:pPr>
    </w:p>
    <w:p>
      <w:pPr>
        <w:pStyle w:val="13"/>
        <w:jc w:val="both"/>
        <w:rPr>
          <w:rFonts w:hint="eastAsia"/>
          <w:lang w:eastAsia="zh-CN"/>
        </w:rPr>
      </w:pPr>
      <w:r>
        <w:rPr>
          <w:rFonts w:hint="eastAsia" w:ascii="宋体" w:hAnsi="宋体" w:eastAsia="宋体" w:cs="宋体"/>
          <w:b w:val="0"/>
          <w:bCs w:val="0"/>
          <w:color w:val="auto"/>
          <w:sz w:val="30"/>
          <w:szCs w:val="30"/>
          <w:lang w:eastAsia="zh-CN"/>
        </w:rPr>
        <w:t>（</w:t>
      </w:r>
      <w:r>
        <w:rPr>
          <w:rFonts w:hint="eastAsia" w:ascii="宋体" w:hAnsi="宋体" w:cs="宋体"/>
          <w:b w:val="0"/>
          <w:bCs w:val="0"/>
          <w:color w:val="auto"/>
          <w:sz w:val="30"/>
          <w:szCs w:val="30"/>
          <w:lang w:eastAsia="zh-CN"/>
        </w:rPr>
        <w:t>二</w:t>
      </w:r>
      <w:r>
        <w:rPr>
          <w:rFonts w:hint="eastAsia" w:ascii="宋体" w:hAnsi="宋体" w:eastAsia="宋体" w:cs="宋体"/>
          <w:b w:val="0"/>
          <w:bCs w:val="0"/>
          <w:color w:val="auto"/>
          <w:sz w:val="30"/>
          <w:szCs w:val="30"/>
          <w:lang w:eastAsia="zh-CN"/>
        </w:rPr>
        <w:t>）</w:t>
      </w:r>
      <w:r>
        <w:rPr>
          <w:rFonts w:hint="eastAsia" w:eastAsia="宋体" w:cs="宋体"/>
          <w:b w:val="0"/>
          <w:bCs w:val="0"/>
          <w:color w:val="auto"/>
          <w:sz w:val="30"/>
          <w:szCs w:val="30"/>
          <w:lang w:eastAsia="zh-CN"/>
        </w:rPr>
        <w:t>项目经理简历表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54"/>
        <w:gridCol w:w="1035"/>
        <w:gridCol w:w="507"/>
        <w:gridCol w:w="627"/>
        <w:gridCol w:w="507"/>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姓  名</w:t>
            </w:r>
          </w:p>
        </w:tc>
        <w:tc>
          <w:tcPr>
            <w:tcW w:w="1596" w:type="dxa"/>
            <w:gridSpan w:val="3"/>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年  龄</w:t>
            </w: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学历</w:t>
            </w:r>
          </w:p>
        </w:tc>
        <w:tc>
          <w:tcPr>
            <w:tcW w:w="2126" w:type="dxa"/>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职  称</w:t>
            </w:r>
          </w:p>
        </w:tc>
        <w:tc>
          <w:tcPr>
            <w:tcW w:w="1596" w:type="dxa"/>
            <w:gridSpan w:val="3"/>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职  务</w:t>
            </w: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拟在本工程任职</w:t>
            </w:r>
          </w:p>
        </w:tc>
        <w:tc>
          <w:tcPr>
            <w:tcW w:w="2126"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24" w:type="dxa"/>
            <w:gridSpan w:val="5"/>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注册建造师执业资格等级</w:t>
            </w:r>
          </w:p>
        </w:tc>
        <w:tc>
          <w:tcPr>
            <w:tcW w:w="1275"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级</w:t>
            </w:r>
          </w:p>
        </w:tc>
        <w:tc>
          <w:tcPr>
            <w:tcW w:w="1843"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建造师专业</w:t>
            </w:r>
          </w:p>
        </w:tc>
        <w:tc>
          <w:tcPr>
            <w:tcW w:w="2633" w:type="dxa"/>
            <w:gridSpan w:val="2"/>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24" w:type="dxa"/>
            <w:gridSpan w:val="5"/>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安全生产考核合格证书</w:t>
            </w:r>
          </w:p>
        </w:tc>
        <w:tc>
          <w:tcPr>
            <w:tcW w:w="5751" w:type="dxa"/>
            <w:gridSpan w:val="6"/>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5"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毕业学校</w:t>
            </w:r>
          </w:p>
        </w:tc>
        <w:tc>
          <w:tcPr>
            <w:tcW w:w="7920" w:type="dxa"/>
            <w:gridSpan w:val="9"/>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75" w:type="dxa"/>
            <w:gridSpan w:val="11"/>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5"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时  间</w:t>
            </w:r>
          </w:p>
        </w:tc>
        <w:tc>
          <w:tcPr>
            <w:tcW w:w="3444" w:type="dxa"/>
            <w:gridSpan w:val="5"/>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参加过的类似项目名称</w:t>
            </w:r>
          </w:p>
        </w:tc>
        <w:tc>
          <w:tcPr>
            <w:tcW w:w="1843"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工程概况说明</w:t>
            </w:r>
          </w:p>
        </w:tc>
        <w:tc>
          <w:tcPr>
            <w:tcW w:w="2633"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center"/>
              <w:rPr>
                <w:rFonts w:hint="eastAsia" w:ascii="宋体" w:hAnsi="宋体" w:eastAsia="宋体" w:cs="宋体"/>
                <w:szCs w:val="21"/>
                <w:highlight w:val="none"/>
              </w:rPr>
            </w:pPr>
          </w:p>
        </w:tc>
        <w:tc>
          <w:tcPr>
            <w:tcW w:w="1035" w:type="dxa"/>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p>
        </w:tc>
        <w:tc>
          <w:tcPr>
            <w:tcW w:w="2633" w:type="dxa"/>
            <w:gridSpan w:val="2"/>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center"/>
              <w:rPr>
                <w:rFonts w:hint="eastAsia" w:ascii="宋体" w:hAnsi="宋体" w:eastAsia="宋体" w:cs="宋体"/>
                <w:szCs w:val="21"/>
                <w:highlight w:val="none"/>
              </w:rPr>
            </w:pPr>
          </w:p>
        </w:tc>
        <w:tc>
          <w:tcPr>
            <w:tcW w:w="1035" w:type="dxa"/>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p>
        </w:tc>
        <w:tc>
          <w:tcPr>
            <w:tcW w:w="2633" w:type="dxa"/>
            <w:gridSpan w:val="2"/>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center"/>
              <w:rPr>
                <w:rFonts w:hint="eastAsia" w:ascii="宋体" w:hAnsi="宋体" w:eastAsia="宋体" w:cs="宋体"/>
                <w:szCs w:val="21"/>
                <w:highlight w:val="none"/>
              </w:rPr>
            </w:pPr>
          </w:p>
        </w:tc>
        <w:tc>
          <w:tcPr>
            <w:tcW w:w="1035" w:type="dxa"/>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p>
        </w:tc>
        <w:tc>
          <w:tcPr>
            <w:tcW w:w="2633" w:type="dxa"/>
            <w:gridSpan w:val="2"/>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center"/>
              <w:rPr>
                <w:rFonts w:hint="eastAsia" w:ascii="宋体" w:hAnsi="宋体" w:eastAsia="宋体" w:cs="宋体"/>
                <w:szCs w:val="21"/>
                <w:highlight w:val="none"/>
              </w:rPr>
            </w:pPr>
          </w:p>
        </w:tc>
        <w:tc>
          <w:tcPr>
            <w:tcW w:w="1035" w:type="dxa"/>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p>
        </w:tc>
        <w:tc>
          <w:tcPr>
            <w:tcW w:w="2633" w:type="dxa"/>
            <w:gridSpan w:val="2"/>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center"/>
              <w:rPr>
                <w:rFonts w:hint="eastAsia" w:ascii="宋体" w:hAnsi="宋体" w:eastAsia="宋体" w:cs="宋体"/>
                <w:szCs w:val="21"/>
                <w:highlight w:val="none"/>
              </w:rPr>
            </w:pPr>
          </w:p>
        </w:tc>
        <w:tc>
          <w:tcPr>
            <w:tcW w:w="1035" w:type="dxa"/>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p>
        </w:tc>
        <w:tc>
          <w:tcPr>
            <w:tcW w:w="2633" w:type="dxa"/>
            <w:gridSpan w:val="2"/>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center"/>
              <w:rPr>
                <w:rFonts w:hint="eastAsia" w:ascii="宋体" w:hAnsi="宋体" w:eastAsia="宋体" w:cs="宋体"/>
                <w:szCs w:val="21"/>
                <w:highlight w:val="none"/>
              </w:rPr>
            </w:pPr>
          </w:p>
        </w:tc>
        <w:tc>
          <w:tcPr>
            <w:tcW w:w="1035" w:type="dxa"/>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p>
        </w:tc>
        <w:tc>
          <w:tcPr>
            <w:tcW w:w="2633" w:type="dxa"/>
            <w:gridSpan w:val="2"/>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center"/>
              <w:rPr>
                <w:rFonts w:hint="eastAsia" w:ascii="宋体" w:hAnsi="宋体" w:eastAsia="宋体" w:cs="宋体"/>
                <w:szCs w:val="21"/>
                <w:highlight w:val="none"/>
              </w:rPr>
            </w:pPr>
          </w:p>
        </w:tc>
        <w:tc>
          <w:tcPr>
            <w:tcW w:w="1035" w:type="dxa"/>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p>
        </w:tc>
        <w:tc>
          <w:tcPr>
            <w:tcW w:w="2633" w:type="dxa"/>
            <w:gridSpan w:val="2"/>
            <w:noWrap w:val="0"/>
            <w:vAlign w:val="center"/>
          </w:tcPr>
          <w:p>
            <w:pPr>
              <w:jc w:val="center"/>
              <w:rPr>
                <w:rFonts w:hint="eastAsia" w:ascii="宋体" w:hAnsi="宋体" w:eastAsia="宋体" w:cs="宋体"/>
                <w:szCs w:val="21"/>
                <w:highlight w:val="none"/>
              </w:rPr>
            </w:pPr>
          </w:p>
        </w:tc>
      </w:tr>
    </w:tbl>
    <w:p>
      <w:pPr>
        <w:pStyle w:val="93"/>
        <w:rPr>
          <w:rFonts w:hint="eastAsia" w:ascii="宋体" w:hAnsi="宋体" w:eastAsia="宋体" w:cs="宋体"/>
          <w:b/>
          <w:color w:val="auto"/>
          <w:sz w:val="24"/>
        </w:rPr>
      </w:pPr>
    </w:p>
    <w:p>
      <w:pPr>
        <w:kinsoku/>
        <w:overflowPunct/>
        <w:bidi w:val="0"/>
        <w:spacing w:after="240" w:line="440" w:lineRule="exact"/>
        <w:ind w:firstLine="480" w:firstLineChars="200"/>
        <w:rPr>
          <w:rFonts w:hint="eastAsia" w:ascii="宋体" w:hAnsi="宋体" w:eastAsia="宋体" w:cs="宋体"/>
          <w:sz w:val="28"/>
          <w:szCs w:val="28"/>
          <w:highlight w:val="none"/>
          <w:lang w:eastAsia="zh-CN"/>
        </w:rPr>
      </w:pPr>
      <w:r>
        <w:rPr>
          <w:rFonts w:hint="eastAsia" w:ascii="宋体" w:hAnsi="宋体"/>
          <w:color w:val="auto"/>
          <w:sz w:val="24"/>
          <w:szCs w:val="21"/>
          <w:highlight w:val="none"/>
          <w:lang w:eastAsia="zh-CN"/>
        </w:rPr>
        <w:t>注：表后</w:t>
      </w:r>
      <w:r>
        <w:rPr>
          <w:rFonts w:hint="eastAsia" w:ascii="宋体" w:hAnsi="宋体"/>
          <w:color w:val="auto"/>
          <w:sz w:val="24"/>
          <w:szCs w:val="21"/>
          <w:highlight w:val="none"/>
        </w:rPr>
        <w:t>应附建造师执业资格证书、注册证书、安全生产考核合格证书、身份证、</w:t>
      </w:r>
      <w:r>
        <w:rPr>
          <w:rFonts w:hint="eastAsia" w:ascii="宋体" w:hAnsi="宋体"/>
          <w:color w:val="auto"/>
          <w:sz w:val="24"/>
          <w:szCs w:val="21"/>
          <w:highlight w:val="none"/>
          <w:lang w:eastAsia="zh-CN"/>
        </w:rPr>
        <w:t>社保</w:t>
      </w:r>
      <w:r>
        <w:rPr>
          <w:rFonts w:hint="eastAsia" w:ascii="宋体" w:hAnsi="宋体"/>
          <w:color w:val="auto"/>
          <w:sz w:val="24"/>
          <w:szCs w:val="21"/>
          <w:highlight w:val="none"/>
        </w:rPr>
        <w:t>复印件</w:t>
      </w:r>
      <w:r>
        <w:rPr>
          <w:rFonts w:hint="eastAsia" w:ascii="宋体" w:hAnsi="宋体"/>
          <w:color w:val="auto"/>
          <w:sz w:val="24"/>
          <w:szCs w:val="21"/>
          <w:highlight w:val="none"/>
          <w:lang w:eastAsia="zh-CN"/>
        </w:rPr>
        <w:t>。</w:t>
      </w: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6"/>
        <w:numPr>
          <w:ilvl w:val="2"/>
          <w:numId w:val="0"/>
        </w:numPr>
        <w:spacing w:before="145" w:beforeLines="50" w:after="145" w:afterLines="50" w:line="300" w:lineRule="auto"/>
        <w:ind w:leftChars="0"/>
        <w:jc w:val="both"/>
        <w:rPr>
          <w:rFonts w:hint="eastAsia" w:eastAsia="宋体" w:cs="宋体"/>
          <w:b w:val="0"/>
          <w:bCs w:val="0"/>
          <w:color w:val="auto"/>
          <w:sz w:val="30"/>
          <w:szCs w:val="30"/>
          <w:lang w:eastAsia="zh-CN"/>
        </w:rPr>
      </w:pPr>
      <w:bookmarkStart w:id="160" w:name="_Toc519111291"/>
      <w:r>
        <w:rPr>
          <w:rFonts w:hint="eastAsia" w:ascii="宋体" w:hAnsi="宋体" w:eastAsia="宋体" w:cs="宋体"/>
          <w:b w:val="0"/>
          <w:bCs w:val="0"/>
          <w:color w:val="auto"/>
          <w:sz w:val="30"/>
          <w:szCs w:val="30"/>
          <w:lang w:eastAsia="zh-CN"/>
        </w:rPr>
        <w:t>附件</w:t>
      </w:r>
      <w:r>
        <w:rPr>
          <w:rFonts w:hint="eastAsia" w:eastAsia="宋体" w:cs="宋体"/>
          <w:b w:val="0"/>
          <w:bCs w:val="0"/>
          <w:color w:val="auto"/>
          <w:sz w:val="30"/>
          <w:szCs w:val="30"/>
          <w:lang w:eastAsia="zh-CN"/>
        </w:rPr>
        <w:t>六</w:t>
      </w:r>
      <w:r>
        <w:rPr>
          <w:rFonts w:hint="eastAsia" w:ascii="宋体" w:hAnsi="宋体" w:eastAsia="宋体" w:cs="宋体"/>
          <w:b w:val="0"/>
          <w:bCs w:val="0"/>
          <w:color w:val="auto"/>
          <w:sz w:val="30"/>
          <w:szCs w:val="30"/>
          <w:lang w:eastAsia="zh-CN"/>
        </w:rPr>
        <w:t>：</w:t>
      </w:r>
      <w:bookmarkEnd w:id="160"/>
    </w:p>
    <w:p>
      <w:pPr>
        <w:pStyle w:val="13"/>
        <w:ind w:left="0" w:leftChars="0" w:firstLine="0" w:firstLineChars="0"/>
        <w:jc w:val="center"/>
        <w:rPr>
          <w:rFonts w:hint="eastAsia"/>
          <w:lang w:eastAsia="zh-CN"/>
        </w:rPr>
      </w:pPr>
      <w:r>
        <w:rPr>
          <w:rFonts w:hint="eastAsia" w:eastAsia="宋体" w:cs="宋体"/>
          <w:b w:val="0"/>
          <w:bCs w:val="0"/>
          <w:color w:val="auto"/>
          <w:sz w:val="30"/>
          <w:szCs w:val="30"/>
          <w:lang w:eastAsia="zh-CN"/>
        </w:rPr>
        <w:t>响应函</w:t>
      </w:r>
    </w:p>
    <w:p>
      <w:pPr>
        <w:spacing w:line="440" w:lineRule="exact"/>
        <w:rPr>
          <w:rFonts w:hint="eastAsia" w:ascii="宋体" w:hAnsi="宋体" w:eastAsia="宋体" w:cs="宋体"/>
          <w:sz w:val="24"/>
          <w:szCs w:val="21"/>
          <w:highlight w:val="none"/>
        </w:rPr>
      </w:pP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w:t>
      </w:r>
      <w:r>
        <w:rPr>
          <w:rFonts w:hint="eastAsia" w:ascii="宋体" w:hAnsi="宋体" w:eastAsia="宋体" w:cs="宋体"/>
          <w:sz w:val="24"/>
          <w:szCs w:val="21"/>
          <w:highlight w:val="none"/>
          <w:lang w:eastAsia="zh-CN"/>
        </w:rPr>
        <w:t>招标人</w:t>
      </w:r>
      <w:r>
        <w:rPr>
          <w:rFonts w:hint="eastAsia" w:ascii="宋体" w:hAnsi="宋体" w:eastAsia="宋体" w:cs="宋体"/>
          <w:sz w:val="24"/>
          <w:szCs w:val="21"/>
          <w:highlight w:val="none"/>
        </w:rPr>
        <w:t>名称）：</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1．我方已仔细研究了</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（项目名称）标段施工</w:t>
      </w:r>
      <w:r>
        <w:rPr>
          <w:rFonts w:hint="eastAsia" w:ascii="宋体" w:hAnsi="宋体" w:cs="宋体"/>
          <w:sz w:val="24"/>
          <w:szCs w:val="21"/>
          <w:highlight w:val="none"/>
          <w:lang w:eastAsia="zh-CN"/>
        </w:rPr>
        <w:t>磋商</w:t>
      </w:r>
      <w:r>
        <w:rPr>
          <w:rFonts w:hint="eastAsia" w:ascii="宋体" w:hAnsi="宋体" w:eastAsia="宋体" w:cs="宋体"/>
          <w:sz w:val="24"/>
          <w:szCs w:val="21"/>
          <w:highlight w:val="none"/>
        </w:rPr>
        <w:t>文件的全部内容，</w:t>
      </w:r>
      <w:r>
        <w:rPr>
          <w:rFonts w:hint="eastAsia" w:ascii="宋体" w:hAnsi="宋体" w:eastAsia="宋体" w:cs="宋体"/>
          <w:sz w:val="24"/>
          <w:szCs w:val="21"/>
          <w:highlight w:val="none"/>
          <w:lang w:eastAsia="zh-CN"/>
        </w:rPr>
        <w:t>愿意以投标总报价为：小写</w:t>
      </w:r>
      <w:r>
        <w:rPr>
          <w:rFonts w:hint="eastAsia" w:ascii="宋体" w:hAnsi="宋体" w:eastAsia="宋体" w:cs="宋体"/>
          <w:sz w:val="24"/>
          <w:szCs w:val="21"/>
          <w:highlight w:val="none"/>
          <w:u w:val="single"/>
          <w:lang w:val="en-US" w:eastAsia="zh-CN"/>
        </w:rPr>
        <w:t xml:space="preserve">             </w:t>
      </w:r>
      <w:r>
        <w:rPr>
          <w:rFonts w:hint="eastAsia" w:ascii="宋体" w:hAnsi="宋体" w:eastAsia="宋体" w:cs="宋体"/>
          <w:sz w:val="24"/>
          <w:szCs w:val="21"/>
          <w:highlight w:val="none"/>
          <w:u w:val="none"/>
          <w:lang w:val="en-US" w:eastAsia="zh-CN"/>
        </w:rPr>
        <w:t>（大写：    ），</w:t>
      </w:r>
      <w:r>
        <w:rPr>
          <w:rFonts w:hint="eastAsia" w:ascii="宋体" w:hAnsi="宋体" w:eastAsia="宋体" w:cs="宋体"/>
          <w:sz w:val="24"/>
          <w:szCs w:val="21"/>
          <w:highlight w:val="none"/>
        </w:rPr>
        <w:t>工期</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日历天，按合同约定实施和完成承包工程，修补工程中的任何缺陷，工程质量达到</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2．我方承诺在投标有效期</w:t>
      </w:r>
      <w:r>
        <w:rPr>
          <w:rFonts w:hint="eastAsia" w:ascii="宋体" w:hAnsi="宋体" w:eastAsia="宋体" w:cs="宋体"/>
          <w:sz w:val="24"/>
          <w:szCs w:val="21"/>
          <w:highlight w:val="none"/>
          <w:u w:val="single"/>
          <w:lang w:val="en-US" w:eastAsia="zh-CN"/>
        </w:rPr>
        <w:t xml:space="preserve">       </w:t>
      </w:r>
      <w:r>
        <w:rPr>
          <w:rFonts w:hint="eastAsia" w:ascii="宋体" w:hAnsi="宋体" w:eastAsia="宋体" w:cs="宋体"/>
          <w:sz w:val="24"/>
          <w:szCs w:val="21"/>
          <w:highlight w:val="none"/>
          <w:u w:val="none"/>
          <w:lang w:val="en-US" w:eastAsia="zh-CN"/>
        </w:rPr>
        <w:t>日</w:t>
      </w:r>
      <w:r>
        <w:rPr>
          <w:rFonts w:hint="eastAsia" w:ascii="宋体" w:hAnsi="宋体" w:eastAsia="宋体" w:cs="宋体"/>
          <w:sz w:val="24"/>
          <w:szCs w:val="21"/>
          <w:highlight w:val="none"/>
        </w:rPr>
        <w:t>内不修改、撤销</w:t>
      </w:r>
      <w:r>
        <w:rPr>
          <w:rFonts w:hint="eastAsia" w:ascii="宋体" w:hAnsi="宋体" w:eastAsia="宋体" w:cs="宋体"/>
          <w:sz w:val="24"/>
          <w:szCs w:val="21"/>
          <w:highlight w:val="none"/>
          <w:lang w:eastAsia="zh-CN"/>
        </w:rPr>
        <w:t>响应</w:t>
      </w:r>
      <w:r>
        <w:rPr>
          <w:rFonts w:hint="eastAsia" w:ascii="宋体" w:hAnsi="宋体" w:eastAsia="宋体" w:cs="宋体"/>
          <w:sz w:val="24"/>
          <w:szCs w:val="21"/>
          <w:highlight w:val="none"/>
        </w:rPr>
        <w:t>文件。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3．随同本</w:t>
      </w:r>
      <w:r>
        <w:rPr>
          <w:rFonts w:hint="eastAsia" w:ascii="宋体" w:hAnsi="宋体" w:eastAsia="宋体" w:cs="宋体"/>
          <w:sz w:val="24"/>
          <w:szCs w:val="21"/>
          <w:highlight w:val="none"/>
          <w:lang w:eastAsia="zh-CN"/>
        </w:rPr>
        <w:t>响应函</w:t>
      </w:r>
      <w:r>
        <w:rPr>
          <w:rFonts w:hint="eastAsia" w:ascii="宋体" w:hAnsi="宋体" w:eastAsia="宋体" w:cs="宋体"/>
          <w:sz w:val="24"/>
          <w:szCs w:val="21"/>
          <w:highlight w:val="none"/>
        </w:rPr>
        <w:t>提交</w:t>
      </w:r>
      <w:r>
        <w:rPr>
          <w:rFonts w:hint="eastAsia" w:ascii="宋体" w:hAnsi="宋体" w:eastAsia="宋体" w:cs="宋体"/>
          <w:sz w:val="24"/>
          <w:szCs w:val="21"/>
          <w:highlight w:val="none"/>
          <w:lang w:eastAsia="zh-CN"/>
        </w:rPr>
        <w:t>响应保证金</w:t>
      </w:r>
      <w:r>
        <w:rPr>
          <w:rFonts w:hint="eastAsia" w:ascii="宋体" w:hAnsi="宋体" w:eastAsia="宋体" w:cs="宋体"/>
          <w:sz w:val="24"/>
          <w:szCs w:val="21"/>
          <w:highlight w:val="none"/>
        </w:rPr>
        <w:t>一份，金额为人民币（大写）</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元（¥</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4．如我方中标：</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（1）我方承诺在收到中标通知书后，在中标通知书规定的期限内与你方签订合同。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（2）随同本</w:t>
      </w:r>
      <w:r>
        <w:rPr>
          <w:rFonts w:hint="eastAsia" w:ascii="宋体" w:hAnsi="宋体" w:eastAsia="宋体" w:cs="宋体"/>
          <w:sz w:val="24"/>
          <w:szCs w:val="21"/>
          <w:highlight w:val="none"/>
          <w:lang w:eastAsia="zh-CN"/>
        </w:rPr>
        <w:t>响应函</w:t>
      </w:r>
      <w:r>
        <w:rPr>
          <w:rFonts w:hint="eastAsia" w:ascii="宋体" w:hAnsi="宋体" w:eastAsia="宋体" w:cs="宋体"/>
          <w:sz w:val="24"/>
          <w:szCs w:val="21"/>
          <w:highlight w:val="none"/>
        </w:rPr>
        <w:t>递交的</w:t>
      </w:r>
      <w:r>
        <w:rPr>
          <w:rFonts w:hint="eastAsia" w:ascii="宋体" w:hAnsi="宋体" w:eastAsia="宋体" w:cs="宋体"/>
          <w:sz w:val="24"/>
          <w:szCs w:val="21"/>
          <w:highlight w:val="none"/>
          <w:lang w:eastAsia="zh-CN"/>
        </w:rPr>
        <w:t>响应函</w:t>
      </w:r>
      <w:r>
        <w:rPr>
          <w:rFonts w:hint="eastAsia" w:ascii="宋体" w:hAnsi="宋体" w:eastAsia="宋体" w:cs="宋体"/>
          <w:sz w:val="24"/>
          <w:szCs w:val="21"/>
          <w:highlight w:val="none"/>
        </w:rPr>
        <w:t>附录属于合同文件的组成部分。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（3）我方承诺按照</w:t>
      </w:r>
      <w:r>
        <w:rPr>
          <w:rFonts w:hint="eastAsia" w:ascii="宋体" w:hAnsi="宋体" w:eastAsia="宋体" w:cs="宋体"/>
          <w:sz w:val="24"/>
          <w:szCs w:val="21"/>
          <w:highlight w:val="none"/>
          <w:lang w:eastAsia="zh-CN"/>
        </w:rPr>
        <w:t>竞争性</w:t>
      </w:r>
      <w:r>
        <w:rPr>
          <w:rFonts w:hint="eastAsia" w:ascii="宋体" w:hAnsi="宋体" w:cs="宋体"/>
          <w:sz w:val="24"/>
          <w:szCs w:val="21"/>
          <w:highlight w:val="none"/>
          <w:lang w:eastAsia="zh-CN"/>
        </w:rPr>
        <w:t>磋商</w:t>
      </w:r>
      <w:r>
        <w:rPr>
          <w:rFonts w:hint="eastAsia" w:ascii="宋体" w:hAnsi="宋体" w:eastAsia="宋体" w:cs="宋体"/>
          <w:sz w:val="24"/>
          <w:szCs w:val="21"/>
          <w:highlight w:val="none"/>
          <w:lang w:eastAsia="zh-CN"/>
        </w:rPr>
        <w:t>文件</w:t>
      </w:r>
      <w:r>
        <w:rPr>
          <w:rFonts w:hint="eastAsia" w:ascii="宋体" w:hAnsi="宋体" w:eastAsia="宋体" w:cs="宋体"/>
          <w:sz w:val="24"/>
          <w:szCs w:val="21"/>
          <w:highlight w:val="none"/>
        </w:rPr>
        <w:t>规定向你方递交履约担保。</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（4）我方承诺在合同约定的期限内完成并移交全部合同工程。</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5．</w:t>
      </w:r>
      <w:r>
        <w:rPr>
          <w:rFonts w:hint="eastAsia" w:ascii="宋体" w:hAnsi="宋体" w:eastAsia="宋体" w:cs="宋体"/>
          <w:sz w:val="24"/>
          <w:highlight w:val="none"/>
        </w:rPr>
        <w:t>我方在此声明，所递交的投标文件及有关资料内容完整、真实和准确，且不存在第二章“投标人须知”第1.4.3项规定的任何一种情形。</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6．</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（其他补充说明）。</w:t>
      </w:r>
    </w:p>
    <w:p>
      <w:pPr>
        <w:spacing w:line="440" w:lineRule="exact"/>
        <w:rPr>
          <w:rFonts w:hint="eastAsia" w:ascii="宋体" w:hAnsi="宋体" w:eastAsia="宋体" w:cs="宋体"/>
          <w:sz w:val="24"/>
          <w:szCs w:val="21"/>
          <w:highlight w:val="none"/>
        </w:rPr>
      </w:pPr>
    </w:p>
    <w:p>
      <w:pPr>
        <w:spacing w:line="440" w:lineRule="exact"/>
        <w:rPr>
          <w:rFonts w:hint="eastAsia" w:ascii="宋体" w:hAnsi="宋体" w:eastAsia="宋体" w:cs="宋体"/>
          <w:sz w:val="24"/>
          <w:szCs w:val="21"/>
          <w:highlight w:val="none"/>
        </w:rPr>
      </w:pPr>
    </w:p>
    <w:p>
      <w:pPr>
        <w:pStyle w:val="81"/>
        <w:tabs>
          <w:tab w:val="left" w:pos="750"/>
        </w:tabs>
        <w:adjustRightInd w:val="0"/>
        <w:snapToGrid w:val="0"/>
        <w:spacing w:line="500" w:lineRule="exact"/>
        <w:jc w:val="center"/>
        <w:rPr>
          <w:rFonts w:hint="eastAsia" w:ascii="宋体" w:hAnsi="宋体" w:eastAsia="宋体" w:cs="宋体"/>
          <w:color w:val="auto"/>
          <w:sz w:val="24"/>
          <w:szCs w:val="24"/>
        </w:rPr>
      </w:pPr>
      <w:r>
        <w:rPr>
          <w:rFonts w:hint="eastAsia" w:ascii="宋体" w:hAnsi="宋体" w:eastAsia="宋体" w:cs="宋体"/>
          <w:sz w:val="24"/>
          <w:szCs w:val="21"/>
          <w:highlight w:val="none"/>
        </w:rPr>
        <w:t xml:space="preserve">                             </w:t>
      </w:r>
      <w:r>
        <w:rPr>
          <w:rFonts w:hint="eastAsia" w:ascii="宋体" w:hAnsi="宋体" w:eastAsia="宋体" w:cs="宋体"/>
          <w:sz w:val="24"/>
          <w:szCs w:val="21"/>
          <w:highlight w:val="none"/>
          <w:lang w:val="en-US" w:eastAsia="zh-CN"/>
        </w:rPr>
        <w:t xml:space="preserve">        </w:t>
      </w:r>
      <w:r>
        <w:rPr>
          <w:rFonts w:hint="eastAsia" w:ascii="宋体" w:hAnsi="宋体" w:eastAsia="宋体" w:cs="宋体"/>
          <w:color w:val="auto"/>
          <w:sz w:val="24"/>
          <w:szCs w:val="24"/>
        </w:rPr>
        <w:t>投标人名称（</w:t>
      </w:r>
      <w:r>
        <w:rPr>
          <w:rFonts w:hint="eastAsia" w:ascii="宋体" w:hAnsi="宋体" w:eastAsia="宋体" w:cs="宋体"/>
          <w:color w:val="auto"/>
          <w:sz w:val="24"/>
          <w:szCs w:val="24"/>
          <w:lang w:eastAsia="zh-CN"/>
        </w:rPr>
        <w:t>公</w:t>
      </w:r>
      <w:r>
        <w:rPr>
          <w:rFonts w:hint="eastAsia" w:ascii="宋体" w:hAnsi="宋体" w:eastAsia="宋体" w:cs="宋体"/>
          <w:color w:val="auto"/>
          <w:sz w:val="24"/>
          <w:szCs w:val="24"/>
        </w:rPr>
        <w:t>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pPr>
        <w:pStyle w:val="81"/>
        <w:tabs>
          <w:tab w:val="left" w:pos="750"/>
        </w:tabs>
        <w:adjustRightInd w:val="0"/>
        <w:snapToGrid w:val="0"/>
        <w:spacing w:line="500" w:lineRule="exact"/>
        <w:ind w:firstLine="720" w:firstLineChars="300"/>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（单位负责人）</w:t>
      </w:r>
      <w:r>
        <w:rPr>
          <w:rFonts w:hint="eastAsia" w:ascii="宋体" w:hAnsi="宋体" w:eastAsia="宋体" w:cs="宋体"/>
          <w:color w:val="auto"/>
          <w:sz w:val="24"/>
          <w:szCs w:val="24"/>
          <w:lang w:eastAsia="zh-CN"/>
        </w:rPr>
        <w:t>或其授权委托人</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签字或盖章</w:t>
      </w:r>
      <w:r>
        <w:rPr>
          <w:rFonts w:hint="eastAsia" w:ascii="宋体" w:hAnsi="宋体" w:eastAsia="宋体" w:cs="宋体"/>
          <w:color w:val="auto"/>
          <w:sz w:val="24"/>
          <w:szCs w:val="24"/>
        </w:rPr>
        <w:t>）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p>
    <w:p>
      <w:pPr>
        <w:pStyle w:val="93"/>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b/>
          <w:bCs/>
          <w:color w:val="auto"/>
          <w:sz w:val="24"/>
          <w:szCs w:val="24"/>
          <w:lang w:eastAsia="zh-CN"/>
        </w:rPr>
      </w:pPr>
      <w:r>
        <w:rPr>
          <w:rFonts w:hint="eastAsia" w:ascii="宋体" w:hAnsi="宋体" w:cs="宋体"/>
          <w:b/>
          <w:bCs/>
          <w:color w:val="auto"/>
          <w:sz w:val="24"/>
          <w:szCs w:val="24"/>
          <w:lang w:eastAsia="zh-CN"/>
        </w:rPr>
        <w:t>注：后附</w:t>
      </w:r>
      <w:r>
        <w:rPr>
          <w:rFonts w:hint="eastAsia" w:ascii="宋体" w:hAnsi="宋体" w:cs="宋体"/>
          <w:b/>
          <w:bCs/>
          <w:color w:val="auto"/>
          <w:sz w:val="24"/>
          <w:szCs w:val="24"/>
          <w:lang w:val="en-US" w:eastAsia="zh-CN"/>
        </w:rPr>
        <w:t>投标报价清单：按照本文件提供的工程量清单进行报价。</w:t>
      </w: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bookmarkEnd w:id="158"/>
    <w:p>
      <w:pPr>
        <w:ind w:left="1280"/>
        <w:rPr>
          <w:rFonts w:asciiTheme="majorEastAsia" w:hAnsiTheme="majorEastAsia" w:eastAsiaTheme="majorEastAsia"/>
          <w:b/>
          <w:sz w:val="44"/>
          <w:szCs w:val="44"/>
        </w:rPr>
      </w:pPr>
      <w:r>
        <w:rPr>
          <w:rFonts w:hint="eastAsia" w:ascii="宋体" w:hAnsi="宋体" w:eastAsia="宋体" w:cs="宋体"/>
          <w:b w:val="0"/>
          <w:bCs/>
          <w:kern w:val="0"/>
          <w:sz w:val="32"/>
          <w:szCs w:val="24"/>
          <w:lang w:val="en-US" w:eastAsia="zh-CN" w:bidi="ar-SA"/>
        </w:rPr>
        <w:t>附件七：</w:t>
      </w:r>
      <w:r>
        <w:rPr>
          <w:rFonts w:hint="eastAsia" w:asciiTheme="majorEastAsia" w:hAnsiTheme="majorEastAsia" w:eastAsiaTheme="majorEastAsia"/>
          <w:b/>
          <w:sz w:val="44"/>
          <w:szCs w:val="44"/>
        </w:rPr>
        <w:t>中小企业声明函(工程、服务)</w:t>
      </w:r>
    </w:p>
    <w:p>
      <w:pPr>
        <w:ind w:left="1280"/>
        <w:rPr>
          <w:rFonts w:ascii="仿宋" w:hAnsi="仿宋" w:eastAsia="仿宋"/>
          <w:sz w:val="28"/>
          <w:szCs w:val="28"/>
        </w:rPr>
      </w:pPr>
    </w:p>
    <w:p>
      <w:pPr>
        <w:snapToGrid w:val="0"/>
        <w:spacing w:line="300" w:lineRule="auto"/>
        <w:ind w:firstLine="560" w:firstLineChars="200"/>
        <w:rPr>
          <w:rFonts w:ascii="仿宋" w:hAnsi="仿宋" w:eastAsia="仿宋"/>
          <w:i w:val="0"/>
          <w:iCs w:val="0"/>
          <w:sz w:val="28"/>
          <w:szCs w:val="28"/>
        </w:rPr>
      </w:pPr>
      <w:r>
        <w:rPr>
          <w:rFonts w:hint="eastAsia" w:ascii="仿宋" w:hAnsi="仿宋" w:eastAsia="仿宋"/>
          <w:i w:val="0"/>
          <w:iCs w:val="0"/>
          <w:sz w:val="28"/>
          <w:szCs w:val="28"/>
        </w:rPr>
        <w:t>本公司（联合体）郑重声明，根据</w:t>
      </w:r>
      <w:r>
        <w:rPr>
          <w:rFonts w:hint="eastAsia" w:ascii="仿宋" w:hAnsi="仿宋" w:eastAsia="仿宋"/>
          <w:i w:val="0"/>
          <w:iCs w:val="0"/>
          <w:sz w:val="28"/>
          <w:szCs w:val="28"/>
          <w:lang w:val="en-US" w:eastAsia="zh-CN"/>
        </w:rPr>
        <w:t>《新疆维吾尔自治区政府采购促进中小企业发展管理实施办法》（新财规〔2021〕6号）</w:t>
      </w:r>
      <w:r>
        <w:rPr>
          <w:rFonts w:hint="eastAsia" w:ascii="仿宋" w:hAnsi="仿宋" w:eastAsia="仿宋"/>
          <w:i w:val="0"/>
          <w:iCs w:val="0"/>
          <w:sz w:val="28"/>
          <w:szCs w:val="28"/>
        </w:rPr>
        <w:t>的规定，本公司（联合体）参加</w:t>
      </w:r>
      <w:r>
        <w:rPr>
          <w:rFonts w:hint="eastAsia" w:ascii="仿宋" w:hAnsi="仿宋" w:eastAsia="仿宋"/>
          <w:i w:val="0"/>
          <w:iCs w:val="0"/>
          <w:sz w:val="28"/>
          <w:szCs w:val="28"/>
          <w:u w:val="single"/>
        </w:rPr>
        <w:t>（单位名称）</w:t>
      </w:r>
      <w:r>
        <w:rPr>
          <w:rFonts w:hint="eastAsia" w:ascii="仿宋" w:hAnsi="仿宋" w:eastAsia="仿宋"/>
          <w:i w:val="0"/>
          <w:iCs w:val="0"/>
          <w:sz w:val="28"/>
          <w:szCs w:val="28"/>
        </w:rPr>
        <w:t>的</w:t>
      </w:r>
      <w:r>
        <w:rPr>
          <w:rFonts w:hint="eastAsia" w:ascii="仿宋" w:hAnsi="仿宋" w:eastAsia="仿宋"/>
          <w:i w:val="0"/>
          <w:iCs w:val="0"/>
          <w:sz w:val="28"/>
          <w:szCs w:val="28"/>
          <w:u w:val="single"/>
        </w:rPr>
        <w:t>（项目名称）</w:t>
      </w:r>
      <w:r>
        <w:rPr>
          <w:rFonts w:hint="eastAsia" w:ascii="仿宋" w:hAnsi="仿宋" w:eastAsia="仿宋"/>
          <w:i w:val="0"/>
          <w:iCs w:val="0"/>
          <w:sz w:val="28"/>
          <w:szCs w:val="28"/>
        </w:rPr>
        <w:t>采购活动，工程的施工单位全部为符合政策要求的中小企业（或者：服务全部由符合政策要求的中小企业承接）。相关企业（含联合体中的中小企业、签订分包意向协议的中小企业）的具体情况如下：</w:t>
      </w:r>
    </w:p>
    <w:p>
      <w:pPr>
        <w:snapToGrid w:val="0"/>
        <w:spacing w:line="300" w:lineRule="auto"/>
        <w:ind w:firstLine="560" w:firstLineChars="200"/>
        <w:rPr>
          <w:rFonts w:ascii="仿宋" w:hAnsi="仿宋" w:eastAsia="仿宋"/>
          <w:i w:val="0"/>
          <w:iCs w:val="0"/>
          <w:sz w:val="28"/>
          <w:szCs w:val="28"/>
        </w:rPr>
      </w:pPr>
      <w:r>
        <w:rPr>
          <w:rFonts w:hint="eastAsia" w:ascii="仿宋" w:hAnsi="仿宋" w:eastAsia="仿宋"/>
          <w:i w:val="0"/>
          <w:iCs w:val="0"/>
          <w:sz w:val="28"/>
          <w:szCs w:val="28"/>
        </w:rPr>
        <w:t>1.</w:t>
      </w:r>
      <w:r>
        <w:rPr>
          <w:rFonts w:hint="eastAsia" w:ascii="仿宋" w:hAnsi="仿宋" w:eastAsia="仿宋"/>
          <w:i w:val="0"/>
          <w:iCs w:val="0"/>
          <w:sz w:val="28"/>
          <w:szCs w:val="28"/>
          <w:u w:val="single"/>
        </w:rPr>
        <w:t>（标的名称）</w:t>
      </w:r>
      <w:r>
        <w:rPr>
          <w:rFonts w:hint="eastAsia" w:ascii="仿宋" w:hAnsi="仿宋" w:eastAsia="仿宋"/>
          <w:i w:val="0"/>
          <w:iCs w:val="0"/>
          <w:sz w:val="28"/>
          <w:szCs w:val="28"/>
        </w:rPr>
        <w:t>，属于</w:t>
      </w:r>
      <w:r>
        <w:rPr>
          <w:rFonts w:hint="eastAsia" w:ascii="仿宋" w:hAnsi="仿宋" w:eastAsia="仿宋"/>
          <w:i w:val="0"/>
          <w:iCs w:val="0"/>
          <w:sz w:val="28"/>
          <w:szCs w:val="28"/>
          <w:u w:val="single"/>
        </w:rPr>
        <w:t>（采购文件中明确的所属行业）</w:t>
      </w:r>
      <w:r>
        <w:rPr>
          <w:rFonts w:hint="eastAsia" w:ascii="仿宋" w:hAnsi="仿宋" w:eastAsia="仿宋"/>
          <w:i w:val="0"/>
          <w:iCs w:val="0"/>
          <w:sz w:val="28"/>
          <w:szCs w:val="28"/>
        </w:rPr>
        <w:t>；承建（承接）企业为</w:t>
      </w:r>
      <w:r>
        <w:rPr>
          <w:rFonts w:hint="eastAsia" w:ascii="仿宋" w:hAnsi="仿宋" w:eastAsia="仿宋"/>
          <w:i w:val="0"/>
          <w:iCs w:val="0"/>
          <w:sz w:val="28"/>
          <w:szCs w:val="28"/>
          <w:u w:val="single"/>
        </w:rPr>
        <w:t>（企业名称）</w:t>
      </w:r>
      <w:r>
        <w:rPr>
          <w:rFonts w:hint="eastAsia" w:ascii="仿宋" w:hAnsi="仿宋" w:eastAsia="仿宋"/>
          <w:i w:val="0"/>
          <w:iCs w:val="0"/>
          <w:sz w:val="28"/>
          <w:szCs w:val="28"/>
        </w:rPr>
        <w:t>，从业人员</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人，营业收入为</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万元，资产总额为</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万元</w:t>
      </w:r>
      <w:r>
        <w:rPr>
          <w:rStyle w:val="41"/>
          <w:rFonts w:ascii="仿宋" w:hAnsi="仿宋" w:eastAsia="仿宋"/>
          <w:i w:val="0"/>
          <w:iCs w:val="0"/>
          <w:sz w:val="28"/>
          <w:szCs w:val="28"/>
        </w:rPr>
        <w:footnoteReference w:id="0"/>
      </w:r>
      <w:r>
        <w:rPr>
          <w:rFonts w:hint="eastAsia" w:ascii="仿宋" w:hAnsi="仿宋" w:eastAsia="仿宋"/>
          <w:i w:val="0"/>
          <w:iCs w:val="0"/>
          <w:sz w:val="28"/>
          <w:szCs w:val="28"/>
        </w:rPr>
        <w:t>，属于</w:t>
      </w:r>
      <w:r>
        <w:rPr>
          <w:rFonts w:hint="eastAsia" w:ascii="仿宋" w:hAnsi="仿宋" w:eastAsia="仿宋"/>
          <w:i w:val="0"/>
          <w:iCs w:val="0"/>
          <w:sz w:val="28"/>
          <w:szCs w:val="28"/>
          <w:u w:val="single"/>
        </w:rPr>
        <w:t>（中型企业、小型企业、微型企业）</w:t>
      </w:r>
      <w:r>
        <w:rPr>
          <w:rFonts w:hint="eastAsia" w:ascii="仿宋" w:hAnsi="仿宋" w:eastAsia="仿宋"/>
          <w:i w:val="0"/>
          <w:iCs w:val="0"/>
          <w:sz w:val="28"/>
          <w:szCs w:val="28"/>
        </w:rPr>
        <w:t>；</w:t>
      </w:r>
    </w:p>
    <w:p>
      <w:pPr>
        <w:snapToGrid w:val="0"/>
        <w:spacing w:line="300" w:lineRule="auto"/>
        <w:ind w:firstLine="560" w:firstLineChars="200"/>
        <w:rPr>
          <w:rFonts w:ascii="仿宋" w:hAnsi="仿宋" w:eastAsia="仿宋"/>
          <w:i w:val="0"/>
          <w:iCs w:val="0"/>
          <w:sz w:val="28"/>
          <w:szCs w:val="28"/>
        </w:rPr>
      </w:pPr>
      <w:r>
        <w:rPr>
          <w:rFonts w:hint="eastAsia" w:ascii="仿宋" w:hAnsi="仿宋" w:eastAsia="仿宋"/>
          <w:i w:val="0"/>
          <w:iCs w:val="0"/>
          <w:sz w:val="28"/>
          <w:szCs w:val="28"/>
        </w:rPr>
        <w:t xml:space="preserve">2. </w:t>
      </w:r>
      <w:r>
        <w:rPr>
          <w:rFonts w:hint="eastAsia" w:ascii="仿宋" w:hAnsi="仿宋" w:eastAsia="仿宋"/>
          <w:i w:val="0"/>
          <w:iCs w:val="0"/>
          <w:sz w:val="28"/>
          <w:szCs w:val="28"/>
          <w:u w:val="single"/>
        </w:rPr>
        <w:t>（标的名称）</w:t>
      </w:r>
      <w:r>
        <w:rPr>
          <w:rFonts w:hint="eastAsia" w:ascii="仿宋" w:hAnsi="仿宋" w:eastAsia="仿宋"/>
          <w:i w:val="0"/>
          <w:iCs w:val="0"/>
          <w:sz w:val="28"/>
          <w:szCs w:val="28"/>
        </w:rPr>
        <w:t>，属于</w:t>
      </w:r>
      <w:r>
        <w:rPr>
          <w:rFonts w:hint="eastAsia" w:ascii="仿宋" w:hAnsi="仿宋" w:eastAsia="仿宋"/>
          <w:i w:val="0"/>
          <w:iCs w:val="0"/>
          <w:sz w:val="28"/>
          <w:szCs w:val="28"/>
          <w:u w:val="single"/>
        </w:rPr>
        <w:t>（采购文件中明确的所属行业）</w:t>
      </w:r>
      <w:r>
        <w:rPr>
          <w:rFonts w:hint="eastAsia" w:ascii="仿宋" w:hAnsi="仿宋" w:eastAsia="仿宋"/>
          <w:i w:val="0"/>
          <w:iCs w:val="0"/>
          <w:sz w:val="28"/>
          <w:szCs w:val="28"/>
        </w:rPr>
        <w:t>；承建（承接）企业为</w:t>
      </w:r>
      <w:r>
        <w:rPr>
          <w:rFonts w:hint="eastAsia" w:ascii="仿宋" w:hAnsi="仿宋" w:eastAsia="仿宋"/>
          <w:i w:val="0"/>
          <w:iCs w:val="0"/>
          <w:sz w:val="28"/>
          <w:szCs w:val="28"/>
          <w:u w:val="single"/>
        </w:rPr>
        <w:t>（企业名称）</w:t>
      </w:r>
      <w:r>
        <w:rPr>
          <w:rFonts w:hint="eastAsia" w:ascii="仿宋" w:hAnsi="仿宋" w:eastAsia="仿宋"/>
          <w:i w:val="0"/>
          <w:iCs w:val="0"/>
          <w:sz w:val="28"/>
          <w:szCs w:val="28"/>
        </w:rPr>
        <w:t>，从业人员</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人，营业收入为</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万元，资产总额为</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万元，属于</w:t>
      </w:r>
      <w:r>
        <w:rPr>
          <w:rFonts w:hint="eastAsia" w:ascii="仿宋" w:hAnsi="仿宋" w:eastAsia="仿宋"/>
          <w:i w:val="0"/>
          <w:iCs w:val="0"/>
          <w:sz w:val="28"/>
          <w:szCs w:val="28"/>
          <w:u w:val="single"/>
        </w:rPr>
        <w:t>（中型企业、小型企业、微型企业）</w:t>
      </w:r>
      <w:r>
        <w:rPr>
          <w:rFonts w:hint="eastAsia" w:ascii="仿宋" w:hAnsi="仿宋" w:eastAsia="仿宋"/>
          <w:i w:val="0"/>
          <w:iCs w:val="0"/>
          <w:sz w:val="28"/>
          <w:szCs w:val="28"/>
        </w:rPr>
        <w:t>；</w:t>
      </w:r>
    </w:p>
    <w:p>
      <w:pPr>
        <w:snapToGrid w:val="0"/>
        <w:spacing w:line="300" w:lineRule="auto"/>
        <w:ind w:firstLine="560" w:firstLineChars="200"/>
        <w:rPr>
          <w:rFonts w:ascii="仿宋" w:hAnsi="仿宋" w:eastAsia="仿宋"/>
          <w:sz w:val="28"/>
          <w:szCs w:val="28"/>
        </w:rPr>
      </w:pPr>
      <w:r>
        <w:rPr>
          <w:rFonts w:ascii="仿宋" w:hAnsi="仿宋" w:eastAsia="仿宋"/>
          <w:sz w:val="28"/>
          <w:szCs w:val="28"/>
        </w:rPr>
        <w:t>……</w:t>
      </w:r>
    </w:p>
    <w:p>
      <w:pPr>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以上企业，不属于大企业的分支机构，不存在控股股东为大企业的情形，也不存在与大企业的负责人为同一人的情形。</w:t>
      </w:r>
    </w:p>
    <w:p>
      <w:pPr>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本企业对上述声明内容的真实性负责。如有虚假，将依法承担相应责任。</w:t>
      </w:r>
    </w:p>
    <w:p>
      <w:pPr>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 xml:space="preserve">                      企业名称（盖章）：</w:t>
      </w:r>
    </w:p>
    <w:p>
      <w:pPr>
        <w:snapToGrid w:val="0"/>
        <w:spacing w:line="300" w:lineRule="auto"/>
        <w:ind w:firstLine="560" w:firstLineChars="200"/>
        <w:rPr>
          <w:rFonts w:hint="eastAsia" w:ascii="仿宋" w:hAnsi="仿宋" w:eastAsia="仿宋"/>
          <w:sz w:val="28"/>
          <w:szCs w:val="28"/>
        </w:rPr>
      </w:pPr>
      <w:r>
        <w:rPr>
          <w:rFonts w:hint="eastAsia" w:ascii="仿宋" w:hAnsi="仿宋" w:eastAsia="仿宋"/>
          <w:sz w:val="28"/>
          <w:szCs w:val="28"/>
        </w:rPr>
        <w:t xml:space="preserve">                      日期：</w:t>
      </w:r>
    </w:p>
    <w:p>
      <w:pPr>
        <w:pStyle w:val="2"/>
        <w:rPr>
          <w:rFonts w:hint="eastAsia" w:ascii="仿宋" w:hAnsi="仿宋" w:eastAsia="仿宋"/>
          <w:sz w:val="28"/>
          <w:szCs w:val="28"/>
        </w:rPr>
      </w:pPr>
    </w:p>
    <w:p>
      <w:pPr>
        <w:pStyle w:val="2"/>
        <w:rPr>
          <w:rFonts w:hint="eastAsia" w:ascii="仿宋" w:hAnsi="仿宋" w:eastAsia="仿宋"/>
          <w:sz w:val="28"/>
          <w:szCs w:val="28"/>
        </w:rPr>
      </w:pPr>
    </w:p>
    <w:p>
      <w:pPr>
        <w:pStyle w:val="2"/>
        <w:rPr>
          <w:rFonts w:hint="eastAsia" w:ascii="仿宋" w:hAnsi="仿宋" w:eastAsia="仿宋"/>
          <w:sz w:val="28"/>
          <w:szCs w:val="28"/>
        </w:rPr>
      </w:pPr>
    </w:p>
    <w:p>
      <w:pPr>
        <w:pStyle w:val="2"/>
        <w:rPr>
          <w:rFonts w:hint="eastAsia" w:ascii="仿宋" w:hAnsi="仿宋" w:eastAsia="仿宋"/>
          <w:sz w:val="28"/>
          <w:szCs w:val="28"/>
        </w:rPr>
      </w:pPr>
    </w:p>
    <w:p>
      <w:pPr>
        <w:pStyle w:val="2"/>
        <w:ind w:left="0" w:leftChars="0" w:firstLine="0" w:firstLineChars="0"/>
        <w:rPr>
          <w:rFonts w:hint="eastAsia" w:ascii="仿宋" w:hAnsi="仿宋" w:eastAsia="仿宋"/>
          <w:sz w:val="28"/>
          <w:szCs w:val="28"/>
        </w:rPr>
      </w:pPr>
    </w:p>
    <w:p>
      <w:pPr>
        <w:pStyle w:val="2"/>
        <w:rPr>
          <w:rFonts w:hint="eastAsia" w:ascii="仿宋" w:hAnsi="仿宋" w:eastAsia="仿宋"/>
          <w:sz w:val="28"/>
          <w:szCs w:val="28"/>
        </w:rPr>
      </w:pPr>
    </w:p>
    <w:p>
      <w:pPr>
        <w:spacing w:before="145" w:beforeLines="50" w:after="145" w:afterLines="50" w:line="300" w:lineRule="auto"/>
        <w:rPr>
          <w:rFonts w:hint="eastAsia" w:ascii="仿宋" w:hAnsi="仿宋" w:eastAsia="仿宋" w:cs="仿宋"/>
          <w:bCs/>
          <w:sz w:val="24"/>
          <w:lang w:eastAsia="zh-CN"/>
        </w:rPr>
      </w:pPr>
      <w:r>
        <w:rPr>
          <w:rFonts w:hint="eastAsia" w:ascii="仿宋" w:hAnsi="仿宋" w:eastAsia="仿宋" w:cs="仿宋"/>
          <w:bCs/>
          <w:sz w:val="24"/>
          <w:lang w:eastAsia="zh-CN"/>
        </w:rPr>
        <w:t>注：符合中小企业划型标准的企业请提供本函，不符合的不提供本函。</w:t>
      </w:r>
    </w:p>
    <w:p>
      <w:pPr>
        <w:pStyle w:val="2"/>
        <w:ind w:left="0" w:leftChars="0" w:firstLine="0" w:firstLineChars="0"/>
        <w:rPr>
          <w:rFonts w:hint="eastAsia" w:ascii="仿宋" w:hAnsi="仿宋" w:eastAsia="仿宋" w:cs="仿宋"/>
          <w:lang w:val="en-US" w:eastAsia="zh-CN"/>
        </w:rPr>
      </w:pPr>
      <w:r>
        <w:rPr>
          <w:rFonts w:hint="eastAsia" w:ascii="仿宋" w:hAnsi="仿宋" w:eastAsia="仿宋" w:cs="仿宋"/>
          <w:bCs/>
          <w:sz w:val="24"/>
          <w:lang w:val="en-US" w:eastAsia="zh-CN"/>
        </w:rPr>
        <w:t xml:space="preserve">   </w:t>
      </w:r>
      <w:r>
        <w:rPr>
          <w:rFonts w:hint="eastAsia" w:ascii="仿宋" w:hAnsi="仿宋" w:eastAsia="仿宋" w:cs="仿宋"/>
          <w:b/>
          <w:bCs w:val="0"/>
          <w:sz w:val="24"/>
          <w:lang w:val="en-US" w:eastAsia="zh-CN"/>
        </w:rPr>
        <w:t xml:space="preserve"> 供应商须提供中小微企业库查询截图。</w:t>
      </w:r>
    </w:p>
    <w:p>
      <w:pPr>
        <w:pStyle w:val="2"/>
        <w:rPr>
          <w:rFonts w:hint="eastAsia" w:ascii="仿宋" w:hAnsi="仿宋" w:eastAsia="仿宋"/>
          <w:sz w:val="28"/>
          <w:szCs w:val="28"/>
        </w:rPr>
      </w:pPr>
    </w:p>
    <w:p>
      <w:pPr>
        <w:pStyle w:val="2"/>
        <w:rPr>
          <w:rFonts w:hint="eastAsia" w:ascii="仿宋" w:hAnsi="仿宋" w:eastAsia="仿宋"/>
          <w:sz w:val="28"/>
          <w:szCs w:val="28"/>
        </w:rPr>
      </w:pPr>
    </w:p>
    <w:p>
      <w:pPr>
        <w:pStyle w:val="2"/>
        <w:ind w:left="0" w:leftChars="0" w:firstLine="0" w:firstLineChars="0"/>
        <w:rPr>
          <w:rFonts w:hint="eastAsia" w:ascii="宋体" w:hAnsi="宋体" w:eastAsia="宋体" w:cs="宋体"/>
          <w:bCs/>
          <w:sz w:val="24"/>
        </w:rPr>
      </w:pPr>
      <w:r>
        <w:rPr>
          <w:rFonts w:hint="eastAsia" w:ascii="宋体" w:hAnsi="宋体" w:eastAsia="宋体" w:cs="宋体"/>
          <w:sz w:val="24"/>
          <w:u w:val="none"/>
          <w:vertAlign w:val="superscript"/>
          <w:lang w:val="en-US" w:eastAsia="zh-CN"/>
        </w:rPr>
        <w:t>1</w:t>
      </w:r>
      <w:r>
        <w:rPr>
          <w:rFonts w:hint="eastAsia" w:ascii="宋体" w:hAnsi="宋体" w:eastAsia="宋体" w:cs="宋体"/>
          <w:sz w:val="20"/>
          <w:szCs w:val="18"/>
          <w:lang w:eastAsia="zh-CN"/>
        </w:rPr>
        <w:t>从业人员、营业收入、资产总额填报上一年度数据，无上一年度数据的新成立企业可不填报。</w:t>
      </w:r>
    </w:p>
    <w:p>
      <w:pPr>
        <w:pStyle w:val="2"/>
        <w:ind w:left="0" w:leftChars="0" w:firstLine="0" w:firstLineChars="0"/>
        <w:rPr>
          <w:rFonts w:hint="eastAsia" w:ascii="宋体" w:hAnsi="宋体" w:eastAsia="宋体" w:cs="宋体"/>
          <w:bCs/>
          <w:sz w:val="24"/>
        </w:rPr>
      </w:pPr>
    </w:p>
    <w:p>
      <w:pPr>
        <w:pStyle w:val="2"/>
        <w:ind w:left="0" w:leftChars="0" w:firstLine="0" w:firstLineChars="0"/>
        <w:rPr>
          <w:rFonts w:hint="eastAsia" w:ascii="宋体" w:hAnsi="宋体" w:eastAsia="宋体" w:cs="宋体"/>
          <w:bCs/>
          <w:sz w:val="24"/>
        </w:rPr>
      </w:pPr>
    </w:p>
    <w:p>
      <w:pPr>
        <w:pStyle w:val="79"/>
        <w:rPr>
          <w:rFonts w:hint="eastAsia" w:ascii="宋体" w:hAnsi="宋体" w:eastAsia="宋体" w:cs="宋体"/>
          <w:bCs/>
          <w:sz w:val="24"/>
        </w:rPr>
      </w:pPr>
    </w:p>
    <w:p>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8"/>
          <w:szCs w:val="28"/>
        </w:rPr>
        <w:t>中小企业划型标准规定（工信部联企业[2011]300号）</w:t>
      </w:r>
    </w:p>
    <w:tbl>
      <w:tblPr>
        <w:tblStyle w:val="3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50"/>
        <w:gridCol w:w="762"/>
        <w:gridCol w:w="863"/>
        <w:gridCol w:w="814"/>
        <w:gridCol w:w="746"/>
        <w:gridCol w:w="911"/>
        <w:gridCol w:w="716"/>
        <w:gridCol w:w="764"/>
        <w:gridCol w:w="764"/>
        <w:gridCol w:w="681"/>
        <w:gridCol w:w="777"/>
        <w:gridCol w:w="696"/>
        <w:gridCol w:w="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650" w:type="dxa"/>
            <w:vMerge w:val="restart"/>
            <w:tcBorders>
              <w:top w:val="single" w:color="000000" w:sz="12"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行业</w:t>
            </w:r>
          </w:p>
        </w:tc>
        <w:tc>
          <w:tcPr>
            <w:tcW w:w="2439"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中小微型企业（</w:t>
            </w:r>
            <w:r>
              <w:rPr>
                <w:rFonts w:hint="eastAsia" w:ascii="仿宋" w:hAnsi="仿宋" w:eastAsia="仿宋" w:cs="仿宋"/>
                <w:b/>
                <w:i w:val="0"/>
                <w:color w:val="auto"/>
                <w:kern w:val="0"/>
                <w:sz w:val="16"/>
                <w:szCs w:val="16"/>
                <w:u w:val="none"/>
                <w:lang w:val="en-US" w:eastAsia="zh-CN" w:bidi="ar"/>
              </w:rPr>
              <w:t>或</w:t>
            </w:r>
            <w:r>
              <w:rPr>
                <w:rStyle w:val="92"/>
                <w:color w:val="auto"/>
                <w:lang w:val="en-US" w:eastAsia="zh-CN" w:bidi="ar"/>
              </w:rPr>
              <w:t>）</w:t>
            </w:r>
          </w:p>
        </w:tc>
        <w:tc>
          <w:tcPr>
            <w:tcW w:w="2373"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中型企业（</w:t>
            </w:r>
            <w:r>
              <w:rPr>
                <w:rFonts w:hint="eastAsia" w:ascii="仿宋" w:hAnsi="仿宋" w:eastAsia="仿宋" w:cs="仿宋"/>
                <w:b/>
                <w:i w:val="0"/>
                <w:color w:val="auto"/>
                <w:kern w:val="0"/>
                <w:sz w:val="16"/>
                <w:szCs w:val="16"/>
                <w:u w:val="none"/>
                <w:lang w:val="en-US" w:eastAsia="zh-CN" w:bidi="ar"/>
              </w:rPr>
              <w:t>且</w:t>
            </w:r>
            <w:r>
              <w:rPr>
                <w:rStyle w:val="92"/>
                <w:color w:val="auto"/>
                <w:lang w:val="en-US" w:eastAsia="zh-CN" w:bidi="ar"/>
              </w:rPr>
              <w:t>）</w:t>
            </w:r>
          </w:p>
        </w:tc>
        <w:tc>
          <w:tcPr>
            <w:tcW w:w="2209"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小型企业（</w:t>
            </w:r>
            <w:r>
              <w:rPr>
                <w:rFonts w:hint="eastAsia" w:ascii="仿宋" w:hAnsi="仿宋" w:eastAsia="仿宋" w:cs="仿宋"/>
                <w:b/>
                <w:i w:val="0"/>
                <w:color w:val="auto"/>
                <w:kern w:val="0"/>
                <w:sz w:val="16"/>
                <w:szCs w:val="16"/>
                <w:u w:val="none"/>
                <w:lang w:val="en-US" w:eastAsia="zh-CN" w:bidi="ar"/>
              </w:rPr>
              <w:t>且</w:t>
            </w:r>
            <w:r>
              <w:rPr>
                <w:rStyle w:val="92"/>
                <w:color w:val="auto"/>
                <w:lang w:val="en-US" w:eastAsia="zh-CN" w:bidi="ar"/>
              </w:rPr>
              <w:t>）</w:t>
            </w:r>
          </w:p>
        </w:tc>
        <w:tc>
          <w:tcPr>
            <w:tcW w:w="2250" w:type="dxa"/>
            <w:gridSpan w:val="3"/>
            <w:tcBorders>
              <w:top w:val="single" w:color="000000" w:sz="12" w:space="0"/>
              <w:left w:val="single" w:color="000000" w:sz="4" w:space="0"/>
              <w:bottom w:val="single" w:color="000000" w:sz="4" w:space="0"/>
              <w:right w:val="single" w:color="000000" w:sz="12" w:space="0"/>
            </w:tcBorders>
            <w:noWrap w:val="0"/>
            <w:vAlign w:val="center"/>
          </w:tcPr>
          <w:p>
            <w:pPr>
              <w:keepNext w:val="0"/>
              <w:keepLines w:val="0"/>
              <w:widowControl/>
              <w:suppressLineNumbers w:val="0"/>
              <w:ind w:right="-99" w:rightChars="-47"/>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微型企业（</w:t>
            </w:r>
            <w:r>
              <w:rPr>
                <w:rFonts w:hint="eastAsia" w:ascii="仿宋" w:hAnsi="仿宋" w:eastAsia="仿宋" w:cs="仿宋"/>
                <w:b/>
                <w:i w:val="0"/>
                <w:color w:val="auto"/>
                <w:kern w:val="0"/>
                <w:sz w:val="16"/>
                <w:szCs w:val="16"/>
                <w:u w:val="none"/>
                <w:lang w:val="en-US" w:eastAsia="zh-CN" w:bidi="ar"/>
              </w:rPr>
              <w:t>或</w:t>
            </w:r>
            <w:r>
              <w:rPr>
                <w:rStyle w:val="92"/>
                <w:color w:va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650" w:type="dxa"/>
            <w:vMerge w:val="continue"/>
            <w:tcBorders>
              <w:top w:val="single" w:color="000000" w:sz="12" w:space="0"/>
              <w:left w:val="single" w:color="000000" w:sz="12"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从业人员</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营业收入</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资产总额</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从业人员</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营业收入</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资产总额</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从业人员</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营业收入</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资产总额</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从业人员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营业收入</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资产总额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农、林、牧、渔业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20000万元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工业（包括采矿业，制造业，电力、热力、燃气及水生产和供应业）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40000万元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建筑业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80000万元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80000万元以下</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6000万元及以上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5000万元及以上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300万元及以上</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批发业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40000万元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零售业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20000万元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交通运输业（不含铁路运输业）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30000万元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仓储业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邮政业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住宿业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餐饮业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信息传输业（包括电信、互联网和相关服务）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软件和信息技术服务业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房地产开发经营</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200000万元以下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5000万元及以上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物业管理</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租赁和商务服务业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120000万元以下</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8000万元及以上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4" w:hRule="atLeast"/>
          <w:jc w:val="center"/>
        </w:trPr>
        <w:tc>
          <w:tcPr>
            <w:tcW w:w="1650" w:type="dxa"/>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其他未列明行业（包括科学研究和技术服务业，水利、环境和公共设施管理业，居民服务、修理和其他服务业，社会工作，文化、体育和娱乐业等）</w:t>
            </w:r>
          </w:p>
        </w:tc>
        <w:tc>
          <w:tcPr>
            <w:tcW w:w="762"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63"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814"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11"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16"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64"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681"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696"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12" w:space="0"/>
              <w:right w:val="single" w:color="000000" w:sz="12" w:space="0"/>
            </w:tcBorders>
            <w:noWrap w:val="0"/>
            <w:vAlign w:val="center"/>
          </w:tcPr>
          <w:p>
            <w:pPr>
              <w:rPr>
                <w:rFonts w:hint="eastAsia" w:ascii="仿宋" w:hAnsi="仿宋" w:eastAsia="仿宋" w:cs="仿宋"/>
                <w:i w:val="0"/>
                <w:color w:val="000000"/>
                <w:sz w:val="16"/>
                <w:szCs w:val="16"/>
                <w:u w:val="none"/>
              </w:rPr>
            </w:pPr>
          </w:p>
        </w:tc>
      </w:tr>
    </w:tbl>
    <w:p>
      <w:pPr>
        <w:rPr>
          <w:rFonts w:hint="eastAsia"/>
          <w:lang w:val="en-US" w:eastAsia="zh-CN"/>
        </w:rPr>
      </w:pPr>
      <w:bookmarkStart w:id="161" w:name="_Toc26894"/>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ind w:left="0" w:leftChars="0" w:firstLine="0" w:firstLineChars="0"/>
        <w:rPr>
          <w:rFonts w:hint="eastAsia"/>
          <w:lang w:val="en-US" w:eastAsia="zh-CN"/>
        </w:rPr>
      </w:pPr>
    </w:p>
    <w:p>
      <w:pPr>
        <w:pStyle w:val="88"/>
        <w:outlineLvl w:val="2"/>
        <w:rPr>
          <w:rFonts w:hint="eastAsia" w:ascii="宋体" w:hAnsi="宋体" w:eastAsia="宋体" w:cs="宋体"/>
          <w:b w:val="0"/>
          <w:bCs/>
          <w:lang w:val="en-US" w:eastAsia="zh-CN"/>
        </w:rPr>
      </w:pPr>
      <w:r>
        <w:rPr>
          <w:rFonts w:hint="eastAsia" w:ascii="宋体" w:hAnsi="宋体" w:eastAsia="宋体" w:cs="宋体"/>
          <w:b w:val="0"/>
          <w:bCs/>
          <w:lang w:val="en-US" w:eastAsia="zh-CN"/>
        </w:rPr>
        <w:t>附件八：残疾人福利性单位声明函</w:t>
      </w:r>
      <w:bookmarkEnd w:id="161"/>
    </w:p>
    <w:p>
      <w:pPr>
        <w:spacing w:before="145" w:beforeLines="50" w:after="145" w:afterLines="50" w:line="300" w:lineRule="auto"/>
        <w:ind w:firstLine="624" w:firstLineChars="200"/>
        <w:rPr>
          <w:rFonts w:hint="eastAsia" w:ascii="宋体" w:hAnsi="宋体" w:eastAsia="宋体" w:cs="宋体"/>
          <w:spacing w:val="6"/>
          <w:sz w:val="30"/>
          <w:szCs w:val="30"/>
        </w:rPr>
      </w:pP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eastAsia="宋体" w:cs="宋体"/>
          <w:sz w:val="24"/>
          <w:u w:val="single"/>
        </w:rPr>
        <w:t xml:space="preserve">       </w:t>
      </w:r>
      <w:r>
        <w:rPr>
          <w:rFonts w:hint="eastAsia" w:ascii="宋体" w:hAnsi="宋体" w:eastAsia="宋体" w:cs="宋体"/>
          <w:sz w:val="24"/>
        </w:rPr>
        <w:t>项目采购活动提供本单位制造的服务或产品（由本单位承担工程/提供服务），或者提供其他残疾人福利性单位制造的服务或产品（不包括使用非残疾人福利性单位注册商标的服务或产品）。</w:t>
      </w: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本单位在本次政府采购活动中提供的残疾人福利单位产品报价合计为人民币（大写）</w:t>
      </w:r>
      <w:r>
        <w:rPr>
          <w:rFonts w:hint="eastAsia" w:ascii="宋体" w:hAnsi="宋体" w:eastAsia="宋体" w:cs="宋体"/>
          <w:sz w:val="24"/>
          <w:u w:val="single"/>
        </w:rPr>
        <w:t xml:space="preserve">      </w:t>
      </w:r>
      <w:r>
        <w:rPr>
          <w:rFonts w:hint="eastAsia" w:ascii="宋体" w:hAnsi="宋体" w:eastAsia="宋体" w:cs="宋体"/>
          <w:sz w:val="24"/>
        </w:rPr>
        <w:t>圆整（￥：     ）。</w:t>
      </w: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pPr>
        <w:spacing w:before="145" w:beforeLines="50" w:after="145" w:afterLines="50" w:line="300" w:lineRule="auto"/>
        <w:ind w:firstLine="480" w:firstLineChars="200"/>
        <w:rPr>
          <w:rFonts w:hint="eastAsia" w:ascii="宋体" w:hAnsi="宋体" w:eastAsia="宋体" w:cs="宋体"/>
          <w:sz w:val="24"/>
        </w:rPr>
      </w:pP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（备注：1、</w:t>
      </w:r>
      <w:r>
        <w:rPr>
          <w:rFonts w:hint="eastAsia" w:ascii="宋体" w:hAnsi="宋体" w:eastAsia="宋体" w:cs="宋体"/>
          <w:sz w:val="24"/>
          <w:lang w:eastAsia="zh-CN"/>
        </w:rPr>
        <w:t>投标人</w:t>
      </w:r>
      <w:r>
        <w:rPr>
          <w:rFonts w:hint="eastAsia" w:ascii="宋体" w:hAnsi="宋体" w:eastAsia="宋体" w:cs="宋体"/>
          <w:sz w:val="24"/>
        </w:rPr>
        <w:t>如不提供此声明函，价格将不做相应扣除。2、中标</w:t>
      </w:r>
      <w:r>
        <w:rPr>
          <w:rFonts w:hint="eastAsia" w:ascii="宋体" w:hAnsi="宋体" w:eastAsia="宋体" w:cs="宋体"/>
          <w:sz w:val="24"/>
          <w:lang w:eastAsia="zh-CN"/>
        </w:rPr>
        <w:t>投标人</w:t>
      </w:r>
      <w:r>
        <w:rPr>
          <w:rFonts w:hint="eastAsia" w:ascii="宋体" w:hAnsi="宋体" w:eastAsia="宋体" w:cs="宋体"/>
          <w:sz w:val="24"/>
        </w:rPr>
        <w:t>为残疾人福利单位的，此声明函将随中标结果同时公告，接受社会监督）</w:t>
      </w:r>
    </w:p>
    <w:p>
      <w:pPr>
        <w:spacing w:before="145" w:beforeLines="50" w:after="145" w:afterLines="50" w:line="300" w:lineRule="auto"/>
        <w:ind w:firstLine="624" w:firstLineChars="200"/>
        <w:rPr>
          <w:rFonts w:hint="eastAsia" w:ascii="宋体" w:hAnsi="宋体" w:eastAsia="宋体" w:cs="宋体"/>
          <w:spacing w:val="6"/>
          <w:sz w:val="30"/>
          <w:szCs w:val="30"/>
        </w:rPr>
      </w:pPr>
    </w:p>
    <w:p>
      <w:pPr>
        <w:spacing w:before="145" w:beforeLines="50" w:after="145" w:afterLines="50" w:line="300" w:lineRule="auto"/>
        <w:ind w:firstLine="468" w:firstLineChars="150"/>
        <w:jc w:val="right"/>
        <w:rPr>
          <w:rFonts w:hint="eastAsia" w:ascii="宋体" w:hAnsi="宋体" w:eastAsia="宋体" w:cs="宋体"/>
          <w:sz w:val="24"/>
        </w:rPr>
      </w:pPr>
      <w:r>
        <w:rPr>
          <w:rFonts w:hint="eastAsia" w:ascii="宋体" w:hAnsi="宋体" w:eastAsia="宋体" w:cs="宋体"/>
          <w:spacing w:val="6"/>
          <w:sz w:val="30"/>
          <w:szCs w:val="30"/>
        </w:rPr>
        <w:t xml:space="preserve">             </w:t>
      </w:r>
      <w:r>
        <w:rPr>
          <w:rFonts w:hint="eastAsia" w:ascii="宋体" w:hAnsi="宋体" w:eastAsia="宋体" w:cs="宋体"/>
          <w:sz w:val="24"/>
        </w:rPr>
        <w:t xml:space="preserve">                  企业名称（</w:t>
      </w:r>
      <w:r>
        <w:rPr>
          <w:rFonts w:hint="eastAsia" w:ascii="宋体" w:hAnsi="宋体" w:eastAsia="宋体" w:cs="宋体"/>
          <w:sz w:val="24"/>
          <w:lang w:eastAsia="zh-CN"/>
        </w:rPr>
        <w:t>公</w:t>
      </w:r>
      <w:r>
        <w:rPr>
          <w:rFonts w:hint="eastAsia" w:ascii="宋体" w:hAnsi="宋体" w:eastAsia="宋体" w:cs="宋体"/>
          <w:sz w:val="24"/>
        </w:rPr>
        <w:t>章）：</w:t>
      </w:r>
    </w:p>
    <w:p>
      <w:pPr>
        <w:spacing w:before="145" w:beforeLines="50" w:after="145" w:afterLines="50" w:line="300" w:lineRule="auto"/>
        <w:ind w:right="480" w:firstLine="6960" w:firstLineChars="2900"/>
        <w:rPr>
          <w:rFonts w:hint="eastAsia" w:ascii="宋体" w:hAnsi="宋体" w:eastAsia="宋体" w:cs="宋体"/>
          <w:sz w:val="24"/>
        </w:rPr>
      </w:pPr>
      <w:r>
        <w:rPr>
          <w:rFonts w:hint="eastAsia" w:ascii="宋体" w:hAnsi="宋体" w:eastAsia="宋体" w:cs="宋体"/>
          <w:sz w:val="24"/>
        </w:rPr>
        <w:t>日  期：</w:t>
      </w:r>
    </w:p>
    <w:p>
      <w:pPr>
        <w:tabs>
          <w:tab w:val="left" w:pos="4860"/>
        </w:tabs>
        <w:spacing w:before="145" w:beforeLines="50" w:after="145" w:afterLines="50" w:line="300" w:lineRule="auto"/>
        <w:ind w:right="1560"/>
        <w:jc w:val="both"/>
        <w:rPr>
          <w:rFonts w:hint="eastAsia" w:ascii="宋体" w:hAnsi="宋体" w:eastAsia="宋体" w:cs="宋体"/>
          <w:color w:val="auto"/>
          <w:sz w:val="24"/>
        </w:rPr>
      </w:pPr>
    </w:p>
    <w:p>
      <w:pPr>
        <w:spacing w:before="145" w:beforeLines="50" w:after="145" w:afterLines="50" w:line="300" w:lineRule="auto"/>
        <w:rPr>
          <w:rFonts w:hint="eastAsia" w:ascii="宋体" w:hAnsi="宋体" w:eastAsia="宋体" w:cs="宋体"/>
          <w:bCs/>
          <w:sz w:val="24"/>
          <w:lang w:eastAsia="zh-CN"/>
        </w:rPr>
      </w:pPr>
      <w:r>
        <w:rPr>
          <w:rFonts w:hint="eastAsia" w:ascii="宋体" w:hAnsi="宋体" w:eastAsia="宋体" w:cs="宋体"/>
          <w:bCs/>
          <w:sz w:val="24"/>
          <w:lang w:eastAsia="zh-CN"/>
        </w:rPr>
        <w:t>注：符合条件的残疾人福利性单位请提供本函，不符合的不提供本函。</w:t>
      </w:r>
    </w:p>
    <w:p>
      <w:pPr>
        <w:pStyle w:val="5"/>
        <w:rPr>
          <w:rFonts w:hint="eastAsia" w:ascii="宋体" w:hAnsi="宋体" w:eastAsia="宋体" w:cs="宋体"/>
          <w:bCs/>
          <w:sz w:val="24"/>
          <w:lang w:eastAsia="zh-CN"/>
        </w:rPr>
      </w:pPr>
    </w:p>
    <w:p>
      <w:pPr>
        <w:rPr>
          <w:rFonts w:hint="eastAsia" w:ascii="宋体" w:hAnsi="宋体" w:eastAsia="宋体" w:cs="宋体"/>
          <w:bCs/>
          <w:sz w:val="24"/>
          <w:lang w:eastAsia="zh-CN"/>
        </w:rPr>
      </w:pPr>
    </w:p>
    <w:p>
      <w:pPr>
        <w:pStyle w:val="5"/>
        <w:rPr>
          <w:rFonts w:hint="eastAsia" w:ascii="宋体" w:hAnsi="宋体" w:eastAsia="宋体" w:cs="宋体"/>
          <w:bCs/>
          <w:sz w:val="24"/>
          <w:lang w:eastAsia="zh-CN"/>
        </w:rPr>
      </w:pPr>
    </w:p>
    <w:p>
      <w:pPr>
        <w:rPr>
          <w:rFonts w:hint="eastAsia" w:ascii="宋体" w:hAnsi="宋体" w:eastAsia="宋体" w:cs="宋体"/>
          <w:bCs/>
          <w:sz w:val="24"/>
          <w:lang w:eastAsia="zh-CN"/>
        </w:rPr>
      </w:pPr>
    </w:p>
    <w:p>
      <w:pPr>
        <w:pStyle w:val="5"/>
        <w:rPr>
          <w:rFonts w:hint="eastAsia"/>
          <w:lang w:eastAsia="zh-CN"/>
        </w:rPr>
      </w:pPr>
    </w:p>
    <w:p>
      <w:pPr>
        <w:pStyle w:val="5"/>
        <w:rPr>
          <w:rFonts w:hint="eastAsia" w:ascii="宋体" w:hAnsi="宋体" w:eastAsia="宋体" w:cs="宋体"/>
          <w:bCs/>
          <w:sz w:val="24"/>
          <w:lang w:eastAsia="zh-CN"/>
        </w:rPr>
      </w:pPr>
    </w:p>
    <w:p>
      <w:pPr>
        <w:rPr>
          <w:rFonts w:hint="eastAsia" w:ascii="宋体" w:hAnsi="宋体" w:eastAsia="宋体" w:cs="宋体"/>
          <w:bCs/>
          <w:sz w:val="24"/>
          <w:lang w:eastAsia="zh-CN"/>
        </w:rPr>
      </w:pPr>
    </w:p>
    <w:p>
      <w:pPr>
        <w:spacing w:line="400" w:lineRule="exact"/>
        <w:ind w:firstLine="441" w:firstLineChars="147"/>
        <w:jc w:val="both"/>
        <w:rPr>
          <w:rFonts w:hint="eastAsia" w:ascii="宋体" w:hAnsi="宋体" w:cs="宋体"/>
          <w:b w:val="0"/>
          <w:bCs w:val="0"/>
          <w:color w:val="auto"/>
          <w:sz w:val="30"/>
          <w:szCs w:val="30"/>
          <w:highlight w:val="none"/>
          <w:lang w:val="en-US" w:eastAsia="zh-CN"/>
        </w:rPr>
      </w:pPr>
    </w:p>
    <w:p>
      <w:pPr>
        <w:spacing w:line="400" w:lineRule="exact"/>
        <w:ind w:firstLine="441" w:firstLineChars="147"/>
        <w:jc w:val="both"/>
        <w:rPr>
          <w:rFonts w:hint="eastAsia" w:ascii="宋体" w:hAnsi="宋体" w:cs="宋体"/>
          <w:b w:val="0"/>
          <w:bCs w:val="0"/>
          <w:color w:val="auto"/>
          <w:sz w:val="30"/>
          <w:szCs w:val="30"/>
          <w:highlight w:val="none"/>
          <w:lang w:val="en-US" w:eastAsia="zh-CN"/>
        </w:rPr>
      </w:pPr>
    </w:p>
    <w:p>
      <w:pPr>
        <w:spacing w:line="400" w:lineRule="exact"/>
        <w:ind w:firstLine="441" w:firstLineChars="147"/>
        <w:jc w:val="both"/>
        <w:rPr>
          <w:rFonts w:hint="eastAsia" w:ascii="宋体" w:hAnsi="宋体" w:cs="宋体"/>
          <w:b/>
          <w:bCs/>
          <w:color w:val="auto"/>
          <w:sz w:val="30"/>
          <w:szCs w:val="30"/>
          <w:highlight w:val="none"/>
          <w:lang w:val="en-US" w:eastAsia="zh-CN"/>
        </w:rPr>
      </w:pPr>
      <w:r>
        <w:rPr>
          <w:rFonts w:hint="eastAsia" w:ascii="宋体" w:hAnsi="宋体" w:cs="宋体"/>
          <w:b w:val="0"/>
          <w:bCs w:val="0"/>
          <w:color w:val="auto"/>
          <w:sz w:val="30"/>
          <w:szCs w:val="30"/>
          <w:highlight w:val="none"/>
          <w:lang w:val="en-US" w:eastAsia="zh-CN"/>
        </w:rPr>
        <w:t>附件九：</w:t>
      </w:r>
      <w:r>
        <w:rPr>
          <w:rFonts w:hint="eastAsia" w:ascii="宋体" w:hAnsi="宋体" w:cs="宋体"/>
          <w:b/>
          <w:bCs/>
          <w:color w:val="auto"/>
          <w:sz w:val="30"/>
          <w:szCs w:val="30"/>
          <w:highlight w:val="none"/>
          <w:lang w:val="en-US" w:eastAsia="zh-CN"/>
        </w:rPr>
        <w:t xml:space="preserve">  </w:t>
      </w:r>
    </w:p>
    <w:p>
      <w:pPr>
        <w:spacing w:line="400" w:lineRule="exact"/>
        <w:ind w:firstLine="443" w:firstLineChars="147"/>
        <w:jc w:val="center"/>
        <w:rPr>
          <w:rFonts w:hint="eastAsia" w:ascii="宋体" w:hAnsi="宋体" w:cs="宋体"/>
          <w:b/>
          <w:bCs/>
          <w:color w:val="auto"/>
          <w:sz w:val="30"/>
          <w:szCs w:val="30"/>
          <w:highlight w:val="none"/>
        </w:rPr>
      </w:pPr>
    </w:p>
    <w:p>
      <w:pPr>
        <w:spacing w:line="400" w:lineRule="exact"/>
        <w:ind w:firstLine="443" w:firstLineChars="147"/>
        <w:jc w:val="center"/>
        <w:rPr>
          <w:rFonts w:hint="eastAsia" w:ascii="宋体" w:hAnsi="宋体" w:cs="宋体"/>
          <w:color w:val="auto"/>
          <w:sz w:val="30"/>
          <w:szCs w:val="30"/>
          <w:highlight w:val="none"/>
        </w:rPr>
      </w:pPr>
      <w:r>
        <w:rPr>
          <w:rFonts w:hint="eastAsia" w:ascii="宋体" w:hAnsi="宋体" w:cs="宋体"/>
          <w:b/>
          <w:bCs/>
          <w:color w:val="auto"/>
          <w:sz w:val="30"/>
          <w:szCs w:val="30"/>
          <w:highlight w:val="none"/>
        </w:rPr>
        <w:t>工程建设项目廉政责任书</w:t>
      </w:r>
    </w:p>
    <w:p>
      <w:pPr>
        <w:spacing w:line="400" w:lineRule="exact"/>
        <w:rPr>
          <w:rFonts w:hint="eastAsia" w:ascii="宋体" w:hAnsi="宋体" w:cs="宋体"/>
          <w:color w:val="auto"/>
          <w:sz w:val="28"/>
          <w:szCs w:val="28"/>
          <w:highlight w:val="none"/>
        </w:rPr>
      </w:pP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工程项目名称：</w:t>
      </w:r>
      <w:r>
        <w:rPr>
          <w:rFonts w:hint="eastAsia" w:ascii="宋体" w:hAnsi="宋体" w:cs="宋体"/>
          <w:color w:val="auto"/>
          <w:sz w:val="24"/>
          <w:highlight w:val="none"/>
          <w:u w:val="single"/>
        </w:rPr>
        <w:t xml:space="preserve">                                                   </w:t>
      </w:r>
    </w:p>
    <w:p>
      <w:pPr>
        <w:spacing w:line="380" w:lineRule="exact"/>
        <w:ind w:firstLine="480" w:firstLineChars="200"/>
        <w:rPr>
          <w:rFonts w:hint="eastAsia" w:ascii="宋体" w:hAnsi="宋体" w:cs="宋体"/>
          <w:color w:val="auto"/>
          <w:spacing w:val="-10"/>
          <w:sz w:val="24"/>
          <w:highlight w:val="none"/>
        </w:rPr>
      </w:pPr>
      <w:r>
        <w:rPr>
          <w:rFonts w:hint="eastAsia" w:ascii="宋体" w:hAnsi="宋体" w:cs="宋体"/>
          <w:color w:val="auto"/>
          <w:sz w:val="24"/>
          <w:highlight w:val="none"/>
        </w:rPr>
        <w:t>工程项目地址：</w:t>
      </w:r>
      <w:r>
        <w:rPr>
          <w:rFonts w:hint="eastAsia" w:ascii="宋体" w:hAnsi="宋体" w:cs="宋体"/>
          <w:color w:val="auto"/>
          <w:sz w:val="24"/>
          <w:highlight w:val="none"/>
          <w:u w:val="single"/>
        </w:rPr>
        <w:t xml:space="preserve">                                                   </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建设单位（甲方）：</w:t>
      </w:r>
      <w:r>
        <w:rPr>
          <w:rFonts w:hint="eastAsia" w:ascii="宋体" w:hAnsi="宋体" w:cs="宋体"/>
          <w:color w:val="auto"/>
          <w:sz w:val="24"/>
          <w:highlight w:val="none"/>
          <w:u w:val="single"/>
        </w:rPr>
        <w:t xml:space="preserve">                                                </w:t>
      </w:r>
    </w:p>
    <w:p>
      <w:pPr>
        <w:spacing w:line="38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施工单位（乙方）：</w:t>
      </w:r>
      <w:r>
        <w:rPr>
          <w:rFonts w:hint="eastAsia" w:ascii="宋体" w:hAnsi="宋体" w:cs="宋体"/>
          <w:color w:val="auto"/>
          <w:sz w:val="24"/>
          <w:highlight w:val="none"/>
          <w:u w:val="single"/>
        </w:rPr>
        <w:t xml:space="preserve">                                               </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为加强工程领域廉政建设，预防腐败，防止发生各种谋取不正当利益的违法违纪行为，保护国家、集体和当事人的合法权益，保证工程建设项目高效优质和建设资金的安全、有效使用，根据国家有关工程建设的法律法规和廉政建设责任制规定，工程的项目法人(以下称甲方）与施工单位(以下称乙方)，特签定本责任书。</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第一条  甲乙双方的权利和义务</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(一)严格遵守党和国家、自治区、地区有关法律法规的规定。</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(二)严格执行建设工程的合同文件，自觉按合同办事。</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(三)双方的业务活动坚持公开、公正、诚信、透明的原则(除法律认定的商业秘密和合同文件另有规定之外)，不得损害国家和单位利益，违反工程建设管理规章制度。</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(四)建立健全廉政制度，实行责任制，开展廉政告知教育活动，公布举报电话，监督并认真查处违法违纪行为。</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(五)发现对方在业务活动中有违反廉政规定的行为，有及时提醒对方纠正的权利和义务。</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(六)发现对方严重违反本责任书义务条款的行为，有向上级有关部门举报、建议给予处理并要求告知处理结果的权利。 </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第二条  甲方的义务</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(一)甲方及其工作人员不得索要或接受乙方及其工作人员的钱物(现金、有价证券、信用卡、礼金、奖金、补贴、物品等)，不得在乙方报销任何应由甲方或个人支付的费用。</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(二)甲方及其工作人员不得接受乙方安排的可能影响公正工作的住宿、宴请和娱乐活动；不得接受乙方提供合同规定外的通讯工具、交通工具和高档办公用品等。</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(三)甲方及其工作人员不得要求或者接受乙方为其住房装修、婚丧嫁娶活动、配偶子女的工作安排以及出国、出境、旅游等提供方便。</w:t>
      </w:r>
    </w:p>
    <w:p>
      <w:pPr>
        <w:spacing w:line="380" w:lineRule="exac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（四)甲方工作人员及其配偶、子女不得从事与甲方工程有关的材料设备供应、工程分包、劳务等经济活动。</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(五)甲方工作人员不得违反规定向乙方推荐分包单位、不得要求乙方购买合同规定外的材料和设备。</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第三条  乙方的义务</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(一)乙方不得以任何理由向甲方及其工作人员和监理单位及其工作人员行贿或馈赠钱物(现金、有价证券、信用卡、礼金、奖金、补贴、物品等)。</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(二)乙方不得以任何名义为甲方及其工作人员和监理单位及其工作人员报销应由甲方单位、监理单位或个人支付的任何费用。</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(三)乙方不得以任何理由安排甲方及其工作人员和监理单位及其工作人员参加宴请及娱乐活动。</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(四)乙方不得为甲方及其工作人员和监理单位及其工作人员购置或提供合同规定外的通讯工具、交通工具和高档办公用品等。</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(五)乙方对甲方及其工作人员和监理单位及其工作人员提出的合同规定外的要求，有权予以拒绝。</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第四条  违约责任</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(一)甲方及其工作人员违反本合同规定，按管理权限，依据有关规定给予党纪、政纪或组织处理；给乙方单位造成经济损失的，应予以赔偿；涉嫌犯罪的，移交司法机关追究刑事责任。</w:t>
      </w:r>
    </w:p>
    <w:p>
      <w:pPr>
        <w:spacing w:line="380" w:lineRule="exac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二)乙方及其工作人员违反本责任规定，按管理权限，依据有关规定给予党纪、政纪或组织处理；情节严重的，一定期限内不得承揽工程的处罚，并记入“黑名单”，在新闻媒体爆光。涉嫌犯罪的，移交司法机关追究刑事责任。</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第五条  本责任书由双方或双方上级单位（主管部门）的纪检监察机关负责监督执行。</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第六条  本责任书有效期为甲乙双方签署之日起至该工程项目竣工验收后止。</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第七条  本责任书与工程施工合同具有同等的法律效力，经双方代表签署立即生效。本责任书对双方违反廉政规定行为的处理，不免除该项目施工合同中双方约定的责任和义务。</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第八条  本责任书一式四份，甲、乙双方各执一份，双方监督单位各一份。</w:t>
      </w:r>
    </w:p>
    <w:p>
      <w:pPr>
        <w:spacing w:line="380" w:lineRule="exact"/>
        <w:ind w:left="479" w:leftChars="228"/>
        <w:rPr>
          <w:rFonts w:hint="eastAsia" w:ascii="宋体" w:hAnsi="宋体" w:cs="宋体"/>
          <w:color w:val="auto"/>
          <w:sz w:val="24"/>
          <w:highlight w:val="none"/>
        </w:rPr>
      </w:pPr>
    </w:p>
    <w:p>
      <w:pPr>
        <w:spacing w:line="380" w:lineRule="exact"/>
        <w:ind w:left="479" w:leftChars="228"/>
        <w:rPr>
          <w:rFonts w:hint="eastAsia" w:ascii="宋体" w:hAnsi="宋体" w:cs="宋体"/>
          <w:color w:val="auto"/>
          <w:sz w:val="24"/>
          <w:highlight w:val="none"/>
        </w:rPr>
      </w:pPr>
    </w:p>
    <w:p>
      <w:pPr>
        <w:spacing w:line="380" w:lineRule="exact"/>
        <w:ind w:left="479" w:leftChars="228"/>
        <w:rPr>
          <w:rFonts w:hint="eastAsia" w:ascii="宋体" w:hAnsi="宋体" w:cs="宋体"/>
          <w:color w:val="auto"/>
          <w:sz w:val="24"/>
          <w:highlight w:val="none"/>
        </w:rPr>
      </w:pPr>
      <w:r>
        <w:rPr>
          <w:rFonts w:hint="eastAsia" w:ascii="宋体" w:hAnsi="宋体" w:cs="宋体"/>
          <w:color w:val="auto"/>
          <w:sz w:val="24"/>
          <w:highlight w:val="none"/>
        </w:rPr>
        <w:t>甲方单位（盖章）：                     乙方单位（盖章）：</w:t>
      </w:r>
    </w:p>
    <w:p>
      <w:pPr>
        <w:spacing w:line="380" w:lineRule="exact"/>
        <w:ind w:left="479" w:leftChars="228"/>
        <w:rPr>
          <w:rFonts w:hint="eastAsia" w:ascii="宋体" w:hAnsi="宋体" w:cs="宋体"/>
          <w:color w:val="auto"/>
          <w:sz w:val="24"/>
          <w:highlight w:val="none"/>
        </w:rPr>
      </w:pP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法定代表人：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法定代表人：</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联系电话：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联系电话：</w:t>
      </w:r>
    </w:p>
    <w:p>
      <w:pPr>
        <w:spacing w:line="380" w:lineRule="exact"/>
        <w:rPr>
          <w:rFonts w:hint="eastAsia" w:ascii="宋体" w:hAnsi="宋体" w:cs="宋体"/>
          <w:color w:val="auto"/>
          <w:highlight w:val="none"/>
        </w:rPr>
      </w:pPr>
      <w:r>
        <w:rPr>
          <w:rFonts w:hint="eastAsia" w:ascii="宋体" w:hAnsi="宋体" w:cs="宋体"/>
          <w:color w:val="auto"/>
          <w:sz w:val="24"/>
          <w:highlight w:val="none"/>
        </w:rPr>
        <w:t xml:space="preserve">    年  月  日</w:t>
      </w:r>
      <w:r>
        <w:rPr>
          <w:rFonts w:hint="eastAsia" w:ascii="宋体" w:hAnsi="宋体" w:cs="宋体"/>
          <w:color w:val="auto"/>
          <w:sz w:val="24"/>
          <w:highlight w:val="none"/>
        </w:rPr>
        <w:tab/>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年  月  日</w:t>
      </w:r>
    </w:p>
    <w:p>
      <w:pPr>
        <w:rPr>
          <w:rFonts w:hint="eastAsia" w:ascii="宋体" w:hAnsi="宋体" w:cs="宋体"/>
          <w:color w:val="auto"/>
          <w:sz w:val="28"/>
          <w:szCs w:val="28"/>
          <w:highlight w:val="none"/>
        </w:rPr>
      </w:pPr>
    </w:p>
    <w:p>
      <w:pPr>
        <w:jc w:val="center"/>
        <w:rPr>
          <w:rFonts w:hint="eastAsia" w:ascii="宋体" w:hAnsi="宋体" w:cs="宋体"/>
          <w:b/>
          <w:bCs/>
          <w:color w:val="auto"/>
          <w:sz w:val="32"/>
          <w:szCs w:val="28"/>
          <w:highlight w:val="none"/>
        </w:rPr>
      </w:pPr>
    </w:p>
    <w:p>
      <w:pPr>
        <w:jc w:val="both"/>
        <w:rPr>
          <w:rFonts w:hint="eastAsia" w:ascii="宋体" w:hAnsi="宋体" w:cs="宋体"/>
          <w:b/>
          <w:bCs/>
          <w:color w:val="auto"/>
          <w:sz w:val="32"/>
          <w:szCs w:val="28"/>
          <w:highlight w:val="none"/>
        </w:rPr>
      </w:pPr>
    </w:p>
    <w:p>
      <w:pPr>
        <w:pStyle w:val="5"/>
        <w:rPr>
          <w:rFonts w:hint="eastAsia" w:ascii="宋体" w:hAnsi="宋体" w:cs="宋体"/>
          <w:b/>
          <w:bCs/>
          <w:color w:val="auto"/>
          <w:sz w:val="32"/>
          <w:szCs w:val="28"/>
          <w:highlight w:val="none"/>
        </w:rPr>
      </w:pPr>
    </w:p>
    <w:p>
      <w:pPr>
        <w:rPr>
          <w:rFonts w:hint="eastAsia" w:ascii="宋体" w:hAnsi="宋体" w:cs="宋体"/>
          <w:b/>
          <w:bCs/>
          <w:color w:val="auto"/>
          <w:sz w:val="32"/>
          <w:szCs w:val="28"/>
          <w:highlight w:val="none"/>
        </w:rPr>
      </w:pPr>
    </w:p>
    <w:p>
      <w:pPr>
        <w:pStyle w:val="5"/>
        <w:rPr>
          <w:rFonts w:hint="eastAsia" w:ascii="宋体" w:hAnsi="宋体" w:cs="宋体"/>
          <w:b/>
          <w:bCs/>
          <w:color w:val="auto"/>
          <w:sz w:val="32"/>
          <w:szCs w:val="28"/>
          <w:highlight w:val="none"/>
        </w:rPr>
      </w:pPr>
    </w:p>
    <w:p>
      <w:pPr>
        <w:rPr>
          <w:rFonts w:hint="eastAsia"/>
        </w:rPr>
      </w:pPr>
    </w:p>
    <w:p>
      <w:pPr>
        <w:spacing w:line="320" w:lineRule="exact"/>
        <w:rPr>
          <w:rFonts w:hint="eastAsia" w:ascii="宋体" w:hAnsi="宋体" w:cs="宋体"/>
          <w:b w:val="0"/>
          <w:bCs w:val="0"/>
          <w:color w:val="auto"/>
          <w:sz w:val="30"/>
          <w:szCs w:val="30"/>
          <w:highlight w:val="none"/>
          <w:lang w:val="en-US" w:eastAsia="zh-CN"/>
        </w:rPr>
      </w:pPr>
    </w:p>
    <w:p>
      <w:pPr>
        <w:spacing w:line="320" w:lineRule="exact"/>
        <w:rPr>
          <w:rFonts w:hint="eastAsia" w:ascii="宋体" w:hAnsi="宋体" w:cs="宋体"/>
          <w:b/>
          <w:bCs/>
          <w:color w:val="auto"/>
          <w:sz w:val="32"/>
          <w:szCs w:val="28"/>
          <w:highlight w:val="none"/>
        </w:rPr>
      </w:pPr>
      <w:r>
        <w:rPr>
          <w:rFonts w:hint="eastAsia" w:ascii="宋体" w:hAnsi="宋体" w:cs="宋体"/>
          <w:b w:val="0"/>
          <w:bCs w:val="0"/>
          <w:color w:val="auto"/>
          <w:sz w:val="30"/>
          <w:szCs w:val="30"/>
          <w:highlight w:val="none"/>
          <w:lang w:val="en-US" w:eastAsia="zh-CN"/>
        </w:rPr>
        <w:t>附件十：</w:t>
      </w:r>
      <w:r>
        <w:rPr>
          <w:rFonts w:hint="eastAsia" w:ascii="宋体" w:hAnsi="宋体" w:cs="宋体"/>
          <w:b/>
          <w:bCs/>
          <w:color w:val="auto"/>
          <w:sz w:val="30"/>
          <w:szCs w:val="30"/>
          <w:highlight w:val="none"/>
          <w:lang w:val="en-US" w:eastAsia="zh-CN"/>
        </w:rPr>
        <w:t xml:space="preserve"> </w:t>
      </w:r>
    </w:p>
    <w:p>
      <w:pPr>
        <w:jc w:val="center"/>
        <w:rPr>
          <w:rFonts w:hint="eastAsia" w:ascii="宋体" w:hAnsi="宋体" w:cs="宋体"/>
          <w:b/>
          <w:bCs/>
          <w:color w:val="auto"/>
          <w:sz w:val="32"/>
          <w:szCs w:val="28"/>
          <w:highlight w:val="none"/>
        </w:rPr>
      </w:pPr>
    </w:p>
    <w:p>
      <w:pPr>
        <w:jc w:val="center"/>
        <w:rPr>
          <w:rFonts w:hint="eastAsia" w:ascii="宋体" w:hAnsi="宋体" w:cs="宋体"/>
          <w:b/>
          <w:bCs/>
          <w:color w:val="auto"/>
          <w:sz w:val="32"/>
          <w:szCs w:val="28"/>
          <w:highlight w:val="none"/>
        </w:rPr>
      </w:pPr>
      <w:r>
        <w:rPr>
          <w:rFonts w:hint="eastAsia" w:ascii="宋体" w:hAnsi="宋体" w:cs="宋体"/>
          <w:b/>
          <w:bCs/>
          <w:color w:val="auto"/>
          <w:sz w:val="32"/>
          <w:szCs w:val="28"/>
          <w:highlight w:val="none"/>
        </w:rPr>
        <w:t>建设工程诚信投标承诺书</w:t>
      </w:r>
    </w:p>
    <w:p>
      <w:pPr>
        <w:rPr>
          <w:rFonts w:hint="eastAsia" w:ascii="宋体" w:hAnsi="宋体" w:cs="宋体"/>
          <w:color w:val="auto"/>
          <w:sz w:val="24"/>
          <w:highlight w:val="none"/>
        </w:rPr>
      </w:pPr>
      <w:r>
        <w:rPr>
          <w:rFonts w:hint="eastAsia" w:ascii="宋体" w:hAnsi="宋体" w:cs="宋体"/>
          <w:color w:val="auto"/>
          <w:sz w:val="24"/>
          <w:highlight w:val="none"/>
        </w:rPr>
        <w:t xml:space="preserve">  </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本人以企业法定代表人的身份郑重承诺：</w:t>
      </w:r>
    </w:p>
    <w:p>
      <w:pPr>
        <w:numPr>
          <w:ilvl w:val="0"/>
          <w:numId w:val="5"/>
        </w:num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将遵循公开、公平、公正和诚实信用的原则参加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的投标。</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二、所提供的一切材料都是真实、有效、合法的。</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三、不与其他投标人相互串通投标报价，不排挤其他投标人的公平竞争，损害招标人或其他投标人的合法权益。</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四、不与招标人或招标代理机构串通投标，损害国家利益、社会公共利益或者他人的合法权益。</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五、不向招标人或者评标委员会成员行贿以牟取中标。</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六、不出借、转让资质证书，不以他人名义投标或者以其他方式弄虚作假、骗取中标。</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七、近两年内我单位无不良行为记录。</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本公司若有违反承诺内容的行为，自愿接受取消投标资格、记入信用档案、没收投标保证金等有关处理，愿意承担法律责任。如已中标的，自动放弃中标资格；给招标人造成损失的，依法承担赔偿责任。</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p>
    <w:p>
      <w:pPr>
        <w:spacing w:line="440" w:lineRule="atLeast"/>
        <w:ind w:firstLine="480" w:firstLineChars="200"/>
        <w:rPr>
          <w:rFonts w:hint="eastAsia" w:ascii="宋体" w:hAnsi="宋体" w:cs="宋体"/>
          <w:color w:val="auto"/>
          <w:sz w:val="24"/>
          <w:highlight w:val="none"/>
        </w:rPr>
      </w:pPr>
    </w:p>
    <w:p>
      <w:pPr>
        <w:spacing w:line="560" w:lineRule="exact"/>
        <w:ind w:firstLine="720" w:firstLineChars="300"/>
        <w:jc w:val="center"/>
        <w:rPr>
          <w:rFonts w:hint="eastAsia" w:ascii="宋体" w:hAnsi="宋体" w:cs="宋体"/>
          <w:color w:val="auto"/>
          <w:sz w:val="24"/>
          <w:highlight w:val="none"/>
        </w:rPr>
      </w:pPr>
      <w:r>
        <w:rPr>
          <w:rFonts w:hint="eastAsia" w:ascii="宋体" w:hAnsi="宋体" w:cs="宋体"/>
          <w:color w:val="auto"/>
          <w:sz w:val="24"/>
          <w:highlight w:val="none"/>
        </w:rPr>
        <w:t xml:space="preserve">           法定代表人（签章）：</w:t>
      </w:r>
    </w:p>
    <w:p>
      <w:pPr>
        <w:spacing w:line="56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投  标  人（盖章）：</w:t>
      </w:r>
    </w:p>
    <w:p>
      <w:pPr>
        <w:spacing w:line="560" w:lineRule="exact"/>
        <w:jc w:val="center"/>
        <w:rPr>
          <w:rFonts w:hint="eastAsia" w:ascii="宋体" w:hAnsi="宋体" w:cs="宋体"/>
          <w:color w:val="auto"/>
          <w:highlight w:val="none"/>
        </w:rPr>
      </w:pPr>
      <w:r>
        <w:rPr>
          <w:rFonts w:hint="eastAsia" w:ascii="宋体" w:hAnsi="宋体" w:cs="宋体"/>
          <w:color w:val="auto"/>
          <w:sz w:val="24"/>
          <w:highlight w:val="none"/>
        </w:rPr>
        <w:t xml:space="preserve">                年   月   日</w:t>
      </w:r>
    </w:p>
    <w:p>
      <w:pPr>
        <w:spacing w:line="340" w:lineRule="exact"/>
        <w:jc w:val="center"/>
        <w:rPr>
          <w:rFonts w:hint="eastAsia" w:ascii="宋体" w:hAnsi="宋体" w:cs="宋体"/>
          <w:b/>
          <w:color w:val="auto"/>
          <w:sz w:val="28"/>
          <w:szCs w:val="28"/>
          <w:highlight w:val="none"/>
        </w:rPr>
      </w:pPr>
    </w:p>
    <w:p>
      <w:pPr>
        <w:ind w:firstLine="210" w:firstLineChars="100"/>
        <w:rPr>
          <w:rFonts w:hint="eastAsia"/>
          <w:lang w:eastAsia="zh-CN"/>
        </w:rPr>
      </w:pPr>
    </w:p>
    <w:p>
      <w:pPr>
        <w:ind w:firstLine="210" w:firstLineChars="100"/>
        <w:rPr>
          <w:rFonts w:hint="eastAsia"/>
          <w:lang w:eastAsia="zh-CN"/>
        </w:rPr>
      </w:pPr>
    </w:p>
    <w:p>
      <w:pPr>
        <w:ind w:firstLine="210" w:firstLineChars="100"/>
        <w:rPr>
          <w:rFonts w:hint="eastAsia"/>
          <w:lang w:eastAsia="zh-CN"/>
        </w:rPr>
      </w:pPr>
    </w:p>
    <w:p>
      <w:pPr>
        <w:pStyle w:val="6"/>
        <w:rPr>
          <w:rFonts w:hint="eastAsia"/>
          <w:lang w:eastAsia="zh-CN"/>
        </w:rPr>
      </w:pPr>
    </w:p>
    <w:p>
      <w:pPr>
        <w:rPr>
          <w:rFonts w:hint="eastAsia"/>
          <w:lang w:eastAsia="zh-CN"/>
        </w:rPr>
      </w:pPr>
    </w:p>
    <w:p>
      <w:pPr>
        <w:pStyle w:val="5"/>
        <w:rPr>
          <w:rFonts w:hint="eastAsia"/>
          <w:lang w:eastAsia="zh-CN"/>
        </w:rPr>
      </w:pPr>
    </w:p>
    <w:p>
      <w:pPr>
        <w:rPr>
          <w:rFonts w:hint="eastAsia"/>
          <w:lang w:eastAsia="zh-CN"/>
        </w:rPr>
      </w:pPr>
    </w:p>
    <w:p>
      <w:pPr>
        <w:ind w:firstLine="210" w:firstLineChars="100"/>
        <w:rPr>
          <w:rFonts w:hint="eastAsia"/>
          <w:lang w:eastAsia="zh-CN"/>
        </w:rPr>
      </w:pPr>
    </w:p>
    <w:p>
      <w:pPr>
        <w:pStyle w:val="5"/>
        <w:rPr>
          <w:rFonts w:hint="eastAsia"/>
          <w:lang w:eastAsia="zh-CN"/>
        </w:rPr>
      </w:pPr>
    </w:p>
    <w:p>
      <w:pPr>
        <w:spacing w:line="440" w:lineRule="exact"/>
        <w:jc w:val="left"/>
        <w:rPr>
          <w:rFonts w:hint="eastAsia" w:ascii="新宋体" w:hAnsi="新宋体" w:eastAsia="新宋体" w:cs="新宋体"/>
          <w:b/>
          <w:bCs/>
          <w:sz w:val="32"/>
          <w:szCs w:val="28"/>
          <w:lang w:val="en-US" w:eastAsia="zh-CN"/>
        </w:rPr>
      </w:pPr>
      <w:r>
        <w:rPr>
          <w:rFonts w:hint="eastAsia" w:ascii="宋体" w:hAnsi="宋体" w:cs="宋体"/>
          <w:b w:val="0"/>
          <w:bCs w:val="0"/>
          <w:color w:val="auto"/>
          <w:sz w:val="30"/>
          <w:szCs w:val="30"/>
          <w:highlight w:val="none"/>
          <w:lang w:val="en-US" w:eastAsia="zh-CN"/>
        </w:rPr>
        <w:t>附件十一：</w:t>
      </w:r>
      <w:r>
        <w:rPr>
          <w:rFonts w:hint="eastAsia" w:ascii="新宋体" w:hAnsi="新宋体" w:eastAsia="新宋体" w:cs="新宋体"/>
          <w:b/>
          <w:bCs/>
          <w:sz w:val="32"/>
          <w:szCs w:val="28"/>
          <w:lang w:val="en-US" w:eastAsia="zh-CN"/>
        </w:rPr>
        <w:t xml:space="preserve">            </w:t>
      </w:r>
    </w:p>
    <w:p>
      <w:pPr>
        <w:spacing w:line="440" w:lineRule="exact"/>
        <w:jc w:val="left"/>
        <w:rPr>
          <w:rFonts w:hint="eastAsia" w:ascii="新宋体" w:hAnsi="新宋体" w:eastAsia="新宋体" w:cs="新宋体"/>
          <w:b/>
          <w:bCs/>
          <w:sz w:val="32"/>
          <w:szCs w:val="28"/>
          <w:lang w:val="en-US" w:eastAsia="zh-CN"/>
        </w:rPr>
      </w:pPr>
    </w:p>
    <w:p>
      <w:pPr>
        <w:spacing w:line="440" w:lineRule="exact"/>
        <w:jc w:val="left"/>
        <w:rPr>
          <w:rFonts w:hint="eastAsia" w:ascii="新宋体" w:hAnsi="新宋体" w:eastAsia="新宋体" w:cs="新宋体"/>
          <w:b/>
          <w:bCs/>
          <w:sz w:val="32"/>
          <w:szCs w:val="28"/>
          <w:lang w:val="en-US" w:eastAsia="zh-CN"/>
        </w:rPr>
      </w:pPr>
    </w:p>
    <w:p>
      <w:pPr>
        <w:spacing w:line="440" w:lineRule="exact"/>
        <w:jc w:val="center"/>
        <w:rPr>
          <w:rFonts w:hint="eastAsia" w:ascii="新宋体" w:hAnsi="新宋体" w:eastAsia="新宋体" w:cs="新宋体"/>
          <w:b/>
          <w:bCs/>
          <w:sz w:val="32"/>
          <w:szCs w:val="28"/>
        </w:rPr>
      </w:pPr>
      <w:r>
        <w:rPr>
          <w:rFonts w:hint="eastAsia" w:ascii="新宋体" w:hAnsi="新宋体" w:eastAsia="新宋体" w:cs="新宋体"/>
          <w:b/>
          <w:bCs/>
          <w:sz w:val="32"/>
          <w:szCs w:val="28"/>
        </w:rPr>
        <w:t>使用新疆籍劳动力承诺书</w:t>
      </w:r>
    </w:p>
    <w:p>
      <w:pPr>
        <w:spacing w:line="440" w:lineRule="exact"/>
        <w:jc w:val="center"/>
        <w:rPr>
          <w:rFonts w:hint="eastAsia" w:ascii="新宋体" w:hAnsi="新宋体" w:eastAsia="新宋体" w:cs="新宋体"/>
          <w:b/>
          <w:bCs/>
          <w:sz w:val="32"/>
          <w:szCs w:val="28"/>
        </w:rPr>
      </w:pPr>
    </w:p>
    <w:p>
      <w:pPr>
        <w:spacing w:line="440" w:lineRule="exact"/>
        <w:rPr>
          <w:rFonts w:ascii="宋体" w:hAnsi="宋体"/>
          <w:sz w:val="24"/>
          <w:u w:val="single"/>
        </w:rPr>
      </w:pPr>
    </w:p>
    <w:p>
      <w:pPr>
        <w:spacing w:line="440" w:lineRule="exact"/>
        <w:ind w:firstLine="480" w:firstLineChars="200"/>
        <w:rPr>
          <w:rFonts w:ascii="新宋体" w:hAnsi="新宋体" w:eastAsia="新宋体" w:cs="新宋体"/>
          <w:sz w:val="24"/>
        </w:rPr>
      </w:pPr>
      <w:r>
        <w:rPr>
          <w:rFonts w:hint="eastAsia" w:ascii="新宋体" w:hAnsi="新宋体" w:eastAsia="新宋体" w:cs="新宋体"/>
          <w:sz w:val="24"/>
          <w:u w:val="single"/>
        </w:rPr>
        <w:t xml:space="preserve">                     (招标人名称)：</w:t>
      </w:r>
    </w:p>
    <w:p>
      <w:pPr>
        <w:spacing w:line="440" w:lineRule="exact"/>
        <w:ind w:firstLine="480" w:firstLineChars="200"/>
        <w:rPr>
          <w:rFonts w:ascii="新宋体" w:hAnsi="新宋体" w:eastAsia="新宋体" w:cs="新宋体"/>
          <w:sz w:val="24"/>
        </w:rPr>
      </w:pPr>
      <w:r>
        <w:rPr>
          <w:rFonts w:hint="eastAsia" w:ascii="新宋体" w:hAnsi="新宋体" w:eastAsia="新宋体" w:cs="新宋体"/>
          <w:sz w:val="24"/>
        </w:rPr>
        <w:t>若我单位有幸中标，将积极响应自治区和当地有关认真落实使用新疆籍劳动力的规定，我单位郑重承诺：保证使用新疆籍人员就业比例不少于70%（其中普通基础工作岗位吸纳新疆籍劳动力就业比例不少于90%）。</w:t>
      </w:r>
    </w:p>
    <w:p>
      <w:pPr>
        <w:spacing w:line="440" w:lineRule="exact"/>
        <w:ind w:firstLine="480" w:firstLineChars="200"/>
        <w:rPr>
          <w:rFonts w:ascii="新宋体" w:hAnsi="新宋体" w:eastAsia="新宋体" w:cs="新宋体"/>
          <w:sz w:val="24"/>
        </w:rPr>
      </w:pPr>
    </w:p>
    <w:p>
      <w:pPr>
        <w:spacing w:line="440" w:lineRule="exact"/>
        <w:ind w:firstLine="480" w:firstLineChars="200"/>
        <w:rPr>
          <w:rFonts w:ascii="新宋体" w:hAnsi="新宋体" w:eastAsia="新宋体" w:cs="新宋体"/>
          <w:sz w:val="24"/>
        </w:rPr>
      </w:pPr>
    </w:p>
    <w:p>
      <w:pPr>
        <w:spacing w:line="440" w:lineRule="exact"/>
        <w:ind w:firstLine="480" w:firstLineChars="200"/>
        <w:jc w:val="right"/>
        <w:rPr>
          <w:rFonts w:ascii="新宋体" w:hAnsi="新宋体" w:eastAsia="新宋体" w:cs="新宋体"/>
          <w:sz w:val="24"/>
        </w:rPr>
      </w:pPr>
      <w:r>
        <w:rPr>
          <w:rFonts w:hint="eastAsia" w:ascii="新宋体" w:hAnsi="新宋体" w:eastAsia="新宋体" w:cs="新宋体"/>
          <w:sz w:val="24"/>
        </w:rPr>
        <w:t>投标人：</w:t>
      </w:r>
      <w:r>
        <w:rPr>
          <w:rFonts w:hint="eastAsia" w:ascii="新宋体" w:hAnsi="新宋体" w:eastAsia="新宋体" w:cs="新宋体"/>
          <w:sz w:val="24"/>
          <w:u w:val="single"/>
        </w:rPr>
        <w:t xml:space="preserve">                           （盖单位章）</w:t>
      </w:r>
    </w:p>
    <w:p>
      <w:pPr>
        <w:spacing w:line="440" w:lineRule="exact"/>
        <w:ind w:firstLine="480" w:firstLineChars="200"/>
        <w:jc w:val="center"/>
        <w:rPr>
          <w:rFonts w:ascii="新宋体" w:hAnsi="新宋体" w:eastAsia="新宋体" w:cs="新宋体"/>
          <w:sz w:val="24"/>
          <w:u w:val="single"/>
        </w:rPr>
      </w:pPr>
      <w:r>
        <w:rPr>
          <w:rFonts w:hint="eastAsia" w:ascii="新宋体" w:hAnsi="新宋体" w:eastAsia="新宋体" w:cs="新宋体"/>
          <w:sz w:val="24"/>
        </w:rPr>
        <w:t xml:space="preserve">                               法定代表人：  </w:t>
      </w:r>
      <w:r>
        <w:rPr>
          <w:rFonts w:hint="eastAsia" w:ascii="新宋体" w:hAnsi="新宋体" w:eastAsia="新宋体" w:cs="新宋体"/>
          <w:sz w:val="24"/>
          <w:u w:val="single"/>
        </w:rPr>
        <w:t xml:space="preserve">          （签字）</w:t>
      </w:r>
    </w:p>
    <w:p>
      <w:pPr>
        <w:spacing w:line="440" w:lineRule="exact"/>
        <w:ind w:firstLine="480" w:firstLineChars="200"/>
        <w:jc w:val="center"/>
        <w:rPr>
          <w:rFonts w:ascii="新宋体" w:hAnsi="新宋体" w:eastAsia="新宋体" w:cs="新宋体"/>
          <w:sz w:val="24"/>
        </w:rPr>
      </w:pPr>
      <w:r>
        <w:rPr>
          <w:rFonts w:hint="eastAsia" w:ascii="新宋体" w:hAnsi="新宋体" w:eastAsia="新宋体" w:cs="新宋体"/>
          <w:sz w:val="24"/>
        </w:rPr>
        <w:t xml:space="preserve">                                     年  </w:t>
      </w:r>
      <w:r>
        <w:rPr>
          <w:rFonts w:hint="eastAsia" w:ascii="新宋体" w:hAnsi="新宋体" w:eastAsia="新宋体" w:cs="新宋体"/>
          <w:sz w:val="24"/>
          <w:lang w:val="en-US" w:eastAsia="zh-CN"/>
        </w:rPr>
        <w:t xml:space="preserve"> </w:t>
      </w:r>
      <w:r>
        <w:rPr>
          <w:rFonts w:hint="eastAsia" w:ascii="新宋体" w:hAnsi="新宋体" w:eastAsia="新宋体" w:cs="新宋体"/>
          <w:sz w:val="24"/>
        </w:rPr>
        <w:t>月   日</w:t>
      </w: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pStyle w:val="6"/>
      </w:pPr>
    </w:p>
    <w:p/>
    <w:p>
      <w:pPr>
        <w:spacing w:line="380" w:lineRule="exact"/>
        <w:jc w:val="both"/>
        <w:rPr>
          <w:rFonts w:hint="eastAsia" w:ascii="宋体" w:hAnsi="宋体"/>
          <w:b/>
          <w:bCs/>
          <w:color w:val="000000"/>
          <w:sz w:val="21"/>
          <w:szCs w:val="21"/>
          <w:lang w:eastAsia="zh-CN"/>
        </w:rPr>
      </w:pPr>
    </w:p>
    <w:p>
      <w:pPr>
        <w:spacing w:line="380" w:lineRule="exact"/>
        <w:jc w:val="both"/>
        <w:rPr>
          <w:rFonts w:hint="eastAsia" w:ascii="宋体" w:hAnsi="宋体"/>
          <w:b/>
          <w:bCs/>
          <w:color w:val="000000"/>
          <w:sz w:val="21"/>
          <w:szCs w:val="21"/>
          <w:lang w:eastAsia="zh-CN"/>
        </w:rPr>
      </w:pPr>
    </w:p>
    <w:p>
      <w:pPr>
        <w:spacing w:line="380" w:lineRule="exact"/>
        <w:jc w:val="both"/>
        <w:rPr>
          <w:rFonts w:hint="eastAsia" w:ascii="宋体" w:hAnsi="宋体"/>
          <w:b/>
          <w:bCs/>
          <w:color w:val="000000"/>
          <w:sz w:val="21"/>
          <w:szCs w:val="21"/>
          <w:lang w:eastAsia="zh-CN"/>
        </w:rPr>
      </w:pPr>
    </w:p>
    <w:p>
      <w:pPr>
        <w:spacing w:line="380" w:lineRule="exact"/>
        <w:jc w:val="both"/>
        <w:rPr>
          <w:rFonts w:hint="eastAsia" w:ascii="宋体" w:hAnsi="宋体"/>
          <w:b/>
          <w:bCs w:val="0"/>
          <w:szCs w:val="21"/>
          <w:lang w:val="en-US" w:eastAsia="zh-CN"/>
        </w:rPr>
      </w:pPr>
      <w:r>
        <w:rPr>
          <w:rFonts w:hint="eastAsia" w:ascii="宋体" w:hAnsi="宋体" w:cs="宋体"/>
          <w:b w:val="0"/>
          <w:bCs w:val="0"/>
          <w:color w:val="auto"/>
          <w:sz w:val="30"/>
          <w:szCs w:val="30"/>
          <w:highlight w:val="none"/>
          <w:lang w:val="en-US" w:eastAsia="zh-CN"/>
        </w:rPr>
        <w:t>附件十二：</w:t>
      </w:r>
    </w:p>
    <w:p>
      <w:pPr>
        <w:spacing w:line="380" w:lineRule="exact"/>
        <w:jc w:val="center"/>
        <w:rPr>
          <w:rFonts w:hint="eastAsia" w:ascii="宋体" w:hAnsi="宋体"/>
          <w:b/>
          <w:bCs/>
          <w:color w:val="000000"/>
          <w:sz w:val="32"/>
          <w:szCs w:val="32"/>
        </w:rPr>
      </w:pPr>
    </w:p>
    <w:p>
      <w:pPr>
        <w:spacing w:line="380" w:lineRule="exact"/>
        <w:jc w:val="center"/>
        <w:rPr>
          <w:rFonts w:hint="eastAsia" w:ascii="宋体" w:hAnsi="宋体"/>
          <w:b/>
          <w:bCs/>
          <w:color w:val="000000"/>
          <w:sz w:val="32"/>
          <w:szCs w:val="32"/>
        </w:rPr>
      </w:pPr>
      <w:r>
        <w:rPr>
          <w:rFonts w:hint="eastAsia" w:ascii="宋体" w:hAnsi="宋体"/>
          <w:b/>
          <w:bCs/>
          <w:color w:val="000000"/>
          <w:sz w:val="32"/>
          <w:szCs w:val="32"/>
        </w:rPr>
        <w:t>农村劳动力培训就业情况统计表</w:t>
      </w:r>
    </w:p>
    <w:p>
      <w:pPr>
        <w:spacing w:line="380" w:lineRule="exact"/>
        <w:jc w:val="center"/>
        <w:rPr>
          <w:rFonts w:hint="eastAsia" w:ascii="宋体" w:hAnsi="宋体"/>
          <w:color w:val="000000"/>
          <w:sz w:val="24"/>
        </w:rPr>
      </w:pPr>
    </w:p>
    <w:p>
      <w:pPr>
        <w:spacing w:line="380" w:lineRule="exact"/>
        <w:jc w:val="left"/>
        <w:rPr>
          <w:rFonts w:hint="eastAsia" w:ascii="宋体" w:hAnsi="宋体"/>
          <w:color w:val="000000"/>
          <w:sz w:val="24"/>
        </w:rPr>
      </w:pPr>
      <w:r>
        <w:rPr>
          <w:rFonts w:hint="eastAsia" w:ascii="宋体" w:hAnsi="宋体"/>
          <w:color w:val="000000"/>
          <w:sz w:val="24"/>
        </w:rPr>
        <w:t xml:space="preserve">填报单位：      </w:t>
      </w:r>
      <w:r>
        <w:rPr>
          <w:rFonts w:hint="eastAsia" w:ascii="宋体" w:hAnsi="宋体"/>
          <w:color w:val="000000"/>
          <w:sz w:val="24"/>
          <w:lang w:val="en-US" w:eastAsia="zh-CN"/>
        </w:rPr>
        <w:t xml:space="preserve">                                 </w:t>
      </w:r>
      <w:r>
        <w:rPr>
          <w:rFonts w:hint="eastAsia" w:ascii="宋体" w:hAnsi="宋体"/>
          <w:color w:val="000000"/>
          <w:sz w:val="24"/>
        </w:rPr>
        <w:t xml:space="preserve"> 填报时间：年 月 日</w:t>
      </w:r>
    </w:p>
    <w:p>
      <w:pPr>
        <w:spacing w:line="380" w:lineRule="exact"/>
        <w:jc w:val="left"/>
        <w:rPr>
          <w:rFonts w:hint="eastAsia" w:ascii="宋体" w:hAnsi="宋体"/>
          <w:color w:val="000000"/>
          <w:sz w:val="24"/>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089"/>
        <w:gridCol w:w="1089"/>
        <w:gridCol w:w="1089"/>
        <w:gridCol w:w="1089"/>
        <w:gridCol w:w="1089"/>
        <w:gridCol w:w="1089"/>
        <w:gridCol w:w="1089"/>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1088" w:type="dxa"/>
            <w:vMerge w:val="restart"/>
            <w:noWrap w:val="0"/>
            <w:vAlign w:val="top"/>
          </w:tcPr>
          <w:p>
            <w:pPr>
              <w:spacing w:line="380" w:lineRule="exact"/>
              <w:jc w:val="left"/>
              <w:rPr>
                <w:rFonts w:hint="eastAsia" w:ascii="宋体" w:hAnsi="宋体"/>
                <w:color w:val="000000"/>
                <w:sz w:val="24"/>
              </w:rPr>
            </w:pPr>
            <w:r>
              <w:rPr>
                <w:rFonts w:hint="eastAsia" w:ascii="宋体" w:hAnsi="宋体"/>
                <w:color w:val="000000"/>
                <w:sz w:val="24"/>
              </w:rPr>
              <w:t>施工单位（合同编号）</w:t>
            </w:r>
          </w:p>
        </w:tc>
        <w:tc>
          <w:tcPr>
            <w:tcW w:w="1089" w:type="dxa"/>
            <w:vMerge w:val="restart"/>
            <w:noWrap w:val="0"/>
            <w:vAlign w:val="top"/>
          </w:tcPr>
          <w:p>
            <w:pPr>
              <w:spacing w:line="380" w:lineRule="exact"/>
              <w:jc w:val="left"/>
              <w:rPr>
                <w:rFonts w:hint="eastAsia" w:ascii="宋体" w:hAnsi="宋体"/>
                <w:color w:val="000000"/>
                <w:sz w:val="24"/>
              </w:rPr>
            </w:pPr>
            <w:r>
              <w:rPr>
                <w:rFonts w:hint="eastAsia" w:ascii="宋体" w:hAnsi="宋体"/>
                <w:color w:val="000000"/>
                <w:sz w:val="24"/>
              </w:rPr>
              <w:t>用工需求总数（人）(%)</w:t>
            </w:r>
          </w:p>
        </w:tc>
        <w:tc>
          <w:tcPr>
            <w:tcW w:w="1089" w:type="dxa"/>
            <w:vMerge w:val="restart"/>
            <w:noWrap w:val="0"/>
            <w:vAlign w:val="top"/>
          </w:tcPr>
          <w:p>
            <w:pPr>
              <w:spacing w:line="380" w:lineRule="exact"/>
              <w:jc w:val="left"/>
              <w:rPr>
                <w:rFonts w:hint="eastAsia" w:ascii="宋体" w:hAnsi="宋体"/>
                <w:color w:val="000000"/>
                <w:sz w:val="24"/>
              </w:rPr>
            </w:pPr>
            <w:r>
              <w:rPr>
                <w:rFonts w:hint="eastAsia" w:ascii="宋体" w:hAnsi="宋体"/>
                <w:color w:val="000000"/>
                <w:sz w:val="24"/>
              </w:rPr>
              <w:t>新疆籍（人）(%)</w:t>
            </w:r>
          </w:p>
        </w:tc>
        <w:tc>
          <w:tcPr>
            <w:tcW w:w="1089" w:type="dxa"/>
            <w:vMerge w:val="restart"/>
            <w:noWrap w:val="0"/>
            <w:vAlign w:val="top"/>
          </w:tcPr>
          <w:p>
            <w:pPr>
              <w:spacing w:line="380" w:lineRule="exact"/>
              <w:jc w:val="left"/>
              <w:rPr>
                <w:rFonts w:hint="eastAsia" w:ascii="宋体" w:hAnsi="宋体"/>
                <w:color w:val="000000"/>
                <w:sz w:val="24"/>
              </w:rPr>
            </w:pPr>
            <w:r>
              <w:rPr>
                <w:rFonts w:hint="eastAsia" w:ascii="宋体" w:hAnsi="宋体"/>
                <w:color w:val="000000"/>
                <w:sz w:val="24"/>
              </w:rPr>
              <w:t>其中：一般普工岗位（人）</w:t>
            </w:r>
          </w:p>
        </w:tc>
        <w:tc>
          <w:tcPr>
            <w:tcW w:w="1089" w:type="dxa"/>
            <w:vMerge w:val="restart"/>
            <w:noWrap w:val="0"/>
            <w:vAlign w:val="top"/>
          </w:tcPr>
          <w:p>
            <w:pPr>
              <w:spacing w:line="380" w:lineRule="exact"/>
              <w:jc w:val="left"/>
              <w:rPr>
                <w:rFonts w:hint="eastAsia" w:ascii="宋体" w:hAnsi="宋体"/>
                <w:color w:val="000000"/>
                <w:sz w:val="24"/>
              </w:rPr>
            </w:pPr>
            <w:r>
              <w:rPr>
                <w:rFonts w:hint="eastAsia" w:ascii="宋体" w:hAnsi="宋体"/>
                <w:color w:val="000000"/>
                <w:sz w:val="24"/>
              </w:rPr>
              <w:t>其中：技能岗位（人）</w:t>
            </w:r>
          </w:p>
        </w:tc>
        <w:tc>
          <w:tcPr>
            <w:tcW w:w="1089" w:type="dxa"/>
            <w:vMerge w:val="restart"/>
            <w:noWrap w:val="0"/>
            <w:vAlign w:val="top"/>
          </w:tcPr>
          <w:p>
            <w:pPr>
              <w:spacing w:line="380" w:lineRule="exact"/>
              <w:jc w:val="left"/>
              <w:rPr>
                <w:rFonts w:hint="eastAsia" w:ascii="宋体" w:hAnsi="宋体"/>
                <w:color w:val="000000"/>
                <w:sz w:val="24"/>
              </w:rPr>
            </w:pPr>
            <w:r>
              <w:rPr>
                <w:rFonts w:hint="eastAsia" w:ascii="宋体" w:hAnsi="宋体"/>
                <w:color w:val="000000"/>
                <w:sz w:val="24"/>
              </w:rPr>
              <w:t>其中：一般普工岗位新疆籍（人）(%)</w:t>
            </w:r>
          </w:p>
        </w:tc>
        <w:tc>
          <w:tcPr>
            <w:tcW w:w="1089" w:type="dxa"/>
            <w:vMerge w:val="restart"/>
            <w:noWrap w:val="0"/>
            <w:vAlign w:val="top"/>
          </w:tcPr>
          <w:p>
            <w:pPr>
              <w:spacing w:line="380" w:lineRule="exact"/>
              <w:jc w:val="left"/>
              <w:rPr>
                <w:rFonts w:hint="eastAsia" w:ascii="宋体" w:hAnsi="宋体"/>
                <w:color w:val="000000"/>
                <w:sz w:val="24"/>
              </w:rPr>
            </w:pPr>
            <w:r>
              <w:rPr>
                <w:rFonts w:hint="eastAsia" w:ascii="宋体" w:hAnsi="宋体"/>
                <w:color w:val="000000"/>
                <w:sz w:val="24"/>
              </w:rPr>
              <w:t>需参加培训人数</w:t>
            </w:r>
          </w:p>
        </w:tc>
        <w:tc>
          <w:tcPr>
            <w:tcW w:w="1089" w:type="dxa"/>
            <w:noWrap w:val="0"/>
            <w:vAlign w:val="top"/>
          </w:tcPr>
          <w:p>
            <w:pPr>
              <w:spacing w:line="380" w:lineRule="exact"/>
              <w:jc w:val="left"/>
              <w:rPr>
                <w:rFonts w:hint="eastAsia" w:ascii="宋体" w:hAnsi="宋体"/>
                <w:color w:val="000000"/>
                <w:sz w:val="24"/>
              </w:rPr>
            </w:pPr>
            <w:r>
              <w:rPr>
                <w:rFonts w:hint="eastAsia" w:ascii="宋体" w:hAnsi="宋体"/>
                <w:color w:val="000000"/>
                <w:sz w:val="24"/>
              </w:rPr>
              <w:t>平均务工时间（天）</w:t>
            </w:r>
          </w:p>
        </w:tc>
        <w:tc>
          <w:tcPr>
            <w:tcW w:w="1089" w:type="dxa"/>
            <w:vMerge w:val="restart"/>
            <w:noWrap w:val="0"/>
            <w:vAlign w:val="top"/>
          </w:tcPr>
          <w:p>
            <w:pPr>
              <w:spacing w:line="380" w:lineRule="exact"/>
              <w:jc w:val="left"/>
              <w:rPr>
                <w:rFonts w:hint="eastAsia" w:ascii="宋体" w:hAnsi="宋体"/>
                <w:color w:val="000000"/>
                <w:sz w:val="24"/>
              </w:rPr>
            </w:pPr>
            <w:r>
              <w:rPr>
                <w:rFonts w:hint="eastAsia" w:ascii="宋体" w:hAnsi="宋体"/>
                <w:color w:val="000000"/>
                <w:sz w:val="24"/>
              </w:rPr>
              <w:t>平均务工报酬（元/人/日）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088" w:type="dxa"/>
            <w:vMerge w:val="continue"/>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noWrap w:val="0"/>
            <w:vAlign w:val="top"/>
          </w:tcPr>
          <w:p>
            <w:pPr>
              <w:spacing w:line="380" w:lineRule="exact"/>
              <w:jc w:val="left"/>
              <w:rPr>
                <w:rFonts w:hint="eastAsia" w:ascii="宋体" w:hAnsi="宋体"/>
                <w:color w:val="000000"/>
                <w:sz w:val="24"/>
              </w:rPr>
            </w:pPr>
            <w:r>
              <w:rPr>
                <w:rFonts w:hint="eastAsia" w:ascii="宋体" w:hAnsi="宋体"/>
                <w:color w:val="000000"/>
                <w:sz w:val="24"/>
              </w:rPr>
              <w:t>起止时间</w:t>
            </w:r>
          </w:p>
        </w:tc>
        <w:tc>
          <w:tcPr>
            <w:tcW w:w="1089" w:type="dxa"/>
            <w:vMerge w:val="continue"/>
            <w:noWrap w:val="0"/>
            <w:vAlign w:val="top"/>
          </w:tcPr>
          <w:p>
            <w:pPr>
              <w:spacing w:line="380" w:lineRule="exact"/>
              <w:jc w:val="left"/>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088" w:type="dxa"/>
            <w:noWrap w:val="0"/>
            <w:vAlign w:val="top"/>
          </w:tcPr>
          <w:p>
            <w:pPr>
              <w:spacing w:line="380" w:lineRule="exact"/>
              <w:jc w:val="left"/>
              <w:rPr>
                <w:rFonts w:hint="eastAsia" w:ascii="宋体" w:hAnsi="宋体"/>
                <w:color w:val="000000"/>
                <w:sz w:val="24"/>
              </w:rPr>
            </w:pPr>
          </w:p>
        </w:tc>
        <w:tc>
          <w:tcPr>
            <w:tcW w:w="1089" w:type="dxa"/>
            <w:vMerge w:val="restart"/>
            <w:noWrap w:val="0"/>
            <w:vAlign w:val="top"/>
          </w:tcPr>
          <w:p>
            <w:pPr>
              <w:spacing w:line="380" w:lineRule="exact"/>
              <w:jc w:val="left"/>
              <w:rPr>
                <w:rFonts w:hint="eastAsia" w:ascii="宋体" w:hAnsi="宋体" w:eastAsia="宋体"/>
                <w:color w:val="000000"/>
                <w:sz w:val="24"/>
                <w:lang w:val="en-US" w:eastAsia="zh-CN"/>
              </w:rPr>
            </w:pPr>
          </w:p>
        </w:tc>
        <w:tc>
          <w:tcPr>
            <w:tcW w:w="1089" w:type="dxa"/>
            <w:noWrap w:val="0"/>
            <w:vAlign w:val="top"/>
          </w:tcPr>
          <w:p>
            <w:pPr>
              <w:spacing w:line="380" w:lineRule="exact"/>
              <w:jc w:val="left"/>
              <w:rPr>
                <w:rFonts w:hint="eastAsia" w:ascii="宋体" w:hAnsi="宋体" w:eastAsia="宋体"/>
                <w:color w:val="000000"/>
                <w:sz w:val="24"/>
                <w:lang w:val="en-US" w:eastAsia="zh-CN"/>
              </w:rPr>
            </w:pPr>
          </w:p>
        </w:tc>
        <w:tc>
          <w:tcPr>
            <w:tcW w:w="1089" w:type="dxa"/>
            <w:vMerge w:val="restart"/>
            <w:noWrap w:val="0"/>
            <w:vAlign w:val="top"/>
          </w:tcPr>
          <w:p>
            <w:pPr>
              <w:spacing w:line="380" w:lineRule="exact"/>
              <w:jc w:val="left"/>
              <w:rPr>
                <w:rFonts w:hint="eastAsia" w:ascii="宋体" w:hAnsi="宋体" w:eastAsia="宋体"/>
                <w:color w:val="000000"/>
                <w:sz w:val="24"/>
                <w:lang w:val="en-US" w:eastAsia="zh-CN"/>
              </w:rPr>
            </w:pPr>
          </w:p>
        </w:tc>
        <w:tc>
          <w:tcPr>
            <w:tcW w:w="1089" w:type="dxa"/>
            <w:vMerge w:val="restart"/>
            <w:noWrap w:val="0"/>
            <w:vAlign w:val="top"/>
          </w:tcPr>
          <w:p>
            <w:pPr>
              <w:spacing w:line="380" w:lineRule="exact"/>
              <w:jc w:val="left"/>
              <w:rPr>
                <w:rFonts w:hint="eastAsia" w:ascii="宋体" w:hAnsi="宋体" w:eastAsia="宋体"/>
                <w:color w:val="000000"/>
                <w:sz w:val="24"/>
                <w:lang w:val="en-US" w:eastAsia="zh-CN"/>
              </w:rPr>
            </w:pPr>
          </w:p>
        </w:tc>
        <w:tc>
          <w:tcPr>
            <w:tcW w:w="1089" w:type="dxa"/>
            <w:noWrap w:val="0"/>
            <w:vAlign w:val="top"/>
          </w:tcPr>
          <w:p>
            <w:pPr>
              <w:spacing w:line="380" w:lineRule="exact"/>
              <w:jc w:val="left"/>
              <w:rPr>
                <w:rFonts w:hint="eastAsia" w:ascii="宋体" w:hAnsi="宋体" w:eastAsia="宋体"/>
                <w:color w:val="000000"/>
                <w:sz w:val="24"/>
                <w:lang w:val="en-US" w:eastAsia="zh-CN"/>
              </w:rPr>
            </w:pPr>
          </w:p>
        </w:tc>
        <w:tc>
          <w:tcPr>
            <w:tcW w:w="1089" w:type="dxa"/>
            <w:vMerge w:val="restart"/>
            <w:noWrap w:val="0"/>
            <w:vAlign w:val="top"/>
          </w:tcPr>
          <w:p>
            <w:pPr>
              <w:spacing w:line="380" w:lineRule="exact"/>
              <w:jc w:val="left"/>
              <w:rPr>
                <w:rFonts w:hint="eastAsia" w:ascii="宋体" w:hAnsi="宋体" w:eastAsia="宋体"/>
                <w:color w:val="000000"/>
                <w:sz w:val="24"/>
                <w:lang w:val="en-US" w:eastAsia="zh-CN"/>
              </w:rPr>
            </w:pPr>
          </w:p>
        </w:tc>
        <w:tc>
          <w:tcPr>
            <w:tcW w:w="1089" w:type="dxa"/>
            <w:noWrap w:val="0"/>
            <w:vAlign w:val="top"/>
          </w:tcPr>
          <w:p>
            <w:pPr>
              <w:spacing w:line="380" w:lineRule="exact"/>
              <w:jc w:val="left"/>
              <w:rPr>
                <w:rFonts w:hint="eastAsia" w:ascii="宋体" w:hAnsi="宋体" w:eastAsia="宋体"/>
                <w:color w:val="000000"/>
                <w:sz w:val="24"/>
                <w:lang w:val="en-US" w:eastAsia="zh-CN"/>
              </w:rPr>
            </w:pPr>
          </w:p>
        </w:tc>
        <w:tc>
          <w:tcPr>
            <w:tcW w:w="1089" w:type="dxa"/>
            <w:vMerge w:val="restart"/>
            <w:noWrap w:val="0"/>
            <w:vAlign w:val="top"/>
          </w:tcPr>
          <w:p>
            <w:pPr>
              <w:spacing w:line="380" w:lineRule="exact"/>
              <w:jc w:val="left"/>
              <w:rPr>
                <w:rFonts w:hint="eastAsia" w:ascii="宋体" w:hAnsi="宋体" w:eastAsia="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1088" w:type="dxa"/>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noWrap w:val="0"/>
            <w:vAlign w:val="top"/>
          </w:tcPr>
          <w:p>
            <w:pPr>
              <w:spacing w:line="380" w:lineRule="exact"/>
              <w:jc w:val="left"/>
              <w:rPr>
                <w:rFonts w:hint="eastAsia" w:ascii="宋体" w:hAnsi="宋体" w:eastAsia="宋体"/>
                <w:color w:val="000000"/>
                <w:sz w:val="24"/>
                <w:lang w:val="en-US" w:eastAsia="zh-CN"/>
              </w:rPr>
            </w:pPr>
          </w:p>
        </w:tc>
        <w:tc>
          <w:tcPr>
            <w:tcW w:w="1089" w:type="dxa"/>
            <w:vMerge w:val="continue"/>
            <w:noWrap w:val="0"/>
            <w:vAlign w:val="top"/>
          </w:tcPr>
          <w:p>
            <w:pPr>
              <w:spacing w:line="380" w:lineRule="exact"/>
              <w:jc w:val="left"/>
              <w:rPr>
                <w:rFonts w:hint="eastAsia" w:ascii="宋体" w:hAnsi="宋体"/>
                <w:color w:val="000000"/>
                <w:sz w:val="24"/>
              </w:rPr>
            </w:pPr>
          </w:p>
        </w:tc>
      </w:tr>
    </w:tbl>
    <w:p>
      <w:pPr>
        <w:spacing w:line="480" w:lineRule="auto"/>
        <w:jc w:val="left"/>
        <w:rPr>
          <w:rFonts w:hint="eastAsia" w:ascii="宋体" w:hAnsi="宋体"/>
          <w:color w:val="000000"/>
          <w:sz w:val="24"/>
        </w:rPr>
      </w:pPr>
      <w:r>
        <w:rPr>
          <w:rFonts w:hint="eastAsia" w:ascii="宋体" w:hAnsi="宋体"/>
          <w:color w:val="000000"/>
          <w:sz w:val="24"/>
        </w:rPr>
        <w:t>填报人：                   主要领导：                    联系方式：</w:t>
      </w:r>
    </w:p>
    <w:p>
      <w:pPr>
        <w:spacing w:line="380" w:lineRule="exact"/>
        <w:jc w:val="left"/>
        <w:rPr>
          <w:rFonts w:hint="eastAsia" w:ascii="宋体" w:hAnsi="宋体"/>
          <w:color w:val="000000"/>
          <w:sz w:val="24"/>
        </w:rPr>
      </w:pPr>
      <w:r>
        <w:rPr>
          <w:rFonts w:hint="eastAsia" w:ascii="宋体" w:hAnsi="宋体"/>
          <w:color w:val="000000"/>
          <w:sz w:val="24"/>
        </w:rPr>
        <w:t xml:space="preserve">   </w:t>
      </w:r>
    </w:p>
    <w:p>
      <w:pPr>
        <w:spacing w:line="380" w:lineRule="exact"/>
        <w:jc w:val="left"/>
        <w:rPr>
          <w:rFonts w:hint="eastAsia" w:ascii="宋体" w:hAnsi="宋体"/>
          <w:color w:val="000000"/>
          <w:szCs w:val="21"/>
        </w:rPr>
      </w:pPr>
      <w:r>
        <w:rPr>
          <w:rFonts w:hint="eastAsia" w:ascii="宋体" w:hAnsi="宋体"/>
          <w:color w:val="000000"/>
          <w:szCs w:val="21"/>
        </w:rPr>
        <w:t>说明：1、用工需求总数包括一般普工岗位、技能岗位。2、施工企业根据项目工程特点、工程量、实事求是填写本表中用工人数、需要培训人数，中标后必须每月向项目所在地乡、镇人民政府，项目主管单位申报农村劳动力培训就业情况及工程进度。</w:t>
      </w:r>
    </w:p>
    <w:p>
      <w:pPr>
        <w:adjustRightInd w:val="0"/>
        <w:snapToGrid w:val="0"/>
        <w:spacing w:line="360" w:lineRule="auto"/>
        <w:rPr>
          <w:rFonts w:hint="eastAsia" w:ascii="宋体" w:hAnsi="宋体" w:cs="宋体"/>
          <w:color w:val="00B0F0"/>
          <w:szCs w:val="21"/>
        </w:rPr>
      </w:pPr>
    </w:p>
    <w:p>
      <w:pPr>
        <w:pStyle w:val="5"/>
        <w:rPr>
          <w:rFonts w:hint="eastAsia" w:ascii="宋体" w:hAnsi="宋体" w:cs="宋体"/>
          <w:color w:val="00B0F0"/>
          <w:szCs w:val="21"/>
        </w:rPr>
      </w:pPr>
    </w:p>
    <w:p>
      <w:pPr>
        <w:pStyle w:val="5"/>
        <w:jc w:val="both"/>
        <w:rPr>
          <w:rFonts w:hint="eastAsia" w:ascii="宋体" w:hAnsi="宋体" w:cs="宋体"/>
          <w:color w:val="00B0F0"/>
          <w:szCs w:val="21"/>
        </w:rPr>
      </w:pPr>
    </w:p>
    <w:p>
      <w:pPr>
        <w:rPr>
          <w:rFonts w:hint="eastAsia" w:ascii="宋体" w:hAnsi="宋体" w:cs="宋体"/>
          <w:color w:val="00B0F0"/>
          <w:szCs w:val="21"/>
        </w:rPr>
      </w:pPr>
    </w:p>
    <w:p>
      <w:pPr>
        <w:spacing w:line="380" w:lineRule="exact"/>
        <w:jc w:val="both"/>
        <w:rPr>
          <w:rFonts w:hint="eastAsia" w:ascii="宋体" w:hAnsi="宋体" w:cs="宋体"/>
          <w:b w:val="0"/>
          <w:bCs w:val="0"/>
          <w:color w:val="auto"/>
          <w:sz w:val="30"/>
          <w:szCs w:val="30"/>
          <w:highlight w:val="none"/>
          <w:lang w:val="en-US" w:eastAsia="zh-CN"/>
        </w:rPr>
      </w:pPr>
      <w:r>
        <w:rPr>
          <w:rFonts w:hint="eastAsia" w:ascii="宋体" w:hAnsi="宋体" w:cs="宋体"/>
          <w:b w:val="0"/>
          <w:bCs w:val="0"/>
          <w:color w:val="auto"/>
          <w:sz w:val="30"/>
          <w:szCs w:val="30"/>
          <w:highlight w:val="none"/>
          <w:lang w:val="en-US" w:eastAsia="zh-CN"/>
        </w:rPr>
        <w:t xml:space="preserve">附件十三：       </w:t>
      </w:r>
    </w:p>
    <w:p>
      <w:pPr>
        <w:spacing w:line="380" w:lineRule="exact"/>
        <w:jc w:val="both"/>
        <w:rPr>
          <w:rFonts w:hint="eastAsia" w:ascii="宋体" w:hAnsi="宋体"/>
          <w:b/>
          <w:bCs/>
          <w:color w:val="000000"/>
          <w:sz w:val="21"/>
          <w:szCs w:val="21"/>
          <w:lang w:eastAsia="zh-CN"/>
        </w:rPr>
      </w:pPr>
      <w:r>
        <w:rPr>
          <w:rFonts w:hint="eastAsia" w:ascii="宋体" w:hAnsi="宋体" w:cs="宋体"/>
          <w:b w:val="0"/>
          <w:bCs w:val="0"/>
          <w:color w:val="auto"/>
          <w:sz w:val="30"/>
          <w:szCs w:val="30"/>
          <w:highlight w:val="none"/>
          <w:lang w:val="en-US" w:eastAsia="zh-CN"/>
        </w:rPr>
        <w:t xml:space="preserve">                </w:t>
      </w:r>
      <w:r>
        <w:rPr>
          <w:rFonts w:hint="eastAsia" w:ascii="方正小标宋简体" w:hAnsi="黑体" w:eastAsia="方正小标宋简体"/>
          <w:sz w:val="40"/>
          <w:szCs w:val="40"/>
        </w:rPr>
        <w:t>招标控制价投标人确认函</w:t>
      </w:r>
    </w:p>
    <w:tbl>
      <w:tblPr>
        <w:tblStyle w:val="33"/>
        <w:tblpPr w:leftFromText="180" w:rightFromText="180" w:vertAnchor="page" w:horzAnchor="margin" w:tblpXSpec="center" w:tblpY="2236"/>
        <w:tblW w:w="4999"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942"/>
        <w:gridCol w:w="2763"/>
        <w:gridCol w:w="1374"/>
        <w:gridCol w:w="1378"/>
        <w:gridCol w:w="250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585" w:hRule="atLeast"/>
        </w:trPr>
        <w:tc>
          <w:tcPr>
            <w:tcW w:w="975" w:type="pct"/>
            <w:noWrap w:val="0"/>
            <w:vAlign w:val="center"/>
          </w:tcPr>
          <w:p>
            <w:pPr>
              <w:widowControl/>
              <w:jc w:val="center"/>
              <w:rPr>
                <w:rFonts w:ascii="宋体" w:hAnsi="宋体" w:cs="宋体"/>
                <w:kern w:val="0"/>
                <w:sz w:val="24"/>
              </w:rPr>
            </w:pPr>
            <w:r>
              <w:rPr>
                <w:rFonts w:hint="eastAsia" w:ascii="宋体" w:hAnsi="宋体" w:cs="宋体"/>
                <w:kern w:val="0"/>
                <w:sz w:val="24"/>
              </w:rPr>
              <w:t>建设单位</w:t>
            </w:r>
          </w:p>
        </w:tc>
        <w:tc>
          <w:tcPr>
            <w:tcW w:w="4024" w:type="pct"/>
            <w:gridSpan w:val="4"/>
            <w:noWrap w:val="0"/>
            <w:vAlign w:val="center"/>
          </w:tcPr>
          <w:p>
            <w:pPr>
              <w:widowControl/>
              <w:jc w:val="center"/>
              <w:rPr>
                <w:rFonts w:hint="default" w:ascii="宋体" w:hAnsi="宋体" w:cs="宋体"/>
                <w:kern w:val="0"/>
                <w:sz w:val="24"/>
                <w:lang w:val="en-US"/>
              </w:rPr>
            </w:pPr>
            <w:r>
              <w:rPr>
                <w:rFonts w:hint="eastAsia" w:ascii="宋体" w:hAnsi="宋体" w:cs="宋体"/>
                <w:b w:val="0"/>
                <w:bCs/>
                <w:sz w:val="21"/>
                <w:szCs w:val="21"/>
                <w:lang w:val="en-US" w:eastAsia="zh-CN"/>
              </w:rPr>
              <w:t>乌什县民政局</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0" w:hRule="atLeast"/>
        </w:trPr>
        <w:tc>
          <w:tcPr>
            <w:tcW w:w="975" w:type="pct"/>
            <w:noWrap w:val="0"/>
            <w:vAlign w:val="center"/>
          </w:tcPr>
          <w:p>
            <w:pPr>
              <w:widowControl/>
              <w:jc w:val="center"/>
              <w:rPr>
                <w:rFonts w:ascii="宋体" w:hAnsi="宋体" w:cs="宋体"/>
                <w:kern w:val="0"/>
                <w:sz w:val="24"/>
              </w:rPr>
            </w:pPr>
            <w:r>
              <w:rPr>
                <w:rFonts w:hint="eastAsia" w:ascii="宋体" w:hAnsi="宋体" w:cs="宋体"/>
                <w:kern w:val="0"/>
                <w:sz w:val="24"/>
              </w:rPr>
              <w:t>工程名称</w:t>
            </w:r>
          </w:p>
        </w:tc>
        <w:tc>
          <w:tcPr>
            <w:tcW w:w="4024" w:type="pct"/>
            <w:gridSpan w:val="4"/>
            <w:noWrap w:val="0"/>
            <w:vAlign w:val="center"/>
          </w:tcPr>
          <w:p>
            <w:pPr>
              <w:widowControl/>
              <w:jc w:val="left"/>
              <w:rPr>
                <w:rFonts w:hint="eastAsia"/>
              </w:rPr>
            </w:pPr>
            <w:r>
              <w:rPr>
                <w:rFonts w:hint="eastAsia"/>
                <w:lang w:val="en-US" w:eastAsia="zh-CN"/>
              </w:rPr>
              <w:t xml:space="preserve"> 乌什县殡仪馆火化设施及设备采购项目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9" w:hRule="atLeast"/>
        </w:trPr>
        <w:tc>
          <w:tcPr>
            <w:tcW w:w="975" w:type="pct"/>
            <w:noWrap w:val="0"/>
            <w:vAlign w:val="center"/>
          </w:tcPr>
          <w:p>
            <w:pPr>
              <w:widowControl/>
              <w:jc w:val="center"/>
              <w:rPr>
                <w:rFonts w:ascii="宋体" w:hAnsi="宋体" w:cs="宋体"/>
                <w:kern w:val="0"/>
                <w:sz w:val="24"/>
              </w:rPr>
            </w:pPr>
            <w:r>
              <w:rPr>
                <w:rFonts w:hint="eastAsia" w:ascii="宋体" w:hAnsi="宋体" w:cs="宋体"/>
                <w:kern w:val="0"/>
                <w:sz w:val="24"/>
              </w:rPr>
              <w:t>建设规模</w:t>
            </w:r>
          </w:p>
        </w:tc>
        <w:tc>
          <w:tcPr>
            <w:tcW w:w="2077" w:type="pct"/>
            <w:gridSpan w:val="2"/>
            <w:noWrap w:val="0"/>
            <w:vAlign w:val="center"/>
          </w:tcPr>
          <w:p>
            <w:pPr>
              <w:adjustRightInd w:val="0"/>
              <w:snapToGrid w:val="0"/>
              <w:spacing w:line="320" w:lineRule="exact"/>
              <w:rPr>
                <w:rFonts w:hint="eastAsia" w:ascii="宋体" w:hAnsi="宋体"/>
              </w:rPr>
            </w:pPr>
            <w:r>
              <w:rPr>
                <w:rFonts w:hint="eastAsia" w:ascii="宋体" w:hAnsi="宋体"/>
                <w:lang w:val="en-US" w:eastAsia="zh-CN"/>
              </w:rPr>
              <w:t>本工程为乌什县殡仪馆火化设施及设备采购项目；火化间建筑面积132.02㎡，建筑高度为8.15m，结构形式为框架结构</w:t>
            </w:r>
          </w:p>
        </w:tc>
        <w:tc>
          <w:tcPr>
            <w:tcW w:w="692" w:type="pct"/>
            <w:noWrap w:val="0"/>
            <w:vAlign w:val="center"/>
          </w:tcPr>
          <w:p>
            <w:pPr>
              <w:jc w:val="center"/>
              <w:rPr>
                <w:rFonts w:ascii="宋体" w:hAnsi="宋体" w:cs="宋体"/>
                <w:kern w:val="0"/>
                <w:sz w:val="24"/>
              </w:rPr>
            </w:pPr>
            <w:r>
              <w:rPr>
                <w:rFonts w:hint="eastAsia" w:ascii="宋体" w:hAnsi="宋体" w:cs="宋体"/>
                <w:kern w:val="0"/>
                <w:sz w:val="24"/>
              </w:rPr>
              <w:t>层    数</w:t>
            </w:r>
          </w:p>
        </w:tc>
        <w:tc>
          <w:tcPr>
            <w:tcW w:w="1254" w:type="pct"/>
            <w:noWrap w:val="0"/>
            <w:vAlign w:val="center"/>
          </w:tcPr>
          <w:p>
            <w:pPr>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0" w:hRule="atLeast"/>
        </w:trPr>
        <w:tc>
          <w:tcPr>
            <w:tcW w:w="975" w:type="pct"/>
            <w:noWrap w:val="0"/>
            <w:vAlign w:val="center"/>
          </w:tcPr>
          <w:p>
            <w:pPr>
              <w:widowControl/>
              <w:jc w:val="center"/>
              <w:rPr>
                <w:rFonts w:ascii="宋体" w:hAnsi="宋体" w:cs="宋体"/>
                <w:kern w:val="0"/>
                <w:sz w:val="24"/>
              </w:rPr>
            </w:pPr>
            <w:r>
              <w:rPr>
                <w:rFonts w:hint="eastAsia" w:ascii="宋体" w:hAnsi="宋体" w:cs="宋体"/>
                <w:kern w:val="0"/>
                <w:sz w:val="24"/>
              </w:rPr>
              <w:t>工程类别</w:t>
            </w:r>
          </w:p>
        </w:tc>
        <w:tc>
          <w:tcPr>
            <w:tcW w:w="2077" w:type="pct"/>
            <w:gridSpan w:val="2"/>
            <w:noWrap w:val="0"/>
            <w:vAlign w:val="center"/>
          </w:tcPr>
          <w:p>
            <w:pPr>
              <w:jc w:val="center"/>
              <w:rPr>
                <w:rFonts w:hint="eastAsia" w:ascii="宋体" w:hAnsi="宋体" w:cs="宋体"/>
                <w:kern w:val="0"/>
                <w:sz w:val="24"/>
              </w:rPr>
            </w:pPr>
            <w:r>
              <w:rPr>
                <w:rFonts w:hint="eastAsia" w:ascii="宋体" w:hAnsi="宋体" w:cs="宋体"/>
                <w:kern w:val="0"/>
                <w:sz w:val="24"/>
              </w:rPr>
              <w:t xml:space="preserve"> 房屋建筑工程</w:t>
            </w:r>
          </w:p>
        </w:tc>
        <w:tc>
          <w:tcPr>
            <w:tcW w:w="692" w:type="pct"/>
            <w:noWrap w:val="0"/>
            <w:vAlign w:val="center"/>
          </w:tcPr>
          <w:p>
            <w:pPr>
              <w:jc w:val="center"/>
              <w:rPr>
                <w:rFonts w:ascii="宋体" w:hAnsi="宋体" w:cs="宋体"/>
                <w:kern w:val="0"/>
                <w:sz w:val="24"/>
              </w:rPr>
            </w:pPr>
            <w:r>
              <w:rPr>
                <w:rFonts w:hint="eastAsia" w:ascii="宋体" w:hAnsi="宋体" w:cs="宋体"/>
                <w:kern w:val="0"/>
                <w:sz w:val="24"/>
              </w:rPr>
              <w:t>结构类型</w:t>
            </w:r>
          </w:p>
        </w:tc>
        <w:tc>
          <w:tcPr>
            <w:tcW w:w="1254" w:type="pct"/>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框架结构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5" w:hRule="atLeast"/>
        </w:trPr>
        <w:tc>
          <w:tcPr>
            <w:tcW w:w="975" w:type="pct"/>
            <w:noWrap w:val="0"/>
            <w:vAlign w:val="center"/>
          </w:tcPr>
          <w:p>
            <w:pPr>
              <w:jc w:val="center"/>
              <w:rPr>
                <w:rFonts w:hint="eastAsia" w:ascii="宋体" w:hAnsi="宋体" w:cs="宋体"/>
                <w:kern w:val="0"/>
                <w:sz w:val="24"/>
              </w:rPr>
            </w:pPr>
            <w:r>
              <w:rPr>
                <w:rFonts w:hint="eastAsia" w:ascii="宋体" w:hAnsi="宋体" w:cs="宋体"/>
                <w:kern w:val="0"/>
                <w:sz w:val="24"/>
              </w:rPr>
              <w:t>联系人</w:t>
            </w:r>
          </w:p>
        </w:tc>
        <w:tc>
          <w:tcPr>
            <w:tcW w:w="2077" w:type="pct"/>
            <w:gridSpan w:val="2"/>
            <w:noWrap w:val="0"/>
            <w:vAlign w:val="center"/>
          </w:tcPr>
          <w:p>
            <w:pPr>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杨小强</w:t>
            </w:r>
          </w:p>
        </w:tc>
        <w:tc>
          <w:tcPr>
            <w:tcW w:w="692" w:type="pct"/>
            <w:noWrap w:val="0"/>
            <w:vAlign w:val="center"/>
          </w:tcPr>
          <w:p>
            <w:pPr>
              <w:jc w:val="center"/>
              <w:rPr>
                <w:rFonts w:hint="eastAsia" w:ascii="宋体" w:hAnsi="宋体" w:cs="宋体"/>
                <w:kern w:val="0"/>
                <w:sz w:val="24"/>
              </w:rPr>
            </w:pPr>
            <w:r>
              <w:rPr>
                <w:rFonts w:hint="eastAsia" w:ascii="宋体" w:hAnsi="宋体" w:cs="宋体"/>
                <w:kern w:val="0"/>
                <w:sz w:val="24"/>
              </w:rPr>
              <w:t>联系电话</w:t>
            </w:r>
          </w:p>
        </w:tc>
        <w:tc>
          <w:tcPr>
            <w:tcW w:w="1254" w:type="pct"/>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15109970635</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9" w:hRule="atLeast"/>
        </w:trPr>
        <w:tc>
          <w:tcPr>
            <w:tcW w:w="975" w:type="pct"/>
            <w:noWrap w:val="0"/>
            <w:vAlign w:val="center"/>
          </w:tcPr>
          <w:p>
            <w:pPr>
              <w:widowControl/>
              <w:jc w:val="left"/>
              <w:rPr>
                <w:rFonts w:ascii="宋体" w:hAnsi="宋体" w:cs="宋体"/>
                <w:kern w:val="0"/>
                <w:sz w:val="24"/>
              </w:rPr>
            </w:pPr>
            <w:r>
              <w:rPr>
                <w:rFonts w:hint="eastAsia" w:ascii="宋体" w:hAnsi="宋体" w:cs="宋体"/>
                <w:kern w:val="0"/>
                <w:sz w:val="24"/>
              </w:rPr>
              <w:t>招标投标控制价　</w:t>
            </w:r>
          </w:p>
        </w:tc>
        <w:tc>
          <w:tcPr>
            <w:tcW w:w="4024" w:type="pct"/>
            <w:gridSpan w:val="4"/>
            <w:noWrap w:val="0"/>
            <w:vAlign w:val="center"/>
          </w:tcPr>
          <w:p>
            <w:pPr>
              <w:jc w:val="left"/>
              <w:rPr>
                <w:rFonts w:hint="default" w:ascii="宋体" w:hAnsi="宋体" w:cs="宋体"/>
                <w:kern w:val="0"/>
                <w:sz w:val="24"/>
                <w:lang w:val="en-US"/>
              </w:rPr>
            </w:pPr>
            <w:r>
              <w:rPr>
                <w:rFonts w:hint="eastAsia" w:ascii="宋体" w:hAnsi="宋体" w:cs="宋体"/>
                <w:kern w:val="0"/>
                <w:sz w:val="24"/>
              </w:rPr>
              <w:t>总价小写</w:t>
            </w:r>
            <w:r>
              <w:rPr>
                <w:rFonts w:hint="eastAsia" w:ascii="宋体" w:hAnsi="宋体" w:cs="宋体"/>
                <w:kern w:val="0"/>
                <w:sz w:val="24"/>
                <w:lang w:eastAsia="zh-CN"/>
              </w:rPr>
              <w:t>：</w:t>
            </w:r>
            <w:r>
              <w:rPr>
                <w:rFonts w:hint="eastAsia" w:ascii="宋体" w:hAnsi="宋体" w:cs="宋体"/>
                <w:kern w:val="0"/>
                <w:sz w:val="24"/>
                <w:lang w:val="en-US" w:eastAsia="zh-CN"/>
              </w:rPr>
              <w:t>1599042.26元</w:t>
            </w:r>
          </w:p>
          <w:p>
            <w:pPr>
              <w:jc w:val="left"/>
              <w:rPr>
                <w:rFonts w:ascii="宋体" w:hAnsi="宋体" w:cs="宋体"/>
                <w:kern w:val="0"/>
                <w:sz w:val="24"/>
              </w:rPr>
            </w:pPr>
            <w:r>
              <w:rPr>
                <w:rFonts w:hint="eastAsia" w:ascii="宋体" w:hAnsi="宋体" w:cs="宋体"/>
                <w:kern w:val="0"/>
                <w:sz w:val="24"/>
              </w:rPr>
              <w:t>大写：</w:t>
            </w:r>
            <w:r>
              <w:rPr>
                <w:rFonts w:hint="eastAsia" w:ascii="宋体" w:hAnsi="宋体" w:cs="宋体"/>
                <w:kern w:val="0"/>
                <w:sz w:val="24"/>
                <w:lang w:val="en-US" w:eastAsia="zh-CN"/>
              </w:rPr>
              <w:t>壹佰伍拾玖万玖仟零肆拾贰元贰角陆分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25" w:hRule="atLeast"/>
        </w:trPr>
        <w:tc>
          <w:tcPr>
            <w:tcW w:w="5000" w:type="pct"/>
            <w:gridSpan w:val="5"/>
            <w:noWrap w:val="0"/>
            <w:vAlign w:val="top"/>
          </w:tcPr>
          <w:p>
            <w:pPr>
              <w:widowControl/>
              <w:rPr>
                <w:rFonts w:ascii="宋体" w:hAnsi="宋体" w:cs="宋体"/>
                <w:kern w:val="0"/>
                <w:sz w:val="24"/>
              </w:rPr>
            </w:pPr>
            <w:r>
              <w:rPr>
                <w:rFonts w:hint="eastAsia" w:ascii="宋体" w:hAnsi="宋体" w:cs="宋体"/>
                <w:kern w:val="0"/>
                <w:sz w:val="24"/>
              </w:rPr>
              <w:t>投标单位意见：　</w:t>
            </w:r>
          </w:p>
          <w:p>
            <w:pPr>
              <w:widowControl/>
              <w:rPr>
                <w:rFonts w:ascii="宋体" w:hAnsi="宋体" w:cs="宋体"/>
                <w:kern w:val="0"/>
                <w:sz w:val="24"/>
              </w:rPr>
            </w:pPr>
            <w:r>
              <w:rPr>
                <w:rFonts w:hint="eastAsia" w:ascii="宋体" w:hAnsi="宋体" w:cs="宋体"/>
                <w:kern w:val="0"/>
                <w:sz w:val="24"/>
              </w:rPr>
              <w:t>　</w:t>
            </w:r>
          </w:p>
          <w:p>
            <w:pPr>
              <w:widowControl/>
              <w:rPr>
                <w:rFonts w:ascii="宋体" w:hAnsi="宋体" w:cs="宋体"/>
                <w:kern w:val="0"/>
                <w:sz w:val="24"/>
              </w:rPr>
            </w:pPr>
            <w:r>
              <w:rPr>
                <w:rFonts w:hint="eastAsia" w:ascii="宋体" w:hAnsi="宋体" w:cs="宋体"/>
                <w:kern w:val="0"/>
                <w:sz w:val="24"/>
              </w:rPr>
              <w:t>　</w:t>
            </w:r>
          </w:p>
          <w:p>
            <w:pPr>
              <w:widowControl/>
              <w:rPr>
                <w:rFonts w:ascii="宋体" w:hAnsi="宋体" w:cs="宋体"/>
                <w:kern w:val="0"/>
                <w:sz w:val="24"/>
              </w:rPr>
            </w:pPr>
            <w:r>
              <w:rPr>
                <w:rFonts w:hint="eastAsia" w:ascii="宋体" w:hAnsi="宋体" w:cs="宋体"/>
                <w:kern w:val="0"/>
                <w:sz w:val="24"/>
              </w:rPr>
              <w:t>　</w:t>
            </w:r>
          </w:p>
          <w:p>
            <w:pPr>
              <w:widowControl/>
              <w:rPr>
                <w:rFonts w:ascii="宋体" w:hAnsi="宋体" w:cs="宋体"/>
                <w:kern w:val="0"/>
                <w:sz w:val="24"/>
              </w:rPr>
            </w:pPr>
            <w:r>
              <w:rPr>
                <w:rFonts w:hint="eastAsia" w:ascii="宋体" w:hAnsi="宋体" w:cs="宋体"/>
                <w:kern w:val="0"/>
                <w:sz w:val="24"/>
              </w:rPr>
              <w:t>　</w:t>
            </w:r>
          </w:p>
          <w:p>
            <w:pPr>
              <w:widowControl/>
              <w:rPr>
                <w:rFonts w:hint="eastAsia" w:ascii="宋体" w:hAnsi="宋体" w:cs="宋体"/>
                <w:kern w:val="0"/>
                <w:sz w:val="24"/>
              </w:rPr>
            </w:pPr>
            <w:r>
              <w:rPr>
                <w:rFonts w:hint="eastAsia" w:ascii="宋体" w:hAnsi="宋体" w:cs="宋体"/>
                <w:kern w:val="0"/>
                <w:sz w:val="24"/>
              </w:rPr>
              <w:t>　</w:t>
            </w:r>
          </w:p>
          <w:p>
            <w:pPr>
              <w:widowControl/>
              <w:rPr>
                <w:rFonts w:hint="eastAsia" w:ascii="宋体" w:hAnsi="宋体" w:cs="宋体"/>
                <w:kern w:val="0"/>
                <w:sz w:val="24"/>
              </w:rPr>
            </w:pPr>
          </w:p>
          <w:p>
            <w:pPr>
              <w:widowControl/>
              <w:rPr>
                <w:rFonts w:hint="eastAsia" w:ascii="宋体" w:hAnsi="宋体" w:cs="宋体"/>
                <w:kern w:val="0"/>
                <w:sz w:val="24"/>
              </w:rPr>
            </w:pPr>
          </w:p>
          <w:p>
            <w:pPr>
              <w:widowControl/>
              <w:rPr>
                <w:rFonts w:hint="eastAsia" w:ascii="宋体" w:hAnsi="宋体" w:cs="宋体"/>
                <w:kern w:val="0"/>
                <w:sz w:val="24"/>
              </w:rPr>
            </w:pPr>
          </w:p>
          <w:p>
            <w:pPr>
              <w:widowControl/>
              <w:rPr>
                <w:rFonts w:hint="eastAsia" w:ascii="宋体" w:hAnsi="宋体" w:cs="宋体"/>
                <w:kern w:val="0"/>
                <w:sz w:val="24"/>
              </w:rPr>
            </w:pPr>
          </w:p>
          <w:p>
            <w:pPr>
              <w:widowControl/>
              <w:ind w:firstLine="5640" w:firstLineChars="2350"/>
              <w:rPr>
                <w:rFonts w:hint="eastAsia" w:ascii="宋体" w:hAnsi="宋体" w:cs="宋体"/>
                <w:kern w:val="0"/>
                <w:sz w:val="24"/>
              </w:rPr>
            </w:pPr>
            <w:r>
              <w:rPr>
                <w:rFonts w:hint="eastAsia" w:ascii="宋体" w:hAnsi="宋体" w:cs="宋体"/>
                <w:kern w:val="0"/>
                <w:sz w:val="24"/>
              </w:rPr>
              <w:t>投标单位（公章）：</w:t>
            </w:r>
          </w:p>
          <w:p>
            <w:pPr>
              <w:widowControl/>
              <w:ind w:firstLine="5640" w:firstLineChars="2350"/>
              <w:rPr>
                <w:rFonts w:hint="eastAsia" w:ascii="宋体" w:hAnsi="宋体" w:cs="宋体"/>
                <w:kern w:val="0"/>
                <w:sz w:val="24"/>
              </w:rPr>
            </w:pPr>
          </w:p>
          <w:p>
            <w:pPr>
              <w:widowControl/>
              <w:ind w:firstLine="5640" w:firstLineChars="2350"/>
              <w:rPr>
                <w:rFonts w:hint="eastAsia" w:ascii="宋体" w:hAnsi="宋体" w:cs="宋体"/>
                <w:kern w:val="0"/>
                <w:sz w:val="24"/>
              </w:rPr>
            </w:pPr>
          </w:p>
          <w:p>
            <w:pPr>
              <w:widowControl/>
              <w:ind w:firstLine="5640" w:firstLineChars="2350"/>
              <w:rPr>
                <w:rFonts w:hint="eastAsia" w:ascii="宋体" w:hAnsi="宋体" w:cs="宋体"/>
                <w:kern w:val="0"/>
                <w:sz w:val="24"/>
              </w:rPr>
            </w:pPr>
            <w:r>
              <w:rPr>
                <w:rFonts w:hint="eastAsia" w:ascii="宋体" w:hAnsi="宋体" w:cs="宋体"/>
                <w:kern w:val="0"/>
                <w:sz w:val="24"/>
              </w:rPr>
              <w:t>法定代表人（签章）：</w:t>
            </w:r>
          </w:p>
          <w:p>
            <w:pPr>
              <w:widowControl/>
              <w:ind w:firstLine="5640" w:firstLineChars="2350"/>
              <w:rPr>
                <w:rFonts w:hint="eastAsia" w:ascii="宋体" w:hAnsi="宋体" w:cs="宋体"/>
                <w:kern w:val="0"/>
                <w:sz w:val="24"/>
              </w:rPr>
            </w:pPr>
            <w:r>
              <w:rPr>
                <w:rFonts w:hint="eastAsia" w:ascii="宋体" w:hAnsi="宋体" w:cs="宋体"/>
                <w:kern w:val="0"/>
                <w:sz w:val="24"/>
              </w:rPr>
              <w:t>　</w:t>
            </w:r>
          </w:p>
          <w:p>
            <w:pPr>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年 </w:t>
            </w:r>
            <w:r>
              <w:rPr>
                <w:rFonts w:hint="eastAsia" w:ascii="宋体" w:hAnsi="宋体" w:cs="宋体"/>
                <w:kern w:val="0"/>
                <w:sz w:val="24"/>
                <w:lang w:val="en-US" w:eastAsia="zh-CN"/>
              </w:rPr>
              <w:t xml:space="preserve"> </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月 </w:t>
            </w:r>
            <w:r>
              <w:rPr>
                <w:rFonts w:hint="eastAsia" w:ascii="宋体" w:hAnsi="宋体" w:cs="宋体"/>
                <w:kern w:val="0"/>
                <w:sz w:val="24"/>
                <w:lang w:val="en-US" w:eastAsia="zh-CN"/>
              </w:rPr>
              <w:t xml:space="preserve"> </w:t>
            </w:r>
            <w:r>
              <w:rPr>
                <w:rFonts w:hint="eastAsia" w:ascii="宋体" w:hAnsi="宋体" w:cs="宋体"/>
                <w:kern w:val="0"/>
                <w:sz w:val="24"/>
              </w:rPr>
              <w:t xml:space="preserve">  日</w:t>
            </w:r>
          </w:p>
          <w:p>
            <w:pPr>
              <w:ind w:firstLine="5640" w:firstLineChars="2350"/>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5" w:hRule="atLeast"/>
        </w:trPr>
        <w:tc>
          <w:tcPr>
            <w:tcW w:w="975" w:type="pct"/>
            <w:noWrap w:val="0"/>
            <w:vAlign w:val="center"/>
          </w:tcPr>
          <w:p>
            <w:pPr>
              <w:widowControl/>
              <w:jc w:val="center"/>
              <w:rPr>
                <w:rFonts w:hint="eastAsia" w:ascii="宋体" w:hAnsi="宋体" w:cs="宋体"/>
                <w:kern w:val="0"/>
                <w:sz w:val="24"/>
              </w:rPr>
            </w:pPr>
            <w:r>
              <w:rPr>
                <w:rFonts w:hint="eastAsia" w:ascii="宋体" w:hAnsi="宋体" w:cs="宋体"/>
                <w:kern w:val="0"/>
                <w:sz w:val="24"/>
              </w:rPr>
              <w:t>联系人</w:t>
            </w:r>
          </w:p>
        </w:tc>
        <w:tc>
          <w:tcPr>
            <w:tcW w:w="1387" w:type="pct"/>
            <w:noWrap w:val="0"/>
            <w:vAlign w:val="center"/>
          </w:tcPr>
          <w:p>
            <w:pPr>
              <w:jc w:val="center"/>
              <w:rPr>
                <w:rFonts w:hint="eastAsia" w:ascii="宋体" w:hAnsi="宋体" w:cs="宋体"/>
                <w:kern w:val="0"/>
                <w:sz w:val="24"/>
              </w:rPr>
            </w:pPr>
          </w:p>
        </w:tc>
        <w:tc>
          <w:tcPr>
            <w:tcW w:w="1381" w:type="pct"/>
            <w:gridSpan w:val="2"/>
            <w:noWrap w:val="0"/>
            <w:vAlign w:val="center"/>
          </w:tcPr>
          <w:p>
            <w:pPr>
              <w:jc w:val="center"/>
              <w:rPr>
                <w:rFonts w:hint="eastAsia" w:ascii="宋体" w:hAnsi="宋体" w:cs="宋体"/>
                <w:kern w:val="0"/>
                <w:sz w:val="24"/>
              </w:rPr>
            </w:pPr>
            <w:r>
              <w:rPr>
                <w:rFonts w:hint="eastAsia" w:ascii="宋体" w:hAnsi="宋体" w:cs="宋体"/>
                <w:kern w:val="0"/>
                <w:sz w:val="24"/>
              </w:rPr>
              <w:t>联系电话</w:t>
            </w:r>
          </w:p>
        </w:tc>
        <w:tc>
          <w:tcPr>
            <w:tcW w:w="1254" w:type="pct"/>
            <w:noWrap w:val="0"/>
            <w:vAlign w:val="center"/>
          </w:tcPr>
          <w:p>
            <w:pPr>
              <w:jc w:val="center"/>
              <w:rPr>
                <w:rFonts w:hint="eastAsia" w:ascii="宋体" w:hAnsi="宋体" w:cs="宋体"/>
                <w:kern w:val="0"/>
                <w:sz w:val="24"/>
              </w:rPr>
            </w:pPr>
          </w:p>
        </w:tc>
      </w:tr>
    </w:tbl>
    <w:p>
      <w:pPr>
        <w:ind w:firstLine="235" w:firstLineChars="98"/>
        <w:jc w:val="center"/>
        <w:rPr>
          <w:rFonts w:hint="eastAsia" w:ascii="宋体" w:hAnsi="宋体" w:cs="宋体"/>
          <w:kern w:val="0"/>
          <w:sz w:val="24"/>
        </w:rPr>
      </w:pPr>
      <w:r>
        <w:rPr>
          <w:rFonts w:hint="eastAsia" w:ascii="宋体" w:hAnsi="宋体" w:cs="宋体"/>
          <w:kern w:val="0"/>
          <w:sz w:val="24"/>
        </w:rPr>
        <w:t xml:space="preserve">       </w:t>
      </w:r>
    </w:p>
    <w:p>
      <w:pPr>
        <w:spacing w:line="380" w:lineRule="exact"/>
        <w:jc w:val="center"/>
        <w:rPr>
          <w:rFonts w:hint="eastAsia" w:ascii="宋体" w:hAnsi="宋体"/>
          <w:b/>
          <w:bCs w:val="0"/>
          <w:szCs w:val="21"/>
          <w:lang w:val="en-US" w:eastAsia="zh-CN"/>
        </w:rPr>
      </w:pPr>
      <w:r>
        <w:rPr>
          <w:rFonts w:hint="eastAsia" w:ascii="宋体" w:hAnsi="宋体" w:cs="宋体"/>
          <w:kern w:val="0"/>
          <w:sz w:val="24"/>
        </w:rPr>
        <w:t xml:space="preserve">        </w:t>
      </w:r>
    </w:p>
    <w:p>
      <w:pPr>
        <w:rPr>
          <w:rFonts w:ascii="宋体" w:hAnsi="宋体"/>
          <w:color w:val="000000"/>
          <w:szCs w:val="21"/>
        </w:rPr>
      </w:pPr>
      <w:r>
        <w:rPr>
          <w:rFonts w:hint="eastAsia" w:ascii="宋体" w:hAnsi="宋体"/>
          <w:color w:val="000000"/>
          <w:szCs w:val="21"/>
        </w:rPr>
        <w:t>说明：</w:t>
      </w:r>
      <w:r>
        <w:rPr>
          <w:rFonts w:hint="eastAsia" w:ascii="宋体" w:hAnsi="宋体"/>
          <w:color w:val="000000"/>
          <w:szCs w:val="21"/>
          <w:lang w:eastAsia="zh-CN"/>
        </w:rPr>
        <w:t>请投标单位认真填写并填写齐全</w:t>
      </w:r>
      <w:r>
        <w:rPr>
          <w:rFonts w:hint="eastAsia" w:ascii="宋体" w:hAnsi="宋体"/>
          <w:color w:val="000000"/>
          <w:szCs w:val="21"/>
        </w:rPr>
        <w:t>。</w:t>
      </w:r>
    </w:p>
    <w:p>
      <w:pPr>
        <w:ind w:firstLine="235" w:firstLineChars="98"/>
        <w:rPr>
          <w:rFonts w:ascii="宋体" w:hAnsi="宋体" w:cs="宋体"/>
          <w:color w:val="000000"/>
          <w:kern w:val="0"/>
          <w:sz w:val="24"/>
        </w:rPr>
      </w:pPr>
      <w:r>
        <w:rPr>
          <w:rFonts w:hint="eastAsia" w:ascii="宋体" w:hAnsi="宋体" w:cs="宋体"/>
          <w:color w:val="000000"/>
          <w:kern w:val="0"/>
          <w:sz w:val="24"/>
        </w:rPr>
        <w:t xml:space="preserve">                                            </w:t>
      </w:r>
    </w:p>
    <w:p/>
    <w:sectPr>
      <w:headerReference r:id="rId7" w:type="default"/>
      <w:pgSz w:w="11906" w:h="16838"/>
      <w:pgMar w:top="1440" w:right="1080" w:bottom="1440" w:left="1080"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21F74E"/>
    <w:multiLevelType w:val="singleLevel"/>
    <w:tmpl w:val="B321F74E"/>
    <w:lvl w:ilvl="0" w:tentative="0">
      <w:start w:val="1"/>
      <w:numFmt w:val="chineseCounting"/>
      <w:suff w:val="space"/>
      <w:lvlText w:val="第%1章"/>
      <w:lvlJc w:val="left"/>
      <w:rPr>
        <w:rFonts w:hint="eastAsia"/>
      </w:rPr>
    </w:lvl>
  </w:abstractNum>
  <w:abstractNum w:abstractNumId="1">
    <w:nsid w:val="BC472C5D"/>
    <w:multiLevelType w:val="singleLevel"/>
    <w:tmpl w:val="BC472C5D"/>
    <w:lvl w:ilvl="0" w:tentative="0">
      <w:start w:val="1"/>
      <w:numFmt w:val="decimal"/>
      <w:suff w:val="nothing"/>
      <w:lvlText w:val="%1、"/>
      <w:lvlJc w:val="left"/>
    </w:lvl>
  </w:abstractNum>
  <w:abstractNum w:abstractNumId="2">
    <w:nsid w:val="00000001"/>
    <w:multiLevelType w:val="multilevel"/>
    <w:tmpl w:val="00000001"/>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94"/>
      <w:lvlText w:val="%1.%2.%3"/>
      <w:lvlJc w:val="left"/>
      <w:pPr>
        <w:tabs>
          <w:tab w:val="left" w:pos="862"/>
        </w:tabs>
        <w:ind w:left="862"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953"/>
        </w:tabs>
        <w:ind w:left="1953"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0000000C"/>
    <w:multiLevelType w:val="singleLevel"/>
    <w:tmpl w:val="0000000C"/>
    <w:lvl w:ilvl="0" w:tentative="0">
      <w:start w:val="1"/>
      <w:numFmt w:val="chineseCounting"/>
      <w:suff w:val="nothing"/>
      <w:lvlText w:val="%1、"/>
      <w:lvlJc w:val="left"/>
    </w:lvl>
  </w:abstractNum>
  <w:abstractNum w:abstractNumId="4">
    <w:nsid w:val="0B6779C6"/>
    <w:multiLevelType w:val="singleLevel"/>
    <w:tmpl w:val="0B6779C6"/>
    <w:lvl w:ilvl="0" w:tentative="0">
      <w:start w:val="1"/>
      <w:numFmt w:val="decimal"/>
      <w:suff w:val="nothing"/>
      <w:lvlText w:val="%1、"/>
      <w:lvlJc w:val="left"/>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25D"/>
    <w:rsid w:val="0000015D"/>
    <w:rsid w:val="00002BF7"/>
    <w:rsid w:val="000036A4"/>
    <w:rsid w:val="00004DE9"/>
    <w:rsid w:val="00010132"/>
    <w:rsid w:val="000109F5"/>
    <w:rsid w:val="00011B28"/>
    <w:rsid w:val="00012450"/>
    <w:rsid w:val="000140B4"/>
    <w:rsid w:val="00014BFE"/>
    <w:rsid w:val="00016204"/>
    <w:rsid w:val="00016689"/>
    <w:rsid w:val="00017020"/>
    <w:rsid w:val="00017062"/>
    <w:rsid w:val="000170FE"/>
    <w:rsid w:val="00017E4B"/>
    <w:rsid w:val="00020140"/>
    <w:rsid w:val="000206CA"/>
    <w:rsid w:val="00020C1A"/>
    <w:rsid w:val="00020CC8"/>
    <w:rsid w:val="00021142"/>
    <w:rsid w:val="000211BC"/>
    <w:rsid w:val="00022A17"/>
    <w:rsid w:val="0002355F"/>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5522"/>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D82"/>
    <w:rsid w:val="00067219"/>
    <w:rsid w:val="00067B81"/>
    <w:rsid w:val="0007040B"/>
    <w:rsid w:val="00071303"/>
    <w:rsid w:val="00072659"/>
    <w:rsid w:val="000734C6"/>
    <w:rsid w:val="00073B42"/>
    <w:rsid w:val="000750B5"/>
    <w:rsid w:val="00075A76"/>
    <w:rsid w:val="00075BAC"/>
    <w:rsid w:val="00075BC9"/>
    <w:rsid w:val="0007673C"/>
    <w:rsid w:val="00076A6D"/>
    <w:rsid w:val="00077BB7"/>
    <w:rsid w:val="0008022E"/>
    <w:rsid w:val="000809D2"/>
    <w:rsid w:val="000814AA"/>
    <w:rsid w:val="000829D3"/>
    <w:rsid w:val="00083316"/>
    <w:rsid w:val="000833CB"/>
    <w:rsid w:val="00084A24"/>
    <w:rsid w:val="0008547A"/>
    <w:rsid w:val="00087870"/>
    <w:rsid w:val="00090AF4"/>
    <w:rsid w:val="00091032"/>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63B5"/>
    <w:rsid w:val="000B6A29"/>
    <w:rsid w:val="000B6E0E"/>
    <w:rsid w:val="000B6EC2"/>
    <w:rsid w:val="000B7C94"/>
    <w:rsid w:val="000C0FB2"/>
    <w:rsid w:val="000C1065"/>
    <w:rsid w:val="000C287F"/>
    <w:rsid w:val="000C2A14"/>
    <w:rsid w:val="000C2D34"/>
    <w:rsid w:val="000C33BB"/>
    <w:rsid w:val="000C3655"/>
    <w:rsid w:val="000D1CCC"/>
    <w:rsid w:val="000D24FF"/>
    <w:rsid w:val="000D3103"/>
    <w:rsid w:val="000D3AF9"/>
    <w:rsid w:val="000D3C0A"/>
    <w:rsid w:val="000D3C78"/>
    <w:rsid w:val="000D42D0"/>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124E"/>
    <w:rsid w:val="00103EC4"/>
    <w:rsid w:val="001040C5"/>
    <w:rsid w:val="00104C22"/>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25D3"/>
    <w:rsid w:val="001331F4"/>
    <w:rsid w:val="00133DDA"/>
    <w:rsid w:val="0013617B"/>
    <w:rsid w:val="00136634"/>
    <w:rsid w:val="001375E6"/>
    <w:rsid w:val="0013773F"/>
    <w:rsid w:val="00140F14"/>
    <w:rsid w:val="001410F6"/>
    <w:rsid w:val="00141A0D"/>
    <w:rsid w:val="00141CE3"/>
    <w:rsid w:val="00142767"/>
    <w:rsid w:val="00142E9F"/>
    <w:rsid w:val="00144265"/>
    <w:rsid w:val="00144BE8"/>
    <w:rsid w:val="00146193"/>
    <w:rsid w:val="001465AC"/>
    <w:rsid w:val="00146D99"/>
    <w:rsid w:val="00147BB3"/>
    <w:rsid w:val="00150275"/>
    <w:rsid w:val="00150DF8"/>
    <w:rsid w:val="0015154D"/>
    <w:rsid w:val="001518A8"/>
    <w:rsid w:val="00151918"/>
    <w:rsid w:val="00151E25"/>
    <w:rsid w:val="001525DF"/>
    <w:rsid w:val="0015380F"/>
    <w:rsid w:val="00153F22"/>
    <w:rsid w:val="001547B4"/>
    <w:rsid w:val="0015486C"/>
    <w:rsid w:val="00156916"/>
    <w:rsid w:val="00156BC4"/>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527A"/>
    <w:rsid w:val="0017603E"/>
    <w:rsid w:val="0017610B"/>
    <w:rsid w:val="001776F1"/>
    <w:rsid w:val="00177F86"/>
    <w:rsid w:val="00180371"/>
    <w:rsid w:val="00180C00"/>
    <w:rsid w:val="00181A1F"/>
    <w:rsid w:val="001823BB"/>
    <w:rsid w:val="00184964"/>
    <w:rsid w:val="00184BDD"/>
    <w:rsid w:val="00184D2D"/>
    <w:rsid w:val="001908BF"/>
    <w:rsid w:val="0019107E"/>
    <w:rsid w:val="00193AD6"/>
    <w:rsid w:val="00193EC3"/>
    <w:rsid w:val="001964BB"/>
    <w:rsid w:val="001A03EB"/>
    <w:rsid w:val="001A10AF"/>
    <w:rsid w:val="001A1509"/>
    <w:rsid w:val="001A177F"/>
    <w:rsid w:val="001A303A"/>
    <w:rsid w:val="001A56DB"/>
    <w:rsid w:val="001A7166"/>
    <w:rsid w:val="001A79FA"/>
    <w:rsid w:val="001B00A1"/>
    <w:rsid w:val="001B03A1"/>
    <w:rsid w:val="001B326C"/>
    <w:rsid w:val="001B3AAA"/>
    <w:rsid w:val="001B3D5D"/>
    <w:rsid w:val="001C06F9"/>
    <w:rsid w:val="001C1D42"/>
    <w:rsid w:val="001C457E"/>
    <w:rsid w:val="001C4B62"/>
    <w:rsid w:val="001C5B01"/>
    <w:rsid w:val="001C605B"/>
    <w:rsid w:val="001C690A"/>
    <w:rsid w:val="001C768F"/>
    <w:rsid w:val="001D02E2"/>
    <w:rsid w:val="001D0937"/>
    <w:rsid w:val="001D0ED4"/>
    <w:rsid w:val="001D324E"/>
    <w:rsid w:val="001D5C1B"/>
    <w:rsid w:val="001D7122"/>
    <w:rsid w:val="001E0892"/>
    <w:rsid w:val="001E3F1D"/>
    <w:rsid w:val="001E5193"/>
    <w:rsid w:val="001E6169"/>
    <w:rsid w:val="001E6570"/>
    <w:rsid w:val="001E6590"/>
    <w:rsid w:val="001E7142"/>
    <w:rsid w:val="001F0434"/>
    <w:rsid w:val="001F06B9"/>
    <w:rsid w:val="001F1E47"/>
    <w:rsid w:val="001F3C8F"/>
    <w:rsid w:val="001F449A"/>
    <w:rsid w:val="001F456B"/>
    <w:rsid w:val="001F45CF"/>
    <w:rsid w:val="001F4ACE"/>
    <w:rsid w:val="001F51B0"/>
    <w:rsid w:val="001F6023"/>
    <w:rsid w:val="00200F92"/>
    <w:rsid w:val="00201567"/>
    <w:rsid w:val="0020239D"/>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40BA3"/>
    <w:rsid w:val="0024251A"/>
    <w:rsid w:val="00245DE9"/>
    <w:rsid w:val="002466DD"/>
    <w:rsid w:val="00246EE6"/>
    <w:rsid w:val="0024722A"/>
    <w:rsid w:val="002472CC"/>
    <w:rsid w:val="00247EB0"/>
    <w:rsid w:val="00250681"/>
    <w:rsid w:val="002511C0"/>
    <w:rsid w:val="00251732"/>
    <w:rsid w:val="0025263A"/>
    <w:rsid w:val="002526B3"/>
    <w:rsid w:val="0025290C"/>
    <w:rsid w:val="002541AF"/>
    <w:rsid w:val="002551AA"/>
    <w:rsid w:val="00255ADB"/>
    <w:rsid w:val="002565FF"/>
    <w:rsid w:val="00256F43"/>
    <w:rsid w:val="00257AB2"/>
    <w:rsid w:val="00261F10"/>
    <w:rsid w:val="00263345"/>
    <w:rsid w:val="00263598"/>
    <w:rsid w:val="0026411D"/>
    <w:rsid w:val="0026444C"/>
    <w:rsid w:val="0026680B"/>
    <w:rsid w:val="00266DBC"/>
    <w:rsid w:val="00266DBF"/>
    <w:rsid w:val="00266EC2"/>
    <w:rsid w:val="00270868"/>
    <w:rsid w:val="00271AC9"/>
    <w:rsid w:val="00272545"/>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20E5"/>
    <w:rsid w:val="002D2650"/>
    <w:rsid w:val="002D3C7C"/>
    <w:rsid w:val="002D4F53"/>
    <w:rsid w:val="002D5176"/>
    <w:rsid w:val="002D54D7"/>
    <w:rsid w:val="002D6788"/>
    <w:rsid w:val="002D749F"/>
    <w:rsid w:val="002D7569"/>
    <w:rsid w:val="002E0071"/>
    <w:rsid w:val="002E02F1"/>
    <w:rsid w:val="002E0766"/>
    <w:rsid w:val="002E0C05"/>
    <w:rsid w:val="002E1D12"/>
    <w:rsid w:val="002E1F2B"/>
    <w:rsid w:val="002E6BAF"/>
    <w:rsid w:val="002E7F28"/>
    <w:rsid w:val="002F0E8B"/>
    <w:rsid w:val="002F11B7"/>
    <w:rsid w:val="002F165F"/>
    <w:rsid w:val="002F29D8"/>
    <w:rsid w:val="002F34AD"/>
    <w:rsid w:val="002F4115"/>
    <w:rsid w:val="002F55C3"/>
    <w:rsid w:val="002F5770"/>
    <w:rsid w:val="002F5974"/>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137EE"/>
    <w:rsid w:val="0031523F"/>
    <w:rsid w:val="003155A1"/>
    <w:rsid w:val="00315606"/>
    <w:rsid w:val="00315886"/>
    <w:rsid w:val="003165AF"/>
    <w:rsid w:val="00316F25"/>
    <w:rsid w:val="003208EF"/>
    <w:rsid w:val="003209A3"/>
    <w:rsid w:val="00321939"/>
    <w:rsid w:val="00322464"/>
    <w:rsid w:val="00322505"/>
    <w:rsid w:val="0032356F"/>
    <w:rsid w:val="003238BF"/>
    <w:rsid w:val="00323C18"/>
    <w:rsid w:val="00324C0B"/>
    <w:rsid w:val="00325AD1"/>
    <w:rsid w:val="00327AE0"/>
    <w:rsid w:val="00330E45"/>
    <w:rsid w:val="00331419"/>
    <w:rsid w:val="0033171A"/>
    <w:rsid w:val="00332B0E"/>
    <w:rsid w:val="00332BBE"/>
    <w:rsid w:val="00333057"/>
    <w:rsid w:val="00334759"/>
    <w:rsid w:val="003359F4"/>
    <w:rsid w:val="0033702E"/>
    <w:rsid w:val="003376BE"/>
    <w:rsid w:val="0033779C"/>
    <w:rsid w:val="00337D3F"/>
    <w:rsid w:val="00341CEF"/>
    <w:rsid w:val="00341EE9"/>
    <w:rsid w:val="003426A8"/>
    <w:rsid w:val="00342EF4"/>
    <w:rsid w:val="0034539B"/>
    <w:rsid w:val="00345F12"/>
    <w:rsid w:val="003462DC"/>
    <w:rsid w:val="00346938"/>
    <w:rsid w:val="00347085"/>
    <w:rsid w:val="0034787D"/>
    <w:rsid w:val="00350E10"/>
    <w:rsid w:val="003511FC"/>
    <w:rsid w:val="00351FFA"/>
    <w:rsid w:val="00354824"/>
    <w:rsid w:val="00354A58"/>
    <w:rsid w:val="003556FB"/>
    <w:rsid w:val="003569D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7A5D"/>
    <w:rsid w:val="003912BB"/>
    <w:rsid w:val="0039159A"/>
    <w:rsid w:val="00391964"/>
    <w:rsid w:val="00391C67"/>
    <w:rsid w:val="003929AD"/>
    <w:rsid w:val="00392AA7"/>
    <w:rsid w:val="00392D94"/>
    <w:rsid w:val="00393FF4"/>
    <w:rsid w:val="003953DA"/>
    <w:rsid w:val="00396A8C"/>
    <w:rsid w:val="00396D49"/>
    <w:rsid w:val="00397C02"/>
    <w:rsid w:val="003A17E6"/>
    <w:rsid w:val="003A1C7A"/>
    <w:rsid w:val="003A3F50"/>
    <w:rsid w:val="003A5AB9"/>
    <w:rsid w:val="003A7850"/>
    <w:rsid w:val="003B0AE1"/>
    <w:rsid w:val="003B1395"/>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7CAD"/>
    <w:rsid w:val="003E7FF4"/>
    <w:rsid w:val="003F0724"/>
    <w:rsid w:val="003F15E5"/>
    <w:rsid w:val="003F1DD2"/>
    <w:rsid w:val="003F3F23"/>
    <w:rsid w:val="003F4EBD"/>
    <w:rsid w:val="003F560B"/>
    <w:rsid w:val="003F60DB"/>
    <w:rsid w:val="003F7245"/>
    <w:rsid w:val="003F73F9"/>
    <w:rsid w:val="0040040B"/>
    <w:rsid w:val="00400899"/>
    <w:rsid w:val="00401061"/>
    <w:rsid w:val="004011DD"/>
    <w:rsid w:val="004032DC"/>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129B"/>
    <w:rsid w:val="0046159C"/>
    <w:rsid w:val="00462FDC"/>
    <w:rsid w:val="00463371"/>
    <w:rsid w:val="004637D3"/>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81995"/>
    <w:rsid w:val="004832E4"/>
    <w:rsid w:val="004858D2"/>
    <w:rsid w:val="004861DC"/>
    <w:rsid w:val="00487467"/>
    <w:rsid w:val="0048752F"/>
    <w:rsid w:val="00487C6D"/>
    <w:rsid w:val="00487DB5"/>
    <w:rsid w:val="004938F3"/>
    <w:rsid w:val="00493C1C"/>
    <w:rsid w:val="0049407C"/>
    <w:rsid w:val="00494CBB"/>
    <w:rsid w:val="00495822"/>
    <w:rsid w:val="00495C71"/>
    <w:rsid w:val="00496630"/>
    <w:rsid w:val="00496B68"/>
    <w:rsid w:val="004972B1"/>
    <w:rsid w:val="00497BCB"/>
    <w:rsid w:val="004A12D2"/>
    <w:rsid w:val="004A1F13"/>
    <w:rsid w:val="004A2C88"/>
    <w:rsid w:val="004A5A62"/>
    <w:rsid w:val="004A5E66"/>
    <w:rsid w:val="004A75FB"/>
    <w:rsid w:val="004A7CB4"/>
    <w:rsid w:val="004B1575"/>
    <w:rsid w:val="004B3552"/>
    <w:rsid w:val="004B454A"/>
    <w:rsid w:val="004B4C80"/>
    <w:rsid w:val="004B510B"/>
    <w:rsid w:val="004B5169"/>
    <w:rsid w:val="004B5A50"/>
    <w:rsid w:val="004B611B"/>
    <w:rsid w:val="004B6791"/>
    <w:rsid w:val="004B73F1"/>
    <w:rsid w:val="004B7A3F"/>
    <w:rsid w:val="004C0888"/>
    <w:rsid w:val="004C08B1"/>
    <w:rsid w:val="004C0F6E"/>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6301"/>
    <w:rsid w:val="004D6845"/>
    <w:rsid w:val="004D761A"/>
    <w:rsid w:val="004D7D03"/>
    <w:rsid w:val="004E219E"/>
    <w:rsid w:val="004E298A"/>
    <w:rsid w:val="004E385C"/>
    <w:rsid w:val="004E41F3"/>
    <w:rsid w:val="004E44A3"/>
    <w:rsid w:val="004E4E4E"/>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2392"/>
    <w:rsid w:val="00502884"/>
    <w:rsid w:val="00502B7E"/>
    <w:rsid w:val="0050452C"/>
    <w:rsid w:val="0050557B"/>
    <w:rsid w:val="00505A4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D63"/>
    <w:rsid w:val="0052719A"/>
    <w:rsid w:val="005313A0"/>
    <w:rsid w:val="00532435"/>
    <w:rsid w:val="005338B9"/>
    <w:rsid w:val="0053506C"/>
    <w:rsid w:val="0053583B"/>
    <w:rsid w:val="00535B1E"/>
    <w:rsid w:val="00537985"/>
    <w:rsid w:val="0054076F"/>
    <w:rsid w:val="00540E0E"/>
    <w:rsid w:val="0054241D"/>
    <w:rsid w:val="005432E9"/>
    <w:rsid w:val="005446D3"/>
    <w:rsid w:val="00544AE5"/>
    <w:rsid w:val="00545368"/>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5F15"/>
    <w:rsid w:val="0058771A"/>
    <w:rsid w:val="00590E8C"/>
    <w:rsid w:val="00591BE5"/>
    <w:rsid w:val="0059337A"/>
    <w:rsid w:val="00594DD1"/>
    <w:rsid w:val="00595C63"/>
    <w:rsid w:val="005968EA"/>
    <w:rsid w:val="00596D9D"/>
    <w:rsid w:val="005A0277"/>
    <w:rsid w:val="005A03EF"/>
    <w:rsid w:val="005A22EB"/>
    <w:rsid w:val="005A3E8F"/>
    <w:rsid w:val="005A4518"/>
    <w:rsid w:val="005A6486"/>
    <w:rsid w:val="005A677F"/>
    <w:rsid w:val="005A70BD"/>
    <w:rsid w:val="005A725D"/>
    <w:rsid w:val="005B03EB"/>
    <w:rsid w:val="005B2CAB"/>
    <w:rsid w:val="005B2ECF"/>
    <w:rsid w:val="005B317C"/>
    <w:rsid w:val="005B3860"/>
    <w:rsid w:val="005B38C8"/>
    <w:rsid w:val="005B49DB"/>
    <w:rsid w:val="005B51D5"/>
    <w:rsid w:val="005B55A0"/>
    <w:rsid w:val="005B5D2B"/>
    <w:rsid w:val="005B6ADE"/>
    <w:rsid w:val="005C041A"/>
    <w:rsid w:val="005C0F6E"/>
    <w:rsid w:val="005C13DD"/>
    <w:rsid w:val="005C14D4"/>
    <w:rsid w:val="005C1DE4"/>
    <w:rsid w:val="005C1E67"/>
    <w:rsid w:val="005C2F03"/>
    <w:rsid w:val="005C353A"/>
    <w:rsid w:val="005C53FC"/>
    <w:rsid w:val="005C6154"/>
    <w:rsid w:val="005C6208"/>
    <w:rsid w:val="005C789B"/>
    <w:rsid w:val="005D06BA"/>
    <w:rsid w:val="005D0C56"/>
    <w:rsid w:val="005D1F6F"/>
    <w:rsid w:val="005D401E"/>
    <w:rsid w:val="005D4C07"/>
    <w:rsid w:val="005D4E2E"/>
    <w:rsid w:val="005D56C0"/>
    <w:rsid w:val="005D575A"/>
    <w:rsid w:val="005D6887"/>
    <w:rsid w:val="005D68D4"/>
    <w:rsid w:val="005D7F58"/>
    <w:rsid w:val="005E0D37"/>
    <w:rsid w:val="005E30A4"/>
    <w:rsid w:val="005E4DBC"/>
    <w:rsid w:val="005E63FB"/>
    <w:rsid w:val="005E7248"/>
    <w:rsid w:val="005F0254"/>
    <w:rsid w:val="005F13A9"/>
    <w:rsid w:val="005F1633"/>
    <w:rsid w:val="005F1653"/>
    <w:rsid w:val="005F213C"/>
    <w:rsid w:val="005F25FC"/>
    <w:rsid w:val="005F2C59"/>
    <w:rsid w:val="005F619C"/>
    <w:rsid w:val="005F6716"/>
    <w:rsid w:val="005F6C49"/>
    <w:rsid w:val="006017E4"/>
    <w:rsid w:val="00603841"/>
    <w:rsid w:val="00604742"/>
    <w:rsid w:val="006049A6"/>
    <w:rsid w:val="00604C6C"/>
    <w:rsid w:val="006068F4"/>
    <w:rsid w:val="00606F9F"/>
    <w:rsid w:val="00614168"/>
    <w:rsid w:val="0061494F"/>
    <w:rsid w:val="00614B38"/>
    <w:rsid w:val="00615841"/>
    <w:rsid w:val="00617928"/>
    <w:rsid w:val="00617BED"/>
    <w:rsid w:val="00617CDC"/>
    <w:rsid w:val="00617F36"/>
    <w:rsid w:val="00620305"/>
    <w:rsid w:val="006219D0"/>
    <w:rsid w:val="00621E93"/>
    <w:rsid w:val="006242CC"/>
    <w:rsid w:val="00624379"/>
    <w:rsid w:val="006244B9"/>
    <w:rsid w:val="00624856"/>
    <w:rsid w:val="006253A5"/>
    <w:rsid w:val="006254F5"/>
    <w:rsid w:val="00630ACD"/>
    <w:rsid w:val="00631D37"/>
    <w:rsid w:val="0063253A"/>
    <w:rsid w:val="00632B5F"/>
    <w:rsid w:val="00632C39"/>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4312"/>
    <w:rsid w:val="00644EF4"/>
    <w:rsid w:val="006451F2"/>
    <w:rsid w:val="00645DF4"/>
    <w:rsid w:val="00651E6B"/>
    <w:rsid w:val="00652596"/>
    <w:rsid w:val="006531E0"/>
    <w:rsid w:val="006536A4"/>
    <w:rsid w:val="006545A3"/>
    <w:rsid w:val="0065474F"/>
    <w:rsid w:val="00654981"/>
    <w:rsid w:val="006553E7"/>
    <w:rsid w:val="0065627B"/>
    <w:rsid w:val="00656A74"/>
    <w:rsid w:val="00656B0C"/>
    <w:rsid w:val="00660CBB"/>
    <w:rsid w:val="00662059"/>
    <w:rsid w:val="00662AA2"/>
    <w:rsid w:val="0066450E"/>
    <w:rsid w:val="006658F3"/>
    <w:rsid w:val="0066592C"/>
    <w:rsid w:val="0066700D"/>
    <w:rsid w:val="00667629"/>
    <w:rsid w:val="00667E96"/>
    <w:rsid w:val="0067368C"/>
    <w:rsid w:val="0067407D"/>
    <w:rsid w:val="006747CD"/>
    <w:rsid w:val="00675411"/>
    <w:rsid w:val="006769A8"/>
    <w:rsid w:val="0067721D"/>
    <w:rsid w:val="006779C6"/>
    <w:rsid w:val="006808B1"/>
    <w:rsid w:val="00684045"/>
    <w:rsid w:val="00684807"/>
    <w:rsid w:val="0068530C"/>
    <w:rsid w:val="00686E24"/>
    <w:rsid w:val="00687146"/>
    <w:rsid w:val="00687249"/>
    <w:rsid w:val="00687278"/>
    <w:rsid w:val="00687F65"/>
    <w:rsid w:val="006909DF"/>
    <w:rsid w:val="00690E7F"/>
    <w:rsid w:val="00692C04"/>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FD"/>
    <w:rsid w:val="006C7B6C"/>
    <w:rsid w:val="006D0A2F"/>
    <w:rsid w:val="006D1A82"/>
    <w:rsid w:val="006D1BCC"/>
    <w:rsid w:val="006D4814"/>
    <w:rsid w:val="006D5D4C"/>
    <w:rsid w:val="006D6BAE"/>
    <w:rsid w:val="006D6EDF"/>
    <w:rsid w:val="006D731D"/>
    <w:rsid w:val="006E03F5"/>
    <w:rsid w:val="006E176F"/>
    <w:rsid w:val="006E2768"/>
    <w:rsid w:val="006E2F91"/>
    <w:rsid w:val="006E4EA9"/>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4A3"/>
    <w:rsid w:val="007055AA"/>
    <w:rsid w:val="00706249"/>
    <w:rsid w:val="00706655"/>
    <w:rsid w:val="007070CE"/>
    <w:rsid w:val="00707DA0"/>
    <w:rsid w:val="0071021E"/>
    <w:rsid w:val="00710323"/>
    <w:rsid w:val="007116A0"/>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5B0"/>
    <w:rsid w:val="00740CE7"/>
    <w:rsid w:val="00741235"/>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3E4"/>
    <w:rsid w:val="007647AC"/>
    <w:rsid w:val="0076573A"/>
    <w:rsid w:val="00765FB8"/>
    <w:rsid w:val="0076612A"/>
    <w:rsid w:val="00767010"/>
    <w:rsid w:val="00767F7C"/>
    <w:rsid w:val="0077036A"/>
    <w:rsid w:val="00770947"/>
    <w:rsid w:val="007717E6"/>
    <w:rsid w:val="007719E2"/>
    <w:rsid w:val="00772576"/>
    <w:rsid w:val="007725D2"/>
    <w:rsid w:val="00773801"/>
    <w:rsid w:val="00774751"/>
    <w:rsid w:val="0077511B"/>
    <w:rsid w:val="00775944"/>
    <w:rsid w:val="007769D6"/>
    <w:rsid w:val="007806FF"/>
    <w:rsid w:val="007827DE"/>
    <w:rsid w:val="00783EBE"/>
    <w:rsid w:val="007846DA"/>
    <w:rsid w:val="0078563F"/>
    <w:rsid w:val="00785656"/>
    <w:rsid w:val="007856E8"/>
    <w:rsid w:val="0078580C"/>
    <w:rsid w:val="00787022"/>
    <w:rsid w:val="00787C9C"/>
    <w:rsid w:val="0079093E"/>
    <w:rsid w:val="00792C5B"/>
    <w:rsid w:val="00794EE1"/>
    <w:rsid w:val="00795230"/>
    <w:rsid w:val="007A619A"/>
    <w:rsid w:val="007A67C2"/>
    <w:rsid w:val="007A7556"/>
    <w:rsid w:val="007A79D8"/>
    <w:rsid w:val="007B1DB1"/>
    <w:rsid w:val="007B341E"/>
    <w:rsid w:val="007B49BD"/>
    <w:rsid w:val="007B4F2D"/>
    <w:rsid w:val="007B5090"/>
    <w:rsid w:val="007B5C5B"/>
    <w:rsid w:val="007B6701"/>
    <w:rsid w:val="007C0A5F"/>
    <w:rsid w:val="007C135A"/>
    <w:rsid w:val="007C1E33"/>
    <w:rsid w:val="007C203C"/>
    <w:rsid w:val="007C22B3"/>
    <w:rsid w:val="007C24CF"/>
    <w:rsid w:val="007C255B"/>
    <w:rsid w:val="007C2DD1"/>
    <w:rsid w:val="007C4F30"/>
    <w:rsid w:val="007C4FA3"/>
    <w:rsid w:val="007C5F8E"/>
    <w:rsid w:val="007C6DAE"/>
    <w:rsid w:val="007D1C0F"/>
    <w:rsid w:val="007D3FCB"/>
    <w:rsid w:val="007D56ED"/>
    <w:rsid w:val="007D5725"/>
    <w:rsid w:val="007D5CC1"/>
    <w:rsid w:val="007D6460"/>
    <w:rsid w:val="007E143D"/>
    <w:rsid w:val="007E1931"/>
    <w:rsid w:val="007E2201"/>
    <w:rsid w:val="007E27D8"/>
    <w:rsid w:val="007E2871"/>
    <w:rsid w:val="007E57D8"/>
    <w:rsid w:val="007E69E6"/>
    <w:rsid w:val="007E6E5D"/>
    <w:rsid w:val="007F10B0"/>
    <w:rsid w:val="007F1479"/>
    <w:rsid w:val="007F182D"/>
    <w:rsid w:val="007F24AC"/>
    <w:rsid w:val="007F383D"/>
    <w:rsid w:val="007F478B"/>
    <w:rsid w:val="007F4D76"/>
    <w:rsid w:val="007F5478"/>
    <w:rsid w:val="007F6D79"/>
    <w:rsid w:val="007F7579"/>
    <w:rsid w:val="007F774B"/>
    <w:rsid w:val="007F7F73"/>
    <w:rsid w:val="0080096F"/>
    <w:rsid w:val="00800D85"/>
    <w:rsid w:val="00801550"/>
    <w:rsid w:val="0080158E"/>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6002"/>
    <w:rsid w:val="00816672"/>
    <w:rsid w:val="00816BF8"/>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65C"/>
    <w:rsid w:val="00830AA6"/>
    <w:rsid w:val="0083191D"/>
    <w:rsid w:val="00831B6A"/>
    <w:rsid w:val="00832A07"/>
    <w:rsid w:val="00834598"/>
    <w:rsid w:val="00834F92"/>
    <w:rsid w:val="00835786"/>
    <w:rsid w:val="00835C58"/>
    <w:rsid w:val="00835E1D"/>
    <w:rsid w:val="00836302"/>
    <w:rsid w:val="008370B0"/>
    <w:rsid w:val="00837E6A"/>
    <w:rsid w:val="0084049A"/>
    <w:rsid w:val="00840E5C"/>
    <w:rsid w:val="00841945"/>
    <w:rsid w:val="00843CE1"/>
    <w:rsid w:val="00844A98"/>
    <w:rsid w:val="00844ECE"/>
    <w:rsid w:val="00845CF4"/>
    <w:rsid w:val="008460F3"/>
    <w:rsid w:val="00846982"/>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254F"/>
    <w:rsid w:val="00862DE2"/>
    <w:rsid w:val="00863354"/>
    <w:rsid w:val="008649DA"/>
    <w:rsid w:val="008652C6"/>
    <w:rsid w:val="008664EF"/>
    <w:rsid w:val="008669F0"/>
    <w:rsid w:val="008674BB"/>
    <w:rsid w:val="00871CC2"/>
    <w:rsid w:val="008726FE"/>
    <w:rsid w:val="00873AD1"/>
    <w:rsid w:val="00873EDA"/>
    <w:rsid w:val="008750E3"/>
    <w:rsid w:val="008802B7"/>
    <w:rsid w:val="008806A5"/>
    <w:rsid w:val="008806BA"/>
    <w:rsid w:val="008806D6"/>
    <w:rsid w:val="00881126"/>
    <w:rsid w:val="00883E26"/>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4E2"/>
    <w:rsid w:val="008B5E7F"/>
    <w:rsid w:val="008B6422"/>
    <w:rsid w:val="008B6ACD"/>
    <w:rsid w:val="008B77EC"/>
    <w:rsid w:val="008B7F96"/>
    <w:rsid w:val="008C2555"/>
    <w:rsid w:val="008C2B3C"/>
    <w:rsid w:val="008C616C"/>
    <w:rsid w:val="008C6D55"/>
    <w:rsid w:val="008C724C"/>
    <w:rsid w:val="008C7C90"/>
    <w:rsid w:val="008C7E75"/>
    <w:rsid w:val="008D0B0F"/>
    <w:rsid w:val="008D0D75"/>
    <w:rsid w:val="008D7496"/>
    <w:rsid w:val="008E09B8"/>
    <w:rsid w:val="008E0F93"/>
    <w:rsid w:val="008E19BB"/>
    <w:rsid w:val="008E22D7"/>
    <w:rsid w:val="008E268D"/>
    <w:rsid w:val="008E3200"/>
    <w:rsid w:val="008E4751"/>
    <w:rsid w:val="008E71F2"/>
    <w:rsid w:val="008F1298"/>
    <w:rsid w:val="008F17DB"/>
    <w:rsid w:val="008F1AF5"/>
    <w:rsid w:val="008F1C5E"/>
    <w:rsid w:val="008F27CA"/>
    <w:rsid w:val="008F3F1E"/>
    <w:rsid w:val="008F40E3"/>
    <w:rsid w:val="008F494C"/>
    <w:rsid w:val="008F6EEB"/>
    <w:rsid w:val="009001B2"/>
    <w:rsid w:val="00900ECA"/>
    <w:rsid w:val="00901664"/>
    <w:rsid w:val="00903167"/>
    <w:rsid w:val="0090357F"/>
    <w:rsid w:val="0090373F"/>
    <w:rsid w:val="00903D72"/>
    <w:rsid w:val="00903E56"/>
    <w:rsid w:val="00904045"/>
    <w:rsid w:val="0090591D"/>
    <w:rsid w:val="0090757C"/>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2934"/>
    <w:rsid w:val="009958F2"/>
    <w:rsid w:val="00995A8E"/>
    <w:rsid w:val="009962DF"/>
    <w:rsid w:val="0099656B"/>
    <w:rsid w:val="009969E7"/>
    <w:rsid w:val="009977BD"/>
    <w:rsid w:val="009A030A"/>
    <w:rsid w:val="009A08E0"/>
    <w:rsid w:val="009A0DC6"/>
    <w:rsid w:val="009A1BB7"/>
    <w:rsid w:val="009A3B7E"/>
    <w:rsid w:val="009A432C"/>
    <w:rsid w:val="009A4745"/>
    <w:rsid w:val="009A4B6B"/>
    <w:rsid w:val="009A4C4C"/>
    <w:rsid w:val="009A52A5"/>
    <w:rsid w:val="009A52CD"/>
    <w:rsid w:val="009A7448"/>
    <w:rsid w:val="009A78C7"/>
    <w:rsid w:val="009A7CC1"/>
    <w:rsid w:val="009B04F4"/>
    <w:rsid w:val="009B1E9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68A"/>
    <w:rsid w:val="00A344CD"/>
    <w:rsid w:val="00A34AD5"/>
    <w:rsid w:val="00A357A8"/>
    <w:rsid w:val="00A358C6"/>
    <w:rsid w:val="00A359D6"/>
    <w:rsid w:val="00A359E1"/>
    <w:rsid w:val="00A3623A"/>
    <w:rsid w:val="00A3684E"/>
    <w:rsid w:val="00A40E1A"/>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D5C"/>
    <w:rsid w:val="00A618DB"/>
    <w:rsid w:val="00A61998"/>
    <w:rsid w:val="00A6229F"/>
    <w:rsid w:val="00A62494"/>
    <w:rsid w:val="00A625EB"/>
    <w:rsid w:val="00A62A4C"/>
    <w:rsid w:val="00A64071"/>
    <w:rsid w:val="00A65080"/>
    <w:rsid w:val="00A6587B"/>
    <w:rsid w:val="00A659B0"/>
    <w:rsid w:val="00A65A3C"/>
    <w:rsid w:val="00A66EB4"/>
    <w:rsid w:val="00A70E37"/>
    <w:rsid w:val="00A70ECC"/>
    <w:rsid w:val="00A726C9"/>
    <w:rsid w:val="00A73747"/>
    <w:rsid w:val="00A746DE"/>
    <w:rsid w:val="00A75C57"/>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FF0"/>
    <w:rsid w:val="00A9708B"/>
    <w:rsid w:val="00A971B3"/>
    <w:rsid w:val="00AA1A4F"/>
    <w:rsid w:val="00AA4791"/>
    <w:rsid w:val="00AA4E07"/>
    <w:rsid w:val="00AA4FE1"/>
    <w:rsid w:val="00AA6CE7"/>
    <w:rsid w:val="00AA71AF"/>
    <w:rsid w:val="00AB0301"/>
    <w:rsid w:val="00AB09D4"/>
    <w:rsid w:val="00AB0AE4"/>
    <w:rsid w:val="00AB0E2C"/>
    <w:rsid w:val="00AB10F1"/>
    <w:rsid w:val="00AB11A9"/>
    <w:rsid w:val="00AB1E66"/>
    <w:rsid w:val="00AB1F3C"/>
    <w:rsid w:val="00AB20AF"/>
    <w:rsid w:val="00AB38F3"/>
    <w:rsid w:val="00AB7630"/>
    <w:rsid w:val="00AC03BA"/>
    <w:rsid w:val="00AC080D"/>
    <w:rsid w:val="00AC127C"/>
    <w:rsid w:val="00AC2944"/>
    <w:rsid w:val="00AC3065"/>
    <w:rsid w:val="00AC491A"/>
    <w:rsid w:val="00AC6748"/>
    <w:rsid w:val="00AC6767"/>
    <w:rsid w:val="00AC6E0A"/>
    <w:rsid w:val="00AC76F4"/>
    <w:rsid w:val="00AD0807"/>
    <w:rsid w:val="00AD100A"/>
    <w:rsid w:val="00AD1A51"/>
    <w:rsid w:val="00AD3554"/>
    <w:rsid w:val="00AD4642"/>
    <w:rsid w:val="00AD555D"/>
    <w:rsid w:val="00AD683B"/>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C6"/>
    <w:rsid w:val="00B12666"/>
    <w:rsid w:val="00B12784"/>
    <w:rsid w:val="00B20910"/>
    <w:rsid w:val="00B20B21"/>
    <w:rsid w:val="00B2185B"/>
    <w:rsid w:val="00B26FE8"/>
    <w:rsid w:val="00B27B0A"/>
    <w:rsid w:val="00B31EFC"/>
    <w:rsid w:val="00B32D2A"/>
    <w:rsid w:val="00B3354F"/>
    <w:rsid w:val="00B33BAE"/>
    <w:rsid w:val="00B34B7A"/>
    <w:rsid w:val="00B35340"/>
    <w:rsid w:val="00B37893"/>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504"/>
    <w:rsid w:val="00B916CB"/>
    <w:rsid w:val="00B92934"/>
    <w:rsid w:val="00B92D20"/>
    <w:rsid w:val="00B92DEB"/>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539"/>
    <w:rsid w:val="00BD0012"/>
    <w:rsid w:val="00BD0195"/>
    <w:rsid w:val="00BD02DC"/>
    <w:rsid w:val="00BD0D08"/>
    <w:rsid w:val="00BD1730"/>
    <w:rsid w:val="00BD1E38"/>
    <w:rsid w:val="00BD2982"/>
    <w:rsid w:val="00BD32A7"/>
    <w:rsid w:val="00BD4390"/>
    <w:rsid w:val="00BD64F5"/>
    <w:rsid w:val="00BD65D9"/>
    <w:rsid w:val="00BD6F9D"/>
    <w:rsid w:val="00BE07E3"/>
    <w:rsid w:val="00BE0D3C"/>
    <w:rsid w:val="00BE7862"/>
    <w:rsid w:val="00BF1057"/>
    <w:rsid w:val="00BF1667"/>
    <w:rsid w:val="00BF1AD9"/>
    <w:rsid w:val="00BF27E4"/>
    <w:rsid w:val="00BF6DCA"/>
    <w:rsid w:val="00BF7849"/>
    <w:rsid w:val="00BF7D1D"/>
    <w:rsid w:val="00C01051"/>
    <w:rsid w:val="00C0131E"/>
    <w:rsid w:val="00C01F80"/>
    <w:rsid w:val="00C03267"/>
    <w:rsid w:val="00C0374F"/>
    <w:rsid w:val="00C03B45"/>
    <w:rsid w:val="00C04C79"/>
    <w:rsid w:val="00C05CEB"/>
    <w:rsid w:val="00C06964"/>
    <w:rsid w:val="00C06F30"/>
    <w:rsid w:val="00C07FC8"/>
    <w:rsid w:val="00C10109"/>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5DE9"/>
    <w:rsid w:val="00C47B45"/>
    <w:rsid w:val="00C5045C"/>
    <w:rsid w:val="00C50FDD"/>
    <w:rsid w:val="00C51684"/>
    <w:rsid w:val="00C517A9"/>
    <w:rsid w:val="00C518B9"/>
    <w:rsid w:val="00C52D46"/>
    <w:rsid w:val="00C52F10"/>
    <w:rsid w:val="00C54C6F"/>
    <w:rsid w:val="00C569B8"/>
    <w:rsid w:val="00C56E07"/>
    <w:rsid w:val="00C56F09"/>
    <w:rsid w:val="00C60ABF"/>
    <w:rsid w:val="00C61340"/>
    <w:rsid w:val="00C61E16"/>
    <w:rsid w:val="00C61E75"/>
    <w:rsid w:val="00C622EF"/>
    <w:rsid w:val="00C62C38"/>
    <w:rsid w:val="00C63285"/>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3A29"/>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6A30"/>
    <w:rsid w:val="00CA7FCA"/>
    <w:rsid w:val="00CB0799"/>
    <w:rsid w:val="00CB36CF"/>
    <w:rsid w:val="00CB3DC5"/>
    <w:rsid w:val="00CB4584"/>
    <w:rsid w:val="00CB4E0F"/>
    <w:rsid w:val="00CB5865"/>
    <w:rsid w:val="00CB5BCF"/>
    <w:rsid w:val="00CB6C6B"/>
    <w:rsid w:val="00CB763D"/>
    <w:rsid w:val="00CC1300"/>
    <w:rsid w:val="00CC319D"/>
    <w:rsid w:val="00CC3A6D"/>
    <w:rsid w:val="00CC6DC2"/>
    <w:rsid w:val="00CC76DD"/>
    <w:rsid w:val="00CD01D7"/>
    <w:rsid w:val="00CD0737"/>
    <w:rsid w:val="00CD09FF"/>
    <w:rsid w:val="00CD250A"/>
    <w:rsid w:val="00CD37A3"/>
    <w:rsid w:val="00CD3AB0"/>
    <w:rsid w:val="00CD3E08"/>
    <w:rsid w:val="00CD617D"/>
    <w:rsid w:val="00CD6740"/>
    <w:rsid w:val="00CD6E37"/>
    <w:rsid w:val="00CD72B9"/>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109"/>
    <w:rsid w:val="00CF51E2"/>
    <w:rsid w:val="00CF5277"/>
    <w:rsid w:val="00CF6977"/>
    <w:rsid w:val="00CF6C46"/>
    <w:rsid w:val="00CF75AB"/>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371E"/>
    <w:rsid w:val="00D13BA6"/>
    <w:rsid w:val="00D14A22"/>
    <w:rsid w:val="00D17369"/>
    <w:rsid w:val="00D1789C"/>
    <w:rsid w:val="00D205D1"/>
    <w:rsid w:val="00D20765"/>
    <w:rsid w:val="00D20CCF"/>
    <w:rsid w:val="00D2249F"/>
    <w:rsid w:val="00D22EDB"/>
    <w:rsid w:val="00D23F2B"/>
    <w:rsid w:val="00D255CB"/>
    <w:rsid w:val="00D2606F"/>
    <w:rsid w:val="00D3094E"/>
    <w:rsid w:val="00D32276"/>
    <w:rsid w:val="00D32EB6"/>
    <w:rsid w:val="00D3446C"/>
    <w:rsid w:val="00D34AA1"/>
    <w:rsid w:val="00D34C4A"/>
    <w:rsid w:val="00D35A56"/>
    <w:rsid w:val="00D360B9"/>
    <w:rsid w:val="00D364BB"/>
    <w:rsid w:val="00D37165"/>
    <w:rsid w:val="00D418EA"/>
    <w:rsid w:val="00D42996"/>
    <w:rsid w:val="00D42ECC"/>
    <w:rsid w:val="00D43D14"/>
    <w:rsid w:val="00D43D27"/>
    <w:rsid w:val="00D45940"/>
    <w:rsid w:val="00D462C9"/>
    <w:rsid w:val="00D46654"/>
    <w:rsid w:val="00D50EB2"/>
    <w:rsid w:val="00D52BA9"/>
    <w:rsid w:val="00D5333E"/>
    <w:rsid w:val="00D541EF"/>
    <w:rsid w:val="00D5445E"/>
    <w:rsid w:val="00D559A8"/>
    <w:rsid w:val="00D564C7"/>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9C1"/>
    <w:rsid w:val="00D85E9C"/>
    <w:rsid w:val="00D87166"/>
    <w:rsid w:val="00D87DAF"/>
    <w:rsid w:val="00D87F4D"/>
    <w:rsid w:val="00D926F6"/>
    <w:rsid w:val="00D96B63"/>
    <w:rsid w:val="00DA0663"/>
    <w:rsid w:val="00DA0B8E"/>
    <w:rsid w:val="00DA11C8"/>
    <w:rsid w:val="00DA120F"/>
    <w:rsid w:val="00DA1B7A"/>
    <w:rsid w:val="00DA25E3"/>
    <w:rsid w:val="00DA2736"/>
    <w:rsid w:val="00DA3CA6"/>
    <w:rsid w:val="00DA3E62"/>
    <w:rsid w:val="00DA4E00"/>
    <w:rsid w:val="00DA576B"/>
    <w:rsid w:val="00DA6933"/>
    <w:rsid w:val="00DB25AE"/>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678E"/>
    <w:rsid w:val="00DC7036"/>
    <w:rsid w:val="00DD02B2"/>
    <w:rsid w:val="00DD166A"/>
    <w:rsid w:val="00DD4073"/>
    <w:rsid w:val="00DD459A"/>
    <w:rsid w:val="00DD4721"/>
    <w:rsid w:val="00DD4A1E"/>
    <w:rsid w:val="00DD4D01"/>
    <w:rsid w:val="00DD564B"/>
    <w:rsid w:val="00DD5B99"/>
    <w:rsid w:val="00DD5BE3"/>
    <w:rsid w:val="00DD71A7"/>
    <w:rsid w:val="00DD7B37"/>
    <w:rsid w:val="00DE140D"/>
    <w:rsid w:val="00DE22A6"/>
    <w:rsid w:val="00DE6152"/>
    <w:rsid w:val="00DE62E9"/>
    <w:rsid w:val="00DE6970"/>
    <w:rsid w:val="00DE6CB2"/>
    <w:rsid w:val="00DF17D4"/>
    <w:rsid w:val="00DF1881"/>
    <w:rsid w:val="00DF3E0E"/>
    <w:rsid w:val="00DF4397"/>
    <w:rsid w:val="00DF555E"/>
    <w:rsid w:val="00DF7A44"/>
    <w:rsid w:val="00E009AE"/>
    <w:rsid w:val="00E00EAF"/>
    <w:rsid w:val="00E03D35"/>
    <w:rsid w:val="00E04148"/>
    <w:rsid w:val="00E04272"/>
    <w:rsid w:val="00E048E5"/>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20280"/>
    <w:rsid w:val="00E20DE6"/>
    <w:rsid w:val="00E226A1"/>
    <w:rsid w:val="00E228E5"/>
    <w:rsid w:val="00E22E1F"/>
    <w:rsid w:val="00E2305C"/>
    <w:rsid w:val="00E23FCC"/>
    <w:rsid w:val="00E246B9"/>
    <w:rsid w:val="00E24EC5"/>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37FB"/>
    <w:rsid w:val="00E53CDA"/>
    <w:rsid w:val="00E55A0E"/>
    <w:rsid w:val="00E55B96"/>
    <w:rsid w:val="00E56F05"/>
    <w:rsid w:val="00E56FE2"/>
    <w:rsid w:val="00E5753E"/>
    <w:rsid w:val="00E578FF"/>
    <w:rsid w:val="00E60B7E"/>
    <w:rsid w:val="00E610D3"/>
    <w:rsid w:val="00E6170C"/>
    <w:rsid w:val="00E641D6"/>
    <w:rsid w:val="00E650FB"/>
    <w:rsid w:val="00E65CF6"/>
    <w:rsid w:val="00E6753E"/>
    <w:rsid w:val="00E70F19"/>
    <w:rsid w:val="00E71DFF"/>
    <w:rsid w:val="00E72EA7"/>
    <w:rsid w:val="00E73049"/>
    <w:rsid w:val="00E7307C"/>
    <w:rsid w:val="00E73C78"/>
    <w:rsid w:val="00E75E82"/>
    <w:rsid w:val="00E77754"/>
    <w:rsid w:val="00E8292E"/>
    <w:rsid w:val="00E82BD8"/>
    <w:rsid w:val="00E83038"/>
    <w:rsid w:val="00E8395A"/>
    <w:rsid w:val="00E8566F"/>
    <w:rsid w:val="00E877A3"/>
    <w:rsid w:val="00E917C4"/>
    <w:rsid w:val="00E92EAF"/>
    <w:rsid w:val="00E92F4F"/>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7163"/>
    <w:rsid w:val="00EB74BE"/>
    <w:rsid w:val="00EC010B"/>
    <w:rsid w:val="00EC030A"/>
    <w:rsid w:val="00EC07C3"/>
    <w:rsid w:val="00EC1843"/>
    <w:rsid w:val="00EC22F2"/>
    <w:rsid w:val="00EC252E"/>
    <w:rsid w:val="00EC2B77"/>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3809"/>
    <w:rsid w:val="00F24400"/>
    <w:rsid w:val="00F25695"/>
    <w:rsid w:val="00F25A69"/>
    <w:rsid w:val="00F26D7F"/>
    <w:rsid w:val="00F271F6"/>
    <w:rsid w:val="00F27A8E"/>
    <w:rsid w:val="00F32039"/>
    <w:rsid w:val="00F32182"/>
    <w:rsid w:val="00F32605"/>
    <w:rsid w:val="00F32DA1"/>
    <w:rsid w:val="00F33F34"/>
    <w:rsid w:val="00F349A7"/>
    <w:rsid w:val="00F351A6"/>
    <w:rsid w:val="00F3533F"/>
    <w:rsid w:val="00F35C9C"/>
    <w:rsid w:val="00F36AE6"/>
    <w:rsid w:val="00F37025"/>
    <w:rsid w:val="00F41B91"/>
    <w:rsid w:val="00F426F7"/>
    <w:rsid w:val="00F4327A"/>
    <w:rsid w:val="00F45CD4"/>
    <w:rsid w:val="00F4635B"/>
    <w:rsid w:val="00F463A8"/>
    <w:rsid w:val="00F471E7"/>
    <w:rsid w:val="00F47425"/>
    <w:rsid w:val="00F5096E"/>
    <w:rsid w:val="00F50B25"/>
    <w:rsid w:val="00F51F71"/>
    <w:rsid w:val="00F54885"/>
    <w:rsid w:val="00F55174"/>
    <w:rsid w:val="00F55E85"/>
    <w:rsid w:val="00F60FE6"/>
    <w:rsid w:val="00F61606"/>
    <w:rsid w:val="00F623E6"/>
    <w:rsid w:val="00F62EE6"/>
    <w:rsid w:val="00F637CB"/>
    <w:rsid w:val="00F6552B"/>
    <w:rsid w:val="00F662CD"/>
    <w:rsid w:val="00F66F24"/>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B3"/>
    <w:rsid w:val="00F95FA1"/>
    <w:rsid w:val="00FA14FA"/>
    <w:rsid w:val="00FA18B0"/>
    <w:rsid w:val="00FA3616"/>
    <w:rsid w:val="00FA4A6F"/>
    <w:rsid w:val="00FA60F5"/>
    <w:rsid w:val="00FA62CC"/>
    <w:rsid w:val="00FA635A"/>
    <w:rsid w:val="00FB0962"/>
    <w:rsid w:val="00FB0E56"/>
    <w:rsid w:val="00FB0EB3"/>
    <w:rsid w:val="00FB52CD"/>
    <w:rsid w:val="00FB68ED"/>
    <w:rsid w:val="00FB6B6B"/>
    <w:rsid w:val="00FB7800"/>
    <w:rsid w:val="00FB7C05"/>
    <w:rsid w:val="00FC21B5"/>
    <w:rsid w:val="00FC2C10"/>
    <w:rsid w:val="00FC2CDA"/>
    <w:rsid w:val="00FC2F51"/>
    <w:rsid w:val="00FC31F9"/>
    <w:rsid w:val="00FC39C1"/>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A06"/>
    <w:rsid w:val="00FE0C72"/>
    <w:rsid w:val="00FE1D7E"/>
    <w:rsid w:val="00FE244A"/>
    <w:rsid w:val="00FE2C03"/>
    <w:rsid w:val="00FE60D4"/>
    <w:rsid w:val="00FE707D"/>
    <w:rsid w:val="00FE764E"/>
    <w:rsid w:val="00FF2005"/>
    <w:rsid w:val="00FF2392"/>
    <w:rsid w:val="00FF3045"/>
    <w:rsid w:val="00FF37EA"/>
    <w:rsid w:val="016650C5"/>
    <w:rsid w:val="01B64983"/>
    <w:rsid w:val="01D75500"/>
    <w:rsid w:val="023519FA"/>
    <w:rsid w:val="02490F00"/>
    <w:rsid w:val="02B75922"/>
    <w:rsid w:val="03064AB8"/>
    <w:rsid w:val="031F50E9"/>
    <w:rsid w:val="03F93A73"/>
    <w:rsid w:val="042046F5"/>
    <w:rsid w:val="04C16888"/>
    <w:rsid w:val="04FA1FCA"/>
    <w:rsid w:val="05FF746E"/>
    <w:rsid w:val="06087B94"/>
    <w:rsid w:val="065859F2"/>
    <w:rsid w:val="06611592"/>
    <w:rsid w:val="068679BC"/>
    <w:rsid w:val="0698114A"/>
    <w:rsid w:val="075A543F"/>
    <w:rsid w:val="079B069E"/>
    <w:rsid w:val="07D35B03"/>
    <w:rsid w:val="07E147B8"/>
    <w:rsid w:val="08066F25"/>
    <w:rsid w:val="08712537"/>
    <w:rsid w:val="088A118C"/>
    <w:rsid w:val="09003F4E"/>
    <w:rsid w:val="09045D6D"/>
    <w:rsid w:val="091D0999"/>
    <w:rsid w:val="096C7AFB"/>
    <w:rsid w:val="097A7AFA"/>
    <w:rsid w:val="09B91B6D"/>
    <w:rsid w:val="09CD0B32"/>
    <w:rsid w:val="09D25006"/>
    <w:rsid w:val="09F340E8"/>
    <w:rsid w:val="0A192532"/>
    <w:rsid w:val="0A46590B"/>
    <w:rsid w:val="0A732D15"/>
    <w:rsid w:val="0A757553"/>
    <w:rsid w:val="0AE5651C"/>
    <w:rsid w:val="0B9E6FCA"/>
    <w:rsid w:val="0C4C65F8"/>
    <w:rsid w:val="0C564236"/>
    <w:rsid w:val="0C6057CE"/>
    <w:rsid w:val="0C9221A3"/>
    <w:rsid w:val="0D1C26D4"/>
    <w:rsid w:val="0D1C451A"/>
    <w:rsid w:val="0D817CDD"/>
    <w:rsid w:val="0D952E82"/>
    <w:rsid w:val="0DCB2EC9"/>
    <w:rsid w:val="0DCC5184"/>
    <w:rsid w:val="0DD36CB2"/>
    <w:rsid w:val="0DDB5519"/>
    <w:rsid w:val="0E55598C"/>
    <w:rsid w:val="0ED16E22"/>
    <w:rsid w:val="0F252296"/>
    <w:rsid w:val="10CD3604"/>
    <w:rsid w:val="110342FF"/>
    <w:rsid w:val="1155430A"/>
    <w:rsid w:val="11BC45D2"/>
    <w:rsid w:val="11EF7FA7"/>
    <w:rsid w:val="121D6EB6"/>
    <w:rsid w:val="123E541D"/>
    <w:rsid w:val="127D2F5A"/>
    <w:rsid w:val="12843C37"/>
    <w:rsid w:val="132B5DB2"/>
    <w:rsid w:val="13336E3E"/>
    <w:rsid w:val="1386797B"/>
    <w:rsid w:val="13BA3963"/>
    <w:rsid w:val="13E75FD4"/>
    <w:rsid w:val="15045DDE"/>
    <w:rsid w:val="165728CC"/>
    <w:rsid w:val="165C6DCA"/>
    <w:rsid w:val="16AB440E"/>
    <w:rsid w:val="17362443"/>
    <w:rsid w:val="177E44BC"/>
    <w:rsid w:val="17B828B3"/>
    <w:rsid w:val="189961C1"/>
    <w:rsid w:val="19CD7761"/>
    <w:rsid w:val="19F66993"/>
    <w:rsid w:val="1B151E12"/>
    <w:rsid w:val="1B1D05BF"/>
    <w:rsid w:val="1B2B711A"/>
    <w:rsid w:val="1B352404"/>
    <w:rsid w:val="1B583A4F"/>
    <w:rsid w:val="1C0C2514"/>
    <w:rsid w:val="1C5E26D8"/>
    <w:rsid w:val="1C9A3A9B"/>
    <w:rsid w:val="1CBF7BEB"/>
    <w:rsid w:val="1CFF6D7B"/>
    <w:rsid w:val="1D0D3CA0"/>
    <w:rsid w:val="1D3C38E1"/>
    <w:rsid w:val="1D4A5240"/>
    <w:rsid w:val="1DA34160"/>
    <w:rsid w:val="1DC62E0E"/>
    <w:rsid w:val="1E517A3C"/>
    <w:rsid w:val="1E9E7BAF"/>
    <w:rsid w:val="20177A99"/>
    <w:rsid w:val="203931EC"/>
    <w:rsid w:val="20847E9B"/>
    <w:rsid w:val="209C11BA"/>
    <w:rsid w:val="20B117BA"/>
    <w:rsid w:val="210F67FD"/>
    <w:rsid w:val="2175068C"/>
    <w:rsid w:val="21A11273"/>
    <w:rsid w:val="21CB1AEC"/>
    <w:rsid w:val="21FA7BC8"/>
    <w:rsid w:val="224F4AB9"/>
    <w:rsid w:val="22BC3C5C"/>
    <w:rsid w:val="22E12559"/>
    <w:rsid w:val="231F1167"/>
    <w:rsid w:val="235C2BD4"/>
    <w:rsid w:val="23627251"/>
    <w:rsid w:val="23FF4341"/>
    <w:rsid w:val="240D5F0F"/>
    <w:rsid w:val="24DD63E5"/>
    <w:rsid w:val="252223C6"/>
    <w:rsid w:val="253446AE"/>
    <w:rsid w:val="254F2474"/>
    <w:rsid w:val="2581038F"/>
    <w:rsid w:val="25B11518"/>
    <w:rsid w:val="25B86563"/>
    <w:rsid w:val="25D3504C"/>
    <w:rsid w:val="26EB012B"/>
    <w:rsid w:val="26F05338"/>
    <w:rsid w:val="274C5C55"/>
    <w:rsid w:val="281531B6"/>
    <w:rsid w:val="28197C97"/>
    <w:rsid w:val="28C03F25"/>
    <w:rsid w:val="28E761A1"/>
    <w:rsid w:val="28F03549"/>
    <w:rsid w:val="2938027B"/>
    <w:rsid w:val="29F10FDB"/>
    <w:rsid w:val="2A495030"/>
    <w:rsid w:val="2A676E5E"/>
    <w:rsid w:val="2B8B629C"/>
    <w:rsid w:val="2B997798"/>
    <w:rsid w:val="2CA31F00"/>
    <w:rsid w:val="2CC20FAE"/>
    <w:rsid w:val="2CF47464"/>
    <w:rsid w:val="2D8809AB"/>
    <w:rsid w:val="2DA213EF"/>
    <w:rsid w:val="2DCA2DA2"/>
    <w:rsid w:val="2EC749A0"/>
    <w:rsid w:val="2F4C5C1C"/>
    <w:rsid w:val="2FBB4416"/>
    <w:rsid w:val="2FDB37C9"/>
    <w:rsid w:val="305459F9"/>
    <w:rsid w:val="30BE3DCE"/>
    <w:rsid w:val="30C44045"/>
    <w:rsid w:val="31175F88"/>
    <w:rsid w:val="31822DF7"/>
    <w:rsid w:val="31A072B4"/>
    <w:rsid w:val="31F85356"/>
    <w:rsid w:val="32346C34"/>
    <w:rsid w:val="32FB322A"/>
    <w:rsid w:val="331D3008"/>
    <w:rsid w:val="33456856"/>
    <w:rsid w:val="344B01BC"/>
    <w:rsid w:val="34580F33"/>
    <w:rsid w:val="35315E89"/>
    <w:rsid w:val="353A77E0"/>
    <w:rsid w:val="36345EE6"/>
    <w:rsid w:val="369B1D40"/>
    <w:rsid w:val="36E91C86"/>
    <w:rsid w:val="37586120"/>
    <w:rsid w:val="37BC2078"/>
    <w:rsid w:val="38051244"/>
    <w:rsid w:val="386C58FB"/>
    <w:rsid w:val="386D15ED"/>
    <w:rsid w:val="386E74A0"/>
    <w:rsid w:val="389F7463"/>
    <w:rsid w:val="38F83A90"/>
    <w:rsid w:val="39C37AC5"/>
    <w:rsid w:val="3A0F009A"/>
    <w:rsid w:val="3B2E47FC"/>
    <w:rsid w:val="3B6650C4"/>
    <w:rsid w:val="3BD66CA2"/>
    <w:rsid w:val="3C045D98"/>
    <w:rsid w:val="3C247E8C"/>
    <w:rsid w:val="3C6740CB"/>
    <w:rsid w:val="3C911857"/>
    <w:rsid w:val="3D26459F"/>
    <w:rsid w:val="3D811C0D"/>
    <w:rsid w:val="3DA60C38"/>
    <w:rsid w:val="3EE071AB"/>
    <w:rsid w:val="3EFC193A"/>
    <w:rsid w:val="3EFF2568"/>
    <w:rsid w:val="3F6C6257"/>
    <w:rsid w:val="3F82769A"/>
    <w:rsid w:val="3F8E389D"/>
    <w:rsid w:val="3FCC5A47"/>
    <w:rsid w:val="40C304AF"/>
    <w:rsid w:val="412A589A"/>
    <w:rsid w:val="434754A7"/>
    <w:rsid w:val="43FD06EB"/>
    <w:rsid w:val="44A839DA"/>
    <w:rsid w:val="44BC3620"/>
    <w:rsid w:val="453E2BF0"/>
    <w:rsid w:val="45C41F63"/>
    <w:rsid w:val="45C86C20"/>
    <w:rsid w:val="46166EF3"/>
    <w:rsid w:val="46526FBB"/>
    <w:rsid w:val="467F70E2"/>
    <w:rsid w:val="468D2996"/>
    <w:rsid w:val="46E9736C"/>
    <w:rsid w:val="47E6756D"/>
    <w:rsid w:val="47F765F5"/>
    <w:rsid w:val="48284861"/>
    <w:rsid w:val="484B38D4"/>
    <w:rsid w:val="4916398E"/>
    <w:rsid w:val="491D158A"/>
    <w:rsid w:val="49A27113"/>
    <w:rsid w:val="49F84FFA"/>
    <w:rsid w:val="4A012E2B"/>
    <w:rsid w:val="4A340100"/>
    <w:rsid w:val="4A915202"/>
    <w:rsid w:val="4AA309D9"/>
    <w:rsid w:val="4ABB1169"/>
    <w:rsid w:val="4B4306CC"/>
    <w:rsid w:val="4B5071E8"/>
    <w:rsid w:val="4BB3139E"/>
    <w:rsid w:val="4CAF6809"/>
    <w:rsid w:val="4D963478"/>
    <w:rsid w:val="4DAB5C01"/>
    <w:rsid w:val="4DEC6CD7"/>
    <w:rsid w:val="4E233D83"/>
    <w:rsid w:val="4E3D7F3A"/>
    <w:rsid w:val="4F94067F"/>
    <w:rsid w:val="4FB971E2"/>
    <w:rsid w:val="4FDD44A2"/>
    <w:rsid w:val="51082263"/>
    <w:rsid w:val="51780D80"/>
    <w:rsid w:val="5198572E"/>
    <w:rsid w:val="530F4A3C"/>
    <w:rsid w:val="53574187"/>
    <w:rsid w:val="53957371"/>
    <w:rsid w:val="544E0F5E"/>
    <w:rsid w:val="54651927"/>
    <w:rsid w:val="5498693F"/>
    <w:rsid w:val="54AF3253"/>
    <w:rsid w:val="55307659"/>
    <w:rsid w:val="55383F64"/>
    <w:rsid w:val="554876B4"/>
    <w:rsid w:val="5563094A"/>
    <w:rsid w:val="558A6E35"/>
    <w:rsid w:val="55BC6160"/>
    <w:rsid w:val="55C3793F"/>
    <w:rsid w:val="55E0339D"/>
    <w:rsid w:val="564B7CBB"/>
    <w:rsid w:val="56701600"/>
    <w:rsid w:val="571144BA"/>
    <w:rsid w:val="572405D5"/>
    <w:rsid w:val="5740026E"/>
    <w:rsid w:val="57D238B0"/>
    <w:rsid w:val="58424AB5"/>
    <w:rsid w:val="585531D4"/>
    <w:rsid w:val="58D05A14"/>
    <w:rsid w:val="595455B5"/>
    <w:rsid w:val="597534C9"/>
    <w:rsid w:val="598B7205"/>
    <w:rsid w:val="59F22154"/>
    <w:rsid w:val="5A074490"/>
    <w:rsid w:val="5AC6338F"/>
    <w:rsid w:val="5AD71A8C"/>
    <w:rsid w:val="5B0E4FB1"/>
    <w:rsid w:val="5B5E7E0F"/>
    <w:rsid w:val="5BC02519"/>
    <w:rsid w:val="5CC0147B"/>
    <w:rsid w:val="5D317589"/>
    <w:rsid w:val="5D750D1F"/>
    <w:rsid w:val="5D7E2E4E"/>
    <w:rsid w:val="5DDE48F7"/>
    <w:rsid w:val="5DE15411"/>
    <w:rsid w:val="5DF14806"/>
    <w:rsid w:val="5E834211"/>
    <w:rsid w:val="5EFB35C8"/>
    <w:rsid w:val="5F2A7A3E"/>
    <w:rsid w:val="5F3E0E69"/>
    <w:rsid w:val="5F511CFA"/>
    <w:rsid w:val="5F9F32CB"/>
    <w:rsid w:val="60387FDB"/>
    <w:rsid w:val="61477D3C"/>
    <w:rsid w:val="61C66D8F"/>
    <w:rsid w:val="62435918"/>
    <w:rsid w:val="624F3B9F"/>
    <w:rsid w:val="633254FB"/>
    <w:rsid w:val="63A43996"/>
    <w:rsid w:val="63C1553E"/>
    <w:rsid w:val="646265C8"/>
    <w:rsid w:val="647D4DF6"/>
    <w:rsid w:val="64CE04C8"/>
    <w:rsid w:val="64E57C14"/>
    <w:rsid w:val="651D65DC"/>
    <w:rsid w:val="653E0CAA"/>
    <w:rsid w:val="653F3646"/>
    <w:rsid w:val="663A25AC"/>
    <w:rsid w:val="663A71E2"/>
    <w:rsid w:val="66556900"/>
    <w:rsid w:val="677F5DB7"/>
    <w:rsid w:val="680B6B28"/>
    <w:rsid w:val="68195714"/>
    <w:rsid w:val="6853647C"/>
    <w:rsid w:val="68BC16D1"/>
    <w:rsid w:val="691C67FD"/>
    <w:rsid w:val="6A0213D5"/>
    <w:rsid w:val="6A5C18FD"/>
    <w:rsid w:val="6A6B167A"/>
    <w:rsid w:val="6A800F11"/>
    <w:rsid w:val="6A9F7173"/>
    <w:rsid w:val="6AD90BFC"/>
    <w:rsid w:val="6AF6560C"/>
    <w:rsid w:val="6C952CA3"/>
    <w:rsid w:val="6D2E6A4B"/>
    <w:rsid w:val="6D7A21A8"/>
    <w:rsid w:val="6D8E7684"/>
    <w:rsid w:val="6DD13669"/>
    <w:rsid w:val="6DD61318"/>
    <w:rsid w:val="6DE04C70"/>
    <w:rsid w:val="6F177A0C"/>
    <w:rsid w:val="6F3829E8"/>
    <w:rsid w:val="6FC45130"/>
    <w:rsid w:val="6FFA6383"/>
    <w:rsid w:val="708F3534"/>
    <w:rsid w:val="722F7768"/>
    <w:rsid w:val="7235211D"/>
    <w:rsid w:val="72D75763"/>
    <w:rsid w:val="73373EE4"/>
    <w:rsid w:val="733E6948"/>
    <w:rsid w:val="735C324C"/>
    <w:rsid w:val="73895392"/>
    <w:rsid w:val="73C95C5F"/>
    <w:rsid w:val="74141AB6"/>
    <w:rsid w:val="742B1FE0"/>
    <w:rsid w:val="747E0330"/>
    <w:rsid w:val="750744E5"/>
    <w:rsid w:val="753161AE"/>
    <w:rsid w:val="7586741C"/>
    <w:rsid w:val="76217F91"/>
    <w:rsid w:val="763C5D0A"/>
    <w:rsid w:val="764E1A8C"/>
    <w:rsid w:val="76AB4F26"/>
    <w:rsid w:val="76D80CE3"/>
    <w:rsid w:val="76DD75FA"/>
    <w:rsid w:val="77027A18"/>
    <w:rsid w:val="7704611C"/>
    <w:rsid w:val="773D0465"/>
    <w:rsid w:val="776058FD"/>
    <w:rsid w:val="7764533C"/>
    <w:rsid w:val="77C5597A"/>
    <w:rsid w:val="78562E84"/>
    <w:rsid w:val="786B2585"/>
    <w:rsid w:val="78F2573D"/>
    <w:rsid w:val="791118EB"/>
    <w:rsid w:val="79383A92"/>
    <w:rsid w:val="795C76D3"/>
    <w:rsid w:val="79671759"/>
    <w:rsid w:val="797075DA"/>
    <w:rsid w:val="7A1B3C8B"/>
    <w:rsid w:val="7A2B3F13"/>
    <w:rsid w:val="7B0F4118"/>
    <w:rsid w:val="7BB41C3D"/>
    <w:rsid w:val="7BDC50A2"/>
    <w:rsid w:val="7C005EF9"/>
    <w:rsid w:val="7C547E07"/>
    <w:rsid w:val="7C570E01"/>
    <w:rsid w:val="7C636DD4"/>
    <w:rsid w:val="7CFB0032"/>
    <w:rsid w:val="7D0B0461"/>
    <w:rsid w:val="7D0E182F"/>
    <w:rsid w:val="7D282903"/>
    <w:rsid w:val="7D401A7F"/>
    <w:rsid w:val="7D6650F0"/>
    <w:rsid w:val="7DC816C0"/>
    <w:rsid w:val="7E015867"/>
    <w:rsid w:val="7E753116"/>
    <w:rsid w:val="7E833FD3"/>
    <w:rsid w:val="7F827326"/>
    <w:rsid w:val="7F8E48CA"/>
    <w:rsid w:val="7F9F0041"/>
    <w:rsid w:val="7FAB18EF"/>
    <w:rsid w:val="7FEF1B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45"/>
    <w:qFormat/>
    <w:uiPriority w:val="9"/>
    <w:pPr>
      <w:keepNext/>
      <w:keepLines/>
      <w:spacing w:before="340" w:after="330" w:line="578" w:lineRule="auto"/>
      <w:jc w:val="center"/>
      <w:outlineLvl w:val="0"/>
    </w:pPr>
    <w:rPr>
      <w:bCs/>
      <w:kern w:val="44"/>
      <w:sz w:val="44"/>
      <w:szCs w:val="44"/>
    </w:rPr>
  </w:style>
  <w:style w:type="paragraph" w:styleId="5">
    <w:name w:val="heading 2"/>
    <w:basedOn w:val="1"/>
    <w:next w:val="1"/>
    <w:link w:val="48"/>
    <w:qFormat/>
    <w:uiPriority w:val="0"/>
    <w:pPr>
      <w:keepNext/>
      <w:keepLines/>
      <w:spacing w:before="260" w:after="260" w:line="500" w:lineRule="exact"/>
      <w:contextualSpacing/>
      <w:jc w:val="center"/>
      <w:outlineLvl w:val="1"/>
    </w:pPr>
    <w:rPr>
      <w:rFonts w:asciiTheme="majorEastAsia" w:hAnsiTheme="majorEastAsia" w:eastAsiaTheme="majorEastAsia"/>
      <w:sz w:val="32"/>
      <w:szCs w:val="28"/>
    </w:rPr>
  </w:style>
  <w:style w:type="paragraph" w:styleId="6">
    <w:name w:val="heading 3"/>
    <w:basedOn w:val="1"/>
    <w:next w:val="1"/>
    <w:link w:val="46"/>
    <w:qFormat/>
    <w:uiPriority w:val="0"/>
    <w:pPr>
      <w:adjustRightInd w:val="0"/>
      <w:snapToGrid w:val="0"/>
      <w:spacing w:line="500" w:lineRule="exact"/>
      <w:ind w:left="-88" w:leftChars="-42"/>
      <w:jc w:val="center"/>
      <w:outlineLvl w:val="2"/>
    </w:pPr>
    <w:rPr>
      <w:rFonts w:ascii="仿宋_GB2312" w:hAnsi="宋体" w:eastAsiaTheme="minorEastAsia"/>
      <w:b/>
      <w:sz w:val="32"/>
      <w:szCs w:val="32"/>
    </w:rPr>
  </w:style>
  <w:style w:type="paragraph" w:styleId="7">
    <w:name w:val="heading 4"/>
    <w:basedOn w:val="1"/>
    <w:next w:val="1"/>
    <w:link w:val="49"/>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47"/>
    <w:qFormat/>
    <w:uiPriority w:val="0"/>
    <w:pPr>
      <w:keepNext/>
      <w:keepLines/>
      <w:spacing w:before="280" w:after="290" w:line="376" w:lineRule="auto"/>
      <w:outlineLvl w:val="4"/>
    </w:pPr>
    <w:rPr>
      <w:b/>
      <w:bCs/>
      <w:sz w:val="28"/>
      <w:szCs w:val="28"/>
    </w:rPr>
  </w:style>
  <w:style w:type="paragraph" w:styleId="9">
    <w:name w:val="heading 6"/>
    <w:basedOn w:val="8"/>
    <w:next w:val="1"/>
    <w:link w:val="50"/>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0">
    <w:name w:val="heading 7"/>
    <w:basedOn w:val="9"/>
    <w:next w:val="1"/>
    <w:link w:val="51"/>
    <w:qFormat/>
    <w:uiPriority w:val="0"/>
    <w:pPr>
      <w:tabs>
        <w:tab w:val="left" w:pos="1800"/>
        <w:tab w:val="clear" w:pos="1440"/>
      </w:tabs>
      <w:ind w:left="1276" w:hanging="1276"/>
      <w:outlineLvl w:val="6"/>
    </w:pPr>
  </w:style>
  <w:style w:type="paragraph" w:styleId="11">
    <w:name w:val="heading 8"/>
    <w:basedOn w:val="10"/>
    <w:next w:val="1"/>
    <w:link w:val="52"/>
    <w:qFormat/>
    <w:uiPriority w:val="0"/>
    <w:pPr>
      <w:ind w:left="1418" w:hanging="1418"/>
      <w:outlineLvl w:val="7"/>
    </w:pPr>
  </w:style>
  <w:style w:type="paragraph" w:styleId="12">
    <w:name w:val="heading 9"/>
    <w:basedOn w:val="11"/>
    <w:next w:val="1"/>
    <w:link w:val="53"/>
    <w:qFormat/>
    <w:uiPriority w:val="0"/>
    <w:pPr>
      <w:tabs>
        <w:tab w:val="left" w:pos="2160"/>
        <w:tab w:val="clear" w:pos="1800"/>
      </w:tabs>
      <w:ind w:left="1559" w:hanging="1559"/>
      <w:outlineLvl w:val="8"/>
    </w:pPr>
  </w:style>
  <w:style w:type="character" w:default="1" w:styleId="35">
    <w:name w:val="Default Paragraph Font"/>
    <w:link w:val="36"/>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0" w:leftChars="0" w:firstLine="210"/>
    </w:pPr>
    <w:rPr>
      <w:szCs w:val="20"/>
    </w:r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13">
    <w:name w:val="Normal Indent"/>
    <w:basedOn w:val="1"/>
    <w:link w:val="60"/>
    <w:unhideWhenUsed/>
    <w:qFormat/>
    <w:uiPriority w:val="0"/>
    <w:pPr>
      <w:ind w:firstLine="420" w:firstLineChars="200"/>
    </w:pPr>
  </w:style>
  <w:style w:type="paragraph" w:styleId="14">
    <w:name w:val="Document Map"/>
    <w:basedOn w:val="1"/>
    <w:link w:val="65"/>
    <w:qFormat/>
    <w:uiPriority w:val="0"/>
    <w:rPr>
      <w:rFonts w:ascii="宋体"/>
      <w:sz w:val="18"/>
      <w:szCs w:val="18"/>
    </w:rPr>
  </w:style>
  <w:style w:type="paragraph" w:styleId="15">
    <w:name w:val="annotation text"/>
    <w:basedOn w:val="1"/>
    <w:link w:val="63"/>
    <w:qFormat/>
    <w:uiPriority w:val="0"/>
    <w:pPr>
      <w:jc w:val="left"/>
    </w:pPr>
  </w:style>
  <w:style w:type="paragraph" w:styleId="16">
    <w:name w:val="Body Text"/>
    <w:basedOn w:val="1"/>
    <w:next w:val="17"/>
    <w:semiHidden/>
    <w:unhideWhenUsed/>
    <w:qFormat/>
    <w:uiPriority w:val="0"/>
    <w:pPr>
      <w:spacing w:after="120"/>
    </w:pPr>
  </w:style>
  <w:style w:type="paragraph" w:customStyle="1" w:styleId="1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18">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19">
    <w:name w:val="toc 3"/>
    <w:basedOn w:val="1"/>
    <w:next w:val="1"/>
    <w:unhideWhenUsed/>
    <w:qFormat/>
    <w:uiPriority w:val="39"/>
    <w:pPr>
      <w:ind w:left="840" w:leftChars="400"/>
    </w:pPr>
  </w:style>
  <w:style w:type="paragraph" w:styleId="20">
    <w:name w:val="Plain Text"/>
    <w:basedOn w:val="1"/>
    <w:link w:val="57"/>
    <w:qFormat/>
    <w:uiPriority w:val="0"/>
    <w:rPr>
      <w:rFonts w:ascii="宋体" w:hAnsi="Courier New"/>
      <w:szCs w:val="21"/>
    </w:rPr>
  </w:style>
  <w:style w:type="paragraph" w:styleId="21">
    <w:name w:val="Date"/>
    <w:basedOn w:val="1"/>
    <w:next w:val="1"/>
    <w:qFormat/>
    <w:uiPriority w:val="0"/>
    <w:pPr>
      <w:ind w:left="100" w:leftChars="2500"/>
    </w:pPr>
    <w:rPr>
      <w:rFonts w:ascii="宋体" w:hAnsi="Courier New" w:cs="Courier New"/>
      <w:szCs w:val="21"/>
    </w:rPr>
  </w:style>
  <w:style w:type="paragraph" w:styleId="22">
    <w:name w:val="Balloon Text"/>
    <w:basedOn w:val="1"/>
    <w:semiHidden/>
    <w:qFormat/>
    <w:uiPriority w:val="0"/>
    <w:rPr>
      <w:sz w:val="18"/>
      <w:szCs w:val="18"/>
    </w:r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8222"/>
      </w:tabs>
      <w:spacing w:line="440" w:lineRule="exact"/>
      <w:ind w:right="231" w:rightChars="110"/>
    </w:pPr>
    <w:rPr>
      <w:sz w:val="28"/>
    </w:rPr>
  </w:style>
  <w:style w:type="paragraph" w:styleId="26">
    <w:name w:val="footnote text"/>
    <w:basedOn w:val="1"/>
    <w:semiHidden/>
    <w:unhideWhenUsed/>
    <w:qFormat/>
    <w:uiPriority w:val="99"/>
    <w:pPr>
      <w:snapToGrid w:val="0"/>
      <w:jc w:val="left"/>
    </w:pPr>
    <w:rPr>
      <w:sz w:val="18"/>
      <w:szCs w:val="18"/>
    </w:rPr>
  </w:style>
  <w:style w:type="paragraph" w:styleId="27">
    <w:name w:val="Body Text Indent 3"/>
    <w:basedOn w:val="1"/>
    <w:link w:val="72"/>
    <w:semiHidden/>
    <w:unhideWhenUsed/>
    <w:qFormat/>
    <w:uiPriority w:val="0"/>
    <w:pPr>
      <w:spacing w:after="120"/>
      <w:ind w:left="420" w:leftChars="200"/>
    </w:pPr>
    <w:rPr>
      <w:sz w:val="16"/>
      <w:szCs w:val="16"/>
    </w:rPr>
  </w:style>
  <w:style w:type="paragraph" w:styleId="28">
    <w:name w:val="toc 2"/>
    <w:basedOn w:val="1"/>
    <w:next w:val="1"/>
    <w:qFormat/>
    <w:uiPriority w:val="39"/>
    <w:pPr>
      <w:tabs>
        <w:tab w:val="right" w:leader="dot" w:pos="8222"/>
      </w:tabs>
      <w:ind w:left="420" w:leftChars="200"/>
      <w:jc w:val="left"/>
    </w:pPr>
    <w:rPr>
      <w:sz w:val="28"/>
    </w:rPr>
  </w:style>
  <w:style w:type="paragraph" w:styleId="29">
    <w:name w:val="Normal (Web)"/>
    <w:basedOn w:val="1"/>
    <w:qFormat/>
    <w:uiPriority w:val="0"/>
    <w:pPr>
      <w:widowControl/>
      <w:spacing w:before="100" w:beforeAutospacing="1" w:after="100" w:afterAutospacing="1"/>
      <w:jc w:val="left"/>
    </w:pPr>
    <w:rPr>
      <w:rFonts w:ascii="宋体" w:hAnsi="宋体"/>
      <w:kern w:val="0"/>
      <w:sz w:val="24"/>
    </w:rPr>
  </w:style>
  <w:style w:type="paragraph" w:styleId="30">
    <w:name w:val="Title"/>
    <w:basedOn w:val="5"/>
    <w:next w:val="1"/>
    <w:link w:val="44"/>
    <w:qFormat/>
    <w:uiPriority w:val="0"/>
    <w:pPr>
      <w:jc w:val="both"/>
    </w:pPr>
    <w:rPr>
      <w:rFonts w:ascii="宋体"/>
      <w:sz w:val="44"/>
    </w:rPr>
  </w:style>
  <w:style w:type="paragraph" w:styleId="31">
    <w:name w:val="annotation subject"/>
    <w:basedOn w:val="15"/>
    <w:next w:val="15"/>
    <w:link w:val="62"/>
    <w:qFormat/>
    <w:uiPriority w:val="99"/>
    <w:rPr>
      <w:rFonts w:ascii="Times New Roman" w:hAnsi="Times New Roman"/>
      <w:b/>
      <w:sz w:val="28"/>
      <w:szCs w:val="20"/>
    </w:rPr>
  </w:style>
  <w:style w:type="paragraph" w:styleId="32">
    <w:name w:val="Body Text First Indent"/>
    <w:basedOn w:val="16"/>
    <w:qFormat/>
    <w:uiPriority w:val="0"/>
    <w:pPr>
      <w:ind w:firstLine="420" w:firstLineChars="100"/>
    </w:pPr>
    <w:rPr>
      <w:rFonts w:ascii="Times New Roman" w:hAnsi="Times New Roman" w:eastAsia="宋体" w:cs="Times New Roman"/>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6">
    <w:name w:val=" Char"/>
    <w:basedOn w:val="1"/>
    <w:link w:val="35"/>
    <w:qFormat/>
    <w:uiPriority w:val="0"/>
    <w:pPr>
      <w:tabs>
        <w:tab w:val="left" w:pos="432"/>
      </w:tabs>
      <w:spacing w:before="156" w:beforeLines="50" w:after="156" w:afterLines="50"/>
      <w:ind w:left="432" w:hanging="432"/>
    </w:pPr>
  </w:style>
  <w:style w:type="character" w:styleId="37">
    <w:name w:val="Strong"/>
    <w:basedOn w:val="35"/>
    <w:qFormat/>
    <w:uiPriority w:val="0"/>
    <w:rPr>
      <w:b/>
      <w:bCs/>
    </w:rPr>
  </w:style>
  <w:style w:type="character" w:styleId="38">
    <w:name w:val="page number"/>
    <w:basedOn w:val="35"/>
    <w:qFormat/>
    <w:uiPriority w:val="0"/>
  </w:style>
  <w:style w:type="character" w:styleId="39">
    <w:name w:val="Hyperlink"/>
    <w:qFormat/>
    <w:uiPriority w:val="99"/>
    <w:rPr>
      <w:color w:val="0000FF"/>
      <w:u w:val="single"/>
    </w:rPr>
  </w:style>
  <w:style w:type="character" w:styleId="40">
    <w:name w:val="annotation reference"/>
    <w:basedOn w:val="35"/>
    <w:unhideWhenUsed/>
    <w:qFormat/>
    <w:uiPriority w:val="0"/>
    <w:rPr>
      <w:sz w:val="21"/>
      <w:szCs w:val="21"/>
    </w:rPr>
  </w:style>
  <w:style w:type="character" w:styleId="41">
    <w:name w:val="footnote reference"/>
    <w:basedOn w:val="35"/>
    <w:semiHidden/>
    <w:unhideWhenUsed/>
    <w:qFormat/>
    <w:uiPriority w:val="99"/>
    <w:rPr>
      <w:vertAlign w:val="superscript"/>
    </w:rPr>
  </w:style>
  <w:style w:type="paragraph" w:customStyle="1" w:styleId="42">
    <w:name w:val="样式1"/>
    <w:basedOn w:val="1"/>
    <w:qFormat/>
    <w:uiPriority w:val="0"/>
    <w:pPr>
      <w:tabs>
        <w:tab w:val="left" w:pos="709"/>
      </w:tabs>
      <w:adjustRightInd w:val="0"/>
      <w:ind w:left="709" w:hanging="709"/>
      <w:textAlignment w:val="baseline"/>
    </w:pPr>
    <w:rPr>
      <w:rFonts w:ascii="宋体" w:hAnsi="宋体"/>
      <w:kern w:val="0"/>
      <w:szCs w:val="21"/>
    </w:rPr>
  </w:style>
  <w:style w:type="character" w:customStyle="1" w:styleId="43">
    <w:name w:val="case31"/>
    <w:qFormat/>
    <w:uiPriority w:val="0"/>
    <w:rPr>
      <w:rFonts w:hint="default"/>
      <w:spacing w:val="390"/>
      <w:sz w:val="21"/>
      <w:szCs w:val="21"/>
    </w:rPr>
  </w:style>
  <w:style w:type="character" w:customStyle="1" w:styleId="44">
    <w:name w:val="标题 Char"/>
    <w:link w:val="30"/>
    <w:qFormat/>
    <w:uiPriority w:val="0"/>
    <w:rPr>
      <w:rFonts w:ascii="宋体" w:hAnsiTheme="majorEastAsia" w:eastAsiaTheme="majorEastAsia"/>
      <w:b/>
      <w:kern w:val="2"/>
      <w:sz w:val="44"/>
      <w:szCs w:val="28"/>
    </w:rPr>
  </w:style>
  <w:style w:type="character" w:customStyle="1" w:styleId="45">
    <w:name w:val="标题 1 Char"/>
    <w:link w:val="4"/>
    <w:qFormat/>
    <w:uiPriority w:val="9"/>
    <w:rPr>
      <w:rFonts w:ascii="Calibri" w:hAnsi="Calibri"/>
      <w:b/>
      <w:bCs/>
      <w:kern w:val="44"/>
      <w:sz w:val="44"/>
      <w:szCs w:val="44"/>
    </w:rPr>
  </w:style>
  <w:style w:type="character" w:customStyle="1" w:styleId="46">
    <w:name w:val="标题 3 Char"/>
    <w:link w:val="6"/>
    <w:qFormat/>
    <w:uiPriority w:val="0"/>
    <w:rPr>
      <w:rFonts w:ascii="仿宋_GB2312" w:hAnsi="宋体" w:eastAsiaTheme="minorEastAsia"/>
      <w:b/>
      <w:kern w:val="2"/>
      <w:sz w:val="32"/>
      <w:szCs w:val="32"/>
    </w:rPr>
  </w:style>
  <w:style w:type="character" w:customStyle="1" w:styleId="47">
    <w:name w:val="标题 5 Char"/>
    <w:link w:val="8"/>
    <w:qFormat/>
    <w:uiPriority w:val="0"/>
    <w:rPr>
      <w:rFonts w:ascii="Calibri" w:hAnsi="Calibri"/>
      <w:b/>
      <w:bCs/>
      <w:kern w:val="2"/>
      <w:sz w:val="28"/>
      <w:szCs w:val="28"/>
    </w:rPr>
  </w:style>
  <w:style w:type="character" w:customStyle="1" w:styleId="48">
    <w:name w:val="标题 2 Char"/>
    <w:link w:val="5"/>
    <w:qFormat/>
    <w:uiPriority w:val="0"/>
    <w:rPr>
      <w:rFonts w:asciiTheme="majorEastAsia" w:hAnsiTheme="majorEastAsia" w:eastAsiaTheme="majorEastAsia"/>
      <w:b/>
      <w:kern w:val="2"/>
      <w:sz w:val="32"/>
      <w:szCs w:val="28"/>
    </w:rPr>
  </w:style>
  <w:style w:type="character" w:customStyle="1" w:styleId="49">
    <w:name w:val="标题 4 Char"/>
    <w:link w:val="7"/>
    <w:qFormat/>
    <w:uiPriority w:val="0"/>
    <w:rPr>
      <w:rFonts w:ascii="Arial" w:hAnsi="Arial" w:eastAsia="黑体"/>
      <w:b/>
      <w:bCs/>
      <w:kern w:val="2"/>
      <w:sz w:val="28"/>
      <w:szCs w:val="28"/>
    </w:rPr>
  </w:style>
  <w:style w:type="character" w:customStyle="1" w:styleId="50">
    <w:name w:val="标题 6 Char"/>
    <w:link w:val="9"/>
    <w:qFormat/>
    <w:uiPriority w:val="0"/>
    <w:rPr>
      <w:b/>
      <w:bCs/>
      <w:kern w:val="2"/>
      <w:sz w:val="30"/>
      <w:szCs w:val="18"/>
    </w:rPr>
  </w:style>
  <w:style w:type="character" w:customStyle="1" w:styleId="51">
    <w:name w:val="标题 7 Char"/>
    <w:link w:val="10"/>
    <w:qFormat/>
    <w:uiPriority w:val="0"/>
    <w:rPr>
      <w:b/>
      <w:bCs/>
      <w:kern w:val="2"/>
      <w:sz w:val="30"/>
      <w:szCs w:val="18"/>
    </w:rPr>
  </w:style>
  <w:style w:type="character" w:customStyle="1" w:styleId="52">
    <w:name w:val="标题 8 Char"/>
    <w:link w:val="11"/>
    <w:qFormat/>
    <w:uiPriority w:val="0"/>
    <w:rPr>
      <w:b/>
      <w:bCs/>
      <w:kern w:val="2"/>
      <w:sz w:val="30"/>
      <w:szCs w:val="18"/>
    </w:rPr>
  </w:style>
  <w:style w:type="character" w:customStyle="1" w:styleId="53">
    <w:name w:val="标题 9 Char"/>
    <w:link w:val="12"/>
    <w:qFormat/>
    <w:uiPriority w:val="0"/>
    <w:rPr>
      <w:b/>
      <w:bCs/>
      <w:kern w:val="2"/>
      <w:sz w:val="30"/>
      <w:szCs w:val="18"/>
    </w:rPr>
  </w:style>
  <w:style w:type="paragraph" w:customStyle="1" w:styleId="54">
    <w:name w:val="列出段落1"/>
    <w:basedOn w:val="1"/>
    <w:qFormat/>
    <w:uiPriority w:val="34"/>
    <w:pPr>
      <w:ind w:firstLine="420" w:firstLineChars="200"/>
    </w:pPr>
  </w:style>
  <w:style w:type="paragraph" w:customStyle="1" w:styleId="55">
    <w:name w:val="TOC 标题1"/>
    <w:basedOn w:val="4"/>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56">
    <w:name w:val="页眉 Char"/>
    <w:link w:val="24"/>
    <w:qFormat/>
    <w:uiPriority w:val="99"/>
    <w:rPr>
      <w:rFonts w:ascii="Calibri" w:hAnsi="Calibri" w:eastAsia="宋体" w:cs="Times New Roman"/>
      <w:kern w:val="2"/>
      <w:sz w:val="18"/>
      <w:szCs w:val="18"/>
    </w:rPr>
  </w:style>
  <w:style w:type="character" w:customStyle="1" w:styleId="57">
    <w:name w:val="纯文本 Char"/>
    <w:link w:val="20"/>
    <w:qFormat/>
    <w:locked/>
    <w:uiPriority w:val="0"/>
    <w:rPr>
      <w:rFonts w:ascii="宋体" w:hAnsi="Courier New" w:eastAsia="宋体" w:cs="Courier New"/>
      <w:kern w:val="2"/>
      <w:sz w:val="21"/>
      <w:szCs w:val="21"/>
    </w:rPr>
  </w:style>
  <w:style w:type="paragraph" w:customStyle="1" w:styleId="58">
    <w:name w:val="需求样式"/>
    <w:basedOn w:val="4"/>
    <w:link w:val="59"/>
    <w:qFormat/>
    <w:uiPriority w:val="0"/>
    <w:pPr>
      <w:spacing w:before="120" w:after="120" w:line="360" w:lineRule="auto"/>
      <w:ind w:left="425" w:hanging="425"/>
    </w:pPr>
    <w:rPr>
      <w:rFonts w:ascii="Times New Roman" w:hAnsi="Times New Roman"/>
      <w:sz w:val="32"/>
      <w:szCs w:val="28"/>
    </w:rPr>
  </w:style>
  <w:style w:type="character" w:customStyle="1" w:styleId="59">
    <w:name w:val="需求样式 Char"/>
    <w:link w:val="58"/>
    <w:qFormat/>
    <w:uiPriority w:val="0"/>
    <w:rPr>
      <w:b/>
      <w:bCs/>
      <w:kern w:val="44"/>
      <w:sz w:val="32"/>
      <w:szCs w:val="28"/>
    </w:rPr>
  </w:style>
  <w:style w:type="character" w:customStyle="1" w:styleId="60">
    <w:name w:val="正文缩进 Char"/>
    <w:link w:val="13"/>
    <w:qFormat/>
    <w:uiPriority w:val="0"/>
    <w:rPr>
      <w:rFonts w:ascii="Calibri" w:hAnsi="Calibri" w:eastAsia="宋体"/>
      <w:kern w:val="2"/>
      <w:sz w:val="21"/>
      <w:szCs w:val="22"/>
      <w:lang w:val="en-US" w:eastAsia="zh-CN" w:bidi="ar-SA"/>
    </w:rPr>
  </w:style>
  <w:style w:type="character" w:customStyle="1" w:styleId="61">
    <w:name w:val="普通文字 Char Char2"/>
    <w:qFormat/>
    <w:uiPriority w:val="0"/>
    <w:rPr>
      <w:rFonts w:ascii="宋体" w:hAnsi="Courier New" w:cs="Courier New"/>
      <w:kern w:val="2"/>
      <w:sz w:val="21"/>
      <w:szCs w:val="21"/>
    </w:rPr>
  </w:style>
  <w:style w:type="character" w:customStyle="1" w:styleId="62">
    <w:name w:val="批注主题 Char"/>
    <w:link w:val="31"/>
    <w:qFormat/>
    <w:uiPriority w:val="99"/>
    <w:rPr>
      <w:b/>
      <w:kern w:val="2"/>
      <w:sz w:val="28"/>
    </w:rPr>
  </w:style>
  <w:style w:type="character" w:customStyle="1" w:styleId="63">
    <w:name w:val="批注文字 Char"/>
    <w:basedOn w:val="35"/>
    <w:link w:val="15"/>
    <w:qFormat/>
    <w:uiPriority w:val="0"/>
    <w:rPr>
      <w:rFonts w:ascii="Calibri" w:hAnsi="Calibri"/>
      <w:kern w:val="2"/>
      <w:sz w:val="21"/>
      <w:szCs w:val="22"/>
    </w:rPr>
  </w:style>
  <w:style w:type="character" w:customStyle="1" w:styleId="64">
    <w:name w:val="批注主题 Char1"/>
    <w:basedOn w:val="63"/>
    <w:qFormat/>
    <w:uiPriority w:val="0"/>
    <w:rPr>
      <w:rFonts w:ascii="Calibri" w:hAnsi="Calibri"/>
      <w:b/>
      <w:bCs/>
      <w:kern w:val="2"/>
      <w:sz w:val="21"/>
      <w:szCs w:val="22"/>
    </w:rPr>
  </w:style>
  <w:style w:type="character" w:customStyle="1" w:styleId="65">
    <w:name w:val="文档结构图 Char"/>
    <w:basedOn w:val="35"/>
    <w:link w:val="14"/>
    <w:qFormat/>
    <w:uiPriority w:val="0"/>
    <w:rPr>
      <w:rFonts w:ascii="宋体" w:hAnsi="Calibri"/>
      <w:kern w:val="2"/>
      <w:sz w:val="18"/>
      <w:szCs w:val="18"/>
    </w:rPr>
  </w:style>
  <w:style w:type="paragraph" w:customStyle="1" w:styleId="66">
    <w:name w:val="修订1"/>
    <w:hidden/>
    <w:semiHidden/>
    <w:qFormat/>
    <w:uiPriority w:val="99"/>
    <w:rPr>
      <w:rFonts w:ascii="Calibri" w:hAnsi="Calibri" w:eastAsia="宋体" w:cs="Times New Roman"/>
      <w:kern w:val="2"/>
      <w:sz w:val="21"/>
      <w:szCs w:val="22"/>
      <w:lang w:val="en-US" w:eastAsia="zh-CN" w:bidi="ar-SA"/>
    </w:rPr>
  </w:style>
  <w:style w:type="paragraph" w:customStyle="1" w:styleId="67">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68">
    <w:name w:val="2册标题2 Char"/>
    <w:link w:val="69"/>
    <w:qFormat/>
    <w:uiPriority w:val="0"/>
    <w:rPr>
      <w:rFonts w:ascii="Arial" w:hAnsi="Arial" w:eastAsia="黑体"/>
      <w:kern w:val="2"/>
      <w:sz w:val="30"/>
    </w:rPr>
  </w:style>
  <w:style w:type="paragraph" w:customStyle="1" w:styleId="69">
    <w:name w:val="2册标题2"/>
    <w:basedOn w:val="1"/>
    <w:next w:val="1"/>
    <w:link w:val="68"/>
    <w:qFormat/>
    <w:uiPriority w:val="0"/>
    <w:pPr>
      <w:spacing w:beforeLines="50" w:afterLines="50" w:line="300" w:lineRule="auto"/>
      <w:outlineLvl w:val="1"/>
    </w:pPr>
    <w:rPr>
      <w:rFonts w:ascii="Arial" w:hAnsi="Arial" w:eastAsia="黑体"/>
      <w:sz w:val="30"/>
      <w:szCs w:val="20"/>
    </w:rPr>
  </w:style>
  <w:style w:type="paragraph" w:styleId="70">
    <w:name w:val="List Paragraph"/>
    <w:basedOn w:val="1"/>
    <w:unhideWhenUsed/>
    <w:qFormat/>
    <w:uiPriority w:val="99"/>
    <w:pPr>
      <w:ind w:firstLine="420" w:firstLineChars="200"/>
    </w:pPr>
  </w:style>
  <w:style w:type="paragraph" w:customStyle="1" w:styleId="71">
    <w:name w:val="TOC Heading"/>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character" w:customStyle="1" w:styleId="72">
    <w:name w:val="正文文本缩进 3 Char"/>
    <w:basedOn w:val="35"/>
    <w:link w:val="27"/>
    <w:semiHidden/>
    <w:qFormat/>
    <w:uiPriority w:val="0"/>
    <w:rPr>
      <w:rFonts w:ascii="Calibri" w:hAnsi="Calibri"/>
      <w:kern w:val="2"/>
      <w:sz w:val="16"/>
      <w:szCs w:val="16"/>
    </w:rPr>
  </w:style>
  <w:style w:type="paragraph" w:customStyle="1" w:styleId="7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75">
    <w:name w:val="font21"/>
    <w:qFormat/>
    <w:uiPriority w:val="0"/>
    <w:rPr>
      <w:rFonts w:ascii="Arial" w:hAnsi="Arial" w:cs="Arial"/>
      <w:color w:val="FF0000"/>
      <w:sz w:val="20"/>
      <w:szCs w:val="20"/>
      <w:u w:val="none"/>
    </w:rPr>
  </w:style>
  <w:style w:type="character" w:customStyle="1" w:styleId="76">
    <w:name w:val="font31"/>
    <w:qFormat/>
    <w:uiPriority w:val="0"/>
    <w:rPr>
      <w:rFonts w:hint="eastAsia" w:ascii="宋体" w:hAnsi="宋体" w:eastAsia="宋体" w:cs="宋体"/>
      <w:color w:val="FF0000"/>
      <w:sz w:val="20"/>
      <w:szCs w:val="20"/>
      <w:u w:val="none"/>
    </w:rPr>
  </w:style>
  <w:style w:type="character" w:customStyle="1" w:styleId="77">
    <w:name w:val="font01"/>
    <w:qFormat/>
    <w:uiPriority w:val="0"/>
    <w:rPr>
      <w:rFonts w:hint="eastAsia" w:ascii="宋体" w:hAnsi="宋体" w:eastAsia="宋体" w:cs="宋体"/>
      <w:color w:val="FF0000"/>
      <w:sz w:val="20"/>
      <w:szCs w:val="20"/>
      <w:u w:val="single"/>
    </w:rPr>
  </w:style>
  <w:style w:type="character" w:customStyle="1" w:styleId="78">
    <w:name w:val="font11"/>
    <w:qFormat/>
    <w:uiPriority w:val="0"/>
    <w:rPr>
      <w:rFonts w:hint="default" w:ascii="Arial" w:hAnsi="Arial" w:cs="Arial"/>
      <w:color w:val="FF0000"/>
      <w:sz w:val="20"/>
      <w:szCs w:val="20"/>
      <w:u w:val="single"/>
    </w:rPr>
  </w:style>
  <w:style w:type="paragraph" w:styleId="79">
    <w:name w:val="No Spacing"/>
    <w:basedOn w:val="1"/>
    <w:qFormat/>
    <w:uiPriority w:val="1"/>
    <w:pPr>
      <w:widowControl w:val="0"/>
      <w:jc w:val="both"/>
    </w:pPr>
    <w:rPr>
      <w:kern w:val="2"/>
      <w:sz w:val="21"/>
      <w:szCs w:val="24"/>
      <w:lang w:val="en-US" w:eastAsia="zh-CN" w:bidi="ar-SA"/>
    </w:rPr>
  </w:style>
  <w:style w:type="paragraph" w:customStyle="1" w:styleId="80">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81">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2">
    <w:name w:val="标题 3_0_0"/>
    <w:basedOn w:val="83"/>
    <w:next w:val="81"/>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83">
    <w:name w:val="正文_1_0"/>
    <w:qFormat/>
    <w:uiPriority w:val="0"/>
    <w:pPr>
      <w:widowControl w:val="0"/>
      <w:jc w:val="both"/>
    </w:pPr>
    <w:rPr>
      <w:rFonts w:ascii="Calibri" w:hAnsi="Calibri" w:eastAsia="Calibri" w:cs="Times New Roman"/>
      <w:kern w:val="2"/>
      <w:sz w:val="28"/>
      <w:szCs w:val="22"/>
      <w:lang w:val="en-US" w:eastAsia="zh-CN" w:bidi="ar-SA"/>
    </w:rPr>
  </w:style>
  <w:style w:type="paragraph" w:customStyle="1" w:styleId="84">
    <w:name w:val="正文文本缩进_1"/>
    <w:basedOn w:val="85"/>
    <w:qFormat/>
    <w:uiPriority w:val="0"/>
    <w:pPr>
      <w:spacing w:line="500" w:lineRule="exact"/>
      <w:ind w:left="1588" w:leftChars="832" w:firstLine="433" w:firstLineChars="196"/>
    </w:pPr>
    <w:rPr>
      <w:kern w:val="0"/>
      <w:sz w:val="24"/>
    </w:rPr>
  </w:style>
  <w:style w:type="paragraph" w:customStyle="1" w:styleId="85">
    <w:name w:val="正文_7"/>
    <w:qFormat/>
    <w:uiPriority w:val="0"/>
    <w:pPr>
      <w:widowControl w:val="0"/>
      <w:jc w:val="both"/>
    </w:pPr>
    <w:rPr>
      <w:rFonts w:ascii="Calibri" w:hAnsi="Calibri" w:eastAsia="宋体" w:cs="Times New Roman"/>
      <w:kern w:val="2"/>
      <w:sz w:val="21"/>
      <w:szCs w:val="24"/>
      <w:lang w:val="en-US" w:eastAsia="zh-CN" w:bidi="ar-SA"/>
    </w:rPr>
  </w:style>
  <w:style w:type="paragraph" w:customStyle="1" w:styleId="86">
    <w:name w:val="正文文本缩进_2"/>
    <w:basedOn w:val="87"/>
    <w:qFormat/>
    <w:uiPriority w:val="0"/>
    <w:pPr>
      <w:spacing w:line="500" w:lineRule="exact"/>
      <w:ind w:left="1588" w:leftChars="832" w:firstLine="433" w:firstLineChars="196"/>
    </w:pPr>
    <w:rPr>
      <w:kern w:val="0"/>
      <w:sz w:val="24"/>
    </w:rPr>
  </w:style>
  <w:style w:type="paragraph" w:customStyle="1" w:styleId="87">
    <w:name w:val="正文_8"/>
    <w:qFormat/>
    <w:uiPriority w:val="0"/>
    <w:pPr>
      <w:widowControl w:val="0"/>
      <w:jc w:val="both"/>
    </w:pPr>
    <w:rPr>
      <w:rFonts w:ascii="Calibri" w:hAnsi="Calibri" w:eastAsia="宋体" w:cs="Times New Roman"/>
      <w:kern w:val="2"/>
      <w:sz w:val="21"/>
      <w:szCs w:val="24"/>
      <w:lang w:val="en-US" w:eastAsia="zh-CN" w:bidi="ar-SA"/>
    </w:rPr>
  </w:style>
  <w:style w:type="paragraph" w:customStyle="1" w:styleId="88">
    <w:name w:val="Normal_11"/>
    <w:qFormat/>
    <w:uiPriority w:val="0"/>
    <w:rPr>
      <w:rFonts w:ascii="黑体" w:hAnsi="黑体" w:eastAsia="黑体" w:cs="Times New Roman"/>
      <w:b/>
      <w:sz w:val="32"/>
      <w:szCs w:val="24"/>
      <w:lang w:bidi="ar-SA"/>
    </w:rPr>
  </w:style>
  <w:style w:type="paragraph" w:customStyle="1" w:styleId="89">
    <w:name w:val="正文文本_1"/>
    <w:basedOn w:val="90"/>
    <w:qFormat/>
    <w:uiPriority w:val="0"/>
    <w:pPr>
      <w:spacing w:after="120"/>
    </w:pPr>
    <w:rPr>
      <w:kern w:val="0"/>
      <w:sz w:val="20"/>
    </w:rPr>
  </w:style>
  <w:style w:type="paragraph" w:customStyle="1" w:styleId="90">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91">
    <w:name w:val="纯文本1"/>
    <w:basedOn w:val="1"/>
    <w:qFormat/>
    <w:uiPriority w:val="0"/>
    <w:rPr>
      <w:rFonts w:ascii="宋体" w:hAnsi="Courier New" w:eastAsia="宋体" w:cs="Times New Roman"/>
      <w:szCs w:val="22"/>
    </w:rPr>
  </w:style>
  <w:style w:type="character" w:customStyle="1" w:styleId="92">
    <w:name w:val="font61"/>
    <w:basedOn w:val="35"/>
    <w:qFormat/>
    <w:uiPriority w:val="0"/>
    <w:rPr>
      <w:rFonts w:hint="eastAsia" w:ascii="仿宋" w:hAnsi="仿宋" w:eastAsia="仿宋" w:cs="仿宋"/>
      <w:color w:val="000000"/>
      <w:sz w:val="16"/>
      <w:szCs w:val="16"/>
      <w:u w:val="none"/>
    </w:rPr>
  </w:style>
  <w:style w:type="paragraph" w:customStyle="1" w:styleId="93">
    <w:name w:val="正文_6"/>
    <w:qFormat/>
    <w:uiPriority w:val="0"/>
    <w:pPr>
      <w:widowControl w:val="0"/>
      <w:jc w:val="both"/>
    </w:pPr>
    <w:rPr>
      <w:rFonts w:ascii="Calibri" w:hAnsi="Calibri" w:eastAsia="宋体" w:cs="Times New Roman"/>
      <w:kern w:val="2"/>
      <w:sz w:val="21"/>
      <w:szCs w:val="24"/>
      <w:lang w:val="en-US" w:eastAsia="zh-CN" w:bidi="ar-SA"/>
    </w:rPr>
  </w:style>
  <w:style w:type="paragraph" w:customStyle="1" w:styleId="94">
    <w:name w:val="(符号)五标题1.1.1"/>
    <w:basedOn w:val="1"/>
    <w:qFormat/>
    <w:uiPriority w:val="0"/>
    <w:pPr>
      <w:numPr>
        <w:ilvl w:val="2"/>
        <w:numId w:val="1"/>
      </w:numPr>
      <w:suppressAutoHyphens w:val="0"/>
      <w:spacing w:line="500" w:lineRule="exact"/>
    </w:pPr>
    <w:rPr>
      <w:rFonts w:ascii="宋体" w:hAnsi="宋体" w:cs="宋体"/>
      <w:color w:val="000000"/>
      <w:kern w:val="2"/>
      <w:sz w:val="24"/>
      <w:szCs w:val="20"/>
      <w:lang w:eastAsia="zh-CN"/>
    </w:rPr>
  </w:style>
  <w:style w:type="paragraph" w:customStyle="1" w:styleId="95">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FD670-F703-4EF7-BCAD-0327E2E4AEE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64</Pages>
  <Words>3999</Words>
  <Characters>22796</Characters>
  <Lines>189</Lines>
  <Paragraphs>53</Paragraphs>
  <TotalTime>9</TotalTime>
  <ScaleCrop>false</ScaleCrop>
  <LinksUpToDate>false</LinksUpToDate>
  <CharactersWithSpaces>26742</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2016-10-08T04:40:00Z</dcterms:created>
  <dc:creator>微软用户</dc:creator>
  <cp:lastModifiedBy>11752</cp:lastModifiedBy>
  <cp:lastPrinted>2021-10-21T07:12:00Z</cp:lastPrinted>
  <dcterms:modified xsi:type="dcterms:W3CDTF">2021-10-21T09:22:43Z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0AC2AB20E19D4E639FB60F1A2B142910</vt:lpwstr>
  </property>
</Properties>
</file>