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sz w:val="32"/>
          <w:szCs w:val="32"/>
          <w:highlight w:val="none"/>
        </w:rPr>
      </w:pPr>
    </w:p>
    <w:p>
      <w:pPr>
        <w:pStyle w:val="8"/>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新疆红色革命文物特别专题节目制作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采购项目</w:t>
      </w:r>
    </w:p>
    <w:p>
      <w:pPr>
        <w:pStyle w:val="2"/>
        <w:rPr>
          <w:rFonts w:hint="eastAsia" w:asciiTheme="majorEastAsia" w:hAnsiTheme="majorEastAsia" w:eastAsiaTheme="majorEastAsia" w:cstheme="majorEastAsia"/>
          <w:b/>
          <w:bCs/>
          <w:sz w:val="56"/>
          <w:szCs w:val="56"/>
          <w:highlight w:val="none"/>
        </w:rPr>
      </w:pPr>
    </w:p>
    <w:p>
      <w:pPr>
        <w:pStyle w:val="2"/>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2"/>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jc w:val="center"/>
        <w:rPr>
          <w:rFonts w:hint="default" w:eastAsia="宋体"/>
          <w:sz w:val="28"/>
          <w:szCs w:val="28"/>
          <w:highlight w:val="none"/>
          <w:lang w:val="en-US" w:eastAsia="zh-CN"/>
        </w:rPr>
      </w:pPr>
      <w:r>
        <w:rPr>
          <w:rFonts w:hint="eastAsia"/>
          <w:sz w:val="28"/>
          <w:szCs w:val="28"/>
          <w:highlight w:val="none"/>
        </w:rPr>
        <w:t>项目编号：XJXECWLMQ-20210</w:t>
      </w:r>
      <w:r>
        <w:rPr>
          <w:rFonts w:hint="eastAsia"/>
          <w:sz w:val="28"/>
          <w:szCs w:val="28"/>
          <w:highlight w:val="none"/>
          <w:lang w:val="en-US" w:eastAsia="zh-CN"/>
        </w:rPr>
        <w:t>31</w:t>
      </w:r>
    </w:p>
    <w:p>
      <w:pPr>
        <w:pStyle w:val="6"/>
        <w:rPr>
          <w:rFonts w:hint="eastAsia" w:ascii="宋体" w:hAnsi="宋体" w:eastAsia="宋体" w:cs="宋体"/>
          <w:highlight w:val="none"/>
        </w:rPr>
      </w:pPr>
    </w:p>
    <w:p>
      <w:pPr>
        <w:pStyle w:val="7"/>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1787525" cy="1371600"/>
            <wp:effectExtent l="0" t="0" r="3175" b="0"/>
            <wp:docPr id="12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descr="1"/>
                    <pic:cNvPicPr>
                      <a:picLocks noChangeAspect="1"/>
                    </pic:cNvPicPr>
                  </pic:nvPicPr>
                  <pic:blipFill>
                    <a:blip r:embed="rId11"/>
                    <a:stretch>
                      <a:fillRect/>
                    </a:stretch>
                  </pic:blipFill>
                  <pic:spPr>
                    <a:xfrm>
                      <a:off x="0" y="0"/>
                      <a:ext cx="1787525" cy="1371600"/>
                    </a:xfrm>
                    <a:prstGeom prst="rect">
                      <a:avLst/>
                    </a:prstGeom>
                    <a:noFill/>
                    <a:ln>
                      <a:noFill/>
                    </a:ln>
                  </pic:spPr>
                </pic:pic>
              </a:graphicData>
            </a:graphic>
          </wp:inline>
        </w:drawing>
      </w:r>
    </w:p>
    <w:p>
      <w:pPr>
        <w:rPr>
          <w:rFonts w:hint="eastAsia" w:ascii="宋体" w:hAnsi="宋体" w:eastAsia="宋体" w:cs="宋体"/>
          <w:highlight w:val="none"/>
        </w:rPr>
      </w:pPr>
    </w:p>
    <w:p>
      <w:pPr>
        <w:pStyle w:val="6"/>
        <w:rPr>
          <w:rFonts w:hint="eastAsia" w:ascii="宋体" w:hAnsi="宋体" w:eastAsia="宋体" w:cs="宋体"/>
          <w:highlight w:val="none"/>
        </w:rPr>
      </w:pPr>
    </w:p>
    <w:p>
      <w:pPr>
        <w:pStyle w:val="6"/>
        <w:rPr>
          <w:rFonts w:hint="eastAsia" w:ascii="宋体" w:hAnsi="宋体" w:eastAsia="宋体" w:cs="宋体"/>
          <w:highlight w:val="none"/>
        </w:rPr>
      </w:pPr>
    </w:p>
    <w:p>
      <w:pPr>
        <w:pStyle w:val="6"/>
        <w:ind w:firstLine="360"/>
        <w:rPr>
          <w:rFonts w:hint="eastAsia" w:ascii="宋体" w:hAnsi="宋体" w:eastAsia="宋体" w:cs="宋体"/>
          <w:sz w:val="18"/>
          <w:szCs w:val="18"/>
          <w:highlight w:val="none"/>
        </w:rPr>
      </w:pPr>
    </w:p>
    <w:p>
      <w:pPr>
        <w:pStyle w:val="7"/>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8"/>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8"/>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8"/>
        <w:ind w:left="0" w:leftChars="0" w:firstLine="0" w:firstLineChars="0"/>
        <w:rPr>
          <w:rFonts w:hint="eastAsia"/>
          <w:highlight w:val="none"/>
        </w:rPr>
      </w:pPr>
    </w:p>
    <w:p>
      <w:pPr>
        <w:pStyle w:val="6"/>
        <w:ind w:firstLine="360"/>
        <w:rPr>
          <w:rFonts w:hint="eastAsia" w:ascii="宋体" w:hAnsi="宋体" w:eastAsia="宋体" w:cs="宋体"/>
          <w:sz w:val="18"/>
          <w:szCs w:val="18"/>
          <w:highlight w:val="none"/>
        </w:rPr>
      </w:pPr>
    </w:p>
    <w:p>
      <w:pPr>
        <w:pStyle w:val="6"/>
        <w:ind w:firstLine="360"/>
        <w:rPr>
          <w:rFonts w:hint="eastAsia" w:ascii="宋体" w:hAnsi="宋体" w:eastAsia="宋体" w:cs="宋体"/>
          <w:sz w:val="18"/>
          <w:szCs w:val="18"/>
          <w:highlight w:val="none"/>
        </w:rPr>
      </w:pPr>
    </w:p>
    <w:p>
      <w:pPr>
        <w:pStyle w:val="6"/>
        <w:spacing w:line="360" w:lineRule="auto"/>
        <w:ind w:left="420" w:leftChars="200" w:firstLine="0" w:firstLineChars="0"/>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eastAsia="宋体" w:cs="宋体"/>
          <w:b/>
          <w:bCs/>
          <w:color w:val="000000"/>
          <w:sz w:val="32"/>
          <w:szCs w:val="32"/>
          <w:highlight w:val="none"/>
          <w:u w:val="none"/>
          <w:lang w:eastAsia="zh-CN"/>
        </w:rPr>
        <w:t>新疆维吾尔自治区文化和旅游厅</w:t>
      </w:r>
      <w:r>
        <w:rPr>
          <w:rFonts w:hint="eastAsia" w:ascii="宋体" w:hAnsi="宋体" w:eastAsia="宋体" w:cs="宋体"/>
          <w:b/>
          <w:bCs/>
          <w:sz w:val="32"/>
          <w:szCs w:val="32"/>
          <w:highlight w:val="none"/>
          <w:u w:val="none"/>
          <w:lang w:val="en-US" w:eastAsia="zh-CN"/>
        </w:rPr>
        <w:t xml:space="preserve"> </w:t>
      </w:r>
    </w:p>
    <w:p>
      <w:pPr>
        <w:spacing w:line="360" w:lineRule="auto"/>
        <w:ind w:left="420" w:leftChars="2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 xml:space="preserve">代理机构：新疆信尔成工程项目管理有限公司  </w:t>
      </w: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w:t>
      </w:r>
      <w:r>
        <w:rPr>
          <w:rFonts w:hint="eastAsia" w:ascii="宋体" w:hAnsi="宋体" w:cs="宋体"/>
          <w:b/>
          <w:bCs/>
          <w:sz w:val="32"/>
          <w:szCs w:val="32"/>
          <w:highlight w:val="none"/>
          <w:u w:val="none"/>
          <w:lang w:val="en-US" w:eastAsia="zh-CN"/>
        </w:rPr>
        <w:t>1</w:t>
      </w:r>
      <w:r>
        <w:rPr>
          <w:rFonts w:hint="eastAsia" w:ascii="宋体" w:hAnsi="宋体" w:eastAsia="宋体" w:cs="宋体"/>
          <w:b/>
          <w:bCs/>
          <w:sz w:val="32"/>
          <w:szCs w:val="32"/>
          <w:highlight w:val="none"/>
          <w:u w:val="none"/>
          <w:lang w:val="en-US" w:eastAsia="zh-CN"/>
        </w:rPr>
        <w:t>年</w:t>
      </w:r>
      <w:r>
        <w:rPr>
          <w:rFonts w:hint="eastAsia" w:ascii="宋体" w:hAnsi="宋体" w:cs="宋体"/>
          <w:b/>
          <w:bCs/>
          <w:sz w:val="32"/>
          <w:szCs w:val="32"/>
          <w:highlight w:val="none"/>
          <w:u w:val="none"/>
          <w:lang w:val="en-US" w:eastAsia="zh-CN"/>
        </w:rPr>
        <w:t>10</w:t>
      </w:r>
      <w:r>
        <w:rPr>
          <w:rFonts w:hint="eastAsia" w:ascii="宋体" w:hAnsi="宋体" w:eastAsia="宋体" w:cs="宋体"/>
          <w:b/>
          <w:bCs/>
          <w:sz w:val="32"/>
          <w:szCs w:val="32"/>
          <w:highlight w:val="none"/>
          <w:u w:val="none"/>
          <w:lang w:val="en-US" w:eastAsia="zh-CN"/>
        </w:rPr>
        <w:t>月</w:t>
      </w:r>
      <w:bookmarkStart w:id="0" w:name="_Toc179632527"/>
      <w:bookmarkStart w:id="1" w:name="_Toc363119275"/>
    </w:p>
    <w:bookmarkEnd w:id="0"/>
    <w:bookmarkEnd w:id="1"/>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headerReference r:id="rId4" w:type="first"/>
          <w:footerReference r:id="rId6" w:type="first"/>
          <w:headerReference r:id="rId3" w:type="default"/>
          <w:footerReference r:id="rId5"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highlight w:val="none"/>
        </w:rPr>
        <w:t>第一章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投标邀请书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_Toc6155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宋体" w:hAnsi="宋体" w:eastAsia="宋体" w:cs="宋体"/>
          <w:highlight w:val="none"/>
        </w:rPr>
        <w:t>第二章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26</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第三章</w:t>
      </w:r>
      <w:r>
        <w:rPr>
          <w:rFonts w:hint="eastAsia" w:ascii="宋体" w:hAnsi="宋体" w:cs="宋体"/>
          <w:w w:val="95"/>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32</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highlight w:val="none"/>
        </w:rPr>
        <w:t>第六章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highlight w:val="none"/>
        </w:rPr>
        <w:t>投标邀请书</w:t>
      </w:r>
      <w:bookmarkEnd w:id="2"/>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35393797"/>
      <w:bookmarkStart w:id="4" w:name="_Toc28359011"/>
      <w:bookmarkStart w:id="5" w:name="_Toc15730"/>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仿宋" w:hAnsi="仿宋" w:eastAsia="仿宋"/>
          <w:sz w:val="28"/>
          <w:szCs w:val="28"/>
          <w:highlight w:val="none"/>
          <w:u w:val="single"/>
          <w:lang w:eastAsia="zh-CN"/>
        </w:rPr>
        <w:t>新疆红色革命文物特别专题节目制作采购项目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u w:val="single"/>
        </w:rPr>
        <w:t>新疆维吾尔自治区乌鲁木齐市水磨沟区会展大道1119号大成尔雅生活广场第一栋第十八层A座1806号房</w:t>
      </w:r>
      <w:r>
        <w:rPr>
          <w:rFonts w:hint="eastAsia" w:ascii="宋体" w:hAnsi="宋体" w:eastAsia="宋体" w:cs="宋体"/>
          <w:sz w:val="28"/>
          <w:szCs w:val="28"/>
          <w:highlight w:val="none"/>
        </w:rPr>
        <w:t>获取采购文件，并于</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bCs/>
          <w:i w:val="0"/>
          <w:iCs w:val="0"/>
          <w:sz w:val="24"/>
          <w:szCs w:val="24"/>
          <w:highlight w:val="none"/>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w:t>
      </w:r>
      <w:r>
        <w:rPr>
          <w:rFonts w:hint="eastAsia" w:ascii="宋体" w:hAnsi="宋体" w:cs="宋体"/>
          <w:bCs/>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35393629"/>
      <w:bookmarkStart w:id="7" w:name="_Toc35393798"/>
      <w:bookmarkStart w:id="8" w:name="_Toc28359012"/>
      <w:bookmarkStart w:id="9" w:name="_Toc2835908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eastAsia="宋体" w:cs="宋体"/>
          <w:b w:val="0"/>
          <w:bCs w:val="0"/>
          <w:i w:val="0"/>
          <w:iCs w:val="0"/>
          <w:sz w:val="24"/>
          <w:szCs w:val="24"/>
          <w:highlight w:val="none"/>
          <w:lang w:val="en-US" w:eastAsia="zh-CN"/>
        </w:rPr>
        <w:t>XJXECWLMQ-20210</w:t>
      </w:r>
      <w:r>
        <w:rPr>
          <w:rFonts w:hint="eastAsia" w:ascii="宋体" w:hAnsi="宋体" w:cs="宋体"/>
          <w:b w:val="0"/>
          <w:bCs w:val="0"/>
          <w:i w:val="0"/>
          <w:iCs w:val="0"/>
          <w:sz w:val="24"/>
          <w:szCs w:val="24"/>
          <w:highlight w:val="none"/>
          <w:lang w:val="en-US" w:eastAsia="zh-CN"/>
        </w:rPr>
        <w:t>31</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none"/>
          <w:lang w:val="en-US" w:eastAsia="zh-CN"/>
        </w:rPr>
        <w:t>新疆红色革命文物特别专题节目制作采购项目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cs="宋体"/>
          <w:b w:val="0"/>
          <w:bCs w:val="0"/>
          <w:i w:val="0"/>
          <w:iCs w:val="0"/>
          <w:sz w:val="24"/>
          <w:szCs w:val="24"/>
          <w:highlight w:val="none"/>
          <w:lang w:val="en-US" w:eastAsia="zh-CN"/>
        </w:rPr>
        <w:t>□</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cs="宋体"/>
          <w:b w:val="0"/>
          <w:bCs w:val="0"/>
          <w:i w:val="0"/>
          <w:iCs w:val="0"/>
          <w:sz w:val="24"/>
          <w:szCs w:val="24"/>
          <w:highlight w:val="none"/>
          <w:lang w:val="en-US" w:eastAsia="zh-CN"/>
        </w:rPr>
        <w:t>☑</w:t>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23.00万元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cs="宋体"/>
          <w:b w:val="0"/>
          <w:bCs w:val="0"/>
          <w:i w:val="0"/>
          <w:iCs w:val="0"/>
          <w:sz w:val="24"/>
          <w:szCs w:val="24"/>
          <w:highlight w:val="none"/>
          <w:lang w:val="en-US" w:eastAsia="zh-CN"/>
        </w:rPr>
        <w:t>23.00万元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b w:val="0"/>
          <w:bCs w:val="0"/>
          <w:i w:val="0"/>
          <w:iCs w:val="0"/>
          <w:sz w:val="24"/>
          <w:szCs w:val="24"/>
          <w:highlight w:val="none"/>
          <w:lang w:val="en-US" w:eastAsia="zh-CN"/>
        </w:rPr>
        <w:t>新疆红色革命文物特别专题广播节目制作及配套服务</w:t>
      </w:r>
      <w:r>
        <w:rPr>
          <w:rFonts w:hint="eastAsia" w:ascii="宋体" w:hAnsi="宋体" w:eastAsia="宋体" w:cs="宋体"/>
          <w:b w:val="0"/>
          <w:bCs w:val="0"/>
          <w:i w:val="0"/>
          <w:iCs w:val="0"/>
          <w:sz w:val="24"/>
          <w:szCs w:val="24"/>
          <w:highlight w:val="none"/>
          <w:lang w:val="en-US" w:eastAsia="zh-CN"/>
        </w:rPr>
        <w:t>（详细说明见磋商文件）。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合同履行期限：</w:t>
      </w:r>
      <w:r>
        <w:rPr>
          <w:rFonts w:hint="eastAsia" w:ascii="宋体" w:hAnsi="宋体" w:cs="宋体"/>
          <w:b w:val="0"/>
          <w:bCs w:val="0"/>
          <w:i w:val="0"/>
          <w:iCs w:val="0"/>
          <w:sz w:val="24"/>
          <w:szCs w:val="24"/>
          <w:highlight w:val="none"/>
          <w:lang w:val="en-US" w:eastAsia="zh-CN"/>
        </w:rPr>
        <w:t>2021年11月初-2022年3月1日</w:t>
      </w:r>
      <w:r>
        <w:rPr>
          <w:rFonts w:hint="eastAsia" w:ascii="宋体" w:hAnsi="宋体" w:eastAsia="宋体" w:cs="宋体"/>
          <w:b w:val="0"/>
          <w:bCs w:val="0"/>
          <w:i w:val="0"/>
          <w:iCs w:val="0"/>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35393799"/>
      <w:bookmarkStart w:id="11" w:name="_Toc28359090"/>
      <w:bookmarkStart w:id="12" w:name="_Toc35393630"/>
      <w:bookmarkStart w:id="13" w:name="_Toc28359013"/>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91"/>
      <w:bookmarkStart w:id="15" w:name="_Toc35393800"/>
      <w:bookmarkStart w:id="16" w:name="_Toc35393631"/>
      <w:bookmarkStart w:id="17" w:name="_Toc28359014"/>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具有履行合同所必需的专业技术能力，能够按时保质保量地完成布展工作任务；</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w:t>
      </w:r>
      <w:r>
        <w:rPr>
          <w:rFonts w:hint="eastAsia" w:ascii="宋体" w:hAnsi="宋体"/>
          <w:bCs/>
          <w:sz w:val="24"/>
          <w:szCs w:val="24"/>
          <w:highlight w:val="none"/>
          <w:lang w:eastAsia="zh-CN"/>
        </w:rPr>
        <w:t>供应商</w:t>
      </w:r>
      <w:r>
        <w:rPr>
          <w:rFonts w:hint="eastAsia" w:ascii="宋体" w:hAnsi="宋体"/>
          <w:bCs/>
          <w:sz w:val="24"/>
          <w:szCs w:val="24"/>
          <w:highlight w:val="none"/>
        </w:rPr>
        <w:t>需在中华人民共和国境内注册，具有</w:t>
      </w:r>
      <w:r>
        <w:rPr>
          <w:rFonts w:hint="eastAsia" w:ascii="宋体" w:hAnsi="宋体" w:cs="宋体"/>
          <w:bCs/>
          <w:sz w:val="24"/>
          <w:szCs w:val="24"/>
          <w:highlight w:val="none"/>
        </w:rPr>
        <w:t>信誉良好的</w:t>
      </w:r>
      <w:r>
        <w:rPr>
          <w:rFonts w:hint="eastAsia" w:ascii="宋体" w:hAnsi="宋体"/>
          <w:bCs/>
          <w:sz w:val="24"/>
          <w:szCs w:val="24"/>
          <w:highlight w:val="none"/>
        </w:rPr>
        <w:t>独立法人资格，</w:t>
      </w:r>
      <w:r>
        <w:rPr>
          <w:rFonts w:hint="eastAsia" w:ascii="宋体" w:hAnsi="宋体" w:cs="宋体"/>
          <w:bCs/>
          <w:sz w:val="24"/>
          <w:szCs w:val="24"/>
          <w:highlight w:val="none"/>
        </w:rPr>
        <w:t>事业单位法人证书或工商营业执照通过年检合格有效</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新疆乌鲁木齐市水磨沟区会展大道1119号大成尔雅第一栋第十八层A座1806号房</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特定资格：</w:t>
      </w:r>
      <w:r>
        <w:rPr>
          <w:rFonts w:hint="eastAsia" w:ascii="宋体" w:hAnsi="宋体"/>
          <w:bCs/>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rPr>
          <w:rFonts w:ascii="仿宋" w:hAnsi="仿宋" w:eastAsia="仿宋" w:cs="宋体"/>
          <w:sz w:val="28"/>
          <w:szCs w:val="28"/>
          <w:highlight w:val="none"/>
          <w:u w:val="singl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7</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8" w:name="_Toc35393632"/>
      <w:bookmarkStart w:id="19" w:name="_Toc28359092"/>
      <w:bookmarkStart w:id="20" w:name="_Toc35393801"/>
      <w:bookmarkStart w:id="21" w:name="_Toc28359015"/>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ascii="黑体" w:hAnsi="黑体" w:cs="宋体"/>
          <w:b/>
          <w:bCs w:val="0"/>
          <w:sz w:val="28"/>
          <w:szCs w:val="28"/>
          <w:highlight w:val="none"/>
        </w:rPr>
      </w:pPr>
      <w:bookmarkStart w:id="22" w:name="_Toc28359093"/>
      <w:bookmarkStart w:id="23" w:name="_Toc28359016"/>
      <w:bookmarkStart w:id="24" w:name="_Toc35393633"/>
      <w:bookmarkStart w:id="25" w:name="_Toc35393802"/>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35393803"/>
      <w:bookmarkStart w:id="27" w:name="_Toc28359094"/>
      <w:bookmarkStart w:id="28" w:name="_Toc28359017"/>
      <w:bookmarkStart w:id="29" w:name="_Toc35393634"/>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w:t>
      </w:r>
      <w:r>
        <w:rPr>
          <w:rFonts w:hint="eastAsia" w:ascii="宋体" w:hAnsi="宋体" w:cs="宋体"/>
          <w:bCs/>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804"/>
      <w:bookmarkStart w:id="31" w:name="_Toc35393635"/>
      <w:r>
        <w:rPr>
          <w:rFonts w:hint="eastAsia" w:ascii="黑体" w:hAnsi="黑体" w:cs="宋体"/>
          <w:b/>
          <w:bCs w:val="0"/>
          <w:sz w:val="28"/>
          <w:szCs w:val="28"/>
          <w:highlight w:val="none"/>
          <w:lang w:val="en-US" w:eastAsia="zh-CN"/>
        </w:rPr>
        <w:t>七、其他补充事宜</w:t>
      </w:r>
      <w:bookmarkEnd w:id="30"/>
      <w:bookmarkEnd w:id="31"/>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35393636"/>
      <w:bookmarkStart w:id="33" w:name="_Toc28359018"/>
      <w:bookmarkStart w:id="34" w:name="_Toc28359095"/>
      <w:bookmarkStart w:id="35" w:name="_Toc35393805"/>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35393806"/>
      <w:bookmarkStart w:id="37" w:name="_Toc28359019"/>
      <w:bookmarkStart w:id="38" w:name="_Toc35393637"/>
      <w:bookmarkStart w:id="39" w:name="_Toc2835909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新疆维吾尔自治区文化和旅游厅</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val="en-US" w:eastAsia="zh-CN"/>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王金文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13999174522</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35393638"/>
      <w:bookmarkStart w:id="41" w:name="_Toc28359097"/>
      <w:bookmarkStart w:id="42" w:name="_Toc28359020"/>
      <w:bookmarkStart w:id="43" w:name="_Toc35393807"/>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新疆信尔成工程项目管理有限公司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新疆乌鲁木齐市水磨沟区会展大道1119号大成尔雅第一栋第十八层A座1806号房</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rPr>
        <w:t xml:space="preserve">18140907575 </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rPr>
        <w:t>18140907575</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3"/>
        <w:rPr>
          <w:rFonts w:hint="eastAsia" w:ascii="宋体" w:hAnsi="宋体" w:eastAsia="宋体" w:cs="宋体"/>
          <w:highlight w:val="none"/>
        </w:rPr>
      </w:pPr>
      <w:r>
        <w:rPr>
          <w:rFonts w:hint="eastAsia" w:ascii="宋体" w:hAnsi="宋体" w:eastAsia="宋体" w:cs="宋体"/>
          <w:w w:val="95"/>
          <w:highlight w:val="none"/>
        </w:rPr>
        <w:t>第</w:t>
      </w:r>
      <w:bookmarkStart w:id="45" w:name="bookmark2"/>
      <w:bookmarkEnd w:id="45"/>
      <w:bookmarkStart w:id="46" w:name="（一）供应商须知前附表"/>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4"/>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0"/>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0"/>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0"/>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0"/>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宋体" w:hAnsi="宋体" w:eastAsia="宋体" w:cs="宋体"/>
                <w:bCs/>
                <w:szCs w:val="21"/>
                <w:highlight w:val="none"/>
                <w:u w:val="none"/>
              </w:rPr>
              <w:t xml:space="preserve">乌鲁木齐市金银路143号  </w:t>
            </w:r>
          </w:p>
          <w:p>
            <w:pPr>
              <w:pStyle w:val="20"/>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王金文</w:t>
            </w:r>
            <w:r>
              <w:rPr>
                <w:rFonts w:hint="eastAsia" w:asciiTheme="minorEastAsia" w:hAnsiTheme="minorEastAsia" w:eastAsiaTheme="minorEastAsia" w:cstheme="minorEastAsia"/>
                <w:b w:val="0"/>
                <w:bCs w:val="0"/>
                <w:i w:val="0"/>
                <w:iCs w:val="0"/>
                <w:color w:val="auto"/>
                <w:sz w:val="24"/>
                <w:szCs w:val="24"/>
                <w:highlight w:val="none"/>
                <w:u w:val="none"/>
                <w:lang w:val="en-US" w:eastAsia="zh-CN"/>
              </w:rPr>
              <w:t xml:space="preserve"> </w:t>
            </w:r>
          </w:p>
          <w:p>
            <w:pPr>
              <w:pStyle w:val="20"/>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0"/>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0"/>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13999174522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0"/>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宋体" w:hAnsi="宋体" w:eastAsia="宋体" w:cs="宋体"/>
                <w:highlight w:val="none"/>
              </w:rPr>
              <w:t>新疆信尔成工程项目管理有限公司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672" w:type="dxa"/>
            <w:vMerge w:val="continue"/>
            <w:noWrap w:val="0"/>
            <w:vAlign w:val="center"/>
          </w:tcPr>
          <w:p>
            <w:pPr>
              <w:pStyle w:val="20"/>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highlight w:val="none"/>
              </w:rPr>
              <w:t>新疆维吾尔自治区乌鲁木齐市水磨沟区会展大道1119号大成尔雅生活广场第一栋第十八层A座1806号房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0"/>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张玉伟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0"/>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0"/>
              <w:kinsoku w:val="0"/>
              <w:overflowPunct w:val="0"/>
              <w:spacing w:before="56"/>
              <w:ind w:left="102"/>
              <w:rPr>
                <w:rFonts w:hint="default"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eastAsia="宋体" w:cs="宋体"/>
                <w:highlight w:val="none"/>
              </w:rPr>
              <w:t>1</w:t>
            </w:r>
            <w:r>
              <w:rPr>
                <w:rFonts w:hint="eastAsia" w:ascii="宋体" w:hAnsi="宋体" w:cs="宋体"/>
                <w:highlight w:val="none"/>
                <w:lang w:val="en-US" w:eastAsia="zh-CN"/>
              </w:rPr>
              <w:t>8140907575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0"/>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exact"/>
          <w:jc w:val="center"/>
        </w:trPr>
        <w:tc>
          <w:tcPr>
            <w:tcW w:w="672" w:type="dxa"/>
            <w:vMerge w:val="continue"/>
            <w:noWrap w:val="0"/>
            <w:vAlign w:val="center"/>
          </w:tcPr>
          <w:p>
            <w:pPr>
              <w:pStyle w:val="20"/>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0"/>
              <w:kinsoku w:val="0"/>
              <w:overflowPunct w:val="0"/>
              <w:spacing w:before="16" w:line="320" w:lineRule="auto"/>
              <w:ind w:left="1704" w:leftChars="48" w:right="77" w:hanging="1603" w:hangingChars="700"/>
              <w:rPr>
                <w:rFonts w:hint="eastAsia" w:ascii="宋体" w:hAnsi="宋体" w:eastAsia="宋体" w:cs="宋体"/>
                <w:b/>
                <w:bCs/>
                <w:w w:val="95"/>
                <w:highlight w:val="none"/>
              </w:rPr>
            </w:pPr>
            <w:r>
              <w:rPr>
                <w:rFonts w:hint="eastAsia" w:ascii="宋体" w:hAnsi="宋体" w:eastAsia="宋体" w:cs="宋体"/>
                <w:b/>
                <w:bCs/>
                <w:w w:val="95"/>
                <w:highlight w:val="none"/>
              </w:rPr>
              <w:t>1、项目名称：</w:t>
            </w:r>
            <w:r>
              <w:rPr>
                <w:rFonts w:hint="eastAsia" w:ascii="宋体" w:hAnsi="宋体" w:cs="宋体"/>
                <w:highlight w:val="none"/>
                <w:lang w:eastAsia="zh-CN"/>
              </w:rPr>
              <w:t>新疆红色革命文物特别专题节目制作采购项目</w:t>
            </w:r>
            <w:r>
              <w:rPr>
                <w:rFonts w:hint="eastAsia" w:ascii="宋体" w:hAnsi="宋体" w:eastAsia="宋体" w:cs="宋体"/>
                <w:b/>
                <w:bCs/>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0"/>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noWrap w:val="0"/>
            <w:vAlign w:val="top"/>
          </w:tcPr>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eastAsia="宋体" w:cs="宋体"/>
                <w:b w:val="0"/>
                <w:bCs w:val="0"/>
                <w:i w:val="0"/>
                <w:iCs w:val="0"/>
                <w:sz w:val="24"/>
                <w:szCs w:val="24"/>
                <w:highlight w:val="none"/>
                <w:lang w:val="en-US" w:eastAsia="zh-CN"/>
              </w:rPr>
              <w:t>XJXECWLMQ-20210</w:t>
            </w:r>
            <w:r>
              <w:rPr>
                <w:rFonts w:hint="eastAsia" w:ascii="宋体" w:hAnsi="宋体" w:cs="宋体"/>
                <w:b w:val="0"/>
                <w:bCs w:val="0"/>
                <w:i w:val="0"/>
                <w:iCs w:val="0"/>
                <w:sz w:val="24"/>
                <w:szCs w:val="24"/>
                <w:highlight w:val="none"/>
                <w:lang w:val="en-US" w:eastAsia="zh-CN"/>
              </w:rPr>
              <w:t>31</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noWrap w:val="0"/>
            <w:vAlign w:val="top"/>
          </w:tcPr>
          <w:p>
            <w:pPr>
              <w:pStyle w:val="20"/>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Style w:val="20"/>
              <w:kinsoku w:val="0"/>
              <w:overflowPunct w:val="0"/>
              <w:spacing w:before="8"/>
              <w:ind w:left="102"/>
              <w:rPr>
                <w:rFonts w:hint="eastAsia" w:ascii="宋体" w:hAnsi="宋体" w:eastAsia="宋体" w:cs="宋体"/>
                <w:highlight w:val="none"/>
              </w:rPr>
            </w:pPr>
            <w:r>
              <w:rPr>
                <w:rFonts w:hint="eastAsia" w:ascii="宋体" w:hAnsi="宋体" w:eastAsia="宋体" w:cs="宋体"/>
                <w:b/>
                <w:bCs/>
                <w:highlight w:val="none"/>
              </w:rPr>
              <w:t>1、主要磋商内容：</w:t>
            </w:r>
          </w:p>
          <w:p>
            <w:pPr>
              <w:pStyle w:val="20"/>
              <w:kinsoku w:val="0"/>
              <w:overflowPunct w:val="0"/>
              <w:spacing w:before="16"/>
              <w:ind w:left="102"/>
              <w:rPr>
                <w:rFonts w:hint="eastAsia" w:ascii="宋体" w:hAnsi="宋体" w:eastAsia="宋体" w:cs="宋体"/>
                <w:b w:val="0"/>
                <w:bCs w:val="0"/>
                <w:i w:val="0"/>
                <w:iCs w:val="0"/>
                <w:sz w:val="24"/>
                <w:szCs w:val="24"/>
                <w:highlight w:val="none"/>
                <w:lang w:val="en-US" w:eastAsia="zh-CN"/>
              </w:rPr>
            </w:pPr>
            <w:r>
              <w:rPr>
                <w:rFonts w:hint="eastAsia" w:ascii="宋体" w:hAnsi="宋体" w:cs="宋体"/>
                <w:b w:val="0"/>
                <w:bCs w:val="0"/>
                <w:i w:val="0"/>
                <w:iCs w:val="0"/>
                <w:sz w:val="24"/>
                <w:szCs w:val="24"/>
                <w:highlight w:val="none"/>
                <w:lang w:val="en-US" w:eastAsia="zh-CN"/>
              </w:rPr>
              <w:t>新疆红色革命文物特别专题广播节目制作及配套服务</w:t>
            </w:r>
            <w:r>
              <w:rPr>
                <w:rFonts w:hint="eastAsia" w:ascii="宋体" w:hAnsi="宋体" w:eastAsia="宋体" w:cs="宋体"/>
                <w:b w:val="0"/>
                <w:bCs w:val="0"/>
                <w:i w:val="0"/>
                <w:iCs w:val="0"/>
                <w:sz w:val="24"/>
                <w:szCs w:val="24"/>
                <w:highlight w:val="none"/>
                <w:lang w:val="en-US" w:eastAsia="zh-CN"/>
              </w:rPr>
              <w:t>（详细说明见磋商文件）。</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2、服务期限：</w:t>
            </w:r>
            <w:r>
              <w:rPr>
                <w:rFonts w:hint="eastAsia" w:ascii="宋体" w:hAnsi="宋体" w:cs="宋体"/>
                <w:b w:val="0"/>
                <w:bCs w:val="0"/>
                <w:i w:val="0"/>
                <w:iCs w:val="0"/>
                <w:sz w:val="24"/>
                <w:szCs w:val="24"/>
                <w:highlight w:val="none"/>
                <w:lang w:val="en-US" w:eastAsia="zh-CN"/>
              </w:rPr>
              <w:t>签订合同之日起至本项目结束止</w:t>
            </w:r>
            <w:r>
              <w:rPr>
                <w:rFonts w:hint="eastAsia" w:ascii="宋体" w:hAnsi="宋体" w:eastAsia="宋体" w:cs="宋体"/>
                <w:b w:val="0"/>
                <w:bCs w:val="0"/>
                <w:i w:val="0"/>
                <w:i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noWrap w:val="0"/>
            <w:vAlign w:val="top"/>
          </w:tcPr>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highlight w:val="none"/>
                <w:lang w:val="en-US" w:eastAsia="zh-CN"/>
              </w:rPr>
              <w:t>23</w:t>
            </w:r>
            <w:r>
              <w:rPr>
                <w:rFonts w:hint="eastAsia" w:ascii="宋体" w:hAnsi="宋体" w:eastAsia="宋体" w:cs="宋体"/>
                <w:highlight w:val="none"/>
              </w:rPr>
              <w:t>.00</w:t>
            </w:r>
            <w:r>
              <w:rPr>
                <w:rFonts w:hint="eastAsia" w:ascii="宋体" w:hAnsi="宋体" w:eastAsia="宋体" w:cs="宋体"/>
                <w:spacing w:val="-65"/>
                <w:highlight w:val="none"/>
              </w:rPr>
              <w:t xml:space="preserve"> </w:t>
            </w:r>
            <w:r>
              <w:rPr>
                <w:rFonts w:hint="eastAsia" w:ascii="宋体" w:hAnsi="宋体" w:eastAsia="宋体" w:cs="宋体"/>
                <w:highlight w:val="none"/>
              </w:rPr>
              <w:t>元（大写</w:t>
            </w:r>
            <w:r>
              <w:rPr>
                <w:rFonts w:hint="eastAsia" w:ascii="宋体" w:hAnsi="宋体" w:cs="宋体"/>
                <w:highlight w:val="none"/>
                <w:lang w:val="en-US" w:eastAsia="zh-CN"/>
              </w:rPr>
              <w:t>:贰拾叁万</w:t>
            </w:r>
            <w:r>
              <w:rPr>
                <w:rFonts w:hint="eastAsia" w:ascii="宋体" w:hAnsi="宋体" w:eastAsia="宋体" w:cs="宋体"/>
                <w:highlight w:val="none"/>
              </w:rPr>
              <w:t>元整）</w:t>
            </w:r>
          </w:p>
          <w:p>
            <w:pPr>
              <w:pStyle w:val="20"/>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0"/>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0"/>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0"/>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u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default" w:ascii="宋体" w:hAnsi="宋体"/>
                <w:bCs/>
                <w:sz w:val="24"/>
                <w:szCs w:val="24"/>
                <w:highlight w:val="none"/>
                <w:lang w:val="en-US" w:eastAsia="zh-CN"/>
              </w:rPr>
            </w:pPr>
            <w:r>
              <w:rPr>
                <w:rFonts w:hint="eastAsia" w:ascii="宋体" w:hAnsi="宋体" w:cs="宋体"/>
                <w:b/>
                <w:bCs/>
                <w:i w:val="0"/>
                <w:iCs w:val="0"/>
                <w:sz w:val="24"/>
                <w:szCs w:val="24"/>
                <w:highlight w:val="none"/>
                <w:u w:val="none"/>
                <w:lang w:val="en-US" w:eastAsia="zh-CN"/>
              </w:rPr>
              <w:t>3、</w:t>
            </w:r>
            <w:r>
              <w:rPr>
                <w:rFonts w:hint="eastAsia" w:ascii="宋体" w:hAnsi="宋体" w:eastAsia="宋体" w:cs="宋体"/>
                <w:b/>
                <w:bCs/>
                <w:i w:val="0"/>
                <w:iCs w:val="0"/>
                <w:sz w:val="24"/>
                <w:szCs w:val="24"/>
                <w:highlight w:val="none"/>
                <w:lang w:eastAsia="zh-CN"/>
              </w:rPr>
              <w:t>特定资质：</w:t>
            </w:r>
            <w:r>
              <w:rPr>
                <w:rFonts w:hint="eastAsia" w:ascii="宋体" w:hAnsi="宋体" w:eastAsia="宋体" w:cs="宋体"/>
                <w:b/>
                <w:bCs/>
                <w:i w:val="0"/>
                <w:iCs w:val="0"/>
                <w:sz w:val="24"/>
                <w:szCs w:val="24"/>
                <w:highlight w:val="none"/>
                <w:lang w:val="en-US" w:eastAsia="zh-CN"/>
              </w:rPr>
              <w:t>/</w:t>
            </w:r>
          </w:p>
          <w:p>
            <w:pPr>
              <w:keepNext w:val="0"/>
              <w:keepLines w:val="0"/>
              <w:pageBreakBefore w:val="0"/>
              <w:widowControl w:val="0"/>
              <w:kinsoku/>
              <w:wordWrap/>
              <w:overflowPunct/>
              <w:topLinePunct w:val="0"/>
              <w:bidi w:val="0"/>
              <w:snapToGrid/>
              <w:spacing w:line="400" w:lineRule="exact"/>
              <w:ind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2019年或</w:t>
            </w:r>
            <w:r>
              <w:rPr>
                <w:rFonts w:hint="eastAsia" w:asciiTheme="minorEastAsia" w:hAnsiTheme="minorEastAsia" w:eastAsiaTheme="minorEastAsia" w:cstheme="minorEastAsia"/>
                <w:b/>
                <w:bCs/>
                <w:color w:val="auto"/>
                <w:kern w:val="0"/>
                <w:sz w:val="24"/>
                <w:szCs w:val="24"/>
                <w:highlight w:val="none"/>
                <w:lang w:val="en-US" w:eastAsia="zh-CN"/>
              </w:rPr>
              <w:t>2020年</w:t>
            </w:r>
            <w:r>
              <w:rPr>
                <w:rFonts w:hint="eastAsia" w:asciiTheme="minorEastAsia" w:hAnsiTheme="minorEastAsia" w:eastAsiaTheme="minorEastAsia" w:cstheme="minorEastAsia"/>
                <w:b/>
                <w:bCs/>
                <w:color w:val="auto"/>
                <w:kern w:val="0"/>
                <w:sz w:val="24"/>
                <w:szCs w:val="24"/>
                <w:highlight w:val="none"/>
                <w:lang w:val="zh-CN" w:eastAsia="zh-CN"/>
              </w:rPr>
              <w:t>审计报告（供应商成立不足1年的，提供有关财务报表（不需审计））或基本开户银行出具的资信证明文件；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7、</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微软雅黑" w:hAnsi="微软雅黑" w:eastAsia="微软雅黑" w:cs="微软雅黑"/>
                <w:i w:val="0"/>
                <w:caps w:val="0"/>
                <w:spacing w:val="0"/>
                <w:sz w:val="31"/>
                <w:szCs w:val="31"/>
                <w:highlight w:val="none"/>
                <w:shd w:val="clear" w:fill="FFFFFF"/>
              </w:rPr>
              <w:t>　</w:t>
            </w:r>
          </w:p>
          <w:p>
            <w:pPr>
              <w:pStyle w:val="20"/>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0"/>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0"/>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0"/>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rPr>
              <w:t>月</w:t>
            </w:r>
            <w:r>
              <w:rPr>
                <w:rFonts w:hint="eastAsia" w:ascii="宋体" w:hAnsi="宋体" w:cs="宋体"/>
                <w:highlight w:val="none"/>
                <w:lang w:val="en-US" w:eastAsia="zh-CN"/>
              </w:rPr>
              <w:t xml:space="preserve"> </w:t>
            </w:r>
            <w:r>
              <w:rPr>
                <w:rFonts w:hint="eastAsia" w:ascii="宋体" w:hAnsi="宋体" w:eastAsia="宋体" w:cs="宋体"/>
                <w:highlight w:val="none"/>
              </w:rPr>
              <w:t>日1</w:t>
            </w:r>
            <w:r>
              <w:rPr>
                <w:rFonts w:hint="eastAsia" w:ascii="宋体" w:hAnsi="宋体" w:cs="宋体"/>
                <w:highlight w:val="none"/>
                <w:lang w:val="en-US" w:eastAsia="zh-CN"/>
              </w:rPr>
              <w:t>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0</w:t>
            </w:r>
            <w:r>
              <w:rPr>
                <w:rFonts w:hint="eastAsia" w:ascii="宋体" w:hAnsi="宋体" w:eastAsia="宋体" w:cs="宋体"/>
                <w:spacing w:val="-62"/>
                <w:highlight w:val="none"/>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0"/>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0"/>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0"/>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0"/>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0"/>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0"/>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0"/>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0"/>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4600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肆仟陆佰</w:t>
            </w:r>
            <w:r>
              <w:rPr>
                <w:rFonts w:hint="eastAsia" w:ascii="宋体" w:hAnsi="宋体" w:eastAsia="宋体" w:cs="宋体"/>
                <w:kern w:val="0"/>
                <w:sz w:val="24"/>
                <w:szCs w:val="24"/>
                <w:highlight w:val="none"/>
              </w:rPr>
              <w:t>圆整）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单位名称：新疆信尔成工程项目管理有限公司</w:t>
            </w:r>
          </w:p>
          <w:p>
            <w:pPr>
              <w:pStyle w:val="20"/>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开户银行：中国工商银行股份有限公司乌鲁木齐长春路支行</w:t>
            </w:r>
          </w:p>
          <w:p>
            <w:pPr>
              <w:pStyle w:val="20"/>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银行账号：3002 0301 0910 0074 747 行号：102881003011</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0"/>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0"/>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0"/>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0"/>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0"/>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0"/>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2</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0"/>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0"/>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10</w:t>
            </w:r>
            <w:r>
              <w:rPr>
                <w:rFonts w:hint="eastAsia" w:ascii="宋体" w:hAnsi="宋体" w:eastAsia="宋体" w:cs="宋体"/>
                <w:highlight w:val="none"/>
              </w:rPr>
              <w:t>月</w:t>
            </w:r>
            <w:r>
              <w:rPr>
                <w:rFonts w:hint="eastAsia" w:ascii="宋体" w:hAnsi="宋体" w:cs="宋体"/>
                <w:highlight w:val="none"/>
                <w:lang w:val="en-US" w:eastAsia="zh-CN"/>
              </w:rPr>
              <w:t xml:space="preserve"> </w:t>
            </w:r>
            <w:r>
              <w:rPr>
                <w:rFonts w:hint="eastAsia" w:ascii="宋体" w:hAnsi="宋体" w:eastAsia="宋体" w:cs="宋体"/>
                <w:highlight w:val="none"/>
              </w:rPr>
              <w:t>日</w:t>
            </w:r>
            <w:r>
              <w:rPr>
                <w:rFonts w:hint="eastAsia" w:ascii="宋体" w:hAnsi="宋体" w:cs="宋体"/>
                <w:highlight w:val="none"/>
                <w:lang w:val="en-US" w:eastAsia="zh-CN"/>
              </w:rPr>
              <w:t>11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0 （北京时间）</w:t>
            </w:r>
          </w:p>
          <w:p>
            <w:pPr>
              <w:pStyle w:val="20"/>
              <w:kinsoku w:val="0"/>
              <w:overflowPunct w:val="0"/>
              <w:spacing w:before="16"/>
              <w:ind w:left="582"/>
              <w:rPr>
                <w:rFonts w:hint="eastAsia" w:ascii="宋体" w:hAnsi="宋体" w:eastAsia="宋体" w:cs="宋体"/>
                <w:b/>
                <w:bCs/>
                <w:highlight w:val="none"/>
              </w:rPr>
            </w:pPr>
            <w:r>
              <w:rPr>
                <w:rFonts w:hint="eastAsia" w:ascii="宋体" w:hAnsi="宋体" w:eastAsia="宋体" w:cs="宋体"/>
                <w:highlight w:val="none"/>
              </w:rPr>
              <w:t>3、</w:t>
            </w:r>
            <w:r>
              <w:rPr>
                <w:rFonts w:hint="eastAsia" w:ascii="宋体" w:hAnsi="宋体" w:eastAsia="宋体" w:cs="宋体"/>
                <w:b/>
                <w:bCs/>
                <w:highlight w:val="none"/>
              </w:rPr>
              <w:t>递交地点：</w:t>
            </w:r>
            <w:r>
              <w:rPr>
                <w:rFonts w:hint="eastAsia" w:asciiTheme="minorEastAsia" w:hAnsiTheme="minorEastAsia" w:eastAsiaTheme="minorEastAsia" w:cstheme="minorEastAsia"/>
                <w:color w:val="auto"/>
                <w:sz w:val="24"/>
                <w:szCs w:val="24"/>
                <w:highlight w:val="none"/>
              </w:rPr>
              <w:t>新疆乌鲁木齐市水磨沟区会展大道1119号大成尔雅B座（乌鲁木齐晚报大厦）七楼702号房</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0"/>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0"/>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0"/>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20"/>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20"/>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0"/>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0"/>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0"/>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0"/>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0"/>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0"/>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0"/>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0"/>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0"/>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0"/>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0"/>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0"/>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二）供应商须知"/>
            <w:bookmarkEnd w:id="48"/>
            <w:bookmarkStart w:id="49" w:name="bookmark3"/>
            <w:bookmarkEnd w:id="49"/>
            <w:r>
              <w:rPr>
                <w:rFonts w:hint="eastAsia" w:ascii="宋体" w:hAnsi="宋体" w:eastAsia="宋体" w:cs="宋体"/>
                <w:b/>
                <w:bCs/>
                <w:highlight w:val="none"/>
              </w:rPr>
              <w:t xml:space="preserve">要求： </w:t>
            </w:r>
          </w:p>
          <w:p>
            <w:pPr>
              <w:pStyle w:val="20"/>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0"/>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至少1个工作</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0"/>
              <w:kinsoku w:val="0"/>
              <w:overflowPunct w:val="0"/>
              <w:spacing w:before="73"/>
              <w:jc w:val="center"/>
              <w:rPr>
                <w:rFonts w:hint="default" w:ascii="宋体" w:hAnsi="宋体" w:cs="宋体"/>
                <w:highlight w:val="none"/>
                <w:lang w:val="en-US" w:eastAsia="zh-CN"/>
              </w:rPr>
            </w:pPr>
            <w:r>
              <w:rPr>
                <w:rFonts w:hint="eastAsia" w:ascii="宋体" w:hAnsi="宋体" w:cs="宋体"/>
                <w:highlight w:val="none"/>
                <w:lang w:val="en-US" w:eastAsia="zh-CN"/>
              </w:rPr>
              <w:t>31</w:t>
            </w:r>
          </w:p>
        </w:tc>
        <w:tc>
          <w:tcPr>
            <w:tcW w:w="8475" w:type="dxa"/>
            <w:noWrap w:val="0"/>
            <w:vAlign w:val="top"/>
          </w:tcPr>
          <w:p>
            <w:pPr>
              <w:pStyle w:val="20"/>
              <w:kinsoku w:val="0"/>
              <w:overflowPunct w:val="0"/>
              <w:spacing w:before="38"/>
              <w:ind w:left="102" w:firstLine="472" w:firstLineChars="200"/>
              <w:rPr>
                <w:rFonts w:hint="eastAsia" w:ascii="宋体" w:hAnsi="宋体" w:cs="宋体"/>
                <w:spacing w:val="-2"/>
                <w:highlight w:val="none"/>
                <w:lang w:eastAsia="zh-CN"/>
              </w:rPr>
            </w:pPr>
            <w:r>
              <w:rPr>
                <w:rFonts w:hint="eastAsia" w:ascii="宋体" w:hAnsi="宋体" w:cs="宋体"/>
                <w:spacing w:val="-2"/>
                <w:highlight w:val="none"/>
                <w:lang w:eastAsia="zh-CN"/>
              </w:rPr>
              <w:t>接受答疑要求：供应商应在收到采购文件3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8"/>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rPr>
        <w:t>新疆信尔成工程项目管理有限公司</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8"/>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8"/>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8"/>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8"/>
        <w:kinsoku w:val="0"/>
        <w:overflowPunct w:val="0"/>
        <w:spacing w:before="130" w:line="355" w:lineRule="auto"/>
        <w:ind w:right="7" w:firstLine="480"/>
        <w:rPr>
          <w:rFonts w:hint="eastAsia" w:ascii="宋体" w:hAnsi="宋体" w:eastAsia="宋体" w:cs="宋体"/>
          <w:spacing w:val="4"/>
          <w:highlight w:val="none"/>
        </w:rPr>
      </w:pPr>
      <w:bookmarkStart w:id="52" w:name="（四）《磋商响应性文件》的编制"/>
      <w:bookmarkEnd w:id="52"/>
      <w:bookmarkStart w:id="53" w:name="bookmark5"/>
      <w:bookmarkEnd w:id="53"/>
      <w:r>
        <w:rPr>
          <w:rFonts w:hint="eastAsia" w:ascii="宋体" w:hAnsi="宋体" w:eastAsia="宋体" w:cs="宋体"/>
          <w:spacing w:val="4"/>
          <w:highlight w:val="none"/>
        </w:rPr>
        <w:t>5）合同条款及合同格式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8"/>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 疑，招标采购单位按规定时间答复，超过时间的质疑将不予接受。</w:t>
      </w:r>
    </w:p>
    <w:p>
      <w:pPr>
        <w:pStyle w:val="4"/>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8"/>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8"/>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8"/>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4600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肆仟陆佰</w:t>
      </w:r>
      <w:r>
        <w:rPr>
          <w:rFonts w:hint="eastAsia" w:ascii="宋体" w:hAnsi="宋体" w:eastAsia="宋体" w:cs="宋体"/>
          <w:kern w:val="0"/>
          <w:sz w:val="24"/>
          <w:szCs w:val="24"/>
          <w:highlight w:val="none"/>
        </w:rPr>
        <w:t>圆整）</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单位名称：新疆信尔成工程项目管理</w:t>
      </w:r>
      <w:r>
        <w:rPr>
          <w:rFonts w:hint="eastAsia" w:ascii="宋体" w:hAnsi="宋体" w:eastAsia="宋体" w:cs="宋体"/>
          <w:kern w:val="0"/>
          <w:sz w:val="24"/>
          <w:szCs w:val="24"/>
          <w:highlight w:val="none"/>
          <w:lang w:eastAsia="zh-CN"/>
        </w:rPr>
        <w:t>有</w:t>
      </w:r>
      <w:r>
        <w:rPr>
          <w:rFonts w:hint="eastAsia" w:ascii="宋体" w:hAnsi="宋体" w:eastAsia="宋体" w:cs="宋体"/>
          <w:kern w:val="0"/>
          <w:sz w:val="24"/>
          <w:szCs w:val="24"/>
          <w:highlight w:val="none"/>
        </w:rPr>
        <w:t>限公司</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开户银行：中国工商银行股份有有限公司乌鲁木齐长春路支行</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行号：102881003011</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8"/>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8"/>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8"/>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二</w:t>
      </w:r>
      <w:r>
        <w:rPr>
          <w:rFonts w:hint="eastAsia" w:ascii="宋体" w:hAnsi="宋体" w:eastAsia="宋体" w:cs="宋体"/>
          <w:highlight w:val="none"/>
        </w:rPr>
        <w:t>份。</w:t>
      </w:r>
    </w:p>
    <w:p>
      <w:pPr>
        <w:pStyle w:val="8"/>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8"/>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8"/>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8"/>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8"/>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8"/>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8"/>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8"/>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8"/>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8"/>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8"/>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8"/>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8"/>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8"/>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8"/>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4"/>
      <w:bookmarkEnd w:id="63"/>
      <w:bookmarkStart w:id="64" w:name="bookmark13"/>
      <w:bookmarkEnd w:id="64"/>
      <w:bookmarkStart w:id="65" w:name="（十二）无效投标"/>
      <w:bookmarkEnd w:id="65"/>
      <w:bookmarkStart w:id="66" w:name="（十三）废标"/>
      <w:bookmarkEnd w:id="66"/>
      <w:r>
        <w:rPr>
          <w:rFonts w:hint="eastAsia" w:ascii="宋体" w:hAnsi="宋体" w:eastAsia="宋体" w:cs="宋体"/>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w:t>
      </w:r>
      <w:r>
        <w:rPr>
          <w:rFonts w:hint="eastAsia" w:ascii="宋体" w:hAnsi="宋体" w:cs="宋体"/>
          <w:b/>
          <w:bCs/>
          <w:kern w:val="0"/>
          <w:sz w:val="24"/>
          <w:szCs w:val="24"/>
          <w:highlight w:val="none"/>
          <w:lang w:val="en-US" w:eastAsia="zh-CN" w:bidi="ar-SA"/>
        </w:rPr>
        <w:t>证明及身份</w:t>
      </w:r>
      <w:r>
        <w:rPr>
          <w:rFonts w:hint="eastAsia" w:ascii="宋体" w:hAnsi="宋体" w:eastAsia="宋体" w:cs="宋体"/>
          <w:b/>
          <w:bCs/>
          <w:kern w:val="0"/>
          <w:sz w:val="24"/>
          <w:szCs w:val="24"/>
          <w:highlight w:val="none"/>
          <w:lang w:val="en-US" w:eastAsia="zh-CN" w:bidi="ar-SA"/>
        </w:rPr>
        <w:t>证原件）</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2、</w:t>
      </w:r>
      <w:r>
        <w:rPr>
          <w:rFonts w:hint="eastAsia" w:ascii="宋体" w:hAnsi="宋体" w:eastAsia="宋体" w:cs="宋体"/>
          <w:b/>
          <w:bCs/>
          <w:kern w:val="0"/>
          <w:sz w:val="24"/>
          <w:szCs w:val="24"/>
          <w:highlight w:val="none"/>
          <w:lang w:val="zh-CN" w:eastAsia="zh-CN" w:bidi="ar-SA"/>
        </w:rPr>
        <w:t>营业执照原件；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3</w:t>
      </w:r>
      <w:r>
        <w:rPr>
          <w:rFonts w:hint="eastAsia" w:ascii="宋体" w:hAnsi="宋体" w:eastAsia="宋体" w:cs="宋体"/>
          <w:b/>
          <w:bCs/>
          <w:kern w:val="0"/>
          <w:sz w:val="24"/>
          <w:szCs w:val="24"/>
          <w:highlight w:val="none"/>
          <w:lang w:val="en-US" w:eastAsia="zh-CN" w:bidi="ar-SA"/>
        </w:rPr>
        <w:t>、</w:t>
      </w:r>
      <w:r>
        <w:rPr>
          <w:rFonts w:hint="eastAsia" w:ascii="宋体" w:hAnsi="宋体" w:cs="宋体"/>
          <w:b/>
          <w:bCs/>
          <w:kern w:val="0"/>
          <w:sz w:val="24"/>
          <w:szCs w:val="24"/>
          <w:highlight w:val="none"/>
          <w:lang w:val="en-US" w:eastAsia="zh-CN" w:bidi="ar-SA"/>
        </w:rPr>
        <w:t>特定资质：/</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4</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2019年</w:t>
      </w:r>
      <w:r>
        <w:rPr>
          <w:rFonts w:hint="eastAsia" w:ascii="宋体" w:hAnsi="宋体" w:cs="宋体"/>
          <w:b/>
          <w:bCs/>
          <w:kern w:val="0"/>
          <w:sz w:val="24"/>
          <w:szCs w:val="24"/>
          <w:highlight w:val="none"/>
          <w:lang w:val="zh-CN" w:eastAsia="zh-CN" w:bidi="ar-SA"/>
        </w:rPr>
        <w:t>或</w:t>
      </w:r>
      <w:r>
        <w:rPr>
          <w:rFonts w:hint="eastAsia" w:ascii="宋体" w:hAnsi="宋体" w:cs="宋体"/>
          <w:b/>
          <w:bCs/>
          <w:kern w:val="0"/>
          <w:sz w:val="24"/>
          <w:szCs w:val="24"/>
          <w:highlight w:val="none"/>
          <w:lang w:val="en-US" w:eastAsia="zh-CN" w:bidi="ar-SA"/>
        </w:rPr>
        <w:t>2020年</w:t>
      </w:r>
      <w:r>
        <w:rPr>
          <w:rFonts w:hint="eastAsia" w:ascii="宋体" w:hAnsi="宋体" w:eastAsia="宋体" w:cs="宋体"/>
          <w:b/>
          <w:bCs/>
          <w:kern w:val="0"/>
          <w:sz w:val="24"/>
          <w:szCs w:val="24"/>
          <w:highlight w:val="none"/>
          <w:lang w:val="zh-CN" w:eastAsia="zh-CN" w:bidi="ar-SA"/>
        </w:rPr>
        <w:t>审计报告（供应商成立不足1年的，提供有关财务报表（不需审计））或基本开户银行出具的资信证明文件；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5</w:t>
      </w:r>
      <w:r>
        <w:rPr>
          <w:rFonts w:hint="eastAsia" w:ascii="宋体" w:hAnsi="宋体" w:eastAsia="宋体" w:cs="宋体"/>
          <w:b/>
          <w:bCs/>
          <w:kern w:val="0"/>
          <w:sz w:val="24"/>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6</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提供保证金</w:t>
      </w:r>
      <w:r>
        <w:rPr>
          <w:rFonts w:hint="eastAsia" w:ascii="宋体" w:hAnsi="宋体" w:cs="宋体"/>
          <w:b/>
          <w:bCs/>
          <w:kern w:val="0"/>
          <w:sz w:val="24"/>
          <w:szCs w:val="24"/>
          <w:highlight w:val="none"/>
          <w:lang w:val="zh-CN" w:eastAsia="zh-CN" w:bidi="ar-SA"/>
        </w:rPr>
        <w:t>缴纳</w:t>
      </w:r>
      <w:r>
        <w:rPr>
          <w:rFonts w:hint="eastAsia" w:ascii="宋体" w:hAnsi="宋体" w:eastAsia="宋体" w:cs="宋体"/>
          <w:b/>
          <w:bCs/>
          <w:kern w:val="0"/>
          <w:sz w:val="24"/>
          <w:szCs w:val="24"/>
          <w:highlight w:val="none"/>
          <w:lang w:val="en-US" w:eastAsia="zh-CN" w:bidi="ar-SA"/>
        </w:rPr>
        <w:t>凭证</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7</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r>
        <w:rPr>
          <w:rFonts w:hint="eastAsia" w:ascii="宋体" w:hAnsi="宋体" w:eastAsia="宋体" w:cs="宋体"/>
          <w:kern w:val="0"/>
          <w:sz w:val="24"/>
          <w:szCs w:val="24"/>
          <w:highlight w:val="none"/>
          <w:lang w:val="en-US" w:eastAsia="zh-CN" w:bidi="ar-SA"/>
        </w:rPr>
        <w:t>　</w:t>
      </w:r>
      <w:r>
        <w:rPr>
          <w:rFonts w:hint="eastAsia" w:ascii="微软雅黑" w:hAnsi="微软雅黑" w:eastAsia="微软雅黑" w:cs="微软雅黑"/>
          <w:i w:val="0"/>
          <w:caps w:val="0"/>
          <w:spacing w:val="0"/>
          <w:sz w:val="31"/>
          <w:szCs w:val="31"/>
          <w:highlight w:val="none"/>
          <w:shd w:val="clear" w:fill="FFFFFF"/>
        </w:rPr>
        <w:t>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rPr>
          <w:rFonts w:hint="eastAsia" w:ascii="宋体" w:hAnsi="宋体" w:eastAsia="宋体" w:cs="宋体"/>
          <w:b/>
          <w:bCs/>
          <w:highlight w:val="none"/>
        </w:rPr>
      </w:pPr>
    </w:p>
    <w:tbl>
      <w:tblPr>
        <w:tblStyle w:val="16"/>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0"/>
              <w:spacing w:before="123"/>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603" w:type="dxa"/>
          </w:tcPr>
          <w:p>
            <w:pPr>
              <w:pStyle w:val="20"/>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0"/>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sz w:val="21"/>
                <w:szCs w:val="21"/>
                <w:highlight w:val="none"/>
              </w:rPr>
              <w:t>（总分100分)</w:t>
            </w:r>
          </w:p>
        </w:tc>
        <w:tc>
          <w:tcPr>
            <w:tcW w:w="6603" w:type="dxa"/>
          </w:tcPr>
          <w:p>
            <w:pPr>
              <w:pStyle w:val="20"/>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评审价格：10分 </w:t>
            </w:r>
          </w:p>
        </w:tc>
        <w:tc>
          <w:tcPr>
            <w:tcW w:w="741" w:type="dxa"/>
            <w:vMerge w:val="restart"/>
            <w:vAlign w:val="center"/>
          </w:tcPr>
          <w:p>
            <w:pPr>
              <w:pStyle w:val="20"/>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0"/>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0"/>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0"/>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75</w:t>
            </w:r>
            <w:r>
              <w:rPr>
                <w:rFonts w:hint="eastAsia" w:asciiTheme="minorEastAsia" w:hAnsiTheme="minorEastAsia" w:eastAsiaTheme="minorEastAsia" w:cstheme="minorEastAsia"/>
                <w:b/>
                <w:bCs/>
                <w:color w:val="auto"/>
                <w:sz w:val="21"/>
                <w:szCs w:val="21"/>
                <w:highlight w:val="none"/>
              </w:rPr>
              <w:t xml:space="preserve">分 </w:t>
            </w:r>
          </w:p>
        </w:tc>
        <w:tc>
          <w:tcPr>
            <w:tcW w:w="741" w:type="dxa"/>
            <w:vMerge w:val="continue"/>
          </w:tcPr>
          <w:p>
            <w:pPr>
              <w:pStyle w:val="20"/>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0"/>
              <w:rPr>
                <w:rFonts w:hint="eastAsia" w:asciiTheme="minorEastAsia" w:hAnsiTheme="minorEastAsia" w:eastAsiaTheme="minorEastAsia" w:cstheme="minorEastAsia"/>
                <w:color w:val="auto"/>
                <w:sz w:val="21"/>
                <w:szCs w:val="21"/>
                <w:highlight w:val="none"/>
              </w:rPr>
            </w:pPr>
          </w:p>
          <w:p>
            <w:pPr>
              <w:pStyle w:val="20"/>
              <w:spacing w:before="10"/>
              <w:rPr>
                <w:rFonts w:hint="eastAsia" w:asciiTheme="minorEastAsia" w:hAnsiTheme="minorEastAsia" w:eastAsiaTheme="minorEastAsia" w:cstheme="minorEastAsia"/>
                <w:color w:val="auto"/>
                <w:sz w:val="21"/>
                <w:szCs w:val="21"/>
                <w:highlight w:val="none"/>
              </w:rPr>
            </w:pPr>
          </w:p>
          <w:p>
            <w:pPr>
              <w:pStyle w:val="20"/>
              <w:ind w:left="43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评审价格</w:t>
            </w:r>
          </w:p>
          <w:p>
            <w:pPr>
              <w:pStyle w:val="20"/>
              <w:ind w:left="43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（10分） </w:t>
            </w:r>
          </w:p>
        </w:tc>
        <w:tc>
          <w:tcPr>
            <w:tcW w:w="6603" w:type="dxa"/>
          </w:tcPr>
          <w:p>
            <w:pPr>
              <w:pStyle w:val="20"/>
              <w:spacing w:before="49" w:line="319" w:lineRule="auto"/>
              <w:ind w:left="4" w:right="-15"/>
              <w:jc w:val="both"/>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pacing w:val="-6"/>
                <w:sz w:val="21"/>
                <w:szCs w:val="21"/>
                <w:highlight w:val="none"/>
              </w:rPr>
              <w:t>满足磋商文件要求且最终报价最低的报价为评审基准价，其价格分为</w:t>
            </w:r>
            <w:r>
              <w:rPr>
                <w:rFonts w:hint="eastAsia" w:asciiTheme="minorEastAsia" w:hAnsiTheme="minorEastAsia" w:eastAsiaTheme="minorEastAsia" w:cstheme="minorEastAsia"/>
                <w:color w:val="auto"/>
                <w:spacing w:val="-12"/>
                <w:sz w:val="21"/>
                <w:szCs w:val="21"/>
                <w:highlight w:val="none"/>
              </w:rPr>
              <w:t>满分。其他满足磋商文件要求的供应商的价格分统一按照下列公式计算：</w:t>
            </w:r>
          </w:p>
          <w:p>
            <w:pPr>
              <w:pStyle w:val="20"/>
              <w:spacing w:before="49" w:line="319"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评审价格分数=（评审基准价/最终报价）×价格权重</w:t>
            </w:r>
            <w:r>
              <w:rPr>
                <w:rFonts w:hint="eastAsia" w:asciiTheme="minorEastAsia" w:hAnsiTheme="minorEastAsia" w:eastAsiaTheme="minorEastAsia" w:cstheme="minorEastAsia"/>
                <w:color w:val="auto"/>
                <w:spacing w:val="-3"/>
                <w:sz w:val="21"/>
                <w:szCs w:val="21"/>
                <w:highlight w:val="none"/>
              </w:rPr>
              <w:t>（10%）×</w:t>
            </w:r>
            <w:r>
              <w:rPr>
                <w:rFonts w:hint="eastAsia" w:asciiTheme="minorEastAsia" w:hAnsiTheme="minorEastAsia" w:eastAsiaTheme="minorEastAsia" w:cstheme="minorEastAsia"/>
                <w:color w:val="auto"/>
                <w:spacing w:val="-3"/>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00 </w:t>
            </w:r>
          </w:p>
        </w:tc>
        <w:tc>
          <w:tcPr>
            <w:tcW w:w="741" w:type="dxa"/>
            <w:vAlign w:val="center"/>
          </w:tcPr>
          <w:p>
            <w:pPr>
              <w:pStyle w:val="20"/>
              <w:spacing w:before="2"/>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736" w:type="dxa"/>
            <w:vMerge w:val="restart"/>
            <w:vAlign w:val="center"/>
          </w:tcPr>
          <w:p>
            <w:pPr>
              <w:pStyle w:val="20"/>
              <w:jc w:val="center"/>
              <w:rPr>
                <w:rFonts w:hint="eastAsia" w:asciiTheme="minorEastAsia" w:hAnsiTheme="minorEastAsia" w:eastAsiaTheme="minorEastAsia" w:cstheme="minorEastAsia"/>
                <w:color w:val="auto"/>
                <w:sz w:val="21"/>
                <w:szCs w:val="21"/>
                <w:highlight w:val="none"/>
              </w:rPr>
            </w:pPr>
          </w:p>
          <w:p>
            <w:pPr>
              <w:pStyle w:val="20"/>
              <w:spacing w:before="10"/>
              <w:jc w:val="center"/>
              <w:rPr>
                <w:rFonts w:hint="eastAsia" w:asciiTheme="minorEastAsia" w:hAnsiTheme="minorEastAsia" w:eastAsiaTheme="minorEastAsia" w:cstheme="minorEastAsia"/>
                <w:color w:val="auto"/>
                <w:sz w:val="21"/>
                <w:szCs w:val="21"/>
                <w:highlight w:val="none"/>
              </w:rPr>
            </w:pPr>
          </w:p>
          <w:p>
            <w:pPr>
              <w:pStyle w:val="20"/>
              <w:spacing w:before="1" w:line="319" w:lineRule="auto"/>
              <w:ind w:left="187" w:right="7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商务部分</w:t>
            </w:r>
          </w:p>
          <w:p>
            <w:pPr>
              <w:pStyle w:val="20"/>
              <w:spacing w:before="2"/>
              <w:ind w:right="9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pacing w:val="-32"/>
                <w:sz w:val="21"/>
                <w:szCs w:val="21"/>
                <w:highlight w:val="none"/>
              </w:rPr>
              <w:t>分</w:t>
            </w:r>
            <w:r>
              <w:rPr>
                <w:rFonts w:hint="eastAsia" w:asciiTheme="minorEastAsia" w:hAnsiTheme="minorEastAsia" w:eastAsiaTheme="minorEastAsia" w:cstheme="minorEastAsia"/>
                <w:color w:val="auto"/>
                <w:spacing w:val="-32"/>
                <w:sz w:val="21"/>
                <w:szCs w:val="21"/>
                <w:highlight w:val="none"/>
                <w:lang w:eastAsia="zh-CN"/>
              </w:rPr>
              <w:t>）</w:t>
            </w:r>
          </w:p>
        </w:tc>
        <w:tc>
          <w:tcPr>
            <w:tcW w:w="948" w:type="dxa"/>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企业类似业绩</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 xml:space="preserve"> 分）</w:t>
            </w:r>
          </w:p>
          <w:p>
            <w:pPr>
              <w:pStyle w:val="20"/>
              <w:spacing w:before="6" w:line="358" w:lineRule="exact"/>
              <w:ind w:right="79"/>
              <w:jc w:val="left"/>
              <w:rPr>
                <w:rFonts w:hint="eastAsia" w:asciiTheme="minorEastAsia" w:hAnsiTheme="minorEastAsia" w:eastAsiaTheme="minorEastAsia" w:cstheme="minorEastAsia"/>
                <w:color w:val="auto"/>
                <w:sz w:val="21"/>
                <w:szCs w:val="21"/>
                <w:highlight w:val="none"/>
              </w:rPr>
            </w:pPr>
          </w:p>
        </w:tc>
        <w:tc>
          <w:tcPr>
            <w:tcW w:w="6603" w:type="dxa"/>
          </w:tcPr>
          <w:p>
            <w:pPr>
              <w:pStyle w:val="20"/>
              <w:spacing w:before="121" w:line="321" w:lineRule="auto"/>
              <w:ind w:left="4" w:right="1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供应商提供近</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2018年10月1日至投标文件递交截止日前</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独立承担的</w:t>
            </w:r>
            <w:r>
              <w:rPr>
                <w:rFonts w:hint="eastAsia" w:asciiTheme="minorEastAsia" w:hAnsiTheme="minorEastAsia" w:eastAsiaTheme="minorEastAsia" w:cstheme="minorEastAsia"/>
                <w:color w:val="auto"/>
                <w:sz w:val="21"/>
                <w:szCs w:val="21"/>
                <w:highlight w:val="none"/>
                <w:lang w:eastAsia="zh-CN"/>
              </w:rPr>
              <w:t>与本项目类似的</w:t>
            </w:r>
            <w:r>
              <w:rPr>
                <w:rFonts w:hint="eastAsia" w:asciiTheme="minorEastAsia" w:hAnsiTheme="minorEastAsia" w:eastAsiaTheme="minorEastAsia" w:cstheme="minorEastAsia"/>
                <w:color w:val="auto"/>
                <w:sz w:val="21"/>
                <w:szCs w:val="21"/>
                <w:highlight w:val="none"/>
              </w:rPr>
              <w:t>业绩</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有一项类似项目业绩者得1分，每增加一项业绩增加1分，最多</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p>
          <w:p>
            <w:pPr>
              <w:pStyle w:val="20"/>
              <w:spacing w:before="121" w:line="321" w:lineRule="auto"/>
              <w:ind w:left="4" w:right="1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备注：</w:t>
            </w:r>
            <w:r>
              <w:rPr>
                <w:rFonts w:hint="eastAsia" w:asciiTheme="minorEastAsia" w:hAnsiTheme="minorEastAsia" w:eastAsiaTheme="minorEastAsia" w:cstheme="minorEastAsia"/>
                <w:color w:val="auto"/>
                <w:sz w:val="21"/>
                <w:szCs w:val="21"/>
                <w:highlight w:val="none"/>
              </w:rPr>
              <w:t>业绩证明（</w:t>
            </w:r>
            <w:r>
              <w:rPr>
                <w:rFonts w:hint="eastAsia" w:asciiTheme="minorEastAsia" w:hAnsiTheme="minorEastAsia" w:eastAsiaTheme="minorEastAsia" w:cstheme="minorEastAsia"/>
                <w:color w:val="auto"/>
                <w:sz w:val="21"/>
                <w:szCs w:val="21"/>
                <w:highlight w:val="none"/>
              </w:rPr>
              <w:t>以合同</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lang w:eastAsia="zh-CN"/>
              </w:rPr>
              <w:t>中标通知书</w:t>
            </w:r>
            <w:r>
              <w:rPr>
                <w:rFonts w:hint="eastAsia" w:asciiTheme="minorEastAsia" w:hAnsiTheme="minorEastAsia" w:eastAsiaTheme="minorEastAsia" w:cstheme="minorEastAsia"/>
                <w:color w:val="auto"/>
                <w:sz w:val="21"/>
                <w:szCs w:val="21"/>
                <w:highlight w:val="none"/>
              </w:rPr>
              <w:t>为准</w:t>
            </w:r>
            <w:r>
              <w:rPr>
                <w:rFonts w:hint="eastAsia" w:asciiTheme="minorEastAsia" w:hAnsiTheme="minorEastAsia" w:eastAsiaTheme="minorEastAsia" w:cstheme="minorEastAsia"/>
                <w:color w:val="auto"/>
                <w:sz w:val="21"/>
                <w:szCs w:val="21"/>
                <w:highlight w:val="none"/>
              </w:rPr>
              <w:t>，在投标文件中附合同扫描件</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lang w:eastAsia="zh-CN"/>
              </w:rPr>
              <w:t>中标通知书扫描件</w:t>
            </w:r>
            <w:r>
              <w:rPr>
                <w:rFonts w:hint="eastAsia" w:asciiTheme="minorEastAsia" w:hAnsiTheme="minorEastAsia" w:eastAsiaTheme="minorEastAsia" w:cstheme="minorEastAsia"/>
                <w:color w:val="auto"/>
                <w:sz w:val="21"/>
                <w:szCs w:val="21"/>
                <w:highlight w:val="none"/>
              </w:rPr>
              <w:t>加盖单位公章，须</w:t>
            </w:r>
            <w:r>
              <w:rPr>
                <w:rFonts w:hint="eastAsia" w:asciiTheme="minorEastAsia" w:hAnsiTheme="minorEastAsia" w:eastAsiaTheme="minorEastAsia" w:cstheme="minorEastAsia"/>
                <w:color w:val="auto"/>
                <w:sz w:val="21"/>
                <w:szCs w:val="21"/>
                <w:highlight w:val="none"/>
                <w:lang w:eastAsia="zh-CN"/>
              </w:rPr>
              <w:t>携带原件备查，</w:t>
            </w:r>
            <w:r>
              <w:rPr>
                <w:rFonts w:hint="eastAsia" w:asciiTheme="minorEastAsia" w:hAnsiTheme="minorEastAsia" w:eastAsiaTheme="minorEastAsia" w:cstheme="minorEastAsia"/>
                <w:color w:val="auto"/>
                <w:sz w:val="21"/>
                <w:szCs w:val="21"/>
                <w:highlight w:val="none"/>
              </w:rPr>
              <w:t>弄虚作假者取消其投标资格）</w:t>
            </w:r>
            <w:r>
              <w:rPr>
                <w:rFonts w:hint="eastAsia" w:asciiTheme="minorEastAsia" w:hAnsiTheme="minorEastAsia" w:eastAsiaTheme="minorEastAsia" w:cstheme="minorEastAsia"/>
                <w:color w:val="auto"/>
                <w:sz w:val="21"/>
                <w:szCs w:val="21"/>
                <w:highlight w:val="none"/>
                <w:lang w:eastAsia="zh-CN"/>
              </w:rPr>
              <w:t>。</w:t>
            </w:r>
          </w:p>
        </w:tc>
        <w:tc>
          <w:tcPr>
            <w:tcW w:w="741" w:type="dxa"/>
            <w:vAlign w:val="center"/>
          </w:tcPr>
          <w:p>
            <w:pPr>
              <w:pStyle w:val="20"/>
              <w:spacing w:before="121" w:line="321" w:lineRule="auto"/>
              <w:ind w:left="4" w:right="12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4" w:hRule="atLeast"/>
        </w:trPr>
        <w:tc>
          <w:tcPr>
            <w:tcW w:w="736" w:type="dxa"/>
            <w:vMerge w:val="continue"/>
          </w:tcPr>
          <w:p>
            <w:pP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0"/>
              <w:spacing w:before="7"/>
              <w:jc w:val="cente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tc>
        <w:tc>
          <w:tcPr>
            <w:tcW w:w="6603" w:type="dxa"/>
          </w:tcPr>
          <w:p>
            <w:pPr>
              <w:pStyle w:val="20"/>
              <w:spacing w:before="37"/>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项目负责人能力（满分 </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 分）</w:t>
            </w:r>
          </w:p>
          <w:p>
            <w:pPr>
              <w:pStyle w:val="20"/>
              <w:spacing w:before="43" w:line="278" w:lineRule="auto"/>
              <w:ind w:left="107" w:righ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w:t>
            </w:r>
            <w:r>
              <w:rPr>
                <w:rFonts w:hint="eastAsia" w:asciiTheme="minorEastAsia" w:hAnsiTheme="minorEastAsia" w:eastAsiaTheme="minorEastAsia" w:cstheme="minorEastAsia"/>
                <w:color w:val="auto"/>
                <w:sz w:val="21"/>
                <w:szCs w:val="21"/>
                <w:highlight w:val="none"/>
              </w:rPr>
              <w:t>近三年承担过类似的</w:t>
            </w:r>
            <w:r>
              <w:rPr>
                <w:rFonts w:hint="eastAsia" w:asciiTheme="minorEastAsia" w:hAnsiTheme="minorEastAsia" w:eastAsiaTheme="minorEastAsia" w:cstheme="minorEastAsia"/>
                <w:color w:val="auto"/>
                <w:sz w:val="21"/>
                <w:szCs w:val="21"/>
                <w:highlight w:val="none"/>
                <w:lang w:val="en-US" w:eastAsia="zh-CN"/>
              </w:rPr>
              <w:t>广播节目</w:t>
            </w:r>
            <w:r>
              <w:rPr>
                <w:rFonts w:hint="eastAsia" w:asciiTheme="minorEastAsia" w:hAnsiTheme="minorEastAsia" w:eastAsiaTheme="minorEastAsia" w:cstheme="minorEastAsia"/>
                <w:color w:val="auto"/>
                <w:sz w:val="21"/>
                <w:szCs w:val="21"/>
                <w:highlight w:val="none"/>
              </w:rPr>
              <w:t>业绩</w:t>
            </w:r>
            <w:r>
              <w:rPr>
                <w:rFonts w:hint="eastAsia" w:asciiTheme="minorEastAsia" w:hAnsiTheme="minorEastAsia" w:eastAsiaTheme="minorEastAsia" w:cstheme="minorEastAsia"/>
                <w:color w:val="auto"/>
                <w:sz w:val="21"/>
                <w:szCs w:val="21"/>
                <w:highlight w:val="none"/>
              </w:rPr>
              <w:t xml:space="preserve">， 每承担过一个得 1 分，最高得 </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 分。</w:t>
            </w:r>
          </w:p>
          <w:p>
            <w:pPr>
              <w:pStyle w:val="20"/>
              <w:spacing w:before="42"/>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 xml:space="preserve">具有高级职称得 </w:t>
            </w:r>
            <w:r>
              <w:rPr>
                <w:rFonts w:hint="eastAsia" w:asciiTheme="minorEastAsia" w:hAnsiTheme="minorEastAsia" w:eastAsiaTheme="minorEastAsia" w:cstheme="minorEastAsia"/>
                <w:color w:val="auto"/>
                <w:sz w:val="21"/>
                <w:szCs w:val="21"/>
                <w:highlight w:val="none"/>
              </w:rPr>
              <w:t xml:space="preserve">2 </w:t>
            </w:r>
            <w:r>
              <w:rPr>
                <w:rFonts w:hint="eastAsia" w:asciiTheme="minorEastAsia" w:hAnsiTheme="minorEastAsia" w:eastAsiaTheme="minorEastAsia" w:cstheme="minorEastAsia"/>
                <w:color w:val="auto"/>
                <w:spacing w:val="-9"/>
                <w:sz w:val="21"/>
                <w:szCs w:val="21"/>
                <w:highlight w:val="none"/>
              </w:rPr>
              <w:t>分</w:t>
            </w:r>
            <w:r>
              <w:rPr>
                <w:rFonts w:hint="eastAsia" w:asciiTheme="minorEastAsia" w:hAnsiTheme="minorEastAsia" w:eastAsiaTheme="minorEastAsia" w:cstheme="minorEastAsia"/>
                <w:color w:val="auto"/>
                <w:spacing w:val="-3"/>
                <w:sz w:val="21"/>
                <w:szCs w:val="21"/>
                <w:highlight w:val="none"/>
              </w:rPr>
              <w:t>，其他得</w:t>
            </w:r>
            <w:r>
              <w:rPr>
                <w:rFonts w:hint="eastAsia" w:asciiTheme="minorEastAsia" w:hAnsiTheme="minorEastAsia" w:eastAsiaTheme="minorEastAsia" w:cstheme="minorEastAsia"/>
                <w:color w:val="auto"/>
                <w:sz w:val="21"/>
                <w:szCs w:val="21"/>
                <w:highlight w:val="none"/>
              </w:rPr>
              <w:t>0 分。</w:t>
            </w:r>
          </w:p>
          <w:p>
            <w:pPr>
              <w:pStyle w:val="20"/>
              <w:spacing w:line="278" w:lineRule="auto"/>
              <w:ind w:left="108" w:righ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备注：</w:t>
            </w:r>
            <w:r>
              <w:rPr>
                <w:rFonts w:hint="eastAsia" w:asciiTheme="minorEastAsia" w:hAnsiTheme="minorEastAsia" w:eastAsiaTheme="minorEastAsia" w:cstheme="minorEastAsia"/>
                <w:color w:val="auto"/>
                <w:sz w:val="21"/>
                <w:szCs w:val="21"/>
                <w:highlight w:val="none"/>
              </w:rPr>
              <w:t>业绩证明文件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包含显示本项目负责人姓名内容合同复印件或采购人出具的履约证明文件</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p>
            <w:pPr>
              <w:pStyle w:val="20"/>
              <w:spacing w:line="242" w:lineRule="exact"/>
              <w:ind w:left="4"/>
              <w:rPr>
                <w:rFonts w:hint="eastAsia" w:asciiTheme="minorEastAsia" w:hAnsiTheme="minorEastAsia" w:eastAsiaTheme="minorEastAsia" w:cstheme="minorEastAsia"/>
                <w:color w:val="auto"/>
                <w:sz w:val="21"/>
                <w:szCs w:val="21"/>
                <w:highlight w:val="none"/>
              </w:rPr>
            </w:pPr>
          </w:p>
        </w:tc>
        <w:tc>
          <w:tcPr>
            <w:tcW w:w="741" w:type="dxa"/>
            <w:vAlign w:val="center"/>
          </w:tcPr>
          <w:p>
            <w:pPr>
              <w:pStyle w:val="20"/>
              <w:spacing w:line="242"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736" w:type="dxa"/>
            <w:vMerge w:val="continue"/>
          </w:tcPr>
          <w:p>
            <w:pPr>
              <w:pStyle w:val="20"/>
              <w:spacing w:line="266" w:lineRule="exact"/>
              <w:ind w:right="96"/>
              <w:jc w:val="right"/>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0"/>
              <w:jc w:val="center"/>
              <w:rPr>
                <w:rFonts w:hint="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sz w:val="21"/>
                <w:szCs w:val="21"/>
                <w:highlight w:val="none"/>
                <w:lang w:val="en-US" w:eastAsia="zh-CN"/>
              </w:rPr>
            </w:pPr>
            <w:r>
              <w:rPr>
                <w:rFonts w:hint="eastAsia"/>
                <w:sz w:val="21"/>
                <w:szCs w:val="21"/>
                <w:highlight w:val="none"/>
                <w:lang w:val="en-US" w:eastAsia="zh-CN"/>
              </w:rPr>
              <w:t>响应文件制作质量</w:t>
            </w:r>
          </w:p>
          <w:p>
            <w:pPr>
              <w:pStyle w:val="2"/>
              <w:ind w:left="0" w:leftChars="0" w:firstLine="0" w:firstLineChars="0"/>
              <w:jc w:val="left"/>
              <w:rPr>
                <w:rFonts w:hint="eastAsia"/>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（2分）</w:t>
            </w:r>
          </w:p>
        </w:tc>
        <w:tc>
          <w:tcPr>
            <w:tcW w:w="6603" w:type="dxa"/>
            <w:vAlign w:val="center"/>
          </w:tcPr>
          <w:p>
            <w:pPr>
              <w:pStyle w:val="2"/>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编制内容完整、齐全、叙述严谨、响应文件无涂改、错页、漏页现象，否则酌情扣分。</w:t>
            </w:r>
          </w:p>
        </w:tc>
        <w:tc>
          <w:tcPr>
            <w:tcW w:w="741" w:type="dxa"/>
            <w:vAlign w:val="center"/>
          </w:tcPr>
          <w:p>
            <w:pPr>
              <w:pStyle w:val="20"/>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736" w:type="dxa"/>
            <w:vMerge w:val="restart"/>
            <w:vAlign w:val="center"/>
          </w:tcPr>
          <w:p>
            <w:pPr>
              <w:jc w:val="center"/>
              <w:rPr>
                <w:rFonts w:hint="eastAsia"/>
                <w:sz w:val="21"/>
                <w:szCs w:val="21"/>
                <w:highlight w:val="none"/>
              </w:rPr>
            </w:pPr>
          </w:p>
          <w:p>
            <w:pPr>
              <w:jc w:val="center"/>
              <w:rPr>
                <w:rFonts w:hint="eastAsia"/>
                <w:sz w:val="21"/>
                <w:szCs w:val="21"/>
                <w:highlight w:val="none"/>
              </w:rPr>
            </w:pPr>
          </w:p>
          <w:p>
            <w:pPr>
              <w:jc w:val="center"/>
              <w:rPr>
                <w:rFonts w:hint="eastAsia"/>
                <w:sz w:val="21"/>
                <w:szCs w:val="21"/>
                <w:highlight w:val="none"/>
              </w:rPr>
            </w:pPr>
          </w:p>
          <w:p>
            <w:pPr>
              <w:jc w:val="center"/>
              <w:rPr>
                <w:rFonts w:hint="eastAsia"/>
                <w:sz w:val="21"/>
                <w:szCs w:val="21"/>
                <w:highlight w:val="none"/>
              </w:rPr>
            </w:pPr>
          </w:p>
          <w:p>
            <w:pPr>
              <w:jc w:val="center"/>
              <w:rPr>
                <w:rFonts w:hint="eastAsia"/>
                <w:sz w:val="21"/>
                <w:szCs w:val="21"/>
                <w:highlight w:val="none"/>
              </w:rPr>
            </w:pPr>
          </w:p>
          <w:p>
            <w:pPr>
              <w:jc w:val="center"/>
              <w:rPr>
                <w:rFonts w:hint="eastAsia"/>
                <w:sz w:val="21"/>
                <w:szCs w:val="21"/>
                <w:highlight w:val="none"/>
              </w:rPr>
            </w:pPr>
            <w:r>
              <w:rPr>
                <w:rFonts w:hint="eastAsia"/>
                <w:sz w:val="21"/>
                <w:szCs w:val="21"/>
                <w:highlight w:val="none"/>
              </w:rPr>
              <w:t>技术部分（</w:t>
            </w:r>
            <w:r>
              <w:rPr>
                <w:rFonts w:hint="eastAsia"/>
                <w:sz w:val="21"/>
                <w:szCs w:val="21"/>
                <w:highlight w:val="none"/>
                <w:lang w:val="en-US" w:eastAsia="zh-CN"/>
              </w:rPr>
              <w:t>75</w:t>
            </w:r>
            <w:r>
              <w:rPr>
                <w:rFonts w:hint="eastAsia"/>
                <w:sz w:val="21"/>
                <w:szCs w:val="21"/>
                <w:highlight w:val="none"/>
              </w:rPr>
              <w:t>分</w:t>
            </w:r>
            <w:r>
              <w:rPr>
                <w:rFonts w:hint="eastAsia"/>
                <w:sz w:val="21"/>
                <w:szCs w:val="21"/>
                <w:highlight w:val="none"/>
                <w:lang w:eastAsia="zh-CN"/>
              </w:rPr>
              <w:t>）</w:t>
            </w:r>
          </w:p>
        </w:tc>
        <w:tc>
          <w:tcPr>
            <w:tcW w:w="948" w:type="dxa"/>
          </w:tcPr>
          <w:p>
            <w:pPr>
              <w:rPr>
                <w:rFonts w:hint="eastAsia"/>
                <w:sz w:val="21"/>
                <w:szCs w:val="21"/>
                <w:highlight w:val="none"/>
              </w:rPr>
            </w:pPr>
          </w:p>
          <w:p>
            <w:pPr>
              <w:rPr>
                <w:rFonts w:hint="eastAsia"/>
                <w:sz w:val="21"/>
                <w:szCs w:val="21"/>
                <w:highlight w:val="none"/>
              </w:rPr>
            </w:pPr>
            <w:r>
              <w:rPr>
                <w:rFonts w:hint="eastAsia"/>
                <w:sz w:val="21"/>
                <w:szCs w:val="21"/>
                <w:highlight w:val="none"/>
              </w:rPr>
              <w:t xml:space="preserve">对本项目的理解与认识（15 分） </w:t>
            </w:r>
          </w:p>
        </w:tc>
        <w:tc>
          <w:tcPr>
            <w:tcW w:w="6603" w:type="dxa"/>
          </w:tcPr>
          <w:p>
            <w:pPr>
              <w:pStyle w:val="20"/>
              <w:spacing w:before="97" w:line="321" w:lineRule="auto"/>
              <w:ind w:left="4" w:right="-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熟悉本项目业务需求，对项目理解和认识丰富、完整、准确，</w:t>
            </w:r>
            <w:r>
              <w:rPr>
                <w:rFonts w:hint="eastAsia" w:asciiTheme="minorEastAsia" w:hAnsiTheme="minorEastAsia" w:eastAsiaTheme="minorEastAsia" w:cstheme="minorEastAsia"/>
                <w:color w:val="auto"/>
                <w:spacing w:val="-8"/>
                <w:sz w:val="21"/>
                <w:szCs w:val="21"/>
                <w:highlight w:val="none"/>
                <w:lang w:val="en-US" w:eastAsia="zh-CN"/>
              </w:rPr>
              <w:t>做出说明,</w:t>
            </w:r>
            <w:r>
              <w:rPr>
                <w:rFonts w:hint="eastAsia" w:asciiTheme="minorEastAsia" w:hAnsiTheme="minorEastAsia" w:eastAsiaTheme="minorEastAsia" w:cstheme="minorEastAsia"/>
                <w:sz w:val="21"/>
                <w:szCs w:val="21"/>
                <w:highlight w:val="none"/>
              </w:rPr>
              <w:t>横向对比综合赋分：</w:t>
            </w:r>
            <w:r>
              <w:rPr>
                <w:rFonts w:hint="eastAsia" w:asciiTheme="minorEastAsia" w:hAnsiTheme="minorEastAsia" w:eastAsiaTheme="minorEastAsia" w:cstheme="minorEastAsia"/>
                <w:color w:val="auto"/>
                <w:sz w:val="21"/>
                <w:szCs w:val="21"/>
                <w:highlight w:val="none"/>
              </w:rPr>
              <w:t xml:space="preserve"> </w:t>
            </w:r>
          </w:p>
          <w:p>
            <w:pPr>
              <w:pStyle w:val="20"/>
              <w:spacing w:line="266" w:lineRule="exact"/>
              <w:ind w:left="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优秀得10-15分；良好得6-9分；一般得0-5分。 </w:t>
            </w:r>
          </w:p>
        </w:tc>
        <w:tc>
          <w:tcPr>
            <w:tcW w:w="741" w:type="dxa"/>
            <w:vAlign w:val="center"/>
          </w:tcPr>
          <w:p>
            <w:pPr>
              <w:pStyle w:val="20"/>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736" w:type="dxa"/>
            <w:vMerge w:val="continue"/>
            <w:vAlign w:val="center"/>
          </w:tcPr>
          <w:p>
            <w:pPr>
              <w:jc w:val="center"/>
              <w:rPr>
                <w:rFonts w:hint="eastAsia"/>
                <w:sz w:val="21"/>
                <w:szCs w:val="21"/>
                <w:highlight w:val="none"/>
              </w:rPr>
            </w:pPr>
          </w:p>
        </w:tc>
        <w:tc>
          <w:tcPr>
            <w:tcW w:w="948" w:type="dxa"/>
            <w:vAlign w:val="center"/>
          </w:tcPr>
          <w:p>
            <w:pPr>
              <w:jc w:val="center"/>
              <w:rPr>
                <w:rFonts w:hint="eastAsia"/>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项目团队</w:t>
            </w:r>
            <w:r>
              <w:rPr>
                <w:rFonts w:hint="eastAsia"/>
                <w:sz w:val="21"/>
                <w:szCs w:val="21"/>
                <w:highlight w:val="none"/>
              </w:rPr>
              <w:t xml:space="preserve">（15 分） </w:t>
            </w:r>
          </w:p>
        </w:tc>
        <w:tc>
          <w:tcPr>
            <w:tcW w:w="6603" w:type="dxa"/>
          </w:tcPr>
          <w:p>
            <w:pPr>
              <w:pStyle w:val="20"/>
              <w:spacing w:before="43" w:line="278" w:lineRule="auto"/>
              <w:ind w:left="107" w:right="10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针对本项目有</w:t>
            </w:r>
            <w:r>
              <w:rPr>
                <w:rFonts w:hint="eastAsia" w:asciiTheme="minorEastAsia" w:hAnsiTheme="minorEastAsia" w:eastAsiaTheme="minorEastAsia" w:cstheme="minorEastAsia"/>
                <w:color w:val="auto"/>
                <w:sz w:val="21"/>
                <w:szCs w:val="21"/>
                <w:highlight w:val="none"/>
                <w:lang w:val="en-US" w:eastAsia="zh-CN"/>
              </w:rPr>
              <w:t>合理</w:t>
            </w:r>
            <w:r>
              <w:rPr>
                <w:rFonts w:hint="eastAsia" w:asciiTheme="minorEastAsia" w:hAnsiTheme="minorEastAsia" w:eastAsiaTheme="minorEastAsia" w:cstheme="minorEastAsia"/>
                <w:color w:val="auto"/>
                <w:sz w:val="21"/>
                <w:szCs w:val="21"/>
                <w:highlight w:val="none"/>
              </w:rPr>
              <w:t>的项目组架构</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固定</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制作班底，有详细的调配措施，人员配备齐全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根据供应商投标</w:t>
            </w:r>
            <w:r>
              <w:rPr>
                <w:rFonts w:hint="eastAsia" w:asciiTheme="minorEastAsia" w:hAnsiTheme="minorEastAsia" w:eastAsiaTheme="minorEastAsia" w:cstheme="minorEastAsia"/>
                <w:color w:val="auto"/>
                <w:sz w:val="21"/>
                <w:szCs w:val="21"/>
                <w:highlight w:val="none"/>
              </w:rPr>
              <w:t>文件的响应程度</w:t>
            </w:r>
            <w:r>
              <w:rPr>
                <w:rFonts w:hint="eastAsia" w:asciiTheme="minorEastAsia" w:hAnsiTheme="minorEastAsia" w:eastAsiaTheme="minorEastAsia" w:cstheme="minorEastAsia"/>
                <w:color w:val="auto"/>
                <w:sz w:val="21"/>
                <w:szCs w:val="21"/>
                <w:highlight w:val="none"/>
                <w:lang w:eastAsia="zh-CN"/>
              </w:rPr>
              <w:t>横向对比，综合</w:t>
            </w:r>
            <w:r>
              <w:rPr>
                <w:rFonts w:hint="eastAsia" w:asciiTheme="minorEastAsia" w:hAnsiTheme="minorEastAsia" w:eastAsiaTheme="minorEastAsia" w:cstheme="minorEastAsia"/>
                <w:color w:val="auto"/>
                <w:sz w:val="21"/>
                <w:szCs w:val="21"/>
                <w:highlight w:val="none"/>
              </w:rPr>
              <w:t>赋分</w:t>
            </w:r>
            <w:r>
              <w:rPr>
                <w:rFonts w:hint="eastAsia" w:asciiTheme="minorEastAsia" w:hAnsiTheme="minorEastAsia" w:eastAsiaTheme="minorEastAsia" w:cstheme="minorEastAsia"/>
                <w:color w:val="auto"/>
                <w:sz w:val="21"/>
                <w:szCs w:val="21"/>
                <w:highlight w:val="none"/>
                <w:lang w:eastAsia="zh-CN"/>
              </w:rPr>
              <w:t>：</w:t>
            </w:r>
          </w:p>
          <w:p>
            <w:pPr>
              <w:pStyle w:val="20"/>
              <w:spacing w:line="266" w:lineRule="exact"/>
              <w:ind w:left="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优秀得10-15分；良好得6-9分；一般得0-5分。</w:t>
            </w:r>
          </w:p>
          <w:p>
            <w:pPr>
              <w:pStyle w:val="20"/>
              <w:spacing w:line="266" w:lineRule="exact"/>
              <w:ind w:left="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提供</w:t>
            </w:r>
            <w:r>
              <w:rPr>
                <w:rFonts w:hint="eastAsia" w:asciiTheme="minorEastAsia" w:hAnsiTheme="minorEastAsia" w:eastAsiaTheme="minorEastAsia" w:cstheme="minorEastAsia"/>
                <w:color w:val="auto"/>
                <w:sz w:val="21"/>
                <w:szCs w:val="21"/>
                <w:highlight w:val="none"/>
                <w:lang w:eastAsia="zh-CN"/>
              </w:rPr>
              <w:t>项目</w:t>
            </w:r>
            <w:r>
              <w:rPr>
                <w:rFonts w:hint="eastAsia" w:asciiTheme="minorEastAsia" w:hAnsiTheme="minorEastAsia" w:eastAsiaTheme="minorEastAsia" w:cstheme="minorEastAsia"/>
                <w:color w:val="auto"/>
                <w:sz w:val="21"/>
                <w:szCs w:val="21"/>
                <w:highlight w:val="none"/>
                <w:lang w:val="en-US" w:eastAsia="zh-CN"/>
              </w:rPr>
              <w:t>人员身份证、劳务合同或本单位社保证明复印件加盖单位公章的证明材料，并附简历表：包括身份证，学历证，</w:t>
            </w:r>
            <w:r>
              <w:rPr>
                <w:rFonts w:hint="eastAsia" w:asciiTheme="minorEastAsia" w:hAnsiTheme="minorEastAsia" w:eastAsiaTheme="minorEastAsia" w:cstheme="minorEastAsia"/>
                <w:color w:val="auto"/>
                <w:sz w:val="21"/>
                <w:szCs w:val="21"/>
                <w:highlight w:val="none"/>
              </w:rPr>
              <w:t>相关</w:t>
            </w:r>
            <w:r>
              <w:rPr>
                <w:rFonts w:hint="eastAsia" w:asciiTheme="minorEastAsia" w:hAnsiTheme="minorEastAsia" w:eastAsiaTheme="minorEastAsia" w:cstheme="minorEastAsia"/>
                <w:color w:val="auto"/>
                <w:sz w:val="21"/>
                <w:szCs w:val="21"/>
                <w:highlight w:val="none"/>
                <w:lang w:val="en-US" w:eastAsia="zh-CN"/>
              </w:rPr>
              <w:t>经验、资质、</w:t>
            </w:r>
            <w:r>
              <w:rPr>
                <w:rFonts w:hint="eastAsia" w:asciiTheme="minorEastAsia" w:hAnsiTheme="minorEastAsia" w:eastAsiaTheme="minorEastAsia" w:cstheme="minorEastAsia"/>
                <w:color w:val="auto"/>
                <w:sz w:val="21"/>
                <w:szCs w:val="21"/>
                <w:highlight w:val="none"/>
              </w:rPr>
              <w:t>证书</w:t>
            </w:r>
            <w:r>
              <w:rPr>
                <w:rFonts w:hint="eastAsia" w:asciiTheme="minorEastAsia" w:hAnsiTheme="minorEastAsia" w:eastAsia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 xml:space="preserve">证明材料 </w:t>
            </w:r>
            <w:r>
              <w:rPr>
                <w:rFonts w:hint="eastAsia" w:asciiTheme="minorEastAsia" w:hAnsiTheme="minorEastAsia" w:eastAsiaTheme="minorEastAsia" w:cstheme="minorEastAsia"/>
                <w:color w:val="auto"/>
                <w:sz w:val="21"/>
                <w:szCs w:val="21"/>
                <w:highlight w:val="none"/>
                <w:lang w:eastAsia="zh-CN"/>
              </w:rPr>
              <w:t>。</w:t>
            </w:r>
          </w:p>
        </w:tc>
        <w:tc>
          <w:tcPr>
            <w:tcW w:w="741" w:type="dxa"/>
            <w:vAlign w:val="center"/>
          </w:tcPr>
          <w:p>
            <w:pPr>
              <w:pStyle w:val="20"/>
              <w:spacing w:line="266" w:lineRule="exact"/>
              <w:ind w:left="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tcPr>
          <w:p>
            <w:pP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sz w:val="21"/>
                <w:szCs w:val="21"/>
                <w:highlight w:val="none"/>
              </w:rPr>
            </w:pPr>
          </w:p>
          <w:p>
            <w:pPr>
              <w:jc w:val="center"/>
              <w:rPr>
                <w:rFonts w:hint="eastAsia"/>
                <w:sz w:val="21"/>
                <w:szCs w:val="21"/>
                <w:highlight w:val="none"/>
              </w:rPr>
            </w:pPr>
            <w:r>
              <w:rPr>
                <w:rFonts w:hint="eastAsia"/>
                <w:sz w:val="21"/>
                <w:szCs w:val="21"/>
                <w:highlight w:val="none"/>
              </w:rPr>
              <w:t>总体</w:t>
            </w:r>
            <w:r>
              <w:rPr>
                <w:rFonts w:hint="eastAsia"/>
                <w:sz w:val="21"/>
                <w:szCs w:val="21"/>
                <w:highlight w:val="none"/>
                <w:lang w:val="en-US" w:eastAsia="zh-CN"/>
              </w:rPr>
              <w:t>实施</w:t>
            </w:r>
            <w:r>
              <w:rPr>
                <w:rFonts w:hint="eastAsia"/>
                <w:sz w:val="21"/>
                <w:szCs w:val="21"/>
                <w:highlight w:val="none"/>
              </w:rPr>
              <w:t>方案（</w:t>
            </w:r>
            <w:r>
              <w:rPr>
                <w:rFonts w:hint="eastAsia"/>
                <w:sz w:val="21"/>
                <w:szCs w:val="21"/>
                <w:highlight w:val="none"/>
                <w:lang w:val="en-US" w:eastAsia="zh-CN"/>
              </w:rPr>
              <w:t>20</w:t>
            </w:r>
            <w:r>
              <w:rPr>
                <w:rFonts w:hint="eastAsia"/>
                <w:sz w:val="21"/>
                <w:szCs w:val="21"/>
                <w:highlight w:val="none"/>
              </w:rPr>
              <w:t>分）</w:t>
            </w:r>
          </w:p>
        </w:tc>
        <w:tc>
          <w:tcPr>
            <w:tcW w:w="6603" w:type="dxa"/>
            <w:vAlign w:val="top"/>
          </w:tcPr>
          <w:p>
            <w:pPr>
              <w:pStyle w:val="20"/>
              <w:spacing w:before="6" w:line="358" w:lineRule="exact"/>
              <w:ind w:left="4" w:right="24"/>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方案合理、严谨、具有创意，且具有针对性的方案（</w:t>
            </w:r>
            <w:r>
              <w:rPr>
                <w:rFonts w:hint="eastAsia" w:asciiTheme="minorEastAsia" w:hAnsiTheme="minorEastAsia" w:eastAsiaTheme="minorEastAsia" w:cstheme="minorEastAsia"/>
                <w:sz w:val="21"/>
                <w:szCs w:val="21"/>
                <w:highlight w:val="none"/>
                <w:lang w:eastAsia="zh-CN"/>
              </w:rPr>
              <w:t>包括</w:t>
            </w:r>
            <w:r>
              <w:rPr>
                <w:rFonts w:hint="eastAsia" w:asciiTheme="minorEastAsia" w:hAnsiTheme="minorEastAsia" w:eastAsiaTheme="minorEastAsia" w:cstheme="minorEastAsia"/>
                <w:sz w:val="21"/>
                <w:szCs w:val="21"/>
                <w:highlight w:val="none"/>
                <w:lang w:val="en-US" w:eastAsia="zh-CN"/>
              </w:rPr>
              <w:t>采访撰稿、配音、翻译、制作等方案</w:t>
            </w:r>
            <w:r>
              <w:rPr>
                <w:rFonts w:hint="eastAsia" w:asciiTheme="minorEastAsia" w:hAnsiTheme="minorEastAsia" w:eastAsiaTheme="minorEastAsia" w:cstheme="minorEastAsia"/>
                <w:color w:val="auto"/>
                <w:sz w:val="21"/>
                <w:szCs w:val="21"/>
                <w:highlight w:val="none"/>
                <w:lang w:val="en-US" w:eastAsia="zh-CN"/>
              </w:rPr>
              <w:t>）：</w:t>
            </w:r>
          </w:p>
          <w:p>
            <w:pPr>
              <w:pStyle w:val="20"/>
              <w:numPr>
                <w:ilvl w:val="0"/>
                <w:numId w:val="0"/>
              </w:numPr>
              <w:spacing w:before="1" w:line="364" w:lineRule="auto"/>
              <w:ind w:right="95" w:right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优</w:t>
            </w:r>
            <w:r>
              <w:rPr>
                <w:rFonts w:hint="eastAsia" w:asciiTheme="minorEastAsia" w:hAnsiTheme="minorEastAsia" w:eastAsiaTheme="minorEastAsia" w:cstheme="minorEastAsia"/>
                <w:sz w:val="21"/>
                <w:szCs w:val="21"/>
                <w:highlight w:val="none"/>
              </w:rPr>
              <w:t>秀</w:t>
            </w:r>
            <w:r>
              <w:rPr>
                <w:rFonts w:hint="eastAsia" w:asciiTheme="minorEastAsia" w:hAnsiTheme="minorEastAsia" w:eastAsiaTheme="minorEastAsia" w:cstheme="minorEastAsia"/>
                <w:sz w:val="21"/>
                <w:szCs w:val="21"/>
                <w:highlight w:val="none"/>
                <w:lang w:eastAsia="zh-CN"/>
              </w:rPr>
              <w:t>得</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pacing w:val="-24"/>
                <w:sz w:val="21"/>
                <w:szCs w:val="21"/>
                <w:highlight w:val="none"/>
              </w:rPr>
              <w:t xml:space="preserve"> 分；良</w:t>
            </w:r>
            <w:r>
              <w:rPr>
                <w:rFonts w:hint="eastAsia" w:asciiTheme="minorEastAsia" w:hAnsiTheme="minorEastAsia" w:eastAsiaTheme="minorEastAsia" w:cstheme="minorEastAsia"/>
                <w:color w:val="auto"/>
                <w:spacing w:val="-24"/>
                <w:sz w:val="21"/>
                <w:szCs w:val="21"/>
                <w:highlight w:val="none"/>
                <w:lang w:eastAsia="zh-CN"/>
              </w:rPr>
              <w:t>好得</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一般的</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741" w:type="dxa"/>
            <w:vAlign w:val="center"/>
          </w:tcPr>
          <w:p>
            <w:pPr>
              <w:pStyle w:val="20"/>
              <w:spacing w:before="6" w:line="358" w:lineRule="exact"/>
              <w:ind w:left="4" w:leftChars="0" w:right="24"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tcPr>
          <w:p>
            <w:pPr>
              <w:rPr>
                <w:rFonts w:hint="eastAsia" w:asciiTheme="minorEastAsia" w:hAnsiTheme="minorEastAsia" w:eastAsiaTheme="minorEastAsia" w:cstheme="minorEastAsia"/>
                <w:color w:val="auto"/>
                <w:sz w:val="21"/>
                <w:szCs w:val="21"/>
                <w:highlight w:val="none"/>
              </w:rPr>
            </w:pPr>
          </w:p>
        </w:tc>
        <w:tc>
          <w:tcPr>
            <w:tcW w:w="948" w:type="dxa"/>
          </w:tcPr>
          <w:p>
            <w:pPr>
              <w:rPr>
                <w:rFonts w:hint="eastAsia"/>
                <w:sz w:val="21"/>
                <w:szCs w:val="21"/>
                <w:highlight w:val="none"/>
              </w:rPr>
            </w:pPr>
            <w:r>
              <w:rPr>
                <w:rFonts w:hint="eastAsia"/>
                <w:sz w:val="21"/>
                <w:szCs w:val="21"/>
                <w:highlight w:val="none"/>
              </w:rPr>
              <w:t>工作进度</w:t>
            </w:r>
            <w:r>
              <w:rPr>
                <w:rFonts w:hint="eastAsia"/>
                <w:sz w:val="21"/>
                <w:szCs w:val="21"/>
                <w:highlight w:val="none"/>
                <w:lang w:eastAsia="zh-CN"/>
              </w:rPr>
              <w:t>计划</w:t>
            </w:r>
            <w:r>
              <w:rPr>
                <w:rFonts w:hint="eastAsia"/>
                <w:sz w:val="21"/>
                <w:szCs w:val="21"/>
                <w:highlight w:val="none"/>
              </w:rPr>
              <w:t>（1</w:t>
            </w:r>
            <w:r>
              <w:rPr>
                <w:rFonts w:hint="eastAsia"/>
                <w:sz w:val="21"/>
                <w:szCs w:val="21"/>
                <w:highlight w:val="none"/>
                <w:lang w:val="en-US" w:eastAsia="zh-CN"/>
              </w:rPr>
              <w:t>0</w:t>
            </w:r>
            <w:r>
              <w:rPr>
                <w:rFonts w:hint="eastAsia"/>
                <w:sz w:val="21"/>
                <w:szCs w:val="21"/>
                <w:highlight w:val="none"/>
              </w:rPr>
              <w:t xml:space="preserve"> 分</w:t>
            </w:r>
          </w:p>
        </w:tc>
        <w:tc>
          <w:tcPr>
            <w:tcW w:w="6603" w:type="dxa"/>
          </w:tcPr>
          <w:p>
            <w:pPr>
              <w:pStyle w:val="20"/>
              <w:spacing w:before="4" w:line="360" w:lineRule="exact"/>
              <w:ind w:left="4" w:right="12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工作进度控制措施有力，合理、详细、可操作性强</w:t>
            </w:r>
            <w:r>
              <w:rPr>
                <w:rFonts w:hint="eastAsia" w:asciiTheme="minorEastAsia" w:hAnsiTheme="minorEastAsia" w:eastAsiaTheme="minorEastAsia" w:cstheme="minorEastAsia"/>
                <w:color w:val="auto"/>
                <w:sz w:val="21"/>
                <w:szCs w:val="21"/>
                <w:highlight w:val="none"/>
                <w:lang w:eastAsia="zh-CN"/>
              </w:rPr>
              <w:t>：</w:t>
            </w:r>
          </w:p>
          <w:p>
            <w:pPr>
              <w:pStyle w:val="20"/>
              <w:spacing w:before="4" w:line="360" w:lineRule="exact"/>
              <w:ind w:left="4" w:right="1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 xml:space="preserve">优秀得 8-10 分；良好得 4-7 分；一般得 0-3 分。 </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tcPr>
          <w:p>
            <w:pP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ascii="Calibri" w:hAnsi="Calibri" w:eastAsia="宋体" w:cs="Times New Roman"/>
                <w:kern w:val="2"/>
                <w:sz w:val="21"/>
                <w:szCs w:val="21"/>
                <w:highlight w:val="none"/>
                <w:lang w:val="en-US" w:eastAsia="zh-CN" w:bidi="ar-SA"/>
              </w:rPr>
            </w:pPr>
            <w:r>
              <w:rPr>
                <w:rFonts w:hint="eastAsia"/>
                <w:sz w:val="21"/>
                <w:szCs w:val="21"/>
                <w:highlight w:val="none"/>
                <w:lang w:eastAsia="zh-CN"/>
              </w:rPr>
              <w:t>审核制度（</w:t>
            </w:r>
            <w:r>
              <w:rPr>
                <w:rFonts w:hint="eastAsia"/>
                <w:sz w:val="21"/>
                <w:szCs w:val="21"/>
                <w:highlight w:val="none"/>
                <w:lang w:val="en-US" w:eastAsia="zh-CN"/>
              </w:rPr>
              <w:t>5分</w:t>
            </w:r>
            <w:r>
              <w:rPr>
                <w:rFonts w:hint="eastAsia"/>
                <w:sz w:val="21"/>
                <w:szCs w:val="21"/>
                <w:highlight w:val="none"/>
                <w:lang w:eastAsia="zh-CN"/>
              </w:rPr>
              <w:t>）</w:t>
            </w:r>
          </w:p>
        </w:tc>
        <w:tc>
          <w:tcPr>
            <w:tcW w:w="6603" w:type="dxa"/>
          </w:tcPr>
          <w:p>
            <w:pPr>
              <w:pStyle w:val="20"/>
              <w:spacing w:before="4" w:line="360" w:lineRule="exact"/>
              <w:ind w:left="4" w:right="12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为保证项目质量，针对本项目提供审核制度，包括</w:t>
            </w:r>
            <w:r>
              <w:rPr>
                <w:rFonts w:hint="eastAsia" w:asciiTheme="minorEastAsia" w:hAnsiTheme="minorEastAsia" w:eastAsiaTheme="minorEastAsia" w:cstheme="minorEastAsia"/>
                <w:sz w:val="21"/>
                <w:szCs w:val="21"/>
                <w:highlight w:val="none"/>
                <w:lang w:val="en-US" w:eastAsia="zh-CN"/>
              </w:rPr>
              <w:t>采访撰稿、配音、翻译、制作等</w:t>
            </w:r>
            <w:bookmarkStart w:id="74" w:name="_GoBack"/>
            <w:bookmarkEnd w:id="74"/>
            <w:r>
              <w:rPr>
                <w:rFonts w:hint="eastAsia" w:asciiTheme="minorEastAsia" w:hAnsiTheme="minorEastAsia" w:eastAsiaTheme="minorEastAsia" w:cstheme="minorEastAsia"/>
                <w:sz w:val="21"/>
                <w:szCs w:val="21"/>
                <w:highlight w:val="none"/>
                <w:lang w:val="en-US" w:eastAsia="zh-CN"/>
              </w:rPr>
              <w:t>完成本项目的所有环节审核计划：</w:t>
            </w:r>
          </w:p>
          <w:p>
            <w:pPr>
              <w:pStyle w:val="20"/>
              <w:spacing w:before="4" w:line="360" w:lineRule="exact"/>
              <w:ind w:left="4" w:right="12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 xml:space="preserve">优秀得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 xml:space="preserve"> 分；良好得 </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 xml:space="preserve"> 分；一般得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 xml:space="preserve"> 0；不提供者不得分。</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tcPr>
          <w:p>
            <w:pP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拟投入本项目的专业硬件设施、设备</w:t>
            </w:r>
            <w:r>
              <w:rPr>
                <w:rFonts w:hint="eastAsia"/>
                <w:sz w:val="21"/>
                <w:szCs w:val="21"/>
                <w:highlight w:val="none"/>
                <w:lang w:eastAsia="zh-CN"/>
              </w:rPr>
              <w:t>（</w:t>
            </w:r>
            <w:r>
              <w:rPr>
                <w:rFonts w:hint="eastAsia"/>
                <w:sz w:val="21"/>
                <w:szCs w:val="21"/>
                <w:highlight w:val="none"/>
                <w:lang w:val="en-US" w:eastAsia="zh-CN"/>
              </w:rPr>
              <w:t>5分</w:t>
            </w:r>
            <w:r>
              <w:rPr>
                <w:rFonts w:hint="eastAsia"/>
                <w:sz w:val="21"/>
                <w:szCs w:val="21"/>
                <w:highlight w:val="none"/>
                <w:lang w:eastAsia="zh-CN"/>
              </w:rPr>
              <w:t>）</w:t>
            </w:r>
          </w:p>
        </w:tc>
        <w:tc>
          <w:tcPr>
            <w:tcW w:w="6603" w:type="dxa"/>
          </w:tcPr>
          <w:p>
            <w:pPr>
              <w:pStyle w:val="20"/>
              <w:spacing w:before="4" w:line="360" w:lineRule="exact"/>
              <w:ind w:left="4" w:right="12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lang w:eastAsia="zh-CN"/>
              </w:rPr>
              <w:t>根据</w:t>
            </w:r>
            <w:r>
              <w:rPr>
                <w:rFonts w:hint="eastAsia" w:asciiTheme="minorEastAsia" w:hAnsiTheme="minorEastAsia" w:eastAsiaTheme="minorEastAsia" w:cstheme="minorEastAsia"/>
                <w:sz w:val="21"/>
                <w:szCs w:val="21"/>
                <w:highlight w:val="none"/>
                <w:lang w:val="en-US" w:eastAsia="zh-CN"/>
              </w:rPr>
              <w:t>招标文件的要求能提供完全满足项目需求所使用的专业拍摄和制作器材设备清单（需附证明材料，如采购发票等）。根据供应商投标</w:t>
            </w:r>
            <w:r>
              <w:rPr>
                <w:rFonts w:hint="eastAsia" w:asciiTheme="minorEastAsia" w:hAnsiTheme="minorEastAsia" w:eastAsiaTheme="minorEastAsia" w:cstheme="minorEastAsia"/>
                <w:sz w:val="21"/>
                <w:szCs w:val="21"/>
                <w:highlight w:val="none"/>
                <w:lang w:eastAsia="zh-CN"/>
              </w:rPr>
              <w:t>文件的响应程度横向对比，综合赋分：</w:t>
            </w:r>
          </w:p>
          <w:p>
            <w:pPr>
              <w:pStyle w:val="20"/>
              <w:spacing w:before="4" w:line="360" w:lineRule="exact"/>
              <w:ind w:left="4" w:right="129"/>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优秀得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 xml:space="preserve"> 分；良好得 </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 xml:space="preserve"> 分；一般得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 xml:space="preserve"> 0；不提供者不得分。</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tcPr>
          <w:p>
            <w:pP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tcPr>
          <w:p>
            <w:pPr>
              <w:rPr>
                <w:rFonts w:hint="eastAsia"/>
                <w:sz w:val="21"/>
                <w:szCs w:val="21"/>
                <w:highlight w:val="none"/>
              </w:rPr>
            </w:pPr>
            <w:r>
              <w:rPr>
                <w:rFonts w:hint="eastAsia"/>
                <w:sz w:val="21"/>
                <w:szCs w:val="21"/>
                <w:highlight w:val="none"/>
              </w:rPr>
              <w:t>服务</w:t>
            </w:r>
            <w:r>
              <w:rPr>
                <w:rFonts w:hint="eastAsia"/>
                <w:sz w:val="21"/>
                <w:szCs w:val="21"/>
                <w:highlight w:val="none"/>
                <w:lang w:eastAsia="zh-CN"/>
              </w:rPr>
              <w:t>承诺</w:t>
            </w:r>
            <w:r>
              <w:rPr>
                <w:rFonts w:hint="eastAsia"/>
                <w:sz w:val="21"/>
                <w:szCs w:val="21"/>
                <w:highlight w:val="none"/>
              </w:rPr>
              <w:t xml:space="preserve"> </w:t>
            </w:r>
          </w:p>
          <w:p>
            <w:pPr>
              <w:rPr>
                <w:rFonts w:hint="eastAsia"/>
                <w:sz w:val="21"/>
                <w:szCs w:val="21"/>
                <w:highlight w:val="none"/>
              </w:rPr>
            </w:pPr>
            <w:r>
              <w:rPr>
                <w:rFonts w:hint="eastAsia"/>
                <w:sz w:val="21"/>
                <w:szCs w:val="21"/>
                <w:highlight w:val="none"/>
              </w:rPr>
              <w:t>（</w:t>
            </w:r>
            <w:r>
              <w:rPr>
                <w:rFonts w:hint="eastAsia"/>
                <w:sz w:val="21"/>
                <w:szCs w:val="21"/>
                <w:highlight w:val="none"/>
                <w:lang w:val="en-US" w:eastAsia="zh-CN"/>
              </w:rPr>
              <w:t>5</w:t>
            </w:r>
            <w:r>
              <w:rPr>
                <w:rFonts w:hint="eastAsia"/>
                <w:sz w:val="21"/>
                <w:szCs w:val="21"/>
                <w:highlight w:val="none"/>
              </w:rPr>
              <w:t xml:space="preserve">分） </w:t>
            </w:r>
          </w:p>
        </w:tc>
        <w:tc>
          <w:tcPr>
            <w:tcW w:w="6603" w:type="dxa"/>
            <w:tcBorders>
              <w:bottom w:val="single" w:color="auto" w:sz="4" w:space="0"/>
            </w:tcBorders>
          </w:tcPr>
          <w:p>
            <w:pPr>
              <w:rPr>
                <w:rFonts w:hint="eastAsia"/>
                <w:sz w:val="21"/>
                <w:szCs w:val="21"/>
                <w:highlight w:val="none"/>
                <w:lang w:eastAsia="zh-CN"/>
              </w:rPr>
            </w:pPr>
            <w:r>
              <w:rPr>
                <w:rFonts w:hint="eastAsia"/>
                <w:sz w:val="21"/>
                <w:szCs w:val="21"/>
                <w:highlight w:val="none"/>
              </w:rPr>
              <w:t>服务承诺：</w:t>
            </w:r>
            <w:r>
              <w:rPr>
                <w:rFonts w:hint="eastAsia"/>
                <w:sz w:val="21"/>
                <w:szCs w:val="21"/>
                <w:highlight w:val="none"/>
                <w:lang w:eastAsia="zh-CN"/>
              </w:rPr>
              <w:t>供应商</w:t>
            </w:r>
            <w:r>
              <w:rPr>
                <w:rFonts w:hint="eastAsia"/>
                <w:sz w:val="21"/>
                <w:szCs w:val="21"/>
                <w:highlight w:val="none"/>
              </w:rPr>
              <w:t>提供服务承诺完备并承诺实施过程与本项目服务需求</w:t>
            </w:r>
            <w:r>
              <w:rPr>
                <w:rFonts w:hint="eastAsia"/>
                <w:sz w:val="21"/>
                <w:szCs w:val="21"/>
                <w:highlight w:val="none"/>
                <w:lang w:eastAsia="zh-CN"/>
              </w:rPr>
              <w:t>的</w:t>
            </w:r>
            <w:r>
              <w:rPr>
                <w:rFonts w:hint="eastAsia"/>
                <w:sz w:val="21"/>
                <w:szCs w:val="21"/>
                <w:highlight w:val="none"/>
              </w:rPr>
              <w:t>响应</w:t>
            </w:r>
            <w:r>
              <w:rPr>
                <w:rFonts w:hint="eastAsia"/>
                <w:sz w:val="21"/>
                <w:szCs w:val="21"/>
                <w:highlight w:val="none"/>
                <w:lang w:eastAsia="zh-CN"/>
              </w:rPr>
              <w:t>程度：</w:t>
            </w:r>
          </w:p>
          <w:p>
            <w:pPr>
              <w:pStyle w:val="2"/>
              <w:ind w:left="0" w:leftChars="0" w:firstLine="0" w:firstLineChars="0"/>
              <w:rPr>
                <w:rFonts w:hint="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优秀得 </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eastAsia="zh-CN"/>
              </w:rPr>
              <w:t xml:space="preserve"> 分；良好得 </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 xml:space="preserve"> 分；一般得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 xml:space="preserve"> 0；不提供者不得分。</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20"/>
              <w:spacing w:before="2" w:line="360" w:lineRule="exact"/>
              <w:ind w:left="4" w:right="1495"/>
              <w:rPr>
                <w:rFonts w:hint="eastAsia" w:asciiTheme="minorEastAsia" w:hAnsiTheme="minorEastAsia" w:eastAsiaTheme="minorEastAsia" w:cstheme="minorEastAsia"/>
                <w:color w:val="auto"/>
                <w:spacing w:val="-3"/>
                <w:sz w:val="21"/>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20"/>
              <w:spacing w:before="2" w:line="360" w:lineRule="exact"/>
              <w:ind w:left="4" w:right="1495"/>
              <w:jc w:val="center"/>
              <w:rPr>
                <w:rFonts w:hint="eastAsia" w:asciiTheme="minorEastAsia" w:hAnsiTheme="minorEastAsia" w:eastAsiaTheme="minorEastAsia" w:cstheme="minorEastAsia"/>
                <w:color w:val="auto"/>
                <w:sz w:val="21"/>
                <w:szCs w:val="21"/>
                <w:highlight w:val="none"/>
              </w:rPr>
            </w:pPr>
          </w:p>
        </w:tc>
      </w:tr>
    </w:tbl>
    <w:p>
      <w:pPr>
        <w:rPr>
          <w:rFonts w:hint="eastAsia" w:ascii="宋体" w:hAnsi="宋体" w:eastAsia="宋体" w:cs="宋体"/>
          <w:szCs w:val="24"/>
          <w:highlight w:val="none"/>
        </w:rPr>
      </w:pPr>
    </w:p>
    <w:p>
      <w:pPr>
        <w:pStyle w:val="8"/>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8"/>
        <w:kinsoku w:val="0"/>
        <w:overflowPunct w:val="0"/>
        <w:spacing w:before="34"/>
        <w:ind w:left="0"/>
        <w:jc w:val="both"/>
        <w:rPr>
          <w:rFonts w:hint="eastAsia" w:ascii="宋体" w:hAnsi="宋体" w:eastAsia="宋体" w:cs="宋体"/>
          <w:b/>
          <w:bCs/>
          <w:highlight w:val="none"/>
        </w:rPr>
      </w:pPr>
    </w:p>
    <w:p>
      <w:pPr>
        <w:pStyle w:val="8"/>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8"/>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8"/>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8"/>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2"/>
        </w:numPr>
        <w:rPr>
          <w:rFonts w:hint="eastAsia" w:ascii="宋体" w:hAnsi="宋体" w:eastAsia="宋体" w:cs="宋体"/>
          <w:spacing w:val="1"/>
          <w:highlight w:val="none"/>
        </w:rPr>
      </w:pPr>
      <w:r>
        <w:rPr>
          <w:rFonts w:hint="eastAsia" w:ascii="宋体" w:hAnsi="宋体" w:eastAsia="宋体" w:cs="宋体"/>
          <w:highlight w:val="none"/>
        </w:rPr>
        <w:br w:type="page"/>
      </w:r>
      <w:bookmarkStart w:id="71" w:name="_Toc14707"/>
      <w:r>
        <w:rPr>
          <w:rFonts w:hint="eastAsia" w:ascii="宋体" w:hAnsi="宋体" w:eastAsia="宋体" w:cs="宋体"/>
          <w:color w:val="auto"/>
          <w:spacing w:val="1"/>
          <w:highlight w:val="none"/>
        </w:rPr>
        <w:t>磋商内容</w:t>
      </w:r>
      <w:bookmarkEnd w:id="71"/>
    </w:p>
    <w:p>
      <w:pPr>
        <w:adjustRightInd w:val="0"/>
        <w:snapToGrid w:val="0"/>
        <w:spacing w:line="560" w:lineRule="exact"/>
        <w:rPr>
          <w:rFonts w:hint="eastAsia" w:ascii="宋体" w:hAnsi="宋体" w:eastAsia="宋体" w:cs="宋体"/>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eastAsia="zh-CN"/>
        </w:rPr>
        <w:t>新疆红色革命文物特别专题节目制作采购项目采购需求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红色信仰</w:t>
      </w:r>
      <w:r>
        <w:rPr>
          <w:rFonts w:hint="eastAsia" w:ascii="宋体" w:hAnsi="宋体" w:eastAsia="宋体" w:cs="宋体"/>
          <w:b/>
          <w:bCs/>
          <w:sz w:val="28"/>
          <w:szCs w:val="28"/>
          <w:highlight w:val="none"/>
          <w:lang w:val="en-US" w:eastAsia="zh-CN"/>
        </w:rPr>
        <w:t xml:space="preserve">  时代之声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为贯彻落实自治区党委办公厅、政府办公厅《关于加强红色资源挖掘保护和利用的指导意见》，加快资金支出进度，经研究，计划利用23万元文物宣传工作经费开展革命文物宣传工作，制作20集“</w:t>
      </w:r>
      <w:r>
        <w:rPr>
          <w:rFonts w:hint="eastAsia" w:ascii="宋体" w:hAnsi="宋体" w:eastAsia="宋体" w:cs="宋体"/>
          <w:sz w:val="28"/>
          <w:szCs w:val="28"/>
          <w:highlight w:val="none"/>
          <w:lang w:eastAsia="zh-CN"/>
        </w:rPr>
        <w:t>革命文物说新疆</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音频，在广播电台进行播放，扩大革命文物宣传影响力。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highlight w:val="none"/>
        </w:rPr>
      </w:pPr>
      <w:r>
        <w:rPr>
          <w:rFonts w:hint="eastAsia" w:ascii="宋体" w:hAnsi="宋体" w:cs="宋体"/>
          <w:b/>
          <w:bCs/>
          <w:sz w:val="28"/>
          <w:szCs w:val="28"/>
          <w:highlight w:val="none"/>
          <w:lang w:eastAsia="zh-CN"/>
        </w:rPr>
        <w:t>一、</w:t>
      </w:r>
      <w:r>
        <w:rPr>
          <w:rFonts w:hint="eastAsia" w:ascii="宋体" w:hAnsi="宋体" w:eastAsia="宋体" w:cs="宋体"/>
          <w:b/>
          <w:bCs/>
          <w:sz w:val="28"/>
          <w:szCs w:val="28"/>
          <w:highlight w:val="none"/>
          <w:lang w:eastAsia="zh-CN"/>
        </w:rPr>
        <w:t>节目名称：</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革命文物说新疆</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eastAsia="zh-CN"/>
        </w:rPr>
        <w:t>广播节目</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3-5分钟/每期 共20期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短视频：</w:t>
      </w:r>
      <w:r>
        <w:rPr>
          <w:rFonts w:hint="eastAsia" w:ascii="宋体" w:hAnsi="宋体" w:eastAsia="宋体" w:cs="宋体"/>
          <w:sz w:val="28"/>
          <w:szCs w:val="28"/>
          <w:highlight w:val="none"/>
          <w:lang w:val="en-US" w:eastAsia="zh-CN"/>
        </w:rPr>
        <w:t>30秒-60秒/每期 共20期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highlight w:val="none"/>
        </w:rPr>
      </w:pPr>
      <w:r>
        <w:rPr>
          <w:rFonts w:hint="eastAsia" w:ascii="宋体" w:hAnsi="宋体" w:cs="宋体"/>
          <w:b/>
          <w:bCs/>
          <w:sz w:val="28"/>
          <w:szCs w:val="28"/>
          <w:highlight w:val="none"/>
          <w:lang w:eastAsia="zh-CN"/>
        </w:rPr>
        <w:t>二、</w:t>
      </w:r>
      <w:r>
        <w:rPr>
          <w:rFonts w:hint="eastAsia" w:ascii="宋体" w:hAnsi="宋体" w:eastAsia="宋体" w:cs="宋体"/>
          <w:b/>
          <w:bCs/>
          <w:sz w:val="28"/>
          <w:szCs w:val="28"/>
          <w:highlight w:val="none"/>
        </w:rPr>
        <w:t>表现形式</w:t>
      </w:r>
      <w:r>
        <w:rPr>
          <w:rFonts w:hint="eastAsia" w:ascii="宋体" w:hAnsi="宋体" w:eastAsia="宋体" w:cs="宋体"/>
          <w:b/>
          <w:bCs/>
          <w:sz w:val="28"/>
          <w:szCs w:val="28"/>
          <w:highlight w:val="none"/>
          <w:lang w:eastAsia="zh-CN"/>
        </w:rPr>
        <w:t>：</w:t>
      </w:r>
      <w:r>
        <w:rPr>
          <w:rFonts w:hint="eastAsia" w:ascii="宋体" w:hAnsi="宋体" w:eastAsia="宋体" w:cs="宋体"/>
          <w:sz w:val="28"/>
          <w:szCs w:val="28"/>
          <w:highlight w:val="none"/>
          <w:lang w:eastAsia="zh-CN"/>
        </w:rPr>
        <w:t>讲述一件件红色文物背后的故事，</w:t>
      </w:r>
      <w:r>
        <w:rPr>
          <w:rFonts w:hint="eastAsia" w:ascii="宋体" w:hAnsi="宋体" w:eastAsia="宋体" w:cs="宋体"/>
          <w:sz w:val="28"/>
          <w:szCs w:val="28"/>
          <w:highlight w:val="none"/>
        </w:rPr>
        <w:t>大量寻访革命事件亲历者、研究者及先烈后人，以故事形式重温一段鲜为人知的历史，或讲述革命者与敌人的英勇斗争，或展现一位战士与亲人的浓浓深情。</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三、</w:t>
      </w:r>
      <w:r>
        <w:rPr>
          <w:rFonts w:hint="eastAsia" w:ascii="宋体" w:hAnsi="宋体" w:eastAsia="宋体" w:cs="宋体"/>
          <w:b/>
          <w:bCs/>
          <w:sz w:val="28"/>
          <w:szCs w:val="28"/>
          <w:highlight w:val="none"/>
          <w:lang w:eastAsia="zh-CN"/>
        </w:rPr>
        <w:t>内容要求：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1、节目主题鲜明、形式新颖、内容详实、可听性强，新时代文物声音“传记”；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节目选取建党百年历程中数件新疆代表性革命文物，由新疆知名播音员、主持人及革命事件亲历者进行讲述；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节目需在省级媒体以</w:t>
      </w:r>
      <w:r>
        <w:rPr>
          <w:rFonts w:hint="eastAsia" w:ascii="宋体" w:hAnsi="宋体" w:eastAsia="宋体" w:cs="宋体"/>
          <w:sz w:val="28"/>
          <w:szCs w:val="28"/>
          <w:highlight w:val="none"/>
          <w:lang w:eastAsia="zh-CN"/>
        </w:rPr>
        <w:t>汉、维、哈、柯、蒙</w:t>
      </w:r>
      <w:r>
        <w:rPr>
          <w:rFonts w:hint="eastAsia" w:ascii="宋体" w:hAnsi="宋体" w:cs="宋体"/>
          <w:sz w:val="28"/>
          <w:szCs w:val="28"/>
          <w:highlight w:val="none"/>
          <w:lang w:eastAsia="zh-CN"/>
        </w:rPr>
        <w:t>五种</w:t>
      </w:r>
      <w:r>
        <w:rPr>
          <w:rFonts w:hint="eastAsia" w:ascii="宋体" w:hAnsi="宋体" w:eastAsia="宋体" w:cs="宋体"/>
          <w:sz w:val="28"/>
          <w:szCs w:val="28"/>
          <w:highlight w:val="none"/>
          <w:lang w:eastAsia="zh-CN"/>
        </w:rPr>
        <w:t>语言</w:t>
      </w:r>
      <w:r>
        <w:rPr>
          <w:rFonts w:hint="eastAsia" w:ascii="宋体" w:hAnsi="宋体" w:eastAsia="宋体" w:cs="宋体"/>
          <w:sz w:val="28"/>
          <w:szCs w:val="28"/>
          <w:highlight w:val="none"/>
          <w:lang w:eastAsia="zh-CN"/>
        </w:rPr>
        <w:t>广播早中晚高峰时段播出</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eastAsia="zh-CN"/>
        </w:rPr>
        <w:t>并在融媒体平台以图文加视频的方式进行播发</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四、制作要求：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kern w:val="0"/>
          <w:sz w:val="28"/>
          <w:szCs w:val="28"/>
          <w:highlight w:val="none"/>
          <w:lang w:eastAsia="zh-CN"/>
        </w:rPr>
      </w:pPr>
      <w:r>
        <w:rPr>
          <w:rFonts w:hint="eastAsia" w:ascii="宋体" w:hAnsi="宋体" w:eastAsia="宋体" w:cs="宋体"/>
          <w:b/>
          <w:bCs/>
          <w:sz w:val="28"/>
          <w:szCs w:val="28"/>
          <w:highlight w:val="none"/>
          <w:lang w:val="en-US" w:eastAsia="zh-CN"/>
        </w:rPr>
        <w:t>采访撰稿</w:t>
      </w:r>
      <w:r>
        <w:rPr>
          <w:rFonts w:hint="eastAsia" w:ascii="宋体" w:hAnsi="宋体" w:cs="宋体"/>
          <w:b/>
          <w:bCs/>
          <w:sz w:val="28"/>
          <w:szCs w:val="28"/>
          <w:highlight w:val="none"/>
          <w:lang w:val="en-US" w:eastAsia="zh-CN"/>
        </w:rPr>
        <w:t>：</w:t>
      </w:r>
      <w:r>
        <w:rPr>
          <w:rFonts w:hint="eastAsia" w:ascii="宋体" w:hAnsi="宋体" w:eastAsia="宋体" w:cs="宋体"/>
          <w:b w:val="0"/>
          <w:bCs w:val="0"/>
          <w:sz w:val="28"/>
          <w:szCs w:val="28"/>
          <w:highlight w:val="none"/>
          <w:lang w:eastAsia="zh-CN"/>
        </w:rPr>
        <w:t>专业记者、资深编辑深入红色革命文物保存地进行深入挖掘和采访，进行撰稿</w:t>
      </w:r>
      <w:r>
        <w:rPr>
          <w:rFonts w:hint="eastAsia" w:ascii="宋体" w:hAnsi="宋体" w:cs="宋体"/>
          <w:b w:val="0"/>
          <w:bCs w:val="0"/>
          <w:kern w:val="0"/>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8"/>
          <w:szCs w:val="28"/>
          <w:highlight w:val="none"/>
          <w:lang w:eastAsia="zh-CN"/>
        </w:rPr>
      </w:pPr>
      <w:r>
        <w:rPr>
          <w:rFonts w:hint="eastAsia" w:ascii="宋体" w:hAnsi="宋体" w:eastAsia="宋体" w:cs="宋体"/>
          <w:b/>
          <w:bCs/>
          <w:sz w:val="28"/>
          <w:szCs w:val="28"/>
          <w:highlight w:val="none"/>
          <w:lang w:val="en-US" w:eastAsia="zh-CN"/>
        </w:rPr>
        <w:t>配音、翻译、制作</w:t>
      </w:r>
      <w:r>
        <w:rPr>
          <w:rFonts w:hint="eastAsia" w:ascii="宋体" w:hAnsi="宋体" w:cs="宋体"/>
          <w:b/>
          <w:bCs/>
          <w:sz w:val="28"/>
          <w:szCs w:val="28"/>
          <w:highlight w:val="none"/>
          <w:lang w:val="en-US" w:eastAsia="zh-CN"/>
        </w:rPr>
        <w:t>：</w:t>
      </w:r>
      <w:r>
        <w:rPr>
          <w:rFonts w:hint="eastAsia" w:ascii="宋体" w:hAnsi="宋体" w:eastAsia="宋体" w:cs="宋体"/>
          <w:sz w:val="28"/>
          <w:szCs w:val="28"/>
          <w:highlight w:val="none"/>
          <w:lang w:eastAsia="zh-CN"/>
        </w:rPr>
        <w:t>资深播音员、主持人邀请各行业文物讲述人进行讲述、翻译和配音制作工作</w:t>
      </w:r>
      <w:r>
        <w:rPr>
          <w:rFonts w:hint="eastAsia" w:ascii="宋体" w:hAnsi="宋体" w:cs="宋体"/>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cs="宋体"/>
          <w:sz w:val="28"/>
          <w:szCs w:val="28"/>
          <w:highlight w:val="none"/>
          <w:lang w:eastAsia="zh-CN"/>
        </w:rPr>
      </w:pPr>
      <w:r>
        <w:rPr>
          <w:rFonts w:hint="eastAsia" w:ascii="宋体" w:hAnsi="宋体" w:cs="宋体"/>
          <w:b/>
          <w:bCs/>
          <w:sz w:val="28"/>
          <w:szCs w:val="28"/>
          <w:highlight w:val="none"/>
          <w:lang w:val="en-US" w:eastAsia="zh-CN"/>
        </w:rPr>
        <w:t>五、</w:t>
      </w:r>
      <w:r>
        <w:rPr>
          <w:rFonts w:hint="eastAsia" w:ascii="宋体" w:hAnsi="宋体" w:cs="宋体"/>
          <w:b/>
          <w:bCs/>
          <w:color w:val="auto"/>
          <w:sz w:val="28"/>
          <w:szCs w:val="28"/>
          <w:highlight w:val="none"/>
          <w:lang w:val="en-US" w:eastAsia="zh-CN"/>
        </w:rPr>
        <w:t>制作周期</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2021年11月初-2022年3月1日</w:t>
      </w:r>
    </w:p>
    <w:p>
      <w:pPr>
        <w:numPr>
          <w:ilvl w:val="0"/>
          <w:numId w:val="0"/>
        </w:numPr>
        <w:spacing w:line="560" w:lineRule="exact"/>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商务要求</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1、合同签订期：自成交通知书发出之日起30日内</w:t>
      </w:r>
    </w:p>
    <w:p>
      <w:pPr>
        <w:spacing w:line="560" w:lineRule="exact"/>
        <w:ind w:firstLine="648"/>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提交最终成果时间：</w:t>
      </w:r>
      <w:r>
        <w:rPr>
          <w:rFonts w:hint="eastAsia" w:ascii="宋体" w:hAnsi="宋体" w:cs="宋体"/>
          <w:color w:val="auto"/>
          <w:sz w:val="28"/>
          <w:szCs w:val="28"/>
          <w:highlight w:val="none"/>
          <w:lang w:val="en-US" w:eastAsia="zh-CN"/>
        </w:rPr>
        <w:t>2022年3月1日前</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其他要求</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（1）报价要求：报价为总价包干，包括：</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①服务的价格；</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②必要的保险费用和各项税金；</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③劳务、管理、</w:t>
      </w:r>
      <w:r>
        <w:rPr>
          <w:rFonts w:hint="eastAsia" w:ascii="宋体" w:hAnsi="宋体" w:cs="宋体"/>
          <w:color w:val="auto"/>
          <w:sz w:val="28"/>
          <w:szCs w:val="28"/>
          <w:highlight w:val="none"/>
          <w:lang w:val="en-US" w:eastAsia="zh-CN"/>
        </w:rPr>
        <w:t>差旅</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食宿、</w:t>
      </w:r>
      <w:r>
        <w:rPr>
          <w:rFonts w:hint="eastAsia" w:ascii="宋体" w:hAnsi="宋体" w:eastAsia="宋体" w:cs="宋体"/>
          <w:color w:val="auto"/>
          <w:sz w:val="28"/>
          <w:szCs w:val="28"/>
          <w:highlight w:val="none"/>
          <w:lang w:val="en-US" w:eastAsia="zh-CN"/>
        </w:rPr>
        <w:t>政策性文件规定及合同包含的应有风险、责任等其他应有费用；</w:t>
      </w:r>
    </w:p>
    <w:p>
      <w:pPr>
        <w:spacing w:line="56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④完成本项目过程中可预见的和不可预见的一切费用。</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（2）付款方式</w:t>
      </w:r>
      <w:r>
        <w:rPr>
          <w:rFonts w:hint="eastAsia" w:ascii="宋体" w:hAnsi="宋体" w:eastAsia="宋体" w:cs="宋体"/>
          <w:color w:val="auto"/>
          <w:sz w:val="28"/>
          <w:szCs w:val="28"/>
          <w:highlight w:val="none"/>
          <w:lang w:val="en-US" w:eastAsia="zh-CN"/>
        </w:rPr>
        <w:tab/>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①合同签订后 5个工作日内支付合同总额的 70 %；</w:t>
      </w:r>
      <w:r>
        <w:rPr>
          <w:rFonts w:hint="eastAsia" w:ascii="宋体" w:hAnsi="宋体" w:cs="宋体"/>
          <w:color w:val="auto"/>
          <w:sz w:val="28"/>
          <w:szCs w:val="28"/>
          <w:highlight w:val="none"/>
          <w:lang w:val="en-US" w:eastAsia="zh-CN"/>
        </w:rPr>
        <w:t>提交最终成果并审核通过</w:t>
      </w:r>
      <w:r>
        <w:rPr>
          <w:rFonts w:hint="eastAsia" w:ascii="宋体" w:hAnsi="宋体" w:eastAsia="宋体" w:cs="宋体"/>
          <w:color w:val="auto"/>
          <w:sz w:val="28"/>
          <w:szCs w:val="28"/>
          <w:highlight w:val="none"/>
          <w:lang w:val="en-US" w:eastAsia="zh-CN"/>
        </w:rPr>
        <w:t>后 30 日内支付合同总额的 30 %</w:t>
      </w:r>
      <w:r>
        <w:rPr>
          <w:rFonts w:hint="eastAsia" w:ascii="宋体" w:hAnsi="宋体" w:cs="宋体"/>
          <w:color w:val="auto"/>
          <w:sz w:val="28"/>
          <w:szCs w:val="28"/>
          <w:highlight w:val="none"/>
          <w:lang w:val="en-US" w:eastAsia="zh-CN"/>
        </w:rPr>
        <w:t>（最终付款方式以合同约定为准）</w:t>
      </w:r>
      <w:r>
        <w:rPr>
          <w:rFonts w:hint="eastAsia" w:ascii="宋体" w:hAnsi="宋体" w:eastAsia="宋体" w:cs="宋体"/>
          <w:color w:val="auto"/>
          <w:sz w:val="28"/>
          <w:szCs w:val="28"/>
          <w:highlight w:val="none"/>
          <w:lang w:val="en-US" w:eastAsia="zh-CN"/>
        </w:rPr>
        <w:t>。</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②付款前，成交供应商须提供合法的当届结算金额全额增值税发票并经采购人财务审核后方可付款。</w:t>
      </w:r>
    </w:p>
    <w:p>
      <w:pPr>
        <w:spacing w:line="560" w:lineRule="exact"/>
        <w:ind w:firstLine="648"/>
        <w:rPr>
          <w:rFonts w:hint="eastAsia" w:ascii="仿宋" w:hAnsi="仿宋" w:eastAsia="仿宋" w:cs="仿宋"/>
          <w:color w:val="auto"/>
          <w:sz w:val="32"/>
          <w:szCs w:val="32"/>
          <w:highlight w:val="none"/>
          <w:lang w:val="en-US" w:eastAsia="zh-CN"/>
        </w:rPr>
      </w:pPr>
    </w:p>
    <w:p>
      <w:pPr>
        <w:pStyle w:val="3"/>
        <w:jc w:val="center"/>
        <w:rPr>
          <w:rFonts w:hint="eastAsia" w:ascii="宋体" w:hAnsi="宋体" w:eastAsia="宋体" w:cs="宋体"/>
          <w:highlight w:val="none"/>
        </w:rPr>
      </w:pPr>
      <w:r>
        <w:rPr>
          <w:rFonts w:hint="eastAsia" w:ascii="宋体" w:hAnsi="宋体" w:eastAsia="宋体" w:cs="宋体"/>
          <w:highlight w:val="none"/>
        </w:rPr>
        <w:br w:type="page"/>
      </w:r>
      <w:bookmarkStart w:id="72" w:name="_Toc14342"/>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
        <w:rPr>
          <w:rFonts w:hint="eastAsia" w:ascii="宋体" w:hAnsi="宋体" w:cs="宋体"/>
          <w:highlight w:val="none"/>
          <w:lang w:eastAsia="zh-CN"/>
        </w:rPr>
      </w:pPr>
    </w:p>
    <w:p>
      <w:pPr>
        <w:pStyle w:val="2"/>
        <w:rPr>
          <w:rFonts w:hint="eastAsia" w:ascii="宋体" w:hAnsi="宋体" w:cs="宋体"/>
          <w:highlight w:val="none"/>
          <w:lang w:eastAsia="zh-CN"/>
        </w:rPr>
      </w:pPr>
    </w:p>
    <w:p>
      <w:pPr>
        <w:pStyle w:val="8"/>
        <w:spacing w:before="41" w:line="364" w:lineRule="auto"/>
        <w:ind w:right="67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本合同条款将作为中标合同的基础，具体合同内容在签订合同时由甲乙双方协商</w:t>
      </w:r>
      <w:r>
        <w:rPr>
          <w:rFonts w:hint="eastAsia" w:asciiTheme="minorEastAsia" w:hAnsiTheme="minorEastAsia" w:eastAsiaTheme="minorEastAsia" w:cstheme="minorEastAsia"/>
          <w:sz w:val="24"/>
          <w:szCs w:val="24"/>
          <w:highlight w:val="none"/>
        </w:rPr>
        <w:t xml:space="preserve">确定。 </w:t>
      </w:r>
    </w:p>
    <w:p>
      <w:pPr>
        <w:pStyle w:val="8"/>
        <w:spacing w:before="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line="364" w:lineRule="auto"/>
        <w:ind w:left="580" w:right="334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12"/>
          <w:sz w:val="24"/>
          <w:szCs w:val="24"/>
          <w:highlight w:val="none"/>
        </w:rPr>
        <w:t>简称“      ”</w:t>
      </w:r>
      <w:r>
        <w:rPr>
          <w:rFonts w:hint="eastAsia" w:asciiTheme="minorEastAsia" w:hAnsiTheme="minorEastAsia" w:eastAsiaTheme="minorEastAsia" w:cstheme="minorEastAsia"/>
          <w:sz w:val="24"/>
          <w:szCs w:val="24"/>
          <w:highlight w:val="none"/>
        </w:rPr>
        <w:t xml:space="preserve">） </w:t>
      </w:r>
    </w:p>
    <w:p>
      <w:pPr>
        <w:pStyle w:val="8"/>
        <w:spacing w:before="161" w:line="364" w:lineRule="auto"/>
        <w:ind w:left="580" w:right="334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12"/>
          <w:sz w:val="24"/>
          <w:szCs w:val="24"/>
          <w:highlight w:val="none"/>
        </w:rPr>
        <w:t>简称“      ”</w:t>
      </w:r>
      <w:r>
        <w:rPr>
          <w:rFonts w:hint="eastAsia" w:asciiTheme="minorEastAsia" w:hAnsiTheme="minorEastAsia" w:eastAsiaTheme="minorEastAsia" w:cstheme="minorEastAsia"/>
          <w:sz w:val="24"/>
          <w:szCs w:val="24"/>
          <w:highlight w:val="none"/>
        </w:rPr>
        <w:t xml:space="preserve">） </w:t>
      </w:r>
    </w:p>
    <w:p>
      <w:pPr>
        <w:pStyle w:val="8"/>
        <w:spacing w:before="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0" w:line="364" w:lineRule="auto"/>
        <w:ind w:right="681" w:firstLine="44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根据《中华人民共和国合同法》及相关法律法规的规定，经甲、乙双方协商</w:t>
      </w:r>
      <w:r>
        <w:rPr>
          <w:rFonts w:hint="eastAsia" w:asciiTheme="minorEastAsia" w:hAnsiTheme="minorEastAsia" w:eastAsiaTheme="minorEastAsia" w:cstheme="minorEastAsia"/>
          <w:spacing w:val="-5"/>
          <w:sz w:val="24"/>
          <w:szCs w:val="24"/>
          <w:highlight w:val="none"/>
        </w:rPr>
        <w:t xml:space="preserve">一致，就甲方委托乙方承担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pacing w:val="-8"/>
          <w:sz w:val="24"/>
          <w:szCs w:val="24"/>
          <w:highlight w:val="none"/>
        </w:rPr>
        <w:t>事宜达成如下协议，共同遵守。</w:t>
      </w:r>
    </w:p>
    <w:p>
      <w:pPr>
        <w:pStyle w:val="8"/>
        <w:spacing w:before="3"/>
        <w:ind w:left="9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4"/>
        <w:spacing w:before="1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第一条 委托内容及要求</w:t>
      </w:r>
      <w:r>
        <w:rPr>
          <w:rFonts w:hint="eastAsia" w:asciiTheme="minorEastAsia" w:hAnsiTheme="minorEastAsia" w:eastAsiaTheme="minorEastAsia" w:cstheme="minorEastAsia"/>
          <w:w w:val="99"/>
          <w:sz w:val="24"/>
          <w:szCs w:val="24"/>
          <w:highlight w:val="none"/>
        </w:rPr>
        <w:t xml:space="preserve"> </w:t>
      </w:r>
    </w:p>
    <w:p>
      <w:pPr>
        <w:pStyle w:val="8"/>
        <w:spacing w:before="161" w:line="364" w:lineRule="auto"/>
        <w:ind w:right="703" w:firstLine="456"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 xml:space="preserve">甲方委托乙方全面承担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，具体包括： </w:t>
      </w:r>
    </w:p>
    <w:p>
      <w:pPr>
        <w:pStyle w:val="4"/>
        <w:spacing w:before="16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第二条 时间进度 </w:t>
      </w:r>
    </w:p>
    <w:p>
      <w:pPr>
        <w:pStyle w:val="8"/>
        <w:spacing w:before="161" w:line="364" w:lineRule="auto"/>
        <w:ind w:right="1722"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本项目服务期限为：</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pacing w:val="-30"/>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5"/>
          <w:sz w:val="24"/>
          <w:szCs w:val="24"/>
          <w:highlight w:val="none"/>
        </w:rPr>
        <w:t xml:space="preserve">日起至 </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pacing w:val="-30"/>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日止。</w:t>
      </w:r>
    </w:p>
    <w:p>
      <w:pPr>
        <w:pStyle w:val="8"/>
        <w:spacing w:before="161" w:line="364" w:lineRule="auto"/>
        <w:ind w:left="0" w:leftChars="0" w:right="1722" w:firstLine="0" w:firstLineChars="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第三条 合同价款</w:t>
      </w:r>
    </w:p>
    <w:p>
      <w:pPr>
        <w:pStyle w:val="8"/>
        <w:spacing w:before="1" w:line="364" w:lineRule="auto"/>
        <w:ind w:right="703"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经甲乙双方协商确定合同总价为人民币（大写）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，计人民币（小写）￥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元，最终支付费用以实际结算金额为准。 </w:t>
      </w:r>
    </w:p>
    <w:p>
      <w:pPr>
        <w:pStyle w:val="4"/>
        <w:tabs>
          <w:tab w:val="left" w:pos="396"/>
          <w:tab w:val="center" w:pos="5319"/>
        </w:tabs>
        <w:spacing w:before="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第四条 付款方式</w:t>
      </w:r>
      <w:r>
        <w:rPr>
          <w:rFonts w:hint="eastAsia" w:asciiTheme="minorEastAsia" w:hAnsiTheme="minorEastAsia" w:eastAsiaTheme="minorEastAsia" w:cstheme="minorEastAsia"/>
          <w:w w:val="99"/>
          <w:sz w:val="24"/>
          <w:szCs w:val="24"/>
          <w:highlight w:val="none"/>
        </w:rPr>
        <w:t xml:space="preserve"> </w:t>
      </w:r>
    </w:p>
    <w:p>
      <w:pPr>
        <w:pStyle w:val="8"/>
        <w:spacing w:before="16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（一）合同项下所有款额应通过甲乙双方指定的银行用人民币支付。 </w:t>
      </w:r>
    </w:p>
    <w:p>
      <w:pPr>
        <w:pStyle w:val="8"/>
        <w:spacing w:before="161" w:line="364" w:lineRule="auto"/>
        <w:ind w:right="70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（二）甲方付款后，乙方应向甲方交付与本合同价款等额且符合合同性质的中华人民共和国法定国税通用机打发票。 </w:t>
      </w:r>
    </w:p>
    <w:p>
      <w:pPr>
        <w:pStyle w:val="8"/>
        <w:spacing w:before="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（三）合同第三条中确定的合同总价由甲方向乙方按如下方式及比例支付： </w:t>
      </w:r>
    </w:p>
    <w:p>
      <w:pPr>
        <w:pStyle w:val="8"/>
        <w:spacing w:before="4"/>
        <w:rPr>
          <w:rFonts w:hint="eastAsia" w:asciiTheme="minorEastAsia" w:hAnsiTheme="minorEastAsia" w:eastAsiaTheme="minorEastAsia" w:cstheme="minorEastAsia"/>
          <w:sz w:val="24"/>
          <w:szCs w:val="24"/>
          <w:highlight w:val="none"/>
        </w:rPr>
      </w:pPr>
    </w:p>
    <w:tbl>
      <w:tblPr>
        <w:tblStyle w:val="16"/>
        <w:tblW w:w="0" w:type="auto"/>
        <w:tblInd w:w="4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2276" w:type="dxa"/>
          </w:tcPr>
          <w:p>
            <w:pPr>
              <w:pStyle w:val="20"/>
              <w:spacing w:before="21"/>
              <w:ind w:left="695" w:right="557"/>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付款节点</w:t>
            </w:r>
            <w:r>
              <w:rPr>
                <w:rFonts w:hint="eastAsia" w:asciiTheme="minorEastAsia" w:hAnsiTheme="minorEastAsia" w:eastAsiaTheme="minorEastAsia" w:cstheme="minorEastAsia"/>
                <w:b/>
                <w:w w:val="99"/>
                <w:sz w:val="24"/>
                <w:szCs w:val="24"/>
                <w:highlight w:val="none"/>
              </w:rPr>
              <w:t xml:space="preserve"> </w:t>
            </w:r>
          </w:p>
        </w:tc>
        <w:tc>
          <w:tcPr>
            <w:tcW w:w="1505" w:type="dxa"/>
          </w:tcPr>
          <w:p>
            <w:pPr>
              <w:pStyle w:val="20"/>
              <w:spacing w:before="21"/>
              <w:ind w:left="308" w:right="172"/>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付款比例</w:t>
            </w:r>
            <w:r>
              <w:rPr>
                <w:rFonts w:hint="eastAsia" w:asciiTheme="minorEastAsia" w:hAnsiTheme="minorEastAsia" w:eastAsiaTheme="minorEastAsia" w:cstheme="minorEastAsia"/>
                <w:b/>
                <w:w w:val="99"/>
                <w:sz w:val="24"/>
                <w:szCs w:val="24"/>
                <w:highlight w:val="none"/>
              </w:rPr>
              <w:t xml:space="preserve"> </w:t>
            </w:r>
          </w:p>
        </w:tc>
        <w:tc>
          <w:tcPr>
            <w:tcW w:w="1681" w:type="dxa"/>
          </w:tcPr>
          <w:p>
            <w:pPr>
              <w:pStyle w:val="20"/>
              <w:spacing w:before="21"/>
              <w:ind w:left="154" w:right="3"/>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26"/>
                <w:sz w:val="24"/>
                <w:szCs w:val="24"/>
                <w:highlight w:val="none"/>
              </w:rPr>
              <w:t>付款金额</w:t>
            </w:r>
            <w:r>
              <w:rPr>
                <w:rFonts w:hint="eastAsia" w:asciiTheme="minorEastAsia" w:hAnsiTheme="minorEastAsia" w:eastAsiaTheme="minorEastAsia" w:cstheme="minorEastAsia"/>
                <w:b/>
                <w:sz w:val="24"/>
                <w:szCs w:val="24"/>
                <w:highlight w:val="none"/>
              </w:rPr>
              <w:t>（元</w:t>
            </w:r>
            <w:r>
              <w:rPr>
                <w:rFonts w:hint="eastAsia" w:asciiTheme="minorEastAsia" w:hAnsiTheme="minorEastAsia" w:eastAsiaTheme="minorEastAsia" w:cstheme="minorEastAsia"/>
                <w:b/>
                <w:spacing w:val="-119"/>
                <w:sz w:val="24"/>
                <w:szCs w:val="24"/>
                <w:highlight w:val="none"/>
              </w:rPr>
              <w:t>）</w:t>
            </w:r>
            <w:r>
              <w:rPr>
                <w:rFonts w:hint="eastAsia" w:asciiTheme="minorEastAsia" w:hAnsiTheme="minorEastAsia" w:eastAsiaTheme="minorEastAsia" w:cstheme="minorEastAsia"/>
                <w:b/>
                <w:w w:val="99"/>
                <w:sz w:val="24"/>
                <w:szCs w:val="24"/>
                <w:highlight w:val="none"/>
              </w:rPr>
              <w:t xml:space="preserve"> </w:t>
            </w:r>
          </w:p>
        </w:tc>
        <w:tc>
          <w:tcPr>
            <w:tcW w:w="2963" w:type="dxa"/>
          </w:tcPr>
          <w:p>
            <w:pPr>
              <w:pStyle w:val="20"/>
              <w:spacing w:before="21"/>
              <w:ind w:left="1035" w:right="904"/>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付款条件</w:t>
            </w:r>
            <w:r>
              <w:rPr>
                <w:rFonts w:hint="eastAsia" w:asciiTheme="minorEastAsia" w:hAnsiTheme="minorEastAsia" w:eastAsiaTheme="minorEastAsia" w:cstheme="minorEastAsia"/>
                <w:b/>
                <w:w w:val="99"/>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0"/>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505" w:type="dxa"/>
          </w:tcPr>
          <w:p>
            <w:pPr>
              <w:pStyle w:val="20"/>
              <w:spacing w:line="291" w:lineRule="exact"/>
              <w:ind w:left="13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681" w:type="dxa"/>
          </w:tcPr>
          <w:p>
            <w:pPr>
              <w:pStyle w:val="20"/>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963" w:type="dxa"/>
          </w:tcPr>
          <w:p>
            <w:pPr>
              <w:pStyle w:val="20"/>
              <w:spacing w:line="291" w:lineRule="exact"/>
              <w:ind w:left="13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0"/>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505" w:type="dxa"/>
          </w:tcPr>
          <w:p>
            <w:pPr>
              <w:pStyle w:val="20"/>
              <w:spacing w:line="291" w:lineRule="exact"/>
              <w:ind w:left="13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681" w:type="dxa"/>
          </w:tcPr>
          <w:p>
            <w:pPr>
              <w:pStyle w:val="20"/>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963" w:type="dxa"/>
          </w:tcPr>
          <w:p>
            <w:pPr>
              <w:pStyle w:val="20"/>
              <w:spacing w:line="291" w:lineRule="exact"/>
              <w:ind w:left="13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0"/>
              <w:spacing w:line="291" w:lineRule="exact"/>
              <w:ind w:left="692" w:right="557"/>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合计</w:t>
            </w:r>
            <w:r>
              <w:rPr>
                <w:rFonts w:hint="eastAsia" w:asciiTheme="minorEastAsia" w:hAnsiTheme="minorEastAsia" w:eastAsiaTheme="minorEastAsia" w:cstheme="minorEastAsia"/>
                <w:b/>
                <w:w w:val="99"/>
                <w:sz w:val="24"/>
                <w:szCs w:val="24"/>
                <w:highlight w:val="none"/>
              </w:rPr>
              <w:t xml:space="preserve"> </w:t>
            </w:r>
          </w:p>
        </w:tc>
        <w:tc>
          <w:tcPr>
            <w:tcW w:w="1505" w:type="dxa"/>
          </w:tcPr>
          <w:p>
            <w:pPr>
              <w:pStyle w:val="20"/>
              <w:spacing w:line="291" w:lineRule="exact"/>
              <w:ind w:left="136"/>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c>
          <w:tcPr>
            <w:tcW w:w="1681" w:type="dxa"/>
          </w:tcPr>
          <w:p>
            <w:pPr>
              <w:pStyle w:val="20"/>
              <w:spacing w:line="291" w:lineRule="exact"/>
              <w:ind w:left="138"/>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c>
          <w:tcPr>
            <w:tcW w:w="2963" w:type="dxa"/>
          </w:tcPr>
          <w:p>
            <w:pPr>
              <w:pStyle w:val="20"/>
              <w:spacing w:line="291" w:lineRule="exact"/>
              <w:ind w:left="13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r>
    </w:tbl>
    <w:p>
      <w:pPr>
        <w:pStyle w:val="8"/>
        <w:numPr>
          <w:ilvl w:val="0"/>
          <w:numId w:val="0"/>
        </w:numPr>
        <w:spacing w:before="41" w:line="364" w:lineRule="auto"/>
        <w:ind w:right="703"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在合同签订后，若甲方要求增加的服务，协商一致后，以书面形式约定，并由甲方追加相应的服务费，计入合同总价。</w:t>
      </w:r>
    </w:p>
    <w:p>
      <w:pPr>
        <w:pStyle w:val="8"/>
        <w:numPr>
          <w:ilvl w:val="0"/>
          <w:numId w:val="0"/>
        </w:numPr>
        <w:spacing w:before="41" w:line="364" w:lineRule="auto"/>
        <w:ind w:right="703"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（五）若甲方中途变更委托要求，甲乙双方在平等协商的基础上，调整因变更引起的费用项目金额。 </w:t>
      </w:r>
    </w:p>
    <w:p>
      <w:pPr>
        <w:pStyle w:val="8"/>
        <w:spacing w:before="1" w:line="364" w:lineRule="auto"/>
        <w:ind w:left="0" w:leftChars="0" w:right="4663"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（六）乙方指定的银行帐户信息：  </w:t>
      </w:r>
    </w:p>
    <w:p>
      <w:pPr>
        <w:pStyle w:val="8"/>
        <w:spacing w:before="1" w:line="364" w:lineRule="auto"/>
        <w:ind w:left="940" w:right="466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账户名称： </w:t>
      </w:r>
    </w:p>
    <w:p>
      <w:pPr>
        <w:pStyle w:val="8"/>
        <w:spacing w:before="1" w:line="364" w:lineRule="auto"/>
        <w:ind w:left="836" w:leftChars="398" w:right="718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开户银行： 账号： </w:t>
      </w:r>
    </w:p>
    <w:p>
      <w:pPr>
        <w:pStyle w:val="4"/>
        <w:spacing w:before="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第五条 双方权利义务</w:t>
      </w:r>
      <w:r>
        <w:rPr>
          <w:rFonts w:hint="eastAsia" w:asciiTheme="minorEastAsia" w:hAnsiTheme="minorEastAsia" w:eastAsiaTheme="minorEastAsia" w:cstheme="minorEastAsia"/>
          <w:spacing w:val="-1"/>
          <w:w w:val="99"/>
          <w:sz w:val="24"/>
          <w:szCs w:val="24"/>
          <w:highlight w:val="none"/>
        </w:rPr>
        <w:t xml:space="preserve"> </w:t>
      </w:r>
    </w:p>
    <w:p>
      <w:pPr>
        <w:pStyle w:val="8"/>
        <w:spacing w:before="16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（一）甲方权利和义务 </w:t>
      </w:r>
    </w:p>
    <w:p>
      <w:pPr>
        <w:pStyle w:val="28"/>
        <w:numPr>
          <w:ilvl w:val="0"/>
          <w:numId w:val="4"/>
        </w:numPr>
        <w:tabs>
          <w:tab w:val="left" w:pos="1182"/>
        </w:tabs>
        <w:spacing w:before="160" w:after="0" w:line="240" w:lineRule="auto"/>
        <w:ind w:left="1181" w:right="0" w:hanging="24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甲方有权要求乙方按照本合同约定提供各项服务。 </w:t>
      </w:r>
    </w:p>
    <w:p>
      <w:pPr>
        <w:pStyle w:val="28"/>
        <w:numPr>
          <w:ilvl w:val="0"/>
          <w:numId w:val="4"/>
        </w:numPr>
        <w:tabs>
          <w:tab w:val="left" w:pos="1182"/>
        </w:tabs>
        <w:spacing w:before="161" w:after="0" w:line="240" w:lineRule="auto"/>
        <w:ind w:left="1181" w:right="0" w:hanging="24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甲方有权对乙方提供各项服务的情况进行监督和检查。 </w:t>
      </w:r>
    </w:p>
    <w:p>
      <w:pPr>
        <w:pStyle w:val="28"/>
        <w:numPr>
          <w:ilvl w:val="0"/>
          <w:numId w:val="4"/>
        </w:numPr>
        <w:tabs>
          <w:tab w:val="left" w:pos="1182"/>
        </w:tabs>
        <w:spacing w:before="160" w:after="0" w:line="240" w:lineRule="auto"/>
        <w:ind w:left="1181" w:right="0" w:hanging="24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甲方应当按照本合同约定向乙方支付费用。 </w:t>
      </w:r>
    </w:p>
    <w:p>
      <w:pPr>
        <w:pStyle w:val="8"/>
        <w:spacing w:before="161"/>
        <w:ind w:left="9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4.其他：                              </w:t>
      </w:r>
    </w:p>
    <w:p>
      <w:pPr>
        <w:pStyle w:val="8"/>
        <w:spacing w:before="160"/>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（二）乙方权利和义务 </w:t>
      </w:r>
    </w:p>
    <w:p>
      <w:pPr>
        <w:pStyle w:val="28"/>
        <w:numPr>
          <w:ilvl w:val="0"/>
          <w:numId w:val="5"/>
        </w:numPr>
        <w:tabs>
          <w:tab w:val="left" w:pos="1122"/>
        </w:tabs>
        <w:spacing w:before="161" w:after="0" w:line="364" w:lineRule="auto"/>
        <w:ind w:left="880" w:right="677"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乙方应按照本合同约定向甲方提供本合同项下服务，确保服务质量符合本</w:t>
      </w:r>
      <w:r>
        <w:rPr>
          <w:rFonts w:hint="eastAsia" w:asciiTheme="minorEastAsia" w:hAnsiTheme="minorEastAsia" w:eastAsiaTheme="minorEastAsia" w:cstheme="minorEastAsia"/>
          <w:spacing w:val="-4"/>
          <w:sz w:val="24"/>
          <w:szCs w:val="24"/>
          <w:highlight w:val="none"/>
        </w:rPr>
        <w:t>合同约定或甲方要求；如因乙方提供服务质量不合格给甲方造成损失的，乙</w:t>
      </w:r>
      <w:r>
        <w:rPr>
          <w:rFonts w:hint="eastAsia" w:asciiTheme="minorEastAsia" w:hAnsiTheme="minorEastAsia" w:eastAsiaTheme="minorEastAsia" w:cstheme="minorEastAsia"/>
          <w:spacing w:val="-6"/>
          <w:sz w:val="24"/>
          <w:szCs w:val="24"/>
          <w:highlight w:val="none"/>
        </w:rPr>
        <w:t xml:space="preserve">方应予不超过合同总额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%的赔偿。 </w:t>
      </w:r>
    </w:p>
    <w:p>
      <w:pPr>
        <w:pStyle w:val="28"/>
        <w:numPr>
          <w:ilvl w:val="0"/>
          <w:numId w:val="5"/>
        </w:numPr>
        <w:tabs>
          <w:tab w:val="left" w:pos="1122"/>
        </w:tabs>
        <w:spacing w:before="2" w:after="0" w:line="364" w:lineRule="auto"/>
        <w:ind w:left="880" w:right="645" w:firstLine="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highlight w:val="none"/>
        </w:rPr>
        <w:t>专项用于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等相关工</w:t>
      </w:r>
      <w:r>
        <w:rPr>
          <w:rFonts w:hint="eastAsia" w:asciiTheme="minorEastAsia" w:hAnsiTheme="minorEastAsia" w:eastAsiaTheme="minorEastAsia" w:cstheme="minorEastAsia"/>
          <w:spacing w:val="-6"/>
          <w:sz w:val="24"/>
          <w:szCs w:val="24"/>
          <w:highlight w:val="none"/>
        </w:rPr>
        <w:t xml:space="preserve">作，不得用于与本工作无关的活动支出，专款专用，并配合财政、审计等部门的监督检查。 </w:t>
      </w:r>
    </w:p>
    <w:p>
      <w:pPr>
        <w:pStyle w:val="28"/>
        <w:numPr>
          <w:ilvl w:val="0"/>
          <w:numId w:val="5"/>
        </w:numPr>
        <w:tabs>
          <w:tab w:val="left" w:pos="1122"/>
        </w:tabs>
        <w:spacing w:before="2" w:after="0" w:line="364" w:lineRule="auto"/>
        <w:ind w:left="880" w:right="677" w:firstLine="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乙方保证其向甲方提供的服务不存在任何侵犯第三方著作权、商标权、专</w:t>
      </w:r>
      <w:r>
        <w:rPr>
          <w:rFonts w:hint="eastAsia" w:asciiTheme="minorEastAsia" w:hAnsiTheme="minorEastAsia" w:eastAsiaTheme="minorEastAsia" w:cstheme="minorEastAsia"/>
          <w:sz w:val="24"/>
          <w:szCs w:val="24"/>
          <w:highlight w:val="none"/>
        </w:rPr>
        <w:t xml:space="preserve">利权等合法权益的情形。 </w:t>
      </w:r>
    </w:p>
    <w:p>
      <w:pPr>
        <w:pStyle w:val="28"/>
        <w:numPr>
          <w:ilvl w:val="0"/>
          <w:numId w:val="5"/>
        </w:numPr>
        <w:tabs>
          <w:tab w:val="left" w:pos="1122"/>
        </w:tabs>
        <w:spacing w:before="2" w:after="0" w:line="364" w:lineRule="auto"/>
        <w:ind w:left="880" w:right="678" w:firstLine="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乙方应接受甲方对其提供服务情况进行的监督和检查，并应及时按照甲方</w:t>
      </w:r>
      <w:r>
        <w:rPr>
          <w:rFonts w:hint="eastAsia" w:asciiTheme="minorEastAsia" w:hAnsiTheme="minorEastAsia" w:eastAsiaTheme="minorEastAsia" w:cstheme="minorEastAsia"/>
          <w:sz w:val="24"/>
          <w:szCs w:val="24"/>
          <w:highlight w:val="none"/>
        </w:rPr>
        <w:t xml:space="preserve">要求对所提供的服务进行改进或调整，使服务质量符合甲方要求。 </w:t>
      </w:r>
    </w:p>
    <w:p>
      <w:pPr>
        <w:pStyle w:val="28"/>
        <w:numPr>
          <w:ilvl w:val="0"/>
          <w:numId w:val="5"/>
        </w:numPr>
        <w:tabs>
          <w:tab w:val="left" w:pos="1122"/>
        </w:tabs>
        <w:spacing w:before="1" w:after="0" w:line="364" w:lineRule="auto"/>
        <w:ind w:left="880" w:right="675"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highlight w:val="none"/>
        </w:rPr>
        <w:t>信息、文件、资料等有保密义务，非经甲方书面同意，不得公开或向第三方</w:t>
      </w:r>
      <w:r>
        <w:rPr>
          <w:rFonts w:hint="eastAsia" w:asciiTheme="minorEastAsia" w:hAnsiTheme="minorEastAsia" w:eastAsiaTheme="minorEastAsia" w:cstheme="minorEastAsia"/>
          <w:sz w:val="24"/>
          <w:szCs w:val="24"/>
          <w:highlight w:val="none"/>
        </w:rPr>
        <w:t xml:space="preserve">提供。 </w:t>
      </w:r>
    </w:p>
    <w:p>
      <w:pPr>
        <w:pStyle w:val="8"/>
        <w:spacing w:before="41" w:line="364" w:lineRule="auto"/>
        <w:ind w:left="880" w:right="67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乙方应保证为甲方提供服务的员工具备提供本合同项下服务所需的相应</w:t>
      </w:r>
      <w:r>
        <w:rPr>
          <w:rFonts w:hint="eastAsia" w:asciiTheme="minorEastAsia" w:hAnsiTheme="minorEastAsia" w:eastAsiaTheme="minorEastAsia" w:cstheme="minorEastAsia"/>
          <w:spacing w:val="-5"/>
          <w:sz w:val="24"/>
          <w:szCs w:val="24"/>
          <w:highlight w:val="none"/>
        </w:rPr>
        <w:t>资质和许可，并保证乙方人员在为甲方提供服务的过程中，严格遵守甲方的</w:t>
      </w:r>
      <w:r>
        <w:rPr>
          <w:rFonts w:hint="eastAsia" w:asciiTheme="minorEastAsia" w:hAnsiTheme="minorEastAsia" w:eastAsiaTheme="minorEastAsia" w:cstheme="minorEastAsia"/>
          <w:spacing w:val="-6"/>
          <w:sz w:val="24"/>
          <w:szCs w:val="24"/>
          <w:highlight w:val="none"/>
        </w:rPr>
        <w:t>各项规定、服从甲方安排。如因乙方人员原因，给甲方或第三方造成人员人</w:t>
      </w:r>
      <w:r>
        <w:rPr>
          <w:rFonts w:hint="eastAsia" w:asciiTheme="minorEastAsia" w:hAnsiTheme="minorEastAsia" w:eastAsiaTheme="minorEastAsia" w:cstheme="minorEastAsia"/>
          <w:sz w:val="24"/>
          <w:szCs w:val="24"/>
          <w:highlight w:val="none"/>
        </w:rPr>
        <w:t xml:space="preserve">身伤害或财产损失的，乙方应承担赔偿责任。 </w:t>
      </w:r>
    </w:p>
    <w:p>
      <w:pPr>
        <w:rPr>
          <w:rFonts w:hint="eastAsia"/>
          <w:highlight w:val="none"/>
        </w:rPr>
      </w:pPr>
    </w:p>
    <w:p>
      <w:pPr>
        <w:numPr>
          <w:ilvl w:val="0"/>
          <w:numId w:val="5"/>
        </w:numPr>
        <w:spacing w:before="2" w:line="364" w:lineRule="auto"/>
        <w:ind w:left="880" w:leftChars="0" w:right="3103"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其他：                                    </w:t>
      </w:r>
    </w:p>
    <w:p>
      <w:pPr>
        <w:numPr>
          <w:ilvl w:val="0"/>
          <w:numId w:val="0"/>
        </w:numPr>
        <w:spacing w:before="2" w:line="364" w:lineRule="auto"/>
        <w:ind w:right="3103" w:rightChars="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第六条 合同的变更、补充和解除</w:t>
      </w:r>
      <w:r>
        <w:rPr>
          <w:rFonts w:hint="eastAsia" w:asciiTheme="minorEastAsia" w:hAnsiTheme="minorEastAsia" w:eastAsiaTheme="minorEastAsia" w:cstheme="minorEastAsia"/>
          <w:b/>
          <w:w w:val="99"/>
          <w:sz w:val="24"/>
          <w:szCs w:val="24"/>
          <w:highlight w:val="none"/>
        </w:rPr>
        <w:t xml:space="preserve"> </w:t>
      </w:r>
    </w:p>
    <w:p>
      <w:pPr>
        <w:pStyle w:val="8"/>
        <w:spacing w:before="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（一）本合同的变更或补充必须由双方协商一致，并以书面形式确定。 </w:t>
      </w:r>
    </w:p>
    <w:p>
      <w:pPr>
        <w:pStyle w:val="8"/>
        <w:spacing w:before="160" w:line="364" w:lineRule="auto"/>
        <w:ind w:right="55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32"/>
          <w:sz w:val="24"/>
          <w:szCs w:val="24"/>
          <w:highlight w:val="none"/>
        </w:rPr>
        <w:t>）</w:t>
      </w:r>
      <w:r>
        <w:rPr>
          <w:rFonts w:hint="eastAsia" w:asciiTheme="minorEastAsia" w:hAnsiTheme="minorEastAsia" w:eastAsiaTheme="minorEastAsia" w:cstheme="minorEastAsia"/>
          <w:spacing w:val="-10"/>
          <w:sz w:val="24"/>
          <w:szCs w:val="24"/>
          <w:highlight w:val="none"/>
        </w:rPr>
        <w:t xml:space="preserve">双方确定，出现下列情形，致使本合同的履行成为不必要或不可能的， </w:t>
      </w:r>
      <w:r>
        <w:rPr>
          <w:rFonts w:hint="eastAsia" w:asciiTheme="minorEastAsia" w:hAnsiTheme="minorEastAsia" w:eastAsiaTheme="minorEastAsia" w:cstheme="minorEastAsia"/>
          <w:sz w:val="24"/>
          <w:szCs w:val="24"/>
          <w:highlight w:val="none"/>
        </w:rPr>
        <w:t xml:space="preserve">可以解除本合同： </w:t>
      </w:r>
    </w:p>
    <w:p>
      <w:pPr>
        <w:pStyle w:val="28"/>
        <w:numPr>
          <w:ilvl w:val="0"/>
          <w:numId w:val="6"/>
        </w:numPr>
        <w:tabs>
          <w:tab w:val="left" w:pos="1182"/>
        </w:tabs>
        <w:spacing w:before="2" w:after="0" w:line="240" w:lineRule="auto"/>
        <w:ind w:left="1181" w:right="0" w:hanging="24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发生不可抗力。 </w:t>
      </w:r>
    </w:p>
    <w:p>
      <w:pPr>
        <w:pStyle w:val="28"/>
        <w:numPr>
          <w:ilvl w:val="0"/>
          <w:numId w:val="6"/>
        </w:numPr>
        <w:tabs>
          <w:tab w:val="left" w:pos="1182"/>
        </w:tabs>
        <w:spacing w:before="161" w:after="0" w:line="240" w:lineRule="auto"/>
        <w:ind w:left="1181" w:right="0" w:hanging="24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与本项目直接相关的国家政策发生重大变更，双方同意解除合同。 </w:t>
      </w:r>
    </w:p>
    <w:p>
      <w:pPr>
        <w:pStyle w:val="28"/>
        <w:numPr>
          <w:ilvl w:val="0"/>
          <w:numId w:val="6"/>
        </w:numPr>
        <w:tabs>
          <w:tab w:val="left" w:pos="1182"/>
        </w:tabs>
        <w:spacing w:before="161" w:after="0" w:line="240" w:lineRule="auto"/>
        <w:ind w:left="1181" w:right="0" w:hanging="242"/>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一方严重违约。</w:t>
      </w:r>
    </w:p>
    <w:p>
      <w:pPr>
        <w:pStyle w:val="28"/>
        <w:numPr>
          <w:ilvl w:val="0"/>
          <w:numId w:val="0"/>
        </w:numPr>
        <w:tabs>
          <w:tab w:val="left" w:pos="1182"/>
        </w:tabs>
        <w:spacing w:before="160" w:after="0" w:line="364" w:lineRule="auto"/>
        <w:ind w:right="6463" w:rightChars="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 违约责任</w:t>
      </w:r>
      <w:r>
        <w:rPr>
          <w:rFonts w:hint="eastAsia" w:asciiTheme="minorEastAsia" w:hAnsiTheme="minorEastAsia" w:eastAsiaTheme="minorEastAsia" w:cstheme="minorEastAsia"/>
          <w:b/>
          <w:w w:val="99"/>
          <w:sz w:val="24"/>
          <w:szCs w:val="24"/>
          <w:highlight w:val="none"/>
        </w:rPr>
        <w:t xml:space="preserve"> </w:t>
      </w:r>
    </w:p>
    <w:p>
      <w:pPr>
        <w:pStyle w:val="8"/>
        <w:spacing w:before="1" w:line="364" w:lineRule="auto"/>
        <w:ind w:right="70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（一）甲方未按约定的期限向乙方支付服务费，应在最后付款日的次日起每日按照服务费总额的千分之一向乙方支付违约金，乙方并有权顺延相应工作期限。 </w:t>
      </w:r>
    </w:p>
    <w:p>
      <w:pPr>
        <w:pStyle w:val="8"/>
        <w:spacing w:before="3" w:line="364" w:lineRule="auto"/>
        <w:ind w:right="677"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32"/>
          <w:sz w:val="24"/>
          <w:szCs w:val="24"/>
          <w:highlight w:val="none"/>
        </w:rPr>
        <w:t>）</w:t>
      </w:r>
      <w:r>
        <w:rPr>
          <w:rFonts w:hint="eastAsia" w:asciiTheme="minorEastAsia" w:hAnsiTheme="minorEastAsia" w:eastAsiaTheme="minorEastAsia" w:cstheme="minorEastAsia"/>
          <w:spacing w:val="-6"/>
          <w:sz w:val="24"/>
          <w:szCs w:val="24"/>
          <w:highlight w:val="none"/>
        </w:rPr>
        <w:t>乙方未按合同约定完成委托工作，每逾期一日，按照服务费总额的千</w:t>
      </w:r>
      <w:r>
        <w:rPr>
          <w:rFonts w:hint="eastAsia" w:asciiTheme="minorEastAsia" w:hAnsiTheme="minorEastAsia" w:eastAsiaTheme="minorEastAsia" w:cstheme="minorEastAsia"/>
          <w:spacing w:val="-9"/>
          <w:sz w:val="24"/>
          <w:szCs w:val="24"/>
          <w:highlight w:val="none"/>
        </w:rPr>
        <w:t>分之一向甲方支付违约金，但因甲方未按期提供资料或资金等甲方或第三方原因</w:t>
      </w:r>
      <w:r>
        <w:rPr>
          <w:rFonts w:hint="eastAsia" w:asciiTheme="minorEastAsia" w:hAnsiTheme="minorEastAsia" w:eastAsiaTheme="minorEastAsia" w:cstheme="minorEastAsia"/>
          <w:sz w:val="24"/>
          <w:szCs w:val="24"/>
          <w:highlight w:val="none"/>
        </w:rPr>
        <w:t xml:space="preserve">而导致延误的，不视为乙方违约，可以顺延相应期限。 </w:t>
      </w:r>
    </w:p>
    <w:p>
      <w:pPr>
        <w:pStyle w:val="4"/>
        <w:spacing w:before="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第八条 争议解决和法律适用</w:t>
      </w:r>
      <w:r>
        <w:rPr>
          <w:rFonts w:hint="eastAsia" w:asciiTheme="minorEastAsia" w:hAnsiTheme="minorEastAsia" w:eastAsiaTheme="minorEastAsia" w:cstheme="minorEastAsia"/>
          <w:w w:val="99"/>
          <w:sz w:val="24"/>
          <w:szCs w:val="24"/>
          <w:highlight w:val="none"/>
        </w:rPr>
        <w:t xml:space="preserve"> </w:t>
      </w:r>
    </w:p>
    <w:p>
      <w:pPr>
        <w:pStyle w:val="8"/>
        <w:spacing w:before="161" w:line="364" w:lineRule="auto"/>
        <w:ind w:right="583"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8"/>
        <w:spacing w:before="2" w:line="364" w:lineRule="auto"/>
        <w:ind w:right="68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4"/>
          <w:sz w:val="24"/>
          <w:szCs w:val="24"/>
          <w:highlight w:val="none"/>
        </w:rPr>
        <w:t>所有与合同有关的争议将通过各方友好协商解决。如果不能通过友好</w:t>
      </w:r>
      <w:r>
        <w:rPr>
          <w:rFonts w:hint="eastAsia" w:asciiTheme="minorEastAsia" w:hAnsiTheme="minorEastAsia" w:eastAsiaTheme="minorEastAsia" w:cstheme="minorEastAsia"/>
          <w:spacing w:val="-10"/>
          <w:sz w:val="24"/>
          <w:szCs w:val="24"/>
          <w:highlight w:val="none"/>
        </w:rPr>
        <w:t>协商解决争议，则该争议应提交北京仲裁委员会进行仲裁。仲裁应依据该委员会</w:t>
      </w:r>
      <w:r>
        <w:rPr>
          <w:rFonts w:hint="eastAsia" w:asciiTheme="minorEastAsia" w:hAnsiTheme="minorEastAsia" w:eastAsiaTheme="minorEastAsia" w:cstheme="minorEastAsia"/>
          <w:sz w:val="24"/>
          <w:szCs w:val="24"/>
          <w:highlight w:val="none"/>
        </w:rPr>
        <w:t xml:space="preserve">的仲裁规则和程序进行。 </w:t>
      </w:r>
    </w:p>
    <w:p>
      <w:pPr>
        <w:pStyle w:val="8"/>
        <w:spacing w:before="2"/>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（三）仲裁为终局，对双方均有约束力，仲裁费用由败诉方承担。 </w:t>
      </w:r>
    </w:p>
    <w:p>
      <w:pPr>
        <w:pStyle w:val="8"/>
        <w:spacing w:before="16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（四）仲裁进行过程中，双方将继续执行仲裁部分以外的合同其他部分。 </w:t>
      </w:r>
    </w:p>
    <w:p>
      <w:pPr>
        <w:spacing w:before="160" w:line="364" w:lineRule="auto"/>
        <w:ind w:right="3583"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（五）本合同适用中华人民共和国相关法律。</w:t>
      </w:r>
    </w:p>
    <w:p>
      <w:pPr>
        <w:pStyle w:val="8"/>
        <w:spacing w:before="41"/>
        <w:rPr>
          <w:rFonts w:hint="eastAsia" w:asciiTheme="minorEastAsia" w:hAnsiTheme="minorEastAsia" w:eastAsiaTheme="minorEastAsia" w:cstheme="minorEastAsia"/>
          <w:b/>
          <w:w w:val="99"/>
          <w:sz w:val="24"/>
          <w:szCs w:val="24"/>
          <w:highlight w:val="none"/>
        </w:rPr>
      </w:pPr>
      <w:r>
        <w:rPr>
          <w:rFonts w:hint="eastAsia" w:asciiTheme="minorEastAsia" w:hAnsiTheme="minorEastAsia" w:eastAsiaTheme="minorEastAsia" w:cstheme="minorEastAsia"/>
          <w:b/>
          <w:sz w:val="24"/>
          <w:szCs w:val="24"/>
          <w:highlight w:val="none"/>
        </w:rPr>
        <w:t>第九条 合同的生效、终止及其他</w:t>
      </w:r>
      <w:r>
        <w:rPr>
          <w:rFonts w:hint="eastAsia" w:asciiTheme="minorEastAsia" w:hAnsiTheme="minorEastAsia" w:eastAsiaTheme="minorEastAsia" w:cstheme="minorEastAsia"/>
          <w:b/>
          <w:w w:val="99"/>
          <w:sz w:val="24"/>
          <w:szCs w:val="24"/>
          <w:highlight w:val="none"/>
        </w:rPr>
        <w:t xml:space="preserve"> </w:t>
      </w:r>
    </w:p>
    <w:p>
      <w:pPr>
        <w:pStyle w:val="8"/>
        <w:spacing w:before="4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（一）本合同由双方代表签字盖章后生效。 </w:t>
      </w:r>
    </w:p>
    <w:p>
      <w:pPr>
        <w:pStyle w:val="8"/>
        <w:spacing w:before="160" w:line="364" w:lineRule="auto"/>
        <w:ind w:right="681"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4"/>
          <w:sz w:val="24"/>
          <w:szCs w:val="24"/>
          <w:highlight w:val="none"/>
        </w:rPr>
        <w:t>合同双方同意所有附件是合同不可分割的一部分，与合同正文具有同</w:t>
      </w:r>
      <w:r>
        <w:rPr>
          <w:rFonts w:hint="eastAsia" w:asciiTheme="minorEastAsia" w:hAnsiTheme="minorEastAsia" w:eastAsiaTheme="minorEastAsia" w:cstheme="minorEastAsia"/>
          <w:sz w:val="24"/>
          <w:szCs w:val="24"/>
          <w:highlight w:val="none"/>
        </w:rPr>
        <w:t xml:space="preserve">等效力。若附件与合同正文有任何不一致，以合同正文为准。 </w:t>
      </w:r>
    </w:p>
    <w:p>
      <w:pPr>
        <w:pStyle w:val="8"/>
        <w:spacing w:before="2"/>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（三）本合同及其附件为中文文本，一式四份，甲乙双方各执两份。 </w:t>
      </w:r>
    </w:p>
    <w:p>
      <w:pPr>
        <w:pStyle w:val="8"/>
        <w:spacing w:before="160" w:line="364" w:lineRule="auto"/>
        <w:ind w:right="681"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pacing w:val="-4"/>
          <w:sz w:val="24"/>
          <w:szCs w:val="24"/>
          <w:highlight w:val="none"/>
        </w:rPr>
        <w:t>对合同内容做出的任何修改和补充应为书面形式，由双方授权代表签</w:t>
      </w:r>
      <w:r>
        <w:rPr>
          <w:rFonts w:hint="eastAsia" w:asciiTheme="minorEastAsia" w:hAnsiTheme="minorEastAsia" w:eastAsiaTheme="minorEastAsia" w:cstheme="minorEastAsia"/>
          <w:sz w:val="24"/>
          <w:szCs w:val="24"/>
          <w:highlight w:val="none"/>
        </w:rPr>
        <w:t xml:space="preserve">字后成为合同不可分割的部分。 </w:t>
      </w:r>
    </w:p>
    <w:p>
      <w:pPr>
        <w:pStyle w:val="8"/>
        <w:spacing w:before="1" w:line="364" w:lineRule="auto"/>
        <w:ind w:right="67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pacing w:val="-1"/>
          <w:sz w:val="24"/>
          <w:szCs w:val="24"/>
          <w:highlight w:val="none"/>
        </w:rPr>
        <w:t>任何与合同相关但未在合同中明确规定的事项将由双方友好协商并以</w:t>
      </w:r>
      <w:r>
        <w:rPr>
          <w:rFonts w:hint="eastAsia" w:asciiTheme="minorEastAsia" w:hAnsiTheme="minorEastAsia" w:eastAsiaTheme="minorEastAsia" w:cstheme="minorEastAsia"/>
          <w:sz w:val="24"/>
          <w:szCs w:val="24"/>
          <w:highlight w:val="none"/>
        </w:rPr>
        <w:t xml:space="preserve">补充协议予以解决。 </w:t>
      </w:r>
    </w:p>
    <w:p>
      <w:pPr>
        <w:pStyle w:val="8"/>
        <w:spacing w:before="2"/>
        <w:ind w:left="9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[以下无正文，供双方签字盖章] </w:t>
      </w:r>
    </w:p>
    <w:p>
      <w:pPr>
        <w:pStyle w:val="8"/>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甲方（公章</w:t>
      </w:r>
      <w:r>
        <w:rPr>
          <w:rFonts w:hint="eastAsia" w:asciiTheme="minorEastAsia" w:hAnsiTheme="minorEastAsia" w:eastAsiaTheme="minorEastAsia" w:cstheme="minorEastAsia"/>
          <w:spacing w:val="-120"/>
          <w:sz w:val="24"/>
          <w:szCs w:val="24"/>
          <w:highlight w:val="none"/>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highlight w:val="none"/>
        </w:rPr>
        <w:t xml:space="preserve">                             乙方</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pacing w:val="-120"/>
          <w:sz w:val="24"/>
          <w:szCs w:val="24"/>
          <w:highlight w:val="none"/>
        </w:rPr>
        <w:t>）</w:t>
      </w:r>
      <w:r>
        <w:rPr>
          <w:rFonts w:hint="eastAsia" w:asciiTheme="minorEastAsia" w:hAnsiTheme="minorEastAsia" w:eastAsiaTheme="minorEastAsia" w:cstheme="minorEastAsia"/>
          <w:sz w:val="24"/>
          <w:szCs w:val="24"/>
          <w:highlight w:val="none"/>
        </w:rPr>
        <w:t xml:space="preserve">） </w:t>
      </w:r>
    </w:p>
    <w:p>
      <w:pPr>
        <w:pStyle w:val="8"/>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 定 代 表 人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法 定 代 表 人 ：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(或授权代表人)签字：</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(或授权代表)签字： </w:t>
      </w:r>
    </w:p>
    <w:p>
      <w:pPr>
        <w:pStyle w:val="8"/>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8"/>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highlight w:val="none"/>
        </w:rPr>
        <w:t>日 期 ：202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pacing w:val="59"/>
          <w:sz w:val="24"/>
          <w:szCs w:val="24"/>
          <w:highlight w:val="none"/>
        </w:rPr>
        <w:t xml:space="preserve"> </w:t>
      </w:r>
      <w:r>
        <w:rPr>
          <w:rFonts w:hint="eastAsia" w:asciiTheme="minorEastAsia" w:hAnsiTheme="minorEastAsia" w:eastAsiaTheme="minorEastAsia" w:cstheme="minorEastAsia"/>
          <w:sz w:val="24"/>
          <w:szCs w:val="24"/>
          <w:highlight w:val="none"/>
        </w:rPr>
        <w:t>月    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期 ：202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 月</w:t>
      </w:r>
      <w:r>
        <w:rPr>
          <w:rFonts w:hint="eastAsia" w:asciiTheme="minorEastAsia" w:hAnsiTheme="minorEastAsia" w:eastAsiaTheme="minorEastAsia" w:cstheme="minorEastAsia"/>
          <w:spacing w:val="60"/>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宋体" w:hAnsi="宋体" w:eastAsia="宋体" w:cs="宋体"/>
          <w:kern w:val="0"/>
          <w:sz w:val="24"/>
          <w:szCs w:val="24"/>
          <w:highlight w:val="none"/>
        </w:rPr>
        <w:br w:type="page"/>
      </w:r>
      <w:bookmarkStart w:id="73" w:name="_Toc8733"/>
    </w:p>
    <w:p>
      <w:pPr>
        <w:pStyle w:val="8"/>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7"/>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7"/>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8"/>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8"/>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）办公场所证明（复印件加盖公章）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）其他证明材料（复印件加盖公章）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8"/>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8"/>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注：1.请投标供应商按照以下文件的要求格式、内容，顺序制作投标文件，并请编制目录及页码，否则可能将影响对投标文件的评价。</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2.按以下顺序装订：</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 xml:space="preserve">2.1 </w:t>
      </w:r>
      <w:r>
        <w:rPr>
          <w:rFonts w:hint="eastAsia" w:ascii="宋体" w:hAnsi="宋体" w:eastAsia="宋体" w:cs="宋体"/>
          <w:highlight w:val="none"/>
          <w:lang w:eastAsia="zh-CN"/>
        </w:rPr>
        <w:t>报价</w:t>
      </w:r>
      <w:r>
        <w:rPr>
          <w:rFonts w:hint="eastAsia" w:ascii="宋体" w:hAnsi="宋体" w:eastAsia="宋体" w:cs="宋体"/>
          <w:highlight w:val="none"/>
        </w:rPr>
        <w:t>一览表</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2.2 投标保证金交纳凭证</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2.3 法定代表人/负责人资格证明书及身份证复印件</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2.4 委托授权书及被授权人身份证复印件</w:t>
      </w:r>
    </w:p>
    <w:p>
      <w:pPr>
        <w:pStyle w:val="8"/>
        <w:kinsoku w:val="0"/>
        <w:overflowPunct w:val="0"/>
        <w:spacing w:before="130" w:line="360" w:lineRule="exact"/>
        <w:ind w:left="119" w:right="6" w:firstLine="480"/>
        <w:rPr>
          <w:rFonts w:hint="eastAsia" w:ascii="宋体" w:hAnsi="宋体" w:eastAsia="宋体" w:cs="宋体"/>
          <w:spacing w:val="4"/>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pStyle w:val="23"/>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8"/>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5"/>
          <w:szCs w:val="25"/>
          <w:highlight w:val="none"/>
        </w:rPr>
      </w:pPr>
    </w:p>
    <w:p>
      <w:pPr>
        <w:pStyle w:val="8"/>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8"/>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sz w:val="4"/>
          <w:szCs w:val="4"/>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1"/>
        <w:ind w:left="0"/>
        <w:rPr>
          <w:rFonts w:hint="eastAsia" w:ascii="宋体" w:hAnsi="宋体" w:eastAsia="宋体" w:cs="宋体"/>
          <w:sz w:val="19"/>
          <w:szCs w:val="19"/>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0"/>
          <w:szCs w:val="20"/>
          <w:highlight w:val="none"/>
        </w:rPr>
      </w:pPr>
    </w:p>
    <w:p>
      <w:pPr>
        <w:pStyle w:val="8"/>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8"/>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8"/>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8"/>
        <w:kinsoku w:val="0"/>
        <w:overflowPunct w:val="0"/>
        <w:spacing w:before="7"/>
        <w:ind w:left="0"/>
        <w:rPr>
          <w:rFonts w:hint="eastAsia" w:ascii="宋体" w:hAnsi="宋体" w:eastAsia="宋体" w:cs="宋体"/>
          <w:sz w:val="22"/>
          <w:szCs w:val="22"/>
          <w:highlight w:val="none"/>
        </w:rPr>
      </w:pPr>
    </w:p>
    <w:p>
      <w:pPr>
        <w:pStyle w:val="8"/>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5"/>
        <w:ind w:left="0"/>
        <w:rPr>
          <w:rFonts w:hint="eastAsia" w:ascii="宋体" w:hAnsi="宋体" w:eastAsia="宋体" w:cs="宋体"/>
          <w:sz w:val="25"/>
          <w:szCs w:val="25"/>
          <w:highlight w:val="none"/>
        </w:rPr>
      </w:pPr>
    </w:p>
    <w:p>
      <w:pPr>
        <w:pStyle w:val="8"/>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spacing w:val="1"/>
          <w:sz w:val="21"/>
          <w:szCs w:val="21"/>
          <w:highlight w:val="none"/>
        </w:rPr>
      </w:pPr>
    </w:p>
    <w:p>
      <w:pPr>
        <w:pStyle w:val="8"/>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8"/>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8"/>
        <w:rPr>
          <w:rFonts w:hint="eastAsia"/>
          <w:highlight w:val="none"/>
        </w:rPr>
      </w:pPr>
    </w:p>
    <w:tbl>
      <w:tblPr>
        <w:tblStyle w:val="16"/>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rPr>
            </w:pPr>
            <w:r>
              <w:rPr>
                <w:b/>
                <w:bCs/>
                <w:sz w:val="24"/>
                <w:highlight w:val="none"/>
              </w:rPr>
              <w:t>服务期限</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cs="宋体"/>
                <w:b w:val="0"/>
                <w:bCs w:val="0"/>
                <w:i w:val="0"/>
                <w:iCs w:val="0"/>
                <w:sz w:val="24"/>
                <w:szCs w:val="24"/>
                <w:highlight w:val="none"/>
                <w:lang w:val="en-US" w:eastAsia="zh-CN"/>
              </w:rPr>
              <w:t>2021年11月初-2022年3月1日。</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（大写）人民币                      元整（￥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rPr>
            </w:pP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rPr>
        <w:t>总报价中必须包含劳务、管理、差旅、食宿、政策性文件规定及合同包含的应有风险、责任等其他应有费用</w:t>
      </w:r>
      <w:r>
        <w:rPr>
          <w:rFonts w:hint="eastAsia" w:ascii="宋体" w:hAnsi="宋体" w:cs="宋体"/>
          <w:kern w:val="0"/>
          <w:sz w:val="24"/>
          <w:szCs w:val="24"/>
          <w:highlight w:val="none"/>
          <w:lang w:eastAsia="zh-CN"/>
        </w:rPr>
        <w:t>及</w:t>
      </w:r>
      <w:r>
        <w:rPr>
          <w:rFonts w:hint="eastAsia" w:ascii="宋体" w:hAnsi="宋体" w:eastAsia="宋体" w:cs="宋体"/>
          <w:kern w:val="0"/>
          <w:sz w:val="24"/>
          <w:szCs w:val="24"/>
          <w:highlight w:val="none"/>
        </w:rPr>
        <w:t>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8"/>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8"/>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制造商</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节能</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rPr>
        <w:tab/>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w:t>
      </w:r>
      <w:r>
        <w:rPr>
          <w:rFonts w:hint="eastAsia" w:ascii="宋体" w:hAnsi="宋体" w:eastAsia="宋体" w:cs="宋体"/>
          <w:b/>
          <w:bCs/>
          <w:kern w:val="0"/>
          <w:sz w:val="24"/>
          <w:szCs w:val="24"/>
          <w:highlight w:val="none"/>
        </w:rPr>
        <w:tab/>
      </w:r>
      <w:r>
        <w:rPr>
          <w:rFonts w:hint="eastAsia" w:ascii="宋体" w:hAnsi="宋体" w:eastAsia="宋体" w:cs="宋体"/>
          <w:b/>
          <w:bCs/>
          <w:kern w:val="0"/>
          <w:sz w:val="24"/>
          <w:szCs w:val="24"/>
          <w:highlight w:val="none"/>
        </w:rPr>
        <w:t>“节能产品、环保标志产品”是属于国家行业主管部门颁布的清单目录中的产品，须填写认证证书编号，并在“节能产品”、“环保标志产品”栏中填写属于“第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8"/>
        <w:tabs>
          <w:tab w:val="left" w:pos="8227"/>
        </w:tabs>
        <w:kinsoku w:val="0"/>
        <w:overflowPunct w:val="0"/>
        <w:spacing w:before="0" w:line="381" w:lineRule="auto"/>
        <w:ind w:left="4027" w:right="118"/>
        <w:rPr>
          <w:rFonts w:hint="eastAsia" w:ascii="宋体" w:hAnsi="宋体" w:eastAsia="宋体" w:cs="宋体"/>
          <w:b/>
          <w:bCs/>
          <w:highlight w:val="none"/>
        </w:rPr>
      </w:pPr>
    </w:p>
    <w:p>
      <w:pPr>
        <w:pStyle w:val="8"/>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8"/>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8"/>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8"/>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8"/>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8"/>
        <w:kinsoku w:val="0"/>
        <w:overflowPunct w:val="0"/>
        <w:spacing w:before="5"/>
        <w:ind w:left="0"/>
        <w:rPr>
          <w:rFonts w:hint="eastAsia" w:ascii="宋体" w:hAnsi="宋体" w:eastAsia="宋体" w:cs="宋体"/>
          <w:b/>
          <w:bCs/>
          <w:sz w:val="6"/>
          <w:szCs w:val="6"/>
          <w:highlight w:val="none"/>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宋体" w:hAnsi="宋体" w:eastAsia="宋体" w:cs="宋体"/>
                <w:b/>
                <w:bCs/>
                <w:sz w:val="20"/>
                <w:szCs w:val="20"/>
                <w:highlight w:val="none"/>
              </w:rPr>
            </w:pPr>
          </w:p>
          <w:p>
            <w:pPr>
              <w:pStyle w:val="20"/>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4"/>
              <w:rPr>
                <w:rFonts w:hint="eastAsia" w:ascii="宋体" w:hAnsi="宋体" w:eastAsia="宋体" w:cs="宋体"/>
                <w:b/>
                <w:bCs/>
                <w:sz w:val="20"/>
                <w:szCs w:val="20"/>
                <w:highlight w:val="none"/>
              </w:rPr>
            </w:pPr>
          </w:p>
          <w:p>
            <w:pPr>
              <w:pStyle w:val="20"/>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宋体" w:hAnsi="宋体" w:eastAsia="宋体" w:cs="宋体"/>
                <w:b/>
                <w:bCs/>
                <w:highlight w:val="none"/>
              </w:rPr>
            </w:pPr>
          </w:p>
          <w:p>
            <w:pPr>
              <w:pStyle w:val="20"/>
              <w:kinsoku w:val="0"/>
              <w:overflowPunct w:val="0"/>
              <w:rPr>
                <w:rFonts w:hint="eastAsia" w:ascii="宋体" w:hAnsi="宋体" w:eastAsia="宋体" w:cs="宋体"/>
                <w:b/>
                <w:bCs/>
                <w:highlight w:val="none"/>
              </w:rPr>
            </w:pPr>
          </w:p>
          <w:p>
            <w:pPr>
              <w:pStyle w:val="20"/>
              <w:kinsoku w:val="0"/>
              <w:overflowPunct w:val="0"/>
              <w:rPr>
                <w:rFonts w:hint="eastAsia" w:ascii="宋体" w:hAnsi="宋体" w:eastAsia="宋体" w:cs="宋体"/>
                <w:b/>
                <w:bCs/>
                <w:highlight w:val="none"/>
              </w:rPr>
            </w:pPr>
          </w:p>
          <w:p>
            <w:pPr>
              <w:pStyle w:val="20"/>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0"/>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0"/>
              <w:kinsoku w:val="0"/>
              <w:overflowPunct w:val="0"/>
              <w:rPr>
                <w:rFonts w:hint="eastAsia" w:ascii="宋体" w:hAnsi="宋体" w:eastAsia="宋体" w:cs="宋体"/>
                <w:b/>
                <w:bCs/>
                <w:highlight w:val="none"/>
              </w:rPr>
            </w:pPr>
          </w:p>
          <w:p>
            <w:pPr>
              <w:pStyle w:val="20"/>
              <w:kinsoku w:val="0"/>
              <w:overflowPunct w:val="0"/>
              <w:spacing w:before="1"/>
              <w:rPr>
                <w:rFonts w:hint="eastAsia" w:ascii="宋体" w:hAnsi="宋体" w:eastAsia="宋体" w:cs="宋体"/>
                <w:b/>
                <w:bCs/>
                <w:sz w:val="23"/>
                <w:szCs w:val="23"/>
                <w:highlight w:val="none"/>
              </w:rPr>
            </w:pPr>
          </w:p>
          <w:p>
            <w:pPr>
              <w:pStyle w:val="20"/>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8"/>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8"/>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19</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或2020年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p>
    <w:p>
      <w:pPr>
        <w:numPr>
          <w:ilvl w:val="0"/>
          <w:numId w:val="7"/>
        </w:numPr>
        <w:spacing w:line="360" w:lineRule="auto"/>
        <w:ind w:firstLine="480"/>
        <w:rPr>
          <w:rFonts w:hint="eastAsia" w:ascii="宋体" w:hAnsi="宋体" w:eastAsia="宋体" w:cs="宋体"/>
          <w:highlight w:val="none"/>
        </w:rPr>
      </w:pPr>
      <w:r>
        <w:rPr>
          <w:rFonts w:hint="eastAsia" w:ascii="宋体" w:hAnsi="宋体" w:eastAsia="宋体" w:cs="宋体"/>
          <w:color w:val="000000"/>
          <w:kern w:val="0"/>
          <w:sz w:val="24"/>
          <w:highlight w:val="none"/>
        </w:rPr>
        <w:t>投标人成立不到1年的，提供季度或月份有关财务报表原件（不需审计）。</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（3）公益类事业单位、自然人无需提供。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pStyle w:val="2"/>
        <w:rPr>
          <w:rFonts w:hint="eastAsia"/>
          <w:highlight w:val="none"/>
        </w:rPr>
      </w:pPr>
    </w:p>
    <w:p>
      <w:pPr>
        <w:rPr>
          <w:rFonts w:hint="eastAsia"/>
          <w:highlight w:val="none"/>
        </w:rPr>
      </w:pPr>
    </w:p>
    <w:p>
      <w:pPr>
        <w:pStyle w:val="9"/>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highlight w:val="none"/>
        </w:rPr>
        <w:t>（四）</w:t>
      </w:r>
      <w:r>
        <w:rPr>
          <w:rFonts w:hint="eastAsia" w:ascii="宋体" w:hAnsi="宋体" w:eastAsia="宋体" w:cs="宋体"/>
          <w:b/>
          <w:bCs/>
          <w:kern w:val="0"/>
          <w:sz w:val="24"/>
          <w:szCs w:val="24"/>
          <w:highlight w:val="none"/>
          <w:lang w:val="en-US" w:eastAsia="zh-CN" w:bidi="ar-SA"/>
        </w:rPr>
        <w:t>税收缴纳证明</w:t>
      </w:r>
    </w:p>
    <w:p>
      <w:pPr>
        <w:pStyle w:val="9"/>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highlight w:val="none"/>
        </w:rPr>
        <w:t>（</w:t>
      </w:r>
      <w:r>
        <w:rPr>
          <w:rFonts w:hint="eastAsia" w:hAnsi="宋体" w:cs="宋体"/>
          <w:b/>
          <w:bCs/>
          <w:highlight w:val="none"/>
          <w:lang w:eastAsia="zh-CN"/>
        </w:rPr>
        <w:t>五</w:t>
      </w:r>
      <w:r>
        <w:rPr>
          <w:rFonts w:hint="eastAsia" w:ascii="宋体" w:hAnsi="宋体" w:eastAsia="宋体" w:cs="宋体"/>
          <w:b/>
          <w:bCs/>
          <w:highlight w:val="none"/>
        </w:rPr>
        <w:t>）</w:t>
      </w:r>
      <w:r>
        <w:rPr>
          <w:rFonts w:hint="eastAsia" w:ascii="宋体" w:hAnsi="宋体" w:eastAsia="宋体" w:cs="宋体"/>
          <w:b/>
          <w:bCs/>
          <w:kern w:val="0"/>
          <w:sz w:val="24"/>
          <w:szCs w:val="24"/>
          <w:highlight w:val="none"/>
          <w:lang w:val="en-US" w:eastAsia="zh-CN" w:bidi="ar-SA"/>
        </w:rPr>
        <w:t>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9"/>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highlight w:val="none"/>
        </w:rPr>
        <w:t>（</w:t>
      </w:r>
      <w:r>
        <w:rPr>
          <w:rFonts w:hint="eastAsia" w:hAnsi="宋体" w:cs="宋体"/>
          <w:b/>
          <w:bCs/>
          <w:highlight w:val="none"/>
          <w:lang w:eastAsia="zh-CN"/>
        </w:rPr>
        <w:t>六</w:t>
      </w:r>
      <w:r>
        <w:rPr>
          <w:rFonts w:hint="eastAsia" w:ascii="宋体" w:hAnsi="宋体" w:eastAsia="宋体" w:cs="宋体"/>
          <w:b/>
          <w:bCs/>
          <w:highlight w:val="none"/>
        </w:rPr>
        <w:t>）</w:t>
      </w:r>
      <w:r>
        <w:rPr>
          <w:rFonts w:hint="eastAsia" w:ascii="宋体" w:hAnsi="宋体" w:eastAsia="宋体" w:cs="宋体"/>
          <w:b/>
          <w:bCs/>
          <w:kern w:val="0"/>
          <w:sz w:val="24"/>
          <w:szCs w:val="24"/>
          <w:highlight w:val="none"/>
          <w:lang w:val="en-US" w:eastAsia="zh-CN" w:bidi="ar-SA"/>
        </w:rPr>
        <w:t>其他证明材料</w:t>
      </w:r>
    </w:p>
    <w:p>
      <w:pPr>
        <w:pStyle w:val="2"/>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参加政府采购活动前三年内，在经营活动中没有重大违法记录；近三年经营活动中没有重大违法记录声明函</w:t>
      </w:r>
    </w:p>
    <w:p>
      <w:pPr>
        <w:pStyle w:val="2"/>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2"/>
        <w:ind w:firstLine="560"/>
        <w:rPr>
          <w:rFonts w:hint="eastAsia" w:ascii="宋体" w:hAnsi="宋体" w:eastAsia="宋体" w:cs="宋体"/>
          <w:color w:val="000000"/>
          <w:kern w:val="0"/>
          <w:sz w:val="28"/>
          <w:szCs w:val="28"/>
          <w:highlight w:val="none"/>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13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269"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13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134"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8"/>
        <w:kinsoku w:val="0"/>
        <w:overflowPunct w:val="0"/>
        <w:spacing w:before="34" w:line="357" w:lineRule="auto"/>
        <w:ind w:right="126" w:firstLine="480"/>
        <w:jc w:val="center"/>
        <w:rPr>
          <w:rFonts w:hint="eastAsia" w:ascii="宋体" w:hAnsi="宋体" w:eastAsia="宋体" w:cs="宋体"/>
          <w:sz w:val="18"/>
          <w:szCs w:val="18"/>
          <w:highlight w:val="none"/>
        </w:rPr>
      </w:pPr>
    </w:p>
    <w:p>
      <w:pPr>
        <w:pStyle w:val="8"/>
        <w:tabs>
          <w:tab w:val="left" w:pos="6736"/>
        </w:tabs>
        <w:kinsoku w:val="0"/>
        <w:overflowPunct w:val="0"/>
        <w:spacing w:before="26" w:line="337" w:lineRule="auto"/>
        <w:ind w:right="1526" w:firstLine="3927" w:firstLineChars="16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6736"/>
        </w:tabs>
        <w:kinsoku w:val="0"/>
        <w:overflowPunct w:val="0"/>
        <w:spacing w:before="26" w:line="337" w:lineRule="auto"/>
        <w:ind w:right="1526" w:firstLine="2499" w:firstLineChars="10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418"/>
          <w:tab w:val="left" w:pos="6258"/>
          <w:tab w:val="left" w:pos="7098"/>
        </w:tabs>
        <w:kinsoku w:val="0"/>
        <w:overflowPunct w:val="0"/>
        <w:spacing w:before="26"/>
        <w:ind w:left="4697"/>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numPr>
          <w:ilvl w:val="0"/>
          <w:numId w:val="8"/>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8</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10</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sz w:val="20"/>
          <w:szCs w:val="2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014"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13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80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014" w:type="dxa"/>
            <w:noWrap w:val="0"/>
            <w:vAlign w:val="center"/>
          </w:tcPr>
          <w:p>
            <w:pPr>
              <w:jc w:val="center"/>
              <w:rPr>
                <w:rFonts w:hint="eastAsia" w:ascii="宋体" w:hAnsi="宋体" w:eastAsia="宋体" w:cs="宋体"/>
                <w:spacing w:val="-1"/>
                <w:kern w:val="0"/>
                <w:sz w:val="24"/>
                <w:szCs w:val="24"/>
                <w:highlight w:val="none"/>
              </w:rPr>
            </w:pPr>
          </w:p>
        </w:tc>
        <w:tc>
          <w:tcPr>
            <w:tcW w:w="1133" w:type="dxa"/>
            <w:noWrap w:val="0"/>
            <w:vAlign w:val="center"/>
          </w:tcPr>
          <w:p>
            <w:pPr>
              <w:jc w:val="center"/>
              <w:rPr>
                <w:rFonts w:hint="eastAsia" w:ascii="宋体" w:hAnsi="宋体" w:eastAsia="宋体" w:cs="宋体"/>
                <w:spacing w:val="-1"/>
                <w:kern w:val="0"/>
                <w:sz w:val="24"/>
                <w:szCs w:val="24"/>
                <w:highlight w:val="none"/>
              </w:rPr>
            </w:pPr>
          </w:p>
        </w:tc>
        <w:tc>
          <w:tcPr>
            <w:tcW w:w="180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014" w:type="dxa"/>
            <w:noWrap w:val="0"/>
            <w:vAlign w:val="center"/>
          </w:tcPr>
          <w:p>
            <w:pPr>
              <w:jc w:val="center"/>
              <w:rPr>
                <w:rFonts w:hint="eastAsia" w:ascii="宋体" w:hAnsi="宋体" w:eastAsia="宋体" w:cs="宋体"/>
                <w:spacing w:val="-1"/>
                <w:kern w:val="0"/>
                <w:sz w:val="24"/>
                <w:szCs w:val="24"/>
                <w:highlight w:val="none"/>
              </w:rPr>
            </w:pPr>
          </w:p>
        </w:tc>
        <w:tc>
          <w:tcPr>
            <w:tcW w:w="1133" w:type="dxa"/>
            <w:noWrap w:val="0"/>
            <w:vAlign w:val="center"/>
          </w:tcPr>
          <w:p>
            <w:pPr>
              <w:jc w:val="center"/>
              <w:rPr>
                <w:rFonts w:hint="eastAsia" w:ascii="宋体" w:hAnsi="宋体" w:eastAsia="宋体" w:cs="宋体"/>
                <w:spacing w:val="-1"/>
                <w:kern w:val="0"/>
                <w:sz w:val="24"/>
                <w:szCs w:val="24"/>
                <w:highlight w:val="none"/>
              </w:rPr>
            </w:pPr>
          </w:p>
        </w:tc>
        <w:tc>
          <w:tcPr>
            <w:tcW w:w="180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014" w:type="dxa"/>
            <w:noWrap w:val="0"/>
            <w:vAlign w:val="center"/>
          </w:tcPr>
          <w:p>
            <w:pPr>
              <w:jc w:val="center"/>
              <w:rPr>
                <w:rFonts w:hint="eastAsia" w:ascii="宋体" w:hAnsi="宋体" w:eastAsia="宋体" w:cs="宋体"/>
                <w:spacing w:val="-1"/>
                <w:kern w:val="0"/>
                <w:sz w:val="24"/>
                <w:szCs w:val="24"/>
                <w:highlight w:val="none"/>
              </w:rPr>
            </w:pPr>
          </w:p>
        </w:tc>
        <w:tc>
          <w:tcPr>
            <w:tcW w:w="1133" w:type="dxa"/>
            <w:noWrap w:val="0"/>
            <w:vAlign w:val="center"/>
          </w:tcPr>
          <w:p>
            <w:pPr>
              <w:jc w:val="center"/>
              <w:rPr>
                <w:rFonts w:hint="eastAsia" w:ascii="宋体" w:hAnsi="宋体" w:eastAsia="宋体" w:cs="宋体"/>
                <w:spacing w:val="-1"/>
                <w:kern w:val="0"/>
                <w:sz w:val="24"/>
                <w:szCs w:val="24"/>
                <w:highlight w:val="none"/>
              </w:rPr>
            </w:pPr>
          </w:p>
        </w:tc>
        <w:tc>
          <w:tcPr>
            <w:tcW w:w="180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014" w:type="dxa"/>
            <w:noWrap w:val="0"/>
            <w:vAlign w:val="center"/>
          </w:tcPr>
          <w:p>
            <w:pPr>
              <w:jc w:val="center"/>
              <w:rPr>
                <w:rFonts w:hint="eastAsia" w:ascii="宋体" w:hAnsi="宋体" w:eastAsia="宋体" w:cs="宋体"/>
                <w:spacing w:val="-1"/>
                <w:kern w:val="0"/>
                <w:sz w:val="24"/>
                <w:szCs w:val="24"/>
                <w:highlight w:val="none"/>
              </w:rPr>
            </w:pPr>
          </w:p>
        </w:tc>
        <w:tc>
          <w:tcPr>
            <w:tcW w:w="1133" w:type="dxa"/>
            <w:noWrap w:val="0"/>
            <w:vAlign w:val="center"/>
          </w:tcPr>
          <w:p>
            <w:pPr>
              <w:jc w:val="center"/>
              <w:rPr>
                <w:rFonts w:hint="eastAsia" w:ascii="宋体" w:hAnsi="宋体" w:eastAsia="宋体" w:cs="宋体"/>
                <w:spacing w:val="-1"/>
                <w:kern w:val="0"/>
                <w:sz w:val="24"/>
                <w:szCs w:val="24"/>
                <w:highlight w:val="none"/>
              </w:rPr>
            </w:pPr>
          </w:p>
        </w:tc>
        <w:tc>
          <w:tcPr>
            <w:tcW w:w="1808"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10"/>
        <w:ind w:left="0"/>
        <w:rPr>
          <w:rFonts w:hint="eastAsia" w:ascii="宋体" w:hAnsi="宋体" w:eastAsia="宋体" w:cs="宋体"/>
          <w:sz w:val="29"/>
          <w:szCs w:val="29"/>
          <w:highlight w:val="none"/>
        </w:rPr>
      </w:pPr>
    </w:p>
    <w:p>
      <w:pPr>
        <w:pStyle w:val="8"/>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8"/>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8"/>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8"/>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4"/>
          <w:highlight w:val="none"/>
        </w:rPr>
        <w:t>3.提交本声明函的投标人必须在谈判响应性文件中提供相应的证明材料并对材料</w:t>
      </w:r>
      <w:r>
        <w:rPr>
          <w:rFonts w:hint="eastAsia" w:ascii="宋体" w:hAnsi="宋体" w:eastAsia="宋体" w:cs="宋体"/>
          <w:spacing w:val="50"/>
          <w:highlight w:val="none"/>
        </w:rPr>
        <w:t xml:space="preserve"> </w:t>
      </w:r>
      <w:r>
        <w:rPr>
          <w:rFonts w:hint="eastAsia" w:ascii="宋体" w:hAnsi="宋体" w:eastAsia="宋体" w:cs="宋体"/>
          <w:spacing w:val="-2"/>
          <w:highlight w:val="none"/>
        </w:rPr>
        <w:t>的真实性负法律责任。证明材料包括：上一年度及上一月的财务报表；从业人员名单及</w:t>
      </w:r>
      <w:r>
        <w:rPr>
          <w:rFonts w:hint="eastAsia" w:ascii="宋体" w:hAnsi="宋体" w:eastAsia="宋体" w:cs="宋体"/>
          <w:spacing w:val="55"/>
          <w:highlight w:val="none"/>
        </w:rPr>
        <w:t xml:space="preserve"> </w:t>
      </w:r>
      <w:r>
        <w:rPr>
          <w:rFonts w:hint="eastAsia" w:ascii="宋体" w:hAnsi="宋体" w:eastAsia="宋体" w:cs="宋体"/>
          <w:highlight w:val="none"/>
        </w:rPr>
        <w:t>工资发放明细表。</w:t>
      </w:r>
    </w:p>
    <w:p>
      <w:pPr>
        <w:pStyle w:val="8"/>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9"/>
        <w:ind w:left="0"/>
        <w:rPr>
          <w:rFonts w:hint="eastAsia" w:ascii="宋体" w:hAnsi="宋体" w:eastAsia="宋体" w:cs="宋体"/>
          <w:sz w:val="19"/>
          <w:szCs w:val="19"/>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11"/>
        <w:ind w:left="0"/>
        <w:rPr>
          <w:rFonts w:hint="eastAsia" w:ascii="宋体" w:hAnsi="宋体" w:eastAsia="宋体" w:cs="宋体"/>
          <w:sz w:val="9"/>
          <w:szCs w:val="9"/>
          <w:highlight w:val="none"/>
        </w:rPr>
      </w:pPr>
    </w:p>
    <w:p>
      <w:pPr>
        <w:pStyle w:val="8"/>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w:t>
      </w:r>
      <w:r>
        <w:rPr>
          <w:rFonts w:hint="eastAsia" w:ascii="宋体" w:hAnsi="宋体" w:eastAsia="宋体" w:cs="宋体"/>
          <w:spacing w:val="22"/>
          <w:w w:val="99"/>
          <w:sz w:val="21"/>
          <w:szCs w:val="21"/>
          <w:highlight w:val="none"/>
        </w:rPr>
        <w:t xml:space="preserve"> </w:t>
      </w:r>
      <w:r>
        <w:rPr>
          <w:rFonts w:hint="eastAsia" w:ascii="宋体" w:hAnsi="宋体" w:eastAsia="宋体" w:cs="宋体"/>
          <w:spacing w:val="10"/>
          <w:sz w:val="21"/>
          <w:szCs w:val="21"/>
          <w:highlight w:val="none"/>
        </w:rPr>
        <w:t>于印发中小企业划型标准规定的通知》（工信部联企业[2011]300</w:t>
      </w:r>
      <w:r>
        <w:rPr>
          <w:rFonts w:hint="eastAsia" w:ascii="宋体" w:hAnsi="宋体" w:eastAsia="宋体" w:cs="宋体"/>
          <w:spacing w:val="-73"/>
          <w:sz w:val="21"/>
          <w:szCs w:val="21"/>
          <w:highlight w:val="none"/>
        </w:rPr>
        <w:t xml:space="preserve"> </w:t>
      </w:r>
      <w:r>
        <w:rPr>
          <w:rFonts w:hint="eastAsia" w:ascii="宋体" w:hAnsi="宋体" w:eastAsia="宋体" w:cs="宋体"/>
          <w:spacing w:val="12"/>
          <w:sz w:val="21"/>
          <w:szCs w:val="21"/>
          <w:highlight w:val="none"/>
        </w:rPr>
        <w:t>号）和《财政部工业和信息</w:t>
      </w:r>
      <w:r>
        <w:rPr>
          <w:rFonts w:hint="eastAsia" w:ascii="宋体" w:hAnsi="宋体" w:eastAsia="宋体" w:cs="宋体"/>
          <w:spacing w:val="62"/>
          <w:w w:val="99"/>
          <w:sz w:val="21"/>
          <w:szCs w:val="21"/>
          <w:highlight w:val="none"/>
        </w:rPr>
        <w:t xml:space="preserve"> </w:t>
      </w:r>
      <w:r>
        <w:rPr>
          <w:rFonts w:hint="eastAsia" w:ascii="宋体" w:hAnsi="宋体" w:eastAsia="宋体" w:cs="宋体"/>
          <w:w w:val="95"/>
          <w:sz w:val="21"/>
          <w:szCs w:val="21"/>
          <w:highlight w:val="none"/>
        </w:rPr>
        <w:t>化部关于印发《政府采购促进中小企业发展管理办法》（财库﹝2020﹞46 号）相关规定。</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8"/>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8"/>
        <w:kinsoku w:val="0"/>
        <w:overflowPunct w:val="0"/>
        <w:spacing w:before="1" w:line="237" w:lineRule="auto"/>
        <w:ind w:right="118"/>
        <w:rPr>
          <w:rFonts w:hint="eastAsia" w:ascii="宋体" w:hAnsi="宋体" w:eastAsia="宋体" w:cs="宋体"/>
          <w:highlight w:val="none"/>
        </w:rPr>
      </w:pPr>
      <w:r>
        <w:rPr>
          <w:rFonts w:hint="eastAsia" w:ascii="宋体" w:hAnsi="宋体" w:eastAsia="宋体" w:cs="宋体"/>
          <w:highlight w:val="none"/>
        </w:rPr>
        <w:t>1.填写前请认真阅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 2.残疾人福利性单位应在本声明函后提供相关证明材料。</w:t>
      </w:r>
    </w:p>
    <w:p>
      <w:pPr>
        <w:pStyle w:val="8"/>
        <w:kinsoku w:val="0"/>
        <w:overflowPunct w:val="0"/>
        <w:spacing w:before="0" w:line="310" w:lineRule="exact"/>
        <w:rPr>
          <w:rFonts w:hint="eastAsia" w:ascii="宋体" w:hAnsi="宋体" w:eastAsia="宋体" w:cs="宋体"/>
          <w:highlight w:val="none"/>
        </w:rPr>
      </w:pPr>
      <w:r>
        <w:rPr>
          <w:rFonts w:hint="eastAsia" w:ascii="宋体" w:hAnsi="宋体" w:eastAsia="宋体" w:cs="宋体"/>
          <w:highlight w:val="none"/>
        </w:rPr>
        <w:t>3.未按上述要求提供、填写的，评审时不予以考虑。</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8"/>
        <w:kinsoku w:val="0"/>
        <w:overflowPunct w:val="0"/>
        <w:spacing w:before="6"/>
        <w:ind w:left="0"/>
        <w:rPr>
          <w:rFonts w:hint="eastAsia" w:ascii="宋体" w:hAnsi="宋体" w:eastAsia="宋体" w:cs="宋体"/>
          <w:b/>
          <w:bCs/>
          <w:sz w:val="26"/>
          <w:szCs w:val="26"/>
          <w:highlight w:val="none"/>
        </w:rPr>
      </w:pPr>
    </w:p>
    <w:p>
      <w:pPr>
        <w:pStyle w:val="24"/>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新疆信尔成工程项目管理有限公司</w:t>
      </w:r>
    </w:p>
    <w:p>
      <w:pPr>
        <w:pStyle w:val="8"/>
        <w:kinsoku w:val="0"/>
        <w:overflowPunct w:val="0"/>
        <w:spacing w:before="10"/>
        <w:ind w:left="0"/>
        <w:rPr>
          <w:rFonts w:hint="eastAsia" w:ascii="宋体" w:hAnsi="宋体" w:eastAsia="宋体" w:cs="宋体"/>
          <w:b/>
          <w:bCs/>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新疆信尔成工程项目管理有限公司</w:t>
      </w:r>
      <w:r>
        <w:rPr>
          <w:rFonts w:hint="eastAsia" w:ascii="宋体" w:hAnsi="宋体" w:eastAsia="宋体" w:cs="宋体"/>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8"/>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8"/>
        <w:kinsoku w:val="0"/>
        <w:overflowPunct w:val="0"/>
        <w:spacing w:before="6"/>
        <w:ind w:left="0"/>
        <w:rPr>
          <w:rFonts w:hint="eastAsia" w:ascii="宋体" w:hAnsi="宋体" w:eastAsia="宋体" w:cs="宋体"/>
          <w:b/>
          <w:bCs/>
          <w:sz w:val="26"/>
          <w:szCs w:val="26"/>
          <w:highlight w:val="none"/>
        </w:rPr>
      </w:pPr>
    </w:p>
    <w:p>
      <w:pPr>
        <w:pStyle w:val="24"/>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新疆信尔成工程项目管理有限公司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9"/>
        <w:spacing w:line="360" w:lineRule="auto"/>
        <w:rPr>
          <w:rFonts w:hint="eastAsia" w:ascii="宋体" w:hAnsi="宋体" w:eastAsia="宋体" w:cs="宋体"/>
          <w:kern w:val="0"/>
          <w:sz w:val="24"/>
          <w:highlight w:val="none"/>
        </w:rPr>
      </w:pPr>
    </w:p>
    <w:p>
      <w:pPr>
        <w:pStyle w:val="9"/>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5"/>
        <w:tabs>
          <w:tab w:val="left" w:pos="2763"/>
        </w:tabs>
        <w:kinsoku w:val="0"/>
        <w:overflowPunct w:val="0"/>
        <w:spacing w:before="143"/>
        <w:jc w:val="center"/>
        <w:outlineLvl w:val="9"/>
        <w:rPr>
          <w:rFonts w:hint="eastAsia" w:ascii="宋体" w:hAnsi="宋体" w:eastAsia="宋体" w:cs="宋体"/>
          <w:b w:val="0"/>
          <w:bCs w:val="0"/>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8"/>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8"/>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highlight w:val="none"/>
        </w:rPr>
      </w:pPr>
    </w:p>
    <w:p>
      <w:pPr>
        <w:pStyle w:val="8"/>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8"/>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87"/>
        <w:gridCol w:w="35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8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53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787" w:type="dxa"/>
            <w:noWrap w:val="0"/>
            <w:vAlign w:val="center"/>
          </w:tcPr>
          <w:p>
            <w:pPr>
              <w:rPr>
                <w:rFonts w:hint="eastAsia" w:ascii="宋体" w:hAnsi="宋体" w:eastAsia="宋体" w:cs="宋体"/>
                <w:kern w:val="0"/>
                <w:sz w:val="24"/>
                <w:szCs w:val="24"/>
                <w:highlight w:val="none"/>
              </w:rPr>
            </w:pPr>
          </w:p>
        </w:tc>
        <w:tc>
          <w:tcPr>
            <w:tcW w:w="35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项目总体实施方案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highlight w:val="none"/>
        </w:rPr>
      </w:pPr>
      <w:r>
        <w:rPr>
          <w:rFonts w:hint="eastAsia" w:ascii="宋体" w:hAnsi="宋体" w:eastAsia="宋体" w:cs="宋体"/>
          <w:b/>
          <w:kern w:val="0"/>
          <w:sz w:val="24"/>
          <w:szCs w:val="24"/>
          <w:highlight w:val="none"/>
        </w:rPr>
        <w:t>1.4</w:t>
      </w:r>
      <w:r>
        <w:rPr>
          <w:rFonts w:hint="eastAsia" w:ascii="宋体" w:hAnsi="宋体" w:cs="宋体"/>
          <w:b/>
          <w:kern w:val="0"/>
          <w:sz w:val="24"/>
          <w:szCs w:val="24"/>
          <w:highlight w:val="none"/>
          <w:lang w:val="en-US" w:eastAsia="zh-CN"/>
        </w:rPr>
        <w:t xml:space="preserve">  </w:t>
      </w:r>
      <w:r>
        <w:rPr>
          <w:rFonts w:hint="eastAsia" w:ascii="宋体" w:hAnsi="宋体" w:eastAsia="宋体" w:cs="宋体"/>
          <w:b/>
          <w:bCs/>
          <w:color w:val="auto"/>
          <w:sz w:val="24"/>
          <w:szCs w:val="24"/>
          <w:highlight w:val="none"/>
          <w:lang w:val="zh-CN"/>
        </w:rPr>
        <w:t>工作进度计划</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0"/>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1.5</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审核制度</w:t>
      </w:r>
      <w:r>
        <w:rPr>
          <w:rFonts w:hint="eastAsia" w:ascii="宋体" w:hAnsi="宋体" w:cs="宋体"/>
          <w:b/>
          <w:kern w:val="0"/>
          <w:sz w:val="24"/>
          <w:szCs w:val="24"/>
          <w:highlight w:val="none"/>
          <w:lang w:eastAsia="zh-CN"/>
        </w:rPr>
        <w:t>（质量控制）：</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0"/>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1.6  服务承诺：</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0"/>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1.7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87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710"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曾主持/参与的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710"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870"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710"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 xml:space="preserve">5  </w:t>
      </w:r>
      <w:r>
        <w:rPr>
          <w:rFonts w:hint="eastAsia" w:ascii="宋体" w:hAnsi="宋体" w:eastAsia="宋体" w:cs="宋体"/>
          <w:b/>
          <w:kern w:val="0"/>
          <w:sz w:val="24"/>
          <w:szCs w:val="24"/>
          <w:highlight w:val="none"/>
          <w:lang w:val="en-US" w:eastAsia="zh-CN"/>
        </w:rPr>
        <w:t>完成本项目拟投入</w:t>
      </w:r>
      <w:r>
        <w:rPr>
          <w:rFonts w:hint="eastAsia" w:ascii="宋体" w:hAnsi="宋体" w:eastAsia="宋体" w:cs="宋体"/>
          <w:b/>
          <w:kern w:val="0"/>
          <w:sz w:val="24"/>
          <w:szCs w:val="24"/>
          <w:highlight w:val="none"/>
        </w:rPr>
        <w:t>设备说明一览表</w:t>
      </w:r>
    </w:p>
    <w:p>
      <w:pPr>
        <w:spacing w:line="440" w:lineRule="exact"/>
        <w:ind w:firstLine="312" w:firstLineChars="150"/>
        <w:rPr>
          <w:rFonts w:ascii="宋体" w:hAnsi="宋体"/>
          <w:color w:val="auto"/>
          <w:sz w:val="24"/>
          <w:highlight w:val="none"/>
        </w:rPr>
      </w:pPr>
      <w:r>
        <w:rPr>
          <w:rFonts w:hint="eastAsia" w:asciiTheme="minorEastAsia" w:hAnsiTheme="minorEastAsia" w:eastAsiaTheme="minorEastAsia" w:cstheme="minorEastAsia"/>
          <w:color w:val="auto"/>
          <w:spacing w:val="-1"/>
          <w:highlight w:val="none"/>
        </w:rPr>
        <w:t>供</w:t>
      </w:r>
      <w:r>
        <w:rPr>
          <w:rFonts w:hint="eastAsia" w:asciiTheme="minorEastAsia" w:hAnsiTheme="minorEastAsia" w:eastAsiaTheme="minorEastAsia" w:cstheme="minorEastAsia"/>
          <w:color w:val="auto"/>
          <w:highlight w:val="none"/>
        </w:rPr>
        <w:t>应商</w:t>
      </w:r>
      <w:r>
        <w:rPr>
          <w:rFonts w:hint="eastAsia" w:ascii="宋体" w:hAnsi="宋体"/>
          <w:color w:val="auto"/>
          <w:sz w:val="24"/>
          <w:highlight w:val="none"/>
        </w:rPr>
        <w:t>名称：</w:t>
      </w:r>
      <w:r>
        <w:rPr>
          <w:rFonts w:hint="eastAsia" w:ascii="宋体" w:hAnsi="宋体"/>
          <w:color w:val="auto"/>
          <w:sz w:val="24"/>
          <w:highlight w:val="none"/>
          <w:u w:val="single"/>
        </w:rPr>
        <w:t>　　　　　</w:t>
      </w:r>
      <w:r>
        <w:rPr>
          <w:rFonts w:hint="eastAsia" w:ascii="宋体" w:hAnsi="宋体"/>
          <w:color w:val="auto"/>
          <w:sz w:val="24"/>
          <w:highlight w:val="none"/>
        </w:rPr>
        <w:t>招标编号：</w:t>
      </w:r>
      <w:r>
        <w:rPr>
          <w:rFonts w:hint="eastAsia" w:ascii="宋体" w:hAnsi="宋体"/>
          <w:color w:val="auto"/>
          <w:sz w:val="24"/>
          <w:highlight w:val="none"/>
          <w:u w:val="single"/>
        </w:rPr>
        <w:t>　　　　　</w:t>
      </w:r>
      <w:r>
        <w:rPr>
          <w:rFonts w:hint="eastAsia" w:ascii="宋体" w:hAnsi="宋体"/>
          <w:color w:val="auto"/>
          <w:sz w:val="24"/>
          <w:highlight w:val="none"/>
        </w:rPr>
        <w:t>　</w:t>
      </w:r>
    </w:p>
    <w:p>
      <w:pPr>
        <w:spacing w:line="440" w:lineRule="exact"/>
        <w:ind w:firstLine="360" w:firstLineChars="150"/>
        <w:rPr>
          <w:rFonts w:ascii="宋体" w:hAnsi="宋体"/>
          <w:color w:val="auto"/>
          <w:sz w:val="24"/>
          <w:highlight w:val="none"/>
        </w:rPr>
      </w:pPr>
      <w:r>
        <w:rPr>
          <w:rFonts w:hint="eastAsia"/>
          <w:color w:val="auto"/>
          <w:sz w:val="24"/>
          <w:highlight w:val="none"/>
          <w:lang w:val="en-US" w:eastAsia="zh-CN"/>
        </w:rPr>
        <w:t>拟投入设备</w:t>
      </w:r>
      <w:r>
        <w:rPr>
          <w:rFonts w:hint="eastAsia" w:ascii="宋体" w:hAnsi="宋体"/>
          <w:color w:val="auto"/>
          <w:sz w:val="24"/>
          <w:highlight w:val="none"/>
        </w:rPr>
        <w:t>内容：　</w:t>
      </w:r>
    </w:p>
    <w:tbl>
      <w:tblPr>
        <w:tblStyle w:val="1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0"/>
        <w:gridCol w:w="960"/>
        <w:gridCol w:w="2946"/>
        <w:gridCol w:w="232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序号</w:t>
            </w:r>
          </w:p>
        </w:tc>
        <w:tc>
          <w:tcPr>
            <w:tcW w:w="1400"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设备名称</w:t>
            </w:r>
          </w:p>
        </w:tc>
        <w:tc>
          <w:tcPr>
            <w:tcW w:w="960" w:type="dxa"/>
            <w:vAlign w:val="center"/>
          </w:tcPr>
          <w:p>
            <w:pPr>
              <w:spacing w:line="440" w:lineRule="exact"/>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数量</w:t>
            </w:r>
          </w:p>
        </w:tc>
        <w:tc>
          <w:tcPr>
            <w:tcW w:w="2946"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规格型号及主要技术参数</w:t>
            </w:r>
          </w:p>
        </w:tc>
        <w:tc>
          <w:tcPr>
            <w:tcW w:w="2327"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性能说明</w:t>
            </w:r>
          </w:p>
        </w:tc>
        <w:tc>
          <w:tcPr>
            <w:tcW w:w="1191" w:type="dxa"/>
            <w:vAlign w:val="center"/>
          </w:tcPr>
          <w:p>
            <w:pPr>
              <w:spacing w:line="440" w:lineRule="exact"/>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12"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1</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12"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2</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12"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3</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12"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4</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12"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5</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12" w:type="dxa"/>
            <w:vAlign w:val="center"/>
          </w:tcPr>
          <w:p>
            <w:pPr>
              <w:spacing w:line="440" w:lineRule="exact"/>
              <w:jc w:val="center"/>
              <w:rPr>
                <w:rFonts w:ascii="宋体" w:hAnsi="宋体"/>
                <w:color w:val="auto"/>
                <w:sz w:val="24"/>
                <w:highlight w:val="none"/>
              </w:rPr>
            </w:pPr>
            <w:r>
              <w:rPr>
                <w:rFonts w:ascii="宋体" w:hAnsi="宋体"/>
                <w:color w:val="auto"/>
                <w:sz w:val="24"/>
                <w:highlight w:val="none"/>
              </w:rPr>
              <w:t>6</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1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w:t>
            </w:r>
          </w:p>
        </w:tc>
        <w:tc>
          <w:tcPr>
            <w:tcW w:w="1400" w:type="dxa"/>
            <w:vAlign w:val="center"/>
          </w:tcPr>
          <w:p>
            <w:pPr>
              <w:spacing w:line="440" w:lineRule="exact"/>
              <w:jc w:val="center"/>
              <w:rPr>
                <w:rFonts w:ascii="宋体" w:hAnsi="宋体"/>
                <w:color w:val="auto"/>
                <w:sz w:val="24"/>
                <w:highlight w:val="none"/>
              </w:rPr>
            </w:pPr>
          </w:p>
        </w:tc>
        <w:tc>
          <w:tcPr>
            <w:tcW w:w="960" w:type="dxa"/>
            <w:vAlign w:val="center"/>
          </w:tcPr>
          <w:p>
            <w:pPr>
              <w:spacing w:line="440" w:lineRule="exact"/>
              <w:jc w:val="center"/>
              <w:rPr>
                <w:rFonts w:ascii="宋体" w:hAnsi="宋体"/>
                <w:color w:val="auto"/>
                <w:sz w:val="24"/>
                <w:highlight w:val="none"/>
              </w:rPr>
            </w:pPr>
          </w:p>
        </w:tc>
        <w:tc>
          <w:tcPr>
            <w:tcW w:w="2946" w:type="dxa"/>
            <w:vAlign w:val="center"/>
          </w:tcPr>
          <w:p>
            <w:pPr>
              <w:spacing w:line="440" w:lineRule="exact"/>
              <w:jc w:val="center"/>
              <w:rPr>
                <w:rFonts w:ascii="宋体" w:hAnsi="宋体"/>
                <w:color w:val="auto"/>
                <w:sz w:val="24"/>
                <w:highlight w:val="none"/>
              </w:rPr>
            </w:pPr>
          </w:p>
        </w:tc>
        <w:tc>
          <w:tcPr>
            <w:tcW w:w="2327" w:type="dxa"/>
            <w:vAlign w:val="center"/>
          </w:tcPr>
          <w:p>
            <w:pPr>
              <w:spacing w:line="440" w:lineRule="exact"/>
              <w:jc w:val="center"/>
              <w:rPr>
                <w:rFonts w:ascii="宋体" w:hAnsi="宋体"/>
                <w:color w:val="auto"/>
                <w:sz w:val="24"/>
                <w:highlight w:val="none"/>
              </w:rPr>
            </w:pPr>
          </w:p>
        </w:tc>
        <w:tc>
          <w:tcPr>
            <w:tcW w:w="1191" w:type="dxa"/>
            <w:vAlign w:val="center"/>
          </w:tcPr>
          <w:p>
            <w:pPr>
              <w:spacing w:line="440" w:lineRule="exact"/>
              <w:jc w:val="center"/>
              <w:rPr>
                <w:rFonts w:ascii="宋体" w:hAnsi="宋体"/>
                <w:color w:val="auto"/>
                <w:sz w:val="24"/>
                <w:highlight w:val="none"/>
              </w:rPr>
            </w:pPr>
          </w:p>
        </w:tc>
      </w:tr>
    </w:tbl>
    <w:p>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注：此表需详列</w:t>
      </w:r>
      <w:r>
        <w:rPr>
          <w:rFonts w:hint="eastAsia"/>
          <w:color w:val="auto"/>
          <w:sz w:val="24"/>
          <w:highlight w:val="none"/>
          <w:lang w:val="en-US" w:eastAsia="zh-CN"/>
        </w:rPr>
        <w:t>完成本项目</w:t>
      </w:r>
      <w:r>
        <w:rPr>
          <w:rFonts w:hint="eastAsia" w:ascii="宋体" w:hAnsi="宋体"/>
          <w:color w:val="auto"/>
          <w:sz w:val="24"/>
          <w:highlight w:val="none"/>
        </w:rPr>
        <w:t>的每种设备</w:t>
      </w:r>
      <w:r>
        <w:rPr>
          <w:rFonts w:hint="eastAsia" w:ascii="宋体" w:hAnsi="宋体"/>
          <w:color w:val="auto"/>
          <w:sz w:val="24"/>
          <w:highlight w:val="none"/>
          <w:lang w:eastAsia="zh-CN"/>
        </w:rPr>
        <w:t>（</w:t>
      </w:r>
      <w:r>
        <w:rPr>
          <w:rFonts w:hint="eastAsia" w:ascii="宋体" w:hAnsi="宋体" w:eastAsia="宋体" w:cs="宋体"/>
          <w:kern w:val="0"/>
          <w:sz w:val="24"/>
          <w:szCs w:val="24"/>
          <w:highlight w:val="none"/>
        </w:rPr>
        <w:t>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和详细评审表提供相应材料</w:t>
      </w:r>
      <w:r>
        <w:rPr>
          <w:rFonts w:hint="eastAsia" w:ascii="宋体" w:hAnsi="宋体"/>
          <w:color w:val="auto"/>
          <w:sz w:val="24"/>
          <w:highlight w:val="none"/>
          <w:lang w:eastAsia="zh-CN"/>
        </w:rPr>
        <w:t>）</w:t>
      </w:r>
      <w:r>
        <w:rPr>
          <w:rFonts w:hint="eastAsia" w:ascii="宋体" w:hAnsi="宋体"/>
          <w:color w:val="auto"/>
          <w:sz w:val="24"/>
          <w:highlight w:val="none"/>
        </w:rPr>
        <w:t>。</w:t>
      </w:r>
    </w:p>
    <w:p>
      <w:pPr>
        <w:pStyle w:val="8"/>
        <w:tabs>
          <w:tab w:val="left" w:pos="8657"/>
        </w:tabs>
        <w:ind w:left="0" w:leftChars="0" w:firstLine="0" w:firstLineChars="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1"/>
          <w:highlight w:val="none"/>
        </w:rPr>
        <w:t>供</w:t>
      </w:r>
      <w:r>
        <w:rPr>
          <w:rFonts w:hint="eastAsia" w:asciiTheme="minorEastAsia" w:hAnsiTheme="minorEastAsia" w:eastAsiaTheme="minorEastAsia" w:cstheme="minorEastAsia"/>
          <w:color w:val="auto"/>
          <w:highlight w:val="none"/>
        </w:rPr>
        <w:t>应商（单位公章）：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p>
    <w:p>
      <w:pPr>
        <w:pStyle w:val="2"/>
        <w:ind w:left="0" w:leftChars="0" w:firstLine="0" w:firstLineChars="0"/>
        <w:rPr>
          <w:rFonts w:hint="eastAsia" w:asciiTheme="minorEastAsia" w:hAnsiTheme="minorEastAsia" w:eastAsiaTheme="minorEastAsia" w:cstheme="minorEastAsia"/>
          <w:color w:val="auto"/>
          <w:spacing w:val="-9"/>
          <w:highlight w:val="none"/>
        </w:rPr>
      </w:pPr>
      <w:r>
        <w:rPr>
          <w:rFonts w:hint="eastAsia" w:asciiTheme="minorEastAsia" w:hAnsiTheme="minorEastAsia" w:eastAsiaTheme="minorEastAsia" w:cstheme="minorEastAsia"/>
          <w:color w:val="auto"/>
          <w:highlight w:val="none"/>
        </w:rPr>
        <w:t>法定代表人或其授权委托人（签字或盖章</w:t>
      </w:r>
      <w:r>
        <w:rPr>
          <w:rFonts w:hint="eastAsia" w:asciiTheme="minorEastAsia" w:hAnsiTheme="minorEastAsia" w:eastAsiaTheme="minorEastAsia" w:cstheme="minorEastAsia"/>
          <w:color w:val="auto"/>
          <w:spacing w:val="-9"/>
          <w:highlight w:val="none"/>
        </w:rPr>
        <w:t>）：</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spacing w:val="-9"/>
          <w:highlight w:val="none"/>
        </w:rPr>
        <w:t xml:space="preserve"> </w:t>
      </w:r>
    </w:p>
    <w:p>
      <w:pPr>
        <w:pStyle w:val="2"/>
        <w:ind w:left="0" w:leftChars="0" w:firstLine="0" w:firstLineChars="0"/>
        <w:rPr>
          <w:rFonts w:hint="default"/>
          <w:highlight w:val="none"/>
          <w:lang w:val="en-US" w:eastAsia="zh-CN"/>
        </w:rPr>
      </w:pP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期：</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lang w:val="en-US" w:eastAsia="zh-CN"/>
        </w:rPr>
        <w:t xml:space="preserve">                             </w:t>
      </w:r>
    </w:p>
    <w:p>
      <w:pPr>
        <w:rPr>
          <w:rFonts w:hint="eastAsia" w:ascii="宋体" w:hAnsi="宋体" w:cs="宋体"/>
          <w:b/>
          <w:kern w:val="0"/>
          <w:sz w:val="24"/>
          <w:szCs w:val="24"/>
          <w:highlight w:val="none"/>
          <w:lang w:val="en-US" w:eastAsia="zh-CN"/>
        </w:rPr>
      </w:pPr>
    </w:p>
    <w:p>
      <w:pPr>
        <w:rPr>
          <w:rFonts w:hint="eastAsia" w:ascii="宋体" w:hAnsi="宋体" w:cs="宋体"/>
          <w:b/>
          <w:kern w:val="0"/>
          <w:sz w:val="24"/>
          <w:szCs w:val="24"/>
          <w:highlight w:val="none"/>
          <w:lang w:val="en-US" w:eastAsia="zh-CN"/>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6</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8"/>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UUFAKyQEAAJ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nAT6poSxy2O/PLj&#10;++Xn78uvbyQ7UaIhQIOZ9wFz0/jWj5i++AGdmfmoos1f5EQwjgKfrwLLMRGRH63r9brCkMDYckF8&#10;9vA8REjvpLckGy2NOMEiLD99gDSlLim5mvN32pgyReP+ciBm9rDc+9RjttK4H2dCe9+dkc+Aw2+p&#10;w12nxLx3qG3ek8WIi7FfjGOI+tCXRcr1ILw5Jmyi9JYrTLBzYZxaYTdvWF6Lx/eS9fB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BRQUArJAQAAnQMAAA4AAAAAAAAAAQAgAAAAJgEAAGRy&#10;cy9lMm9Eb2MueG1sUEsFBgAAAAAGAAYAWQEAAGEFAAAAAA==&#10;">
              <v:fill on="f" focussize="0,0"/>
              <v:stroke on="f"/>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w:rPr>
        <w:sz w:val="24"/>
      </w:rPr>
      <w:pict>
        <v:shape id="PowerPlusWaterMarkObject37265" o:spid="_x0000_s2053" o:spt="136" type="#_x0000_t136" style="position:absolute;left:0pt;margin-left:21.5pt;margin-top:295.75pt;height:23pt;width:413.5pt;mso-position-horizontal-relative:margin;mso-position-vertical-relative:margin;rotation:-2949120f;z-index:-251652096;mso-width-relative:page;mso-height-relative:page;" fillcolor="#C0C0C0" filled="t" stroked="f" coordsize="21600,21600" adj="10800">
          <v:path/>
          <v:fill on="t" color2="#FFFFFF" opacity="32768f" focussize="0,0"/>
          <v:stroke on="f"/>
          <v:imagedata o:title=""/>
          <o:lock v:ext="edit" aspectratio="t"/>
          <v:textpath on="t" fitshape="t" fitpath="t" trim="t" xscale="f" string="新疆红色革命文物特别专题节目制作采购项目" style="font-family:宋体;font-size:20pt;v-same-letter-heights:f;v-text-align:center;"/>
        </v:shape>
      </w:pict>
    </w: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65150" o:spid="_x0000_s2054" o:spt="136" type="#_x0000_t136" style="position:absolute;left:0pt;height:23pt;width:413pt;mso-position-horizontal:center;mso-position-horizontal-relative:margin;mso-position-vertical:center;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新疆红色革命文物特别专题节目制作采购项目" style="font-family:宋体;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1"/>
      <w:numFmt w:val="decimal"/>
      <w:lvlText w:val="%1."/>
      <w:lvlJc w:val="left"/>
      <w:pPr>
        <w:ind w:left="118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06" w:hanging="241"/>
      </w:pPr>
      <w:rPr>
        <w:rFonts w:hint="default"/>
        <w:lang w:val="zh-CN" w:eastAsia="zh-CN" w:bidi="zh-CN"/>
      </w:rPr>
    </w:lvl>
    <w:lvl w:ilvl="2" w:tentative="0">
      <w:start w:val="0"/>
      <w:numFmt w:val="bullet"/>
      <w:lvlText w:val="•"/>
      <w:lvlJc w:val="left"/>
      <w:pPr>
        <w:ind w:left="2833" w:hanging="241"/>
      </w:pPr>
      <w:rPr>
        <w:rFonts w:hint="default"/>
        <w:lang w:val="zh-CN" w:eastAsia="zh-CN" w:bidi="zh-CN"/>
      </w:rPr>
    </w:lvl>
    <w:lvl w:ilvl="3" w:tentative="0">
      <w:start w:val="0"/>
      <w:numFmt w:val="bullet"/>
      <w:lvlText w:val="•"/>
      <w:lvlJc w:val="left"/>
      <w:pPr>
        <w:ind w:left="365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13" w:hanging="241"/>
      </w:pPr>
      <w:rPr>
        <w:rFonts w:hint="default"/>
        <w:lang w:val="zh-CN" w:eastAsia="zh-CN" w:bidi="zh-CN"/>
      </w:rPr>
    </w:lvl>
    <w:lvl w:ilvl="6" w:tentative="0">
      <w:start w:val="0"/>
      <w:numFmt w:val="bullet"/>
      <w:lvlText w:val="•"/>
      <w:lvlJc w:val="left"/>
      <w:pPr>
        <w:ind w:left="6139" w:hanging="241"/>
      </w:pPr>
      <w:rPr>
        <w:rFonts w:hint="default"/>
        <w:lang w:val="zh-CN" w:eastAsia="zh-CN" w:bidi="zh-CN"/>
      </w:rPr>
    </w:lvl>
    <w:lvl w:ilvl="7" w:tentative="0">
      <w:start w:val="0"/>
      <w:numFmt w:val="bullet"/>
      <w:lvlText w:val="•"/>
      <w:lvlJc w:val="left"/>
      <w:pPr>
        <w:ind w:left="6966" w:hanging="241"/>
      </w:pPr>
      <w:rPr>
        <w:rFonts w:hint="default"/>
        <w:lang w:val="zh-CN" w:eastAsia="zh-CN" w:bidi="zh-CN"/>
      </w:rPr>
    </w:lvl>
    <w:lvl w:ilvl="8" w:tentative="0">
      <w:start w:val="0"/>
      <w:numFmt w:val="bullet"/>
      <w:lvlText w:val="•"/>
      <w:lvlJc w:val="left"/>
      <w:pPr>
        <w:ind w:left="7793" w:hanging="241"/>
      </w:pPr>
      <w:rPr>
        <w:rFonts w:hint="default"/>
        <w:lang w:val="zh-CN" w:eastAsia="zh-CN" w:bidi="zh-CN"/>
      </w:rPr>
    </w:lvl>
  </w:abstractNum>
  <w:abstractNum w:abstractNumId="1">
    <w:nsid w:val="97A4428D"/>
    <w:multiLevelType w:val="singleLevel"/>
    <w:tmpl w:val="97A4428D"/>
    <w:lvl w:ilvl="0" w:tentative="0">
      <w:start w:val="2"/>
      <w:numFmt w:val="decimal"/>
      <w:suff w:val="nothing"/>
      <w:lvlText w:val="%1、"/>
      <w:lvlJc w:val="left"/>
    </w:lvl>
  </w:abstractNum>
  <w:abstractNum w:abstractNumId="2">
    <w:nsid w:val="BE8A4F4C"/>
    <w:multiLevelType w:val="multilevel"/>
    <w:tmpl w:val="BE8A4F4C"/>
    <w:lvl w:ilvl="0" w:tentative="0">
      <w:start w:val="1"/>
      <w:numFmt w:val="decimal"/>
      <w:lvlText w:val="%1."/>
      <w:lvlJc w:val="left"/>
      <w:pPr>
        <w:ind w:left="118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06" w:hanging="241"/>
      </w:pPr>
      <w:rPr>
        <w:rFonts w:hint="default"/>
        <w:lang w:val="zh-CN" w:eastAsia="zh-CN" w:bidi="zh-CN"/>
      </w:rPr>
    </w:lvl>
    <w:lvl w:ilvl="2" w:tentative="0">
      <w:start w:val="0"/>
      <w:numFmt w:val="bullet"/>
      <w:lvlText w:val="•"/>
      <w:lvlJc w:val="left"/>
      <w:pPr>
        <w:ind w:left="2833" w:hanging="241"/>
      </w:pPr>
      <w:rPr>
        <w:rFonts w:hint="default"/>
        <w:lang w:val="zh-CN" w:eastAsia="zh-CN" w:bidi="zh-CN"/>
      </w:rPr>
    </w:lvl>
    <w:lvl w:ilvl="3" w:tentative="0">
      <w:start w:val="0"/>
      <w:numFmt w:val="bullet"/>
      <w:lvlText w:val="•"/>
      <w:lvlJc w:val="left"/>
      <w:pPr>
        <w:ind w:left="365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13" w:hanging="241"/>
      </w:pPr>
      <w:rPr>
        <w:rFonts w:hint="default"/>
        <w:lang w:val="zh-CN" w:eastAsia="zh-CN" w:bidi="zh-CN"/>
      </w:rPr>
    </w:lvl>
    <w:lvl w:ilvl="6" w:tentative="0">
      <w:start w:val="0"/>
      <w:numFmt w:val="bullet"/>
      <w:lvlText w:val="•"/>
      <w:lvlJc w:val="left"/>
      <w:pPr>
        <w:ind w:left="6139" w:hanging="241"/>
      </w:pPr>
      <w:rPr>
        <w:rFonts w:hint="default"/>
        <w:lang w:val="zh-CN" w:eastAsia="zh-CN" w:bidi="zh-CN"/>
      </w:rPr>
    </w:lvl>
    <w:lvl w:ilvl="7" w:tentative="0">
      <w:start w:val="0"/>
      <w:numFmt w:val="bullet"/>
      <w:lvlText w:val="•"/>
      <w:lvlJc w:val="left"/>
      <w:pPr>
        <w:ind w:left="6966" w:hanging="241"/>
      </w:pPr>
      <w:rPr>
        <w:rFonts w:hint="default"/>
        <w:lang w:val="zh-CN" w:eastAsia="zh-CN" w:bidi="zh-CN"/>
      </w:rPr>
    </w:lvl>
    <w:lvl w:ilvl="8" w:tentative="0">
      <w:start w:val="0"/>
      <w:numFmt w:val="bullet"/>
      <w:lvlText w:val="•"/>
      <w:lvlJc w:val="left"/>
      <w:pPr>
        <w:ind w:left="7793" w:hanging="241"/>
      </w:pPr>
      <w:rPr>
        <w:rFonts w:hint="default"/>
        <w:lang w:val="zh-CN" w:eastAsia="zh-CN" w:bidi="zh-CN"/>
      </w:rPr>
    </w:lvl>
  </w:abstractNum>
  <w:abstractNum w:abstractNumId="3">
    <w:nsid w:val="C3D7BE3C"/>
    <w:multiLevelType w:val="singleLevel"/>
    <w:tmpl w:val="C3D7BE3C"/>
    <w:lvl w:ilvl="0" w:tentative="0">
      <w:start w:val="4"/>
      <w:numFmt w:val="chineseCounting"/>
      <w:lvlText w:val="第%1章"/>
      <w:lvlJc w:val="left"/>
      <w:rPr>
        <w:rFonts w:hint="eastAsia"/>
      </w:rPr>
    </w:lvl>
  </w:abstractNum>
  <w:abstractNum w:abstractNumId="4">
    <w:nsid w:val="DDD85877"/>
    <w:multiLevelType w:val="singleLevel"/>
    <w:tmpl w:val="DDD85877"/>
    <w:lvl w:ilvl="0" w:tentative="0">
      <w:start w:val="9"/>
      <w:numFmt w:val="chineseCounting"/>
      <w:suff w:val="nothing"/>
      <w:lvlText w:val="%1、"/>
      <w:lvlJc w:val="left"/>
      <w:rPr>
        <w:rFonts w:hint="eastAsia"/>
      </w:rPr>
    </w:lvl>
  </w:abstractNum>
  <w:abstractNum w:abstractNumId="5">
    <w:nsid w:val="00000004"/>
    <w:multiLevelType w:val="singleLevel"/>
    <w:tmpl w:val="00000004"/>
    <w:lvl w:ilvl="0" w:tentative="0">
      <w:start w:val="2"/>
      <w:numFmt w:val="decimal"/>
      <w:suff w:val="nothing"/>
      <w:lvlText w:val="（%1）"/>
      <w:lvlJc w:val="left"/>
    </w:lvl>
  </w:abstractNum>
  <w:abstractNum w:abstractNumId="6">
    <w:nsid w:val="1BCBBCF0"/>
    <w:multiLevelType w:val="multilevel"/>
    <w:tmpl w:val="1BCBBCF0"/>
    <w:lvl w:ilvl="0" w:tentative="0">
      <w:start w:val="1"/>
      <w:numFmt w:val="decimal"/>
      <w:lvlText w:val="%1."/>
      <w:lvlJc w:val="left"/>
      <w:pPr>
        <w:ind w:left="880" w:hanging="24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736" w:hanging="241"/>
      </w:pPr>
      <w:rPr>
        <w:rFonts w:hint="default"/>
        <w:lang w:val="zh-CN" w:eastAsia="zh-CN" w:bidi="zh-CN"/>
      </w:rPr>
    </w:lvl>
    <w:lvl w:ilvl="2" w:tentative="0">
      <w:start w:val="0"/>
      <w:numFmt w:val="bullet"/>
      <w:lvlText w:val="•"/>
      <w:lvlJc w:val="left"/>
      <w:pPr>
        <w:ind w:left="2593" w:hanging="241"/>
      </w:pPr>
      <w:rPr>
        <w:rFonts w:hint="default"/>
        <w:lang w:val="zh-CN" w:eastAsia="zh-CN" w:bidi="zh-CN"/>
      </w:rPr>
    </w:lvl>
    <w:lvl w:ilvl="3" w:tentative="0">
      <w:start w:val="0"/>
      <w:numFmt w:val="bullet"/>
      <w:lvlText w:val="•"/>
      <w:lvlJc w:val="left"/>
      <w:pPr>
        <w:ind w:left="3449" w:hanging="241"/>
      </w:pPr>
      <w:rPr>
        <w:rFonts w:hint="default"/>
        <w:lang w:val="zh-CN" w:eastAsia="zh-CN" w:bidi="zh-CN"/>
      </w:rPr>
    </w:lvl>
    <w:lvl w:ilvl="4" w:tentative="0">
      <w:start w:val="0"/>
      <w:numFmt w:val="bullet"/>
      <w:lvlText w:val="•"/>
      <w:lvlJc w:val="left"/>
      <w:pPr>
        <w:ind w:left="4306" w:hanging="241"/>
      </w:pPr>
      <w:rPr>
        <w:rFonts w:hint="default"/>
        <w:lang w:val="zh-CN" w:eastAsia="zh-CN" w:bidi="zh-CN"/>
      </w:rPr>
    </w:lvl>
    <w:lvl w:ilvl="5" w:tentative="0">
      <w:start w:val="0"/>
      <w:numFmt w:val="bullet"/>
      <w:lvlText w:val="•"/>
      <w:lvlJc w:val="left"/>
      <w:pPr>
        <w:ind w:left="5163" w:hanging="241"/>
      </w:pPr>
      <w:rPr>
        <w:rFonts w:hint="default"/>
        <w:lang w:val="zh-CN" w:eastAsia="zh-CN" w:bidi="zh-CN"/>
      </w:rPr>
    </w:lvl>
    <w:lvl w:ilvl="6" w:tentative="0">
      <w:start w:val="0"/>
      <w:numFmt w:val="bullet"/>
      <w:lvlText w:val="•"/>
      <w:lvlJc w:val="left"/>
      <w:pPr>
        <w:ind w:left="6019" w:hanging="241"/>
      </w:pPr>
      <w:rPr>
        <w:rFonts w:hint="default"/>
        <w:lang w:val="zh-CN" w:eastAsia="zh-CN" w:bidi="zh-CN"/>
      </w:rPr>
    </w:lvl>
    <w:lvl w:ilvl="7" w:tentative="0">
      <w:start w:val="0"/>
      <w:numFmt w:val="bullet"/>
      <w:lvlText w:val="•"/>
      <w:lvlJc w:val="left"/>
      <w:pPr>
        <w:ind w:left="6876" w:hanging="241"/>
      </w:pPr>
      <w:rPr>
        <w:rFonts w:hint="default"/>
        <w:lang w:val="zh-CN" w:eastAsia="zh-CN" w:bidi="zh-CN"/>
      </w:rPr>
    </w:lvl>
    <w:lvl w:ilvl="8" w:tentative="0">
      <w:start w:val="0"/>
      <w:numFmt w:val="bullet"/>
      <w:lvlText w:val="•"/>
      <w:lvlJc w:val="left"/>
      <w:pPr>
        <w:ind w:left="7733" w:hanging="241"/>
      </w:pPr>
      <w:rPr>
        <w:rFonts w:hint="default"/>
        <w:lang w:val="zh-CN" w:eastAsia="zh-CN" w:bidi="zh-CN"/>
      </w:rPr>
    </w:lvl>
  </w:abstractNum>
  <w:abstractNum w:abstractNumId="7">
    <w:nsid w:val="7E333B28"/>
    <w:multiLevelType w:val="multilevel"/>
    <w:tmpl w:val="7E333B28"/>
    <w:lvl w:ilvl="0" w:tentative="0">
      <w:start w:val="1"/>
      <w:numFmt w:val="bullet"/>
      <w:pStyle w:val="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3"/>
  </w:num>
  <w:num w:numId="3">
    <w:abstractNumId w:val="1"/>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A641D0"/>
    <w:rsid w:val="02C859F1"/>
    <w:rsid w:val="02D54BBE"/>
    <w:rsid w:val="03660413"/>
    <w:rsid w:val="037647BE"/>
    <w:rsid w:val="04C156A3"/>
    <w:rsid w:val="04D33A99"/>
    <w:rsid w:val="05024DDA"/>
    <w:rsid w:val="052D54A2"/>
    <w:rsid w:val="053C5AF6"/>
    <w:rsid w:val="05AF18B5"/>
    <w:rsid w:val="065D6CA9"/>
    <w:rsid w:val="06AE1072"/>
    <w:rsid w:val="07033AF5"/>
    <w:rsid w:val="07832581"/>
    <w:rsid w:val="07D171D5"/>
    <w:rsid w:val="09AA1EA5"/>
    <w:rsid w:val="0A490BCF"/>
    <w:rsid w:val="0B0D16E9"/>
    <w:rsid w:val="0B6207EB"/>
    <w:rsid w:val="0BCE228A"/>
    <w:rsid w:val="0BE462B0"/>
    <w:rsid w:val="0C773E7E"/>
    <w:rsid w:val="0D722B9F"/>
    <w:rsid w:val="0E3D36FB"/>
    <w:rsid w:val="0F0F32D8"/>
    <w:rsid w:val="0F105F11"/>
    <w:rsid w:val="0FDD7132"/>
    <w:rsid w:val="100A23D7"/>
    <w:rsid w:val="10296D60"/>
    <w:rsid w:val="106E3A04"/>
    <w:rsid w:val="10AD46C1"/>
    <w:rsid w:val="10B7577E"/>
    <w:rsid w:val="11C12B59"/>
    <w:rsid w:val="12370660"/>
    <w:rsid w:val="128214B9"/>
    <w:rsid w:val="12A45171"/>
    <w:rsid w:val="1469427D"/>
    <w:rsid w:val="14EC0895"/>
    <w:rsid w:val="1581380F"/>
    <w:rsid w:val="164F5D70"/>
    <w:rsid w:val="16C1237E"/>
    <w:rsid w:val="16D27FFE"/>
    <w:rsid w:val="16E57034"/>
    <w:rsid w:val="17F46788"/>
    <w:rsid w:val="180A0683"/>
    <w:rsid w:val="18AA7D07"/>
    <w:rsid w:val="18F76906"/>
    <w:rsid w:val="19CD436B"/>
    <w:rsid w:val="1AAB70F6"/>
    <w:rsid w:val="1B293CB2"/>
    <w:rsid w:val="1B440995"/>
    <w:rsid w:val="1BDB75AB"/>
    <w:rsid w:val="1C0E372A"/>
    <w:rsid w:val="1E171CEE"/>
    <w:rsid w:val="206B641A"/>
    <w:rsid w:val="20B21509"/>
    <w:rsid w:val="20B71E96"/>
    <w:rsid w:val="212C654D"/>
    <w:rsid w:val="21C26E21"/>
    <w:rsid w:val="23684ACA"/>
    <w:rsid w:val="237F76D1"/>
    <w:rsid w:val="23983876"/>
    <w:rsid w:val="23B3162D"/>
    <w:rsid w:val="23F66BD0"/>
    <w:rsid w:val="24332C5B"/>
    <w:rsid w:val="247A4E23"/>
    <w:rsid w:val="24D72DED"/>
    <w:rsid w:val="27F66A6E"/>
    <w:rsid w:val="291749B1"/>
    <w:rsid w:val="29BB4774"/>
    <w:rsid w:val="29DE4A09"/>
    <w:rsid w:val="2AFE4DF2"/>
    <w:rsid w:val="2B322628"/>
    <w:rsid w:val="2E432C8D"/>
    <w:rsid w:val="2F915AF5"/>
    <w:rsid w:val="30C343DF"/>
    <w:rsid w:val="30DB3D98"/>
    <w:rsid w:val="317402E2"/>
    <w:rsid w:val="31D85621"/>
    <w:rsid w:val="321278B4"/>
    <w:rsid w:val="329D5129"/>
    <w:rsid w:val="33200116"/>
    <w:rsid w:val="33AF3455"/>
    <w:rsid w:val="33CF656B"/>
    <w:rsid w:val="33DE0756"/>
    <w:rsid w:val="33DF1E85"/>
    <w:rsid w:val="3431484C"/>
    <w:rsid w:val="34DB4D3A"/>
    <w:rsid w:val="351D643D"/>
    <w:rsid w:val="373B07C5"/>
    <w:rsid w:val="37FB3F4A"/>
    <w:rsid w:val="387C458C"/>
    <w:rsid w:val="38EA35B2"/>
    <w:rsid w:val="3AA30B63"/>
    <w:rsid w:val="3B9901C7"/>
    <w:rsid w:val="3C746707"/>
    <w:rsid w:val="3CC25D2D"/>
    <w:rsid w:val="3DEC5593"/>
    <w:rsid w:val="3FF67D83"/>
    <w:rsid w:val="40266B78"/>
    <w:rsid w:val="40D87544"/>
    <w:rsid w:val="410636DF"/>
    <w:rsid w:val="420F7B33"/>
    <w:rsid w:val="42605233"/>
    <w:rsid w:val="437B38B5"/>
    <w:rsid w:val="43E25048"/>
    <w:rsid w:val="44F75541"/>
    <w:rsid w:val="46640791"/>
    <w:rsid w:val="46E53BA2"/>
    <w:rsid w:val="492A66C2"/>
    <w:rsid w:val="4B7F667A"/>
    <w:rsid w:val="4C0A37FB"/>
    <w:rsid w:val="4CDC4388"/>
    <w:rsid w:val="4CE80E9B"/>
    <w:rsid w:val="4D2C53DD"/>
    <w:rsid w:val="4DE54EF3"/>
    <w:rsid w:val="4F9D2711"/>
    <w:rsid w:val="4FC50091"/>
    <w:rsid w:val="51FB4EB8"/>
    <w:rsid w:val="52244813"/>
    <w:rsid w:val="547B5020"/>
    <w:rsid w:val="54BC322C"/>
    <w:rsid w:val="55C6152F"/>
    <w:rsid w:val="5617749A"/>
    <w:rsid w:val="56761C3C"/>
    <w:rsid w:val="571D7746"/>
    <w:rsid w:val="57477C09"/>
    <w:rsid w:val="58F1107B"/>
    <w:rsid w:val="5992021E"/>
    <w:rsid w:val="5A0F1D95"/>
    <w:rsid w:val="5A2107E0"/>
    <w:rsid w:val="5A2A6A29"/>
    <w:rsid w:val="5BF6333D"/>
    <w:rsid w:val="5C556A6C"/>
    <w:rsid w:val="5C6A74BC"/>
    <w:rsid w:val="5C895F12"/>
    <w:rsid w:val="5DBA57B6"/>
    <w:rsid w:val="5ECD4E4C"/>
    <w:rsid w:val="5FE656F6"/>
    <w:rsid w:val="60B65262"/>
    <w:rsid w:val="611F0FB1"/>
    <w:rsid w:val="61680A5A"/>
    <w:rsid w:val="61FC658F"/>
    <w:rsid w:val="62F27A68"/>
    <w:rsid w:val="63D03541"/>
    <w:rsid w:val="641F1F24"/>
    <w:rsid w:val="64390033"/>
    <w:rsid w:val="644E1569"/>
    <w:rsid w:val="65B633F8"/>
    <w:rsid w:val="66175069"/>
    <w:rsid w:val="67703F3D"/>
    <w:rsid w:val="678156D3"/>
    <w:rsid w:val="68D64BC1"/>
    <w:rsid w:val="69721CA2"/>
    <w:rsid w:val="6A0115D7"/>
    <w:rsid w:val="6CF43C6B"/>
    <w:rsid w:val="6D32361F"/>
    <w:rsid w:val="6DD67BF8"/>
    <w:rsid w:val="6E3E2628"/>
    <w:rsid w:val="6E9E234F"/>
    <w:rsid w:val="6F4A33DF"/>
    <w:rsid w:val="6F572DFB"/>
    <w:rsid w:val="6FBE6EFA"/>
    <w:rsid w:val="6FF757B1"/>
    <w:rsid w:val="70F91EEA"/>
    <w:rsid w:val="71CF7331"/>
    <w:rsid w:val="7263008B"/>
    <w:rsid w:val="72B426CE"/>
    <w:rsid w:val="7334147F"/>
    <w:rsid w:val="74525D34"/>
    <w:rsid w:val="748875E0"/>
    <w:rsid w:val="752E52B2"/>
    <w:rsid w:val="752E6E5E"/>
    <w:rsid w:val="75821E12"/>
    <w:rsid w:val="75CE7976"/>
    <w:rsid w:val="76FC6368"/>
    <w:rsid w:val="770937CE"/>
    <w:rsid w:val="779B1E77"/>
    <w:rsid w:val="786617BC"/>
    <w:rsid w:val="7A323CFA"/>
    <w:rsid w:val="7A783AA1"/>
    <w:rsid w:val="7B32095B"/>
    <w:rsid w:val="7D5B0D49"/>
    <w:rsid w:val="7DB10760"/>
    <w:rsid w:val="7E0C05DA"/>
    <w:rsid w:val="7E1D4F8D"/>
    <w:rsid w:val="7F636E3E"/>
    <w:rsid w:val="7F85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9400"/>
      </w:tabs>
      <w:spacing w:line="520" w:lineRule="exact"/>
      <w:jc w:val="left"/>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Hyperlink"/>
    <w:unhideWhenUsed/>
    <w:qFormat/>
    <w:uiPriority w:val="99"/>
    <w:rPr>
      <w:color w:val="0000FF"/>
      <w:u w:val="single"/>
    </w:rPr>
  </w:style>
  <w:style w:type="character" w:customStyle="1" w:styleId="19">
    <w:name w:val="NormalCharacter"/>
    <w:semiHidden/>
    <w:qFormat/>
    <w:uiPriority w:val="0"/>
  </w:style>
  <w:style w:type="paragraph" w:customStyle="1" w:styleId="20">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1">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2">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3">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4">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5">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6">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2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29">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0">
    <w:name w:val="font41"/>
    <w:basedOn w:val="17"/>
    <w:qFormat/>
    <w:uiPriority w:val="0"/>
    <w:rPr>
      <w:rFonts w:hint="eastAsia" w:ascii="黑体" w:hAnsi="宋体" w:eastAsia="黑体" w:cs="黑体"/>
      <w:b/>
      <w:bCs/>
      <w:color w:val="000000"/>
      <w:sz w:val="18"/>
      <w:szCs w:val="18"/>
      <w:u w:val="none"/>
    </w:rPr>
  </w:style>
  <w:style w:type="character" w:customStyle="1" w:styleId="31">
    <w:name w:val="font01"/>
    <w:basedOn w:val="17"/>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李欣茹</cp:lastModifiedBy>
  <cp:lastPrinted>2021-08-31T02:58:00Z</cp:lastPrinted>
  <dcterms:modified xsi:type="dcterms:W3CDTF">2021-10-21T08:10:02Z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B0DA3A79BFC5462EB5FC0122EBA3B735</vt:lpwstr>
  </property>
</Properties>
</file>