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jc w:val="right"/>
        <w:rPr>
          <w:color w:val="auto"/>
          <w:highlight w:val="none"/>
        </w:rPr>
      </w:pPr>
      <w:r>
        <w:rPr>
          <w:color w:val="auto"/>
          <w:highlight w:val="none"/>
        </w:rPr>
        <w:drawing>
          <wp:inline distT="0" distB="0" distL="114300" distR="114300">
            <wp:extent cx="685800" cy="419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85800" cy="419100"/>
                    </a:xfrm>
                    <a:prstGeom prst="rect">
                      <a:avLst/>
                    </a:prstGeom>
                    <a:noFill/>
                    <a:ln>
                      <a:noFill/>
                    </a:ln>
                  </pic:spPr>
                </pic:pic>
              </a:graphicData>
            </a:graphic>
          </wp:inline>
        </w:drawing>
      </w:r>
    </w:p>
    <w:p>
      <w:pPr>
        <w:jc w:val="right"/>
        <w:rPr>
          <w:rFonts w:ascii="楷体_GB2312" w:eastAsia="楷体_GB2312"/>
          <w:b/>
          <w:color w:val="auto"/>
          <w:highlight w:val="none"/>
        </w:rPr>
      </w:pPr>
      <w:r>
        <w:rPr>
          <w:rFonts w:hint="eastAsia" w:ascii="楷体_GB2312" w:eastAsia="楷体_GB2312"/>
          <w:b/>
          <w:color w:val="auto"/>
          <w:highlight w:val="none"/>
        </w:rPr>
        <w:t>新疆天麒</w:t>
      </w:r>
    </w:p>
    <w:p>
      <w:pPr>
        <w:spacing w:line="360" w:lineRule="auto"/>
        <w:jc w:val="center"/>
        <w:rPr>
          <w:rFonts w:ascii="仿宋_GB2312" w:hAnsi="宋体" w:eastAsia="仿宋_GB2312"/>
          <w:b/>
          <w:bCs/>
          <w:color w:val="auto"/>
          <w:sz w:val="48"/>
          <w:szCs w:val="48"/>
          <w:highlight w:val="none"/>
        </w:rPr>
      </w:pPr>
      <w:bookmarkStart w:id="0" w:name="_Toc154996575"/>
    </w:p>
    <w:p>
      <w:pPr>
        <w:spacing w:line="360" w:lineRule="auto"/>
        <w:jc w:val="center"/>
        <w:rPr>
          <w:rFonts w:hint="eastAsia" w:ascii="仿宋_GB2312" w:hAnsi="宋体" w:eastAsia="仿宋_GB2312"/>
          <w:b/>
          <w:bCs/>
          <w:color w:val="auto"/>
          <w:sz w:val="44"/>
          <w:szCs w:val="44"/>
          <w:highlight w:val="none"/>
          <w:lang w:eastAsia="zh-CN"/>
        </w:rPr>
      </w:pPr>
      <w:r>
        <w:rPr>
          <w:rFonts w:hint="eastAsia" w:ascii="仿宋_GB2312" w:hAnsi="宋体" w:eastAsia="仿宋_GB2312"/>
          <w:b/>
          <w:bCs/>
          <w:color w:val="auto"/>
          <w:sz w:val="56"/>
          <w:szCs w:val="56"/>
          <w:highlight w:val="none"/>
          <w:lang w:eastAsia="zh-CN"/>
        </w:rPr>
        <w:t>“森林物语&amp;虫现江湖”——大型热带雨林实景生态展</w:t>
      </w:r>
    </w:p>
    <w:p>
      <w:pPr>
        <w:spacing w:line="360" w:lineRule="auto"/>
        <w:jc w:val="center"/>
        <w:rPr>
          <w:rFonts w:ascii="仿宋_GB2312" w:hAnsi="宋体" w:eastAsia="仿宋_GB2312"/>
          <w:b/>
          <w:bCs/>
          <w:color w:val="auto"/>
          <w:sz w:val="44"/>
          <w:szCs w:val="44"/>
          <w:highlight w:val="none"/>
        </w:rPr>
      </w:pPr>
    </w:p>
    <w:p>
      <w:pPr>
        <w:spacing w:line="360" w:lineRule="auto"/>
        <w:jc w:val="center"/>
        <w:rPr>
          <w:rFonts w:ascii="仿宋_GB2312" w:hAnsi="宋体" w:eastAsia="仿宋_GB2312"/>
          <w:b/>
          <w:bCs/>
          <w:color w:val="auto"/>
          <w:sz w:val="44"/>
          <w:szCs w:val="44"/>
          <w:highlight w:val="none"/>
        </w:rPr>
      </w:pPr>
    </w:p>
    <w:p>
      <w:pPr>
        <w:spacing w:line="360" w:lineRule="auto"/>
        <w:jc w:val="center"/>
        <w:rPr>
          <w:rFonts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单一来源采购文件</w:t>
      </w:r>
    </w:p>
    <w:p>
      <w:pPr>
        <w:spacing w:line="360" w:lineRule="auto"/>
        <w:jc w:val="center"/>
        <w:rPr>
          <w:rFonts w:hint="eastAsia" w:ascii="仿宋_GB2312" w:eastAsia="仿宋_GB2312"/>
          <w:b/>
          <w:bCs/>
          <w:color w:val="auto"/>
          <w:w w:val="95"/>
          <w:sz w:val="28"/>
          <w:szCs w:val="28"/>
          <w:highlight w:val="none"/>
          <w:lang w:eastAsia="zh-CN"/>
        </w:rPr>
      </w:pPr>
      <w:r>
        <w:rPr>
          <w:rFonts w:hint="eastAsia" w:ascii="仿宋_GB2312" w:hAnsi="宋体" w:eastAsia="仿宋_GB2312" w:cs="宋体"/>
          <w:b/>
          <w:color w:val="auto"/>
          <w:kern w:val="0"/>
          <w:sz w:val="28"/>
          <w:szCs w:val="28"/>
          <w:highlight w:val="none"/>
        </w:rPr>
        <w:t>文件编号</w:t>
      </w:r>
      <w:r>
        <w:rPr>
          <w:rFonts w:hint="eastAsia" w:ascii="仿宋_GB2312" w:eastAsia="仿宋_GB2312"/>
          <w:b/>
          <w:bCs/>
          <w:color w:val="auto"/>
          <w:w w:val="95"/>
          <w:sz w:val="28"/>
          <w:szCs w:val="28"/>
          <w:highlight w:val="none"/>
        </w:rPr>
        <w:t>：</w:t>
      </w:r>
      <w:r>
        <w:rPr>
          <w:rFonts w:hint="eastAsia" w:ascii="仿宋_GB2312" w:eastAsia="仿宋_GB2312"/>
          <w:b/>
          <w:bCs/>
          <w:color w:val="auto"/>
          <w:w w:val="95"/>
          <w:sz w:val="28"/>
          <w:szCs w:val="28"/>
          <w:highlight w:val="none"/>
          <w:lang w:eastAsia="zh-CN"/>
        </w:rPr>
        <w:t>KSKX（ZC）2021-</w:t>
      </w:r>
      <w:bookmarkStart w:id="201" w:name="_GoBack"/>
      <w:bookmarkEnd w:id="201"/>
      <w:r>
        <w:rPr>
          <w:rFonts w:hint="eastAsia" w:ascii="仿宋_GB2312" w:eastAsia="仿宋_GB2312"/>
          <w:b/>
          <w:bCs/>
          <w:color w:val="auto"/>
          <w:w w:val="95"/>
          <w:sz w:val="28"/>
          <w:szCs w:val="28"/>
          <w:highlight w:val="none"/>
          <w:lang w:eastAsia="zh-CN"/>
        </w:rPr>
        <w:t>02</w:t>
      </w:r>
    </w:p>
    <w:p>
      <w:pPr>
        <w:overflowPunct w:val="0"/>
        <w:spacing w:line="500" w:lineRule="exact"/>
        <w:jc w:val="center"/>
        <w:rPr>
          <w:rFonts w:ascii="仿宋_GB2312" w:eastAsia="仿宋_GB2312"/>
          <w:b/>
          <w:bCs/>
          <w:color w:val="auto"/>
          <w:sz w:val="32"/>
          <w:szCs w:val="32"/>
          <w:highlight w:val="none"/>
        </w:rPr>
      </w:pPr>
    </w:p>
    <w:p>
      <w:pPr>
        <w:overflowPunct w:val="0"/>
        <w:spacing w:line="500" w:lineRule="exact"/>
        <w:rPr>
          <w:rFonts w:ascii="仿宋_GB2312" w:eastAsia="仿宋_GB2312"/>
          <w:color w:val="auto"/>
          <w:sz w:val="32"/>
          <w:szCs w:val="32"/>
          <w:highlight w:val="none"/>
        </w:rPr>
      </w:pPr>
    </w:p>
    <w:p>
      <w:pPr>
        <w:overflowPunct w:val="0"/>
        <w:spacing w:line="500" w:lineRule="exact"/>
        <w:rPr>
          <w:rFonts w:ascii="仿宋_GB2312" w:eastAsia="仿宋_GB2312"/>
          <w:color w:val="auto"/>
          <w:sz w:val="30"/>
          <w:szCs w:val="30"/>
          <w:highlight w:val="none"/>
        </w:rPr>
      </w:pPr>
    </w:p>
    <w:p>
      <w:pPr>
        <w:overflowPunct w:val="0"/>
        <w:spacing w:line="500" w:lineRule="exact"/>
        <w:rPr>
          <w:rFonts w:hint="eastAsia" w:ascii="仿宋_GB2312" w:eastAsia="仿宋_GB2312"/>
          <w:b/>
          <w:color w:val="auto"/>
          <w:sz w:val="30"/>
          <w:szCs w:val="30"/>
          <w:highlight w:val="none"/>
          <w:lang w:eastAsia="zh-CN"/>
        </w:rPr>
      </w:pPr>
      <w:r>
        <w:rPr>
          <w:rFonts w:hint="eastAsia" w:ascii="仿宋_GB2312" w:eastAsia="仿宋_GB2312"/>
          <w:b/>
          <w:color w:val="auto"/>
          <w:sz w:val="30"/>
          <w:szCs w:val="30"/>
          <w:highlight w:val="none"/>
        </w:rPr>
        <w:t>采购人：</w:t>
      </w:r>
      <w:r>
        <w:rPr>
          <w:rFonts w:hint="eastAsia" w:ascii="仿宋_GB2312" w:eastAsia="仿宋_GB2312"/>
          <w:b/>
          <w:color w:val="auto"/>
          <w:sz w:val="30"/>
          <w:szCs w:val="30"/>
          <w:highlight w:val="none"/>
          <w:lang w:eastAsia="zh-CN"/>
        </w:rPr>
        <w:t>克拉玛依市科学技术协会</w:t>
      </w:r>
    </w:p>
    <w:p>
      <w:pPr>
        <w:overflowPunct w:val="0"/>
        <w:spacing w:line="500" w:lineRule="exact"/>
        <w:rPr>
          <w:rFonts w:ascii="仿宋_GB2312" w:eastAsia="仿宋_GB2312"/>
          <w:b/>
          <w:color w:val="auto"/>
          <w:sz w:val="30"/>
          <w:szCs w:val="30"/>
          <w:highlight w:val="none"/>
        </w:rPr>
      </w:pPr>
    </w:p>
    <w:p>
      <w:pPr>
        <w:overflowPunct w:val="0"/>
        <w:spacing w:line="500" w:lineRule="exact"/>
        <w:rPr>
          <w:rFonts w:ascii="仿宋_GB2312" w:eastAsia="仿宋_GB2312"/>
          <w:b/>
          <w:color w:val="auto"/>
          <w:sz w:val="30"/>
          <w:szCs w:val="30"/>
          <w:highlight w:val="none"/>
        </w:rPr>
      </w:pPr>
    </w:p>
    <w:p>
      <w:pPr>
        <w:overflowPunct w:val="0"/>
        <w:spacing w:line="500" w:lineRule="exact"/>
        <w:rPr>
          <w:rFonts w:ascii="仿宋_GB2312" w:eastAsia="仿宋_GB2312"/>
          <w:b/>
          <w:color w:val="auto"/>
          <w:sz w:val="30"/>
          <w:szCs w:val="30"/>
          <w:highlight w:val="none"/>
        </w:rPr>
      </w:pPr>
    </w:p>
    <w:p>
      <w:pPr>
        <w:overflowPunct w:val="0"/>
        <w:spacing w:line="500" w:lineRule="exact"/>
        <w:rPr>
          <w:rFonts w:ascii="仿宋_GB2312" w:eastAsia="仿宋_GB2312"/>
          <w:b/>
          <w:color w:val="auto"/>
          <w:sz w:val="30"/>
          <w:szCs w:val="30"/>
          <w:highlight w:val="none"/>
        </w:rPr>
      </w:pPr>
      <w:r>
        <w:rPr>
          <w:rFonts w:hint="eastAsia" w:ascii="仿宋_GB2312" w:eastAsia="仿宋_GB2312"/>
          <w:b/>
          <w:color w:val="auto"/>
          <w:sz w:val="30"/>
          <w:szCs w:val="30"/>
          <w:highlight w:val="none"/>
        </w:rPr>
        <w:t>采购代理机构：新疆天麒工程项目管理咨询有限责任公司</w:t>
      </w:r>
    </w:p>
    <w:p>
      <w:pPr>
        <w:overflowPunct w:val="0"/>
        <w:spacing w:line="500" w:lineRule="exact"/>
        <w:jc w:val="center"/>
        <w:rPr>
          <w:rFonts w:ascii="仿宋_GB2312" w:hAnsi="宋体" w:eastAsia="仿宋_GB2312"/>
          <w:b/>
          <w:color w:val="auto"/>
          <w:sz w:val="32"/>
          <w:szCs w:val="32"/>
          <w:highlight w:val="none"/>
        </w:rPr>
      </w:pPr>
    </w:p>
    <w:p>
      <w:pPr>
        <w:overflowPunct w:val="0"/>
        <w:spacing w:line="500" w:lineRule="exact"/>
        <w:jc w:val="center"/>
        <w:rPr>
          <w:rFonts w:ascii="仿宋_GB2312" w:hAnsi="宋体" w:eastAsia="仿宋_GB2312"/>
          <w:b/>
          <w:color w:val="auto"/>
          <w:sz w:val="32"/>
          <w:szCs w:val="32"/>
          <w:highlight w:val="none"/>
        </w:rPr>
      </w:pPr>
    </w:p>
    <w:p>
      <w:pPr>
        <w:overflowPunct w:val="0"/>
        <w:spacing w:line="500" w:lineRule="exact"/>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二零二一年</w:t>
      </w:r>
      <w:r>
        <w:rPr>
          <w:rFonts w:hint="eastAsia" w:ascii="仿宋_GB2312" w:hAnsi="宋体" w:eastAsia="仿宋_GB2312"/>
          <w:b/>
          <w:color w:val="auto"/>
          <w:sz w:val="32"/>
          <w:szCs w:val="32"/>
          <w:highlight w:val="none"/>
          <w:lang w:eastAsia="zh-CN"/>
        </w:rPr>
        <w:t>十</w:t>
      </w:r>
      <w:r>
        <w:rPr>
          <w:rFonts w:hint="eastAsia" w:ascii="仿宋_GB2312" w:hAnsi="宋体" w:eastAsia="仿宋_GB2312"/>
          <w:b/>
          <w:color w:val="auto"/>
          <w:sz w:val="32"/>
          <w:szCs w:val="32"/>
          <w:highlight w:val="none"/>
        </w:rPr>
        <w:t>月</w:t>
      </w:r>
    </w:p>
    <w:p>
      <w:pPr>
        <w:pStyle w:val="35"/>
        <w:rPr>
          <w:rFonts w:ascii="仿宋_GB2312" w:eastAsia="仿宋_GB2312"/>
          <w:color w:val="auto"/>
          <w:spacing w:val="40"/>
          <w:sz w:val="32"/>
          <w:szCs w:val="32"/>
          <w:highlight w:val="none"/>
        </w:rPr>
        <w:sectPr>
          <w:headerReference r:id="rId3" w:type="first"/>
          <w:footerReference r:id="rId5" w:type="first"/>
          <w:footerReference r:id="rId4" w:type="even"/>
          <w:pgSz w:w="11906" w:h="16838"/>
          <w:pgMar w:top="1701" w:right="1797" w:bottom="1701" w:left="1797" w:header="1134" w:footer="1134" w:gutter="0"/>
          <w:pgNumType w:start="1"/>
          <w:cols w:space="720" w:num="1"/>
          <w:docGrid w:type="lines" w:linePitch="312" w:charSpace="0"/>
        </w:sectPr>
      </w:pPr>
    </w:p>
    <w:p>
      <w:pPr>
        <w:jc w:val="center"/>
        <w:rPr>
          <w:rFonts w:ascii="仿宋_GB2312" w:eastAsia="仿宋_GB2312"/>
          <w:b/>
          <w:color w:val="auto"/>
          <w:sz w:val="44"/>
          <w:szCs w:val="44"/>
          <w:highlight w:val="none"/>
        </w:rPr>
      </w:pPr>
    </w:p>
    <w:p>
      <w:pPr>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总目录</w:t>
      </w:r>
    </w:p>
    <w:p>
      <w:pPr>
        <w:jc w:val="center"/>
        <w:rPr>
          <w:rFonts w:ascii="仿宋_GB2312" w:eastAsia="仿宋_GB2312"/>
          <w:b/>
          <w:color w:val="auto"/>
          <w:sz w:val="44"/>
          <w:szCs w:val="44"/>
          <w:highlight w:val="none"/>
        </w:rPr>
      </w:pPr>
    </w:p>
    <w:p>
      <w:pPr>
        <w:jc w:val="center"/>
        <w:rPr>
          <w:rFonts w:ascii="仿宋_GB2312" w:eastAsia="仿宋_GB2312"/>
          <w:b/>
          <w:color w:val="auto"/>
          <w:sz w:val="44"/>
          <w:szCs w:val="44"/>
          <w:highlight w:val="none"/>
        </w:rPr>
      </w:pP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第一章</w:t>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单一来源公示---------------------------------------第2页</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第二章  供应商须知-----------------------------------------第</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页</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第三章  项目采购需求---------------------------------------第2</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页</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第四章</w:t>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合同文本-------------------------------------------第</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页</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第五章  响应文件格式---------------------------------------第</w:t>
      </w:r>
      <w:r>
        <w:rPr>
          <w:rFonts w:hint="eastAsia" w:ascii="仿宋_GB2312" w:eastAsia="仿宋_GB2312"/>
          <w:color w:val="auto"/>
          <w:sz w:val="28"/>
          <w:szCs w:val="28"/>
          <w:highlight w:val="none"/>
          <w:lang w:val="en-US" w:eastAsia="zh-CN"/>
        </w:rPr>
        <w:t>34</w:t>
      </w:r>
      <w:r>
        <w:rPr>
          <w:rFonts w:hint="eastAsia" w:ascii="仿宋_GB2312" w:eastAsia="仿宋_GB2312"/>
          <w:color w:val="auto"/>
          <w:sz w:val="28"/>
          <w:szCs w:val="28"/>
          <w:highlight w:val="none"/>
        </w:rPr>
        <w:t>页</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第六章  初步评审内容---------------------------------------第</w:t>
      </w:r>
      <w:r>
        <w:rPr>
          <w:rFonts w:hint="eastAsia" w:ascii="仿宋_GB2312" w:eastAsia="仿宋_GB2312"/>
          <w:color w:val="auto"/>
          <w:sz w:val="28"/>
          <w:szCs w:val="28"/>
          <w:highlight w:val="none"/>
          <w:lang w:val="en-US" w:eastAsia="zh-CN"/>
        </w:rPr>
        <w:t>49</w:t>
      </w:r>
      <w:r>
        <w:rPr>
          <w:rFonts w:hint="eastAsia" w:ascii="仿宋_GB2312" w:eastAsia="仿宋_GB2312"/>
          <w:color w:val="auto"/>
          <w:sz w:val="28"/>
          <w:szCs w:val="28"/>
          <w:highlight w:val="none"/>
        </w:rPr>
        <w:t>页</w:t>
      </w:r>
    </w:p>
    <w:p>
      <w:pPr>
        <w:spacing w:line="360" w:lineRule="auto"/>
        <w:ind w:firstLine="560" w:firstLineChars="200"/>
        <w:rPr>
          <w:rFonts w:ascii="仿宋_GB2312" w:eastAsia="仿宋_GB2312"/>
          <w:color w:val="auto"/>
          <w:sz w:val="28"/>
          <w:szCs w:val="28"/>
          <w:highlight w:val="none"/>
        </w:rPr>
      </w:pPr>
    </w:p>
    <w:p>
      <w:pPr>
        <w:spacing w:line="360" w:lineRule="auto"/>
        <w:rPr>
          <w:rFonts w:ascii="仿宋_GB2312" w:eastAsia="仿宋_GB2312"/>
          <w:color w:val="auto"/>
          <w:sz w:val="32"/>
          <w:szCs w:val="32"/>
          <w:highlight w:val="none"/>
        </w:rPr>
      </w:pPr>
    </w:p>
    <w:p>
      <w:pPr>
        <w:spacing w:line="360" w:lineRule="auto"/>
        <w:rPr>
          <w:rFonts w:ascii="仿宋_GB2312" w:eastAsia="仿宋_GB2312"/>
          <w:color w:val="auto"/>
          <w:sz w:val="32"/>
          <w:szCs w:val="32"/>
          <w:highlight w:val="none"/>
        </w:rPr>
      </w:pPr>
    </w:p>
    <w:p>
      <w:pPr>
        <w:spacing w:line="360" w:lineRule="auto"/>
        <w:rPr>
          <w:rFonts w:ascii="仿宋_GB2312" w:eastAsia="仿宋_GB2312"/>
          <w:color w:val="auto"/>
          <w:sz w:val="32"/>
          <w:szCs w:val="32"/>
          <w:highlight w:val="none"/>
        </w:rPr>
      </w:pPr>
    </w:p>
    <w:p>
      <w:pPr>
        <w:spacing w:line="360" w:lineRule="auto"/>
        <w:rPr>
          <w:rFonts w:ascii="仿宋_GB2312" w:eastAsia="仿宋_GB2312"/>
          <w:color w:val="auto"/>
          <w:sz w:val="32"/>
          <w:szCs w:val="32"/>
          <w:highlight w:val="none"/>
        </w:rPr>
      </w:pPr>
    </w:p>
    <w:p>
      <w:pPr>
        <w:spacing w:line="360" w:lineRule="auto"/>
        <w:rPr>
          <w:rFonts w:ascii="仿宋_GB2312" w:eastAsia="仿宋_GB2312"/>
          <w:color w:val="auto"/>
          <w:sz w:val="32"/>
          <w:szCs w:val="32"/>
          <w:highlight w:val="none"/>
        </w:rPr>
      </w:pPr>
    </w:p>
    <w:p>
      <w:pPr>
        <w:spacing w:line="360" w:lineRule="auto"/>
        <w:rPr>
          <w:rFonts w:ascii="仿宋_GB2312" w:eastAsia="仿宋_GB2312"/>
          <w:color w:val="auto"/>
          <w:sz w:val="32"/>
          <w:szCs w:val="32"/>
          <w:highlight w:val="none"/>
        </w:rPr>
      </w:pPr>
    </w:p>
    <w:p>
      <w:pPr>
        <w:spacing w:line="360" w:lineRule="auto"/>
        <w:rPr>
          <w:rFonts w:ascii="仿宋_GB2312" w:eastAsia="仿宋_GB2312"/>
          <w:color w:val="auto"/>
          <w:sz w:val="32"/>
          <w:szCs w:val="32"/>
          <w:highlight w:val="none"/>
        </w:rPr>
      </w:pPr>
    </w:p>
    <w:p>
      <w:pPr>
        <w:spacing w:line="360" w:lineRule="auto"/>
        <w:rPr>
          <w:rFonts w:ascii="仿宋_GB2312" w:eastAsia="仿宋_GB2312"/>
          <w:color w:val="auto"/>
          <w:sz w:val="32"/>
          <w:szCs w:val="32"/>
          <w:highlight w:val="none"/>
        </w:rPr>
      </w:pPr>
    </w:p>
    <w:p>
      <w:pPr>
        <w:pStyle w:val="2"/>
        <w:rPr>
          <w:color w:val="auto"/>
          <w:highlight w:val="none"/>
        </w:rPr>
      </w:pPr>
    </w:p>
    <w:p>
      <w:pPr>
        <w:spacing w:line="360" w:lineRule="auto"/>
        <w:rPr>
          <w:rFonts w:ascii="仿宋_GB2312" w:eastAsia="仿宋_GB2312"/>
          <w:color w:val="auto"/>
          <w:sz w:val="32"/>
          <w:szCs w:val="32"/>
          <w:highlight w:val="none"/>
        </w:rPr>
      </w:pPr>
    </w:p>
    <w:p>
      <w:pPr>
        <w:spacing w:line="360" w:lineRule="auto"/>
        <w:rPr>
          <w:rFonts w:ascii="仿宋_GB2312" w:eastAsia="仿宋_GB2312"/>
          <w:color w:val="auto"/>
          <w:sz w:val="32"/>
          <w:szCs w:val="32"/>
          <w:highlight w:val="none"/>
        </w:rPr>
      </w:pPr>
    </w:p>
    <w:p>
      <w:pPr>
        <w:spacing w:line="360" w:lineRule="auto"/>
        <w:rPr>
          <w:rFonts w:ascii="仿宋_GB2312" w:eastAsia="仿宋_GB2312"/>
          <w:color w:val="auto"/>
          <w:sz w:val="32"/>
          <w:szCs w:val="32"/>
          <w:highlight w:val="none"/>
        </w:rPr>
      </w:pPr>
    </w:p>
    <w:p>
      <w:pPr>
        <w:spacing w:line="360" w:lineRule="auto"/>
        <w:rPr>
          <w:rFonts w:ascii="仿宋_GB2312" w:eastAsia="仿宋_GB2312"/>
          <w:color w:val="auto"/>
          <w:sz w:val="32"/>
          <w:szCs w:val="32"/>
          <w:highlight w:val="none"/>
        </w:rPr>
      </w:pPr>
    </w:p>
    <w:p>
      <w:pPr>
        <w:spacing w:line="360" w:lineRule="auto"/>
        <w:jc w:val="center"/>
        <w:rPr>
          <w:rFonts w:ascii="黑体" w:hAnsi="黑体" w:eastAsia="黑体"/>
          <w:color w:val="auto"/>
          <w:sz w:val="28"/>
          <w:szCs w:val="28"/>
          <w:highlight w:val="none"/>
        </w:rPr>
      </w:pPr>
      <w:bookmarkStart w:id="1" w:name="_Toc35393832"/>
      <w:bookmarkStart w:id="2" w:name="_Toc28359042"/>
      <w:r>
        <w:rPr>
          <w:rFonts w:hint="eastAsia" w:ascii="黑体" w:hAnsi="黑体" w:eastAsia="黑体"/>
          <w:color w:val="auto"/>
          <w:sz w:val="28"/>
          <w:szCs w:val="28"/>
          <w:highlight w:val="none"/>
        </w:rPr>
        <w:t>第一章、单一来源采购公示</w:t>
      </w:r>
      <w:bookmarkEnd w:id="1"/>
      <w:bookmarkEnd w:id="2"/>
    </w:p>
    <w:p>
      <w:pPr>
        <w:spacing w:line="360" w:lineRule="auto"/>
        <w:rPr>
          <w:rFonts w:ascii="黑体" w:hAnsi="黑体" w:eastAsia="黑体"/>
          <w:color w:val="auto"/>
          <w:sz w:val="28"/>
          <w:szCs w:val="28"/>
          <w:highlight w:val="none"/>
        </w:rPr>
      </w:pPr>
      <w:r>
        <w:rPr>
          <w:rFonts w:hint="eastAsia" w:ascii="黑体" w:hAnsi="黑体" w:eastAsia="黑体"/>
          <w:color w:val="auto"/>
          <w:sz w:val="28"/>
          <w:szCs w:val="28"/>
          <w:highlight w:val="none"/>
        </w:rPr>
        <w:t>一、项目信息</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采购人：</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eastAsia="zh-CN"/>
        </w:rPr>
        <w:t>克拉玛依市科学技术协会</w:t>
      </w:r>
      <w:r>
        <w:rPr>
          <w:rFonts w:hint="eastAsia" w:ascii="仿宋" w:hAnsi="仿宋" w:eastAsia="仿宋"/>
          <w:color w:val="auto"/>
          <w:sz w:val="28"/>
          <w:szCs w:val="28"/>
          <w:highlight w:val="none"/>
          <w:u w:val="single"/>
        </w:rPr>
        <w:t>　</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eastAsia="zh-CN"/>
        </w:rPr>
        <w:t>“森林物语&amp;虫现江湖”——大型热带雨林实景生态展</w:t>
      </w:r>
      <w:r>
        <w:rPr>
          <w:rFonts w:hint="eastAsia" w:ascii="仿宋" w:hAnsi="仿宋" w:eastAsia="仿宋"/>
          <w:color w:val="auto"/>
          <w:sz w:val="28"/>
          <w:szCs w:val="28"/>
          <w:highlight w:val="none"/>
          <w:u w:val="single"/>
        </w:rPr>
        <w:t xml:space="preserve"> </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拟</w:t>
      </w:r>
      <w:r>
        <w:rPr>
          <w:rFonts w:ascii="仿宋" w:hAnsi="仿宋" w:eastAsia="仿宋"/>
          <w:color w:val="auto"/>
          <w:sz w:val="28"/>
          <w:szCs w:val="28"/>
          <w:highlight w:val="none"/>
        </w:rPr>
        <w:t>采购的货物或服务的说明</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神秘的热带雨林拥有地球上最稀有和独特的动植物群，地球上近40%至75%的物种居住在这些森林中。《森林物语》将热带雨林动植物群，在 900平米的“天然氧吧”里，360度呈现还原出雨林生态。展览现场不仅有惊奇的动物和植物，还有活流水、弯曲的道路，营造出一座“惊奇活”的森林物语。克拉玛依市科技馆拟引进森林物语（热带雨林）虫现江湖，让观众在“热带雨林”中，真正做到所看，所感，所想，所闻，与动植物零距离互动，寓教于乐，自然而然科普到自然科学知识。展览内容：两大主题区：雨林景观区、河流景观区</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rPr>
        <w:t>三大元素：景观布置、动物展示、科普教育。　</w:t>
      </w:r>
    </w:p>
    <w:p>
      <w:pPr>
        <w:spacing w:line="360" w:lineRule="auto"/>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拟</w:t>
      </w:r>
      <w:r>
        <w:rPr>
          <w:rFonts w:ascii="仿宋" w:hAnsi="仿宋" w:eastAsia="仿宋"/>
          <w:color w:val="auto"/>
          <w:sz w:val="28"/>
          <w:szCs w:val="28"/>
          <w:highlight w:val="none"/>
        </w:rPr>
        <w:t>采购的货物或服务的预算金额</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85万元</w:t>
      </w:r>
      <w:r>
        <w:rPr>
          <w:rFonts w:hint="eastAsia" w:ascii="仿宋" w:hAnsi="仿宋" w:eastAsia="仿宋"/>
          <w:color w:val="auto"/>
          <w:sz w:val="28"/>
          <w:szCs w:val="28"/>
          <w:highlight w:val="none"/>
          <w:u w:val="single"/>
        </w:rPr>
        <w:t>　</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采用单一来源采购方式的原因及说明：</w:t>
      </w:r>
      <w:r>
        <w:rPr>
          <w:rFonts w:hint="eastAsia" w:ascii="仿宋" w:hAnsi="仿宋" w:eastAsia="仿宋"/>
          <w:color w:val="auto"/>
          <w:sz w:val="28"/>
          <w:szCs w:val="28"/>
          <w:highlight w:val="none"/>
          <w:u w:val="single"/>
        </w:rPr>
        <w:t>　本项目是全国首个也是唯一一个将雨林场景、溪流场景及活体动物、植物有机结合打造，融生态、环保、体验、互动、参与、感受、科普为一体的室内体验展</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lang w:eastAsia="zh-CN"/>
        </w:rPr>
        <w:t>也是</w:t>
      </w:r>
      <w:r>
        <w:rPr>
          <w:rFonts w:hint="eastAsia" w:ascii="仿宋" w:hAnsi="仿宋" w:eastAsia="仿宋"/>
          <w:color w:val="auto"/>
          <w:sz w:val="28"/>
          <w:szCs w:val="28"/>
          <w:highlight w:val="none"/>
          <w:u w:val="single"/>
          <w:lang w:val="en-US" w:eastAsia="zh-CN"/>
        </w:rPr>
        <w:t>首个将动物、植物的生存策略与中国兵法古籍《三十六计》相结合的展览。厦门科技馆管理有限公司于2019年提出“虫现江湖”展的概念，项目的核心展项开发和制作均由该公司完成，</w:t>
      </w:r>
      <w:r>
        <w:rPr>
          <w:rFonts w:hint="eastAsia" w:ascii="仿宋" w:hAnsi="仿宋" w:eastAsia="仿宋"/>
          <w:color w:val="auto"/>
          <w:sz w:val="28"/>
          <w:szCs w:val="28"/>
          <w:highlight w:val="none"/>
          <w:u w:val="single"/>
          <w:lang w:val="en-US" w:eastAsia="zh-CN"/>
        </w:rPr>
        <w:t>对该</w:t>
      </w:r>
      <w:r>
        <w:rPr>
          <w:rFonts w:hint="eastAsia" w:ascii="仿宋" w:hAnsi="仿宋" w:eastAsia="仿宋"/>
          <w:color w:val="auto"/>
          <w:sz w:val="28"/>
          <w:szCs w:val="28"/>
          <w:highlight w:val="none"/>
          <w:u w:val="single"/>
          <w:lang w:val="en-US" w:eastAsia="zh-CN"/>
        </w:rPr>
        <w:t>项目具有唯一性使用权和运营权。</w:t>
      </w:r>
      <w:r>
        <w:rPr>
          <w:rFonts w:hint="eastAsia" w:ascii="仿宋" w:hAnsi="仿宋" w:eastAsia="仿宋"/>
          <w:color w:val="auto"/>
          <w:sz w:val="28"/>
          <w:szCs w:val="28"/>
          <w:highlight w:val="none"/>
          <w:u w:val="single"/>
        </w:rPr>
        <w:t>作为</w:t>
      </w:r>
      <w:r>
        <w:rPr>
          <w:rFonts w:hint="eastAsia" w:ascii="仿宋" w:hAnsi="仿宋" w:eastAsia="仿宋"/>
          <w:color w:val="auto"/>
          <w:sz w:val="28"/>
          <w:szCs w:val="28"/>
          <w:highlight w:val="none"/>
          <w:u w:val="single"/>
          <w:lang w:val="en-US" w:eastAsia="zh-CN"/>
        </w:rPr>
        <w:t>厦门科技馆管理有限公司</w:t>
      </w:r>
      <w:r>
        <w:rPr>
          <w:rFonts w:hint="eastAsia" w:ascii="仿宋" w:hAnsi="仿宋" w:eastAsia="仿宋"/>
          <w:color w:val="auto"/>
          <w:sz w:val="28"/>
          <w:szCs w:val="28"/>
          <w:highlight w:val="none"/>
          <w:u w:val="single"/>
        </w:rPr>
        <w:t>推入市场的优质产品，项目在多个省、市级科技馆布展，并获得行业及市场的一致好评。</w:t>
      </w:r>
      <w:r>
        <w:rPr>
          <w:rFonts w:hint="eastAsia" w:ascii="仿宋" w:hAnsi="仿宋" w:eastAsia="仿宋"/>
          <w:color w:val="auto"/>
          <w:sz w:val="28"/>
          <w:szCs w:val="28"/>
          <w:highlight w:val="none"/>
          <w:u w:val="single"/>
          <w:lang w:val="en-US" w:eastAsia="zh-CN"/>
        </w:rPr>
        <w:t>厦门科技馆是国企路桥集团全资子公司，属于大型企业；拥有丰富的、合法的动植物采购渠道，能打造丰富的动植物展示场景</w:t>
      </w:r>
      <w:r>
        <w:rPr>
          <w:rFonts w:hint="eastAsia" w:ascii="仿宋" w:hAnsi="仿宋" w:eastAsia="仿宋"/>
          <w:color w:val="auto"/>
          <w:sz w:val="28"/>
          <w:szCs w:val="28"/>
          <w:highlight w:val="none"/>
          <w:u w:val="single"/>
          <w:lang w:val="en-US" w:eastAsia="zh-CN"/>
        </w:rPr>
        <w:t>，</w:t>
      </w:r>
      <w:r>
        <w:rPr>
          <w:rFonts w:hint="eastAsia" w:ascii="仿宋" w:hAnsi="仿宋" w:eastAsia="仿宋"/>
          <w:color w:val="auto"/>
          <w:sz w:val="28"/>
          <w:szCs w:val="28"/>
          <w:highlight w:val="none"/>
          <w:u w:val="single"/>
        </w:rPr>
        <w:t>为保证项目顺利进行，</w:t>
      </w:r>
      <w:r>
        <w:rPr>
          <w:rFonts w:hint="eastAsia" w:ascii="仿宋" w:hAnsi="仿宋" w:eastAsia="仿宋"/>
          <w:color w:val="auto"/>
          <w:sz w:val="28"/>
          <w:szCs w:val="28"/>
          <w:highlight w:val="none"/>
          <w:u w:val="single"/>
          <w:lang w:eastAsia="zh-CN"/>
        </w:rPr>
        <w:t>申请</w:t>
      </w:r>
      <w:r>
        <w:rPr>
          <w:rFonts w:hint="eastAsia" w:ascii="仿宋" w:hAnsi="仿宋" w:eastAsia="仿宋"/>
          <w:color w:val="auto"/>
          <w:sz w:val="28"/>
          <w:szCs w:val="28"/>
          <w:highlight w:val="none"/>
          <w:u w:val="single"/>
        </w:rPr>
        <w:t>本项目采用单一来源方式进行。</w:t>
      </w:r>
    </w:p>
    <w:p>
      <w:pPr>
        <w:spacing w:line="360" w:lineRule="auto"/>
        <w:rPr>
          <w:rFonts w:ascii="黑体" w:hAnsi="黑体" w:eastAsia="黑体"/>
          <w:color w:val="auto"/>
          <w:sz w:val="28"/>
          <w:szCs w:val="28"/>
          <w:highlight w:val="none"/>
        </w:rPr>
      </w:pPr>
      <w:r>
        <w:rPr>
          <w:rFonts w:hint="eastAsia" w:ascii="黑体" w:hAnsi="黑体" w:eastAsia="黑体"/>
          <w:color w:val="auto"/>
          <w:sz w:val="28"/>
          <w:szCs w:val="28"/>
          <w:highlight w:val="none"/>
        </w:rPr>
        <w:t>二、拟定供应商信息</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名称：</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厦门科技馆管理有限公司</w:t>
      </w:r>
      <w:r>
        <w:rPr>
          <w:rFonts w:hint="eastAsia" w:ascii="仿宋" w:hAnsi="仿宋" w:eastAsia="仿宋"/>
          <w:color w:val="auto"/>
          <w:sz w:val="28"/>
          <w:szCs w:val="28"/>
          <w:highlight w:val="none"/>
          <w:u w:val="single"/>
        </w:rPr>
        <w:t>　</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地址：</w:t>
      </w:r>
      <w:r>
        <w:rPr>
          <w:rFonts w:hint="eastAsia" w:ascii="仿宋" w:hAnsi="仿宋" w:eastAsia="仿宋"/>
          <w:color w:val="auto"/>
          <w:sz w:val="28"/>
          <w:szCs w:val="28"/>
          <w:highlight w:val="none"/>
          <w:u w:val="single"/>
        </w:rPr>
        <w:t>　厦门市思明区体育路95号(文化艺术中心)　</w:t>
      </w:r>
    </w:p>
    <w:p>
      <w:pPr>
        <w:spacing w:line="360" w:lineRule="auto"/>
        <w:rPr>
          <w:rFonts w:ascii="黑体" w:hAnsi="黑体" w:eastAsia="黑体"/>
          <w:color w:val="auto"/>
          <w:sz w:val="28"/>
          <w:szCs w:val="28"/>
          <w:highlight w:val="none"/>
        </w:rPr>
      </w:pPr>
      <w:r>
        <w:rPr>
          <w:rFonts w:hint="eastAsia" w:ascii="黑体" w:hAnsi="黑体" w:eastAsia="黑体"/>
          <w:color w:val="auto"/>
          <w:sz w:val="28"/>
          <w:szCs w:val="28"/>
          <w:highlight w:val="none"/>
        </w:rPr>
        <w:t>三、公示期限</w:t>
      </w:r>
    </w:p>
    <w:p>
      <w:pPr>
        <w:pStyle w:val="76"/>
        <w:spacing w:line="360" w:lineRule="auto"/>
        <w:ind w:left="-10" w:leftChars="-5" w:firstLine="560"/>
        <w:rPr>
          <w:rFonts w:ascii="仿宋" w:hAnsi="仿宋" w:eastAsia="仿宋"/>
          <w:color w:val="auto"/>
          <w:sz w:val="28"/>
          <w:szCs w:val="28"/>
          <w:highlight w:val="none"/>
        </w:rPr>
      </w:pPr>
      <w:r>
        <w:rPr>
          <w:rFonts w:hint="eastAsia" w:ascii="仿宋" w:hAnsi="仿宋" w:eastAsia="仿宋"/>
          <w:color w:val="auto"/>
          <w:sz w:val="28"/>
          <w:szCs w:val="28"/>
          <w:highlight w:val="none"/>
          <w:u w:val="single"/>
          <w:lang w:val="en-US" w:eastAsia="zh-CN"/>
        </w:rPr>
        <w:t>2021</w:t>
      </w:r>
      <w:r>
        <w:rPr>
          <w:rFonts w:hint="eastAsia" w:ascii="仿宋" w:hAnsi="仿宋" w:eastAsia="仿宋"/>
          <w:color w:val="auto"/>
          <w:sz w:val="28"/>
          <w:szCs w:val="28"/>
          <w:highlight w:val="none"/>
          <w:u w:val="single"/>
        </w:rPr>
        <w:t>年</w:t>
      </w:r>
      <w:r>
        <w:rPr>
          <w:rFonts w:hint="eastAsia" w:ascii="仿宋" w:hAnsi="仿宋" w:eastAsia="仿宋"/>
          <w:color w:val="auto"/>
          <w:sz w:val="28"/>
          <w:szCs w:val="28"/>
          <w:highlight w:val="none"/>
          <w:u w:val="single"/>
          <w:lang w:val="en-US" w:eastAsia="zh-CN"/>
        </w:rPr>
        <w:t>10</w:t>
      </w:r>
      <w:r>
        <w:rPr>
          <w:rFonts w:hint="eastAsia" w:ascii="仿宋" w:hAnsi="仿宋" w:eastAsia="仿宋"/>
          <w:color w:val="auto"/>
          <w:sz w:val="28"/>
          <w:szCs w:val="28"/>
          <w:highlight w:val="none"/>
          <w:u w:val="single"/>
        </w:rPr>
        <w:t>月</w:t>
      </w:r>
      <w:r>
        <w:rPr>
          <w:rFonts w:hint="eastAsia" w:ascii="仿宋" w:hAnsi="仿宋" w:eastAsia="仿宋"/>
          <w:color w:val="auto"/>
          <w:sz w:val="28"/>
          <w:szCs w:val="28"/>
          <w:highlight w:val="none"/>
          <w:u w:val="single"/>
          <w:lang w:val="en-US" w:eastAsia="zh-CN"/>
        </w:rPr>
        <w:t>15</w:t>
      </w:r>
      <w:r>
        <w:rPr>
          <w:rFonts w:hint="eastAsia" w:ascii="仿宋" w:hAnsi="仿宋" w:eastAsia="仿宋"/>
          <w:color w:val="auto"/>
          <w:sz w:val="28"/>
          <w:szCs w:val="28"/>
          <w:highlight w:val="none"/>
          <w:u w:val="single"/>
        </w:rPr>
        <w:t>日</w:t>
      </w:r>
      <w:r>
        <w:rPr>
          <w:rFonts w:hint="eastAsia" w:ascii="仿宋" w:hAnsi="仿宋" w:eastAsia="仿宋"/>
          <w:color w:val="auto"/>
          <w:sz w:val="28"/>
          <w:szCs w:val="28"/>
          <w:highlight w:val="none"/>
        </w:rPr>
        <w:t>至</w:t>
      </w:r>
      <w:r>
        <w:rPr>
          <w:rFonts w:hint="eastAsia" w:ascii="仿宋" w:hAnsi="仿宋" w:eastAsia="仿宋"/>
          <w:color w:val="auto"/>
          <w:sz w:val="28"/>
          <w:szCs w:val="28"/>
          <w:highlight w:val="none"/>
          <w:u w:val="single"/>
          <w:lang w:val="en-US" w:eastAsia="zh-CN"/>
        </w:rPr>
        <w:t>2021</w:t>
      </w:r>
      <w:r>
        <w:rPr>
          <w:rFonts w:hint="eastAsia" w:ascii="仿宋" w:hAnsi="仿宋" w:eastAsia="仿宋"/>
          <w:color w:val="auto"/>
          <w:sz w:val="28"/>
          <w:szCs w:val="28"/>
          <w:highlight w:val="none"/>
          <w:u w:val="single"/>
        </w:rPr>
        <w:t>年</w:t>
      </w:r>
      <w:r>
        <w:rPr>
          <w:rFonts w:hint="eastAsia" w:ascii="仿宋" w:hAnsi="仿宋" w:eastAsia="仿宋"/>
          <w:color w:val="auto"/>
          <w:sz w:val="28"/>
          <w:szCs w:val="28"/>
          <w:highlight w:val="none"/>
          <w:u w:val="single"/>
          <w:lang w:val="en-US" w:eastAsia="zh-CN"/>
        </w:rPr>
        <w:t>10</w:t>
      </w:r>
      <w:r>
        <w:rPr>
          <w:rFonts w:hint="eastAsia" w:ascii="仿宋" w:hAnsi="仿宋" w:eastAsia="仿宋"/>
          <w:color w:val="auto"/>
          <w:sz w:val="28"/>
          <w:szCs w:val="28"/>
          <w:highlight w:val="none"/>
          <w:u w:val="single"/>
        </w:rPr>
        <w:t>月</w:t>
      </w:r>
      <w:r>
        <w:rPr>
          <w:rFonts w:hint="eastAsia" w:ascii="仿宋" w:hAnsi="仿宋" w:eastAsia="仿宋"/>
          <w:color w:val="auto"/>
          <w:sz w:val="28"/>
          <w:szCs w:val="28"/>
          <w:highlight w:val="none"/>
          <w:u w:val="single"/>
          <w:lang w:val="en-US" w:eastAsia="zh-CN"/>
        </w:rPr>
        <w:t>22</w:t>
      </w:r>
      <w:r>
        <w:rPr>
          <w:rFonts w:hint="eastAsia" w:ascii="仿宋" w:hAnsi="仿宋" w:eastAsia="仿宋"/>
          <w:color w:val="auto"/>
          <w:sz w:val="28"/>
          <w:szCs w:val="28"/>
          <w:highlight w:val="none"/>
          <w:u w:val="single"/>
        </w:rPr>
        <w:t>日</w:t>
      </w:r>
    </w:p>
    <w:p>
      <w:pPr>
        <w:spacing w:line="360" w:lineRule="auto"/>
        <w:rPr>
          <w:rFonts w:hint="eastAsia" w:ascii="Times New Roman" w:hAnsi="Times New Roman" w:eastAsia="仿宋_GB2312" w:cs="Times New Roman"/>
          <w:color w:val="auto"/>
          <w:sz w:val="28"/>
          <w:szCs w:val="28"/>
          <w:highlight w:val="none"/>
          <w:u w:val="single"/>
          <w:lang w:eastAsia="zh-CN"/>
        </w:rPr>
      </w:pPr>
      <w:r>
        <w:rPr>
          <w:rFonts w:hint="eastAsia" w:ascii="黑体" w:hAnsi="黑体" w:eastAsia="黑体"/>
          <w:color w:val="auto"/>
          <w:sz w:val="28"/>
          <w:szCs w:val="28"/>
          <w:highlight w:val="none"/>
        </w:rPr>
        <w:t>四、</w:t>
      </w:r>
      <w:r>
        <w:rPr>
          <w:rFonts w:ascii="黑体" w:hAnsi="黑体" w:eastAsia="黑体"/>
          <w:color w:val="auto"/>
          <w:sz w:val="28"/>
          <w:szCs w:val="28"/>
          <w:highlight w:val="none"/>
        </w:rPr>
        <w:t>其他</w:t>
      </w:r>
      <w:r>
        <w:rPr>
          <w:rFonts w:hint="eastAsia" w:ascii="黑体" w:hAnsi="黑体" w:eastAsia="黑体"/>
          <w:color w:val="auto"/>
          <w:sz w:val="28"/>
          <w:szCs w:val="28"/>
          <w:highlight w:val="none"/>
        </w:rPr>
        <w:t>补充事宜：</w:t>
      </w:r>
      <w:r>
        <w:rPr>
          <w:rFonts w:hint="eastAsia" w:ascii="Times New Roman" w:hAnsi="Times New Roman" w:eastAsia="仿宋_GB2312" w:cs="Times New Roman"/>
          <w:color w:val="auto"/>
          <w:sz w:val="28"/>
          <w:szCs w:val="28"/>
          <w:highlight w:val="none"/>
          <w:u w:val="single"/>
          <w:lang w:eastAsia="zh-CN"/>
        </w:rPr>
        <w:t>代理机构名称：新疆天麒工程项目管理咨询有限责任公司</w:t>
      </w:r>
    </w:p>
    <w:p>
      <w:pPr>
        <w:spacing w:line="360" w:lineRule="auto"/>
        <w:rPr>
          <w:rFonts w:ascii="黑体" w:hAnsi="黑体" w:eastAsia="黑体"/>
          <w:color w:val="auto"/>
          <w:sz w:val="28"/>
          <w:szCs w:val="28"/>
          <w:highlight w:val="none"/>
        </w:rPr>
      </w:pPr>
      <w:r>
        <w:rPr>
          <w:rFonts w:hint="eastAsia" w:ascii="黑体" w:hAnsi="黑体" w:eastAsia="黑体"/>
          <w:color w:val="auto"/>
          <w:sz w:val="28"/>
          <w:szCs w:val="28"/>
          <w:highlight w:val="none"/>
        </w:rPr>
        <w:t>五、联系方式</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1.采购人</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 系 人：</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eastAsia="zh-CN"/>
        </w:rPr>
        <w:t>陈凯</w:t>
      </w:r>
      <w:r>
        <w:rPr>
          <w:rFonts w:hint="eastAsia" w:ascii="仿宋" w:hAnsi="仿宋" w:eastAsia="仿宋"/>
          <w:color w:val="auto"/>
          <w:sz w:val="28"/>
          <w:szCs w:val="28"/>
          <w:highlight w:val="none"/>
          <w:u w:val="single"/>
        </w:rPr>
        <w:t>　</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联系地址：</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eastAsia="zh-CN"/>
        </w:rPr>
        <w:t>克拉玛依市克拉玛依区迎宾路60号</w:t>
      </w:r>
      <w:r>
        <w:rPr>
          <w:rFonts w:hint="eastAsia" w:ascii="仿宋" w:hAnsi="仿宋" w:eastAsia="仿宋"/>
          <w:color w:val="auto"/>
          <w:sz w:val="28"/>
          <w:szCs w:val="28"/>
          <w:highlight w:val="none"/>
          <w:u w:val="single"/>
        </w:rPr>
        <w:t>　</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0990-6623360　</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2.财政部门</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 系 人：</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eastAsia="zh-CN"/>
        </w:rPr>
        <w:t>刘艳</w:t>
      </w:r>
      <w:r>
        <w:rPr>
          <w:rFonts w:hint="eastAsia" w:ascii="仿宋" w:hAnsi="仿宋" w:eastAsia="仿宋"/>
          <w:color w:val="auto"/>
          <w:sz w:val="28"/>
          <w:szCs w:val="28"/>
          <w:highlight w:val="none"/>
          <w:u w:val="single"/>
        </w:rPr>
        <w:t>　</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联系地址：</w:t>
      </w:r>
      <w:r>
        <w:rPr>
          <w:rFonts w:hint="eastAsia" w:ascii="仿宋" w:hAnsi="仿宋" w:eastAsia="仿宋"/>
          <w:color w:val="auto"/>
          <w:sz w:val="28"/>
          <w:szCs w:val="28"/>
          <w:highlight w:val="none"/>
          <w:u w:val="single"/>
        </w:rPr>
        <w:t>　</w:t>
      </w:r>
      <w:r>
        <w:rPr>
          <w:rFonts w:hint="eastAsia" w:eastAsia="仿宋_GB2312"/>
          <w:color w:val="auto"/>
          <w:sz w:val="28"/>
          <w:szCs w:val="28"/>
          <w:highlight w:val="none"/>
          <w:u w:val="single"/>
        </w:rPr>
        <w:t>克拉玛依市克拉玛依区迎宾路60号</w:t>
      </w:r>
      <w:r>
        <w:rPr>
          <w:rFonts w:hint="eastAsia" w:ascii="仿宋" w:hAnsi="仿宋" w:eastAsia="仿宋"/>
          <w:color w:val="auto"/>
          <w:sz w:val="28"/>
          <w:szCs w:val="28"/>
          <w:highlight w:val="none"/>
          <w:u w:val="single"/>
        </w:rPr>
        <w:t>　　　　　</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0990-6239160</w:t>
      </w:r>
      <w:r>
        <w:rPr>
          <w:rFonts w:hint="eastAsia" w:ascii="仿宋" w:hAnsi="仿宋" w:eastAsia="仿宋"/>
          <w:color w:val="auto"/>
          <w:sz w:val="28"/>
          <w:szCs w:val="28"/>
          <w:highlight w:val="none"/>
          <w:u w:val="single"/>
        </w:rPr>
        <w:t>　</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3.采购代理机构</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 系 人：</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eastAsia="zh-CN"/>
        </w:rPr>
        <w:t>李娟</w:t>
      </w:r>
      <w:r>
        <w:rPr>
          <w:rFonts w:hint="eastAsia" w:ascii="仿宋" w:hAnsi="仿宋" w:eastAsia="仿宋"/>
          <w:color w:val="auto"/>
          <w:sz w:val="28"/>
          <w:szCs w:val="28"/>
          <w:highlight w:val="none"/>
          <w:u w:val="single"/>
          <w:lang w:val="en-US" w:eastAsia="zh-CN"/>
        </w:rPr>
        <w:t xml:space="preserve">   娜吉玛</w:t>
      </w:r>
      <w:r>
        <w:rPr>
          <w:rFonts w:hint="eastAsia" w:ascii="仿宋" w:hAnsi="仿宋" w:eastAsia="仿宋"/>
          <w:color w:val="auto"/>
          <w:sz w:val="28"/>
          <w:szCs w:val="28"/>
          <w:highlight w:val="none"/>
          <w:u w:val="single"/>
        </w:rPr>
        <w:t>　</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联系地址：</w:t>
      </w:r>
      <w:r>
        <w:rPr>
          <w:rFonts w:hint="eastAsia" w:ascii="仿宋" w:hAnsi="仿宋" w:eastAsia="仿宋"/>
          <w:color w:val="auto"/>
          <w:sz w:val="28"/>
          <w:szCs w:val="28"/>
          <w:highlight w:val="none"/>
          <w:u w:val="single"/>
        </w:rPr>
        <w:t>　</w:t>
      </w:r>
      <w:r>
        <w:rPr>
          <w:rFonts w:eastAsia="仿宋_GB2312"/>
          <w:color w:val="auto"/>
          <w:sz w:val="28"/>
          <w:szCs w:val="28"/>
          <w:highlight w:val="none"/>
          <w:u w:val="single"/>
        </w:rPr>
        <w:t>新疆克拉玛依市通讯路44号</w:t>
      </w:r>
      <w:r>
        <w:rPr>
          <w:rFonts w:hint="eastAsia" w:ascii="仿宋" w:hAnsi="仿宋" w:eastAsia="仿宋"/>
          <w:color w:val="auto"/>
          <w:sz w:val="28"/>
          <w:szCs w:val="28"/>
          <w:highlight w:val="none"/>
          <w:u w:val="single"/>
        </w:rPr>
        <w:t>　</w:t>
      </w: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0990-6882183　</w:t>
      </w:r>
    </w:p>
    <w:p>
      <w:pPr>
        <w:spacing w:line="360" w:lineRule="auto"/>
        <w:rPr>
          <w:rFonts w:ascii="仿宋" w:hAnsi="仿宋" w:eastAsia="仿宋"/>
          <w:color w:val="auto"/>
          <w:sz w:val="28"/>
          <w:szCs w:val="28"/>
          <w:highlight w:val="none"/>
        </w:rPr>
      </w:pPr>
    </w:p>
    <w:p>
      <w:pPr>
        <w:spacing w:line="360" w:lineRule="auto"/>
        <w:rPr>
          <w:rFonts w:ascii="黑体" w:hAnsi="黑体" w:eastAsia="黑体"/>
          <w:color w:val="auto"/>
          <w:sz w:val="28"/>
          <w:szCs w:val="28"/>
          <w:highlight w:val="none"/>
        </w:rPr>
      </w:pPr>
      <w:r>
        <w:rPr>
          <w:rFonts w:hint="eastAsia" w:ascii="黑体" w:hAnsi="黑体" w:eastAsia="黑体"/>
          <w:color w:val="auto"/>
          <w:sz w:val="28"/>
          <w:szCs w:val="28"/>
          <w:highlight w:val="none"/>
        </w:rPr>
        <w:t>六</w:t>
      </w:r>
      <w:r>
        <w:rPr>
          <w:rFonts w:ascii="黑体" w:hAnsi="黑体" w:eastAsia="黑体"/>
          <w:color w:val="auto"/>
          <w:sz w:val="28"/>
          <w:szCs w:val="28"/>
          <w:highlight w:val="none"/>
        </w:rPr>
        <w:t>、</w:t>
      </w:r>
      <w:r>
        <w:rPr>
          <w:rFonts w:hint="eastAsia" w:ascii="黑体" w:hAnsi="黑体" w:eastAsia="黑体"/>
          <w:color w:val="auto"/>
          <w:sz w:val="28"/>
          <w:szCs w:val="28"/>
          <w:highlight w:val="none"/>
        </w:rPr>
        <w:t>附件</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专业人员论证意见（格式见附件）</w:t>
      </w:r>
    </w:p>
    <w:p>
      <w:pPr>
        <w:spacing w:line="360" w:lineRule="auto"/>
        <w:rPr>
          <w:rFonts w:ascii="仿宋" w:hAnsi="仿宋" w:eastAsia="仿宋"/>
          <w:color w:val="auto"/>
          <w:sz w:val="28"/>
          <w:szCs w:val="28"/>
          <w:highlight w:val="none"/>
        </w:rPr>
      </w:pPr>
    </w:p>
    <w:p>
      <w:pPr>
        <w:spacing w:line="360" w:lineRule="auto"/>
        <w:jc w:val="center"/>
        <w:rPr>
          <w:rFonts w:ascii="仿宋_GB2312" w:eastAsia="仿宋_GB2312" w:cs="Arial"/>
          <w:b/>
          <w:color w:val="auto"/>
          <w:sz w:val="28"/>
          <w:szCs w:val="28"/>
          <w:highlight w:val="none"/>
        </w:rPr>
      </w:pPr>
    </w:p>
    <w:p>
      <w:pPr>
        <w:jc w:val="center"/>
        <w:rPr>
          <w:rFonts w:ascii="仿宋_GB2312" w:eastAsia="仿宋_GB2312" w:cs="Arial"/>
          <w:b/>
          <w:color w:val="auto"/>
          <w:sz w:val="28"/>
          <w:szCs w:val="28"/>
          <w:highlight w:val="none"/>
        </w:rPr>
      </w:pPr>
      <w:r>
        <w:rPr>
          <w:rFonts w:hint="eastAsia" w:ascii="仿宋_GB2312" w:eastAsia="仿宋_GB2312" w:cs="Arial"/>
          <w:b/>
          <w:color w:val="auto"/>
          <w:sz w:val="28"/>
          <w:szCs w:val="28"/>
          <w:highlight w:val="none"/>
        </w:rPr>
        <w:drawing>
          <wp:inline distT="0" distB="0" distL="114300" distR="114300">
            <wp:extent cx="6182360" cy="8243570"/>
            <wp:effectExtent l="0" t="0" r="8890" b="5080"/>
            <wp:docPr id="5" name="图片 5" descr="专家论证意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专家论证意见1"/>
                    <pic:cNvPicPr>
                      <a:picLocks noChangeAspect="1"/>
                    </pic:cNvPicPr>
                  </pic:nvPicPr>
                  <pic:blipFill>
                    <a:blip r:embed="rId9"/>
                    <a:stretch>
                      <a:fillRect/>
                    </a:stretch>
                  </pic:blipFill>
                  <pic:spPr>
                    <a:xfrm>
                      <a:off x="0" y="0"/>
                      <a:ext cx="6182360" cy="8243570"/>
                    </a:xfrm>
                    <a:prstGeom prst="rect">
                      <a:avLst/>
                    </a:prstGeom>
                  </pic:spPr>
                </pic:pic>
              </a:graphicData>
            </a:graphic>
          </wp:inline>
        </w:drawing>
      </w:r>
      <w:r>
        <w:rPr>
          <w:rFonts w:hint="eastAsia" w:ascii="仿宋_GB2312" w:eastAsia="仿宋_GB2312" w:cs="Arial"/>
          <w:b/>
          <w:color w:val="auto"/>
          <w:sz w:val="28"/>
          <w:szCs w:val="28"/>
          <w:highlight w:val="none"/>
        </w:rPr>
        <w:drawing>
          <wp:inline distT="0" distB="0" distL="114300" distR="114300">
            <wp:extent cx="6182360" cy="8243570"/>
            <wp:effectExtent l="0" t="0" r="8890" b="5080"/>
            <wp:docPr id="4" name="图片 4" descr="专家论证意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专家论证意见2"/>
                    <pic:cNvPicPr>
                      <a:picLocks noChangeAspect="1"/>
                    </pic:cNvPicPr>
                  </pic:nvPicPr>
                  <pic:blipFill>
                    <a:blip r:embed="rId10"/>
                    <a:stretch>
                      <a:fillRect/>
                    </a:stretch>
                  </pic:blipFill>
                  <pic:spPr>
                    <a:xfrm>
                      <a:off x="0" y="0"/>
                      <a:ext cx="6182360" cy="8243570"/>
                    </a:xfrm>
                    <a:prstGeom prst="rect">
                      <a:avLst/>
                    </a:prstGeom>
                  </pic:spPr>
                </pic:pic>
              </a:graphicData>
            </a:graphic>
          </wp:inline>
        </w:drawing>
      </w:r>
      <w:r>
        <w:rPr>
          <w:rFonts w:hint="eastAsia" w:ascii="仿宋_GB2312" w:eastAsia="仿宋_GB2312" w:cs="Arial"/>
          <w:b/>
          <w:color w:val="auto"/>
          <w:sz w:val="28"/>
          <w:szCs w:val="28"/>
          <w:highlight w:val="none"/>
        </w:rPr>
        <w:drawing>
          <wp:inline distT="0" distB="0" distL="114300" distR="114300">
            <wp:extent cx="6028690" cy="8860155"/>
            <wp:effectExtent l="0" t="0" r="10160" b="17145"/>
            <wp:docPr id="3" name="图片 3" descr="专家论证意见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专家论证意见3"/>
                    <pic:cNvPicPr>
                      <a:picLocks noChangeAspect="1"/>
                    </pic:cNvPicPr>
                  </pic:nvPicPr>
                  <pic:blipFill>
                    <a:blip r:embed="rId11"/>
                    <a:stretch>
                      <a:fillRect/>
                    </a:stretch>
                  </pic:blipFill>
                  <pic:spPr>
                    <a:xfrm>
                      <a:off x="0" y="0"/>
                      <a:ext cx="6028690" cy="8860155"/>
                    </a:xfrm>
                    <a:prstGeom prst="rect">
                      <a:avLst/>
                    </a:prstGeom>
                  </pic:spPr>
                </pic:pic>
              </a:graphicData>
            </a:graphic>
          </wp:inline>
        </w:drawing>
      </w:r>
      <w:r>
        <w:rPr>
          <w:rFonts w:hint="eastAsia" w:ascii="仿宋_GB2312" w:eastAsia="仿宋_GB2312" w:cs="Arial"/>
          <w:b/>
          <w:color w:val="auto"/>
          <w:sz w:val="28"/>
          <w:szCs w:val="28"/>
          <w:highlight w:val="none"/>
        </w:rPr>
        <w:t>第二章 供应商须知</w:t>
      </w:r>
    </w:p>
    <w:p>
      <w:pPr>
        <w:spacing w:line="300" w:lineRule="exact"/>
        <w:jc w:val="center"/>
        <w:rPr>
          <w:rFonts w:ascii="仿宋_GB2312" w:eastAsia="仿宋_GB2312" w:cs="Arial"/>
          <w:b/>
          <w:color w:val="auto"/>
          <w:sz w:val="28"/>
          <w:szCs w:val="28"/>
          <w:highlight w:val="none"/>
        </w:rPr>
      </w:pPr>
      <w:r>
        <w:rPr>
          <w:rFonts w:hint="eastAsia" w:ascii="仿宋_GB2312" w:eastAsia="仿宋_GB2312" w:cs="Arial"/>
          <w:b/>
          <w:color w:val="auto"/>
          <w:sz w:val="28"/>
          <w:szCs w:val="28"/>
          <w:highlight w:val="none"/>
        </w:rPr>
        <w:t>前附表</w:t>
      </w:r>
    </w:p>
    <w:tbl>
      <w:tblPr>
        <w:tblStyle w:val="24"/>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7" w:type="dxa"/>
            <w:vAlign w:val="center"/>
          </w:tcPr>
          <w:p>
            <w:pPr>
              <w:pStyle w:val="14"/>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项号</w:t>
            </w:r>
          </w:p>
        </w:tc>
        <w:tc>
          <w:tcPr>
            <w:tcW w:w="9362" w:type="dxa"/>
            <w:vAlign w:val="center"/>
          </w:tcPr>
          <w:p>
            <w:pPr>
              <w:pStyle w:val="14"/>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57" w:type="dxa"/>
            <w:vAlign w:val="center"/>
          </w:tcPr>
          <w:p>
            <w:pPr>
              <w:pStyle w:val="14"/>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9362" w:type="dxa"/>
            <w:vAlign w:val="center"/>
          </w:tcPr>
          <w:p>
            <w:pPr>
              <w:pStyle w:val="14"/>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eastAsia="zh-CN"/>
              </w:rPr>
              <w:t>“森林物语&amp;虫现江湖”——大型热带雨林实景生态展</w:t>
            </w:r>
          </w:p>
          <w:p>
            <w:pPr>
              <w:pStyle w:val="14"/>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文件编号：</w:t>
            </w:r>
            <w:r>
              <w:rPr>
                <w:rFonts w:hint="eastAsia" w:ascii="仿宋_GB2312" w:hAnsi="仿宋_GB2312" w:eastAsia="仿宋_GB2312" w:cs="仿宋_GB2312"/>
                <w:color w:val="auto"/>
                <w:sz w:val="24"/>
                <w:szCs w:val="24"/>
                <w:highlight w:val="none"/>
                <w:lang w:eastAsia="zh-CN"/>
              </w:rPr>
              <w:t>KSKX（ZC）2021-02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857" w:type="dxa"/>
            <w:vAlign w:val="center"/>
          </w:tcPr>
          <w:p>
            <w:pPr>
              <w:pStyle w:val="14"/>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9362" w:type="dxa"/>
            <w:vAlign w:val="center"/>
          </w:tcPr>
          <w:p>
            <w:pPr>
              <w:pStyle w:val="14"/>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采购人：</w:t>
            </w:r>
            <w:r>
              <w:rPr>
                <w:rFonts w:hint="eastAsia" w:ascii="仿宋_GB2312" w:hAnsi="仿宋_GB2312" w:eastAsia="仿宋_GB2312" w:cs="仿宋_GB2312"/>
                <w:color w:val="auto"/>
                <w:sz w:val="24"/>
                <w:szCs w:val="24"/>
                <w:highlight w:val="none"/>
                <w:lang w:eastAsia="zh-CN"/>
              </w:rPr>
              <w:t>克拉玛依市科学技术协会</w:t>
            </w:r>
          </w:p>
          <w:p>
            <w:pPr>
              <w:pStyle w:val="14"/>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  址：</w:t>
            </w:r>
            <w:r>
              <w:rPr>
                <w:rFonts w:hint="eastAsia" w:ascii="仿宋_GB2312" w:hAnsi="仿宋_GB2312" w:eastAsia="仿宋_GB2312" w:cs="仿宋_GB2312"/>
                <w:color w:val="auto"/>
                <w:sz w:val="24"/>
                <w:szCs w:val="24"/>
                <w:highlight w:val="none"/>
                <w:lang w:eastAsia="zh-CN"/>
              </w:rPr>
              <w:t xml:space="preserve">克拉玛依市克拉玛依区迎宾路60号   </w:t>
            </w:r>
            <w:r>
              <w:rPr>
                <w:rFonts w:hint="eastAsia" w:ascii="仿宋_GB2312" w:hAnsi="仿宋_GB2312" w:eastAsia="仿宋_GB2312" w:cs="仿宋_GB2312"/>
                <w:color w:val="auto"/>
                <w:sz w:val="24"/>
                <w:szCs w:val="24"/>
                <w:highlight w:val="none"/>
              </w:rPr>
              <w:t xml:space="preserve">   邮政编码：834000     </w:t>
            </w:r>
          </w:p>
          <w:p>
            <w:pPr>
              <w:pStyle w:val="14"/>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r>
              <w:rPr>
                <w:rFonts w:hint="eastAsia" w:ascii="仿宋_GB2312" w:hAnsi="仿宋_GB2312" w:eastAsia="仿宋_GB2312" w:cs="仿宋_GB2312"/>
                <w:color w:val="auto"/>
                <w:sz w:val="24"/>
                <w:szCs w:val="24"/>
                <w:highlight w:val="none"/>
                <w:lang w:eastAsia="zh-CN"/>
              </w:rPr>
              <w:t>陈凯</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联系电话：0990-6623360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857" w:type="dxa"/>
            <w:vAlign w:val="center"/>
          </w:tcPr>
          <w:p>
            <w:pPr>
              <w:pStyle w:val="14"/>
              <w:jc w:val="center"/>
              <w:rPr>
                <w:rFonts w:ascii="仿宋_GB2312" w:hAnsi="仿宋_GB2312" w:eastAsia="仿宋_GB2312" w:cs="仿宋_GB2312"/>
                <w:color w:val="auto"/>
                <w:sz w:val="24"/>
                <w:szCs w:val="24"/>
                <w:highlight w:val="none"/>
              </w:rPr>
            </w:pPr>
            <w:r>
              <w:rPr>
                <w:rFonts w:hint="eastAsia" w:ascii="仿宋_GB2312" w:eastAsia="仿宋_GB2312"/>
                <w:color w:val="auto"/>
                <w:sz w:val="24"/>
                <w:szCs w:val="24"/>
                <w:highlight w:val="none"/>
              </w:rPr>
              <w:t>3</w:t>
            </w:r>
          </w:p>
        </w:tc>
        <w:tc>
          <w:tcPr>
            <w:tcW w:w="9362" w:type="dxa"/>
            <w:vAlign w:val="center"/>
          </w:tcPr>
          <w:p>
            <w:pPr>
              <w:pStyle w:val="14"/>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采购代理机构：新疆天麒工程项目管理咨询有限责任公司</w:t>
            </w:r>
          </w:p>
          <w:p>
            <w:pPr>
              <w:pStyle w:val="14"/>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地址：克拉玛依市通讯路44号     邮政编码：834000</w:t>
            </w:r>
          </w:p>
          <w:p>
            <w:pPr>
              <w:pStyle w:val="14"/>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联系人：李娟   娜吉玛         </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联系电话：0990-6882183</w:t>
            </w:r>
          </w:p>
          <w:p>
            <w:pPr>
              <w:pStyle w:val="14"/>
              <w:jc w:val="left"/>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开户行：中国工商银行股份有限公司克拉玛依石油分行</w:t>
            </w:r>
          </w:p>
          <w:p>
            <w:pPr>
              <w:pStyle w:val="14"/>
              <w:jc w:val="left"/>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行号：102882000037</w:t>
            </w:r>
          </w:p>
          <w:p>
            <w:pPr>
              <w:pStyle w:val="14"/>
              <w:jc w:val="left"/>
              <w:rPr>
                <w:rFonts w:ascii="仿宋_GB2312" w:hAnsi="仿宋_GB2312" w:eastAsia="仿宋_GB2312" w:cs="仿宋_GB2312"/>
                <w:color w:val="auto"/>
                <w:sz w:val="24"/>
                <w:szCs w:val="24"/>
                <w:highlight w:val="none"/>
              </w:rPr>
            </w:pPr>
            <w:r>
              <w:rPr>
                <w:rFonts w:hint="eastAsia" w:ascii="仿宋_GB2312" w:eastAsia="仿宋_GB2312"/>
                <w:color w:val="auto"/>
                <w:sz w:val="24"/>
                <w:szCs w:val="24"/>
                <w:highlight w:val="none"/>
              </w:rPr>
              <w:t>银行账号：3003020209024539038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57" w:type="dxa"/>
            <w:vAlign w:val="center"/>
          </w:tcPr>
          <w:p>
            <w:pPr>
              <w:pStyle w:val="14"/>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9362" w:type="dxa"/>
            <w:vAlign w:val="center"/>
          </w:tcPr>
          <w:p>
            <w:pPr>
              <w:pStyle w:val="15"/>
              <w:ind w:left="0" w:leftChars="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领取采购文件及相关资料截止时间：2021年</w:t>
            </w:r>
            <w:r>
              <w:rPr>
                <w:rFonts w:hint="eastAsia" w:ascii="仿宋_GB2312" w:hAnsi="仿宋_GB2312" w:eastAsia="仿宋_GB2312" w:cs="仿宋_GB2312"/>
                <w:color w:val="auto"/>
                <w:sz w:val="24"/>
                <w:highlight w:val="none"/>
                <w:lang w:val="en-US" w:eastAsia="zh-CN"/>
              </w:rPr>
              <w:t>10</w:t>
            </w:r>
            <w:r>
              <w:rPr>
                <w:rFonts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25</w:t>
            </w:r>
            <w:r>
              <w:rPr>
                <w:rFonts w:hint="eastAsia" w:ascii="仿宋_GB2312" w:hAnsi="仿宋_GB2312" w:eastAsia="仿宋_GB2312" w:cs="仿宋_GB2312"/>
                <w:color w:val="auto"/>
                <w:sz w:val="24"/>
                <w:highlight w:val="none"/>
              </w:rPr>
              <w:t>日19:</w:t>
            </w:r>
            <w:r>
              <w:rPr>
                <w:rFonts w:hint="eastAsia" w:ascii="仿宋_GB2312" w:hAnsi="仿宋_GB2312" w:eastAsia="仿宋_GB2312" w:cs="仿宋_GB2312"/>
                <w:color w:val="auto"/>
                <w:sz w:val="24"/>
                <w:highlight w:val="none"/>
                <w:lang w:val="en-US" w:eastAsia="zh-CN"/>
              </w:rPr>
              <w:t>0</w:t>
            </w:r>
            <w:r>
              <w:rPr>
                <w:rFonts w:hint="eastAsia" w:ascii="仿宋_GB2312" w:hAnsi="仿宋_GB2312" w:eastAsia="仿宋_GB2312" w:cs="仿宋_GB2312"/>
                <w:color w:val="auto"/>
                <w:sz w:val="24"/>
                <w:highlight w:val="none"/>
              </w:rPr>
              <w:t>0</w:t>
            </w:r>
          </w:p>
          <w:p>
            <w:pPr>
              <w:pStyle w:val="14"/>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地点：新疆天麒工程项目管理咨询有限责任公司工程采购代理部202室（克拉玛依市通讯路44号）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9362" w:type="dxa"/>
            <w:vAlign w:val="center"/>
          </w:tcPr>
          <w:p>
            <w:pPr>
              <w:pStyle w:val="14"/>
              <w:rPr>
                <w:rFonts w:ascii="仿宋_GB2312" w:hAnsi="仿宋_GB2312" w:eastAsia="仿宋_GB2312" w:cs="仿宋_GB2312"/>
                <w:color w:val="auto"/>
                <w:sz w:val="24"/>
                <w:szCs w:val="24"/>
                <w:highlight w:val="none"/>
              </w:rPr>
            </w:pPr>
            <w:r>
              <w:rPr>
                <w:rFonts w:hint="eastAsia" w:ascii="仿宋_GB2312" w:hAnsi="宋体" w:eastAsia="仿宋_GB2312"/>
                <w:color w:val="auto"/>
                <w:sz w:val="24"/>
                <w:szCs w:val="24"/>
                <w:highlight w:val="none"/>
              </w:rPr>
              <w:t>响应文件有效期：递交响应文件截止之日起60天（日历日）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7" w:type="dxa"/>
            <w:vAlign w:val="center"/>
          </w:tcPr>
          <w:p>
            <w:pPr>
              <w:pStyle w:val="14"/>
              <w:jc w:val="center"/>
              <w:rPr>
                <w:rFonts w:ascii="仿宋_GB2312" w:hAnsi="仿宋_GB2312" w:eastAsia="仿宋_GB2312" w:cs="仿宋_GB2312"/>
                <w:color w:val="auto"/>
                <w:sz w:val="24"/>
                <w:szCs w:val="24"/>
                <w:highlight w:val="none"/>
              </w:rPr>
            </w:pPr>
            <w:r>
              <w:rPr>
                <w:rFonts w:hint="eastAsia" w:ascii="仿宋_GB2312" w:hAnsi="宋体" w:eastAsia="仿宋_GB2312"/>
                <w:color w:val="auto"/>
                <w:sz w:val="24"/>
                <w:szCs w:val="24"/>
                <w:highlight w:val="none"/>
              </w:rPr>
              <w:t>5</w:t>
            </w:r>
          </w:p>
        </w:tc>
        <w:tc>
          <w:tcPr>
            <w:tcW w:w="9362" w:type="dxa"/>
            <w:vAlign w:val="center"/>
          </w:tcPr>
          <w:p>
            <w:pPr>
              <w:pStyle w:val="14"/>
              <w:rPr>
                <w:rFonts w:ascii="仿宋_GB2312" w:hAnsi="仿宋_GB2312" w:eastAsia="仿宋_GB2312" w:cs="仿宋_GB2312"/>
                <w:color w:val="auto"/>
                <w:sz w:val="24"/>
                <w:szCs w:val="24"/>
                <w:highlight w:val="none"/>
              </w:rPr>
            </w:pPr>
            <w:r>
              <w:rPr>
                <w:rFonts w:hint="eastAsia" w:ascii="仿宋_GB2312" w:hAnsi="宋体" w:eastAsia="仿宋_GB2312"/>
                <w:color w:val="auto"/>
                <w:sz w:val="24"/>
                <w:szCs w:val="24"/>
                <w:highlight w:val="none"/>
              </w:rPr>
              <w:t>响应文件的份数：</w:t>
            </w:r>
            <w:r>
              <w:rPr>
                <w:rFonts w:hint="eastAsia" w:ascii="仿宋_GB2312" w:hAnsi="宋体" w:eastAsia="仿宋_GB2312"/>
                <w:bCs/>
                <w:color w:val="auto"/>
                <w:sz w:val="24"/>
                <w:szCs w:val="24"/>
                <w:highlight w:val="none"/>
              </w:rPr>
              <w:t>一式</w:t>
            </w:r>
            <w:r>
              <w:rPr>
                <w:rFonts w:hint="eastAsia" w:ascii="仿宋_GB2312" w:hAnsi="宋体" w:eastAsia="仿宋_GB2312"/>
                <w:bCs/>
                <w:color w:val="auto"/>
                <w:sz w:val="24"/>
                <w:szCs w:val="24"/>
                <w:highlight w:val="none"/>
                <w:lang w:eastAsia="zh-CN"/>
              </w:rPr>
              <w:t>肆</w:t>
            </w:r>
            <w:r>
              <w:rPr>
                <w:rFonts w:hint="eastAsia" w:ascii="仿宋_GB2312" w:hAnsi="宋体" w:eastAsia="仿宋_GB2312"/>
                <w:bCs/>
                <w:color w:val="auto"/>
                <w:sz w:val="24"/>
                <w:szCs w:val="24"/>
                <w:highlight w:val="none"/>
              </w:rPr>
              <w:t>份，其中正本壹份，副本</w:t>
            </w:r>
            <w:r>
              <w:rPr>
                <w:rFonts w:hint="eastAsia" w:ascii="仿宋_GB2312" w:hAnsi="宋体" w:eastAsia="仿宋_GB2312"/>
                <w:bCs/>
                <w:color w:val="auto"/>
                <w:sz w:val="24"/>
                <w:szCs w:val="24"/>
                <w:highlight w:val="none"/>
                <w:lang w:eastAsia="zh-CN"/>
              </w:rPr>
              <w:t>叁</w:t>
            </w:r>
            <w:r>
              <w:rPr>
                <w:rFonts w:hint="eastAsia" w:ascii="仿宋_GB2312" w:hAnsi="宋体" w:eastAsia="仿宋_GB2312"/>
                <w:bCs/>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857" w:type="dxa"/>
            <w:vAlign w:val="center"/>
          </w:tcPr>
          <w:p>
            <w:pPr>
              <w:pStyle w:val="14"/>
              <w:jc w:val="center"/>
              <w:rPr>
                <w:rFonts w:ascii="仿宋_GB2312" w:hAnsi="仿宋_GB2312" w:eastAsia="仿宋_GB2312" w:cs="仿宋_GB2312"/>
                <w:color w:val="auto"/>
                <w:sz w:val="24"/>
                <w:szCs w:val="24"/>
                <w:highlight w:val="none"/>
              </w:rPr>
            </w:pPr>
            <w:r>
              <w:rPr>
                <w:rFonts w:hint="eastAsia" w:ascii="仿宋_GB2312" w:hAnsi="宋体" w:eastAsia="仿宋_GB2312"/>
                <w:color w:val="auto"/>
                <w:szCs w:val="21"/>
                <w:highlight w:val="none"/>
              </w:rPr>
              <w:t>7</w:t>
            </w:r>
          </w:p>
        </w:tc>
        <w:tc>
          <w:tcPr>
            <w:tcW w:w="9362" w:type="dxa"/>
            <w:vAlign w:val="center"/>
          </w:tcPr>
          <w:p>
            <w:pPr>
              <w:pStyle w:val="14"/>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采购人不统一组织供应商实地考察</w:t>
            </w:r>
          </w:p>
          <w:p>
            <w:pPr>
              <w:pStyle w:val="14"/>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供应商如有疑问，于2021年</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日19：00前将有关疑问以扫描件形式（必须加盖供应商公章）发送到邮箱： 617122271@qq.com ，采购人和采购代理机构将视情况以书面形式予以答复，并发至领取单一来源采购文件的供应商。超过此时间所提疑问采购人或采购代理机构均不予答复。</w:t>
            </w:r>
          </w:p>
          <w:p>
            <w:pPr>
              <w:pStyle w:val="14"/>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书面提问截止时间：2021年</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日19：00</w:t>
            </w:r>
          </w:p>
          <w:p>
            <w:pPr>
              <w:pStyle w:val="14"/>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传真电话： 0990－6882183   联系人：李娟   </w:t>
            </w:r>
            <w:r>
              <w:rPr>
                <w:rFonts w:hint="eastAsia" w:ascii="仿宋_GB2312" w:eastAsia="仿宋_GB2312"/>
                <w:color w:val="auto"/>
                <w:sz w:val="24"/>
                <w:szCs w:val="24"/>
                <w:highlight w:val="none"/>
              </w:rPr>
              <w:t>娜吉玛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857" w:type="dxa"/>
            <w:vAlign w:val="center"/>
          </w:tcPr>
          <w:p>
            <w:pPr>
              <w:pStyle w:val="14"/>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9362" w:type="dxa"/>
            <w:vAlign w:val="center"/>
          </w:tcPr>
          <w:p>
            <w:pPr>
              <w:pStyle w:val="14"/>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递交响应文件截止时间：2021年</w:t>
            </w:r>
            <w:r>
              <w:rPr>
                <w:rFonts w:hint="eastAsia" w:ascii="仿宋_GB2312" w:hAnsi="宋体" w:eastAsia="仿宋_GB2312"/>
                <w:color w:val="auto"/>
                <w:sz w:val="24"/>
                <w:szCs w:val="24"/>
                <w:highlight w:val="none"/>
                <w:lang w:val="en-US" w:eastAsia="zh-CN"/>
              </w:rPr>
              <w:t>11</w:t>
            </w:r>
            <w:r>
              <w:rPr>
                <w:rFonts w:hint="eastAsia" w:ascii="仿宋_GB2312" w:hAnsi="宋体" w:eastAsia="仿宋_GB2312"/>
                <w:color w:val="auto"/>
                <w:sz w:val="24"/>
                <w:szCs w:val="24"/>
                <w:highlight w:val="none"/>
              </w:rPr>
              <w:t>月</w:t>
            </w:r>
            <w:r>
              <w:rPr>
                <w:rFonts w:hint="eastAsia" w:ascii="仿宋_GB2312" w:hAnsi="宋体" w:eastAsia="仿宋_GB2312"/>
                <w:color w:val="auto"/>
                <w:sz w:val="24"/>
                <w:szCs w:val="24"/>
                <w:highlight w:val="none"/>
                <w:lang w:val="en-US" w:eastAsia="zh-CN"/>
              </w:rPr>
              <w:t>4</w:t>
            </w:r>
            <w:r>
              <w:rPr>
                <w:rFonts w:hint="eastAsia" w:ascii="仿宋_GB2312" w:hAnsi="宋体" w:eastAsia="仿宋_GB2312"/>
                <w:color w:val="auto"/>
                <w:sz w:val="24"/>
                <w:szCs w:val="24"/>
                <w:highlight w:val="none"/>
              </w:rPr>
              <w:t>日16:</w:t>
            </w:r>
            <w:r>
              <w:rPr>
                <w:rFonts w:hint="eastAsia" w:ascii="仿宋_GB2312" w:hAnsi="宋体" w:eastAsia="仿宋_GB2312"/>
                <w:color w:val="auto"/>
                <w:sz w:val="24"/>
                <w:szCs w:val="24"/>
                <w:highlight w:val="none"/>
                <w:lang w:val="en-US" w:eastAsia="zh-CN"/>
              </w:rPr>
              <w:t>0</w:t>
            </w:r>
            <w:r>
              <w:rPr>
                <w:rFonts w:hint="eastAsia" w:ascii="仿宋_GB2312" w:hAnsi="宋体" w:eastAsia="仿宋_GB2312"/>
                <w:color w:val="auto"/>
                <w:sz w:val="24"/>
                <w:szCs w:val="24"/>
                <w:highlight w:val="none"/>
              </w:rPr>
              <w:t>0</w:t>
            </w:r>
          </w:p>
          <w:p>
            <w:pPr>
              <w:pStyle w:val="14"/>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递交响应文件时间：2021年</w:t>
            </w:r>
            <w:r>
              <w:rPr>
                <w:rFonts w:hint="eastAsia" w:ascii="仿宋_GB2312" w:hAnsi="宋体" w:eastAsia="仿宋_GB2312"/>
                <w:color w:val="auto"/>
                <w:sz w:val="24"/>
                <w:szCs w:val="24"/>
                <w:highlight w:val="none"/>
                <w:lang w:val="en-US" w:eastAsia="zh-CN"/>
              </w:rPr>
              <w:t>11</w:t>
            </w:r>
            <w:r>
              <w:rPr>
                <w:rFonts w:hint="eastAsia" w:ascii="仿宋_GB2312" w:hAnsi="宋体" w:eastAsia="仿宋_GB2312"/>
                <w:color w:val="auto"/>
                <w:sz w:val="24"/>
                <w:szCs w:val="24"/>
                <w:highlight w:val="none"/>
              </w:rPr>
              <w:t>月</w:t>
            </w:r>
            <w:r>
              <w:rPr>
                <w:rFonts w:hint="eastAsia" w:ascii="仿宋_GB2312" w:hAnsi="宋体" w:eastAsia="仿宋_GB2312"/>
                <w:color w:val="auto"/>
                <w:sz w:val="24"/>
                <w:szCs w:val="24"/>
                <w:highlight w:val="none"/>
                <w:lang w:val="en-US" w:eastAsia="zh-CN"/>
              </w:rPr>
              <w:t>4</w:t>
            </w:r>
            <w:r>
              <w:rPr>
                <w:rFonts w:hint="eastAsia" w:ascii="仿宋_GB2312" w:hAnsi="宋体" w:eastAsia="仿宋_GB2312"/>
                <w:color w:val="auto"/>
                <w:sz w:val="24"/>
                <w:szCs w:val="24"/>
                <w:highlight w:val="none"/>
              </w:rPr>
              <w:t>日1</w:t>
            </w:r>
            <w:r>
              <w:rPr>
                <w:rFonts w:hint="eastAsia" w:ascii="仿宋_GB2312" w:hAnsi="宋体" w:eastAsia="仿宋_GB2312"/>
                <w:color w:val="auto"/>
                <w:sz w:val="24"/>
                <w:szCs w:val="24"/>
                <w:highlight w:val="none"/>
                <w:lang w:val="en-US" w:eastAsia="zh-CN"/>
              </w:rPr>
              <w:t>5</w:t>
            </w:r>
            <w:r>
              <w:rPr>
                <w:rFonts w:hint="eastAsia" w:ascii="仿宋_GB2312" w:hAnsi="宋体" w:eastAsia="仿宋_GB2312"/>
                <w:color w:val="auto"/>
                <w:sz w:val="24"/>
                <w:szCs w:val="24"/>
                <w:highlight w:val="none"/>
              </w:rPr>
              <w:t>：</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0 ～16：</w:t>
            </w:r>
            <w:r>
              <w:rPr>
                <w:rFonts w:hint="eastAsia" w:ascii="仿宋_GB2312" w:hAnsi="宋体" w:eastAsia="仿宋_GB2312"/>
                <w:color w:val="auto"/>
                <w:sz w:val="24"/>
                <w:szCs w:val="24"/>
                <w:highlight w:val="none"/>
                <w:lang w:val="en-US" w:eastAsia="zh-CN"/>
              </w:rPr>
              <w:t>0</w:t>
            </w:r>
            <w:r>
              <w:rPr>
                <w:rFonts w:hint="eastAsia" w:ascii="仿宋_GB2312" w:hAnsi="宋体" w:eastAsia="仿宋_GB2312"/>
                <w:color w:val="auto"/>
                <w:sz w:val="24"/>
                <w:szCs w:val="24"/>
                <w:highlight w:val="none"/>
              </w:rPr>
              <w:t>0</w:t>
            </w:r>
          </w:p>
          <w:p>
            <w:pPr>
              <w:pStyle w:val="14"/>
              <w:rPr>
                <w:rFonts w:ascii="仿宋_GB2312" w:hAnsi="仿宋_GB2312" w:eastAsia="仿宋_GB2312" w:cs="仿宋_GB2312"/>
                <w:color w:val="auto"/>
                <w:sz w:val="24"/>
                <w:szCs w:val="24"/>
                <w:highlight w:val="none"/>
              </w:rPr>
            </w:pPr>
            <w:r>
              <w:rPr>
                <w:rFonts w:hint="eastAsia" w:ascii="仿宋_GB2312" w:hAnsi="宋体" w:eastAsia="仿宋_GB2312"/>
                <w:color w:val="auto"/>
                <w:sz w:val="24"/>
                <w:szCs w:val="24"/>
                <w:highlight w:val="none"/>
              </w:rPr>
              <w:t xml:space="preserve">递交响应文件地点：新疆天麒工程项目管理咨询有限责任公司一楼评标室（克拉玛依市通讯路44号）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7" w:type="dxa"/>
            <w:vAlign w:val="center"/>
          </w:tcPr>
          <w:p>
            <w:pPr>
              <w:pStyle w:val="14"/>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9362" w:type="dxa"/>
            <w:vAlign w:val="center"/>
          </w:tcPr>
          <w:p>
            <w:pPr>
              <w:pStyle w:val="14"/>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开标时间：2021年</w:t>
            </w:r>
            <w:r>
              <w:rPr>
                <w:rFonts w:hint="eastAsia" w:ascii="仿宋_GB2312" w:hAnsi="宋体" w:eastAsia="仿宋_GB2312"/>
                <w:color w:val="auto"/>
                <w:sz w:val="24"/>
                <w:szCs w:val="24"/>
                <w:highlight w:val="none"/>
                <w:lang w:val="en-US" w:eastAsia="zh-CN"/>
              </w:rPr>
              <w:t>11</w:t>
            </w:r>
            <w:r>
              <w:rPr>
                <w:rFonts w:hint="eastAsia" w:ascii="仿宋_GB2312" w:hAnsi="宋体" w:eastAsia="仿宋_GB2312"/>
                <w:color w:val="auto"/>
                <w:sz w:val="24"/>
                <w:szCs w:val="24"/>
                <w:highlight w:val="none"/>
              </w:rPr>
              <w:t>月</w:t>
            </w:r>
            <w:r>
              <w:rPr>
                <w:rFonts w:hint="eastAsia" w:ascii="仿宋_GB2312" w:hAnsi="宋体" w:eastAsia="仿宋_GB2312"/>
                <w:color w:val="auto"/>
                <w:sz w:val="24"/>
                <w:szCs w:val="24"/>
                <w:highlight w:val="none"/>
                <w:lang w:val="en-US" w:eastAsia="zh-CN"/>
              </w:rPr>
              <w:t>4</w:t>
            </w:r>
            <w:r>
              <w:rPr>
                <w:rFonts w:hint="eastAsia" w:ascii="仿宋_GB2312" w:hAnsi="宋体" w:eastAsia="仿宋_GB2312"/>
                <w:color w:val="auto"/>
                <w:sz w:val="24"/>
                <w:szCs w:val="24"/>
                <w:highlight w:val="none"/>
              </w:rPr>
              <w:t>日16：</w:t>
            </w:r>
            <w:r>
              <w:rPr>
                <w:rFonts w:hint="eastAsia" w:ascii="仿宋_GB2312" w:hAnsi="宋体" w:eastAsia="仿宋_GB2312"/>
                <w:color w:val="auto"/>
                <w:sz w:val="24"/>
                <w:szCs w:val="24"/>
                <w:highlight w:val="none"/>
                <w:lang w:val="en-US" w:eastAsia="zh-CN"/>
              </w:rPr>
              <w:t>0</w:t>
            </w:r>
            <w:r>
              <w:rPr>
                <w:rFonts w:hint="eastAsia" w:ascii="仿宋_GB2312" w:hAnsi="宋体" w:eastAsia="仿宋_GB2312"/>
                <w:color w:val="auto"/>
                <w:sz w:val="24"/>
                <w:szCs w:val="24"/>
                <w:highlight w:val="none"/>
              </w:rPr>
              <w:t xml:space="preserve">0  </w:t>
            </w:r>
          </w:p>
          <w:p>
            <w:pPr>
              <w:pStyle w:val="14"/>
              <w:rPr>
                <w:rFonts w:ascii="仿宋_GB2312" w:hAnsi="仿宋_GB2312" w:eastAsia="仿宋_GB2312" w:cs="仿宋_GB2312"/>
                <w:color w:val="auto"/>
                <w:sz w:val="24"/>
                <w:szCs w:val="24"/>
                <w:highlight w:val="none"/>
              </w:rPr>
            </w:pPr>
            <w:r>
              <w:rPr>
                <w:rFonts w:hint="eastAsia" w:ascii="仿宋_GB2312" w:hAnsi="宋体" w:eastAsia="仿宋_GB2312"/>
                <w:color w:val="auto"/>
                <w:sz w:val="24"/>
                <w:szCs w:val="24"/>
                <w:highlight w:val="none"/>
              </w:rPr>
              <w:t xml:space="preserve">开标地点：新疆天麒工程项目管理咨询有限责任公司一楼评标室（克拉玛依市通讯路44号）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57" w:type="dxa"/>
            <w:vAlign w:val="center"/>
          </w:tcPr>
          <w:p>
            <w:pPr>
              <w:spacing w:line="3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9362" w:type="dxa"/>
            <w:vAlign w:val="center"/>
          </w:tcPr>
          <w:p>
            <w:pPr>
              <w:spacing w:line="320" w:lineRule="exact"/>
              <w:rPr>
                <w:rFonts w:ascii="仿宋_GB2312" w:hAnsi="仿宋_GB2312" w:eastAsia="仿宋_GB2312" w:cs="仿宋_GB2312"/>
                <w:b/>
                <w:color w:val="auto"/>
                <w:sz w:val="24"/>
                <w:highlight w:val="none"/>
              </w:rPr>
            </w:pPr>
            <w:r>
              <w:rPr>
                <w:rFonts w:hint="eastAsia" w:ascii="仿宋_GB2312" w:hAnsi="宋体" w:eastAsia="仿宋_GB2312"/>
                <w:b/>
                <w:color w:val="auto"/>
                <w:sz w:val="24"/>
                <w:highlight w:val="none"/>
              </w:rPr>
              <w:t>采购项目预算：￥</w:t>
            </w:r>
            <w:r>
              <w:rPr>
                <w:rFonts w:hint="eastAsia" w:ascii="仿宋_GB2312" w:hAnsi="宋体" w:eastAsia="仿宋_GB2312"/>
                <w:b/>
                <w:color w:val="auto"/>
                <w:sz w:val="24"/>
                <w:highlight w:val="none"/>
                <w:lang w:val="en-US" w:eastAsia="zh-CN"/>
              </w:rPr>
              <w:t>85</w:t>
            </w:r>
            <w:r>
              <w:rPr>
                <w:rFonts w:hint="eastAsia" w:ascii="仿宋_GB2312" w:hAnsi="宋体" w:eastAsia="仿宋_GB2312"/>
                <w:b/>
                <w:color w:val="auto"/>
                <w:sz w:val="24"/>
                <w:highlight w:val="none"/>
              </w:rPr>
              <w:t>万元（大写：人民币</w:t>
            </w:r>
            <w:r>
              <w:rPr>
                <w:rFonts w:hint="eastAsia" w:ascii="仿宋_GB2312" w:hAnsi="宋体" w:eastAsia="仿宋_GB2312"/>
                <w:b/>
                <w:color w:val="auto"/>
                <w:sz w:val="24"/>
                <w:highlight w:val="none"/>
                <w:lang w:eastAsia="zh-CN"/>
              </w:rPr>
              <w:t>捌拾伍万元整</w:t>
            </w:r>
            <w:r>
              <w:rPr>
                <w:rFonts w:hint="eastAsia" w:ascii="仿宋_GB2312" w:hAnsi="宋体" w:eastAsia="仿宋_GB2312"/>
                <w:b/>
                <w:color w:val="auto"/>
                <w:sz w:val="24"/>
                <w:highlight w:val="none"/>
              </w:rPr>
              <w:t>），供应商的商务报价如超过采购预算，则该供应商的响应文件作无效响应处理。</w:t>
            </w:r>
          </w:p>
        </w:tc>
      </w:tr>
    </w:tbl>
    <w:p>
      <w:pPr>
        <w:spacing w:line="360" w:lineRule="auto"/>
        <w:jc w:val="center"/>
        <w:rPr>
          <w:rFonts w:ascii="仿宋_GB2312" w:eastAsia="仿宋_GB2312"/>
          <w:color w:val="auto"/>
          <w:sz w:val="28"/>
          <w:szCs w:val="28"/>
          <w:highlight w:val="none"/>
        </w:rPr>
      </w:pPr>
    </w:p>
    <w:p>
      <w:pPr>
        <w:spacing w:line="460" w:lineRule="exact"/>
        <w:jc w:val="center"/>
        <w:rPr>
          <w:rFonts w:ascii="仿宋_GB2312" w:eastAsia="仿宋_GB2312"/>
          <w:b/>
          <w:color w:val="auto"/>
          <w:sz w:val="28"/>
          <w:szCs w:val="28"/>
          <w:highlight w:val="none"/>
        </w:rPr>
      </w:pPr>
      <w:r>
        <w:rPr>
          <w:rFonts w:hint="eastAsia" w:ascii="仿宋_GB2312" w:eastAsia="仿宋_GB2312"/>
          <w:color w:val="auto"/>
          <w:sz w:val="28"/>
          <w:szCs w:val="28"/>
          <w:highlight w:val="none"/>
        </w:rPr>
        <w:t>A</w:t>
      </w:r>
      <w:bookmarkEnd w:id="0"/>
      <w:bookmarkStart w:id="3" w:name="_Toc154996576"/>
      <w:r>
        <w:rPr>
          <w:rFonts w:hint="eastAsia" w:ascii="仿宋_GB2312" w:eastAsia="仿宋_GB2312"/>
          <w:b/>
          <w:color w:val="auto"/>
          <w:sz w:val="28"/>
          <w:szCs w:val="28"/>
          <w:highlight w:val="none"/>
        </w:rPr>
        <w:t>说明</w:t>
      </w:r>
    </w:p>
    <w:p>
      <w:pPr>
        <w:pStyle w:val="14"/>
        <w:spacing w:line="440" w:lineRule="exact"/>
        <w:ind w:firstLine="480" w:firstLineChars="200"/>
        <w:outlineLvl w:val="1"/>
        <w:rPr>
          <w:rFonts w:ascii="仿宋_GB2312" w:eastAsia="仿宋_GB2312"/>
          <w:color w:val="auto"/>
          <w:sz w:val="24"/>
          <w:highlight w:val="none"/>
        </w:rPr>
      </w:pPr>
      <w:bookmarkStart w:id="4" w:name="_Toc243906311"/>
      <w:bookmarkStart w:id="5" w:name="_Toc243907571"/>
      <w:bookmarkStart w:id="6" w:name="_Toc246216180"/>
      <w:bookmarkStart w:id="7" w:name="_Toc233274811"/>
      <w:r>
        <w:rPr>
          <w:rFonts w:hint="eastAsia" w:ascii="仿宋_GB2312" w:eastAsia="仿宋_GB2312"/>
          <w:color w:val="auto"/>
          <w:sz w:val="24"/>
          <w:highlight w:val="none"/>
        </w:rPr>
        <w:t>1、适用范围</w:t>
      </w:r>
      <w:bookmarkEnd w:id="4"/>
      <w:bookmarkEnd w:id="5"/>
      <w:bookmarkEnd w:id="6"/>
      <w:bookmarkEnd w:id="7"/>
      <w:r>
        <w:rPr>
          <w:rFonts w:hint="eastAsia" w:ascii="仿宋_GB2312" w:eastAsia="仿宋_GB2312"/>
          <w:color w:val="auto"/>
          <w:sz w:val="24"/>
          <w:highlight w:val="none"/>
        </w:rPr>
        <w:t>及采购依据</w:t>
      </w:r>
    </w:p>
    <w:p>
      <w:pPr>
        <w:pStyle w:val="14"/>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1.1 适用范围</w:t>
      </w:r>
    </w:p>
    <w:p>
      <w:pPr>
        <w:pStyle w:val="14"/>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本单一来源采购文件仅适用</w:t>
      </w:r>
      <w:r>
        <w:rPr>
          <w:rFonts w:hint="eastAsia" w:ascii="仿宋_GB2312" w:hAnsi="仿宋_GB2312" w:eastAsia="仿宋_GB2312" w:cs="仿宋_GB2312"/>
          <w:color w:val="auto"/>
          <w:sz w:val="24"/>
          <w:szCs w:val="24"/>
          <w:highlight w:val="none"/>
          <w:lang w:eastAsia="zh-CN"/>
        </w:rPr>
        <w:t>“森林物语&amp;虫现江湖”——大型热带雨林实景生态展</w:t>
      </w:r>
      <w:r>
        <w:rPr>
          <w:rFonts w:hint="eastAsia" w:ascii="仿宋_GB2312" w:hAnsi="宋体" w:eastAsia="仿宋_GB2312" w:cs="宋体"/>
          <w:color w:val="auto"/>
          <w:kern w:val="0"/>
          <w:sz w:val="24"/>
          <w:highlight w:val="none"/>
        </w:rPr>
        <w:t>的采购</w:t>
      </w:r>
      <w:r>
        <w:rPr>
          <w:rFonts w:hint="eastAsia" w:ascii="仿宋_GB2312" w:eastAsia="仿宋_GB2312"/>
          <w:color w:val="auto"/>
          <w:sz w:val="24"/>
          <w:szCs w:val="24"/>
          <w:highlight w:val="none"/>
        </w:rPr>
        <w:t>。</w:t>
      </w:r>
    </w:p>
    <w:p>
      <w:pPr>
        <w:pStyle w:val="14"/>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1.2</w:t>
      </w:r>
      <w:r>
        <w:rPr>
          <w:rFonts w:hint="eastAsia" w:ascii="仿宋_GB2312" w:hAnsi="宋体" w:eastAsia="仿宋_GB2312"/>
          <w:color w:val="auto"/>
          <w:sz w:val="24"/>
          <w:highlight w:val="none"/>
        </w:rPr>
        <w:t>采购依据</w:t>
      </w:r>
    </w:p>
    <w:p>
      <w:pPr>
        <w:widowControl/>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根据《中华人民共和国政府采购法》、《中华人民共和国政府采购法实施条例》、《政府采购非采购采购方式管理办法》及有关法律、法规。</w:t>
      </w:r>
    </w:p>
    <w:p>
      <w:pPr>
        <w:pStyle w:val="14"/>
        <w:spacing w:line="440" w:lineRule="exact"/>
        <w:ind w:firstLine="480" w:firstLineChars="200"/>
        <w:outlineLvl w:val="1"/>
        <w:rPr>
          <w:rFonts w:ascii="仿宋_GB2312" w:eastAsia="仿宋_GB2312"/>
          <w:color w:val="auto"/>
          <w:sz w:val="24"/>
          <w:highlight w:val="none"/>
        </w:rPr>
      </w:pPr>
      <w:bookmarkStart w:id="8" w:name="_Toc243906312"/>
      <w:bookmarkStart w:id="9" w:name="_Toc243907572"/>
      <w:bookmarkStart w:id="10" w:name="_Toc233274812"/>
      <w:bookmarkStart w:id="11" w:name="_Toc246216181"/>
      <w:r>
        <w:rPr>
          <w:rFonts w:hint="eastAsia" w:ascii="仿宋_GB2312" w:eastAsia="仿宋_GB2312"/>
          <w:color w:val="auto"/>
          <w:sz w:val="24"/>
          <w:highlight w:val="none"/>
        </w:rPr>
        <w:t>2、定义</w:t>
      </w:r>
      <w:bookmarkEnd w:id="8"/>
      <w:bookmarkEnd w:id="9"/>
      <w:bookmarkEnd w:id="10"/>
      <w:bookmarkEnd w:id="11"/>
    </w:p>
    <w:p>
      <w:pPr>
        <w:pStyle w:val="14"/>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2.1 “采购人”系指</w:t>
      </w:r>
      <w:r>
        <w:rPr>
          <w:rFonts w:hint="eastAsia" w:ascii="仿宋_GB2312" w:eastAsia="仿宋_GB2312"/>
          <w:color w:val="auto"/>
          <w:sz w:val="24"/>
          <w:highlight w:val="none"/>
          <w:lang w:eastAsia="zh-CN"/>
        </w:rPr>
        <w:t>克拉玛依市科学技术协会</w:t>
      </w:r>
      <w:r>
        <w:rPr>
          <w:rFonts w:hint="eastAsia" w:ascii="仿宋_GB2312" w:eastAsia="仿宋_GB2312"/>
          <w:color w:val="auto"/>
          <w:sz w:val="24"/>
          <w:highlight w:val="none"/>
        </w:rPr>
        <w:t>，在签订和执行合同阶段称“甲方”。</w:t>
      </w:r>
    </w:p>
    <w:p>
      <w:pPr>
        <w:pStyle w:val="14"/>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2.3 “供应商”系指具备资格并响应单一来源采购文件要求提交响应文件的法人，供应商若成交，在签订和执行合同阶段称“乙方”。</w:t>
      </w:r>
    </w:p>
    <w:p>
      <w:pPr>
        <w:pStyle w:val="14"/>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2.4 “单一来源采购文件”系指由采购人向供应商发出的本采购项目的全部文件（包括修改文件、项目采购需求、补充文件、答疑纪要、各种通知和附件等）。</w:t>
      </w:r>
    </w:p>
    <w:p>
      <w:pPr>
        <w:pStyle w:val="14"/>
        <w:spacing w:line="440" w:lineRule="exact"/>
        <w:ind w:firstLine="480" w:firstLineChars="200"/>
        <w:outlineLvl w:val="1"/>
        <w:rPr>
          <w:rFonts w:ascii="仿宋_GB2312" w:eastAsia="仿宋_GB2312"/>
          <w:color w:val="auto"/>
          <w:sz w:val="24"/>
          <w:highlight w:val="none"/>
        </w:rPr>
      </w:pPr>
      <w:r>
        <w:rPr>
          <w:rFonts w:hint="eastAsia" w:ascii="仿宋_GB2312" w:eastAsia="仿宋_GB2312"/>
          <w:color w:val="auto"/>
          <w:sz w:val="24"/>
          <w:highlight w:val="none"/>
        </w:rPr>
        <w:t>2.5 “响应文件”系指供应商根据单一来源采购文件提交的所有文件。</w:t>
      </w:r>
    </w:p>
    <w:p>
      <w:pPr>
        <w:pStyle w:val="14"/>
        <w:spacing w:line="440" w:lineRule="exact"/>
        <w:ind w:firstLine="480" w:firstLineChars="200"/>
        <w:outlineLvl w:val="1"/>
        <w:rPr>
          <w:rFonts w:ascii="仿宋_GB2312" w:eastAsia="仿宋_GB2312"/>
          <w:color w:val="auto"/>
          <w:sz w:val="24"/>
          <w:highlight w:val="none"/>
        </w:rPr>
      </w:pPr>
      <w:r>
        <w:rPr>
          <w:rFonts w:hint="eastAsia" w:ascii="仿宋_GB2312" w:eastAsia="仿宋_GB2312"/>
          <w:color w:val="auto"/>
          <w:sz w:val="24"/>
          <w:highlight w:val="none"/>
        </w:rPr>
        <w:t>2.6“合同货物”系指按合同条款、技术规范及标准、项目采购需求、本采购文件规定，成交供应商须向采购人提供</w:t>
      </w:r>
      <w:r>
        <w:rPr>
          <w:rFonts w:hint="eastAsia" w:ascii="仿宋_GB2312" w:eastAsia="仿宋_GB2312"/>
          <w:color w:val="auto"/>
          <w:sz w:val="24"/>
          <w:highlight w:val="none"/>
          <w:lang w:eastAsia="zh-CN"/>
        </w:rPr>
        <w:t>“森林物语&amp;虫现江湖”——大型热带雨林实景生态展</w:t>
      </w:r>
      <w:r>
        <w:rPr>
          <w:rFonts w:hint="eastAsia" w:ascii="仿宋_GB2312" w:eastAsia="仿宋_GB2312"/>
          <w:color w:val="auto"/>
          <w:sz w:val="24"/>
          <w:highlight w:val="none"/>
        </w:rPr>
        <w:t>调试验收合格并正常使用所需的全部设备、材料等（含手册、规范、标准记相关技术资料等）。</w:t>
      </w:r>
    </w:p>
    <w:p>
      <w:pPr>
        <w:pStyle w:val="14"/>
        <w:spacing w:line="440" w:lineRule="exact"/>
        <w:ind w:firstLine="480" w:firstLineChars="200"/>
        <w:outlineLvl w:val="1"/>
        <w:rPr>
          <w:rFonts w:ascii="仿宋_GB2312" w:eastAsia="仿宋_GB2312"/>
          <w:b/>
          <w:bCs/>
          <w:color w:val="auto"/>
          <w:sz w:val="24"/>
          <w:highlight w:val="none"/>
        </w:rPr>
      </w:pPr>
      <w:bookmarkStart w:id="12" w:name="_Toc243907573"/>
      <w:bookmarkStart w:id="13" w:name="_Toc246216182"/>
      <w:bookmarkStart w:id="14" w:name="_Toc243906313"/>
      <w:bookmarkStart w:id="15" w:name="_Toc233274813"/>
      <w:r>
        <w:rPr>
          <w:rFonts w:hint="eastAsia" w:ascii="仿宋_GB2312" w:eastAsia="仿宋_GB2312"/>
          <w:color w:val="auto"/>
          <w:sz w:val="24"/>
          <w:highlight w:val="none"/>
        </w:rPr>
        <w:t>2.7 “服务”系指合同条款、技术规范及标准、项目采购需求、本采购文件规定，成交供应商为保证</w:t>
      </w:r>
      <w:r>
        <w:rPr>
          <w:rFonts w:hint="eastAsia" w:ascii="仿宋_GB2312" w:eastAsia="仿宋_GB2312"/>
          <w:b/>
          <w:bCs/>
          <w:color w:val="auto"/>
          <w:sz w:val="24"/>
          <w:highlight w:val="none"/>
        </w:rPr>
        <w:t>完成</w:t>
      </w:r>
      <w:r>
        <w:rPr>
          <w:rFonts w:hint="eastAsia" w:ascii="仿宋_GB2312" w:eastAsia="仿宋_GB2312"/>
          <w:b/>
          <w:bCs/>
          <w:color w:val="auto"/>
          <w:sz w:val="24"/>
          <w:highlight w:val="none"/>
          <w:lang w:eastAsia="zh-CN"/>
        </w:rPr>
        <w:t>“森林物语&amp;虫现江湖”——大型热带雨林实景生态展</w:t>
      </w:r>
      <w:r>
        <w:rPr>
          <w:rFonts w:hint="eastAsia" w:ascii="仿宋_GB2312" w:eastAsia="仿宋_GB2312"/>
          <w:b/>
          <w:bCs/>
          <w:color w:val="auto"/>
          <w:sz w:val="24"/>
          <w:highlight w:val="none"/>
        </w:rPr>
        <w:t>的所有工作，</w:t>
      </w:r>
      <w:r>
        <w:rPr>
          <w:rFonts w:hint="eastAsia" w:ascii="仿宋_GB2312" w:eastAsia="仿宋_GB2312"/>
          <w:b/>
          <w:bCs/>
          <w:color w:val="auto"/>
          <w:sz w:val="24"/>
          <w:highlight w:val="none"/>
          <w:lang w:eastAsia="zh-CN"/>
        </w:rPr>
        <w:t>配合采购人完成与此服务相关的合同条款、技术规范及标准、项目采购需求、采购文件约定的全部内容及责任和义务</w:t>
      </w:r>
      <w:r>
        <w:rPr>
          <w:rFonts w:hint="eastAsia" w:ascii="仿宋_GB2312" w:eastAsia="仿宋_GB2312"/>
          <w:b/>
          <w:bCs/>
          <w:color w:val="auto"/>
          <w:sz w:val="24"/>
          <w:highlight w:val="none"/>
        </w:rPr>
        <w:t>。</w:t>
      </w:r>
    </w:p>
    <w:p>
      <w:pPr>
        <w:pStyle w:val="14"/>
        <w:spacing w:line="440" w:lineRule="exact"/>
        <w:ind w:firstLine="480" w:firstLineChars="200"/>
        <w:outlineLvl w:val="1"/>
        <w:rPr>
          <w:rFonts w:ascii="仿宋_GB2312" w:eastAsia="仿宋_GB2312"/>
          <w:color w:val="auto"/>
          <w:sz w:val="24"/>
          <w:highlight w:val="none"/>
        </w:rPr>
      </w:pPr>
      <w:r>
        <w:rPr>
          <w:rFonts w:hint="eastAsia" w:ascii="仿宋_GB2312" w:eastAsia="仿宋_GB2312"/>
          <w:color w:val="auto"/>
          <w:sz w:val="24"/>
          <w:highlight w:val="none"/>
        </w:rPr>
        <w:t xml:space="preserve">2.8凡提及的“天、日期、星期、月份和年份”系指公历日历的日历天、日期、星期、月份和年份。 </w:t>
      </w:r>
    </w:p>
    <w:p>
      <w:pPr>
        <w:pStyle w:val="14"/>
        <w:spacing w:line="440" w:lineRule="exact"/>
        <w:ind w:firstLine="482" w:firstLineChars="200"/>
        <w:outlineLvl w:val="1"/>
        <w:rPr>
          <w:rFonts w:ascii="黑体" w:eastAsia="黑体"/>
          <w:b/>
          <w:color w:val="auto"/>
          <w:sz w:val="24"/>
          <w:highlight w:val="none"/>
        </w:rPr>
      </w:pPr>
      <w:r>
        <w:rPr>
          <w:rFonts w:hint="eastAsia" w:ascii="黑体" w:eastAsia="黑体"/>
          <w:b/>
          <w:color w:val="auto"/>
          <w:sz w:val="24"/>
          <w:highlight w:val="none"/>
        </w:rPr>
        <w:t>3、</w:t>
      </w:r>
      <w:bookmarkEnd w:id="12"/>
      <w:bookmarkEnd w:id="13"/>
      <w:bookmarkEnd w:id="14"/>
      <w:bookmarkEnd w:id="15"/>
      <w:bookmarkStart w:id="16" w:name="_Toc243907574"/>
      <w:bookmarkStart w:id="17" w:name="_Toc246216183"/>
      <w:bookmarkStart w:id="18" w:name="_Toc233274814"/>
      <w:bookmarkStart w:id="19" w:name="_Toc243906314"/>
      <w:r>
        <w:rPr>
          <w:rFonts w:hint="eastAsia" w:ascii="黑体" w:eastAsia="黑体"/>
          <w:b/>
          <w:color w:val="auto"/>
          <w:sz w:val="24"/>
          <w:highlight w:val="none"/>
        </w:rPr>
        <w:t>采购范围及服务期</w:t>
      </w:r>
    </w:p>
    <w:p>
      <w:pPr>
        <w:spacing w:line="440" w:lineRule="exact"/>
        <w:ind w:firstLine="482"/>
        <w:jc w:val="left"/>
        <w:rPr>
          <w:rFonts w:ascii="仿宋_GB2312" w:eastAsia="仿宋_GB2312"/>
          <w:b/>
          <w:bCs/>
          <w:color w:val="auto"/>
          <w:sz w:val="24"/>
          <w:highlight w:val="none"/>
        </w:rPr>
      </w:pPr>
      <w:r>
        <w:rPr>
          <w:rFonts w:hint="eastAsia" w:ascii="仿宋_GB2312" w:eastAsia="仿宋_GB2312"/>
          <w:b/>
          <w:bCs/>
          <w:color w:val="auto"/>
          <w:sz w:val="24"/>
          <w:highlight w:val="none"/>
        </w:rPr>
        <w:t>3.1采购范围：</w:t>
      </w:r>
      <w:r>
        <w:rPr>
          <w:rFonts w:hint="eastAsia" w:ascii="仿宋_GB2312" w:hAnsi="新宋体" w:eastAsia="仿宋_GB2312"/>
          <w:b/>
          <w:color w:val="auto"/>
          <w:sz w:val="24"/>
          <w:highlight w:val="none"/>
          <w:lang w:eastAsia="zh-CN"/>
        </w:rPr>
        <w:t>完成“森林物语&amp;虫现江湖”——大型热带雨林实景生态展的所有工作，配合采购人完成与此服务相关的合同条款、技术规范及标准、项目采购需求、采购文件约定的全部内容及责任和义务</w:t>
      </w:r>
      <w:r>
        <w:rPr>
          <w:rFonts w:hint="eastAsia" w:ascii="仿宋_GB2312" w:eastAsia="仿宋_GB2312"/>
          <w:b/>
          <w:bCs/>
          <w:color w:val="auto"/>
          <w:sz w:val="24"/>
          <w:highlight w:val="none"/>
        </w:rPr>
        <w:t>。</w:t>
      </w:r>
    </w:p>
    <w:p>
      <w:pPr>
        <w:spacing w:line="440" w:lineRule="exact"/>
        <w:ind w:firstLine="482"/>
        <w:jc w:val="left"/>
        <w:rPr>
          <w:rFonts w:ascii="仿宋_GB2312" w:eastAsia="仿宋_GB2312"/>
          <w:b/>
          <w:bCs/>
          <w:color w:val="auto"/>
          <w:sz w:val="24"/>
          <w:highlight w:val="none"/>
        </w:rPr>
      </w:pPr>
      <w:r>
        <w:rPr>
          <w:rFonts w:hint="eastAsia" w:ascii="仿宋_GB2312" w:eastAsia="仿宋_GB2312"/>
          <w:b/>
          <w:bCs/>
          <w:color w:val="auto"/>
          <w:sz w:val="24"/>
          <w:highlight w:val="none"/>
        </w:rPr>
        <w:t>3.2服务期：</w:t>
      </w:r>
      <w:r>
        <w:rPr>
          <w:rFonts w:hint="eastAsia" w:ascii="仿宋_GB2312" w:eastAsia="仿宋_GB2312"/>
          <w:b/>
          <w:bCs/>
          <w:color w:val="auto"/>
          <w:sz w:val="24"/>
          <w:highlight w:val="none"/>
          <w:lang w:eastAsia="zh-CN"/>
        </w:rPr>
        <w:t>自接到采购人通知之日起</w:t>
      </w:r>
      <w:r>
        <w:rPr>
          <w:rFonts w:hint="eastAsia" w:ascii="仿宋_GB2312" w:eastAsia="仿宋_GB2312"/>
          <w:b/>
          <w:bCs/>
          <w:color w:val="auto"/>
          <w:sz w:val="24"/>
          <w:highlight w:val="none"/>
          <w:lang w:val="en-US" w:eastAsia="zh-CN"/>
        </w:rPr>
        <w:t>35天（日历日）内完成布展搭建等工作；</w:t>
      </w:r>
      <w:r>
        <w:rPr>
          <w:rFonts w:hint="eastAsia" w:ascii="仿宋_GB2312" w:eastAsia="仿宋_GB2312"/>
          <w:b/>
          <w:bCs/>
          <w:color w:val="auto"/>
          <w:sz w:val="24"/>
          <w:highlight w:val="none"/>
          <w:lang w:eastAsia="zh-CN"/>
        </w:rPr>
        <w:t>展出时长2个月；自接到采购人撤展通知之日起</w:t>
      </w:r>
      <w:r>
        <w:rPr>
          <w:rFonts w:hint="eastAsia" w:ascii="仿宋_GB2312" w:eastAsia="仿宋_GB2312"/>
          <w:b/>
          <w:bCs/>
          <w:color w:val="auto"/>
          <w:sz w:val="24"/>
          <w:highlight w:val="none"/>
          <w:lang w:val="en-US" w:eastAsia="zh-CN"/>
        </w:rPr>
        <w:t>15天（日历日）内完成撤展全部工作内容并经验收合格</w:t>
      </w:r>
      <w:r>
        <w:rPr>
          <w:rFonts w:hint="eastAsia" w:ascii="仿宋_GB2312" w:eastAsia="仿宋_GB2312"/>
          <w:b/>
          <w:bCs/>
          <w:color w:val="auto"/>
          <w:sz w:val="24"/>
          <w:highlight w:val="none"/>
          <w:lang w:eastAsia="zh-CN"/>
        </w:rPr>
        <w:t>。</w:t>
      </w:r>
    </w:p>
    <w:p>
      <w:pPr>
        <w:spacing w:line="460" w:lineRule="exact"/>
        <w:ind w:firstLine="480" w:firstLineChars="200"/>
        <w:rPr>
          <w:rFonts w:ascii="仿宋_GB2312" w:hAnsi="宋体" w:eastAsia="仿宋_GB2312" w:cs="宋体"/>
          <w:b/>
          <w:color w:val="auto"/>
          <w:sz w:val="24"/>
          <w:highlight w:val="none"/>
        </w:rPr>
      </w:pPr>
      <w:r>
        <w:rPr>
          <w:rFonts w:hint="eastAsia" w:ascii="仿宋_GB2312" w:eastAsia="仿宋_GB2312"/>
          <w:color w:val="auto"/>
          <w:sz w:val="24"/>
          <w:highlight w:val="none"/>
        </w:rPr>
        <w:t>4、</w:t>
      </w:r>
      <w:bookmarkEnd w:id="16"/>
      <w:bookmarkEnd w:id="17"/>
      <w:bookmarkEnd w:id="18"/>
      <w:bookmarkEnd w:id="19"/>
      <w:r>
        <w:rPr>
          <w:rFonts w:hint="eastAsia" w:ascii="仿宋_GB2312" w:eastAsia="仿宋_GB2312"/>
          <w:color w:val="auto"/>
          <w:sz w:val="24"/>
          <w:highlight w:val="none"/>
        </w:rPr>
        <w:t>合格供应商资格要求</w:t>
      </w:r>
    </w:p>
    <w:p>
      <w:pPr>
        <w:pStyle w:val="14"/>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4.1详见第一章“单一来源采购方式公示表”中的供应商资格要求。</w:t>
      </w:r>
    </w:p>
    <w:p>
      <w:pPr>
        <w:pStyle w:val="77"/>
        <w:spacing w:line="460" w:lineRule="exact"/>
        <w:ind w:left="1" w:firstLine="480" w:firstLineChars="200"/>
        <w:rPr>
          <w:rFonts w:ascii="仿宋_GB2312" w:eastAsia="仿宋_GB2312"/>
          <w:color w:val="auto"/>
          <w:kern w:val="2"/>
          <w:sz w:val="24"/>
          <w:szCs w:val="24"/>
          <w:highlight w:val="none"/>
        </w:rPr>
      </w:pPr>
      <w:bookmarkStart w:id="20" w:name="_Toc243907575"/>
      <w:bookmarkStart w:id="21" w:name="_Toc243906315"/>
      <w:bookmarkStart w:id="22" w:name="_Toc233274815"/>
      <w:bookmarkStart w:id="23" w:name="_Toc245897275"/>
      <w:r>
        <w:rPr>
          <w:rFonts w:hint="eastAsia" w:ascii="仿宋_GB2312" w:eastAsia="仿宋_GB2312"/>
          <w:color w:val="auto"/>
          <w:kern w:val="2"/>
          <w:sz w:val="24"/>
          <w:szCs w:val="24"/>
          <w:highlight w:val="none"/>
        </w:rPr>
        <w:t>4.2回避。政府采购活动中，采购人员及相关人员与供应商有下列利害关系之一的，应当回避：</w:t>
      </w:r>
    </w:p>
    <w:p>
      <w:pPr>
        <w:pStyle w:val="77"/>
        <w:spacing w:line="360" w:lineRule="auto"/>
        <w:ind w:left="1" w:firstLine="480" w:firstLineChars="200"/>
        <w:rPr>
          <w:rFonts w:ascii="仿宋_GB2312" w:eastAsia="仿宋_GB2312"/>
          <w:color w:val="auto"/>
          <w:kern w:val="2"/>
          <w:sz w:val="24"/>
          <w:szCs w:val="24"/>
          <w:highlight w:val="none"/>
        </w:rPr>
      </w:pPr>
      <w:r>
        <w:rPr>
          <w:rFonts w:hint="eastAsia" w:ascii="仿宋_GB2312" w:eastAsia="仿宋_GB2312"/>
          <w:color w:val="auto"/>
          <w:kern w:val="2"/>
          <w:sz w:val="24"/>
          <w:szCs w:val="24"/>
          <w:highlight w:val="none"/>
        </w:rPr>
        <w:t>（1）参加采购活动前3年内与供应商存在劳动关系；</w:t>
      </w:r>
    </w:p>
    <w:p>
      <w:pPr>
        <w:pStyle w:val="77"/>
        <w:spacing w:line="360" w:lineRule="auto"/>
        <w:ind w:left="1" w:firstLine="480" w:firstLineChars="200"/>
        <w:rPr>
          <w:rFonts w:ascii="仿宋_GB2312" w:eastAsia="仿宋_GB2312"/>
          <w:color w:val="auto"/>
          <w:kern w:val="2"/>
          <w:sz w:val="24"/>
          <w:szCs w:val="24"/>
          <w:highlight w:val="none"/>
        </w:rPr>
      </w:pPr>
      <w:r>
        <w:rPr>
          <w:rFonts w:hint="eastAsia" w:ascii="仿宋_GB2312" w:eastAsia="仿宋_GB2312"/>
          <w:color w:val="auto"/>
          <w:kern w:val="2"/>
          <w:sz w:val="24"/>
          <w:szCs w:val="24"/>
          <w:highlight w:val="none"/>
        </w:rPr>
        <w:t>（2）参加采购活动前3年内担任供应商的董事、监事；</w:t>
      </w:r>
    </w:p>
    <w:p>
      <w:pPr>
        <w:pStyle w:val="77"/>
        <w:spacing w:line="360" w:lineRule="auto"/>
        <w:ind w:left="1" w:firstLine="480" w:firstLineChars="200"/>
        <w:rPr>
          <w:rFonts w:ascii="仿宋_GB2312" w:eastAsia="仿宋_GB2312"/>
          <w:color w:val="auto"/>
          <w:kern w:val="2"/>
          <w:sz w:val="24"/>
          <w:szCs w:val="24"/>
          <w:highlight w:val="none"/>
        </w:rPr>
      </w:pPr>
      <w:r>
        <w:rPr>
          <w:rFonts w:hint="eastAsia" w:ascii="仿宋_GB2312" w:eastAsia="仿宋_GB2312"/>
          <w:color w:val="auto"/>
          <w:kern w:val="2"/>
          <w:sz w:val="24"/>
          <w:szCs w:val="24"/>
          <w:highlight w:val="none"/>
        </w:rPr>
        <w:t>（3）参加采购活动前3年内是供应商的控股股东或者实际控制人；</w:t>
      </w:r>
    </w:p>
    <w:p>
      <w:pPr>
        <w:pStyle w:val="77"/>
        <w:spacing w:line="360" w:lineRule="auto"/>
        <w:ind w:left="1" w:firstLine="480" w:firstLineChars="200"/>
        <w:rPr>
          <w:rFonts w:ascii="仿宋_GB2312" w:eastAsia="仿宋_GB2312"/>
          <w:color w:val="auto"/>
          <w:kern w:val="2"/>
          <w:sz w:val="24"/>
          <w:szCs w:val="24"/>
          <w:highlight w:val="none"/>
        </w:rPr>
      </w:pPr>
      <w:r>
        <w:rPr>
          <w:rFonts w:hint="eastAsia" w:ascii="仿宋_GB2312" w:eastAsia="仿宋_GB2312"/>
          <w:color w:val="auto"/>
          <w:kern w:val="2"/>
          <w:sz w:val="24"/>
          <w:szCs w:val="24"/>
          <w:highlight w:val="none"/>
        </w:rPr>
        <w:t>（4）与供应商的法定代表人或者负责人有夫妻、直系血亲、三代以内旁系血亲或者近姻亲关系；</w:t>
      </w:r>
    </w:p>
    <w:p>
      <w:pPr>
        <w:pStyle w:val="77"/>
        <w:spacing w:line="360" w:lineRule="auto"/>
        <w:ind w:left="1" w:firstLine="480" w:firstLineChars="200"/>
        <w:rPr>
          <w:rFonts w:ascii="仿宋_GB2312" w:eastAsia="仿宋_GB2312"/>
          <w:color w:val="auto"/>
          <w:kern w:val="2"/>
          <w:sz w:val="24"/>
          <w:szCs w:val="24"/>
          <w:highlight w:val="none"/>
        </w:rPr>
      </w:pPr>
      <w:r>
        <w:rPr>
          <w:rFonts w:hint="eastAsia" w:ascii="仿宋_GB2312" w:eastAsia="仿宋_GB2312"/>
          <w:color w:val="auto"/>
          <w:kern w:val="2"/>
          <w:sz w:val="24"/>
          <w:szCs w:val="24"/>
          <w:highlight w:val="none"/>
        </w:rPr>
        <w:t>（5）与供应商有其他可能影响政府采购活动公平、公正进行的关系。</w:t>
      </w:r>
    </w:p>
    <w:p>
      <w:pPr>
        <w:pStyle w:val="77"/>
        <w:spacing w:line="360" w:lineRule="auto"/>
        <w:ind w:left="1" w:firstLine="480" w:firstLineChars="200"/>
        <w:rPr>
          <w:rFonts w:ascii="仿宋_GB2312" w:eastAsia="仿宋_GB2312"/>
          <w:color w:val="auto"/>
          <w:kern w:val="2"/>
          <w:sz w:val="24"/>
          <w:szCs w:val="24"/>
          <w:highlight w:val="none"/>
        </w:rPr>
      </w:pPr>
      <w:r>
        <w:rPr>
          <w:rFonts w:hint="eastAsia" w:ascii="仿宋_GB2312" w:eastAsia="仿宋_GB2312"/>
          <w:color w:val="auto"/>
          <w:kern w:val="2"/>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协商小组成员。</w:t>
      </w:r>
    </w:p>
    <w:p>
      <w:pPr>
        <w:pStyle w:val="77"/>
        <w:spacing w:line="360" w:lineRule="auto"/>
        <w:ind w:left="1" w:firstLine="480" w:firstLineChars="200"/>
        <w:rPr>
          <w:rFonts w:ascii="仿宋_GB2312" w:eastAsia="仿宋_GB2312"/>
          <w:color w:val="auto"/>
          <w:kern w:val="2"/>
          <w:sz w:val="24"/>
          <w:szCs w:val="24"/>
          <w:highlight w:val="none"/>
        </w:rPr>
      </w:pPr>
      <w:r>
        <w:rPr>
          <w:rFonts w:hint="eastAsia" w:ascii="仿宋_GB2312" w:eastAsia="仿宋_GB2312"/>
          <w:color w:val="auto"/>
          <w:kern w:val="2"/>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5、实地勘察和费用</w:t>
      </w:r>
      <w:bookmarkEnd w:id="20"/>
      <w:bookmarkEnd w:id="21"/>
      <w:bookmarkEnd w:id="22"/>
      <w:bookmarkEnd w:id="23"/>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5.1实地考察</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人不统一组织供应商的实地考察。供应商须自行对采购项目的现场及采购项目所涉及的国家、自治区、克拉玛依地区、相关部门等与此相关的政策进行充分的调查、研究，参观并勘察现场及其周围环境（包括当地气候条件及自然环境等）以取得所有与准备采购和实施采购有关的必要资料及信息。实地考察所发生的任何费用均由供应商自理。</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5.2参与采购费用</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5.2.1供应商应承担所有与采购准备和采购有关的全部费用，不论采购结果如何，采购人和采购代理机构无义务和责任承担供应商所发生的一切费用。</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5.2.2供应商在采购准备、实地考察和采购的全过程中，如果发生人身伤亡、财物或其它任何损失，不论何种原因所造成，均由供应商自行承担全部责任和损失。</w:t>
      </w:r>
    </w:p>
    <w:p>
      <w:pPr>
        <w:pStyle w:val="14"/>
        <w:spacing w:line="360" w:lineRule="auto"/>
        <w:ind w:firstLine="480" w:firstLineChars="200"/>
        <w:outlineLvl w:val="1"/>
        <w:rPr>
          <w:rFonts w:ascii="仿宋_GB2312" w:eastAsia="仿宋_GB2312"/>
          <w:color w:val="auto"/>
          <w:sz w:val="24"/>
          <w:highlight w:val="none"/>
        </w:rPr>
      </w:pPr>
      <w:bookmarkStart w:id="24" w:name="_Toc245897276"/>
      <w:bookmarkStart w:id="25" w:name="_Toc243907576"/>
      <w:bookmarkStart w:id="26" w:name="_Toc233274816"/>
      <w:bookmarkStart w:id="27" w:name="_Toc243906316"/>
      <w:r>
        <w:rPr>
          <w:rFonts w:hint="eastAsia" w:ascii="仿宋_GB2312" w:eastAsia="仿宋_GB2312"/>
          <w:color w:val="auto"/>
          <w:sz w:val="24"/>
          <w:highlight w:val="none"/>
        </w:rPr>
        <w:t>6、法律适用</w:t>
      </w:r>
      <w:bookmarkEnd w:id="24"/>
      <w:bookmarkEnd w:id="25"/>
      <w:bookmarkEnd w:id="26"/>
      <w:bookmarkEnd w:id="27"/>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6.1本次采购活动及由本次采购产生的合同受中国法律制约和保护。</w:t>
      </w:r>
    </w:p>
    <w:p>
      <w:pPr>
        <w:pStyle w:val="14"/>
        <w:spacing w:line="360" w:lineRule="auto"/>
        <w:ind w:firstLine="480" w:firstLineChars="200"/>
        <w:outlineLvl w:val="1"/>
        <w:rPr>
          <w:rFonts w:ascii="仿宋_GB2312" w:eastAsia="仿宋_GB2312"/>
          <w:color w:val="auto"/>
          <w:sz w:val="24"/>
          <w:highlight w:val="none"/>
        </w:rPr>
      </w:pPr>
      <w:bookmarkStart w:id="28" w:name="_Toc245897277"/>
      <w:bookmarkStart w:id="29" w:name="_Toc243906317"/>
      <w:bookmarkStart w:id="30" w:name="_Toc233274817"/>
      <w:bookmarkStart w:id="31" w:name="_Toc243907577"/>
      <w:r>
        <w:rPr>
          <w:rFonts w:hint="eastAsia" w:ascii="仿宋_GB2312" w:eastAsia="仿宋_GB2312"/>
          <w:color w:val="auto"/>
          <w:sz w:val="24"/>
          <w:highlight w:val="none"/>
        </w:rPr>
        <w:t>7、单一来源采购文件的约束力</w:t>
      </w:r>
      <w:bookmarkEnd w:id="28"/>
      <w:bookmarkEnd w:id="29"/>
      <w:bookmarkEnd w:id="30"/>
      <w:bookmarkEnd w:id="31"/>
    </w:p>
    <w:p>
      <w:pPr>
        <w:pStyle w:val="14"/>
        <w:spacing w:line="360" w:lineRule="auto"/>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7.1供应商若成交，即被认为接受了本单一来源采购文件中的所有条件和规定。是采购人与成交供应商签订合同的依据且是合同的组成部分。</w:t>
      </w:r>
    </w:p>
    <w:bookmarkEnd w:id="3"/>
    <w:p>
      <w:pPr>
        <w:pStyle w:val="14"/>
        <w:spacing w:line="360" w:lineRule="auto"/>
        <w:jc w:val="center"/>
        <w:outlineLvl w:val="1"/>
        <w:rPr>
          <w:rFonts w:ascii="仿宋_GB2312" w:eastAsia="仿宋_GB2312"/>
          <w:b/>
          <w:bCs/>
          <w:color w:val="auto"/>
          <w:sz w:val="28"/>
          <w:szCs w:val="28"/>
          <w:highlight w:val="none"/>
        </w:rPr>
      </w:pPr>
    </w:p>
    <w:p>
      <w:pPr>
        <w:pStyle w:val="14"/>
        <w:spacing w:line="360" w:lineRule="auto"/>
        <w:jc w:val="center"/>
        <w:outlineLvl w:val="1"/>
        <w:rPr>
          <w:rFonts w:ascii="仿宋_GB2312" w:eastAsia="仿宋_GB2312"/>
          <w:b/>
          <w:color w:val="auto"/>
          <w:sz w:val="28"/>
          <w:szCs w:val="28"/>
          <w:highlight w:val="none"/>
        </w:rPr>
      </w:pPr>
      <w:r>
        <w:rPr>
          <w:rFonts w:hint="eastAsia" w:ascii="仿宋_GB2312" w:eastAsia="仿宋_GB2312"/>
          <w:b/>
          <w:bCs/>
          <w:color w:val="auto"/>
          <w:sz w:val="28"/>
          <w:szCs w:val="28"/>
          <w:highlight w:val="none"/>
        </w:rPr>
        <w:t>B     单一来源采购文件</w:t>
      </w:r>
    </w:p>
    <w:p>
      <w:pPr>
        <w:pStyle w:val="14"/>
        <w:spacing w:line="360" w:lineRule="auto"/>
        <w:ind w:firstLine="480" w:firstLineChars="200"/>
        <w:outlineLvl w:val="1"/>
        <w:rPr>
          <w:rFonts w:ascii="仿宋_GB2312" w:eastAsia="仿宋_GB2312"/>
          <w:color w:val="auto"/>
          <w:sz w:val="24"/>
          <w:highlight w:val="none"/>
        </w:rPr>
      </w:pPr>
      <w:bookmarkStart w:id="32" w:name="_Toc243906319"/>
      <w:bookmarkStart w:id="33" w:name="_Toc243907579"/>
      <w:bookmarkStart w:id="34" w:name="_Toc246216188"/>
      <w:bookmarkStart w:id="35" w:name="_Toc233274819"/>
      <w:r>
        <w:rPr>
          <w:rFonts w:hint="eastAsia" w:ascii="仿宋_GB2312" w:eastAsia="仿宋_GB2312"/>
          <w:color w:val="auto"/>
          <w:sz w:val="24"/>
          <w:highlight w:val="none"/>
        </w:rPr>
        <w:t>8、单一来源采购文件的组成</w:t>
      </w:r>
      <w:bookmarkEnd w:id="32"/>
      <w:bookmarkEnd w:id="33"/>
      <w:bookmarkEnd w:id="34"/>
      <w:bookmarkEnd w:id="35"/>
    </w:p>
    <w:p>
      <w:pPr>
        <w:spacing w:line="360" w:lineRule="auto"/>
        <w:ind w:firstLine="481"/>
        <w:rPr>
          <w:rFonts w:ascii="仿宋_GB2312" w:eastAsia="仿宋_GB2312"/>
          <w:color w:val="auto"/>
          <w:highlight w:val="none"/>
        </w:rPr>
      </w:pPr>
      <w:r>
        <w:rPr>
          <w:rFonts w:hint="eastAsia" w:ascii="仿宋_GB2312" w:eastAsia="仿宋_GB2312"/>
          <w:color w:val="auto"/>
          <w:sz w:val="24"/>
          <w:highlight w:val="none"/>
        </w:rPr>
        <w:t>8.1 本单一来源采购文件是对</w:t>
      </w:r>
      <w:r>
        <w:rPr>
          <w:rFonts w:hint="eastAsia" w:ascii="仿宋_GB2312" w:eastAsia="仿宋_GB2312"/>
          <w:color w:val="auto"/>
          <w:sz w:val="24"/>
          <w:highlight w:val="none"/>
          <w:lang w:eastAsia="zh-CN"/>
        </w:rPr>
        <w:t>“森林物语&amp;虫现江湖”——大型热带雨林实景生态展</w:t>
      </w:r>
      <w:r>
        <w:rPr>
          <w:rFonts w:hint="eastAsia" w:ascii="仿宋_GB2312" w:eastAsia="仿宋_GB2312"/>
          <w:color w:val="auto"/>
          <w:sz w:val="24"/>
          <w:highlight w:val="none"/>
        </w:rPr>
        <w:t>采购程序、合同条款进行说明。单一来源采购文件包括下列内容：</w:t>
      </w:r>
    </w:p>
    <w:p>
      <w:pPr>
        <w:pStyle w:val="14"/>
        <w:spacing w:line="360" w:lineRule="auto"/>
        <w:ind w:firstLine="440"/>
        <w:rPr>
          <w:rFonts w:ascii="仿宋_GB2312" w:eastAsia="仿宋_GB2312"/>
          <w:color w:val="auto"/>
          <w:sz w:val="24"/>
          <w:highlight w:val="none"/>
        </w:rPr>
      </w:pPr>
      <w:r>
        <w:rPr>
          <w:rFonts w:hint="eastAsia" w:ascii="仿宋_GB2312" w:eastAsia="仿宋_GB2312"/>
          <w:color w:val="auto"/>
          <w:sz w:val="24"/>
          <w:highlight w:val="none"/>
        </w:rPr>
        <w:t>第一章  单一来源采购公示表</w:t>
      </w:r>
    </w:p>
    <w:p>
      <w:pPr>
        <w:pStyle w:val="14"/>
        <w:spacing w:line="360" w:lineRule="auto"/>
        <w:ind w:firstLine="440"/>
        <w:rPr>
          <w:rFonts w:ascii="仿宋_GB2312" w:eastAsia="仿宋_GB2312"/>
          <w:color w:val="auto"/>
          <w:sz w:val="24"/>
          <w:highlight w:val="none"/>
        </w:rPr>
      </w:pPr>
      <w:r>
        <w:rPr>
          <w:rFonts w:hint="eastAsia" w:ascii="仿宋_GB2312" w:eastAsia="仿宋_GB2312"/>
          <w:color w:val="auto"/>
          <w:sz w:val="24"/>
          <w:highlight w:val="none"/>
        </w:rPr>
        <w:t>第二章  供应商须知</w:t>
      </w:r>
    </w:p>
    <w:p>
      <w:pPr>
        <w:pStyle w:val="14"/>
        <w:spacing w:line="360" w:lineRule="auto"/>
        <w:ind w:firstLine="440"/>
        <w:rPr>
          <w:rFonts w:ascii="仿宋_GB2312" w:eastAsia="仿宋_GB2312"/>
          <w:color w:val="auto"/>
          <w:sz w:val="24"/>
          <w:highlight w:val="none"/>
        </w:rPr>
      </w:pPr>
      <w:r>
        <w:rPr>
          <w:rFonts w:hint="eastAsia" w:ascii="仿宋_GB2312" w:eastAsia="仿宋_GB2312"/>
          <w:color w:val="auto"/>
          <w:sz w:val="24"/>
          <w:highlight w:val="none"/>
        </w:rPr>
        <w:t>第三章  项目采购需求</w:t>
      </w:r>
    </w:p>
    <w:p>
      <w:pPr>
        <w:pStyle w:val="14"/>
        <w:spacing w:line="360" w:lineRule="auto"/>
        <w:ind w:firstLine="440"/>
        <w:rPr>
          <w:rFonts w:ascii="仿宋_GB2312" w:eastAsia="仿宋_GB2312"/>
          <w:color w:val="auto"/>
          <w:sz w:val="24"/>
          <w:highlight w:val="none"/>
        </w:rPr>
      </w:pPr>
      <w:r>
        <w:rPr>
          <w:rFonts w:hint="eastAsia" w:ascii="仿宋_GB2312" w:eastAsia="仿宋_GB2312"/>
          <w:color w:val="auto"/>
          <w:sz w:val="24"/>
          <w:highlight w:val="none"/>
        </w:rPr>
        <w:t>第四章  合同文本</w:t>
      </w:r>
    </w:p>
    <w:p>
      <w:pPr>
        <w:pStyle w:val="14"/>
        <w:spacing w:line="360" w:lineRule="auto"/>
        <w:ind w:firstLine="440"/>
        <w:rPr>
          <w:rFonts w:ascii="仿宋_GB2312" w:eastAsia="仿宋_GB2312"/>
          <w:color w:val="auto"/>
          <w:sz w:val="24"/>
          <w:highlight w:val="none"/>
        </w:rPr>
      </w:pPr>
      <w:r>
        <w:rPr>
          <w:rFonts w:hint="eastAsia" w:ascii="仿宋_GB2312" w:eastAsia="仿宋_GB2312"/>
          <w:color w:val="auto"/>
          <w:sz w:val="24"/>
          <w:highlight w:val="none"/>
        </w:rPr>
        <w:t>第五章  响应文件格式</w:t>
      </w:r>
    </w:p>
    <w:p>
      <w:pPr>
        <w:pStyle w:val="14"/>
        <w:spacing w:line="360" w:lineRule="auto"/>
        <w:ind w:firstLine="440"/>
        <w:rPr>
          <w:rFonts w:ascii="仿宋_GB2312" w:eastAsia="仿宋_GB2312"/>
          <w:color w:val="auto"/>
          <w:sz w:val="24"/>
          <w:highlight w:val="none"/>
        </w:rPr>
      </w:pPr>
      <w:r>
        <w:rPr>
          <w:rFonts w:hint="eastAsia" w:ascii="仿宋_GB2312" w:eastAsia="仿宋_GB2312"/>
          <w:color w:val="auto"/>
          <w:sz w:val="24"/>
          <w:highlight w:val="none"/>
        </w:rPr>
        <w:t>第六章  初步评审</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8.2 单一来源采购文件以中文编印，以中文文本为准。</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8.3 除非有特殊要求，单一来源采购文件不单独提供采购项目使用地的自然环境、气候条件、劳动力及公用设施等情况，供应商被视为熟悉上述条件或若成交履行合同有关的一切情况。</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8.4采购人向供应商提供的有关数据和资料，是采购人现有的能被供应商利用的资料，供应商对此做出的推论、理解和结论自行负责。</w:t>
      </w:r>
    </w:p>
    <w:p>
      <w:pPr>
        <w:pStyle w:val="14"/>
        <w:spacing w:line="360" w:lineRule="auto"/>
        <w:ind w:firstLine="480" w:firstLineChars="200"/>
        <w:outlineLvl w:val="1"/>
        <w:rPr>
          <w:rFonts w:ascii="仿宋_GB2312" w:eastAsia="仿宋_GB2312"/>
          <w:color w:val="auto"/>
          <w:sz w:val="24"/>
          <w:highlight w:val="none"/>
        </w:rPr>
      </w:pPr>
      <w:bookmarkStart w:id="36" w:name="_Toc233274820"/>
      <w:bookmarkStart w:id="37" w:name="_Toc245897280"/>
      <w:bookmarkStart w:id="38" w:name="_Toc243906320"/>
      <w:bookmarkStart w:id="39" w:name="_Toc243907580"/>
      <w:r>
        <w:rPr>
          <w:rFonts w:hint="eastAsia" w:ascii="仿宋_GB2312" w:eastAsia="仿宋_GB2312"/>
          <w:color w:val="auto"/>
          <w:sz w:val="24"/>
          <w:highlight w:val="none"/>
        </w:rPr>
        <w:t>9、单一来源采购文件的澄清</w:t>
      </w:r>
      <w:bookmarkEnd w:id="36"/>
      <w:bookmarkEnd w:id="37"/>
      <w:bookmarkEnd w:id="38"/>
      <w:bookmarkEnd w:id="39"/>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9.1 供应商对单一来源采购文件如有疑问，可要求澄清，应按采购文件“供应商须知前附表第6条”</w:t>
      </w:r>
      <w:r>
        <w:rPr>
          <w:rFonts w:hint="eastAsia" w:ascii="仿宋_GB2312" w:hAnsi="宋体" w:eastAsia="仿宋_GB2312"/>
          <w:color w:val="auto"/>
          <w:sz w:val="24"/>
          <w:szCs w:val="24"/>
          <w:highlight w:val="none"/>
        </w:rPr>
        <w:t>扫描件形式（必须加盖供应商公章）发送到邮箱： 617122271@qq.com</w:t>
      </w:r>
      <w:r>
        <w:rPr>
          <w:rFonts w:hint="eastAsia" w:ascii="仿宋_GB2312" w:eastAsia="仿宋_GB2312"/>
          <w:color w:val="auto"/>
          <w:sz w:val="24"/>
          <w:highlight w:val="none"/>
        </w:rPr>
        <w:t>。采购人和采购代理机构将视情况以书面形式予以答复，并发至领取单一来源采购文件的供应商。答复中包括所提问题，但不包括问题的来源。</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9.2 如果上述答复涉及对单一来源采购文件的修改或补充，则它将被视为单一来源采购文件的组成部分。凡原先所发单一来源采购文件中的内容与答复中的内容不一致之处，以最后书面答复为准。任何电话或口头咨询和答复的意思解释均不具有法律约束力。</w:t>
      </w:r>
    </w:p>
    <w:p>
      <w:pPr>
        <w:pStyle w:val="14"/>
        <w:spacing w:line="360" w:lineRule="auto"/>
        <w:ind w:firstLine="480" w:firstLineChars="200"/>
        <w:outlineLvl w:val="1"/>
        <w:rPr>
          <w:rFonts w:ascii="仿宋_GB2312" w:eastAsia="仿宋_GB2312"/>
          <w:color w:val="auto"/>
          <w:sz w:val="24"/>
          <w:highlight w:val="none"/>
        </w:rPr>
      </w:pPr>
      <w:bookmarkStart w:id="40" w:name="_Toc243906321"/>
      <w:bookmarkStart w:id="41" w:name="_Toc245897281"/>
      <w:bookmarkStart w:id="42" w:name="_Toc233274821"/>
      <w:bookmarkStart w:id="43" w:name="_Toc243907581"/>
      <w:r>
        <w:rPr>
          <w:rFonts w:hint="eastAsia" w:ascii="仿宋_GB2312" w:eastAsia="仿宋_GB2312"/>
          <w:color w:val="auto"/>
          <w:sz w:val="24"/>
          <w:highlight w:val="none"/>
        </w:rPr>
        <w:t>10、单一来源采购文件的修改和补充</w:t>
      </w:r>
      <w:bookmarkEnd w:id="40"/>
      <w:bookmarkEnd w:id="41"/>
      <w:bookmarkEnd w:id="42"/>
      <w:bookmarkEnd w:id="43"/>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10.1在前附表规定的递交响应文件截止日期前的任何时候，采购人可主动地或依据供应商要求澄清的疑问而修改、补充单一来源采购文件，采购代理机构将对修改和补充的内容以书面形式发至获取单一来源采购文件的供应商，修改和补充文件将作为单一来源采购文件的组成部分，对供应商具有约束力。</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10.2为使供应商在准备响应文件时有合理的时间考虑单一来源采购文件的修改和/或补充，采购代理机构可延长递交响应文件截止时间和开启时间，</w:t>
      </w:r>
      <w:r>
        <w:rPr>
          <w:rFonts w:hint="eastAsia" w:ascii="仿宋_GB2312" w:hAnsi="宋体" w:eastAsia="仿宋_GB2312" w:cs="宋体"/>
          <w:color w:val="auto"/>
          <w:sz w:val="24"/>
          <w:highlight w:val="none"/>
        </w:rPr>
        <w:t>但至少应当在规定的递交响应文件的截止时间前，</w:t>
      </w:r>
      <w:r>
        <w:rPr>
          <w:rFonts w:hint="eastAsia" w:ascii="仿宋_GB2312" w:eastAsia="仿宋_GB2312"/>
          <w:color w:val="auto"/>
          <w:sz w:val="24"/>
          <w:highlight w:val="none"/>
        </w:rPr>
        <w:t>以书面形式通知获取单一来源采购文件的供应商。</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10.3供应商在每次收到采购代理机构发至的书面文件后，应在收到后24小时内以书面形式并加盖供应商公章予以确认。</w:t>
      </w:r>
    </w:p>
    <w:p>
      <w:pPr>
        <w:pStyle w:val="14"/>
        <w:spacing w:line="360" w:lineRule="auto"/>
        <w:jc w:val="center"/>
        <w:outlineLvl w:val="1"/>
        <w:rPr>
          <w:rFonts w:ascii="仿宋_GB2312" w:eastAsia="仿宋_GB2312"/>
          <w:b/>
          <w:bCs/>
          <w:color w:val="auto"/>
          <w:sz w:val="28"/>
          <w:szCs w:val="28"/>
          <w:highlight w:val="none"/>
        </w:rPr>
      </w:pPr>
      <w:bookmarkStart w:id="44" w:name="_Toc233274822"/>
      <w:bookmarkStart w:id="45" w:name="_Toc243906322"/>
      <w:bookmarkStart w:id="46" w:name="_Toc243907582"/>
      <w:bookmarkStart w:id="47" w:name="_Toc246216191"/>
      <w:bookmarkStart w:id="48" w:name="_Toc154996580"/>
    </w:p>
    <w:p>
      <w:pPr>
        <w:pStyle w:val="14"/>
        <w:spacing w:line="360" w:lineRule="auto"/>
        <w:jc w:val="center"/>
        <w:outlineLvl w:val="1"/>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C   响应文件的编写</w:t>
      </w:r>
      <w:bookmarkEnd w:id="44"/>
      <w:bookmarkEnd w:id="45"/>
      <w:bookmarkEnd w:id="46"/>
      <w:bookmarkEnd w:id="47"/>
    </w:p>
    <w:p>
      <w:pPr>
        <w:pStyle w:val="14"/>
        <w:spacing w:line="360" w:lineRule="auto"/>
        <w:ind w:firstLine="480" w:firstLineChars="200"/>
        <w:outlineLvl w:val="1"/>
        <w:rPr>
          <w:rFonts w:ascii="仿宋_GB2312" w:eastAsia="仿宋_GB2312"/>
          <w:color w:val="auto"/>
          <w:sz w:val="24"/>
          <w:highlight w:val="none"/>
        </w:rPr>
      </w:pPr>
      <w:bookmarkStart w:id="49" w:name="_Toc233274823"/>
      <w:bookmarkStart w:id="50" w:name="_Toc243907583"/>
      <w:bookmarkStart w:id="51" w:name="_Toc245897283"/>
      <w:bookmarkStart w:id="52" w:name="_Toc243906323"/>
      <w:r>
        <w:rPr>
          <w:rFonts w:hint="eastAsia" w:ascii="仿宋_GB2312" w:eastAsia="仿宋_GB2312"/>
          <w:color w:val="auto"/>
          <w:sz w:val="24"/>
          <w:highlight w:val="none"/>
        </w:rPr>
        <w:t>11</w:t>
      </w:r>
      <w:bookmarkEnd w:id="49"/>
      <w:r>
        <w:rPr>
          <w:rFonts w:hint="eastAsia" w:ascii="仿宋_GB2312" w:eastAsia="仿宋_GB2312"/>
          <w:color w:val="auto"/>
          <w:sz w:val="24"/>
          <w:highlight w:val="none"/>
        </w:rPr>
        <w:t>、响应文件的编写</w:t>
      </w:r>
      <w:bookmarkEnd w:id="50"/>
      <w:bookmarkEnd w:id="51"/>
      <w:bookmarkEnd w:id="52"/>
    </w:p>
    <w:p>
      <w:pPr>
        <w:spacing w:line="360" w:lineRule="auto"/>
        <w:ind w:firstLine="481"/>
        <w:rPr>
          <w:rFonts w:ascii="仿宋_GB2312" w:hAnsi="仿宋_GB2312" w:eastAsia="仿宋_GB2312" w:cs="仿宋_GB2312"/>
          <w:color w:val="auto"/>
          <w:highlight w:val="none"/>
        </w:rPr>
      </w:pPr>
      <w:r>
        <w:rPr>
          <w:rFonts w:hint="eastAsia" w:ascii="仿宋_GB2312" w:eastAsia="仿宋_GB2312"/>
          <w:color w:val="auto"/>
          <w:sz w:val="24"/>
          <w:highlight w:val="none"/>
        </w:rPr>
        <w:t>11.1供应商必须详细阅读单一来源采购文件的章、节、条款、格式等所有内容，按单一来源采购文件的要求提交响应文件，并保证所提供的全部文件及相关资料的真实性，以使其对单一来源采购文件做出实质性响应。供应商应仔细阅读并充分理解单一来源采购文件、技术规范及标准、项目采购需求、合同条款后编制</w:t>
      </w:r>
      <w:r>
        <w:rPr>
          <w:rFonts w:hint="eastAsia" w:ascii="仿宋_GB2312" w:hAnsi="仿宋_GB2312" w:eastAsia="仿宋_GB2312" w:cs="仿宋_GB2312"/>
          <w:bCs/>
          <w:color w:val="auto"/>
          <w:sz w:val="24"/>
          <w:highlight w:val="none"/>
        </w:rPr>
        <w:t>响应文件</w:t>
      </w:r>
      <w:r>
        <w:rPr>
          <w:rFonts w:hint="eastAsia" w:ascii="仿宋_GB2312" w:hAnsi="仿宋_GB2312" w:eastAsia="仿宋_GB2312" w:cs="仿宋_GB2312"/>
          <w:color w:val="auto"/>
          <w:sz w:val="24"/>
          <w:highlight w:val="none"/>
        </w:rPr>
        <w:t>。</w:t>
      </w:r>
    </w:p>
    <w:p>
      <w:pPr>
        <w:pStyle w:val="14"/>
        <w:spacing w:line="360" w:lineRule="auto"/>
        <w:ind w:firstLine="480" w:firstLineChars="200"/>
        <w:outlineLvl w:val="1"/>
        <w:rPr>
          <w:rFonts w:ascii="仿宋_GB2312" w:eastAsia="仿宋_GB2312"/>
          <w:color w:val="auto"/>
          <w:sz w:val="24"/>
          <w:highlight w:val="none"/>
        </w:rPr>
      </w:pPr>
      <w:bookmarkStart w:id="53" w:name="_Toc243907584"/>
      <w:bookmarkStart w:id="54" w:name="_Toc245897284"/>
      <w:bookmarkStart w:id="55" w:name="_Toc233274824"/>
      <w:bookmarkStart w:id="56" w:name="_Toc243906324"/>
      <w:r>
        <w:rPr>
          <w:rFonts w:hint="eastAsia" w:ascii="仿宋_GB2312" w:eastAsia="仿宋_GB2312"/>
          <w:color w:val="auto"/>
          <w:sz w:val="24"/>
          <w:highlight w:val="none"/>
        </w:rPr>
        <w:t>12、响应文件的语言及计量单位</w:t>
      </w:r>
      <w:bookmarkEnd w:id="53"/>
      <w:bookmarkEnd w:id="54"/>
      <w:bookmarkEnd w:id="55"/>
      <w:bookmarkEnd w:id="56"/>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12.1 响应文件及供应商和采购人及采购代理机构就有关采购的所有文件和来往函件，应以中文书写。供应商可以提交用其他语言（原文）打印的资料，但必须翻译成中文，当原文和译文（中文）之间存有差异和/或矛盾时，以中文为准。</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12.2 除在单一来源采购文件的项目采购需求中另有规定外，计量单位应使用中华人民共和国法定计量单位（国际单位制和国家选定的其它计量单位）。如供应商采用其它计量单位，需事先得到采购人的同意。</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13、知识产权</w:t>
      </w:r>
    </w:p>
    <w:p>
      <w:pPr>
        <w:pStyle w:val="14"/>
        <w:spacing w:line="360" w:lineRule="auto"/>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13.1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4"/>
        <w:spacing w:line="360" w:lineRule="auto"/>
        <w:ind w:firstLine="480" w:firstLineChars="200"/>
        <w:rPr>
          <w:rFonts w:ascii="仿宋_GB2312" w:eastAsia="仿宋_GB2312"/>
          <w:color w:val="auto"/>
          <w:sz w:val="24"/>
          <w:highlight w:val="none"/>
        </w:rPr>
      </w:pPr>
      <w:r>
        <w:rPr>
          <w:rFonts w:hint="eastAsia" w:ascii="仿宋_GB2312" w:hAnsi="仿宋" w:eastAsia="仿宋_GB2312"/>
          <w:color w:val="auto"/>
          <w:sz w:val="24"/>
          <w:szCs w:val="24"/>
          <w:highlight w:val="none"/>
        </w:rPr>
        <w:t>13.2 采购人享有本项目实施过程中产生的知识成果及知识产权。</w:t>
      </w:r>
    </w:p>
    <w:p>
      <w:pPr>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13.3供应商如欲在项目实施过程中采用自有知识成果，需在响应文件中声明，并提供相关知识产权证明文件。使用该知识成果后，供应商需承诺提供无限期技术支持，采购人享有永久使用权。</w:t>
      </w:r>
    </w:p>
    <w:p>
      <w:pPr>
        <w:spacing w:line="360" w:lineRule="auto"/>
        <w:ind w:firstLine="460" w:firstLineChars="192"/>
        <w:rPr>
          <w:rFonts w:ascii="仿宋_GB2312" w:hAnsi="仿宋" w:eastAsia="仿宋_GB2312"/>
          <w:color w:val="auto"/>
          <w:sz w:val="24"/>
          <w:highlight w:val="none"/>
        </w:rPr>
      </w:pPr>
      <w:r>
        <w:rPr>
          <w:rFonts w:hint="eastAsia" w:ascii="仿宋_GB2312" w:hAnsi="仿宋" w:eastAsia="仿宋_GB2312"/>
          <w:color w:val="auto"/>
          <w:sz w:val="24"/>
          <w:highlight w:val="none"/>
        </w:rPr>
        <w:t xml:space="preserve">13.4 供应商如采用其所不拥有的知识产权，则在其商务报价中必须包括合法获取该知识产权的相关费用。 </w:t>
      </w:r>
    </w:p>
    <w:p>
      <w:pPr>
        <w:pStyle w:val="14"/>
        <w:spacing w:line="360" w:lineRule="auto"/>
        <w:ind w:firstLine="480" w:firstLineChars="200"/>
        <w:outlineLvl w:val="1"/>
        <w:rPr>
          <w:rFonts w:ascii="仿宋_GB2312" w:eastAsia="仿宋_GB2312"/>
          <w:b/>
          <w:color w:val="auto"/>
          <w:sz w:val="24"/>
          <w:highlight w:val="none"/>
        </w:rPr>
      </w:pPr>
      <w:bookmarkStart w:id="57" w:name="_Toc243907585"/>
      <w:bookmarkStart w:id="58" w:name="_Toc243906325"/>
      <w:bookmarkStart w:id="59" w:name="_Toc245897285"/>
      <w:bookmarkStart w:id="60" w:name="_Toc233274825"/>
      <w:r>
        <w:rPr>
          <w:rFonts w:hint="eastAsia" w:ascii="仿宋_GB2312" w:eastAsia="仿宋_GB2312"/>
          <w:color w:val="auto"/>
          <w:sz w:val="24"/>
          <w:highlight w:val="none"/>
        </w:rPr>
        <w:t>14、响应文件的组成</w:t>
      </w:r>
      <w:bookmarkEnd w:id="57"/>
      <w:bookmarkEnd w:id="58"/>
      <w:bookmarkEnd w:id="59"/>
      <w:bookmarkEnd w:id="60"/>
    </w:p>
    <w:p>
      <w:pPr>
        <w:pStyle w:val="14"/>
        <w:spacing w:line="360" w:lineRule="auto"/>
        <w:ind w:firstLine="482" w:firstLineChars="200"/>
        <w:outlineLvl w:val="1"/>
        <w:rPr>
          <w:rFonts w:ascii="仿宋_GB2312" w:eastAsia="仿宋_GB2312"/>
          <w:b/>
          <w:color w:val="auto"/>
          <w:sz w:val="24"/>
          <w:szCs w:val="24"/>
          <w:highlight w:val="none"/>
        </w:rPr>
      </w:pPr>
      <w:r>
        <w:rPr>
          <w:rFonts w:hint="eastAsia" w:ascii="仿宋_GB2312" w:eastAsia="仿宋_GB2312"/>
          <w:b/>
          <w:color w:val="auto"/>
          <w:sz w:val="24"/>
          <w:szCs w:val="24"/>
          <w:highlight w:val="none"/>
        </w:rPr>
        <w:t>响应文件的组成：</w:t>
      </w:r>
      <w:r>
        <w:rPr>
          <w:rFonts w:hint="eastAsia" w:ascii="仿宋_GB2312" w:hAnsi="华文中宋" w:eastAsia="仿宋_GB2312"/>
          <w:b/>
          <w:bCs/>
          <w:color w:val="auto"/>
          <w:sz w:val="24"/>
          <w:szCs w:val="24"/>
          <w:highlight w:val="none"/>
        </w:rPr>
        <w:t>一式</w:t>
      </w:r>
      <w:r>
        <w:rPr>
          <w:rFonts w:hint="eastAsia" w:ascii="仿宋_GB2312" w:hAnsi="华文中宋" w:eastAsia="仿宋_GB2312"/>
          <w:b/>
          <w:bCs/>
          <w:color w:val="auto"/>
          <w:sz w:val="24"/>
          <w:szCs w:val="24"/>
          <w:highlight w:val="none"/>
          <w:lang w:eastAsia="zh-CN"/>
        </w:rPr>
        <w:t>肆</w:t>
      </w:r>
      <w:r>
        <w:rPr>
          <w:rFonts w:hint="eastAsia" w:ascii="仿宋_GB2312" w:hAnsi="华文中宋" w:eastAsia="仿宋_GB2312"/>
          <w:b/>
          <w:bCs/>
          <w:color w:val="auto"/>
          <w:sz w:val="24"/>
          <w:szCs w:val="24"/>
          <w:highlight w:val="none"/>
        </w:rPr>
        <w:t>份，其中正本壹份，副本</w:t>
      </w:r>
      <w:r>
        <w:rPr>
          <w:rFonts w:hint="eastAsia" w:ascii="仿宋_GB2312" w:hAnsi="华文中宋" w:eastAsia="仿宋_GB2312"/>
          <w:b/>
          <w:bCs/>
          <w:color w:val="auto"/>
          <w:sz w:val="24"/>
          <w:szCs w:val="24"/>
          <w:highlight w:val="none"/>
          <w:lang w:eastAsia="zh-CN"/>
        </w:rPr>
        <w:t>叁</w:t>
      </w:r>
      <w:r>
        <w:rPr>
          <w:rFonts w:hint="eastAsia" w:ascii="仿宋_GB2312" w:hAnsi="华文中宋" w:eastAsia="仿宋_GB2312"/>
          <w:b/>
          <w:bCs/>
          <w:color w:val="auto"/>
          <w:sz w:val="24"/>
          <w:szCs w:val="24"/>
          <w:highlight w:val="none"/>
        </w:rPr>
        <w:t>份，需编制目录及页码。</w:t>
      </w:r>
      <w:r>
        <w:rPr>
          <w:rFonts w:hint="eastAsia" w:ascii="仿宋_GB2312" w:eastAsia="仿宋_GB2312"/>
          <w:b/>
          <w:color w:val="auto"/>
          <w:sz w:val="24"/>
          <w:szCs w:val="24"/>
          <w:highlight w:val="none"/>
        </w:rPr>
        <w:t>在每一份响应文件上要明确注明“正本”或“副本”字样，如正、副本之间有差异，以正本为准。</w:t>
      </w:r>
    </w:p>
    <w:p>
      <w:pPr>
        <w:spacing w:line="360" w:lineRule="auto"/>
        <w:ind w:firstLine="482" w:firstLineChars="200"/>
        <w:rPr>
          <w:rFonts w:ascii="仿宋_GB2312" w:eastAsia="仿宋_GB2312"/>
          <w:color w:val="auto"/>
          <w:sz w:val="24"/>
          <w:highlight w:val="none"/>
        </w:rPr>
      </w:pPr>
      <w:r>
        <w:rPr>
          <w:rFonts w:hint="eastAsia" w:ascii="仿宋_GB2312" w:eastAsia="仿宋_GB2312"/>
          <w:b/>
          <w:color w:val="auto"/>
          <w:sz w:val="24"/>
          <w:highlight w:val="none"/>
        </w:rPr>
        <w:t>响应文件</w:t>
      </w:r>
      <w:r>
        <w:rPr>
          <w:rFonts w:hint="eastAsia" w:ascii="仿宋_GB2312" w:hAnsi="宋体" w:eastAsia="仿宋_GB2312"/>
          <w:b/>
          <w:color w:val="auto"/>
          <w:sz w:val="24"/>
          <w:highlight w:val="none"/>
        </w:rPr>
        <w:t>应包括以下内容（但不限于以下内容）</w:t>
      </w:r>
      <w:r>
        <w:rPr>
          <w:rFonts w:hint="eastAsia" w:ascii="仿宋_GB2312" w:eastAsia="仿宋_GB2312"/>
          <w:b/>
          <w:color w:val="auto"/>
          <w:sz w:val="24"/>
          <w:highlight w:val="none"/>
        </w:rPr>
        <w:t>：</w:t>
      </w:r>
    </w:p>
    <w:p>
      <w:pPr>
        <w:spacing w:line="360" w:lineRule="auto"/>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14.1商务文件：</w:t>
      </w:r>
    </w:p>
    <w:p>
      <w:pPr>
        <w:spacing w:line="360" w:lineRule="auto"/>
        <w:ind w:firstLine="480" w:firstLineChars="200"/>
        <w:jc w:val="left"/>
        <w:rPr>
          <w:rFonts w:ascii="仿宋_GB2312" w:hAnsi="华文中宋" w:eastAsia="仿宋_GB2312"/>
          <w:color w:val="auto"/>
          <w:sz w:val="24"/>
          <w:highlight w:val="none"/>
        </w:rPr>
      </w:pPr>
      <w:r>
        <w:rPr>
          <w:rFonts w:hint="eastAsia" w:ascii="仿宋_GB2312" w:hAnsi="宋体" w:eastAsia="仿宋_GB2312"/>
          <w:color w:val="auto"/>
          <w:sz w:val="24"/>
          <w:highlight w:val="none"/>
        </w:rPr>
        <w:t>（1）</w:t>
      </w:r>
      <w:r>
        <w:rPr>
          <w:rFonts w:hint="eastAsia" w:ascii="仿宋_GB2312" w:hAnsi="华文中宋" w:eastAsia="仿宋_GB2312"/>
          <w:color w:val="auto"/>
          <w:sz w:val="24"/>
          <w:highlight w:val="none"/>
        </w:rPr>
        <w:t>响应函（详见格式1）；</w:t>
      </w:r>
    </w:p>
    <w:p>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bCs/>
          <w:color w:val="auto"/>
          <w:sz w:val="24"/>
          <w:highlight w:val="none"/>
        </w:rPr>
        <w:t>（2）</w:t>
      </w:r>
      <w:r>
        <w:rPr>
          <w:rFonts w:hint="eastAsia" w:ascii="仿宋_GB2312" w:hAnsi="宋体" w:eastAsia="仿宋_GB2312"/>
          <w:color w:val="auto"/>
          <w:sz w:val="24"/>
          <w:highlight w:val="none"/>
        </w:rPr>
        <w:t>商务报价一览表（首次）（详见格式2），须提供本项目详细报价书作为本表附件；</w:t>
      </w:r>
    </w:p>
    <w:p>
      <w:pPr>
        <w:spacing w:line="360" w:lineRule="auto"/>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14.2技术文件：</w:t>
      </w:r>
    </w:p>
    <w:p>
      <w:pPr>
        <w:tabs>
          <w:tab w:val="left" w:pos="360"/>
          <w:tab w:val="left" w:pos="1800"/>
        </w:tabs>
        <w:spacing w:line="360" w:lineRule="auto"/>
        <w:ind w:firstLine="480" w:firstLineChars="200"/>
        <w:jc w:val="left"/>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（1）中小企业声明函（详见格式3）</w:t>
      </w:r>
      <w:r>
        <w:rPr>
          <w:rFonts w:hint="eastAsia" w:ascii="仿宋_GB2312" w:hAnsi="宋体" w:eastAsia="仿宋_GB2312"/>
          <w:color w:val="auto"/>
          <w:sz w:val="24"/>
          <w:highlight w:val="none"/>
          <w:lang w:eastAsia="zh-CN"/>
        </w:rPr>
        <w:t>；</w:t>
      </w:r>
    </w:p>
    <w:p>
      <w:pPr>
        <w:tabs>
          <w:tab w:val="left" w:pos="360"/>
          <w:tab w:val="left" w:pos="1800"/>
        </w:tabs>
        <w:spacing w:line="360" w:lineRule="auto"/>
        <w:ind w:firstLine="480" w:firstLineChars="200"/>
        <w:jc w:val="left"/>
        <w:rPr>
          <w:rFonts w:ascii="仿宋_GB2312" w:eastAsia="仿宋_GB2312"/>
          <w:bCs/>
          <w:color w:val="auto"/>
          <w:sz w:val="24"/>
          <w:highlight w:val="none"/>
        </w:rPr>
      </w:pPr>
      <w:r>
        <w:rPr>
          <w:rFonts w:hint="eastAsia" w:ascii="仿宋_GB2312" w:hAnsi="宋体" w:eastAsia="仿宋_GB2312"/>
          <w:color w:val="auto"/>
          <w:sz w:val="24"/>
          <w:highlight w:val="none"/>
        </w:rPr>
        <w:t>（2）</w:t>
      </w:r>
      <w:r>
        <w:rPr>
          <w:rFonts w:hint="eastAsia" w:ascii="仿宋_GB2312" w:eastAsia="仿宋_GB2312"/>
          <w:bCs/>
          <w:color w:val="auto"/>
          <w:sz w:val="24"/>
          <w:highlight w:val="none"/>
        </w:rPr>
        <w:t>法定代表人资格证明书</w:t>
      </w:r>
      <w:r>
        <w:rPr>
          <w:rFonts w:hint="eastAsia" w:ascii="仿宋_GB2312" w:hAnsi="华文中宋" w:eastAsia="仿宋_GB2312"/>
          <w:color w:val="auto"/>
          <w:sz w:val="24"/>
          <w:highlight w:val="none"/>
        </w:rPr>
        <w:t>（详见格式4）；</w:t>
      </w:r>
    </w:p>
    <w:p>
      <w:pPr>
        <w:spacing w:line="360" w:lineRule="auto"/>
        <w:ind w:firstLine="480" w:firstLineChars="200"/>
        <w:rPr>
          <w:rFonts w:ascii="仿宋_GB2312" w:eastAsia="仿宋_GB2312"/>
          <w:bCs/>
          <w:color w:val="auto"/>
          <w:sz w:val="24"/>
          <w:highlight w:val="none"/>
        </w:rPr>
      </w:pPr>
      <w:r>
        <w:rPr>
          <w:rFonts w:hint="eastAsia" w:ascii="仿宋_GB2312" w:hAnsi="宋体" w:eastAsia="仿宋_GB2312"/>
          <w:color w:val="auto"/>
          <w:sz w:val="24"/>
          <w:highlight w:val="none"/>
        </w:rPr>
        <w:t>（3）</w:t>
      </w:r>
      <w:r>
        <w:rPr>
          <w:rFonts w:hint="eastAsia" w:ascii="仿宋_GB2312" w:eastAsia="仿宋_GB2312"/>
          <w:bCs/>
          <w:color w:val="auto"/>
          <w:sz w:val="24"/>
          <w:highlight w:val="none"/>
        </w:rPr>
        <w:t>法定代表人授权书</w:t>
      </w:r>
      <w:r>
        <w:rPr>
          <w:rFonts w:hint="eastAsia" w:ascii="仿宋_GB2312" w:hAnsi="华文中宋" w:eastAsia="仿宋_GB2312"/>
          <w:color w:val="auto"/>
          <w:sz w:val="24"/>
          <w:highlight w:val="none"/>
        </w:rPr>
        <w:t>（详见格式5）；</w:t>
      </w:r>
    </w:p>
    <w:p>
      <w:pPr>
        <w:spacing w:line="360" w:lineRule="auto"/>
        <w:ind w:firstLine="480" w:firstLineChars="200"/>
        <w:jc w:val="left"/>
        <w:rPr>
          <w:rFonts w:ascii="仿宋_GB2312" w:hAnsi="宋体" w:eastAsia="仿宋_GB2312"/>
          <w:bCs/>
          <w:color w:val="auto"/>
          <w:sz w:val="24"/>
          <w:highlight w:val="none"/>
        </w:rPr>
      </w:pPr>
      <w:r>
        <w:rPr>
          <w:rFonts w:hint="eastAsia" w:ascii="仿宋_GB2312" w:hAnsi="宋体" w:eastAsia="仿宋_GB2312"/>
          <w:color w:val="auto"/>
          <w:sz w:val="24"/>
          <w:highlight w:val="none"/>
        </w:rPr>
        <w:t>（4）有效期内的三证合一企业营业执照（复印件）</w:t>
      </w:r>
      <w:r>
        <w:rPr>
          <w:rFonts w:hint="eastAsia" w:ascii="仿宋_GB2312" w:hAnsi="宋体" w:eastAsia="仿宋_GB2312"/>
          <w:bCs/>
          <w:color w:val="auto"/>
          <w:sz w:val="24"/>
          <w:highlight w:val="none"/>
        </w:rPr>
        <w:t>；</w:t>
      </w:r>
    </w:p>
    <w:p>
      <w:pPr>
        <w:spacing w:line="360" w:lineRule="auto"/>
        <w:ind w:firstLine="480" w:firstLineChars="200"/>
        <w:jc w:val="left"/>
        <w:rPr>
          <w:rFonts w:ascii="仿宋_GB2312" w:hAnsi="宋体" w:eastAsia="仿宋_GB2312"/>
          <w:b/>
          <w:bCs/>
          <w:color w:val="auto"/>
          <w:sz w:val="24"/>
          <w:highlight w:val="none"/>
        </w:rPr>
      </w:pPr>
      <w:r>
        <w:rPr>
          <w:rFonts w:hint="eastAsia" w:ascii="仿宋_GB2312" w:hAnsi="宋体" w:eastAsia="仿宋_GB2312"/>
          <w:bCs/>
          <w:color w:val="auto"/>
          <w:sz w:val="24"/>
          <w:highlight w:val="none"/>
        </w:rPr>
        <w:t>（5）</w:t>
      </w:r>
      <w:r>
        <w:rPr>
          <w:rFonts w:hint="eastAsia" w:ascii="仿宋_GB2312" w:hAnsi="宋体" w:eastAsia="仿宋_GB2312"/>
          <w:b/>
          <w:bCs/>
          <w:color w:val="auto"/>
          <w:sz w:val="24"/>
          <w:highlight w:val="none"/>
        </w:rPr>
        <w:t>供应商根据《中华人民共和国政府采购法》第二十二条规定提供相应的证明材料；</w:t>
      </w:r>
    </w:p>
    <w:p>
      <w:pPr>
        <w:spacing w:line="360" w:lineRule="auto"/>
        <w:ind w:firstLine="480" w:firstLineChars="200"/>
        <w:rPr>
          <w:rFonts w:ascii="仿宋_GB2312" w:hAnsi="华文中宋"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）供应商资格声明</w:t>
      </w:r>
      <w:r>
        <w:rPr>
          <w:rFonts w:hint="eastAsia" w:ascii="仿宋_GB2312" w:hAnsi="宋体" w:eastAsia="仿宋_GB2312"/>
          <w:color w:val="auto"/>
          <w:sz w:val="24"/>
          <w:highlight w:val="none"/>
        </w:rPr>
        <w:t>（详见格式6）；</w:t>
      </w:r>
    </w:p>
    <w:p>
      <w:pPr>
        <w:spacing w:line="360" w:lineRule="auto"/>
        <w:ind w:firstLine="420" w:firstLineChars="175"/>
        <w:rPr>
          <w:rFonts w:ascii="仿宋_GB2312" w:hAnsi="宋体" w:eastAsia="仿宋_GB2312"/>
          <w:b/>
          <w:bCs/>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rPr>
        <w:t>）</w:t>
      </w:r>
      <w:r>
        <w:rPr>
          <w:rFonts w:hint="eastAsia" w:ascii="仿宋_GB2312" w:hAnsi="宋体" w:eastAsia="仿宋_GB2312"/>
          <w:color w:val="auto"/>
          <w:sz w:val="24"/>
          <w:highlight w:val="none"/>
        </w:rPr>
        <w:t>项目主要管理人员情况表（详见格式7）</w:t>
      </w:r>
      <w:r>
        <w:rPr>
          <w:rFonts w:hint="eastAsia" w:ascii="仿宋_GB2312" w:eastAsia="仿宋_GB2312"/>
          <w:color w:val="auto"/>
          <w:sz w:val="24"/>
          <w:highlight w:val="none"/>
        </w:rPr>
        <w:t>；</w:t>
      </w:r>
    </w:p>
    <w:p>
      <w:pPr>
        <w:spacing w:line="360" w:lineRule="auto"/>
        <w:ind w:firstLine="481"/>
        <w:rPr>
          <w:rFonts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）自2018年1月1日至今同类项目业绩表（详见格式</w:t>
      </w:r>
      <w:r>
        <w:rPr>
          <w:rFonts w:hint="eastAsia" w:ascii="仿宋_GB2312" w:hAnsi="华文中宋" w:eastAsia="仿宋_GB2312"/>
          <w:color w:val="auto"/>
          <w:sz w:val="24"/>
          <w:highlight w:val="none"/>
        </w:rPr>
        <w:t>8）</w:t>
      </w:r>
      <w:r>
        <w:rPr>
          <w:rFonts w:hint="eastAsia" w:ascii="仿宋_GB2312" w:eastAsia="仿宋_GB2312"/>
          <w:color w:val="auto"/>
          <w:sz w:val="24"/>
          <w:highlight w:val="none"/>
        </w:rPr>
        <w:t>；</w:t>
      </w:r>
    </w:p>
    <w:p>
      <w:pPr>
        <w:spacing w:line="360" w:lineRule="auto"/>
        <w:ind w:firstLine="481"/>
        <w:rPr>
          <w:rFonts w:ascii="仿宋_GB2312" w:hAnsi="宋体" w:eastAsia="仿宋_GB2312"/>
          <w:color w:val="auto"/>
          <w:sz w:val="24"/>
          <w:highlight w:val="none"/>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9</w:t>
      </w:r>
      <w:r>
        <w:rPr>
          <w:rFonts w:hint="eastAsia" w:ascii="仿宋_GB2312" w:hAnsi="宋体" w:eastAsia="仿宋_GB2312"/>
          <w:color w:val="auto"/>
          <w:sz w:val="24"/>
          <w:highlight w:val="none"/>
        </w:rPr>
        <w:t>）</w:t>
      </w:r>
      <w:r>
        <w:rPr>
          <w:rFonts w:hint="eastAsia" w:ascii="仿宋_GB2312" w:eastAsia="仿宋_GB2312"/>
          <w:color w:val="auto"/>
          <w:sz w:val="24"/>
          <w:highlight w:val="none"/>
        </w:rPr>
        <w:t>商务条款响应</w:t>
      </w:r>
      <w:r>
        <w:rPr>
          <w:rFonts w:hint="eastAsia" w:ascii="仿宋_GB2312" w:hAnsi="宋体" w:eastAsia="仿宋_GB2312"/>
          <w:bCs/>
          <w:color w:val="auto"/>
          <w:sz w:val="24"/>
          <w:highlight w:val="none"/>
        </w:rPr>
        <w:t>偏离表</w:t>
      </w:r>
      <w:r>
        <w:rPr>
          <w:rFonts w:hint="eastAsia" w:ascii="仿宋_GB2312" w:hAnsi="宋体" w:eastAsia="仿宋_GB2312"/>
          <w:color w:val="auto"/>
          <w:sz w:val="24"/>
          <w:highlight w:val="none"/>
        </w:rPr>
        <w:t>（详见格式9）；</w:t>
      </w:r>
    </w:p>
    <w:p>
      <w:pPr>
        <w:spacing w:line="360" w:lineRule="auto"/>
        <w:ind w:left="42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w:t>
      </w:r>
      <w:r>
        <w:rPr>
          <w:rFonts w:hint="eastAsia" w:ascii="仿宋_GB2312" w:hAnsi="宋体" w:eastAsia="仿宋_GB2312" w:cs="宋体"/>
          <w:color w:val="auto"/>
          <w:sz w:val="24"/>
          <w:highlight w:val="none"/>
          <w:lang w:val="en-US" w:eastAsia="zh-CN"/>
        </w:rPr>
        <w:t>0</w:t>
      </w:r>
      <w:r>
        <w:rPr>
          <w:rFonts w:hint="eastAsia" w:ascii="仿宋_GB2312" w:hAnsi="宋体" w:eastAsia="仿宋_GB2312" w:cs="宋体"/>
          <w:color w:val="auto"/>
          <w:sz w:val="24"/>
          <w:highlight w:val="none"/>
        </w:rPr>
        <w:t>）服务方案（详见格式10）；</w:t>
      </w:r>
    </w:p>
    <w:p>
      <w:pPr>
        <w:spacing w:line="360" w:lineRule="auto"/>
        <w:ind w:left="420"/>
        <w:rPr>
          <w:rFonts w:ascii="仿宋_GB2312" w:hAnsi="宋体" w:eastAsia="仿宋_GB2312"/>
          <w:color w:val="auto"/>
          <w:sz w:val="24"/>
          <w:highlight w:val="none"/>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1</w:t>
      </w:r>
      <w:r>
        <w:rPr>
          <w:rFonts w:hint="eastAsia" w:ascii="仿宋_GB2312" w:hAnsi="宋体" w:eastAsia="仿宋_GB2312"/>
          <w:color w:val="auto"/>
          <w:sz w:val="24"/>
          <w:highlight w:val="none"/>
        </w:rPr>
        <w:t>）服务及实质性的承诺（详见格式11）；</w:t>
      </w:r>
    </w:p>
    <w:p>
      <w:pPr>
        <w:spacing w:line="360" w:lineRule="auto"/>
        <w:ind w:left="420"/>
        <w:rPr>
          <w:rFonts w:ascii="仿宋_GB2312" w:eastAsia="仿宋_GB2312"/>
          <w:color w:val="auto"/>
          <w:sz w:val="24"/>
          <w:highlight w:val="none"/>
        </w:rPr>
      </w:pPr>
      <w:r>
        <w:rPr>
          <w:rFonts w:hint="eastAsia" w:ascii="仿宋_GB2312" w:hAnsi="宋体" w:eastAsia="仿宋_GB2312" w:cs="宋体"/>
          <w:color w:val="auto"/>
          <w:sz w:val="24"/>
          <w:highlight w:val="none"/>
        </w:rPr>
        <w:t>（1</w:t>
      </w:r>
      <w:r>
        <w:rPr>
          <w:rFonts w:hint="eastAsia" w:ascii="仿宋_GB2312" w:hAnsi="宋体" w:eastAsia="仿宋_GB2312" w:cs="宋体"/>
          <w:color w:val="auto"/>
          <w:sz w:val="24"/>
          <w:highlight w:val="none"/>
          <w:lang w:val="en-US" w:eastAsia="zh-CN"/>
        </w:rPr>
        <w:t>2</w:t>
      </w:r>
      <w:r>
        <w:rPr>
          <w:rFonts w:hint="eastAsia" w:ascii="仿宋_GB2312" w:hAnsi="宋体" w:eastAsia="仿宋_GB2312" w:cs="宋体"/>
          <w:color w:val="auto"/>
          <w:sz w:val="24"/>
          <w:highlight w:val="none"/>
        </w:rPr>
        <w:t>）</w:t>
      </w:r>
      <w:r>
        <w:rPr>
          <w:rFonts w:hint="eastAsia" w:ascii="仿宋_GB2312" w:eastAsia="仿宋_GB2312"/>
          <w:bCs/>
          <w:color w:val="auto"/>
          <w:sz w:val="24"/>
          <w:highlight w:val="none"/>
        </w:rPr>
        <w:t>资格性/符合性自查表</w:t>
      </w:r>
      <w:r>
        <w:rPr>
          <w:rFonts w:hint="eastAsia" w:ascii="仿宋_GB2312" w:eastAsia="仿宋_GB2312"/>
          <w:color w:val="auto"/>
          <w:sz w:val="24"/>
          <w:highlight w:val="none"/>
        </w:rPr>
        <w:t>（</w:t>
      </w:r>
      <w:r>
        <w:rPr>
          <w:rFonts w:hint="eastAsia" w:ascii="仿宋_GB2312" w:hAnsi="宋体" w:eastAsia="仿宋_GB2312"/>
          <w:color w:val="auto"/>
          <w:sz w:val="24"/>
          <w:highlight w:val="none"/>
        </w:rPr>
        <w:t>详见</w:t>
      </w:r>
      <w:r>
        <w:rPr>
          <w:rFonts w:hint="eastAsia" w:ascii="仿宋_GB2312" w:eastAsia="仿宋_GB2312"/>
          <w:color w:val="auto"/>
          <w:sz w:val="24"/>
          <w:highlight w:val="none"/>
        </w:rPr>
        <w:t>文件格式12）；</w:t>
      </w:r>
    </w:p>
    <w:p>
      <w:pPr>
        <w:spacing w:line="360" w:lineRule="auto"/>
        <w:ind w:left="420"/>
        <w:rPr>
          <w:rFonts w:ascii="仿宋_GB2312" w:hAnsi="宋体" w:eastAsia="仿宋_GB2312"/>
          <w:color w:val="auto"/>
          <w:sz w:val="24"/>
          <w:highlight w:val="none"/>
        </w:rPr>
      </w:pPr>
      <w:r>
        <w:rPr>
          <w:rFonts w:hint="eastAsia" w:ascii="仿宋_GB2312" w:eastAsia="仿宋_GB2312"/>
          <w:color w:val="auto"/>
          <w:sz w:val="24"/>
          <w:highlight w:val="none"/>
        </w:rPr>
        <w:t>（1</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）体现企业维护能力、管理水平、技术力量、设备配备的相关证明资料</w:t>
      </w:r>
      <w:r>
        <w:rPr>
          <w:rFonts w:hint="eastAsia" w:ascii="仿宋_GB2312" w:hAnsi="宋体" w:eastAsia="仿宋_GB2312"/>
          <w:color w:val="auto"/>
          <w:sz w:val="24"/>
          <w:highlight w:val="none"/>
        </w:rPr>
        <w:t>；</w:t>
      </w:r>
    </w:p>
    <w:p>
      <w:pPr>
        <w:tabs>
          <w:tab w:val="left" w:pos="360"/>
          <w:tab w:val="left" w:pos="1800"/>
        </w:tabs>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14</w:t>
      </w:r>
      <w:r>
        <w:rPr>
          <w:rFonts w:hint="eastAsia" w:ascii="仿宋_GB2312" w:hAnsi="宋体" w:eastAsia="仿宋_GB2312"/>
          <w:color w:val="auto"/>
          <w:sz w:val="24"/>
          <w:highlight w:val="none"/>
        </w:rPr>
        <w:t>）</w:t>
      </w:r>
      <w:r>
        <w:rPr>
          <w:rFonts w:hint="eastAsia" w:ascii="仿宋_GB2312" w:eastAsia="仿宋_GB2312"/>
          <w:bCs/>
          <w:color w:val="auto"/>
          <w:sz w:val="24"/>
          <w:highlight w:val="none"/>
        </w:rPr>
        <w:t>政府采购领域诚信承诺书</w:t>
      </w:r>
      <w:r>
        <w:rPr>
          <w:rFonts w:hint="eastAsia" w:ascii="仿宋_GB2312" w:hAnsi="宋体" w:eastAsia="仿宋_GB2312"/>
          <w:color w:val="auto"/>
          <w:sz w:val="24"/>
          <w:highlight w:val="none"/>
        </w:rPr>
        <w:t>（详见文件格式13）；</w:t>
      </w:r>
    </w:p>
    <w:p>
      <w:pPr>
        <w:spacing w:line="360" w:lineRule="auto"/>
        <w:ind w:firstLine="480" w:firstLineChars="200"/>
        <w:rPr>
          <w:rFonts w:ascii="仿宋_GB2312" w:hAnsi="华文中宋" w:eastAsia="仿宋_GB2312"/>
          <w:color w:val="auto"/>
          <w:sz w:val="24"/>
          <w:highlight w:val="none"/>
        </w:rPr>
      </w:pPr>
      <w:r>
        <w:rPr>
          <w:rFonts w:hint="eastAsia" w:ascii="仿宋_GB2312" w:hAnsi="华文中宋" w:eastAsia="仿宋_GB2312"/>
          <w:color w:val="auto"/>
          <w:sz w:val="24"/>
          <w:highlight w:val="none"/>
        </w:rPr>
        <w:t>（1</w:t>
      </w:r>
      <w:r>
        <w:rPr>
          <w:rFonts w:hint="eastAsia" w:ascii="仿宋_GB2312" w:hAnsi="华文中宋" w:eastAsia="仿宋_GB2312"/>
          <w:color w:val="auto"/>
          <w:sz w:val="24"/>
          <w:highlight w:val="none"/>
          <w:lang w:val="en-US" w:eastAsia="zh-CN"/>
        </w:rPr>
        <w:t>5</w:t>
      </w:r>
      <w:r>
        <w:rPr>
          <w:rFonts w:hint="eastAsia" w:ascii="仿宋_GB2312" w:hAnsi="华文中宋" w:eastAsia="仿宋_GB2312"/>
          <w:color w:val="auto"/>
          <w:sz w:val="24"/>
          <w:highlight w:val="none"/>
        </w:rPr>
        <w:t>）</w:t>
      </w:r>
      <w:r>
        <w:rPr>
          <w:rFonts w:hint="eastAsia" w:ascii="仿宋_GB2312" w:hAnsi="宋体" w:eastAsia="仿宋_GB2312"/>
          <w:color w:val="auto"/>
          <w:sz w:val="24"/>
          <w:highlight w:val="none"/>
        </w:rPr>
        <w:t>提供2020年度的财务报表/财务报告（包括资产负</w:t>
      </w:r>
      <w:r>
        <w:rPr>
          <w:rFonts w:hint="eastAsia" w:ascii="仿宋_GB2312" w:hAnsi="华文中宋" w:eastAsia="仿宋_GB2312"/>
          <w:color w:val="auto"/>
          <w:sz w:val="24"/>
          <w:highlight w:val="none"/>
        </w:rPr>
        <w:t>债表、损益表及经营状况；新成立的公司提供说明）；</w:t>
      </w:r>
    </w:p>
    <w:p>
      <w:pPr>
        <w:spacing w:line="360" w:lineRule="auto"/>
        <w:ind w:firstLine="480" w:firstLineChars="200"/>
        <w:rPr>
          <w:rFonts w:ascii="仿宋_GB2312" w:hAnsi="华文中宋" w:eastAsia="仿宋_GB2312"/>
          <w:color w:val="auto"/>
          <w:sz w:val="24"/>
          <w:highlight w:val="none"/>
        </w:rPr>
      </w:pPr>
      <w:r>
        <w:rPr>
          <w:rFonts w:hint="eastAsia" w:ascii="仿宋_GB2312" w:hAnsi="华文中宋" w:eastAsia="仿宋_GB2312"/>
          <w:color w:val="auto"/>
          <w:sz w:val="24"/>
          <w:highlight w:val="none"/>
        </w:rPr>
        <w:t>（1</w:t>
      </w:r>
      <w:r>
        <w:rPr>
          <w:rFonts w:hint="eastAsia" w:ascii="仿宋_GB2312" w:hAnsi="华文中宋" w:eastAsia="仿宋_GB2312"/>
          <w:color w:val="auto"/>
          <w:sz w:val="24"/>
          <w:highlight w:val="none"/>
          <w:lang w:val="en-US" w:eastAsia="zh-CN"/>
        </w:rPr>
        <w:t>6</w:t>
      </w:r>
      <w:r>
        <w:rPr>
          <w:rFonts w:hint="eastAsia" w:ascii="仿宋_GB2312" w:hAnsi="华文中宋" w:eastAsia="仿宋_GB2312"/>
          <w:color w:val="auto"/>
          <w:sz w:val="24"/>
          <w:highlight w:val="none"/>
        </w:rPr>
        <w:t>）提供</w:t>
      </w:r>
      <w:r>
        <w:rPr>
          <w:rFonts w:hint="eastAsia" w:ascii="仿宋_GB2312" w:hAnsi="宋体" w:eastAsia="仿宋_GB2312"/>
          <w:color w:val="auto"/>
          <w:sz w:val="24"/>
          <w:highlight w:val="none"/>
        </w:rPr>
        <w:t>2020年度</w:t>
      </w:r>
      <w:r>
        <w:rPr>
          <w:rFonts w:hint="eastAsia" w:ascii="仿宋_GB2312" w:hAnsi="华文中宋" w:eastAsia="仿宋_GB2312"/>
          <w:color w:val="auto"/>
          <w:sz w:val="24"/>
          <w:highlight w:val="none"/>
        </w:rPr>
        <w:t>依法缴纳税收和社会保障资金的良好记录的证明材料（附复印件加盖供应商公章）；</w:t>
      </w:r>
    </w:p>
    <w:p>
      <w:pPr>
        <w:tabs>
          <w:tab w:val="left" w:pos="360"/>
          <w:tab w:val="left" w:pos="1800"/>
        </w:tabs>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）采购文件要求提供的其它材料以及供应商认为需要提交的材料。</w:t>
      </w:r>
    </w:p>
    <w:p>
      <w:pPr>
        <w:pStyle w:val="14"/>
        <w:spacing w:line="360" w:lineRule="auto"/>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特别说明：①上述各种证件、证书复印件须加盖供应商公章。如未按要求加盖供应商公章者，可能导致其响应文件无效。</w:t>
      </w:r>
    </w:p>
    <w:p>
      <w:pPr>
        <w:pStyle w:val="14"/>
        <w:spacing w:line="360" w:lineRule="auto"/>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②供应商应如实提供资料，并保证真实可靠，不得弄虚作假。如供应商隐瞒事实真相、弄虚作假，一经查实，取消该供应商的采购资格，若成交的，取消其成交资格。</w:t>
      </w:r>
    </w:p>
    <w:p>
      <w:pPr>
        <w:pStyle w:val="14"/>
        <w:spacing w:line="360" w:lineRule="auto"/>
        <w:ind w:firstLine="480"/>
        <w:outlineLvl w:val="1"/>
        <w:rPr>
          <w:rFonts w:ascii="仿宋_GB2312" w:eastAsia="仿宋_GB2312"/>
          <w:color w:val="auto"/>
          <w:sz w:val="24"/>
          <w:highlight w:val="none"/>
        </w:rPr>
      </w:pPr>
      <w:bookmarkStart w:id="61" w:name="_Toc245897286"/>
      <w:bookmarkStart w:id="62" w:name="_Toc243907587"/>
      <w:bookmarkStart w:id="63" w:name="_Toc246216196"/>
      <w:bookmarkStart w:id="64" w:name="_Toc243906326"/>
      <w:bookmarkStart w:id="65" w:name="_Toc233274827"/>
      <w:r>
        <w:rPr>
          <w:rFonts w:hint="eastAsia" w:ascii="仿宋_GB2312" w:eastAsia="仿宋_GB2312"/>
          <w:color w:val="auto"/>
          <w:sz w:val="24"/>
          <w:highlight w:val="none"/>
        </w:rPr>
        <w:t>15、响应文件格式</w:t>
      </w:r>
      <w:bookmarkEnd w:id="61"/>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15.1供应商应按单一来源采购文件提供的格式及商务报价说明完整地填写所提供的合同服务以及数量、单价和合价等内容。</w:t>
      </w:r>
    </w:p>
    <w:p>
      <w:pPr>
        <w:pStyle w:val="14"/>
        <w:spacing w:line="360" w:lineRule="auto"/>
        <w:ind w:firstLine="480" w:firstLineChars="200"/>
        <w:outlineLvl w:val="1"/>
        <w:rPr>
          <w:rFonts w:ascii="仿宋_GB2312" w:eastAsia="仿宋_GB2312"/>
          <w:color w:val="auto"/>
          <w:sz w:val="24"/>
          <w:highlight w:val="none"/>
        </w:rPr>
      </w:pPr>
      <w:r>
        <w:rPr>
          <w:rFonts w:hint="eastAsia" w:ascii="仿宋_GB2312" w:eastAsia="仿宋_GB2312"/>
          <w:color w:val="auto"/>
          <w:sz w:val="24"/>
          <w:highlight w:val="none"/>
        </w:rPr>
        <w:t>16、商务报价</w:t>
      </w:r>
      <w:bookmarkEnd w:id="62"/>
      <w:bookmarkEnd w:id="63"/>
      <w:bookmarkEnd w:id="64"/>
      <w:bookmarkEnd w:id="65"/>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16.1</w:t>
      </w:r>
      <w:r>
        <w:rPr>
          <w:rFonts w:hint="eastAsia" w:ascii="仿宋_GB2312" w:hAnsi="宋体" w:eastAsia="仿宋_GB2312"/>
          <w:color w:val="auto"/>
          <w:sz w:val="24"/>
          <w:highlight w:val="none"/>
        </w:rPr>
        <w:t>供应商的商务报价应是为采购人提供全部合同服务，并保证项目验收合格并正常运行和使用</w:t>
      </w:r>
      <w:r>
        <w:rPr>
          <w:rFonts w:hint="eastAsia" w:ascii="仿宋_GB2312" w:eastAsia="仿宋_GB2312"/>
          <w:color w:val="auto"/>
          <w:sz w:val="24"/>
          <w:highlight w:val="none"/>
        </w:rPr>
        <w:t>等以及合同条款、技术规范及标准、项目采购需求、本单一来源采购文件约定的所有费用的总和。</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任何因供应商忽视或误解采购范围、技术规范及标准、项目采购需求、合同条款和项目现场情况，若成交，采购人将不予批准由此而产生的索赔或服务期延长申请。</w:t>
      </w:r>
    </w:p>
    <w:p>
      <w:pPr>
        <w:spacing w:line="360" w:lineRule="auto"/>
        <w:ind w:firstLine="482" w:firstLineChars="200"/>
        <w:rPr>
          <w:rFonts w:ascii="仿宋_GB2312" w:eastAsia="仿宋_GB2312"/>
          <w:color w:val="auto"/>
          <w:sz w:val="24"/>
          <w:highlight w:val="none"/>
        </w:rPr>
      </w:pPr>
      <w:r>
        <w:rPr>
          <w:rFonts w:hint="eastAsia" w:ascii="仿宋_GB2312" w:eastAsia="仿宋_GB2312"/>
          <w:b/>
          <w:color w:val="auto"/>
          <w:sz w:val="24"/>
          <w:highlight w:val="none"/>
        </w:rPr>
        <w:t>商务报价中不得包含合同条款、技术规范及标准、技术规格及要求、本单一来源采购文件要求以外的其他内容。</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16.2商务报价总价应包括的内容和计价因素</w:t>
      </w:r>
    </w:p>
    <w:p>
      <w:pPr>
        <w:spacing w:line="360" w:lineRule="auto"/>
        <w:ind w:firstLine="482"/>
        <w:jc w:val="left"/>
        <w:rPr>
          <w:rFonts w:ascii="仿宋_GB2312" w:eastAsia="仿宋_GB2312"/>
          <w:b/>
          <w:bCs/>
          <w:color w:val="auto"/>
          <w:sz w:val="24"/>
          <w:highlight w:val="none"/>
        </w:rPr>
      </w:pPr>
      <w:r>
        <w:rPr>
          <w:rFonts w:hint="eastAsia" w:ascii="仿宋_GB2312" w:hAnsi="新宋体" w:eastAsia="仿宋_GB2312"/>
          <w:b/>
          <w:color w:val="auto"/>
          <w:sz w:val="24"/>
          <w:highlight w:val="none"/>
        </w:rPr>
        <w:t>（1）</w:t>
      </w:r>
      <w:r>
        <w:rPr>
          <w:rFonts w:hint="eastAsia" w:ascii="仿宋_GB2312" w:hAnsi="新宋体" w:eastAsia="仿宋_GB2312"/>
          <w:b/>
          <w:color w:val="auto"/>
          <w:sz w:val="24"/>
          <w:highlight w:val="none"/>
          <w:lang w:eastAsia="zh-CN"/>
        </w:rPr>
        <w:t>完成“森林物语&amp;虫现江湖”——大型热带雨林实景生态展的所有工作，配合采购人完成与此服务相关的合同条款、技术规范及标准、项目采购需求、采购文件约定的全部内容及责任和义务</w:t>
      </w:r>
      <w:r>
        <w:rPr>
          <w:rFonts w:hint="eastAsia" w:ascii="仿宋_GB2312" w:eastAsia="仿宋_GB2312"/>
          <w:b/>
          <w:bCs/>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供应商根据对本单一来源采购文件、技术规范和标准、项目采购需求、合同条款的理解，应达到的技术指标、检验及验收标准等要求，结合市场情况进行商务报价。供应商应充分考虑合同执行期内各类合同货物的市场风险和国家政策性调整风险等因素对商务报价的影响。</w:t>
      </w:r>
    </w:p>
    <w:p>
      <w:pPr>
        <w:spacing w:line="360" w:lineRule="auto"/>
        <w:ind w:firstLine="480" w:firstLineChars="200"/>
        <w:rPr>
          <w:rFonts w:ascii="仿宋_GB2312" w:hAnsi="宋体" w:eastAsia="仿宋_GB2312"/>
          <w:color w:val="auto"/>
          <w:sz w:val="24"/>
          <w:highlight w:val="none"/>
        </w:rPr>
      </w:pPr>
      <w:bookmarkStart w:id="66" w:name="_Toc246216197"/>
      <w:bookmarkStart w:id="67" w:name="_Toc243906327"/>
      <w:bookmarkStart w:id="68" w:name="_Toc243907588"/>
      <w:bookmarkStart w:id="69" w:name="_Toc233274828"/>
      <w:r>
        <w:rPr>
          <w:rFonts w:hint="eastAsia" w:ascii="仿宋_GB2312" w:eastAsia="仿宋_GB2312"/>
          <w:color w:val="auto"/>
          <w:sz w:val="24"/>
          <w:highlight w:val="none"/>
        </w:rPr>
        <w:t>16.3</w:t>
      </w:r>
      <w:r>
        <w:rPr>
          <w:rFonts w:hint="eastAsia" w:ascii="仿宋_GB2312" w:hAnsi="宋体" w:eastAsia="仿宋_GB2312"/>
          <w:color w:val="auto"/>
          <w:sz w:val="24"/>
          <w:highlight w:val="none"/>
        </w:rPr>
        <w:t>供应商应按照单一来源采购文件所附的格式完整地填写商务报价一览表。</w:t>
      </w:r>
      <w:r>
        <w:rPr>
          <w:rFonts w:hint="eastAsia" w:ascii="黑体" w:eastAsia="黑体"/>
          <w:b/>
          <w:color w:val="auto"/>
          <w:sz w:val="24"/>
          <w:highlight w:val="none"/>
        </w:rPr>
        <w:t>供应商应对采购范围内的全部内容进行报价。</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16.4供应商若成交，不得以任何理由在合同执行期间予以价格调整。任何包含价格调整的要求将被认为是非响应而予以拒绝。</w:t>
      </w:r>
    </w:p>
    <w:bookmarkEnd w:id="66"/>
    <w:bookmarkEnd w:id="67"/>
    <w:bookmarkEnd w:id="68"/>
    <w:bookmarkEnd w:id="69"/>
    <w:p>
      <w:pPr>
        <w:pStyle w:val="14"/>
        <w:spacing w:line="360" w:lineRule="auto"/>
        <w:ind w:firstLine="480" w:firstLineChars="200"/>
        <w:outlineLvl w:val="1"/>
        <w:rPr>
          <w:rFonts w:ascii="仿宋_GB2312" w:eastAsia="仿宋_GB2312"/>
          <w:color w:val="auto"/>
          <w:sz w:val="24"/>
          <w:highlight w:val="none"/>
        </w:rPr>
      </w:pPr>
      <w:bookmarkStart w:id="70" w:name="_Toc245897288"/>
      <w:r>
        <w:rPr>
          <w:rFonts w:hint="eastAsia" w:ascii="仿宋_GB2312" w:eastAsia="仿宋_GB2312"/>
          <w:color w:val="auto"/>
          <w:sz w:val="24"/>
          <w:highlight w:val="none"/>
        </w:rPr>
        <w:t>17、商务报价货币</w:t>
      </w:r>
      <w:bookmarkEnd w:id="70"/>
    </w:p>
    <w:p>
      <w:pPr>
        <w:pStyle w:val="14"/>
        <w:spacing w:line="360" w:lineRule="auto"/>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17.1商务报价一览表和响应文件中的所有报价一律使用人民币（RMB）填报。</w:t>
      </w:r>
    </w:p>
    <w:p>
      <w:pPr>
        <w:pStyle w:val="14"/>
        <w:spacing w:line="360" w:lineRule="auto"/>
        <w:ind w:firstLine="480" w:firstLineChars="200"/>
        <w:outlineLvl w:val="1"/>
        <w:rPr>
          <w:rFonts w:ascii="仿宋_GB2312" w:eastAsia="仿宋_GB2312"/>
          <w:color w:val="auto"/>
          <w:sz w:val="24"/>
          <w:highlight w:val="none"/>
        </w:rPr>
      </w:pPr>
      <w:bookmarkStart w:id="71" w:name="_Toc243906328"/>
      <w:bookmarkStart w:id="72" w:name="_Toc245897289"/>
      <w:bookmarkStart w:id="73" w:name="_Toc233274829"/>
      <w:bookmarkStart w:id="74" w:name="_Toc243907589"/>
      <w:r>
        <w:rPr>
          <w:rFonts w:hint="eastAsia" w:ascii="仿宋_GB2312" w:eastAsia="仿宋_GB2312"/>
          <w:color w:val="auto"/>
          <w:sz w:val="24"/>
          <w:highlight w:val="none"/>
        </w:rPr>
        <w:t>18、供应商资格证明文件</w:t>
      </w:r>
      <w:bookmarkEnd w:id="71"/>
      <w:bookmarkEnd w:id="72"/>
      <w:bookmarkEnd w:id="73"/>
      <w:bookmarkEnd w:id="74"/>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18.1 供应商必须提交证明其有资格参加采购和成交后有能力履行合同的文件。</w:t>
      </w:r>
    </w:p>
    <w:p>
      <w:pPr>
        <w:pStyle w:val="14"/>
        <w:spacing w:line="440" w:lineRule="atLeast"/>
        <w:ind w:firstLine="480" w:firstLineChars="200"/>
        <w:outlineLvl w:val="1"/>
        <w:rPr>
          <w:rFonts w:ascii="仿宋_GB2312" w:eastAsia="仿宋_GB2312"/>
          <w:color w:val="auto"/>
          <w:sz w:val="24"/>
          <w:highlight w:val="none"/>
        </w:rPr>
      </w:pPr>
      <w:bookmarkStart w:id="75" w:name="_Toc243906329"/>
      <w:bookmarkStart w:id="76" w:name="_Toc243907590"/>
      <w:bookmarkStart w:id="77" w:name="_Toc233274830"/>
      <w:bookmarkStart w:id="78" w:name="_Toc245897290"/>
      <w:r>
        <w:rPr>
          <w:rFonts w:hint="eastAsia" w:ascii="仿宋_GB2312" w:eastAsia="仿宋_GB2312"/>
          <w:color w:val="auto"/>
          <w:sz w:val="24"/>
          <w:highlight w:val="none"/>
        </w:rPr>
        <w:t>19、提供的货物符合单一来源采购文件规定的技术响应文件</w:t>
      </w:r>
      <w:bookmarkEnd w:id="75"/>
      <w:bookmarkEnd w:id="76"/>
      <w:bookmarkEnd w:id="77"/>
      <w:bookmarkEnd w:id="78"/>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19.1 供应商须提交证明其拟供货物和服务符合单一来源采购文件、技术规范及标准、项目采购需求规定的技术响应文件，作为响应文件的一部分；</w:t>
      </w:r>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19.2上述文件可以是文字资料和数据，并须提供货物主要技术性能的详细描述及设备清单和所提供服务的详细说明；</w:t>
      </w:r>
    </w:p>
    <w:p>
      <w:pPr>
        <w:spacing w:line="440" w:lineRule="atLeast"/>
        <w:ind w:firstLine="481"/>
        <w:rPr>
          <w:rFonts w:ascii="仿宋_GB2312" w:eastAsia="仿宋_GB2312"/>
          <w:color w:val="auto"/>
          <w:sz w:val="24"/>
          <w:highlight w:val="none"/>
        </w:rPr>
      </w:pPr>
      <w:r>
        <w:rPr>
          <w:rFonts w:hint="eastAsia" w:ascii="仿宋_GB2312" w:eastAsia="仿宋_GB2312"/>
          <w:color w:val="auto"/>
          <w:sz w:val="24"/>
          <w:highlight w:val="none"/>
        </w:rPr>
        <w:t>19.3供应商应逐条对单一来源采购文件、项目采购需求、合同条款等进行仔细阅读，提出自己提供的货物和服务是否对其做出了实质性的响应。</w:t>
      </w:r>
    </w:p>
    <w:p>
      <w:pPr>
        <w:pStyle w:val="14"/>
        <w:spacing w:line="440" w:lineRule="atLeast"/>
        <w:ind w:firstLine="480" w:firstLineChars="200"/>
        <w:outlineLvl w:val="1"/>
        <w:rPr>
          <w:rFonts w:ascii="仿宋_GB2312" w:eastAsia="仿宋_GB2312"/>
          <w:color w:val="auto"/>
          <w:sz w:val="24"/>
          <w:highlight w:val="none"/>
        </w:rPr>
      </w:pPr>
      <w:bookmarkStart w:id="79" w:name="_Toc243907591"/>
      <w:bookmarkStart w:id="80" w:name="_Toc245897291"/>
      <w:bookmarkStart w:id="81" w:name="_Toc243906330"/>
      <w:bookmarkStart w:id="82" w:name="_Toc233274831"/>
      <w:r>
        <w:rPr>
          <w:rFonts w:hint="eastAsia" w:ascii="仿宋_GB2312" w:eastAsia="仿宋_GB2312"/>
          <w:color w:val="auto"/>
          <w:sz w:val="24"/>
          <w:highlight w:val="none"/>
        </w:rPr>
        <w:t>20、响应文件有效期</w:t>
      </w:r>
      <w:bookmarkEnd w:id="79"/>
      <w:bookmarkEnd w:id="80"/>
      <w:bookmarkEnd w:id="81"/>
      <w:bookmarkEnd w:id="82"/>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20.1</w:t>
      </w:r>
      <w:r>
        <w:rPr>
          <w:rFonts w:hint="eastAsia" w:ascii="仿宋_GB2312" w:eastAsia="仿宋_GB2312"/>
          <w:bCs/>
          <w:color w:val="auto"/>
          <w:sz w:val="24"/>
          <w:highlight w:val="none"/>
        </w:rPr>
        <w:t>响应文件</w:t>
      </w:r>
      <w:r>
        <w:rPr>
          <w:rFonts w:hint="eastAsia" w:ascii="仿宋_GB2312" w:eastAsia="仿宋_GB2312"/>
          <w:color w:val="auto"/>
          <w:sz w:val="24"/>
          <w:highlight w:val="none"/>
        </w:rPr>
        <w:t>有效期为</w:t>
      </w:r>
      <w:r>
        <w:rPr>
          <w:rFonts w:hint="eastAsia" w:ascii="仿宋_GB2312" w:hAnsi="宋体" w:eastAsia="仿宋_GB2312"/>
          <w:color w:val="auto"/>
          <w:sz w:val="24"/>
          <w:highlight w:val="none"/>
        </w:rPr>
        <w:t>递交响应文件截止之日起60天（日历日）</w:t>
      </w:r>
      <w:r>
        <w:rPr>
          <w:rFonts w:hint="eastAsia" w:ascii="仿宋_GB2312" w:eastAsia="仿宋_GB2312"/>
          <w:color w:val="auto"/>
          <w:sz w:val="24"/>
          <w:highlight w:val="none"/>
        </w:rPr>
        <w:t>。供应商的响应文件有效期比规定的有效期短的，将被视为非响应而予以拒绝。</w:t>
      </w:r>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20.2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14"/>
        <w:spacing w:line="440" w:lineRule="atLeast"/>
        <w:ind w:firstLine="480" w:firstLineChars="200"/>
        <w:outlineLvl w:val="1"/>
        <w:rPr>
          <w:rFonts w:ascii="仿宋_GB2312" w:eastAsia="仿宋_GB2312"/>
          <w:color w:val="auto"/>
          <w:sz w:val="24"/>
          <w:highlight w:val="none"/>
        </w:rPr>
      </w:pPr>
      <w:bookmarkStart w:id="83" w:name="_Toc245897292"/>
      <w:bookmarkStart w:id="84" w:name="_Toc243907592"/>
      <w:bookmarkStart w:id="85" w:name="_Toc233274832"/>
      <w:bookmarkStart w:id="86" w:name="_Toc243906331"/>
      <w:r>
        <w:rPr>
          <w:rFonts w:hint="eastAsia" w:ascii="仿宋_GB2312" w:eastAsia="仿宋_GB2312"/>
          <w:color w:val="auto"/>
          <w:sz w:val="24"/>
          <w:highlight w:val="none"/>
        </w:rPr>
        <w:t>21、响应文件的签署及规定</w:t>
      </w:r>
      <w:bookmarkEnd w:id="83"/>
      <w:bookmarkEnd w:id="84"/>
      <w:bookmarkEnd w:id="85"/>
      <w:bookmarkEnd w:id="86"/>
    </w:p>
    <w:p>
      <w:pPr>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21.1供应商应提交本须知第14条规定的</w:t>
      </w:r>
      <w:r>
        <w:rPr>
          <w:rFonts w:hint="eastAsia" w:ascii="仿宋_GB2312" w:eastAsia="仿宋_GB2312"/>
          <w:b/>
          <w:color w:val="auto"/>
          <w:sz w:val="24"/>
          <w:highlight w:val="none"/>
        </w:rPr>
        <w:t>书面响应文件一式</w:t>
      </w:r>
      <w:r>
        <w:rPr>
          <w:rFonts w:hint="eastAsia" w:ascii="仿宋_GB2312" w:eastAsia="仿宋_GB2312"/>
          <w:b/>
          <w:color w:val="auto"/>
          <w:sz w:val="24"/>
          <w:highlight w:val="none"/>
          <w:u w:val="single"/>
          <w:lang w:eastAsia="zh-CN"/>
        </w:rPr>
        <w:t>肆</w:t>
      </w:r>
      <w:r>
        <w:rPr>
          <w:rFonts w:hint="eastAsia" w:ascii="仿宋_GB2312" w:eastAsia="仿宋_GB2312"/>
          <w:b/>
          <w:color w:val="auto"/>
          <w:sz w:val="24"/>
          <w:highlight w:val="none"/>
        </w:rPr>
        <w:t>份</w:t>
      </w:r>
      <w:r>
        <w:rPr>
          <w:rFonts w:hint="eastAsia" w:ascii="仿宋_GB2312" w:eastAsia="仿宋_GB2312"/>
          <w:color w:val="auto"/>
          <w:sz w:val="24"/>
          <w:highlight w:val="none"/>
        </w:rPr>
        <w:t>，其中：</w:t>
      </w:r>
      <w:r>
        <w:rPr>
          <w:rFonts w:hint="eastAsia" w:ascii="仿宋_GB2312" w:eastAsia="仿宋_GB2312"/>
          <w:b/>
          <w:color w:val="auto"/>
          <w:sz w:val="24"/>
          <w:highlight w:val="none"/>
          <w:u w:val="single"/>
        </w:rPr>
        <w:t>壹份正本</w:t>
      </w:r>
      <w:r>
        <w:rPr>
          <w:rFonts w:hint="eastAsia" w:ascii="仿宋_GB2312" w:eastAsia="仿宋_GB2312"/>
          <w:b/>
          <w:color w:val="auto"/>
          <w:sz w:val="24"/>
          <w:highlight w:val="none"/>
        </w:rPr>
        <w:t>和</w:t>
      </w:r>
      <w:r>
        <w:rPr>
          <w:rFonts w:hint="eastAsia" w:ascii="仿宋_GB2312" w:eastAsia="仿宋_GB2312"/>
          <w:b/>
          <w:color w:val="auto"/>
          <w:sz w:val="24"/>
          <w:highlight w:val="none"/>
          <w:u w:val="single"/>
          <w:lang w:eastAsia="zh-CN"/>
        </w:rPr>
        <w:t>叁</w:t>
      </w:r>
      <w:r>
        <w:rPr>
          <w:rFonts w:hint="eastAsia" w:ascii="仿宋_GB2312" w:eastAsia="仿宋_GB2312"/>
          <w:b/>
          <w:color w:val="auto"/>
          <w:sz w:val="24"/>
          <w:highlight w:val="none"/>
          <w:u w:val="single"/>
        </w:rPr>
        <w:t>份副本</w:t>
      </w:r>
      <w:r>
        <w:rPr>
          <w:rFonts w:hint="eastAsia" w:ascii="仿宋_GB2312" w:eastAsia="仿宋_GB2312"/>
          <w:color w:val="auto"/>
          <w:sz w:val="24"/>
          <w:highlight w:val="none"/>
        </w:rPr>
        <w:t>，在每一份响应文件上应明确注明“正本”或“副本”字样，如正、副本之间有差异，以正本为准。</w:t>
      </w:r>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21.2响应文件正本和副本须打印并由法定代表人或委托代理人签字或盖章。响应文件应加盖供应商的公章。</w:t>
      </w:r>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21.3 除供应商对错误做必要修改外，响应文件中不许有增删、涂改或改写。若确有修改必须由签署响应文件的委托代理人签字或盖章。</w:t>
      </w:r>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21.4响应文件副本的上述签名及盖章之处既可由供应商的供应商代表人或其委托代理人签字或盖章，也可通过复印正本将上述签名及盖章复制到副本上。</w:t>
      </w:r>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21.5 采购人概不接受电报、电传、电话、邮寄以及电子邮件等方式的采购响应。</w:t>
      </w:r>
    </w:p>
    <w:bookmarkEnd w:id="48"/>
    <w:p>
      <w:pPr>
        <w:spacing w:line="440" w:lineRule="atLeast"/>
        <w:rPr>
          <w:rFonts w:ascii="仿宋_GB2312" w:hAnsi="宋体" w:eastAsia="仿宋_GB2312"/>
          <w:color w:val="auto"/>
          <w:sz w:val="24"/>
          <w:highlight w:val="none"/>
        </w:rPr>
      </w:pPr>
      <w:bookmarkStart w:id="87" w:name="_Toc154996585"/>
    </w:p>
    <w:bookmarkEnd w:id="87"/>
    <w:p>
      <w:pPr>
        <w:pStyle w:val="14"/>
        <w:spacing w:line="440" w:lineRule="atLeast"/>
        <w:jc w:val="center"/>
        <w:outlineLvl w:val="1"/>
        <w:rPr>
          <w:rFonts w:ascii="仿宋_GB2312" w:eastAsia="仿宋_GB2312"/>
          <w:b/>
          <w:bCs/>
          <w:color w:val="auto"/>
          <w:sz w:val="28"/>
          <w:szCs w:val="28"/>
          <w:highlight w:val="none"/>
        </w:rPr>
      </w:pPr>
      <w:bookmarkStart w:id="88" w:name="_Toc233274834"/>
      <w:bookmarkStart w:id="89" w:name="_Toc243906333"/>
      <w:bookmarkStart w:id="90" w:name="_Toc246216203"/>
      <w:bookmarkStart w:id="91" w:name="_Toc243907594"/>
      <w:r>
        <w:rPr>
          <w:rFonts w:hint="eastAsia" w:ascii="仿宋_GB2312" w:eastAsia="仿宋_GB2312"/>
          <w:b/>
          <w:bCs/>
          <w:color w:val="auto"/>
          <w:sz w:val="28"/>
          <w:szCs w:val="28"/>
          <w:highlight w:val="none"/>
        </w:rPr>
        <w:t>D  响应文件的递交、修改和撤回</w:t>
      </w:r>
      <w:bookmarkEnd w:id="88"/>
      <w:bookmarkEnd w:id="89"/>
      <w:bookmarkEnd w:id="90"/>
      <w:bookmarkEnd w:id="91"/>
    </w:p>
    <w:p>
      <w:pPr>
        <w:spacing w:line="440" w:lineRule="atLeast"/>
        <w:ind w:firstLine="480" w:firstLineChars="200"/>
        <w:outlineLvl w:val="1"/>
        <w:rPr>
          <w:rFonts w:ascii="仿宋_GB2312" w:eastAsia="仿宋_GB2312"/>
          <w:color w:val="auto"/>
          <w:sz w:val="24"/>
          <w:highlight w:val="none"/>
        </w:rPr>
      </w:pPr>
      <w:bookmarkStart w:id="92" w:name="_Toc233274835"/>
      <w:bookmarkStart w:id="93" w:name="_Toc243907595"/>
      <w:bookmarkStart w:id="94" w:name="_Toc245897295"/>
      <w:bookmarkStart w:id="95" w:name="_Toc243906334"/>
      <w:r>
        <w:rPr>
          <w:rFonts w:hint="eastAsia" w:ascii="仿宋_GB2312" w:eastAsia="仿宋_GB2312"/>
          <w:color w:val="auto"/>
          <w:sz w:val="24"/>
          <w:highlight w:val="none"/>
        </w:rPr>
        <w:t>22、响应文件的密封和标记</w:t>
      </w:r>
      <w:bookmarkEnd w:id="92"/>
      <w:bookmarkEnd w:id="93"/>
      <w:bookmarkEnd w:id="94"/>
      <w:bookmarkEnd w:id="95"/>
    </w:p>
    <w:p>
      <w:pPr>
        <w:spacing w:line="440" w:lineRule="atLeast"/>
        <w:ind w:firstLine="480" w:firstLineChars="200"/>
        <w:outlineLvl w:val="1"/>
        <w:rPr>
          <w:rFonts w:ascii="仿宋_GB2312" w:eastAsia="仿宋_GB2312"/>
          <w:b/>
          <w:color w:val="auto"/>
          <w:highlight w:val="none"/>
        </w:rPr>
      </w:pPr>
      <w:r>
        <w:rPr>
          <w:rFonts w:hint="eastAsia" w:ascii="仿宋_GB2312" w:eastAsia="仿宋_GB2312"/>
          <w:color w:val="auto"/>
          <w:sz w:val="24"/>
          <w:highlight w:val="none"/>
        </w:rPr>
        <w:t>22.1</w:t>
      </w:r>
      <w:r>
        <w:rPr>
          <w:rFonts w:hint="eastAsia" w:ascii="黑体" w:eastAsia="黑体"/>
          <w:b/>
          <w:color w:val="auto"/>
          <w:sz w:val="24"/>
          <w:highlight w:val="none"/>
        </w:rPr>
        <w:t>响应文件均按A4复印纸页面安装、装订。所有响应文件均为明标。</w:t>
      </w:r>
    </w:p>
    <w:p>
      <w:pPr>
        <w:spacing w:line="440" w:lineRule="atLeast"/>
        <w:ind w:firstLine="480" w:firstLineChars="200"/>
        <w:rPr>
          <w:rFonts w:ascii="黑体" w:eastAsia="黑体"/>
          <w:b/>
          <w:color w:val="auto"/>
          <w:sz w:val="24"/>
          <w:highlight w:val="none"/>
        </w:rPr>
      </w:pPr>
      <w:r>
        <w:rPr>
          <w:rFonts w:hint="eastAsia" w:ascii="仿宋_GB2312" w:eastAsia="仿宋_GB2312"/>
          <w:color w:val="auto"/>
          <w:sz w:val="24"/>
          <w:highlight w:val="none"/>
        </w:rPr>
        <w:t>22.2</w:t>
      </w:r>
      <w:r>
        <w:rPr>
          <w:rFonts w:hint="eastAsia" w:ascii="黑体" w:hAnsi="宋体" w:eastAsia="黑体"/>
          <w:b/>
          <w:color w:val="auto"/>
          <w:sz w:val="24"/>
          <w:highlight w:val="none"/>
        </w:rPr>
        <w:t>供应商应将响应文件装订、密封，并在密封处加盖供应商公章。</w:t>
      </w:r>
    </w:p>
    <w:p>
      <w:pPr>
        <w:adjustRightInd w:val="0"/>
        <w:snapToGrid w:val="0"/>
        <w:spacing w:line="440" w:lineRule="atLeast"/>
        <w:ind w:firstLine="480" w:firstLineChars="200"/>
        <w:rPr>
          <w:rFonts w:ascii="仿宋_GB2312" w:hAnsi="宋体" w:eastAsia="仿宋_GB2312"/>
          <w:color w:val="auto"/>
          <w:sz w:val="24"/>
          <w:highlight w:val="none"/>
        </w:rPr>
      </w:pPr>
      <w:r>
        <w:rPr>
          <w:rFonts w:hint="eastAsia" w:ascii="仿宋_GB2312" w:eastAsia="仿宋_GB2312"/>
          <w:color w:val="auto"/>
          <w:sz w:val="24"/>
          <w:highlight w:val="none"/>
        </w:rPr>
        <w:t>22.3</w:t>
      </w:r>
      <w:r>
        <w:rPr>
          <w:rFonts w:hint="eastAsia" w:ascii="仿宋_GB2312" w:hAnsi="宋体" w:eastAsia="仿宋_GB2312"/>
          <w:color w:val="auto"/>
          <w:sz w:val="24"/>
          <w:highlight w:val="none"/>
        </w:rPr>
        <w:t>响应文件密封袋上均应写明“采购人”、“项目名称”、“文件编号”、“供应商名称”和“地址”等事项并注明“开启前不准启封”等字样。</w:t>
      </w:r>
    </w:p>
    <w:p>
      <w:pPr>
        <w:spacing w:line="440" w:lineRule="atLeast"/>
        <w:ind w:firstLine="480" w:firstLineChars="200"/>
        <w:rPr>
          <w:rFonts w:ascii="仿宋_GB2312" w:eastAsia="仿宋_GB2312"/>
          <w:color w:val="auto"/>
          <w:highlight w:val="none"/>
        </w:rPr>
      </w:pPr>
      <w:r>
        <w:rPr>
          <w:rFonts w:hint="eastAsia" w:ascii="仿宋_GB2312" w:eastAsia="仿宋_GB2312"/>
          <w:color w:val="auto"/>
          <w:sz w:val="24"/>
          <w:highlight w:val="none"/>
        </w:rPr>
        <w:t>22.4未按本要求密封、标记的响应文件，采购人（或采购代理机构）不对后果负责。</w:t>
      </w:r>
    </w:p>
    <w:p>
      <w:pPr>
        <w:pStyle w:val="14"/>
        <w:spacing w:line="440" w:lineRule="atLeast"/>
        <w:ind w:firstLine="480" w:firstLineChars="200"/>
        <w:outlineLvl w:val="1"/>
        <w:rPr>
          <w:rFonts w:ascii="仿宋_GB2312" w:eastAsia="仿宋_GB2312"/>
          <w:color w:val="auto"/>
          <w:sz w:val="24"/>
          <w:szCs w:val="24"/>
          <w:highlight w:val="none"/>
        </w:rPr>
      </w:pPr>
      <w:bookmarkStart w:id="96" w:name="_Toc243906335"/>
      <w:bookmarkStart w:id="97" w:name="_Toc245897296"/>
      <w:bookmarkStart w:id="98" w:name="_Toc243907596"/>
      <w:bookmarkStart w:id="99" w:name="_Toc233274836"/>
      <w:r>
        <w:rPr>
          <w:rFonts w:hint="eastAsia" w:ascii="仿宋_GB2312" w:eastAsia="仿宋_GB2312"/>
          <w:color w:val="auto"/>
          <w:sz w:val="24"/>
          <w:szCs w:val="24"/>
          <w:highlight w:val="none"/>
        </w:rPr>
        <w:t>23、递交响应文件截止时间</w:t>
      </w:r>
      <w:bookmarkEnd w:id="96"/>
      <w:bookmarkEnd w:id="97"/>
      <w:bookmarkEnd w:id="98"/>
      <w:bookmarkEnd w:id="99"/>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szCs w:val="24"/>
          <w:highlight w:val="none"/>
        </w:rPr>
        <w:t>23.1 所有响应文件都必须按采购人</w:t>
      </w:r>
      <w:r>
        <w:rPr>
          <w:rFonts w:hint="eastAsia" w:ascii="仿宋_GB2312" w:eastAsia="仿宋_GB2312"/>
          <w:color w:val="auto"/>
          <w:sz w:val="24"/>
          <w:highlight w:val="none"/>
        </w:rPr>
        <w:t>在供应商须知前附表中规定的截止时间之前送达。</w:t>
      </w:r>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23.2出现因单一来源采购文件的修改推迟截止日期时，则按采购代理机构修改通知规定的时间递交响应文件。在此情况下，采购人和采购代理机构与供应商之间受截止期制约的所有权利和义务应延长至新的截止期。</w:t>
      </w:r>
    </w:p>
    <w:p>
      <w:pPr>
        <w:pStyle w:val="14"/>
        <w:spacing w:line="440" w:lineRule="atLeast"/>
        <w:ind w:firstLine="480" w:firstLineChars="200"/>
        <w:outlineLvl w:val="1"/>
        <w:rPr>
          <w:rFonts w:ascii="仿宋_GB2312" w:eastAsia="仿宋_GB2312"/>
          <w:color w:val="auto"/>
          <w:sz w:val="24"/>
          <w:highlight w:val="none"/>
        </w:rPr>
      </w:pPr>
      <w:bookmarkStart w:id="100" w:name="_Toc243906336"/>
      <w:bookmarkStart w:id="101" w:name="_Toc245897297"/>
      <w:bookmarkStart w:id="102" w:name="_Toc233274837"/>
      <w:bookmarkStart w:id="103" w:name="_Toc243907597"/>
      <w:r>
        <w:rPr>
          <w:rFonts w:hint="eastAsia" w:ascii="仿宋_GB2312" w:eastAsia="仿宋_GB2312"/>
          <w:color w:val="auto"/>
          <w:sz w:val="24"/>
          <w:highlight w:val="none"/>
        </w:rPr>
        <w:t>24、迟交的响应文件</w:t>
      </w:r>
      <w:bookmarkEnd w:id="100"/>
      <w:bookmarkEnd w:id="101"/>
      <w:bookmarkEnd w:id="102"/>
      <w:bookmarkEnd w:id="103"/>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24.1 采购人将拒绝并原封退回在其规定的截止时间后送达的响应文件。</w:t>
      </w:r>
    </w:p>
    <w:p>
      <w:pPr>
        <w:pStyle w:val="14"/>
        <w:spacing w:line="440" w:lineRule="atLeast"/>
        <w:ind w:firstLine="480" w:firstLineChars="200"/>
        <w:outlineLvl w:val="1"/>
        <w:rPr>
          <w:rFonts w:ascii="仿宋_GB2312" w:eastAsia="仿宋_GB2312"/>
          <w:color w:val="auto"/>
          <w:sz w:val="24"/>
          <w:highlight w:val="none"/>
        </w:rPr>
      </w:pPr>
      <w:bookmarkStart w:id="104" w:name="_Toc233274838"/>
      <w:bookmarkStart w:id="105" w:name="_Toc245897298"/>
      <w:bookmarkStart w:id="106" w:name="_Toc243907598"/>
      <w:bookmarkStart w:id="107" w:name="_Toc243906337"/>
      <w:r>
        <w:rPr>
          <w:rFonts w:hint="eastAsia" w:ascii="仿宋_GB2312" w:eastAsia="仿宋_GB2312"/>
          <w:color w:val="auto"/>
          <w:sz w:val="24"/>
          <w:highlight w:val="none"/>
        </w:rPr>
        <w:t>25、响应文件的修改和撤回</w:t>
      </w:r>
      <w:bookmarkEnd w:id="104"/>
      <w:bookmarkEnd w:id="105"/>
      <w:bookmarkEnd w:id="106"/>
      <w:bookmarkEnd w:id="107"/>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25.1 供应商在提交响应文件后可在截止时间前对其响应文件进行修改或撤回，但采购人须在截止时间之前收到该修改或撤回的书面通知，该通知须有供应商法定代表人或经有效授权的委托代理人签字或盖章。</w:t>
      </w:r>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25.2 供应商对响应文件修改的书面材料或撤回的通知应按第22条和第23条规定进行编写、密封、标记和递交，并注明“修改响应文件”或“撤回响应文件”字样。</w:t>
      </w:r>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25.3截止时间之后，供应商不得对响应文件做任何修改。</w:t>
      </w:r>
    </w:p>
    <w:p>
      <w:pPr>
        <w:pStyle w:val="14"/>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25.4 供应商不得在截止时间起至响应文件有效期期满前撤回响应文件。</w:t>
      </w:r>
    </w:p>
    <w:p>
      <w:pPr>
        <w:spacing w:line="440" w:lineRule="atLeast"/>
        <w:ind w:firstLine="480" w:firstLineChars="200"/>
        <w:outlineLvl w:val="1"/>
        <w:rPr>
          <w:rFonts w:ascii="仿宋_GB2312" w:hAnsi="宋体" w:eastAsia="仿宋_GB2312"/>
          <w:color w:val="auto"/>
          <w:sz w:val="24"/>
          <w:highlight w:val="none"/>
        </w:rPr>
      </w:pPr>
      <w:bookmarkStart w:id="108" w:name="_Toc233274839"/>
      <w:bookmarkStart w:id="109" w:name="_Toc245897299"/>
      <w:bookmarkStart w:id="110" w:name="_Toc243907599"/>
      <w:bookmarkStart w:id="111" w:name="_Toc243906338"/>
      <w:r>
        <w:rPr>
          <w:rFonts w:hint="eastAsia" w:ascii="仿宋_GB2312" w:hAnsi="宋体" w:eastAsia="仿宋_GB2312"/>
          <w:color w:val="auto"/>
          <w:sz w:val="24"/>
          <w:highlight w:val="none"/>
        </w:rPr>
        <w:t>26、递交响应文件</w:t>
      </w:r>
      <w:bookmarkEnd w:id="108"/>
      <w:bookmarkEnd w:id="109"/>
      <w:bookmarkEnd w:id="110"/>
      <w:bookmarkEnd w:id="111"/>
    </w:p>
    <w:p>
      <w:pPr>
        <w:spacing w:line="440" w:lineRule="atLeas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26.1供应商应按本供应商须知前附表第8项规定的时间及地点递交响应文件。</w:t>
      </w:r>
    </w:p>
    <w:p>
      <w:pPr>
        <w:spacing w:line="440" w:lineRule="atLeast"/>
        <w:ind w:firstLine="482" w:firstLineChars="200"/>
        <w:rPr>
          <w:rFonts w:ascii="黑体" w:hAnsi="宋体" w:eastAsia="黑体"/>
          <w:b/>
          <w:color w:val="auto"/>
          <w:sz w:val="24"/>
          <w:highlight w:val="none"/>
        </w:rPr>
      </w:pPr>
      <w:r>
        <w:rPr>
          <w:rFonts w:hint="eastAsia" w:ascii="黑体" w:hAnsi="宋体" w:eastAsia="黑体"/>
          <w:b/>
          <w:color w:val="auto"/>
          <w:sz w:val="24"/>
          <w:highlight w:val="none"/>
        </w:rPr>
        <w:t>26.2有下列情形之一的，采购人不予接收其响应文件：</w:t>
      </w:r>
    </w:p>
    <w:p>
      <w:pPr>
        <w:spacing w:line="440" w:lineRule="atLeas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26.2.1供应商在递交响应文件截止时间后送达或未送达到指定地点的响应文件；</w:t>
      </w:r>
    </w:p>
    <w:p>
      <w:pPr>
        <w:spacing w:line="4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26.2.2 响应文件未按单一来源采购文件要求密封的。</w:t>
      </w:r>
    </w:p>
    <w:p>
      <w:pPr>
        <w:spacing w:line="440" w:lineRule="atLeast"/>
        <w:ind w:firstLine="480" w:firstLineChars="200"/>
        <w:rPr>
          <w:rFonts w:ascii="仿宋_GB2312" w:eastAsia="仿宋_GB2312"/>
          <w:color w:val="auto"/>
          <w:sz w:val="24"/>
          <w:highlight w:val="none"/>
        </w:rPr>
      </w:pPr>
    </w:p>
    <w:p>
      <w:pPr>
        <w:spacing w:line="360" w:lineRule="auto"/>
        <w:jc w:val="center"/>
        <w:outlineLvl w:val="1"/>
        <w:rPr>
          <w:rFonts w:ascii="仿宋_GB2312" w:hAnsi="Courier New" w:eastAsia="仿宋_GB2312"/>
          <w:b/>
          <w:bCs/>
          <w:color w:val="auto"/>
          <w:sz w:val="28"/>
          <w:szCs w:val="28"/>
          <w:highlight w:val="none"/>
        </w:rPr>
      </w:pPr>
      <w:bookmarkStart w:id="112" w:name="_Toc243906339"/>
      <w:bookmarkStart w:id="113" w:name="_Toc243907600"/>
      <w:bookmarkStart w:id="114" w:name="_Toc246216209"/>
      <w:bookmarkStart w:id="115" w:name="_Toc233274840"/>
      <w:r>
        <w:rPr>
          <w:rFonts w:hint="eastAsia" w:ascii="仿宋_GB2312" w:hAnsi="Courier New" w:eastAsia="仿宋_GB2312"/>
          <w:b/>
          <w:bCs/>
          <w:color w:val="auto"/>
          <w:sz w:val="28"/>
          <w:szCs w:val="28"/>
          <w:highlight w:val="none"/>
        </w:rPr>
        <w:t xml:space="preserve">E  </w:t>
      </w:r>
      <w:bookmarkEnd w:id="112"/>
      <w:bookmarkEnd w:id="113"/>
      <w:bookmarkEnd w:id="114"/>
      <w:bookmarkEnd w:id="115"/>
      <w:r>
        <w:rPr>
          <w:rFonts w:hint="eastAsia" w:ascii="仿宋_GB2312" w:hAnsi="Courier New" w:eastAsia="仿宋_GB2312"/>
          <w:b/>
          <w:bCs/>
          <w:color w:val="auto"/>
          <w:sz w:val="28"/>
          <w:szCs w:val="28"/>
          <w:highlight w:val="none"/>
        </w:rPr>
        <w:t>协商及商定成交价</w:t>
      </w:r>
    </w:p>
    <w:p>
      <w:pPr>
        <w:spacing w:line="360" w:lineRule="auto"/>
        <w:ind w:firstLine="480" w:firstLineChars="200"/>
        <w:outlineLvl w:val="1"/>
        <w:rPr>
          <w:rFonts w:ascii="仿宋_GB2312" w:hAnsi="宋体" w:eastAsia="仿宋_GB2312"/>
          <w:color w:val="auto"/>
          <w:sz w:val="24"/>
          <w:szCs w:val="20"/>
          <w:highlight w:val="none"/>
        </w:rPr>
      </w:pPr>
      <w:bookmarkStart w:id="116" w:name="_Toc245897301"/>
      <w:bookmarkStart w:id="117" w:name="_Toc243907601"/>
      <w:bookmarkStart w:id="118" w:name="_Toc243906340"/>
      <w:bookmarkStart w:id="119" w:name="_Toc233274841"/>
      <w:r>
        <w:rPr>
          <w:rFonts w:hint="eastAsia" w:ascii="仿宋_GB2312" w:hAnsi="宋体" w:eastAsia="仿宋_GB2312"/>
          <w:color w:val="auto"/>
          <w:sz w:val="24"/>
          <w:szCs w:val="20"/>
          <w:highlight w:val="none"/>
        </w:rPr>
        <w:t>27、</w:t>
      </w:r>
      <w:bookmarkEnd w:id="116"/>
      <w:bookmarkEnd w:id="117"/>
      <w:bookmarkEnd w:id="118"/>
      <w:bookmarkEnd w:id="119"/>
      <w:r>
        <w:rPr>
          <w:rFonts w:hint="eastAsia" w:ascii="仿宋_GB2312" w:hAnsi="宋体" w:eastAsia="仿宋_GB2312"/>
          <w:color w:val="auto"/>
          <w:sz w:val="24"/>
          <w:szCs w:val="20"/>
          <w:highlight w:val="none"/>
        </w:rPr>
        <w:t>协商会议</w:t>
      </w:r>
    </w:p>
    <w:p>
      <w:pPr>
        <w:spacing w:line="360" w:lineRule="auto"/>
        <w:ind w:firstLine="480" w:firstLineChars="200"/>
        <w:rPr>
          <w:rFonts w:ascii="仿宋_GB2312" w:hAnsi="宋体" w:eastAsia="仿宋_GB2312"/>
          <w:color w:val="auto"/>
          <w:sz w:val="24"/>
          <w:szCs w:val="20"/>
          <w:highlight w:val="none"/>
        </w:rPr>
      </w:pPr>
      <w:r>
        <w:rPr>
          <w:rFonts w:hint="eastAsia" w:ascii="仿宋_GB2312" w:hAnsi="宋体" w:eastAsia="仿宋_GB2312"/>
          <w:color w:val="auto"/>
          <w:sz w:val="24"/>
          <w:szCs w:val="20"/>
          <w:highlight w:val="none"/>
        </w:rPr>
        <w:t>27.1采购人在本供应商须知前附表第9项规定的时间和地点组织协商会议。</w:t>
      </w:r>
    </w:p>
    <w:p>
      <w:pPr>
        <w:spacing w:line="360" w:lineRule="auto"/>
        <w:ind w:firstLine="480" w:firstLineChars="200"/>
        <w:rPr>
          <w:rFonts w:ascii="仿宋_GB2312" w:hAnsi="宋体" w:eastAsia="仿宋_GB2312"/>
          <w:color w:val="auto"/>
          <w:sz w:val="24"/>
          <w:szCs w:val="20"/>
          <w:highlight w:val="none"/>
        </w:rPr>
      </w:pPr>
      <w:r>
        <w:rPr>
          <w:rFonts w:hint="eastAsia" w:ascii="仿宋_GB2312" w:hAnsi="宋体" w:eastAsia="仿宋_GB2312"/>
          <w:color w:val="auto"/>
          <w:sz w:val="24"/>
          <w:szCs w:val="20"/>
          <w:highlight w:val="none"/>
        </w:rPr>
        <w:t>27.2供应商应委派代表参加协商会议。</w:t>
      </w:r>
      <w:r>
        <w:rPr>
          <w:rFonts w:hint="eastAsia" w:ascii="黑体" w:hAnsi="宋体" w:eastAsia="黑体"/>
          <w:b/>
          <w:color w:val="auto"/>
          <w:sz w:val="24"/>
          <w:szCs w:val="20"/>
          <w:highlight w:val="none"/>
        </w:rPr>
        <w:t>参加协商会议的代表应持有供应商法定代表人授权委托书及委托代理人身份证原件</w:t>
      </w:r>
      <w:r>
        <w:rPr>
          <w:rFonts w:hint="eastAsia" w:ascii="仿宋_GB2312" w:hAnsi="宋体" w:eastAsia="仿宋_GB2312"/>
          <w:color w:val="auto"/>
          <w:sz w:val="24"/>
          <w:szCs w:val="20"/>
          <w:highlight w:val="none"/>
        </w:rPr>
        <w:t>。</w:t>
      </w:r>
    </w:p>
    <w:p>
      <w:pPr>
        <w:spacing w:line="360" w:lineRule="auto"/>
        <w:ind w:firstLine="480" w:firstLineChars="200"/>
        <w:rPr>
          <w:rFonts w:ascii="仿宋_GB2312" w:hAnsi="宋体" w:eastAsia="仿宋_GB2312"/>
          <w:color w:val="auto"/>
          <w:sz w:val="24"/>
          <w:szCs w:val="20"/>
          <w:highlight w:val="none"/>
        </w:rPr>
      </w:pPr>
      <w:r>
        <w:rPr>
          <w:rFonts w:hint="eastAsia" w:ascii="仿宋_GB2312" w:hAnsi="宋体" w:eastAsia="仿宋_GB2312"/>
          <w:color w:val="auto"/>
          <w:sz w:val="24"/>
          <w:szCs w:val="20"/>
          <w:highlight w:val="none"/>
        </w:rPr>
        <w:t>27.3协商会议由采购代理机构组织并主持。</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27.4在协商过程中，工作人员如发现响应文件组成部分不齐全，由协商小组认定其有效性。协商小组认定的无效响应文件将不进入协商。</w:t>
      </w:r>
    </w:p>
    <w:p>
      <w:pPr>
        <w:spacing w:line="360" w:lineRule="auto"/>
        <w:ind w:firstLine="480" w:firstLineChars="200"/>
        <w:outlineLvl w:val="1"/>
        <w:rPr>
          <w:rFonts w:ascii="仿宋_GB2312" w:hAnsi="Courier New" w:eastAsia="仿宋_GB2312"/>
          <w:color w:val="auto"/>
          <w:sz w:val="24"/>
          <w:szCs w:val="20"/>
          <w:highlight w:val="none"/>
        </w:rPr>
      </w:pPr>
      <w:bookmarkStart w:id="120" w:name="_Toc245897302"/>
      <w:bookmarkStart w:id="121" w:name="_Toc243906341"/>
      <w:bookmarkStart w:id="122" w:name="_Toc243907602"/>
      <w:bookmarkStart w:id="123" w:name="_Toc233274842"/>
      <w:r>
        <w:rPr>
          <w:rFonts w:hint="eastAsia" w:ascii="仿宋_GB2312" w:hAnsi="Courier New" w:eastAsia="仿宋_GB2312"/>
          <w:color w:val="auto"/>
          <w:sz w:val="24"/>
          <w:szCs w:val="20"/>
          <w:highlight w:val="none"/>
        </w:rPr>
        <w:t>28、</w:t>
      </w:r>
      <w:bookmarkEnd w:id="120"/>
      <w:bookmarkEnd w:id="121"/>
      <w:bookmarkEnd w:id="122"/>
      <w:bookmarkEnd w:id="123"/>
      <w:r>
        <w:rPr>
          <w:rFonts w:hint="eastAsia" w:ascii="仿宋_GB2312" w:hAnsi="Courier New" w:eastAsia="仿宋_GB2312"/>
          <w:color w:val="auto"/>
          <w:sz w:val="24"/>
          <w:szCs w:val="20"/>
          <w:highlight w:val="none"/>
        </w:rPr>
        <w:t>协商小组</w:t>
      </w:r>
    </w:p>
    <w:p>
      <w:pPr>
        <w:widowControl/>
        <w:spacing w:line="360" w:lineRule="auto"/>
        <w:ind w:firstLine="480" w:firstLineChars="200"/>
        <w:rPr>
          <w:rFonts w:ascii="仿宋_GB2312" w:hAnsi="Courier New" w:eastAsia="仿宋_GB2312"/>
          <w:color w:val="auto"/>
          <w:sz w:val="24"/>
          <w:szCs w:val="20"/>
          <w:highlight w:val="none"/>
        </w:rPr>
      </w:pPr>
      <w:r>
        <w:rPr>
          <w:rFonts w:hint="eastAsia" w:ascii="仿宋_GB2312" w:hAnsi="Courier New" w:eastAsia="仿宋_GB2312"/>
          <w:color w:val="auto"/>
          <w:sz w:val="24"/>
          <w:szCs w:val="20"/>
          <w:highlight w:val="none"/>
        </w:rPr>
        <w:t>28.1协商小组成员组成：按照</w:t>
      </w:r>
      <w:r>
        <w:rPr>
          <w:rFonts w:hint="eastAsia" w:ascii="仿宋_GB2312" w:hAnsi="宋体" w:eastAsia="仿宋_GB2312" w:cs="宋体"/>
          <w:color w:val="auto"/>
          <w:sz w:val="24"/>
          <w:highlight w:val="none"/>
        </w:rPr>
        <w:t>《中华人民共和国政府采购法》、</w:t>
      </w:r>
      <w:r>
        <w:rPr>
          <w:rFonts w:hint="eastAsia" w:ascii="仿宋_GB2312" w:eastAsia="仿宋_GB2312"/>
          <w:color w:val="auto"/>
          <w:sz w:val="24"/>
          <w:highlight w:val="none"/>
        </w:rPr>
        <w:t>《中华人民共和国政府采购法实施条例》、《政府采购非采购采购方式管理办法》</w:t>
      </w:r>
      <w:r>
        <w:rPr>
          <w:rFonts w:hint="eastAsia" w:ascii="仿宋_GB2312" w:hAnsi="Courier New" w:eastAsia="仿宋_GB2312"/>
          <w:color w:val="auto"/>
          <w:sz w:val="24"/>
          <w:szCs w:val="20"/>
          <w:highlight w:val="none"/>
        </w:rPr>
        <w:t>及相关法律、法规规定组建</w:t>
      </w:r>
      <w:r>
        <w:rPr>
          <w:rFonts w:hint="eastAsia" w:ascii="仿宋_GB2312" w:hAnsi="宋体" w:eastAsia="仿宋_GB2312" w:cs="宋体"/>
          <w:color w:val="auto"/>
          <w:sz w:val="24"/>
          <w:highlight w:val="none"/>
        </w:rPr>
        <w:t>，由采购人代表和具有相关经验的专业人员组成</w:t>
      </w:r>
      <w:r>
        <w:rPr>
          <w:rFonts w:hint="eastAsia" w:ascii="仿宋_GB2312" w:hAnsi="Courier New" w:eastAsia="仿宋_GB2312"/>
          <w:color w:val="auto"/>
          <w:sz w:val="24"/>
          <w:szCs w:val="20"/>
          <w:highlight w:val="none"/>
        </w:rPr>
        <w:t>。协商小组将负责对供应商提交的响应文件进行评审，确保协商过程公正、合法、保密。</w:t>
      </w:r>
    </w:p>
    <w:p>
      <w:pPr>
        <w:spacing w:line="360" w:lineRule="auto"/>
        <w:ind w:firstLine="482" w:firstLineChars="200"/>
        <w:rPr>
          <w:rFonts w:ascii="仿宋_GB2312" w:hAnsi="Courier New" w:eastAsia="仿宋_GB2312"/>
          <w:b/>
          <w:color w:val="auto"/>
          <w:sz w:val="24"/>
          <w:szCs w:val="20"/>
          <w:highlight w:val="none"/>
        </w:rPr>
      </w:pPr>
      <w:r>
        <w:rPr>
          <w:rFonts w:hint="eastAsia" w:ascii="仿宋_GB2312" w:hAnsi="Courier New" w:eastAsia="仿宋_GB2312"/>
          <w:b/>
          <w:color w:val="auto"/>
          <w:sz w:val="24"/>
          <w:szCs w:val="20"/>
          <w:highlight w:val="none"/>
        </w:rPr>
        <w:t>29、协商及商定成交价</w:t>
      </w:r>
    </w:p>
    <w:p>
      <w:pPr>
        <w:spacing w:line="360" w:lineRule="auto"/>
        <w:ind w:firstLine="482" w:firstLineChars="200"/>
        <w:rPr>
          <w:rFonts w:ascii="仿宋_GB2312" w:hAnsi="Courier New" w:eastAsia="仿宋_GB2312"/>
          <w:b/>
          <w:color w:val="auto"/>
          <w:sz w:val="24"/>
          <w:szCs w:val="20"/>
          <w:highlight w:val="none"/>
        </w:rPr>
      </w:pPr>
      <w:r>
        <w:rPr>
          <w:rFonts w:hint="eastAsia" w:ascii="仿宋_GB2312" w:hAnsi="Courier New" w:eastAsia="仿宋_GB2312"/>
          <w:b/>
          <w:color w:val="auto"/>
          <w:sz w:val="24"/>
          <w:szCs w:val="20"/>
          <w:highlight w:val="none"/>
        </w:rPr>
        <w:t>29.1信用查询</w:t>
      </w:r>
    </w:p>
    <w:p>
      <w:pPr>
        <w:spacing w:line="360" w:lineRule="auto"/>
        <w:ind w:firstLine="482" w:firstLineChars="200"/>
        <w:rPr>
          <w:rFonts w:ascii="仿宋_GB2312" w:hAnsi="Courier New" w:eastAsia="仿宋_GB2312"/>
          <w:b/>
          <w:color w:val="auto"/>
          <w:sz w:val="24"/>
          <w:szCs w:val="20"/>
          <w:highlight w:val="none"/>
        </w:rPr>
      </w:pPr>
      <w:r>
        <w:rPr>
          <w:rFonts w:hint="eastAsia" w:ascii="仿宋_GB2312" w:hAnsi="Courier New" w:eastAsia="仿宋_GB2312"/>
          <w:b/>
          <w:color w:val="auto"/>
          <w:sz w:val="24"/>
          <w:szCs w:val="20"/>
          <w:highlight w:val="none"/>
        </w:rPr>
        <w:t>29.1.1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spacing w:line="360" w:lineRule="auto"/>
        <w:ind w:firstLine="482" w:firstLineChars="200"/>
        <w:rPr>
          <w:rFonts w:ascii="仿宋_GB2312" w:hAnsi="Courier New" w:eastAsia="仿宋_GB2312"/>
          <w:b/>
          <w:color w:val="auto"/>
          <w:sz w:val="24"/>
          <w:szCs w:val="20"/>
          <w:highlight w:val="none"/>
        </w:rPr>
      </w:pPr>
      <w:r>
        <w:rPr>
          <w:rFonts w:hint="eastAsia" w:ascii="仿宋_GB2312" w:hAnsi="Courier New" w:eastAsia="仿宋_GB2312"/>
          <w:b/>
          <w:color w:val="auto"/>
          <w:sz w:val="24"/>
          <w:szCs w:val="20"/>
          <w:highlight w:val="none"/>
        </w:rPr>
        <w:t>29.2响应文件</w:t>
      </w:r>
      <w:r>
        <w:rPr>
          <w:rFonts w:ascii="仿宋_GB2312" w:hAnsi="Courier New" w:eastAsia="仿宋_GB2312"/>
          <w:b/>
          <w:color w:val="auto"/>
          <w:sz w:val="24"/>
          <w:szCs w:val="20"/>
          <w:highlight w:val="none"/>
        </w:rPr>
        <w:t>初审。初审分为资格性</w:t>
      </w:r>
      <w:r>
        <w:rPr>
          <w:rFonts w:hint="eastAsia" w:ascii="仿宋_GB2312" w:hAnsi="Courier New" w:eastAsia="仿宋_GB2312"/>
          <w:b/>
          <w:color w:val="auto"/>
          <w:sz w:val="24"/>
          <w:szCs w:val="20"/>
          <w:highlight w:val="none"/>
        </w:rPr>
        <w:t>审</w:t>
      </w:r>
      <w:r>
        <w:rPr>
          <w:rFonts w:ascii="仿宋_GB2312" w:hAnsi="Courier New" w:eastAsia="仿宋_GB2312"/>
          <w:b/>
          <w:color w:val="auto"/>
          <w:sz w:val="24"/>
          <w:szCs w:val="20"/>
          <w:highlight w:val="none"/>
        </w:rPr>
        <w:t>查和符合性</w:t>
      </w:r>
      <w:r>
        <w:rPr>
          <w:rFonts w:hint="eastAsia" w:ascii="仿宋_GB2312" w:hAnsi="Courier New" w:eastAsia="仿宋_GB2312"/>
          <w:b/>
          <w:color w:val="auto"/>
          <w:sz w:val="24"/>
          <w:szCs w:val="20"/>
          <w:highlight w:val="none"/>
        </w:rPr>
        <w:t>审</w:t>
      </w:r>
      <w:r>
        <w:rPr>
          <w:rFonts w:ascii="仿宋_GB2312" w:hAnsi="Courier New" w:eastAsia="仿宋_GB2312"/>
          <w:b/>
          <w:color w:val="auto"/>
          <w:sz w:val="24"/>
          <w:szCs w:val="20"/>
          <w:highlight w:val="none"/>
        </w:rPr>
        <w:t>查。</w:t>
      </w:r>
      <w:r>
        <w:rPr>
          <w:rFonts w:hint="eastAsia" w:ascii="仿宋_GB2312" w:hAnsi="Courier New" w:eastAsia="仿宋_GB2312"/>
          <w:b/>
          <w:color w:val="auto"/>
          <w:sz w:val="24"/>
          <w:szCs w:val="20"/>
          <w:highlight w:val="none"/>
        </w:rPr>
        <w:t>响应文件初审由协商小组根据供应商响应文件进行评审，初审内容详见第六章，未通过初审的供应商其响应文件按照无效响应文件处理。</w:t>
      </w:r>
    </w:p>
    <w:p>
      <w:pPr>
        <w:spacing w:line="360" w:lineRule="auto"/>
        <w:ind w:firstLine="482" w:firstLineChars="200"/>
        <w:rPr>
          <w:rFonts w:ascii="仿宋_GB2312" w:hAnsi="Courier New" w:eastAsia="仿宋_GB2312"/>
          <w:b/>
          <w:color w:val="auto"/>
          <w:sz w:val="24"/>
          <w:szCs w:val="20"/>
          <w:highlight w:val="none"/>
        </w:rPr>
      </w:pPr>
      <w:r>
        <w:rPr>
          <w:rFonts w:hint="eastAsia" w:ascii="仿宋_GB2312" w:hAnsi="Courier New" w:eastAsia="仿宋_GB2312"/>
          <w:b/>
          <w:color w:val="auto"/>
          <w:sz w:val="24"/>
          <w:szCs w:val="20"/>
          <w:highlight w:val="none"/>
        </w:rPr>
        <w:t>29.2.</w:t>
      </w:r>
      <w:r>
        <w:rPr>
          <w:rFonts w:ascii="仿宋_GB2312" w:hAnsi="Courier New" w:eastAsia="仿宋_GB2312"/>
          <w:b/>
          <w:color w:val="auto"/>
          <w:sz w:val="24"/>
          <w:szCs w:val="20"/>
          <w:highlight w:val="none"/>
        </w:rPr>
        <w:t>1资格性</w:t>
      </w:r>
      <w:r>
        <w:rPr>
          <w:rFonts w:hint="eastAsia" w:ascii="仿宋_GB2312" w:hAnsi="Courier New" w:eastAsia="仿宋_GB2312"/>
          <w:b/>
          <w:color w:val="auto"/>
          <w:sz w:val="24"/>
          <w:szCs w:val="20"/>
          <w:highlight w:val="none"/>
        </w:rPr>
        <w:t>审</w:t>
      </w:r>
      <w:r>
        <w:rPr>
          <w:rFonts w:ascii="仿宋_GB2312" w:hAnsi="Courier New" w:eastAsia="仿宋_GB2312"/>
          <w:b/>
          <w:color w:val="auto"/>
          <w:sz w:val="24"/>
          <w:szCs w:val="20"/>
          <w:highlight w:val="none"/>
        </w:rPr>
        <w:t>查。依据法律法规和</w:t>
      </w:r>
      <w:r>
        <w:rPr>
          <w:rFonts w:hint="eastAsia" w:ascii="仿宋_GB2312" w:hAnsi="Courier New" w:eastAsia="仿宋_GB2312"/>
          <w:b/>
          <w:color w:val="auto"/>
          <w:sz w:val="24"/>
          <w:szCs w:val="20"/>
          <w:highlight w:val="none"/>
        </w:rPr>
        <w:t>采购文件</w:t>
      </w:r>
      <w:r>
        <w:rPr>
          <w:rFonts w:ascii="仿宋_GB2312" w:hAnsi="Courier New" w:eastAsia="仿宋_GB2312"/>
          <w:b/>
          <w:color w:val="auto"/>
          <w:sz w:val="24"/>
          <w:szCs w:val="20"/>
          <w:highlight w:val="none"/>
        </w:rPr>
        <w:t>的规定，对</w:t>
      </w:r>
      <w:r>
        <w:rPr>
          <w:rFonts w:hint="eastAsia" w:ascii="仿宋_GB2312" w:hAnsi="Courier New" w:eastAsia="仿宋_GB2312"/>
          <w:b/>
          <w:color w:val="auto"/>
          <w:sz w:val="24"/>
          <w:szCs w:val="20"/>
          <w:highlight w:val="none"/>
        </w:rPr>
        <w:t>响应文件</w:t>
      </w:r>
      <w:r>
        <w:rPr>
          <w:rFonts w:ascii="仿宋_GB2312" w:hAnsi="Courier New" w:eastAsia="仿宋_GB2312"/>
          <w:b/>
          <w:color w:val="auto"/>
          <w:sz w:val="24"/>
          <w:szCs w:val="20"/>
          <w:highlight w:val="none"/>
        </w:rPr>
        <w:t>中的资格</w:t>
      </w:r>
      <w:r>
        <w:rPr>
          <w:rFonts w:hint="eastAsia" w:ascii="仿宋_GB2312" w:hAnsi="Courier New" w:eastAsia="仿宋_GB2312"/>
          <w:b/>
          <w:color w:val="auto"/>
          <w:sz w:val="24"/>
          <w:szCs w:val="20"/>
          <w:highlight w:val="none"/>
        </w:rPr>
        <w:t>证明</w:t>
      </w:r>
      <w:r>
        <w:rPr>
          <w:rFonts w:ascii="仿宋_GB2312" w:hAnsi="Courier New" w:eastAsia="仿宋_GB2312"/>
          <w:b/>
          <w:color w:val="auto"/>
          <w:sz w:val="24"/>
          <w:szCs w:val="20"/>
          <w:highlight w:val="none"/>
        </w:rPr>
        <w:t>等进行审查，以确定</w:t>
      </w:r>
      <w:r>
        <w:rPr>
          <w:rFonts w:hint="eastAsia" w:ascii="仿宋_GB2312" w:hAnsi="Courier New" w:eastAsia="仿宋_GB2312"/>
          <w:b/>
          <w:color w:val="auto"/>
          <w:sz w:val="24"/>
          <w:szCs w:val="20"/>
          <w:highlight w:val="none"/>
        </w:rPr>
        <w:t>供应商</w:t>
      </w:r>
      <w:r>
        <w:rPr>
          <w:rFonts w:ascii="仿宋_GB2312" w:hAnsi="Courier New" w:eastAsia="仿宋_GB2312"/>
          <w:b/>
          <w:color w:val="auto"/>
          <w:sz w:val="24"/>
          <w:szCs w:val="20"/>
          <w:highlight w:val="none"/>
        </w:rPr>
        <w:t>是否具备</w:t>
      </w:r>
      <w:r>
        <w:rPr>
          <w:rFonts w:hint="eastAsia" w:ascii="仿宋_GB2312" w:hAnsi="Courier New" w:eastAsia="仿宋_GB2312"/>
          <w:b/>
          <w:color w:val="auto"/>
          <w:sz w:val="24"/>
          <w:szCs w:val="20"/>
          <w:highlight w:val="none"/>
        </w:rPr>
        <w:t>协商</w:t>
      </w:r>
      <w:r>
        <w:rPr>
          <w:rFonts w:ascii="仿宋_GB2312" w:hAnsi="Courier New" w:eastAsia="仿宋_GB2312"/>
          <w:b/>
          <w:color w:val="auto"/>
          <w:sz w:val="24"/>
          <w:szCs w:val="20"/>
          <w:highlight w:val="none"/>
        </w:rPr>
        <w:t>资格。</w:t>
      </w:r>
    </w:p>
    <w:p>
      <w:pPr>
        <w:spacing w:line="360" w:lineRule="auto"/>
        <w:ind w:firstLine="482" w:firstLineChars="200"/>
        <w:rPr>
          <w:rFonts w:ascii="仿宋_GB2312" w:hAnsi="Courier New" w:eastAsia="仿宋_GB2312"/>
          <w:b/>
          <w:color w:val="auto"/>
          <w:sz w:val="24"/>
          <w:szCs w:val="20"/>
          <w:highlight w:val="none"/>
        </w:rPr>
      </w:pPr>
      <w:r>
        <w:rPr>
          <w:rFonts w:hint="eastAsia" w:ascii="仿宋_GB2312" w:hAnsi="Courier New" w:eastAsia="仿宋_GB2312"/>
          <w:b/>
          <w:color w:val="auto"/>
          <w:sz w:val="24"/>
          <w:szCs w:val="20"/>
          <w:highlight w:val="none"/>
        </w:rPr>
        <w:t>29.2.2</w:t>
      </w:r>
      <w:r>
        <w:rPr>
          <w:rFonts w:ascii="仿宋_GB2312" w:hAnsi="Courier New" w:eastAsia="仿宋_GB2312"/>
          <w:b/>
          <w:color w:val="auto"/>
          <w:sz w:val="24"/>
          <w:szCs w:val="20"/>
          <w:highlight w:val="none"/>
        </w:rPr>
        <w:t>符合性</w:t>
      </w:r>
      <w:r>
        <w:rPr>
          <w:rFonts w:hint="eastAsia" w:ascii="仿宋_GB2312" w:hAnsi="Courier New" w:eastAsia="仿宋_GB2312"/>
          <w:b/>
          <w:color w:val="auto"/>
          <w:sz w:val="24"/>
          <w:szCs w:val="20"/>
          <w:highlight w:val="none"/>
        </w:rPr>
        <w:t>审</w:t>
      </w:r>
      <w:r>
        <w:rPr>
          <w:rFonts w:ascii="仿宋_GB2312" w:hAnsi="Courier New" w:eastAsia="仿宋_GB2312"/>
          <w:b/>
          <w:color w:val="auto"/>
          <w:sz w:val="24"/>
          <w:szCs w:val="20"/>
          <w:highlight w:val="none"/>
        </w:rPr>
        <w:t>查。依据</w:t>
      </w:r>
      <w:r>
        <w:rPr>
          <w:rFonts w:hint="eastAsia" w:ascii="仿宋_GB2312" w:hAnsi="Courier New" w:eastAsia="仿宋_GB2312"/>
          <w:b/>
          <w:color w:val="auto"/>
          <w:sz w:val="24"/>
          <w:szCs w:val="20"/>
          <w:highlight w:val="none"/>
        </w:rPr>
        <w:t>采购文件</w:t>
      </w:r>
      <w:r>
        <w:rPr>
          <w:rFonts w:ascii="仿宋_GB2312" w:hAnsi="Courier New" w:eastAsia="仿宋_GB2312"/>
          <w:b/>
          <w:color w:val="auto"/>
          <w:sz w:val="24"/>
          <w:szCs w:val="20"/>
          <w:highlight w:val="none"/>
        </w:rPr>
        <w:t>的规定，从</w:t>
      </w:r>
      <w:r>
        <w:rPr>
          <w:rFonts w:hint="eastAsia" w:ascii="仿宋_GB2312" w:hAnsi="Courier New" w:eastAsia="仿宋_GB2312"/>
          <w:b/>
          <w:color w:val="auto"/>
          <w:sz w:val="24"/>
          <w:szCs w:val="20"/>
          <w:highlight w:val="none"/>
        </w:rPr>
        <w:t>响应文件</w:t>
      </w:r>
      <w:r>
        <w:rPr>
          <w:rFonts w:ascii="仿宋_GB2312" w:hAnsi="Courier New" w:eastAsia="仿宋_GB2312"/>
          <w:b/>
          <w:color w:val="auto"/>
          <w:sz w:val="24"/>
          <w:szCs w:val="20"/>
          <w:highlight w:val="none"/>
        </w:rPr>
        <w:t>的有效性、完整性和对</w:t>
      </w:r>
      <w:r>
        <w:rPr>
          <w:rFonts w:hint="eastAsia" w:ascii="仿宋_GB2312" w:hAnsi="Courier New" w:eastAsia="仿宋_GB2312"/>
          <w:b/>
          <w:color w:val="auto"/>
          <w:sz w:val="24"/>
          <w:szCs w:val="20"/>
          <w:highlight w:val="none"/>
        </w:rPr>
        <w:t>采购文件</w:t>
      </w:r>
      <w:r>
        <w:rPr>
          <w:rFonts w:ascii="仿宋_GB2312" w:hAnsi="Courier New" w:eastAsia="仿宋_GB2312"/>
          <w:b/>
          <w:color w:val="auto"/>
          <w:sz w:val="24"/>
          <w:szCs w:val="20"/>
          <w:highlight w:val="none"/>
        </w:rPr>
        <w:t>的响应程度进行审查，以确定是否对</w:t>
      </w:r>
      <w:r>
        <w:rPr>
          <w:rFonts w:hint="eastAsia" w:ascii="仿宋_GB2312" w:hAnsi="Courier New" w:eastAsia="仿宋_GB2312"/>
          <w:b/>
          <w:color w:val="auto"/>
          <w:sz w:val="24"/>
          <w:szCs w:val="20"/>
          <w:highlight w:val="none"/>
        </w:rPr>
        <w:t>采购文件</w:t>
      </w:r>
      <w:r>
        <w:rPr>
          <w:rFonts w:ascii="仿宋_GB2312" w:hAnsi="Courier New" w:eastAsia="仿宋_GB2312"/>
          <w:b/>
          <w:color w:val="auto"/>
          <w:sz w:val="24"/>
          <w:szCs w:val="20"/>
          <w:highlight w:val="none"/>
        </w:rPr>
        <w:t>的实质性要求作出响应。</w:t>
      </w:r>
    </w:p>
    <w:p>
      <w:pPr>
        <w:spacing w:line="360" w:lineRule="auto"/>
        <w:ind w:firstLine="482" w:firstLineChars="200"/>
        <w:rPr>
          <w:rFonts w:ascii="仿宋_GB2312" w:hAnsi="Courier New" w:eastAsia="仿宋_GB2312"/>
          <w:b/>
          <w:color w:val="auto"/>
          <w:sz w:val="24"/>
          <w:szCs w:val="20"/>
          <w:highlight w:val="none"/>
        </w:rPr>
      </w:pPr>
      <w:r>
        <w:rPr>
          <w:rFonts w:hint="eastAsia" w:ascii="仿宋_GB2312" w:hAnsi="Courier New" w:eastAsia="仿宋_GB2312"/>
          <w:b/>
          <w:color w:val="auto"/>
          <w:sz w:val="24"/>
          <w:szCs w:val="20"/>
          <w:highlight w:val="none"/>
        </w:rPr>
        <w:t>29.3协商小组在协商过程中，不得改变单一来源采购文件所确定的技术和服务等要求、评审程序、评定成交的标准和合同文本等事项。</w:t>
      </w:r>
    </w:p>
    <w:p>
      <w:pPr>
        <w:spacing w:line="360" w:lineRule="auto"/>
        <w:ind w:firstLine="482" w:firstLineChars="200"/>
        <w:rPr>
          <w:rFonts w:ascii="仿宋_GB2312" w:hAnsi="Courier New" w:eastAsia="仿宋_GB2312"/>
          <w:b/>
          <w:color w:val="auto"/>
          <w:sz w:val="24"/>
          <w:szCs w:val="20"/>
          <w:highlight w:val="none"/>
        </w:rPr>
      </w:pPr>
      <w:r>
        <w:rPr>
          <w:rFonts w:hint="eastAsia" w:ascii="仿宋_GB2312" w:hAnsi="Courier New" w:eastAsia="仿宋_GB2312"/>
          <w:b/>
          <w:color w:val="auto"/>
          <w:sz w:val="24"/>
          <w:szCs w:val="20"/>
          <w:highlight w:val="none"/>
        </w:rPr>
        <w:t>29.4协商小组将对实质性响应单一来源采购文件的响应文件进行详细评审。对设备、材料技术规格、性能、价格等进行评审，并与单一来源采购文件、项目采购需求和采购人的实际需要进行评审。</w:t>
      </w:r>
    </w:p>
    <w:p>
      <w:pPr>
        <w:spacing w:line="360" w:lineRule="auto"/>
        <w:ind w:firstLine="482" w:firstLineChars="200"/>
        <w:rPr>
          <w:rFonts w:ascii="仿宋_GB2312" w:hAnsi="Courier New" w:eastAsia="仿宋_GB2312"/>
          <w:b/>
          <w:color w:val="auto"/>
          <w:sz w:val="24"/>
          <w:szCs w:val="20"/>
          <w:highlight w:val="none"/>
        </w:rPr>
      </w:pPr>
      <w:r>
        <w:rPr>
          <w:rFonts w:hint="eastAsia" w:ascii="仿宋_GB2312" w:hAnsi="宋体" w:eastAsia="仿宋_GB2312" w:cs="宋体"/>
          <w:b/>
          <w:color w:val="auto"/>
          <w:sz w:val="24"/>
          <w:highlight w:val="none"/>
        </w:rPr>
        <w:t>29.5</w:t>
      </w:r>
      <w:r>
        <w:rPr>
          <w:rFonts w:hint="eastAsia" w:ascii="仿宋_GB2312" w:hAnsi="Courier New" w:eastAsia="仿宋_GB2312"/>
          <w:b/>
          <w:color w:val="auto"/>
          <w:sz w:val="24"/>
          <w:szCs w:val="20"/>
          <w:highlight w:val="none"/>
        </w:rPr>
        <w:t>参加单一来源采购活动的供应商，应当按照单一来源采购文件的规定经协商后提交最后报价，最后报价是供应商响应文件的有效组成部分。</w:t>
      </w:r>
    </w:p>
    <w:p>
      <w:pPr>
        <w:spacing w:line="360" w:lineRule="auto"/>
        <w:ind w:firstLine="482" w:firstLineChars="200"/>
        <w:rPr>
          <w:rFonts w:ascii="仿宋_GB2312" w:hAnsi="Courier New" w:eastAsia="仿宋_GB2312"/>
          <w:b/>
          <w:color w:val="auto"/>
          <w:sz w:val="24"/>
          <w:szCs w:val="20"/>
          <w:highlight w:val="none"/>
        </w:rPr>
      </w:pPr>
      <w:r>
        <w:rPr>
          <w:rFonts w:hint="eastAsia" w:ascii="仿宋_GB2312" w:hAnsi="Courier New" w:eastAsia="仿宋_GB2312"/>
          <w:b/>
          <w:color w:val="auto"/>
          <w:sz w:val="24"/>
          <w:szCs w:val="20"/>
          <w:highlight w:val="none"/>
        </w:rPr>
        <w:t>29.6如果响应文件实质上没有响应单一来源采购文件的要求，协商小组将予以拒绝，供应商不得通过修正或撤消不符合要求的偏离或保留，而使其成为实质上响应。</w:t>
      </w:r>
    </w:p>
    <w:p>
      <w:pPr>
        <w:spacing w:line="360" w:lineRule="auto"/>
        <w:ind w:firstLine="482" w:firstLineChars="200"/>
        <w:rPr>
          <w:rFonts w:ascii="仿宋_GB2312" w:hAnsi="Courier New" w:eastAsia="仿宋_GB2312"/>
          <w:b/>
          <w:color w:val="auto"/>
          <w:sz w:val="24"/>
          <w:szCs w:val="20"/>
          <w:highlight w:val="none"/>
        </w:rPr>
      </w:pPr>
      <w:r>
        <w:rPr>
          <w:rFonts w:hint="eastAsia" w:ascii="仿宋_GB2312" w:hAnsi="Courier New" w:eastAsia="仿宋_GB2312"/>
          <w:b/>
          <w:color w:val="auto"/>
          <w:sz w:val="24"/>
          <w:szCs w:val="20"/>
          <w:highlight w:val="none"/>
        </w:rPr>
        <w:t>29.6协商结束后，协商小组应当要求实质性响应的供应商在规定时间内提交最后报价。两轮（若有）以上报价的，供应商在未提高响应文件中承诺的产品及其服务质量的情况下，其最后报价不得高于对该项目之前的报价，否则，协商小组应当对其响应文件按无效处理，并书面告知供应商，说明理由。</w:t>
      </w:r>
    </w:p>
    <w:p>
      <w:pPr>
        <w:spacing w:line="360" w:lineRule="auto"/>
        <w:ind w:firstLine="482" w:firstLineChars="200"/>
        <w:rPr>
          <w:rFonts w:ascii="仿宋_GB2312" w:hAnsi="Courier New" w:eastAsia="仿宋_GB2312"/>
          <w:b/>
          <w:color w:val="auto"/>
          <w:sz w:val="24"/>
          <w:szCs w:val="20"/>
          <w:highlight w:val="none"/>
        </w:rPr>
      </w:pPr>
      <w:r>
        <w:rPr>
          <w:rFonts w:hint="eastAsia" w:ascii="仿宋_GB2312" w:hAnsi="Courier New" w:eastAsia="仿宋_GB2312"/>
          <w:b/>
          <w:color w:val="auto"/>
          <w:sz w:val="24"/>
          <w:szCs w:val="20"/>
          <w:highlight w:val="none"/>
        </w:rPr>
        <w:t>29.7采购代理机构应当在协商结束后2个工作日内将单一来源采购协商记录送采购人确认。</w:t>
      </w:r>
    </w:p>
    <w:p>
      <w:pPr>
        <w:spacing w:line="360" w:lineRule="auto"/>
        <w:ind w:firstLine="482" w:firstLineChars="200"/>
        <w:outlineLvl w:val="1"/>
        <w:rPr>
          <w:rFonts w:ascii="仿宋_GB2312" w:hAnsi="Courier New" w:eastAsia="仿宋_GB2312"/>
          <w:color w:val="auto"/>
          <w:sz w:val="24"/>
          <w:szCs w:val="20"/>
          <w:highlight w:val="none"/>
        </w:rPr>
      </w:pPr>
      <w:bookmarkStart w:id="124" w:name="_Toc243906346"/>
      <w:bookmarkStart w:id="125" w:name="_Toc233274845"/>
      <w:bookmarkStart w:id="126" w:name="_Toc245897306"/>
      <w:bookmarkStart w:id="127" w:name="_Toc243907607"/>
      <w:bookmarkStart w:id="128" w:name="_Toc245897304"/>
      <w:bookmarkStart w:id="129" w:name="_Toc243906344"/>
      <w:bookmarkStart w:id="130" w:name="_Toc233274843"/>
      <w:bookmarkStart w:id="131" w:name="_Toc243907605"/>
      <w:r>
        <w:rPr>
          <w:rFonts w:hint="eastAsia" w:ascii="黑体" w:hAnsi="Courier New" w:eastAsia="黑体"/>
          <w:b/>
          <w:color w:val="auto"/>
          <w:sz w:val="24"/>
          <w:szCs w:val="20"/>
          <w:highlight w:val="none"/>
        </w:rPr>
        <w:t>30、重大偏离</w:t>
      </w:r>
      <w:bookmarkEnd w:id="124"/>
      <w:bookmarkEnd w:id="125"/>
      <w:bookmarkEnd w:id="126"/>
      <w:bookmarkEnd w:id="127"/>
    </w:p>
    <w:p>
      <w:pPr>
        <w:spacing w:line="360" w:lineRule="auto"/>
        <w:ind w:firstLine="482" w:firstLineChars="200"/>
        <w:rPr>
          <w:rFonts w:ascii="黑体" w:hAnsi="Courier New" w:eastAsia="黑体"/>
          <w:b/>
          <w:color w:val="auto"/>
          <w:sz w:val="24"/>
          <w:szCs w:val="20"/>
          <w:highlight w:val="none"/>
        </w:rPr>
      </w:pPr>
      <w:bookmarkStart w:id="132" w:name="_Toc245897307"/>
      <w:bookmarkStart w:id="133" w:name="_Toc243907608"/>
      <w:bookmarkStart w:id="134" w:name="_Toc243906347"/>
      <w:bookmarkStart w:id="135" w:name="_Toc233274846"/>
      <w:r>
        <w:rPr>
          <w:rFonts w:hint="eastAsia" w:ascii="黑体" w:hAnsi="Courier New" w:eastAsia="黑体"/>
          <w:b/>
          <w:color w:val="auto"/>
          <w:sz w:val="24"/>
          <w:szCs w:val="20"/>
          <w:highlight w:val="none"/>
        </w:rPr>
        <w:t>重大偏离是指实质上影响合同的采购范围、质量和性能、服务期等，或者实质上不满足单一来源采购文件的要求，而且限制了采购人的权力或减轻了供应商的义务。</w:t>
      </w:r>
    </w:p>
    <w:p>
      <w:pPr>
        <w:spacing w:line="360" w:lineRule="auto"/>
        <w:ind w:firstLine="482" w:firstLineChars="200"/>
        <w:outlineLvl w:val="1"/>
        <w:rPr>
          <w:rFonts w:ascii="黑体" w:hAnsi="Courier New" w:eastAsia="黑体"/>
          <w:b/>
          <w:color w:val="auto"/>
          <w:sz w:val="24"/>
          <w:szCs w:val="20"/>
          <w:highlight w:val="none"/>
        </w:rPr>
      </w:pPr>
      <w:r>
        <w:rPr>
          <w:rFonts w:hint="eastAsia" w:ascii="黑体" w:hAnsi="Courier New" w:eastAsia="黑体"/>
          <w:b/>
          <w:color w:val="auto"/>
          <w:sz w:val="24"/>
          <w:szCs w:val="20"/>
          <w:highlight w:val="none"/>
        </w:rPr>
        <w:t>31、</w:t>
      </w:r>
      <w:bookmarkEnd w:id="132"/>
      <w:bookmarkEnd w:id="133"/>
      <w:bookmarkEnd w:id="134"/>
      <w:bookmarkEnd w:id="135"/>
      <w:r>
        <w:rPr>
          <w:rFonts w:hint="eastAsia" w:ascii="黑体" w:hAnsi="Courier New" w:eastAsia="黑体"/>
          <w:b/>
          <w:color w:val="auto"/>
          <w:sz w:val="24"/>
          <w:szCs w:val="20"/>
          <w:highlight w:val="none"/>
        </w:rPr>
        <w:t>无效响应文件</w:t>
      </w:r>
    </w:p>
    <w:p>
      <w:pPr>
        <w:spacing w:line="360" w:lineRule="auto"/>
        <w:ind w:firstLine="482" w:firstLineChars="200"/>
        <w:rPr>
          <w:rFonts w:ascii="黑体" w:hAnsi="Courier New" w:eastAsia="黑体"/>
          <w:b/>
          <w:color w:val="auto"/>
          <w:sz w:val="24"/>
          <w:szCs w:val="20"/>
          <w:highlight w:val="none"/>
        </w:rPr>
      </w:pPr>
      <w:r>
        <w:rPr>
          <w:rFonts w:hint="eastAsia" w:ascii="黑体" w:hAnsi="Courier New" w:eastAsia="黑体"/>
          <w:b/>
          <w:color w:val="auto"/>
          <w:sz w:val="24"/>
          <w:highlight w:val="none"/>
        </w:rPr>
        <w:t>响应文件有下列情形之一的，由协商小组评审后按无效响应文件处理：</w:t>
      </w:r>
    </w:p>
    <w:p>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31.1供应商递交两份或多份内容不同的响应文件；</w:t>
      </w:r>
    </w:p>
    <w:p>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31.2</w:t>
      </w:r>
      <w:r>
        <w:rPr>
          <w:rFonts w:hint="eastAsia" w:ascii="仿宋_GB2312" w:hAnsi="宋体" w:eastAsia="仿宋_GB2312"/>
          <w:b/>
          <w:color w:val="auto"/>
          <w:kern w:val="0"/>
          <w:sz w:val="24"/>
          <w:highlight w:val="none"/>
        </w:rPr>
        <w:t>供应商的商务报价高于采购预算；</w:t>
      </w:r>
    </w:p>
    <w:p>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31.3响应文件附有采购人不能接受条件的；</w:t>
      </w:r>
    </w:p>
    <w:p>
      <w:pPr>
        <w:widowControl/>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31.4</w:t>
      </w:r>
      <w:r>
        <w:rPr>
          <w:rFonts w:hint="eastAsia" w:ascii="仿宋_GB2312" w:hAnsi="宋体" w:eastAsia="仿宋_GB2312" w:cs="宋体"/>
          <w:color w:val="auto"/>
          <w:sz w:val="24"/>
          <w:highlight w:val="none"/>
        </w:rPr>
        <w:t>出现重大偏离的</w:t>
      </w:r>
      <w:r>
        <w:rPr>
          <w:rFonts w:hint="eastAsia" w:ascii="仿宋_GB2312" w:hAnsi="宋体" w:eastAsia="仿宋_GB2312"/>
          <w:color w:val="auto"/>
          <w:sz w:val="24"/>
          <w:highlight w:val="none"/>
        </w:rPr>
        <w:t>；</w:t>
      </w:r>
    </w:p>
    <w:p>
      <w:pPr>
        <w:widowControl/>
        <w:spacing w:line="360" w:lineRule="auto"/>
        <w:ind w:firstLine="480" w:firstLineChars="200"/>
        <w:rPr>
          <w:rFonts w:ascii="仿宋_GB2312" w:hAnsi="宋体" w:eastAsia="仿宋_GB2312" w:cs="宋体"/>
          <w:color w:val="auto"/>
          <w:sz w:val="24"/>
          <w:highlight w:val="none"/>
        </w:rPr>
      </w:pPr>
      <w:r>
        <w:rPr>
          <w:rFonts w:hint="eastAsia" w:ascii="仿宋_GB2312" w:hAnsi="宋体" w:eastAsia="仿宋_GB2312"/>
          <w:color w:val="auto"/>
          <w:sz w:val="24"/>
          <w:highlight w:val="none"/>
        </w:rPr>
        <w:t>31.5</w:t>
      </w:r>
      <w:r>
        <w:rPr>
          <w:rFonts w:hint="eastAsia" w:ascii="仿宋_GB2312" w:hAnsi="宋体" w:eastAsia="仿宋_GB2312" w:cs="宋体"/>
          <w:color w:val="auto"/>
          <w:sz w:val="24"/>
          <w:highlight w:val="none"/>
        </w:rPr>
        <w:t>对单一来源采购文件提出的实质性要求和条件未能实质性响应；</w:t>
      </w:r>
    </w:p>
    <w:p>
      <w:pPr>
        <w:spacing w:line="360" w:lineRule="auto"/>
        <w:ind w:firstLine="480" w:firstLineChars="200"/>
        <w:rPr>
          <w:rFonts w:ascii="仿宋_GB2312" w:hAnsi="宋体" w:eastAsia="仿宋_GB2312"/>
          <w:color w:val="auto"/>
          <w:sz w:val="24"/>
          <w:highlight w:val="none"/>
        </w:rPr>
      </w:pPr>
      <w:r>
        <w:rPr>
          <w:rFonts w:hint="eastAsia" w:ascii="仿宋_GB2312" w:eastAsia="仿宋_GB2312"/>
          <w:color w:val="auto"/>
          <w:sz w:val="24"/>
          <w:highlight w:val="none"/>
        </w:rPr>
        <w:t>31.6《中华人民共和国政府采购法》、《中华人民共和国政府采购法实施条例》、《政府采购非采购采购方式管理办法》及相关法律法规及单一来源采购文件明确规定可以作无效响应文件的其他情形。</w:t>
      </w:r>
    </w:p>
    <w:p>
      <w:pPr>
        <w:spacing w:line="360" w:lineRule="auto"/>
        <w:ind w:firstLine="480" w:firstLineChars="200"/>
        <w:outlineLvl w:val="1"/>
        <w:rPr>
          <w:rFonts w:ascii="仿宋_GB2312" w:hAnsi="Courier New" w:eastAsia="仿宋_GB2312"/>
          <w:color w:val="auto"/>
          <w:sz w:val="24"/>
          <w:szCs w:val="20"/>
          <w:highlight w:val="none"/>
        </w:rPr>
      </w:pPr>
      <w:bookmarkStart w:id="136" w:name="_Toc233274847"/>
      <w:bookmarkStart w:id="137" w:name="_Toc243906348"/>
      <w:bookmarkStart w:id="138" w:name="_Toc243907609"/>
      <w:bookmarkStart w:id="139" w:name="_Toc245897308"/>
      <w:r>
        <w:rPr>
          <w:rFonts w:hint="eastAsia" w:ascii="仿宋_GB2312" w:hAnsi="Courier New" w:eastAsia="仿宋_GB2312"/>
          <w:bCs/>
          <w:color w:val="auto"/>
          <w:sz w:val="24"/>
          <w:szCs w:val="20"/>
          <w:highlight w:val="none"/>
        </w:rPr>
        <w:t>32、</w:t>
      </w:r>
      <w:bookmarkEnd w:id="128"/>
      <w:bookmarkEnd w:id="129"/>
      <w:bookmarkEnd w:id="130"/>
      <w:bookmarkEnd w:id="131"/>
      <w:bookmarkEnd w:id="136"/>
      <w:bookmarkEnd w:id="137"/>
      <w:bookmarkEnd w:id="138"/>
      <w:bookmarkEnd w:id="139"/>
      <w:r>
        <w:rPr>
          <w:rFonts w:hint="eastAsia" w:ascii="仿宋_GB2312" w:hAnsi="Courier New" w:eastAsia="仿宋_GB2312"/>
          <w:color w:val="auto"/>
          <w:sz w:val="24"/>
          <w:szCs w:val="20"/>
          <w:highlight w:val="none"/>
        </w:rPr>
        <w:t>商务报价错误的修正</w:t>
      </w:r>
    </w:p>
    <w:p>
      <w:pPr>
        <w:spacing w:line="360" w:lineRule="auto"/>
        <w:ind w:firstLine="480" w:firstLineChars="200"/>
        <w:rPr>
          <w:rFonts w:ascii="仿宋_GB2312" w:hAnsi="Courier New" w:eastAsia="仿宋_GB2312"/>
          <w:color w:val="auto"/>
          <w:sz w:val="24"/>
          <w:highlight w:val="none"/>
        </w:rPr>
      </w:pPr>
      <w:r>
        <w:rPr>
          <w:rFonts w:hint="eastAsia" w:ascii="仿宋_GB2312" w:hAnsi="Courier New" w:eastAsia="仿宋_GB2312"/>
          <w:color w:val="auto"/>
          <w:sz w:val="24"/>
          <w:highlight w:val="none"/>
        </w:rPr>
        <w:t>32.1如果发现商务报价存在计算或表达上错误，则按下列原则进行修正：</w:t>
      </w:r>
    </w:p>
    <w:p>
      <w:pPr>
        <w:spacing w:line="360" w:lineRule="auto"/>
        <w:ind w:firstLine="480" w:firstLineChars="200"/>
        <w:rPr>
          <w:rFonts w:ascii="仿宋_GB2312" w:hAnsi="Courier New" w:eastAsia="仿宋_GB2312"/>
          <w:color w:val="auto"/>
          <w:sz w:val="24"/>
          <w:highlight w:val="none"/>
        </w:rPr>
      </w:pPr>
      <w:bookmarkStart w:id="140" w:name="_Toc245897305"/>
      <w:bookmarkStart w:id="141" w:name="_Toc243906345"/>
      <w:bookmarkStart w:id="142" w:name="_Toc224623663"/>
      <w:bookmarkStart w:id="143" w:name="_Toc224624767"/>
      <w:bookmarkStart w:id="144" w:name="_Toc224623451"/>
      <w:bookmarkStart w:id="145" w:name="_Toc224620150"/>
      <w:bookmarkStart w:id="146" w:name="_Toc243907606"/>
      <w:bookmarkStart w:id="147" w:name="_Toc224622928"/>
      <w:bookmarkStart w:id="148" w:name="_Toc224624628"/>
      <w:bookmarkStart w:id="149" w:name="_Toc224620071"/>
      <w:bookmarkStart w:id="150" w:name="_Toc224624488"/>
      <w:bookmarkStart w:id="151" w:name="_Toc224623557"/>
      <w:r>
        <w:rPr>
          <w:rFonts w:hint="eastAsia" w:ascii="仿宋_GB2312" w:hAnsi="Courier New" w:eastAsia="仿宋_GB2312"/>
          <w:color w:val="auto"/>
          <w:sz w:val="24"/>
          <w:highlight w:val="none"/>
        </w:rPr>
        <w:t>（1）用数字表示的数额与用文字表示的数额不一致时，以文字数额为准；</w:t>
      </w:r>
    </w:p>
    <w:p>
      <w:pPr>
        <w:spacing w:line="360" w:lineRule="auto"/>
        <w:ind w:firstLine="480" w:firstLineChars="200"/>
        <w:rPr>
          <w:rFonts w:ascii="仿宋_GB2312" w:hAnsi="Courier New" w:eastAsia="仿宋_GB2312"/>
          <w:color w:val="auto"/>
          <w:sz w:val="24"/>
          <w:highlight w:val="none"/>
        </w:rPr>
      </w:pPr>
      <w:r>
        <w:rPr>
          <w:rFonts w:hint="eastAsia" w:ascii="仿宋_GB2312" w:hAnsi="Courier New" w:eastAsia="仿宋_GB2312"/>
          <w:color w:val="auto"/>
          <w:sz w:val="24"/>
          <w:highlight w:val="none"/>
        </w:rPr>
        <w:t>（2）单价与工程量的乘积与总价之间不一致时，以单价为准。若单价有明显小数点错位，应以总价为准，并修改单价。</w:t>
      </w:r>
    </w:p>
    <w:p>
      <w:pPr>
        <w:spacing w:line="360" w:lineRule="auto"/>
        <w:ind w:firstLine="480" w:firstLineChars="200"/>
        <w:rPr>
          <w:rFonts w:ascii="仿宋_GB2312" w:hAnsi="Courier New" w:eastAsia="仿宋_GB2312"/>
          <w:color w:val="auto"/>
          <w:sz w:val="24"/>
          <w:szCs w:val="20"/>
          <w:highlight w:val="none"/>
        </w:rPr>
      </w:pPr>
      <w:r>
        <w:rPr>
          <w:rFonts w:hint="eastAsia" w:ascii="仿宋_GB2312" w:hAnsi="Courier New" w:eastAsia="仿宋_GB2312"/>
          <w:color w:val="auto"/>
          <w:sz w:val="24"/>
          <w:highlight w:val="none"/>
        </w:rPr>
        <w:t>32.2协商小组将按第32.1条原则修正商务报价，并要求供应商进行确认。确认后的报价和文件将对供应商具有约束力。并以修正后的报价作为评审的依据。</w:t>
      </w:r>
    </w:p>
    <w:bookmarkEnd w:id="140"/>
    <w:bookmarkEnd w:id="141"/>
    <w:bookmarkEnd w:id="142"/>
    <w:bookmarkEnd w:id="143"/>
    <w:bookmarkEnd w:id="144"/>
    <w:bookmarkEnd w:id="145"/>
    <w:bookmarkEnd w:id="146"/>
    <w:bookmarkEnd w:id="147"/>
    <w:bookmarkEnd w:id="148"/>
    <w:bookmarkEnd w:id="149"/>
    <w:bookmarkEnd w:id="150"/>
    <w:bookmarkEnd w:id="151"/>
    <w:p>
      <w:pPr>
        <w:spacing w:line="360" w:lineRule="auto"/>
        <w:ind w:firstLine="470" w:firstLineChars="196"/>
        <w:outlineLvl w:val="1"/>
        <w:rPr>
          <w:rFonts w:ascii="仿宋_GB2312" w:hAnsi="Courier New" w:eastAsia="仿宋_GB2312"/>
          <w:color w:val="auto"/>
          <w:sz w:val="24"/>
          <w:szCs w:val="20"/>
          <w:highlight w:val="none"/>
        </w:rPr>
      </w:pPr>
      <w:bookmarkStart w:id="152" w:name="_Toc243907610"/>
      <w:bookmarkStart w:id="153" w:name="_Toc245897309"/>
      <w:bookmarkStart w:id="154" w:name="_Toc243906349"/>
      <w:bookmarkStart w:id="155" w:name="_Toc233274848"/>
      <w:r>
        <w:rPr>
          <w:rFonts w:hint="eastAsia" w:ascii="仿宋_GB2312" w:hAnsi="Courier New" w:eastAsia="仿宋_GB2312"/>
          <w:color w:val="auto"/>
          <w:sz w:val="24"/>
          <w:szCs w:val="20"/>
          <w:highlight w:val="none"/>
        </w:rPr>
        <w:t>33、采购人依法接受和拒绝任一或所有供应商的权力</w:t>
      </w:r>
    </w:p>
    <w:p>
      <w:pPr>
        <w:spacing w:line="360" w:lineRule="auto"/>
        <w:ind w:firstLine="480" w:firstLineChars="200"/>
        <w:rPr>
          <w:rFonts w:ascii="仿宋_GB2312" w:hAnsi="Courier New" w:eastAsia="仿宋_GB2312"/>
          <w:color w:val="auto"/>
          <w:sz w:val="24"/>
          <w:szCs w:val="20"/>
          <w:highlight w:val="none"/>
        </w:rPr>
      </w:pPr>
      <w:r>
        <w:rPr>
          <w:rFonts w:hint="eastAsia" w:ascii="仿宋_GB2312" w:hAnsi="Courier New" w:eastAsia="仿宋_GB2312"/>
          <w:color w:val="auto"/>
          <w:sz w:val="24"/>
          <w:szCs w:val="20"/>
          <w:highlight w:val="none"/>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ascii="仿宋_GB2312" w:hAnsi="Courier New" w:eastAsia="仿宋_GB2312"/>
          <w:color w:val="auto"/>
          <w:sz w:val="24"/>
          <w:szCs w:val="20"/>
          <w:highlight w:val="none"/>
        </w:rPr>
      </w:pPr>
      <w:r>
        <w:rPr>
          <w:rFonts w:hint="eastAsia" w:ascii="仿宋_GB2312" w:hAnsi="Courier New" w:eastAsia="仿宋_GB2312"/>
          <w:color w:val="auto"/>
          <w:sz w:val="24"/>
          <w:szCs w:val="20"/>
          <w:highlight w:val="none"/>
        </w:rPr>
        <w:t>34、成交通知</w:t>
      </w:r>
      <w:bookmarkEnd w:id="152"/>
      <w:bookmarkEnd w:id="153"/>
      <w:bookmarkEnd w:id="154"/>
      <w:bookmarkEnd w:id="155"/>
      <w:r>
        <w:rPr>
          <w:rFonts w:hint="eastAsia" w:ascii="仿宋_GB2312" w:hAnsi="Courier New" w:eastAsia="仿宋_GB2312"/>
          <w:color w:val="auto"/>
          <w:sz w:val="24"/>
          <w:szCs w:val="20"/>
          <w:highlight w:val="none"/>
        </w:rPr>
        <w:t>书</w:t>
      </w:r>
    </w:p>
    <w:p>
      <w:pPr>
        <w:spacing w:line="360" w:lineRule="auto"/>
        <w:ind w:firstLine="480" w:firstLineChars="200"/>
        <w:rPr>
          <w:rFonts w:ascii="仿宋_GB2312" w:hAnsi="Courier New" w:eastAsia="仿宋_GB2312"/>
          <w:color w:val="auto"/>
          <w:sz w:val="24"/>
          <w:szCs w:val="20"/>
          <w:highlight w:val="none"/>
        </w:rPr>
      </w:pPr>
      <w:r>
        <w:rPr>
          <w:rFonts w:hint="eastAsia" w:ascii="仿宋_GB2312" w:hAnsi="Courier New" w:eastAsia="仿宋_GB2312"/>
          <w:color w:val="auto"/>
          <w:sz w:val="24"/>
          <w:szCs w:val="20"/>
          <w:highlight w:val="none"/>
        </w:rPr>
        <w:t>34.1采购人确定成交供应商后，及时通知采购代理机构，采购代理机构将按程序公告成交结果，同时向成交供应商发出成交通知书，成交通知书一经发出即发生法律效力。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ascii="仿宋_GB2312" w:hAnsi="Courier New" w:eastAsia="仿宋_GB2312"/>
          <w:color w:val="auto"/>
          <w:sz w:val="24"/>
          <w:szCs w:val="20"/>
          <w:highlight w:val="none"/>
        </w:rPr>
      </w:pPr>
      <w:r>
        <w:rPr>
          <w:rFonts w:hint="eastAsia" w:ascii="仿宋_GB2312" w:hAnsi="Courier New" w:eastAsia="仿宋_GB2312"/>
          <w:color w:val="auto"/>
          <w:sz w:val="24"/>
          <w:szCs w:val="20"/>
          <w:highlight w:val="none"/>
        </w:rPr>
        <w:t>34.2《成交通知书》将是合同的组成部分。</w:t>
      </w:r>
    </w:p>
    <w:p>
      <w:pPr>
        <w:spacing w:line="360" w:lineRule="auto"/>
        <w:ind w:firstLine="480" w:firstLineChars="200"/>
        <w:outlineLvl w:val="1"/>
        <w:rPr>
          <w:rFonts w:ascii="仿宋_GB2312" w:hAnsi="Courier New" w:eastAsia="仿宋_GB2312"/>
          <w:color w:val="auto"/>
          <w:sz w:val="24"/>
          <w:szCs w:val="20"/>
          <w:highlight w:val="none"/>
        </w:rPr>
      </w:pPr>
      <w:bookmarkStart w:id="156" w:name="_Toc233274849"/>
      <w:bookmarkStart w:id="157" w:name="_Toc245897310"/>
      <w:bookmarkStart w:id="158" w:name="_Toc243907611"/>
      <w:bookmarkStart w:id="159" w:name="_Toc243906350"/>
      <w:r>
        <w:rPr>
          <w:rFonts w:hint="eastAsia" w:ascii="仿宋_GB2312" w:hAnsi="Courier New" w:eastAsia="仿宋_GB2312"/>
          <w:color w:val="auto"/>
          <w:sz w:val="24"/>
          <w:szCs w:val="20"/>
          <w:highlight w:val="none"/>
        </w:rPr>
        <w:t>35、纪律与保密事项</w:t>
      </w:r>
      <w:bookmarkEnd w:id="156"/>
      <w:bookmarkEnd w:id="157"/>
      <w:bookmarkEnd w:id="158"/>
      <w:bookmarkEnd w:id="159"/>
    </w:p>
    <w:p>
      <w:pPr>
        <w:spacing w:line="360" w:lineRule="auto"/>
        <w:ind w:firstLine="482"/>
        <w:rPr>
          <w:rFonts w:ascii="仿宋_GB2312" w:eastAsia="仿宋_GB2312"/>
          <w:color w:val="auto"/>
          <w:sz w:val="24"/>
          <w:highlight w:val="none"/>
        </w:rPr>
      </w:pPr>
      <w:r>
        <w:rPr>
          <w:rFonts w:hint="eastAsia" w:ascii="仿宋_GB2312" w:eastAsia="仿宋_GB2312"/>
          <w:color w:val="auto"/>
          <w:sz w:val="24"/>
          <w:highlight w:val="none"/>
        </w:rPr>
        <w:t>35.1凡参与采购工作的有关人员均应自觉接受有关主管部门的监督，不得向他人透露可能影响公平竞争的有关采购的其他情况。</w:t>
      </w:r>
    </w:p>
    <w:p>
      <w:pPr>
        <w:spacing w:line="360" w:lineRule="auto"/>
        <w:ind w:firstLine="480" w:firstLineChars="200"/>
        <w:rPr>
          <w:rFonts w:ascii="仿宋_GB2312" w:hAnsi="Courier New" w:eastAsia="仿宋_GB2312"/>
          <w:color w:val="auto"/>
          <w:sz w:val="24"/>
          <w:highlight w:val="none"/>
        </w:rPr>
      </w:pPr>
      <w:r>
        <w:rPr>
          <w:rFonts w:hint="eastAsia" w:ascii="仿宋_GB2312" w:hAnsi="Courier New" w:eastAsia="仿宋_GB2312"/>
          <w:color w:val="auto"/>
          <w:sz w:val="24"/>
          <w:highlight w:val="none"/>
        </w:rPr>
        <w:t>35.2领取本单一来源采购文件及其它相关资料者，应对文件进行保密，不得用作本次采购以外的任何用途。由采购人向供应商提供的技术资料和所有其它资料，均视为保密资料，除非得到采购人的同意，不得向第三方透露。</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35.3供应商不得与采购人串通采购，不得向采购人或者协商小组成员行贿谋取成交，不得以他人名义参与采购或者以其它任何方式弄虚作假骗取参与采购；供应商不得以任何方式干扰、影响评审工作。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pacing w:line="360" w:lineRule="auto"/>
        <w:ind w:firstLine="482"/>
        <w:rPr>
          <w:rFonts w:ascii="仿宋_GB2312" w:eastAsia="仿宋_GB2312"/>
          <w:color w:val="auto"/>
          <w:sz w:val="24"/>
          <w:highlight w:val="none"/>
        </w:rPr>
      </w:pPr>
      <w:r>
        <w:rPr>
          <w:rFonts w:hint="eastAsia" w:ascii="仿宋_GB2312" w:eastAsia="仿宋_GB2312"/>
          <w:color w:val="auto"/>
          <w:sz w:val="24"/>
          <w:highlight w:val="none"/>
        </w:rPr>
        <w:t>35.5 采购之日起直至授予成交供应商合同为止，凡属于对响应文件的审查、澄清、评价、比较有关的资料和成交候选人的推荐情况及与评审有关的其他任何情况均严格保密。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ascii="仿宋_GB2312" w:hAnsi="Courier New" w:eastAsia="仿宋_GB2312"/>
          <w:color w:val="auto"/>
          <w:sz w:val="24"/>
          <w:szCs w:val="20"/>
          <w:highlight w:val="none"/>
        </w:rPr>
      </w:pPr>
      <w:r>
        <w:rPr>
          <w:rFonts w:hint="eastAsia" w:ascii="仿宋_GB2312" w:hAnsi="Courier New" w:eastAsia="仿宋_GB2312"/>
          <w:color w:val="auto"/>
          <w:sz w:val="24"/>
          <w:szCs w:val="20"/>
          <w:highlight w:val="none"/>
        </w:rPr>
        <w:t>35.6从采购之日起至授予合同期间，供应商试图向协商小组、采购代理机构施加任何影响或对采购人的比较及授予合同的决定进行影响，都可能导致其响应文件被拒绝。</w:t>
      </w:r>
    </w:p>
    <w:p>
      <w:pPr>
        <w:spacing w:line="360" w:lineRule="auto"/>
        <w:ind w:firstLine="482"/>
        <w:rPr>
          <w:rFonts w:ascii="仿宋_GB2312" w:eastAsia="仿宋_GB2312"/>
          <w:color w:val="auto"/>
          <w:sz w:val="24"/>
          <w:highlight w:val="none"/>
        </w:rPr>
      </w:pPr>
      <w:r>
        <w:rPr>
          <w:rFonts w:hint="eastAsia" w:ascii="仿宋_GB2312" w:eastAsia="仿宋_GB2312"/>
          <w:color w:val="auto"/>
          <w:sz w:val="24"/>
          <w:highlight w:val="none"/>
        </w:rPr>
        <w:t>35.7除供应商被要求对响应文件进行澄清外，从采购之时起至授予合同期间，供应商不得就与其响应文件有关的事项主动与协商小组、采购代理机构以及采购人联系。</w:t>
      </w:r>
    </w:p>
    <w:p>
      <w:pPr>
        <w:spacing w:line="360" w:lineRule="auto"/>
        <w:ind w:firstLine="482"/>
        <w:rPr>
          <w:rFonts w:ascii="仿宋_GB2312" w:eastAsia="仿宋_GB2312"/>
          <w:color w:val="auto"/>
          <w:sz w:val="24"/>
          <w:highlight w:val="none"/>
        </w:rPr>
      </w:pPr>
      <w:r>
        <w:rPr>
          <w:rFonts w:hint="eastAsia" w:ascii="仿宋_GB2312" w:eastAsia="仿宋_GB2312"/>
          <w:color w:val="auto"/>
          <w:sz w:val="24"/>
          <w:highlight w:val="none"/>
        </w:rPr>
        <w:t>35.8成交供应商确定后，采购人不对未成交供应商就评审过程以及未能成交原因作出任何解释，未成交供应商不得向协商小组或其他有关人员询问评审过程的情况和索取评审过程的资料。</w:t>
      </w:r>
    </w:p>
    <w:p>
      <w:pPr>
        <w:pStyle w:val="14"/>
        <w:spacing w:line="360" w:lineRule="auto"/>
        <w:jc w:val="center"/>
        <w:outlineLvl w:val="1"/>
        <w:rPr>
          <w:rFonts w:ascii="仿宋_GB2312" w:eastAsia="仿宋_GB2312"/>
          <w:b/>
          <w:bCs/>
          <w:color w:val="auto"/>
          <w:sz w:val="28"/>
          <w:szCs w:val="28"/>
          <w:highlight w:val="none"/>
        </w:rPr>
      </w:pPr>
    </w:p>
    <w:p>
      <w:pPr>
        <w:pStyle w:val="14"/>
        <w:spacing w:line="360" w:lineRule="auto"/>
        <w:jc w:val="center"/>
        <w:outlineLvl w:val="1"/>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F   授予合同</w:t>
      </w:r>
    </w:p>
    <w:p>
      <w:pPr>
        <w:pStyle w:val="14"/>
        <w:spacing w:line="360" w:lineRule="auto"/>
        <w:ind w:firstLine="480" w:firstLineChars="200"/>
        <w:outlineLvl w:val="1"/>
        <w:rPr>
          <w:rFonts w:ascii="仿宋_GB2312" w:eastAsia="仿宋_GB2312"/>
          <w:bCs/>
          <w:color w:val="auto"/>
          <w:sz w:val="24"/>
          <w:szCs w:val="24"/>
          <w:highlight w:val="none"/>
        </w:rPr>
      </w:pPr>
      <w:r>
        <w:rPr>
          <w:rFonts w:hint="eastAsia" w:ascii="仿宋_GB2312" w:eastAsia="仿宋_GB2312"/>
          <w:bCs/>
          <w:color w:val="auto"/>
          <w:sz w:val="24"/>
          <w:szCs w:val="24"/>
          <w:highlight w:val="none"/>
        </w:rPr>
        <w:t>36、授予合同标准</w:t>
      </w:r>
    </w:p>
    <w:p>
      <w:pPr>
        <w:pStyle w:val="14"/>
        <w:spacing w:line="360" w:lineRule="auto"/>
        <w:ind w:firstLine="480" w:firstLineChars="200"/>
        <w:rPr>
          <w:rFonts w:ascii="仿宋_GB2312" w:eastAsia="仿宋_GB2312"/>
          <w:bCs/>
          <w:color w:val="auto"/>
          <w:sz w:val="24"/>
          <w:szCs w:val="24"/>
          <w:highlight w:val="none"/>
        </w:rPr>
      </w:pPr>
      <w:r>
        <w:rPr>
          <w:rFonts w:hint="eastAsia" w:ascii="仿宋_GB2312" w:eastAsia="仿宋_GB2312"/>
          <w:bCs/>
          <w:color w:val="auto"/>
          <w:sz w:val="24"/>
          <w:szCs w:val="24"/>
          <w:highlight w:val="none"/>
        </w:rPr>
        <w:t>36.1本采购项目的货物采购合同将授予按本须知第34条所确定成交供应商。</w:t>
      </w:r>
    </w:p>
    <w:p>
      <w:pPr>
        <w:pStyle w:val="14"/>
        <w:spacing w:line="360" w:lineRule="auto"/>
        <w:ind w:firstLine="480" w:firstLineChars="200"/>
        <w:outlineLvl w:val="1"/>
        <w:rPr>
          <w:rFonts w:ascii="仿宋_GB2312" w:eastAsia="仿宋_GB2312"/>
          <w:color w:val="auto"/>
          <w:sz w:val="24"/>
          <w:highlight w:val="none"/>
        </w:rPr>
      </w:pPr>
      <w:bookmarkStart w:id="160" w:name="_Toc243906357"/>
      <w:bookmarkStart w:id="161" w:name="_Toc245897317"/>
      <w:bookmarkStart w:id="162" w:name="_Toc243907620"/>
      <w:bookmarkStart w:id="163" w:name="_Toc233274855"/>
      <w:r>
        <w:rPr>
          <w:rFonts w:hint="eastAsia" w:ascii="仿宋_GB2312" w:eastAsia="仿宋_GB2312"/>
          <w:color w:val="auto"/>
          <w:sz w:val="24"/>
          <w:highlight w:val="none"/>
        </w:rPr>
        <w:t>37、签订合同</w:t>
      </w:r>
      <w:bookmarkEnd w:id="160"/>
      <w:bookmarkEnd w:id="161"/>
      <w:bookmarkEnd w:id="162"/>
      <w:bookmarkEnd w:id="163"/>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37.1成交供应商应当自成交通知书发出之日起三十日内，按照单一来源采购文件和成交供应商的响应文件订立书面合同。成交供应商不得要求订立背离本响应文件合同条款等响应文件实质性内容的其他协议。</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37.2 成交通知书、成交供应商的响应文件及其技术规范及标准、项目采购需求、本单一来源采购文件（含修改文件或补充文件）及答疑纪要等，均为签订合同的依据。</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37.3采购人如不按本须知37.1条规定与成交供应商签订合同，或者采购人、成交供应商签订背离合同实质性内容的协议，由监督管理部门责令其改正。</w:t>
      </w:r>
    </w:p>
    <w:p>
      <w:pPr>
        <w:pStyle w:val="14"/>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37.4成交供应商如不按本须知37.1条规定与采购人签订合同，则按违约处理，采购人将有权取消成交供应商资格，给采购人造成损失超过保证金数额的，还应当对超过部分予以赔偿，同时依法承担相应的法律责任。</w:t>
      </w:r>
    </w:p>
    <w:p>
      <w:pPr>
        <w:spacing w:line="360" w:lineRule="auto"/>
        <w:ind w:firstLine="481"/>
        <w:rPr>
          <w:rFonts w:ascii="仿宋_GB2312" w:eastAsia="仿宋_GB2312"/>
          <w:color w:val="auto"/>
          <w:highlight w:val="none"/>
        </w:rPr>
      </w:pPr>
      <w:r>
        <w:rPr>
          <w:rFonts w:hint="eastAsia" w:ascii="黑体" w:eastAsia="黑体"/>
          <w:b/>
          <w:color w:val="auto"/>
          <w:sz w:val="24"/>
          <w:highlight w:val="none"/>
        </w:rPr>
        <w:t>37.5成交供应商拒绝与采购人签订合同的，采购人可重新开展采购活动。</w:t>
      </w:r>
    </w:p>
    <w:p>
      <w:pPr>
        <w:spacing w:line="360" w:lineRule="auto"/>
        <w:ind w:firstLine="481"/>
        <w:outlineLvl w:val="1"/>
        <w:rPr>
          <w:rFonts w:ascii="仿宋_GB2312" w:eastAsia="仿宋_GB2312"/>
          <w:color w:val="auto"/>
          <w:highlight w:val="none"/>
        </w:rPr>
      </w:pPr>
      <w:bookmarkStart w:id="164" w:name="_Toc245897318"/>
      <w:bookmarkStart w:id="165" w:name="_Toc243907621"/>
      <w:r>
        <w:rPr>
          <w:rFonts w:hint="eastAsia" w:ascii="仿宋_GB2312" w:eastAsia="仿宋_GB2312"/>
          <w:color w:val="auto"/>
          <w:sz w:val="24"/>
          <w:highlight w:val="none"/>
        </w:rPr>
        <w:t>38、合同的签订准则</w:t>
      </w:r>
      <w:bookmarkEnd w:id="164"/>
      <w:bookmarkEnd w:id="165"/>
    </w:p>
    <w:p>
      <w:pPr>
        <w:spacing w:line="360" w:lineRule="auto"/>
        <w:ind w:firstLine="482"/>
        <w:rPr>
          <w:rFonts w:ascii="仿宋_GB2312" w:eastAsia="仿宋_GB2312"/>
          <w:color w:val="auto"/>
          <w:sz w:val="24"/>
          <w:highlight w:val="none"/>
        </w:rPr>
      </w:pPr>
      <w:r>
        <w:rPr>
          <w:rFonts w:hint="eastAsia" w:ascii="仿宋_GB2312" w:eastAsia="仿宋_GB2312"/>
          <w:color w:val="auto"/>
          <w:sz w:val="24"/>
          <w:highlight w:val="none"/>
        </w:rPr>
        <w:t>38.1合同签订必须由采购人、成交供应商双方供应商代表人或其委托代理人签署并加盖法人公章后方能生效。</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38.2合同转包（实质性要求）</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成交供应商转包的，视同拒绝履行政府采购合同义务，将依法追究法律责任。</w:t>
      </w:r>
    </w:p>
    <w:p>
      <w:pPr>
        <w:spacing w:line="360" w:lineRule="auto"/>
        <w:ind w:firstLine="361" w:firstLineChars="150"/>
        <w:rPr>
          <w:rFonts w:ascii="仿宋_GB2312" w:eastAsia="仿宋_GB2312"/>
          <w:b/>
          <w:color w:val="auto"/>
          <w:sz w:val="24"/>
          <w:highlight w:val="none"/>
        </w:rPr>
      </w:pPr>
      <w:r>
        <w:rPr>
          <w:rFonts w:hint="eastAsia" w:ascii="仿宋_GB2312" w:eastAsia="仿宋_GB2312"/>
          <w:b/>
          <w:color w:val="auto"/>
          <w:sz w:val="24"/>
          <w:highlight w:val="none"/>
        </w:rPr>
        <w:t>39验收</w:t>
      </w:r>
    </w:p>
    <w:p>
      <w:pPr>
        <w:spacing w:line="360" w:lineRule="auto"/>
        <w:ind w:firstLine="360" w:firstLineChars="150"/>
        <w:jc w:val="left"/>
        <w:rPr>
          <w:rFonts w:ascii="仿宋_GB2312" w:eastAsia="仿宋_GB2312"/>
          <w:color w:val="auto"/>
          <w:sz w:val="24"/>
          <w:highlight w:val="none"/>
        </w:rPr>
      </w:pPr>
      <w:r>
        <w:rPr>
          <w:rFonts w:hint="eastAsia" w:ascii="仿宋_GB2312" w:eastAsia="仿宋_GB2312"/>
          <w:color w:val="auto"/>
          <w:sz w:val="24"/>
          <w:highlight w:val="none"/>
        </w:rPr>
        <w:t>39.1本项目采购人将严格按照政府采购相关法律法规以及《克拉玛依市政府采购项目需求论证和履约验收管理办法》（克财发〔</w:t>
      </w:r>
      <w:r>
        <w:rPr>
          <w:rFonts w:ascii="仿宋_GB2312" w:eastAsia="仿宋_GB2312"/>
          <w:color w:val="auto"/>
          <w:sz w:val="24"/>
          <w:highlight w:val="none"/>
        </w:rPr>
        <w:t>2016</w:t>
      </w:r>
      <w:r>
        <w:rPr>
          <w:rFonts w:hint="eastAsia" w:ascii="仿宋_GB2312" w:eastAsia="仿宋_GB2312"/>
          <w:color w:val="auto"/>
          <w:sz w:val="24"/>
          <w:highlight w:val="none"/>
        </w:rPr>
        <w:t>〕</w:t>
      </w:r>
      <w:r>
        <w:rPr>
          <w:rFonts w:ascii="仿宋_GB2312" w:eastAsia="仿宋_GB2312"/>
          <w:color w:val="auto"/>
          <w:sz w:val="24"/>
          <w:highlight w:val="none"/>
        </w:rPr>
        <w:t>9</w:t>
      </w:r>
      <w:r>
        <w:rPr>
          <w:rFonts w:hint="eastAsia" w:ascii="仿宋_GB2312" w:eastAsia="仿宋_GB2312"/>
          <w:color w:val="auto"/>
          <w:sz w:val="24"/>
          <w:highlight w:val="none"/>
        </w:rPr>
        <w:t>号）的要求进行验收。</w:t>
      </w:r>
    </w:p>
    <w:p>
      <w:pPr>
        <w:snapToGrid w:val="0"/>
        <w:spacing w:line="360" w:lineRule="auto"/>
        <w:ind w:firstLine="562" w:firstLineChars="200"/>
        <w:jc w:val="center"/>
        <w:rPr>
          <w:rFonts w:ascii="仿宋_GB2312" w:hAnsi="Courier New" w:eastAsia="仿宋_GB2312"/>
          <w:b/>
          <w:bCs/>
          <w:color w:val="auto"/>
          <w:kern w:val="0"/>
          <w:sz w:val="28"/>
          <w:szCs w:val="28"/>
          <w:highlight w:val="none"/>
        </w:rPr>
      </w:pPr>
    </w:p>
    <w:p>
      <w:pPr>
        <w:snapToGrid w:val="0"/>
        <w:spacing w:line="360" w:lineRule="auto"/>
        <w:ind w:firstLine="562" w:firstLineChars="200"/>
        <w:jc w:val="center"/>
        <w:rPr>
          <w:rFonts w:ascii="仿宋_GB2312" w:hAnsi="Courier New" w:eastAsia="仿宋_GB2312"/>
          <w:b/>
          <w:bCs/>
          <w:color w:val="auto"/>
          <w:kern w:val="0"/>
          <w:sz w:val="28"/>
          <w:szCs w:val="28"/>
          <w:highlight w:val="none"/>
        </w:rPr>
      </w:pPr>
      <w:r>
        <w:rPr>
          <w:rFonts w:hint="eastAsia" w:ascii="仿宋_GB2312" w:hAnsi="Courier New" w:eastAsia="仿宋_GB2312"/>
          <w:b/>
          <w:bCs/>
          <w:color w:val="auto"/>
          <w:kern w:val="0"/>
          <w:sz w:val="28"/>
          <w:szCs w:val="28"/>
          <w:highlight w:val="none"/>
        </w:rPr>
        <w:t>G  询问、质疑、投诉</w:t>
      </w:r>
    </w:p>
    <w:p>
      <w:pPr>
        <w:snapToGrid w:val="0"/>
        <w:spacing w:line="360" w:lineRule="auto"/>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40、询问</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40.1供应商对采购活动事项有疑问的，可以向采购人或采购代理机构提出询问，采购人或采购代理机构应当在三个工作日内对供应商依法提出的询问作出答复，但答复的内容不得涉及商业秘密。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41、质疑</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41</w:t>
      </w:r>
      <w:r>
        <w:rPr>
          <w:rFonts w:ascii="仿宋_GB2312" w:eastAsia="仿宋_GB2312"/>
          <w:color w:val="auto"/>
          <w:sz w:val="24"/>
          <w:highlight w:val="none"/>
        </w:rPr>
        <w:t>.</w:t>
      </w:r>
      <w:r>
        <w:rPr>
          <w:rFonts w:hint="eastAsia" w:ascii="仿宋_GB2312" w:eastAsia="仿宋_GB2312"/>
          <w:color w:val="auto"/>
          <w:sz w:val="24"/>
          <w:highlight w:val="none"/>
        </w:rPr>
        <w:t>1 供应商认为采购文件、采购过程和成交结果使自己的合法权益受到损害的，可以在知道或者应知其权益受到损害之日起七个工作日内，将质疑文件原件和必要的证明材料书面送达采购人或采购代理机构。</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41.2供应商如对采购文件采购需求有质疑，向采购人提出，由采购人按相关规定做出答复或委托采购代理机构代为答复。供应商如对采购过程和采购结果有质疑，向采购代理机构提出，由采购代理机构按相关规定作出答复。</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41.3</w:t>
      </w:r>
      <w:r>
        <w:rPr>
          <w:rFonts w:ascii="仿宋_GB2312" w:eastAsia="仿宋_GB2312"/>
          <w:color w:val="auto"/>
          <w:sz w:val="24"/>
          <w:highlight w:val="none"/>
        </w:rPr>
        <w:t xml:space="preserve">上述应知其权益受到损害之日是指： </w:t>
      </w:r>
    </w:p>
    <w:p>
      <w:pPr>
        <w:spacing w:line="360" w:lineRule="auto"/>
        <w:ind w:firstLine="480" w:firstLineChars="200"/>
        <w:rPr>
          <w:rFonts w:ascii="仿宋_GB2312" w:eastAsia="仿宋_GB2312"/>
          <w:color w:val="auto"/>
          <w:sz w:val="24"/>
          <w:highlight w:val="none"/>
        </w:rPr>
      </w:pPr>
      <w:r>
        <w:rPr>
          <w:rFonts w:ascii="仿宋_GB2312" w:eastAsia="仿宋_GB2312"/>
          <w:color w:val="auto"/>
          <w:sz w:val="24"/>
          <w:highlight w:val="none"/>
        </w:rPr>
        <w:t>（1）对</w:t>
      </w:r>
      <w:r>
        <w:rPr>
          <w:rFonts w:hint="eastAsia" w:ascii="仿宋_GB2312" w:eastAsia="仿宋_GB2312"/>
          <w:color w:val="auto"/>
          <w:sz w:val="24"/>
          <w:highlight w:val="none"/>
        </w:rPr>
        <w:t>采购</w:t>
      </w:r>
      <w:r>
        <w:rPr>
          <w:rFonts w:ascii="仿宋_GB2312" w:eastAsia="仿宋_GB2312"/>
          <w:color w:val="auto"/>
          <w:sz w:val="24"/>
          <w:highlight w:val="none"/>
        </w:rPr>
        <w:t>文件提出质疑的，为</w:t>
      </w:r>
      <w:r>
        <w:rPr>
          <w:rFonts w:hint="eastAsia" w:ascii="仿宋_GB2312" w:eastAsia="仿宋_GB2312"/>
          <w:color w:val="auto"/>
          <w:sz w:val="24"/>
          <w:highlight w:val="none"/>
        </w:rPr>
        <w:t>采购文件</w:t>
      </w:r>
      <w:r>
        <w:rPr>
          <w:rFonts w:ascii="仿宋_GB2312" w:eastAsia="仿宋_GB2312"/>
          <w:color w:val="auto"/>
          <w:sz w:val="24"/>
          <w:highlight w:val="none"/>
        </w:rPr>
        <w:t xml:space="preserve">公告期限届满之日起计算； </w:t>
      </w:r>
    </w:p>
    <w:p>
      <w:pPr>
        <w:spacing w:line="360" w:lineRule="auto"/>
        <w:ind w:firstLine="480" w:firstLineChars="200"/>
        <w:rPr>
          <w:rFonts w:ascii="仿宋_GB2312" w:eastAsia="仿宋_GB2312"/>
          <w:color w:val="auto"/>
          <w:sz w:val="24"/>
          <w:highlight w:val="none"/>
        </w:rPr>
      </w:pPr>
      <w:r>
        <w:rPr>
          <w:rFonts w:ascii="仿宋_GB2312" w:eastAsia="仿宋_GB2312"/>
          <w:color w:val="auto"/>
          <w:sz w:val="24"/>
          <w:highlight w:val="none"/>
        </w:rPr>
        <w:t>（2）对采购过程提出质疑的，自采购程序环节结束之日起计算；</w:t>
      </w:r>
    </w:p>
    <w:p>
      <w:pPr>
        <w:spacing w:line="360" w:lineRule="auto"/>
        <w:ind w:firstLine="480" w:firstLineChars="200"/>
        <w:rPr>
          <w:rFonts w:ascii="仿宋_GB2312" w:eastAsia="仿宋_GB2312"/>
          <w:color w:val="auto"/>
          <w:sz w:val="24"/>
          <w:highlight w:val="none"/>
        </w:rPr>
      </w:pPr>
      <w:r>
        <w:rPr>
          <w:rFonts w:ascii="仿宋_GB2312" w:eastAsia="仿宋_GB2312"/>
          <w:color w:val="auto"/>
          <w:sz w:val="24"/>
          <w:highlight w:val="none"/>
        </w:rPr>
        <w:t>（3）对中标</w:t>
      </w:r>
      <w:r>
        <w:rPr>
          <w:rFonts w:hint="eastAsia" w:ascii="仿宋_GB2312" w:eastAsia="仿宋_GB2312"/>
          <w:color w:val="auto"/>
          <w:sz w:val="24"/>
          <w:highlight w:val="none"/>
        </w:rPr>
        <w:t>或者成交</w:t>
      </w:r>
      <w:r>
        <w:rPr>
          <w:rFonts w:ascii="仿宋_GB2312" w:eastAsia="仿宋_GB2312"/>
          <w:color w:val="auto"/>
          <w:sz w:val="24"/>
          <w:highlight w:val="none"/>
        </w:rPr>
        <w:t>结果提出质疑的，自中标</w:t>
      </w:r>
      <w:r>
        <w:rPr>
          <w:rFonts w:hint="eastAsia" w:ascii="仿宋_GB2312" w:eastAsia="仿宋_GB2312"/>
          <w:color w:val="auto"/>
          <w:sz w:val="24"/>
          <w:highlight w:val="none"/>
        </w:rPr>
        <w:t>或者成交</w:t>
      </w:r>
      <w:r>
        <w:rPr>
          <w:rFonts w:ascii="仿宋_GB2312" w:eastAsia="仿宋_GB2312"/>
          <w:color w:val="auto"/>
          <w:sz w:val="24"/>
          <w:highlight w:val="none"/>
        </w:rPr>
        <w:t>结果公告期限届满之日起计算。</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41.4</w:t>
      </w:r>
      <w:r>
        <w:rPr>
          <w:rFonts w:ascii="仿宋_GB2312" w:eastAsia="仿宋_GB2312"/>
          <w:color w:val="auto"/>
          <w:sz w:val="24"/>
          <w:highlight w:val="none"/>
        </w:rPr>
        <w:t>质疑供应商在法定质疑期内应当一次性提出针对同一采购环节提出质疑</w:t>
      </w:r>
      <w:r>
        <w:rPr>
          <w:rFonts w:hint="eastAsia" w:ascii="仿宋_GB2312" w:eastAsia="仿宋_GB2312"/>
          <w:color w:val="auto"/>
          <w:sz w:val="24"/>
          <w:highlight w:val="none"/>
        </w:rPr>
        <w:t>。</w:t>
      </w:r>
    </w:p>
    <w:p>
      <w:pPr>
        <w:spacing w:line="360" w:lineRule="auto"/>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41.5质疑文件应包括以下主要内容，并按照</w:t>
      </w:r>
      <w:r>
        <w:rPr>
          <w:rFonts w:ascii="仿宋_GB2312" w:eastAsia="仿宋_GB2312"/>
          <w:b/>
          <w:color w:val="auto"/>
          <w:sz w:val="24"/>
          <w:highlight w:val="none"/>
        </w:rPr>
        <w:t>“</w:t>
      </w:r>
      <w:r>
        <w:rPr>
          <w:rFonts w:hint="eastAsia" w:ascii="仿宋_GB2312" w:eastAsia="仿宋_GB2312"/>
          <w:b/>
          <w:color w:val="auto"/>
          <w:sz w:val="24"/>
          <w:highlight w:val="none"/>
        </w:rPr>
        <w:t>谁主张、谁举证</w:t>
      </w:r>
      <w:r>
        <w:rPr>
          <w:rFonts w:ascii="仿宋_GB2312" w:eastAsia="仿宋_GB2312"/>
          <w:b/>
          <w:color w:val="auto"/>
          <w:sz w:val="24"/>
          <w:highlight w:val="none"/>
        </w:rPr>
        <w:t>”</w:t>
      </w:r>
      <w:r>
        <w:rPr>
          <w:rFonts w:hint="eastAsia" w:ascii="仿宋_GB2312" w:eastAsia="仿宋_GB2312"/>
          <w:b/>
          <w:color w:val="auto"/>
          <w:sz w:val="24"/>
          <w:highlight w:val="none"/>
        </w:rPr>
        <w:t>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360" w:lineRule="auto"/>
        <w:ind w:firstLine="480" w:firstLineChars="200"/>
        <w:rPr>
          <w:rFonts w:ascii="仿宋_GB2312" w:eastAsia="仿宋_GB2312"/>
          <w:color w:val="auto"/>
          <w:sz w:val="24"/>
          <w:highlight w:val="none"/>
        </w:rPr>
      </w:pPr>
      <w:r>
        <w:rPr>
          <w:rFonts w:ascii="仿宋_GB2312" w:eastAsia="仿宋_GB2312"/>
          <w:color w:val="auto"/>
          <w:sz w:val="24"/>
          <w:highlight w:val="none"/>
        </w:rPr>
        <w:t xml:space="preserve">（1）供应商的姓名或者名称、地址、邮编、联系人及联系电话（包括座机、手机、传真号码等）； </w:t>
      </w:r>
    </w:p>
    <w:p>
      <w:pPr>
        <w:spacing w:line="360" w:lineRule="auto"/>
        <w:ind w:firstLine="480" w:firstLineChars="200"/>
        <w:rPr>
          <w:rFonts w:ascii="仿宋_GB2312" w:eastAsia="仿宋_GB2312"/>
          <w:color w:val="auto"/>
          <w:sz w:val="24"/>
          <w:highlight w:val="none"/>
        </w:rPr>
      </w:pPr>
      <w:r>
        <w:rPr>
          <w:rFonts w:ascii="仿宋_GB2312" w:eastAsia="仿宋_GB2312"/>
          <w:color w:val="auto"/>
          <w:sz w:val="24"/>
          <w:highlight w:val="none"/>
        </w:rPr>
        <w:t>（2）质疑项目的名称、项目编号、包号、</w:t>
      </w:r>
      <w:r>
        <w:rPr>
          <w:rFonts w:hint="eastAsia" w:ascii="仿宋_GB2312" w:eastAsia="仿宋_GB2312"/>
          <w:color w:val="auto"/>
          <w:sz w:val="24"/>
          <w:highlight w:val="none"/>
        </w:rPr>
        <w:t>采购</w:t>
      </w:r>
      <w:r>
        <w:rPr>
          <w:rFonts w:ascii="仿宋_GB2312" w:eastAsia="仿宋_GB2312"/>
          <w:color w:val="auto"/>
          <w:sz w:val="24"/>
          <w:highlight w:val="none"/>
        </w:rPr>
        <w:t>公告发布时间、</w:t>
      </w:r>
      <w:r>
        <w:rPr>
          <w:rFonts w:hint="eastAsia" w:ascii="仿宋_GB2312" w:eastAsia="仿宋_GB2312"/>
          <w:color w:val="auto"/>
          <w:sz w:val="24"/>
          <w:highlight w:val="none"/>
        </w:rPr>
        <w:t>递交投标文件或响应文件截止</w:t>
      </w:r>
      <w:r>
        <w:rPr>
          <w:rFonts w:ascii="仿宋_GB2312" w:eastAsia="仿宋_GB2312"/>
          <w:color w:val="auto"/>
          <w:sz w:val="24"/>
          <w:highlight w:val="none"/>
        </w:rPr>
        <w:t xml:space="preserve">时间； </w:t>
      </w:r>
    </w:p>
    <w:p>
      <w:pPr>
        <w:spacing w:line="360" w:lineRule="auto"/>
        <w:ind w:firstLine="480" w:firstLineChars="200"/>
        <w:rPr>
          <w:rFonts w:ascii="仿宋_GB2312" w:eastAsia="仿宋_GB2312"/>
          <w:color w:val="auto"/>
          <w:sz w:val="24"/>
          <w:highlight w:val="none"/>
        </w:rPr>
      </w:pPr>
      <w:r>
        <w:rPr>
          <w:rFonts w:ascii="仿宋_GB2312" w:eastAsia="仿宋_GB2312"/>
          <w:color w:val="auto"/>
          <w:sz w:val="24"/>
          <w:highlight w:val="none"/>
        </w:rPr>
        <w:t xml:space="preserve">（3）具体、明确的质疑事项和与质疑事项相关的请求； </w:t>
      </w:r>
    </w:p>
    <w:p>
      <w:pPr>
        <w:spacing w:line="360" w:lineRule="auto"/>
        <w:ind w:firstLine="480" w:firstLineChars="200"/>
        <w:rPr>
          <w:rFonts w:ascii="仿宋_GB2312" w:eastAsia="仿宋_GB2312"/>
          <w:color w:val="auto"/>
          <w:sz w:val="24"/>
          <w:highlight w:val="none"/>
        </w:rPr>
      </w:pPr>
      <w:r>
        <w:rPr>
          <w:rFonts w:ascii="仿宋_GB2312" w:eastAsia="仿宋_GB2312"/>
          <w:color w:val="auto"/>
          <w:sz w:val="24"/>
          <w:highlight w:val="none"/>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仿宋_GB2312" w:eastAsia="仿宋_GB2312"/>
          <w:color w:val="auto"/>
          <w:sz w:val="24"/>
          <w:highlight w:val="none"/>
        </w:rPr>
      </w:pPr>
      <w:r>
        <w:rPr>
          <w:rFonts w:ascii="仿宋_GB2312" w:eastAsia="仿宋_GB2312"/>
          <w:color w:val="auto"/>
          <w:sz w:val="24"/>
          <w:highlight w:val="none"/>
        </w:rPr>
        <w:t xml:space="preserve">（5）必要的法律依据； </w:t>
      </w:r>
    </w:p>
    <w:p>
      <w:pPr>
        <w:spacing w:line="360" w:lineRule="auto"/>
        <w:ind w:firstLine="480" w:firstLineChars="200"/>
        <w:rPr>
          <w:rFonts w:ascii="仿宋_GB2312" w:eastAsia="仿宋_GB2312"/>
          <w:color w:val="auto"/>
          <w:sz w:val="24"/>
          <w:highlight w:val="none"/>
        </w:rPr>
      </w:pPr>
      <w:r>
        <w:rPr>
          <w:rFonts w:ascii="仿宋_GB2312" w:eastAsia="仿宋_GB2312"/>
          <w:color w:val="auto"/>
          <w:sz w:val="24"/>
          <w:highlight w:val="none"/>
        </w:rPr>
        <w:t>（6）提起质疑的日期</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（8）供应商委托代理质疑的，应当提交授权委托书，</w:t>
      </w:r>
      <w:r>
        <w:rPr>
          <w:rFonts w:ascii="仿宋_GB2312" w:eastAsia="仿宋_GB2312"/>
          <w:color w:val="auto"/>
          <w:sz w:val="24"/>
          <w:highlight w:val="none"/>
        </w:rPr>
        <w:t>并载明代理人的姓名或者名称、代理事项、 具体权限、期限和相关事项</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41.6质疑供应商是指直接参加本项目采购活动的供应商，</w:t>
      </w:r>
      <w:r>
        <w:rPr>
          <w:rFonts w:ascii="仿宋_GB2312" w:eastAsia="仿宋_GB2312"/>
          <w:color w:val="auto"/>
          <w:sz w:val="24"/>
          <w:highlight w:val="none"/>
        </w:rPr>
        <w:t>未参加</w:t>
      </w:r>
      <w:r>
        <w:rPr>
          <w:rFonts w:hint="eastAsia" w:ascii="仿宋_GB2312" w:eastAsia="仿宋_GB2312"/>
          <w:color w:val="auto"/>
          <w:sz w:val="24"/>
          <w:highlight w:val="none"/>
        </w:rPr>
        <w:t>政府采购</w:t>
      </w:r>
      <w:r>
        <w:rPr>
          <w:rFonts w:ascii="仿宋_GB2312" w:eastAsia="仿宋_GB2312"/>
          <w:color w:val="auto"/>
          <w:sz w:val="24"/>
          <w:highlight w:val="none"/>
        </w:rPr>
        <w:t>活动的供应商或在</w:t>
      </w:r>
      <w:r>
        <w:rPr>
          <w:rFonts w:hint="eastAsia" w:ascii="仿宋_GB2312" w:eastAsia="仿宋_GB2312"/>
          <w:color w:val="auto"/>
          <w:sz w:val="24"/>
          <w:highlight w:val="none"/>
        </w:rPr>
        <w:t>采购</w:t>
      </w:r>
      <w:r>
        <w:rPr>
          <w:rFonts w:ascii="仿宋_GB2312" w:eastAsia="仿宋_GB2312"/>
          <w:color w:val="auto"/>
          <w:sz w:val="24"/>
          <w:highlight w:val="none"/>
        </w:rPr>
        <w:t>活动中自身权益未受到损害的供应商所提出的质疑不予受理。</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41.7采购人、采购代理机构在收到供应商的书面质疑后将及时组织调查核实，在七个工作日内作出答复，并以书面形式通知质疑供应商和其他有关供应商，答复的内容不涉及商业秘密。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42、投诉</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42.1质疑供应商对采购人、采购代理机构的答复不满意，或采购人、采购代理机构未在规定的时间内作出答复的，可以在答复期满后十五个工作日内向采购项目同级财政部门提起投诉。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42.2供应商投诉的事项不得超出已质疑事项的范围，但基于质疑答复内容提出的投诉事项除外。</w:t>
      </w:r>
    </w:p>
    <w:p>
      <w:pPr>
        <w:spacing w:line="360" w:lineRule="auto"/>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43、诚实信用</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43.1 供应商不得虚假承诺，否则，按照提供虚假材料谋取中标或成交处理。</w:t>
      </w:r>
    </w:p>
    <w:p>
      <w:pPr>
        <w:snapToGrid w:val="0"/>
        <w:spacing w:line="360" w:lineRule="auto"/>
        <w:ind w:firstLine="562" w:firstLineChars="200"/>
        <w:jc w:val="center"/>
        <w:rPr>
          <w:rFonts w:ascii="仿宋_GB2312" w:hAnsi="Courier New" w:eastAsia="仿宋_GB2312"/>
          <w:b/>
          <w:bCs/>
          <w:color w:val="auto"/>
          <w:kern w:val="0"/>
          <w:sz w:val="28"/>
          <w:szCs w:val="28"/>
          <w:highlight w:val="none"/>
        </w:rPr>
      </w:pPr>
    </w:p>
    <w:p>
      <w:pPr>
        <w:snapToGrid w:val="0"/>
        <w:spacing w:line="360" w:lineRule="auto"/>
        <w:ind w:firstLine="562" w:firstLineChars="200"/>
        <w:jc w:val="center"/>
        <w:rPr>
          <w:rFonts w:ascii="仿宋_GB2312" w:hAnsi="Courier New" w:eastAsia="仿宋_GB2312"/>
          <w:b/>
          <w:bCs/>
          <w:color w:val="auto"/>
          <w:kern w:val="0"/>
          <w:sz w:val="28"/>
          <w:szCs w:val="28"/>
          <w:highlight w:val="none"/>
        </w:rPr>
      </w:pPr>
      <w:r>
        <w:rPr>
          <w:rFonts w:hint="eastAsia" w:ascii="仿宋_GB2312" w:hAnsi="Courier New" w:eastAsia="仿宋_GB2312"/>
          <w:b/>
          <w:bCs/>
          <w:color w:val="auto"/>
          <w:kern w:val="0"/>
          <w:sz w:val="28"/>
          <w:szCs w:val="28"/>
          <w:highlight w:val="none"/>
        </w:rPr>
        <w:t>H   义务、工作纪律</w:t>
      </w:r>
    </w:p>
    <w:p>
      <w:pPr>
        <w:tabs>
          <w:tab w:val="left" w:pos="7665"/>
        </w:tabs>
        <w:spacing w:line="360" w:lineRule="auto"/>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44、协商小组在政府采购活动中承担以下义务：</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（一）遵守评审工作纪律；</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（二）按照客观、公正、审慎的原则，根据采购文件规定的评审程序、评审方法和评审标准进行独立评审；</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（三）不得泄露评审文件、评审情况和在评审过程中获悉的商业秘密；</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（五）发现采购文件内容违反国家有关强制性规定或者采购文件存在歧义、重大缺陷导致评审工作无法进行时，停止评审并向采购人或者采购代理机构书面说明情况；</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（六）及时向财政、监察等部门举报在评审过程中受到非法干预的情况；</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（七）配合答复处理供应商的询问、质疑和投诉等事项；</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（八）法律、法规和规章规定的其他义务。</w:t>
      </w:r>
    </w:p>
    <w:p>
      <w:pPr>
        <w:tabs>
          <w:tab w:val="left" w:pos="7665"/>
        </w:tabs>
        <w:spacing w:line="360" w:lineRule="auto"/>
        <w:ind w:firstLine="482" w:firstLineChars="200"/>
        <w:rPr>
          <w:rFonts w:ascii="仿宋_GB2312" w:eastAsia="仿宋_GB2312"/>
          <w:color w:val="auto"/>
          <w:sz w:val="24"/>
          <w:highlight w:val="none"/>
        </w:rPr>
      </w:pPr>
      <w:r>
        <w:rPr>
          <w:rFonts w:hint="eastAsia" w:ascii="仿宋_GB2312" w:eastAsia="仿宋_GB2312"/>
          <w:b/>
          <w:color w:val="auto"/>
          <w:sz w:val="24"/>
          <w:highlight w:val="none"/>
        </w:rPr>
        <w:t>45、协商小组在政府采购活动中应当遵守以下工作纪律</w:t>
      </w:r>
      <w:r>
        <w:rPr>
          <w:rFonts w:hint="eastAsia" w:ascii="仿宋_GB2312" w:eastAsia="仿宋_GB2312"/>
          <w:color w:val="auto"/>
          <w:sz w:val="24"/>
          <w:highlight w:val="none"/>
        </w:rPr>
        <w:t>：</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（二）评审前，应当将通讯工具或者相关电子设备交由采购代理机构统一保管；</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四）评审过程中，不得发表影响评审公正的倾向性、歧视性言论，不得征询或者接受采购人的倾向性意见，不得明示或暗示供应商在澄清时表达与其响应文件原义不同的意见，不得以采购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（五）在评审过程中和评审结束后，不得记录、复制或带走任何评审资料，不得向外界透露评审内容；</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（六）评审现场服从采购代理机构工作人员的管理，接受现场监督人员的合法监督；</w:t>
      </w:r>
    </w:p>
    <w:p>
      <w:pPr>
        <w:tabs>
          <w:tab w:val="left" w:pos="7665"/>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（七）遵守有关廉洁自律规定，不得私下接触供应商，不得收受供应商及有关业务单位和个人的财物或好处，不得接受采购代理机构的请托。</w:t>
      </w:r>
    </w:p>
    <w:p>
      <w:pPr>
        <w:snapToGrid w:val="0"/>
        <w:spacing w:line="360" w:lineRule="auto"/>
        <w:ind w:firstLine="602" w:firstLineChars="250"/>
        <w:jc w:val="left"/>
        <w:rPr>
          <w:rFonts w:ascii="仿宋_GB2312" w:eastAsia="仿宋_GB2312"/>
          <w:b/>
          <w:bCs/>
          <w:color w:val="auto"/>
          <w:sz w:val="24"/>
          <w:highlight w:val="none"/>
        </w:rPr>
      </w:pPr>
      <w:r>
        <w:rPr>
          <w:rFonts w:hint="eastAsia" w:ascii="仿宋_GB2312" w:eastAsia="仿宋_GB2312"/>
          <w:b/>
          <w:bCs/>
          <w:color w:val="auto"/>
          <w:sz w:val="24"/>
          <w:highlight w:val="none"/>
        </w:rPr>
        <w:t>46、经与采购人协商，本项目采购代理服务费由成交供应商在领取成交通知书同时向采购代理机构支付，采购代理服务费为：¥</w:t>
      </w:r>
      <w:r>
        <w:rPr>
          <w:rFonts w:hint="eastAsia" w:ascii="仿宋_GB2312" w:eastAsia="仿宋_GB2312"/>
          <w:b/>
          <w:bCs/>
          <w:color w:val="auto"/>
          <w:sz w:val="24"/>
          <w:highlight w:val="none"/>
          <w:lang w:val="en-US" w:eastAsia="zh-CN"/>
        </w:rPr>
        <w:t>1.2</w:t>
      </w:r>
      <w:r>
        <w:rPr>
          <w:rFonts w:hint="eastAsia" w:ascii="仿宋_GB2312" w:eastAsia="仿宋_GB2312"/>
          <w:b/>
          <w:bCs/>
          <w:color w:val="auto"/>
          <w:sz w:val="24"/>
          <w:highlight w:val="none"/>
        </w:rPr>
        <w:t>万元整（大写：人民币</w:t>
      </w:r>
      <w:r>
        <w:rPr>
          <w:rFonts w:hint="eastAsia" w:ascii="仿宋_GB2312" w:eastAsia="仿宋_GB2312"/>
          <w:b/>
          <w:bCs/>
          <w:color w:val="auto"/>
          <w:sz w:val="24"/>
          <w:highlight w:val="none"/>
          <w:lang w:eastAsia="zh-CN"/>
        </w:rPr>
        <w:t>壹万贰仟元整</w:t>
      </w:r>
      <w:r>
        <w:rPr>
          <w:rFonts w:hint="eastAsia" w:ascii="仿宋_GB2312" w:eastAsia="仿宋_GB2312"/>
          <w:b/>
          <w:bCs/>
          <w:color w:val="auto"/>
          <w:sz w:val="24"/>
          <w:highlight w:val="none"/>
        </w:rPr>
        <w:t>）。</w:t>
      </w:r>
    </w:p>
    <w:p>
      <w:pPr>
        <w:pStyle w:val="14"/>
        <w:adjustRightInd w:val="0"/>
        <w:snapToGrid w:val="0"/>
        <w:spacing w:line="360" w:lineRule="auto"/>
        <w:jc w:val="center"/>
        <w:rPr>
          <w:rFonts w:ascii="仿宋_GB2312" w:eastAsia="仿宋_GB2312"/>
          <w:b/>
          <w:bCs/>
          <w:color w:val="auto"/>
          <w:sz w:val="28"/>
          <w:szCs w:val="28"/>
          <w:highlight w:val="none"/>
        </w:rPr>
      </w:pPr>
    </w:p>
    <w:p>
      <w:pPr>
        <w:pStyle w:val="14"/>
        <w:adjustRightInd w:val="0"/>
        <w:snapToGrid w:val="0"/>
        <w:spacing w:line="360" w:lineRule="auto"/>
        <w:jc w:val="center"/>
        <w:rPr>
          <w:rFonts w:hint="eastAsia" w:ascii="仿宋_GB2312" w:eastAsia="仿宋_GB2312"/>
          <w:b/>
          <w:bCs/>
          <w:color w:val="auto"/>
          <w:sz w:val="28"/>
          <w:szCs w:val="28"/>
          <w:highlight w:val="none"/>
        </w:rPr>
      </w:pPr>
    </w:p>
    <w:p>
      <w:pPr>
        <w:pStyle w:val="14"/>
        <w:adjustRightInd w:val="0"/>
        <w:snapToGrid w:val="0"/>
        <w:spacing w:line="360" w:lineRule="auto"/>
        <w:jc w:val="center"/>
        <w:rPr>
          <w:rFonts w:hint="eastAsia" w:ascii="仿宋_GB2312" w:eastAsia="仿宋_GB2312"/>
          <w:b/>
          <w:bCs/>
          <w:color w:val="auto"/>
          <w:sz w:val="28"/>
          <w:szCs w:val="28"/>
          <w:highlight w:val="none"/>
        </w:rPr>
      </w:pPr>
    </w:p>
    <w:p>
      <w:pPr>
        <w:pStyle w:val="14"/>
        <w:adjustRightInd w:val="0"/>
        <w:snapToGrid w:val="0"/>
        <w:spacing w:line="360" w:lineRule="auto"/>
        <w:jc w:val="center"/>
        <w:rPr>
          <w:rFonts w:hint="eastAsia" w:ascii="仿宋_GB2312" w:eastAsia="仿宋_GB2312"/>
          <w:b/>
          <w:bCs/>
          <w:color w:val="auto"/>
          <w:sz w:val="28"/>
          <w:szCs w:val="28"/>
          <w:highlight w:val="none"/>
        </w:rPr>
      </w:pPr>
    </w:p>
    <w:p>
      <w:pPr>
        <w:pStyle w:val="14"/>
        <w:adjustRightInd w:val="0"/>
        <w:snapToGrid w:val="0"/>
        <w:spacing w:line="360" w:lineRule="auto"/>
        <w:jc w:val="center"/>
        <w:rPr>
          <w:rFonts w:hint="eastAsia" w:ascii="仿宋_GB2312" w:eastAsia="仿宋_GB2312"/>
          <w:b/>
          <w:bCs/>
          <w:color w:val="auto"/>
          <w:sz w:val="28"/>
          <w:szCs w:val="28"/>
          <w:highlight w:val="none"/>
        </w:rPr>
      </w:pPr>
    </w:p>
    <w:p>
      <w:pPr>
        <w:pStyle w:val="14"/>
        <w:adjustRightInd w:val="0"/>
        <w:snapToGrid w:val="0"/>
        <w:spacing w:line="360" w:lineRule="auto"/>
        <w:jc w:val="center"/>
        <w:rPr>
          <w:rFonts w:hint="eastAsia" w:ascii="仿宋_GB2312" w:eastAsia="仿宋_GB2312"/>
          <w:b/>
          <w:bCs/>
          <w:color w:val="auto"/>
          <w:sz w:val="28"/>
          <w:szCs w:val="28"/>
          <w:highlight w:val="none"/>
        </w:rPr>
      </w:pPr>
    </w:p>
    <w:p>
      <w:pPr>
        <w:pStyle w:val="14"/>
        <w:adjustRightInd w:val="0"/>
        <w:snapToGrid w:val="0"/>
        <w:spacing w:line="360" w:lineRule="auto"/>
        <w:jc w:val="center"/>
        <w:rPr>
          <w:rFonts w:hint="eastAsia" w:ascii="仿宋_GB2312" w:eastAsia="仿宋_GB2312"/>
          <w:b/>
          <w:bCs/>
          <w:color w:val="auto"/>
          <w:sz w:val="28"/>
          <w:szCs w:val="28"/>
          <w:highlight w:val="none"/>
        </w:rPr>
      </w:pPr>
    </w:p>
    <w:p>
      <w:pPr>
        <w:pStyle w:val="14"/>
        <w:adjustRightInd w:val="0"/>
        <w:snapToGrid w:val="0"/>
        <w:spacing w:line="360" w:lineRule="auto"/>
        <w:jc w:val="center"/>
        <w:rPr>
          <w:rFonts w:hint="eastAsia" w:ascii="仿宋_GB2312" w:eastAsia="仿宋_GB2312"/>
          <w:b/>
          <w:bCs/>
          <w:color w:val="auto"/>
          <w:sz w:val="28"/>
          <w:szCs w:val="28"/>
          <w:highlight w:val="none"/>
        </w:rPr>
      </w:pPr>
    </w:p>
    <w:p>
      <w:pPr>
        <w:pStyle w:val="14"/>
        <w:adjustRightInd w:val="0"/>
        <w:snapToGrid w:val="0"/>
        <w:spacing w:line="360" w:lineRule="auto"/>
        <w:jc w:val="center"/>
        <w:rPr>
          <w:rFonts w:hint="eastAsia" w:ascii="仿宋_GB2312" w:eastAsia="仿宋_GB2312"/>
          <w:b/>
          <w:bCs/>
          <w:color w:val="auto"/>
          <w:sz w:val="28"/>
          <w:szCs w:val="28"/>
          <w:highlight w:val="none"/>
        </w:rPr>
      </w:pPr>
    </w:p>
    <w:p>
      <w:pPr>
        <w:pStyle w:val="14"/>
        <w:adjustRightInd w:val="0"/>
        <w:snapToGrid w:val="0"/>
        <w:spacing w:line="360" w:lineRule="auto"/>
        <w:jc w:val="center"/>
        <w:rPr>
          <w:rFonts w:hint="eastAsia" w:ascii="仿宋_GB2312" w:eastAsia="仿宋_GB2312"/>
          <w:b/>
          <w:bCs/>
          <w:color w:val="auto"/>
          <w:sz w:val="28"/>
          <w:szCs w:val="28"/>
          <w:highlight w:val="none"/>
        </w:rPr>
      </w:pPr>
    </w:p>
    <w:p>
      <w:pPr>
        <w:pStyle w:val="14"/>
        <w:adjustRightInd w:val="0"/>
        <w:snapToGrid w:val="0"/>
        <w:spacing w:line="360" w:lineRule="auto"/>
        <w:jc w:val="center"/>
        <w:rPr>
          <w:rFonts w:hint="eastAsia" w:ascii="仿宋_GB2312" w:eastAsia="仿宋_GB2312"/>
          <w:b/>
          <w:bCs/>
          <w:color w:val="auto"/>
          <w:sz w:val="28"/>
          <w:szCs w:val="28"/>
          <w:highlight w:val="none"/>
        </w:rPr>
      </w:pPr>
    </w:p>
    <w:p>
      <w:pPr>
        <w:pStyle w:val="14"/>
        <w:adjustRightInd w:val="0"/>
        <w:snapToGrid w:val="0"/>
        <w:spacing w:line="360" w:lineRule="auto"/>
        <w:jc w:val="center"/>
        <w:rPr>
          <w:rFonts w:hint="eastAsia" w:ascii="仿宋_GB2312" w:eastAsia="仿宋_GB2312"/>
          <w:b/>
          <w:bCs/>
          <w:color w:val="auto"/>
          <w:sz w:val="28"/>
          <w:szCs w:val="28"/>
          <w:highlight w:val="none"/>
        </w:rPr>
      </w:pPr>
    </w:p>
    <w:p>
      <w:pPr>
        <w:pStyle w:val="14"/>
        <w:adjustRightInd w:val="0"/>
        <w:snapToGrid w:val="0"/>
        <w:spacing w:line="360" w:lineRule="auto"/>
        <w:jc w:val="center"/>
        <w:rPr>
          <w:rFonts w:hint="eastAsia" w:ascii="仿宋_GB2312" w:eastAsia="仿宋_GB2312"/>
          <w:b/>
          <w:bCs/>
          <w:color w:val="auto"/>
          <w:sz w:val="28"/>
          <w:szCs w:val="28"/>
          <w:highlight w:val="none"/>
        </w:rPr>
      </w:pPr>
    </w:p>
    <w:p>
      <w:pPr>
        <w:pStyle w:val="14"/>
        <w:adjustRightInd w:val="0"/>
        <w:snapToGrid w:val="0"/>
        <w:spacing w:line="360" w:lineRule="auto"/>
        <w:jc w:val="center"/>
        <w:rPr>
          <w:rFonts w:hint="eastAsia" w:ascii="仿宋_GB2312" w:eastAsia="仿宋_GB2312"/>
          <w:b/>
          <w:bCs/>
          <w:color w:val="auto"/>
          <w:sz w:val="28"/>
          <w:szCs w:val="28"/>
          <w:highlight w:val="none"/>
        </w:rPr>
      </w:pPr>
    </w:p>
    <w:p>
      <w:pPr>
        <w:pStyle w:val="14"/>
        <w:adjustRightInd w:val="0"/>
        <w:snapToGrid w:val="0"/>
        <w:spacing w:line="360" w:lineRule="auto"/>
        <w:jc w:val="center"/>
        <w:rPr>
          <w:rFonts w:hint="eastAsia" w:ascii="仿宋_GB2312" w:eastAsia="仿宋_GB2312"/>
          <w:b/>
          <w:bCs/>
          <w:color w:val="auto"/>
          <w:sz w:val="28"/>
          <w:szCs w:val="28"/>
          <w:highlight w:val="none"/>
        </w:rPr>
      </w:pPr>
    </w:p>
    <w:p>
      <w:pPr>
        <w:pStyle w:val="14"/>
        <w:keepNext w:val="0"/>
        <w:keepLines w:val="0"/>
        <w:pageBreakBefore w:val="0"/>
        <w:kinsoku/>
        <w:wordWrap/>
        <w:overflowPunct/>
        <w:topLinePunct w:val="0"/>
        <w:bidi w:val="0"/>
        <w:adjustRightInd w:val="0"/>
        <w:snapToGrid w:val="0"/>
        <w:spacing w:line="288" w:lineRule="auto"/>
        <w:jc w:val="center"/>
        <w:rPr>
          <w:rFonts w:ascii="仿宋_GB2312" w:eastAsia="仿宋_GB2312"/>
          <w:b/>
          <w:color w:val="auto"/>
          <w:sz w:val="28"/>
          <w:szCs w:val="28"/>
          <w:highlight w:val="none"/>
        </w:rPr>
      </w:pPr>
      <w:r>
        <w:rPr>
          <w:rFonts w:hint="eastAsia" w:ascii="仿宋_GB2312" w:eastAsia="仿宋_GB2312"/>
          <w:b/>
          <w:bCs/>
          <w:color w:val="auto"/>
          <w:sz w:val="28"/>
          <w:szCs w:val="28"/>
          <w:highlight w:val="none"/>
        </w:rPr>
        <w:t xml:space="preserve">第三章 </w:t>
      </w:r>
      <w:r>
        <w:rPr>
          <w:rFonts w:hint="eastAsia" w:ascii="仿宋_GB2312" w:eastAsia="仿宋_GB2312"/>
          <w:b/>
          <w:color w:val="auto"/>
          <w:sz w:val="28"/>
          <w:szCs w:val="28"/>
          <w:highlight w:val="none"/>
        </w:rPr>
        <w:t>项目采购需求</w:t>
      </w:r>
    </w:p>
    <w:p>
      <w:pPr>
        <w:keepNext w:val="0"/>
        <w:keepLines w:val="0"/>
        <w:pageBreakBefore w:val="0"/>
        <w:widowControl w:val="0"/>
        <w:kinsoku/>
        <w:wordWrap/>
        <w:overflowPunct/>
        <w:topLinePunct w:val="0"/>
        <w:autoSpaceDE/>
        <w:autoSpaceDN/>
        <w:bidi w:val="0"/>
        <w:spacing w:line="312" w:lineRule="auto"/>
        <w:ind w:firstLine="481"/>
        <w:textAlignment w:val="auto"/>
        <w:rPr>
          <w:rFonts w:ascii="仿宋_GB2312" w:eastAsia="仿宋_GB2312"/>
          <w:color w:val="auto"/>
          <w:sz w:val="24"/>
          <w:highlight w:val="none"/>
        </w:rPr>
      </w:pPr>
      <w:r>
        <w:rPr>
          <w:rFonts w:hint="eastAsia" w:ascii="仿宋_GB2312" w:eastAsia="仿宋_GB2312"/>
          <w:color w:val="auto"/>
          <w:sz w:val="24"/>
          <w:highlight w:val="none"/>
        </w:rPr>
        <w:t>1、总则</w:t>
      </w:r>
    </w:p>
    <w:p>
      <w:pPr>
        <w:keepNext w:val="0"/>
        <w:keepLines w:val="0"/>
        <w:pageBreakBefore w:val="0"/>
        <w:widowControl w:val="0"/>
        <w:kinsoku/>
        <w:wordWrap/>
        <w:overflowPunct/>
        <w:topLinePunct w:val="0"/>
        <w:autoSpaceDE/>
        <w:autoSpaceDN/>
        <w:bidi w:val="0"/>
        <w:spacing w:line="312" w:lineRule="auto"/>
        <w:ind w:firstLine="481"/>
        <w:textAlignment w:val="auto"/>
        <w:rPr>
          <w:rFonts w:ascii="仿宋_GB2312" w:eastAsia="仿宋_GB2312"/>
          <w:color w:val="auto"/>
          <w:sz w:val="24"/>
          <w:highlight w:val="none"/>
        </w:rPr>
      </w:pPr>
      <w:r>
        <w:rPr>
          <w:rFonts w:hint="eastAsia" w:ascii="仿宋_GB2312" w:eastAsia="仿宋_GB2312"/>
          <w:color w:val="auto"/>
          <w:sz w:val="24"/>
          <w:highlight w:val="none"/>
        </w:rPr>
        <w:t>1.1本章条款仅限于</w:t>
      </w:r>
      <w:r>
        <w:rPr>
          <w:rFonts w:hint="eastAsia" w:ascii="仿宋_GB2312" w:hAnsi="仿宋_GB2312" w:eastAsia="仿宋_GB2312" w:cs="仿宋_GB2312"/>
          <w:color w:val="auto"/>
          <w:sz w:val="24"/>
          <w:highlight w:val="none"/>
          <w:lang w:eastAsia="zh-CN"/>
        </w:rPr>
        <w:t>“森林物语&amp;虫现江湖”——大型热带雨林实景生态展</w:t>
      </w:r>
      <w:r>
        <w:rPr>
          <w:rFonts w:hint="eastAsia" w:ascii="仿宋_GB2312" w:eastAsia="仿宋_GB2312"/>
          <w:color w:val="auto"/>
          <w:sz w:val="24"/>
          <w:highlight w:val="none"/>
        </w:rPr>
        <w:t>的采购。</w:t>
      </w:r>
    </w:p>
    <w:p>
      <w:pPr>
        <w:keepNext w:val="0"/>
        <w:keepLines w:val="0"/>
        <w:pageBreakBefore w:val="0"/>
        <w:widowControl w:val="0"/>
        <w:kinsoku/>
        <w:wordWrap/>
        <w:overflowPunct/>
        <w:topLinePunct w:val="0"/>
        <w:autoSpaceDE/>
        <w:autoSpaceDN/>
        <w:bidi w:val="0"/>
        <w:spacing w:line="312" w:lineRule="auto"/>
        <w:ind w:firstLine="481"/>
        <w:textAlignment w:val="auto"/>
        <w:rPr>
          <w:rFonts w:ascii="仿宋_GB2312" w:eastAsia="仿宋_GB2312"/>
          <w:color w:val="auto"/>
          <w:sz w:val="24"/>
          <w:highlight w:val="none"/>
        </w:rPr>
      </w:pPr>
      <w:r>
        <w:rPr>
          <w:rFonts w:hint="eastAsia" w:ascii="仿宋_GB2312" w:eastAsia="仿宋_GB2312"/>
          <w:color w:val="auto"/>
          <w:sz w:val="24"/>
          <w:highlight w:val="none"/>
        </w:rPr>
        <w:t>1.2本章条款提出的是最低限度的技术要求，并未对一切技术细节做出规定，也未引述有关规范条文，供应商不得以本文件未提出要求为理由而规避国家和行业强制规范、标准的规定，供应商应保证提供符合本章条款和相关标准的服务。</w:t>
      </w:r>
    </w:p>
    <w:p>
      <w:pPr>
        <w:keepNext w:val="0"/>
        <w:keepLines w:val="0"/>
        <w:pageBreakBefore w:val="0"/>
        <w:widowControl w:val="0"/>
        <w:kinsoku/>
        <w:wordWrap/>
        <w:overflowPunct/>
        <w:topLinePunct w:val="0"/>
        <w:autoSpaceDE/>
        <w:autoSpaceDN/>
        <w:bidi w:val="0"/>
        <w:spacing w:line="312" w:lineRule="auto"/>
        <w:ind w:firstLine="481"/>
        <w:textAlignment w:val="auto"/>
        <w:rPr>
          <w:rFonts w:ascii="仿宋_GB2312" w:eastAsia="仿宋_GB2312"/>
          <w:color w:val="auto"/>
          <w:sz w:val="24"/>
          <w:highlight w:val="none"/>
        </w:rPr>
      </w:pPr>
      <w:r>
        <w:rPr>
          <w:rFonts w:hint="eastAsia" w:ascii="仿宋_GB2312" w:eastAsia="仿宋_GB2312"/>
          <w:color w:val="auto"/>
          <w:sz w:val="24"/>
          <w:highlight w:val="none"/>
        </w:rPr>
        <w:t>1.3如果供应商没有以书面形式对本章条款提出异议，采购人就可以认为供应商提供的成果符合本章条款的要求。</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ascii="仿宋_GB2312" w:eastAsia="仿宋_GB2312"/>
          <w:color w:val="auto"/>
          <w:sz w:val="24"/>
          <w:highlight w:val="none"/>
        </w:rPr>
      </w:pPr>
      <w:r>
        <w:rPr>
          <w:rFonts w:hint="eastAsia" w:ascii="仿宋_GB2312" w:eastAsia="仿宋_GB2312"/>
          <w:color w:val="auto"/>
          <w:sz w:val="24"/>
          <w:highlight w:val="none"/>
        </w:rPr>
        <w:t>1.4供应商在响应文件中，应对采购文件中的服务进行详细的说明。</w:t>
      </w:r>
    </w:p>
    <w:p>
      <w:pPr>
        <w:keepNext w:val="0"/>
        <w:keepLines w:val="0"/>
        <w:pageBreakBefore w:val="0"/>
        <w:widowControl w:val="0"/>
        <w:kinsoku/>
        <w:wordWrap/>
        <w:overflowPunct/>
        <w:topLinePunct w:val="0"/>
        <w:autoSpaceDE/>
        <w:autoSpaceDN/>
        <w:bidi w:val="0"/>
        <w:spacing w:line="312" w:lineRule="auto"/>
        <w:ind w:firstLine="481"/>
        <w:textAlignment w:val="auto"/>
        <w:rPr>
          <w:rFonts w:ascii="仿宋_GB2312" w:eastAsia="仿宋_GB2312"/>
          <w:color w:val="auto"/>
          <w:sz w:val="24"/>
          <w:highlight w:val="none"/>
        </w:rPr>
      </w:pPr>
      <w:r>
        <w:rPr>
          <w:rFonts w:hint="eastAsia" w:ascii="仿宋_GB2312" w:eastAsia="仿宋_GB2312"/>
          <w:color w:val="auto"/>
          <w:sz w:val="24"/>
          <w:highlight w:val="none"/>
        </w:rPr>
        <w:t>1.5在签订合同之后，采购人有权提出因规范标准有变化而产生的一些补充要求。</w:t>
      </w:r>
    </w:p>
    <w:p>
      <w:pPr>
        <w:keepNext w:val="0"/>
        <w:keepLines w:val="0"/>
        <w:pageBreakBefore w:val="0"/>
        <w:widowControl w:val="0"/>
        <w:kinsoku/>
        <w:wordWrap/>
        <w:overflowPunct/>
        <w:topLinePunct w:val="0"/>
        <w:autoSpaceDE/>
        <w:autoSpaceDN/>
        <w:bidi w:val="0"/>
        <w:spacing w:line="312" w:lineRule="auto"/>
        <w:ind w:firstLine="481"/>
        <w:textAlignment w:val="auto"/>
        <w:rPr>
          <w:rFonts w:ascii="仿宋_GB2312" w:eastAsia="仿宋_GB2312"/>
          <w:b/>
          <w:color w:val="auto"/>
          <w:sz w:val="24"/>
          <w:highlight w:val="none"/>
        </w:rPr>
      </w:pPr>
      <w:r>
        <w:rPr>
          <w:rFonts w:hint="eastAsia" w:ascii="仿宋_GB2312" w:eastAsia="仿宋_GB2312"/>
          <w:color w:val="auto"/>
          <w:sz w:val="24"/>
          <w:highlight w:val="none"/>
        </w:rPr>
        <w:t>1.6本章条款使用标准如与供应商所执行标准发生矛盾时，按较高标准执行。</w:t>
      </w:r>
    </w:p>
    <w:p>
      <w:pPr>
        <w:keepNext w:val="0"/>
        <w:keepLines w:val="0"/>
        <w:pageBreakBefore w:val="0"/>
        <w:widowControl w:val="0"/>
        <w:kinsoku/>
        <w:wordWrap/>
        <w:overflowPunct/>
        <w:topLinePunct w:val="0"/>
        <w:autoSpaceDE/>
        <w:autoSpaceDN/>
        <w:bidi w:val="0"/>
        <w:spacing w:line="312" w:lineRule="auto"/>
        <w:ind w:firstLine="481"/>
        <w:textAlignment w:val="auto"/>
        <w:rPr>
          <w:rFonts w:ascii="仿宋_GB2312" w:eastAsia="仿宋_GB2312"/>
          <w:color w:val="auto"/>
          <w:sz w:val="24"/>
          <w:highlight w:val="none"/>
        </w:rPr>
      </w:pPr>
      <w:r>
        <w:rPr>
          <w:rFonts w:hint="eastAsia" w:ascii="仿宋_GB2312" w:eastAsia="仿宋_GB2312"/>
          <w:color w:val="auto"/>
          <w:sz w:val="24"/>
          <w:highlight w:val="none"/>
        </w:rPr>
        <w:t>2、执行的规范和标准</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ascii="仿宋_GB2312" w:hAnsi="仿宋" w:eastAsia="仿宋_GB2312"/>
          <w:color w:val="auto"/>
          <w:sz w:val="24"/>
          <w:highlight w:val="none"/>
        </w:rPr>
      </w:pPr>
      <w:r>
        <w:rPr>
          <w:rFonts w:hint="eastAsia" w:ascii="仿宋_GB2312" w:hAnsi="仿宋" w:eastAsia="仿宋_GB2312"/>
          <w:color w:val="auto"/>
          <w:sz w:val="24"/>
          <w:highlight w:val="none"/>
        </w:rPr>
        <w:t>本项目必须遵循国家规范和标准并应按最新版本执行，若标准、规范出现矛盾时，以最新、最高标准规范执行。</w:t>
      </w:r>
    </w:p>
    <w:p>
      <w:pPr>
        <w:keepNext w:val="0"/>
        <w:keepLines w:val="0"/>
        <w:pageBreakBefore w:val="0"/>
        <w:widowControl w:val="0"/>
        <w:kinsoku/>
        <w:wordWrap/>
        <w:overflowPunct/>
        <w:topLinePunct w:val="0"/>
        <w:autoSpaceDE/>
        <w:autoSpaceDN/>
        <w:bidi w:val="0"/>
        <w:spacing w:line="312" w:lineRule="auto"/>
        <w:ind w:firstLine="562" w:firstLineChars="200"/>
        <w:textAlignment w:val="auto"/>
        <w:rPr>
          <w:rFonts w:ascii="仿宋" w:hAnsi="仿宋" w:eastAsia="仿宋" w:cs="Arial"/>
          <w:b/>
          <w:color w:val="auto"/>
          <w:sz w:val="28"/>
          <w:szCs w:val="28"/>
          <w:highlight w:val="none"/>
        </w:rPr>
      </w:pPr>
      <w:r>
        <w:rPr>
          <w:rFonts w:hint="eastAsia" w:ascii="仿宋_GB2312" w:hAnsi="仿宋" w:eastAsia="仿宋_GB2312"/>
          <w:b/>
          <w:bCs/>
          <w:color w:val="auto"/>
          <w:sz w:val="28"/>
          <w:szCs w:val="28"/>
          <w:highlight w:val="none"/>
        </w:rPr>
        <w:t>3.项目需求</w:t>
      </w:r>
      <w:r>
        <w:rPr>
          <w:rFonts w:hint="eastAsia" w:ascii="仿宋_GB2312" w:hAnsi="仿宋" w:eastAsia="仿宋_GB2312"/>
          <w:b/>
          <w:bCs/>
          <w:color w:val="auto"/>
          <w:sz w:val="28"/>
          <w:szCs w:val="28"/>
          <w:highlight w:val="none"/>
          <w:lang w:eastAsia="zh-CN"/>
        </w:rPr>
        <w:t>——</w:t>
      </w:r>
      <w:r>
        <w:rPr>
          <w:rFonts w:hint="eastAsia" w:ascii="仿宋" w:hAnsi="仿宋" w:eastAsia="仿宋" w:cs="Arial"/>
          <w:b/>
          <w:color w:val="auto"/>
          <w:sz w:val="28"/>
          <w:szCs w:val="28"/>
          <w:highlight w:val="none"/>
          <w:lang w:eastAsia="zh-CN"/>
        </w:rPr>
        <w:t>“</w:t>
      </w:r>
      <w:r>
        <w:rPr>
          <w:rFonts w:hint="eastAsia" w:ascii="仿宋" w:hAnsi="仿宋" w:eastAsia="仿宋" w:cs="Arial"/>
          <w:b/>
          <w:color w:val="auto"/>
          <w:sz w:val="28"/>
          <w:szCs w:val="28"/>
          <w:highlight w:val="none"/>
        </w:rPr>
        <w:t>森林物语</w:t>
      </w:r>
      <w:r>
        <w:rPr>
          <w:rFonts w:ascii="仿宋" w:hAnsi="仿宋" w:eastAsia="仿宋" w:cs="Arial"/>
          <w:b/>
          <w:color w:val="auto"/>
          <w:sz w:val="28"/>
          <w:szCs w:val="28"/>
          <w:highlight w:val="none"/>
        </w:rPr>
        <w:t>&amp;</w:t>
      </w:r>
      <w:r>
        <w:rPr>
          <w:rFonts w:hint="eastAsia" w:ascii="仿宋" w:hAnsi="仿宋" w:eastAsia="仿宋" w:cs="Arial"/>
          <w:b/>
          <w:color w:val="auto"/>
          <w:sz w:val="28"/>
          <w:szCs w:val="28"/>
          <w:highlight w:val="none"/>
        </w:rPr>
        <w:t>虫</w:t>
      </w:r>
      <w:r>
        <w:rPr>
          <w:rFonts w:ascii="仿宋" w:hAnsi="仿宋" w:eastAsia="仿宋" w:cs="Arial"/>
          <w:b/>
          <w:color w:val="auto"/>
          <w:sz w:val="28"/>
          <w:szCs w:val="28"/>
          <w:highlight w:val="none"/>
        </w:rPr>
        <w:t>现江湖</w:t>
      </w:r>
      <w:r>
        <w:rPr>
          <w:rFonts w:hint="eastAsia" w:ascii="仿宋" w:hAnsi="仿宋" w:eastAsia="仿宋" w:cs="Arial"/>
          <w:b/>
          <w:color w:val="auto"/>
          <w:sz w:val="28"/>
          <w:szCs w:val="28"/>
          <w:highlight w:val="none"/>
          <w:lang w:eastAsia="zh-CN"/>
        </w:rPr>
        <w:t>”——大型热带雨林实景生态展</w:t>
      </w:r>
    </w:p>
    <w:p>
      <w:pPr>
        <w:pStyle w:val="2"/>
        <w:keepNext w:val="0"/>
        <w:keepLines w:val="0"/>
        <w:pageBreakBefore w:val="0"/>
        <w:widowControl w:val="0"/>
        <w:numPr>
          <w:ilvl w:val="0"/>
          <w:numId w:val="0"/>
        </w:numPr>
        <w:kinsoku/>
        <w:wordWrap/>
        <w:overflowPunct/>
        <w:topLinePunct w:val="0"/>
        <w:autoSpaceDE/>
        <w:autoSpaceDN/>
        <w:bidi w:val="0"/>
        <w:spacing w:line="312" w:lineRule="auto"/>
        <w:ind w:leftChars="0" w:firstLine="482" w:firstLineChars="200"/>
        <w:textAlignment w:val="auto"/>
        <w:rPr>
          <w:rFonts w:hint="eastAsia" w:ascii="仿宋" w:hAnsi="仿宋" w:eastAsia="仿宋" w:cs="Arial"/>
          <w:color w:val="auto"/>
          <w:sz w:val="24"/>
          <w:szCs w:val="24"/>
          <w:highlight w:val="none"/>
        </w:rPr>
      </w:pPr>
      <w:r>
        <w:rPr>
          <w:rFonts w:hint="eastAsia" w:ascii="仿宋" w:hAnsi="仿宋" w:eastAsia="仿宋" w:cs="Arial"/>
          <w:b/>
          <w:color w:val="auto"/>
          <w:sz w:val="24"/>
          <w:szCs w:val="24"/>
          <w:highlight w:val="none"/>
          <w:lang w:eastAsia="zh-CN"/>
        </w:rPr>
        <w:t>一、</w:t>
      </w:r>
      <w:r>
        <w:rPr>
          <w:rFonts w:ascii="仿宋" w:hAnsi="仿宋" w:eastAsia="仿宋" w:cs="Arial"/>
          <w:b/>
          <w:color w:val="auto"/>
          <w:sz w:val="24"/>
          <w:szCs w:val="24"/>
          <w:highlight w:val="none"/>
        </w:rPr>
        <w:t>项目名称</w:t>
      </w:r>
      <w:r>
        <w:rPr>
          <w:rFonts w:hint="eastAsia" w:ascii="仿宋" w:hAnsi="仿宋" w:eastAsia="仿宋" w:cs="Arial"/>
          <w:b/>
          <w:color w:val="auto"/>
          <w:sz w:val="24"/>
          <w:szCs w:val="24"/>
          <w:highlight w:val="none"/>
          <w:lang w:eastAsia="zh-CN"/>
        </w:rPr>
        <w:t>：</w:t>
      </w:r>
      <w:r>
        <w:rPr>
          <w:rFonts w:hint="eastAsia" w:ascii="仿宋" w:hAnsi="仿宋" w:eastAsia="仿宋" w:cs="Arial"/>
          <w:color w:val="auto"/>
          <w:sz w:val="24"/>
          <w:szCs w:val="24"/>
          <w:highlight w:val="none"/>
        </w:rPr>
        <w:t>森林物语&amp;虫现江湖</w:t>
      </w:r>
    </w:p>
    <w:p>
      <w:pPr>
        <w:keepNext w:val="0"/>
        <w:keepLines w:val="0"/>
        <w:pageBreakBefore w:val="0"/>
        <w:widowControl w:val="0"/>
        <w:kinsoku/>
        <w:wordWrap/>
        <w:overflowPunct/>
        <w:topLinePunct w:val="0"/>
        <w:autoSpaceDE/>
        <w:autoSpaceDN/>
        <w:bidi w:val="0"/>
        <w:spacing w:line="312" w:lineRule="auto"/>
        <w:ind w:firstLine="482" w:firstLineChars="200"/>
        <w:textAlignment w:val="auto"/>
        <w:rPr>
          <w:rFonts w:hint="eastAsia" w:ascii="仿宋" w:hAnsi="仿宋" w:eastAsia="仿宋" w:cs="Arial"/>
          <w:b/>
          <w:color w:val="auto"/>
          <w:sz w:val="24"/>
          <w:szCs w:val="24"/>
          <w:highlight w:val="none"/>
        </w:rPr>
      </w:pPr>
      <w:r>
        <w:rPr>
          <w:rFonts w:hint="eastAsia" w:ascii="仿宋" w:hAnsi="仿宋" w:eastAsia="仿宋" w:cs="Arial"/>
          <w:b/>
          <w:color w:val="auto"/>
          <w:sz w:val="24"/>
          <w:szCs w:val="24"/>
          <w:highlight w:val="none"/>
        </w:rPr>
        <w:t>二、项目简介</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olor w:val="auto"/>
          <w:sz w:val="24"/>
          <w:szCs w:val="24"/>
          <w:highlight w:val="none"/>
        </w:rPr>
      </w:pPr>
      <w:r>
        <w:rPr>
          <w:rFonts w:hint="eastAsia" w:ascii="仿宋" w:hAnsi="仿宋" w:eastAsia="仿宋" w:cs="Arial"/>
          <w:color w:val="auto"/>
          <w:sz w:val="24"/>
          <w:szCs w:val="24"/>
          <w:highlight w:val="none"/>
        </w:rPr>
        <w:t>神秘的热带雨林</w:t>
      </w:r>
      <w:r>
        <w:rPr>
          <w:rFonts w:ascii="仿宋" w:hAnsi="仿宋" w:eastAsia="仿宋" w:cs="Arial"/>
          <w:color w:val="auto"/>
          <w:sz w:val="24"/>
          <w:szCs w:val="24"/>
          <w:highlight w:val="none"/>
        </w:rPr>
        <w:t>拥有地球上最稀有和独特的动植物群，地球上近40%至75%的物种居住在这些森林中。</w:t>
      </w:r>
      <w:r>
        <w:rPr>
          <w:rFonts w:hint="eastAsia" w:ascii="仿宋" w:hAnsi="仿宋" w:eastAsia="仿宋" w:cs="Arial"/>
          <w:color w:val="auto"/>
          <w:sz w:val="24"/>
          <w:szCs w:val="24"/>
          <w:highlight w:val="none"/>
        </w:rPr>
        <w:t xml:space="preserve">《森林物语》将热带雨林动植物群，在 </w:t>
      </w:r>
      <w:r>
        <w:rPr>
          <w:rFonts w:ascii="仿宋" w:hAnsi="仿宋" w:eastAsia="仿宋" w:cs="Arial"/>
          <w:color w:val="auto"/>
          <w:sz w:val="24"/>
          <w:szCs w:val="24"/>
          <w:highlight w:val="none"/>
        </w:rPr>
        <w:t>900</w:t>
      </w:r>
      <w:r>
        <w:rPr>
          <w:rFonts w:hint="eastAsia" w:ascii="仿宋" w:hAnsi="仿宋" w:eastAsia="仿宋" w:cs="Arial"/>
          <w:color w:val="auto"/>
          <w:sz w:val="24"/>
          <w:szCs w:val="24"/>
          <w:highlight w:val="none"/>
        </w:rPr>
        <w:t>平米的“天然氧吧”</w:t>
      </w:r>
      <w:r>
        <w:rPr>
          <w:rFonts w:ascii="仿宋" w:hAnsi="仿宋" w:eastAsia="仿宋" w:cs="Arial"/>
          <w:color w:val="auto"/>
          <w:sz w:val="24"/>
          <w:szCs w:val="24"/>
          <w:highlight w:val="none"/>
        </w:rPr>
        <w:t>里</w:t>
      </w:r>
      <w:r>
        <w:rPr>
          <w:rFonts w:hint="eastAsia" w:ascii="仿宋" w:hAnsi="仿宋" w:eastAsia="仿宋" w:cs="Arial"/>
          <w:color w:val="auto"/>
          <w:sz w:val="24"/>
          <w:szCs w:val="24"/>
          <w:highlight w:val="none"/>
        </w:rPr>
        <w:t>，3</w:t>
      </w:r>
      <w:r>
        <w:rPr>
          <w:rFonts w:ascii="仿宋" w:hAnsi="仿宋" w:eastAsia="仿宋" w:cs="Arial"/>
          <w:color w:val="auto"/>
          <w:sz w:val="24"/>
          <w:szCs w:val="24"/>
          <w:highlight w:val="none"/>
        </w:rPr>
        <w:t>60度呈现还原出雨林</w:t>
      </w:r>
      <w:r>
        <w:rPr>
          <w:rFonts w:hint="eastAsia" w:ascii="仿宋" w:hAnsi="仿宋" w:eastAsia="仿宋"/>
          <w:color w:val="auto"/>
          <w:sz w:val="24"/>
          <w:szCs w:val="24"/>
          <w:highlight w:val="none"/>
        </w:rPr>
        <w:t>生态。展览现场不仅有惊奇的动物和植物，</w:t>
      </w:r>
      <w:r>
        <w:rPr>
          <w:rFonts w:ascii="仿宋" w:hAnsi="仿宋" w:eastAsia="仿宋"/>
          <w:color w:val="auto"/>
          <w:sz w:val="24"/>
          <w:szCs w:val="24"/>
          <w:highlight w:val="none"/>
        </w:rPr>
        <w:t>还有</w:t>
      </w:r>
      <w:r>
        <w:rPr>
          <w:rFonts w:hint="eastAsia" w:ascii="仿宋" w:hAnsi="仿宋" w:eastAsia="仿宋"/>
          <w:color w:val="auto"/>
          <w:sz w:val="24"/>
          <w:szCs w:val="24"/>
          <w:highlight w:val="none"/>
        </w:rPr>
        <w:t>活流水、</w:t>
      </w:r>
      <w:r>
        <w:rPr>
          <w:rFonts w:ascii="仿宋" w:hAnsi="仿宋" w:eastAsia="仿宋"/>
          <w:color w:val="auto"/>
          <w:sz w:val="24"/>
          <w:szCs w:val="24"/>
          <w:highlight w:val="none"/>
        </w:rPr>
        <w:t>弯曲</w:t>
      </w:r>
      <w:r>
        <w:rPr>
          <w:rFonts w:hint="eastAsia" w:ascii="仿宋" w:hAnsi="仿宋" w:eastAsia="仿宋"/>
          <w:color w:val="auto"/>
          <w:sz w:val="24"/>
          <w:szCs w:val="24"/>
          <w:highlight w:val="none"/>
        </w:rPr>
        <w:t>的道路，营造出一座“</w:t>
      </w:r>
      <w:r>
        <w:rPr>
          <w:rFonts w:ascii="仿宋" w:hAnsi="仿宋" w:eastAsia="仿宋"/>
          <w:color w:val="auto"/>
          <w:sz w:val="24"/>
          <w:szCs w:val="24"/>
          <w:highlight w:val="none"/>
        </w:rPr>
        <w:t>惊奇</w:t>
      </w:r>
      <w:r>
        <w:rPr>
          <w:rFonts w:hint="eastAsia" w:ascii="仿宋" w:hAnsi="仿宋" w:eastAsia="仿宋"/>
          <w:color w:val="auto"/>
          <w:sz w:val="24"/>
          <w:szCs w:val="24"/>
          <w:highlight w:val="none"/>
        </w:rPr>
        <w:t>活”</w:t>
      </w:r>
      <w:r>
        <w:rPr>
          <w:rFonts w:ascii="仿宋" w:hAnsi="仿宋" w:eastAsia="仿宋"/>
          <w:color w:val="auto"/>
          <w:sz w:val="24"/>
          <w:szCs w:val="24"/>
          <w:highlight w:val="none"/>
        </w:rPr>
        <w:t>的森林物语。</w:t>
      </w:r>
      <w:r>
        <w:rPr>
          <w:rFonts w:hint="eastAsia" w:ascii="仿宋" w:hAnsi="仿宋" w:eastAsia="仿宋"/>
          <w:color w:val="auto"/>
          <w:sz w:val="24"/>
          <w:szCs w:val="24"/>
          <w:highlight w:val="none"/>
        </w:rPr>
        <w:t>克拉玛依市科技馆拟引进森林物语（</w:t>
      </w:r>
      <w:r>
        <w:rPr>
          <w:rFonts w:ascii="仿宋" w:hAnsi="仿宋" w:eastAsia="仿宋"/>
          <w:color w:val="auto"/>
          <w:sz w:val="24"/>
          <w:szCs w:val="24"/>
          <w:highlight w:val="none"/>
        </w:rPr>
        <w:t>热带雨林</w:t>
      </w:r>
      <w:r>
        <w:rPr>
          <w:rFonts w:hint="eastAsia" w:ascii="仿宋" w:hAnsi="仿宋" w:eastAsia="仿宋"/>
          <w:color w:val="auto"/>
          <w:sz w:val="24"/>
          <w:szCs w:val="24"/>
          <w:highlight w:val="none"/>
        </w:rPr>
        <w:t>）虫现江湖，让观众在“热带雨林”中，真正做到所看，</w:t>
      </w:r>
      <w:r>
        <w:rPr>
          <w:rFonts w:ascii="仿宋" w:hAnsi="仿宋" w:eastAsia="仿宋"/>
          <w:color w:val="auto"/>
          <w:sz w:val="24"/>
          <w:szCs w:val="24"/>
          <w:highlight w:val="none"/>
        </w:rPr>
        <w:t>所感</w:t>
      </w:r>
      <w:r>
        <w:rPr>
          <w:rFonts w:hint="eastAsia" w:ascii="仿宋" w:hAnsi="仿宋" w:eastAsia="仿宋"/>
          <w:color w:val="auto"/>
          <w:sz w:val="24"/>
          <w:szCs w:val="24"/>
          <w:highlight w:val="none"/>
        </w:rPr>
        <w:t>，</w:t>
      </w:r>
      <w:r>
        <w:rPr>
          <w:rFonts w:ascii="仿宋" w:hAnsi="仿宋" w:eastAsia="仿宋"/>
          <w:color w:val="auto"/>
          <w:sz w:val="24"/>
          <w:szCs w:val="24"/>
          <w:highlight w:val="none"/>
        </w:rPr>
        <w:t>所想</w:t>
      </w:r>
      <w:r>
        <w:rPr>
          <w:rFonts w:hint="eastAsia" w:ascii="仿宋" w:hAnsi="仿宋" w:eastAsia="仿宋"/>
          <w:color w:val="auto"/>
          <w:sz w:val="24"/>
          <w:szCs w:val="24"/>
          <w:highlight w:val="none"/>
        </w:rPr>
        <w:t>，所闻，</w:t>
      </w:r>
      <w:r>
        <w:rPr>
          <w:rFonts w:ascii="仿宋" w:hAnsi="仿宋" w:eastAsia="仿宋"/>
          <w:color w:val="auto"/>
          <w:sz w:val="24"/>
          <w:szCs w:val="24"/>
          <w:highlight w:val="none"/>
        </w:rPr>
        <w:t>与</w:t>
      </w:r>
      <w:r>
        <w:rPr>
          <w:rFonts w:hint="eastAsia" w:ascii="仿宋" w:hAnsi="仿宋" w:eastAsia="仿宋"/>
          <w:color w:val="auto"/>
          <w:sz w:val="24"/>
          <w:szCs w:val="24"/>
          <w:highlight w:val="none"/>
        </w:rPr>
        <w:t>动植物零距离互动，</w:t>
      </w:r>
      <w:r>
        <w:rPr>
          <w:rFonts w:ascii="仿宋" w:hAnsi="仿宋" w:eastAsia="仿宋"/>
          <w:color w:val="auto"/>
          <w:sz w:val="24"/>
          <w:szCs w:val="24"/>
          <w:highlight w:val="none"/>
        </w:rPr>
        <w:t>寓教于乐</w:t>
      </w:r>
      <w:r>
        <w:rPr>
          <w:rFonts w:hint="eastAsia" w:ascii="仿宋" w:hAnsi="仿宋" w:eastAsia="仿宋"/>
          <w:color w:val="auto"/>
          <w:sz w:val="24"/>
          <w:szCs w:val="24"/>
          <w:highlight w:val="none"/>
        </w:rPr>
        <w:t>，自然而然科普到自然科学知识。</w:t>
      </w:r>
    </w:p>
    <w:p>
      <w:pPr>
        <w:pStyle w:val="2"/>
        <w:keepNext w:val="0"/>
        <w:keepLines w:val="0"/>
        <w:pageBreakBefore w:val="0"/>
        <w:widowControl w:val="0"/>
        <w:kinsoku/>
        <w:wordWrap/>
        <w:overflowPunct/>
        <w:topLinePunct w:val="0"/>
        <w:autoSpaceDE/>
        <w:autoSpaceDN/>
        <w:bidi w:val="0"/>
        <w:spacing w:line="312" w:lineRule="auto"/>
        <w:ind w:firstLine="482" w:firstLineChars="200"/>
        <w:textAlignment w:val="auto"/>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三、展览内容：</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两大主题区：雨林景观区、河流景观区</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三大元素：景观布置、动物展示、科普教育。</w:t>
      </w:r>
    </w:p>
    <w:p>
      <w:pPr>
        <w:keepNext w:val="0"/>
        <w:keepLines w:val="0"/>
        <w:pageBreakBefore w:val="0"/>
        <w:widowControl w:val="0"/>
        <w:kinsoku/>
        <w:wordWrap/>
        <w:overflowPunct/>
        <w:topLinePunct w:val="0"/>
        <w:autoSpaceDE/>
        <w:autoSpaceDN/>
        <w:bidi w:val="0"/>
        <w:spacing w:line="312" w:lineRule="auto"/>
        <w:ind w:firstLine="482" w:firstLineChars="200"/>
        <w:textAlignment w:val="auto"/>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四、物种清单</w:t>
      </w:r>
    </w:p>
    <w:tbl>
      <w:tblPr>
        <w:tblStyle w:val="24"/>
        <w:tblW w:w="100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553"/>
        <w:gridCol w:w="614"/>
        <w:gridCol w:w="1509"/>
        <w:gridCol w:w="1690"/>
        <w:gridCol w:w="696"/>
        <w:gridCol w:w="961"/>
        <w:gridCol w:w="966"/>
        <w:gridCol w:w="1460"/>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分区</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细化分类</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内容说明</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物种</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种类</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平方米</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w:t>
            </w:r>
          </w:p>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（平方米）</w:t>
            </w:r>
          </w:p>
        </w:tc>
        <w:tc>
          <w:tcPr>
            <w:tcW w:w="1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总价</w:t>
            </w:r>
          </w:p>
        </w:tc>
        <w:tc>
          <w:tcPr>
            <w:tcW w:w="1168"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457" w:type="dxa"/>
            <w:vMerge w:val="restart"/>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67" w:type="dxa"/>
            <w:gridSpan w:val="2"/>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雨林造景</w:t>
            </w:r>
          </w:p>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（平方米）</w:t>
            </w:r>
          </w:p>
        </w:tc>
        <w:tc>
          <w:tcPr>
            <w:tcW w:w="1509"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动线规划；塑石造景；雨林环境搭建；植物种植；雾化设备等</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腹足动物</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61"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c>
          <w:tcPr>
            <w:tcW w:w="966"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168" w:type="dxa"/>
            <w:vMerge w:val="restart"/>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457" w:type="dxa"/>
            <w:vMerge w:val="continue"/>
            <w:tcBorders>
              <w:top w:val="single" w:color="000000" w:sz="4" w:space="0"/>
              <w:left w:val="single" w:color="000000" w:sz="8" w:space="0"/>
              <w:bottom w:val="nil"/>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1167" w:type="dxa"/>
            <w:gridSpan w:val="2"/>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节肢动物</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961"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1168" w:type="dxa"/>
            <w:vMerge w:val="continue"/>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457" w:type="dxa"/>
            <w:vMerge w:val="continue"/>
            <w:tcBorders>
              <w:top w:val="single" w:color="000000" w:sz="4" w:space="0"/>
              <w:left w:val="single" w:color="000000" w:sz="8" w:space="0"/>
              <w:bottom w:val="nil"/>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1167" w:type="dxa"/>
            <w:gridSpan w:val="2"/>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爬行动物</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961"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1168" w:type="dxa"/>
            <w:vMerge w:val="continue"/>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45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溪流造景</w:t>
            </w:r>
          </w:p>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（平方米）</w:t>
            </w: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动线规划；塑石造景；防水施工；水系环境搭建；植物种植；循环设备等</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两栖动物</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168"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45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水生动物</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116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鸟笼造景</w:t>
            </w:r>
          </w:p>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（平方米）</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铁丝鸟笼搭建；枯木造景；</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鸟类</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其他费用</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运输、维护、人员、宣传等</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auto"/>
                <w:sz w:val="24"/>
                <w:szCs w:val="24"/>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823"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总计</w:t>
            </w:r>
          </w:p>
        </w:tc>
        <w:tc>
          <w:tcPr>
            <w:tcW w:w="69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34</w:t>
            </w:r>
          </w:p>
        </w:tc>
        <w:tc>
          <w:tcPr>
            <w:tcW w:w="96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800</w:t>
            </w:r>
          </w:p>
        </w:tc>
        <w:tc>
          <w:tcPr>
            <w:tcW w:w="966"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 w:hAnsi="仿宋" w:eastAsia="仿宋" w:cs="仿宋"/>
                <w:b/>
                <w:bCs/>
                <w:i w:val="0"/>
                <w:iCs w:val="0"/>
                <w:color w:val="auto"/>
                <w:sz w:val="24"/>
                <w:szCs w:val="24"/>
                <w:highlight w:val="none"/>
                <w:u w:val="none"/>
              </w:rPr>
            </w:pPr>
          </w:p>
        </w:tc>
        <w:tc>
          <w:tcPr>
            <w:tcW w:w="146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074" w:type="dxa"/>
            <w:gridSpan w:val="10"/>
            <w:tcBorders>
              <w:top w:val="single" w:color="000000" w:sz="8" w:space="0"/>
              <w:left w:val="single" w:color="000000" w:sz="8" w:space="0"/>
              <w:bottom w:val="single" w:color="000000" w:sz="4" w:space="0"/>
              <w:right w:val="single" w:color="000000" w:sz="4" w:space="0"/>
            </w:tcBorders>
            <w:shd w:val="clear" w:color="auto" w:fill="A9D08E"/>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景观物种部分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分区</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细化分类</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物种</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内容说明</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总价</w:t>
            </w:r>
          </w:p>
        </w:tc>
        <w:tc>
          <w:tcPr>
            <w:tcW w:w="1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备选动物</w:t>
            </w:r>
          </w:p>
        </w:tc>
        <w:tc>
          <w:tcPr>
            <w:tcW w:w="1168"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两栖动物</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角蛙</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restart"/>
            <w:tcBorders>
              <w:top w:val="single" w:color="000000" w:sz="4" w:space="0"/>
              <w:left w:val="single" w:color="000000" w:sz="4" w:space="0"/>
              <w:bottom w:val="nil"/>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枯叶蛙</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非洲牛蛙</w:t>
            </w:r>
          </w:p>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小丑蛙</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姥爷树蛙</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六角恐龙</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水系+造景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restart"/>
            <w:tcBorders>
              <w:top w:val="single" w:color="000000" w:sz="4" w:space="0"/>
              <w:left w:val="single" w:color="000000" w:sz="4" w:space="0"/>
              <w:bottom w:val="nil"/>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火蝾螈</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虎纹蝾螈</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勾手蟹</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restart"/>
            <w:tcBorders>
              <w:top w:val="single" w:color="000000" w:sz="4" w:space="0"/>
              <w:left w:val="single" w:color="000000" w:sz="4" w:space="0"/>
              <w:bottom w:val="nil"/>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椰子蟹</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鳄龟</w:t>
            </w:r>
          </w:p>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枯叶龟</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相手蟹</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椰子蟹</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腹足动物</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白玉蜗牛</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tcBorders>
              <w:top w:val="single" w:color="000000" w:sz="4" w:space="0"/>
              <w:left w:val="single" w:color="000000" w:sz="4" w:space="0"/>
              <w:bottom w:val="nil"/>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非洲大蜗牛</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1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节肢动物</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越南地老虎</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海南捕鸟蛛</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巨人马陆</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tcBorders>
              <w:top w:val="single" w:color="000000" w:sz="4" w:space="0"/>
              <w:left w:val="single" w:color="000000" w:sz="4" w:space="0"/>
              <w:bottom w:val="nil"/>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红环马陆、球马陆</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蓝脚巨人蜈蚣</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黄脚巨人蜈蚣</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锹甲</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restart"/>
            <w:tcBorders>
              <w:top w:val="single" w:color="000000" w:sz="4" w:space="0"/>
              <w:left w:val="single" w:color="000000" w:sz="4" w:space="0"/>
              <w:bottom w:val="nil"/>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发声蟑螂</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蝈蝈</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花金龟</w:t>
            </w:r>
          </w:p>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雨林蝎</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长戟大兜虫</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南洋大兜虫</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1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爬行动物</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鬃狮蜥</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restart"/>
            <w:tcBorders>
              <w:top w:val="single" w:color="000000" w:sz="4" w:space="0"/>
              <w:left w:val="single" w:color="000000" w:sz="4" w:space="0"/>
              <w:bottom w:val="nil"/>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蓝色丛林蜥</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白唇树蜥</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橙点石龙子</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肥尾守宫</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橙点守宫</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双冠蜥</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卷尾沙蜥</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遁甲蜥</w:t>
            </w:r>
          </w:p>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绿色丛林蜥</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斑帆蜥</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豹纹守宫</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睫角守宫</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伞蜥</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蓝舌石龙子</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红眼鹰蜥</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玉米蛇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绿瘦蛇</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牛蛇</w:t>
            </w:r>
          </w:p>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牛奶蛇</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猪鼻蛇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鸟类</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中南美洲鹦鹉家族</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红绿金刚鹦鹉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封闭式铁艺鸟笼+造景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蓝黄金刚鹦鹉</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小太阳鹦鹉</w:t>
            </w:r>
          </w:p>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金太阳鹦鹉</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和尚鹦鹉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封闭式铁艺鸟笼+造景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非洲鹦家族</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牡丹鹦鹉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封闭式铁艺鸟笼+造景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月轮鹦鹉</w:t>
            </w:r>
          </w:p>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塞内加尔鹦鹉</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灰机鹦鹉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封闭式铁艺鸟笼+造景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大洋洲鹦鹉家族</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虎皮鹦鹉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开放式观赏铁艺鸟笼+造景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玫瑰鹦鹉</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吸蜜鹦鹉</w:t>
            </w:r>
          </w:p>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玄凤鹦鹉</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折忠鹦鹉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封闭式铁艺鸟笼+造景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葵花鹦鹉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封闭式铁艺鸟笼+造景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其他</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文鸟（4款）</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开放式观赏铁艺鸟笼+造景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11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水生动物</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电鳗</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restart"/>
            <w:tcBorders>
              <w:top w:val="single" w:color="000000" w:sz="4" w:space="0"/>
              <w:left w:val="single" w:color="000000" w:sz="4" w:space="0"/>
              <w:bottom w:val="nil"/>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狗头鱼</w:t>
            </w:r>
          </w:p>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恐龙鱼</w:t>
            </w:r>
          </w:p>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玻璃猫</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肺鱼</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象鼻鱼</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生物缸+造景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519" w:type="dxa"/>
            <w:gridSpan w:val="6"/>
            <w:tcBorders>
              <w:top w:val="single" w:color="000000" w:sz="4" w:space="0"/>
              <w:left w:val="single" w:color="000000" w:sz="8"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物种部分总计</w:t>
            </w:r>
          </w:p>
        </w:tc>
        <w:tc>
          <w:tcPr>
            <w:tcW w:w="961"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96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p>
        </w:tc>
        <w:tc>
          <w:tcPr>
            <w:tcW w:w="1460" w:type="dxa"/>
            <w:tcBorders>
              <w:top w:val="single" w:color="000000" w:sz="4" w:space="0"/>
              <w:left w:val="single" w:color="000000" w:sz="4" w:space="0"/>
              <w:bottom w:val="single" w:color="000000" w:sz="8" w:space="0"/>
              <w:right w:val="nil"/>
            </w:tcBorders>
            <w:shd w:val="clear" w:color="auto" w:fill="auto"/>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074" w:type="dxa"/>
            <w:gridSpan w:val="10"/>
            <w:tcBorders>
              <w:top w:val="single" w:color="000000" w:sz="8" w:space="0"/>
              <w:left w:val="single" w:color="000000" w:sz="8" w:space="0"/>
              <w:bottom w:val="single" w:color="000000" w:sz="4" w:space="0"/>
              <w:right w:val="single" w:color="000000" w:sz="4" w:space="0"/>
            </w:tcBorders>
            <w:shd w:val="clear" w:color="auto" w:fill="A9D08E"/>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景观植物部分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45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分区</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内容说明</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lang w:eastAsia="zh-CN"/>
              </w:rPr>
            </w:pPr>
            <w:r>
              <w:rPr>
                <w:rFonts w:hint="eastAsia" w:ascii="仿宋" w:hAnsi="仿宋" w:eastAsia="仿宋" w:cs="仿宋"/>
                <w:b/>
                <w:bCs/>
                <w:i w:val="0"/>
                <w:iCs w:val="0"/>
                <w:color w:val="auto"/>
                <w:sz w:val="24"/>
                <w:szCs w:val="24"/>
                <w:highlight w:val="none"/>
                <w:u w:val="none"/>
                <w:lang w:eastAsia="zh-CN"/>
              </w:rPr>
              <w:t>单价</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总价</w:t>
            </w:r>
          </w:p>
        </w:tc>
        <w:tc>
          <w:tcPr>
            <w:tcW w:w="2628"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植物区</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凤梨科（空气凤梨）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包含宝石空气凤梨、美杜莎凤梨、霸王凤梨等15种</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restart"/>
            <w:tcBorders>
              <w:top w:val="single" w:color="000000" w:sz="4" w:space="0"/>
              <w:left w:val="single" w:color="000000" w:sz="4" w:space="0"/>
              <w:bottom w:val="single" w:color="000000" w:sz="8"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根据季节、当地环境、现场状况选择品种及数量</w:t>
            </w: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积水凤梨亚科</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包含红火球积水凤梨、红色拉维斯积水凤梨、金边彩虹积水凤梨等15种</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8"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夹竹桃科</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包含花叶络石与黄金络石2种</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8"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兰科</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包含黑金石斛、宝石兰、三尖兰等22种</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600</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8"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爵床科</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包含大天使网纹草、大火焰网纹草、白雪安妮网纹草、丛林网纹草、绯云网纹草、森林火焰网纹草等6种</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8"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苔藓（平方）</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包含小灰藓、白发藓、大灰藓、短绒藓4种</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8"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天南星科</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包含龟背竹、白金葛、白掌等12种</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8"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9"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蕨类</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包含金毛狗蕨、霸王蕨、富贵蕨、莲花座马蹄蕨、狼尾蕨、鸟巢蕨、铁线蕨、蕾丝蕨8种</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1000</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8"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秋海棠科</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包含流苏、描画、晚秋红、红心、白雪5种</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8"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五加科</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包含绿色、金边、银边常青藤3种</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300</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8"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多肉植物</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8"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57" w:type="dxa"/>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茅膏菜科</w:t>
            </w:r>
          </w:p>
        </w:tc>
        <w:tc>
          <w:tcPr>
            <w:tcW w:w="1690" w:type="dxa"/>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包含捕蝇草、猪笼草</w:t>
            </w:r>
          </w:p>
        </w:tc>
        <w:tc>
          <w:tcPr>
            <w:tcW w:w="696" w:type="dxa"/>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500</w:t>
            </w:r>
          </w:p>
        </w:tc>
        <w:tc>
          <w:tcPr>
            <w:tcW w:w="961"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vMerge w:val="continue"/>
            <w:tcBorders>
              <w:top w:val="single" w:color="000000" w:sz="4" w:space="0"/>
              <w:left w:val="single" w:color="000000" w:sz="4" w:space="0"/>
              <w:bottom w:val="single" w:color="000000" w:sz="8" w:space="0"/>
              <w:right w:val="single" w:color="000000" w:sz="4" w:space="0"/>
            </w:tcBorders>
            <w:shd w:val="clear" w:color="auto" w:fill="E2EFDA"/>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074" w:type="dxa"/>
            <w:gridSpan w:val="10"/>
            <w:tcBorders>
              <w:top w:val="single" w:color="000000" w:sz="8" w:space="0"/>
              <w:left w:val="single" w:color="000000" w:sz="8" w:space="0"/>
              <w:bottom w:val="single" w:color="000000" w:sz="4" w:space="0"/>
              <w:right w:val="single" w:color="000000" w:sz="4" w:space="0"/>
            </w:tcBorders>
            <w:shd w:val="clear" w:color="auto" w:fill="A9D08E"/>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运输费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含布撤展往返运输费</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展期维护费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展览期间的动植物的损耗补充</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人工费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布撤展期间人工费</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45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1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展览宣传设施及材料费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物种说明牌（件）</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生动有趣的物种说明牌，介绍物种体型特征、生活方式</w:t>
            </w:r>
          </w:p>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尺寸：148×210mm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45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auto"/>
                <w:sz w:val="24"/>
                <w:szCs w:val="24"/>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活动展示牌</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项目说明牌，介绍项目主题及物种分类等；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519"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其他费用总计</w:t>
            </w:r>
          </w:p>
        </w:tc>
        <w:tc>
          <w:tcPr>
            <w:tcW w:w="96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 w:hAnsi="仿宋" w:eastAsia="仿宋" w:cs="仿宋"/>
                <w:b/>
                <w:bCs/>
                <w:i w:val="0"/>
                <w:iCs w:val="0"/>
                <w:color w:val="auto"/>
                <w:sz w:val="24"/>
                <w:szCs w:val="24"/>
                <w:highlight w:val="none"/>
                <w:u w:val="none"/>
              </w:rPr>
            </w:pPr>
          </w:p>
        </w:tc>
        <w:tc>
          <w:tcPr>
            <w:tcW w:w="96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p>
        </w:tc>
        <w:tc>
          <w:tcPr>
            <w:tcW w:w="146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 w:hAnsi="仿宋" w:eastAsia="仿宋" w:cs="仿宋"/>
                <w:b/>
                <w:bCs/>
                <w:i w:val="0"/>
                <w:iCs w:val="0"/>
                <w:color w:val="auto"/>
                <w:sz w:val="24"/>
                <w:szCs w:val="24"/>
                <w:highlight w:val="none"/>
                <w:u w:val="none"/>
              </w:rPr>
            </w:pPr>
          </w:p>
        </w:tc>
        <w:tc>
          <w:tcPr>
            <w:tcW w:w="1168" w:type="dxa"/>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auto"/>
                <w:sz w:val="24"/>
                <w:szCs w:val="24"/>
                <w:highlight w:val="none"/>
                <w:u w:val="none"/>
              </w:rPr>
            </w:pPr>
          </w:p>
        </w:tc>
      </w:tr>
    </w:tbl>
    <w:p>
      <w:pPr>
        <w:keepNext w:val="0"/>
        <w:keepLines w:val="0"/>
        <w:pageBreakBefore w:val="0"/>
        <w:widowControl w:val="0"/>
        <w:kinsoku/>
        <w:wordWrap/>
        <w:overflowPunct/>
        <w:topLinePunct w:val="0"/>
        <w:autoSpaceDE/>
        <w:autoSpaceDN/>
        <w:bidi w:val="0"/>
        <w:spacing w:line="312" w:lineRule="auto"/>
        <w:ind w:firstLine="482" w:firstLineChars="200"/>
        <w:textAlignment w:val="auto"/>
        <w:rPr>
          <w:rFonts w:hint="eastAsia" w:ascii="仿宋" w:hAnsi="仿宋" w:eastAsia="仿宋" w:cs="仿宋"/>
          <w:b/>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spacing w:line="312" w:lineRule="auto"/>
        <w:ind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备注：物种清单如有变动需提前与采购方沟通，替换物品不得低于原物品价值。</w:t>
      </w:r>
    </w:p>
    <w:p>
      <w:pPr>
        <w:keepNext w:val="0"/>
        <w:keepLines w:val="0"/>
        <w:pageBreakBefore w:val="0"/>
        <w:widowControl w:val="0"/>
        <w:kinsoku/>
        <w:wordWrap/>
        <w:overflowPunct/>
        <w:topLinePunct w:val="0"/>
        <w:autoSpaceDE/>
        <w:autoSpaceDN/>
        <w:bidi w:val="0"/>
        <w:spacing w:line="312"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五、景观特色：</w:t>
      </w:r>
      <w:r>
        <w:rPr>
          <w:rFonts w:hint="eastAsia" w:ascii="仿宋" w:hAnsi="仿宋" w:eastAsia="仿宋" w:cs="仿宋"/>
          <w:color w:val="auto"/>
          <w:sz w:val="24"/>
          <w:szCs w:val="24"/>
          <w:highlight w:val="none"/>
        </w:rPr>
        <w:t>微溪流景观、生物缸、生物箱，山石，枯木与生物、植物融合一体，呈现多样丰富的雨林景观。</w:t>
      </w:r>
    </w:p>
    <w:p>
      <w:pPr>
        <w:keepNext w:val="0"/>
        <w:keepLines w:val="0"/>
        <w:pageBreakBefore w:val="0"/>
        <w:widowControl w:val="0"/>
        <w:kinsoku/>
        <w:wordWrap/>
        <w:overflowPunct/>
        <w:topLinePunct w:val="0"/>
        <w:autoSpaceDE/>
        <w:autoSpaceDN/>
        <w:bidi w:val="0"/>
        <w:spacing w:line="312"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六、科普教育活动：</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由供应商策划，经采购人同意后由供应商与采购人共同实施线上培训或线下结合，并在展览开始期间配合两次紧扣临展主题的科学教育活动。</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1、科普教育活动标准</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①科普教育活动内容设计上要贴合所展览的科普主题，尽量与展览中的展项相关。</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②具有科学性。科普活动内容要具有科学依据，符合科学常识。</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③具有知识性。科普活动要将科学知识贯穿其中，能够准确表达某个科学原理或其技术应用，让观众能获得相应科技体验。</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④具有针对性。科普活动设计时要考虑到不同年龄的观众对科学的需求和接受能力，要能够针对目标受众开展适合的教育活动。</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⑤具有趣味性。科普活动要能够激发受众的科学兴趣，让公众在感兴趣的过程中参与活动，学习科学知识。让孩子 “动手做、做中学”，培养创新能力和动手实践能力。</w:t>
      </w:r>
    </w:p>
    <w:p>
      <w:pPr>
        <w:keepNext w:val="0"/>
        <w:keepLines w:val="0"/>
        <w:pageBreakBefore w:val="0"/>
        <w:widowControl w:val="0"/>
        <w:kinsoku/>
        <w:wordWrap/>
        <w:overflowPunct/>
        <w:topLinePunct w:val="0"/>
        <w:autoSpaceDE/>
        <w:autoSpaceDN/>
        <w:bidi w:val="0"/>
        <w:spacing w:line="312"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七、宣传服务</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供应商为场馆开展提供相关宣传资料（宣传文案等）</w:t>
      </w:r>
    </w:p>
    <w:p>
      <w:pPr>
        <w:keepNext w:val="0"/>
        <w:keepLines w:val="0"/>
        <w:pageBreakBefore w:val="0"/>
        <w:widowControl w:val="0"/>
        <w:kinsoku/>
        <w:wordWrap/>
        <w:overflowPunct/>
        <w:topLinePunct w:val="0"/>
        <w:autoSpaceDE/>
        <w:autoSpaceDN/>
        <w:bidi w:val="0"/>
        <w:spacing w:line="312"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八、展出时长</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2个月（不包含布展时间）</w:t>
      </w:r>
    </w:p>
    <w:p>
      <w:pPr>
        <w:keepNext w:val="0"/>
        <w:keepLines w:val="0"/>
        <w:pageBreakBefore w:val="0"/>
        <w:widowControl w:val="0"/>
        <w:kinsoku/>
        <w:wordWrap/>
        <w:overflowPunct/>
        <w:topLinePunct w:val="0"/>
        <w:autoSpaceDE/>
        <w:autoSpaceDN/>
        <w:bidi w:val="0"/>
        <w:spacing w:line="312"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九、展品维护</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供应商在展览期间</w:t>
      </w:r>
      <w:r>
        <w:rPr>
          <w:rFonts w:hint="eastAsia" w:ascii="仿宋" w:hAnsi="仿宋" w:eastAsia="仿宋" w:cs="仿宋"/>
          <w:color w:val="auto"/>
          <w:sz w:val="24"/>
          <w:szCs w:val="24"/>
          <w:highlight w:val="none"/>
          <w:lang w:val="en-US" w:eastAsia="zh-CN"/>
        </w:rPr>
        <w:t>免费</w:t>
      </w:r>
      <w:r>
        <w:rPr>
          <w:rFonts w:hint="eastAsia" w:ascii="仿宋" w:hAnsi="仿宋" w:eastAsia="仿宋" w:cs="仿宋"/>
          <w:color w:val="auto"/>
          <w:sz w:val="24"/>
          <w:szCs w:val="24"/>
          <w:highlight w:val="none"/>
        </w:rPr>
        <w:t>配备1名专业随展工作人员，确保展出期间展品完好，</w:t>
      </w:r>
      <w:r>
        <w:rPr>
          <w:rFonts w:hint="eastAsia" w:ascii="仿宋" w:hAnsi="仿宋" w:eastAsia="仿宋" w:cs="仿宋"/>
          <w:color w:val="auto"/>
          <w:sz w:val="24"/>
          <w:szCs w:val="24"/>
          <w:highlight w:val="none"/>
          <w:lang w:eastAsia="zh-CN"/>
        </w:rPr>
        <w:t>展品如有损坏</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免费进行替换，同时</w:t>
      </w:r>
      <w:r>
        <w:rPr>
          <w:rFonts w:hint="eastAsia" w:ascii="仿宋" w:hAnsi="仿宋" w:eastAsia="仿宋" w:cs="仿宋"/>
          <w:color w:val="auto"/>
          <w:sz w:val="24"/>
          <w:szCs w:val="24"/>
          <w:highlight w:val="none"/>
        </w:rPr>
        <w:t>配合场馆开展志愿者管理、教育活动等工作。</w:t>
      </w:r>
    </w:p>
    <w:p>
      <w:pPr>
        <w:keepNext w:val="0"/>
        <w:keepLines w:val="0"/>
        <w:pageBreakBefore w:val="0"/>
        <w:widowControl w:val="0"/>
        <w:kinsoku/>
        <w:wordWrap/>
        <w:overflowPunct/>
        <w:topLinePunct w:val="0"/>
        <w:autoSpaceDE/>
        <w:autoSpaceDN/>
        <w:bidi w:val="0"/>
        <w:spacing w:line="312"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十、布撤展时间</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自接到采购人通知之日起</w:t>
      </w:r>
      <w:r>
        <w:rPr>
          <w:rFonts w:hint="eastAsia" w:ascii="仿宋" w:hAnsi="仿宋" w:eastAsia="仿宋" w:cs="仿宋"/>
          <w:b w:val="0"/>
          <w:bCs/>
          <w:color w:val="auto"/>
          <w:sz w:val="24"/>
          <w:szCs w:val="24"/>
          <w:highlight w:val="none"/>
          <w:lang w:val="en-US" w:eastAsia="zh-CN"/>
        </w:rPr>
        <w:t>35天（日历日）内完成布展搭建等工作；</w:t>
      </w:r>
      <w:r>
        <w:rPr>
          <w:rFonts w:hint="eastAsia" w:ascii="仿宋" w:hAnsi="仿宋" w:eastAsia="仿宋" w:cs="仿宋"/>
          <w:b w:val="0"/>
          <w:bCs/>
          <w:color w:val="auto"/>
          <w:sz w:val="24"/>
          <w:szCs w:val="24"/>
          <w:highlight w:val="none"/>
          <w:lang w:eastAsia="zh-CN"/>
        </w:rPr>
        <w:t>自接到采购人撤展通知之日起</w:t>
      </w:r>
      <w:r>
        <w:rPr>
          <w:rFonts w:hint="eastAsia" w:ascii="仿宋" w:hAnsi="仿宋" w:eastAsia="仿宋" w:cs="仿宋"/>
          <w:b w:val="0"/>
          <w:bCs/>
          <w:color w:val="auto"/>
          <w:sz w:val="24"/>
          <w:szCs w:val="24"/>
          <w:highlight w:val="none"/>
          <w:lang w:val="en-US" w:eastAsia="zh-CN"/>
        </w:rPr>
        <w:t>15天（日历日）内完成撤展全部工作内容并经验收合格</w:t>
      </w:r>
      <w:r>
        <w:rPr>
          <w:rFonts w:hint="eastAsia" w:ascii="仿宋" w:hAnsi="仿宋" w:eastAsia="仿宋" w:cs="仿宋"/>
          <w:b w:val="0"/>
          <w:bCs/>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312"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十一、商务要求、人民币报价</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报价须包含当前标包的全部采购内容。</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合同包干价，含货物供货、运输、安装、调试、验收、售后服务、研学人员培训、保险、税金等一切费用。</w:t>
      </w:r>
    </w:p>
    <w:p>
      <w:pPr>
        <w:keepNext w:val="0"/>
        <w:keepLines w:val="0"/>
        <w:pageBreakBefore w:val="0"/>
        <w:widowControl w:val="0"/>
        <w:kinsoku/>
        <w:wordWrap/>
        <w:overflowPunct/>
        <w:topLinePunct w:val="0"/>
        <w:autoSpaceDE/>
        <w:autoSpaceDN/>
        <w:bidi w:val="0"/>
        <w:spacing w:line="312"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eastAsia="zh-CN"/>
        </w:rPr>
        <w:t>二</w:t>
      </w:r>
      <w:r>
        <w:rPr>
          <w:rFonts w:hint="eastAsia" w:ascii="仿宋" w:hAnsi="仿宋" w:eastAsia="仿宋" w:cs="仿宋"/>
          <w:b/>
          <w:bCs/>
          <w:color w:val="auto"/>
          <w:sz w:val="24"/>
          <w:szCs w:val="24"/>
          <w:highlight w:val="none"/>
        </w:rPr>
        <w:t>、交货要求​</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1、所有展品按时送达指定地点并安装完毕，达到招标单位使用要求。货物交付之前毁损灭失的风险由</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承担。</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2、运输方式：</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自行决定；运输费用：由</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承担。</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3、交货地点：按采购人指定地点交货。</w:t>
      </w:r>
    </w:p>
    <w:p>
      <w:pPr>
        <w:keepNext w:val="0"/>
        <w:keepLines w:val="0"/>
        <w:pageBreakBefore w:val="0"/>
        <w:widowControl w:val="0"/>
        <w:kinsoku/>
        <w:wordWrap/>
        <w:overflowPunct/>
        <w:topLinePunct w:val="0"/>
        <w:autoSpaceDE/>
        <w:autoSpaceDN/>
        <w:bidi w:val="0"/>
        <w:spacing w:line="312"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、验收</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购人将组织相关人员及专家对采购项目进行验收，验收意见作为验收书的参考资料存档备查，验收将严格按照招标文件的规定和竞标文件的响应及承诺执行，验收不合格的将根据合同有关条款进行处理。供应商可在售后服务方案中自行填报验收方案、奖惩处罚措施及承诺。</w:t>
      </w:r>
    </w:p>
    <w:p>
      <w:pPr>
        <w:keepNext w:val="0"/>
        <w:keepLines w:val="0"/>
        <w:pageBreakBefore w:val="0"/>
        <w:widowControl w:val="0"/>
        <w:kinsoku/>
        <w:wordWrap/>
        <w:overflowPunct/>
        <w:topLinePunct w:val="0"/>
        <w:autoSpaceDE/>
        <w:autoSpaceDN/>
        <w:bidi w:val="0"/>
        <w:spacing w:line="312" w:lineRule="auto"/>
        <w:jc w:val="center"/>
        <w:textAlignment w:val="auto"/>
        <w:rPr>
          <w:rFonts w:hint="eastAsia" w:ascii="仿宋_GB2312" w:eastAsia="仿宋_GB2312"/>
          <w:b/>
          <w:bCs/>
          <w:color w:val="auto"/>
          <w:sz w:val="28"/>
          <w:szCs w:val="28"/>
          <w:highlight w:val="none"/>
        </w:rPr>
      </w:pPr>
    </w:p>
    <w:p>
      <w:pPr>
        <w:keepNext w:val="0"/>
        <w:keepLines w:val="0"/>
        <w:pageBreakBefore w:val="0"/>
        <w:widowControl w:val="0"/>
        <w:kinsoku/>
        <w:wordWrap/>
        <w:overflowPunct/>
        <w:topLinePunct w:val="0"/>
        <w:autoSpaceDE/>
        <w:autoSpaceDN/>
        <w:bidi w:val="0"/>
        <w:spacing w:line="312" w:lineRule="auto"/>
        <w:jc w:val="center"/>
        <w:textAlignment w:val="auto"/>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hint="eastAsia" w:ascii="仿宋_GB2312" w:eastAsia="仿宋_GB2312"/>
          <w:b/>
          <w:bCs/>
          <w:color w:val="auto"/>
          <w:sz w:val="28"/>
          <w:szCs w:val="28"/>
          <w:highlight w:val="none"/>
        </w:rPr>
      </w:pPr>
    </w:p>
    <w:p>
      <w:pPr>
        <w:spacing w:line="440" w:lineRule="exact"/>
        <w:jc w:val="center"/>
        <w:rPr>
          <w:rFonts w:ascii="黑体" w:eastAsia="黑体"/>
          <w:b/>
          <w:color w:val="auto"/>
          <w:sz w:val="32"/>
          <w:szCs w:val="32"/>
          <w:highlight w:val="none"/>
        </w:rPr>
      </w:pPr>
      <w:r>
        <w:rPr>
          <w:rFonts w:hint="eastAsia" w:ascii="仿宋_GB2312" w:eastAsia="仿宋_GB2312"/>
          <w:b/>
          <w:bCs/>
          <w:color w:val="auto"/>
          <w:sz w:val="28"/>
          <w:szCs w:val="28"/>
          <w:highlight w:val="none"/>
        </w:rPr>
        <w:t>第四章  合同文本</w:t>
      </w:r>
    </w:p>
    <w:p>
      <w:pPr>
        <w:spacing w:line="312" w:lineRule="auto"/>
        <w:ind w:firstLine="472" w:firstLineChars="196"/>
        <w:outlineLvl w:val="2"/>
        <w:rPr>
          <w:rFonts w:ascii="仿宋_GB2312" w:eastAsia="仿宋_GB2312"/>
          <w:b/>
          <w:color w:val="auto"/>
          <w:highlight w:val="none"/>
        </w:rPr>
      </w:pPr>
      <w:bookmarkStart w:id="166" w:name="_Toc233274440"/>
      <w:bookmarkStart w:id="167" w:name="_Toc245369990"/>
      <w:bookmarkStart w:id="168" w:name="_Toc246216233"/>
      <w:bookmarkStart w:id="169" w:name="_Toc246216290"/>
      <w:bookmarkStart w:id="170" w:name="_Toc233275179"/>
      <w:bookmarkStart w:id="171" w:name="_Toc243907627"/>
      <w:bookmarkStart w:id="172" w:name="_Toc245370108"/>
      <w:bookmarkStart w:id="173" w:name="_Toc246216267"/>
      <w:bookmarkStart w:id="174" w:name="_Toc246216425"/>
      <w:bookmarkStart w:id="175" w:name="_Toc243906397"/>
      <w:bookmarkStart w:id="176" w:name="_Toc233274892"/>
      <w:bookmarkStart w:id="177" w:name="_Toc243904849"/>
      <w:r>
        <w:rPr>
          <w:rFonts w:hint="eastAsia" w:ascii="仿宋_GB2312" w:eastAsia="仿宋_GB2312"/>
          <w:b/>
          <w:color w:val="auto"/>
          <w:sz w:val="24"/>
          <w:highlight w:val="none"/>
        </w:rPr>
        <w:t>1、定义</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1.1“合同”系指甲乙双方共同签署的、合同中载明的甲、乙双方所达成的协议，包括：成交通知书；合同条款；响应文件及承诺；项目采购需求；采购文件（含补充文件、修改文件）及答疑纪要；双方约定的其他所有文件等构成合同的所有文件的总称。</w:t>
      </w:r>
    </w:p>
    <w:p>
      <w:pPr>
        <w:spacing w:line="312" w:lineRule="auto"/>
        <w:ind w:firstLine="480" w:firstLineChars="200"/>
        <w:rPr>
          <w:rFonts w:ascii="仿宋_GB2312" w:eastAsia="仿宋_GB2312"/>
          <w:color w:val="auto"/>
          <w:sz w:val="24"/>
          <w:highlight w:val="none"/>
        </w:rPr>
      </w:pPr>
      <w:r>
        <w:rPr>
          <w:rFonts w:hint="eastAsia" w:ascii="仿宋_GB2312" w:hAnsi="宋体" w:eastAsia="仿宋_GB2312"/>
          <w:color w:val="auto"/>
          <w:sz w:val="24"/>
          <w:highlight w:val="none"/>
        </w:rPr>
        <w:t>1.2“甲方”系指</w:t>
      </w:r>
      <w:r>
        <w:rPr>
          <w:rFonts w:hint="eastAsia" w:ascii="仿宋_GB2312" w:hAnsi="宋体" w:eastAsia="仿宋_GB2312"/>
          <w:color w:val="auto"/>
          <w:sz w:val="24"/>
          <w:highlight w:val="none"/>
          <w:lang w:eastAsia="zh-CN"/>
        </w:rPr>
        <w:t>“森林物语&amp;虫现江湖”——大型热带雨林实景生态展</w:t>
      </w:r>
      <w:r>
        <w:rPr>
          <w:rFonts w:hint="eastAsia" w:ascii="仿宋_GB2312" w:eastAsia="仿宋_GB2312"/>
          <w:color w:val="auto"/>
          <w:sz w:val="24"/>
          <w:highlight w:val="none"/>
        </w:rPr>
        <w:t>。</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1.3“乙方”系指取得成交资格，提供所需服务的成交供应商。</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1.4“合同价款”系指根据合同条款、技术规范及标准、项目采购需求、本采购文件的规定，乙方在正确、完整地履行合同义务后，甲方应支付给乙方提供服务的金额。</w:t>
      </w:r>
    </w:p>
    <w:p>
      <w:pPr>
        <w:spacing w:line="312" w:lineRule="auto"/>
        <w:ind w:firstLine="482"/>
        <w:jc w:val="left"/>
        <w:rPr>
          <w:rFonts w:ascii="仿宋_GB2312" w:eastAsia="仿宋_GB2312"/>
          <w:b/>
          <w:bCs/>
          <w:color w:val="auto"/>
          <w:sz w:val="24"/>
          <w:highlight w:val="none"/>
        </w:rPr>
      </w:pPr>
      <w:r>
        <w:rPr>
          <w:rFonts w:hint="eastAsia" w:ascii="仿宋_GB2312" w:eastAsia="仿宋_GB2312"/>
          <w:color w:val="auto"/>
          <w:sz w:val="24"/>
          <w:highlight w:val="none"/>
        </w:rPr>
        <w:t>1.5“服务”系指合同条款、技术规范及标准、项目采购需求、本采购文件规定，成交供应商为保证</w:t>
      </w:r>
      <w:r>
        <w:rPr>
          <w:rFonts w:hint="eastAsia" w:ascii="仿宋_GB2312" w:eastAsia="仿宋_GB2312"/>
          <w:b/>
          <w:bCs/>
          <w:color w:val="auto"/>
          <w:sz w:val="24"/>
          <w:highlight w:val="none"/>
          <w:lang w:eastAsia="zh-CN"/>
        </w:rPr>
        <w:t>完成“森林物语&amp;虫现江湖”——大型热带雨林实景生态展的所有工作，配合采购人完成与此服务相关的合同条款、技术规范及标准、项目采购需求、采购文件约定的全部内容及责任和义务</w:t>
      </w:r>
      <w:r>
        <w:rPr>
          <w:rFonts w:hint="eastAsia" w:ascii="仿宋_GB2312" w:eastAsia="仿宋_GB2312"/>
          <w:b/>
          <w:bCs/>
          <w:color w:val="auto"/>
          <w:sz w:val="24"/>
          <w:highlight w:val="none"/>
        </w:rPr>
        <w:t>。</w:t>
      </w:r>
    </w:p>
    <w:p>
      <w:pPr>
        <w:pStyle w:val="14"/>
        <w:spacing w:line="312" w:lineRule="auto"/>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1.6“技术规范及标准”系指适用于本项目的规范及标准。当新的规范及标准颁布后以新颁布的规范及标准执行。</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1.7凡提及的“天、日期、星期、月份和年份”系指公历日历的日历天、日期、星期、月份和年份。</w:t>
      </w:r>
    </w:p>
    <w:p>
      <w:pPr>
        <w:spacing w:line="312" w:lineRule="auto"/>
        <w:ind w:firstLine="482" w:firstLineChars="200"/>
        <w:outlineLvl w:val="2"/>
        <w:rPr>
          <w:rFonts w:ascii="仿宋_GB2312" w:eastAsia="仿宋_GB2312"/>
          <w:b/>
          <w:color w:val="auto"/>
          <w:sz w:val="24"/>
          <w:highlight w:val="none"/>
        </w:rPr>
      </w:pPr>
      <w:r>
        <w:rPr>
          <w:rFonts w:hint="eastAsia" w:ascii="仿宋_GB2312" w:eastAsia="仿宋_GB2312"/>
          <w:b/>
          <w:color w:val="auto"/>
          <w:sz w:val="24"/>
          <w:highlight w:val="none"/>
        </w:rPr>
        <w:t>2、适用范围</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2.1 本合同条款适用于本次</w:t>
      </w:r>
      <w:r>
        <w:rPr>
          <w:rFonts w:hint="eastAsia" w:ascii="仿宋_GB2312" w:eastAsia="仿宋_GB2312"/>
          <w:color w:val="auto"/>
          <w:sz w:val="24"/>
          <w:highlight w:val="none"/>
          <w:lang w:eastAsia="zh-CN"/>
        </w:rPr>
        <w:t>“森林物语&amp;虫现江湖”——大型热带雨林实景生态展</w:t>
      </w:r>
      <w:r>
        <w:rPr>
          <w:rFonts w:hint="eastAsia" w:ascii="仿宋_GB2312" w:eastAsia="仿宋_GB2312"/>
          <w:color w:val="auto"/>
          <w:sz w:val="24"/>
          <w:highlight w:val="none"/>
        </w:rPr>
        <w:t>的采购。</w:t>
      </w:r>
    </w:p>
    <w:p>
      <w:pPr>
        <w:spacing w:line="312" w:lineRule="auto"/>
        <w:ind w:firstLine="482" w:firstLineChars="200"/>
        <w:outlineLvl w:val="2"/>
        <w:rPr>
          <w:rFonts w:ascii="仿宋_GB2312" w:eastAsia="仿宋_GB2312"/>
          <w:b/>
          <w:color w:val="auto"/>
          <w:sz w:val="24"/>
          <w:highlight w:val="none"/>
        </w:rPr>
      </w:pPr>
      <w:r>
        <w:rPr>
          <w:rFonts w:hint="eastAsia" w:ascii="仿宋_GB2312" w:eastAsia="仿宋_GB2312"/>
          <w:b/>
          <w:color w:val="auto"/>
          <w:sz w:val="24"/>
          <w:highlight w:val="none"/>
        </w:rPr>
        <w:t>3、合同价格</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3.1合同价款为：人民币元(大写：人民币    )。</w:t>
      </w:r>
    </w:p>
    <w:p>
      <w:pPr>
        <w:spacing w:line="312" w:lineRule="auto"/>
        <w:ind w:firstLine="480" w:firstLineChars="200"/>
        <w:rPr>
          <w:rFonts w:ascii="仿宋_GB2312" w:eastAsia="仿宋_GB2312"/>
          <w:color w:val="auto"/>
          <w:sz w:val="24"/>
          <w:highlight w:val="none"/>
        </w:rPr>
      </w:pPr>
      <w:r>
        <w:rPr>
          <w:rFonts w:hint="eastAsia" w:ascii="仿宋_GB2312" w:hAnsi="宋体" w:eastAsia="仿宋_GB2312"/>
          <w:color w:val="auto"/>
          <w:sz w:val="24"/>
          <w:highlight w:val="none"/>
        </w:rPr>
        <w:t>3.2</w:t>
      </w:r>
      <w:r>
        <w:rPr>
          <w:rFonts w:hint="eastAsia" w:ascii="仿宋_GB2312" w:eastAsia="仿宋_GB2312"/>
          <w:color w:val="auto"/>
          <w:sz w:val="24"/>
          <w:highlight w:val="none"/>
        </w:rPr>
        <w:t>合同价款：</w:t>
      </w:r>
      <w:r>
        <w:rPr>
          <w:rFonts w:hint="eastAsia" w:ascii="仿宋_GB2312" w:eastAsia="仿宋_GB2312"/>
          <w:b/>
          <w:bCs/>
          <w:color w:val="auto"/>
          <w:sz w:val="24"/>
          <w:highlight w:val="none"/>
          <w:lang w:eastAsia="zh-CN"/>
        </w:rPr>
        <w:t>完成“森林物语&amp;虫现江湖”——大型热带雨林实景生态展的所有工作，配合采购人完成与此服务相关的合同条款、技术规范及标准、项目采购需求、采购文件约定的全部内容及责任和义务</w:t>
      </w:r>
      <w:r>
        <w:rPr>
          <w:rFonts w:hint="eastAsia" w:ascii="仿宋_GB2312" w:hAnsi="新宋体" w:eastAsia="仿宋_GB2312"/>
          <w:bCs/>
          <w:color w:val="auto"/>
          <w:sz w:val="24"/>
          <w:highlight w:val="none"/>
        </w:rPr>
        <w:t>的</w:t>
      </w:r>
      <w:r>
        <w:rPr>
          <w:rFonts w:hint="eastAsia" w:ascii="仿宋_GB2312" w:eastAsia="仿宋_GB2312"/>
          <w:color w:val="auto"/>
          <w:sz w:val="24"/>
          <w:highlight w:val="none"/>
        </w:rPr>
        <w:t>所有费用和风险。</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3.3合同价款调整</w:t>
      </w:r>
    </w:p>
    <w:p>
      <w:pPr>
        <w:spacing w:line="312" w:lineRule="auto"/>
        <w:ind w:firstLine="482" w:firstLineChars="200"/>
        <w:outlineLvl w:val="2"/>
        <w:rPr>
          <w:rFonts w:ascii="仿宋_GB2312" w:eastAsia="仿宋_GB2312"/>
          <w:b/>
          <w:color w:val="auto"/>
          <w:sz w:val="24"/>
          <w:highlight w:val="none"/>
        </w:rPr>
      </w:pPr>
      <w:bookmarkStart w:id="178" w:name="_Toc246216235"/>
      <w:r>
        <w:rPr>
          <w:rFonts w:hint="eastAsia" w:ascii="仿宋_GB2312" w:eastAsia="仿宋_GB2312"/>
          <w:b/>
          <w:color w:val="auto"/>
          <w:sz w:val="24"/>
          <w:highlight w:val="none"/>
        </w:rPr>
        <w:t>3.3.1本项目不因任何原因调整成交价。</w:t>
      </w:r>
    </w:p>
    <w:bookmarkEnd w:id="178"/>
    <w:p>
      <w:pPr>
        <w:spacing w:line="312" w:lineRule="auto"/>
        <w:ind w:firstLine="482" w:firstLineChars="200"/>
        <w:outlineLvl w:val="2"/>
        <w:rPr>
          <w:rFonts w:ascii="仿宋_GB2312" w:eastAsia="仿宋_GB2312"/>
          <w:b/>
          <w:color w:val="auto"/>
          <w:sz w:val="24"/>
          <w:highlight w:val="none"/>
        </w:rPr>
      </w:pPr>
      <w:r>
        <w:rPr>
          <w:rFonts w:hint="eastAsia" w:ascii="仿宋_GB2312" w:eastAsia="仿宋_GB2312"/>
          <w:b/>
          <w:color w:val="auto"/>
          <w:sz w:val="24"/>
          <w:highlight w:val="none"/>
        </w:rPr>
        <w:t>4、支付条款</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4.1 本合同的支付币种为人民币。</w:t>
      </w:r>
    </w:p>
    <w:p>
      <w:pPr>
        <w:pStyle w:val="46"/>
        <w:spacing w:line="312" w:lineRule="auto"/>
        <w:ind w:firstLine="472" w:firstLineChars="196"/>
        <w:rPr>
          <w:rFonts w:ascii="仿宋_GB2312" w:hAnsi="新宋体" w:eastAsia="仿宋_GB2312"/>
          <w:b/>
          <w:color w:val="auto"/>
          <w:kern w:val="2"/>
          <w:highlight w:val="none"/>
        </w:rPr>
      </w:pPr>
      <w:r>
        <w:rPr>
          <w:rFonts w:hint="eastAsia" w:ascii="仿宋_GB2312" w:hAnsi="新宋体" w:eastAsia="仿宋_GB2312"/>
          <w:b/>
          <w:color w:val="auto"/>
          <w:kern w:val="2"/>
          <w:highlight w:val="none"/>
        </w:rPr>
        <w:t>4.2 本合同的支付币种为人民币。</w:t>
      </w:r>
    </w:p>
    <w:p>
      <w:pPr>
        <w:pStyle w:val="46"/>
        <w:spacing w:line="312" w:lineRule="auto"/>
        <w:ind w:firstLine="472" w:firstLineChars="196"/>
        <w:rPr>
          <w:rFonts w:ascii="仿宋_GB2312" w:hAnsi="新宋体" w:eastAsia="仿宋_GB2312"/>
          <w:b/>
          <w:color w:val="auto"/>
          <w:kern w:val="2"/>
          <w:highlight w:val="none"/>
        </w:rPr>
      </w:pPr>
      <w:r>
        <w:rPr>
          <w:rFonts w:hint="eastAsia" w:ascii="仿宋_GB2312" w:hAnsi="新宋体" w:eastAsia="仿宋_GB2312"/>
          <w:b/>
          <w:color w:val="auto"/>
          <w:kern w:val="2"/>
          <w:highlight w:val="none"/>
          <w:lang w:eastAsia="zh-CN"/>
        </w:rPr>
        <w:t>甲乙双方签订合同时自行约定</w:t>
      </w:r>
      <w:r>
        <w:rPr>
          <w:rFonts w:hint="eastAsia" w:ascii="仿宋_GB2312" w:hAnsi="新宋体" w:eastAsia="仿宋_GB2312"/>
          <w:b/>
          <w:color w:val="auto"/>
          <w:kern w:val="2"/>
          <w:highlight w:val="none"/>
        </w:rPr>
        <w:t>。乙方提供采购合同、发票等材料，向甲方申请付款；甲方对乙方提交的付款资料审核通过后，以转账方式向乙方付款。</w:t>
      </w:r>
    </w:p>
    <w:bookmarkEnd w:id="166"/>
    <w:bookmarkEnd w:id="167"/>
    <w:bookmarkEnd w:id="168"/>
    <w:bookmarkEnd w:id="169"/>
    <w:bookmarkEnd w:id="170"/>
    <w:bookmarkEnd w:id="171"/>
    <w:bookmarkEnd w:id="172"/>
    <w:bookmarkEnd w:id="173"/>
    <w:bookmarkEnd w:id="174"/>
    <w:bookmarkEnd w:id="175"/>
    <w:bookmarkEnd w:id="176"/>
    <w:bookmarkEnd w:id="177"/>
    <w:p>
      <w:pPr>
        <w:spacing w:line="312" w:lineRule="auto"/>
        <w:ind w:firstLine="482" w:firstLineChars="200"/>
        <w:rPr>
          <w:rFonts w:hint="eastAsia" w:ascii="仿宋_GB2312" w:hAnsi="新宋体" w:eastAsia="仿宋_GB2312" w:cs="Times New Roman"/>
          <w:b/>
          <w:color w:val="auto"/>
          <w:kern w:val="2"/>
          <w:sz w:val="24"/>
          <w:szCs w:val="24"/>
          <w:highlight w:val="none"/>
          <w:lang w:val="en-US" w:eastAsia="zh-CN" w:bidi="ar-SA"/>
        </w:rPr>
      </w:pPr>
      <w:r>
        <w:rPr>
          <w:rFonts w:hint="eastAsia" w:ascii="仿宋_GB2312" w:hAnsi="新宋体" w:eastAsia="仿宋_GB2312" w:cs="Times New Roman"/>
          <w:b/>
          <w:color w:val="auto"/>
          <w:kern w:val="2"/>
          <w:sz w:val="24"/>
          <w:szCs w:val="24"/>
          <w:highlight w:val="none"/>
          <w:lang w:val="en-US" w:eastAsia="zh-CN" w:bidi="ar-SA"/>
        </w:rPr>
        <w:t>5、服务期：自接到采购人通知之日起</w:t>
      </w:r>
      <w:r>
        <w:rPr>
          <w:rFonts w:hint="eastAsia" w:ascii="仿宋_GB2312" w:hAnsi="新宋体" w:eastAsia="仿宋_GB2312" w:cs="Times New Roman"/>
          <w:b/>
          <w:color w:val="auto"/>
          <w:kern w:val="2"/>
          <w:sz w:val="24"/>
          <w:szCs w:val="24"/>
          <w:highlight w:val="none"/>
          <w:u w:val="single"/>
          <w:lang w:val="en-US" w:eastAsia="zh-CN" w:bidi="ar-SA"/>
        </w:rPr>
        <w:t xml:space="preserve">   </w:t>
      </w:r>
      <w:r>
        <w:rPr>
          <w:rFonts w:hint="eastAsia" w:ascii="仿宋_GB2312" w:hAnsi="新宋体" w:eastAsia="仿宋_GB2312" w:cs="Times New Roman"/>
          <w:b/>
          <w:color w:val="auto"/>
          <w:kern w:val="2"/>
          <w:sz w:val="24"/>
          <w:szCs w:val="24"/>
          <w:highlight w:val="none"/>
          <w:lang w:val="en-US" w:eastAsia="zh-CN" w:bidi="ar-SA"/>
        </w:rPr>
        <w:t>天（日历日）内完成布展搭建等工作；展出时长2个月；自接到采购人撤展通知之日起</w:t>
      </w:r>
      <w:r>
        <w:rPr>
          <w:rFonts w:hint="eastAsia" w:ascii="仿宋_GB2312" w:hAnsi="新宋体" w:eastAsia="仿宋_GB2312" w:cs="Times New Roman"/>
          <w:b/>
          <w:color w:val="auto"/>
          <w:kern w:val="2"/>
          <w:sz w:val="24"/>
          <w:szCs w:val="24"/>
          <w:highlight w:val="none"/>
          <w:u w:val="single"/>
          <w:lang w:val="en-US" w:eastAsia="zh-CN" w:bidi="ar-SA"/>
        </w:rPr>
        <w:t xml:space="preserve">   </w:t>
      </w:r>
      <w:r>
        <w:rPr>
          <w:rFonts w:hint="eastAsia" w:ascii="仿宋_GB2312" w:hAnsi="新宋体" w:eastAsia="仿宋_GB2312" w:cs="Times New Roman"/>
          <w:b/>
          <w:color w:val="auto"/>
          <w:kern w:val="2"/>
          <w:sz w:val="24"/>
          <w:szCs w:val="24"/>
          <w:highlight w:val="none"/>
          <w:lang w:val="en-US" w:eastAsia="zh-CN" w:bidi="ar-SA"/>
        </w:rPr>
        <w:t>天（日历日）内完成撤展全部工作内容并经验收合格。</w:t>
      </w:r>
    </w:p>
    <w:p>
      <w:pPr>
        <w:spacing w:line="312" w:lineRule="auto"/>
        <w:ind w:firstLine="482" w:firstLineChars="200"/>
        <w:outlineLvl w:val="2"/>
        <w:rPr>
          <w:rFonts w:ascii="仿宋_GB2312" w:eastAsia="仿宋_GB2312"/>
          <w:b/>
          <w:color w:val="auto"/>
          <w:sz w:val="24"/>
          <w:highlight w:val="none"/>
        </w:rPr>
      </w:pPr>
      <w:bookmarkStart w:id="179" w:name="_Toc260247219"/>
      <w:bookmarkStart w:id="180" w:name="_Toc260246981"/>
      <w:r>
        <w:rPr>
          <w:rFonts w:hint="eastAsia" w:ascii="仿宋_GB2312" w:eastAsia="仿宋_GB2312"/>
          <w:b/>
          <w:color w:val="auto"/>
          <w:sz w:val="24"/>
          <w:highlight w:val="none"/>
        </w:rPr>
        <w:t>6、技术资料</w:t>
      </w:r>
    </w:p>
    <w:p>
      <w:pPr>
        <w:spacing w:line="312" w:lineRule="auto"/>
        <w:ind w:firstLine="481"/>
        <w:rPr>
          <w:rFonts w:ascii="仿宋_GB2312" w:eastAsia="仿宋_GB2312"/>
          <w:color w:val="auto"/>
          <w:highlight w:val="none"/>
        </w:rPr>
      </w:pPr>
      <w:bookmarkStart w:id="181" w:name="_Toc258681733"/>
      <w:r>
        <w:rPr>
          <w:rFonts w:hint="eastAsia" w:ascii="仿宋_GB2312" w:eastAsia="仿宋_GB2312"/>
          <w:color w:val="auto"/>
          <w:sz w:val="24"/>
          <w:highlight w:val="none"/>
        </w:rPr>
        <w:t>6.1乙方应准备与服务相符的技术资料，并于合同生效后七日内送（或寄）至甲方，例如：手册、标准和服务手册等。如本条款所述资料有不完整或丢失，乙方应在收到甲方通知后3日内免费另寄（送）。</w:t>
      </w:r>
    </w:p>
    <w:bookmarkEnd w:id="181"/>
    <w:p>
      <w:pPr>
        <w:spacing w:line="312" w:lineRule="auto"/>
        <w:ind w:firstLine="480"/>
        <w:outlineLvl w:val="2"/>
        <w:rPr>
          <w:rFonts w:ascii="仿宋_GB2312" w:eastAsia="仿宋_GB2312"/>
          <w:b/>
          <w:color w:val="auto"/>
          <w:sz w:val="24"/>
          <w:highlight w:val="none"/>
        </w:rPr>
      </w:pPr>
      <w:r>
        <w:rPr>
          <w:rFonts w:hint="eastAsia" w:ascii="仿宋_GB2312" w:eastAsia="仿宋_GB2312"/>
          <w:b/>
          <w:color w:val="auto"/>
          <w:sz w:val="24"/>
          <w:highlight w:val="none"/>
        </w:rPr>
        <w:t>7、乙方人员</w:t>
      </w:r>
      <w:bookmarkEnd w:id="179"/>
      <w:bookmarkEnd w:id="180"/>
    </w:p>
    <w:p>
      <w:pPr>
        <w:spacing w:line="312" w:lineRule="auto"/>
        <w:rPr>
          <w:rFonts w:ascii="仿宋_GB2312" w:eastAsia="仿宋_GB2312"/>
          <w:color w:val="auto"/>
          <w:sz w:val="24"/>
          <w:highlight w:val="none"/>
        </w:rPr>
      </w:pPr>
      <w:r>
        <w:rPr>
          <w:rFonts w:hint="eastAsia" w:ascii="仿宋_GB2312" w:eastAsia="仿宋_GB2312"/>
          <w:color w:val="auto"/>
          <w:sz w:val="24"/>
          <w:highlight w:val="none"/>
        </w:rPr>
        <w:t xml:space="preserve">    7.1乙方应委派有经验的技术人员进行</w:t>
      </w:r>
      <w:r>
        <w:rPr>
          <w:rFonts w:hint="eastAsia" w:ascii="仿宋_GB2312" w:eastAsia="仿宋_GB2312"/>
          <w:color w:val="auto"/>
          <w:sz w:val="24"/>
          <w:highlight w:val="none"/>
          <w:lang w:eastAsia="zh-CN"/>
        </w:rPr>
        <w:t>“森林物语&amp;虫现江湖”——大型热带雨林实景生态展</w:t>
      </w:r>
      <w:r>
        <w:rPr>
          <w:rFonts w:hint="eastAsia" w:ascii="仿宋_GB2312" w:eastAsia="仿宋_GB2312"/>
          <w:color w:val="auto"/>
          <w:sz w:val="24"/>
          <w:highlight w:val="none"/>
        </w:rPr>
        <w:t>项目的相关服务。乙方应对</w:t>
      </w:r>
      <w:r>
        <w:rPr>
          <w:rFonts w:hint="eastAsia" w:ascii="仿宋_GB2312" w:eastAsia="仿宋_GB2312"/>
          <w:color w:val="auto"/>
          <w:sz w:val="24"/>
          <w:highlight w:val="none"/>
          <w:lang w:eastAsia="zh-CN"/>
        </w:rPr>
        <w:t>“森林物语&amp;虫现江湖”——大型热带雨林实景生态展</w:t>
      </w:r>
      <w:r>
        <w:rPr>
          <w:rFonts w:hint="eastAsia" w:ascii="仿宋_GB2312" w:eastAsia="仿宋_GB2312"/>
          <w:color w:val="auto"/>
          <w:sz w:val="24"/>
          <w:highlight w:val="none"/>
        </w:rPr>
        <w:t>项目相关的质量负责，使其符合技术规范和有关标准的要求。</w:t>
      </w:r>
    </w:p>
    <w:p>
      <w:pPr>
        <w:spacing w:line="312" w:lineRule="auto"/>
        <w:rPr>
          <w:rFonts w:ascii="仿宋_GB2312" w:eastAsia="仿宋_GB2312"/>
          <w:color w:val="auto"/>
          <w:sz w:val="24"/>
          <w:highlight w:val="none"/>
        </w:rPr>
      </w:pPr>
      <w:r>
        <w:rPr>
          <w:rFonts w:hint="eastAsia" w:ascii="仿宋_GB2312" w:eastAsia="仿宋_GB2312"/>
          <w:color w:val="auto"/>
          <w:sz w:val="24"/>
          <w:highlight w:val="none"/>
        </w:rPr>
        <w:t xml:space="preserve">    7.2如果甲方认为乙方派遣的执行本项目的有关人员不称职，将有权要求乙方更换，乙方对于甲方的此类要求应予以满足。</w:t>
      </w:r>
    </w:p>
    <w:p>
      <w:pPr>
        <w:spacing w:line="312" w:lineRule="auto"/>
        <w:ind w:left="2" w:firstLine="482" w:firstLineChars="200"/>
        <w:outlineLvl w:val="2"/>
        <w:rPr>
          <w:rFonts w:ascii="仿宋_GB2312" w:eastAsia="仿宋_GB2312"/>
          <w:b/>
          <w:color w:val="auto"/>
          <w:sz w:val="24"/>
          <w:highlight w:val="none"/>
        </w:rPr>
      </w:pPr>
      <w:bookmarkStart w:id="182" w:name="_Toc258681749"/>
      <w:r>
        <w:rPr>
          <w:rFonts w:hint="eastAsia" w:ascii="仿宋_GB2312" w:hAnsi="宋体" w:eastAsia="仿宋_GB2312"/>
          <w:b/>
          <w:color w:val="auto"/>
          <w:sz w:val="24"/>
          <w:highlight w:val="none"/>
        </w:rPr>
        <w:t>8、</w:t>
      </w:r>
      <w:r>
        <w:rPr>
          <w:rFonts w:hint="eastAsia" w:ascii="仿宋_GB2312" w:eastAsia="仿宋_GB2312"/>
          <w:b/>
          <w:color w:val="auto"/>
          <w:sz w:val="24"/>
          <w:highlight w:val="none"/>
        </w:rPr>
        <w:t>乙方履约延误和延期赔偿</w:t>
      </w:r>
      <w:bookmarkEnd w:id="182"/>
    </w:p>
    <w:p>
      <w:pPr>
        <w:spacing w:line="312" w:lineRule="auto"/>
        <w:ind w:left="2" w:firstLine="480" w:firstLineChars="200"/>
        <w:rPr>
          <w:rFonts w:ascii="仿宋_GB2312" w:eastAsia="仿宋_GB2312"/>
          <w:color w:val="auto"/>
          <w:sz w:val="24"/>
          <w:highlight w:val="none"/>
        </w:rPr>
      </w:pPr>
      <w:r>
        <w:rPr>
          <w:rFonts w:hint="eastAsia" w:ascii="仿宋_GB2312" w:eastAsia="仿宋_GB2312"/>
          <w:color w:val="auto"/>
          <w:sz w:val="24"/>
          <w:highlight w:val="none"/>
        </w:rPr>
        <w:t>8.1 如果乙方未能按合同规定的时间按期提供服务，将加收延期赔偿或终止合同。</w:t>
      </w:r>
    </w:p>
    <w:p>
      <w:pPr>
        <w:spacing w:line="312" w:lineRule="auto"/>
        <w:ind w:left="2" w:firstLine="480" w:firstLineChars="200"/>
        <w:rPr>
          <w:rFonts w:ascii="仿宋_GB2312" w:eastAsia="仿宋_GB2312"/>
          <w:color w:val="auto"/>
          <w:sz w:val="24"/>
          <w:highlight w:val="none"/>
        </w:rPr>
      </w:pPr>
      <w:r>
        <w:rPr>
          <w:rFonts w:hint="eastAsia" w:ascii="仿宋_GB2312" w:eastAsia="仿宋_GB2312"/>
          <w:color w:val="auto"/>
          <w:sz w:val="24"/>
          <w:highlight w:val="none"/>
        </w:rPr>
        <w:t>8.2在履约过程中，如果乙方可能遇到妨碍按时提供服务的情况时，应及时以书面形式将迟延的事实、可能迟延的期限和原因通知甲方。甲方在收到乙方通知后，应尽快对情况进行分析，并确定是否同意延长交货时间以及是否收取误期赔偿费。延期应通过修改合同的方式由乙方认可。如乙方在原定提供服务期限后7天未提供服务，则甲方有权终止合同。</w:t>
      </w:r>
    </w:p>
    <w:p>
      <w:pPr>
        <w:spacing w:line="312" w:lineRule="auto"/>
        <w:ind w:left="2" w:firstLine="480" w:firstLineChars="200"/>
        <w:rPr>
          <w:rFonts w:ascii="仿宋_GB2312" w:eastAsia="仿宋_GB2312"/>
          <w:color w:val="auto"/>
          <w:sz w:val="24"/>
          <w:highlight w:val="none"/>
        </w:rPr>
      </w:pPr>
      <w:r>
        <w:rPr>
          <w:rFonts w:hint="eastAsia" w:ascii="仿宋_GB2312" w:eastAsia="仿宋_GB2312"/>
          <w:color w:val="auto"/>
          <w:sz w:val="24"/>
          <w:highlight w:val="none"/>
        </w:rPr>
        <w:t>8.3 如乙方未能就合理提供服务日期达成一致意见，甲方有权将服务价降低到双方同意的水平，并由乙方赔偿由此造成的所有损失。</w:t>
      </w:r>
    </w:p>
    <w:p>
      <w:pPr>
        <w:spacing w:line="312" w:lineRule="auto"/>
        <w:ind w:firstLine="480"/>
        <w:outlineLvl w:val="2"/>
        <w:rPr>
          <w:rFonts w:ascii="仿宋_GB2312" w:eastAsia="仿宋_GB2312"/>
          <w:b/>
          <w:color w:val="auto"/>
          <w:sz w:val="24"/>
          <w:highlight w:val="none"/>
        </w:rPr>
      </w:pPr>
      <w:bookmarkStart w:id="183" w:name="_Toc258681751"/>
      <w:r>
        <w:rPr>
          <w:rFonts w:hint="eastAsia" w:ascii="仿宋_GB2312" w:eastAsia="仿宋_GB2312"/>
          <w:b/>
          <w:color w:val="auto"/>
          <w:sz w:val="24"/>
          <w:highlight w:val="none"/>
        </w:rPr>
        <w:t>9、违约责任</w:t>
      </w:r>
      <w:bookmarkEnd w:id="183"/>
      <w:bookmarkStart w:id="184" w:name="_Toc258681752"/>
    </w:p>
    <w:p>
      <w:pPr>
        <w:spacing w:line="312" w:lineRule="auto"/>
        <w:ind w:firstLine="482" w:firstLineChars="200"/>
        <w:rPr>
          <w:rFonts w:ascii="仿宋_GB2312" w:hAnsi="宋体" w:eastAsia="仿宋_GB2312"/>
          <w:color w:val="auto"/>
          <w:sz w:val="24"/>
          <w:highlight w:val="none"/>
        </w:rPr>
      </w:pPr>
      <w:r>
        <w:rPr>
          <w:rFonts w:hint="eastAsia" w:ascii="仿宋_GB2312" w:eastAsia="仿宋_GB2312"/>
          <w:b/>
          <w:color w:val="auto"/>
          <w:kern w:val="0"/>
          <w:sz w:val="24"/>
          <w:highlight w:val="none"/>
        </w:rPr>
        <w:t>9.1若乙方未按本项目采购需求承担相关工作，由此造成的责任和损失由乙方自行承担。</w:t>
      </w:r>
    </w:p>
    <w:p>
      <w:pPr>
        <w:spacing w:line="312" w:lineRule="auto"/>
        <w:ind w:firstLine="482" w:firstLineChars="200"/>
        <w:outlineLvl w:val="2"/>
        <w:rPr>
          <w:rFonts w:ascii="仿宋_GB2312" w:eastAsia="仿宋_GB2312"/>
          <w:b/>
          <w:color w:val="auto"/>
          <w:sz w:val="24"/>
          <w:highlight w:val="none"/>
        </w:rPr>
      </w:pPr>
      <w:r>
        <w:rPr>
          <w:rFonts w:hint="eastAsia" w:ascii="仿宋_GB2312" w:eastAsia="仿宋_GB2312"/>
          <w:b/>
          <w:color w:val="auto"/>
          <w:sz w:val="24"/>
          <w:highlight w:val="none"/>
        </w:rPr>
        <w:t>10、不可抗力</w:t>
      </w:r>
      <w:bookmarkEnd w:id="184"/>
    </w:p>
    <w:p>
      <w:pPr>
        <w:spacing w:line="312" w:lineRule="auto"/>
        <w:ind w:firstLine="480"/>
        <w:rPr>
          <w:rFonts w:ascii="仿宋_GB2312" w:eastAsia="仿宋_GB2312"/>
          <w:color w:val="auto"/>
          <w:sz w:val="24"/>
          <w:highlight w:val="none"/>
        </w:rPr>
      </w:pPr>
      <w:bookmarkStart w:id="185" w:name="_Toc258681753"/>
      <w:r>
        <w:rPr>
          <w:rFonts w:hint="eastAsia" w:ascii="仿宋_GB2312" w:eastAsia="仿宋_GB2312"/>
          <w:color w:val="auto"/>
          <w:sz w:val="24"/>
          <w:highlight w:val="none"/>
        </w:rPr>
        <w:t>10.1甲乙双方</w:t>
      </w:r>
      <w:r>
        <w:rPr>
          <w:rFonts w:hint="eastAsia" w:ascii="仿宋_GB2312" w:hAnsi="宋体" w:eastAsia="仿宋_GB2312"/>
          <w:color w:val="auto"/>
          <w:sz w:val="24"/>
          <w:highlight w:val="none"/>
        </w:rPr>
        <w:t>任一方由于受不可抗力事件的影响而不能履行合同时，履行合同的期限应予以延长，其延长的期限应相当于事件所影响的时间。不可抗力事件系指</w:t>
      </w:r>
      <w:r>
        <w:rPr>
          <w:rFonts w:hint="eastAsia" w:ascii="仿宋_GB2312" w:eastAsia="仿宋_GB2312"/>
          <w:color w:val="auto"/>
          <w:sz w:val="24"/>
          <w:highlight w:val="none"/>
        </w:rPr>
        <w:t>甲乙双方</w:t>
      </w:r>
      <w:r>
        <w:rPr>
          <w:rFonts w:hint="eastAsia" w:ascii="仿宋_GB2312" w:hAnsi="宋体" w:eastAsia="仿宋_GB2312"/>
          <w:color w:val="auto"/>
          <w:sz w:val="24"/>
          <w:highlight w:val="none"/>
        </w:rPr>
        <w:t>在缔结合同时所不能预见的，并且它的发生及其后果是无法避免和无法克服的事件，诸如战争、严重火灾、洪水、台风以及其他双方商定的事件。但不包括违约或疏忽。</w:t>
      </w:r>
    </w:p>
    <w:p>
      <w:pPr>
        <w:spacing w:line="312"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10.2</w:t>
      </w:r>
      <w:r>
        <w:rPr>
          <w:rFonts w:hint="eastAsia" w:ascii="仿宋_GB2312" w:eastAsia="仿宋_GB2312"/>
          <w:color w:val="auto"/>
          <w:sz w:val="24"/>
          <w:highlight w:val="none"/>
        </w:rPr>
        <w:t>在不可抗力事件发生后，受不可抗力影响的一方应</w:t>
      </w:r>
      <w:r>
        <w:rPr>
          <w:rFonts w:hint="eastAsia" w:ascii="仿宋_GB2312" w:hAnsi="宋体" w:eastAsia="仿宋_GB2312"/>
          <w:color w:val="auto"/>
          <w:sz w:val="24"/>
          <w:highlight w:val="none"/>
        </w:rPr>
        <w:t>尽快以书面形式（如电报、传真或电传）将不可抗力的情况和原因通知对方，并于事件发生后14天内将有关当局出具的证明文件用特快专递或挂号信寄给对方审阅确认。</w:t>
      </w:r>
      <w:r>
        <w:rPr>
          <w:rFonts w:hint="eastAsia" w:ascii="仿宋_GB2312" w:eastAsia="仿宋_GB2312"/>
          <w:color w:val="auto"/>
          <w:sz w:val="24"/>
          <w:highlight w:val="none"/>
        </w:rPr>
        <w:t>除对方书面另行要求外，受不可抗力影响的一方应尽实际可能继续履行合同义务，并积极寻求采取合理的方案履行未受不可抗力影响的其他合同事项。</w:t>
      </w:r>
    </w:p>
    <w:p>
      <w:pPr>
        <w:spacing w:line="312"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10.3如果不可抗力事件的影响持续45天以上，双方应通过友好协商在合理的时间内达成进一步履行合同的协议。</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10.4如果因不可抗力而导致合同实施延误或不能履行合同义务的，受不可抗力影响的一方不应承担违约责任。</w:t>
      </w:r>
    </w:p>
    <w:p>
      <w:pPr>
        <w:spacing w:line="312" w:lineRule="auto"/>
        <w:ind w:firstLine="482" w:firstLineChars="200"/>
        <w:outlineLvl w:val="2"/>
        <w:rPr>
          <w:rFonts w:ascii="仿宋_GB2312" w:eastAsia="仿宋_GB2312"/>
          <w:b/>
          <w:color w:val="auto"/>
          <w:sz w:val="24"/>
          <w:highlight w:val="none"/>
        </w:rPr>
      </w:pPr>
      <w:r>
        <w:rPr>
          <w:rFonts w:hint="eastAsia" w:ascii="仿宋_GB2312" w:eastAsia="仿宋_GB2312"/>
          <w:b/>
          <w:color w:val="auto"/>
          <w:sz w:val="24"/>
          <w:highlight w:val="none"/>
        </w:rPr>
        <w:t>11、税费</w:t>
      </w:r>
      <w:bookmarkEnd w:id="185"/>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11.1根据国家现行税法规定对与本合同有关的一切税费，包括按税法规定应由甲方承担的税费，均已包括在合同总价款之中，甲方不再与乙方另行结算税费。</w:t>
      </w:r>
    </w:p>
    <w:p>
      <w:pPr>
        <w:spacing w:line="312" w:lineRule="auto"/>
        <w:ind w:firstLine="482" w:firstLineChars="200"/>
        <w:outlineLvl w:val="2"/>
        <w:rPr>
          <w:rFonts w:ascii="仿宋_GB2312" w:eastAsia="仿宋_GB2312"/>
          <w:b/>
          <w:color w:val="auto"/>
          <w:sz w:val="24"/>
          <w:highlight w:val="none"/>
        </w:rPr>
      </w:pPr>
      <w:bookmarkStart w:id="186" w:name="_Toc243904847"/>
      <w:bookmarkStart w:id="187" w:name="_Toc258681754"/>
      <w:bookmarkStart w:id="188" w:name="_Toc243905150"/>
      <w:r>
        <w:rPr>
          <w:rFonts w:hint="eastAsia" w:ascii="仿宋_GB2312" w:eastAsia="仿宋_GB2312"/>
          <w:b/>
          <w:color w:val="auto"/>
          <w:sz w:val="24"/>
          <w:highlight w:val="none"/>
        </w:rPr>
        <w:t>12、争端的解决</w:t>
      </w:r>
      <w:bookmarkEnd w:id="186"/>
      <w:bookmarkEnd w:id="187"/>
      <w:bookmarkEnd w:id="188"/>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12.1甲乙双方应通过友好协商，解决在执行本合同过程中所发生的或与本合同有关的一切争端。当事人不愿和解、调解或者和解、调解不成，向项目</w:t>
      </w:r>
      <w:r>
        <w:rPr>
          <w:rFonts w:hint="eastAsia" w:ascii="仿宋_GB2312" w:eastAsia="仿宋_GB2312"/>
          <w:color w:val="auto"/>
          <w:sz w:val="24"/>
          <w:highlight w:val="none"/>
          <w:lang w:val="en-US" w:eastAsia="zh-CN"/>
        </w:rPr>
        <w:t>展出</w:t>
      </w:r>
      <w:r>
        <w:rPr>
          <w:rFonts w:hint="eastAsia" w:ascii="仿宋_GB2312" w:eastAsia="仿宋_GB2312"/>
          <w:color w:val="auto"/>
          <w:sz w:val="24"/>
          <w:highlight w:val="none"/>
        </w:rPr>
        <w:t>地人民法院提出诉讼。</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12.2在双方之间的争议尚未解决之前，如甲方以书面形式坚持要求乙方按其意见行事，则乙方应按甲方的意见执行，但由此产生的一切不良后果和责任均应有乙方承担。但乙方不能因此而故意采取可能导致不良后果的行为。</w:t>
      </w:r>
    </w:p>
    <w:p>
      <w:pPr>
        <w:spacing w:line="312" w:lineRule="auto"/>
        <w:ind w:firstLine="482" w:firstLineChars="200"/>
        <w:outlineLvl w:val="2"/>
        <w:rPr>
          <w:rFonts w:ascii="仿宋_GB2312" w:eastAsia="仿宋_GB2312"/>
          <w:b/>
          <w:color w:val="auto"/>
          <w:sz w:val="24"/>
          <w:highlight w:val="none"/>
        </w:rPr>
      </w:pPr>
      <w:bookmarkStart w:id="189" w:name="_Toc258681755"/>
      <w:r>
        <w:rPr>
          <w:rFonts w:hint="eastAsia" w:ascii="仿宋_GB2312" w:eastAsia="仿宋_GB2312"/>
          <w:b/>
          <w:color w:val="auto"/>
          <w:sz w:val="24"/>
          <w:highlight w:val="none"/>
        </w:rPr>
        <w:t>13、违约终止合同</w:t>
      </w:r>
      <w:bookmarkEnd w:id="189"/>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13.1在甲方对乙方违约而采取的任何补救措施不受影响的情况下，甲方可在下列情况下向乙方发出书面通知书，提出终止部分或全部合同：</w:t>
      </w:r>
    </w:p>
    <w:p>
      <w:pPr>
        <w:spacing w:line="312" w:lineRule="auto"/>
        <w:rPr>
          <w:rFonts w:ascii="仿宋_GB2312" w:eastAsia="仿宋_GB2312"/>
          <w:color w:val="auto"/>
          <w:sz w:val="24"/>
          <w:highlight w:val="none"/>
        </w:rPr>
      </w:pPr>
      <w:r>
        <w:rPr>
          <w:rFonts w:hint="eastAsia" w:ascii="仿宋_GB2312" w:eastAsia="仿宋_GB2312"/>
          <w:color w:val="auto"/>
          <w:sz w:val="24"/>
          <w:highlight w:val="none"/>
        </w:rPr>
        <w:t xml:space="preserve">    (1)乙方未能在合同规定的限期或甲方同意延长的限期内提供服务。</w:t>
      </w:r>
    </w:p>
    <w:p>
      <w:pPr>
        <w:spacing w:line="312" w:lineRule="auto"/>
        <w:rPr>
          <w:rFonts w:ascii="仿宋_GB2312" w:eastAsia="仿宋_GB2312"/>
          <w:color w:val="auto"/>
          <w:sz w:val="24"/>
          <w:highlight w:val="none"/>
        </w:rPr>
      </w:pPr>
      <w:r>
        <w:rPr>
          <w:rFonts w:hint="eastAsia" w:ascii="仿宋_GB2312" w:eastAsia="仿宋_GB2312"/>
          <w:color w:val="auto"/>
          <w:sz w:val="24"/>
          <w:highlight w:val="none"/>
        </w:rPr>
        <w:t xml:space="preserve">    (2)乙方未能履行合同规定的其他任何义务。</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13.2如果甲方根据上述第13.1条的规定，终止了部分或全部合同，乙方除应退还终止的部分或全部合同价款外，还应按本合同第9.1条的规定承担的违约责任。同时，乙方仍应继续执行合同中未终止的部分。</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13.3在终止合同后，甲方有权按下面方式对乙方进行处置；</w:t>
      </w:r>
    </w:p>
    <w:p>
      <w:pPr>
        <w:spacing w:line="312" w:lineRule="auto"/>
        <w:rPr>
          <w:rFonts w:ascii="仿宋_GB2312" w:eastAsia="仿宋_GB2312"/>
          <w:color w:val="auto"/>
          <w:sz w:val="24"/>
          <w:highlight w:val="none"/>
        </w:rPr>
      </w:pPr>
      <w:r>
        <w:rPr>
          <w:rFonts w:hint="eastAsia" w:ascii="仿宋_GB2312" w:eastAsia="仿宋_GB2312"/>
          <w:color w:val="auto"/>
          <w:sz w:val="24"/>
          <w:highlight w:val="none"/>
        </w:rPr>
        <w:t xml:space="preserve">    (1)赔偿设备、材料损失和因乙方违约而造成的维护管理期延期的损失；</w:t>
      </w:r>
    </w:p>
    <w:p>
      <w:pPr>
        <w:spacing w:line="312" w:lineRule="auto"/>
        <w:ind w:left="2" w:leftChars="1" w:firstLine="480" w:firstLineChars="200"/>
        <w:rPr>
          <w:rFonts w:ascii="仿宋_GB2312" w:eastAsia="仿宋_GB2312"/>
          <w:color w:val="auto"/>
          <w:sz w:val="24"/>
          <w:highlight w:val="none"/>
        </w:rPr>
      </w:pPr>
      <w:r>
        <w:rPr>
          <w:rFonts w:hint="eastAsia" w:ascii="仿宋_GB2312" w:eastAsia="仿宋_GB2312"/>
          <w:color w:val="auto"/>
          <w:sz w:val="24"/>
          <w:highlight w:val="none"/>
        </w:rPr>
        <w:t>(2)乙方退场，并向甲方赔偿因乙方违约而造成的维护管理期延期的损失，以及甲方更换新单位所发生的一切费用。</w:t>
      </w:r>
    </w:p>
    <w:p>
      <w:pPr>
        <w:spacing w:line="312" w:lineRule="auto"/>
        <w:ind w:firstLine="482" w:firstLineChars="200"/>
        <w:outlineLvl w:val="2"/>
        <w:rPr>
          <w:rFonts w:ascii="仿宋_GB2312" w:eastAsia="仿宋_GB2312"/>
          <w:b/>
          <w:color w:val="auto"/>
          <w:sz w:val="24"/>
          <w:highlight w:val="none"/>
        </w:rPr>
      </w:pPr>
      <w:bookmarkStart w:id="190" w:name="_Toc258681756"/>
      <w:r>
        <w:rPr>
          <w:rFonts w:hint="eastAsia" w:ascii="仿宋_GB2312" w:eastAsia="仿宋_GB2312"/>
          <w:b/>
          <w:color w:val="auto"/>
          <w:sz w:val="24"/>
          <w:highlight w:val="none"/>
        </w:rPr>
        <w:t>14、破产终止合同</w:t>
      </w:r>
      <w:bookmarkEnd w:id="190"/>
    </w:p>
    <w:p>
      <w:pPr>
        <w:spacing w:line="312" w:lineRule="auto"/>
        <w:ind w:left="2" w:firstLine="480" w:firstLineChars="200"/>
        <w:rPr>
          <w:rFonts w:ascii="仿宋_GB2312" w:eastAsia="仿宋_GB2312"/>
          <w:color w:val="auto"/>
          <w:sz w:val="24"/>
          <w:highlight w:val="none"/>
        </w:rPr>
      </w:pPr>
      <w:r>
        <w:rPr>
          <w:rFonts w:hint="eastAsia" w:ascii="仿宋_GB2312" w:eastAsia="仿宋_GB2312"/>
          <w:color w:val="auto"/>
          <w:sz w:val="24"/>
          <w:highlight w:val="none"/>
        </w:rPr>
        <w:t>14.1当乙方破产或丧失清偿能力，甲方可在任何时候以书面形式通知乙方终止合同而不给乙方补偿。该终止合同的行为将不损害或影响甲方在本合同项下已经或将要采取的任何其他行动或补救措施的权力。</w:t>
      </w:r>
    </w:p>
    <w:p>
      <w:pPr>
        <w:spacing w:line="312" w:lineRule="auto"/>
        <w:ind w:firstLine="482" w:firstLineChars="200"/>
        <w:outlineLvl w:val="2"/>
        <w:rPr>
          <w:rFonts w:ascii="仿宋_GB2312" w:eastAsia="仿宋_GB2312"/>
          <w:b/>
          <w:color w:val="auto"/>
          <w:sz w:val="24"/>
          <w:highlight w:val="none"/>
        </w:rPr>
      </w:pPr>
      <w:bookmarkStart w:id="191" w:name="_Toc258681758"/>
      <w:r>
        <w:rPr>
          <w:rFonts w:hint="eastAsia" w:ascii="仿宋_GB2312" w:eastAsia="仿宋_GB2312"/>
          <w:b/>
          <w:color w:val="auto"/>
          <w:sz w:val="24"/>
          <w:highlight w:val="none"/>
        </w:rPr>
        <w:t>15、合同修改</w:t>
      </w:r>
      <w:bookmarkEnd w:id="191"/>
    </w:p>
    <w:p>
      <w:pPr>
        <w:spacing w:line="312" w:lineRule="auto"/>
        <w:ind w:firstLine="436" w:firstLineChars="182"/>
        <w:rPr>
          <w:rFonts w:ascii="仿宋_GB2312" w:eastAsia="仿宋_GB2312"/>
          <w:color w:val="auto"/>
          <w:sz w:val="24"/>
          <w:highlight w:val="none"/>
        </w:rPr>
      </w:pPr>
      <w:r>
        <w:rPr>
          <w:rFonts w:hint="eastAsia" w:ascii="仿宋_GB2312" w:eastAsia="仿宋_GB2312"/>
          <w:color w:val="auto"/>
          <w:sz w:val="24"/>
          <w:highlight w:val="none"/>
        </w:rPr>
        <w:t>15.1欲对合同条款作出任何改动，均须由甲乙双方签署书面的合同修改书。</w:t>
      </w:r>
    </w:p>
    <w:p>
      <w:pPr>
        <w:spacing w:line="312" w:lineRule="auto"/>
        <w:ind w:left="479" w:leftChars="228"/>
        <w:rPr>
          <w:rFonts w:ascii="仿宋_GB2312" w:eastAsia="仿宋_GB2312"/>
          <w:color w:val="auto"/>
          <w:sz w:val="24"/>
          <w:highlight w:val="none"/>
        </w:rPr>
      </w:pPr>
      <w:r>
        <w:rPr>
          <w:rFonts w:hint="eastAsia" w:ascii="仿宋_GB2312" w:eastAsia="仿宋_GB2312"/>
          <w:color w:val="auto"/>
          <w:sz w:val="24"/>
          <w:highlight w:val="none"/>
        </w:rPr>
        <w:t>15.2 乙方的书面承诺被甲方接受后视作合同附件，与合同具有同等法律效力</w:t>
      </w:r>
      <w:bookmarkStart w:id="192" w:name="_Toc258681759"/>
      <w:r>
        <w:rPr>
          <w:rFonts w:hint="eastAsia" w:ascii="仿宋_GB2312" w:eastAsia="仿宋_GB2312"/>
          <w:color w:val="auto"/>
          <w:sz w:val="24"/>
          <w:highlight w:val="none"/>
        </w:rPr>
        <w:t>。</w:t>
      </w:r>
    </w:p>
    <w:p>
      <w:pPr>
        <w:spacing w:line="312" w:lineRule="auto"/>
        <w:ind w:left="479" w:leftChars="228"/>
        <w:rPr>
          <w:rFonts w:ascii="仿宋_GB2312" w:eastAsia="仿宋_GB2312"/>
          <w:color w:val="auto"/>
          <w:sz w:val="24"/>
          <w:highlight w:val="none"/>
        </w:rPr>
      </w:pPr>
      <w:r>
        <w:rPr>
          <w:rFonts w:hint="eastAsia" w:ascii="仿宋_GB2312" w:eastAsia="仿宋_GB2312"/>
          <w:b/>
          <w:color w:val="auto"/>
          <w:sz w:val="24"/>
          <w:highlight w:val="none"/>
        </w:rPr>
        <w:t>16、转让和分包</w:t>
      </w:r>
      <w:bookmarkEnd w:id="192"/>
    </w:p>
    <w:p>
      <w:pPr>
        <w:spacing w:line="312" w:lineRule="auto"/>
        <w:ind w:firstLine="480" w:firstLineChars="200"/>
        <w:outlineLvl w:val="2"/>
        <w:rPr>
          <w:rFonts w:ascii="仿宋_GB2312" w:eastAsia="仿宋_GB2312"/>
          <w:color w:val="auto"/>
          <w:sz w:val="24"/>
          <w:highlight w:val="none"/>
        </w:rPr>
      </w:pPr>
      <w:bookmarkStart w:id="193" w:name="_Toc258681760"/>
      <w:r>
        <w:rPr>
          <w:rFonts w:hint="eastAsia" w:ascii="仿宋_GB2312" w:eastAsia="仿宋_GB2312"/>
          <w:color w:val="auto"/>
          <w:sz w:val="24"/>
          <w:highlight w:val="none"/>
        </w:rPr>
        <w:t>16.1本项目不允许以任何形式的转让和分包。</w:t>
      </w:r>
    </w:p>
    <w:bookmarkEnd w:id="193"/>
    <w:p>
      <w:pPr>
        <w:spacing w:line="312" w:lineRule="auto"/>
        <w:ind w:firstLine="482" w:firstLineChars="200"/>
        <w:outlineLvl w:val="2"/>
        <w:rPr>
          <w:rFonts w:ascii="仿宋_GB2312" w:eastAsia="仿宋_GB2312"/>
          <w:b/>
          <w:color w:val="auto"/>
          <w:sz w:val="24"/>
          <w:highlight w:val="none"/>
        </w:rPr>
      </w:pPr>
      <w:r>
        <w:rPr>
          <w:rFonts w:hint="eastAsia" w:ascii="仿宋_GB2312" w:eastAsia="仿宋_GB2312"/>
          <w:b/>
          <w:color w:val="auto"/>
          <w:sz w:val="24"/>
          <w:highlight w:val="none"/>
        </w:rPr>
        <w:t>17、适用法律</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17.1本合同的适用法律为中华人民共和国的现行法律和地方法规。</w:t>
      </w:r>
    </w:p>
    <w:p>
      <w:pPr>
        <w:spacing w:line="312" w:lineRule="auto"/>
        <w:ind w:firstLine="482" w:firstLineChars="200"/>
        <w:outlineLvl w:val="2"/>
        <w:rPr>
          <w:rFonts w:ascii="仿宋_GB2312" w:eastAsia="仿宋_GB2312"/>
          <w:b/>
          <w:color w:val="auto"/>
          <w:sz w:val="24"/>
          <w:highlight w:val="none"/>
        </w:rPr>
      </w:pPr>
      <w:bookmarkStart w:id="194" w:name="_Toc243904848"/>
      <w:bookmarkStart w:id="195" w:name="_Toc258681761"/>
      <w:bookmarkStart w:id="196" w:name="_Toc243905151"/>
      <w:r>
        <w:rPr>
          <w:rFonts w:hint="eastAsia" w:ascii="仿宋_GB2312" w:eastAsia="仿宋_GB2312"/>
          <w:b/>
          <w:color w:val="auto"/>
          <w:sz w:val="24"/>
          <w:highlight w:val="none"/>
        </w:rPr>
        <w:t>18、适用语言和计量单位</w:t>
      </w:r>
      <w:bookmarkEnd w:id="194"/>
      <w:bookmarkEnd w:id="195"/>
      <w:bookmarkEnd w:id="196"/>
    </w:p>
    <w:p>
      <w:pPr>
        <w:spacing w:line="312" w:lineRule="auto"/>
        <w:rPr>
          <w:rFonts w:ascii="仿宋_GB2312" w:eastAsia="仿宋_GB2312"/>
          <w:color w:val="auto"/>
          <w:sz w:val="24"/>
          <w:highlight w:val="none"/>
        </w:rPr>
      </w:pPr>
      <w:r>
        <w:rPr>
          <w:rFonts w:hint="eastAsia" w:ascii="仿宋_GB2312" w:eastAsia="仿宋_GB2312"/>
          <w:color w:val="auto"/>
          <w:sz w:val="24"/>
          <w:highlight w:val="none"/>
        </w:rPr>
        <w:t xml:space="preserve">    18.1本合同的适用语言为中文，所有与本合同有关的来往函件、通知及其他文件均应使用中文。</w:t>
      </w:r>
    </w:p>
    <w:p>
      <w:pPr>
        <w:spacing w:line="312" w:lineRule="auto"/>
        <w:ind w:firstLine="120" w:firstLineChars="50"/>
        <w:rPr>
          <w:rFonts w:ascii="仿宋_GB2312" w:eastAsia="仿宋_GB2312"/>
          <w:color w:val="auto"/>
          <w:sz w:val="24"/>
          <w:highlight w:val="none"/>
        </w:rPr>
      </w:pPr>
      <w:r>
        <w:rPr>
          <w:rFonts w:hint="eastAsia" w:ascii="仿宋_GB2312" w:eastAsia="仿宋_GB2312"/>
          <w:color w:val="auto"/>
          <w:sz w:val="24"/>
          <w:highlight w:val="none"/>
        </w:rPr>
        <w:t xml:space="preserve">   18.2乙方可以提交用其他语言(原文)打印的资料，但必须翻译成中文，当原文和译文(中文)之间存有差异和/或矛盾时，以中文为准。</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18.3除“项目采购需求”另有规定外，计量单位应使用国家标准规定的法定计量单位。</w:t>
      </w:r>
    </w:p>
    <w:p>
      <w:pPr>
        <w:spacing w:line="312" w:lineRule="auto"/>
        <w:ind w:firstLine="482" w:firstLineChars="200"/>
        <w:outlineLvl w:val="2"/>
        <w:rPr>
          <w:rFonts w:ascii="仿宋_GB2312" w:eastAsia="仿宋_GB2312"/>
          <w:b/>
          <w:color w:val="auto"/>
          <w:sz w:val="24"/>
          <w:highlight w:val="none"/>
        </w:rPr>
      </w:pPr>
      <w:bookmarkStart w:id="197" w:name="_Toc258681763"/>
      <w:r>
        <w:rPr>
          <w:rFonts w:hint="eastAsia" w:ascii="仿宋_GB2312" w:eastAsia="仿宋_GB2312"/>
          <w:b/>
          <w:color w:val="auto"/>
          <w:sz w:val="24"/>
          <w:highlight w:val="none"/>
        </w:rPr>
        <w:t>19、通知</w:t>
      </w:r>
      <w:bookmarkEnd w:id="197"/>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19.1本合同一方给另一方的通知均应以书面或电报、电传或传真的形式发送，而另一方应以书面形式确认并送到对方明确的地址。</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19.2通知以送到日期或通知书的生效日期为生效日期，两者中以晚的一个日期为准。</w:t>
      </w:r>
    </w:p>
    <w:p>
      <w:pPr>
        <w:spacing w:line="312" w:lineRule="auto"/>
        <w:ind w:firstLine="482" w:firstLineChars="200"/>
        <w:outlineLvl w:val="2"/>
        <w:rPr>
          <w:rFonts w:ascii="仿宋_GB2312" w:eastAsia="仿宋_GB2312"/>
          <w:b/>
          <w:color w:val="auto"/>
          <w:sz w:val="24"/>
          <w:highlight w:val="none"/>
        </w:rPr>
      </w:pPr>
      <w:bookmarkStart w:id="198" w:name="_Toc258681764"/>
      <w:r>
        <w:rPr>
          <w:rFonts w:hint="eastAsia" w:ascii="仿宋_GB2312" w:eastAsia="仿宋_GB2312"/>
          <w:b/>
          <w:color w:val="auto"/>
          <w:sz w:val="24"/>
          <w:highlight w:val="none"/>
        </w:rPr>
        <w:t>20、合同文件及资料的使用</w:t>
      </w:r>
      <w:bookmarkEnd w:id="198"/>
    </w:p>
    <w:p>
      <w:pPr>
        <w:spacing w:line="312" w:lineRule="auto"/>
        <w:ind w:firstLine="480" w:firstLineChars="200"/>
        <w:rPr>
          <w:rFonts w:ascii="仿宋_GB2312" w:eastAsia="仿宋_GB2312"/>
          <w:color w:val="auto"/>
          <w:highlight w:val="none"/>
        </w:rPr>
      </w:pPr>
      <w:r>
        <w:rPr>
          <w:rFonts w:hint="eastAsia" w:ascii="仿宋_GB2312" w:eastAsia="仿宋_GB2312"/>
          <w:color w:val="auto"/>
          <w:sz w:val="24"/>
          <w:highlight w:val="none"/>
        </w:rPr>
        <w:t>20.1除了乙方执行合同人员外，在未经甲方同意的情况下，乙方不得将合同、合同中规定、规格、计划、或乙方为上述内容向甲方提供的资料透露给任何人。乙方须在对外保密的前提下，对其工作人员提供有关情况，所提供情况仅限于执行合同必不可少的范围内。</w:t>
      </w:r>
    </w:p>
    <w:p>
      <w:pPr>
        <w:spacing w:line="312" w:lineRule="auto"/>
        <w:ind w:firstLine="480" w:firstLineChars="200"/>
        <w:rPr>
          <w:rFonts w:ascii="仿宋_GB2312" w:eastAsia="仿宋_GB2312"/>
          <w:color w:val="auto"/>
          <w:highlight w:val="none"/>
        </w:rPr>
      </w:pPr>
      <w:r>
        <w:rPr>
          <w:rFonts w:hint="eastAsia" w:ascii="仿宋_GB2312" w:eastAsia="仿宋_GB2312"/>
          <w:color w:val="auto"/>
          <w:sz w:val="24"/>
          <w:highlight w:val="none"/>
        </w:rPr>
        <w:t>20.2除非执行合同需要，在事先未得到甲方书面同意的情况下，乙方不得使用第21.1款所列的任何文件和资料。</w:t>
      </w:r>
    </w:p>
    <w:p>
      <w:pPr>
        <w:spacing w:line="312"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20.3除合同本身以外列明的所有资料始终为甲方财产，若甲方要求，乙方应于其合同义务履行完毕后将这些资料（包括所有副本）退还甲方。</w:t>
      </w:r>
    </w:p>
    <w:p>
      <w:pPr>
        <w:spacing w:line="312" w:lineRule="auto"/>
        <w:ind w:firstLine="482" w:firstLineChars="200"/>
        <w:outlineLvl w:val="2"/>
        <w:rPr>
          <w:rFonts w:ascii="仿宋_GB2312" w:eastAsia="仿宋_GB2312"/>
          <w:b/>
          <w:color w:val="auto"/>
          <w:sz w:val="24"/>
          <w:highlight w:val="none"/>
        </w:rPr>
      </w:pPr>
      <w:bookmarkStart w:id="199" w:name="_Toc258681765"/>
      <w:r>
        <w:rPr>
          <w:rFonts w:hint="eastAsia" w:ascii="仿宋_GB2312" w:eastAsia="仿宋_GB2312"/>
          <w:b/>
          <w:color w:val="auto"/>
          <w:sz w:val="24"/>
          <w:highlight w:val="none"/>
        </w:rPr>
        <w:t>21、合同生效及其它</w:t>
      </w:r>
      <w:bookmarkEnd w:id="199"/>
    </w:p>
    <w:p>
      <w:pPr>
        <w:spacing w:line="312" w:lineRule="auto"/>
        <w:ind w:firstLine="480" w:firstLineChars="200"/>
        <w:rPr>
          <w:rFonts w:ascii="仿宋_GB2312" w:hAnsi="宋体" w:eastAsia="仿宋_GB2312"/>
          <w:color w:val="auto"/>
          <w:sz w:val="24"/>
          <w:highlight w:val="none"/>
        </w:rPr>
      </w:pPr>
      <w:r>
        <w:rPr>
          <w:rFonts w:hint="eastAsia" w:ascii="仿宋_GB2312" w:eastAsia="仿宋_GB2312"/>
          <w:color w:val="auto"/>
          <w:sz w:val="24"/>
          <w:highlight w:val="none"/>
        </w:rPr>
        <w:t>21.1</w:t>
      </w:r>
      <w:r>
        <w:rPr>
          <w:rFonts w:hint="eastAsia" w:ascii="仿宋_GB2312" w:hAnsi="宋体" w:eastAsia="仿宋_GB2312"/>
          <w:color w:val="auto"/>
          <w:sz w:val="24"/>
          <w:highlight w:val="none"/>
        </w:rPr>
        <w:t>合同正本一式贰份，</w:t>
      </w:r>
      <w:r>
        <w:rPr>
          <w:rFonts w:hint="eastAsia" w:ascii="仿宋_GB2312" w:eastAsia="仿宋_GB2312"/>
          <w:color w:val="auto"/>
          <w:sz w:val="24"/>
          <w:highlight w:val="none"/>
        </w:rPr>
        <w:t>甲乙双方</w:t>
      </w:r>
      <w:r>
        <w:rPr>
          <w:rFonts w:hint="eastAsia" w:ascii="仿宋_GB2312" w:hAnsi="宋体" w:eastAsia="仿宋_GB2312"/>
          <w:color w:val="auto"/>
          <w:sz w:val="24"/>
          <w:highlight w:val="none"/>
        </w:rPr>
        <w:t>各执壹份；副本一式陆份，以满足</w:t>
      </w:r>
      <w:r>
        <w:rPr>
          <w:rFonts w:hint="eastAsia" w:ascii="仿宋_GB2312" w:eastAsia="仿宋_GB2312"/>
          <w:color w:val="auto"/>
          <w:sz w:val="24"/>
          <w:highlight w:val="none"/>
        </w:rPr>
        <w:t>甲乙双方</w:t>
      </w:r>
      <w:r>
        <w:rPr>
          <w:rFonts w:hint="eastAsia" w:ascii="仿宋_GB2312" w:hAnsi="宋体" w:eastAsia="仿宋_GB2312"/>
          <w:color w:val="auto"/>
          <w:sz w:val="24"/>
          <w:highlight w:val="none"/>
        </w:rPr>
        <w:t>及相关备案部门的需求。</w:t>
      </w:r>
      <w:r>
        <w:rPr>
          <w:rFonts w:hint="eastAsia" w:ascii="仿宋_GB2312" w:eastAsia="仿宋_GB2312"/>
          <w:color w:val="auto"/>
          <w:sz w:val="24"/>
          <w:highlight w:val="none"/>
        </w:rPr>
        <w:t>本合同经双方法定代表人或其授权的委托代理人签署并加盖法人公章后生效。</w:t>
      </w:r>
    </w:p>
    <w:p>
      <w:pPr>
        <w:pStyle w:val="3"/>
        <w:spacing w:before="0" w:after="0" w:line="360" w:lineRule="auto"/>
        <w:jc w:val="center"/>
        <w:rPr>
          <w:rFonts w:ascii="仿宋_GB2312" w:hAnsi="仿宋_GB2312" w:eastAsia="仿宋_GB2312" w:cs="仿宋_GB2312"/>
          <w:bCs w:val="0"/>
          <w:color w:val="auto"/>
          <w:sz w:val="28"/>
          <w:szCs w:val="28"/>
          <w:highlight w:val="none"/>
        </w:rPr>
      </w:pPr>
    </w:p>
    <w:p>
      <w:pPr>
        <w:spacing w:line="440" w:lineRule="exact"/>
        <w:jc w:val="center"/>
        <w:rPr>
          <w:rFonts w:ascii="仿宋_GB2312" w:eastAsia="仿宋_GB2312"/>
          <w:b/>
          <w:color w:val="auto"/>
          <w:sz w:val="28"/>
          <w:szCs w:val="28"/>
          <w:highlight w:val="none"/>
        </w:rPr>
      </w:pPr>
    </w:p>
    <w:p>
      <w:pPr>
        <w:spacing w:line="440" w:lineRule="exact"/>
        <w:jc w:val="center"/>
        <w:rPr>
          <w:rFonts w:ascii="仿宋_GB2312" w:eastAsia="仿宋_GB2312"/>
          <w:b/>
          <w:color w:val="auto"/>
          <w:sz w:val="28"/>
          <w:szCs w:val="28"/>
          <w:highlight w:val="none"/>
        </w:rPr>
      </w:pPr>
    </w:p>
    <w:p>
      <w:pPr>
        <w:spacing w:line="440" w:lineRule="exact"/>
        <w:jc w:val="center"/>
        <w:rPr>
          <w:rFonts w:ascii="仿宋_GB2312" w:eastAsia="仿宋_GB2312"/>
          <w:b/>
          <w:color w:val="auto"/>
          <w:sz w:val="28"/>
          <w:szCs w:val="28"/>
          <w:highlight w:val="none"/>
        </w:rPr>
      </w:pPr>
    </w:p>
    <w:p>
      <w:pPr>
        <w:spacing w:line="440" w:lineRule="exact"/>
        <w:jc w:val="center"/>
        <w:rPr>
          <w:rFonts w:ascii="仿宋_GB2312" w:eastAsia="仿宋_GB2312"/>
          <w:b/>
          <w:color w:val="auto"/>
          <w:sz w:val="28"/>
          <w:szCs w:val="28"/>
          <w:highlight w:val="none"/>
        </w:rPr>
      </w:pPr>
    </w:p>
    <w:p>
      <w:pPr>
        <w:spacing w:line="440" w:lineRule="exact"/>
        <w:jc w:val="center"/>
        <w:rPr>
          <w:rFonts w:ascii="仿宋_GB2312" w:eastAsia="仿宋_GB2312"/>
          <w:b/>
          <w:color w:val="auto"/>
          <w:sz w:val="28"/>
          <w:szCs w:val="28"/>
          <w:highlight w:val="none"/>
        </w:rPr>
      </w:pPr>
    </w:p>
    <w:p>
      <w:pPr>
        <w:spacing w:line="440" w:lineRule="exact"/>
        <w:jc w:val="center"/>
        <w:rPr>
          <w:rFonts w:ascii="仿宋_GB2312" w:eastAsia="仿宋_GB2312"/>
          <w:b/>
          <w:color w:val="auto"/>
          <w:sz w:val="28"/>
          <w:szCs w:val="28"/>
          <w:highlight w:val="none"/>
        </w:rPr>
      </w:pPr>
    </w:p>
    <w:p>
      <w:pPr>
        <w:spacing w:line="440" w:lineRule="exact"/>
        <w:jc w:val="center"/>
        <w:rPr>
          <w:rFonts w:ascii="仿宋_GB2312" w:eastAsia="仿宋_GB2312"/>
          <w:b/>
          <w:color w:val="auto"/>
          <w:sz w:val="28"/>
          <w:szCs w:val="28"/>
          <w:highlight w:val="none"/>
        </w:rPr>
      </w:pPr>
    </w:p>
    <w:p>
      <w:pPr>
        <w:spacing w:line="440" w:lineRule="exact"/>
        <w:jc w:val="center"/>
        <w:rPr>
          <w:rFonts w:ascii="仿宋_GB2312" w:eastAsia="仿宋_GB2312"/>
          <w:b/>
          <w:color w:val="auto"/>
          <w:sz w:val="28"/>
          <w:szCs w:val="28"/>
          <w:highlight w:val="none"/>
        </w:rPr>
      </w:pPr>
    </w:p>
    <w:p>
      <w:pPr>
        <w:spacing w:line="440" w:lineRule="exact"/>
        <w:jc w:val="center"/>
        <w:rPr>
          <w:rFonts w:ascii="仿宋_GB2312" w:eastAsia="仿宋_GB2312"/>
          <w:b/>
          <w:color w:val="auto"/>
          <w:sz w:val="28"/>
          <w:szCs w:val="28"/>
          <w:highlight w:val="none"/>
        </w:rPr>
      </w:pPr>
    </w:p>
    <w:p>
      <w:pPr>
        <w:spacing w:line="440" w:lineRule="exact"/>
        <w:jc w:val="center"/>
        <w:rPr>
          <w:rFonts w:ascii="仿宋_GB2312" w:eastAsia="仿宋_GB2312"/>
          <w:b/>
          <w:color w:val="auto"/>
          <w:sz w:val="28"/>
          <w:szCs w:val="28"/>
          <w:highlight w:val="none"/>
        </w:rPr>
      </w:pPr>
    </w:p>
    <w:p>
      <w:pPr>
        <w:spacing w:line="440" w:lineRule="exact"/>
        <w:jc w:val="center"/>
        <w:rPr>
          <w:rFonts w:ascii="仿宋_GB2312" w:eastAsia="仿宋_GB2312"/>
          <w:b/>
          <w:color w:val="auto"/>
          <w:sz w:val="28"/>
          <w:szCs w:val="28"/>
          <w:highlight w:val="none"/>
        </w:rPr>
      </w:pPr>
    </w:p>
    <w:p>
      <w:pPr>
        <w:spacing w:line="440" w:lineRule="exact"/>
        <w:jc w:val="center"/>
        <w:rPr>
          <w:rFonts w:ascii="仿宋_GB2312" w:eastAsia="仿宋_GB2312"/>
          <w:b/>
          <w:color w:val="auto"/>
          <w:sz w:val="28"/>
          <w:szCs w:val="28"/>
          <w:highlight w:val="none"/>
        </w:rPr>
      </w:pPr>
    </w:p>
    <w:p>
      <w:pPr>
        <w:spacing w:line="440" w:lineRule="exact"/>
        <w:jc w:val="center"/>
        <w:rPr>
          <w:rFonts w:ascii="仿宋_GB2312" w:eastAsia="仿宋_GB2312"/>
          <w:b/>
          <w:color w:val="auto"/>
          <w:sz w:val="28"/>
          <w:szCs w:val="28"/>
          <w:highlight w:val="none"/>
        </w:rPr>
      </w:pPr>
    </w:p>
    <w:p>
      <w:pPr>
        <w:spacing w:line="440" w:lineRule="exact"/>
        <w:jc w:val="center"/>
        <w:rPr>
          <w:rFonts w:hint="eastAsia" w:ascii="仿宋_GB2312" w:eastAsia="仿宋_GB2312"/>
          <w:b/>
          <w:color w:val="auto"/>
          <w:sz w:val="28"/>
          <w:szCs w:val="28"/>
          <w:highlight w:val="none"/>
        </w:rPr>
      </w:pPr>
    </w:p>
    <w:p>
      <w:pPr>
        <w:spacing w:line="440" w:lineRule="exact"/>
        <w:jc w:val="center"/>
        <w:rPr>
          <w:rFonts w:hint="eastAsia" w:ascii="仿宋_GB2312" w:eastAsia="仿宋_GB2312"/>
          <w:b/>
          <w:color w:val="auto"/>
          <w:sz w:val="28"/>
          <w:szCs w:val="28"/>
          <w:highlight w:val="none"/>
        </w:rPr>
      </w:pPr>
    </w:p>
    <w:p>
      <w:pPr>
        <w:spacing w:line="440" w:lineRule="exact"/>
        <w:jc w:val="center"/>
        <w:rPr>
          <w:rFonts w:ascii="仿宋_GB2312" w:eastAsia="仿宋_GB2312"/>
          <w:b/>
          <w:bCs/>
          <w:color w:val="auto"/>
          <w:sz w:val="28"/>
          <w:szCs w:val="28"/>
          <w:highlight w:val="none"/>
        </w:rPr>
      </w:pPr>
      <w:r>
        <w:rPr>
          <w:rFonts w:hint="eastAsia" w:ascii="仿宋_GB2312" w:eastAsia="仿宋_GB2312"/>
          <w:b/>
          <w:color w:val="auto"/>
          <w:sz w:val="28"/>
          <w:szCs w:val="28"/>
          <w:highlight w:val="none"/>
        </w:rPr>
        <w:t xml:space="preserve">第五章 </w:t>
      </w:r>
      <w:r>
        <w:rPr>
          <w:rFonts w:hint="eastAsia" w:ascii="仿宋_GB2312" w:eastAsia="仿宋_GB2312"/>
          <w:b/>
          <w:bCs/>
          <w:color w:val="auto"/>
          <w:sz w:val="28"/>
          <w:szCs w:val="28"/>
          <w:highlight w:val="none"/>
        </w:rPr>
        <w:t xml:space="preserve"> 响应文件格式</w:t>
      </w:r>
    </w:p>
    <w:p>
      <w:pPr>
        <w:spacing w:line="360" w:lineRule="auto"/>
        <w:ind w:firstLine="573"/>
        <w:jc w:val="left"/>
        <w:rPr>
          <w:rFonts w:ascii="仿宋_GB2312" w:hAnsi="华文中宋" w:eastAsia="仿宋_GB2312"/>
          <w:color w:val="auto"/>
          <w:sz w:val="24"/>
          <w:highlight w:val="none"/>
        </w:rPr>
      </w:pPr>
    </w:p>
    <w:p>
      <w:pPr>
        <w:spacing w:line="360" w:lineRule="auto"/>
        <w:ind w:firstLine="573"/>
        <w:jc w:val="left"/>
        <w:rPr>
          <w:rFonts w:ascii="仿宋_GB2312" w:hAnsi="华文中宋" w:eastAsia="仿宋_GB2312"/>
          <w:color w:val="auto"/>
          <w:sz w:val="24"/>
          <w:highlight w:val="none"/>
        </w:rPr>
      </w:pPr>
      <w:r>
        <w:rPr>
          <w:rFonts w:hint="eastAsia" w:ascii="仿宋_GB2312" w:hAnsi="华文中宋" w:eastAsia="仿宋_GB2312"/>
          <w:color w:val="auto"/>
          <w:sz w:val="24"/>
          <w:highlight w:val="none"/>
        </w:rPr>
        <w:t>响应文件封面</w:t>
      </w:r>
    </w:p>
    <w:p>
      <w:pPr>
        <w:spacing w:line="360" w:lineRule="auto"/>
        <w:ind w:firstLine="573"/>
        <w:jc w:val="left"/>
        <w:rPr>
          <w:rFonts w:ascii="仿宋_GB2312" w:hAnsi="华文中宋" w:eastAsia="仿宋_GB2312"/>
          <w:color w:val="auto"/>
          <w:sz w:val="24"/>
          <w:highlight w:val="none"/>
        </w:rPr>
      </w:pPr>
      <w:r>
        <w:rPr>
          <w:rFonts w:hint="eastAsia" w:ascii="仿宋_GB2312" w:hAnsi="华文中宋" w:eastAsia="仿宋_GB2312"/>
          <w:color w:val="auto"/>
          <w:sz w:val="24"/>
          <w:highlight w:val="none"/>
        </w:rPr>
        <w:t>格式1   响应函</w:t>
      </w:r>
    </w:p>
    <w:p>
      <w:pPr>
        <w:spacing w:line="360" w:lineRule="auto"/>
        <w:ind w:firstLine="600" w:firstLineChars="250"/>
        <w:jc w:val="left"/>
        <w:rPr>
          <w:rFonts w:ascii="仿宋_GB2312" w:hAnsi="Courier New" w:eastAsia="仿宋_GB2312"/>
          <w:bCs/>
          <w:color w:val="auto"/>
          <w:sz w:val="24"/>
          <w:highlight w:val="none"/>
        </w:rPr>
      </w:pPr>
      <w:r>
        <w:rPr>
          <w:rFonts w:hint="eastAsia" w:ascii="仿宋_GB2312" w:eastAsia="仿宋_GB2312"/>
          <w:bCs/>
          <w:color w:val="auto"/>
          <w:sz w:val="24"/>
          <w:highlight w:val="none"/>
        </w:rPr>
        <w:t xml:space="preserve">格式2   </w:t>
      </w:r>
      <w:r>
        <w:rPr>
          <w:rFonts w:hint="eastAsia" w:ascii="仿宋_GB2312" w:hAnsi="Courier New" w:eastAsia="仿宋_GB2312"/>
          <w:bCs/>
          <w:color w:val="auto"/>
          <w:sz w:val="24"/>
          <w:highlight w:val="none"/>
        </w:rPr>
        <w:t>商务报价一览表（首次）</w:t>
      </w:r>
    </w:p>
    <w:p>
      <w:pPr>
        <w:spacing w:line="360" w:lineRule="auto"/>
        <w:ind w:firstLine="573"/>
        <w:jc w:val="left"/>
        <w:rPr>
          <w:rFonts w:ascii="仿宋_GB2312" w:eastAsia="仿宋_GB2312"/>
          <w:bCs/>
          <w:color w:val="auto"/>
          <w:sz w:val="24"/>
          <w:highlight w:val="none"/>
        </w:rPr>
      </w:pPr>
      <w:r>
        <w:rPr>
          <w:rFonts w:hint="eastAsia" w:ascii="仿宋_GB2312" w:eastAsia="仿宋_GB2312"/>
          <w:bCs/>
          <w:color w:val="auto"/>
          <w:sz w:val="24"/>
          <w:highlight w:val="none"/>
        </w:rPr>
        <w:t>格式3   中小企业声明函</w:t>
      </w:r>
    </w:p>
    <w:p>
      <w:pPr>
        <w:spacing w:line="360" w:lineRule="auto"/>
        <w:ind w:firstLine="573"/>
        <w:jc w:val="left"/>
        <w:rPr>
          <w:rFonts w:ascii="仿宋_GB2312" w:hAnsi="宋体" w:eastAsia="仿宋_GB2312"/>
          <w:bCs/>
          <w:color w:val="auto"/>
          <w:sz w:val="28"/>
          <w:szCs w:val="28"/>
          <w:highlight w:val="none"/>
        </w:rPr>
      </w:pPr>
      <w:r>
        <w:rPr>
          <w:rFonts w:hint="eastAsia" w:ascii="仿宋_GB2312" w:eastAsia="仿宋_GB2312"/>
          <w:bCs/>
          <w:color w:val="auto"/>
          <w:sz w:val="24"/>
          <w:highlight w:val="none"/>
        </w:rPr>
        <w:t>格式4   法定代表人资格证明书</w:t>
      </w:r>
    </w:p>
    <w:p>
      <w:pPr>
        <w:tabs>
          <w:tab w:val="left" w:pos="360"/>
          <w:tab w:val="left" w:pos="1800"/>
        </w:tabs>
        <w:spacing w:line="360" w:lineRule="auto"/>
        <w:ind w:firstLine="600" w:firstLineChars="250"/>
        <w:jc w:val="left"/>
        <w:rPr>
          <w:rFonts w:ascii="仿宋_GB2312" w:eastAsia="仿宋_GB2312"/>
          <w:bCs/>
          <w:color w:val="auto"/>
          <w:sz w:val="24"/>
          <w:highlight w:val="none"/>
        </w:rPr>
      </w:pPr>
      <w:r>
        <w:rPr>
          <w:rFonts w:hint="eastAsia" w:ascii="仿宋_GB2312" w:eastAsia="仿宋_GB2312"/>
          <w:bCs/>
          <w:color w:val="auto"/>
          <w:sz w:val="24"/>
          <w:highlight w:val="none"/>
        </w:rPr>
        <w:t>格式5   法定代表人授权书</w:t>
      </w:r>
    </w:p>
    <w:p>
      <w:pPr>
        <w:tabs>
          <w:tab w:val="left" w:pos="360"/>
          <w:tab w:val="left" w:pos="1800"/>
        </w:tabs>
        <w:spacing w:line="360" w:lineRule="auto"/>
        <w:ind w:firstLine="600" w:firstLineChars="250"/>
        <w:jc w:val="left"/>
        <w:rPr>
          <w:rFonts w:ascii="仿宋_GB2312" w:eastAsia="仿宋_GB2312"/>
          <w:color w:val="auto"/>
          <w:sz w:val="24"/>
          <w:highlight w:val="none"/>
        </w:rPr>
      </w:pPr>
      <w:r>
        <w:rPr>
          <w:rFonts w:hint="eastAsia" w:ascii="仿宋_GB2312" w:eastAsia="仿宋_GB2312"/>
          <w:bCs/>
          <w:color w:val="auto"/>
          <w:sz w:val="24"/>
          <w:highlight w:val="none"/>
        </w:rPr>
        <w:t xml:space="preserve">格式6   </w:t>
      </w:r>
      <w:r>
        <w:rPr>
          <w:rFonts w:hint="eastAsia" w:ascii="仿宋_GB2312" w:eastAsia="仿宋_GB2312"/>
          <w:color w:val="auto"/>
          <w:sz w:val="24"/>
          <w:highlight w:val="none"/>
        </w:rPr>
        <w:t>供应商资格声明</w:t>
      </w:r>
    </w:p>
    <w:p>
      <w:pPr>
        <w:tabs>
          <w:tab w:val="left" w:pos="360"/>
          <w:tab w:val="left" w:pos="1800"/>
        </w:tabs>
        <w:spacing w:line="360" w:lineRule="auto"/>
        <w:ind w:firstLine="600" w:firstLineChars="250"/>
        <w:jc w:val="left"/>
        <w:rPr>
          <w:rFonts w:ascii="仿宋_GB2312" w:eastAsia="仿宋_GB2312"/>
          <w:color w:val="auto"/>
          <w:sz w:val="24"/>
          <w:highlight w:val="none"/>
        </w:rPr>
      </w:pPr>
      <w:r>
        <w:rPr>
          <w:rFonts w:hint="eastAsia" w:ascii="仿宋_GB2312" w:eastAsia="仿宋_GB2312"/>
          <w:bCs/>
          <w:color w:val="auto"/>
          <w:sz w:val="24"/>
          <w:highlight w:val="none"/>
        </w:rPr>
        <w:t xml:space="preserve">格式7   </w:t>
      </w:r>
      <w:r>
        <w:rPr>
          <w:rFonts w:hint="eastAsia" w:ascii="仿宋_GB2312" w:hAnsi="宋体" w:eastAsia="仿宋_GB2312"/>
          <w:color w:val="auto"/>
          <w:sz w:val="24"/>
          <w:highlight w:val="none"/>
        </w:rPr>
        <w:t>项目主要管理人员情况表</w:t>
      </w:r>
    </w:p>
    <w:p>
      <w:pPr>
        <w:spacing w:line="360" w:lineRule="auto"/>
        <w:ind w:firstLine="573"/>
        <w:jc w:val="left"/>
        <w:rPr>
          <w:rFonts w:ascii="仿宋_GB2312" w:eastAsia="仿宋_GB2312"/>
          <w:color w:val="auto"/>
          <w:sz w:val="24"/>
          <w:highlight w:val="none"/>
        </w:rPr>
      </w:pPr>
      <w:r>
        <w:rPr>
          <w:rFonts w:hint="eastAsia" w:ascii="仿宋_GB2312" w:eastAsia="仿宋_GB2312"/>
          <w:bCs/>
          <w:color w:val="auto"/>
          <w:sz w:val="24"/>
          <w:highlight w:val="none"/>
        </w:rPr>
        <w:t xml:space="preserve">格式8   </w:t>
      </w:r>
      <w:r>
        <w:rPr>
          <w:rFonts w:hint="eastAsia" w:ascii="仿宋_GB2312" w:eastAsia="仿宋_GB2312"/>
          <w:color w:val="auto"/>
          <w:sz w:val="24"/>
          <w:highlight w:val="none"/>
        </w:rPr>
        <w:t>自2018年1月1日至今同类项目业绩表</w:t>
      </w:r>
    </w:p>
    <w:p>
      <w:pPr>
        <w:spacing w:line="360" w:lineRule="auto"/>
        <w:ind w:firstLine="573"/>
        <w:jc w:val="left"/>
        <w:rPr>
          <w:rFonts w:ascii="仿宋_GB2312" w:eastAsia="仿宋_GB2312"/>
          <w:bCs/>
          <w:color w:val="auto"/>
          <w:sz w:val="24"/>
          <w:highlight w:val="none"/>
        </w:rPr>
      </w:pPr>
      <w:r>
        <w:rPr>
          <w:rFonts w:hint="eastAsia" w:ascii="仿宋_GB2312" w:eastAsia="仿宋_GB2312"/>
          <w:bCs/>
          <w:color w:val="auto"/>
          <w:sz w:val="24"/>
          <w:highlight w:val="none"/>
        </w:rPr>
        <w:t xml:space="preserve">格式9   </w:t>
      </w:r>
      <w:r>
        <w:rPr>
          <w:rFonts w:hint="eastAsia" w:ascii="仿宋_GB2312" w:eastAsia="仿宋_GB2312"/>
          <w:color w:val="auto"/>
          <w:sz w:val="24"/>
          <w:highlight w:val="none"/>
        </w:rPr>
        <w:t>商务条款响应</w:t>
      </w:r>
      <w:r>
        <w:rPr>
          <w:rFonts w:hint="eastAsia" w:ascii="仿宋_GB2312" w:hAnsi="宋体" w:eastAsia="仿宋_GB2312"/>
          <w:bCs/>
          <w:color w:val="auto"/>
          <w:sz w:val="24"/>
          <w:highlight w:val="none"/>
        </w:rPr>
        <w:t>偏离表</w:t>
      </w:r>
    </w:p>
    <w:p>
      <w:pPr>
        <w:spacing w:line="360" w:lineRule="auto"/>
        <w:ind w:firstLine="573"/>
        <w:jc w:val="left"/>
        <w:rPr>
          <w:rFonts w:ascii="仿宋_GB2312" w:eastAsia="仿宋_GB2312"/>
          <w:bCs/>
          <w:color w:val="auto"/>
          <w:sz w:val="24"/>
          <w:highlight w:val="none"/>
        </w:rPr>
      </w:pPr>
      <w:r>
        <w:rPr>
          <w:rFonts w:hint="eastAsia" w:ascii="仿宋_GB2312" w:eastAsia="仿宋_GB2312"/>
          <w:bCs/>
          <w:color w:val="auto"/>
          <w:sz w:val="24"/>
          <w:highlight w:val="none"/>
        </w:rPr>
        <w:t>格式10  服务方案</w:t>
      </w:r>
    </w:p>
    <w:p>
      <w:pPr>
        <w:spacing w:line="360" w:lineRule="auto"/>
        <w:ind w:firstLine="573"/>
        <w:jc w:val="left"/>
        <w:rPr>
          <w:rFonts w:ascii="仿宋_GB2312" w:eastAsia="仿宋_GB2312"/>
          <w:bCs/>
          <w:color w:val="auto"/>
          <w:sz w:val="24"/>
          <w:highlight w:val="none"/>
        </w:rPr>
      </w:pPr>
      <w:r>
        <w:rPr>
          <w:rFonts w:hint="eastAsia" w:ascii="仿宋_GB2312" w:eastAsia="仿宋_GB2312"/>
          <w:bCs/>
          <w:color w:val="auto"/>
          <w:sz w:val="24"/>
          <w:highlight w:val="none"/>
        </w:rPr>
        <w:t>格式11  服务及实质性承诺</w:t>
      </w:r>
    </w:p>
    <w:p>
      <w:pPr>
        <w:spacing w:line="360" w:lineRule="auto"/>
        <w:ind w:firstLine="573"/>
        <w:jc w:val="left"/>
        <w:rPr>
          <w:rFonts w:ascii="仿宋_GB2312" w:eastAsia="仿宋_GB2312"/>
          <w:color w:val="auto"/>
          <w:sz w:val="24"/>
          <w:highlight w:val="none"/>
        </w:rPr>
      </w:pPr>
      <w:r>
        <w:rPr>
          <w:rFonts w:hint="eastAsia" w:ascii="仿宋_GB2312" w:eastAsia="仿宋_GB2312"/>
          <w:bCs/>
          <w:color w:val="auto"/>
          <w:sz w:val="24"/>
          <w:highlight w:val="none"/>
        </w:rPr>
        <w:t>格式12  资格性/符合性自查表</w:t>
      </w:r>
    </w:p>
    <w:p>
      <w:pPr>
        <w:spacing w:line="360" w:lineRule="auto"/>
        <w:ind w:firstLine="573"/>
        <w:jc w:val="left"/>
        <w:rPr>
          <w:rFonts w:ascii="仿宋_GB2312" w:eastAsia="仿宋_GB2312"/>
          <w:color w:val="auto"/>
          <w:sz w:val="24"/>
          <w:highlight w:val="none"/>
        </w:rPr>
      </w:pPr>
      <w:r>
        <w:rPr>
          <w:rFonts w:hint="eastAsia" w:ascii="仿宋_GB2312" w:eastAsia="仿宋_GB2312"/>
          <w:bCs/>
          <w:color w:val="auto"/>
          <w:sz w:val="24"/>
          <w:highlight w:val="none"/>
        </w:rPr>
        <w:t>格式13  政府采购领域诚信承诺书</w:t>
      </w:r>
    </w:p>
    <w:p>
      <w:pPr>
        <w:spacing w:line="360" w:lineRule="auto"/>
        <w:ind w:firstLine="480" w:firstLineChars="200"/>
        <w:jc w:val="left"/>
        <w:outlineLvl w:val="0"/>
        <w:rPr>
          <w:rFonts w:ascii="仿宋_GB2312" w:eastAsia="仿宋_GB2312"/>
          <w:color w:val="auto"/>
          <w:sz w:val="24"/>
          <w:highlight w:val="none"/>
        </w:rPr>
      </w:pPr>
    </w:p>
    <w:p>
      <w:pPr>
        <w:spacing w:line="360" w:lineRule="auto"/>
        <w:ind w:firstLine="573"/>
        <w:jc w:val="left"/>
        <w:rPr>
          <w:rFonts w:ascii="仿宋_GB2312" w:eastAsia="仿宋_GB2312"/>
          <w:bCs/>
          <w:color w:val="auto"/>
          <w:sz w:val="24"/>
          <w:highlight w:val="none"/>
        </w:rPr>
      </w:pPr>
    </w:p>
    <w:p>
      <w:pPr>
        <w:spacing w:line="360" w:lineRule="auto"/>
        <w:jc w:val="left"/>
        <w:rPr>
          <w:rFonts w:ascii="仿宋_GB2312" w:eastAsia="仿宋_GB2312"/>
          <w:b/>
          <w:bCs/>
          <w:color w:val="auto"/>
          <w:sz w:val="36"/>
          <w:szCs w:val="36"/>
          <w:highlight w:val="none"/>
        </w:rPr>
      </w:pPr>
    </w:p>
    <w:p>
      <w:pPr>
        <w:spacing w:line="360" w:lineRule="auto"/>
        <w:jc w:val="center"/>
        <w:rPr>
          <w:rFonts w:ascii="仿宋_GB2312" w:eastAsia="仿宋_GB2312"/>
          <w:b/>
          <w:bCs/>
          <w:color w:val="auto"/>
          <w:sz w:val="36"/>
          <w:szCs w:val="36"/>
          <w:highlight w:val="none"/>
        </w:rPr>
      </w:pPr>
    </w:p>
    <w:p>
      <w:pPr>
        <w:spacing w:line="360" w:lineRule="auto"/>
        <w:jc w:val="center"/>
        <w:rPr>
          <w:rFonts w:ascii="仿宋_GB2312" w:eastAsia="仿宋_GB2312"/>
          <w:b/>
          <w:bCs/>
          <w:color w:val="auto"/>
          <w:sz w:val="36"/>
          <w:szCs w:val="36"/>
          <w:highlight w:val="none"/>
        </w:rPr>
      </w:pPr>
    </w:p>
    <w:p>
      <w:pPr>
        <w:spacing w:line="360" w:lineRule="auto"/>
        <w:jc w:val="center"/>
        <w:rPr>
          <w:rFonts w:ascii="仿宋_GB2312" w:eastAsia="仿宋_GB2312"/>
          <w:b/>
          <w:color w:val="auto"/>
          <w:sz w:val="52"/>
          <w:szCs w:val="52"/>
          <w:highlight w:val="none"/>
        </w:rPr>
      </w:pPr>
    </w:p>
    <w:p>
      <w:pPr>
        <w:spacing w:line="360" w:lineRule="auto"/>
        <w:jc w:val="center"/>
        <w:rPr>
          <w:rFonts w:ascii="仿宋_GB2312" w:eastAsia="仿宋_GB2312"/>
          <w:b/>
          <w:color w:val="auto"/>
          <w:sz w:val="52"/>
          <w:szCs w:val="52"/>
          <w:highlight w:val="none"/>
        </w:rPr>
      </w:pPr>
    </w:p>
    <w:p>
      <w:pPr>
        <w:pStyle w:val="5"/>
        <w:rPr>
          <w:color w:val="auto"/>
          <w:highlight w:val="none"/>
        </w:rPr>
      </w:pPr>
    </w:p>
    <w:p>
      <w:pPr>
        <w:rPr>
          <w:color w:val="auto"/>
          <w:highlight w:val="none"/>
        </w:rPr>
      </w:pPr>
    </w:p>
    <w:p>
      <w:pPr>
        <w:spacing w:line="360" w:lineRule="auto"/>
        <w:jc w:val="center"/>
        <w:rPr>
          <w:rFonts w:hint="eastAsia" w:eastAsia="宋体"/>
          <w:color w:val="auto"/>
          <w:sz w:val="28"/>
          <w:szCs w:val="28"/>
          <w:highlight w:val="none"/>
          <w:lang w:eastAsia="zh-CN"/>
        </w:rPr>
      </w:pPr>
      <w:r>
        <w:rPr>
          <w:rFonts w:hint="eastAsia" w:ascii="仿宋_GB2312" w:eastAsia="仿宋_GB2312"/>
          <w:b/>
          <w:color w:val="auto"/>
          <w:sz w:val="56"/>
          <w:szCs w:val="56"/>
          <w:highlight w:val="none"/>
          <w:lang w:eastAsia="zh-CN"/>
        </w:rPr>
        <w:t>“森林物语&amp;虫现江湖”——大型热带雨林实景生态展</w:t>
      </w:r>
    </w:p>
    <w:p>
      <w:pPr>
        <w:spacing w:line="360" w:lineRule="auto"/>
        <w:rPr>
          <w:color w:val="auto"/>
          <w:sz w:val="28"/>
          <w:szCs w:val="28"/>
          <w:highlight w:val="none"/>
        </w:rPr>
      </w:pPr>
    </w:p>
    <w:p>
      <w:pPr>
        <w:spacing w:line="360" w:lineRule="auto"/>
        <w:rPr>
          <w:color w:val="auto"/>
          <w:sz w:val="28"/>
          <w:szCs w:val="28"/>
          <w:highlight w:val="none"/>
        </w:rPr>
      </w:pPr>
    </w:p>
    <w:p>
      <w:pPr>
        <w:spacing w:line="360" w:lineRule="auto"/>
        <w:rPr>
          <w:color w:val="auto"/>
          <w:sz w:val="28"/>
          <w:szCs w:val="28"/>
          <w:highlight w:val="none"/>
        </w:rPr>
      </w:pPr>
    </w:p>
    <w:p>
      <w:pPr>
        <w:jc w:val="center"/>
        <w:rPr>
          <w:rFonts w:ascii="仿宋_GB2312" w:eastAsia="仿宋_GB2312"/>
          <w:b/>
          <w:color w:val="auto"/>
          <w:sz w:val="72"/>
          <w:szCs w:val="72"/>
          <w:highlight w:val="none"/>
        </w:rPr>
      </w:pPr>
      <w:r>
        <w:rPr>
          <w:rFonts w:hint="eastAsia" w:ascii="仿宋_GB2312" w:eastAsia="仿宋_GB2312"/>
          <w:b/>
          <w:color w:val="auto"/>
          <w:sz w:val="72"/>
          <w:szCs w:val="72"/>
          <w:highlight w:val="none"/>
        </w:rPr>
        <w:t>响  应  文  件</w:t>
      </w:r>
    </w:p>
    <w:p>
      <w:pPr>
        <w:snapToGrid w:val="0"/>
        <w:spacing w:line="374" w:lineRule="atLeast"/>
        <w:jc w:val="center"/>
        <w:rPr>
          <w:rFonts w:hint="eastAsia" w:ascii="仿宋_GB2312" w:eastAsia="仿宋_GB2312"/>
          <w:b/>
          <w:color w:val="auto"/>
          <w:sz w:val="30"/>
          <w:highlight w:val="none"/>
          <w:lang w:eastAsia="zh-CN"/>
        </w:rPr>
      </w:pPr>
      <w:r>
        <w:rPr>
          <w:rFonts w:hint="eastAsia" w:ascii="仿宋_GB2312" w:eastAsia="仿宋_GB2312"/>
          <w:b/>
          <w:color w:val="auto"/>
          <w:sz w:val="30"/>
          <w:highlight w:val="none"/>
        </w:rPr>
        <w:t>文件编号：</w:t>
      </w:r>
      <w:r>
        <w:rPr>
          <w:rFonts w:hint="eastAsia" w:ascii="仿宋_GB2312" w:eastAsia="仿宋_GB2312"/>
          <w:b/>
          <w:color w:val="auto"/>
          <w:sz w:val="30"/>
          <w:highlight w:val="none"/>
          <w:lang w:eastAsia="zh-CN"/>
        </w:rPr>
        <w:t>KSKX（ZC）2021-02</w:t>
      </w:r>
    </w:p>
    <w:p>
      <w:pPr>
        <w:spacing w:line="360" w:lineRule="auto"/>
        <w:rPr>
          <w:rFonts w:ascii="仿宋_GB2312" w:hAnsi="宋体" w:eastAsia="仿宋_GB2312"/>
          <w:b/>
          <w:color w:val="auto"/>
          <w:sz w:val="32"/>
          <w:szCs w:val="32"/>
          <w:highlight w:val="none"/>
        </w:rPr>
      </w:pPr>
    </w:p>
    <w:p>
      <w:pPr>
        <w:spacing w:line="360" w:lineRule="auto"/>
        <w:rPr>
          <w:rFonts w:ascii="仿宋_GB2312" w:hAnsi="宋体" w:eastAsia="仿宋_GB2312"/>
          <w:b/>
          <w:color w:val="auto"/>
          <w:sz w:val="32"/>
          <w:szCs w:val="32"/>
          <w:highlight w:val="none"/>
        </w:rPr>
      </w:pPr>
    </w:p>
    <w:p>
      <w:pPr>
        <w:spacing w:line="360" w:lineRule="auto"/>
        <w:rPr>
          <w:rFonts w:ascii="仿宋_GB2312" w:hAnsi="宋体" w:eastAsia="仿宋_GB2312"/>
          <w:b/>
          <w:color w:val="auto"/>
          <w:sz w:val="32"/>
          <w:szCs w:val="32"/>
          <w:highlight w:val="none"/>
        </w:rPr>
      </w:pPr>
    </w:p>
    <w:p>
      <w:pPr>
        <w:spacing w:line="360" w:lineRule="auto"/>
        <w:rPr>
          <w:rFonts w:ascii="仿宋_GB2312" w:hAnsi="宋体" w:eastAsia="仿宋_GB2312"/>
          <w:b/>
          <w:color w:val="auto"/>
          <w:sz w:val="32"/>
          <w:szCs w:val="32"/>
          <w:highlight w:val="none"/>
        </w:rPr>
      </w:pPr>
    </w:p>
    <w:p>
      <w:pPr>
        <w:spacing w:line="360" w:lineRule="auto"/>
        <w:rPr>
          <w:rFonts w:ascii="仿宋_GB2312" w:hAnsi="宋体" w:eastAsia="仿宋_GB2312"/>
          <w:b/>
          <w:color w:val="auto"/>
          <w:sz w:val="32"/>
          <w:szCs w:val="32"/>
          <w:highlight w:val="none"/>
        </w:rPr>
      </w:pPr>
    </w:p>
    <w:p>
      <w:pPr>
        <w:spacing w:line="360" w:lineRule="auto"/>
        <w:ind w:firstLine="602"/>
        <w:rPr>
          <w:rFonts w:ascii="仿宋_GB2312" w:eastAsia="仿宋_GB2312"/>
          <w:b/>
          <w:color w:val="auto"/>
          <w:sz w:val="30"/>
          <w:szCs w:val="30"/>
          <w:highlight w:val="none"/>
        </w:rPr>
      </w:pPr>
      <w:r>
        <w:rPr>
          <w:rFonts w:hint="eastAsia" w:ascii="仿宋_GB2312" w:eastAsia="仿宋_GB2312"/>
          <w:b/>
          <w:color w:val="auto"/>
          <w:sz w:val="30"/>
          <w:szCs w:val="30"/>
          <w:highlight w:val="none"/>
        </w:rPr>
        <w:t>供应商： （单位名称）盖章</w:t>
      </w:r>
    </w:p>
    <w:p>
      <w:pPr>
        <w:spacing w:line="360" w:lineRule="auto"/>
        <w:rPr>
          <w:rFonts w:ascii="仿宋_GB2312" w:eastAsia="仿宋_GB2312"/>
          <w:b/>
          <w:color w:val="auto"/>
          <w:sz w:val="30"/>
          <w:szCs w:val="30"/>
          <w:highlight w:val="none"/>
        </w:rPr>
      </w:pPr>
    </w:p>
    <w:p>
      <w:pPr>
        <w:spacing w:line="360" w:lineRule="auto"/>
        <w:ind w:firstLine="602"/>
        <w:rPr>
          <w:rFonts w:ascii="仿宋_GB2312" w:eastAsia="仿宋_GB2312"/>
          <w:b/>
          <w:color w:val="auto"/>
          <w:sz w:val="30"/>
          <w:szCs w:val="30"/>
          <w:highlight w:val="none"/>
        </w:rPr>
      </w:pPr>
      <w:r>
        <w:rPr>
          <w:rFonts w:hint="eastAsia" w:ascii="仿宋_GB2312" w:eastAsia="仿宋_GB2312"/>
          <w:b/>
          <w:color w:val="auto"/>
          <w:sz w:val="30"/>
          <w:szCs w:val="30"/>
          <w:highlight w:val="none"/>
        </w:rPr>
        <w:t>单位地址：</w:t>
      </w:r>
    </w:p>
    <w:p>
      <w:pPr>
        <w:spacing w:line="360" w:lineRule="auto"/>
        <w:ind w:firstLine="602"/>
        <w:rPr>
          <w:rFonts w:ascii="仿宋_GB2312" w:eastAsia="仿宋_GB2312"/>
          <w:b/>
          <w:color w:val="auto"/>
          <w:sz w:val="30"/>
          <w:szCs w:val="30"/>
          <w:highlight w:val="none"/>
        </w:rPr>
      </w:pPr>
    </w:p>
    <w:p>
      <w:pPr>
        <w:pStyle w:val="14"/>
        <w:ind w:firstLine="596" w:firstLineChars="198"/>
        <w:outlineLvl w:val="0"/>
        <w:rPr>
          <w:rFonts w:ascii="仿宋_GB2312" w:eastAsia="仿宋_GB2312"/>
          <w:color w:val="auto"/>
          <w:sz w:val="24"/>
          <w:highlight w:val="none"/>
        </w:rPr>
      </w:pPr>
      <w:r>
        <w:rPr>
          <w:rFonts w:hint="eastAsia" w:ascii="仿宋_GB2312" w:eastAsia="仿宋_GB2312"/>
          <w:b/>
          <w:color w:val="auto"/>
          <w:sz w:val="30"/>
          <w:szCs w:val="30"/>
          <w:highlight w:val="none"/>
        </w:rPr>
        <w:t>联系人：                   联系电话：</w:t>
      </w:r>
    </w:p>
    <w:p>
      <w:pPr>
        <w:spacing w:line="440" w:lineRule="exact"/>
        <w:ind w:firstLine="573"/>
        <w:jc w:val="center"/>
        <w:rPr>
          <w:rFonts w:ascii="仿宋_GB2312" w:hAnsi="华文中宋" w:eastAsia="仿宋_GB2312"/>
          <w:b/>
          <w:color w:val="auto"/>
          <w:sz w:val="24"/>
          <w:highlight w:val="none"/>
        </w:rPr>
      </w:pPr>
    </w:p>
    <w:p>
      <w:pPr>
        <w:spacing w:line="440" w:lineRule="exact"/>
        <w:ind w:firstLine="573"/>
        <w:jc w:val="center"/>
        <w:rPr>
          <w:rFonts w:ascii="仿宋_GB2312" w:hAnsi="华文中宋" w:eastAsia="仿宋_GB2312"/>
          <w:b/>
          <w:color w:val="auto"/>
          <w:sz w:val="24"/>
          <w:highlight w:val="none"/>
        </w:rPr>
      </w:pPr>
    </w:p>
    <w:p>
      <w:pPr>
        <w:spacing w:line="440" w:lineRule="exact"/>
        <w:ind w:firstLine="573"/>
        <w:jc w:val="center"/>
        <w:rPr>
          <w:rFonts w:ascii="仿宋_GB2312" w:hAnsi="华文中宋" w:eastAsia="仿宋_GB2312"/>
          <w:b/>
          <w:color w:val="auto"/>
          <w:sz w:val="24"/>
          <w:highlight w:val="none"/>
        </w:rPr>
      </w:pPr>
    </w:p>
    <w:p>
      <w:pPr>
        <w:spacing w:line="360" w:lineRule="auto"/>
        <w:jc w:val="center"/>
        <w:rPr>
          <w:rFonts w:hint="eastAsia" w:ascii="仿宋_GB2312" w:hAnsi="华文中宋" w:eastAsia="仿宋_GB2312"/>
          <w:b/>
          <w:color w:val="auto"/>
          <w:sz w:val="24"/>
          <w:highlight w:val="none"/>
        </w:rPr>
      </w:pPr>
    </w:p>
    <w:p>
      <w:pPr>
        <w:spacing w:line="360" w:lineRule="auto"/>
        <w:jc w:val="center"/>
        <w:rPr>
          <w:rFonts w:hint="eastAsia" w:ascii="仿宋_GB2312" w:hAnsi="华文中宋" w:eastAsia="仿宋_GB2312"/>
          <w:b/>
          <w:color w:val="auto"/>
          <w:sz w:val="24"/>
          <w:highlight w:val="none"/>
        </w:rPr>
      </w:pPr>
    </w:p>
    <w:p>
      <w:pPr>
        <w:spacing w:line="360" w:lineRule="auto"/>
        <w:jc w:val="center"/>
        <w:rPr>
          <w:rFonts w:ascii="仿宋_GB2312" w:hAnsi="华文中宋" w:eastAsia="仿宋_GB2312"/>
          <w:b/>
          <w:color w:val="auto"/>
          <w:sz w:val="24"/>
          <w:highlight w:val="none"/>
        </w:rPr>
      </w:pPr>
      <w:r>
        <w:rPr>
          <w:rFonts w:hint="eastAsia" w:ascii="仿宋_GB2312" w:hAnsi="华文中宋" w:eastAsia="仿宋_GB2312"/>
          <w:b/>
          <w:color w:val="auto"/>
          <w:sz w:val="24"/>
          <w:highlight w:val="none"/>
        </w:rPr>
        <w:t>格式1  响  应  函</w:t>
      </w:r>
    </w:p>
    <w:p>
      <w:pPr>
        <w:spacing w:line="360" w:lineRule="auto"/>
        <w:rPr>
          <w:rFonts w:hint="eastAsia" w:ascii="仿宋_GB2312" w:hAnsi="宋体" w:eastAsia="仿宋_GB2312" w:cs="宋体"/>
          <w:color w:val="auto"/>
          <w:kern w:val="0"/>
          <w:sz w:val="24"/>
          <w:highlight w:val="none"/>
          <w:lang w:eastAsia="zh-CN"/>
        </w:rPr>
      </w:pPr>
    </w:p>
    <w:p>
      <w:pPr>
        <w:spacing w:line="360" w:lineRule="auto"/>
        <w:rPr>
          <w:rFonts w:ascii="仿宋_GB2312" w:hAnsi="宋体" w:eastAsia="仿宋_GB2312"/>
          <w:color w:val="auto"/>
          <w:sz w:val="24"/>
          <w:highlight w:val="none"/>
        </w:rPr>
      </w:pPr>
      <w:r>
        <w:rPr>
          <w:rFonts w:hint="eastAsia" w:ascii="仿宋_GB2312" w:hAnsi="宋体" w:eastAsia="仿宋_GB2312" w:cs="宋体"/>
          <w:color w:val="auto"/>
          <w:kern w:val="0"/>
          <w:sz w:val="24"/>
          <w:highlight w:val="none"/>
          <w:lang w:eastAsia="zh-CN"/>
        </w:rPr>
        <w:t>克拉玛依市科学技术协会</w:t>
      </w:r>
      <w:r>
        <w:rPr>
          <w:rFonts w:hint="eastAsia" w:ascii="仿宋_GB2312" w:hAnsi="宋体" w:eastAsia="仿宋_GB2312"/>
          <w:color w:val="auto"/>
          <w:sz w:val="32"/>
          <w:szCs w:val="32"/>
          <w:highlight w:val="none"/>
        </w:rPr>
        <w:t>：</w:t>
      </w:r>
    </w:p>
    <w:p>
      <w:pPr>
        <w:pStyle w:val="16"/>
        <w:ind w:left="0" w:firstLine="480" w:firstLineChars="200"/>
        <w:jc w:val="left"/>
        <w:rPr>
          <w:rFonts w:ascii="仿宋_GB2312" w:eastAsia="仿宋_GB2312"/>
          <w:b w:val="0"/>
          <w:bCs/>
          <w:color w:val="auto"/>
          <w:highlight w:val="none"/>
        </w:rPr>
      </w:pPr>
      <w:r>
        <w:rPr>
          <w:rFonts w:hint="eastAsia" w:ascii="仿宋_GB2312" w:eastAsia="仿宋_GB2312"/>
          <w:b w:val="0"/>
          <w:bCs/>
          <w:color w:val="auto"/>
          <w:highlight w:val="none"/>
        </w:rPr>
        <w:t>我方全面研究了 “</w:t>
      </w:r>
      <w:r>
        <w:rPr>
          <w:rFonts w:hint="eastAsia" w:ascii="仿宋_GB2312" w:eastAsia="仿宋_GB2312"/>
          <w:b w:val="0"/>
          <w:bCs/>
          <w:color w:val="auto"/>
          <w:highlight w:val="none"/>
          <w:u w:val="single"/>
        </w:rPr>
        <w:t xml:space="preserve">       </w:t>
      </w:r>
      <w:r>
        <w:rPr>
          <w:rFonts w:hint="eastAsia" w:ascii="仿宋_GB2312" w:eastAsia="仿宋_GB2312"/>
          <w:b w:val="0"/>
          <w:bCs/>
          <w:color w:val="auto"/>
          <w:highlight w:val="none"/>
        </w:rPr>
        <w:t>”项目单一来源采购文件（文件编号：</w:t>
      </w:r>
      <w:r>
        <w:rPr>
          <w:rFonts w:hint="eastAsia" w:ascii="仿宋_GB2312" w:eastAsia="仿宋_GB2312"/>
          <w:b w:val="0"/>
          <w:bCs/>
          <w:color w:val="auto"/>
          <w:highlight w:val="none"/>
          <w:u w:val="single"/>
        </w:rPr>
        <w:t xml:space="preserve">       </w:t>
      </w:r>
      <w:r>
        <w:rPr>
          <w:rFonts w:hint="eastAsia" w:ascii="仿宋_GB2312" w:eastAsia="仿宋_GB2312"/>
          <w:b w:val="0"/>
          <w:bCs/>
          <w:color w:val="auto"/>
          <w:highlight w:val="none"/>
        </w:rPr>
        <w:t>），决定参加本项目采购。我方授权</w:t>
      </w:r>
      <w:r>
        <w:rPr>
          <w:rFonts w:hint="eastAsia" w:ascii="仿宋_GB2312" w:eastAsia="仿宋_GB2312"/>
          <w:b w:val="0"/>
          <w:bCs/>
          <w:color w:val="auto"/>
          <w:highlight w:val="none"/>
          <w:u w:val="single"/>
        </w:rPr>
        <w:t xml:space="preserve">（姓名、职务）    </w:t>
      </w:r>
      <w:r>
        <w:rPr>
          <w:rFonts w:hint="eastAsia" w:ascii="仿宋_GB2312" w:eastAsia="仿宋_GB2312"/>
          <w:b w:val="0"/>
          <w:bCs/>
          <w:color w:val="auto"/>
          <w:highlight w:val="none"/>
        </w:rPr>
        <w:t>代表我方</w:t>
      </w:r>
      <w:r>
        <w:rPr>
          <w:rFonts w:hint="eastAsia" w:ascii="仿宋_GB2312" w:eastAsia="仿宋_GB2312"/>
          <w:b w:val="0"/>
          <w:bCs/>
          <w:color w:val="auto"/>
          <w:highlight w:val="none"/>
          <w:u w:val="single"/>
        </w:rPr>
        <w:t xml:space="preserve">（供应商的名称）    </w:t>
      </w:r>
      <w:r>
        <w:rPr>
          <w:rFonts w:hint="eastAsia" w:ascii="仿宋_GB2312" w:eastAsia="仿宋_GB2312"/>
          <w:b w:val="0"/>
          <w:bCs/>
          <w:color w:val="auto"/>
          <w:highlight w:val="none"/>
        </w:rPr>
        <w:t>全权处理本项目采购的有关事宜。</w:t>
      </w:r>
    </w:p>
    <w:p>
      <w:pPr>
        <w:pStyle w:val="16"/>
        <w:ind w:left="0" w:firstLine="480" w:firstLineChars="200"/>
        <w:rPr>
          <w:rFonts w:ascii="仿宋_GB2312" w:eastAsia="仿宋_GB2312"/>
          <w:b w:val="0"/>
          <w:bCs/>
          <w:color w:val="auto"/>
          <w:highlight w:val="none"/>
        </w:rPr>
      </w:pPr>
      <w:r>
        <w:rPr>
          <w:rFonts w:hint="eastAsia" w:ascii="仿宋_GB2312" w:eastAsia="仿宋_GB2312"/>
          <w:b w:val="0"/>
          <w:bCs/>
          <w:color w:val="auto"/>
          <w:highlight w:val="none"/>
        </w:rPr>
        <w:t>1、我方自愿按照单一来源采购文件规定的各项要求向采购人提供所需</w:t>
      </w:r>
      <w:r>
        <w:rPr>
          <w:rFonts w:hint="eastAsia" w:ascii="仿宋_GB2312" w:eastAsia="仿宋_GB2312"/>
          <w:b w:val="0"/>
          <w:bCs/>
          <w:color w:val="auto"/>
          <w:highlight w:val="none"/>
          <w:lang w:eastAsia="zh-CN"/>
        </w:rPr>
        <w:t>货物和</w:t>
      </w:r>
      <w:r>
        <w:rPr>
          <w:rFonts w:hint="eastAsia" w:ascii="仿宋_GB2312" w:eastAsia="仿宋_GB2312"/>
          <w:b w:val="0"/>
          <w:bCs/>
          <w:color w:val="auto"/>
          <w:highlight w:val="none"/>
        </w:rPr>
        <w:t>服务，商务总报价为：</w:t>
      </w:r>
      <w:r>
        <w:rPr>
          <w:rFonts w:hint="eastAsia" w:ascii="仿宋_GB2312" w:hAnsi="宋体" w:eastAsia="仿宋_GB2312"/>
          <w:color w:val="auto"/>
          <w:szCs w:val="21"/>
          <w:highlight w:val="none"/>
        </w:rPr>
        <w:t>￥</w:t>
      </w:r>
      <w:r>
        <w:rPr>
          <w:rFonts w:hint="eastAsia" w:ascii="仿宋_GB2312" w:hAnsi="宋体" w:eastAsia="仿宋_GB2312"/>
          <w:color w:val="auto"/>
          <w:szCs w:val="21"/>
          <w:highlight w:val="none"/>
          <w:u w:val="single"/>
        </w:rPr>
        <w:t xml:space="preserve">        </w:t>
      </w:r>
      <w:r>
        <w:rPr>
          <w:rFonts w:hint="eastAsia" w:ascii="仿宋_GB2312" w:eastAsia="仿宋_GB2312"/>
          <w:b w:val="0"/>
          <w:bCs/>
          <w:color w:val="auto"/>
          <w:highlight w:val="none"/>
        </w:rPr>
        <w:t>万元（大写：人民币</w:t>
      </w:r>
      <w:r>
        <w:rPr>
          <w:rFonts w:hint="eastAsia" w:ascii="仿宋_GB2312" w:eastAsia="仿宋_GB2312"/>
          <w:b w:val="0"/>
          <w:bCs/>
          <w:color w:val="auto"/>
          <w:highlight w:val="none"/>
          <w:u w:val="single"/>
        </w:rPr>
        <w:t xml:space="preserve">       </w:t>
      </w:r>
      <w:r>
        <w:rPr>
          <w:rFonts w:hint="eastAsia" w:ascii="仿宋_GB2312" w:eastAsia="仿宋_GB2312"/>
          <w:b w:val="0"/>
          <w:bCs/>
          <w:color w:val="auto"/>
          <w:highlight w:val="none"/>
        </w:rPr>
        <w:t>）。</w:t>
      </w:r>
    </w:p>
    <w:p>
      <w:pPr>
        <w:pStyle w:val="16"/>
        <w:ind w:left="0" w:firstLine="480" w:firstLineChars="200"/>
        <w:rPr>
          <w:rFonts w:ascii="仿宋_GB2312" w:eastAsia="仿宋_GB2312"/>
          <w:b w:val="0"/>
          <w:bCs/>
          <w:color w:val="auto"/>
          <w:highlight w:val="none"/>
        </w:rPr>
      </w:pPr>
      <w:r>
        <w:rPr>
          <w:rFonts w:hint="eastAsia" w:ascii="仿宋_GB2312" w:eastAsia="仿宋_GB2312"/>
          <w:b w:val="0"/>
          <w:bCs/>
          <w:color w:val="auto"/>
          <w:highlight w:val="none"/>
        </w:rPr>
        <w:t>2、若我方成交，我方将严格履行合同规定的责任和义务，保证按采购人要求及我方承诺完成应尽义务，并交付采购人验收、使用。</w:t>
      </w:r>
    </w:p>
    <w:p>
      <w:pPr>
        <w:pStyle w:val="16"/>
        <w:ind w:left="0" w:firstLine="480" w:firstLineChars="200"/>
        <w:rPr>
          <w:rFonts w:ascii="仿宋_GB2312" w:eastAsia="仿宋_GB2312"/>
          <w:b w:val="0"/>
          <w:bCs/>
          <w:color w:val="auto"/>
          <w:highlight w:val="none"/>
        </w:rPr>
      </w:pPr>
      <w:r>
        <w:rPr>
          <w:rFonts w:hint="eastAsia" w:ascii="仿宋_GB2312" w:eastAsia="仿宋_GB2312"/>
          <w:b w:val="0"/>
          <w:bCs/>
          <w:color w:val="auto"/>
          <w:highlight w:val="none"/>
        </w:rPr>
        <w:t>3、我方同意本次采购针投标有效期的相关要求且承诺投标有效期为投标截止时间届满后</w:t>
      </w:r>
      <w:r>
        <w:rPr>
          <w:rFonts w:hint="eastAsia" w:ascii="仿宋_GB2312" w:eastAsia="仿宋_GB2312"/>
          <w:b w:val="0"/>
          <w:bCs/>
          <w:color w:val="auto"/>
          <w:highlight w:val="none"/>
          <w:u w:val="single"/>
        </w:rPr>
        <w:t>60</w:t>
      </w:r>
      <w:r>
        <w:rPr>
          <w:rFonts w:hint="eastAsia" w:ascii="仿宋_GB2312" w:eastAsia="仿宋_GB2312"/>
          <w:b w:val="0"/>
          <w:bCs/>
          <w:color w:val="auto"/>
          <w:highlight w:val="none"/>
        </w:rPr>
        <w:t>天。</w:t>
      </w:r>
    </w:p>
    <w:p>
      <w:pPr>
        <w:pStyle w:val="16"/>
        <w:ind w:left="0" w:firstLine="480" w:firstLineChars="200"/>
        <w:rPr>
          <w:rFonts w:ascii="仿宋_GB2312" w:eastAsia="仿宋_GB2312"/>
          <w:b w:val="0"/>
          <w:bCs/>
          <w:color w:val="auto"/>
          <w:highlight w:val="none"/>
        </w:rPr>
      </w:pPr>
      <w:r>
        <w:rPr>
          <w:rFonts w:hint="eastAsia" w:ascii="仿宋_GB2312" w:eastAsia="仿宋_GB2312"/>
          <w:b w:val="0"/>
          <w:bCs/>
          <w:color w:val="auto"/>
          <w:highlight w:val="none"/>
        </w:rPr>
        <w:t>4、我方为本项目提交的响应文件一式</w:t>
      </w:r>
      <w:r>
        <w:rPr>
          <w:rFonts w:hint="eastAsia" w:ascii="仿宋_GB2312" w:eastAsia="仿宋_GB2312"/>
          <w:b w:val="0"/>
          <w:bCs/>
          <w:color w:val="auto"/>
          <w:highlight w:val="none"/>
          <w:lang w:eastAsia="zh-CN"/>
        </w:rPr>
        <w:t>肆</w:t>
      </w:r>
      <w:r>
        <w:rPr>
          <w:rFonts w:hint="eastAsia" w:ascii="仿宋_GB2312" w:eastAsia="仿宋_GB2312"/>
          <w:b w:val="0"/>
          <w:bCs/>
          <w:color w:val="auto"/>
          <w:highlight w:val="none"/>
        </w:rPr>
        <w:t>份，其中正本壹份，副本</w:t>
      </w:r>
      <w:r>
        <w:rPr>
          <w:rFonts w:hint="eastAsia" w:ascii="仿宋_GB2312" w:hAnsi="宋体" w:eastAsia="仿宋_GB2312"/>
          <w:b w:val="0"/>
          <w:color w:val="auto"/>
          <w:highlight w:val="none"/>
          <w:lang w:eastAsia="zh-CN"/>
        </w:rPr>
        <w:t>叁</w:t>
      </w:r>
      <w:r>
        <w:rPr>
          <w:rFonts w:hint="eastAsia" w:ascii="仿宋_GB2312" w:eastAsia="仿宋_GB2312"/>
          <w:b w:val="0"/>
          <w:bCs/>
          <w:color w:val="auto"/>
          <w:highlight w:val="none"/>
        </w:rPr>
        <w:t>份。</w:t>
      </w:r>
    </w:p>
    <w:p>
      <w:pPr>
        <w:pStyle w:val="16"/>
        <w:ind w:left="0" w:firstLine="480" w:firstLineChars="200"/>
        <w:rPr>
          <w:rFonts w:ascii="仿宋_GB2312" w:eastAsia="仿宋_GB2312"/>
          <w:b w:val="0"/>
          <w:bCs/>
          <w:color w:val="auto"/>
          <w:highlight w:val="none"/>
        </w:rPr>
      </w:pPr>
      <w:r>
        <w:rPr>
          <w:rFonts w:hint="eastAsia" w:ascii="仿宋_GB2312" w:eastAsia="仿宋_GB2312"/>
          <w:b w:val="0"/>
          <w:bCs/>
          <w:color w:val="auto"/>
          <w:highlight w:val="none"/>
        </w:rPr>
        <w:t>5、我方愿意提供采购人可能另外要求的，与采购有关的文件资料，并保证我方已提供和将要提供的文件资料是真实、准确的。</w:t>
      </w:r>
    </w:p>
    <w:p>
      <w:pPr>
        <w:pStyle w:val="16"/>
        <w:ind w:left="838" w:hanging="837" w:hangingChars="349"/>
        <w:rPr>
          <w:rFonts w:ascii="仿宋_GB2312" w:eastAsia="仿宋_GB2312"/>
          <w:b w:val="0"/>
          <w:bCs/>
          <w:color w:val="auto"/>
          <w:highlight w:val="none"/>
        </w:rPr>
      </w:pPr>
    </w:p>
    <w:p>
      <w:pPr>
        <w:pStyle w:val="16"/>
        <w:ind w:left="838" w:hanging="837" w:hangingChars="349"/>
        <w:rPr>
          <w:rFonts w:ascii="仿宋_GB2312" w:eastAsia="仿宋_GB2312"/>
          <w:b w:val="0"/>
          <w:bCs/>
          <w:color w:val="auto"/>
          <w:highlight w:val="none"/>
        </w:rPr>
      </w:pPr>
    </w:p>
    <w:p>
      <w:pPr>
        <w:pStyle w:val="16"/>
        <w:ind w:left="838" w:firstLine="480" w:firstLineChars="200"/>
        <w:rPr>
          <w:rFonts w:ascii="仿宋_GB2312" w:eastAsia="仿宋_GB2312"/>
          <w:b w:val="0"/>
          <w:bCs/>
          <w:color w:val="auto"/>
          <w:highlight w:val="none"/>
        </w:rPr>
      </w:pPr>
      <w:r>
        <w:rPr>
          <w:rFonts w:hint="eastAsia" w:ascii="仿宋_GB2312" w:eastAsia="仿宋_GB2312"/>
          <w:b w:val="0"/>
          <w:bCs/>
          <w:color w:val="auto"/>
          <w:highlight w:val="none"/>
        </w:rPr>
        <w:t>供应商名称：        （盖章）</w:t>
      </w:r>
    </w:p>
    <w:p>
      <w:pPr>
        <w:pStyle w:val="16"/>
        <w:ind w:left="838" w:firstLine="480" w:firstLineChars="200"/>
        <w:rPr>
          <w:rFonts w:ascii="仿宋_GB2312" w:eastAsia="仿宋_GB2312"/>
          <w:b w:val="0"/>
          <w:bCs/>
          <w:color w:val="auto"/>
          <w:highlight w:val="none"/>
        </w:rPr>
      </w:pPr>
      <w:r>
        <w:rPr>
          <w:rFonts w:hint="eastAsia" w:ascii="仿宋_GB2312" w:eastAsia="仿宋_GB2312"/>
          <w:b w:val="0"/>
          <w:bCs/>
          <w:color w:val="auto"/>
          <w:highlight w:val="none"/>
        </w:rPr>
        <w:t>供应商法定代表人或委托代理人（签字或盖章）：</w:t>
      </w:r>
    </w:p>
    <w:p>
      <w:pPr>
        <w:pStyle w:val="16"/>
        <w:ind w:left="838" w:firstLine="480" w:firstLineChars="200"/>
        <w:rPr>
          <w:rFonts w:ascii="仿宋_GB2312" w:eastAsia="仿宋_GB2312"/>
          <w:b w:val="0"/>
          <w:bCs/>
          <w:color w:val="auto"/>
          <w:highlight w:val="none"/>
        </w:rPr>
      </w:pPr>
      <w:r>
        <w:rPr>
          <w:rFonts w:hint="eastAsia" w:ascii="仿宋_GB2312" w:eastAsia="仿宋_GB2312"/>
          <w:b w:val="0"/>
          <w:bCs/>
          <w:color w:val="auto"/>
          <w:highlight w:val="none"/>
        </w:rPr>
        <w:t>通讯地址：</w:t>
      </w:r>
    </w:p>
    <w:p>
      <w:pPr>
        <w:pStyle w:val="16"/>
        <w:ind w:left="838" w:firstLine="480" w:firstLineChars="200"/>
        <w:rPr>
          <w:rFonts w:ascii="仿宋_GB2312" w:eastAsia="仿宋_GB2312"/>
          <w:b w:val="0"/>
          <w:bCs/>
          <w:color w:val="auto"/>
          <w:highlight w:val="none"/>
        </w:rPr>
      </w:pPr>
      <w:r>
        <w:rPr>
          <w:rFonts w:hint="eastAsia" w:ascii="仿宋_GB2312" w:eastAsia="仿宋_GB2312"/>
          <w:b w:val="0"/>
          <w:bCs/>
          <w:color w:val="auto"/>
          <w:highlight w:val="none"/>
        </w:rPr>
        <w:t>邮政编码：</w:t>
      </w:r>
    </w:p>
    <w:p>
      <w:pPr>
        <w:pStyle w:val="16"/>
        <w:ind w:left="838" w:firstLine="480" w:firstLineChars="200"/>
        <w:rPr>
          <w:rFonts w:ascii="仿宋_GB2312" w:eastAsia="仿宋_GB2312"/>
          <w:b w:val="0"/>
          <w:bCs/>
          <w:color w:val="auto"/>
          <w:highlight w:val="none"/>
        </w:rPr>
      </w:pPr>
      <w:r>
        <w:rPr>
          <w:rFonts w:hint="eastAsia" w:ascii="仿宋_GB2312" w:eastAsia="仿宋_GB2312"/>
          <w:b w:val="0"/>
          <w:bCs/>
          <w:color w:val="auto"/>
          <w:highlight w:val="none"/>
        </w:rPr>
        <w:t>联系电话：</w:t>
      </w:r>
    </w:p>
    <w:p>
      <w:pPr>
        <w:pStyle w:val="16"/>
        <w:ind w:left="838" w:firstLine="480" w:firstLineChars="200"/>
        <w:rPr>
          <w:rFonts w:ascii="仿宋_GB2312" w:eastAsia="仿宋_GB2312"/>
          <w:b w:val="0"/>
          <w:bCs/>
          <w:color w:val="auto"/>
          <w:highlight w:val="none"/>
        </w:rPr>
      </w:pPr>
      <w:r>
        <w:rPr>
          <w:rFonts w:hint="eastAsia" w:ascii="仿宋_GB2312" w:eastAsia="仿宋_GB2312"/>
          <w:b w:val="0"/>
          <w:bCs/>
          <w:color w:val="auto"/>
          <w:highlight w:val="none"/>
        </w:rPr>
        <w:t>传    真：</w:t>
      </w:r>
    </w:p>
    <w:p>
      <w:pPr>
        <w:pStyle w:val="16"/>
        <w:ind w:left="838" w:firstLine="480" w:firstLineChars="200"/>
        <w:rPr>
          <w:rFonts w:ascii="仿宋_GB2312" w:eastAsia="仿宋_GB2312"/>
          <w:b w:val="0"/>
          <w:bCs/>
          <w:color w:val="auto"/>
          <w:highlight w:val="none"/>
        </w:rPr>
      </w:pPr>
      <w:r>
        <w:rPr>
          <w:rFonts w:hint="eastAsia" w:ascii="仿宋_GB2312" w:eastAsia="仿宋_GB2312"/>
          <w:b w:val="0"/>
          <w:bCs/>
          <w:color w:val="auto"/>
          <w:highlight w:val="none"/>
        </w:rPr>
        <w:t>日    期： 年  月  日</w:t>
      </w:r>
    </w:p>
    <w:p>
      <w:pPr>
        <w:widowControl/>
        <w:spacing w:line="360" w:lineRule="auto"/>
        <w:jc w:val="center"/>
        <w:rPr>
          <w:rFonts w:ascii="仿宋_GB2312" w:hAnsi="宋体" w:eastAsia="仿宋_GB2312" w:cs="宋体"/>
          <w:b/>
          <w:bCs/>
          <w:color w:val="auto"/>
          <w:kern w:val="0"/>
          <w:sz w:val="24"/>
          <w:highlight w:val="none"/>
        </w:rPr>
      </w:pPr>
    </w:p>
    <w:p>
      <w:pPr>
        <w:widowControl/>
        <w:spacing w:line="360" w:lineRule="auto"/>
        <w:jc w:val="center"/>
        <w:rPr>
          <w:rFonts w:ascii="仿宋_GB2312" w:hAnsi="宋体" w:eastAsia="仿宋_GB2312" w:cs="宋体"/>
          <w:b/>
          <w:bCs/>
          <w:color w:val="auto"/>
          <w:kern w:val="0"/>
          <w:sz w:val="24"/>
          <w:highlight w:val="none"/>
        </w:rPr>
      </w:pPr>
    </w:p>
    <w:p>
      <w:pPr>
        <w:widowControl/>
        <w:spacing w:line="360" w:lineRule="auto"/>
        <w:jc w:val="center"/>
        <w:rPr>
          <w:rFonts w:ascii="仿宋_GB2312" w:hAnsi="宋体" w:eastAsia="仿宋_GB2312" w:cs="宋体"/>
          <w:b/>
          <w:bCs/>
          <w:color w:val="auto"/>
          <w:kern w:val="0"/>
          <w:sz w:val="24"/>
          <w:highlight w:val="none"/>
        </w:rPr>
      </w:pPr>
    </w:p>
    <w:p>
      <w:pPr>
        <w:widowControl/>
        <w:spacing w:line="360" w:lineRule="auto"/>
        <w:jc w:val="center"/>
        <w:rPr>
          <w:rFonts w:ascii="仿宋_GB2312" w:hAnsi="宋体" w:eastAsia="仿宋_GB2312" w:cs="宋体"/>
          <w:b/>
          <w:bCs/>
          <w:color w:val="auto"/>
          <w:kern w:val="0"/>
          <w:sz w:val="24"/>
          <w:highlight w:val="none"/>
        </w:rPr>
      </w:pPr>
    </w:p>
    <w:p>
      <w:pPr>
        <w:widowControl/>
        <w:spacing w:line="360" w:lineRule="auto"/>
        <w:jc w:val="center"/>
        <w:rPr>
          <w:rFonts w:ascii="仿宋_GB2312" w:hAnsi="宋体" w:eastAsia="仿宋_GB2312" w:cs="宋体"/>
          <w:b/>
          <w:bCs/>
          <w:color w:val="auto"/>
          <w:kern w:val="0"/>
          <w:sz w:val="24"/>
          <w:highlight w:val="none"/>
        </w:rPr>
      </w:pPr>
    </w:p>
    <w:p>
      <w:pPr>
        <w:spacing w:line="440" w:lineRule="exact"/>
        <w:jc w:val="center"/>
        <w:rPr>
          <w:rFonts w:ascii="仿宋_GB2312" w:hAnsi="宋体" w:eastAsia="仿宋_GB2312"/>
          <w:b/>
          <w:bCs/>
          <w:color w:val="auto"/>
          <w:sz w:val="28"/>
          <w:szCs w:val="28"/>
          <w:highlight w:val="none"/>
        </w:rPr>
      </w:pPr>
      <w:r>
        <w:rPr>
          <w:rFonts w:hint="eastAsia" w:ascii="仿宋_GB2312" w:hAnsi="华文中宋" w:eastAsia="仿宋_GB2312"/>
          <w:b/>
          <w:color w:val="auto"/>
          <w:sz w:val="24"/>
          <w:highlight w:val="none"/>
        </w:rPr>
        <w:t xml:space="preserve">格式2  </w:t>
      </w:r>
      <w:r>
        <w:rPr>
          <w:rFonts w:hint="eastAsia" w:ascii="仿宋_GB2312" w:eastAsia="仿宋_GB2312"/>
          <w:b/>
          <w:bCs/>
          <w:color w:val="auto"/>
          <w:sz w:val="24"/>
          <w:highlight w:val="none"/>
        </w:rPr>
        <w:t xml:space="preserve"> 商务报价一览表（首次）</w:t>
      </w:r>
    </w:p>
    <w:p>
      <w:pPr>
        <w:spacing w:line="36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项目名称：                                                     币种：人民币</w:t>
      </w:r>
    </w:p>
    <w:tbl>
      <w:tblPr>
        <w:tblStyle w:val="24"/>
        <w:tblW w:w="10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3"/>
        <w:gridCol w:w="2699"/>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trPr>
        <w:tc>
          <w:tcPr>
            <w:tcW w:w="823" w:type="dxa"/>
            <w:vMerge w:val="restart"/>
            <w:tcBorders>
              <w:top w:val="single" w:color="auto" w:sz="4" w:space="0"/>
              <w:left w:val="single" w:color="000000" w:sz="2" w:space="0"/>
              <w:right w:val="single" w:color="000000" w:sz="2" w:space="0"/>
            </w:tcBorders>
            <w:vAlign w:val="center"/>
          </w:tcPr>
          <w:p>
            <w:pPr>
              <w:spacing w:line="240" w:lineRule="atLeas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一</w:t>
            </w:r>
          </w:p>
        </w:tc>
        <w:tc>
          <w:tcPr>
            <w:tcW w:w="2699"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总</w:t>
            </w:r>
            <w:r>
              <w:rPr>
                <w:rFonts w:hint="eastAsia" w:ascii="仿宋_GB2312" w:hAnsi="仿宋_GB2312" w:eastAsia="仿宋_GB2312" w:cs="仿宋_GB2312"/>
                <w:color w:val="auto"/>
                <w:sz w:val="24"/>
                <w:highlight w:val="none"/>
                <w:lang w:eastAsia="zh-CN"/>
              </w:rPr>
              <w:t>价</w:t>
            </w:r>
          </w:p>
        </w:tc>
        <w:tc>
          <w:tcPr>
            <w:tcW w:w="6675" w:type="dxa"/>
            <w:tcBorders>
              <w:top w:val="single" w:color="auto" w:sz="4" w:space="0"/>
              <w:left w:val="single" w:color="auto" w:sz="4" w:space="0"/>
              <w:right w:val="single" w:color="000000" w:sz="2" w:space="0"/>
            </w:tcBorders>
            <w:vAlign w:val="center"/>
          </w:tcPr>
          <w:p>
            <w:pPr>
              <w:widowControl/>
              <w:spacing w:line="30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8" w:hRule="atLeast"/>
        </w:trPr>
        <w:tc>
          <w:tcPr>
            <w:tcW w:w="823" w:type="dxa"/>
            <w:vMerge w:val="continue"/>
            <w:tcBorders>
              <w:left w:val="single" w:color="000000" w:sz="2" w:space="0"/>
              <w:right w:val="single" w:color="000000" w:sz="2" w:space="0"/>
            </w:tcBorders>
            <w:vAlign w:val="center"/>
          </w:tcPr>
          <w:p>
            <w:pPr>
              <w:spacing w:line="240" w:lineRule="atLeast"/>
              <w:jc w:val="center"/>
              <w:rPr>
                <w:rFonts w:ascii="仿宋_GB2312" w:hAnsi="仿宋_GB2312" w:eastAsia="仿宋_GB2312" w:cs="仿宋_GB2312"/>
                <w:color w:val="auto"/>
                <w:sz w:val="24"/>
                <w:highlight w:val="none"/>
              </w:rPr>
            </w:pPr>
          </w:p>
        </w:tc>
        <w:tc>
          <w:tcPr>
            <w:tcW w:w="2699" w:type="dxa"/>
            <w:vMerge w:val="continue"/>
            <w:tcBorders>
              <w:left w:val="single" w:color="auto" w:sz="4" w:space="0"/>
              <w:right w:val="single" w:color="auto" w:sz="4" w:space="0"/>
            </w:tcBorders>
            <w:vAlign w:val="center"/>
          </w:tcPr>
          <w:p>
            <w:pPr>
              <w:jc w:val="center"/>
              <w:rPr>
                <w:rFonts w:ascii="仿宋_GB2312" w:hAnsi="仿宋_GB2312" w:eastAsia="仿宋_GB2312" w:cs="仿宋_GB2312"/>
                <w:color w:val="auto"/>
                <w:sz w:val="24"/>
                <w:highlight w:val="none"/>
              </w:rPr>
            </w:pPr>
          </w:p>
        </w:tc>
        <w:tc>
          <w:tcPr>
            <w:tcW w:w="6675" w:type="dxa"/>
            <w:tcBorders>
              <w:top w:val="single" w:color="auto" w:sz="4" w:space="0"/>
              <w:left w:val="single" w:color="auto" w:sz="4" w:space="0"/>
              <w:right w:val="single" w:color="000000" w:sz="2" w:space="0"/>
            </w:tcBorders>
            <w:vAlign w:val="center"/>
          </w:tcPr>
          <w:p>
            <w:pPr>
              <w:widowControl/>
              <w:spacing w:line="300" w:lineRule="exact"/>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大写：</w:t>
            </w:r>
            <w:r>
              <w:rPr>
                <w:rFonts w:hint="eastAsia" w:ascii="仿宋_GB2312" w:hAnsi="仿宋_GB2312" w:eastAsia="仿宋_GB2312" w:cs="仿宋_GB2312"/>
                <w:color w:val="auto"/>
                <w:sz w:val="24"/>
                <w:highlight w:val="none"/>
                <w:lang w:eastAsia="zh-CN"/>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0" w:hRule="atLeast"/>
        </w:trPr>
        <w:tc>
          <w:tcPr>
            <w:tcW w:w="823" w:type="dxa"/>
            <w:tcBorders>
              <w:left w:val="single" w:color="000000" w:sz="2" w:space="0"/>
              <w:bottom w:val="single" w:color="000000" w:sz="2" w:space="0"/>
              <w:right w:val="single" w:color="000000" w:sz="2" w:space="0"/>
            </w:tcBorders>
            <w:vAlign w:val="center"/>
          </w:tcPr>
          <w:p>
            <w:pPr>
              <w:spacing w:line="240" w:lineRule="atLeas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二</w:t>
            </w:r>
          </w:p>
        </w:tc>
        <w:tc>
          <w:tcPr>
            <w:tcW w:w="2699" w:type="dxa"/>
            <w:tcBorders>
              <w:top w:val="single" w:color="auto" w:sz="4" w:space="0"/>
              <w:left w:val="single" w:color="auto" w:sz="4" w:space="0"/>
              <w:bottom w:val="single" w:color="000000" w:sz="2" w:space="0"/>
              <w:right w:val="single" w:color="auto" w:sz="4" w:space="0"/>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服务期</w:t>
            </w:r>
          </w:p>
        </w:tc>
        <w:tc>
          <w:tcPr>
            <w:tcW w:w="6675" w:type="dxa"/>
            <w:tcBorders>
              <w:top w:val="single" w:color="auto" w:sz="4" w:space="0"/>
              <w:left w:val="single" w:color="auto" w:sz="4" w:space="0"/>
              <w:bottom w:val="single" w:color="000000" w:sz="2" w:space="0"/>
              <w:right w:val="single" w:color="000000" w:sz="2" w:space="0"/>
            </w:tcBorders>
            <w:vAlign w:val="center"/>
          </w:tcPr>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自接到采购人通知之日起</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lang w:eastAsia="zh-CN"/>
              </w:rPr>
              <w:t>天（日历日）内完成布展搭建等工作；展出时长2个月；自接到采购人撤展通知之日起</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lang w:eastAsia="zh-CN"/>
              </w:rPr>
              <w:t>（日历日）内完成撤展全部工作内容并经验收合格</w:t>
            </w:r>
            <w:r>
              <w:rPr>
                <w:rFonts w:hint="eastAsia" w:ascii="仿宋_GB2312" w:hAnsi="仿宋_GB2312" w:eastAsia="仿宋_GB2312" w:cs="仿宋_GB2312"/>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3" w:hRule="atLeast"/>
        </w:trPr>
        <w:tc>
          <w:tcPr>
            <w:tcW w:w="823"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三</w:t>
            </w:r>
          </w:p>
        </w:tc>
        <w:tc>
          <w:tcPr>
            <w:tcW w:w="2699" w:type="dxa"/>
            <w:tcBorders>
              <w:top w:val="single" w:color="auto" w:sz="4" w:space="0"/>
              <w:left w:val="single" w:color="auto" w:sz="4" w:space="0"/>
              <w:bottom w:val="single" w:color="000000" w:sz="2" w:space="0"/>
              <w:right w:val="single" w:color="000000" w:sz="2" w:space="0"/>
            </w:tcBorders>
            <w:vAlign w:val="center"/>
          </w:tcPr>
          <w:p>
            <w:pPr>
              <w:spacing w:line="240" w:lineRule="atLeast"/>
              <w:ind w:firstLine="9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供应商其它说明（由各供应商根据本采购项目要求自行列出需说明及承诺内容）</w:t>
            </w:r>
          </w:p>
        </w:tc>
        <w:tc>
          <w:tcPr>
            <w:tcW w:w="6675"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5" w:hRule="exact"/>
        </w:trPr>
        <w:tc>
          <w:tcPr>
            <w:tcW w:w="10197" w:type="dxa"/>
            <w:gridSpan w:val="3"/>
            <w:tcBorders>
              <w:top w:val="single" w:color="auto" w:sz="4" w:space="0"/>
              <w:left w:val="single" w:color="000000" w:sz="2" w:space="0"/>
              <w:bottom w:val="single" w:color="000000" w:sz="2" w:space="0"/>
              <w:right w:val="single" w:color="000000" w:sz="2" w:space="0"/>
            </w:tcBorders>
            <w:vAlign w:val="center"/>
          </w:tcPr>
          <w:p>
            <w:pPr>
              <w:pStyle w:val="14"/>
              <w:spacing w:line="360" w:lineRule="auto"/>
              <w:ind w:firstLine="480" w:firstLineChars="200"/>
              <w:outlineLvl w:val="1"/>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注：1、报价包含的内容：</w:t>
            </w:r>
            <w:r>
              <w:rPr>
                <w:rFonts w:hint="eastAsia" w:ascii="仿宋_GB2312" w:hAnsi="新宋体" w:eastAsia="仿宋_GB2312"/>
                <w:color w:val="auto"/>
                <w:sz w:val="24"/>
                <w:szCs w:val="24"/>
                <w:highlight w:val="none"/>
              </w:rPr>
              <w:t xml:space="preserve"> </w:t>
            </w:r>
            <w:r>
              <w:rPr>
                <w:rFonts w:hint="eastAsia" w:ascii="仿宋_GB2312" w:hAnsi="新宋体" w:eastAsia="仿宋_GB2312"/>
                <w:color w:val="auto"/>
                <w:sz w:val="24"/>
                <w:szCs w:val="24"/>
                <w:highlight w:val="none"/>
                <w:lang w:eastAsia="zh-CN"/>
              </w:rPr>
              <w:t>完成“森林物语&amp;虫现江湖”——大型热带雨林实景生态展的所有工作，配合采购人完成与此服务相关的合同条款、技术规范及标准、项目采购需求、采购文件约定的全部内容及责任和义务</w:t>
            </w:r>
            <w:r>
              <w:rPr>
                <w:rFonts w:hint="eastAsia" w:ascii="仿宋_GB2312" w:hAnsi="新宋体" w:eastAsia="仿宋_GB2312"/>
                <w:color w:val="auto"/>
                <w:sz w:val="24"/>
                <w:szCs w:val="24"/>
                <w:highlight w:val="none"/>
              </w:rPr>
              <w:t>同条款、技术规范及标准、项目采购需求、本采购文件约定的全部内容及责任和义务。</w:t>
            </w:r>
          </w:p>
        </w:tc>
      </w:tr>
    </w:tbl>
    <w:p>
      <w:pPr>
        <w:spacing w:line="360" w:lineRule="auto"/>
        <w:ind w:firstLine="240" w:firstLineChars="100"/>
        <w:rPr>
          <w:rFonts w:ascii="仿宋_GB2312" w:eastAsia="仿宋_GB2312"/>
          <w:color w:val="auto"/>
          <w:sz w:val="24"/>
          <w:highlight w:val="none"/>
        </w:rPr>
      </w:pPr>
      <w:r>
        <w:rPr>
          <w:rFonts w:hint="eastAsia" w:ascii="仿宋_GB2312" w:eastAsia="仿宋_GB2312"/>
          <w:color w:val="auto"/>
          <w:sz w:val="24"/>
          <w:highlight w:val="none"/>
        </w:rPr>
        <w:t xml:space="preserve">供应商(盖章)： </w:t>
      </w:r>
    </w:p>
    <w:p>
      <w:pPr>
        <w:spacing w:line="360" w:lineRule="auto"/>
        <w:ind w:firstLine="240" w:firstLineChars="100"/>
        <w:rPr>
          <w:rFonts w:ascii="仿宋_GB2312" w:eastAsia="仿宋_GB2312"/>
          <w:color w:val="auto"/>
          <w:sz w:val="24"/>
          <w:highlight w:val="none"/>
        </w:rPr>
      </w:pPr>
      <w:r>
        <w:rPr>
          <w:rFonts w:hint="eastAsia" w:ascii="仿宋_GB2312" w:eastAsia="仿宋_GB2312"/>
          <w:color w:val="auto"/>
          <w:sz w:val="24"/>
          <w:highlight w:val="none"/>
        </w:rPr>
        <w:t>法定代表人或委托代理人（签字或盖章）：</w:t>
      </w:r>
    </w:p>
    <w:p>
      <w:pPr>
        <w:spacing w:line="360" w:lineRule="auto"/>
        <w:jc w:val="right"/>
        <w:rPr>
          <w:rFonts w:ascii="仿宋_GB2312" w:eastAsia="仿宋_GB2312"/>
          <w:color w:val="auto"/>
          <w:sz w:val="24"/>
          <w:highlight w:val="none"/>
        </w:rPr>
      </w:pPr>
      <w:r>
        <w:rPr>
          <w:rFonts w:hint="eastAsia" w:ascii="仿宋_GB2312" w:eastAsia="仿宋_GB2312"/>
          <w:color w:val="auto"/>
          <w:sz w:val="24"/>
          <w:highlight w:val="none"/>
        </w:rPr>
        <w:t>报价日期：   年  月   日</w:t>
      </w:r>
    </w:p>
    <w:p>
      <w:pPr>
        <w:spacing w:line="360" w:lineRule="auto"/>
        <w:jc w:val="right"/>
        <w:rPr>
          <w:rFonts w:ascii="仿宋_GB2312" w:eastAsia="仿宋_GB2312"/>
          <w:color w:val="auto"/>
          <w:sz w:val="24"/>
          <w:highlight w:val="none"/>
        </w:rPr>
      </w:pPr>
    </w:p>
    <w:p>
      <w:pPr>
        <w:spacing w:line="360" w:lineRule="auto"/>
        <w:ind w:firstLine="482" w:firstLineChars="200"/>
        <w:rPr>
          <w:rFonts w:ascii="仿宋_GB2312" w:hAnsi="宋体" w:eastAsia="仿宋_GB2312"/>
          <w:b/>
          <w:color w:val="auto"/>
          <w:sz w:val="24"/>
          <w:highlight w:val="none"/>
        </w:rPr>
      </w:pPr>
      <w:r>
        <w:rPr>
          <w:rFonts w:hint="eastAsia" w:ascii="仿宋_GB2312" w:eastAsia="仿宋_GB2312"/>
          <w:b/>
          <w:color w:val="auto"/>
          <w:sz w:val="24"/>
          <w:highlight w:val="none"/>
        </w:rPr>
        <w:t>注：1、</w:t>
      </w:r>
      <w:r>
        <w:rPr>
          <w:rFonts w:ascii="仿宋_GB2312" w:eastAsia="仿宋_GB2312"/>
          <w:b/>
          <w:color w:val="auto"/>
          <w:sz w:val="24"/>
          <w:highlight w:val="none"/>
        </w:rPr>
        <w:t>供应商须按本</w:t>
      </w:r>
      <w:r>
        <w:rPr>
          <w:rFonts w:hint="eastAsia" w:ascii="仿宋_GB2312" w:eastAsia="仿宋_GB2312"/>
          <w:b/>
          <w:color w:val="auto"/>
          <w:sz w:val="24"/>
          <w:highlight w:val="none"/>
        </w:rPr>
        <w:t>商务报价一览表</w:t>
      </w:r>
      <w:r>
        <w:rPr>
          <w:rFonts w:ascii="仿宋_GB2312" w:eastAsia="仿宋_GB2312"/>
          <w:b/>
          <w:color w:val="auto"/>
          <w:sz w:val="24"/>
          <w:highlight w:val="none"/>
        </w:rPr>
        <w:t>格式制作“</w:t>
      </w:r>
      <w:r>
        <w:rPr>
          <w:rFonts w:hint="eastAsia" w:ascii="仿宋_GB2312" w:eastAsia="仿宋_GB2312"/>
          <w:b/>
          <w:color w:val="auto"/>
          <w:sz w:val="24"/>
          <w:highlight w:val="none"/>
        </w:rPr>
        <w:t>最后</w:t>
      </w:r>
      <w:r>
        <w:rPr>
          <w:rFonts w:ascii="仿宋_GB2312" w:eastAsia="仿宋_GB2312"/>
          <w:b/>
          <w:color w:val="auto"/>
          <w:sz w:val="24"/>
          <w:highlight w:val="none"/>
        </w:rPr>
        <w:t>报价</w:t>
      </w:r>
      <w:r>
        <w:rPr>
          <w:rFonts w:hint="eastAsia" w:ascii="仿宋_GB2312" w:eastAsia="仿宋_GB2312"/>
          <w:b/>
          <w:color w:val="auto"/>
          <w:sz w:val="24"/>
          <w:highlight w:val="none"/>
        </w:rPr>
        <w:t>表</w:t>
      </w:r>
      <w:r>
        <w:rPr>
          <w:rFonts w:ascii="仿宋_GB2312" w:eastAsia="仿宋_GB2312"/>
          <w:b/>
          <w:color w:val="auto"/>
          <w:sz w:val="24"/>
          <w:highlight w:val="none"/>
        </w:rPr>
        <w:t>”，并加盖单位公章后自行带至</w:t>
      </w:r>
      <w:r>
        <w:rPr>
          <w:rFonts w:hint="eastAsia" w:ascii="仿宋_GB2312" w:eastAsia="仿宋_GB2312"/>
          <w:b/>
          <w:color w:val="auto"/>
          <w:sz w:val="24"/>
          <w:highlight w:val="none"/>
        </w:rPr>
        <w:t>采购</w:t>
      </w:r>
      <w:r>
        <w:rPr>
          <w:rFonts w:ascii="仿宋_GB2312" w:eastAsia="仿宋_GB2312"/>
          <w:b/>
          <w:color w:val="auto"/>
          <w:sz w:val="24"/>
          <w:highlight w:val="none"/>
        </w:rPr>
        <w:t>现场，经</w:t>
      </w:r>
      <w:r>
        <w:rPr>
          <w:rFonts w:hint="eastAsia" w:ascii="仿宋_GB2312" w:eastAsia="仿宋_GB2312"/>
          <w:b/>
          <w:color w:val="auto"/>
          <w:sz w:val="24"/>
          <w:highlight w:val="none"/>
        </w:rPr>
        <w:t>采购</w:t>
      </w:r>
      <w:r>
        <w:rPr>
          <w:rFonts w:ascii="仿宋_GB2312" w:eastAsia="仿宋_GB2312"/>
          <w:b/>
          <w:color w:val="auto"/>
          <w:sz w:val="24"/>
          <w:highlight w:val="none"/>
        </w:rPr>
        <w:t>后由各供应商填写</w:t>
      </w:r>
      <w:r>
        <w:rPr>
          <w:rFonts w:hint="eastAsia" w:ascii="仿宋_GB2312" w:eastAsia="仿宋_GB2312"/>
          <w:b/>
          <w:color w:val="auto"/>
          <w:sz w:val="24"/>
          <w:highlight w:val="none"/>
        </w:rPr>
        <w:t>最后</w:t>
      </w:r>
      <w:r>
        <w:rPr>
          <w:rFonts w:ascii="仿宋_GB2312" w:eastAsia="仿宋_GB2312"/>
          <w:b/>
          <w:color w:val="auto"/>
          <w:sz w:val="24"/>
          <w:highlight w:val="none"/>
        </w:rPr>
        <w:t>报价</w:t>
      </w:r>
      <w:r>
        <w:rPr>
          <w:rFonts w:hint="eastAsia" w:ascii="仿宋_GB2312" w:eastAsia="仿宋_GB2312"/>
          <w:b/>
          <w:color w:val="auto"/>
          <w:sz w:val="24"/>
          <w:highlight w:val="none"/>
        </w:rPr>
        <w:t>；</w:t>
      </w:r>
    </w:p>
    <w:p>
      <w:pPr>
        <w:spacing w:line="360" w:lineRule="auto"/>
        <w:ind w:firstLine="482" w:firstLineChars="200"/>
        <w:rPr>
          <w:rFonts w:ascii="仿宋_GB2312" w:eastAsia="仿宋_GB2312"/>
          <w:b/>
          <w:color w:val="auto"/>
          <w:sz w:val="24"/>
          <w:highlight w:val="none"/>
        </w:rPr>
      </w:pPr>
      <w:bookmarkStart w:id="200" w:name="_Toc217446087"/>
      <w:r>
        <w:rPr>
          <w:rFonts w:hint="eastAsia" w:ascii="仿宋_GB2312" w:eastAsia="仿宋_GB2312"/>
          <w:b/>
          <w:color w:val="auto"/>
          <w:sz w:val="24"/>
          <w:highlight w:val="none"/>
        </w:rPr>
        <w:t>2、供应商须提供详细报价书作为本表附件，详细对报价进行分析。若成交，成交供应商须按其最后报价向采购人提交本项目最终详细报价书。</w:t>
      </w:r>
      <w:bookmarkEnd w:id="200"/>
    </w:p>
    <w:p>
      <w:pPr>
        <w:tabs>
          <w:tab w:val="left" w:pos="360"/>
          <w:tab w:val="left" w:pos="1800"/>
        </w:tabs>
        <w:jc w:val="center"/>
        <w:rPr>
          <w:rFonts w:ascii="仿宋_GB2312" w:eastAsia="仿宋_GB2312"/>
          <w:b/>
          <w:bCs/>
          <w:color w:val="auto"/>
          <w:sz w:val="24"/>
          <w:highlight w:val="none"/>
        </w:rPr>
      </w:pPr>
    </w:p>
    <w:p>
      <w:pPr>
        <w:widowControl/>
        <w:jc w:val="center"/>
        <w:rPr>
          <w:rFonts w:ascii="仿宋_GB2312" w:eastAsia="仿宋_GB2312"/>
          <w:b/>
          <w:color w:val="auto"/>
          <w:sz w:val="24"/>
          <w:highlight w:val="none"/>
        </w:rPr>
      </w:pPr>
    </w:p>
    <w:p>
      <w:pPr>
        <w:widowControl/>
        <w:jc w:val="center"/>
        <w:rPr>
          <w:rFonts w:ascii="仿宋_GB2312" w:eastAsia="仿宋_GB2312"/>
          <w:b/>
          <w:color w:val="auto"/>
          <w:sz w:val="24"/>
          <w:highlight w:val="none"/>
        </w:rPr>
      </w:pPr>
    </w:p>
    <w:p>
      <w:pPr>
        <w:widowControl/>
        <w:jc w:val="center"/>
        <w:rPr>
          <w:rFonts w:hint="eastAsia" w:ascii="仿宋_GB2312" w:eastAsia="仿宋_GB2312"/>
          <w:b/>
          <w:color w:val="auto"/>
          <w:sz w:val="24"/>
          <w:highlight w:val="none"/>
        </w:rPr>
      </w:pPr>
    </w:p>
    <w:p>
      <w:pPr>
        <w:widowControl/>
        <w:jc w:val="center"/>
        <w:rPr>
          <w:rFonts w:hint="eastAsia" w:ascii="仿宋_GB2312" w:eastAsia="仿宋_GB2312"/>
          <w:b/>
          <w:color w:val="auto"/>
          <w:sz w:val="24"/>
          <w:highlight w:val="none"/>
        </w:rPr>
      </w:pPr>
    </w:p>
    <w:p>
      <w:pPr>
        <w:widowControl/>
        <w:jc w:val="center"/>
        <w:rPr>
          <w:rFonts w:hint="eastAsia" w:ascii="仿宋_GB2312" w:eastAsia="仿宋_GB2312"/>
          <w:b/>
          <w:color w:val="auto"/>
          <w:sz w:val="24"/>
          <w:highlight w:val="none"/>
        </w:rPr>
      </w:pPr>
    </w:p>
    <w:p>
      <w:pPr>
        <w:widowControl/>
        <w:jc w:val="center"/>
        <w:rPr>
          <w:rFonts w:hint="eastAsia" w:ascii="仿宋_GB2312" w:eastAsia="仿宋_GB2312"/>
          <w:b/>
          <w:color w:val="auto"/>
          <w:sz w:val="24"/>
          <w:highlight w:val="none"/>
        </w:rPr>
      </w:pPr>
    </w:p>
    <w:p>
      <w:pPr>
        <w:widowControl/>
        <w:jc w:val="center"/>
        <w:rPr>
          <w:rFonts w:hint="eastAsia" w:ascii="仿宋_GB2312" w:eastAsia="仿宋_GB2312"/>
          <w:b/>
          <w:color w:val="auto"/>
          <w:sz w:val="24"/>
          <w:highlight w:val="none"/>
        </w:rPr>
      </w:pPr>
    </w:p>
    <w:p>
      <w:pPr>
        <w:widowControl/>
        <w:jc w:val="center"/>
        <w:rPr>
          <w:rFonts w:hint="eastAsia" w:ascii="仿宋_GB2312" w:eastAsia="仿宋_GB2312"/>
          <w:b/>
          <w:color w:val="auto"/>
          <w:sz w:val="24"/>
          <w:highlight w:val="none"/>
        </w:rPr>
      </w:pPr>
    </w:p>
    <w:p>
      <w:pPr>
        <w:widowControl/>
        <w:jc w:val="center"/>
        <w:rPr>
          <w:rFonts w:hint="eastAsia" w:ascii="仿宋_GB2312" w:eastAsia="仿宋_GB2312"/>
          <w:b/>
          <w:color w:val="auto"/>
          <w:sz w:val="24"/>
          <w:highlight w:val="none"/>
        </w:rPr>
      </w:pPr>
    </w:p>
    <w:p>
      <w:pPr>
        <w:widowControl/>
        <w:jc w:val="center"/>
        <w:rPr>
          <w:rFonts w:hint="eastAsia" w:ascii="仿宋_GB2312" w:eastAsia="仿宋_GB2312"/>
          <w:b/>
          <w:color w:val="auto"/>
          <w:sz w:val="24"/>
          <w:highlight w:val="none"/>
        </w:rPr>
      </w:pPr>
    </w:p>
    <w:p>
      <w:pPr>
        <w:widowControl/>
        <w:jc w:val="center"/>
        <w:rPr>
          <w:rFonts w:hint="eastAsia" w:ascii="仿宋_GB2312" w:eastAsia="仿宋_GB2312"/>
          <w:b/>
          <w:color w:val="auto"/>
          <w:sz w:val="24"/>
          <w:highlight w:val="none"/>
        </w:rPr>
      </w:pPr>
    </w:p>
    <w:p>
      <w:pPr>
        <w:widowControl/>
        <w:jc w:val="center"/>
        <w:rPr>
          <w:rFonts w:hint="eastAsia" w:ascii="仿宋_GB2312" w:eastAsia="仿宋_GB2312"/>
          <w:b/>
          <w:color w:val="auto"/>
          <w:sz w:val="24"/>
          <w:highlight w:val="none"/>
          <w:lang w:eastAsia="zh-CN"/>
        </w:rPr>
      </w:pPr>
      <w:r>
        <w:rPr>
          <w:rFonts w:hint="eastAsia" w:ascii="仿宋_GB2312" w:eastAsia="仿宋_GB2312"/>
          <w:b/>
          <w:color w:val="auto"/>
          <w:sz w:val="24"/>
          <w:highlight w:val="none"/>
        </w:rPr>
        <w:t>格式3   中小企业声明函</w:t>
      </w:r>
      <w:r>
        <w:rPr>
          <w:rFonts w:hint="eastAsia" w:ascii="仿宋_GB2312" w:eastAsia="仿宋_GB2312"/>
          <w:b/>
          <w:color w:val="auto"/>
          <w:sz w:val="24"/>
          <w:highlight w:val="none"/>
          <w:lang w:eastAsia="zh-CN"/>
        </w:rPr>
        <w:t>（服务）</w:t>
      </w:r>
    </w:p>
    <w:p>
      <w:pPr>
        <w:tabs>
          <w:tab w:val="left" w:pos="6300"/>
        </w:tabs>
        <w:snapToGrid w:val="0"/>
        <w:spacing w:line="500" w:lineRule="exact"/>
        <w:ind w:firstLine="720" w:firstLineChars="200"/>
        <w:jc w:val="center"/>
        <w:outlineLvl w:val="0"/>
        <w:rPr>
          <w:rFonts w:ascii="仿宋_GB2312" w:hAnsi="仿宋" w:eastAsia="仿宋_GB2312"/>
          <w:color w:val="auto"/>
          <w:sz w:val="36"/>
          <w:szCs w:val="36"/>
          <w:highlight w:val="none"/>
        </w:rPr>
      </w:pPr>
    </w:p>
    <w:p>
      <w:pPr>
        <w:tabs>
          <w:tab w:val="left" w:pos="10080"/>
        </w:tabs>
        <w:adjustRightInd w:val="0"/>
        <w:snapToGrid w:val="0"/>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本公司郑重声明，根据《政府采购促进中小企业发展管理办法》（财库﹝2020﹞46 号）的规定，本公司参加</w:t>
      </w:r>
      <w:r>
        <w:rPr>
          <w:rFonts w:hint="eastAsia" w:ascii="仿宋_GB2312" w:hAnsi="仿宋_GB2312" w:eastAsia="仿宋_GB2312" w:cs="仿宋_GB2312"/>
          <w:color w:val="auto"/>
          <w:sz w:val="24"/>
          <w:highlight w:val="none"/>
          <w:u w:val="single"/>
        </w:rPr>
        <w:t>（单位名称）</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（项目名称）</w:t>
      </w:r>
      <w:r>
        <w:rPr>
          <w:rFonts w:hint="eastAsia" w:ascii="仿宋_GB2312" w:hAnsi="仿宋_GB2312" w:eastAsia="仿宋_GB2312" w:cs="仿宋_GB2312"/>
          <w:color w:val="auto"/>
          <w:sz w:val="24"/>
          <w:highlight w:val="none"/>
        </w:rPr>
        <w:t>采购活动，服务全部由符合政策要求的中小企业承接。相关企业（含联合体中的中小企业、签订分包意向协议的中小企业）的具体情况如下：</w:t>
      </w:r>
    </w:p>
    <w:p>
      <w:pPr>
        <w:tabs>
          <w:tab w:val="left" w:pos="6300"/>
        </w:tabs>
        <w:adjustRightInd w:val="0"/>
        <w:snapToGrid w:val="0"/>
        <w:spacing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1. </w:t>
      </w:r>
      <w:r>
        <w:rPr>
          <w:rFonts w:hint="eastAsia" w:ascii="仿宋_GB2312" w:hAnsi="仿宋_GB2312" w:eastAsia="仿宋_GB2312" w:cs="仿宋_GB2312"/>
          <w:color w:val="auto"/>
          <w:sz w:val="24"/>
          <w:highlight w:val="none"/>
          <w:u w:val="single"/>
        </w:rPr>
        <w:t xml:space="preserve">（标的名称） </w:t>
      </w:r>
      <w:r>
        <w:rPr>
          <w:rFonts w:hint="eastAsia" w:ascii="仿宋_GB2312" w:hAnsi="仿宋_GB2312" w:eastAsia="仿宋_GB2312" w:cs="仿宋_GB2312"/>
          <w:color w:val="auto"/>
          <w:sz w:val="24"/>
          <w:highlight w:val="none"/>
        </w:rPr>
        <w:t>，属于</w:t>
      </w:r>
      <w:r>
        <w:rPr>
          <w:rFonts w:hint="eastAsia" w:ascii="仿宋_GB2312" w:hAnsi="仿宋_GB2312" w:eastAsia="仿宋_GB2312" w:cs="仿宋_GB2312"/>
          <w:color w:val="auto"/>
          <w:sz w:val="24"/>
          <w:highlight w:val="none"/>
          <w:u w:val="single"/>
        </w:rPr>
        <w:t xml:space="preserve">          行业</w:t>
      </w:r>
      <w:r>
        <w:rPr>
          <w:rFonts w:hint="eastAsia" w:ascii="仿宋_GB2312" w:hAnsi="仿宋_GB2312" w:eastAsia="仿宋_GB2312" w:cs="仿宋_GB2312"/>
          <w:color w:val="auto"/>
          <w:sz w:val="24"/>
          <w:highlight w:val="none"/>
        </w:rPr>
        <w:t>；承接企业为</w:t>
      </w:r>
      <w:r>
        <w:rPr>
          <w:rFonts w:hint="eastAsia" w:ascii="仿宋_GB2312" w:hAnsi="仿宋_GB2312" w:eastAsia="仿宋_GB2312" w:cs="仿宋_GB2312"/>
          <w:color w:val="auto"/>
          <w:sz w:val="24"/>
          <w:highlight w:val="none"/>
          <w:u w:val="single"/>
        </w:rPr>
        <w:t>（企业名称）</w:t>
      </w:r>
      <w:r>
        <w:rPr>
          <w:rFonts w:hint="eastAsia" w:ascii="仿宋_GB2312" w:hAnsi="仿宋_GB2312" w:eastAsia="仿宋_GB2312" w:cs="仿宋_GB2312"/>
          <w:color w:val="auto"/>
          <w:sz w:val="24"/>
          <w:highlight w:val="none"/>
        </w:rPr>
        <w:t>，从业人员</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人，营业收入为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万元，资产总额为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万元</w:t>
      </w:r>
      <w:r>
        <w:rPr>
          <w:rFonts w:hint="eastAsia" w:ascii="仿宋_GB2312" w:hAnsi="仿宋_GB2312" w:eastAsia="仿宋_GB2312" w:cs="仿宋_GB2312"/>
          <w:color w:val="auto"/>
          <w:sz w:val="24"/>
          <w:highlight w:val="none"/>
          <w:vertAlign w:val="superscript"/>
        </w:rPr>
        <w:t>1</w:t>
      </w:r>
      <w:r>
        <w:rPr>
          <w:rFonts w:hint="eastAsia" w:ascii="仿宋_GB2312" w:hAnsi="仿宋_GB2312" w:eastAsia="仿宋_GB2312" w:cs="仿宋_GB2312"/>
          <w:color w:val="auto"/>
          <w:sz w:val="24"/>
          <w:highlight w:val="none"/>
        </w:rPr>
        <w:t>，属于（中型企业、小型企业、微型企业）；</w:t>
      </w:r>
      <w:r>
        <w:rPr>
          <w:rFonts w:hint="eastAsia" w:ascii="仿宋_GB2312" w:hAnsi="仿宋_GB2312" w:eastAsia="仿宋_GB2312" w:cs="仿宋_GB2312"/>
          <w:color w:val="auto"/>
          <w:sz w:val="24"/>
          <w:highlight w:val="none"/>
          <w:u w:val="single"/>
        </w:rPr>
        <w:t xml:space="preserve">     。</w:t>
      </w:r>
    </w:p>
    <w:p>
      <w:pPr>
        <w:tabs>
          <w:tab w:val="left" w:pos="6300"/>
        </w:tabs>
        <w:adjustRightInd w:val="0"/>
        <w:snapToGrid w:val="0"/>
        <w:spacing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2. </w:t>
      </w:r>
      <w:r>
        <w:rPr>
          <w:rFonts w:hint="eastAsia" w:ascii="仿宋_GB2312" w:hAnsi="仿宋_GB2312" w:eastAsia="仿宋_GB2312" w:cs="仿宋_GB2312"/>
          <w:color w:val="auto"/>
          <w:sz w:val="24"/>
          <w:highlight w:val="none"/>
          <w:u w:val="single"/>
        </w:rPr>
        <w:t xml:space="preserve">（标的名称） </w:t>
      </w:r>
      <w:r>
        <w:rPr>
          <w:rFonts w:hint="eastAsia" w:ascii="仿宋_GB2312" w:hAnsi="仿宋_GB2312" w:eastAsia="仿宋_GB2312" w:cs="仿宋_GB2312"/>
          <w:color w:val="auto"/>
          <w:sz w:val="24"/>
          <w:highlight w:val="none"/>
        </w:rPr>
        <w:t>，属于</w:t>
      </w:r>
      <w:r>
        <w:rPr>
          <w:rFonts w:hint="eastAsia" w:ascii="仿宋_GB2312" w:hAnsi="仿宋_GB2312" w:eastAsia="仿宋_GB2312" w:cs="仿宋_GB2312"/>
          <w:color w:val="auto"/>
          <w:sz w:val="24"/>
          <w:highlight w:val="none"/>
          <w:u w:val="single"/>
        </w:rPr>
        <w:t xml:space="preserve">          行业</w:t>
      </w:r>
      <w:r>
        <w:rPr>
          <w:rFonts w:hint="eastAsia" w:ascii="仿宋_GB2312" w:hAnsi="仿宋_GB2312" w:eastAsia="仿宋_GB2312" w:cs="仿宋_GB2312"/>
          <w:color w:val="auto"/>
          <w:sz w:val="24"/>
          <w:highlight w:val="none"/>
        </w:rPr>
        <w:t>；承接企业为</w:t>
      </w:r>
      <w:r>
        <w:rPr>
          <w:rFonts w:hint="eastAsia" w:ascii="仿宋_GB2312" w:hAnsi="仿宋_GB2312" w:eastAsia="仿宋_GB2312" w:cs="仿宋_GB2312"/>
          <w:color w:val="auto"/>
          <w:sz w:val="24"/>
          <w:highlight w:val="none"/>
          <w:u w:val="single"/>
        </w:rPr>
        <w:t>（企业名称）</w:t>
      </w:r>
      <w:r>
        <w:rPr>
          <w:rFonts w:hint="eastAsia" w:ascii="仿宋_GB2312" w:hAnsi="仿宋_GB2312" w:eastAsia="仿宋_GB2312" w:cs="仿宋_GB2312"/>
          <w:color w:val="auto"/>
          <w:sz w:val="24"/>
          <w:highlight w:val="none"/>
        </w:rPr>
        <w:t>，从业人员</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人，营业收入为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万元，资产总额为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万元</w:t>
      </w:r>
      <w:r>
        <w:rPr>
          <w:rFonts w:hint="eastAsia" w:ascii="仿宋_GB2312" w:hAnsi="仿宋_GB2312" w:eastAsia="仿宋_GB2312" w:cs="仿宋_GB2312"/>
          <w:color w:val="auto"/>
          <w:sz w:val="24"/>
          <w:highlight w:val="none"/>
          <w:vertAlign w:val="superscript"/>
        </w:rPr>
        <w:t>1</w:t>
      </w:r>
      <w:r>
        <w:rPr>
          <w:rFonts w:hint="eastAsia" w:ascii="仿宋_GB2312" w:hAnsi="仿宋_GB2312" w:eastAsia="仿宋_GB2312" w:cs="仿宋_GB2312"/>
          <w:color w:val="auto"/>
          <w:sz w:val="24"/>
          <w:highlight w:val="none"/>
        </w:rPr>
        <w:t>，属于（中型企业、小型企业、微型企业）；</w:t>
      </w:r>
      <w:r>
        <w:rPr>
          <w:rFonts w:hint="eastAsia" w:ascii="仿宋_GB2312" w:hAnsi="仿宋_GB2312" w:eastAsia="仿宋_GB2312" w:cs="仿宋_GB2312"/>
          <w:color w:val="auto"/>
          <w:sz w:val="24"/>
          <w:highlight w:val="none"/>
          <w:u w:val="single"/>
        </w:rPr>
        <w:t xml:space="preserve">     。</w:t>
      </w:r>
    </w:p>
    <w:p>
      <w:pPr>
        <w:tabs>
          <w:tab w:val="left" w:pos="6300"/>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p>
      <w:pPr>
        <w:tabs>
          <w:tab w:val="left" w:pos="6300"/>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以上企业，不属于大企业的分支机构，不存在控股股东为大企业的情形，也不存在与大企业的负责人为同一人的情形。</w:t>
      </w:r>
    </w:p>
    <w:p>
      <w:pPr>
        <w:tabs>
          <w:tab w:val="left" w:pos="6300"/>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本企业对上述声明内容的真实性负责。如有虚假，将依法承担相应责任。</w:t>
      </w:r>
    </w:p>
    <w:p>
      <w:pPr>
        <w:tabs>
          <w:tab w:val="left" w:pos="6300"/>
        </w:tabs>
        <w:adjustRightInd w:val="0"/>
        <w:snapToGrid w:val="0"/>
        <w:spacing w:line="360" w:lineRule="auto"/>
        <w:ind w:firstLine="480" w:firstLineChars="200"/>
        <w:jc w:val="center"/>
        <w:rPr>
          <w:rFonts w:ascii="仿宋_GB2312" w:hAnsi="仿宋_GB2312" w:eastAsia="仿宋_GB2312" w:cs="仿宋_GB2312"/>
          <w:color w:val="auto"/>
          <w:sz w:val="24"/>
          <w:highlight w:val="none"/>
        </w:rPr>
      </w:pPr>
    </w:p>
    <w:p>
      <w:pPr>
        <w:tabs>
          <w:tab w:val="left" w:pos="6300"/>
        </w:tabs>
        <w:adjustRightInd w:val="0"/>
        <w:snapToGrid w:val="0"/>
        <w:spacing w:line="360" w:lineRule="auto"/>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企业名称（盖章）：</w:t>
      </w:r>
    </w:p>
    <w:p>
      <w:pPr>
        <w:tabs>
          <w:tab w:val="left" w:pos="6300"/>
        </w:tabs>
        <w:adjustRightInd w:val="0"/>
        <w:snapToGrid w:val="0"/>
        <w:spacing w:line="360" w:lineRule="auto"/>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p>
    <w:p>
      <w:pPr>
        <w:tabs>
          <w:tab w:val="left" w:pos="6300"/>
        </w:tabs>
        <w:adjustRightInd w:val="0"/>
        <w:snapToGrid w:val="0"/>
        <w:spacing w:line="360" w:lineRule="auto"/>
        <w:ind w:firstLine="482" w:firstLineChars="200"/>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w:t>
      </w:r>
    </w:p>
    <w:p>
      <w:pPr>
        <w:tabs>
          <w:tab w:val="left" w:pos="6300"/>
        </w:tabs>
        <w:adjustRightInd w:val="0"/>
        <w:snapToGrid w:val="0"/>
        <w:spacing w:line="360" w:lineRule="auto"/>
        <w:ind w:firstLine="482"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1、从业人员、营业收入、资产总额填报上一年度数据，无上一年度数据的新成立企业可不填报</w:t>
      </w:r>
      <w:r>
        <w:rPr>
          <w:rFonts w:hint="eastAsia" w:ascii="仿宋_GB2312" w:hAnsi="仿宋_GB2312" w:eastAsia="仿宋_GB2312" w:cs="仿宋_GB2312"/>
          <w:color w:val="auto"/>
          <w:sz w:val="24"/>
          <w:highlight w:val="none"/>
        </w:rPr>
        <w:t>.</w:t>
      </w:r>
    </w:p>
    <w:p>
      <w:pPr>
        <w:pStyle w:val="4"/>
        <w:spacing w:line="360" w:lineRule="auto"/>
        <w:ind w:firstLine="482"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2、各供应商参照《关于印发中小企业划型标准规定的通知 工信部联企业〔2011〕300号》 中小企业划型标准规定中规定的行业以及划型标准对本企业进行划型。</w:t>
      </w:r>
    </w:p>
    <w:p>
      <w:pPr>
        <w:spacing w:line="360" w:lineRule="auto"/>
        <w:jc w:val="center"/>
        <w:rPr>
          <w:rFonts w:ascii="仿宋_GB2312" w:eastAsia="仿宋_GB2312"/>
          <w:b/>
          <w:bCs/>
          <w:color w:val="auto"/>
          <w:sz w:val="24"/>
          <w:highlight w:val="none"/>
        </w:rPr>
      </w:pPr>
    </w:p>
    <w:p>
      <w:pPr>
        <w:spacing w:line="360" w:lineRule="auto"/>
        <w:jc w:val="center"/>
        <w:rPr>
          <w:rFonts w:ascii="仿宋_GB2312" w:eastAsia="仿宋_GB2312"/>
          <w:b/>
          <w:bCs/>
          <w:color w:val="auto"/>
          <w:sz w:val="24"/>
          <w:highlight w:val="none"/>
        </w:rPr>
      </w:pPr>
    </w:p>
    <w:p>
      <w:pPr>
        <w:spacing w:line="360" w:lineRule="auto"/>
        <w:jc w:val="center"/>
        <w:rPr>
          <w:rFonts w:ascii="仿宋_GB2312" w:eastAsia="仿宋_GB2312"/>
          <w:b/>
          <w:bCs/>
          <w:color w:val="auto"/>
          <w:sz w:val="24"/>
          <w:highlight w:val="none"/>
        </w:rPr>
      </w:pPr>
    </w:p>
    <w:p>
      <w:pPr>
        <w:spacing w:line="360" w:lineRule="auto"/>
        <w:jc w:val="center"/>
        <w:rPr>
          <w:rFonts w:ascii="仿宋_GB2312" w:eastAsia="仿宋_GB2312"/>
          <w:b/>
          <w:bCs/>
          <w:color w:val="auto"/>
          <w:sz w:val="24"/>
          <w:highlight w:val="none"/>
        </w:rPr>
      </w:pPr>
    </w:p>
    <w:p>
      <w:pPr>
        <w:spacing w:line="360" w:lineRule="auto"/>
        <w:jc w:val="center"/>
        <w:rPr>
          <w:rFonts w:ascii="仿宋_GB2312" w:eastAsia="仿宋_GB2312"/>
          <w:b/>
          <w:bCs/>
          <w:color w:val="auto"/>
          <w:sz w:val="24"/>
          <w:highlight w:val="none"/>
        </w:rPr>
      </w:pPr>
    </w:p>
    <w:p>
      <w:pPr>
        <w:spacing w:line="360" w:lineRule="auto"/>
        <w:jc w:val="center"/>
        <w:rPr>
          <w:rFonts w:ascii="仿宋_GB2312" w:eastAsia="仿宋_GB2312"/>
          <w:b/>
          <w:bCs/>
          <w:color w:val="auto"/>
          <w:sz w:val="24"/>
          <w:highlight w:val="none"/>
        </w:rPr>
      </w:pPr>
    </w:p>
    <w:p>
      <w:pPr>
        <w:spacing w:line="360" w:lineRule="auto"/>
        <w:jc w:val="center"/>
        <w:rPr>
          <w:rFonts w:hint="eastAsia" w:ascii="仿宋_GB2312" w:eastAsia="仿宋_GB2312"/>
          <w:b/>
          <w:bCs/>
          <w:color w:val="auto"/>
          <w:sz w:val="24"/>
          <w:highlight w:val="none"/>
        </w:rPr>
      </w:pPr>
    </w:p>
    <w:p>
      <w:pPr>
        <w:spacing w:line="360" w:lineRule="auto"/>
        <w:jc w:val="center"/>
        <w:rPr>
          <w:rFonts w:ascii="仿宋_GB2312" w:eastAsia="仿宋_GB2312"/>
          <w:b/>
          <w:color w:val="auto"/>
          <w:sz w:val="24"/>
          <w:highlight w:val="none"/>
        </w:rPr>
      </w:pPr>
      <w:r>
        <w:rPr>
          <w:rFonts w:hint="eastAsia" w:ascii="仿宋_GB2312" w:eastAsia="仿宋_GB2312"/>
          <w:b/>
          <w:bCs/>
          <w:color w:val="auto"/>
          <w:sz w:val="24"/>
          <w:highlight w:val="none"/>
        </w:rPr>
        <w:t>格式4  法定代表人资格证明书</w:t>
      </w:r>
    </w:p>
    <w:p>
      <w:pPr>
        <w:tabs>
          <w:tab w:val="left" w:pos="360"/>
          <w:tab w:val="left" w:pos="1800"/>
        </w:tabs>
        <w:spacing w:line="480" w:lineRule="exact"/>
        <w:ind w:left="540"/>
        <w:rPr>
          <w:rFonts w:ascii="仿宋_GB2312" w:eastAsia="仿宋_GB2312"/>
          <w:bCs/>
          <w:color w:val="auto"/>
          <w:sz w:val="24"/>
          <w:highlight w:val="none"/>
        </w:rPr>
      </w:pPr>
    </w:p>
    <w:p>
      <w:pPr>
        <w:tabs>
          <w:tab w:val="left" w:pos="360"/>
          <w:tab w:val="left" w:pos="1800"/>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单位名称：</w:t>
      </w:r>
    </w:p>
    <w:p>
      <w:pPr>
        <w:tabs>
          <w:tab w:val="left" w:pos="360"/>
          <w:tab w:val="left" w:pos="1800"/>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地址：</w:t>
      </w:r>
    </w:p>
    <w:p>
      <w:pPr>
        <w:tabs>
          <w:tab w:val="left" w:pos="360"/>
          <w:tab w:val="left" w:pos="720"/>
          <w:tab w:val="left" w:pos="900"/>
          <w:tab w:val="left" w:pos="1800"/>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姓名：        性别：       年龄：         职务： </w:t>
      </w:r>
    </w:p>
    <w:p>
      <w:pPr>
        <w:tabs>
          <w:tab w:val="left" w:pos="360"/>
          <w:tab w:val="left" w:pos="1800"/>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系</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单位）的法定代表人。为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的服务，签署上述项目的响应文件、进行合同</w:t>
      </w:r>
      <w:r>
        <w:rPr>
          <w:rFonts w:hint="eastAsia" w:ascii="仿宋_GB2312" w:hAnsi="宋体" w:eastAsia="仿宋_GB2312" w:cs="宋体"/>
          <w:color w:val="auto"/>
          <w:kern w:val="0"/>
          <w:sz w:val="24"/>
          <w:highlight w:val="none"/>
        </w:rPr>
        <w:t>单一来源</w:t>
      </w:r>
      <w:r>
        <w:rPr>
          <w:rFonts w:hint="eastAsia" w:ascii="仿宋_GB2312" w:eastAsia="仿宋_GB2312"/>
          <w:color w:val="auto"/>
          <w:sz w:val="24"/>
          <w:highlight w:val="none"/>
        </w:rPr>
        <w:t>、签署合同和处理与之有关的一切事务。</w:t>
      </w:r>
    </w:p>
    <w:p>
      <w:pPr>
        <w:tabs>
          <w:tab w:val="left" w:pos="360"/>
          <w:tab w:val="left" w:pos="1800"/>
        </w:tabs>
        <w:spacing w:line="360" w:lineRule="auto"/>
        <w:rPr>
          <w:rFonts w:ascii="仿宋_GB2312" w:eastAsia="仿宋_GB2312"/>
          <w:color w:val="auto"/>
          <w:sz w:val="24"/>
          <w:highlight w:val="none"/>
        </w:rPr>
      </w:pPr>
    </w:p>
    <w:p>
      <w:pPr>
        <w:tabs>
          <w:tab w:val="left" w:pos="360"/>
          <w:tab w:val="left" w:pos="1800"/>
        </w:tabs>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特此证明。</w:t>
      </w:r>
    </w:p>
    <w:p>
      <w:pPr>
        <w:tabs>
          <w:tab w:val="left" w:pos="360"/>
          <w:tab w:val="left" w:pos="1800"/>
        </w:tabs>
        <w:spacing w:line="360" w:lineRule="auto"/>
        <w:ind w:left="4500"/>
        <w:rPr>
          <w:rFonts w:ascii="仿宋_GB2312" w:eastAsia="仿宋_GB2312"/>
          <w:color w:val="auto"/>
          <w:sz w:val="24"/>
          <w:highlight w:val="none"/>
        </w:rPr>
      </w:pPr>
      <w:r>
        <w:rPr>
          <w:rFonts w:hint="eastAsia" w:ascii="仿宋_GB2312" w:eastAsia="仿宋_GB2312"/>
          <w:color w:val="auto"/>
          <w:sz w:val="24"/>
          <w:highlight w:val="none"/>
        </w:rPr>
        <w:t>供应商：（盖章）</w:t>
      </w:r>
    </w:p>
    <w:p>
      <w:pPr>
        <w:tabs>
          <w:tab w:val="left" w:pos="360"/>
          <w:tab w:val="left" w:pos="1800"/>
        </w:tabs>
        <w:spacing w:line="360" w:lineRule="auto"/>
        <w:ind w:left="4500"/>
        <w:rPr>
          <w:rFonts w:ascii="仿宋_GB2312" w:eastAsia="仿宋_GB2312"/>
          <w:color w:val="auto"/>
          <w:sz w:val="24"/>
          <w:highlight w:val="none"/>
        </w:rPr>
      </w:pPr>
      <w:r>
        <w:rPr>
          <w:rFonts w:hint="eastAsia" w:ascii="仿宋_GB2312" w:eastAsia="仿宋_GB2312"/>
          <w:color w:val="auto"/>
          <w:sz w:val="24"/>
          <w:highlight w:val="none"/>
        </w:rPr>
        <w:t>日期：    年   月   日</w:t>
      </w:r>
    </w:p>
    <w:p>
      <w:pPr>
        <w:tabs>
          <w:tab w:val="left" w:pos="360"/>
          <w:tab w:val="left" w:pos="1800"/>
        </w:tabs>
        <w:spacing w:line="360" w:lineRule="auto"/>
        <w:ind w:firstLine="6000" w:firstLineChars="2500"/>
        <w:rPr>
          <w:rFonts w:ascii="仿宋_GB2312" w:eastAsia="仿宋_GB2312"/>
          <w:bCs/>
          <w:color w:val="auto"/>
          <w:sz w:val="24"/>
          <w:highlight w:val="none"/>
        </w:rPr>
      </w:pPr>
    </w:p>
    <w:tbl>
      <w:tblPr>
        <w:tblStyle w:val="24"/>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tcPr>
          <w:p>
            <w:pPr>
              <w:tabs>
                <w:tab w:val="left" w:pos="360"/>
                <w:tab w:val="left" w:pos="1800"/>
              </w:tabs>
              <w:spacing w:line="480" w:lineRule="auto"/>
              <w:jc w:val="center"/>
              <w:rPr>
                <w:rFonts w:ascii="仿宋_GB2312" w:hAnsi="Tahoma" w:eastAsia="仿宋_GB2312"/>
                <w:color w:val="auto"/>
                <w:sz w:val="24"/>
                <w:highlight w:val="none"/>
              </w:rPr>
            </w:pPr>
          </w:p>
          <w:p>
            <w:pPr>
              <w:tabs>
                <w:tab w:val="left" w:pos="360"/>
                <w:tab w:val="left" w:pos="1800"/>
              </w:tabs>
              <w:spacing w:line="480" w:lineRule="auto"/>
              <w:jc w:val="center"/>
              <w:rPr>
                <w:rFonts w:ascii="仿宋_GB2312" w:hAnsi="Tahoma" w:eastAsia="仿宋_GB2312"/>
                <w:color w:val="auto"/>
                <w:sz w:val="24"/>
                <w:highlight w:val="none"/>
              </w:rPr>
            </w:pPr>
          </w:p>
          <w:p>
            <w:pPr>
              <w:tabs>
                <w:tab w:val="left" w:pos="360"/>
                <w:tab w:val="left" w:pos="1800"/>
              </w:tabs>
              <w:spacing w:line="480" w:lineRule="auto"/>
              <w:jc w:val="center"/>
              <w:rPr>
                <w:rFonts w:ascii="仿宋_GB2312" w:hAnsi="Tahoma" w:eastAsia="仿宋_GB2312"/>
                <w:color w:val="auto"/>
                <w:sz w:val="24"/>
                <w:highlight w:val="none"/>
              </w:rPr>
            </w:pPr>
            <w:r>
              <w:rPr>
                <w:rFonts w:hint="eastAsia" w:ascii="仿宋_GB2312" w:hAnsi="Tahoma" w:eastAsia="仿宋_GB2312"/>
                <w:color w:val="auto"/>
                <w:sz w:val="24"/>
                <w:highlight w:val="none"/>
              </w:rPr>
              <w:t>法定代表人身份证复印件或扫描件（正、反两面）</w:t>
            </w:r>
          </w:p>
        </w:tc>
      </w:tr>
    </w:tbl>
    <w:p>
      <w:pPr>
        <w:tabs>
          <w:tab w:val="left" w:pos="360"/>
          <w:tab w:val="left" w:pos="1800"/>
        </w:tabs>
        <w:spacing w:line="480" w:lineRule="exact"/>
        <w:jc w:val="center"/>
        <w:rPr>
          <w:rFonts w:ascii="仿宋_GB2312" w:eastAsia="仿宋_GB2312"/>
          <w:b/>
          <w:bCs/>
          <w:color w:val="auto"/>
          <w:sz w:val="24"/>
          <w:highlight w:val="none"/>
        </w:rPr>
      </w:pPr>
      <w:r>
        <w:rPr>
          <w:rFonts w:hint="eastAsia" w:ascii="仿宋_GB2312" w:eastAsia="仿宋_GB2312"/>
          <w:b/>
          <w:bCs/>
          <w:color w:val="auto"/>
          <w:sz w:val="24"/>
          <w:highlight w:val="none"/>
        </w:rPr>
        <w:t>注：法定代表人身份证复印件或扫描件应反映出证件有效期等所载内容。</w:t>
      </w:r>
    </w:p>
    <w:p>
      <w:pPr>
        <w:tabs>
          <w:tab w:val="left" w:pos="360"/>
          <w:tab w:val="left" w:pos="1800"/>
        </w:tabs>
        <w:spacing w:line="480" w:lineRule="exact"/>
        <w:ind w:left="1980" w:firstLine="1080"/>
        <w:rPr>
          <w:rFonts w:ascii="仿宋_GB2312" w:eastAsia="仿宋_GB2312"/>
          <w:bCs/>
          <w:color w:val="auto"/>
          <w:highlight w:val="none"/>
        </w:rPr>
      </w:pPr>
    </w:p>
    <w:p>
      <w:pPr>
        <w:tabs>
          <w:tab w:val="left" w:pos="360"/>
          <w:tab w:val="left" w:pos="1800"/>
        </w:tabs>
        <w:spacing w:line="480" w:lineRule="exact"/>
        <w:rPr>
          <w:rFonts w:ascii="仿宋_GB2312" w:eastAsia="仿宋_GB2312"/>
          <w:bCs/>
          <w:color w:val="auto"/>
          <w:sz w:val="24"/>
          <w:highlight w:val="none"/>
        </w:rPr>
      </w:pPr>
    </w:p>
    <w:p>
      <w:pPr>
        <w:tabs>
          <w:tab w:val="left" w:pos="360"/>
          <w:tab w:val="left" w:pos="1800"/>
        </w:tabs>
        <w:spacing w:line="480" w:lineRule="exact"/>
        <w:rPr>
          <w:rFonts w:ascii="仿宋_GB2312" w:eastAsia="仿宋_GB2312"/>
          <w:bCs/>
          <w:color w:val="auto"/>
          <w:sz w:val="24"/>
          <w:highlight w:val="none"/>
        </w:rPr>
      </w:pPr>
    </w:p>
    <w:p>
      <w:pPr>
        <w:tabs>
          <w:tab w:val="left" w:pos="360"/>
          <w:tab w:val="left" w:pos="1800"/>
        </w:tabs>
        <w:spacing w:line="480" w:lineRule="exact"/>
        <w:rPr>
          <w:rFonts w:ascii="仿宋_GB2312" w:eastAsia="仿宋_GB2312"/>
          <w:bCs/>
          <w:color w:val="auto"/>
          <w:sz w:val="24"/>
          <w:highlight w:val="none"/>
        </w:rPr>
      </w:pPr>
    </w:p>
    <w:p>
      <w:pPr>
        <w:tabs>
          <w:tab w:val="left" w:pos="360"/>
          <w:tab w:val="left" w:pos="1800"/>
        </w:tabs>
        <w:spacing w:line="480" w:lineRule="exact"/>
        <w:rPr>
          <w:rFonts w:ascii="仿宋_GB2312" w:eastAsia="仿宋_GB2312"/>
          <w:bCs/>
          <w:color w:val="auto"/>
          <w:sz w:val="24"/>
          <w:highlight w:val="none"/>
        </w:rPr>
      </w:pPr>
    </w:p>
    <w:p>
      <w:pPr>
        <w:tabs>
          <w:tab w:val="left" w:pos="360"/>
          <w:tab w:val="left" w:pos="1800"/>
        </w:tabs>
        <w:spacing w:line="480" w:lineRule="exact"/>
        <w:jc w:val="center"/>
        <w:rPr>
          <w:rFonts w:ascii="仿宋_GB2312" w:eastAsia="仿宋_GB2312"/>
          <w:b/>
          <w:bCs/>
          <w:color w:val="auto"/>
          <w:sz w:val="24"/>
          <w:highlight w:val="none"/>
        </w:rPr>
      </w:pPr>
      <w:r>
        <w:rPr>
          <w:rFonts w:hint="eastAsia" w:ascii="仿宋_GB2312" w:eastAsia="仿宋_GB2312"/>
          <w:b/>
          <w:bCs/>
          <w:color w:val="auto"/>
          <w:sz w:val="24"/>
          <w:highlight w:val="none"/>
        </w:rPr>
        <w:t>格式5   法定代表人授权书</w:t>
      </w:r>
    </w:p>
    <w:p>
      <w:pPr>
        <w:tabs>
          <w:tab w:val="left" w:pos="360"/>
          <w:tab w:val="left" w:pos="1800"/>
        </w:tabs>
        <w:spacing w:line="480" w:lineRule="exact"/>
        <w:ind w:left="239" w:leftChars="114" w:firstLine="240" w:firstLineChars="100"/>
        <w:rPr>
          <w:rFonts w:ascii="仿宋_GB2312" w:eastAsia="仿宋_GB2312"/>
          <w:color w:val="auto"/>
          <w:sz w:val="24"/>
          <w:highlight w:val="none"/>
        </w:rPr>
      </w:pPr>
    </w:p>
    <w:p>
      <w:pPr>
        <w:tabs>
          <w:tab w:val="left" w:pos="360"/>
          <w:tab w:val="left" w:pos="1800"/>
        </w:tabs>
        <w:spacing w:line="480" w:lineRule="exact"/>
        <w:ind w:left="239" w:leftChars="114" w:firstLine="480" w:firstLineChars="200"/>
        <w:rPr>
          <w:rFonts w:ascii="仿宋_GB2312" w:eastAsia="仿宋_GB2312"/>
          <w:color w:val="auto"/>
          <w:sz w:val="24"/>
          <w:highlight w:val="none"/>
          <w:u w:val="single"/>
        </w:rPr>
      </w:pPr>
      <w:r>
        <w:rPr>
          <w:rFonts w:hint="eastAsia" w:ascii="仿宋_GB2312" w:eastAsia="仿宋_GB2312"/>
          <w:color w:val="auto"/>
          <w:sz w:val="24"/>
          <w:highlight w:val="none"/>
        </w:rPr>
        <w:t>本授权委托书声明：我</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姓名）系</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供应商名称）的法定代表人，现授权委托</w:t>
      </w:r>
      <w:r>
        <w:rPr>
          <w:rFonts w:hint="eastAsia" w:ascii="仿宋_GB2312" w:eastAsia="仿宋_GB2312"/>
          <w:color w:val="auto"/>
          <w:sz w:val="24"/>
          <w:highlight w:val="none"/>
          <w:u w:val="single"/>
        </w:rPr>
        <w:t xml:space="preserve">    （供应商名称）</w:t>
      </w:r>
      <w:r>
        <w:rPr>
          <w:rFonts w:hint="eastAsia" w:ascii="仿宋_GB2312" w:eastAsia="仿宋_GB2312"/>
          <w:color w:val="auto"/>
          <w:sz w:val="24"/>
          <w:highlight w:val="none"/>
        </w:rPr>
        <w:t xml:space="preserve">的（姓名），其身份证号为为我供应商代理人，以本供应商的名义参加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采购人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采购项目名称）的采购活动。</w:t>
      </w:r>
    </w:p>
    <w:p>
      <w:pPr>
        <w:tabs>
          <w:tab w:val="left" w:pos="360"/>
          <w:tab w:val="left" w:pos="1800"/>
        </w:tabs>
        <w:spacing w:line="480" w:lineRule="exact"/>
        <w:ind w:left="239" w:leftChars="114" w:firstLine="480" w:firstLineChars="200"/>
        <w:rPr>
          <w:rFonts w:ascii="仿宋_GB2312" w:eastAsia="仿宋_GB2312"/>
          <w:color w:val="auto"/>
          <w:sz w:val="24"/>
          <w:highlight w:val="none"/>
        </w:rPr>
      </w:pPr>
      <w:r>
        <w:rPr>
          <w:rFonts w:hint="eastAsia" w:ascii="仿宋_GB2312" w:eastAsia="仿宋_GB2312"/>
          <w:color w:val="auto"/>
          <w:sz w:val="24"/>
          <w:highlight w:val="none"/>
        </w:rPr>
        <w:t>代理人在递交响应文件、合同协商过程中所签署的一切文件和处理与之有关的一切事务，我均予以承认。</w:t>
      </w:r>
    </w:p>
    <w:p>
      <w:pPr>
        <w:tabs>
          <w:tab w:val="left" w:pos="360"/>
          <w:tab w:val="left" w:pos="1800"/>
        </w:tabs>
        <w:spacing w:line="480" w:lineRule="exact"/>
        <w:ind w:firstLine="720" w:firstLineChars="300"/>
        <w:rPr>
          <w:rFonts w:ascii="仿宋_GB2312" w:eastAsia="仿宋_GB2312"/>
          <w:color w:val="auto"/>
          <w:sz w:val="24"/>
          <w:highlight w:val="none"/>
          <w:u w:val="single"/>
        </w:rPr>
      </w:pPr>
      <w:r>
        <w:rPr>
          <w:rFonts w:hint="eastAsia" w:ascii="仿宋_GB2312" w:eastAsia="仿宋_GB2312"/>
          <w:color w:val="auto"/>
          <w:sz w:val="24"/>
          <w:highlight w:val="none"/>
        </w:rPr>
        <w:t>本授权委托书期限自年月日起至年月日止。</w:t>
      </w:r>
    </w:p>
    <w:p>
      <w:pPr>
        <w:tabs>
          <w:tab w:val="left" w:pos="360"/>
          <w:tab w:val="left" w:pos="1800"/>
        </w:tabs>
        <w:spacing w:line="48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委托代理人无转委权。特此委托。</w:t>
      </w:r>
    </w:p>
    <w:p>
      <w:pPr>
        <w:tabs>
          <w:tab w:val="left" w:pos="360"/>
          <w:tab w:val="left" w:pos="1800"/>
        </w:tabs>
        <w:spacing w:line="48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委托代理人：            性别：           年龄：</w:t>
      </w:r>
    </w:p>
    <w:p>
      <w:pPr>
        <w:tabs>
          <w:tab w:val="left" w:pos="360"/>
          <w:tab w:val="left" w:pos="1800"/>
        </w:tabs>
        <w:spacing w:line="48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单位：              部门：           职务：</w:t>
      </w:r>
    </w:p>
    <w:p>
      <w:pPr>
        <w:tabs>
          <w:tab w:val="left" w:pos="360"/>
          <w:tab w:val="left" w:pos="1800"/>
        </w:tabs>
        <w:spacing w:line="480" w:lineRule="exact"/>
        <w:ind w:firstLine="3600"/>
        <w:rPr>
          <w:rFonts w:ascii="仿宋_GB2312" w:eastAsia="仿宋_GB2312"/>
          <w:color w:val="auto"/>
          <w:sz w:val="24"/>
          <w:highlight w:val="none"/>
        </w:rPr>
      </w:pPr>
    </w:p>
    <w:p>
      <w:pPr>
        <w:tabs>
          <w:tab w:val="left" w:pos="360"/>
          <w:tab w:val="left" w:pos="1800"/>
        </w:tabs>
        <w:spacing w:line="480" w:lineRule="exact"/>
        <w:ind w:firstLine="3600"/>
        <w:rPr>
          <w:rFonts w:ascii="仿宋_GB2312" w:eastAsia="仿宋_GB2312"/>
          <w:color w:val="auto"/>
          <w:sz w:val="24"/>
          <w:highlight w:val="none"/>
        </w:rPr>
      </w:pPr>
    </w:p>
    <w:p>
      <w:pPr>
        <w:tabs>
          <w:tab w:val="left" w:pos="360"/>
          <w:tab w:val="left" w:pos="1800"/>
        </w:tabs>
        <w:spacing w:line="480" w:lineRule="exact"/>
        <w:ind w:firstLine="3600"/>
        <w:rPr>
          <w:rFonts w:ascii="仿宋_GB2312" w:eastAsia="仿宋_GB2312"/>
          <w:color w:val="auto"/>
          <w:sz w:val="24"/>
          <w:highlight w:val="none"/>
        </w:rPr>
      </w:pPr>
      <w:r>
        <w:rPr>
          <w:rFonts w:hint="eastAsia" w:ascii="仿宋_GB2312" w:eastAsia="仿宋_GB2312"/>
          <w:color w:val="auto"/>
          <w:sz w:val="24"/>
          <w:highlight w:val="none"/>
        </w:rPr>
        <w:t>供应商：（盖章）</w:t>
      </w:r>
    </w:p>
    <w:p>
      <w:pPr>
        <w:tabs>
          <w:tab w:val="left" w:pos="360"/>
          <w:tab w:val="left" w:pos="1800"/>
        </w:tabs>
        <w:spacing w:line="480" w:lineRule="exact"/>
        <w:ind w:firstLine="3600"/>
        <w:rPr>
          <w:rFonts w:ascii="仿宋_GB2312" w:eastAsia="仿宋_GB2312"/>
          <w:color w:val="auto"/>
          <w:sz w:val="24"/>
          <w:highlight w:val="none"/>
        </w:rPr>
      </w:pPr>
      <w:r>
        <w:rPr>
          <w:rFonts w:hint="eastAsia" w:ascii="仿宋_GB2312" w:eastAsia="仿宋_GB2312"/>
          <w:color w:val="auto"/>
          <w:sz w:val="24"/>
          <w:highlight w:val="none"/>
        </w:rPr>
        <w:t>法定代表人：（签字或盖章）</w:t>
      </w:r>
    </w:p>
    <w:p>
      <w:pPr>
        <w:tabs>
          <w:tab w:val="left" w:pos="360"/>
          <w:tab w:val="left" w:pos="1800"/>
        </w:tabs>
        <w:spacing w:line="480" w:lineRule="exact"/>
        <w:ind w:firstLine="3600"/>
        <w:rPr>
          <w:rFonts w:ascii="仿宋_GB2312" w:eastAsia="仿宋_GB2312"/>
          <w:color w:val="auto"/>
          <w:sz w:val="24"/>
          <w:highlight w:val="none"/>
        </w:rPr>
      </w:pPr>
      <w:r>
        <w:rPr>
          <w:rFonts w:hint="eastAsia" w:ascii="仿宋_GB2312" w:eastAsia="仿宋_GB2312"/>
          <w:color w:val="auto"/>
          <w:sz w:val="24"/>
          <w:highlight w:val="none"/>
        </w:rPr>
        <w:t>委托代理人：（签字或盖章）</w:t>
      </w:r>
    </w:p>
    <w:p>
      <w:pPr>
        <w:tabs>
          <w:tab w:val="left" w:pos="360"/>
          <w:tab w:val="left" w:pos="1800"/>
        </w:tabs>
        <w:spacing w:line="480" w:lineRule="exact"/>
        <w:ind w:firstLine="3600"/>
        <w:rPr>
          <w:rFonts w:ascii="仿宋_GB2312" w:eastAsia="仿宋_GB2312"/>
          <w:color w:val="auto"/>
          <w:sz w:val="24"/>
          <w:highlight w:val="none"/>
        </w:rPr>
      </w:pPr>
      <w:r>
        <w:rPr>
          <w:rFonts w:hint="eastAsia" w:ascii="仿宋_GB2312" w:eastAsia="仿宋_GB2312"/>
          <w:color w:val="auto"/>
          <w:sz w:val="24"/>
          <w:highlight w:val="none"/>
        </w:rPr>
        <w:t>日期：      年     月     日</w:t>
      </w:r>
    </w:p>
    <w:p>
      <w:pPr>
        <w:tabs>
          <w:tab w:val="left" w:pos="360"/>
          <w:tab w:val="left" w:pos="1800"/>
        </w:tabs>
        <w:spacing w:line="480" w:lineRule="exact"/>
        <w:ind w:firstLine="3600"/>
        <w:rPr>
          <w:rFonts w:ascii="仿宋_GB2312" w:eastAsia="仿宋_GB2312"/>
          <w:color w:val="auto"/>
          <w:sz w:val="24"/>
          <w:highlight w:val="none"/>
        </w:rPr>
      </w:pPr>
    </w:p>
    <w:tbl>
      <w:tblPr>
        <w:tblStyle w:val="24"/>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noWrap/>
          </w:tcPr>
          <w:p>
            <w:pPr>
              <w:tabs>
                <w:tab w:val="left" w:pos="360"/>
                <w:tab w:val="left" w:pos="1800"/>
              </w:tabs>
              <w:spacing w:line="480" w:lineRule="auto"/>
              <w:jc w:val="center"/>
              <w:rPr>
                <w:rFonts w:ascii="仿宋_GB2312" w:hAnsi="Tahoma" w:eastAsia="仿宋_GB2312"/>
                <w:color w:val="auto"/>
                <w:sz w:val="24"/>
                <w:highlight w:val="none"/>
              </w:rPr>
            </w:pPr>
          </w:p>
          <w:p>
            <w:pPr>
              <w:tabs>
                <w:tab w:val="left" w:pos="360"/>
                <w:tab w:val="left" w:pos="1800"/>
              </w:tabs>
              <w:spacing w:line="480" w:lineRule="auto"/>
              <w:jc w:val="center"/>
              <w:rPr>
                <w:rFonts w:ascii="仿宋_GB2312" w:hAnsi="Tahoma" w:eastAsia="仿宋_GB2312"/>
                <w:color w:val="auto"/>
                <w:sz w:val="24"/>
                <w:highlight w:val="none"/>
              </w:rPr>
            </w:pPr>
          </w:p>
          <w:p>
            <w:pPr>
              <w:tabs>
                <w:tab w:val="left" w:pos="360"/>
                <w:tab w:val="left" w:pos="1800"/>
              </w:tabs>
              <w:spacing w:line="480" w:lineRule="auto"/>
              <w:jc w:val="center"/>
              <w:rPr>
                <w:rFonts w:ascii="仿宋_GB2312" w:hAnsi="Tahoma" w:eastAsia="仿宋_GB2312"/>
                <w:color w:val="auto"/>
                <w:sz w:val="24"/>
                <w:highlight w:val="none"/>
              </w:rPr>
            </w:pPr>
            <w:r>
              <w:rPr>
                <w:rFonts w:hint="eastAsia" w:ascii="仿宋_GB2312" w:eastAsia="仿宋_GB2312"/>
                <w:color w:val="auto"/>
                <w:sz w:val="24"/>
                <w:highlight w:val="none"/>
              </w:rPr>
              <w:t>委托代理人</w:t>
            </w:r>
            <w:r>
              <w:rPr>
                <w:rFonts w:hint="eastAsia" w:ascii="仿宋_GB2312" w:hAnsi="Tahoma" w:eastAsia="仿宋_GB2312"/>
                <w:color w:val="auto"/>
                <w:sz w:val="24"/>
                <w:highlight w:val="none"/>
              </w:rPr>
              <w:t>身份证复印件或扫描件（正、反两面）</w:t>
            </w:r>
          </w:p>
        </w:tc>
      </w:tr>
    </w:tbl>
    <w:p>
      <w:pPr>
        <w:tabs>
          <w:tab w:val="left" w:pos="360"/>
          <w:tab w:val="left" w:pos="1800"/>
        </w:tabs>
        <w:spacing w:line="480" w:lineRule="exact"/>
        <w:jc w:val="center"/>
        <w:rPr>
          <w:rFonts w:ascii="仿宋_GB2312" w:eastAsia="仿宋_GB2312"/>
          <w:b/>
          <w:bCs/>
          <w:color w:val="auto"/>
          <w:sz w:val="24"/>
          <w:highlight w:val="none"/>
        </w:rPr>
      </w:pPr>
      <w:r>
        <w:rPr>
          <w:rFonts w:hint="eastAsia" w:ascii="仿宋_GB2312" w:eastAsia="仿宋_GB2312"/>
          <w:b/>
          <w:bCs/>
          <w:color w:val="auto"/>
          <w:sz w:val="24"/>
          <w:highlight w:val="none"/>
        </w:rPr>
        <w:t>注：委托代理人身份证复印件或扫描件应反映出证件有效期等所载内容。</w:t>
      </w:r>
    </w:p>
    <w:p>
      <w:pPr>
        <w:pStyle w:val="5"/>
        <w:jc w:val="center"/>
        <w:rPr>
          <w:rFonts w:ascii="仿宋_GB2312" w:hAnsi="Arial" w:eastAsia="仿宋_GB2312"/>
          <w:b w:val="0"/>
          <w:bCs w:val="0"/>
          <w:color w:val="auto"/>
          <w:sz w:val="24"/>
          <w:szCs w:val="24"/>
          <w:highlight w:val="none"/>
        </w:rPr>
      </w:pPr>
      <w:r>
        <w:rPr>
          <w:rFonts w:hint="eastAsia" w:ascii="仿宋_GB2312" w:eastAsia="仿宋_GB2312"/>
          <w:color w:val="auto"/>
          <w:sz w:val="24"/>
          <w:szCs w:val="24"/>
          <w:highlight w:val="none"/>
        </w:rPr>
        <w:t>格式6  供应商资格声明</w:t>
      </w:r>
    </w:p>
    <w:tbl>
      <w:tblPr>
        <w:tblStyle w:val="24"/>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401"/>
        <w:gridCol w:w="1572"/>
        <w:gridCol w:w="1851"/>
        <w:gridCol w:w="1328"/>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54" w:type="dxa"/>
            <w:noWrap/>
            <w:vAlign w:val="center"/>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供应商名称</w:t>
            </w:r>
          </w:p>
        </w:tc>
        <w:tc>
          <w:tcPr>
            <w:tcW w:w="7785" w:type="dxa"/>
            <w:gridSpan w:val="5"/>
            <w:noWrap/>
            <w:vAlign w:val="center"/>
          </w:tcPr>
          <w:p>
            <w:pPr>
              <w:spacing w:line="460" w:lineRule="exact"/>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54" w:type="dxa"/>
            <w:noWrap/>
            <w:vAlign w:val="center"/>
          </w:tcPr>
          <w:p>
            <w:pPr>
              <w:spacing w:line="46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地 址</w:t>
            </w:r>
          </w:p>
        </w:tc>
        <w:tc>
          <w:tcPr>
            <w:tcW w:w="7785" w:type="dxa"/>
            <w:gridSpan w:val="5"/>
            <w:noWrap/>
            <w:vAlign w:val="center"/>
          </w:tcPr>
          <w:p>
            <w:pPr>
              <w:spacing w:line="460" w:lineRule="exact"/>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54" w:type="dxa"/>
            <w:noWrap/>
            <w:vAlign w:val="center"/>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主管部门</w:t>
            </w:r>
          </w:p>
        </w:tc>
        <w:tc>
          <w:tcPr>
            <w:tcW w:w="1401" w:type="dxa"/>
            <w:noWrap/>
            <w:vAlign w:val="center"/>
          </w:tcPr>
          <w:p>
            <w:pPr>
              <w:spacing w:line="460" w:lineRule="exact"/>
              <w:rPr>
                <w:rFonts w:ascii="仿宋_GB2312" w:hAnsi="宋体" w:eastAsia="仿宋_GB2312"/>
                <w:bCs/>
                <w:color w:val="auto"/>
                <w:sz w:val="24"/>
                <w:highlight w:val="none"/>
              </w:rPr>
            </w:pPr>
          </w:p>
        </w:tc>
        <w:tc>
          <w:tcPr>
            <w:tcW w:w="1572" w:type="dxa"/>
            <w:noWrap/>
            <w:vAlign w:val="center"/>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法定代表人</w:t>
            </w:r>
          </w:p>
        </w:tc>
        <w:tc>
          <w:tcPr>
            <w:tcW w:w="1851" w:type="dxa"/>
            <w:noWrap/>
            <w:vAlign w:val="center"/>
          </w:tcPr>
          <w:p>
            <w:pPr>
              <w:spacing w:line="460" w:lineRule="exact"/>
              <w:rPr>
                <w:rFonts w:ascii="仿宋_GB2312" w:hAnsi="宋体" w:eastAsia="仿宋_GB2312"/>
                <w:bCs/>
                <w:color w:val="auto"/>
                <w:sz w:val="24"/>
                <w:highlight w:val="none"/>
              </w:rPr>
            </w:pPr>
          </w:p>
        </w:tc>
        <w:tc>
          <w:tcPr>
            <w:tcW w:w="1328" w:type="dxa"/>
            <w:noWrap/>
            <w:vAlign w:val="center"/>
          </w:tcPr>
          <w:p>
            <w:pPr>
              <w:spacing w:line="46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职 务</w:t>
            </w:r>
          </w:p>
        </w:tc>
        <w:tc>
          <w:tcPr>
            <w:tcW w:w="1633" w:type="dxa"/>
            <w:noWrap/>
          </w:tcPr>
          <w:p>
            <w:pPr>
              <w:spacing w:line="460" w:lineRule="exact"/>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54" w:type="dxa"/>
            <w:noWrap/>
            <w:vAlign w:val="center"/>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注册时间</w:t>
            </w:r>
          </w:p>
        </w:tc>
        <w:tc>
          <w:tcPr>
            <w:tcW w:w="2973" w:type="dxa"/>
            <w:gridSpan w:val="2"/>
            <w:noWrap/>
          </w:tcPr>
          <w:p>
            <w:pPr>
              <w:spacing w:line="460" w:lineRule="exact"/>
              <w:rPr>
                <w:rFonts w:ascii="仿宋_GB2312" w:hAnsi="宋体" w:eastAsia="仿宋_GB2312"/>
                <w:bCs/>
                <w:color w:val="auto"/>
                <w:sz w:val="24"/>
                <w:highlight w:val="none"/>
              </w:rPr>
            </w:pPr>
          </w:p>
        </w:tc>
        <w:tc>
          <w:tcPr>
            <w:tcW w:w="1851" w:type="dxa"/>
            <w:noWrap/>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经济类型</w:t>
            </w:r>
          </w:p>
        </w:tc>
        <w:tc>
          <w:tcPr>
            <w:tcW w:w="2961" w:type="dxa"/>
            <w:gridSpan w:val="2"/>
            <w:noWrap/>
          </w:tcPr>
          <w:p>
            <w:pPr>
              <w:spacing w:line="460" w:lineRule="exact"/>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4727" w:type="dxa"/>
            <w:gridSpan w:val="3"/>
            <w:noWrap/>
            <w:vAlign w:val="center"/>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营业执照号</w:t>
            </w:r>
          </w:p>
        </w:tc>
        <w:tc>
          <w:tcPr>
            <w:tcW w:w="4812" w:type="dxa"/>
            <w:gridSpan w:val="3"/>
            <w:noWrap/>
            <w:vAlign w:val="center"/>
          </w:tcPr>
          <w:p>
            <w:pPr>
              <w:spacing w:line="460" w:lineRule="exact"/>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4727" w:type="dxa"/>
            <w:gridSpan w:val="3"/>
            <w:noWrap/>
            <w:vAlign w:val="center"/>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近三年内（2018年至2020年）在经营活动中有无重大违法纪录</w:t>
            </w:r>
          </w:p>
        </w:tc>
        <w:tc>
          <w:tcPr>
            <w:tcW w:w="4812" w:type="dxa"/>
            <w:gridSpan w:val="3"/>
            <w:noWrap/>
            <w:vAlign w:val="center"/>
          </w:tcPr>
          <w:p>
            <w:pPr>
              <w:spacing w:line="460" w:lineRule="exact"/>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1754" w:type="dxa"/>
            <w:noWrap/>
            <w:vAlign w:val="center"/>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是否依法缴纳税收</w:t>
            </w:r>
          </w:p>
        </w:tc>
        <w:tc>
          <w:tcPr>
            <w:tcW w:w="2973" w:type="dxa"/>
            <w:gridSpan w:val="2"/>
            <w:noWrap/>
          </w:tcPr>
          <w:p>
            <w:pPr>
              <w:spacing w:line="460" w:lineRule="exact"/>
              <w:rPr>
                <w:rFonts w:ascii="仿宋_GB2312" w:hAnsi="宋体" w:eastAsia="仿宋_GB2312"/>
                <w:bCs/>
                <w:color w:val="auto"/>
                <w:sz w:val="24"/>
                <w:highlight w:val="none"/>
              </w:rPr>
            </w:pPr>
          </w:p>
        </w:tc>
        <w:tc>
          <w:tcPr>
            <w:tcW w:w="1851" w:type="dxa"/>
            <w:noWrap/>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是否依法缴纳社会保障资金</w:t>
            </w:r>
          </w:p>
        </w:tc>
        <w:tc>
          <w:tcPr>
            <w:tcW w:w="2961" w:type="dxa"/>
            <w:gridSpan w:val="2"/>
            <w:noWrap/>
          </w:tcPr>
          <w:p>
            <w:pPr>
              <w:spacing w:line="460" w:lineRule="exact"/>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754" w:type="dxa"/>
            <w:vMerge w:val="restart"/>
            <w:noWrap/>
          </w:tcPr>
          <w:p>
            <w:pPr>
              <w:spacing w:line="460" w:lineRule="exact"/>
              <w:jc w:val="center"/>
              <w:rPr>
                <w:rFonts w:ascii="仿宋_GB2312" w:hAnsi="宋体" w:eastAsia="仿宋_GB2312"/>
                <w:bCs/>
                <w:color w:val="auto"/>
                <w:sz w:val="24"/>
                <w:highlight w:val="none"/>
              </w:rPr>
            </w:pPr>
            <w:r>
              <w:rPr>
                <w:rFonts w:hint="eastAsia" w:ascii="仿宋_GB2312" w:hAnsi="宋体" w:eastAsia="仿宋_GB2312"/>
                <w:bCs/>
                <w:color w:val="auto"/>
                <w:sz w:val="24"/>
                <w:highlight w:val="none"/>
              </w:rPr>
              <w:t>单</w:t>
            </w:r>
          </w:p>
          <w:p>
            <w:pPr>
              <w:spacing w:line="460" w:lineRule="exact"/>
              <w:jc w:val="center"/>
              <w:rPr>
                <w:rFonts w:ascii="仿宋_GB2312" w:hAnsi="宋体" w:eastAsia="仿宋_GB2312"/>
                <w:bCs/>
                <w:color w:val="auto"/>
                <w:sz w:val="24"/>
                <w:highlight w:val="none"/>
              </w:rPr>
            </w:pPr>
            <w:r>
              <w:rPr>
                <w:rFonts w:hint="eastAsia" w:ascii="仿宋_GB2312" w:hAnsi="宋体" w:eastAsia="仿宋_GB2312"/>
                <w:bCs/>
                <w:color w:val="auto"/>
                <w:sz w:val="24"/>
                <w:highlight w:val="none"/>
              </w:rPr>
              <w:t>位</w:t>
            </w:r>
          </w:p>
          <w:p>
            <w:pPr>
              <w:spacing w:line="460" w:lineRule="exact"/>
              <w:jc w:val="center"/>
              <w:rPr>
                <w:rFonts w:ascii="仿宋_GB2312" w:hAnsi="宋体" w:eastAsia="仿宋_GB2312"/>
                <w:bCs/>
                <w:color w:val="auto"/>
                <w:sz w:val="24"/>
                <w:highlight w:val="none"/>
              </w:rPr>
            </w:pPr>
            <w:r>
              <w:rPr>
                <w:rFonts w:hint="eastAsia" w:ascii="仿宋_GB2312" w:hAnsi="宋体" w:eastAsia="仿宋_GB2312"/>
                <w:bCs/>
                <w:color w:val="auto"/>
                <w:sz w:val="24"/>
                <w:highlight w:val="none"/>
              </w:rPr>
              <w:t>概</w:t>
            </w:r>
          </w:p>
          <w:p>
            <w:pPr>
              <w:spacing w:line="460" w:lineRule="exact"/>
              <w:jc w:val="center"/>
              <w:rPr>
                <w:rFonts w:ascii="仿宋_GB2312" w:hAnsi="宋体" w:eastAsia="仿宋_GB2312"/>
                <w:bCs/>
                <w:color w:val="auto"/>
                <w:sz w:val="24"/>
                <w:highlight w:val="none"/>
              </w:rPr>
            </w:pPr>
            <w:r>
              <w:rPr>
                <w:rFonts w:hint="eastAsia" w:ascii="仿宋_GB2312" w:hAnsi="宋体" w:eastAsia="仿宋_GB2312"/>
                <w:bCs/>
                <w:color w:val="auto"/>
                <w:sz w:val="24"/>
                <w:highlight w:val="none"/>
              </w:rPr>
              <w:t>况</w:t>
            </w:r>
          </w:p>
        </w:tc>
        <w:tc>
          <w:tcPr>
            <w:tcW w:w="1401" w:type="dxa"/>
            <w:noWrap/>
            <w:vAlign w:val="center"/>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注册资本</w:t>
            </w:r>
          </w:p>
        </w:tc>
        <w:tc>
          <w:tcPr>
            <w:tcW w:w="1572" w:type="dxa"/>
            <w:noWrap/>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     万元</w:t>
            </w:r>
          </w:p>
        </w:tc>
        <w:tc>
          <w:tcPr>
            <w:tcW w:w="1851" w:type="dxa"/>
            <w:noWrap/>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占地面积</w:t>
            </w:r>
          </w:p>
        </w:tc>
        <w:tc>
          <w:tcPr>
            <w:tcW w:w="2961" w:type="dxa"/>
            <w:gridSpan w:val="2"/>
            <w:noWrap/>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754" w:type="dxa"/>
            <w:vMerge w:val="continue"/>
            <w:noWrap/>
          </w:tcPr>
          <w:p>
            <w:pPr>
              <w:spacing w:line="460" w:lineRule="exact"/>
              <w:rPr>
                <w:rFonts w:ascii="仿宋_GB2312" w:hAnsi="宋体" w:eastAsia="仿宋_GB2312"/>
                <w:bCs/>
                <w:color w:val="auto"/>
                <w:sz w:val="24"/>
                <w:highlight w:val="none"/>
              </w:rPr>
            </w:pPr>
          </w:p>
        </w:tc>
        <w:tc>
          <w:tcPr>
            <w:tcW w:w="1401" w:type="dxa"/>
            <w:noWrap/>
            <w:vAlign w:val="center"/>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职工总数</w:t>
            </w:r>
          </w:p>
        </w:tc>
        <w:tc>
          <w:tcPr>
            <w:tcW w:w="1572" w:type="dxa"/>
            <w:noWrap/>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       人</w:t>
            </w:r>
          </w:p>
        </w:tc>
        <w:tc>
          <w:tcPr>
            <w:tcW w:w="1851" w:type="dxa"/>
            <w:noWrap/>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建筑面积</w:t>
            </w:r>
          </w:p>
        </w:tc>
        <w:tc>
          <w:tcPr>
            <w:tcW w:w="2961" w:type="dxa"/>
            <w:gridSpan w:val="2"/>
            <w:noWrap/>
          </w:tcPr>
          <w:p>
            <w:pPr>
              <w:spacing w:line="460" w:lineRule="exact"/>
              <w:ind w:firstLine="1800" w:firstLineChars="750"/>
              <w:rPr>
                <w:rFonts w:ascii="仿宋_GB2312" w:hAnsi="宋体" w:eastAsia="仿宋_GB2312"/>
                <w:bCs/>
                <w:color w:val="auto"/>
                <w:sz w:val="24"/>
                <w:highlight w:val="none"/>
              </w:rPr>
            </w:pPr>
            <w:r>
              <w:rPr>
                <w:rFonts w:hint="eastAsia" w:ascii="仿宋_GB2312" w:hAnsi="宋体" w:eastAsia="仿宋_GB2312"/>
                <w:bCs/>
                <w:color w:val="auto"/>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754" w:type="dxa"/>
            <w:vMerge w:val="continue"/>
            <w:noWrap/>
          </w:tcPr>
          <w:p>
            <w:pPr>
              <w:spacing w:line="460" w:lineRule="exact"/>
              <w:rPr>
                <w:rFonts w:ascii="仿宋_GB2312" w:hAnsi="宋体" w:eastAsia="仿宋_GB2312"/>
                <w:bCs/>
                <w:color w:val="auto"/>
                <w:sz w:val="24"/>
                <w:highlight w:val="none"/>
              </w:rPr>
            </w:pPr>
          </w:p>
        </w:tc>
        <w:tc>
          <w:tcPr>
            <w:tcW w:w="1401" w:type="dxa"/>
            <w:vMerge w:val="restart"/>
            <w:noWrap/>
            <w:vAlign w:val="center"/>
          </w:tcPr>
          <w:p>
            <w:pPr>
              <w:spacing w:line="46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资产</w:t>
            </w:r>
          </w:p>
          <w:p>
            <w:pPr>
              <w:spacing w:line="46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情况</w:t>
            </w:r>
          </w:p>
        </w:tc>
        <w:tc>
          <w:tcPr>
            <w:tcW w:w="3423" w:type="dxa"/>
            <w:gridSpan w:val="2"/>
            <w:noWrap/>
            <w:vAlign w:val="center"/>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净资产：        万元</w:t>
            </w:r>
          </w:p>
        </w:tc>
        <w:tc>
          <w:tcPr>
            <w:tcW w:w="2961" w:type="dxa"/>
            <w:gridSpan w:val="2"/>
            <w:vMerge w:val="restart"/>
            <w:noWrap/>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固定资产原值 ：    万元</w:t>
            </w:r>
          </w:p>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trPr>
        <w:tc>
          <w:tcPr>
            <w:tcW w:w="1754" w:type="dxa"/>
            <w:vMerge w:val="continue"/>
            <w:noWrap/>
          </w:tcPr>
          <w:p>
            <w:pPr>
              <w:spacing w:line="460" w:lineRule="exact"/>
              <w:rPr>
                <w:rFonts w:ascii="仿宋_GB2312" w:hAnsi="宋体" w:eastAsia="仿宋_GB2312"/>
                <w:bCs/>
                <w:color w:val="auto"/>
                <w:sz w:val="24"/>
                <w:highlight w:val="none"/>
              </w:rPr>
            </w:pPr>
          </w:p>
        </w:tc>
        <w:tc>
          <w:tcPr>
            <w:tcW w:w="1401" w:type="dxa"/>
            <w:vMerge w:val="continue"/>
            <w:noWrap/>
          </w:tcPr>
          <w:p>
            <w:pPr>
              <w:spacing w:line="460" w:lineRule="exact"/>
              <w:rPr>
                <w:rFonts w:ascii="仿宋_GB2312" w:hAnsi="宋体" w:eastAsia="仿宋_GB2312"/>
                <w:bCs/>
                <w:color w:val="auto"/>
                <w:sz w:val="24"/>
                <w:highlight w:val="none"/>
              </w:rPr>
            </w:pPr>
          </w:p>
        </w:tc>
        <w:tc>
          <w:tcPr>
            <w:tcW w:w="3423" w:type="dxa"/>
            <w:gridSpan w:val="2"/>
            <w:noWrap/>
            <w:vAlign w:val="center"/>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负 债：         万元</w:t>
            </w:r>
          </w:p>
        </w:tc>
        <w:tc>
          <w:tcPr>
            <w:tcW w:w="2961" w:type="dxa"/>
            <w:gridSpan w:val="2"/>
            <w:vMerge w:val="continue"/>
            <w:noWrap/>
          </w:tcPr>
          <w:p>
            <w:pPr>
              <w:spacing w:line="460" w:lineRule="exact"/>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754" w:type="dxa"/>
            <w:vMerge w:val="restart"/>
            <w:noWrap/>
            <w:vAlign w:val="center"/>
          </w:tcPr>
          <w:p>
            <w:pPr>
              <w:spacing w:line="460" w:lineRule="exact"/>
              <w:ind w:firstLine="120" w:firstLineChars="50"/>
              <w:rPr>
                <w:rFonts w:ascii="仿宋_GB2312" w:hAnsi="宋体" w:eastAsia="仿宋_GB2312"/>
                <w:bCs/>
                <w:color w:val="auto"/>
                <w:sz w:val="24"/>
                <w:highlight w:val="none"/>
              </w:rPr>
            </w:pPr>
            <w:r>
              <w:rPr>
                <w:rFonts w:hint="eastAsia" w:ascii="仿宋_GB2312" w:hAnsi="宋体" w:eastAsia="仿宋_GB2312"/>
                <w:bCs/>
                <w:color w:val="auto"/>
                <w:sz w:val="24"/>
                <w:highlight w:val="none"/>
              </w:rPr>
              <w:t>财务状况</w:t>
            </w:r>
          </w:p>
          <w:p>
            <w:pPr>
              <w:spacing w:line="460" w:lineRule="exact"/>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（最近三年2018年至2020年）</w:t>
            </w:r>
          </w:p>
        </w:tc>
        <w:tc>
          <w:tcPr>
            <w:tcW w:w="1401" w:type="dxa"/>
            <w:noWrap/>
          </w:tcPr>
          <w:p>
            <w:pPr>
              <w:spacing w:line="460" w:lineRule="exact"/>
              <w:jc w:val="center"/>
              <w:rPr>
                <w:rFonts w:ascii="仿宋_GB2312" w:hAnsi="宋体" w:eastAsia="仿宋_GB2312"/>
                <w:bCs/>
                <w:color w:val="auto"/>
                <w:sz w:val="24"/>
                <w:highlight w:val="none"/>
              </w:rPr>
            </w:pPr>
            <w:r>
              <w:rPr>
                <w:rFonts w:hint="eastAsia" w:ascii="仿宋_GB2312" w:hAnsi="宋体" w:eastAsia="仿宋_GB2312"/>
                <w:bCs/>
                <w:color w:val="auto"/>
                <w:sz w:val="24"/>
                <w:highlight w:val="none"/>
              </w:rPr>
              <w:t>年份</w:t>
            </w:r>
          </w:p>
        </w:tc>
        <w:tc>
          <w:tcPr>
            <w:tcW w:w="1572" w:type="dxa"/>
            <w:noWrap/>
            <w:vAlign w:val="center"/>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主营收入</w:t>
            </w:r>
          </w:p>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（万元）</w:t>
            </w:r>
          </w:p>
        </w:tc>
        <w:tc>
          <w:tcPr>
            <w:tcW w:w="1851" w:type="dxa"/>
            <w:noWrap/>
            <w:vAlign w:val="center"/>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收入总额</w:t>
            </w:r>
          </w:p>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（万元）</w:t>
            </w:r>
          </w:p>
        </w:tc>
        <w:tc>
          <w:tcPr>
            <w:tcW w:w="1328" w:type="dxa"/>
            <w:noWrap/>
            <w:vAlign w:val="center"/>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利润总额</w:t>
            </w:r>
          </w:p>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（万元）</w:t>
            </w:r>
          </w:p>
        </w:tc>
        <w:tc>
          <w:tcPr>
            <w:tcW w:w="1633" w:type="dxa"/>
            <w:noWrap/>
            <w:vAlign w:val="center"/>
          </w:tcPr>
          <w:p>
            <w:pPr>
              <w:spacing w:line="46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净利润</w:t>
            </w:r>
          </w:p>
          <w:p>
            <w:pPr>
              <w:spacing w:line="46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754" w:type="dxa"/>
            <w:vMerge w:val="continue"/>
            <w:noWrap/>
            <w:vAlign w:val="center"/>
          </w:tcPr>
          <w:p>
            <w:pPr>
              <w:spacing w:line="460" w:lineRule="exact"/>
              <w:rPr>
                <w:rFonts w:ascii="仿宋_GB2312" w:hAnsi="宋体" w:eastAsia="仿宋_GB2312"/>
                <w:bCs/>
                <w:color w:val="auto"/>
                <w:sz w:val="24"/>
                <w:highlight w:val="none"/>
              </w:rPr>
            </w:pPr>
          </w:p>
        </w:tc>
        <w:tc>
          <w:tcPr>
            <w:tcW w:w="1401" w:type="dxa"/>
            <w:noWrap/>
            <w:vAlign w:val="center"/>
          </w:tcPr>
          <w:p>
            <w:pPr>
              <w:spacing w:line="460" w:lineRule="exact"/>
              <w:rPr>
                <w:rFonts w:ascii="仿宋_GB2312" w:hAnsi="宋体" w:eastAsia="仿宋_GB2312"/>
                <w:bCs/>
                <w:color w:val="auto"/>
                <w:sz w:val="24"/>
                <w:highlight w:val="none"/>
              </w:rPr>
            </w:pPr>
          </w:p>
        </w:tc>
        <w:tc>
          <w:tcPr>
            <w:tcW w:w="1572" w:type="dxa"/>
            <w:noWrap/>
            <w:vAlign w:val="center"/>
          </w:tcPr>
          <w:p>
            <w:pPr>
              <w:spacing w:line="460" w:lineRule="exact"/>
              <w:rPr>
                <w:rFonts w:ascii="仿宋_GB2312" w:hAnsi="宋体" w:eastAsia="仿宋_GB2312"/>
                <w:bCs/>
                <w:color w:val="auto"/>
                <w:sz w:val="24"/>
                <w:highlight w:val="none"/>
              </w:rPr>
            </w:pPr>
          </w:p>
        </w:tc>
        <w:tc>
          <w:tcPr>
            <w:tcW w:w="1851" w:type="dxa"/>
            <w:noWrap/>
            <w:vAlign w:val="center"/>
          </w:tcPr>
          <w:p>
            <w:pPr>
              <w:spacing w:line="460" w:lineRule="exact"/>
              <w:rPr>
                <w:rFonts w:ascii="仿宋_GB2312" w:hAnsi="宋体" w:eastAsia="仿宋_GB2312"/>
                <w:bCs/>
                <w:color w:val="auto"/>
                <w:sz w:val="24"/>
                <w:highlight w:val="none"/>
              </w:rPr>
            </w:pPr>
          </w:p>
        </w:tc>
        <w:tc>
          <w:tcPr>
            <w:tcW w:w="1328" w:type="dxa"/>
            <w:noWrap/>
            <w:vAlign w:val="center"/>
          </w:tcPr>
          <w:p>
            <w:pPr>
              <w:spacing w:line="460" w:lineRule="exact"/>
              <w:rPr>
                <w:rFonts w:ascii="仿宋_GB2312" w:hAnsi="宋体" w:eastAsia="仿宋_GB2312"/>
                <w:bCs/>
                <w:color w:val="auto"/>
                <w:sz w:val="24"/>
                <w:highlight w:val="none"/>
              </w:rPr>
            </w:pPr>
          </w:p>
        </w:tc>
        <w:tc>
          <w:tcPr>
            <w:tcW w:w="1633" w:type="dxa"/>
            <w:noWrap/>
            <w:vAlign w:val="center"/>
          </w:tcPr>
          <w:p>
            <w:pPr>
              <w:spacing w:line="460" w:lineRule="exact"/>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754" w:type="dxa"/>
            <w:vMerge w:val="continue"/>
            <w:noWrap/>
          </w:tcPr>
          <w:p>
            <w:pPr>
              <w:spacing w:line="460" w:lineRule="exact"/>
              <w:rPr>
                <w:rFonts w:ascii="仿宋_GB2312" w:hAnsi="宋体" w:eastAsia="仿宋_GB2312"/>
                <w:bCs/>
                <w:color w:val="auto"/>
                <w:sz w:val="24"/>
                <w:highlight w:val="none"/>
              </w:rPr>
            </w:pPr>
          </w:p>
        </w:tc>
        <w:tc>
          <w:tcPr>
            <w:tcW w:w="1401" w:type="dxa"/>
            <w:noWrap/>
            <w:vAlign w:val="center"/>
          </w:tcPr>
          <w:p>
            <w:pPr>
              <w:spacing w:line="460" w:lineRule="exact"/>
              <w:rPr>
                <w:rFonts w:ascii="仿宋_GB2312" w:hAnsi="宋体" w:eastAsia="仿宋_GB2312"/>
                <w:bCs/>
                <w:color w:val="auto"/>
                <w:sz w:val="24"/>
                <w:highlight w:val="none"/>
              </w:rPr>
            </w:pPr>
          </w:p>
        </w:tc>
        <w:tc>
          <w:tcPr>
            <w:tcW w:w="1572" w:type="dxa"/>
            <w:noWrap/>
          </w:tcPr>
          <w:p>
            <w:pPr>
              <w:spacing w:line="460" w:lineRule="exact"/>
              <w:rPr>
                <w:rFonts w:ascii="仿宋_GB2312" w:hAnsi="宋体" w:eastAsia="仿宋_GB2312"/>
                <w:bCs/>
                <w:color w:val="auto"/>
                <w:sz w:val="24"/>
                <w:highlight w:val="none"/>
              </w:rPr>
            </w:pPr>
          </w:p>
        </w:tc>
        <w:tc>
          <w:tcPr>
            <w:tcW w:w="1851" w:type="dxa"/>
            <w:noWrap/>
          </w:tcPr>
          <w:p>
            <w:pPr>
              <w:spacing w:line="460" w:lineRule="exact"/>
              <w:rPr>
                <w:rFonts w:ascii="仿宋_GB2312" w:hAnsi="宋体" w:eastAsia="仿宋_GB2312"/>
                <w:bCs/>
                <w:color w:val="auto"/>
                <w:sz w:val="24"/>
                <w:highlight w:val="none"/>
              </w:rPr>
            </w:pPr>
          </w:p>
        </w:tc>
        <w:tc>
          <w:tcPr>
            <w:tcW w:w="1328" w:type="dxa"/>
            <w:noWrap/>
          </w:tcPr>
          <w:p>
            <w:pPr>
              <w:spacing w:line="460" w:lineRule="exact"/>
              <w:rPr>
                <w:rFonts w:ascii="仿宋_GB2312" w:hAnsi="宋体" w:eastAsia="仿宋_GB2312"/>
                <w:bCs/>
                <w:color w:val="auto"/>
                <w:sz w:val="24"/>
                <w:highlight w:val="none"/>
              </w:rPr>
            </w:pPr>
          </w:p>
        </w:tc>
        <w:tc>
          <w:tcPr>
            <w:tcW w:w="1633" w:type="dxa"/>
            <w:noWrap/>
          </w:tcPr>
          <w:p>
            <w:pPr>
              <w:spacing w:line="460" w:lineRule="exact"/>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754" w:type="dxa"/>
            <w:vMerge w:val="continue"/>
            <w:noWrap/>
          </w:tcPr>
          <w:p>
            <w:pPr>
              <w:spacing w:line="460" w:lineRule="exact"/>
              <w:rPr>
                <w:rFonts w:ascii="仿宋_GB2312" w:hAnsi="宋体" w:eastAsia="仿宋_GB2312"/>
                <w:bCs/>
                <w:color w:val="auto"/>
                <w:sz w:val="24"/>
                <w:highlight w:val="none"/>
              </w:rPr>
            </w:pPr>
          </w:p>
        </w:tc>
        <w:tc>
          <w:tcPr>
            <w:tcW w:w="1401" w:type="dxa"/>
            <w:noWrap/>
            <w:vAlign w:val="center"/>
          </w:tcPr>
          <w:p>
            <w:pPr>
              <w:spacing w:line="460" w:lineRule="exact"/>
              <w:rPr>
                <w:rFonts w:ascii="仿宋_GB2312" w:hAnsi="宋体" w:eastAsia="仿宋_GB2312"/>
                <w:bCs/>
                <w:color w:val="auto"/>
                <w:sz w:val="24"/>
                <w:highlight w:val="none"/>
              </w:rPr>
            </w:pPr>
          </w:p>
        </w:tc>
        <w:tc>
          <w:tcPr>
            <w:tcW w:w="1572" w:type="dxa"/>
            <w:noWrap/>
          </w:tcPr>
          <w:p>
            <w:pPr>
              <w:spacing w:line="460" w:lineRule="exact"/>
              <w:rPr>
                <w:rFonts w:ascii="仿宋_GB2312" w:hAnsi="宋体" w:eastAsia="仿宋_GB2312"/>
                <w:bCs/>
                <w:color w:val="auto"/>
                <w:sz w:val="24"/>
                <w:highlight w:val="none"/>
              </w:rPr>
            </w:pPr>
          </w:p>
        </w:tc>
        <w:tc>
          <w:tcPr>
            <w:tcW w:w="1851" w:type="dxa"/>
            <w:noWrap/>
          </w:tcPr>
          <w:p>
            <w:pPr>
              <w:spacing w:line="460" w:lineRule="exact"/>
              <w:rPr>
                <w:rFonts w:ascii="仿宋_GB2312" w:hAnsi="宋体" w:eastAsia="仿宋_GB2312"/>
                <w:bCs/>
                <w:color w:val="auto"/>
                <w:sz w:val="24"/>
                <w:highlight w:val="none"/>
              </w:rPr>
            </w:pPr>
          </w:p>
        </w:tc>
        <w:tc>
          <w:tcPr>
            <w:tcW w:w="1328" w:type="dxa"/>
            <w:noWrap/>
          </w:tcPr>
          <w:p>
            <w:pPr>
              <w:spacing w:line="460" w:lineRule="exact"/>
              <w:rPr>
                <w:rFonts w:ascii="仿宋_GB2312" w:hAnsi="宋体" w:eastAsia="仿宋_GB2312"/>
                <w:bCs/>
                <w:color w:val="auto"/>
                <w:sz w:val="24"/>
                <w:highlight w:val="none"/>
              </w:rPr>
            </w:pPr>
          </w:p>
        </w:tc>
        <w:tc>
          <w:tcPr>
            <w:tcW w:w="1633" w:type="dxa"/>
            <w:noWrap/>
          </w:tcPr>
          <w:p>
            <w:pPr>
              <w:spacing w:line="460" w:lineRule="exact"/>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754" w:type="dxa"/>
            <w:noWrap/>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经营范围</w:t>
            </w:r>
          </w:p>
        </w:tc>
        <w:tc>
          <w:tcPr>
            <w:tcW w:w="7785" w:type="dxa"/>
            <w:gridSpan w:val="5"/>
            <w:noWrap/>
            <w:vAlign w:val="center"/>
          </w:tcPr>
          <w:p>
            <w:pPr>
              <w:spacing w:line="460" w:lineRule="exact"/>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754" w:type="dxa"/>
            <w:noWrap/>
          </w:tcPr>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备注 </w:t>
            </w:r>
          </w:p>
        </w:tc>
        <w:tc>
          <w:tcPr>
            <w:tcW w:w="7785" w:type="dxa"/>
            <w:gridSpan w:val="5"/>
            <w:noWrap/>
            <w:vAlign w:val="center"/>
          </w:tcPr>
          <w:p>
            <w:pPr>
              <w:spacing w:line="460" w:lineRule="exact"/>
              <w:rPr>
                <w:rFonts w:ascii="仿宋_GB2312" w:hAnsi="宋体" w:eastAsia="仿宋_GB2312"/>
                <w:bCs/>
                <w:color w:val="auto"/>
                <w:sz w:val="24"/>
                <w:highlight w:val="none"/>
              </w:rPr>
            </w:pPr>
          </w:p>
        </w:tc>
      </w:tr>
    </w:tbl>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我们保证上述声明中的资料和数据是真实的、正确的，我们同意如贵方要求，可以出示相关证明文件。</w:t>
      </w:r>
    </w:p>
    <w:p>
      <w:pPr>
        <w:spacing w:line="460" w:lineRule="exact"/>
        <w:rPr>
          <w:rFonts w:ascii="仿宋_GB2312" w:hAnsi="宋体" w:eastAsia="仿宋_GB2312"/>
          <w:bCs/>
          <w:color w:val="auto"/>
          <w:sz w:val="24"/>
          <w:highlight w:val="none"/>
          <w:u w:val="single"/>
        </w:rPr>
      </w:pPr>
      <w:r>
        <w:rPr>
          <w:rFonts w:hint="eastAsia" w:ascii="仿宋_GB2312" w:hAnsi="宋体" w:eastAsia="仿宋_GB2312"/>
          <w:bCs/>
          <w:color w:val="auto"/>
          <w:sz w:val="24"/>
          <w:highlight w:val="none"/>
        </w:rPr>
        <w:t>供应商（单位公章）：</w:t>
      </w:r>
    </w:p>
    <w:p>
      <w:pPr>
        <w:spacing w:line="460" w:lineRule="exact"/>
        <w:rPr>
          <w:rFonts w:ascii="仿宋_GB2312" w:hAnsi="宋体" w:eastAsia="仿宋_GB2312"/>
          <w:bCs/>
          <w:color w:val="auto"/>
          <w:sz w:val="24"/>
          <w:highlight w:val="none"/>
          <w:u w:val="single"/>
        </w:rPr>
      </w:pPr>
      <w:r>
        <w:rPr>
          <w:rFonts w:hint="eastAsia" w:ascii="仿宋_GB2312" w:hAnsi="宋体" w:eastAsia="仿宋_GB2312"/>
          <w:bCs/>
          <w:color w:val="auto"/>
          <w:sz w:val="24"/>
          <w:highlight w:val="none"/>
        </w:rPr>
        <w:t>授权代表签字或盖章：</w:t>
      </w:r>
    </w:p>
    <w:p>
      <w:pPr>
        <w:spacing w:line="460" w:lineRule="exact"/>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电话号和传真号：    </w:t>
      </w:r>
      <w:r>
        <w:rPr>
          <w:rFonts w:hint="eastAsia" w:ascii="仿宋_GB2312" w:hAnsi="宋体" w:eastAsia="仿宋_GB2312"/>
          <w:bCs/>
          <w:color w:val="auto"/>
          <w:sz w:val="22"/>
          <w:szCs w:val="22"/>
          <w:highlight w:val="none"/>
        </w:rPr>
        <w:t xml:space="preserve">                                        </w:t>
      </w:r>
      <w:r>
        <w:rPr>
          <w:rFonts w:hint="eastAsia" w:ascii="仿宋_GB2312" w:hAnsi="宋体" w:eastAsia="仿宋_GB2312"/>
          <w:bCs/>
          <w:color w:val="auto"/>
          <w:sz w:val="24"/>
          <w:highlight w:val="none"/>
        </w:rPr>
        <w:t xml:space="preserve"> 日期</w:t>
      </w:r>
      <w:r>
        <w:rPr>
          <w:rFonts w:hint="eastAsia" w:ascii="仿宋_GB2312" w:hAnsi="宋体" w:eastAsia="仿宋_GB2312"/>
          <w:bCs/>
          <w:color w:val="auto"/>
          <w:sz w:val="24"/>
          <w:highlight w:val="none"/>
          <w:u w:val="single"/>
        </w:rPr>
        <w:t xml:space="preserve">：    </w:t>
      </w:r>
      <w:r>
        <w:rPr>
          <w:rFonts w:hint="eastAsia" w:ascii="仿宋_GB2312" w:hAnsi="宋体" w:eastAsia="仿宋_GB2312"/>
          <w:bCs/>
          <w:color w:val="auto"/>
          <w:sz w:val="24"/>
          <w:highlight w:val="none"/>
        </w:rPr>
        <w:t>年</w:t>
      </w:r>
      <w:r>
        <w:rPr>
          <w:rFonts w:hint="eastAsia" w:ascii="仿宋_GB2312" w:hAnsi="宋体" w:eastAsia="仿宋_GB2312"/>
          <w:bCs/>
          <w:color w:val="auto"/>
          <w:sz w:val="24"/>
          <w:highlight w:val="none"/>
          <w:u w:val="single"/>
        </w:rPr>
        <w:t xml:space="preserve">  </w:t>
      </w:r>
      <w:r>
        <w:rPr>
          <w:rFonts w:hint="eastAsia" w:ascii="仿宋_GB2312" w:hAnsi="宋体" w:eastAsia="仿宋_GB2312"/>
          <w:bCs/>
          <w:color w:val="auto"/>
          <w:sz w:val="24"/>
          <w:highlight w:val="none"/>
        </w:rPr>
        <w:t>月</w:t>
      </w:r>
      <w:r>
        <w:rPr>
          <w:rFonts w:hint="eastAsia" w:ascii="仿宋_GB2312" w:hAnsi="宋体" w:eastAsia="仿宋_GB2312"/>
          <w:bCs/>
          <w:color w:val="auto"/>
          <w:sz w:val="24"/>
          <w:highlight w:val="none"/>
          <w:u w:val="single"/>
        </w:rPr>
        <w:t xml:space="preserve">  </w:t>
      </w:r>
      <w:r>
        <w:rPr>
          <w:rFonts w:hint="eastAsia" w:ascii="仿宋_GB2312" w:hAnsi="宋体" w:eastAsia="仿宋_GB2312"/>
          <w:bCs/>
          <w:color w:val="auto"/>
          <w:sz w:val="24"/>
          <w:highlight w:val="none"/>
        </w:rPr>
        <w:t>日</w:t>
      </w:r>
    </w:p>
    <w:p>
      <w:pPr>
        <w:pStyle w:val="7"/>
        <w:ind w:firstLine="0"/>
        <w:jc w:val="center"/>
        <w:rPr>
          <w:rFonts w:ascii="仿宋_GB2312" w:hAnsi="Times New Roman" w:eastAsia="仿宋_GB2312"/>
          <w:b/>
          <w:bCs/>
          <w:color w:val="auto"/>
          <w:kern w:val="0"/>
          <w:sz w:val="24"/>
          <w:szCs w:val="24"/>
          <w:highlight w:val="none"/>
        </w:rPr>
      </w:pPr>
      <w:r>
        <w:rPr>
          <w:rFonts w:hint="eastAsia" w:ascii="仿宋_GB2312" w:hAnsi="Times New Roman" w:eastAsia="仿宋_GB2312"/>
          <w:b/>
          <w:bCs/>
          <w:color w:val="auto"/>
          <w:kern w:val="0"/>
          <w:sz w:val="24"/>
          <w:szCs w:val="24"/>
          <w:highlight w:val="none"/>
        </w:rPr>
        <w:t xml:space="preserve">格式7    </w:t>
      </w:r>
      <w:r>
        <w:rPr>
          <w:rFonts w:hint="eastAsia" w:ascii="仿宋_GB2312" w:eastAsia="仿宋_GB2312"/>
          <w:b/>
          <w:color w:val="auto"/>
          <w:sz w:val="24"/>
          <w:highlight w:val="none"/>
        </w:rPr>
        <w:t>项目主要管理人员表</w:t>
      </w:r>
    </w:p>
    <w:p>
      <w:pPr>
        <w:snapToGrid w:val="0"/>
        <w:spacing w:line="453" w:lineRule="atLeast"/>
        <w:rPr>
          <w:rFonts w:ascii="仿宋_GB2312" w:hAnsi="宋体" w:eastAsia="仿宋_GB2312"/>
          <w:bCs/>
          <w:color w:val="auto"/>
          <w:szCs w:val="21"/>
          <w:highlight w:val="none"/>
        </w:rPr>
      </w:pPr>
    </w:p>
    <w:tbl>
      <w:tblPr>
        <w:tblStyle w:val="24"/>
        <w:tblpPr w:leftFromText="180" w:rightFromText="180" w:vertAnchor="text" w:horzAnchor="margin" w:tblpXSpec="center" w:tblpY="146"/>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r>
              <w:rPr>
                <w:rFonts w:hint="eastAsia" w:ascii="仿宋_GB2312" w:eastAsia="仿宋_GB2312"/>
                <w:color w:val="auto"/>
                <w:sz w:val="24"/>
                <w:highlight w:val="none"/>
              </w:rPr>
              <w:t>类别</w:t>
            </w: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r>
              <w:rPr>
                <w:rFonts w:hint="eastAsia" w:ascii="仿宋_GB2312" w:eastAsia="仿宋_GB2312"/>
                <w:color w:val="auto"/>
                <w:sz w:val="24"/>
                <w:highlight w:val="none"/>
              </w:rPr>
              <w:t>姓名</w:t>
            </w: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r>
              <w:rPr>
                <w:rFonts w:hint="eastAsia" w:ascii="仿宋_GB2312" w:eastAsia="仿宋_GB2312"/>
                <w:color w:val="auto"/>
                <w:sz w:val="24"/>
                <w:highlight w:val="none"/>
              </w:rPr>
              <w:t>职务</w:t>
            </w: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仿宋_GB2312" w:eastAsia="仿宋_GB2312"/>
                <w:color w:val="auto"/>
                <w:sz w:val="24"/>
                <w:highlight w:val="none"/>
              </w:rPr>
            </w:pPr>
            <w:r>
              <w:rPr>
                <w:rFonts w:hint="eastAsia" w:ascii="仿宋_GB2312" w:eastAsia="仿宋_GB2312"/>
                <w:color w:val="auto"/>
                <w:sz w:val="24"/>
                <w:highlight w:val="none"/>
              </w:rPr>
              <w:t>职称</w:t>
            </w: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r>
              <w:rPr>
                <w:rFonts w:hint="eastAsia" w:ascii="仿宋_GB2312" w:eastAsia="仿宋_GB2312"/>
                <w:color w:val="auto"/>
                <w:sz w:val="24"/>
                <w:highlight w:val="none"/>
              </w:rPr>
              <w:t>证书</w:t>
            </w: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r>
              <w:rPr>
                <w:rFonts w:hint="eastAsia" w:ascii="仿宋_GB2312" w:eastAsia="仿宋_GB2312"/>
                <w:color w:val="auto"/>
                <w:sz w:val="24"/>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仿宋_GB2312" w:eastAsia="仿宋_GB2312"/>
                <w:color w:val="auto"/>
                <w:sz w:val="24"/>
                <w:highlight w:val="none"/>
              </w:rPr>
            </w:pPr>
            <w:r>
              <w:rPr>
                <w:rFonts w:hint="eastAsia" w:ascii="仿宋_GB2312" w:eastAsia="仿宋_GB2312"/>
                <w:color w:val="auto"/>
                <w:sz w:val="24"/>
                <w:highlight w:val="none"/>
              </w:rPr>
              <w:t>一、管理人员</w:t>
            </w: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仿宋_GB2312" w:eastAsia="仿宋_GB2312"/>
                <w:color w:val="auto"/>
                <w:sz w:val="24"/>
                <w:highlight w:val="none"/>
              </w:rPr>
            </w:pPr>
            <w:r>
              <w:rPr>
                <w:rFonts w:hint="eastAsia" w:ascii="仿宋_GB2312" w:eastAsia="仿宋_GB2312"/>
                <w:color w:val="auto"/>
                <w:sz w:val="24"/>
                <w:highlight w:val="none"/>
              </w:rPr>
              <w:t>1、项目负责人</w:t>
            </w: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仿宋_GB2312" w:eastAsia="仿宋_GB2312"/>
                <w:color w:val="auto"/>
                <w:sz w:val="24"/>
                <w:highlight w:val="none"/>
              </w:rPr>
            </w:pPr>
            <w:r>
              <w:rPr>
                <w:rFonts w:hint="eastAsia" w:ascii="仿宋_GB2312" w:eastAsia="仿宋_GB2312"/>
                <w:color w:val="auto"/>
                <w:sz w:val="24"/>
                <w:highlight w:val="none"/>
              </w:rPr>
              <w:t>2、项目技术负责人</w:t>
            </w: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仿宋_GB2312" w:eastAsia="仿宋_GB2312"/>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仿宋_GB2312" w:eastAsia="仿宋_GB2312"/>
                <w:color w:val="auto"/>
                <w:sz w:val="24"/>
                <w:highlight w:val="none"/>
              </w:rPr>
            </w:pPr>
            <w:r>
              <w:rPr>
                <w:rFonts w:hint="eastAsia" w:ascii="仿宋_GB2312" w:eastAsia="仿宋_GB2312"/>
                <w:color w:val="auto"/>
                <w:sz w:val="24"/>
                <w:highlight w:val="none"/>
              </w:rPr>
              <w:t>二、服务人员</w:t>
            </w: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仿宋_GB2312" w:eastAsia="仿宋_GB2312"/>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仿宋_GB2312" w:eastAsia="仿宋_GB2312"/>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仿宋_GB2312" w:eastAsia="仿宋_GB2312"/>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仿宋_GB2312" w:eastAsia="仿宋_GB2312"/>
                <w:color w:val="auto"/>
                <w:sz w:val="24"/>
                <w:highlight w:val="none"/>
              </w:rPr>
            </w:pPr>
            <w:r>
              <w:rPr>
                <w:rFonts w:hint="eastAsia" w:ascii="仿宋_GB2312" w:eastAsia="仿宋_GB2312"/>
                <w:color w:val="auto"/>
                <w:sz w:val="24"/>
                <w:highlight w:val="none"/>
              </w:rPr>
              <w:t>三、其他人员</w:t>
            </w: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仿宋_GB2312" w:eastAsia="仿宋_GB2312"/>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仿宋_GB2312" w:eastAsia="仿宋_GB2312"/>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spacing w:line="240" w:lineRule="atLeast"/>
              <w:rPr>
                <w:rFonts w:ascii="仿宋_GB2312" w:eastAsia="仿宋_GB2312"/>
                <w:color w:val="auto"/>
                <w:sz w:val="24"/>
                <w:highlight w:val="none"/>
              </w:rPr>
            </w:pPr>
            <w:r>
              <w:rPr>
                <w:rFonts w:hint="eastAsia" w:ascii="仿宋_GB2312" w:eastAsia="仿宋_GB2312"/>
                <w:b/>
                <w:color w:val="auto"/>
                <w:sz w:val="24"/>
                <w:highlight w:val="none"/>
              </w:rPr>
              <w:t>注：需完整反映本项目要求的所有拟派人员信息，并提供相关上岗职业证明及其他相应证书，所提供的资料均附于本表后如合同及社保证明，作为本表的附件。</w:t>
            </w:r>
          </w:p>
        </w:tc>
      </w:tr>
    </w:tbl>
    <w:p>
      <w:pPr>
        <w:snapToGrid w:val="0"/>
        <w:spacing w:line="453" w:lineRule="atLeast"/>
        <w:rPr>
          <w:rFonts w:ascii="仿宋_GB2312" w:hAnsi="宋体" w:eastAsia="仿宋_GB2312"/>
          <w:bCs/>
          <w:color w:val="auto"/>
          <w:sz w:val="24"/>
          <w:highlight w:val="none"/>
        </w:rPr>
      </w:pPr>
      <w:r>
        <w:rPr>
          <w:rFonts w:hint="eastAsia" w:ascii="仿宋_GB2312" w:hAnsi="宋体" w:eastAsia="仿宋_GB2312"/>
          <w:bCs/>
          <w:color w:val="auto"/>
          <w:sz w:val="24"/>
          <w:highlight w:val="none"/>
        </w:rPr>
        <w:t>供应商（盖章）：</w:t>
      </w:r>
    </w:p>
    <w:p>
      <w:pPr>
        <w:snapToGrid w:val="0"/>
        <w:spacing w:line="453" w:lineRule="atLeast"/>
        <w:ind w:firstLine="480" w:firstLineChars="200"/>
        <w:rPr>
          <w:rFonts w:ascii="仿宋_GB2312" w:hAnsi="宋体" w:eastAsia="仿宋_GB2312"/>
          <w:bCs/>
          <w:color w:val="auto"/>
          <w:sz w:val="24"/>
          <w:highlight w:val="none"/>
        </w:rPr>
      </w:pPr>
    </w:p>
    <w:p>
      <w:pPr>
        <w:snapToGrid w:val="0"/>
        <w:spacing w:line="453" w:lineRule="atLeast"/>
        <w:rPr>
          <w:rFonts w:ascii="仿宋_GB2312" w:hAnsi="宋体" w:eastAsia="仿宋_GB2312"/>
          <w:bCs/>
          <w:color w:val="auto"/>
          <w:sz w:val="24"/>
          <w:highlight w:val="none"/>
        </w:rPr>
      </w:pPr>
      <w:r>
        <w:rPr>
          <w:rFonts w:hint="eastAsia" w:ascii="仿宋_GB2312" w:hAnsi="宋体" w:eastAsia="仿宋_GB2312"/>
          <w:bCs/>
          <w:color w:val="auto"/>
          <w:sz w:val="24"/>
          <w:highlight w:val="none"/>
        </w:rPr>
        <w:t>法人代表人或委托代理人签字或盖章：</w:t>
      </w:r>
    </w:p>
    <w:p>
      <w:pPr>
        <w:snapToGrid w:val="0"/>
        <w:spacing w:line="453" w:lineRule="atLeast"/>
        <w:jc w:val="center"/>
        <w:rPr>
          <w:rFonts w:ascii="仿宋_GB2312" w:hAnsi="宋体" w:eastAsia="仿宋_GB2312"/>
          <w:bCs/>
          <w:color w:val="auto"/>
          <w:sz w:val="24"/>
          <w:highlight w:val="none"/>
        </w:rPr>
      </w:pPr>
    </w:p>
    <w:p>
      <w:pPr>
        <w:jc w:val="right"/>
        <w:outlineLvl w:val="0"/>
        <w:rPr>
          <w:rFonts w:ascii="仿宋_GB2312" w:eastAsia="仿宋_GB2312"/>
          <w:color w:val="auto"/>
          <w:sz w:val="24"/>
          <w:highlight w:val="none"/>
        </w:rPr>
      </w:pPr>
      <w:r>
        <w:rPr>
          <w:rFonts w:hint="eastAsia" w:ascii="仿宋_GB2312" w:hAnsi="宋体" w:eastAsia="仿宋_GB2312"/>
          <w:bCs/>
          <w:color w:val="auto"/>
          <w:sz w:val="24"/>
          <w:highlight w:val="none"/>
        </w:rPr>
        <w:t>年  月</w:t>
      </w:r>
      <w:r>
        <w:rPr>
          <w:rFonts w:hint="eastAsia" w:ascii="仿宋_GB2312" w:eastAsia="仿宋_GB2312"/>
          <w:color w:val="auto"/>
          <w:sz w:val="24"/>
          <w:highlight w:val="none"/>
        </w:rPr>
        <w:t xml:space="preserve">  日  </w:t>
      </w:r>
    </w:p>
    <w:p>
      <w:pPr>
        <w:jc w:val="right"/>
        <w:outlineLvl w:val="0"/>
        <w:rPr>
          <w:rFonts w:ascii="仿宋_GB2312" w:eastAsia="仿宋_GB2312"/>
          <w:color w:val="auto"/>
          <w:sz w:val="24"/>
          <w:highlight w:val="none"/>
        </w:rPr>
      </w:pPr>
    </w:p>
    <w:p>
      <w:pPr>
        <w:spacing w:line="572" w:lineRule="atLeast"/>
        <w:jc w:val="center"/>
        <w:rPr>
          <w:rFonts w:ascii="仿宋_GB2312" w:eastAsia="仿宋_GB2312"/>
          <w:b/>
          <w:color w:val="auto"/>
          <w:sz w:val="24"/>
          <w:highlight w:val="none"/>
        </w:rPr>
      </w:pPr>
      <w:r>
        <w:rPr>
          <w:rFonts w:hint="eastAsia" w:ascii="仿宋_GB2312" w:eastAsia="仿宋_GB2312"/>
          <w:b/>
          <w:color w:val="auto"/>
          <w:sz w:val="24"/>
          <w:highlight w:val="none"/>
        </w:rPr>
        <w:t>格式8  自2018年1月1日至今同类项目业绩表</w:t>
      </w:r>
    </w:p>
    <w:p>
      <w:pPr>
        <w:spacing w:line="572" w:lineRule="atLeast"/>
        <w:jc w:val="center"/>
        <w:rPr>
          <w:rFonts w:ascii="仿宋_GB2312" w:eastAsia="仿宋_GB2312"/>
          <w:b/>
          <w:color w:val="auto"/>
          <w:sz w:val="24"/>
          <w:highlight w:val="none"/>
        </w:rPr>
      </w:pPr>
    </w:p>
    <w:tbl>
      <w:tblPr>
        <w:tblStyle w:val="24"/>
        <w:tblW w:w="98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442"/>
        <w:gridCol w:w="116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noWrap/>
            <w:vAlign w:val="center"/>
          </w:tcPr>
          <w:p>
            <w:pPr>
              <w:spacing w:line="400" w:lineRule="exact"/>
              <w:ind w:firstLine="120" w:firstLineChars="50"/>
              <w:rPr>
                <w:rFonts w:ascii="仿宋_GB2312" w:hAnsi="宋体" w:eastAsia="仿宋_GB2312" w:cs="Arial"/>
                <w:b/>
                <w:color w:val="auto"/>
                <w:sz w:val="24"/>
                <w:highlight w:val="none"/>
              </w:rPr>
            </w:pPr>
            <w:r>
              <w:rPr>
                <w:rFonts w:hint="eastAsia" w:ascii="仿宋_GB2312" w:hAnsi="宋体" w:eastAsia="仿宋_GB2312" w:cs="Arial"/>
                <w:b/>
                <w:color w:val="auto"/>
                <w:sz w:val="24"/>
                <w:highlight w:val="none"/>
              </w:rPr>
              <w:t>年份</w:t>
            </w:r>
          </w:p>
        </w:tc>
        <w:tc>
          <w:tcPr>
            <w:tcW w:w="1440" w:type="dxa"/>
            <w:noWrap/>
            <w:vAlign w:val="center"/>
          </w:tcPr>
          <w:p>
            <w:pPr>
              <w:spacing w:line="400" w:lineRule="exact"/>
              <w:jc w:val="center"/>
              <w:rPr>
                <w:rFonts w:ascii="仿宋_GB2312" w:hAnsi="宋体" w:eastAsia="仿宋_GB2312" w:cs="Arial"/>
                <w:b/>
                <w:color w:val="auto"/>
                <w:sz w:val="24"/>
                <w:highlight w:val="none"/>
              </w:rPr>
            </w:pPr>
            <w:r>
              <w:rPr>
                <w:rFonts w:hint="eastAsia" w:ascii="仿宋_GB2312" w:hAnsi="宋体" w:eastAsia="仿宋_GB2312" w:cs="Arial"/>
                <w:b/>
                <w:color w:val="auto"/>
                <w:sz w:val="24"/>
                <w:highlight w:val="none"/>
              </w:rPr>
              <w:t>项目名称</w:t>
            </w:r>
          </w:p>
        </w:tc>
        <w:tc>
          <w:tcPr>
            <w:tcW w:w="1320" w:type="dxa"/>
            <w:noWrap/>
            <w:vAlign w:val="center"/>
          </w:tcPr>
          <w:p>
            <w:pPr>
              <w:spacing w:line="400" w:lineRule="exact"/>
              <w:jc w:val="center"/>
              <w:rPr>
                <w:rFonts w:ascii="仿宋_GB2312" w:hAnsi="宋体" w:eastAsia="仿宋_GB2312" w:cs="Arial"/>
                <w:b/>
                <w:color w:val="auto"/>
                <w:sz w:val="24"/>
                <w:highlight w:val="none"/>
              </w:rPr>
            </w:pPr>
            <w:r>
              <w:rPr>
                <w:rFonts w:hint="eastAsia" w:ascii="仿宋_GB2312" w:hAnsi="宋体" w:eastAsia="仿宋_GB2312" w:cs="Arial"/>
                <w:b/>
                <w:color w:val="auto"/>
                <w:sz w:val="24"/>
                <w:highlight w:val="none"/>
              </w:rPr>
              <w:t>用户名称</w:t>
            </w:r>
          </w:p>
        </w:tc>
        <w:tc>
          <w:tcPr>
            <w:tcW w:w="1161" w:type="dxa"/>
            <w:noWrap/>
            <w:vAlign w:val="center"/>
          </w:tcPr>
          <w:p>
            <w:pPr>
              <w:spacing w:line="400" w:lineRule="exact"/>
              <w:jc w:val="center"/>
              <w:rPr>
                <w:rFonts w:ascii="仿宋_GB2312" w:hAnsi="宋体" w:eastAsia="仿宋_GB2312" w:cs="Arial"/>
                <w:b/>
                <w:color w:val="auto"/>
                <w:sz w:val="24"/>
                <w:highlight w:val="none"/>
              </w:rPr>
            </w:pPr>
            <w:r>
              <w:rPr>
                <w:rFonts w:hint="eastAsia" w:ascii="仿宋_GB2312" w:hAnsi="宋体" w:eastAsia="仿宋_GB2312" w:cs="Arial"/>
                <w:b/>
                <w:color w:val="auto"/>
                <w:sz w:val="24"/>
                <w:highlight w:val="none"/>
              </w:rPr>
              <w:t>完成时间</w:t>
            </w:r>
          </w:p>
        </w:tc>
        <w:tc>
          <w:tcPr>
            <w:tcW w:w="1260" w:type="dxa"/>
            <w:noWrap/>
            <w:vAlign w:val="center"/>
          </w:tcPr>
          <w:p>
            <w:pPr>
              <w:spacing w:line="400" w:lineRule="exact"/>
              <w:ind w:firstLine="120" w:firstLineChars="50"/>
              <w:rPr>
                <w:rFonts w:ascii="仿宋_GB2312" w:hAnsi="宋体" w:eastAsia="仿宋_GB2312" w:cs="Arial"/>
                <w:b/>
                <w:color w:val="auto"/>
                <w:sz w:val="24"/>
                <w:highlight w:val="none"/>
              </w:rPr>
            </w:pPr>
            <w:r>
              <w:rPr>
                <w:rFonts w:hint="eastAsia" w:ascii="仿宋_GB2312" w:hAnsi="宋体" w:eastAsia="仿宋_GB2312" w:cs="Arial"/>
                <w:b/>
                <w:color w:val="auto"/>
                <w:sz w:val="24"/>
                <w:highlight w:val="none"/>
              </w:rPr>
              <w:t>合同金额</w:t>
            </w:r>
          </w:p>
        </w:tc>
        <w:tc>
          <w:tcPr>
            <w:tcW w:w="1374" w:type="dxa"/>
            <w:gridSpan w:val="3"/>
            <w:tcBorders>
              <w:right w:val="single" w:color="auto" w:sz="4" w:space="0"/>
            </w:tcBorders>
            <w:noWrap/>
            <w:vAlign w:val="center"/>
          </w:tcPr>
          <w:p>
            <w:pPr>
              <w:spacing w:line="400" w:lineRule="exact"/>
              <w:jc w:val="center"/>
              <w:rPr>
                <w:rFonts w:ascii="仿宋_GB2312" w:hAnsi="宋体" w:eastAsia="仿宋_GB2312" w:cs="Arial"/>
                <w:b/>
                <w:color w:val="auto"/>
                <w:sz w:val="24"/>
                <w:highlight w:val="none"/>
              </w:rPr>
            </w:pPr>
            <w:r>
              <w:rPr>
                <w:rFonts w:hint="eastAsia" w:ascii="仿宋_GB2312" w:hAnsi="宋体" w:eastAsia="仿宋_GB2312" w:cs="Arial"/>
                <w:b/>
                <w:color w:val="auto"/>
                <w:sz w:val="24"/>
                <w:highlight w:val="none"/>
              </w:rPr>
              <w:t>完成项目质量</w:t>
            </w:r>
          </w:p>
        </w:tc>
        <w:tc>
          <w:tcPr>
            <w:tcW w:w="1442" w:type="dxa"/>
            <w:tcBorders>
              <w:left w:val="single" w:color="auto" w:sz="4" w:space="0"/>
            </w:tcBorders>
            <w:noWrap/>
            <w:vAlign w:val="center"/>
          </w:tcPr>
          <w:p>
            <w:pPr>
              <w:spacing w:line="400" w:lineRule="exact"/>
              <w:jc w:val="center"/>
              <w:rPr>
                <w:rFonts w:ascii="仿宋_GB2312" w:hAnsi="宋体" w:eastAsia="仿宋_GB2312" w:cs="Arial"/>
                <w:b/>
                <w:color w:val="auto"/>
                <w:sz w:val="24"/>
                <w:highlight w:val="none"/>
              </w:rPr>
            </w:pPr>
            <w:r>
              <w:rPr>
                <w:rFonts w:hint="eastAsia" w:ascii="仿宋_GB2312" w:hAnsi="宋体" w:eastAsia="仿宋_GB2312" w:cs="Arial"/>
                <w:b/>
                <w:color w:val="auto"/>
                <w:sz w:val="24"/>
                <w:highlight w:val="none"/>
              </w:rPr>
              <w:t>用户联系电话</w:t>
            </w:r>
          </w:p>
        </w:tc>
        <w:tc>
          <w:tcPr>
            <w:tcW w:w="1168" w:type="dxa"/>
            <w:tcBorders>
              <w:left w:val="single" w:color="auto" w:sz="4" w:space="0"/>
            </w:tcBorders>
            <w:noWrap/>
            <w:vAlign w:val="center"/>
          </w:tcPr>
          <w:p>
            <w:pPr>
              <w:spacing w:line="400" w:lineRule="exact"/>
              <w:jc w:val="center"/>
              <w:rPr>
                <w:rFonts w:ascii="仿宋_GB2312" w:hAnsi="宋体" w:eastAsia="仿宋_GB2312" w:cs="Arial"/>
                <w:b/>
                <w:color w:val="auto"/>
                <w:sz w:val="24"/>
                <w:highlight w:val="none"/>
              </w:rPr>
            </w:pPr>
            <w:r>
              <w:rPr>
                <w:rFonts w:hint="eastAsia" w:ascii="仿宋_GB2312" w:hAnsi="宋体" w:eastAsia="仿宋_GB2312" w:cs="Arial"/>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ign w:val="center"/>
          </w:tcPr>
          <w:p>
            <w:pPr>
              <w:spacing w:line="400" w:lineRule="exact"/>
              <w:jc w:val="center"/>
              <w:rPr>
                <w:rFonts w:ascii="仿宋_GB2312" w:hAnsi="宋体" w:eastAsia="仿宋_GB2312" w:cs="Arial"/>
                <w:color w:val="auto"/>
                <w:sz w:val="24"/>
                <w:highlight w:val="none"/>
              </w:rPr>
            </w:pPr>
          </w:p>
        </w:tc>
        <w:tc>
          <w:tcPr>
            <w:tcW w:w="1440" w:type="dxa"/>
            <w:noWrap/>
            <w:vAlign w:val="center"/>
          </w:tcPr>
          <w:p>
            <w:pPr>
              <w:spacing w:line="400" w:lineRule="exact"/>
              <w:jc w:val="center"/>
              <w:rPr>
                <w:rFonts w:ascii="仿宋_GB2312" w:hAnsi="宋体" w:eastAsia="仿宋_GB2312" w:cs="Arial"/>
                <w:color w:val="auto"/>
                <w:sz w:val="24"/>
                <w:highlight w:val="none"/>
              </w:rPr>
            </w:pPr>
          </w:p>
        </w:tc>
        <w:tc>
          <w:tcPr>
            <w:tcW w:w="1320" w:type="dxa"/>
            <w:noWrap/>
            <w:vAlign w:val="center"/>
          </w:tcPr>
          <w:p>
            <w:pPr>
              <w:spacing w:line="400" w:lineRule="exact"/>
              <w:jc w:val="center"/>
              <w:rPr>
                <w:rFonts w:ascii="仿宋_GB2312" w:hAnsi="宋体" w:eastAsia="仿宋_GB2312" w:cs="Arial"/>
                <w:color w:val="auto"/>
                <w:sz w:val="24"/>
                <w:highlight w:val="none"/>
              </w:rPr>
            </w:pPr>
          </w:p>
        </w:tc>
        <w:tc>
          <w:tcPr>
            <w:tcW w:w="1161" w:type="dxa"/>
            <w:noWrap/>
            <w:vAlign w:val="center"/>
          </w:tcPr>
          <w:p>
            <w:pPr>
              <w:spacing w:line="400" w:lineRule="exact"/>
              <w:jc w:val="center"/>
              <w:rPr>
                <w:rFonts w:ascii="仿宋_GB2312" w:hAnsi="宋体" w:eastAsia="仿宋_GB2312" w:cs="Arial"/>
                <w:color w:val="auto"/>
                <w:sz w:val="24"/>
                <w:highlight w:val="none"/>
              </w:rPr>
            </w:pPr>
          </w:p>
        </w:tc>
        <w:tc>
          <w:tcPr>
            <w:tcW w:w="1260" w:type="dxa"/>
            <w:noWrap/>
            <w:vAlign w:val="center"/>
          </w:tcPr>
          <w:p>
            <w:pPr>
              <w:spacing w:line="400" w:lineRule="exact"/>
              <w:jc w:val="center"/>
              <w:rPr>
                <w:rFonts w:ascii="仿宋_GB2312" w:hAnsi="宋体" w:eastAsia="仿宋_GB2312" w:cs="Arial"/>
                <w:color w:val="auto"/>
                <w:sz w:val="24"/>
                <w:highlight w:val="none"/>
              </w:rPr>
            </w:pPr>
          </w:p>
        </w:tc>
        <w:tc>
          <w:tcPr>
            <w:tcW w:w="1374" w:type="dxa"/>
            <w:gridSpan w:val="3"/>
            <w:tcBorders>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42" w:type="dxa"/>
            <w:tcBorders>
              <w:lef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8" w:type="dxa"/>
            <w:tcBorders>
              <w:left w:val="single" w:color="auto" w:sz="4" w:space="0"/>
            </w:tcBorders>
            <w:noWrap/>
          </w:tcPr>
          <w:p>
            <w:pPr>
              <w:spacing w:line="400" w:lineRule="exact"/>
              <w:jc w:val="center"/>
              <w:rPr>
                <w:rFonts w:ascii="仿宋_GB2312" w:hAnsi="宋体" w:eastAsia="仿宋_GB2312"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ign w:val="center"/>
          </w:tcPr>
          <w:p>
            <w:pPr>
              <w:spacing w:line="400" w:lineRule="exact"/>
              <w:jc w:val="center"/>
              <w:rPr>
                <w:rFonts w:ascii="仿宋_GB2312" w:hAnsi="宋体" w:eastAsia="仿宋_GB2312" w:cs="Arial"/>
                <w:color w:val="auto"/>
                <w:sz w:val="24"/>
                <w:highlight w:val="none"/>
              </w:rPr>
            </w:pPr>
          </w:p>
        </w:tc>
        <w:tc>
          <w:tcPr>
            <w:tcW w:w="1440" w:type="dxa"/>
            <w:noWrap/>
            <w:vAlign w:val="center"/>
          </w:tcPr>
          <w:p>
            <w:pPr>
              <w:spacing w:line="400" w:lineRule="exact"/>
              <w:jc w:val="center"/>
              <w:rPr>
                <w:rFonts w:ascii="仿宋_GB2312" w:hAnsi="宋体" w:eastAsia="仿宋_GB2312" w:cs="Arial"/>
                <w:color w:val="auto"/>
                <w:sz w:val="24"/>
                <w:highlight w:val="none"/>
              </w:rPr>
            </w:pPr>
          </w:p>
        </w:tc>
        <w:tc>
          <w:tcPr>
            <w:tcW w:w="1320" w:type="dxa"/>
            <w:noWrap/>
            <w:vAlign w:val="center"/>
          </w:tcPr>
          <w:p>
            <w:pPr>
              <w:spacing w:line="400" w:lineRule="exact"/>
              <w:jc w:val="center"/>
              <w:rPr>
                <w:rFonts w:ascii="仿宋_GB2312" w:hAnsi="宋体" w:eastAsia="仿宋_GB2312" w:cs="Arial"/>
                <w:color w:val="auto"/>
                <w:sz w:val="24"/>
                <w:highlight w:val="none"/>
              </w:rPr>
            </w:pPr>
          </w:p>
        </w:tc>
        <w:tc>
          <w:tcPr>
            <w:tcW w:w="1161" w:type="dxa"/>
            <w:noWrap/>
            <w:vAlign w:val="center"/>
          </w:tcPr>
          <w:p>
            <w:pPr>
              <w:spacing w:line="400" w:lineRule="exact"/>
              <w:jc w:val="center"/>
              <w:rPr>
                <w:rFonts w:ascii="仿宋_GB2312" w:hAnsi="宋体" w:eastAsia="仿宋_GB2312" w:cs="Arial"/>
                <w:color w:val="auto"/>
                <w:sz w:val="24"/>
                <w:highlight w:val="none"/>
              </w:rPr>
            </w:pPr>
          </w:p>
        </w:tc>
        <w:tc>
          <w:tcPr>
            <w:tcW w:w="1260" w:type="dxa"/>
            <w:noWrap/>
            <w:vAlign w:val="center"/>
          </w:tcPr>
          <w:p>
            <w:pPr>
              <w:spacing w:line="400" w:lineRule="exact"/>
              <w:jc w:val="center"/>
              <w:rPr>
                <w:rFonts w:ascii="仿宋_GB2312" w:hAnsi="宋体" w:eastAsia="仿宋_GB2312" w:cs="Arial"/>
                <w:color w:val="auto"/>
                <w:sz w:val="24"/>
                <w:highlight w:val="none"/>
              </w:rPr>
            </w:pPr>
          </w:p>
        </w:tc>
        <w:tc>
          <w:tcPr>
            <w:tcW w:w="1374" w:type="dxa"/>
            <w:gridSpan w:val="3"/>
            <w:tcBorders>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42" w:type="dxa"/>
            <w:tcBorders>
              <w:lef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8" w:type="dxa"/>
            <w:tcBorders>
              <w:left w:val="single" w:color="auto" w:sz="4" w:space="0"/>
            </w:tcBorders>
            <w:noWrap/>
          </w:tcPr>
          <w:p>
            <w:pPr>
              <w:spacing w:line="400" w:lineRule="exact"/>
              <w:jc w:val="center"/>
              <w:rPr>
                <w:rFonts w:ascii="仿宋_GB2312" w:hAnsi="宋体" w:eastAsia="仿宋_GB2312"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ign w:val="center"/>
          </w:tcPr>
          <w:p>
            <w:pPr>
              <w:spacing w:line="400" w:lineRule="exact"/>
              <w:jc w:val="center"/>
              <w:rPr>
                <w:rFonts w:ascii="仿宋_GB2312" w:hAnsi="宋体" w:eastAsia="仿宋_GB2312" w:cs="Arial"/>
                <w:color w:val="auto"/>
                <w:sz w:val="24"/>
                <w:highlight w:val="none"/>
              </w:rPr>
            </w:pPr>
          </w:p>
        </w:tc>
        <w:tc>
          <w:tcPr>
            <w:tcW w:w="1440" w:type="dxa"/>
            <w:noWrap/>
            <w:vAlign w:val="center"/>
          </w:tcPr>
          <w:p>
            <w:pPr>
              <w:spacing w:line="400" w:lineRule="exact"/>
              <w:jc w:val="center"/>
              <w:rPr>
                <w:rFonts w:ascii="仿宋_GB2312" w:hAnsi="宋体" w:eastAsia="仿宋_GB2312" w:cs="Arial"/>
                <w:color w:val="auto"/>
                <w:sz w:val="24"/>
                <w:highlight w:val="none"/>
              </w:rPr>
            </w:pPr>
          </w:p>
        </w:tc>
        <w:tc>
          <w:tcPr>
            <w:tcW w:w="1320" w:type="dxa"/>
            <w:noWrap/>
            <w:vAlign w:val="center"/>
          </w:tcPr>
          <w:p>
            <w:pPr>
              <w:spacing w:line="400" w:lineRule="exact"/>
              <w:jc w:val="center"/>
              <w:rPr>
                <w:rFonts w:ascii="仿宋_GB2312" w:hAnsi="宋体" w:eastAsia="仿宋_GB2312" w:cs="Arial"/>
                <w:color w:val="auto"/>
                <w:sz w:val="24"/>
                <w:highlight w:val="none"/>
              </w:rPr>
            </w:pPr>
          </w:p>
        </w:tc>
        <w:tc>
          <w:tcPr>
            <w:tcW w:w="1161" w:type="dxa"/>
            <w:noWrap/>
            <w:vAlign w:val="center"/>
          </w:tcPr>
          <w:p>
            <w:pPr>
              <w:spacing w:line="400" w:lineRule="exact"/>
              <w:jc w:val="center"/>
              <w:rPr>
                <w:rFonts w:ascii="仿宋_GB2312" w:hAnsi="宋体" w:eastAsia="仿宋_GB2312" w:cs="Arial"/>
                <w:color w:val="auto"/>
                <w:sz w:val="24"/>
                <w:highlight w:val="none"/>
              </w:rPr>
            </w:pPr>
          </w:p>
        </w:tc>
        <w:tc>
          <w:tcPr>
            <w:tcW w:w="1260" w:type="dxa"/>
            <w:noWrap/>
            <w:vAlign w:val="center"/>
          </w:tcPr>
          <w:p>
            <w:pPr>
              <w:spacing w:line="400" w:lineRule="exact"/>
              <w:jc w:val="center"/>
              <w:rPr>
                <w:rFonts w:ascii="仿宋_GB2312" w:hAnsi="宋体" w:eastAsia="仿宋_GB2312" w:cs="Arial"/>
                <w:color w:val="auto"/>
                <w:sz w:val="24"/>
                <w:highlight w:val="none"/>
              </w:rPr>
            </w:pPr>
          </w:p>
        </w:tc>
        <w:tc>
          <w:tcPr>
            <w:tcW w:w="1374" w:type="dxa"/>
            <w:gridSpan w:val="3"/>
            <w:tcBorders>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42" w:type="dxa"/>
            <w:tcBorders>
              <w:lef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8" w:type="dxa"/>
            <w:tcBorders>
              <w:left w:val="single" w:color="auto" w:sz="4" w:space="0"/>
            </w:tcBorders>
            <w:noWrap/>
          </w:tcPr>
          <w:p>
            <w:pPr>
              <w:spacing w:line="400" w:lineRule="exact"/>
              <w:jc w:val="center"/>
              <w:rPr>
                <w:rFonts w:ascii="仿宋_GB2312" w:hAnsi="宋体" w:eastAsia="仿宋_GB2312"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ign w:val="center"/>
          </w:tcPr>
          <w:p>
            <w:pPr>
              <w:spacing w:line="400" w:lineRule="exact"/>
              <w:jc w:val="center"/>
              <w:rPr>
                <w:rFonts w:ascii="仿宋_GB2312" w:hAnsi="宋体" w:eastAsia="仿宋_GB2312" w:cs="Arial"/>
                <w:color w:val="auto"/>
                <w:sz w:val="24"/>
                <w:highlight w:val="none"/>
              </w:rPr>
            </w:pPr>
          </w:p>
        </w:tc>
        <w:tc>
          <w:tcPr>
            <w:tcW w:w="1440" w:type="dxa"/>
            <w:tcBorders>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320" w:type="dxa"/>
            <w:tcBorders>
              <w:lef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1" w:type="dxa"/>
            <w:noWrap/>
            <w:vAlign w:val="center"/>
          </w:tcPr>
          <w:p>
            <w:pPr>
              <w:spacing w:line="400" w:lineRule="exact"/>
              <w:jc w:val="center"/>
              <w:rPr>
                <w:rFonts w:ascii="仿宋_GB2312" w:hAnsi="宋体" w:eastAsia="仿宋_GB2312" w:cs="Arial"/>
                <w:color w:val="auto"/>
                <w:sz w:val="24"/>
                <w:highlight w:val="none"/>
              </w:rPr>
            </w:pPr>
          </w:p>
        </w:tc>
        <w:tc>
          <w:tcPr>
            <w:tcW w:w="1260" w:type="dxa"/>
            <w:noWrap/>
            <w:vAlign w:val="center"/>
          </w:tcPr>
          <w:p>
            <w:pPr>
              <w:spacing w:line="400" w:lineRule="exact"/>
              <w:jc w:val="center"/>
              <w:rPr>
                <w:rFonts w:ascii="仿宋_GB2312" w:hAnsi="宋体" w:eastAsia="仿宋_GB2312" w:cs="Arial"/>
                <w:color w:val="auto"/>
                <w:sz w:val="24"/>
                <w:highlight w:val="none"/>
              </w:rPr>
            </w:pPr>
          </w:p>
        </w:tc>
        <w:tc>
          <w:tcPr>
            <w:tcW w:w="1374" w:type="dxa"/>
            <w:gridSpan w:val="3"/>
            <w:tcBorders>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42" w:type="dxa"/>
            <w:tcBorders>
              <w:lef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8" w:type="dxa"/>
            <w:tcBorders>
              <w:left w:val="single" w:color="auto" w:sz="4" w:space="0"/>
            </w:tcBorders>
            <w:noWrap/>
          </w:tcPr>
          <w:p>
            <w:pPr>
              <w:spacing w:line="400" w:lineRule="exact"/>
              <w:jc w:val="center"/>
              <w:rPr>
                <w:rFonts w:ascii="仿宋_GB2312" w:hAnsi="宋体" w:eastAsia="仿宋_GB2312"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right w:val="single" w:color="auto" w:sz="4" w:space="0"/>
            </w:tcBorders>
            <w:noWrap/>
            <w:vAlign w:val="center"/>
          </w:tcPr>
          <w:p>
            <w:pPr>
              <w:spacing w:line="400" w:lineRule="exact"/>
              <w:rPr>
                <w:rFonts w:ascii="仿宋_GB2312" w:hAnsi="宋体" w:eastAsia="仿宋_GB2312" w:cs="Arial"/>
                <w:color w:val="auto"/>
                <w:sz w:val="24"/>
                <w:highlight w:val="none"/>
              </w:rPr>
            </w:pPr>
          </w:p>
        </w:tc>
        <w:tc>
          <w:tcPr>
            <w:tcW w:w="1440" w:type="dxa"/>
            <w:tcBorders>
              <w:left w:val="single" w:color="auto" w:sz="4" w:space="0"/>
              <w:right w:val="single" w:color="auto" w:sz="4" w:space="0"/>
            </w:tcBorders>
            <w:noWrap/>
            <w:vAlign w:val="center"/>
          </w:tcPr>
          <w:p>
            <w:pPr>
              <w:spacing w:line="400" w:lineRule="exact"/>
              <w:rPr>
                <w:rFonts w:ascii="仿宋_GB2312" w:hAnsi="宋体" w:eastAsia="仿宋_GB2312" w:cs="Arial"/>
                <w:color w:val="auto"/>
                <w:sz w:val="24"/>
                <w:highlight w:val="none"/>
              </w:rPr>
            </w:pPr>
          </w:p>
        </w:tc>
        <w:tc>
          <w:tcPr>
            <w:tcW w:w="1320" w:type="dxa"/>
            <w:tcBorders>
              <w:left w:val="single" w:color="auto" w:sz="4" w:space="0"/>
              <w:right w:val="single" w:color="auto" w:sz="4" w:space="0"/>
            </w:tcBorders>
            <w:noWrap/>
            <w:vAlign w:val="center"/>
          </w:tcPr>
          <w:p>
            <w:pPr>
              <w:spacing w:line="400" w:lineRule="exact"/>
              <w:rPr>
                <w:rFonts w:ascii="仿宋_GB2312" w:hAnsi="宋体" w:eastAsia="仿宋_GB2312" w:cs="Arial"/>
                <w:color w:val="auto"/>
                <w:sz w:val="24"/>
                <w:highlight w:val="none"/>
              </w:rPr>
            </w:pPr>
          </w:p>
        </w:tc>
        <w:tc>
          <w:tcPr>
            <w:tcW w:w="1161" w:type="dxa"/>
            <w:tcBorders>
              <w:left w:val="single" w:color="auto" w:sz="4" w:space="0"/>
              <w:right w:val="single" w:color="auto" w:sz="4" w:space="0"/>
            </w:tcBorders>
            <w:noWrap/>
            <w:vAlign w:val="center"/>
          </w:tcPr>
          <w:p>
            <w:pPr>
              <w:spacing w:line="400" w:lineRule="exact"/>
              <w:rPr>
                <w:rFonts w:ascii="仿宋_GB2312" w:hAnsi="宋体" w:eastAsia="仿宋_GB2312" w:cs="Arial"/>
                <w:color w:val="auto"/>
                <w:sz w:val="24"/>
                <w:highlight w:val="none"/>
              </w:rPr>
            </w:pPr>
          </w:p>
        </w:tc>
        <w:tc>
          <w:tcPr>
            <w:tcW w:w="1269" w:type="dxa"/>
            <w:gridSpan w:val="2"/>
            <w:tcBorders>
              <w:left w:val="single" w:color="auto" w:sz="4" w:space="0"/>
              <w:right w:val="single" w:color="auto" w:sz="4" w:space="0"/>
            </w:tcBorders>
            <w:noWrap/>
            <w:vAlign w:val="center"/>
          </w:tcPr>
          <w:p>
            <w:pPr>
              <w:spacing w:line="400" w:lineRule="exact"/>
              <w:rPr>
                <w:rFonts w:ascii="仿宋_GB2312" w:hAnsi="宋体" w:eastAsia="仿宋_GB2312" w:cs="Arial"/>
                <w:color w:val="auto"/>
                <w:sz w:val="24"/>
                <w:highlight w:val="none"/>
              </w:rPr>
            </w:pPr>
          </w:p>
        </w:tc>
        <w:tc>
          <w:tcPr>
            <w:tcW w:w="1365" w:type="dxa"/>
            <w:gridSpan w:val="2"/>
            <w:tcBorders>
              <w:left w:val="single" w:color="auto" w:sz="4" w:space="0"/>
              <w:right w:val="single" w:color="auto" w:sz="4" w:space="0"/>
            </w:tcBorders>
            <w:noWrap/>
            <w:vAlign w:val="center"/>
          </w:tcPr>
          <w:p>
            <w:pPr>
              <w:spacing w:line="400" w:lineRule="exact"/>
              <w:rPr>
                <w:rFonts w:ascii="仿宋_GB2312" w:hAnsi="宋体" w:eastAsia="仿宋_GB2312" w:cs="Arial"/>
                <w:color w:val="auto"/>
                <w:sz w:val="24"/>
                <w:highlight w:val="none"/>
              </w:rPr>
            </w:pPr>
          </w:p>
        </w:tc>
        <w:tc>
          <w:tcPr>
            <w:tcW w:w="1442" w:type="dxa"/>
            <w:tcBorders>
              <w:left w:val="single" w:color="auto" w:sz="4" w:space="0"/>
            </w:tcBorders>
            <w:noWrap/>
            <w:vAlign w:val="center"/>
          </w:tcPr>
          <w:p>
            <w:pPr>
              <w:spacing w:line="400" w:lineRule="exact"/>
              <w:rPr>
                <w:rFonts w:ascii="仿宋_GB2312" w:hAnsi="宋体" w:eastAsia="仿宋_GB2312" w:cs="Arial"/>
                <w:color w:val="auto"/>
                <w:sz w:val="24"/>
                <w:highlight w:val="none"/>
              </w:rPr>
            </w:pPr>
          </w:p>
        </w:tc>
        <w:tc>
          <w:tcPr>
            <w:tcW w:w="1168" w:type="dxa"/>
            <w:tcBorders>
              <w:left w:val="single" w:color="auto" w:sz="4" w:space="0"/>
            </w:tcBorders>
            <w:noWrap/>
          </w:tcPr>
          <w:p>
            <w:pPr>
              <w:spacing w:line="400" w:lineRule="exact"/>
              <w:rPr>
                <w:rFonts w:ascii="仿宋_GB2312" w:hAnsi="宋体" w:eastAsia="仿宋_GB2312"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ign w:val="center"/>
          </w:tcPr>
          <w:p>
            <w:pPr>
              <w:spacing w:line="400" w:lineRule="exact"/>
              <w:rPr>
                <w:rFonts w:ascii="仿宋_GB2312" w:hAnsi="宋体" w:eastAsia="仿宋_GB2312" w:cs="Arial"/>
                <w:color w:val="auto"/>
                <w:sz w:val="24"/>
                <w:highlight w:val="none"/>
              </w:rPr>
            </w:pPr>
          </w:p>
        </w:tc>
        <w:tc>
          <w:tcPr>
            <w:tcW w:w="1440" w:type="dxa"/>
            <w:noWrap/>
            <w:vAlign w:val="center"/>
          </w:tcPr>
          <w:p>
            <w:pPr>
              <w:spacing w:line="400" w:lineRule="exact"/>
              <w:rPr>
                <w:rFonts w:ascii="仿宋_GB2312" w:hAnsi="宋体" w:eastAsia="仿宋_GB2312" w:cs="Arial"/>
                <w:color w:val="auto"/>
                <w:sz w:val="24"/>
                <w:highlight w:val="none"/>
              </w:rPr>
            </w:pPr>
          </w:p>
        </w:tc>
        <w:tc>
          <w:tcPr>
            <w:tcW w:w="1320" w:type="dxa"/>
            <w:noWrap/>
            <w:vAlign w:val="center"/>
          </w:tcPr>
          <w:p>
            <w:pPr>
              <w:spacing w:line="400" w:lineRule="exact"/>
              <w:rPr>
                <w:rFonts w:ascii="仿宋_GB2312" w:hAnsi="宋体" w:eastAsia="仿宋_GB2312" w:cs="Arial"/>
                <w:color w:val="auto"/>
                <w:sz w:val="24"/>
                <w:highlight w:val="none"/>
              </w:rPr>
            </w:pPr>
          </w:p>
        </w:tc>
        <w:tc>
          <w:tcPr>
            <w:tcW w:w="1161" w:type="dxa"/>
            <w:noWrap/>
            <w:vAlign w:val="center"/>
          </w:tcPr>
          <w:p>
            <w:pPr>
              <w:spacing w:line="400" w:lineRule="exact"/>
              <w:rPr>
                <w:rFonts w:ascii="仿宋_GB2312" w:hAnsi="宋体" w:eastAsia="仿宋_GB2312" w:cs="Arial"/>
                <w:color w:val="auto"/>
                <w:sz w:val="24"/>
                <w:highlight w:val="none"/>
              </w:rPr>
            </w:pPr>
          </w:p>
        </w:tc>
        <w:tc>
          <w:tcPr>
            <w:tcW w:w="1269" w:type="dxa"/>
            <w:gridSpan w:val="2"/>
            <w:tcBorders>
              <w:right w:val="single" w:color="auto" w:sz="4" w:space="0"/>
            </w:tcBorders>
            <w:noWrap/>
            <w:vAlign w:val="center"/>
          </w:tcPr>
          <w:p>
            <w:pPr>
              <w:spacing w:line="400" w:lineRule="exact"/>
              <w:rPr>
                <w:rFonts w:ascii="仿宋_GB2312" w:hAnsi="宋体" w:eastAsia="仿宋_GB2312" w:cs="Arial"/>
                <w:color w:val="auto"/>
                <w:sz w:val="24"/>
                <w:highlight w:val="none"/>
              </w:rPr>
            </w:pPr>
          </w:p>
        </w:tc>
        <w:tc>
          <w:tcPr>
            <w:tcW w:w="1356" w:type="dxa"/>
            <w:tcBorders>
              <w:left w:val="single" w:color="auto" w:sz="4" w:space="0"/>
              <w:right w:val="single" w:color="auto" w:sz="4" w:space="0"/>
            </w:tcBorders>
            <w:noWrap/>
            <w:vAlign w:val="center"/>
          </w:tcPr>
          <w:p>
            <w:pPr>
              <w:spacing w:line="400" w:lineRule="exact"/>
              <w:rPr>
                <w:rFonts w:ascii="仿宋_GB2312" w:hAnsi="宋体" w:eastAsia="仿宋_GB2312" w:cs="Arial"/>
                <w:color w:val="auto"/>
                <w:sz w:val="24"/>
                <w:highlight w:val="none"/>
              </w:rPr>
            </w:pPr>
          </w:p>
        </w:tc>
        <w:tc>
          <w:tcPr>
            <w:tcW w:w="1451" w:type="dxa"/>
            <w:gridSpan w:val="2"/>
            <w:tcBorders>
              <w:left w:val="single" w:color="auto" w:sz="4" w:space="0"/>
            </w:tcBorders>
            <w:noWrap/>
            <w:vAlign w:val="center"/>
          </w:tcPr>
          <w:p>
            <w:pPr>
              <w:spacing w:line="400" w:lineRule="exact"/>
              <w:rPr>
                <w:rFonts w:ascii="仿宋_GB2312" w:hAnsi="宋体" w:eastAsia="仿宋_GB2312" w:cs="Arial"/>
                <w:color w:val="auto"/>
                <w:sz w:val="24"/>
                <w:highlight w:val="none"/>
              </w:rPr>
            </w:pPr>
          </w:p>
        </w:tc>
        <w:tc>
          <w:tcPr>
            <w:tcW w:w="1168" w:type="dxa"/>
            <w:tcBorders>
              <w:left w:val="single" w:color="auto" w:sz="4" w:space="0"/>
            </w:tcBorders>
            <w:noWrap/>
          </w:tcPr>
          <w:p>
            <w:pPr>
              <w:spacing w:line="400" w:lineRule="exact"/>
              <w:rPr>
                <w:rFonts w:ascii="仿宋_GB2312" w:hAnsi="宋体" w:eastAsia="仿宋_GB2312"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ign w:val="center"/>
          </w:tcPr>
          <w:p>
            <w:pPr>
              <w:spacing w:line="400" w:lineRule="exact"/>
              <w:jc w:val="center"/>
              <w:rPr>
                <w:rFonts w:ascii="仿宋_GB2312" w:hAnsi="宋体" w:eastAsia="仿宋_GB2312" w:cs="Arial"/>
                <w:color w:val="auto"/>
                <w:sz w:val="24"/>
                <w:highlight w:val="none"/>
              </w:rPr>
            </w:pPr>
          </w:p>
        </w:tc>
        <w:tc>
          <w:tcPr>
            <w:tcW w:w="1440" w:type="dxa"/>
            <w:noWrap/>
            <w:vAlign w:val="center"/>
          </w:tcPr>
          <w:p>
            <w:pPr>
              <w:spacing w:line="400" w:lineRule="exact"/>
              <w:jc w:val="center"/>
              <w:rPr>
                <w:rFonts w:ascii="仿宋_GB2312" w:hAnsi="宋体" w:eastAsia="仿宋_GB2312" w:cs="Arial"/>
                <w:color w:val="auto"/>
                <w:sz w:val="24"/>
                <w:highlight w:val="none"/>
              </w:rPr>
            </w:pPr>
          </w:p>
        </w:tc>
        <w:tc>
          <w:tcPr>
            <w:tcW w:w="1320" w:type="dxa"/>
            <w:noWrap/>
            <w:vAlign w:val="center"/>
          </w:tcPr>
          <w:p>
            <w:pPr>
              <w:spacing w:line="400" w:lineRule="exact"/>
              <w:jc w:val="center"/>
              <w:rPr>
                <w:rFonts w:ascii="仿宋_GB2312" w:hAnsi="宋体" w:eastAsia="仿宋_GB2312" w:cs="Arial"/>
                <w:color w:val="auto"/>
                <w:sz w:val="24"/>
                <w:highlight w:val="none"/>
              </w:rPr>
            </w:pPr>
          </w:p>
        </w:tc>
        <w:tc>
          <w:tcPr>
            <w:tcW w:w="1161" w:type="dxa"/>
            <w:noWrap/>
            <w:vAlign w:val="center"/>
          </w:tcPr>
          <w:p>
            <w:pPr>
              <w:spacing w:line="400" w:lineRule="exact"/>
              <w:jc w:val="center"/>
              <w:rPr>
                <w:rFonts w:ascii="仿宋_GB2312" w:hAnsi="宋体" w:eastAsia="仿宋_GB2312" w:cs="Arial"/>
                <w:color w:val="auto"/>
                <w:sz w:val="24"/>
                <w:highlight w:val="none"/>
              </w:rPr>
            </w:pPr>
          </w:p>
        </w:tc>
        <w:tc>
          <w:tcPr>
            <w:tcW w:w="1269" w:type="dxa"/>
            <w:gridSpan w:val="2"/>
            <w:tcBorders>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356" w:type="dxa"/>
            <w:tcBorders>
              <w:left w:val="single" w:color="auto" w:sz="4" w:space="0"/>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51" w:type="dxa"/>
            <w:gridSpan w:val="2"/>
            <w:tcBorders>
              <w:lef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8" w:type="dxa"/>
            <w:tcBorders>
              <w:left w:val="single" w:color="auto" w:sz="4" w:space="0"/>
            </w:tcBorders>
            <w:noWrap/>
          </w:tcPr>
          <w:p>
            <w:pPr>
              <w:spacing w:line="400" w:lineRule="exact"/>
              <w:jc w:val="center"/>
              <w:rPr>
                <w:rFonts w:ascii="仿宋_GB2312" w:hAnsi="宋体" w:eastAsia="仿宋_GB2312"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ign w:val="center"/>
          </w:tcPr>
          <w:p>
            <w:pPr>
              <w:spacing w:line="400" w:lineRule="exact"/>
              <w:jc w:val="center"/>
              <w:rPr>
                <w:rFonts w:ascii="仿宋_GB2312" w:hAnsi="宋体" w:eastAsia="仿宋_GB2312" w:cs="Arial"/>
                <w:color w:val="auto"/>
                <w:sz w:val="24"/>
                <w:highlight w:val="none"/>
              </w:rPr>
            </w:pPr>
          </w:p>
        </w:tc>
        <w:tc>
          <w:tcPr>
            <w:tcW w:w="1440" w:type="dxa"/>
            <w:noWrap/>
            <w:vAlign w:val="center"/>
          </w:tcPr>
          <w:p>
            <w:pPr>
              <w:spacing w:line="400" w:lineRule="exact"/>
              <w:jc w:val="center"/>
              <w:rPr>
                <w:rFonts w:ascii="仿宋_GB2312" w:hAnsi="宋体" w:eastAsia="仿宋_GB2312" w:cs="Arial"/>
                <w:color w:val="auto"/>
                <w:sz w:val="24"/>
                <w:highlight w:val="none"/>
              </w:rPr>
            </w:pPr>
          </w:p>
        </w:tc>
        <w:tc>
          <w:tcPr>
            <w:tcW w:w="1320" w:type="dxa"/>
            <w:noWrap/>
            <w:vAlign w:val="center"/>
          </w:tcPr>
          <w:p>
            <w:pPr>
              <w:spacing w:line="400" w:lineRule="exact"/>
              <w:jc w:val="center"/>
              <w:rPr>
                <w:rFonts w:ascii="仿宋_GB2312" w:hAnsi="宋体" w:eastAsia="仿宋_GB2312" w:cs="Arial"/>
                <w:color w:val="auto"/>
                <w:sz w:val="24"/>
                <w:highlight w:val="none"/>
              </w:rPr>
            </w:pPr>
          </w:p>
        </w:tc>
        <w:tc>
          <w:tcPr>
            <w:tcW w:w="1161" w:type="dxa"/>
            <w:noWrap/>
            <w:vAlign w:val="center"/>
          </w:tcPr>
          <w:p>
            <w:pPr>
              <w:spacing w:line="400" w:lineRule="exact"/>
              <w:jc w:val="center"/>
              <w:rPr>
                <w:rFonts w:ascii="仿宋_GB2312" w:hAnsi="宋体" w:eastAsia="仿宋_GB2312" w:cs="Arial"/>
                <w:color w:val="auto"/>
                <w:sz w:val="24"/>
                <w:highlight w:val="none"/>
              </w:rPr>
            </w:pPr>
          </w:p>
        </w:tc>
        <w:tc>
          <w:tcPr>
            <w:tcW w:w="1269" w:type="dxa"/>
            <w:gridSpan w:val="2"/>
            <w:tcBorders>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356" w:type="dxa"/>
            <w:tcBorders>
              <w:left w:val="single" w:color="auto" w:sz="4" w:space="0"/>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51" w:type="dxa"/>
            <w:gridSpan w:val="2"/>
            <w:tcBorders>
              <w:lef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8" w:type="dxa"/>
            <w:tcBorders>
              <w:left w:val="single" w:color="auto" w:sz="4" w:space="0"/>
            </w:tcBorders>
            <w:noWrap/>
          </w:tcPr>
          <w:p>
            <w:pPr>
              <w:spacing w:line="400" w:lineRule="exact"/>
              <w:jc w:val="center"/>
              <w:rPr>
                <w:rFonts w:ascii="仿宋_GB2312" w:hAnsi="宋体" w:eastAsia="仿宋_GB2312"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40" w:type="dxa"/>
            <w:tcBorders>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320" w:type="dxa"/>
            <w:tcBorders>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1" w:type="dxa"/>
            <w:tcBorders>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269" w:type="dxa"/>
            <w:gridSpan w:val="2"/>
            <w:tcBorders>
              <w:bottom w:val="single" w:color="auto" w:sz="4" w:space="0"/>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356" w:type="dxa"/>
            <w:tcBorders>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51" w:type="dxa"/>
            <w:gridSpan w:val="2"/>
            <w:tcBorders>
              <w:left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8" w:type="dxa"/>
            <w:tcBorders>
              <w:left w:val="single" w:color="auto" w:sz="4" w:space="0"/>
              <w:bottom w:val="single" w:color="auto" w:sz="4" w:space="0"/>
            </w:tcBorders>
            <w:noWrap/>
          </w:tcPr>
          <w:p>
            <w:pPr>
              <w:spacing w:line="400" w:lineRule="exact"/>
              <w:jc w:val="center"/>
              <w:rPr>
                <w:rFonts w:ascii="仿宋_GB2312" w:hAnsi="宋体" w:eastAsia="仿宋_GB2312"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40" w:type="dxa"/>
            <w:tcBorders>
              <w:top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320" w:type="dxa"/>
            <w:tcBorders>
              <w:top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1" w:type="dxa"/>
            <w:tcBorders>
              <w:top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51"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8" w:type="dxa"/>
            <w:tcBorders>
              <w:top w:val="single" w:color="auto" w:sz="4" w:space="0"/>
              <w:left w:val="single" w:color="auto" w:sz="4" w:space="0"/>
              <w:bottom w:val="single" w:color="auto" w:sz="4" w:space="0"/>
            </w:tcBorders>
            <w:noWrap/>
          </w:tcPr>
          <w:p>
            <w:pPr>
              <w:spacing w:line="400" w:lineRule="exact"/>
              <w:jc w:val="center"/>
              <w:rPr>
                <w:rFonts w:ascii="仿宋_GB2312" w:hAnsi="宋体" w:eastAsia="仿宋_GB2312"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40" w:type="dxa"/>
            <w:tcBorders>
              <w:top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320" w:type="dxa"/>
            <w:tcBorders>
              <w:top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1" w:type="dxa"/>
            <w:tcBorders>
              <w:top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51"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8" w:type="dxa"/>
            <w:tcBorders>
              <w:top w:val="single" w:color="auto" w:sz="4" w:space="0"/>
              <w:left w:val="single" w:color="auto" w:sz="4" w:space="0"/>
              <w:bottom w:val="single" w:color="auto" w:sz="4" w:space="0"/>
            </w:tcBorders>
            <w:noWrap/>
          </w:tcPr>
          <w:p>
            <w:pPr>
              <w:spacing w:line="400" w:lineRule="exact"/>
              <w:jc w:val="center"/>
              <w:rPr>
                <w:rFonts w:ascii="仿宋_GB2312" w:hAnsi="宋体" w:eastAsia="仿宋_GB2312"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40" w:type="dxa"/>
            <w:tcBorders>
              <w:top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320" w:type="dxa"/>
            <w:tcBorders>
              <w:top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1" w:type="dxa"/>
            <w:tcBorders>
              <w:top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51"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8" w:type="dxa"/>
            <w:tcBorders>
              <w:top w:val="single" w:color="auto" w:sz="4" w:space="0"/>
              <w:left w:val="single" w:color="auto" w:sz="4" w:space="0"/>
              <w:bottom w:val="single" w:color="auto" w:sz="4" w:space="0"/>
            </w:tcBorders>
            <w:noWrap/>
          </w:tcPr>
          <w:p>
            <w:pPr>
              <w:spacing w:line="400" w:lineRule="exact"/>
              <w:jc w:val="center"/>
              <w:rPr>
                <w:rFonts w:ascii="仿宋_GB2312" w:hAnsi="宋体" w:eastAsia="仿宋_GB2312"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40" w:type="dxa"/>
            <w:tcBorders>
              <w:top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320" w:type="dxa"/>
            <w:tcBorders>
              <w:top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1" w:type="dxa"/>
            <w:tcBorders>
              <w:top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269" w:type="dxa"/>
            <w:gridSpan w:val="2"/>
            <w:tcBorders>
              <w:top w:val="single" w:color="auto" w:sz="4" w:space="0"/>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356" w:type="dxa"/>
            <w:tcBorders>
              <w:top w:val="single" w:color="auto" w:sz="4" w:space="0"/>
              <w:left w:val="single" w:color="auto" w:sz="4" w:space="0"/>
              <w:righ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451" w:type="dxa"/>
            <w:gridSpan w:val="2"/>
            <w:tcBorders>
              <w:top w:val="single" w:color="auto" w:sz="4" w:space="0"/>
              <w:left w:val="single" w:color="auto" w:sz="4" w:space="0"/>
            </w:tcBorders>
            <w:noWrap/>
            <w:vAlign w:val="center"/>
          </w:tcPr>
          <w:p>
            <w:pPr>
              <w:spacing w:line="400" w:lineRule="exact"/>
              <w:jc w:val="center"/>
              <w:rPr>
                <w:rFonts w:ascii="仿宋_GB2312" w:hAnsi="宋体" w:eastAsia="仿宋_GB2312" w:cs="Arial"/>
                <w:color w:val="auto"/>
                <w:sz w:val="24"/>
                <w:highlight w:val="none"/>
              </w:rPr>
            </w:pPr>
          </w:p>
        </w:tc>
        <w:tc>
          <w:tcPr>
            <w:tcW w:w="1168" w:type="dxa"/>
            <w:tcBorders>
              <w:top w:val="single" w:color="auto" w:sz="4" w:space="0"/>
              <w:left w:val="single" w:color="auto" w:sz="4" w:space="0"/>
            </w:tcBorders>
            <w:noWrap/>
          </w:tcPr>
          <w:p>
            <w:pPr>
              <w:spacing w:line="400" w:lineRule="exact"/>
              <w:jc w:val="center"/>
              <w:rPr>
                <w:rFonts w:ascii="仿宋_GB2312" w:hAnsi="宋体" w:eastAsia="仿宋_GB2312" w:cs="Arial"/>
                <w:color w:val="auto"/>
                <w:sz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仿宋_GB2312" w:hAnsi="宋体" w:eastAsia="仿宋_GB2312" w:cs="Arial"/>
          <w:color w:val="auto"/>
          <w:sz w:val="24"/>
          <w:highlight w:val="none"/>
        </w:rPr>
      </w:pPr>
      <w:r>
        <w:rPr>
          <w:rFonts w:hint="eastAsia" w:ascii="仿宋_GB2312" w:hAnsi="宋体" w:eastAsia="仿宋_GB2312" w:cs="Arial"/>
          <w:color w:val="auto"/>
          <w:sz w:val="24"/>
          <w:highlight w:val="none"/>
        </w:rPr>
        <w:t>注：供应商（仅限于供应商自身实施的）以上业绩需提供有关书面证明材料。“合同金额”需提供合同复印件；“完成项目质量”需提供合同验收合格或用户单位书面证明材料。</w:t>
      </w:r>
    </w:p>
    <w:p>
      <w:pPr>
        <w:spacing w:line="400" w:lineRule="exact"/>
        <w:ind w:left="360"/>
        <w:jc w:val="center"/>
        <w:rPr>
          <w:rFonts w:ascii="仿宋_GB2312" w:hAnsi="宋体" w:eastAsia="仿宋_GB2312" w:cs="Arial"/>
          <w:color w:val="auto"/>
          <w:sz w:val="24"/>
          <w:highlight w:val="none"/>
        </w:rPr>
      </w:pPr>
    </w:p>
    <w:p>
      <w:pPr>
        <w:spacing w:line="400" w:lineRule="exact"/>
        <w:ind w:left="360"/>
        <w:jc w:val="center"/>
        <w:rPr>
          <w:rFonts w:ascii="仿宋_GB2312" w:hAnsi="宋体" w:eastAsia="仿宋_GB2312" w:cs="Arial"/>
          <w:color w:val="auto"/>
          <w:highlight w:val="none"/>
        </w:rPr>
      </w:pPr>
    </w:p>
    <w:p>
      <w:pPr>
        <w:adjustRightInd w:val="0"/>
        <w:spacing w:line="40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供应商：（盖章）</w:t>
      </w:r>
    </w:p>
    <w:p>
      <w:pPr>
        <w:adjustRightInd w:val="0"/>
        <w:spacing w:line="400" w:lineRule="exact"/>
        <w:ind w:firstLine="480" w:firstLineChars="200"/>
        <w:jc w:val="left"/>
        <w:rPr>
          <w:rFonts w:ascii="仿宋_GB2312" w:hAnsi="宋体" w:eastAsia="仿宋_GB2312"/>
          <w:color w:val="auto"/>
          <w:sz w:val="24"/>
          <w:highlight w:val="none"/>
        </w:rPr>
      </w:pPr>
    </w:p>
    <w:p>
      <w:pPr>
        <w:adjustRightInd w:val="0"/>
        <w:spacing w:line="40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法定代表人或</w:t>
      </w:r>
      <w:r>
        <w:rPr>
          <w:rFonts w:hint="eastAsia" w:ascii="仿宋_GB2312" w:eastAsia="仿宋_GB2312"/>
          <w:color w:val="auto"/>
          <w:sz w:val="24"/>
          <w:highlight w:val="none"/>
        </w:rPr>
        <w:t>委托代理人</w:t>
      </w:r>
      <w:r>
        <w:rPr>
          <w:rFonts w:hint="eastAsia" w:ascii="仿宋_GB2312" w:hAnsi="宋体" w:eastAsia="仿宋_GB2312"/>
          <w:color w:val="auto"/>
          <w:sz w:val="24"/>
          <w:highlight w:val="none"/>
        </w:rPr>
        <w:t>（签字或盖章）</w:t>
      </w:r>
      <w:r>
        <w:rPr>
          <w:rFonts w:hint="eastAsia" w:ascii="仿宋_GB2312" w:hAnsi="宋体" w:eastAsia="仿宋_GB2312"/>
          <w:bCs/>
          <w:color w:val="auto"/>
          <w:sz w:val="24"/>
          <w:highlight w:val="none"/>
        </w:rPr>
        <w:t>：</w:t>
      </w:r>
    </w:p>
    <w:p>
      <w:pPr>
        <w:spacing w:line="400" w:lineRule="exact"/>
        <w:ind w:right="480" w:firstLine="480" w:firstLineChars="200"/>
        <w:jc w:val="center"/>
        <w:rPr>
          <w:rFonts w:ascii="仿宋_GB2312" w:hAnsi="宋体" w:eastAsia="仿宋_GB2312"/>
          <w:b/>
          <w:color w:val="auto"/>
          <w:sz w:val="24"/>
          <w:highlight w:val="none"/>
        </w:rPr>
      </w:pPr>
      <w:r>
        <w:rPr>
          <w:rFonts w:hint="eastAsia" w:ascii="仿宋_GB2312" w:hAnsi="宋体" w:eastAsia="仿宋_GB2312"/>
          <w:bCs/>
          <w:color w:val="auto"/>
          <w:sz w:val="24"/>
          <w:highlight w:val="none"/>
        </w:rPr>
        <w:t xml:space="preserve">                                    年  月  日</w:t>
      </w:r>
    </w:p>
    <w:p>
      <w:pPr>
        <w:widowControl/>
        <w:jc w:val="left"/>
        <w:rPr>
          <w:rFonts w:ascii="仿宋" w:hAnsi="仿宋" w:eastAsia="仿宋"/>
          <w:color w:val="auto"/>
          <w:sz w:val="24"/>
          <w:highlight w:val="none"/>
        </w:rPr>
      </w:pPr>
    </w:p>
    <w:p>
      <w:pPr>
        <w:spacing w:line="572" w:lineRule="atLeast"/>
        <w:rPr>
          <w:rFonts w:ascii="仿宋_GB2312" w:eastAsia="仿宋_GB2312"/>
          <w:b/>
          <w:color w:val="auto"/>
          <w:sz w:val="24"/>
          <w:highlight w:val="none"/>
        </w:rPr>
      </w:pPr>
    </w:p>
    <w:p>
      <w:pPr>
        <w:jc w:val="center"/>
        <w:outlineLvl w:val="0"/>
        <w:rPr>
          <w:rFonts w:ascii="仿宋_GB2312" w:eastAsia="仿宋_GB2312"/>
          <w:b/>
          <w:color w:val="auto"/>
          <w:sz w:val="24"/>
          <w:highlight w:val="none"/>
        </w:rPr>
      </w:pPr>
    </w:p>
    <w:p>
      <w:pPr>
        <w:jc w:val="center"/>
        <w:outlineLvl w:val="0"/>
        <w:rPr>
          <w:rFonts w:ascii="仿宋_GB2312" w:eastAsia="仿宋_GB2312"/>
          <w:b/>
          <w:color w:val="auto"/>
          <w:sz w:val="28"/>
          <w:szCs w:val="28"/>
          <w:highlight w:val="none"/>
        </w:rPr>
      </w:pPr>
      <w:r>
        <w:rPr>
          <w:rFonts w:hint="eastAsia" w:ascii="仿宋_GB2312" w:eastAsia="仿宋_GB2312"/>
          <w:b/>
          <w:color w:val="auto"/>
          <w:sz w:val="24"/>
          <w:highlight w:val="none"/>
        </w:rPr>
        <w:t>格式9    商务条款响应偏离表</w:t>
      </w:r>
    </w:p>
    <w:tbl>
      <w:tblPr>
        <w:tblStyle w:val="24"/>
        <w:tblpPr w:leftFromText="180" w:rightFromText="180" w:vertAnchor="page" w:horzAnchor="page" w:tblpX="1099" w:tblpY="2639"/>
        <w:tblW w:w="10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352"/>
        <w:gridCol w:w="2352"/>
        <w:gridCol w:w="2352"/>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26" w:type="dxa"/>
            <w:vAlign w:val="center"/>
          </w:tcPr>
          <w:p>
            <w:pPr>
              <w:pStyle w:val="14"/>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352" w:type="dxa"/>
            <w:vAlign w:val="center"/>
          </w:tcPr>
          <w:p>
            <w:pPr>
              <w:pStyle w:val="14"/>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采购文件商务条款</w:t>
            </w:r>
          </w:p>
        </w:tc>
        <w:tc>
          <w:tcPr>
            <w:tcW w:w="2352" w:type="dxa"/>
            <w:vAlign w:val="center"/>
          </w:tcPr>
          <w:p>
            <w:pPr>
              <w:pStyle w:val="14"/>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响应文件商务条款</w:t>
            </w:r>
          </w:p>
        </w:tc>
        <w:tc>
          <w:tcPr>
            <w:tcW w:w="2352" w:type="dxa"/>
            <w:vAlign w:val="center"/>
          </w:tcPr>
          <w:p>
            <w:pPr>
              <w:pStyle w:val="14"/>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响应/偏离说明</w:t>
            </w:r>
          </w:p>
        </w:tc>
        <w:tc>
          <w:tcPr>
            <w:tcW w:w="2354" w:type="dxa"/>
            <w:vAlign w:val="center"/>
          </w:tcPr>
          <w:p>
            <w:pPr>
              <w:pStyle w:val="14"/>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4" w:type="dxa"/>
            <w:vAlign w:val="center"/>
          </w:tcPr>
          <w:p>
            <w:pPr>
              <w:pStyle w:val="14"/>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26"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2" w:type="dxa"/>
            <w:vAlign w:val="center"/>
          </w:tcPr>
          <w:p>
            <w:pPr>
              <w:pStyle w:val="14"/>
              <w:jc w:val="center"/>
              <w:rPr>
                <w:rFonts w:ascii="仿宋_GB2312" w:eastAsia="仿宋_GB2312"/>
                <w:color w:val="auto"/>
                <w:sz w:val="24"/>
                <w:szCs w:val="24"/>
                <w:highlight w:val="none"/>
              </w:rPr>
            </w:pPr>
          </w:p>
        </w:tc>
        <w:tc>
          <w:tcPr>
            <w:tcW w:w="235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见响应文件（）页</w:t>
            </w:r>
          </w:p>
        </w:tc>
      </w:tr>
    </w:tbl>
    <w:p>
      <w:pPr>
        <w:spacing w:line="572" w:lineRule="atLeast"/>
        <w:jc w:val="center"/>
        <w:rPr>
          <w:rFonts w:ascii="仿宋_GB2312" w:eastAsia="仿宋_GB2312"/>
          <w:b/>
          <w:bCs/>
          <w:color w:val="auto"/>
          <w:sz w:val="24"/>
          <w:highlight w:val="none"/>
        </w:rPr>
      </w:pPr>
    </w:p>
    <w:p>
      <w:pPr>
        <w:spacing w:line="572" w:lineRule="atLeast"/>
        <w:jc w:val="center"/>
        <w:rPr>
          <w:rFonts w:ascii="仿宋_GB2312" w:eastAsia="仿宋_GB2312"/>
          <w:b/>
          <w:bCs/>
          <w:color w:val="auto"/>
          <w:sz w:val="24"/>
          <w:highlight w:val="none"/>
        </w:rPr>
      </w:pPr>
    </w:p>
    <w:p>
      <w:pPr>
        <w:spacing w:line="572" w:lineRule="atLeast"/>
        <w:jc w:val="center"/>
        <w:rPr>
          <w:rFonts w:ascii="仿宋_GB2312" w:eastAsia="仿宋_GB2312"/>
          <w:b/>
          <w:bCs/>
          <w:color w:val="auto"/>
          <w:sz w:val="24"/>
          <w:highlight w:val="none"/>
        </w:rPr>
      </w:pPr>
    </w:p>
    <w:p>
      <w:pPr>
        <w:spacing w:line="572" w:lineRule="atLeast"/>
        <w:jc w:val="center"/>
        <w:rPr>
          <w:rFonts w:ascii="仿宋_GB2312" w:eastAsia="仿宋_GB2312"/>
          <w:b/>
          <w:bCs/>
          <w:color w:val="auto"/>
          <w:sz w:val="24"/>
          <w:highlight w:val="none"/>
        </w:rPr>
      </w:pPr>
    </w:p>
    <w:p>
      <w:pPr>
        <w:spacing w:line="572" w:lineRule="atLeast"/>
        <w:jc w:val="center"/>
        <w:rPr>
          <w:rFonts w:ascii="仿宋_GB2312" w:eastAsia="仿宋_GB2312"/>
          <w:b/>
          <w:bCs/>
          <w:color w:val="auto"/>
          <w:sz w:val="24"/>
          <w:highlight w:val="none"/>
        </w:rPr>
      </w:pPr>
    </w:p>
    <w:p>
      <w:pPr>
        <w:spacing w:line="572" w:lineRule="atLeast"/>
        <w:jc w:val="center"/>
        <w:rPr>
          <w:rFonts w:ascii="仿宋_GB2312" w:eastAsia="仿宋_GB2312"/>
          <w:b/>
          <w:bCs/>
          <w:color w:val="auto"/>
          <w:sz w:val="24"/>
          <w:highlight w:val="none"/>
        </w:rPr>
      </w:pPr>
    </w:p>
    <w:p>
      <w:pPr>
        <w:spacing w:line="572" w:lineRule="atLeast"/>
        <w:jc w:val="center"/>
        <w:rPr>
          <w:rFonts w:ascii="仿宋_GB2312" w:eastAsia="仿宋_GB2312"/>
          <w:b/>
          <w:bCs/>
          <w:color w:val="auto"/>
          <w:sz w:val="24"/>
          <w:highlight w:val="none"/>
        </w:rPr>
      </w:pPr>
    </w:p>
    <w:p>
      <w:pPr>
        <w:spacing w:line="572" w:lineRule="atLeast"/>
        <w:jc w:val="center"/>
        <w:rPr>
          <w:rFonts w:ascii="仿宋_GB2312" w:eastAsia="仿宋_GB2312"/>
          <w:b/>
          <w:bCs/>
          <w:color w:val="auto"/>
          <w:sz w:val="24"/>
          <w:highlight w:val="none"/>
        </w:rPr>
      </w:pPr>
    </w:p>
    <w:p>
      <w:pPr>
        <w:spacing w:line="360" w:lineRule="auto"/>
        <w:ind w:left="812" w:hanging="812" w:hangingChars="337"/>
        <w:jc w:val="center"/>
        <w:rPr>
          <w:rFonts w:ascii="仿宋_GB2312" w:eastAsia="仿宋_GB2312"/>
          <w:b/>
          <w:bCs/>
          <w:color w:val="auto"/>
          <w:sz w:val="24"/>
          <w:highlight w:val="none"/>
        </w:rPr>
      </w:pPr>
    </w:p>
    <w:p>
      <w:pPr>
        <w:spacing w:line="360" w:lineRule="auto"/>
        <w:ind w:left="812" w:hanging="812" w:hangingChars="337"/>
        <w:jc w:val="center"/>
        <w:rPr>
          <w:rFonts w:ascii="仿宋_GB2312" w:eastAsia="仿宋_GB2312"/>
          <w:b/>
          <w:bCs/>
          <w:color w:val="auto"/>
          <w:sz w:val="24"/>
          <w:highlight w:val="none"/>
        </w:rPr>
      </w:pPr>
    </w:p>
    <w:p>
      <w:pPr>
        <w:spacing w:line="360" w:lineRule="auto"/>
        <w:ind w:left="812" w:hanging="812" w:hangingChars="337"/>
        <w:jc w:val="center"/>
        <w:rPr>
          <w:rFonts w:ascii="仿宋_GB2312" w:eastAsia="仿宋_GB2312"/>
          <w:b/>
          <w:bCs/>
          <w:color w:val="auto"/>
          <w:sz w:val="24"/>
          <w:highlight w:val="none"/>
        </w:rPr>
      </w:pPr>
    </w:p>
    <w:p>
      <w:pPr>
        <w:spacing w:line="360" w:lineRule="auto"/>
        <w:ind w:left="812" w:hanging="812" w:hangingChars="337"/>
        <w:jc w:val="center"/>
        <w:rPr>
          <w:rFonts w:ascii="仿宋_GB2312" w:eastAsia="仿宋_GB2312"/>
          <w:b/>
          <w:bCs/>
          <w:color w:val="auto"/>
          <w:sz w:val="24"/>
          <w:highlight w:val="none"/>
        </w:rPr>
      </w:pPr>
      <w:r>
        <w:rPr>
          <w:rFonts w:hint="eastAsia" w:ascii="仿宋_GB2312" w:eastAsia="仿宋_GB2312"/>
          <w:b/>
          <w:bCs/>
          <w:color w:val="auto"/>
          <w:sz w:val="24"/>
          <w:highlight w:val="none"/>
        </w:rPr>
        <w:t>格式10  服务方案</w:t>
      </w:r>
    </w:p>
    <w:p>
      <w:pPr>
        <w:spacing w:line="360" w:lineRule="auto"/>
        <w:ind w:firstLine="480" w:firstLineChars="200"/>
        <w:rPr>
          <w:rFonts w:ascii="仿宋_GB2312" w:eastAsia="仿宋_GB2312" w:cs="Arial"/>
          <w:color w:val="auto"/>
          <w:sz w:val="24"/>
          <w:highlight w:val="none"/>
        </w:rPr>
      </w:pPr>
      <w:r>
        <w:rPr>
          <w:rFonts w:hint="eastAsia" w:ascii="仿宋_GB2312" w:eastAsia="仿宋_GB2312" w:cs="Arial"/>
          <w:color w:val="auto"/>
          <w:sz w:val="24"/>
          <w:highlight w:val="none"/>
        </w:rPr>
        <w:t>供应商提供的方案包括但不限于以下内容：</w:t>
      </w:r>
    </w:p>
    <w:p>
      <w:pPr>
        <w:numPr>
          <w:ilvl w:val="0"/>
          <w:numId w:val="2"/>
        </w:numPr>
        <w:spacing w:line="360" w:lineRule="auto"/>
        <w:ind w:firstLine="480" w:firstLineChars="200"/>
        <w:rPr>
          <w:rFonts w:ascii="仿宋_GB2312" w:eastAsia="仿宋_GB2312" w:cs="Arial"/>
          <w:color w:val="auto"/>
          <w:sz w:val="24"/>
          <w:highlight w:val="none"/>
        </w:rPr>
      </w:pPr>
      <w:r>
        <w:rPr>
          <w:rFonts w:hint="eastAsia" w:ascii="仿宋_GB2312" w:eastAsia="仿宋_GB2312" w:cs="Arial"/>
          <w:color w:val="auto"/>
          <w:sz w:val="24"/>
          <w:highlight w:val="none"/>
        </w:rPr>
        <w:t>工作的难点、重点；</w:t>
      </w:r>
    </w:p>
    <w:p>
      <w:pPr>
        <w:numPr>
          <w:ilvl w:val="0"/>
          <w:numId w:val="2"/>
        </w:numPr>
        <w:spacing w:line="360" w:lineRule="auto"/>
        <w:ind w:firstLine="480" w:firstLineChars="200"/>
        <w:rPr>
          <w:rFonts w:ascii="仿宋_GB2312" w:eastAsia="仿宋_GB2312" w:cs="Arial"/>
          <w:color w:val="auto"/>
          <w:sz w:val="24"/>
          <w:highlight w:val="none"/>
        </w:rPr>
      </w:pPr>
      <w:r>
        <w:rPr>
          <w:rFonts w:hint="eastAsia" w:ascii="仿宋_GB2312" w:eastAsia="仿宋_GB2312"/>
          <w:bCs/>
          <w:color w:val="auto"/>
          <w:sz w:val="24"/>
          <w:highlight w:val="none"/>
        </w:rPr>
        <w:t>项目目标、思路、方法；</w:t>
      </w:r>
    </w:p>
    <w:p>
      <w:pPr>
        <w:numPr>
          <w:ilvl w:val="0"/>
          <w:numId w:val="2"/>
        </w:numPr>
        <w:spacing w:line="360" w:lineRule="auto"/>
        <w:ind w:firstLine="480" w:firstLineChars="200"/>
        <w:rPr>
          <w:rFonts w:ascii="仿宋_GB2312" w:eastAsia="仿宋_GB2312" w:cs="Arial"/>
          <w:color w:val="auto"/>
          <w:sz w:val="24"/>
          <w:highlight w:val="none"/>
        </w:rPr>
      </w:pPr>
      <w:r>
        <w:rPr>
          <w:rFonts w:hint="eastAsia" w:ascii="仿宋_GB2312" w:eastAsia="仿宋_GB2312"/>
          <w:bCs/>
          <w:color w:val="auto"/>
          <w:sz w:val="24"/>
          <w:highlight w:val="none"/>
        </w:rPr>
        <w:t>提供服务的整体质量、安全的保障措施；</w:t>
      </w:r>
    </w:p>
    <w:p>
      <w:pPr>
        <w:spacing w:line="360" w:lineRule="auto"/>
        <w:ind w:firstLine="480" w:firstLineChars="200"/>
        <w:rPr>
          <w:rFonts w:ascii="仿宋_GB2312" w:eastAsia="仿宋_GB2312" w:cs="Arial"/>
          <w:color w:val="auto"/>
          <w:sz w:val="24"/>
          <w:highlight w:val="none"/>
        </w:rPr>
      </w:pPr>
      <w:r>
        <w:rPr>
          <w:rFonts w:hint="eastAsia" w:ascii="仿宋_GB2312" w:eastAsia="仿宋_GB2312" w:cs="Arial"/>
          <w:color w:val="auto"/>
          <w:sz w:val="24"/>
          <w:highlight w:val="none"/>
        </w:rPr>
        <w:t>4、完善可行的实施计划；</w:t>
      </w:r>
    </w:p>
    <w:p>
      <w:pPr>
        <w:spacing w:line="360" w:lineRule="auto"/>
        <w:ind w:firstLine="480" w:firstLineChars="200"/>
        <w:rPr>
          <w:rFonts w:ascii="仿宋_GB2312" w:eastAsia="仿宋_GB2312" w:cs="Arial"/>
          <w:color w:val="auto"/>
          <w:sz w:val="24"/>
          <w:highlight w:val="none"/>
        </w:rPr>
      </w:pPr>
      <w:r>
        <w:rPr>
          <w:rFonts w:hint="eastAsia" w:ascii="仿宋_GB2312" w:eastAsia="仿宋_GB2312" w:cs="Arial"/>
          <w:color w:val="auto"/>
          <w:sz w:val="24"/>
          <w:highlight w:val="none"/>
        </w:rPr>
        <w:t xml:space="preserve">5、...... </w:t>
      </w:r>
    </w:p>
    <w:p>
      <w:pPr>
        <w:pStyle w:val="5"/>
        <w:spacing w:line="360" w:lineRule="auto"/>
        <w:rPr>
          <w:color w:val="auto"/>
          <w:highlight w:val="none"/>
        </w:rPr>
      </w:pPr>
    </w:p>
    <w:p>
      <w:pPr>
        <w:spacing w:line="360" w:lineRule="auto"/>
        <w:ind w:firstLine="480" w:firstLineChars="200"/>
        <w:rPr>
          <w:rFonts w:ascii="仿宋_GB2312" w:eastAsia="仿宋_GB2312" w:cs="Arial"/>
          <w:color w:val="auto"/>
          <w:sz w:val="24"/>
          <w:highlight w:val="none"/>
        </w:rPr>
      </w:pPr>
    </w:p>
    <w:p>
      <w:pPr>
        <w:spacing w:line="360" w:lineRule="auto"/>
        <w:rPr>
          <w:rFonts w:cs="Arial"/>
          <w:color w:val="auto"/>
          <w:highlight w:val="none"/>
        </w:rPr>
      </w:pPr>
    </w:p>
    <w:p>
      <w:pPr>
        <w:spacing w:line="360" w:lineRule="auto"/>
        <w:jc w:val="center"/>
        <w:rPr>
          <w:rFonts w:ascii="仿宋_GB2312" w:hAnsi="Courier New" w:eastAsia="仿宋_GB2312"/>
          <w:b/>
          <w:color w:val="auto"/>
          <w:sz w:val="28"/>
          <w:szCs w:val="28"/>
          <w:highlight w:val="none"/>
        </w:rPr>
      </w:pPr>
    </w:p>
    <w:p>
      <w:pPr>
        <w:spacing w:line="360" w:lineRule="auto"/>
        <w:jc w:val="center"/>
        <w:rPr>
          <w:rFonts w:ascii="仿宋_GB2312" w:hAnsi="Courier New" w:eastAsia="仿宋_GB2312"/>
          <w:b/>
          <w:color w:val="auto"/>
          <w:sz w:val="28"/>
          <w:szCs w:val="28"/>
          <w:highlight w:val="none"/>
        </w:rPr>
      </w:pPr>
    </w:p>
    <w:p>
      <w:pPr>
        <w:spacing w:line="360" w:lineRule="auto"/>
        <w:jc w:val="center"/>
        <w:rPr>
          <w:rFonts w:ascii="仿宋_GB2312" w:hAnsi="Courier New" w:eastAsia="仿宋_GB2312"/>
          <w:b/>
          <w:color w:val="auto"/>
          <w:sz w:val="28"/>
          <w:szCs w:val="28"/>
          <w:highlight w:val="none"/>
        </w:rPr>
      </w:pPr>
    </w:p>
    <w:p>
      <w:pPr>
        <w:spacing w:line="360" w:lineRule="auto"/>
        <w:jc w:val="center"/>
        <w:rPr>
          <w:rFonts w:ascii="仿宋_GB2312" w:hAnsi="Courier New" w:eastAsia="仿宋_GB2312"/>
          <w:b/>
          <w:color w:val="auto"/>
          <w:sz w:val="28"/>
          <w:szCs w:val="28"/>
          <w:highlight w:val="none"/>
        </w:rPr>
      </w:pPr>
    </w:p>
    <w:p>
      <w:pPr>
        <w:ind w:firstLine="480" w:firstLineChars="200"/>
        <w:rPr>
          <w:rFonts w:ascii="仿宋_GB2312" w:hAnsi="Courier New" w:eastAsia="仿宋_GB2312"/>
          <w:color w:val="auto"/>
          <w:sz w:val="24"/>
          <w:szCs w:val="20"/>
          <w:highlight w:val="none"/>
        </w:rPr>
      </w:pPr>
      <w:r>
        <w:rPr>
          <w:rFonts w:hint="eastAsia" w:ascii="仿宋_GB2312" w:hAnsi="Courier New" w:eastAsia="仿宋_GB2312"/>
          <w:color w:val="auto"/>
          <w:sz w:val="24"/>
          <w:szCs w:val="20"/>
          <w:highlight w:val="none"/>
        </w:rPr>
        <w:t>供应商（盖章）：</w:t>
      </w:r>
    </w:p>
    <w:p>
      <w:pPr>
        <w:ind w:firstLine="480" w:firstLineChars="200"/>
        <w:rPr>
          <w:rFonts w:ascii="仿宋_GB2312" w:hAnsi="Courier New" w:eastAsia="仿宋_GB2312"/>
          <w:color w:val="auto"/>
          <w:sz w:val="24"/>
          <w:szCs w:val="20"/>
          <w:highlight w:val="none"/>
        </w:rPr>
      </w:pPr>
    </w:p>
    <w:p>
      <w:pPr>
        <w:ind w:firstLine="480" w:firstLineChars="200"/>
        <w:rPr>
          <w:rFonts w:ascii="仿宋_GB2312" w:hAnsi="Courier New" w:eastAsia="仿宋_GB2312"/>
          <w:color w:val="auto"/>
          <w:sz w:val="24"/>
          <w:szCs w:val="20"/>
          <w:highlight w:val="none"/>
        </w:rPr>
      </w:pPr>
    </w:p>
    <w:p>
      <w:pPr>
        <w:ind w:firstLine="480" w:firstLineChars="200"/>
        <w:rPr>
          <w:rFonts w:ascii="仿宋_GB2312" w:hAnsi="Courier New" w:eastAsia="仿宋_GB2312"/>
          <w:color w:val="auto"/>
          <w:sz w:val="24"/>
          <w:szCs w:val="20"/>
          <w:highlight w:val="none"/>
        </w:rPr>
      </w:pPr>
      <w:r>
        <w:rPr>
          <w:rFonts w:hint="eastAsia" w:ascii="仿宋_GB2312" w:hAnsi="宋体" w:eastAsia="仿宋_GB2312"/>
          <w:color w:val="auto"/>
          <w:sz w:val="24"/>
          <w:highlight w:val="none"/>
        </w:rPr>
        <w:t>法定代表人</w:t>
      </w:r>
      <w:r>
        <w:rPr>
          <w:rFonts w:hint="eastAsia" w:ascii="仿宋_GB2312" w:hAnsi="Courier New" w:eastAsia="仿宋_GB2312"/>
          <w:color w:val="auto"/>
          <w:sz w:val="24"/>
          <w:szCs w:val="20"/>
          <w:highlight w:val="none"/>
        </w:rPr>
        <w:t>或委托代理人（签字或盖章）：</w:t>
      </w:r>
    </w:p>
    <w:p>
      <w:pPr>
        <w:rPr>
          <w:rFonts w:ascii="仿宋_GB2312" w:hAnsi="Courier New" w:eastAsia="仿宋_GB2312"/>
          <w:color w:val="auto"/>
          <w:sz w:val="24"/>
          <w:highlight w:val="none"/>
        </w:rPr>
      </w:pPr>
    </w:p>
    <w:p>
      <w:pPr>
        <w:rPr>
          <w:rFonts w:ascii="仿宋_GB2312" w:hAnsi="Courier New" w:eastAsia="仿宋_GB2312"/>
          <w:color w:val="auto"/>
          <w:sz w:val="24"/>
          <w:szCs w:val="20"/>
          <w:highlight w:val="none"/>
        </w:rPr>
      </w:pPr>
    </w:p>
    <w:p>
      <w:pPr>
        <w:rPr>
          <w:rFonts w:ascii="仿宋_GB2312" w:hAnsi="Courier New" w:eastAsia="仿宋_GB2312"/>
          <w:color w:val="auto"/>
          <w:sz w:val="24"/>
          <w:szCs w:val="20"/>
          <w:highlight w:val="none"/>
        </w:rPr>
      </w:pPr>
    </w:p>
    <w:p>
      <w:pPr>
        <w:spacing w:line="360" w:lineRule="auto"/>
        <w:jc w:val="center"/>
        <w:rPr>
          <w:rFonts w:ascii="仿宋_GB2312" w:hAnsi="Courier New" w:eastAsia="仿宋_GB2312"/>
          <w:b/>
          <w:color w:val="auto"/>
          <w:sz w:val="28"/>
          <w:szCs w:val="28"/>
          <w:highlight w:val="none"/>
        </w:rPr>
      </w:pPr>
      <w:r>
        <w:rPr>
          <w:rFonts w:hint="eastAsia" w:ascii="仿宋_GB2312" w:hAnsi="Courier New" w:eastAsia="仿宋_GB2312"/>
          <w:color w:val="auto"/>
          <w:sz w:val="24"/>
          <w:szCs w:val="20"/>
          <w:highlight w:val="none"/>
        </w:rPr>
        <w:t xml:space="preserve">                                                        年  月  日</w:t>
      </w:r>
    </w:p>
    <w:p>
      <w:pPr>
        <w:spacing w:line="360" w:lineRule="auto"/>
        <w:jc w:val="center"/>
        <w:rPr>
          <w:rFonts w:ascii="仿宋_GB2312" w:hAnsi="Courier New" w:eastAsia="仿宋_GB2312"/>
          <w:b/>
          <w:color w:val="auto"/>
          <w:sz w:val="28"/>
          <w:szCs w:val="28"/>
          <w:highlight w:val="none"/>
        </w:rPr>
      </w:pPr>
    </w:p>
    <w:p>
      <w:pPr>
        <w:pStyle w:val="5"/>
        <w:rPr>
          <w:rFonts w:ascii="仿宋_GB2312" w:eastAsia="仿宋_GB2312"/>
          <w:color w:val="auto"/>
          <w:sz w:val="24"/>
          <w:highlight w:val="none"/>
        </w:rPr>
      </w:pPr>
    </w:p>
    <w:p>
      <w:pPr>
        <w:rPr>
          <w:rFonts w:ascii="仿宋_GB2312" w:eastAsia="仿宋_GB2312"/>
          <w:b/>
          <w:bCs/>
          <w:color w:val="auto"/>
          <w:sz w:val="24"/>
          <w:highlight w:val="none"/>
        </w:rPr>
      </w:pPr>
    </w:p>
    <w:p>
      <w:pPr>
        <w:pStyle w:val="5"/>
        <w:rPr>
          <w:rFonts w:ascii="仿宋_GB2312" w:eastAsia="仿宋_GB2312"/>
          <w:color w:val="auto"/>
          <w:sz w:val="24"/>
          <w:highlight w:val="none"/>
        </w:rPr>
      </w:pPr>
    </w:p>
    <w:p>
      <w:pPr>
        <w:spacing w:line="360" w:lineRule="auto"/>
        <w:jc w:val="center"/>
        <w:rPr>
          <w:rFonts w:ascii="仿宋_GB2312" w:eastAsia="仿宋_GB2312"/>
          <w:b/>
          <w:bCs/>
          <w:color w:val="auto"/>
          <w:sz w:val="24"/>
          <w:highlight w:val="none"/>
        </w:rPr>
      </w:pPr>
    </w:p>
    <w:p>
      <w:pPr>
        <w:spacing w:line="360" w:lineRule="auto"/>
        <w:jc w:val="center"/>
        <w:rPr>
          <w:rFonts w:ascii="仿宋_GB2312" w:eastAsia="仿宋_GB2312"/>
          <w:b/>
          <w:bCs/>
          <w:color w:val="auto"/>
          <w:sz w:val="24"/>
          <w:highlight w:val="none"/>
        </w:rPr>
      </w:pPr>
    </w:p>
    <w:p>
      <w:pPr>
        <w:spacing w:line="360" w:lineRule="auto"/>
        <w:jc w:val="center"/>
        <w:rPr>
          <w:rFonts w:ascii="仿宋_GB2312" w:hAnsi="Courier New" w:eastAsia="仿宋_GB2312"/>
          <w:b/>
          <w:color w:val="auto"/>
          <w:sz w:val="28"/>
          <w:szCs w:val="28"/>
          <w:highlight w:val="none"/>
        </w:rPr>
      </w:pPr>
      <w:r>
        <w:rPr>
          <w:rFonts w:hint="eastAsia" w:ascii="仿宋_GB2312" w:eastAsia="仿宋_GB2312"/>
          <w:b/>
          <w:bCs/>
          <w:color w:val="auto"/>
          <w:sz w:val="24"/>
          <w:highlight w:val="none"/>
        </w:rPr>
        <w:t>格式11   服务响应承诺</w:t>
      </w:r>
    </w:p>
    <w:p>
      <w:pPr>
        <w:spacing w:line="360" w:lineRule="auto"/>
        <w:rPr>
          <w:rFonts w:ascii="仿宋_GB2312" w:hAnsi="Courier New" w:eastAsia="仿宋_GB2312"/>
          <w:color w:val="auto"/>
          <w:sz w:val="24"/>
          <w:highlight w:val="none"/>
        </w:rPr>
      </w:pPr>
    </w:p>
    <w:p>
      <w:pPr>
        <w:spacing w:line="360" w:lineRule="auto"/>
        <w:ind w:firstLine="480" w:firstLineChars="200"/>
        <w:rPr>
          <w:rFonts w:ascii="仿宋_GB2312" w:hAnsi="Courier New" w:eastAsia="仿宋_GB2312"/>
          <w:color w:val="auto"/>
          <w:sz w:val="24"/>
          <w:highlight w:val="none"/>
        </w:rPr>
      </w:pPr>
      <w:r>
        <w:rPr>
          <w:rFonts w:hint="eastAsia" w:ascii="仿宋_GB2312" w:hAnsi="Courier New" w:eastAsia="仿宋_GB2312"/>
          <w:color w:val="auto"/>
          <w:sz w:val="24"/>
          <w:highlight w:val="none"/>
        </w:rPr>
        <w:t>由各供应商根据采购需求及“第六章 评审标准（综合评分法）”自行承诺，格式自拟。</w:t>
      </w:r>
    </w:p>
    <w:p>
      <w:pPr>
        <w:spacing w:line="360" w:lineRule="auto"/>
        <w:rPr>
          <w:rFonts w:ascii="仿宋_GB2312" w:hAnsi="Courier New" w:eastAsia="仿宋_GB2312"/>
          <w:color w:val="auto"/>
          <w:sz w:val="24"/>
          <w:highlight w:val="none"/>
        </w:rPr>
      </w:pPr>
    </w:p>
    <w:p>
      <w:pPr>
        <w:spacing w:line="360" w:lineRule="auto"/>
        <w:rPr>
          <w:rFonts w:ascii="仿宋_GB2312" w:hAnsi="Courier New" w:eastAsia="仿宋_GB2312"/>
          <w:color w:val="auto"/>
          <w:sz w:val="24"/>
          <w:highlight w:val="none"/>
        </w:rPr>
      </w:pPr>
    </w:p>
    <w:p>
      <w:pPr>
        <w:spacing w:line="360" w:lineRule="auto"/>
        <w:jc w:val="right"/>
        <w:rPr>
          <w:rFonts w:ascii="仿宋_GB2312" w:hAnsi="Courier New" w:eastAsia="仿宋_GB2312"/>
          <w:color w:val="auto"/>
          <w:sz w:val="24"/>
          <w:highlight w:val="none"/>
        </w:rPr>
      </w:pPr>
    </w:p>
    <w:p>
      <w:pPr>
        <w:spacing w:line="360" w:lineRule="auto"/>
        <w:jc w:val="right"/>
        <w:rPr>
          <w:rFonts w:ascii="仿宋_GB2312" w:hAnsi="Courier New" w:eastAsia="仿宋_GB2312"/>
          <w:color w:val="auto"/>
          <w:sz w:val="24"/>
          <w:highlight w:val="none"/>
        </w:rPr>
      </w:pPr>
    </w:p>
    <w:p>
      <w:pPr>
        <w:ind w:firstLine="480" w:firstLineChars="200"/>
        <w:rPr>
          <w:rFonts w:ascii="仿宋_GB2312" w:hAnsi="Courier New" w:eastAsia="仿宋_GB2312"/>
          <w:color w:val="auto"/>
          <w:sz w:val="24"/>
          <w:szCs w:val="20"/>
          <w:highlight w:val="none"/>
        </w:rPr>
      </w:pPr>
      <w:r>
        <w:rPr>
          <w:rFonts w:hint="eastAsia" w:ascii="仿宋_GB2312" w:hAnsi="Courier New" w:eastAsia="仿宋_GB2312"/>
          <w:color w:val="auto"/>
          <w:sz w:val="24"/>
          <w:szCs w:val="20"/>
          <w:highlight w:val="none"/>
        </w:rPr>
        <w:t>供应商（盖章）：</w:t>
      </w:r>
    </w:p>
    <w:p>
      <w:pPr>
        <w:ind w:firstLine="480" w:firstLineChars="200"/>
        <w:rPr>
          <w:rFonts w:ascii="仿宋_GB2312" w:hAnsi="Courier New" w:eastAsia="仿宋_GB2312"/>
          <w:color w:val="auto"/>
          <w:sz w:val="24"/>
          <w:szCs w:val="20"/>
          <w:highlight w:val="none"/>
        </w:rPr>
      </w:pPr>
    </w:p>
    <w:p>
      <w:pPr>
        <w:ind w:firstLine="480" w:firstLineChars="200"/>
        <w:rPr>
          <w:rFonts w:ascii="仿宋_GB2312" w:hAnsi="Courier New" w:eastAsia="仿宋_GB2312"/>
          <w:color w:val="auto"/>
          <w:sz w:val="24"/>
          <w:szCs w:val="20"/>
          <w:highlight w:val="none"/>
        </w:rPr>
      </w:pPr>
    </w:p>
    <w:p>
      <w:pPr>
        <w:ind w:firstLine="480" w:firstLineChars="200"/>
        <w:rPr>
          <w:rFonts w:ascii="仿宋_GB2312" w:hAnsi="Courier New" w:eastAsia="仿宋_GB2312"/>
          <w:color w:val="auto"/>
          <w:sz w:val="24"/>
          <w:szCs w:val="20"/>
          <w:highlight w:val="none"/>
        </w:rPr>
      </w:pPr>
      <w:r>
        <w:rPr>
          <w:rFonts w:hint="eastAsia" w:ascii="仿宋_GB2312" w:hAnsi="宋体" w:eastAsia="仿宋_GB2312"/>
          <w:color w:val="auto"/>
          <w:sz w:val="24"/>
          <w:highlight w:val="none"/>
        </w:rPr>
        <w:t>法定代表人</w:t>
      </w:r>
      <w:r>
        <w:rPr>
          <w:rFonts w:hint="eastAsia" w:ascii="仿宋_GB2312" w:hAnsi="Courier New" w:eastAsia="仿宋_GB2312"/>
          <w:color w:val="auto"/>
          <w:sz w:val="24"/>
          <w:szCs w:val="20"/>
          <w:highlight w:val="none"/>
        </w:rPr>
        <w:t>或委托代理人（签字或盖章）：</w:t>
      </w:r>
    </w:p>
    <w:p>
      <w:pPr>
        <w:rPr>
          <w:rFonts w:ascii="仿宋_GB2312" w:hAnsi="Courier New" w:eastAsia="仿宋_GB2312"/>
          <w:color w:val="auto"/>
          <w:sz w:val="24"/>
          <w:highlight w:val="none"/>
        </w:rPr>
      </w:pPr>
    </w:p>
    <w:p>
      <w:pPr>
        <w:spacing w:line="360" w:lineRule="auto"/>
        <w:jc w:val="right"/>
        <w:rPr>
          <w:rFonts w:ascii="仿宋_GB2312" w:hAnsi="Courier New" w:eastAsia="仿宋_GB2312"/>
          <w:color w:val="auto"/>
          <w:sz w:val="24"/>
          <w:highlight w:val="none"/>
        </w:rPr>
      </w:pPr>
    </w:p>
    <w:p>
      <w:pPr>
        <w:spacing w:line="360" w:lineRule="auto"/>
        <w:jc w:val="right"/>
        <w:rPr>
          <w:rFonts w:ascii="仿宋_GB2312" w:hAnsi="Courier New" w:eastAsia="仿宋_GB2312"/>
          <w:color w:val="auto"/>
          <w:sz w:val="24"/>
          <w:highlight w:val="none"/>
        </w:rPr>
      </w:pPr>
      <w:r>
        <w:rPr>
          <w:rFonts w:hint="eastAsia" w:ascii="仿宋_GB2312" w:hAnsi="Courier New" w:eastAsia="仿宋_GB2312"/>
          <w:color w:val="auto"/>
          <w:sz w:val="24"/>
          <w:highlight w:val="none"/>
        </w:rPr>
        <w:t>年   月   日</w:t>
      </w:r>
    </w:p>
    <w:p>
      <w:pPr>
        <w:spacing w:line="360" w:lineRule="auto"/>
        <w:ind w:left="809" w:hanging="808" w:hangingChars="337"/>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br w:type="page"/>
      </w:r>
    </w:p>
    <w:p>
      <w:pPr>
        <w:spacing w:line="360" w:lineRule="auto"/>
        <w:ind w:left="812" w:hanging="812" w:hangingChars="337"/>
        <w:jc w:val="center"/>
        <w:rPr>
          <w:rFonts w:ascii="仿宋_GB2312" w:hAnsi="仿宋" w:eastAsia="仿宋_GB2312"/>
          <w:bCs/>
          <w:color w:val="auto"/>
          <w:sz w:val="32"/>
          <w:szCs w:val="32"/>
          <w:highlight w:val="none"/>
        </w:rPr>
      </w:pPr>
      <w:r>
        <w:rPr>
          <w:rFonts w:hint="eastAsia" w:ascii="仿宋_GB2312" w:hAnsi="仿宋" w:eastAsia="仿宋_GB2312"/>
          <w:b/>
          <w:bCs/>
          <w:color w:val="auto"/>
          <w:sz w:val="24"/>
          <w:highlight w:val="none"/>
        </w:rPr>
        <w:t>格式12</w:t>
      </w:r>
      <w:r>
        <w:rPr>
          <w:rFonts w:hint="eastAsia" w:ascii="仿宋_GB2312" w:hAnsi="仿宋" w:eastAsia="仿宋_GB2312"/>
          <w:color w:val="auto"/>
          <w:sz w:val="24"/>
          <w:highlight w:val="none"/>
        </w:rPr>
        <w:t xml:space="preserve">   </w:t>
      </w:r>
      <w:r>
        <w:rPr>
          <w:rFonts w:hint="eastAsia" w:ascii="仿宋_GB2312" w:eastAsia="仿宋_GB2312"/>
          <w:b/>
          <w:color w:val="auto"/>
          <w:sz w:val="24"/>
          <w:highlight w:val="none"/>
        </w:rPr>
        <w:t>资格性/符合性自查表</w:t>
      </w:r>
    </w:p>
    <w:tbl>
      <w:tblPr>
        <w:tblStyle w:val="24"/>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448"/>
        <w:gridCol w:w="2507"/>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auto"/>
                <w:sz w:val="24"/>
                <w:highlight w:val="none"/>
              </w:rPr>
            </w:pPr>
            <w:r>
              <w:rPr>
                <w:rFonts w:hint="eastAsia" w:ascii="仿宋_GB2312" w:hAnsi="仿宋" w:eastAsia="仿宋_GB2312"/>
                <w:b/>
                <w:bCs/>
                <w:color w:val="auto"/>
                <w:spacing w:val="10"/>
                <w:sz w:val="24"/>
                <w:highlight w:val="none"/>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_GB2312" w:hAnsi="仿宋" w:eastAsia="仿宋_GB2312"/>
                <w:b/>
                <w:bCs/>
                <w:color w:val="auto"/>
                <w:spacing w:val="10"/>
                <w:sz w:val="24"/>
                <w:highlight w:val="none"/>
                <w:lang w:eastAsia="zh-CN"/>
              </w:rPr>
            </w:pPr>
            <w:r>
              <w:rPr>
                <w:rFonts w:hint="eastAsia" w:ascii="仿宋_GB2312" w:hAnsi="仿宋" w:eastAsia="仿宋_GB2312"/>
                <w:b/>
                <w:bCs/>
                <w:color w:val="auto"/>
                <w:spacing w:val="10"/>
                <w:sz w:val="24"/>
                <w:highlight w:val="none"/>
              </w:rPr>
              <w:t>采购文件要求</w:t>
            </w:r>
          </w:p>
          <w:p>
            <w:pPr>
              <w:jc w:val="center"/>
              <w:rPr>
                <w:rFonts w:ascii="仿宋_GB2312" w:hAnsi="仿宋" w:eastAsia="仿宋_GB2312" w:cs="宋体"/>
                <w:color w:val="auto"/>
                <w:sz w:val="24"/>
                <w:highlight w:val="none"/>
              </w:rPr>
            </w:pPr>
            <w:r>
              <w:rPr>
                <w:rFonts w:hint="eastAsia" w:ascii="仿宋_GB2312" w:hAnsi="仿宋" w:eastAsia="仿宋_GB2312"/>
                <w:color w:val="auto"/>
                <w:sz w:val="22"/>
                <w:szCs w:val="28"/>
                <w:highlight w:val="none"/>
              </w:rPr>
              <w:t>（详见《资格性和符合性审查表》各项）</w:t>
            </w:r>
          </w:p>
        </w:tc>
        <w:tc>
          <w:tcPr>
            <w:tcW w:w="2448"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auto"/>
                <w:sz w:val="24"/>
                <w:highlight w:val="none"/>
              </w:rPr>
            </w:pPr>
            <w:r>
              <w:rPr>
                <w:rFonts w:hint="eastAsia" w:ascii="仿宋_GB2312" w:hAnsi="仿宋" w:eastAsia="仿宋_GB2312"/>
                <w:b/>
                <w:bCs/>
                <w:color w:val="auto"/>
                <w:spacing w:val="10"/>
                <w:sz w:val="24"/>
                <w:highlight w:val="none"/>
              </w:rPr>
              <w:t>自查结论</w:t>
            </w:r>
          </w:p>
        </w:tc>
        <w:tc>
          <w:tcPr>
            <w:tcW w:w="2507"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auto"/>
                <w:sz w:val="24"/>
                <w:highlight w:val="none"/>
              </w:rPr>
            </w:pPr>
            <w:r>
              <w:rPr>
                <w:rFonts w:hint="eastAsia" w:ascii="仿宋_GB2312" w:hAnsi="仿宋" w:eastAsia="仿宋_GB2312"/>
                <w:b/>
                <w:bCs/>
                <w:color w:val="auto"/>
                <w:spacing w:val="10"/>
                <w:sz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jc w:val="center"/>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olor w:val="auto"/>
                <w:sz w:val="22"/>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□通过 □不通过</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□通过 □不通过</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□通过 □不通过</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□通过 □不通过</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□通过 □不通过</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jc w:val="center"/>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□符合 □不符合</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□符合 □不符合</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□符合 □不符合</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□符合 □不符合</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□符合 □不符合</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□符合 □不符合</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□符合 □不符合</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□符合 □不符合</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□符合 □不符合</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olor w:val="auto"/>
                <w:sz w:val="22"/>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□符合 □不符合</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auto"/>
                <w:sz w:val="28"/>
                <w:szCs w:val="28"/>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olor w:val="auto"/>
                <w:sz w:val="22"/>
                <w:szCs w:val="28"/>
                <w:highlight w:val="none"/>
              </w:rPr>
            </w:pPr>
          </w:p>
        </w:tc>
        <w:tc>
          <w:tcPr>
            <w:tcW w:w="2448"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□符合 □不符合</w:t>
            </w:r>
          </w:p>
        </w:tc>
        <w:tc>
          <w:tcPr>
            <w:tcW w:w="2507"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auto"/>
                <w:sz w:val="28"/>
                <w:szCs w:val="28"/>
                <w:highlight w:val="none"/>
              </w:rPr>
            </w:pPr>
            <w:r>
              <w:rPr>
                <w:rFonts w:hint="eastAsia" w:ascii="仿宋_GB2312" w:hAnsi="仿宋" w:eastAsia="仿宋_GB2312"/>
                <w:color w:val="auto"/>
                <w:sz w:val="22"/>
                <w:szCs w:val="28"/>
                <w:highlight w:val="none"/>
              </w:rPr>
              <w:t>见响应文件第（）页</w:t>
            </w:r>
          </w:p>
        </w:tc>
      </w:tr>
    </w:tbl>
    <w:p>
      <w:pPr>
        <w:tabs>
          <w:tab w:val="left" w:pos="360"/>
          <w:tab w:val="left" w:pos="1800"/>
        </w:tabs>
        <w:ind w:firstLine="361" w:firstLineChars="150"/>
        <w:jc w:val="left"/>
        <w:rPr>
          <w:rFonts w:ascii="仿宋_GB2312" w:hAnsi="仿宋" w:eastAsia="仿宋_GB2312"/>
          <w:b/>
          <w:color w:val="auto"/>
          <w:w w:val="90"/>
          <w:sz w:val="24"/>
          <w:highlight w:val="none"/>
        </w:rPr>
      </w:pPr>
      <w:r>
        <w:rPr>
          <w:rFonts w:hint="eastAsia" w:ascii="仿宋_GB2312" w:hAnsi="仿宋" w:eastAsia="仿宋_GB2312"/>
          <w:b/>
          <w:color w:val="auto"/>
          <w:sz w:val="24"/>
          <w:highlight w:val="none"/>
        </w:rPr>
        <w:t>注：以上材料将作为供应商有效性审核的重要内容之一，供应商必须严格按照其内容及序列要求在响应文件中对应如</w:t>
      </w:r>
      <w:r>
        <w:rPr>
          <w:rFonts w:hint="eastAsia" w:ascii="仿宋_GB2312" w:hAnsi="仿宋" w:eastAsia="仿宋_GB2312"/>
          <w:b/>
          <w:color w:val="auto"/>
          <w:w w:val="90"/>
          <w:sz w:val="24"/>
          <w:highlight w:val="none"/>
        </w:rPr>
        <w:t>实提供，对资格性和符合性证明文件的任何缺漏和不符合项将会直接导致无效投标！供应商根据自查结论在对应的□打“√”。</w:t>
      </w:r>
    </w:p>
    <w:p>
      <w:pPr>
        <w:tabs>
          <w:tab w:val="left" w:pos="360"/>
          <w:tab w:val="left" w:pos="1800"/>
        </w:tabs>
        <w:ind w:firstLine="325" w:firstLineChars="150"/>
        <w:jc w:val="left"/>
        <w:rPr>
          <w:rFonts w:ascii="仿宋_GB2312" w:hAnsi="仿宋" w:eastAsia="仿宋_GB2312"/>
          <w:b/>
          <w:color w:val="auto"/>
          <w:w w:val="90"/>
          <w:sz w:val="24"/>
          <w:highlight w:val="none"/>
        </w:rPr>
      </w:pPr>
    </w:p>
    <w:p>
      <w:pPr>
        <w:tabs>
          <w:tab w:val="left" w:pos="6300"/>
        </w:tabs>
        <w:snapToGrid w:val="0"/>
        <w:spacing w:line="500" w:lineRule="exact"/>
        <w:jc w:val="center"/>
        <w:rPr>
          <w:rFonts w:ascii="仿宋_GB2312" w:eastAsia="仿宋_GB2312"/>
          <w:b/>
          <w:color w:val="auto"/>
          <w:sz w:val="24"/>
          <w:highlight w:val="none"/>
        </w:rPr>
      </w:pPr>
      <w:r>
        <w:rPr>
          <w:rFonts w:hint="eastAsia" w:ascii="仿宋_GB2312" w:eastAsia="仿宋_GB2312"/>
          <w:b/>
          <w:color w:val="auto"/>
          <w:sz w:val="24"/>
          <w:highlight w:val="none"/>
        </w:rPr>
        <w:t>格式13    政府采购领域诚信承诺书</w:t>
      </w:r>
    </w:p>
    <w:p>
      <w:pPr>
        <w:tabs>
          <w:tab w:val="left" w:pos="6300"/>
        </w:tabs>
        <w:snapToGrid w:val="0"/>
        <w:spacing w:line="500" w:lineRule="exact"/>
        <w:ind w:firstLine="570"/>
        <w:rPr>
          <w:rFonts w:ascii="仿宋" w:hAnsi="仿宋" w:eastAsia="仿宋"/>
          <w:color w:val="auto"/>
          <w:sz w:val="24"/>
          <w:highlight w:val="none"/>
        </w:rPr>
      </w:pPr>
    </w:p>
    <w:p>
      <w:pPr>
        <w:spacing w:line="48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(单位名称或个人)，</w:t>
      </w:r>
      <w:r>
        <w:rPr>
          <w:rFonts w:hint="eastAsia" w:ascii="仿宋" w:hAnsi="仿宋" w:eastAsia="仿宋" w:cs="仿宋"/>
          <w:color w:val="auto"/>
          <w:sz w:val="24"/>
          <w:highlight w:val="none"/>
          <w:u w:val="single"/>
        </w:rPr>
        <w:t xml:space="preserve">                      </w:t>
      </w:r>
    </w:p>
    <w:p>
      <w:pPr>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统一社会信用代码（个人身份证号）是具备《政府采购法》第二十二条件的供应商，本单位在参加克拉玛依地区政府采购活动时，承诺如下：</w:t>
      </w:r>
    </w:p>
    <w:p>
      <w:pPr>
        <w:adjustRightInd w:val="0"/>
        <w:snapToGrid w:val="0"/>
        <w:spacing w:line="48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（一）严格遵守国家法律、法规和规章，全面履行应尽的责任和义务。</w:t>
      </w:r>
    </w:p>
    <w:p>
      <w:pPr>
        <w:adjustRightInd w:val="0"/>
        <w:snapToGrid w:val="0"/>
        <w:spacing w:line="48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保证参加政府采购活动时所提供资料均合法、真实、有效，并对所提供资料的真实性负责；我单位（个人）在参加政府采购活动前三年在经营活动中没有《政府采购法》第第二十二条第一款第（五项）所称重大违法记录。</w:t>
      </w:r>
    </w:p>
    <w:p>
      <w:pPr>
        <w:adjustRightInd w:val="0"/>
        <w:snapToGrid w:val="0"/>
        <w:spacing w:line="48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（三）承诺本单位（个人）自觉接受行政管理部门、行业组织、社会公众、新闻舆论的监督。</w:t>
      </w:r>
    </w:p>
    <w:p>
      <w:pPr>
        <w:adjustRightInd w:val="0"/>
        <w:snapToGrid w:val="0"/>
        <w:spacing w:line="48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（四）承诺本单位（个人）将按照信用管理要求，按照规定通过克拉玛依诚信网向社会公示信用信息。</w:t>
      </w:r>
    </w:p>
    <w:p>
      <w:pPr>
        <w:adjustRightInd w:val="0"/>
        <w:snapToGrid w:val="0"/>
        <w:spacing w:line="48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（五）承诺本单位（个人）不制假售假、商标侵权、虚假宣传、违约毁约、价格欺诈、垄断和不正当竞争，守合同、重信用，维护经营者、消费者的合法权益。</w:t>
      </w:r>
    </w:p>
    <w:p>
      <w:pPr>
        <w:adjustRightInd w:val="0"/>
        <w:snapToGrid w:val="0"/>
        <w:spacing w:line="48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（六）失信主体承诺本单位（个人）依法依规接受处罚、主动积极整改、不再触犯相关法律法规、今后全面做到履约守信等。</w:t>
      </w:r>
    </w:p>
    <w:p>
      <w:pPr>
        <w:adjustRightInd w:val="0"/>
        <w:snapToGrid w:val="0"/>
        <w:spacing w:line="480" w:lineRule="auto"/>
        <w:ind w:left="319" w:leftChars="152"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spacing w:line="480" w:lineRule="auto"/>
        <w:ind w:firstLine="2880" w:firstLineChars="1200"/>
        <w:jc w:val="right"/>
        <w:rPr>
          <w:rFonts w:ascii="仿宋" w:hAnsi="仿宋" w:eastAsia="仿宋" w:cs="仿宋"/>
          <w:color w:val="auto"/>
          <w:sz w:val="24"/>
          <w:highlight w:val="none"/>
        </w:rPr>
      </w:pPr>
      <w:r>
        <w:rPr>
          <w:rFonts w:hint="eastAsia" w:ascii="仿宋" w:hAnsi="仿宋" w:eastAsia="仿宋" w:cs="仿宋"/>
          <w:color w:val="auto"/>
          <w:sz w:val="24"/>
          <w:highlight w:val="none"/>
        </w:rPr>
        <w:t>单位名称或个人(公章或签名)</w:t>
      </w:r>
    </w:p>
    <w:p>
      <w:pPr>
        <w:spacing w:line="480" w:lineRule="auto"/>
        <w:ind w:firstLine="2880" w:firstLineChars="1200"/>
        <w:jc w:val="righ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     年   月   日</w:t>
      </w:r>
    </w:p>
    <w:p>
      <w:pPr>
        <w:spacing w:line="360" w:lineRule="auto"/>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 xml:space="preserve">第六章  </w:t>
      </w:r>
      <w:r>
        <w:rPr>
          <w:rFonts w:hint="eastAsia" w:ascii="仿宋_GB2312" w:eastAsia="仿宋_GB2312"/>
          <w:b/>
          <w:color w:val="auto"/>
          <w:sz w:val="28"/>
          <w:szCs w:val="28"/>
          <w:highlight w:val="none"/>
        </w:rPr>
        <w:t>初步评审内容</w:t>
      </w:r>
    </w:p>
    <w:p>
      <w:pPr>
        <w:spacing w:line="360" w:lineRule="auto"/>
        <w:rPr>
          <w:rFonts w:ascii="仿宋_GB2312" w:eastAsia="仿宋_GB2312"/>
          <w:b/>
          <w:bCs/>
          <w:color w:val="auto"/>
          <w:sz w:val="24"/>
          <w:highlight w:val="none"/>
        </w:rPr>
      </w:pPr>
      <w:r>
        <w:rPr>
          <w:rFonts w:hint="eastAsia" w:ascii="仿宋_GB2312" w:eastAsia="仿宋_GB2312"/>
          <w:b/>
          <w:bCs/>
          <w:color w:val="auto"/>
          <w:sz w:val="24"/>
          <w:highlight w:val="none"/>
        </w:rPr>
        <w:t>1、资格性审查</w:t>
      </w:r>
    </w:p>
    <w:tbl>
      <w:tblPr>
        <w:tblStyle w:val="24"/>
        <w:tblW w:w="10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5835"/>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006" w:type="dxa"/>
            <w:vAlign w:val="center"/>
          </w:tcPr>
          <w:p>
            <w:pPr>
              <w:spacing w:line="288"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5835" w:type="dxa"/>
            <w:vAlign w:val="center"/>
          </w:tcPr>
          <w:p>
            <w:pPr>
              <w:spacing w:line="288"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检查因素</w:t>
            </w:r>
          </w:p>
        </w:tc>
        <w:tc>
          <w:tcPr>
            <w:tcW w:w="3417" w:type="dxa"/>
            <w:vAlign w:val="center"/>
          </w:tcPr>
          <w:p>
            <w:pPr>
              <w:spacing w:line="288"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006" w:type="dxa"/>
            <w:vAlign w:val="center"/>
          </w:tcPr>
          <w:p>
            <w:pPr>
              <w:spacing w:line="500" w:lineRule="exact"/>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1</w:t>
            </w:r>
          </w:p>
        </w:tc>
        <w:tc>
          <w:tcPr>
            <w:tcW w:w="5835" w:type="dxa"/>
            <w:vAlign w:val="center"/>
          </w:tcPr>
          <w:p>
            <w:pPr>
              <w:spacing w:line="288" w:lineRule="auto"/>
              <w:rPr>
                <w:rFonts w:ascii="仿宋_GB2312" w:hAnsi="宋体" w:eastAsia="仿宋_GB2312"/>
                <w:color w:val="auto"/>
                <w:sz w:val="22"/>
                <w:szCs w:val="22"/>
                <w:highlight w:val="none"/>
              </w:rPr>
            </w:pPr>
            <w:r>
              <w:rPr>
                <w:rFonts w:hint="eastAsia" w:ascii="仿宋_GB2312" w:hAnsi="仿宋_GB2312" w:eastAsia="仿宋_GB2312" w:cs="仿宋_GB2312"/>
                <w:color w:val="auto"/>
                <w:kern w:val="0"/>
                <w:sz w:val="22"/>
                <w:szCs w:val="22"/>
                <w:highlight w:val="none"/>
              </w:rPr>
              <w:t>供应商须符合《中华人民共和国政府采购法》第二十二条</w:t>
            </w:r>
          </w:p>
        </w:tc>
        <w:tc>
          <w:tcPr>
            <w:tcW w:w="3417" w:type="dxa"/>
            <w:vAlign w:val="center"/>
          </w:tcPr>
          <w:p>
            <w:pPr>
              <w:spacing w:line="288" w:lineRule="auto"/>
              <w:rPr>
                <w:rFonts w:ascii="仿宋_GB2312" w:hAnsi="宋体" w:eastAsia="仿宋_GB2312"/>
                <w:color w:val="auto"/>
                <w:sz w:val="22"/>
                <w:szCs w:val="22"/>
                <w:highlight w:val="none"/>
              </w:rPr>
            </w:pPr>
            <w:r>
              <w:rPr>
                <w:rFonts w:hint="eastAsia" w:ascii="仿宋_GB2312" w:hAnsi="仿宋_GB2312" w:eastAsia="仿宋_GB2312" w:cs="仿宋_GB2312"/>
                <w:color w:val="auto"/>
                <w:sz w:val="22"/>
                <w:szCs w:val="22"/>
                <w:highlight w:val="none"/>
              </w:rPr>
              <w:t>符合采购文件规定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006" w:type="dxa"/>
            <w:vAlign w:val="center"/>
          </w:tcPr>
          <w:p>
            <w:pPr>
              <w:jc w:val="center"/>
              <w:rPr>
                <w:rFonts w:hint="eastAsia" w:ascii="仿宋_GB2312" w:hAnsi="宋体" w:eastAsia="仿宋_GB2312"/>
                <w:color w:val="auto"/>
                <w:sz w:val="22"/>
                <w:szCs w:val="22"/>
                <w:highlight w:val="none"/>
                <w:lang w:eastAsia="zh-CN"/>
              </w:rPr>
            </w:pPr>
            <w:r>
              <w:rPr>
                <w:rFonts w:hint="eastAsia" w:ascii="仿宋_GB2312" w:hAnsi="宋体" w:eastAsia="仿宋_GB2312"/>
                <w:color w:val="auto"/>
                <w:sz w:val="22"/>
                <w:szCs w:val="22"/>
                <w:highlight w:val="none"/>
                <w:lang w:val="en-US" w:eastAsia="zh-CN"/>
              </w:rPr>
              <w:t>2</w:t>
            </w:r>
          </w:p>
        </w:tc>
        <w:tc>
          <w:tcPr>
            <w:tcW w:w="5835" w:type="dxa"/>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本项目不接受联合体供应商参加</w:t>
            </w:r>
          </w:p>
        </w:tc>
        <w:tc>
          <w:tcPr>
            <w:tcW w:w="3417" w:type="dxa"/>
            <w:vAlign w:val="center"/>
          </w:tcPr>
          <w:p>
            <w:pPr>
              <w:rPr>
                <w:rFonts w:ascii="仿宋_GB2312" w:hAnsi="宋体" w:eastAsia="仿宋_GB2312"/>
                <w:color w:val="auto"/>
                <w:sz w:val="22"/>
                <w:szCs w:val="22"/>
                <w:highlight w:val="none"/>
              </w:rPr>
            </w:pPr>
            <w:r>
              <w:rPr>
                <w:rFonts w:hint="eastAsia" w:ascii="仿宋_GB2312" w:hAnsi="仿宋_GB2312" w:eastAsia="仿宋_GB2312" w:cs="仿宋_GB2312"/>
                <w:color w:val="auto"/>
                <w:sz w:val="22"/>
                <w:szCs w:val="22"/>
                <w:highlight w:val="none"/>
              </w:rPr>
              <w:t>符合采购文件规定</w:t>
            </w:r>
          </w:p>
        </w:tc>
      </w:tr>
    </w:tbl>
    <w:p>
      <w:pPr>
        <w:spacing w:line="360" w:lineRule="auto"/>
        <w:rPr>
          <w:rFonts w:ascii="仿宋_GB2312" w:eastAsia="仿宋_GB2312"/>
          <w:b/>
          <w:bCs/>
          <w:color w:val="auto"/>
          <w:sz w:val="24"/>
          <w:highlight w:val="none"/>
        </w:rPr>
      </w:pPr>
      <w:r>
        <w:rPr>
          <w:rFonts w:hint="eastAsia" w:ascii="仿宋_GB2312" w:eastAsia="仿宋_GB2312"/>
          <w:b/>
          <w:bCs/>
          <w:color w:val="auto"/>
          <w:sz w:val="24"/>
          <w:highlight w:val="none"/>
        </w:rPr>
        <w:t>2、符合性审查</w:t>
      </w:r>
    </w:p>
    <w:tbl>
      <w:tblPr>
        <w:tblStyle w:val="24"/>
        <w:tblW w:w="10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174"/>
        <w:gridCol w:w="2398"/>
        <w:gridCol w:w="6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序号</w:t>
            </w:r>
          </w:p>
        </w:tc>
        <w:tc>
          <w:tcPr>
            <w:tcW w:w="357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评审因素</w:t>
            </w:r>
          </w:p>
        </w:tc>
        <w:tc>
          <w:tcPr>
            <w:tcW w:w="60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98"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1</w:t>
            </w:r>
          </w:p>
        </w:tc>
        <w:tc>
          <w:tcPr>
            <w:tcW w:w="1174"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有效性审查</w:t>
            </w:r>
          </w:p>
        </w:tc>
        <w:tc>
          <w:tcPr>
            <w:tcW w:w="239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仿宋_GB2312"/>
                <w:color w:val="auto"/>
                <w:sz w:val="24"/>
                <w:highlight w:val="none"/>
                <w:lang w:val="zh-CN"/>
              </w:rPr>
              <w:t>响应文件</w:t>
            </w:r>
            <w:r>
              <w:rPr>
                <w:rFonts w:hint="eastAsia" w:ascii="仿宋_GB2312" w:hAnsi="宋体" w:eastAsia="仿宋_GB2312"/>
                <w:color w:val="auto"/>
                <w:sz w:val="24"/>
                <w:highlight w:val="none"/>
              </w:rPr>
              <w:t>签署</w:t>
            </w:r>
          </w:p>
        </w:tc>
        <w:tc>
          <w:tcPr>
            <w:tcW w:w="6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仿宋_GB2312"/>
                <w:color w:val="auto"/>
                <w:sz w:val="24"/>
                <w:highlight w:val="none"/>
                <w:lang w:val="zh-CN"/>
              </w:rPr>
              <w:t>响应文件</w:t>
            </w:r>
            <w:r>
              <w:rPr>
                <w:rFonts w:hint="eastAsia" w:ascii="仿宋_GB2312" w:hAnsi="宋体" w:eastAsia="仿宋_GB2312"/>
                <w:color w:val="auto"/>
                <w:sz w:val="24"/>
                <w:highlight w:val="none"/>
              </w:rPr>
              <w:t>中法定代表人或其授权代表人的签字齐全。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24"/>
                <w:highlight w:val="none"/>
              </w:rPr>
            </w:pPr>
          </w:p>
        </w:tc>
        <w:tc>
          <w:tcPr>
            <w:tcW w:w="11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24"/>
                <w:highlight w:val="none"/>
              </w:rPr>
            </w:pPr>
          </w:p>
        </w:tc>
        <w:tc>
          <w:tcPr>
            <w:tcW w:w="239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法定代表人身份证明及授权委托书</w:t>
            </w:r>
          </w:p>
        </w:tc>
        <w:tc>
          <w:tcPr>
            <w:tcW w:w="6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法定代表人身份证明及授权委托书有效，且符合采购文件规定的格式。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98"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2</w:t>
            </w:r>
          </w:p>
        </w:tc>
        <w:tc>
          <w:tcPr>
            <w:tcW w:w="1174"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完整性审查</w:t>
            </w:r>
          </w:p>
        </w:tc>
        <w:tc>
          <w:tcPr>
            <w:tcW w:w="239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仿宋_GB2312"/>
                <w:color w:val="auto"/>
                <w:sz w:val="24"/>
                <w:highlight w:val="none"/>
                <w:lang w:val="zh-CN"/>
              </w:rPr>
              <w:t>响应文件份数</w:t>
            </w:r>
          </w:p>
        </w:tc>
        <w:tc>
          <w:tcPr>
            <w:tcW w:w="6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仿宋_GB2312"/>
                <w:color w:val="auto"/>
                <w:sz w:val="24"/>
                <w:highlight w:val="none"/>
                <w:lang w:val="zh-CN"/>
              </w:rPr>
              <w:t>响应文件正本、副本等响应文件数量符合</w:t>
            </w:r>
            <w:r>
              <w:rPr>
                <w:rFonts w:hint="eastAsia" w:ascii="仿宋_GB2312" w:hAnsi="宋体" w:eastAsia="仿宋_GB2312" w:cs="宋体"/>
                <w:color w:val="auto"/>
                <w:kern w:val="0"/>
                <w:sz w:val="24"/>
                <w:highlight w:val="none"/>
              </w:rPr>
              <w:t>采购</w:t>
            </w:r>
            <w:r>
              <w:rPr>
                <w:rFonts w:hint="eastAsia" w:ascii="仿宋_GB2312" w:hAnsi="宋体" w:eastAsia="仿宋_GB2312" w:cs="仿宋_GB2312"/>
                <w:color w:val="auto"/>
                <w:sz w:val="24"/>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24"/>
                <w:highlight w:val="none"/>
              </w:rPr>
            </w:pPr>
          </w:p>
        </w:tc>
        <w:tc>
          <w:tcPr>
            <w:tcW w:w="11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24"/>
                <w:highlight w:val="none"/>
              </w:rPr>
            </w:pPr>
          </w:p>
        </w:tc>
        <w:tc>
          <w:tcPr>
            <w:tcW w:w="239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仿宋_GB2312"/>
                <w:color w:val="auto"/>
                <w:sz w:val="24"/>
                <w:highlight w:val="none"/>
                <w:lang w:val="zh-CN"/>
              </w:rPr>
            </w:pPr>
            <w:r>
              <w:rPr>
                <w:rFonts w:hint="eastAsia" w:ascii="仿宋_GB2312" w:hAnsi="宋体" w:eastAsia="仿宋_GB2312" w:cs="仿宋_GB2312"/>
                <w:color w:val="auto"/>
                <w:sz w:val="24"/>
                <w:highlight w:val="none"/>
                <w:lang w:val="zh-CN"/>
              </w:rPr>
              <w:t>响应文件内容</w:t>
            </w:r>
          </w:p>
        </w:tc>
        <w:tc>
          <w:tcPr>
            <w:tcW w:w="6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仿宋_GB2312"/>
                <w:color w:val="auto"/>
                <w:sz w:val="24"/>
                <w:highlight w:val="none"/>
                <w:lang w:val="zh-CN"/>
              </w:rPr>
            </w:pPr>
            <w:r>
              <w:rPr>
                <w:rFonts w:hint="eastAsia" w:ascii="仿宋_GB2312" w:hAnsi="宋体" w:eastAsia="仿宋_GB2312" w:cs="仿宋_GB2312"/>
                <w:color w:val="auto"/>
                <w:sz w:val="24"/>
                <w:highlight w:val="none"/>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8"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3</w:t>
            </w:r>
          </w:p>
        </w:tc>
        <w:tc>
          <w:tcPr>
            <w:tcW w:w="1174"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仿宋_GB2312"/>
                <w:color w:val="auto"/>
                <w:sz w:val="24"/>
                <w:highlight w:val="none"/>
                <w:lang w:val="zh-CN"/>
              </w:rPr>
            </w:pPr>
            <w:r>
              <w:rPr>
                <w:rFonts w:hint="eastAsia" w:ascii="仿宋_GB2312" w:hAnsi="宋体" w:eastAsia="仿宋_GB2312"/>
                <w:color w:val="auto"/>
                <w:sz w:val="24"/>
                <w:highlight w:val="none"/>
              </w:rPr>
              <w:t>采购</w:t>
            </w:r>
            <w:r>
              <w:rPr>
                <w:rFonts w:hint="eastAsia" w:ascii="仿宋_GB2312" w:hAnsi="宋体" w:eastAsia="仿宋_GB2312" w:cs="宋体"/>
                <w:color w:val="auto"/>
                <w:kern w:val="0"/>
                <w:sz w:val="24"/>
                <w:highlight w:val="none"/>
              </w:rPr>
              <w:t>文件的响应程度审查</w:t>
            </w:r>
          </w:p>
        </w:tc>
        <w:tc>
          <w:tcPr>
            <w:tcW w:w="239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仿宋_GB2312"/>
                <w:color w:val="auto"/>
                <w:sz w:val="24"/>
                <w:highlight w:val="none"/>
                <w:lang w:val="zh-CN"/>
              </w:rPr>
              <w:t>响应文件</w:t>
            </w:r>
            <w:r>
              <w:rPr>
                <w:rFonts w:hint="eastAsia" w:ascii="仿宋_GB2312" w:hAnsi="宋体" w:eastAsia="仿宋_GB2312" w:cs="宋体"/>
                <w:color w:val="auto"/>
                <w:kern w:val="0"/>
                <w:sz w:val="24"/>
                <w:highlight w:val="none"/>
              </w:rPr>
              <w:t>内容</w:t>
            </w:r>
          </w:p>
        </w:tc>
        <w:tc>
          <w:tcPr>
            <w:tcW w:w="6008" w:type="dxa"/>
            <w:tcBorders>
              <w:top w:val="single" w:color="auto" w:sz="4" w:space="0"/>
              <w:left w:val="single" w:color="auto" w:sz="4" w:space="0"/>
              <w:bottom w:val="single" w:color="auto" w:sz="4" w:space="0"/>
              <w:right w:val="single" w:color="auto" w:sz="4" w:space="0"/>
            </w:tcBorders>
            <w:vAlign w:val="center"/>
          </w:tcPr>
          <w:p>
            <w:pPr>
              <w:pStyle w:val="15"/>
              <w:spacing w:line="500" w:lineRule="exact"/>
              <w:ind w:left="0" w:leftChars="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对</w:t>
            </w:r>
            <w:r>
              <w:rPr>
                <w:rFonts w:hint="eastAsia" w:ascii="仿宋_GB2312" w:hAnsi="宋体" w:eastAsia="仿宋_GB2312"/>
                <w:color w:val="auto"/>
                <w:sz w:val="24"/>
                <w:highlight w:val="none"/>
              </w:rPr>
              <w:t>采购</w:t>
            </w:r>
            <w:r>
              <w:rPr>
                <w:rFonts w:hint="eastAsia" w:ascii="仿宋_GB2312" w:hAnsi="宋体" w:eastAsia="仿宋_GB2312" w:cs="宋体"/>
                <w:color w:val="auto"/>
                <w:sz w:val="24"/>
                <w:highlight w:val="none"/>
              </w:rPr>
              <w:t>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24"/>
                <w:highlight w:val="none"/>
              </w:rPr>
            </w:pPr>
          </w:p>
        </w:tc>
        <w:tc>
          <w:tcPr>
            <w:tcW w:w="11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auto"/>
                <w:sz w:val="24"/>
                <w:highlight w:val="none"/>
                <w:lang w:val="zh-CN"/>
              </w:rPr>
            </w:pPr>
          </w:p>
        </w:tc>
        <w:tc>
          <w:tcPr>
            <w:tcW w:w="239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质量技术</w:t>
            </w:r>
          </w:p>
        </w:tc>
        <w:tc>
          <w:tcPr>
            <w:tcW w:w="6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满足</w:t>
            </w:r>
            <w:r>
              <w:rPr>
                <w:rFonts w:hint="eastAsia" w:ascii="仿宋_GB2312" w:hAnsi="宋体" w:eastAsia="仿宋_GB2312"/>
                <w:color w:val="auto"/>
                <w:sz w:val="24"/>
                <w:highlight w:val="none"/>
              </w:rPr>
              <w:t>采购</w:t>
            </w:r>
            <w:r>
              <w:rPr>
                <w:rFonts w:hint="eastAsia" w:ascii="仿宋_GB2312" w:hAnsi="宋体" w:eastAsia="仿宋_GB2312" w:cs="宋体"/>
                <w:color w:val="auto"/>
                <w:kern w:val="0"/>
                <w:sz w:val="24"/>
                <w:highlight w:val="none"/>
              </w:rPr>
              <w:t>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24"/>
                <w:highlight w:val="none"/>
              </w:rPr>
            </w:pPr>
          </w:p>
        </w:tc>
        <w:tc>
          <w:tcPr>
            <w:tcW w:w="11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auto"/>
                <w:sz w:val="24"/>
                <w:highlight w:val="none"/>
                <w:lang w:val="zh-CN"/>
              </w:rPr>
            </w:pPr>
          </w:p>
        </w:tc>
        <w:tc>
          <w:tcPr>
            <w:tcW w:w="239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服务期</w:t>
            </w:r>
          </w:p>
        </w:tc>
        <w:tc>
          <w:tcPr>
            <w:tcW w:w="6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满足</w:t>
            </w:r>
            <w:r>
              <w:rPr>
                <w:rFonts w:hint="eastAsia" w:ascii="仿宋_GB2312" w:hAnsi="宋体" w:eastAsia="仿宋_GB2312"/>
                <w:color w:val="auto"/>
                <w:sz w:val="24"/>
                <w:highlight w:val="none"/>
              </w:rPr>
              <w:t>采购</w:t>
            </w:r>
            <w:r>
              <w:rPr>
                <w:rFonts w:hint="eastAsia" w:ascii="仿宋_GB2312" w:hAnsi="宋体" w:eastAsia="仿宋_GB2312" w:cs="宋体"/>
                <w:color w:val="auto"/>
                <w:kern w:val="0"/>
                <w:sz w:val="24"/>
                <w:highlight w:val="none"/>
              </w:rPr>
              <w:t>文件</w:t>
            </w:r>
            <w:r>
              <w:rPr>
                <w:rFonts w:hint="eastAsia" w:ascii="仿宋_GB2312" w:hAnsi="宋体" w:eastAsia="仿宋_GB2312" w:cs="仿宋_GB2312"/>
                <w:color w:val="auto"/>
                <w:sz w:val="24"/>
                <w:highlight w:val="none"/>
                <w:lang w:val="zh-CN"/>
              </w:rPr>
              <w:t>规定</w:t>
            </w:r>
            <w:r>
              <w:rPr>
                <w:rFonts w:hint="eastAsia" w:ascii="仿宋_GB2312" w:hAnsi="宋体" w:eastAsia="仿宋_GB2312"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24"/>
                <w:highlight w:val="none"/>
              </w:rPr>
            </w:pPr>
          </w:p>
        </w:tc>
        <w:tc>
          <w:tcPr>
            <w:tcW w:w="11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auto"/>
                <w:sz w:val="24"/>
                <w:highlight w:val="none"/>
                <w:lang w:val="zh-CN"/>
              </w:rPr>
            </w:pPr>
          </w:p>
        </w:tc>
        <w:tc>
          <w:tcPr>
            <w:tcW w:w="239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仿宋_GB2312"/>
                <w:color w:val="auto"/>
                <w:sz w:val="24"/>
                <w:highlight w:val="none"/>
                <w:lang w:val="zh-CN"/>
              </w:rPr>
              <w:t>响应文件</w:t>
            </w:r>
            <w:r>
              <w:rPr>
                <w:rFonts w:hint="eastAsia" w:ascii="仿宋_GB2312" w:hAnsi="宋体" w:eastAsia="仿宋_GB2312" w:cs="宋体"/>
                <w:color w:val="auto"/>
                <w:kern w:val="0"/>
                <w:sz w:val="24"/>
                <w:highlight w:val="none"/>
              </w:rPr>
              <w:t>有效期</w:t>
            </w:r>
          </w:p>
        </w:tc>
        <w:tc>
          <w:tcPr>
            <w:tcW w:w="6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满足</w:t>
            </w:r>
            <w:r>
              <w:rPr>
                <w:rFonts w:hint="eastAsia" w:ascii="仿宋_GB2312" w:hAnsi="宋体" w:eastAsia="仿宋_GB2312"/>
                <w:color w:val="auto"/>
                <w:sz w:val="24"/>
                <w:highlight w:val="none"/>
              </w:rPr>
              <w:t>采购</w:t>
            </w:r>
            <w:r>
              <w:rPr>
                <w:rFonts w:hint="eastAsia" w:ascii="仿宋_GB2312" w:hAnsi="宋体" w:eastAsia="仿宋_GB2312" w:cs="宋体"/>
                <w:color w:val="auto"/>
                <w:kern w:val="0"/>
                <w:sz w:val="24"/>
                <w:highlight w:val="none"/>
              </w:rPr>
              <w:t>文件</w:t>
            </w:r>
            <w:r>
              <w:rPr>
                <w:rFonts w:hint="eastAsia" w:ascii="仿宋_GB2312" w:hAnsi="宋体" w:eastAsia="仿宋_GB2312" w:cs="仿宋_GB2312"/>
                <w:color w:val="auto"/>
                <w:sz w:val="24"/>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24"/>
                <w:highlight w:val="none"/>
              </w:rPr>
            </w:pPr>
          </w:p>
        </w:tc>
        <w:tc>
          <w:tcPr>
            <w:tcW w:w="11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auto"/>
                <w:sz w:val="24"/>
                <w:highlight w:val="none"/>
                <w:lang w:val="zh-CN"/>
              </w:rPr>
            </w:pPr>
          </w:p>
        </w:tc>
        <w:tc>
          <w:tcPr>
            <w:tcW w:w="239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其他</w:t>
            </w:r>
          </w:p>
        </w:tc>
        <w:tc>
          <w:tcPr>
            <w:tcW w:w="6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满足</w:t>
            </w:r>
            <w:r>
              <w:rPr>
                <w:rFonts w:hint="eastAsia" w:ascii="仿宋_GB2312" w:hAnsi="宋体" w:eastAsia="仿宋_GB2312"/>
                <w:color w:val="auto"/>
                <w:sz w:val="24"/>
                <w:highlight w:val="none"/>
              </w:rPr>
              <w:t>采购</w:t>
            </w:r>
            <w:r>
              <w:rPr>
                <w:rFonts w:hint="eastAsia" w:ascii="仿宋_GB2312" w:hAnsi="宋体" w:eastAsia="仿宋_GB2312" w:cs="宋体"/>
                <w:color w:val="auto"/>
                <w:kern w:val="0"/>
                <w:sz w:val="24"/>
                <w:highlight w:val="none"/>
              </w:rPr>
              <w:t>文件相关</w:t>
            </w:r>
            <w:r>
              <w:rPr>
                <w:rFonts w:hint="eastAsia" w:ascii="仿宋_GB2312" w:hAnsi="宋体" w:eastAsia="仿宋_GB2312" w:cs="仿宋_GB2312"/>
                <w:color w:val="auto"/>
                <w:sz w:val="24"/>
                <w:highlight w:val="none"/>
                <w:lang w:val="zh-CN"/>
              </w:rPr>
              <w:t>规定。</w:t>
            </w:r>
          </w:p>
        </w:tc>
      </w:tr>
    </w:tbl>
    <w:p>
      <w:pPr>
        <w:rPr>
          <w:rFonts w:ascii="仿宋_GB2312" w:eastAsia="仿宋_GB2312"/>
          <w:b/>
          <w:color w:val="auto"/>
          <w:sz w:val="24"/>
          <w:highlight w:val="none"/>
        </w:rPr>
      </w:pPr>
      <w:r>
        <w:rPr>
          <w:rFonts w:hint="eastAsia" w:ascii="仿宋_GB2312" w:eastAsia="仿宋_GB2312"/>
          <w:b/>
          <w:color w:val="auto"/>
          <w:sz w:val="24"/>
          <w:highlight w:val="none"/>
        </w:rPr>
        <w:t>注：未通过</w:t>
      </w:r>
      <w:r>
        <w:rPr>
          <w:rFonts w:hint="eastAsia" w:ascii="仿宋_GB2312" w:eastAsia="仿宋_GB2312" w:cs="黑体"/>
          <w:b/>
          <w:color w:val="auto"/>
          <w:sz w:val="24"/>
          <w:szCs w:val="22"/>
          <w:highlight w:val="none"/>
        </w:rPr>
        <w:t>初审</w:t>
      </w:r>
      <w:r>
        <w:rPr>
          <w:rFonts w:hint="eastAsia" w:ascii="仿宋_GB2312" w:eastAsia="仿宋_GB2312"/>
          <w:b/>
          <w:color w:val="auto"/>
          <w:sz w:val="24"/>
          <w:highlight w:val="none"/>
        </w:rPr>
        <w:t>的其响应文件将按照无效响应处理。</w:t>
      </w:r>
    </w:p>
    <w:p>
      <w:pPr>
        <w:rPr>
          <w:rFonts w:ascii="仿宋_GB2312" w:eastAsia="仿宋_GB2312"/>
          <w:b/>
          <w:color w:val="auto"/>
          <w:sz w:val="24"/>
          <w:highlight w:val="none"/>
        </w:rPr>
      </w:pPr>
    </w:p>
    <w:sectPr>
      <w:footerReference r:id="rId6" w:type="default"/>
      <w:pgSz w:w="11906" w:h="16838"/>
      <w:pgMar w:top="1440" w:right="1080" w:bottom="1440" w:left="1080"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2"/>
      <w:rPr>
        <w:rStyle w:val="29"/>
      </w:rPr>
    </w:pPr>
    <w:r>
      <w:fldChar w:fldCharType="begin"/>
    </w:r>
    <w:r>
      <w:rPr>
        <w:rStyle w:val="29"/>
      </w:rPr>
      <w:instrText xml:space="preserve">PAGE  </w:instrText>
    </w:r>
    <w:r>
      <w:fldChar w:fldCharType="separate"/>
    </w:r>
    <w:r>
      <w:rPr>
        <w:rStyle w:val="29"/>
      </w:rPr>
      <w:t>28</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2</w:t>
    </w:r>
    <w:r>
      <w:rPr>
        <w:lang w:val="zh-CN"/>
      </w:rP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 PAGE   \* MERGEFORMAT </w:instrText>
    </w:r>
    <w:r>
      <w:fldChar w:fldCharType="separate"/>
    </w:r>
    <w:r>
      <w:rPr>
        <w:lang w:val="zh-CN"/>
      </w:rPr>
      <w:t>2</w:t>
    </w:r>
    <w:r>
      <w:rPr>
        <w:lang w:val="zh-CN"/>
      </w:rPr>
      <w:fldChar w:fldCharType="end"/>
    </w:r>
  </w:p>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CCBF5"/>
    <w:multiLevelType w:val="singleLevel"/>
    <w:tmpl w:val="F57CCBF5"/>
    <w:lvl w:ilvl="0" w:tentative="0">
      <w:start w:val="1"/>
      <w:numFmt w:val="decimal"/>
      <w:suff w:val="nothing"/>
      <w:lvlText w:val="%1、"/>
      <w:lvlJc w:val="left"/>
    </w:lvl>
  </w:abstractNum>
  <w:abstractNum w:abstractNumId="1">
    <w:nsid w:val="22D32E6E"/>
    <w:multiLevelType w:val="multilevel"/>
    <w:tmpl w:val="22D32E6E"/>
    <w:lvl w:ilvl="0" w:tentative="0">
      <w:start w:val="1"/>
      <w:numFmt w:val="bullet"/>
      <w:pStyle w:val="78"/>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61"/>
    <w:rsid w:val="0000262F"/>
    <w:rsid w:val="000060DE"/>
    <w:rsid w:val="000064B0"/>
    <w:rsid w:val="00006A5C"/>
    <w:rsid w:val="00006B79"/>
    <w:rsid w:val="00006C5B"/>
    <w:rsid w:val="000102F5"/>
    <w:rsid w:val="000113A5"/>
    <w:rsid w:val="000272BA"/>
    <w:rsid w:val="00037F8C"/>
    <w:rsid w:val="00040E70"/>
    <w:rsid w:val="0004120F"/>
    <w:rsid w:val="00042997"/>
    <w:rsid w:val="00067701"/>
    <w:rsid w:val="00070049"/>
    <w:rsid w:val="00071648"/>
    <w:rsid w:val="00074E55"/>
    <w:rsid w:val="00076890"/>
    <w:rsid w:val="00082D10"/>
    <w:rsid w:val="00085E9E"/>
    <w:rsid w:val="00087EBA"/>
    <w:rsid w:val="000A07FC"/>
    <w:rsid w:val="000A295D"/>
    <w:rsid w:val="000B5574"/>
    <w:rsid w:val="000B7050"/>
    <w:rsid w:val="000C09B5"/>
    <w:rsid w:val="000C6152"/>
    <w:rsid w:val="000D1AAD"/>
    <w:rsid w:val="000D2927"/>
    <w:rsid w:val="000D5BFF"/>
    <w:rsid w:val="000E2ECB"/>
    <w:rsid w:val="000E6B38"/>
    <w:rsid w:val="000E72BD"/>
    <w:rsid w:val="000E7CF0"/>
    <w:rsid w:val="000F0D13"/>
    <w:rsid w:val="000F2BF1"/>
    <w:rsid w:val="001007AE"/>
    <w:rsid w:val="0010149F"/>
    <w:rsid w:val="00102FDB"/>
    <w:rsid w:val="00103108"/>
    <w:rsid w:val="0011570C"/>
    <w:rsid w:val="001221DF"/>
    <w:rsid w:val="00126674"/>
    <w:rsid w:val="00132588"/>
    <w:rsid w:val="0013387F"/>
    <w:rsid w:val="0013470C"/>
    <w:rsid w:val="00137B3E"/>
    <w:rsid w:val="00143377"/>
    <w:rsid w:val="00154E89"/>
    <w:rsid w:val="0015550A"/>
    <w:rsid w:val="00155A57"/>
    <w:rsid w:val="0015767E"/>
    <w:rsid w:val="00157822"/>
    <w:rsid w:val="001611E4"/>
    <w:rsid w:val="001626A5"/>
    <w:rsid w:val="00164445"/>
    <w:rsid w:val="00165DAA"/>
    <w:rsid w:val="001724F0"/>
    <w:rsid w:val="00180DE1"/>
    <w:rsid w:val="001852D5"/>
    <w:rsid w:val="001A1384"/>
    <w:rsid w:val="001A1704"/>
    <w:rsid w:val="001A6641"/>
    <w:rsid w:val="001A6827"/>
    <w:rsid w:val="001B0206"/>
    <w:rsid w:val="001B0AD8"/>
    <w:rsid w:val="001D2310"/>
    <w:rsid w:val="001D6909"/>
    <w:rsid w:val="001F0B2F"/>
    <w:rsid w:val="001F1DE5"/>
    <w:rsid w:val="001F2EBF"/>
    <w:rsid w:val="001F6FCC"/>
    <w:rsid w:val="00201C4D"/>
    <w:rsid w:val="00203F5A"/>
    <w:rsid w:val="00205DAA"/>
    <w:rsid w:val="00207E29"/>
    <w:rsid w:val="00220BB4"/>
    <w:rsid w:val="002250CA"/>
    <w:rsid w:val="002327FC"/>
    <w:rsid w:val="00236BCB"/>
    <w:rsid w:val="00242FCE"/>
    <w:rsid w:val="00243DB8"/>
    <w:rsid w:val="002452DA"/>
    <w:rsid w:val="002507CD"/>
    <w:rsid w:val="00253CD1"/>
    <w:rsid w:val="002609A3"/>
    <w:rsid w:val="00263DBA"/>
    <w:rsid w:val="002674C6"/>
    <w:rsid w:val="00280AAB"/>
    <w:rsid w:val="00282662"/>
    <w:rsid w:val="002846FD"/>
    <w:rsid w:val="002869C3"/>
    <w:rsid w:val="002908ED"/>
    <w:rsid w:val="002A1EC8"/>
    <w:rsid w:val="002A31AE"/>
    <w:rsid w:val="002B0FA7"/>
    <w:rsid w:val="002B2195"/>
    <w:rsid w:val="002B328B"/>
    <w:rsid w:val="002B3D18"/>
    <w:rsid w:val="002B67EC"/>
    <w:rsid w:val="002C1CB3"/>
    <w:rsid w:val="002C252B"/>
    <w:rsid w:val="002C268F"/>
    <w:rsid w:val="002C2E69"/>
    <w:rsid w:val="002C4B97"/>
    <w:rsid w:val="002D0916"/>
    <w:rsid w:val="002D3951"/>
    <w:rsid w:val="002E3540"/>
    <w:rsid w:val="002E36AE"/>
    <w:rsid w:val="002F344E"/>
    <w:rsid w:val="00300094"/>
    <w:rsid w:val="00300A9F"/>
    <w:rsid w:val="0030126A"/>
    <w:rsid w:val="00301ED9"/>
    <w:rsid w:val="00305589"/>
    <w:rsid w:val="00311927"/>
    <w:rsid w:val="00311A9F"/>
    <w:rsid w:val="00313303"/>
    <w:rsid w:val="003365D5"/>
    <w:rsid w:val="00340214"/>
    <w:rsid w:val="00344690"/>
    <w:rsid w:val="00347F32"/>
    <w:rsid w:val="003639A3"/>
    <w:rsid w:val="003666B6"/>
    <w:rsid w:val="00371697"/>
    <w:rsid w:val="00371BB6"/>
    <w:rsid w:val="0037201C"/>
    <w:rsid w:val="00372518"/>
    <w:rsid w:val="00372BBC"/>
    <w:rsid w:val="003733CE"/>
    <w:rsid w:val="00380A1F"/>
    <w:rsid w:val="00382333"/>
    <w:rsid w:val="00387D6B"/>
    <w:rsid w:val="00390692"/>
    <w:rsid w:val="00397139"/>
    <w:rsid w:val="003A4BF0"/>
    <w:rsid w:val="003A677D"/>
    <w:rsid w:val="003B7477"/>
    <w:rsid w:val="003C538A"/>
    <w:rsid w:val="003C5797"/>
    <w:rsid w:val="003C713B"/>
    <w:rsid w:val="003D35DA"/>
    <w:rsid w:val="003D49F4"/>
    <w:rsid w:val="003D4DEA"/>
    <w:rsid w:val="003E303C"/>
    <w:rsid w:val="003E7E27"/>
    <w:rsid w:val="003F6838"/>
    <w:rsid w:val="00402484"/>
    <w:rsid w:val="00404FAA"/>
    <w:rsid w:val="00415861"/>
    <w:rsid w:val="004203AD"/>
    <w:rsid w:val="004218AD"/>
    <w:rsid w:val="0042694A"/>
    <w:rsid w:val="0042709B"/>
    <w:rsid w:val="0043215A"/>
    <w:rsid w:val="0043289D"/>
    <w:rsid w:val="00434141"/>
    <w:rsid w:val="0043648B"/>
    <w:rsid w:val="004441F0"/>
    <w:rsid w:val="004451E5"/>
    <w:rsid w:val="00445982"/>
    <w:rsid w:val="00456E04"/>
    <w:rsid w:val="00457EBE"/>
    <w:rsid w:val="004619E4"/>
    <w:rsid w:val="00464E16"/>
    <w:rsid w:val="004719BA"/>
    <w:rsid w:val="00472616"/>
    <w:rsid w:val="00472DEC"/>
    <w:rsid w:val="0047433B"/>
    <w:rsid w:val="004765E3"/>
    <w:rsid w:val="00483659"/>
    <w:rsid w:val="004839B1"/>
    <w:rsid w:val="0048561B"/>
    <w:rsid w:val="00492FA2"/>
    <w:rsid w:val="004A4965"/>
    <w:rsid w:val="004A5647"/>
    <w:rsid w:val="004B4F39"/>
    <w:rsid w:val="004B523E"/>
    <w:rsid w:val="004B5C25"/>
    <w:rsid w:val="004C05D2"/>
    <w:rsid w:val="004D0F40"/>
    <w:rsid w:val="004D123C"/>
    <w:rsid w:val="004D3AD2"/>
    <w:rsid w:val="004D5F64"/>
    <w:rsid w:val="004D7C1C"/>
    <w:rsid w:val="004E4D39"/>
    <w:rsid w:val="004E4E7D"/>
    <w:rsid w:val="004E5F55"/>
    <w:rsid w:val="004F2586"/>
    <w:rsid w:val="004F32F1"/>
    <w:rsid w:val="004F5814"/>
    <w:rsid w:val="005060FA"/>
    <w:rsid w:val="005163A6"/>
    <w:rsid w:val="00516BD7"/>
    <w:rsid w:val="00520D7F"/>
    <w:rsid w:val="0052310A"/>
    <w:rsid w:val="005261EA"/>
    <w:rsid w:val="00530818"/>
    <w:rsid w:val="0053110E"/>
    <w:rsid w:val="005315AF"/>
    <w:rsid w:val="0053350A"/>
    <w:rsid w:val="00535F25"/>
    <w:rsid w:val="0053655B"/>
    <w:rsid w:val="00544EEA"/>
    <w:rsid w:val="00547CCF"/>
    <w:rsid w:val="00556447"/>
    <w:rsid w:val="00571EDF"/>
    <w:rsid w:val="00583B07"/>
    <w:rsid w:val="00583F61"/>
    <w:rsid w:val="00584A04"/>
    <w:rsid w:val="005877EF"/>
    <w:rsid w:val="005901B9"/>
    <w:rsid w:val="00590215"/>
    <w:rsid w:val="00593B21"/>
    <w:rsid w:val="005958CC"/>
    <w:rsid w:val="005A1062"/>
    <w:rsid w:val="005A136C"/>
    <w:rsid w:val="005A252A"/>
    <w:rsid w:val="005A3EB3"/>
    <w:rsid w:val="005A494A"/>
    <w:rsid w:val="005A7E43"/>
    <w:rsid w:val="005C17CE"/>
    <w:rsid w:val="005C6B2D"/>
    <w:rsid w:val="005C6DA4"/>
    <w:rsid w:val="005D0C67"/>
    <w:rsid w:val="005D37BC"/>
    <w:rsid w:val="005D429C"/>
    <w:rsid w:val="005E19C8"/>
    <w:rsid w:val="005E371D"/>
    <w:rsid w:val="005E37BD"/>
    <w:rsid w:val="005F23B3"/>
    <w:rsid w:val="005F2EC4"/>
    <w:rsid w:val="005F615A"/>
    <w:rsid w:val="00600912"/>
    <w:rsid w:val="00605076"/>
    <w:rsid w:val="00607720"/>
    <w:rsid w:val="006170C6"/>
    <w:rsid w:val="00621FE4"/>
    <w:rsid w:val="00623281"/>
    <w:rsid w:val="00630953"/>
    <w:rsid w:val="006375E8"/>
    <w:rsid w:val="006423F3"/>
    <w:rsid w:val="00645C9B"/>
    <w:rsid w:val="00654AF8"/>
    <w:rsid w:val="00655784"/>
    <w:rsid w:val="0065653B"/>
    <w:rsid w:val="00660761"/>
    <w:rsid w:val="0066223A"/>
    <w:rsid w:val="00662AA8"/>
    <w:rsid w:val="0066474C"/>
    <w:rsid w:val="00664FB4"/>
    <w:rsid w:val="006731E4"/>
    <w:rsid w:val="00677D2A"/>
    <w:rsid w:val="00680F7D"/>
    <w:rsid w:val="0068120F"/>
    <w:rsid w:val="00681D0A"/>
    <w:rsid w:val="006907A3"/>
    <w:rsid w:val="00693C89"/>
    <w:rsid w:val="00697ACF"/>
    <w:rsid w:val="006A178F"/>
    <w:rsid w:val="006A4876"/>
    <w:rsid w:val="006A6163"/>
    <w:rsid w:val="006A75B2"/>
    <w:rsid w:val="006B0B2C"/>
    <w:rsid w:val="006B238B"/>
    <w:rsid w:val="006B3CD1"/>
    <w:rsid w:val="006B5753"/>
    <w:rsid w:val="006C090E"/>
    <w:rsid w:val="006C7AED"/>
    <w:rsid w:val="006D175B"/>
    <w:rsid w:val="006D27FB"/>
    <w:rsid w:val="006D5BEE"/>
    <w:rsid w:val="006E4572"/>
    <w:rsid w:val="006E579F"/>
    <w:rsid w:val="006F3257"/>
    <w:rsid w:val="006F523A"/>
    <w:rsid w:val="006F5ED4"/>
    <w:rsid w:val="0070383C"/>
    <w:rsid w:val="00703BD4"/>
    <w:rsid w:val="007056F5"/>
    <w:rsid w:val="00706A57"/>
    <w:rsid w:val="00711F9D"/>
    <w:rsid w:val="00714AF9"/>
    <w:rsid w:val="00715FEA"/>
    <w:rsid w:val="00716B25"/>
    <w:rsid w:val="007244DE"/>
    <w:rsid w:val="00725FC3"/>
    <w:rsid w:val="00727FE8"/>
    <w:rsid w:val="00740D83"/>
    <w:rsid w:val="00741909"/>
    <w:rsid w:val="007510CC"/>
    <w:rsid w:val="007526F4"/>
    <w:rsid w:val="00760FDE"/>
    <w:rsid w:val="007618AE"/>
    <w:rsid w:val="00763C0E"/>
    <w:rsid w:val="00765F48"/>
    <w:rsid w:val="0076608B"/>
    <w:rsid w:val="0077446C"/>
    <w:rsid w:val="007745BC"/>
    <w:rsid w:val="00774B9A"/>
    <w:rsid w:val="00777260"/>
    <w:rsid w:val="00782F60"/>
    <w:rsid w:val="007872E0"/>
    <w:rsid w:val="00790DAA"/>
    <w:rsid w:val="0079197E"/>
    <w:rsid w:val="00794E25"/>
    <w:rsid w:val="00797D3E"/>
    <w:rsid w:val="007A27FB"/>
    <w:rsid w:val="007A6200"/>
    <w:rsid w:val="007B0500"/>
    <w:rsid w:val="007B0808"/>
    <w:rsid w:val="007C0540"/>
    <w:rsid w:val="007C2D98"/>
    <w:rsid w:val="007C56BA"/>
    <w:rsid w:val="007C6DF5"/>
    <w:rsid w:val="007D3E1A"/>
    <w:rsid w:val="007E182F"/>
    <w:rsid w:val="007E4DCC"/>
    <w:rsid w:val="007E69BA"/>
    <w:rsid w:val="007F327F"/>
    <w:rsid w:val="007F3DFE"/>
    <w:rsid w:val="008026BF"/>
    <w:rsid w:val="008032FF"/>
    <w:rsid w:val="008068FE"/>
    <w:rsid w:val="00810F53"/>
    <w:rsid w:val="008168F7"/>
    <w:rsid w:val="00822BC9"/>
    <w:rsid w:val="00823227"/>
    <w:rsid w:val="00823A63"/>
    <w:rsid w:val="00831459"/>
    <w:rsid w:val="00837572"/>
    <w:rsid w:val="008406EE"/>
    <w:rsid w:val="008425AE"/>
    <w:rsid w:val="008506DD"/>
    <w:rsid w:val="00852764"/>
    <w:rsid w:val="00853745"/>
    <w:rsid w:val="00853A3B"/>
    <w:rsid w:val="008552B8"/>
    <w:rsid w:val="008632EE"/>
    <w:rsid w:val="00866A00"/>
    <w:rsid w:val="00872E23"/>
    <w:rsid w:val="00880BA7"/>
    <w:rsid w:val="008823F4"/>
    <w:rsid w:val="00885D9B"/>
    <w:rsid w:val="00886A1D"/>
    <w:rsid w:val="00886AD0"/>
    <w:rsid w:val="00891D4D"/>
    <w:rsid w:val="00893102"/>
    <w:rsid w:val="00893941"/>
    <w:rsid w:val="00894020"/>
    <w:rsid w:val="008A44D8"/>
    <w:rsid w:val="008A4D67"/>
    <w:rsid w:val="008A74ED"/>
    <w:rsid w:val="008B1443"/>
    <w:rsid w:val="008B6308"/>
    <w:rsid w:val="008C03BF"/>
    <w:rsid w:val="008C0896"/>
    <w:rsid w:val="008C0AA7"/>
    <w:rsid w:val="008C62AC"/>
    <w:rsid w:val="008C6D70"/>
    <w:rsid w:val="008D1846"/>
    <w:rsid w:val="008D4769"/>
    <w:rsid w:val="008E5AAC"/>
    <w:rsid w:val="008F216B"/>
    <w:rsid w:val="00912A7E"/>
    <w:rsid w:val="00914E33"/>
    <w:rsid w:val="0091606C"/>
    <w:rsid w:val="00916DFD"/>
    <w:rsid w:val="00920AB3"/>
    <w:rsid w:val="009226F7"/>
    <w:rsid w:val="00924D64"/>
    <w:rsid w:val="00931B5C"/>
    <w:rsid w:val="0093321D"/>
    <w:rsid w:val="00935298"/>
    <w:rsid w:val="00935CC8"/>
    <w:rsid w:val="009434A1"/>
    <w:rsid w:val="00953D05"/>
    <w:rsid w:val="00973FD0"/>
    <w:rsid w:val="00974991"/>
    <w:rsid w:val="00975001"/>
    <w:rsid w:val="00983315"/>
    <w:rsid w:val="00984155"/>
    <w:rsid w:val="00986DA9"/>
    <w:rsid w:val="00991844"/>
    <w:rsid w:val="00993068"/>
    <w:rsid w:val="009B0830"/>
    <w:rsid w:val="009C0223"/>
    <w:rsid w:val="009C0448"/>
    <w:rsid w:val="009C286A"/>
    <w:rsid w:val="009C2EDA"/>
    <w:rsid w:val="009D2F30"/>
    <w:rsid w:val="009D4151"/>
    <w:rsid w:val="009D6F5F"/>
    <w:rsid w:val="009D7D01"/>
    <w:rsid w:val="009F033B"/>
    <w:rsid w:val="009F265D"/>
    <w:rsid w:val="009F35F0"/>
    <w:rsid w:val="009F36EF"/>
    <w:rsid w:val="009F7A1E"/>
    <w:rsid w:val="00A03680"/>
    <w:rsid w:val="00A05939"/>
    <w:rsid w:val="00A0645B"/>
    <w:rsid w:val="00A11488"/>
    <w:rsid w:val="00A2098A"/>
    <w:rsid w:val="00A2796E"/>
    <w:rsid w:val="00A30DDB"/>
    <w:rsid w:val="00A3600E"/>
    <w:rsid w:val="00A36B5B"/>
    <w:rsid w:val="00A4681F"/>
    <w:rsid w:val="00A46F4A"/>
    <w:rsid w:val="00A501B8"/>
    <w:rsid w:val="00A51B0F"/>
    <w:rsid w:val="00A54DD9"/>
    <w:rsid w:val="00A66F10"/>
    <w:rsid w:val="00A72350"/>
    <w:rsid w:val="00A7787F"/>
    <w:rsid w:val="00A87B66"/>
    <w:rsid w:val="00A94E82"/>
    <w:rsid w:val="00A9789E"/>
    <w:rsid w:val="00A978FA"/>
    <w:rsid w:val="00AA31F3"/>
    <w:rsid w:val="00AA363F"/>
    <w:rsid w:val="00AA419F"/>
    <w:rsid w:val="00AA5CBD"/>
    <w:rsid w:val="00AB0CDC"/>
    <w:rsid w:val="00AB3212"/>
    <w:rsid w:val="00AB3637"/>
    <w:rsid w:val="00AB4B0A"/>
    <w:rsid w:val="00AC79E6"/>
    <w:rsid w:val="00AD14A3"/>
    <w:rsid w:val="00AD34F3"/>
    <w:rsid w:val="00AE2E8B"/>
    <w:rsid w:val="00AE4CFD"/>
    <w:rsid w:val="00AE5C6F"/>
    <w:rsid w:val="00AF118D"/>
    <w:rsid w:val="00AF353A"/>
    <w:rsid w:val="00B0104E"/>
    <w:rsid w:val="00B0300F"/>
    <w:rsid w:val="00B104E2"/>
    <w:rsid w:val="00B1099B"/>
    <w:rsid w:val="00B24581"/>
    <w:rsid w:val="00B24AFF"/>
    <w:rsid w:val="00B30587"/>
    <w:rsid w:val="00B367D8"/>
    <w:rsid w:val="00B41D23"/>
    <w:rsid w:val="00B51690"/>
    <w:rsid w:val="00B52D7C"/>
    <w:rsid w:val="00B572E0"/>
    <w:rsid w:val="00B63096"/>
    <w:rsid w:val="00B661A0"/>
    <w:rsid w:val="00B73EF5"/>
    <w:rsid w:val="00B76DAA"/>
    <w:rsid w:val="00B77EA3"/>
    <w:rsid w:val="00B818B8"/>
    <w:rsid w:val="00B86789"/>
    <w:rsid w:val="00B87C43"/>
    <w:rsid w:val="00B95735"/>
    <w:rsid w:val="00BA79E5"/>
    <w:rsid w:val="00BB017D"/>
    <w:rsid w:val="00BB0437"/>
    <w:rsid w:val="00BB0725"/>
    <w:rsid w:val="00BB1241"/>
    <w:rsid w:val="00BB3DD6"/>
    <w:rsid w:val="00BC3652"/>
    <w:rsid w:val="00BD4A9C"/>
    <w:rsid w:val="00BD52F9"/>
    <w:rsid w:val="00BD6408"/>
    <w:rsid w:val="00BD7C9E"/>
    <w:rsid w:val="00BE1986"/>
    <w:rsid w:val="00BF0A33"/>
    <w:rsid w:val="00BF2041"/>
    <w:rsid w:val="00BF3D1E"/>
    <w:rsid w:val="00BF66FD"/>
    <w:rsid w:val="00C01C7C"/>
    <w:rsid w:val="00C02E39"/>
    <w:rsid w:val="00C0423D"/>
    <w:rsid w:val="00C04279"/>
    <w:rsid w:val="00C11B74"/>
    <w:rsid w:val="00C13539"/>
    <w:rsid w:val="00C1432E"/>
    <w:rsid w:val="00C14E45"/>
    <w:rsid w:val="00C159DF"/>
    <w:rsid w:val="00C15A07"/>
    <w:rsid w:val="00C168DD"/>
    <w:rsid w:val="00C20292"/>
    <w:rsid w:val="00C21985"/>
    <w:rsid w:val="00C23A70"/>
    <w:rsid w:val="00C31080"/>
    <w:rsid w:val="00C32936"/>
    <w:rsid w:val="00C3372F"/>
    <w:rsid w:val="00C42334"/>
    <w:rsid w:val="00C42B4C"/>
    <w:rsid w:val="00C42E97"/>
    <w:rsid w:val="00C44362"/>
    <w:rsid w:val="00C474BB"/>
    <w:rsid w:val="00C511FD"/>
    <w:rsid w:val="00C54757"/>
    <w:rsid w:val="00C56911"/>
    <w:rsid w:val="00C56C47"/>
    <w:rsid w:val="00C624C1"/>
    <w:rsid w:val="00C6590D"/>
    <w:rsid w:val="00C66771"/>
    <w:rsid w:val="00C67F3D"/>
    <w:rsid w:val="00C709D3"/>
    <w:rsid w:val="00C70C22"/>
    <w:rsid w:val="00C7653A"/>
    <w:rsid w:val="00C80079"/>
    <w:rsid w:val="00C8162F"/>
    <w:rsid w:val="00C86930"/>
    <w:rsid w:val="00C87C6C"/>
    <w:rsid w:val="00C95678"/>
    <w:rsid w:val="00C95C4A"/>
    <w:rsid w:val="00C96E1B"/>
    <w:rsid w:val="00CA6131"/>
    <w:rsid w:val="00CC3C15"/>
    <w:rsid w:val="00CC4A2A"/>
    <w:rsid w:val="00CC550C"/>
    <w:rsid w:val="00CD240F"/>
    <w:rsid w:val="00CD311F"/>
    <w:rsid w:val="00CE200B"/>
    <w:rsid w:val="00CE30D5"/>
    <w:rsid w:val="00CE71FE"/>
    <w:rsid w:val="00CF28EB"/>
    <w:rsid w:val="00CF3C72"/>
    <w:rsid w:val="00D03934"/>
    <w:rsid w:val="00D0603C"/>
    <w:rsid w:val="00D06604"/>
    <w:rsid w:val="00D119B4"/>
    <w:rsid w:val="00D13BD5"/>
    <w:rsid w:val="00D140AE"/>
    <w:rsid w:val="00D16CC8"/>
    <w:rsid w:val="00D22629"/>
    <w:rsid w:val="00D24A52"/>
    <w:rsid w:val="00D250C5"/>
    <w:rsid w:val="00D31763"/>
    <w:rsid w:val="00D33E06"/>
    <w:rsid w:val="00D35F43"/>
    <w:rsid w:val="00D45D35"/>
    <w:rsid w:val="00D467C2"/>
    <w:rsid w:val="00D51EFC"/>
    <w:rsid w:val="00D54ED6"/>
    <w:rsid w:val="00D61696"/>
    <w:rsid w:val="00D618AE"/>
    <w:rsid w:val="00D65B1A"/>
    <w:rsid w:val="00D703CA"/>
    <w:rsid w:val="00D71E2F"/>
    <w:rsid w:val="00D72E53"/>
    <w:rsid w:val="00D73FAA"/>
    <w:rsid w:val="00D777B6"/>
    <w:rsid w:val="00D81FB2"/>
    <w:rsid w:val="00D87184"/>
    <w:rsid w:val="00D93929"/>
    <w:rsid w:val="00D94C93"/>
    <w:rsid w:val="00DA463C"/>
    <w:rsid w:val="00DB458F"/>
    <w:rsid w:val="00DC0294"/>
    <w:rsid w:val="00DC3450"/>
    <w:rsid w:val="00DD1EC2"/>
    <w:rsid w:val="00DD2A0C"/>
    <w:rsid w:val="00DD7852"/>
    <w:rsid w:val="00DD7AD7"/>
    <w:rsid w:val="00DE0955"/>
    <w:rsid w:val="00DE292F"/>
    <w:rsid w:val="00DE3635"/>
    <w:rsid w:val="00DE620E"/>
    <w:rsid w:val="00DF0E1B"/>
    <w:rsid w:val="00DF492E"/>
    <w:rsid w:val="00DF74E6"/>
    <w:rsid w:val="00E005E6"/>
    <w:rsid w:val="00E02504"/>
    <w:rsid w:val="00E03675"/>
    <w:rsid w:val="00E05CE0"/>
    <w:rsid w:val="00E11386"/>
    <w:rsid w:val="00E15B55"/>
    <w:rsid w:val="00E41314"/>
    <w:rsid w:val="00E43ACD"/>
    <w:rsid w:val="00E4783C"/>
    <w:rsid w:val="00E5243F"/>
    <w:rsid w:val="00E525AF"/>
    <w:rsid w:val="00E5519B"/>
    <w:rsid w:val="00E6178A"/>
    <w:rsid w:val="00E61CA7"/>
    <w:rsid w:val="00E651D4"/>
    <w:rsid w:val="00E65D26"/>
    <w:rsid w:val="00E8381E"/>
    <w:rsid w:val="00E866F4"/>
    <w:rsid w:val="00E9298B"/>
    <w:rsid w:val="00E95D3F"/>
    <w:rsid w:val="00E96AEF"/>
    <w:rsid w:val="00EA2488"/>
    <w:rsid w:val="00EB16F5"/>
    <w:rsid w:val="00EB3F7C"/>
    <w:rsid w:val="00EC1974"/>
    <w:rsid w:val="00EC1D70"/>
    <w:rsid w:val="00EC3A78"/>
    <w:rsid w:val="00EC61A5"/>
    <w:rsid w:val="00EE1D59"/>
    <w:rsid w:val="00EE6946"/>
    <w:rsid w:val="00EE72BD"/>
    <w:rsid w:val="00EF150F"/>
    <w:rsid w:val="00EF425E"/>
    <w:rsid w:val="00EF6481"/>
    <w:rsid w:val="00F050EE"/>
    <w:rsid w:val="00F12911"/>
    <w:rsid w:val="00F157B0"/>
    <w:rsid w:val="00F17BB7"/>
    <w:rsid w:val="00F200B7"/>
    <w:rsid w:val="00F23D19"/>
    <w:rsid w:val="00F334D4"/>
    <w:rsid w:val="00F34E2F"/>
    <w:rsid w:val="00F36E1E"/>
    <w:rsid w:val="00F41B37"/>
    <w:rsid w:val="00F445B5"/>
    <w:rsid w:val="00F46CBE"/>
    <w:rsid w:val="00F50BBD"/>
    <w:rsid w:val="00F51363"/>
    <w:rsid w:val="00F54F58"/>
    <w:rsid w:val="00F56549"/>
    <w:rsid w:val="00F608BB"/>
    <w:rsid w:val="00F737C0"/>
    <w:rsid w:val="00F77C74"/>
    <w:rsid w:val="00F80967"/>
    <w:rsid w:val="00F83A8E"/>
    <w:rsid w:val="00F85E0E"/>
    <w:rsid w:val="00F916BA"/>
    <w:rsid w:val="00FA1DAE"/>
    <w:rsid w:val="00FA20A1"/>
    <w:rsid w:val="00FA3D2F"/>
    <w:rsid w:val="00FB5C65"/>
    <w:rsid w:val="00FC1ED2"/>
    <w:rsid w:val="00FC264B"/>
    <w:rsid w:val="00FC26B5"/>
    <w:rsid w:val="00FC3C79"/>
    <w:rsid w:val="00FD0303"/>
    <w:rsid w:val="00FD28C4"/>
    <w:rsid w:val="00FD599B"/>
    <w:rsid w:val="00FD7AFF"/>
    <w:rsid w:val="00FE06E7"/>
    <w:rsid w:val="00FE119F"/>
    <w:rsid w:val="00FE5134"/>
    <w:rsid w:val="0119041E"/>
    <w:rsid w:val="021141BF"/>
    <w:rsid w:val="026929FF"/>
    <w:rsid w:val="02A96CA4"/>
    <w:rsid w:val="02B91783"/>
    <w:rsid w:val="0314419D"/>
    <w:rsid w:val="03C4523A"/>
    <w:rsid w:val="03EE1902"/>
    <w:rsid w:val="045A3BDF"/>
    <w:rsid w:val="04BD5452"/>
    <w:rsid w:val="05011CD2"/>
    <w:rsid w:val="05177AAD"/>
    <w:rsid w:val="05D47DEB"/>
    <w:rsid w:val="05DA7B09"/>
    <w:rsid w:val="0623601E"/>
    <w:rsid w:val="06796A2D"/>
    <w:rsid w:val="06C77B22"/>
    <w:rsid w:val="07123728"/>
    <w:rsid w:val="08120740"/>
    <w:rsid w:val="093D059E"/>
    <w:rsid w:val="099F7F6F"/>
    <w:rsid w:val="09B207F9"/>
    <w:rsid w:val="09FE75F3"/>
    <w:rsid w:val="0ACB79E0"/>
    <w:rsid w:val="0B4E3A9D"/>
    <w:rsid w:val="0B61072C"/>
    <w:rsid w:val="0B9A2898"/>
    <w:rsid w:val="0BD767E7"/>
    <w:rsid w:val="0DDC48EC"/>
    <w:rsid w:val="0E1B1632"/>
    <w:rsid w:val="0E1E7802"/>
    <w:rsid w:val="0E2C1A81"/>
    <w:rsid w:val="0FA96317"/>
    <w:rsid w:val="0FCD1FB3"/>
    <w:rsid w:val="0FD12A5E"/>
    <w:rsid w:val="0FF90BC3"/>
    <w:rsid w:val="101B17FD"/>
    <w:rsid w:val="104579BD"/>
    <w:rsid w:val="107A3272"/>
    <w:rsid w:val="113551E6"/>
    <w:rsid w:val="12030629"/>
    <w:rsid w:val="12750F9D"/>
    <w:rsid w:val="1298218F"/>
    <w:rsid w:val="12D0036B"/>
    <w:rsid w:val="135350C1"/>
    <w:rsid w:val="14120A8B"/>
    <w:rsid w:val="14214815"/>
    <w:rsid w:val="14360F37"/>
    <w:rsid w:val="14A82067"/>
    <w:rsid w:val="150C21D7"/>
    <w:rsid w:val="1520313E"/>
    <w:rsid w:val="15516732"/>
    <w:rsid w:val="157D344D"/>
    <w:rsid w:val="15BC4236"/>
    <w:rsid w:val="15D0201E"/>
    <w:rsid w:val="163B76A6"/>
    <w:rsid w:val="166D0B86"/>
    <w:rsid w:val="16AC1941"/>
    <w:rsid w:val="170543F6"/>
    <w:rsid w:val="17244A82"/>
    <w:rsid w:val="17415E5E"/>
    <w:rsid w:val="176D4CB2"/>
    <w:rsid w:val="17B0376D"/>
    <w:rsid w:val="185D04A4"/>
    <w:rsid w:val="195E6489"/>
    <w:rsid w:val="197874D5"/>
    <w:rsid w:val="19DA1AF8"/>
    <w:rsid w:val="1A6104C6"/>
    <w:rsid w:val="1A9C7638"/>
    <w:rsid w:val="1AD23809"/>
    <w:rsid w:val="1BAB1E26"/>
    <w:rsid w:val="1C0837E6"/>
    <w:rsid w:val="1CB05F21"/>
    <w:rsid w:val="1CDD55E8"/>
    <w:rsid w:val="1CFD009B"/>
    <w:rsid w:val="1D694F50"/>
    <w:rsid w:val="1D915145"/>
    <w:rsid w:val="1E996BC3"/>
    <w:rsid w:val="1F7D6E36"/>
    <w:rsid w:val="1F7E7CF3"/>
    <w:rsid w:val="1FB44D91"/>
    <w:rsid w:val="1FC26995"/>
    <w:rsid w:val="1FCA14B3"/>
    <w:rsid w:val="20194E3E"/>
    <w:rsid w:val="20970C07"/>
    <w:rsid w:val="20C247D1"/>
    <w:rsid w:val="211F33D1"/>
    <w:rsid w:val="212B48B3"/>
    <w:rsid w:val="213D0AC9"/>
    <w:rsid w:val="21443664"/>
    <w:rsid w:val="21FE1453"/>
    <w:rsid w:val="22015239"/>
    <w:rsid w:val="22353B2B"/>
    <w:rsid w:val="231879A1"/>
    <w:rsid w:val="23225D32"/>
    <w:rsid w:val="23586A43"/>
    <w:rsid w:val="23A52A88"/>
    <w:rsid w:val="23B8382B"/>
    <w:rsid w:val="240C4D62"/>
    <w:rsid w:val="24940192"/>
    <w:rsid w:val="24A948B4"/>
    <w:rsid w:val="24D40F7C"/>
    <w:rsid w:val="24EB0BA1"/>
    <w:rsid w:val="25052428"/>
    <w:rsid w:val="254C40BE"/>
    <w:rsid w:val="25AC6FBB"/>
    <w:rsid w:val="25BA46F2"/>
    <w:rsid w:val="25C42A83"/>
    <w:rsid w:val="27B63E90"/>
    <w:rsid w:val="27FA77FA"/>
    <w:rsid w:val="2905612A"/>
    <w:rsid w:val="295E7D6B"/>
    <w:rsid w:val="299A01C2"/>
    <w:rsid w:val="2A621B97"/>
    <w:rsid w:val="2A78143E"/>
    <w:rsid w:val="2AA87E60"/>
    <w:rsid w:val="2AF8346C"/>
    <w:rsid w:val="2B513167"/>
    <w:rsid w:val="2B79170D"/>
    <w:rsid w:val="2C401128"/>
    <w:rsid w:val="2C55584A"/>
    <w:rsid w:val="2CE30931"/>
    <w:rsid w:val="2D0568E8"/>
    <w:rsid w:val="2D9B3963"/>
    <w:rsid w:val="2E296A4A"/>
    <w:rsid w:val="2E7F3BD6"/>
    <w:rsid w:val="2ED65A68"/>
    <w:rsid w:val="300D4BEB"/>
    <w:rsid w:val="3020516C"/>
    <w:rsid w:val="30316E1F"/>
    <w:rsid w:val="31037FE9"/>
    <w:rsid w:val="31642A40"/>
    <w:rsid w:val="31AE7611"/>
    <w:rsid w:val="322E6630"/>
    <w:rsid w:val="32E82B39"/>
    <w:rsid w:val="332A457E"/>
    <w:rsid w:val="33E97FAC"/>
    <w:rsid w:val="34593CFB"/>
    <w:rsid w:val="348F514A"/>
    <w:rsid w:val="35142155"/>
    <w:rsid w:val="35A04F88"/>
    <w:rsid w:val="35C07A3B"/>
    <w:rsid w:val="35F55D16"/>
    <w:rsid w:val="361D6843"/>
    <w:rsid w:val="362B6F02"/>
    <w:rsid w:val="36541D31"/>
    <w:rsid w:val="37364B27"/>
    <w:rsid w:val="382B20B3"/>
    <w:rsid w:val="38984676"/>
    <w:rsid w:val="38B7551A"/>
    <w:rsid w:val="38BC1434"/>
    <w:rsid w:val="38C2712E"/>
    <w:rsid w:val="39D87180"/>
    <w:rsid w:val="39FD3633"/>
    <w:rsid w:val="3A1E5D66"/>
    <w:rsid w:val="3A590161"/>
    <w:rsid w:val="3A5E57AC"/>
    <w:rsid w:val="3B451736"/>
    <w:rsid w:val="3BA062DD"/>
    <w:rsid w:val="3C175C60"/>
    <w:rsid w:val="3C3570EC"/>
    <w:rsid w:val="3CA95D61"/>
    <w:rsid w:val="3CBF2E36"/>
    <w:rsid w:val="3D385EEA"/>
    <w:rsid w:val="3D98059B"/>
    <w:rsid w:val="3DFA733B"/>
    <w:rsid w:val="3E3773F2"/>
    <w:rsid w:val="3E820AA3"/>
    <w:rsid w:val="3EF036E5"/>
    <w:rsid w:val="3FD13A42"/>
    <w:rsid w:val="40921396"/>
    <w:rsid w:val="40C60753"/>
    <w:rsid w:val="41294890"/>
    <w:rsid w:val="41B4509F"/>
    <w:rsid w:val="41CA07D6"/>
    <w:rsid w:val="42F06ADE"/>
    <w:rsid w:val="432358F2"/>
    <w:rsid w:val="4330314B"/>
    <w:rsid w:val="434774ED"/>
    <w:rsid w:val="43AE4585"/>
    <w:rsid w:val="44547298"/>
    <w:rsid w:val="446B3DCC"/>
    <w:rsid w:val="446B764F"/>
    <w:rsid w:val="45174D14"/>
    <w:rsid w:val="454E475C"/>
    <w:rsid w:val="456F5BF8"/>
    <w:rsid w:val="457E2F2C"/>
    <w:rsid w:val="46120C85"/>
    <w:rsid w:val="46546286"/>
    <w:rsid w:val="46AA20FD"/>
    <w:rsid w:val="46C873C8"/>
    <w:rsid w:val="48563F6B"/>
    <w:rsid w:val="489F2F32"/>
    <w:rsid w:val="48C920F7"/>
    <w:rsid w:val="48DF209C"/>
    <w:rsid w:val="491F18B1"/>
    <w:rsid w:val="4A500C79"/>
    <w:rsid w:val="4B08477A"/>
    <w:rsid w:val="4B1367B9"/>
    <w:rsid w:val="4B1B3387"/>
    <w:rsid w:val="4B552AA6"/>
    <w:rsid w:val="4C39659B"/>
    <w:rsid w:val="4C58104F"/>
    <w:rsid w:val="4C632C63"/>
    <w:rsid w:val="4CBF054F"/>
    <w:rsid w:val="4CC51A03"/>
    <w:rsid w:val="4D1D18D7"/>
    <w:rsid w:val="4D472ED5"/>
    <w:rsid w:val="4D577964"/>
    <w:rsid w:val="4DF34CE5"/>
    <w:rsid w:val="4E566916"/>
    <w:rsid w:val="4E760917"/>
    <w:rsid w:val="4F452077"/>
    <w:rsid w:val="4FA75CDB"/>
    <w:rsid w:val="501442ED"/>
    <w:rsid w:val="505605DA"/>
    <w:rsid w:val="5056455D"/>
    <w:rsid w:val="50995465"/>
    <w:rsid w:val="50C30FDF"/>
    <w:rsid w:val="50F50AE1"/>
    <w:rsid w:val="515F3CA4"/>
    <w:rsid w:val="51640797"/>
    <w:rsid w:val="51687EF6"/>
    <w:rsid w:val="517C31A7"/>
    <w:rsid w:val="52D576F4"/>
    <w:rsid w:val="530B1DCC"/>
    <w:rsid w:val="53E87F67"/>
    <w:rsid w:val="54113878"/>
    <w:rsid w:val="54EB47FA"/>
    <w:rsid w:val="55D01C81"/>
    <w:rsid w:val="55F27D67"/>
    <w:rsid w:val="56024994"/>
    <w:rsid w:val="562F3BF3"/>
    <w:rsid w:val="56391F84"/>
    <w:rsid w:val="566B1B9E"/>
    <w:rsid w:val="567C7106"/>
    <w:rsid w:val="56864602"/>
    <w:rsid w:val="56C8603B"/>
    <w:rsid w:val="56DA16F9"/>
    <w:rsid w:val="57746489"/>
    <w:rsid w:val="578111A0"/>
    <w:rsid w:val="57DA47DC"/>
    <w:rsid w:val="592B5E48"/>
    <w:rsid w:val="5937326A"/>
    <w:rsid w:val="599E4814"/>
    <w:rsid w:val="5A1E0F0D"/>
    <w:rsid w:val="5A6C3F68"/>
    <w:rsid w:val="5AA31EC3"/>
    <w:rsid w:val="5AAB5742"/>
    <w:rsid w:val="5AB865E5"/>
    <w:rsid w:val="5B0453E0"/>
    <w:rsid w:val="5B913D4A"/>
    <w:rsid w:val="5BDD2B45"/>
    <w:rsid w:val="5D2353DA"/>
    <w:rsid w:val="5D4F1722"/>
    <w:rsid w:val="5D7A5DE9"/>
    <w:rsid w:val="5DB004C1"/>
    <w:rsid w:val="5DDC6DE2"/>
    <w:rsid w:val="5DF247AE"/>
    <w:rsid w:val="5EA71098"/>
    <w:rsid w:val="5EFB47E4"/>
    <w:rsid w:val="5FC84791"/>
    <w:rsid w:val="603A11F0"/>
    <w:rsid w:val="60A719A3"/>
    <w:rsid w:val="61507A95"/>
    <w:rsid w:val="6168604F"/>
    <w:rsid w:val="61D84114"/>
    <w:rsid w:val="632905BE"/>
    <w:rsid w:val="63B76029"/>
    <w:rsid w:val="64374EF8"/>
    <w:rsid w:val="64C348E0"/>
    <w:rsid w:val="65526949"/>
    <w:rsid w:val="658713A2"/>
    <w:rsid w:val="6618370D"/>
    <w:rsid w:val="664107D0"/>
    <w:rsid w:val="66AD1184"/>
    <w:rsid w:val="66B83C92"/>
    <w:rsid w:val="67264D8E"/>
    <w:rsid w:val="67444E78"/>
    <w:rsid w:val="67A81E40"/>
    <w:rsid w:val="685E59BB"/>
    <w:rsid w:val="68BC7731"/>
    <w:rsid w:val="68CB15BB"/>
    <w:rsid w:val="68E258A1"/>
    <w:rsid w:val="691702F9"/>
    <w:rsid w:val="693862AF"/>
    <w:rsid w:val="696E0D08"/>
    <w:rsid w:val="699F4355"/>
    <w:rsid w:val="6A9E0479"/>
    <w:rsid w:val="6B770D5D"/>
    <w:rsid w:val="6BC0463D"/>
    <w:rsid w:val="6BE31711"/>
    <w:rsid w:val="6CC047E3"/>
    <w:rsid w:val="6CD267E9"/>
    <w:rsid w:val="6D182BF5"/>
    <w:rsid w:val="6D6235E8"/>
    <w:rsid w:val="6D6B0293"/>
    <w:rsid w:val="6DA1296C"/>
    <w:rsid w:val="6DC627CE"/>
    <w:rsid w:val="6E1F58CD"/>
    <w:rsid w:val="6E495793"/>
    <w:rsid w:val="6F730668"/>
    <w:rsid w:val="6F85176A"/>
    <w:rsid w:val="706C43E6"/>
    <w:rsid w:val="70984BC8"/>
    <w:rsid w:val="70C700FF"/>
    <w:rsid w:val="70CF6970"/>
    <w:rsid w:val="710651FB"/>
    <w:rsid w:val="71355A9B"/>
    <w:rsid w:val="716B1613"/>
    <w:rsid w:val="71826302"/>
    <w:rsid w:val="720378FB"/>
    <w:rsid w:val="720F66D2"/>
    <w:rsid w:val="72C76C1E"/>
    <w:rsid w:val="72F14162"/>
    <w:rsid w:val="72F90EAF"/>
    <w:rsid w:val="73651863"/>
    <w:rsid w:val="73BB2181"/>
    <w:rsid w:val="73E21655"/>
    <w:rsid w:val="73FF0FEC"/>
    <w:rsid w:val="74A83897"/>
    <w:rsid w:val="75011284"/>
    <w:rsid w:val="75171229"/>
    <w:rsid w:val="75750C36"/>
    <w:rsid w:val="76072D30"/>
    <w:rsid w:val="76370317"/>
    <w:rsid w:val="76E04AB6"/>
    <w:rsid w:val="772763C6"/>
    <w:rsid w:val="77361223"/>
    <w:rsid w:val="78054D74"/>
    <w:rsid w:val="799C03C4"/>
    <w:rsid w:val="7A6F776C"/>
    <w:rsid w:val="7B074467"/>
    <w:rsid w:val="7B440F91"/>
    <w:rsid w:val="7B5D15F3"/>
    <w:rsid w:val="7B5D6EBA"/>
    <w:rsid w:val="7B9F205C"/>
    <w:rsid w:val="7BBF3C16"/>
    <w:rsid w:val="7C531ACA"/>
    <w:rsid w:val="7CCB7ABB"/>
    <w:rsid w:val="7CFA011A"/>
    <w:rsid w:val="7D66524B"/>
    <w:rsid w:val="7D7824FB"/>
    <w:rsid w:val="7E4D614C"/>
    <w:rsid w:val="7EA11750"/>
    <w:rsid w:val="7EF844C0"/>
    <w:rsid w:val="7F04016F"/>
    <w:rsid w:val="7F5909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widowControl/>
      <w:spacing w:before="340" w:after="330" w:line="576" w:lineRule="auto"/>
      <w:jc w:val="left"/>
      <w:outlineLvl w:val="0"/>
    </w:pPr>
    <w:rPr>
      <w:b/>
      <w:bCs/>
      <w:kern w:val="44"/>
      <w:sz w:val="44"/>
      <w:szCs w:val="44"/>
    </w:rPr>
  </w:style>
  <w:style w:type="paragraph" w:styleId="4">
    <w:name w:val="heading 2"/>
    <w:basedOn w:val="1"/>
    <w:next w:val="1"/>
    <w:link w:val="53"/>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54"/>
    <w:qFormat/>
    <w:uiPriority w:val="0"/>
    <w:pPr>
      <w:keepNext/>
      <w:keepLines/>
      <w:spacing w:before="260" w:after="260" w:line="415" w:lineRule="auto"/>
      <w:outlineLvl w:val="2"/>
    </w:pPr>
    <w:rPr>
      <w:b/>
      <w:bCs/>
      <w:sz w:val="32"/>
      <w:szCs w:val="32"/>
    </w:rPr>
  </w:style>
  <w:style w:type="paragraph" w:styleId="6">
    <w:name w:val="heading 4"/>
    <w:basedOn w:val="1"/>
    <w:next w:val="1"/>
    <w:link w:val="55"/>
    <w:qFormat/>
    <w:uiPriority w:val="0"/>
    <w:pPr>
      <w:keepNext/>
      <w:keepLines/>
      <w:spacing w:before="280" w:after="290" w:line="374"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left" w:pos="840"/>
        <w:tab w:val="right" w:leader="dot" w:pos="8210"/>
      </w:tabs>
      <w:jc w:val="left"/>
    </w:pPr>
    <w:rPr>
      <w:rFonts w:ascii="仿宋_GB2312" w:hAnsi="宋体" w:eastAsia="仿宋_GB2312"/>
      <w:b/>
      <w:bCs/>
      <w:caps/>
      <w:sz w:val="32"/>
      <w:szCs w:val="32"/>
    </w:rPr>
  </w:style>
  <w:style w:type="paragraph" w:styleId="7">
    <w:name w:val="Normal Indent"/>
    <w:basedOn w:val="1"/>
    <w:link w:val="58"/>
    <w:qFormat/>
    <w:uiPriority w:val="0"/>
    <w:pPr>
      <w:widowControl/>
      <w:ind w:firstLine="420"/>
      <w:jc w:val="left"/>
    </w:pPr>
    <w:rPr>
      <w:rFonts w:ascii="Calibri" w:hAnsi="Calibri" w:cs="黑体"/>
      <w:szCs w:val="22"/>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Salutation"/>
    <w:basedOn w:val="1"/>
    <w:next w:val="1"/>
    <w:link w:val="70"/>
    <w:qFormat/>
    <w:uiPriority w:val="0"/>
  </w:style>
  <w:style w:type="paragraph" w:styleId="10">
    <w:name w:val="Closing"/>
    <w:basedOn w:val="1"/>
    <w:link w:val="71"/>
    <w:qFormat/>
    <w:uiPriority w:val="0"/>
    <w:pPr>
      <w:ind w:left="100" w:leftChars="2100"/>
    </w:pPr>
  </w:style>
  <w:style w:type="paragraph" w:styleId="11">
    <w:name w:val="Body Text"/>
    <w:basedOn w:val="1"/>
    <w:link w:val="66"/>
    <w:qFormat/>
    <w:uiPriority w:val="0"/>
    <w:pPr>
      <w:widowControl/>
      <w:jc w:val="left"/>
    </w:pPr>
    <w:rPr>
      <w:kern w:val="0"/>
      <w:sz w:val="24"/>
      <w:szCs w:val="20"/>
    </w:rPr>
  </w:style>
  <w:style w:type="paragraph" w:styleId="12">
    <w:name w:val="Body Text Indent"/>
    <w:basedOn w:val="1"/>
    <w:link w:val="61"/>
    <w:qFormat/>
    <w:uiPriority w:val="0"/>
    <w:pPr>
      <w:spacing w:after="120"/>
      <w:ind w:left="420" w:leftChars="200"/>
    </w:pPr>
    <w:rPr>
      <w:rFonts w:ascii="Calibri" w:hAnsi="Calibri" w:cs="黑体"/>
    </w:rPr>
  </w:style>
  <w:style w:type="paragraph" w:styleId="13">
    <w:name w:val="Block Text"/>
    <w:basedOn w:val="1"/>
    <w:qFormat/>
    <w:uiPriority w:val="0"/>
    <w:pPr>
      <w:autoSpaceDE w:val="0"/>
      <w:autoSpaceDN w:val="0"/>
      <w:adjustRightInd w:val="0"/>
      <w:spacing w:line="360" w:lineRule="atLeast"/>
      <w:ind w:left="1418" w:right="1800" w:rightChars="857" w:firstLine="540"/>
    </w:pPr>
    <w:rPr>
      <w:rFonts w:ascii="宋体"/>
      <w:color w:val="000000"/>
      <w:kern w:val="0"/>
      <w:sz w:val="24"/>
    </w:rPr>
  </w:style>
  <w:style w:type="paragraph" w:styleId="14">
    <w:name w:val="Plain Text"/>
    <w:basedOn w:val="1"/>
    <w:link w:val="57"/>
    <w:qFormat/>
    <w:uiPriority w:val="0"/>
    <w:rPr>
      <w:rFonts w:ascii="宋体" w:hAnsi="Courier New" w:cs="黑体"/>
      <w:szCs w:val="22"/>
    </w:rPr>
  </w:style>
  <w:style w:type="paragraph" w:styleId="15">
    <w:name w:val="Date"/>
    <w:basedOn w:val="1"/>
    <w:next w:val="1"/>
    <w:link w:val="59"/>
    <w:qFormat/>
    <w:uiPriority w:val="0"/>
    <w:pPr>
      <w:ind w:left="100" w:leftChars="2500"/>
    </w:pPr>
    <w:rPr>
      <w:rFonts w:ascii="Calibri" w:hAnsi="Calibri" w:cs="黑体"/>
    </w:rPr>
  </w:style>
  <w:style w:type="paragraph" w:styleId="16">
    <w:name w:val="Body Text Indent 2"/>
    <w:basedOn w:val="1"/>
    <w:link w:val="62"/>
    <w:qFormat/>
    <w:uiPriority w:val="0"/>
    <w:pPr>
      <w:spacing w:line="360" w:lineRule="auto"/>
      <w:ind w:left="839" w:hanging="839" w:hangingChars="355"/>
    </w:pPr>
    <w:rPr>
      <w:b/>
      <w:sz w:val="24"/>
    </w:rPr>
  </w:style>
  <w:style w:type="paragraph" w:styleId="17">
    <w:name w:val="Balloon Text"/>
    <w:basedOn w:val="1"/>
    <w:link w:val="64"/>
    <w:qFormat/>
    <w:uiPriority w:val="0"/>
    <w:rPr>
      <w:sz w:val="18"/>
      <w:szCs w:val="18"/>
    </w:rPr>
  </w:style>
  <w:style w:type="paragraph" w:styleId="18">
    <w:name w:val="footer"/>
    <w:basedOn w:val="1"/>
    <w:link w:val="51"/>
    <w:unhideWhenUsed/>
    <w:qFormat/>
    <w:uiPriority w:val="99"/>
    <w:pPr>
      <w:tabs>
        <w:tab w:val="center" w:pos="4153"/>
        <w:tab w:val="right" w:pos="8306"/>
      </w:tabs>
      <w:snapToGrid w:val="0"/>
      <w:jc w:val="left"/>
    </w:pPr>
    <w:rPr>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able of figures"/>
    <w:basedOn w:val="1"/>
    <w:next w:val="1"/>
    <w:qFormat/>
    <w:uiPriority w:val="0"/>
    <w:pPr>
      <w:adjustRightInd w:val="0"/>
      <w:ind w:left="420" w:hanging="420"/>
      <w:jc w:val="left"/>
      <w:textAlignment w:val="baseline"/>
    </w:pPr>
    <w:rPr>
      <w:rFonts w:eastAsia="楷体_GB2312"/>
      <w:smallCaps/>
      <w:sz w:val="24"/>
      <w:szCs w:val="20"/>
    </w:rPr>
  </w:style>
  <w:style w:type="paragraph" w:styleId="21">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3">
    <w:name w:val="index 1"/>
    <w:basedOn w:val="1"/>
    <w:next w:val="1"/>
    <w:qFormat/>
    <w:uiPriority w:val="0"/>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Table Theme"/>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qFormat/>
    <w:uiPriority w:val="0"/>
    <w:rPr>
      <w:color w:val="0000FF"/>
      <w:u w:val="single"/>
    </w:rPr>
  </w:style>
  <w:style w:type="character" w:styleId="31">
    <w:name w:val="HTML Sample"/>
    <w:basedOn w:val="27"/>
    <w:semiHidden/>
    <w:unhideWhenUsed/>
    <w:qFormat/>
    <w:uiPriority w:val="0"/>
    <w:rPr>
      <w:rFonts w:ascii="Courier New" w:hAnsi="Courier New"/>
    </w:rPr>
  </w:style>
  <w:style w:type="paragraph" w:customStyle="1" w:styleId="32">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3">
    <w:name w:val="纯文本1"/>
    <w:basedOn w:val="1"/>
    <w:qFormat/>
    <w:uiPriority w:val="0"/>
    <w:pPr>
      <w:adjustRightInd w:val="0"/>
      <w:textAlignment w:val="baseline"/>
    </w:pPr>
    <w:rPr>
      <w:rFonts w:ascii="宋体" w:hAnsi="Courier New" w:eastAsia="楷体_GB2312"/>
      <w:sz w:val="26"/>
      <w:szCs w:val="20"/>
    </w:rPr>
  </w:style>
  <w:style w:type="paragraph" w:customStyle="1" w:styleId="3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封面字体3"/>
    <w:basedOn w:val="1"/>
    <w:qFormat/>
    <w:uiPriority w:val="0"/>
    <w:pPr>
      <w:spacing w:line="240" w:lineRule="atLeast"/>
    </w:pPr>
    <w:rPr>
      <w:rFonts w:ascii="黑体" w:hAnsi="华文细黑" w:eastAsia="黑体" w:cs="Arial"/>
      <w:bCs/>
      <w:spacing w:val="100"/>
      <w:kern w:val="0"/>
      <w:sz w:val="44"/>
      <w:szCs w:val="28"/>
    </w:rPr>
  </w:style>
  <w:style w:type="paragraph" w:customStyle="1" w:styleId="36">
    <w:name w:val="封面字体4"/>
    <w:basedOn w:val="1"/>
    <w:qFormat/>
    <w:uiPriority w:val="0"/>
    <w:pPr>
      <w:spacing w:line="240" w:lineRule="atLeast"/>
    </w:pPr>
    <w:rPr>
      <w:rFonts w:ascii="黑体" w:hAnsi="华文细黑" w:eastAsia="黑体" w:cs="Arial"/>
      <w:b/>
      <w:bCs/>
      <w:spacing w:val="100"/>
      <w:kern w:val="0"/>
      <w:sz w:val="44"/>
      <w:szCs w:val="28"/>
    </w:rPr>
  </w:style>
  <w:style w:type="paragraph" w:customStyle="1" w:styleId="37">
    <w:name w:val="0"/>
    <w:basedOn w:val="1"/>
    <w:qFormat/>
    <w:uiPriority w:val="0"/>
    <w:pPr>
      <w:widowControl/>
      <w:snapToGrid w:val="0"/>
    </w:pPr>
    <w:rPr>
      <w:kern w:val="0"/>
      <w:szCs w:val="21"/>
    </w:rPr>
  </w:style>
  <w:style w:type="paragraph" w:customStyle="1" w:styleId="38">
    <w:name w:val="正文无缩进"/>
    <w:basedOn w:val="1"/>
    <w:qFormat/>
    <w:uiPriority w:val="0"/>
    <w:pPr>
      <w:widowControl/>
      <w:autoSpaceDE w:val="0"/>
      <w:autoSpaceDN w:val="0"/>
      <w:spacing w:line="300" w:lineRule="auto"/>
      <w:textAlignment w:val="bottom"/>
    </w:pPr>
    <w:rPr>
      <w:rFonts w:eastAsia="楷体_GB2312"/>
      <w:szCs w:val="20"/>
    </w:rPr>
  </w:style>
  <w:style w:type="paragraph" w:customStyle="1" w:styleId="39">
    <w:name w:val="列出段落1"/>
    <w:basedOn w:val="1"/>
    <w:qFormat/>
    <w:uiPriority w:val="0"/>
    <w:pPr>
      <w:ind w:firstLine="420" w:firstLineChars="200"/>
    </w:pPr>
  </w:style>
  <w:style w:type="paragraph" w:customStyle="1" w:styleId="40">
    <w:name w:val="纯文本2"/>
    <w:basedOn w:val="1"/>
    <w:qFormat/>
    <w:uiPriority w:val="0"/>
    <w:pPr>
      <w:adjustRightInd w:val="0"/>
      <w:textAlignment w:val="baseline"/>
    </w:pPr>
    <w:rPr>
      <w:rFonts w:ascii="宋体" w:hAnsi="Courier New" w:eastAsia="楷体_GB2312"/>
      <w:sz w:val="26"/>
      <w:szCs w:val="20"/>
    </w:rPr>
  </w:style>
  <w:style w:type="paragraph" w:customStyle="1" w:styleId="41">
    <w:name w:val="默认段落字体 Para Char Char Char Char"/>
    <w:basedOn w:val="1"/>
    <w:qFormat/>
    <w:uiPriority w:val="0"/>
  </w:style>
  <w:style w:type="paragraph" w:customStyle="1" w:styleId="42">
    <w:name w:val="text9"/>
    <w:basedOn w:val="1"/>
    <w:qFormat/>
    <w:uiPriority w:val="0"/>
    <w:pPr>
      <w:widowControl/>
      <w:spacing w:before="100" w:beforeAutospacing="1" w:after="100" w:afterAutospacing="1"/>
      <w:jc w:val="left"/>
    </w:pPr>
    <w:rPr>
      <w:rFonts w:ascii="宋体" w:hAnsi="宋体"/>
      <w:kern w:val="0"/>
      <w:sz w:val="24"/>
    </w:rPr>
  </w:style>
  <w:style w:type="paragraph" w:customStyle="1" w:styleId="4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5">
    <w:name w:val="列出段落11"/>
    <w:basedOn w:val="1"/>
    <w:qFormat/>
    <w:uiPriority w:val="0"/>
    <w:pPr>
      <w:ind w:firstLine="420" w:firstLineChars="200"/>
    </w:pPr>
    <w:rPr>
      <w:rFonts w:ascii="Calibri" w:hAnsi="Calibri"/>
      <w:szCs w:val="22"/>
    </w:rPr>
  </w:style>
  <w:style w:type="paragraph" w:customStyle="1" w:styleId="4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xl36"/>
    <w:basedOn w:val="1"/>
    <w:qFormat/>
    <w:uiPriority w:val="0"/>
    <w:pPr>
      <w:widowControl/>
      <w:spacing w:before="100" w:after="100"/>
      <w:jc w:val="center"/>
    </w:pPr>
    <w:rPr>
      <w:rFonts w:ascii="宋体" w:hAnsi="宋体"/>
      <w:kern w:val="0"/>
      <w:sz w:val="24"/>
      <w:szCs w:val="20"/>
    </w:rPr>
  </w:style>
  <w:style w:type="paragraph" w:customStyle="1" w:styleId="49">
    <w:name w:val="默认段落字体 Para Char"/>
    <w:basedOn w:val="1"/>
    <w:qFormat/>
    <w:uiPriority w:val="0"/>
    <w:pPr>
      <w:adjustRightInd w:val="0"/>
      <w:spacing w:line="360" w:lineRule="auto"/>
    </w:pPr>
    <w:rPr>
      <w:rFonts w:ascii="宋体" w:hAnsi="宋体" w:cs="宋体"/>
      <w:kern w:val="0"/>
      <w:sz w:val="24"/>
      <w:szCs w:val="20"/>
    </w:rPr>
  </w:style>
  <w:style w:type="character" w:customStyle="1" w:styleId="50">
    <w:name w:val="页眉 Char"/>
    <w:basedOn w:val="27"/>
    <w:link w:val="19"/>
    <w:qFormat/>
    <w:uiPriority w:val="99"/>
    <w:rPr>
      <w:sz w:val="18"/>
      <w:szCs w:val="18"/>
    </w:rPr>
  </w:style>
  <w:style w:type="character" w:customStyle="1" w:styleId="51">
    <w:name w:val="页脚 Char"/>
    <w:basedOn w:val="27"/>
    <w:link w:val="18"/>
    <w:qFormat/>
    <w:uiPriority w:val="99"/>
    <w:rPr>
      <w:sz w:val="18"/>
      <w:szCs w:val="18"/>
    </w:rPr>
  </w:style>
  <w:style w:type="character" w:customStyle="1" w:styleId="52">
    <w:name w:val="标题 1 Char"/>
    <w:basedOn w:val="27"/>
    <w:link w:val="3"/>
    <w:qFormat/>
    <w:uiPriority w:val="0"/>
    <w:rPr>
      <w:rFonts w:ascii="Times New Roman" w:hAnsi="Times New Roman" w:eastAsia="宋体" w:cs="Times New Roman"/>
      <w:b/>
      <w:bCs/>
      <w:kern w:val="44"/>
      <w:sz w:val="44"/>
      <w:szCs w:val="44"/>
    </w:rPr>
  </w:style>
  <w:style w:type="character" w:customStyle="1" w:styleId="53">
    <w:name w:val="标题 2 Char"/>
    <w:basedOn w:val="27"/>
    <w:link w:val="4"/>
    <w:qFormat/>
    <w:uiPriority w:val="0"/>
    <w:rPr>
      <w:rFonts w:ascii="Arial" w:hAnsi="Arial" w:eastAsia="黑体" w:cs="Times New Roman"/>
      <w:b/>
      <w:bCs/>
      <w:sz w:val="32"/>
      <w:szCs w:val="32"/>
    </w:rPr>
  </w:style>
  <w:style w:type="character" w:customStyle="1" w:styleId="54">
    <w:name w:val="标题 3 Char"/>
    <w:basedOn w:val="27"/>
    <w:link w:val="5"/>
    <w:qFormat/>
    <w:uiPriority w:val="0"/>
    <w:rPr>
      <w:rFonts w:ascii="Times New Roman" w:hAnsi="Times New Roman" w:eastAsia="宋体" w:cs="Times New Roman"/>
      <w:b/>
      <w:bCs/>
      <w:sz w:val="32"/>
      <w:szCs w:val="32"/>
    </w:rPr>
  </w:style>
  <w:style w:type="character" w:customStyle="1" w:styleId="55">
    <w:name w:val="标题 4 Char"/>
    <w:basedOn w:val="27"/>
    <w:link w:val="6"/>
    <w:qFormat/>
    <w:uiPriority w:val="0"/>
    <w:rPr>
      <w:rFonts w:ascii="Arial" w:hAnsi="Arial" w:eastAsia="黑体" w:cs="Times New Roman"/>
      <w:b/>
      <w:bCs/>
      <w:sz w:val="28"/>
      <w:szCs w:val="28"/>
    </w:rPr>
  </w:style>
  <w:style w:type="character" w:customStyle="1" w:styleId="56">
    <w:name w:val="hei"/>
    <w:basedOn w:val="27"/>
    <w:qFormat/>
    <w:uiPriority w:val="0"/>
  </w:style>
  <w:style w:type="character" w:customStyle="1" w:styleId="57">
    <w:name w:val="纯文本 Char"/>
    <w:basedOn w:val="27"/>
    <w:link w:val="14"/>
    <w:qFormat/>
    <w:uiPriority w:val="0"/>
    <w:rPr>
      <w:rFonts w:ascii="宋体" w:hAnsi="Courier New"/>
    </w:rPr>
  </w:style>
  <w:style w:type="character" w:customStyle="1" w:styleId="58">
    <w:name w:val="正文缩进 Char"/>
    <w:basedOn w:val="27"/>
    <w:link w:val="7"/>
    <w:qFormat/>
    <w:uiPriority w:val="0"/>
  </w:style>
  <w:style w:type="character" w:customStyle="1" w:styleId="59">
    <w:name w:val="日期 Char"/>
    <w:basedOn w:val="27"/>
    <w:link w:val="15"/>
    <w:qFormat/>
    <w:uiPriority w:val="0"/>
    <w:rPr>
      <w:szCs w:val="24"/>
    </w:rPr>
  </w:style>
  <w:style w:type="character" w:customStyle="1" w:styleId="60">
    <w:name w:val="p31"/>
    <w:basedOn w:val="27"/>
    <w:qFormat/>
    <w:uiPriority w:val="0"/>
    <w:rPr>
      <w:sz w:val="20"/>
      <w:szCs w:val="20"/>
    </w:rPr>
  </w:style>
  <w:style w:type="character" w:customStyle="1" w:styleId="61">
    <w:name w:val="正文文本缩进 Char"/>
    <w:basedOn w:val="27"/>
    <w:link w:val="12"/>
    <w:qFormat/>
    <w:uiPriority w:val="0"/>
    <w:rPr>
      <w:szCs w:val="24"/>
    </w:rPr>
  </w:style>
  <w:style w:type="character" w:customStyle="1" w:styleId="62">
    <w:name w:val="正文文本缩进 2 Char"/>
    <w:basedOn w:val="27"/>
    <w:link w:val="16"/>
    <w:qFormat/>
    <w:uiPriority w:val="0"/>
    <w:rPr>
      <w:rFonts w:ascii="Times New Roman" w:hAnsi="Times New Roman" w:eastAsia="宋体" w:cs="Times New Roman"/>
      <w:b/>
      <w:sz w:val="24"/>
      <w:szCs w:val="24"/>
    </w:rPr>
  </w:style>
  <w:style w:type="character" w:customStyle="1" w:styleId="63">
    <w:name w:val="纯文本 Char1"/>
    <w:basedOn w:val="27"/>
    <w:qFormat/>
    <w:uiPriority w:val="0"/>
    <w:rPr>
      <w:rFonts w:ascii="宋体" w:hAnsi="Courier New" w:eastAsia="宋体" w:cs="Courier New"/>
      <w:szCs w:val="21"/>
    </w:rPr>
  </w:style>
  <w:style w:type="character" w:customStyle="1" w:styleId="64">
    <w:name w:val="批注框文本 Char"/>
    <w:basedOn w:val="27"/>
    <w:link w:val="17"/>
    <w:qFormat/>
    <w:uiPriority w:val="0"/>
    <w:rPr>
      <w:rFonts w:ascii="Times New Roman" w:hAnsi="Times New Roman" w:eastAsia="宋体" w:cs="Times New Roman"/>
      <w:sz w:val="18"/>
      <w:szCs w:val="18"/>
    </w:rPr>
  </w:style>
  <w:style w:type="character" w:customStyle="1" w:styleId="65">
    <w:name w:val="正文文本缩进 Char1"/>
    <w:basedOn w:val="27"/>
    <w:semiHidden/>
    <w:qFormat/>
    <w:uiPriority w:val="99"/>
    <w:rPr>
      <w:rFonts w:ascii="Times New Roman" w:hAnsi="Times New Roman" w:eastAsia="宋体" w:cs="Times New Roman"/>
      <w:szCs w:val="24"/>
    </w:rPr>
  </w:style>
  <w:style w:type="character" w:customStyle="1" w:styleId="66">
    <w:name w:val="正文文本 Char"/>
    <w:basedOn w:val="27"/>
    <w:link w:val="11"/>
    <w:qFormat/>
    <w:uiPriority w:val="0"/>
    <w:rPr>
      <w:rFonts w:ascii="Times New Roman" w:hAnsi="Times New Roman" w:eastAsia="宋体" w:cs="Times New Roman"/>
      <w:kern w:val="0"/>
      <w:sz w:val="24"/>
      <w:szCs w:val="20"/>
    </w:rPr>
  </w:style>
  <w:style w:type="character" w:customStyle="1" w:styleId="67">
    <w:name w:val="日期 Char1"/>
    <w:basedOn w:val="27"/>
    <w:qFormat/>
    <w:uiPriority w:val="0"/>
    <w:rPr>
      <w:rFonts w:ascii="Times New Roman" w:hAnsi="Times New Roman" w:eastAsia="宋体" w:cs="Times New Roman"/>
      <w:szCs w:val="24"/>
    </w:rPr>
  </w:style>
  <w:style w:type="character" w:customStyle="1" w:styleId="68">
    <w:name w:val="正文缩进 Char1"/>
    <w:qFormat/>
    <w:uiPriority w:val="0"/>
    <w:rPr>
      <w:rFonts w:eastAsia="宋体"/>
      <w:kern w:val="2"/>
      <w:sz w:val="21"/>
      <w:szCs w:val="24"/>
      <w:lang w:val="en-US" w:eastAsia="zh-CN" w:bidi="ar-SA"/>
    </w:rPr>
  </w:style>
  <w:style w:type="character" w:customStyle="1" w:styleId="69">
    <w:name w:val="HTML 预设格式 Char"/>
    <w:basedOn w:val="27"/>
    <w:link w:val="21"/>
    <w:qFormat/>
    <w:uiPriority w:val="0"/>
    <w:rPr>
      <w:rFonts w:ascii="宋体" w:hAnsi="宋体" w:eastAsia="宋体" w:cs="宋体"/>
      <w:kern w:val="0"/>
      <w:sz w:val="24"/>
      <w:szCs w:val="24"/>
    </w:rPr>
  </w:style>
  <w:style w:type="character" w:customStyle="1" w:styleId="70">
    <w:name w:val="称呼 Char"/>
    <w:basedOn w:val="27"/>
    <w:link w:val="9"/>
    <w:qFormat/>
    <w:uiPriority w:val="0"/>
    <w:rPr>
      <w:rFonts w:ascii="Times New Roman" w:hAnsi="Times New Roman" w:eastAsia="宋体" w:cs="Times New Roman"/>
      <w:szCs w:val="24"/>
    </w:rPr>
  </w:style>
  <w:style w:type="character" w:customStyle="1" w:styleId="71">
    <w:name w:val="结束语 Char"/>
    <w:basedOn w:val="27"/>
    <w:link w:val="10"/>
    <w:qFormat/>
    <w:uiPriority w:val="0"/>
    <w:rPr>
      <w:rFonts w:ascii="Times New Roman" w:hAnsi="Times New Roman" w:eastAsia="宋体" w:cs="Times New Roman"/>
      <w:szCs w:val="24"/>
    </w:rPr>
  </w:style>
  <w:style w:type="character" w:customStyle="1" w:styleId="72">
    <w:name w:val="bodytext1"/>
    <w:qFormat/>
    <w:uiPriority w:val="0"/>
    <w:rPr>
      <w:rFonts w:ascii="Verdana" w:hAnsi="Verdana" w:cs="Times New Roman"/>
      <w:color w:val="000000"/>
      <w:sz w:val="22"/>
      <w:szCs w:val="22"/>
    </w:rPr>
  </w:style>
  <w:style w:type="paragraph" w:customStyle="1" w:styleId="73">
    <w:name w:val="p0"/>
    <w:basedOn w:val="1"/>
    <w:qFormat/>
    <w:uiPriority w:val="0"/>
    <w:rPr>
      <w:kern w:val="0"/>
      <w:szCs w:val="21"/>
    </w:rPr>
  </w:style>
  <w:style w:type="character" w:customStyle="1" w:styleId="74">
    <w:name w:val="font11"/>
    <w:basedOn w:val="27"/>
    <w:qFormat/>
    <w:uiPriority w:val="0"/>
    <w:rPr>
      <w:rFonts w:ascii="仿宋" w:hAnsi="仿宋" w:eastAsia="仿宋" w:cs="仿宋"/>
      <w:color w:val="000000"/>
      <w:sz w:val="24"/>
      <w:szCs w:val="24"/>
      <w:u w:val="none"/>
    </w:rPr>
  </w:style>
  <w:style w:type="character" w:customStyle="1" w:styleId="75">
    <w:name w:val="font51"/>
    <w:basedOn w:val="27"/>
    <w:qFormat/>
    <w:uiPriority w:val="0"/>
    <w:rPr>
      <w:rFonts w:hint="eastAsia" w:ascii="宋体" w:hAnsi="宋体" w:eastAsia="宋体" w:cs="宋体"/>
      <w:color w:val="000000"/>
      <w:sz w:val="20"/>
      <w:szCs w:val="20"/>
      <w:u w:val="none"/>
    </w:rPr>
  </w:style>
  <w:style w:type="paragraph" w:styleId="7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7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8">
    <w:name w:val="正文-宋体"/>
    <w:basedOn w:val="1"/>
    <w:link w:val="79"/>
    <w:qFormat/>
    <w:uiPriority w:val="0"/>
    <w:pPr>
      <w:widowControl/>
      <w:numPr>
        <w:ilvl w:val="0"/>
        <w:numId w:val="1"/>
      </w:numPr>
      <w:adjustRightInd w:val="0"/>
      <w:snapToGrid w:val="0"/>
      <w:spacing w:line="360" w:lineRule="auto"/>
      <w:jc w:val="left"/>
    </w:pPr>
    <w:rPr>
      <w:rFonts w:ascii="Arial" w:hAnsi="Arial" w:cs="Arial"/>
      <w:color w:val="000000"/>
      <w:sz w:val="24"/>
      <w:shd w:val="clear" w:color="auto" w:fill="FFFFFF"/>
    </w:rPr>
  </w:style>
  <w:style w:type="character" w:customStyle="1" w:styleId="79">
    <w:name w:val="正文-宋体 字符"/>
    <w:basedOn w:val="27"/>
    <w:link w:val="78"/>
    <w:qFormat/>
    <w:uiPriority w:val="0"/>
    <w:rPr>
      <w:rFonts w:ascii="Arial" w:hAnsi="Arial" w:cs="Arial"/>
      <w:color w:val="000000"/>
      <w:kern w:val="2"/>
      <w:sz w:val="24"/>
      <w:szCs w:val="24"/>
    </w:rPr>
  </w:style>
  <w:style w:type="paragraph" w:customStyle="1" w:styleId="80">
    <w:name w:val="采购正文"/>
    <w:qFormat/>
    <w:uiPriority w:val="0"/>
    <w:pPr>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8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4680</Words>
  <Characters>26677</Characters>
  <Lines>222</Lines>
  <Paragraphs>62</Paragraphs>
  <TotalTime>2</TotalTime>
  <ScaleCrop>false</ScaleCrop>
  <LinksUpToDate>false</LinksUpToDate>
  <CharactersWithSpaces>31295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2019-04-23T04:15:00Z</dcterms:created>
  <dc:creator>微软用户</dc:creator>
  <cp:lastModifiedBy>清水倾城</cp:lastModifiedBy>
  <cp:lastPrinted>2020-05-26T04:09:00Z</cp:lastPrinted>
  <dcterms:modified xsi:type="dcterms:W3CDTF">2021-10-19T02:13:25Z</dcterms:modified>
  <dc:title>_x0001_</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D1140A9DCEB24A9298DDC3282504E742</vt:lpwstr>
  </property>
</Properties>
</file>