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tabs>
          <w:tab w:val="left" w:pos="2220"/>
        </w:tabs>
        <w:jc w:val="both"/>
        <w:rPr>
          <w:rFonts w:ascii="黑体" w:hAnsi="宋体" w:eastAsia="黑体"/>
          <w:b/>
          <w:sz w:val="48"/>
          <w:szCs w:val="48"/>
        </w:rPr>
      </w:pPr>
    </w:p>
    <w:p>
      <w:pPr>
        <w:pStyle w:val="31"/>
        <w:jc w:val="center"/>
        <w:rPr>
          <w:rFonts w:ascii="黑体" w:hAnsi="宋体" w:eastAsia="黑体"/>
          <w:b/>
          <w:sz w:val="48"/>
          <w:szCs w:val="48"/>
        </w:rPr>
      </w:pPr>
    </w:p>
    <w:p>
      <w:pPr>
        <w:pStyle w:val="31"/>
        <w:jc w:val="center"/>
        <w:rPr>
          <w:rFonts w:ascii="黑体" w:hAnsi="宋体" w:eastAsia="黑体"/>
          <w:b/>
          <w:color w:val="auto"/>
          <w:sz w:val="48"/>
          <w:szCs w:val="48"/>
        </w:rPr>
      </w:pPr>
    </w:p>
    <w:p>
      <w:pPr>
        <w:pStyle w:val="31"/>
        <w:jc w:val="center"/>
        <w:rPr>
          <w:rFonts w:ascii="黑体" w:hAnsi="黑体" w:eastAsia="黑体" w:cs="黑体"/>
          <w:b/>
          <w:bCs/>
          <w:color w:val="auto"/>
          <w:sz w:val="48"/>
          <w:szCs w:val="48"/>
        </w:rPr>
      </w:pPr>
      <w:r>
        <w:rPr>
          <w:rFonts w:hint="eastAsia" w:ascii="宋体" w:hAnsi="宋体" w:cs="宋体"/>
          <w:b/>
          <w:sz w:val="48"/>
          <w:szCs w:val="48"/>
          <w:lang w:eastAsia="zh-CN"/>
        </w:rPr>
        <w:t>木垒县人民医院智慧医院建设项目信息化软件建设1(二次)</w:t>
      </w:r>
    </w:p>
    <w:p>
      <w:pPr>
        <w:pStyle w:val="31"/>
        <w:rPr>
          <w:rFonts w:ascii="宋体" w:hAnsi="宋体"/>
          <w:color w:val="auto"/>
          <w:sz w:val="32"/>
        </w:rPr>
      </w:pPr>
    </w:p>
    <w:p>
      <w:pPr>
        <w:pStyle w:val="31"/>
        <w:rPr>
          <w:rFonts w:ascii="宋体" w:hAnsi="宋体"/>
          <w:color w:val="auto"/>
          <w:sz w:val="32"/>
        </w:rPr>
      </w:pPr>
    </w:p>
    <w:p>
      <w:pPr>
        <w:pStyle w:val="31"/>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1"/>
        <w:ind w:firstLine="1920" w:firstLineChars="600"/>
        <w:rPr>
          <w:rFonts w:ascii="黑体" w:hAnsi="宋体" w:eastAsia="黑体"/>
          <w:color w:val="auto"/>
          <w:sz w:val="32"/>
        </w:rPr>
      </w:pPr>
    </w:p>
    <w:p>
      <w:pPr>
        <w:pStyle w:val="31"/>
        <w:ind w:firstLine="1920" w:firstLineChars="600"/>
        <w:rPr>
          <w:rFonts w:ascii="黑体" w:hAnsi="宋体" w:eastAsia="黑体"/>
          <w:color w:val="auto"/>
          <w:sz w:val="32"/>
        </w:rPr>
      </w:pPr>
    </w:p>
    <w:p>
      <w:pPr>
        <w:pStyle w:val="31"/>
        <w:ind w:firstLine="1920" w:firstLineChars="600"/>
        <w:rPr>
          <w:rFonts w:ascii="黑体" w:hAnsi="宋体" w:eastAsia="黑体"/>
          <w:color w:val="auto"/>
          <w:sz w:val="32"/>
        </w:rPr>
      </w:pPr>
    </w:p>
    <w:p>
      <w:pPr>
        <w:pStyle w:val="31"/>
        <w:ind w:firstLine="1928" w:firstLineChars="600"/>
        <w:jc w:val="both"/>
        <w:rPr>
          <w:rFonts w:ascii="仿宋_GB2312" w:hAnsi="宋体" w:eastAsia="仿宋_GB2312"/>
          <w:b/>
          <w:color w:val="auto"/>
          <w:sz w:val="32"/>
          <w:szCs w:val="31"/>
        </w:rPr>
      </w:pPr>
    </w:p>
    <w:p>
      <w:pPr>
        <w:pStyle w:val="31"/>
        <w:ind w:firstLine="1928" w:firstLineChars="600"/>
        <w:jc w:val="both"/>
        <w:rPr>
          <w:rFonts w:ascii="仿宋_GB2312" w:hAnsi="宋体" w:eastAsia="仿宋_GB2312"/>
          <w:b/>
          <w:color w:val="auto"/>
          <w:sz w:val="32"/>
          <w:szCs w:val="31"/>
        </w:rPr>
      </w:pPr>
    </w:p>
    <w:p>
      <w:pPr>
        <w:pStyle w:val="31"/>
        <w:ind w:firstLine="1928" w:firstLineChars="600"/>
        <w:jc w:val="both"/>
        <w:rPr>
          <w:rFonts w:hint="eastAsia" w:ascii="仿宋_GB2312" w:hAnsi="宋体" w:eastAsia="仿宋_GB2312"/>
          <w:b/>
          <w:color w:val="auto"/>
          <w:sz w:val="32"/>
          <w:szCs w:val="31"/>
          <w:lang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XJTQ2021ZB78-CG001 </w:t>
      </w:r>
    </w:p>
    <w:p>
      <w:pPr>
        <w:pStyle w:val="31"/>
        <w:ind w:firstLine="1928" w:firstLineChars="600"/>
        <w:jc w:val="both"/>
        <w:rPr>
          <w:rFonts w:ascii="楷体_GB2312" w:hAnsi="宋体" w:eastAsia="楷体_GB2312"/>
          <w:b/>
          <w:color w:val="auto"/>
          <w:sz w:val="32"/>
          <w:szCs w:val="31"/>
          <w:u w:val="single"/>
        </w:rPr>
      </w:pPr>
      <w:r>
        <w:rPr>
          <w:rFonts w:hint="eastAsia" w:ascii="仿宋_GB2312" w:hAnsi="宋体" w:eastAsia="仿宋_GB2312"/>
          <w:b/>
          <w:color w:val="auto"/>
          <w:sz w:val="32"/>
          <w:szCs w:val="31"/>
        </w:rPr>
        <w:t>采购人</w:t>
      </w:r>
      <w:r>
        <w:rPr>
          <w:rFonts w:hint="eastAsia" w:ascii="黑体" w:hAnsi="宋体" w:eastAsia="黑体"/>
          <w:b/>
          <w:color w:val="auto"/>
          <w:sz w:val="32"/>
          <w:szCs w:val="31"/>
        </w:rPr>
        <w:t>：</w:t>
      </w:r>
      <w:r>
        <w:rPr>
          <w:rFonts w:hint="eastAsia" w:ascii="楷体_GB2312" w:hAnsi="宋体" w:eastAsia="楷体_GB2312"/>
          <w:b/>
          <w:color w:val="auto"/>
          <w:sz w:val="32"/>
          <w:szCs w:val="31"/>
          <w:u w:val="single"/>
          <w:lang w:eastAsia="zh-CN"/>
        </w:rPr>
        <w:t>木垒哈萨克自治县人民医院</w:t>
      </w:r>
    </w:p>
    <w:p>
      <w:pPr>
        <w:pStyle w:val="31"/>
        <w:ind w:firstLine="1928" w:firstLineChars="600"/>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1"/>
        <w:ind w:firstLine="1928" w:firstLineChars="600"/>
        <w:jc w:val="both"/>
        <w:rPr>
          <w:rFonts w:ascii="楷体_GB2312" w:hAnsi="宋体" w:eastAsia="楷体_GB2312"/>
          <w:b/>
          <w:color w:val="auto"/>
          <w:sz w:val="32"/>
          <w:u w:val="single"/>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2021年</w:t>
      </w:r>
      <w:r>
        <w:rPr>
          <w:rFonts w:hint="eastAsia" w:ascii="楷体_GB2312" w:hAnsi="宋体" w:eastAsia="楷体_GB2312"/>
          <w:b/>
          <w:color w:val="auto"/>
          <w:sz w:val="32"/>
          <w:szCs w:val="31"/>
          <w:u w:val="single"/>
          <w:lang w:val="en-US" w:eastAsia="zh-CN"/>
        </w:rPr>
        <w:t>10</w:t>
      </w:r>
      <w:r>
        <w:rPr>
          <w:rFonts w:hint="eastAsia" w:ascii="楷体_GB2312" w:hAnsi="宋体" w:eastAsia="楷体_GB2312"/>
          <w:b/>
          <w:color w:val="auto"/>
          <w:sz w:val="32"/>
          <w:szCs w:val="31"/>
          <w:u w:val="single"/>
        </w:rPr>
        <w:t>月</w:t>
      </w:r>
    </w:p>
    <w:p>
      <w:pPr>
        <w:pStyle w:val="31"/>
        <w:rPr>
          <w:rFonts w:ascii="黑体" w:hAnsi="宋体" w:eastAsia="黑体"/>
          <w:color w:val="auto"/>
          <w:sz w:val="30"/>
        </w:rPr>
      </w:pPr>
    </w:p>
    <w:p/>
    <w:p>
      <w:pPr>
        <w:adjustRightInd w:val="0"/>
        <w:snapToGrid w:val="0"/>
        <w:spacing w:line="360" w:lineRule="auto"/>
        <w:jc w:val="center"/>
        <w:rPr>
          <w:rFonts w:ascii="宋体" w:hAnsi="宋体" w:cs="宋体"/>
          <w:b/>
          <w:sz w:val="44"/>
          <w:szCs w:val="44"/>
        </w:rPr>
      </w:pPr>
    </w:p>
    <w:p>
      <w:pPr>
        <w:adjustRightInd w:val="0"/>
        <w:snapToGrid w:val="0"/>
        <w:spacing w:line="360" w:lineRule="auto"/>
        <w:rPr>
          <w:rFonts w:ascii="宋体" w:hAnsi="宋体" w:cs="宋体"/>
          <w:b/>
          <w:sz w:val="44"/>
          <w:szCs w:val="44"/>
        </w:rPr>
      </w:pPr>
    </w:p>
    <w:p>
      <w:pPr>
        <w:jc w:val="center"/>
        <w:outlineLvl w:val="1"/>
        <w:rPr>
          <w:rFonts w:hint="eastAsia" w:ascii="宋体" w:hAnsi="宋体" w:eastAsia="宋体" w:cs="Times New Roman"/>
          <w:b/>
          <w:bCs/>
          <w:kern w:val="0"/>
          <w:sz w:val="36"/>
          <w:szCs w:val="36"/>
          <w:lang w:val="en-US" w:eastAsia="zh-CN"/>
        </w:rPr>
      </w:pP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18"/>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18"/>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18"/>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18"/>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20"/>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hint="eastAsia" w:ascii="宋体" w:hAnsi="宋体" w:cs="宋体"/>
          <w:b/>
          <w:sz w:val="44"/>
          <w:szCs w:val="44"/>
        </w:rPr>
      </w:pP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3"/>
      <w:bookmarkStart w:id="1" w:name="OLE_LINK1"/>
      <w:bookmarkStart w:id="2" w:name="OLE_LINK4"/>
      <w:bookmarkStart w:id="3" w:name="OLE_LINK2"/>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29"/>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4" w:type="first"/>
          <w:footerReference r:id="rId3"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center"/>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2"/>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1"/>
              <w:jc w:val="both"/>
              <w:rPr>
                <w:rFonts w:ascii="仿宋" w:hAnsi="仿宋" w:eastAsia="仿宋" w:cs="仿宋"/>
              </w:rPr>
            </w:pPr>
            <w:r>
              <w:rPr>
                <w:rFonts w:hint="eastAsia" w:ascii="仿宋" w:hAnsi="仿宋" w:eastAsia="仿宋" w:cs="仿宋"/>
                <w:color w:val="auto"/>
                <w:kern w:val="2"/>
                <w:sz w:val="24"/>
                <w:szCs w:val="24"/>
                <w:lang w:val="en-US" w:eastAsia="zh-CN" w:bidi="ar-SA"/>
              </w:rPr>
              <w:t>木垒县人民医院智慧医院建设项目信息化软件建设1(二次)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XJTQ2021ZB78-CG001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bCs/>
                <w:sz w:val="24"/>
                <w:szCs w:val="24"/>
                <w:lang w:eastAsia="zh-CN"/>
              </w:rPr>
            </w:pPr>
            <w:r>
              <w:rPr>
                <w:rFonts w:hint="eastAsia" w:ascii="仿宋" w:hAnsi="仿宋" w:eastAsia="仿宋" w:cs="仿宋"/>
                <w:sz w:val="24"/>
                <w:szCs w:val="24"/>
                <w:lang w:eastAsia="zh-CN"/>
              </w:rPr>
              <w:t>木垒哈萨克自治县人民医院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刘东亮</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0994-4831777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信息化建设（含基础His，电子病历，临床路径）。(具体详见技术参数)。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jc w:val="left"/>
              <w:rPr>
                <w:rFonts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FF0000"/>
                <w:sz w:val="24"/>
                <w:szCs w:val="24"/>
              </w:rPr>
            </w:pPr>
            <w:r>
              <w:rPr>
                <w:rFonts w:hint="eastAsia" w:ascii="仿宋" w:hAnsi="仿宋" w:eastAsia="仿宋" w:cs="仿宋"/>
                <w:color w:val="FF0000"/>
                <w:sz w:val="24"/>
                <w:szCs w:val="24"/>
              </w:rPr>
              <w:t xml:space="preserve"> </w:t>
            </w:r>
            <w:r>
              <w:rPr>
                <w:rFonts w:hint="eastAsia" w:ascii="仿宋" w:hAnsi="仿宋" w:eastAsia="仿宋"/>
                <w:sz w:val="24"/>
                <w:szCs w:val="24"/>
              </w:rPr>
              <w:t>按生产厂家标准执行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lang w:eastAsia="zh-CN"/>
              </w:rPr>
              <w:t>叁佰陆拾万零伍仟元整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360.5万元</w:t>
            </w: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地方政府债券资金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 xml:space="preserve">柒万元整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70000.00元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b/>
                <w:color w:val="000000"/>
                <w:sz w:val="24"/>
                <w:szCs w:val="24"/>
              </w:rPr>
            </w:pPr>
            <w:r>
              <w:rPr>
                <w:rFonts w:hint="eastAsia" w:ascii="仿宋" w:hAnsi="仿宋" w:eastAsia="仿宋" w:cs="仿宋"/>
                <w:sz w:val="24"/>
                <w:szCs w:val="24"/>
              </w:rPr>
              <w:t>《开标一览表》1份、正本 1 份、副本</w:t>
            </w:r>
            <w:r>
              <w:rPr>
                <w:rFonts w:hint="eastAsia" w:ascii="仿宋" w:hAnsi="仿宋" w:eastAsia="仿宋" w:cs="仿宋"/>
                <w:sz w:val="24"/>
                <w:szCs w:val="24"/>
                <w:lang w:val="en-US" w:eastAsia="zh-CN"/>
              </w:rPr>
              <w:t>2</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2021年</w:t>
            </w:r>
            <w:r>
              <w:rPr>
                <w:rFonts w:hint="eastAsia" w:ascii="仿宋" w:hAnsi="仿宋" w:eastAsia="仿宋" w:cs="仿宋"/>
                <w:b/>
                <w:bCs/>
                <w:color w:val="auto"/>
                <w:sz w:val="24"/>
                <w:szCs w:val="24"/>
                <w:lang w:val="en-US" w:eastAsia="zh-CN"/>
              </w:rPr>
              <w:t>09</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22</w:t>
            </w:r>
            <w:r>
              <w:rPr>
                <w:rFonts w:hint="eastAsia" w:ascii="仿宋" w:hAnsi="仿宋" w:eastAsia="仿宋" w:cs="仿宋"/>
                <w:b/>
                <w:bCs/>
                <w:color w:val="auto"/>
                <w:sz w:val="24"/>
                <w:szCs w:val="24"/>
              </w:rPr>
              <w:t>日至2021年</w:t>
            </w:r>
            <w:r>
              <w:rPr>
                <w:rFonts w:hint="eastAsia" w:ascii="仿宋" w:hAnsi="仿宋" w:eastAsia="仿宋" w:cs="仿宋"/>
                <w:b/>
                <w:bCs/>
                <w:color w:val="auto"/>
                <w:sz w:val="24"/>
                <w:szCs w:val="24"/>
                <w:lang w:val="en-US" w:eastAsia="zh-CN"/>
              </w:rPr>
              <w:t>09</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27</w:t>
            </w:r>
            <w:r>
              <w:rPr>
                <w:rFonts w:hint="eastAsia" w:ascii="仿宋" w:hAnsi="仿宋" w:eastAsia="仿宋" w:cs="仿宋"/>
                <w:b/>
                <w:bCs/>
                <w:color w:val="auto"/>
                <w:sz w:val="24"/>
                <w:szCs w:val="24"/>
              </w:rPr>
              <w:t>日下午京时</w:t>
            </w:r>
            <w:r>
              <w:rPr>
                <w:rFonts w:hint="eastAsia" w:ascii="仿宋" w:hAnsi="仿宋" w:eastAsia="仿宋" w:cs="仿宋"/>
                <w:b/>
                <w:bCs/>
                <w:color w:val="auto"/>
                <w:sz w:val="24"/>
                <w:szCs w:val="24"/>
                <w:lang w:val="en-US" w:eastAsia="zh-CN"/>
              </w:rPr>
              <w:t>20</w:t>
            </w:r>
            <w:r>
              <w:rPr>
                <w:rFonts w:hint="eastAsia" w:ascii="仿宋" w:hAnsi="仿宋" w:eastAsia="仿宋" w:cs="仿宋"/>
                <w:b/>
                <w:bCs/>
                <w:color w:val="auto"/>
                <w:sz w:val="24"/>
                <w:szCs w:val="24"/>
              </w:rPr>
              <w:t>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15</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2021年</w:t>
            </w:r>
            <w:r>
              <w:rPr>
                <w:rFonts w:hint="eastAsia" w:ascii="仿宋_GB2312" w:hAnsi="宋体" w:eastAsia="仿宋_GB2312" w:cs="Times New Roman"/>
                <w:b/>
                <w:color w:val="auto"/>
                <w:sz w:val="24"/>
                <w:szCs w:val="24"/>
                <w:lang w:val="en-US" w:eastAsia="zh-CN"/>
              </w:rPr>
              <w:t>10</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12</w:t>
            </w:r>
            <w:r>
              <w:rPr>
                <w:rFonts w:hint="eastAsia" w:ascii="仿宋_GB2312" w:hAnsi="宋体" w:eastAsia="仿宋_GB2312" w:cs="Times New Roman"/>
                <w:b/>
                <w:color w:val="auto"/>
                <w:sz w:val="24"/>
                <w:szCs w:val="24"/>
              </w:rPr>
              <w:t>日北京时间11点00分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16</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2021年</w:t>
            </w:r>
            <w:r>
              <w:rPr>
                <w:rFonts w:hint="eastAsia" w:ascii="仿宋_GB2312" w:hAnsi="宋体" w:eastAsia="仿宋_GB2312" w:cs="Times New Roman"/>
                <w:b/>
                <w:color w:val="auto"/>
                <w:sz w:val="24"/>
                <w:szCs w:val="24"/>
                <w:lang w:val="en-US" w:eastAsia="zh-CN"/>
              </w:rPr>
              <w:t>10</w:t>
            </w:r>
            <w:r>
              <w:rPr>
                <w:rFonts w:hint="eastAsia" w:ascii="仿宋_GB2312" w:hAnsi="宋体" w:eastAsia="仿宋_GB2312" w:cs="Times New Roman"/>
                <w:b/>
                <w:color w:val="auto"/>
                <w:sz w:val="24"/>
                <w:szCs w:val="24"/>
              </w:rPr>
              <w:t>月</w:t>
            </w:r>
            <w:r>
              <w:rPr>
                <w:rFonts w:hint="eastAsia" w:ascii="仿宋_GB2312" w:hAnsi="宋体" w:eastAsia="仿宋_GB2312" w:cs="Times New Roman"/>
                <w:b/>
                <w:color w:val="auto"/>
                <w:sz w:val="24"/>
                <w:szCs w:val="24"/>
                <w:lang w:val="en-US" w:eastAsia="zh-CN"/>
              </w:rPr>
              <w:t>12</w:t>
            </w:r>
            <w:r>
              <w:rPr>
                <w:rFonts w:hint="eastAsia" w:ascii="仿宋_GB2312" w:hAnsi="宋体" w:eastAsia="仿宋_GB2312" w:cs="Times New Roman"/>
                <w:b/>
                <w:color w:val="auto"/>
                <w:sz w:val="24"/>
                <w:szCs w:val="24"/>
              </w:rPr>
              <w:t>日北京时间11点00分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17</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投标文件以密封形式递交至昌吉州公共资源交易大厅二厅（昌吉市宁边西路与世纪大道交汇处，科技馆负一层）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r>
              <w:rPr>
                <w:rFonts w:hint="eastAsia" w:ascii="仿宋_GB2312" w:hAnsi="宋体" w:eastAsia="仿宋_GB2312" w:cs="Arial"/>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w:t>
            </w:r>
            <w:r>
              <w:rPr>
                <w:rFonts w:hint="eastAsia" w:ascii="仿宋_GB2312" w:hAnsi="宋体" w:eastAsia="仿宋_GB2312" w:cs="Times New Roman"/>
                <w:color w:val="000000"/>
                <w:sz w:val="24"/>
                <w:szCs w:val="24"/>
                <w:lang w:val="en-US" w:eastAsia="zh-CN"/>
              </w:rPr>
              <w:t>3天</w:t>
            </w:r>
            <w:r>
              <w:rPr>
                <w:rFonts w:hint="eastAsia" w:ascii="仿宋_GB2312" w:hAnsi="宋体" w:eastAsia="仿宋_GB2312" w:cs="Times New Roman"/>
                <w:color w:val="000000"/>
                <w:sz w:val="24"/>
                <w:szCs w:val="24"/>
              </w:rPr>
              <w:t>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sz w:val="24"/>
                <w:szCs w:val="24"/>
              </w:rPr>
            </w:pPr>
            <w:r>
              <w:rPr>
                <w:rFonts w:hint="eastAsia" w:ascii="仿宋_GB2312" w:hAnsi="宋体" w:eastAsia="仿宋_GB2312" w:cs="Times New Roman"/>
                <w:b/>
                <w:sz w:val="24"/>
                <w:szCs w:val="24"/>
              </w:rPr>
              <w:t>签订合同时间</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 w:hAnsi="仿宋" w:eastAsia="仿宋" w:cs="仿宋"/>
                <w:spacing w:val="-2"/>
                <w:sz w:val="24"/>
                <w:szCs w:val="24"/>
              </w:rPr>
              <w:t>中标人收到采购代理机构的《中标通知书》后30日内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color w:val="auto"/>
                <w:sz w:val="24"/>
                <w:szCs w:val="20"/>
              </w:rPr>
            </w:pPr>
            <w:r>
              <w:rPr>
                <w:rFonts w:hint="eastAsia" w:ascii="宋体" w:hAnsi="宋体" w:cs="Times New Roman"/>
                <w:color w:val="auto"/>
                <w:sz w:val="24"/>
                <w:szCs w:val="20"/>
              </w:rPr>
              <w:t>21</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auto"/>
                <w:sz w:val="24"/>
                <w:szCs w:val="24"/>
              </w:rPr>
            </w:pPr>
            <w:r>
              <w:rPr>
                <w:rFonts w:hint="eastAsia" w:ascii="仿宋_GB2312" w:hAnsi="宋体" w:eastAsia="仿宋_GB2312" w:cs="Times New Roman"/>
                <w:b/>
                <w:color w:val="auto"/>
                <w:sz w:val="24"/>
                <w:szCs w:val="24"/>
              </w:rPr>
              <w:t>交货期限</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color w:val="auto"/>
                <w:sz w:val="24"/>
                <w:szCs w:val="24"/>
              </w:rPr>
            </w:pPr>
            <w:r>
              <w:rPr>
                <w:rFonts w:hint="eastAsia" w:ascii="仿宋_GB2312" w:hAnsi="宋体" w:eastAsia="仿宋_GB2312" w:cs="Times New Roman"/>
                <w:b/>
                <w:color w:val="000000"/>
                <w:sz w:val="24"/>
                <w:szCs w:val="24"/>
              </w:rPr>
              <w:t>合同签订后60日内所购设备运至甲方指定位置并安装验收合格。（信息系统，3年内免子系统以及政府要求的相关系统接囗费）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eastAsia="zh-CN"/>
              </w:rPr>
              <w:t>木垒县人民医院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bl>
    <w:p>
      <w:pPr>
        <w:spacing w:line="420" w:lineRule="exact"/>
        <w:rPr>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31446"/>
      <w:bookmarkStart w:id="8" w:name="_Toc3376"/>
      <w:bookmarkStart w:id="9" w:name="_Toc2340"/>
      <w:bookmarkStart w:id="10" w:name="_Toc4609"/>
      <w:bookmarkStart w:id="11" w:name="_Toc30588"/>
      <w:bookmarkStart w:id="12" w:name="_Toc12713"/>
      <w:bookmarkStart w:id="13" w:name="_Toc2122"/>
      <w:bookmarkStart w:id="14" w:name="_Toc13562"/>
      <w:bookmarkStart w:id="15" w:name="_Toc22129"/>
      <w:bookmarkStart w:id="16" w:name="_Toc19821"/>
      <w:bookmarkStart w:id="17" w:name="_Toc18253"/>
      <w:bookmarkStart w:id="18" w:name="_Toc25060"/>
      <w:bookmarkStart w:id="19" w:name="_Toc10828"/>
      <w:bookmarkStart w:id="20" w:name="_Toc32082"/>
      <w:bookmarkStart w:id="21" w:name="_Toc7066"/>
      <w:bookmarkStart w:id="22" w:name="_Toc179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_GB2312" w:eastAsia="仿宋_GB2312" w:cs="Times New Roman"/>
          <w:b/>
          <w:bCs/>
          <w:sz w:val="24"/>
          <w:szCs w:val="24"/>
          <w:u w:val="single"/>
          <w:lang w:val="en-US" w:eastAsia="zh-CN"/>
        </w:rPr>
        <w:t>木垒县人民医院智慧医院建设项目信息化软件建设1(二次)</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eastAsia="仿宋_GB2312" w:cs="Times New Roman"/>
          <w:b/>
          <w:bCs/>
          <w:sz w:val="24"/>
          <w:szCs w:val="24"/>
          <w:u w:val="single"/>
          <w:lang w:eastAsia="zh-CN"/>
        </w:rPr>
        <w:t>木垒哈萨克自治县人民医院</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30637"/>
      <w:bookmarkStart w:id="24" w:name="_Toc22946"/>
      <w:bookmarkStart w:id="25" w:name="_Toc17436"/>
      <w:bookmarkStart w:id="26" w:name="_Toc2594"/>
      <w:bookmarkStart w:id="27" w:name="_Toc14958"/>
      <w:bookmarkStart w:id="28" w:name="_Toc23877"/>
      <w:bookmarkStart w:id="29" w:name="_Toc9247"/>
      <w:bookmarkStart w:id="30" w:name="_Toc21110"/>
      <w:bookmarkStart w:id="31" w:name="_Toc8278"/>
      <w:bookmarkStart w:id="32" w:name="_Toc15920"/>
      <w:bookmarkStart w:id="33" w:name="_Toc4244"/>
      <w:bookmarkStart w:id="34" w:name="_Toc25732"/>
      <w:bookmarkStart w:id="35" w:name="_Toc1839"/>
      <w:bookmarkStart w:id="36" w:name="_Toc22600"/>
      <w:bookmarkStart w:id="37" w:name="_Toc25097"/>
    </w:p>
    <w:p>
      <w:pPr>
        <w:outlineLvl w:val="1"/>
        <w:rPr>
          <w:rFonts w:ascii="仿宋_GB2312" w:hAnsi="宋体" w:eastAsia="仿宋_GB2312" w:cs="Times New Roman"/>
          <w:b/>
          <w:sz w:val="32"/>
          <w:szCs w:val="32"/>
          <w:highlight w:val="yellow"/>
        </w:rPr>
      </w:pPr>
    </w:p>
    <w:p>
      <w:pPr>
        <w:pStyle w:val="6"/>
      </w:pPr>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r>
        <w:rPr>
          <w:rFonts w:hint="eastAsia" w:ascii="宋体" w:hAnsi="宋体" w:cs="宋体"/>
          <w:b/>
          <w:sz w:val="24"/>
          <w:szCs w:val="20"/>
        </w:rPr>
        <w:t>1、投标资质要求</w:t>
      </w:r>
    </w:p>
    <w:p>
      <w:pPr>
        <w:pStyle w:val="18"/>
        <w:widowControl/>
        <w:spacing w:before="75" w:beforeAutospacing="0" w:after="75" w:afterAutospacing="0"/>
        <w:ind w:left="54" w:firstLine="480" w:firstLineChars="200"/>
        <w:rPr>
          <w:rFonts w:hint="eastAsia" w:ascii="宋体" w:hAnsi="宋体" w:eastAsia="宋体" w:cs="宋体"/>
          <w:b w:val="0"/>
          <w:bCs/>
          <w:color w:val="auto"/>
          <w:kern w:val="2"/>
          <w:sz w:val="24"/>
          <w:szCs w:val="20"/>
          <w:lang w:val="en-US" w:eastAsia="zh-CN" w:bidi="ar-SA"/>
        </w:rPr>
      </w:pPr>
      <w:bookmarkStart w:id="39" w:name="_Toc3882"/>
      <w:bookmarkStart w:id="40" w:name="_Toc19997"/>
      <w:bookmarkStart w:id="41" w:name="_Toc16095"/>
      <w:bookmarkStart w:id="42" w:name="_Toc15431"/>
      <w:bookmarkStart w:id="43" w:name="_Toc21696"/>
      <w:bookmarkStart w:id="44" w:name="_Toc19309"/>
      <w:bookmarkStart w:id="45" w:name="_Toc7999"/>
      <w:bookmarkStart w:id="46" w:name="_Toc28050"/>
      <w:bookmarkStart w:id="47" w:name="_Toc25475"/>
      <w:bookmarkStart w:id="48" w:name="_Toc11677"/>
      <w:bookmarkStart w:id="49" w:name="_Toc2056"/>
      <w:bookmarkStart w:id="50" w:name="_Toc29361"/>
      <w:bookmarkStart w:id="51" w:name="_Toc31206"/>
      <w:bookmarkStart w:id="52" w:name="_Toc7896"/>
      <w:bookmarkStart w:id="53" w:name="_Toc16339"/>
      <w:r>
        <w:rPr>
          <w:rFonts w:hint="eastAsia" w:ascii="宋体" w:hAnsi="宋体" w:eastAsia="宋体" w:cs="宋体"/>
          <w:b w:val="0"/>
          <w:bCs/>
          <w:color w:val="auto"/>
          <w:kern w:val="2"/>
          <w:sz w:val="24"/>
          <w:szCs w:val="20"/>
          <w:lang w:val="en-US" w:eastAsia="zh-CN" w:bidi="ar-SA"/>
        </w:rPr>
        <w:t>1、须符合《中华人民共和国政府采购法》第22条规定：</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（1）具有独立承担民事责任的能力的供应商；</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（3）具有履行合同所必需的设备和专业技术能力(具备履行合同所必需设备和专业技术能力的声明函)；</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（4）有依法缴纳税收和社会保障资金的良好记录(纳税人证明材料和企业人员基本信息后附人员社保证明)；</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（5）参加本次采购活动前三年内，在经营活动中没有重大违法记录；</w:t>
      </w:r>
    </w:p>
    <w:p>
      <w:pPr>
        <w:pStyle w:val="18"/>
        <w:widowControl/>
        <w:spacing w:before="75" w:beforeAutospacing="0" w:after="75" w:afterAutospacing="0"/>
        <w:ind w:left="54"/>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 （6）法律、行政法规规定的其他条件。 </w:t>
      </w:r>
    </w:p>
    <w:p>
      <w:pPr>
        <w:pStyle w:val="18"/>
        <w:widowControl/>
        <w:spacing w:before="75" w:beforeAutospacing="0" w:after="75" w:afterAutospacing="0"/>
        <w:ind w:left="54" w:firstLine="480" w:firstLineChars="200"/>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2、投标人必须是所投产品的制造商或经销商，需提供有效的工商营业执照副本原件或当地公证处出具的的前述证书的公证书（营业执照需包含本次项目的相关经营权）；</w:t>
      </w:r>
    </w:p>
    <w:p>
      <w:pPr>
        <w:pStyle w:val="18"/>
        <w:widowControl/>
        <w:spacing w:before="75" w:beforeAutospacing="0" w:after="75" w:afterAutospacing="0"/>
        <w:ind w:left="54" w:firstLine="480" w:firstLineChars="200"/>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3、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pStyle w:val="18"/>
        <w:widowControl/>
        <w:spacing w:before="75" w:beforeAutospacing="0" w:after="75" w:afterAutospacing="0"/>
        <w:ind w:left="54" w:firstLine="480" w:firstLineChars="200"/>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4、单位负责人为同一人或者存在直接控股、管理关系的不同供应商，不得参加同一合同项下的政府采购活动。</w:t>
      </w:r>
    </w:p>
    <w:p>
      <w:pPr>
        <w:pStyle w:val="18"/>
        <w:widowControl/>
        <w:spacing w:before="75" w:beforeAutospacing="0" w:after="75" w:afterAutospacing="0"/>
        <w:ind w:left="54" w:firstLine="480" w:firstLineChars="200"/>
        <w:rPr>
          <w:rFonts w:hint="eastAsia" w:ascii="宋体" w:hAnsi="宋体" w:eastAsia="宋体" w:cs="宋体"/>
          <w:b w:val="0"/>
          <w:bCs/>
          <w:color w:val="auto"/>
          <w:kern w:val="2"/>
          <w:sz w:val="24"/>
          <w:szCs w:val="20"/>
          <w:lang w:val="en-US" w:eastAsia="zh-CN" w:bidi="ar-SA"/>
        </w:rPr>
      </w:pPr>
      <w:r>
        <w:rPr>
          <w:rFonts w:hint="eastAsia" w:ascii="宋体" w:hAnsi="宋体" w:eastAsia="宋体" w:cs="宋体"/>
          <w:b w:val="0"/>
          <w:bCs/>
          <w:color w:val="auto"/>
          <w:kern w:val="2"/>
          <w:sz w:val="24"/>
          <w:szCs w:val="20"/>
          <w:lang w:val="en-US" w:eastAsia="zh-CN" w:bidi="ar-SA"/>
        </w:rPr>
        <w:t>5、不接受联合体投标，不允许转包或分包</w:t>
      </w:r>
      <w:r>
        <w:rPr>
          <w:rFonts w:hint="eastAsia" w:cs="宋体"/>
          <w:b w:val="0"/>
          <w:bCs/>
          <w:color w:val="auto"/>
          <w:kern w:val="2"/>
          <w:sz w:val="24"/>
          <w:szCs w:val="20"/>
          <w:lang w:val="en-US" w:eastAsia="zh-CN" w:bidi="ar-SA"/>
        </w:rPr>
        <w:t>。</w:t>
      </w:r>
    </w:p>
    <w:p>
      <w:pPr>
        <w:outlineLvl w:val="1"/>
        <w:rPr>
          <w:rFonts w:ascii="仿宋_GB2312" w:hAnsi="Arial" w:eastAsia="仿宋_GB2312" w:cs="Times New Roman"/>
          <w:b/>
          <w:sz w:val="32"/>
          <w:szCs w:val="32"/>
          <w:highlight w:val="yellow"/>
        </w:rPr>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投标资质</w:t>
      </w:r>
      <w:r>
        <w:rPr>
          <w:rFonts w:hint="eastAsia" w:ascii="仿宋" w:hAnsi="仿宋" w:eastAsia="仿宋" w:cs="Times New Roman"/>
          <w:color w:val="7030A0"/>
          <w:sz w:val="24"/>
          <w:szCs w:val="20"/>
          <w:lang w:val="en-US" w:eastAsia="zh-CN"/>
        </w:rPr>
        <w:t>1</w:t>
      </w:r>
      <w:r>
        <w:rPr>
          <w:rFonts w:hint="eastAsia" w:ascii="仿宋" w:hAnsi="仿宋" w:eastAsia="仿宋" w:cs="Times New Roman"/>
          <w:color w:val="7030A0"/>
          <w:sz w:val="24"/>
          <w:szCs w:val="20"/>
        </w:rPr>
        <w:t>-</w:t>
      </w:r>
      <w:r>
        <w:rPr>
          <w:rFonts w:hint="eastAsia" w:ascii="仿宋" w:hAnsi="仿宋" w:eastAsia="仿宋" w:cs="Times New Roman"/>
          <w:color w:val="7030A0"/>
          <w:sz w:val="24"/>
          <w:szCs w:val="20"/>
          <w:lang w:val="en-US" w:eastAsia="zh-CN"/>
        </w:rPr>
        <w:t>3</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11</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3</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2902"/>
      <w:bookmarkStart w:id="56" w:name="_Toc28868"/>
      <w:bookmarkStart w:id="57" w:name="_Toc20956"/>
      <w:bookmarkStart w:id="58" w:name="_Toc32591"/>
      <w:bookmarkStart w:id="59" w:name="_Toc11243"/>
      <w:bookmarkStart w:id="60" w:name="_Toc2819"/>
      <w:bookmarkStart w:id="61" w:name="_Toc6422"/>
      <w:bookmarkStart w:id="62" w:name="_Toc13247"/>
      <w:bookmarkStart w:id="63" w:name="_Toc9207"/>
      <w:bookmarkStart w:id="64" w:name="_Toc20622"/>
      <w:bookmarkStart w:id="65" w:name="_Toc7952"/>
      <w:bookmarkStart w:id="66" w:name="_Toc25337"/>
      <w:bookmarkStart w:id="67" w:name="_Toc10249"/>
      <w:bookmarkStart w:id="68" w:name="_Toc31157"/>
      <w:bookmarkStart w:id="69" w:name="_Toc24384"/>
      <w:bookmarkStart w:id="70" w:name="_Toc22942"/>
      <w:bookmarkStart w:id="71" w:name="_Toc16595"/>
      <w:bookmarkStart w:id="72" w:name="_Toc15827"/>
      <w:bookmarkStart w:id="73" w:name="_Toc19011"/>
      <w:bookmarkStart w:id="74" w:name="_Toc12570"/>
      <w:bookmarkStart w:id="75" w:name="_Toc29272"/>
      <w:bookmarkStart w:id="76" w:name="_Toc31108"/>
      <w:bookmarkStart w:id="77" w:name="_Toc24445"/>
      <w:bookmarkStart w:id="78" w:name="_Toc3845"/>
      <w:bookmarkStart w:id="79" w:name="_Toc6330"/>
      <w:bookmarkStart w:id="80" w:name="_Toc10911"/>
      <w:bookmarkStart w:id="81" w:name="_Toc906"/>
      <w:bookmarkStart w:id="82" w:name="_Toc794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pStyle w:val="28"/>
        <w:rPr>
          <w:rFonts w:hint="eastAsia" w:ascii="仿宋_GB2312" w:hAnsi="Arial" w:eastAsia="仿宋_GB2312" w:cs="Times New Roman"/>
          <w:b/>
          <w:sz w:val="32"/>
          <w:szCs w:val="32"/>
        </w:rPr>
      </w:pPr>
    </w:p>
    <w:p>
      <w:pPr>
        <w:pStyle w:val="28"/>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A4纸印刷体双面打印，胶粘装订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4"/>
          <w:szCs w:val="20"/>
        </w:rPr>
        <w:t>投标人必须提供《开标一览表》将其单独用小信封密封</w:t>
      </w:r>
      <w:r>
        <w:rPr>
          <w:rFonts w:hint="eastAsia" w:ascii="仿宋" w:hAnsi="仿宋" w:eastAsia="仿宋" w:cs="Times New Roman"/>
          <w:sz w:val="24"/>
          <w:szCs w:val="20"/>
        </w:rPr>
        <w:t>，</w:t>
      </w:r>
      <w:r>
        <w:rPr>
          <w:rFonts w:hint="eastAsia" w:ascii="黑体" w:hAnsi="黑体" w:eastAsia="黑体"/>
          <w:b/>
          <w:bCs/>
          <w:sz w:val="24"/>
          <w:szCs w:val="20"/>
        </w:rPr>
        <w:t>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投标文件标应在</w:t>
      </w:r>
      <w:r>
        <w:rPr>
          <w:rFonts w:hint="eastAsia" w:ascii="仿宋" w:hAnsi="仿宋" w:eastAsia="仿宋" w:cs="Times New Roman"/>
          <w:color w:val="FF0000"/>
          <w:sz w:val="24"/>
          <w:szCs w:val="20"/>
        </w:rPr>
        <w:t>2021年</w:t>
      </w:r>
      <w:r>
        <w:rPr>
          <w:rFonts w:hint="eastAsia" w:ascii="仿宋" w:hAnsi="仿宋" w:eastAsia="仿宋" w:cs="Times New Roman"/>
          <w:color w:val="FF0000"/>
          <w:sz w:val="24"/>
          <w:szCs w:val="20"/>
          <w:u w:val="single"/>
          <w:lang w:val="en-US" w:eastAsia="zh-CN"/>
        </w:rPr>
        <w:t>11</w:t>
      </w:r>
      <w:r>
        <w:rPr>
          <w:rFonts w:hint="eastAsia" w:ascii="仿宋" w:hAnsi="仿宋" w:eastAsia="仿宋" w:cs="Times New Roman"/>
          <w:color w:val="FF0000"/>
          <w:sz w:val="24"/>
          <w:szCs w:val="20"/>
        </w:rPr>
        <w:t>月</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04</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rPr>
        <w:t>日</w:t>
      </w:r>
      <w:r>
        <w:rPr>
          <w:rFonts w:hint="eastAsia" w:ascii="仿宋" w:hAnsi="仿宋" w:eastAsia="仿宋" w:cs="Times New Roman"/>
          <w:color w:val="FF0000"/>
          <w:sz w:val="24"/>
          <w:szCs w:val="20"/>
          <w:lang w:val="en-US" w:eastAsia="zh-CN"/>
        </w:rPr>
        <w:t>11:00</w:t>
      </w:r>
      <w:r>
        <w:rPr>
          <w:rFonts w:hint="eastAsia" w:ascii="仿宋" w:hAnsi="仿宋" w:eastAsia="仿宋" w:cs="Times New Roman"/>
          <w:color w:val="000000"/>
          <w:sz w:val="24"/>
          <w:szCs w:val="20"/>
        </w:rPr>
        <w:t>（北京时间）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p>
    <w:p>
      <w:pPr>
        <w:ind w:firstLine="3534" w:firstLineChars="1100"/>
        <w:rPr>
          <w:rFonts w:ascii="仿宋_GB2312" w:hAnsi="Arial" w:eastAsia="仿宋_GB2312" w:cs="Times New Roman"/>
          <w:b/>
          <w:sz w:val="32"/>
          <w:szCs w:val="32"/>
        </w:rPr>
      </w:pPr>
      <w:bookmarkStart w:id="83" w:name="_Toc11645"/>
      <w:bookmarkStart w:id="84" w:name="_Toc4955"/>
      <w:bookmarkStart w:id="85" w:name="_Toc17190"/>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29"/>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000000" w:themeColor="text1"/>
          <w:kern w:val="2"/>
          <w:sz w:val="24"/>
          <w:szCs w:val="24"/>
          <w:lang w:val="en-US" w:eastAsia="zh-CN"/>
        </w:rPr>
        <w:t>柒万元</w:t>
      </w:r>
      <w:r>
        <w:rPr>
          <w:rFonts w:hint="eastAsia" w:ascii="仿宋" w:hAnsi="仿宋" w:eastAsia="仿宋" w:cs="仿宋"/>
          <w:color w:val="000000" w:themeColor="text1"/>
          <w:kern w:val="2"/>
          <w:sz w:val="24"/>
          <w:szCs w:val="24"/>
        </w:rPr>
        <w:t>整 ¥：</w:t>
      </w:r>
      <w:r>
        <w:rPr>
          <w:rFonts w:hint="eastAsia" w:ascii="仿宋" w:hAnsi="仿宋" w:eastAsia="仿宋" w:cs="仿宋"/>
          <w:color w:val="000000" w:themeColor="text1"/>
          <w:kern w:val="2"/>
          <w:sz w:val="24"/>
          <w:szCs w:val="24"/>
          <w:lang w:val="en-US" w:eastAsia="zh-CN"/>
        </w:rPr>
        <w:t>70000元整</w:t>
      </w:r>
      <w:r>
        <w:rPr>
          <w:rFonts w:hint="eastAsia" w:ascii="仿宋" w:hAnsi="仿宋" w:eastAsia="仿宋" w:cs="仿宋"/>
          <w:color w:val="000000" w:themeColor="text1"/>
          <w:kern w:val="2"/>
          <w:sz w:val="24"/>
          <w:szCs w:val="24"/>
        </w:rPr>
        <w:t xml:space="preserve"> </w:t>
      </w:r>
    </w:p>
    <w:p>
      <w:pPr>
        <w:ind w:firstLine="480" w:firstLineChars="200"/>
        <w:rPr>
          <w:rFonts w:ascii="仿宋" w:hAnsi="仿宋" w:eastAsia="仿宋" w:cs="仿宋"/>
          <w:color w:val="auto"/>
          <w:kern w:val="0"/>
          <w:sz w:val="24"/>
          <w:szCs w:val="24"/>
        </w:rPr>
      </w:pPr>
      <w:r>
        <w:rPr>
          <w:rFonts w:hint="eastAsia" w:ascii="仿宋" w:hAnsi="仿宋" w:eastAsia="仿宋" w:cs="仿宋"/>
          <w:color w:val="000000" w:themeColor="text1"/>
          <w:kern w:val="0"/>
          <w:sz w:val="24"/>
          <w:szCs w:val="24"/>
        </w:rPr>
        <w:t>2.2形式：网银转账或银行转账</w:t>
      </w:r>
    </w:p>
    <w:p>
      <w:pPr>
        <w:ind w:left="479" w:leftChars="228"/>
        <w:rPr>
          <w:rFonts w:ascii="仿宋" w:hAnsi="仿宋" w:eastAsia="仿宋" w:cs="仿宋"/>
          <w:color w:val="auto"/>
          <w:kern w:val="0"/>
          <w:sz w:val="24"/>
          <w:szCs w:val="24"/>
        </w:rPr>
      </w:pPr>
      <w:r>
        <w:rPr>
          <w:rFonts w:hint="eastAsia" w:ascii="仿宋" w:hAnsi="仿宋" w:eastAsia="仿宋" w:cs="仿宋"/>
          <w:color w:val="auto"/>
          <w:kern w:val="0"/>
          <w:sz w:val="24"/>
          <w:szCs w:val="24"/>
        </w:rPr>
        <w:t>2.3递交时间：在2021年</w:t>
      </w:r>
      <w:r>
        <w:rPr>
          <w:rFonts w:hint="eastAsia" w:ascii="仿宋" w:hAnsi="仿宋" w:eastAsia="仿宋" w:cs="仿宋"/>
          <w:color w:val="auto"/>
          <w:kern w:val="0"/>
          <w:sz w:val="24"/>
          <w:szCs w:val="24"/>
          <w:lang w:val="en-US" w:eastAsia="zh-CN"/>
        </w:rPr>
        <w:t>11</w:t>
      </w:r>
      <w:bookmarkStart w:id="410" w:name="_GoBack"/>
      <w:bookmarkEnd w:id="410"/>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03</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19点30</w:t>
      </w:r>
      <w:r>
        <w:rPr>
          <w:rFonts w:hint="eastAsia" w:ascii="仿宋" w:hAnsi="仿宋" w:eastAsia="仿宋" w:cs="仿宋"/>
          <w:color w:val="auto"/>
          <w:kern w:val="0"/>
          <w:sz w:val="24"/>
          <w:szCs w:val="24"/>
          <w:lang w:eastAsia="zh-CN"/>
        </w:rPr>
        <w:t>分</w:t>
      </w:r>
      <w:r>
        <w:rPr>
          <w:rFonts w:hint="eastAsia" w:ascii="仿宋" w:hAnsi="仿宋" w:eastAsia="仿宋" w:cs="仿宋"/>
          <w:color w:val="auto"/>
          <w:kern w:val="0"/>
          <w:sz w:val="24"/>
          <w:szCs w:val="24"/>
        </w:rPr>
        <w:t>前到账（以到账时间为准）</w:t>
      </w:r>
      <w:r>
        <w:rPr>
          <w:rFonts w:hint="eastAsia" w:ascii="仿宋" w:hAnsi="仿宋" w:eastAsia="仿宋" w:cs="仿宋"/>
          <w:color w:val="auto"/>
          <w:kern w:val="0"/>
          <w:szCs w:val="24"/>
        </w:rPr>
        <w:br w:type="textWrapping"/>
      </w:r>
      <w:r>
        <w:rPr>
          <w:rFonts w:hint="eastAsia" w:ascii="仿宋" w:hAnsi="仿宋" w:eastAsia="仿宋" w:cs="仿宋"/>
          <w:color w:val="auto"/>
          <w:kern w:val="0"/>
          <w:sz w:val="24"/>
          <w:szCs w:val="24"/>
        </w:rPr>
        <w:t>2.4投标人递交保证金后，需至</w:t>
      </w:r>
      <w:r>
        <w:rPr>
          <w:rFonts w:hint="eastAsia" w:ascii="仿宋" w:hAnsi="仿宋" w:eastAsia="仿宋" w:cs="仿宋"/>
          <w:color w:val="auto"/>
          <w:kern w:val="0"/>
          <w:sz w:val="24"/>
          <w:szCs w:val="24"/>
          <w:lang w:eastAsia="zh-CN"/>
        </w:rPr>
        <w:t>新疆天麒工程项目管理咨询有限责任公司</w:t>
      </w:r>
      <w:r>
        <w:rPr>
          <w:rFonts w:hint="eastAsia" w:ascii="仿宋" w:hAnsi="仿宋" w:eastAsia="仿宋" w:cs="仿宋"/>
          <w:color w:val="auto"/>
          <w:kern w:val="0"/>
          <w:sz w:val="24"/>
          <w:szCs w:val="24"/>
        </w:rPr>
        <w:t>领取投标保证金收据。 招标结束后，投标人持《</w:t>
      </w:r>
      <w:r>
        <w:rPr>
          <w:rFonts w:hint="eastAsia" w:ascii="仿宋_GB2312" w:eastAsia="仿宋_GB2312" w:cs="Times New Roman"/>
          <w:color w:val="auto"/>
          <w:sz w:val="24"/>
          <w:szCs w:val="24"/>
        </w:rPr>
        <w:t>投标保证金收据》</w:t>
      </w:r>
      <w:r>
        <w:rPr>
          <w:rFonts w:hint="eastAsia" w:ascii="仿宋" w:hAnsi="仿宋" w:eastAsia="仿宋" w:cs="仿宋"/>
          <w:color w:val="auto"/>
          <w:kern w:val="0"/>
          <w:sz w:val="24"/>
          <w:szCs w:val="24"/>
        </w:rPr>
        <w:t>到</w:t>
      </w:r>
      <w:r>
        <w:rPr>
          <w:rFonts w:hint="eastAsia" w:ascii="仿宋" w:hAnsi="仿宋" w:eastAsia="仿宋" w:cs="Times New Roman"/>
          <w:bCs/>
          <w:color w:val="auto"/>
          <w:sz w:val="24"/>
          <w:szCs w:val="20"/>
        </w:rPr>
        <w:t>采购代理机构</w:t>
      </w:r>
      <w:r>
        <w:rPr>
          <w:rFonts w:hint="eastAsia" w:ascii="仿宋" w:hAnsi="仿宋" w:eastAsia="仿宋" w:cs="仿宋"/>
          <w:color w:val="auto"/>
          <w:kern w:val="0"/>
          <w:sz w:val="24"/>
          <w:szCs w:val="24"/>
        </w:rPr>
        <w:t>直接退还。</w:t>
      </w:r>
    </w:p>
    <w:p>
      <w:pPr>
        <w:ind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ascii="宋体" w:hAnsi="宋体" w:cs="仿宋"/>
          <w:b/>
          <w:kern w:val="0"/>
          <w:sz w:val="24"/>
          <w:szCs w:val="24"/>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r>
        <w:rPr>
          <w:rFonts w:hint="eastAsia" w:ascii="仿宋" w:hAnsi="仿宋" w:eastAsia="仿宋" w:cs="宋体"/>
          <w:sz w:val="24"/>
          <w:szCs w:val="24"/>
        </w:rPr>
        <w:t>4.2  参考国家发展计划委员会“计价格（2002）1980号”文件、“发改办价格[2003]857号”文及发改办价格〔2011〕534号文收取。</w:t>
      </w:r>
      <w:bookmarkStart w:id="86" w:name="_Toc15099"/>
      <w:bookmarkStart w:id="87" w:name="_Toc32201"/>
      <w:bookmarkStart w:id="88" w:name="_Toc13449"/>
      <w:bookmarkStart w:id="89" w:name="_Toc25363"/>
      <w:bookmarkStart w:id="90" w:name="_Toc30111"/>
      <w:bookmarkStart w:id="91" w:name="_Toc6049"/>
      <w:bookmarkStart w:id="92" w:name="_Toc31817"/>
      <w:bookmarkStart w:id="93" w:name="_Toc23932"/>
      <w:bookmarkStart w:id="94" w:name="_Toc21930"/>
      <w:bookmarkStart w:id="95" w:name="_Toc16920"/>
      <w:bookmarkStart w:id="96" w:name="_Toc4359"/>
      <w:bookmarkStart w:id="97" w:name="_Toc25430"/>
      <w:bookmarkStart w:id="98" w:name="_Toc6093"/>
      <w:bookmarkStart w:id="99" w:name="_Toc11833"/>
      <w:bookmarkStart w:id="100" w:name="_Toc6143"/>
    </w:p>
    <w:tbl>
      <w:tblPr>
        <w:tblStyle w:val="22"/>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snapToGrid w:val="0"/>
              <w:spacing w:line="380" w:lineRule="exact"/>
              <w:rPr>
                <w:rFonts w:ascii="仿宋" w:hAnsi="仿宋" w:eastAsia="仿宋" w:cs="仿宋"/>
                <w:szCs w:val="21"/>
              </w:rPr>
            </w:pPr>
            <w:bookmarkStart w:id="101" w:name="_Toc3878"/>
            <w:r>
              <w:rPr>
                <w:rFonts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snapToGrid w:val="0"/>
              <w:spacing w:line="380" w:lineRule="exact"/>
              <w:rPr>
                <w:rFonts w:ascii="仿宋" w:hAnsi="仿宋" w:eastAsia="仿宋" w:cs="仿宋"/>
                <w:szCs w:val="21"/>
              </w:rPr>
            </w:pPr>
            <w:r>
              <w:rPr>
                <w:rFonts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snapToGrid w:val="0"/>
              <w:spacing w:line="380" w:lineRule="exact"/>
              <w:rPr>
                <w:rFonts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spacing w:line="380" w:lineRule="exact"/>
              <w:jc w:val="center"/>
              <w:rPr>
                <w:rFonts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100以下</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1.5%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100～500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0.8%</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500～1000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0.8%</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1000～5000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5000～10000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10000～100000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100000以上</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outlineLvl w:val="0"/>
        <w:rPr>
          <w:rFonts w:hint="eastAsia" w:ascii="宋体" w:hAnsi="宋体" w:cs="Times New Roman"/>
          <w:b/>
          <w:sz w:val="36"/>
          <w:szCs w:val="24"/>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6"/>
        <w:numPr>
          <w:ilvl w:val="0"/>
          <w:numId w:val="3"/>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000000"/>
          <w:kern w:val="1"/>
          <w:sz w:val="24"/>
        </w:rPr>
      </w:pPr>
      <w:r>
        <w:rPr>
          <w:rFonts w:hint="eastAsia" w:ascii="仿宋" w:hAnsi="仿宋" w:eastAsia="仿宋" w:cs="仿宋"/>
          <w:bCs/>
          <w:color w:val="000000"/>
          <w:kern w:val="1"/>
          <w:sz w:val="24"/>
        </w:rPr>
        <w:t>1、产品必须是全新国产、包装完好，且各项技术指标完全符合国家有关质量检测、环保标准及产品出厂的标准，需提供相关产品说明书、合格证及产品检测报告等相关资料。</w:t>
      </w:r>
    </w:p>
    <w:p>
      <w:pPr>
        <w:spacing w:line="420" w:lineRule="exact"/>
        <w:ind w:firstLine="480" w:firstLineChars="200"/>
      </w:pPr>
      <w:r>
        <w:rPr>
          <w:rFonts w:hint="eastAsia" w:ascii="仿宋" w:hAnsi="仿宋" w:eastAsia="仿宋" w:cs="仿宋"/>
          <w:bCs/>
          <w:color w:val="000000"/>
          <w:kern w:val="1"/>
          <w:sz w:val="24"/>
        </w:rPr>
        <w:t>2、中标供应商需按照采购人要求对</w:t>
      </w:r>
      <w:r>
        <w:rPr>
          <w:rFonts w:hint="eastAsia" w:ascii="仿宋" w:hAnsi="仿宋" w:eastAsia="仿宋" w:cs="仿宋"/>
          <w:bCs/>
          <w:color w:val="000000"/>
          <w:kern w:val="1"/>
          <w:sz w:val="24"/>
          <w:lang w:eastAsia="zh-CN"/>
        </w:rPr>
        <w:t>产品</w:t>
      </w:r>
      <w:r>
        <w:rPr>
          <w:rFonts w:hint="eastAsia" w:ascii="仿宋" w:hAnsi="仿宋" w:eastAsia="仿宋" w:cs="仿宋"/>
          <w:bCs/>
          <w:color w:val="000000"/>
          <w:kern w:val="1"/>
          <w:sz w:val="24"/>
        </w:rPr>
        <w:t>进行文字及图案印刷。</w:t>
      </w:r>
    </w:p>
    <w:p/>
    <w:p>
      <w:pPr>
        <w:rPr>
          <w:rFonts w:ascii="仿宋" w:hAnsi="仿宋" w:eastAsia="仿宋" w:cs="Times New Roman"/>
          <w:b/>
          <w:kern w:val="0"/>
          <w:sz w:val="32"/>
          <w:szCs w:val="32"/>
        </w:rPr>
      </w:pPr>
      <w:r>
        <w:rPr>
          <w:rFonts w:hint="eastAsia"/>
        </w:rPr>
        <w:t xml:space="preserve">   </w:t>
      </w:r>
      <w:r>
        <w:rPr>
          <w:rFonts w:hint="eastAsia" w:ascii="仿宋" w:hAnsi="仿宋" w:eastAsia="仿宋" w:cs="Times New Roman"/>
          <w:b/>
          <w:kern w:val="0"/>
          <w:sz w:val="32"/>
          <w:szCs w:val="32"/>
        </w:rPr>
        <w:t>二、技术参数：</w:t>
      </w:r>
    </w:p>
    <w:p>
      <w:pPr>
        <w:pStyle w:val="4"/>
        <w:jc w:val="center"/>
        <w:rPr>
          <w:rFonts w:ascii="Times New Roman" w:hAnsi="Times New Roman"/>
          <w:color w:val="000000"/>
        </w:rPr>
      </w:pPr>
      <w:bookmarkStart w:id="102" w:name="_Toc562"/>
      <w:r>
        <w:rPr>
          <w:rFonts w:hint="eastAsia"/>
          <w:lang w:eastAsia="zh-CN"/>
        </w:rPr>
        <w:t>软件技术参数</w:t>
      </w:r>
    </w:p>
    <w:tbl>
      <w:tblPr>
        <w:tblStyle w:val="22"/>
        <w:tblpPr w:leftFromText="180" w:rightFromText="180" w:vertAnchor="text" w:horzAnchor="page" w:tblpX="855" w:tblpY="453"/>
        <w:tblOverlap w:val="never"/>
        <w:tblW w:w="10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0"/>
        <w:gridCol w:w="910"/>
        <w:gridCol w:w="460"/>
        <w:gridCol w:w="594"/>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8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序号</w:t>
            </w:r>
          </w:p>
        </w:tc>
        <w:tc>
          <w:tcPr>
            <w:tcW w:w="91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类别</w:t>
            </w: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序号</w:t>
            </w:r>
          </w:p>
        </w:tc>
        <w:tc>
          <w:tcPr>
            <w:tcW w:w="59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软件系统模块</w:t>
            </w:r>
          </w:p>
        </w:tc>
        <w:tc>
          <w:tcPr>
            <w:tcW w:w="7576" w:type="dxa"/>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26" w:hRule="atLeast"/>
        </w:trPr>
        <w:tc>
          <w:tcPr>
            <w:tcW w:w="86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基础HIS</w:t>
            </w: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门诊挂号收费管理</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约挂号可完成门诊病人基本信息的登记、修改和维护，完成门急诊病人的预约挂号工作，能对操作员的挂号发票进行完善的跟踪管理，操作员可以随时结帐，班组向财务交款前执行班组结帐，财务按操作员结账单和班组的结帐单做帐，按结帐单形成门诊财务收入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功能通过划卡（同时支持手工输入）调出病人的电子处方（同时支持手工录入处方），划价收费，依据病人身份（医保、自费、公疗等）进行费用结算，收取部分或全部自费费用金额，打印收据及病人费用清单，已收费的处方或申请单传送到医生站、门诊药房、检查、检验等相应科室。要求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1、基础代码的设置，包括：环境参数、诊别、时间、科室名称及代号、挂号类别、专家名单、合同单位等名称。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2、号表处理功能：号表建立、录入、修改和查询等功能。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3、挂号处理功能：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1）支持医保、自费等多种身份的病人挂号；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2）支持现金、刷卡等多种收费方式；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3）支持窗口挂号、预约挂号功能。挂号员根据病人请求快速选择诊别、科室、号别、医生，生成挂号信息，打印挂号单，并产生就诊病人基本信息等功能；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4、退号处理功能：能完成病人退号，并正确处理病人看病日期、诊别、类别、号别以及应退费用和相关统计等。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5、查询功能：能完成预约号、退号、病人、科室、医师的挂号状况、医师出诊时间、科室挂号现状等查询。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6、门急诊挂号收费核算功能：能即时完成会计科目、收费项目和科室核算等。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7、门急诊病人统计功能：能实现提供按科室、门诊工作量统计的功能。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8、能录入病人基本信息，并进入统一的病历数据库。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9、基础代码：包括医院科室代码字典、医生人员字典、收费科目字典、药品名称、规格、收费类别、病人交费类别等有关字典。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10、划价功能：支持划价收费一体化。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11、收费处理功能：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支持从系统中自动获取或直接录入患者收费信息：包括患者姓名、病历号、结算类别、医疗类别、临床诊断、医生编码，开处方科室名称、药品/诊疗项目名称、数量等收费有关信息，系统自动划价，输入所收费用，系统自动找零，支持手工收费和医保刷卡通过读卡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理退款功能：必须按现行会计制度和有关规定严格管理退款过程，程序必须使用冲帐方式退款，保留操作全过程的记录。严格发票号管理，建立完善的发票登记系统，建议同时使用发票号和机器生成号管理发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12、门急诊收费报销凭证打印功能：按财政和卫生行政部门规定格式打印报销凭证，要求打印并保留存根，计算机生成的凭证序号必须连续，不得出现重号。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13、结算功能：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1）日结功能：完成日收费员报帐汇总，完成日收费科目汇总，科目明细汇总，科室核算统计汇总；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2）月结处理功能：完成全院月收费科目汇总，科室核算统计汇总；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14、统计查询功能：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1）患者费用查询；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2）收费员工作量统计；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3）病人基本信息维护；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15、报表打印输出功能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1）打印日汇总表：按收费贷方科目汇总和合计，以便收费员结帐。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2）打印日收费明细表：按收费借方和贷方科目打印，以便会计进行日记帐。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3）打印日收费存根：按收费凭证内容打印，以便会计存档。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4）打印日科室核算表：包括诊疗科室和检查治疗科室工作量统计。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16、支持门急诊现金支票、汇票支付管理。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3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门诊分诊排队叫号系统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通过挂号系统提供给各科室挂号病人信息、分配病人到各个医生（支持手工、自动分配病人）、针对每个医生有病人等待队列，医生叫号，病人到诊室就诊。对于专家号，挂号已经直接挂到专家，无需分配医生，直接进入叫号等候队列，等候医生叫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具体要求如下：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显示本科室的挂号信息当日号信息：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通过护士登录分诊系统，获取所在科室病人信息。实时显示本科室当日已挂号的病人人数及其病人详细情况。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预约号情况：显示本科室预约病人的状态：预约、已经确认、已经交费。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支持对普通诊病患分诊到看诊医生或将病患转到其它医生。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分诊护士可查看病患名单一览表（病患就诊状态、检查验报告状态、病患身份）。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分诊（支持手工分诊与自动分诊）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分诊即将病人号分配给医生，将挂本科室号的病人按照病人情况、根据医生的空闲，具体分配到各个医生的排队序列中。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分诊后医生在各自的医生工作站上可获得待诊的病人信息。病人在该医生的排队器中获取本排队器中的序号。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 支持对普通号进行手工分诊，护士根据病人挂号信息与病人病情需要将病人分配给医生。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对挂到医生的专家号，系统自动分诊。自动分诊，是根据医院的具体情况，系统自动进行分诊。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对已经分诊的病人可以进行分诊变更。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叫号（支持护士叫号与医生叫号）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医生叫号：医生通过医生站在医生本人的病人候诊队列中，按序叫号。一般情况下，按先进先出的原则叫号。当叫到病人后，该病人从排队器中删除，未叫到的号可当时多次重复叫号，也可以在下一轮再叫，也可根据病人报到情况叫号。对于没有使用医生站软件的诊区，支持叫号器方式供医生叫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护士叫号：护士分诊台同样具有叫号功能及重复叫号的功能。可以区分未叫过号、已叫过号，并记录叫号时间，对各种情况有处理方式。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查询功能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依据医生的姓名或其它信息查询医生所在的科室、诊室。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可查看病人就诊状态(未就诊、已就诊、已收费、已离院…）、检验检查报告完成状态（部分完成或全部完成）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依据医生的姓名或其它信息查询各个医生等待就诊的病人排队器情况。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依据医生的姓名或其它信息查询各个医生已叫过号的情况。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查询本科室当日或往日挂号情况，按日、周、月查询。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按操作员查询分诊信息。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分诊台可以方便的检索到病人的化验、检查结果情况，实时显示病人目前检查状态。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按操作员统计分诊工作量、按医生统计病人就诊人数工作量等其它方面的统计工作。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支持多媒体，能够与语音叫号系统、显示屏系统衔接。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门诊医生站(电子处方、检查检验申请等)</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门急诊医生工作站要求支持医生处理门诊记录、检查、检验、诊断、处方、治疗处置、卫生材料、手术、收入院等诊疗活动。需具备以下功能：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1、自动获取或提供如病人基本信息：就诊卡号、病案号、姓名、性别、年龄、公费医保费用类别等。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门诊处方录入：门诊病人的处方录入、修改、查看等工作。支持模版录入，支持与合理用药咨询软件内嵌接口，临床医生可随时查询临床用药信息，可自动进行处方配伍禁忌、不良反应、相互作用、剂量审核等相关合理用药审核。费用信息：项目名称、规格、价格、医保公费费用类别、数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3、能够限制医院一张处方所能开的药品品种数量。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4、门诊草药处方：门诊草药处方录入、修改、查看等，支持模版录入。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5、门诊处置单：支持治疗处置单录入，支持模版录入。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6、检验申请单：填写检验申请，提交生成收费信息。支持自动生成相关卫生材料的关联费用。支持检验项目套餐组合，医生可设置个人常用项目清单。提供查看报告接口，在医生工作站应能查看相应检验结果。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7、病理申请单：填写病理申请，提交生成收费信息。提供查看报告接口，在医生工作站应能查看相应病理检查结果及相关影像。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8、门诊手术申请：填写手术申请，提交生成收费信息。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9、工作日志：门诊医生可书写门诊工作日志。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10、申请住院：门诊医生可填写住院申请单，并与住院处信息集成将申请信息发送到住院处。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11、就诊管理：医生对病人就诊的诊毕、待诊等操作管理。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12、传染病报告卡：医生可以进行门诊病人传染病报告卡填报。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13、死亡报告卡：医生可以进行门诊病人死亡报告卡登记，对于特殊病人（如产妇、儿童等）可进行特殊信息填报。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14、病人信息：显示就诊病人列表，查看病人基本信息，支持用条码等方式直接查询病人就诊记录。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15、支持打印处方、申请单、指引单功能，处方打印能自动适应格式匹配（如：医保处方、毒麻处方、麻醉处方、精神类处方等）。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6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门诊护士站</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护士工作站是协助门急诊护士对门急诊病人完成日常医疗工作的计算机应用程序。其主要支持护士处理医生下达的注射、治疗、换药、手术等工作，对注射治疗等执行情况及卫生材料、药品等进行管理。要求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1、支持病人皮试结果登记并划价计费功能；如皮试不通过，作废原处方不能发药，可处理病人分几天多次注射的情况。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2、输液执行：确认需要执行的输液单，打印贴瓶单、输液卡；记录执行时间、执行人、皮试情况。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3、120出诊登记、抢救登记及划价计费功能。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4、急诊留诊室观查病人管理功能。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5、护士排班功能。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6、统计查询及打印功能：包括注射人次、静脉、肌注人次及其他治疗人次等工作量统计。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住院登记管理系统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要求住院登记收费系统具备以下功能：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1、入院管理：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1）预约入院登记；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2）建病案首页；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3）病案首页录入；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4）打印病案首页；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5）支持医保患者按医保规定程序办理入院登记；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2、预交金管理：（要求支持现金、支票、银联卡）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1）交纳预交金管理，打印预交金收据凭证；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2）预交金日结并打印清单；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3）按照不同方式统计预交金并打印清单；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4）按照不同方式查询须交金并打印清单；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3、住院病历管理功能：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1）为首次住院病人建立住院病历；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2）病历号维护功能；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3）检索病历号；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4、出院管理：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1）出院登记；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2）出院招回；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3）出入院统计；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5、查询统计：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1）空床查询、统计：对各部门的空床信息进行查询统计，打印清单。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2）病人查询：查询患者的住院信息、打印清单。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6、床位管理功能：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1）具有增加、删除、定义床位属性功能；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2）处理病人选床、转床、转科功能；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3）打印床位日报表；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7、病人费用管理：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1）读取医嘱并计算费用；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2）病人费用录入：具有单项费用录入和全项费用录入功能选择，可以从检查、诊察、治疗、药房、病房费用发生处录入或集中费用单据由收费处录入；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3）病人结帐：具备病人住院期间的结算和出院总结算，以及病人出院后再召回病人功能；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4）住院病人预交金使用最低限额警告功能；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5）病人费用查询：提供病人／家属查询自己的各种费用使用情况；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6）病人欠费和退费管理功能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8、划价收费功能：包括对药品和诊疗项目自动划价收费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9、住院财务管理：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1）日结账：包括当日病人预交金、入院病人预交费、在院病人各项费用、出院病人结帐和退款等统计汇总；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2）旬、月、季、年结帐：包括住院病人预交金、出院病人结帐等帐务处理；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3）住院财务分析：应具有住院收费财务管理的月、季、年度和不同年、季、月度的收费经济分析评价功能；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10、住院收费科室工作量统计：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1）月科室工作量统计：完成月科室、病房、药房、检查治疗科室工作量统计和费用汇总工作；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2）年科室工作量统计：完成年度全院、科室、病房、药房、检查治疗科室工作量统计、费用汇总功能；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11、查询统计功能：包括药品、诊疗项目(名称、用量、使用者名称、单价等相关信息）查询、科室收入统计、患者住院信息查询、病人查询、结算查询和住院发票查询；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12、支持旬报功能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13、打印输出功能：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1）打印各种统计查询内容；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2）打印病人报销凭证和住院费用清单：凭证格式必须符合财政和卫生行政部门的统一要求或承认的凭证格式和报销收费科目，符合会计制度的规定，住院费用清单需要满足有关部门的要求；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3）打印日结帐汇总表；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4）打印日结帐明细表；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5）打印月、旬结帐报表；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6）打印科室核算月统计报表；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7）打印病人预交金清单；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8）打印病人欠款清单；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9）打印月、季、年收费统计报表；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住院护士站（医嘱处理、费用处理等）</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护士工作站是协助病区护士对住院患者完成日常的护理工作的计算机应用程序。其主要任务是协助护士核对并处理医生下达的长期和临时医嘱，对医嘱执行情况进行管理，同时协助护士完成护理及病区床位管理等日常工作，要求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1、床位管理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1）病区床位使用情况一览表(显示床号、病历号、姓名、性别、年龄、诊断、病情、护理等级、陪护、饮食情况）。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2）病区一次性卫生材料消耗量查询，卫生材料申请单打印。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2、医嘱处理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1）审核医嘱(新开立、停止、作费），查询、打印病区医嘱审核处理情况。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2）记录病人生命体征及相关项目。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3）打印长期及临时医嘱单（具备续打功能），重整长期医嘱。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4）打印、查询病区对药单（领药单），支持对药单分类维护。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5）打印、查询病区长期、临时医嘱治疗单（口服、注射、输液、辅治疗等），支持治疗单分类维护。打印、查询输液记录卡及瓶签。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3、护理管理：护理记录、护理计划、护理评价单、护士排班、护理质量控制。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4、费用管理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1）护士站收费（一次性材料、治疗费等），具备模板功能。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2）停止及作废医嘱退费申请。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3）病区（病人）迟费情况一览表。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4）住院费用清单（含每日费用清单）查询打印。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2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住院医生站（电子医嘱、检查检验申请等）</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住院医生工作站是辅助医师处理诊断、处方、检查、检验、治疗处置、手术、护理、卫生材料以及转科、出院等信息，查询患者费用，查询药物、检查、检验、医保相关信息，具备以下功能：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1、自动获取或提供如下信息。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1）医生主管范围内病人基本信息：姓名、性别、年龄、住院病历号、病区、床号、入院诊断、病情状态、护理等级、费用情况等。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2）医生信息：科室、姓名、职称、诊疗时间等。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3）费用信息：项目名称、规格、价格、医保费用类别、数量等。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2、支持医生处理医嘱：检查、检验、处方、治疗处置、卫生材料、手术、护理、转科、出院等。检验医嘱须注明检体，检查医嘱须注明检查部位。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3、提供医院、科室、医生常用临床项目字典，医嘱组套、模板及相应编辑功能。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4、提供处方的自动监测和咨询功能：药品剂量、药品相互作用、配伍禁忌、适应症等。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5、提供长期和临时医嘱处理功能，包括医嘱的开立、停止和作废。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6、支持医生查询相关资料：历次门诊、住院信息，检验捡查结果，并提供比较功能。提供医嘱执行情况、病床使用情况、处方、患者费用明细等查询。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7、支持医生按照国际疾病分类标准下达诊断(入院、出院、术前、术后、转入、转出等）；支持疾病编码、拼音、汉字等多重检索。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8、自动审核录入医嘱的完整性，提供对所有医嘱进行审核确认功能，根据确 认后的医嘱自动定时产生用药信息和医嘱执行单，记录医生姓名及时间，一经确认不得更改。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9、所有医嘱均提供备注功能，医师可以输入相关注意事项。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10、支持所有医嘱和申请单打印功能，符合有关医疗文件的格式要求，必须 提供医生、操作员签字栏，打印结果由处方医师签字生效。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医技电子申请单系统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对检验、检查、治疗、病理、输血、放疗等医技项目实现电子申请单管理，实现智能开单、推送、接收、查询、反馈等管理。要求具备以下功能：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1、提供门诊、住院申请单录入的功能，包括检验申请、检查申请、手术申请、治疗申请、病理申请、输血申请、放疗申请等电子申请单的开立、保存、修改和删除等。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2、支持申请单录入时常用项目快捷选择。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3、支持申请单录入时注意事项提醒的功能。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4、支持智能控制前置必做项目。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5、支持申请单中必填项目内容的提醒，保障申请单信息详细、完整。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6、支持医嘱与申请单的交互，可相互自动生成。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7、可自动从病历获取病史及疾病诊断等相关信息。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8、能够根据预先设置的申请单格式，自动调用患者病史、疾病诊断、相关的历次报告等信息；也支持手工调用。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9、根据申请项目的执行科室、部位/标本等信息，实现申请单及项目的智能组合。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10、提供常用项目模板，可手工维护或自动生成。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11、提供项目类别定制各申请单样式模板。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12、申请单保存时自动生成条码。通过条码来实现申请单的流转与定位，保证医嘱指令顺利执行。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13、支持所有申请单打印，符合有关医疗文件的格式要求。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14、能实时查看申请单执行反馈情况和收费等相关信息。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麻醉计费管理系统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麻醉排台计费系统是指专用于住院病人手术与麻醉的申请、审批、安排以及术后有关信息的记录和跟踪等功能的计算机应用程序。医院手术、麻醉的安排是一个复杂的过程，合理、有效、安全的手术、麻醉管理能有效保证医院手术的正常进行。主要包括：为门诊、病区的手术申请进行审核、手术排台、人员安排及调整、麻醉安排与调整，术中术后用药、麻醉用药、手术情况登记与计费、麻醉情况登记及计费，手术器械的领用与归还，手术麻醉的退药与退费，手术随访；手术室本身的配置管理；提供各类收入的统计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2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医技科室管理系统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支持为门诊、住院检验科、门诊治疗室及其所属各组检查功能科室、治疗、理疗室等科室提供申请单、费用管理等，需具备以下功能：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1、能接收医生站的各种功能单据（或自己补开功能单据），进行扣费与结果登记；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2、支持在授权下的单据价格修改和非挂号情况下的检验、检查等单据制作与扣费；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3、可代理挂号；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4、可进行台帐查询与工作量统计；摄片登记及借阅管理功能；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5、支持接收医生站的手术申请并根据手术申请进行麻醉安排、手术排台、排台信息反馈等功能；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6、手术麻醉医师能根据手术麻将系统及住院临床电子病历进行手术医嘱、手术病历的下达、手麻事件的纪录；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7、麻醉护理人员完成手术事件的护理、管理纪录。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门诊药房管理系统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门急诊药房管理系统需具备以下功能：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1、可自动获取药品名称、规格、批号、价格、生产厂家、药品来源、药品剂型、药品属性、药品类别、医保编码、领药人、开方医生和门诊患者等药品基本信息。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2、提供对门诊患者的处方执行划价功能。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3、提供对门诊收费的药品明细执行发药核对确认，消减库存的功能，并统计日处方量和各类别的处方量。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4、可实现为住院患者划价、记帐和按医嘱执行发药。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5、为门诊收费设置包装数、低限报警值、控制药品以及药品别名等功能。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6、门诊收费的药品金额和药房的发药金额执行对帐。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7、可自动生成药品进药计划申请单，并发往药库。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8、提供对药库发到本药房的药品的出库单进行入库确认。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9、提供本药房药品的调拨、盘点、报损、调换和退药功能。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10、具有药房药品的日结、月结和年结算功能，并自动比较会计帐及实物帐的平衡关系。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11、可随时查询某日和任意时间段的入库药品消耗，以及任意某一药品的入、出、存明细帐。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12、提供药品的有效期管理、可自动报警和统计过期药品的品种数和金额，并有库存量提示功能。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13、对毒麻药品、精神药品的种类、贵重药品、院内制剂、进口药品、自费药等均有特定的判断识别处理。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14、支持多个门诊药房管理。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15、支持药品批次管理。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16、支持二级审核发药。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住院药房管理系统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住院药房管理系统需具备以下功能：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1、可自动获取药品名称、规格、批号、价格、生产厂家、药品来源、药品剂型、属性、类别和住院患者等药品基本信息；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2、支持根据药品上月耗量或库存限量自动生成药品请领单，并发送至相关科室。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3、支持药品的退药入库、盘盈入库、领用入库、调拨入库、处方出库、报损出库、退药出库、盘亏出库、调拨出库等多种出入库类别，且可根据要求增删。可自动接收科室领药单，并转化为出库单。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4、药房具有可用库存数量及库存量预减管理功能，以便医生开单或处方输入后减少可用库存，下次处方能根据可用库存控制开单数量，保证发药时库存充分（发药后减少实际库存）。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5、提供对药库发到本药房的药品的出库单或其他药房发送的调拨单进行入库确认。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6、具有药房药品的日结、月结和年结算功能，并自动比较会计帐及实物帐的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7、可随时查询某日和任意时间段的入库药品消耗，以及任意某一药品的入、出、存明细帐。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8、提供药品的有效期管理、可自动报警和统计过期药品的品种数和金额。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9、对毒麻药品、精神药品的种类、贵重药品、院内制剂、进口药品、自费药等均有特定的判断识别处理。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10、支持药品批次管理；要求可根据参数设置药品“先入先出”或“效期先出”原则。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11、统计查询：支持以上所有工作相关统计、查询和打印功能。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12、具有条码管理功能。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13、对贵重、毒麻、精神类等特殊药品单独管理。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具有分别按患者的临时医嘱和长期医嘱执行确认上帐功能，并自动生成针剂、片剂、输液、毒麻和其它等类型的摆药单和统领单，同时追踪各药品的库存及患者的押金等，打印中草药处方单，并实现对特殊医嘱、隔日医嘱等的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15、可对病区的退药单进行执行确认，同时返回预交金至病人住院预交金余额。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16、提供对隔日医嘱的处理，并支持预发多日用药。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17、对每一张配药单均有唯一的标示号识别。</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18、支持动态药房，护士可到任意药房领药，并减发药药房的库存。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19、支持根据药品分类摆药（如大输液、片剂药品等）。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20、支持出院病人带药功能。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门诊药房排队叫号系统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门诊药房排队叫号系统主要是通过患者自助排队取药，药房摆完药后通过语音提醒患者到窗口取药，让药房取药更有秩序、更加人性化。系统具备以下功能：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医生录入完处方，病人通过门诊自助取药系统进行配药确认后，药房后台进行处方打印，并摆药，药房前台由发药药师扫描处方条码，上屏呼叫病人来取药。系统支持药房前台呼叫病人取药后，系统自动将病人信息通过多媒体显示屏进行显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2、病人凭取药凭证或卡取药。发药药师确认病人处方后发给病人药品同时扫描处方标签下屏等等。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药库管理系统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药库管理系统需具备以下功能：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1、可扩展到多个药库库存单元（中草药、西药、成药）；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2、支持根据药品上月耗量或库存限量自动生成采购计划；支持采购计划的多级审核；支持采购单的发送及到货确认功能；支持采购单转成入库单；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3、支持药品的采购入库、退药入库、盘盈入库、赠送入库、调拨入库、领用出库、报损出库、退货出库、盘亏出库、调拨出库等多种出入库类别，且可根据要求增删。可自动接收科室领药单，并转化为出库单；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在录入出入库单药品信息时，可自动获取药品名称、规格、批号、发票号、进货价、零售价、生产厂家、供货商、包装单位、发药单位等药品信息，以及医疗保险信息中的医疗保险类别、处方药标志、中标标志等并可随时生成各种药品的入库明细、出库明细、盘点明细、调价明细、调拨明细、报损明细、退药明细以及上面各项的汇总数据，且提供打印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5、药品零售价格可根据院方公式自动计算；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6、支持汇款凭证根据供应商的采购入库单自动汇总统计及打印功能；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7、提供药品库存的日结、月结、年结功能，并能校对帐目及库存的平衡关系；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8、可追踪各个药品的明细流水帐，可随时查验任一品种的库存变化入、出、存明细信息。提供药品的核算功能，可统计分析各药房的消耗、库存；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9、提供药品字典库维护功能（如品种、价格、单位、计量、特殊标志等），支持一药多名操作，判断识别，实现统一规范药品名称；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10、提供药品的有效期管理、可自动报警和统计过期药品的品种数和金额，并有库存量，全院库存分布提示功能；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物资库房管理系统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材料管理包含低值耗材、办公用品的申请、审批、核对的全过程管理，可接入院外后勤物资供应链信息，提供请领、出入库、库存管理、采购等管理(支持在线请领流程)。功能包括：请领管理、出入库管理、物资调价、物资盘点、标识码管理、批次管理、台账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财务核算报表系统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要求能够实现以下功能：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1、对卫生主管部门的报表：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1）医院医疗工作月报表。（医院住院动态表、医疗质量指标）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2）医院住院病人疾病分类报表。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3）损伤和中毒小计的外部原因分类表。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4）住院病人手术分类报表。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5）单病种疾病分类报表。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2、统计综合分析：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1)门诊工作情况。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2)病房工作情况（含病房床位周转情况)。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3)出院病人分病种统计报表。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4)手术与麻醉分类报表。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5)医技科室工作量统计。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6)临床科室人均医疗费用报表。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7)医院工作指标、各类费用报表。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8)医院部分病种住院医疗费用报表。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3、运行要求：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1）数据输入：既能从网络工作站输入数据亦能人工收集数据集中输入。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2）数据处理：一次性输入数据、自动生成日报、月报、季报、半年报、年报以及各类统计分析报表。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3）查询显示数据：查询显示多种组合的数据信息，有模糊查询功能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4）修改更正数据：对未存档数据允许修改。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5）输出打印：打印统计报表和多种分析图表。输出符合报表要求的电子报表。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6）允许对报表格式进行修改和自定义，并且有创建报表功能，支持对其他分系统的数据进行组合形成报表。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院长信息查询系统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1、数据收集包括：门诊病人统计数据、急诊医疗统计数据、住院病人统计数据、医技科室工作量统计数据。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2、提供门急诊统计报表：门急诊日报表、月报表、季报表、半年报表和年报表。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3、门诊挂号统计。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4、病房统计报表：病房日报表、月报表、季报表、半年报表和年报表。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5、病人分类统计报表。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6、运行要求：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1）数据输入：既能从网络工作站输入数据亦能人工收集数据集中输入。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2）数据处理：一次性输入数据、自动生成日报、月报、季报、半年报、年报以及各类统计分析报表。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3）查询显示数据：查询显示多种组合的数据信息，有模糊查询功能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4）修改更正数据：对未存档数据允许修改。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5）输出打印：打印统计报表和多种分析图表。输出符合报表要求的电子报表。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6）允许对报表格式进行修改和自定义，并且有创建报表功能，支持对其他分系统的数据进行组合形成报表。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外部接口</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要求实现HIS系统与外部其他系统的接口，包括：医保接口（普通医保、农保）、卫生统计系统接口、PACS接口、LIS接口、财务系统接口、院感系统接口、体检系统接口、州人口健康信息平台接口。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系统维护管理系统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对系统的安全和扩展负责，提供可视化的安装、卸载、升级、版本管理、人员角色管理、权限管理等功能，系统配置的安全备份与恢复，系统字典表的维护与维护授权，系统运行模式、系统参数的配置与调整，系统运行状态的监控与干预；重大的业务扩展（增加部门、增加费别等），各类资源（员工、药品、部门、单据等）的管理与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25" w:hRule="atLeast"/>
        </w:trPr>
        <w:tc>
          <w:tcPr>
            <w:tcW w:w="86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电子病历（结构化）</w:t>
            </w: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门诊医生病历系统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门诊电子病历系统主要是提供门诊医生病历的书写，实现病历无纸化管理。同时也为医院质量管理部门提供宝贵的质控数据，提高医院医疗质量。要求如下：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要求支持门诊病历书写，病历书写符合卫生部下发的《电子病历系统功能规范》的要求。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要求支持专科模板的定制，要求可以根据不同的使用科室灵活定制电子病历模板。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具有专业电子病历编辑器，编辑界面可达到所见即所得的效果，电子病历模板支持专科要求模板编辑器进行量身定制。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要求支持所见即所得的痕迹保留技术，支持三级医生检诊制。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要求支持医生维护个人模板和科室模板，方便医生病历书写。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要求支持病历质量监控，可生成病历质控报表，便于质控分析。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住院医生病历系统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卫计委及地方卫生主管部门《病历书写规范》的要求，提供完整及规范的电子病历系统，覆盖本院各种医学文档的内容。用于协助医务人员方便快速地处理在医疗活动过程中形成的文字、符号、图表、影像等资料，需具备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文书范围主要包括：住院病案首页、首次病程、病程记录、出院小结、住院记录、体温单、医嘱单、化验单（检验报告）、医学影像检查资料、麻醉记录单、手术以及手术护理记录单、病理资料、护理记录、出院记录（或死亡记录）、病程记录（含抢救记录）、疑难病例讨论记录、会诊意见、上级医生查房记录、死亡病例讨论记录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能支持三级检诊，医生按照等级，具有不同的书写、修改权限，对于下级医生病历的修改，保留所见即所得的痕迹；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须具有专用电子病历编辑器，编辑界面应达到所见即所得的效果。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病历书写与自由语言描述在同一界面下完成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实现知识库、医学术语等内容自定义动态的插入病历文书中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能将检验、检查数据插入到病历当中的任意位置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支持用户自定义数据元和术语选项的电子病历录入。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 具备图文并茂编辑、图形图像标注功能。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临床护理病历系统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助护理人员对患者的病情观察和实施护理措施的原始记载，包括病人医嘱校对、护理医嘱录入与管理、体温单、医嘱单、护理入院录、首次护程录、一般患者护理记录、特殊患者护理记录等项目，并能够根据相应记录生成各类图表。具体要求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具备查阅病人的住院医生书写的病史资料。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具备对入院护理评估单、护理记录单、护理计划单、重危病人的监护和特护记录单等护理表单内容的书写。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具备个性化定制各类护理表单。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具备描绘或者填写住院病人的体温单。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具备对护理表单及体温单的打印和连续打印。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具备护士书写辅助录入功能，方便护士书写病历。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具备对护理病历质量进行提示。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 系统具有科室交接班记录，提供病区病床登记、病区床态图、病人住、入院变动情况等功能。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病案信息管理系统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实现病案编码管理、流通功能、纸质病历管理实现病历失踪闭环系统。病案管理与流通是电子病历系统的重要组成部分，是电子病案室的重要管理窗口，也是以电子病历对病人服务的管理窗口。病案系统还承担了首页校对和统计查询综合报表的功能。病案关联系统可管理上传图片病历，纸质病历催缴、签收真正实现纸质病历与电子病历结合的综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电子病历质量监控系统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历质控系统要求涵盖医生质控、科室质控、质控科质控等，形成从医生到科室质控员、从科室质控员到质控科质控员的完整三级质控体系，支持时限质控、环节内容质控、拷贝控制、智能判断、自动评分、回退管理、整改反馈、科室评分、终末评分、重点病人关注、终末指标管理、首页综合查询统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HQMS上报系统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MS是卫健委医政医管司开展的医疗服务监管信息网络直报工作。HQMS医院质量监测系统,是综合运用计算机软件与网络技术，对医院内所发生的各种医疗过程信息尤其是医疗质量数据信息进行审核，使之符合卫健委上报标准，从而使医院方便快捷地完成数据上报。通过与发布的标准进行上传配置，在实现数据上报前对首页数据进行校对，有错误的由系统生日日志，可追踪错误的内容，及时反馈给医生进行整改，按照分配的上报时间，实现自动定时的上报，减少人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病历模版编辑器</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要求提供结构化模版编辑器，支持符合结构化模版编辑特点的可视化结构化编辑功能，管理人员可对结构化病历中的节点进行各项特性的配置。具体要求如下：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支持按照卫生部《电子病历基本架构与数据标准》要求的标准数据元库，数据元管理符合数据组分组要求，可在标准数据元基础上进行扩展。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具有统一的字典管理功能，标准数据元值域代码维护功能，使医院数据形成统一标准。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具备模版导入导出功能，已经编辑好的模版可进行导出备份。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模版维护可按照病种、科室分类，方便专科结构化模版制作管理。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具有片段维护功能，可维护标准化结构化片段。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结构化信息节点编辑提供单选、多选、有无选、操作控制等编辑功能，支持医生快速录入。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可对信息节点字典选项按照不同病种进行分发，既能够字典统一，又能够方便医生选择。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 提供可视化快速信息节点插入功能，支持模版快速结构化。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 提供信息节点关联标准片段编辑功能，可通过快捷方式选择片段。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 提供选择项关联片段编辑功能。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 提供科室病种维护功能，为建立按病种分类的标准化模版提供支持。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 提供特殊的结构化编辑功能，满足手术等结构化数据共享首页的需求。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 提供信息同步的控制功能，在不需要自动同步的地方信息不会自动同步。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运维管理配置系统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维管理配置系统就是管理工作站,主要内容要求包括模板管理、报表管理、医嘱配置，护理统计配置，特殊病历配置、门诊处方配置、用户管理、批量录入配置、数据库管理、病历独占监控、检查检验接口配置等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用户管理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电子病历运维管理系统的用户，系统安装配置后直接同步HIS用户，个别未同步的用户可指定同步用户，同时电子病历也应支持自己添加的用户。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系统参数设置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系统参数配置涵盖系统方方面面的设置，最大限度的满足医院的个性化需求。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菜单权限管理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菜单配置管理管理不同系统，不同用户需要哪些菜单、屏蔽哪些菜单，添加哪些固定菜单。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数据库连接配置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实现数据库连接配置：用来切换电子病历数据库，HIS数据库，临床路径数据库。如原先应用层连接的是A数据库，现在要切换到B数据库，即可在应用层登陆管理工作站，切换连接的库。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外部数据接入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实现对外部系统的数据引用的配置，如医生站新建病历时引用血库里的内容。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日志审计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可以对用户的各种操作进行查询，导出，以便后面方便查询。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 服务器监测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系统常会用到一些外围的服务与程序，这些服务与程序有时会因为某种原因而停止，影响我们系统工作。实现监测功能，在登录医生工作站时可检测这些服务或程序是否打开，若停止，则打开。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5" w:hRule="atLeast"/>
        </w:trPr>
        <w:tc>
          <w:tcPr>
            <w:tcW w:w="86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医疗管理</w:t>
            </w: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临床路径系统(含单病种)</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临床路径管理系统主要包括临床路径的制定、调用、质量管理与控制及费用控制等日常业务，满足以下功能：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路径制定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定义路径进入、排除条件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定义路径内容（含主路径和子路径）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子路径进入条件判断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变异记录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临床路径告知单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进入/退出路径：支持判断进行/退出路径的条件并执行。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使用路径：支持预约安排、路径执行判断、变异记录等功能。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路径使用评估：在执行路径过程中可以标记各项评估指标，便于生成各种报告。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路径统计功能：支持路径使用统计、路径执行情况统计、变异记录统计等。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传染病上报管理</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支持为医院传染病上报提供统一的管理平台，提升疫情上报的准确性和及时性，使卫生决策和疾病控制部门更快、更准地掌握传染病疫情动态，以便及时有效地进行传染病的预防和控制，系统主要功能要求包括：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1、传染病上报登记：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1)门诊：门诊医生在录入门诊诊断时，系统能够自动判断是否传染病，自动弹出传染病登记卡，也可以事后补填传染病登记卡。每天自动生成试用抗结核药物的病人信息报表、传染病登记统计表等。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住院：住院在录入住院诊断时，系统自动判断是否传染病，自动弹出传染病登记卡，也可在专门窗口填写传染病报告卡。另外还提供死亡报告卡、恶性肿瘤、慢性病报告卡。每天自动生成出院诊断传染病明细报表、慢性非传染病疾病统计报表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2、基础数据维护：传染病诊断及相关信息维护。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3、统计查询：根据用户自定义条件进行统计查询，并支持查询结果的导出、打印功能。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50"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抗生素分级管理系统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为医院抗生素类药品的权限管理、临床应用及使用情况等临床用药提供监管的工作平台，系统主要功能包括抗菌药物权限管理、抗菌药物临床应用调查、抗菌药物DDD值统计、抗菌药物使用情况分析等。主要实现功能要求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 支持抗菌药物目录动态管理，能新增、删除抗菌药物目录项。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已清退或者更换的抗菌药物品种或品规12个月内不能重新进入抗菌药物供应目录。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调整后的抗菌药物供应目录总品种数不能增加。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支持设置门诊和住院药物抗菌药物的三线级别。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不良事件上报</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良事件报告系统为医院院内药物不良相关事件、输血不良相关事件、医疗不良相关事件以及设备物资不良相关事件的上报和查询提供统一的管理平台，提升不良事件上报的准确性和及时性，使医院相关部门能更快、更准地掌握不良事件发生发展的动向，以便及时有效地进行不良事件的预防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78" w:hRule="atLeast"/>
        </w:trPr>
        <w:tc>
          <w:tcPr>
            <w:tcW w:w="86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vMerge w:val="continue"/>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9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手术分级管理系统</w:t>
            </w:r>
          </w:p>
        </w:tc>
        <w:tc>
          <w:tcPr>
            <w:tcW w:w="7576" w:type="dxa"/>
            <w:shd w:val="clear" w:color="auto" w:fill="auto"/>
            <w:tcMar>
              <w:top w:w="15" w:type="dxa"/>
              <w:left w:w="15" w:type="dxa"/>
              <w:right w:w="15" w:type="dxa"/>
            </w:tcMar>
            <w:vAlign w:val="top"/>
          </w:tcPr>
          <w:p>
            <w:pPr>
              <w:keepNext w:val="0"/>
              <w:keepLines w:val="0"/>
              <w:widowControl/>
              <w:suppressLineNumbers w:val="0"/>
              <w:spacing w:line="240" w:lineRule="auto"/>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手术分级目录为基础,为具有不同专业技术职务任职资格的手术医生授予相应的手术权限，在手术申请流程中实现分级审批，保障手术安全进行。具体功能要求包括：手术等级设置、手术分级授权、分级审批流程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1、手术等级设置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根据医疗机构级别和登记的诊疗科目，遵循国家、地方级的手术分级标准及ICD-9手术编码设置不同的手术等级。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2、手术分级授权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支持按医生手术职称自动或人工进行手术分级授权和审核，包括手术分级授权的新增、修改、删除、查询等功能。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3、手术级别管理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医生开具手术申请单时，根据手术技术难度、复杂性和风险度(如麻醉类型、是否输血、是否有附加手术等条件)进行手术级别确认。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4、分级审批管理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支持对不同级别手术由不同级别医生进行审批，对资格准人手术、高度风险手术、急诊手术、新技术新项目科研手术等特殊手术分级审批。</w:t>
            </w:r>
          </w:p>
        </w:tc>
      </w:tr>
    </w:tbl>
    <w:p>
      <w:pPr>
        <w:rPr>
          <w:rFonts w:ascii="Times New Roman" w:hAnsi="Times New Roman"/>
          <w:color w:val="000000"/>
        </w:rPr>
      </w:pPr>
    </w:p>
    <w:p>
      <w:pPr>
        <w:rPr>
          <w:rFonts w:ascii="Times New Roman" w:hAnsi="Times New Roman"/>
          <w:color w:val="000000"/>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both"/>
        <w:outlineLvl w:val="0"/>
        <w:rPr>
          <w:rFonts w:hint="eastAsia" w:cs="Times New Roman"/>
          <w:b/>
          <w:color w:val="000000" w:themeColor="text1"/>
          <w:kern w:val="2"/>
          <w:sz w:val="36"/>
          <w:highlight w:val="none"/>
        </w:rPr>
      </w:pPr>
    </w:p>
    <w:p>
      <w:pPr>
        <w:pStyle w:val="18"/>
        <w:spacing w:after="0" w:afterAutospacing="0"/>
        <w:jc w:val="center"/>
        <w:outlineLvl w:val="0"/>
        <w:rPr>
          <w:rFonts w:hint="eastAsia" w:cs="Times New Roman"/>
          <w:b/>
          <w:color w:val="000000" w:themeColor="text1"/>
          <w:kern w:val="2"/>
          <w:sz w:val="36"/>
          <w:highlight w:val="none"/>
        </w:rPr>
      </w:pPr>
    </w:p>
    <w:p>
      <w:pPr>
        <w:pStyle w:val="18"/>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38"/>
        <w:ind w:firstLine="643"/>
        <w:jc w:val="center"/>
        <w:rPr>
          <w:rFonts w:ascii="仿宋_GB2312" w:hAnsi="Arial" w:eastAsia="仿宋_GB2312" w:cs="Times New Roman"/>
          <w:sz w:val="32"/>
          <w:szCs w:val="32"/>
        </w:rPr>
      </w:pPr>
      <w:bookmarkStart w:id="103" w:name="_Toc14169"/>
      <w:bookmarkStart w:id="104" w:name="_Toc28964"/>
      <w:bookmarkStart w:id="105" w:name="_Toc9620"/>
      <w:bookmarkStart w:id="106" w:name="_Toc30987"/>
      <w:bookmarkStart w:id="107" w:name="_Toc29632"/>
      <w:bookmarkStart w:id="108" w:name="_Toc14732"/>
      <w:bookmarkStart w:id="109" w:name="_Toc19161"/>
      <w:bookmarkStart w:id="110" w:name="_Toc26049"/>
      <w:bookmarkStart w:id="111" w:name="_Toc6426"/>
      <w:bookmarkStart w:id="112" w:name="_Toc16709"/>
      <w:bookmarkStart w:id="113" w:name="_Toc16727"/>
      <w:bookmarkStart w:id="114" w:name="_Toc22289"/>
      <w:bookmarkStart w:id="115" w:name="_Toc2443"/>
      <w:bookmarkStart w:id="116" w:name="_Toc17593"/>
      <w:bookmarkStart w:id="117" w:name="_Toc2002"/>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本次招标所述的项目资金均以人民币支付。</w:t>
      </w:r>
    </w:p>
    <w:p>
      <w:pPr>
        <w:numPr>
          <w:ilvl w:val="0"/>
          <w:numId w:val="4"/>
        </w:numPr>
        <w:ind w:firstLine="477" w:firstLineChars="198"/>
        <w:rPr>
          <w:rFonts w:ascii="宋体" w:hAnsi="宋体" w:cs="宋体"/>
          <w:b/>
          <w:color w:val="auto"/>
          <w:sz w:val="24"/>
          <w:szCs w:val="24"/>
        </w:rPr>
      </w:pPr>
      <w:r>
        <w:rPr>
          <w:rFonts w:hint="eastAsia" w:ascii="宋体" w:hAnsi="宋体" w:cs="宋体"/>
          <w:b/>
          <w:color w:val="000000" w:themeColor="text1"/>
          <w:sz w:val="24"/>
          <w:szCs w:val="24"/>
        </w:rPr>
        <w:t>付款方式：</w:t>
      </w:r>
    </w:p>
    <w:p>
      <w:pPr>
        <w:numPr>
          <w:ilvl w:val="0"/>
          <w:numId w:val="0"/>
        </w:numPr>
        <w:ind w:firstLine="960" w:firstLineChars="400"/>
        <w:jc w:val="left"/>
        <w:rPr>
          <w:rFonts w:hint="default" w:eastAsia="仿宋"/>
          <w:color w:val="auto"/>
          <w:lang w:val="en-US" w:eastAsia="zh-CN"/>
        </w:rPr>
      </w:pPr>
      <w:r>
        <w:rPr>
          <w:rFonts w:hint="eastAsia" w:ascii="仿宋_GB2312" w:hAnsi="Arial" w:eastAsia="仿宋_GB2312"/>
          <w:color w:val="auto"/>
          <w:sz w:val="24"/>
          <w:szCs w:val="22"/>
          <w:lang w:val="en-US" w:eastAsia="zh-CN"/>
        </w:rPr>
        <w:t>合同签订后支付合同总金额的30%，设备运抵木垒人民医院安装、调试完成后支付30%、验收合格后支付30%，质保期三年期满后无息支付剩余10%的质保金。</w:t>
      </w:r>
      <w:r>
        <w:rPr>
          <w:rFonts w:hint="eastAsia" w:ascii="仿宋" w:hAnsi="仿宋" w:eastAsia="仿宋" w:cs="仿宋"/>
          <w:color w:val="auto"/>
          <w:sz w:val="24"/>
          <w:szCs w:val="24"/>
        </w:rPr>
        <w:t>质保期</w:t>
      </w:r>
      <w:r>
        <w:rPr>
          <w:rFonts w:hint="eastAsia" w:ascii="仿宋" w:hAnsi="仿宋" w:eastAsia="仿宋" w:cs="仿宋"/>
          <w:color w:val="auto"/>
          <w:sz w:val="24"/>
          <w:szCs w:val="24"/>
          <w:lang w:val="en-US" w:eastAsia="zh-CN"/>
        </w:rPr>
        <w:t>满</w:t>
      </w:r>
      <w:r>
        <w:rPr>
          <w:rFonts w:hint="eastAsia" w:ascii="仿宋" w:hAnsi="仿宋" w:eastAsia="仿宋" w:cs="仿宋"/>
          <w:color w:val="auto"/>
          <w:sz w:val="24"/>
          <w:szCs w:val="24"/>
        </w:rPr>
        <w:t>后无质量问题</w:t>
      </w:r>
      <w:r>
        <w:rPr>
          <w:rFonts w:hint="eastAsia" w:ascii="仿宋" w:hAnsi="仿宋" w:eastAsia="仿宋" w:cs="仿宋"/>
          <w:color w:val="auto"/>
          <w:sz w:val="24"/>
          <w:szCs w:val="24"/>
          <w:lang w:val="en-US" w:eastAsia="zh-CN"/>
        </w:rPr>
        <w:t>一次性付清或退还质保函。</w:t>
      </w:r>
    </w:p>
    <w:p>
      <w:pPr>
        <w:rPr>
          <w:rFonts w:ascii="仿宋" w:hAnsi="仿宋" w:eastAsia="仿宋" w:cs="Times New Roman"/>
          <w:sz w:val="24"/>
          <w:szCs w:val="20"/>
        </w:rPr>
      </w:pPr>
      <w:r>
        <w:rPr>
          <w:rFonts w:hint="eastAsia" w:ascii="仿宋_GB2312" w:hAnsi="宋体" w:eastAsia="仿宋_GB2312"/>
          <w:b/>
          <w:sz w:val="24"/>
        </w:rPr>
        <w:t xml:space="preserve">     </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38"/>
        <w:numPr>
          <w:ilvl w:val="0"/>
          <w:numId w:val="5"/>
        </w:numPr>
        <w:ind w:firstLine="643"/>
        <w:jc w:val="center"/>
        <w:rPr>
          <w:rFonts w:ascii="仿宋_GB2312" w:hAnsi="Arial" w:eastAsia="仿宋_GB2312" w:cs="Times New Roman"/>
          <w:sz w:val="32"/>
          <w:szCs w:val="32"/>
        </w:rPr>
      </w:pPr>
      <w:bookmarkStart w:id="119" w:name="_Toc13489"/>
      <w:bookmarkStart w:id="120" w:name="_Toc22094"/>
      <w:bookmarkStart w:id="121" w:name="_Toc28648"/>
      <w:bookmarkStart w:id="122" w:name="_Toc12952"/>
      <w:bookmarkStart w:id="123" w:name="_Toc6445"/>
      <w:bookmarkStart w:id="124" w:name="_Toc29652"/>
      <w:bookmarkStart w:id="125" w:name="_Toc20952"/>
      <w:bookmarkStart w:id="126" w:name="_Toc171"/>
      <w:bookmarkStart w:id="127" w:name="_Toc20755"/>
      <w:bookmarkStart w:id="128" w:name="_Toc11928"/>
      <w:bookmarkStart w:id="129" w:name="_Toc16332"/>
      <w:bookmarkStart w:id="130" w:name="_Toc31752"/>
      <w:bookmarkStart w:id="131" w:name="_Toc6201_WPSOffice_Level2"/>
      <w:bookmarkStart w:id="132" w:name="_Toc32522"/>
      <w:bookmarkStart w:id="133" w:name="_Toc16211"/>
      <w:bookmarkStart w:id="134" w:name="_Toc2249"/>
      <w:bookmarkStart w:id="135" w:name="_Toc31350"/>
      <w:bookmarkStart w:id="136" w:name="_Toc9490"/>
      <w:bookmarkStart w:id="137" w:name="_Toc25389"/>
      <w:bookmarkStart w:id="138" w:name="_Toc13491"/>
      <w:bookmarkStart w:id="139" w:name="_Toc10227"/>
      <w:bookmarkStart w:id="140" w:name="_Toc14435"/>
      <w:bookmarkStart w:id="141" w:name="_Toc16091"/>
      <w:bookmarkStart w:id="142" w:name="_Toc11674"/>
      <w:bookmarkStart w:id="143" w:name="_Toc7126"/>
      <w:bookmarkStart w:id="144" w:name="_Toc21972"/>
      <w:bookmarkStart w:id="145" w:name="_Toc1558"/>
      <w:bookmarkStart w:id="146" w:name="_Toc17002"/>
      <w:bookmarkStart w:id="147" w:name="_Toc21772"/>
      <w:bookmarkStart w:id="148" w:name="_Toc1436"/>
      <w:bookmarkStart w:id="149" w:name="_Toc16263"/>
      <w:bookmarkStart w:id="150" w:name="_Toc32653"/>
      <w:r>
        <w:rPr>
          <w:rFonts w:hint="eastAsia" w:ascii="仿宋_GB2312" w:hAnsi="Arial" w:eastAsia="仿宋_GB2312" w:cs="Times New Roman"/>
          <w:sz w:val="32"/>
          <w:szCs w:val="32"/>
        </w:rPr>
        <w:t>验收及售后服务要求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1、系统正式运行一个月后进行软件系统验收，验收人员由采购人相关人员与中标人代表共同组成。</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2、中标人应负责对本次项目采购的各功能软件、提供一年的免费服务期（起始日期为系统验收第二天起）。</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3、服务期内的技术服务</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w:t>
      </w:r>
      <w:r>
        <w:rPr>
          <w:rFonts w:hint="eastAsia" w:ascii="仿宋_GB2312" w:hAnsi="Arial" w:eastAsia="仿宋_GB2312" w:cs="Times New Roman"/>
          <w:kern w:val="2"/>
          <w:sz w:val="24"/>
          <w:szCs w:val="20"/>
          <w:lang w:val="en-US" w:eastAsia="zh-CN" w:bidi="ar-SA"/>
        </w:rPr>
        <w:tab/>
      </w:r>
      <w:r>
        <w:rPr>
          <w:rFonts w:hint="eastAsia" w:ascii="仿宋_GB2312" w:hAnsi="Arial" w:eastAsia="仿宋_GB2312" w:cs="Times New Roman"/>
          <w:kern w:val="2"/>
          <w:sz w:val="24"/>
          <w:szCs w:val="20"/>
          <w:lang w:val="en-US" w:eastAsia="zh-CN" w:bidi="ar-SA"/>
        </w:rPr>
        <w:t>优化服务。提供在正常条件下改进系统性能的各项建议，包括系统资源分配与效率改进建议、软件配置规划和性能优化建议、系统容量预测建议等。</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w:t>
      </w:r>
      <w:r>
        <w:rPr>
          <w:rFonts w:hint="eastAsia" w:ascii="仿宋_GB2312" w:hAnsi="Arial" w:eastAsia="仿宋_GB2312" w:cs="Times New Roman"/>
          <w:kern w:val="2"/>
          <w:sz w:val="24"/>
          <w:szCs w:val="20"/>
          <w:lang w:val="en-US" w:eastAsia="zh-CN" w:bidi="ar-SA"/>
        </w:rPr>
        <w:tab/>
      </w:r>
      <w:r>
        <w:rPr>
          <w:rFonts w:hint="eastAsia" w:ascii="仿宋_GB2312" w:hAnsi="Arial" w:eastAsia="仿宋_GB2312" w:cs="Times New Roman"/>
          <w:kern w:val="2"/>
          <w:sz w:val="24"/>
          <w:szCs w:val="20"/>
          <w:lang w:val="en-US" w:eastAsia="zh-CN" w:bidi="ar-SA"/>
        </w:rPr>
        <w:t>咨询服务。提供系统软件应用和维护技术咨询服务。</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w:t>
      </w:r>
      <w:r>
        <w:rPr>
          <w:rFonts w:hint="eastAsia" w:ascii="仿宋_GB2312" w:hAnsi="Arial" w:eastAsia="仿宋_GB2312" w:cs="Times New Roman"/>
          <w:kern w:val="2"/>
          <w:sz w:val="24"/>
          <w:szCs w:val="20"/>
          <w:lang w:val="en-US" w:eastAsia="zh-CN" w:bidi="ar-SA"/>
        </w:rPr>
        <w:tab/>
      </w:r>
      <w:r>
        <w:rPr>
          <w:rFonts w:hint="eastAsia" w:ascii="仿宋_GB2312" w:hAnsi="Arial" w:eastAsia="仿宋_GB2312" w:cs="Times New Roman"/>
          <w:kern w:val="2"/>
          <w:sz w:val="24"/>
          <w:szCs w:val="20"/>
          <w:lang w:val="en-US" w:eastAsia="zh-CN" w:bidi="ar-SA"/>
        </w:rPr>
        <w:t>电话或现场技术服务。提供电话或现场技术服务。</w:t>
      </w:r>
    </w:p>
    <w:p>
      <w:pPr>
        <w:pStyle w:val="6"/>
        <w:rPr>
          <w:rFonts w:hint="eastAsia" w:ascii="仿宋_GB2312" w:hAnsi="Arial" w:eastAsia="仿宋_GB2312" w:cs="Times New Roman"/>
          <w:kern w:val="2"/>
          <w:sz w:val="24"/>
          <w:szCs w:val="20"/>
          <w:lang w:val="en-US" w:eastAsia="zh-CN" w:bidi="ar-SA"/>
        </w:rPr>
      </w:pPr>
      <w:r>
        <w:rPr>
          <w:rFonts w:hint="eastAsia" w:ascii="仿宋_GB2312" w:hAnsi="Arial" w:eastAsia="仿宋_GB2312" w:cs="Times New Roman"/>
          <w:kern w:val="2"/>
          <w:sz w:val="24"/>
          <w:szCs w:val="20"/>
          <w:lang w:val="en-US" w:eastAsia="zh-CN" w:bidi="ar-SA"/>
        </w:rPr>
        <w:t>4、所投产品厂家必须按招标方指定的方式提供7×24小时支持维护服务并在30分钟内响应，维护方式包括邮件、电话、远程维护、现场服务等方式。必须保证有足够的人员及技术支持电话负责本系统运维工作，对于与所供产品有关的问题无法远程解决的必须派人现场解决的问题，保证在收到现场服务通知后，4小时内到达现场，24小时内未解决的成交供应商应提供详细的应急解决方案。</w:t>
      </w:r>
    </w:p>
    <w:p>
      <w:pPr>
        <w:pStyle w:val="6"/>
        <w:rPr>
          <w:rFonts w:hint="eastAsia" w:ascii="仿宋_GB2312" w:hAnsi="Arial" w:eastAsia="仿宋_GB2312" w:cs="Times New Roman"/>
          <w:kern w:val="2"/>
          <w:sz w:val="24"/>
          <w:szCs w:val="20"/>
          <w:lang w:val="en-US" w:eastAsia="zh-CN" w:bidi="ar-SA"/>
        </w:rPr>
      </w:pPr>
    </w:p>
    <w:p>
      <w:pPr>
        <w:pStyle w:val="6"/>
      </w:pPr>
    </w:p>
    <w:p>
      <w:pPr>
        <w:ind w:firstLine="723" w:firstLineChars="200"/>
        <w:jc w:val="center"/>
        <w:outlineLvl w:val="0"/>
        <w:rPr>
          <w:rFonts w:hint="eastAsia" w:ascii="宋体" w:hAnsi="宋体" w:cs="Times New Roman"/>
          <w:b/>
          <w:sz w:val="36"/>
          <w:szCs w:val="36"/>
        </w:rPr>
      </w:pPr>
      <w:bookmarkStart w:id="151" w:name="_Toc19637"/>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28"/>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3860"/>
      <w:bookmarkStart w:id="153" w:name="_Toc24345"/>
      <w:bookmarkStart w:id="154" w:name="_Toc12060"/>
      <w:bookmarkStart w:id="155" w:name="_Toc5067"/>
      <w:bookmarkStart w:id="156" w:name="_Toc11673"/>
      <w:bookmarkStart w:id="157" w:name="_Toc5857"/>
      <w:bookmarkStart w:id="158" w:name="_Toc13642"/>
      <w:bookmarkStart w:id="159" w:name="_Toc2693"/>
      <w:bookmarkStart w:id="160" w:name="_Toc5601"/>
      <w:bookmarkStart w:id="161" w:name="_Toc22932"/>
      <w:bookmarkStart w:id="162" w:name="_Toc23827"/>
      <w:bookmarkStart w:id="163" w:name="_Toc24547"/>
      <w:bookmarkStart w:id="164" w:name="_Toc16431"/>
      <w:bookmarkStart w:id="165" w:name="_Toc9296"/>
      <w:bookmarkStart w:id="166" w:name="_Toc32428"/>
      <w:bookmarkStart w:id="167" w:name="_Toc14569"/>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color w:val="auto"/>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w:t>
      </w:r>
      <w:r>
        <w:rPr>
          <w:rFonts w:hint="eastAsia" w:ascii="仿宋" w:hAnsi="仿宋" w:eastAsia="仿宋" w:cs="Times New Roman"/>
          <w:color w:val="auto"/>
          <w:spacing w:val="-2"/>
          <w:sz w:val="24"/>
          <w:szCs w:val="24"/>
        </w:rPr>
        <w:t>关技术、经济等方面的专家和采购人熟悉相关业务的代表人员组成，成员为5人的单数，其中技术、经济等方面的成员人数不少于成员总数的</w:t>
      </w:r>
      <w:r>
        <w:rPr>
          <w:rFonts w:hint="eastAsia" w:ascii="仿宋" w:hAnsi="仿宋" w:eastAsia="仿宋" w:cs="Times New Roman"/>
          <w:color w:val="auto"/>
          <w:spacing w:val="-2"/>
          <w:sz w:val="24"/>
          <w:szCs w:val="24"/>
          <w:lang w:val="en-US" w:eastAsia="zh-CN"/>
        </w:rPr>
        <w:t>三</w:t>
      </w:r>
      <w:r>
        <w:rPr>
          <w:rFonts w:hint="eastAsia" w:ascii="仿宋" w:hAnsi="仿宋" w:eastAsia="仿宋" w:cs="Times New Roman"/>
          <w:color w:val="auto"/>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color w:val="auto"/>
          <w:spacing w:val="-2"/>
          <w:sz w:val="24"/>
          <w:szCs w:val="24"/>
        </w:rPr>
        <w:t>1.</w:t>
      </w:r>
      <w:r>
        <w:rPr>
          <w:rFonts w:ascii="仿宋" w:hAnsi="仿宋" w:eastAsia="仿宋" w:cs="Times New Roman"/>
          <w:color w:val="auto"/>
          <w:spacing w:val="-2"/>
          <w:sz w:val="24"/>
          <w:szCs w:val="24"/>
        </w:rPr>
        <w:t>4</w:t>
      </w:r>
      <w:r>
        <w:rPr>
          <w:rFonts w:hint="eastAsia" w:ascii="仿宋" w:hAnsi="仿宋" w:eastAsia="仿宋" w:cs="Times New Roman"/>
          <w:color w:val="auto"/>
          <w:spacing w:val="-2"/>
          <w:sz w:val="24"/>
          <w:szCs w:val="24"/>
        </w:rPr>
        <w:t xml:space="preserve">  对于技术复杂、专业性要求较高或者国家有特殊</w:t>
      </w:r>
      <w:r>
        <w:rPr>
          <w:rFonts w:hint="eastAsia" w:ascii="仿宋" w:hAnsi="仿宋" w:eastAsia="仿宋" w:cs="Times New Roman"/>
          <w:spacing w:val="-2"/>
          <w:sz w:val="24"/>
          <w:szCs w:val="24"/>
        </w:rPr>
        <w:t>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jc w:val="center"/>
        <w:rPr>
          <w:rFonts w:ascii="仿宋_GB2312" w:hAnsi="宋体" w:eastAsia="仿宋_GB2312" w:cs="Times New Roman"/>
          <w:b/>
          <w:sz w:val="24"/>
          <w:szCs w:val="20"/>
        </w:rPr>
      </w:pPr>
      <w:bookmarkStart w:id="168" w:name="_Toc18663"/>
      <w:bookmarkStart w:id="169" w:name="_Toc27601"/>
      <w:bookmarkStart w:id="170" w:name="_Toc3158"/>
      <w:bookmarkStart w:id="171" w:name="_Toc26278"/>
      <w:bookmarkStart w:id="172" w:name="_Toc14029"/>
      <w:bookmarkStart w:id="173" w:name="_Toc5310"/>
      <w:bookmarkStart w:id="174" w:name="_Toc30581"/>
      <w:bookmarkStart w:id="175" w:name="_Toc5221"/>
      <w:bookmarkStart w:id="176" w:name="_Toc29911"/>
      <w:bookmarkStart w:id="177" w:name="_Toc11010"/>
      <w:bookmarkStart w:id="178" w:name="_Toc31133"/>
      <w:bookmarkStart w:id="179" w:name="_Toc30123"/>
      <w:bookmarkStart w:id="180" w:name="_Toc20987"/>
      <w:bookmarkStart w:id="181" w:name="_Toc17276"/>
      <w:bookmarkStart w:id="182" w:name="_Toc5971"/>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31036"/>
      <w:bookmarkStart w:id="184" w:name="_Toc5921"/>
      <w:bookmarkStart w:id="185" w:name="_Toc23163"/>
      <w:bookmarkStart w:id="186" w:name="_Toc7041"/>
      <w:bookmarkStart w:id="187" w:name="_Toc5996"/>
      <w:bookmarkStart w:id="188" w:name="_Toc9579"/>
      <w:bookmarkStart w:id="189" w:name="_Toc4041"/>
      <w:bookmarkStart w:id="190" w:name="_Toc11172"/>
      <w:bookmarkStart w:id="191" w:name="_Toc29733"/>
      <w:bookmarkStart w:id="192" w:name="_Toc18928"/>
      <w:bookmarkStart w:id="193" w:name="_Toc30083"/>
      <w:bookmarkStart w:id="194" w:name="_Toc20347"/>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ind w:firstLine="480" w:firstLineChars="200"/>
        <w:rPr>
          <w:rFonts w:ascii="仿宋" w:hAnsi="仿宋" w:eastAsia="仿宋" w:cs="仿宋"/>
          <w:sz w:val="24"/>
          <w:szCs w:val="24"/>
        </w:rPr>
      </w:pPr>
      <w:r>
        <w:rPr>
          <w:rFonts w:hint="eastAsia" w:ascii="仿宋" w:hAnsi="仿宋" w:eastAsia="仿宋" w:cs="仿宋"/>
          <w:sz w:val="24"/>
          <w:szCs w:val="24"/>
        </w:rPr>
        <w:t>（1）投标人投标资格审查由</w:t>
      </w:r>
      <w:r>
        <w:rPr>
          <w:rFonts w:hint="eastAsia" w:ascii="仿宋" w:hAnsi="仿宋" w:eastAsia="仿宋" w:cs="仿宋"/>
          <w:bCs/>
          <w:sz w:val="24"/>
          <w:szCs w:val="24"/>
        </w:rPr>
        <w:t>采购代理机构</w:t>
      </w:r>
      <w:r>
        <w:rPr>
          <w:rFonts w:hint="eastAsia" w:ascii="仿宋" w:hAnsi="仿宋" w:eastAsia="仿宋" w:cs="仿宋"/>
          <w:sz w:val="24"/>
          <w:szCs w:val="24"/>
        </w:rPr>
        <w:t>组织，采购人在监督人的现场监督下逐一审查投标人资格是否符合招标文件规定要求。资格符合招标文件规定的投标人方可准予投标。</w:t>
      </w:r>
    </w:p>
    <w:p>
      <w:pPr>
        <w:ind w:firstLine="480" w:firstLineChars="200"/>
        <w:rPr>
          <w:rFonts w:ascii="仿宋" w:hAnsi="仿宋" w:eastAsia="仿宋" w:cs="仿宋"/>
          <w:b/>
          <w:bCs/>
          <w:color w:val="FF0000"/>
          <w:sz w:val="24"/>
          <w:szCs w:val="24"/>
        </w:rPr>
      </w:pPr>
      <w:r>
        <w:rPr>
          <w:rFonts w:hint="eastAsia" w:ascii="仿宋" w:hAnsi="仿宋" w:eastAsia="仿宋" w:cs="仿宋"/>
          <w:sz w:val="24"/>
          <w:szCs w:val="24"/>
        </w:rPr>
        <w:t>（2） 投标资格审查内容：详见本招标文件第二部分第二章“投标资质要求”条款</w:t>
      </w:r>
      <w:r>
        <w:rPr>
          <w:rFonts w:hint="eastAsia" w:ascii="仿宋" w:hAnsi="仿宋" w:eastAsia="仿宋" w:cs="仿宋"/>
          <w:b/>
          <w:bCs/>
          <w:color w:val="FF0000"/>
          <w:sz w:val="24"/>
          <w:szCs w:val="24"/>
          <w:lang w:val="en-US" w:eastAsia="zh-CN"/>
        </w:rPr>
        <w:t>(法人身份证明书或法人委托书、身份证（原件）、营业执照</w:t>
      </w:r>
      <w:r>
        <w:rPr>
          <w:rFonts w:hint="eastAsia" w:ascii="仿宋" w:hAnsi="仿宋" w:eastAsia="仿宋" w:cs="Times New Roman"/>
          <w:b/>
          <w:bCs/>
          <w:color w:val="FF0000"/>
          <w:kern w:val="2"/>
          <w:szCs w:val="20"/>
          <w:lang w:eastAsia="zh-CN"/>
        </w:rPr>
        <w:t>（</w:t>
      </w:r>
      <w:r>
        <w:rPr>
          <w:rFonts w:hint="eastAsia" w:ascii="仿宋" w:hAnsi="仿宋" w:eastAsia="仿宋" w:cs="Times New Roman"/>
          <w:b/>
          <w:bCs/>
          <w:color w:val="FF0000"/>
          <w:kern w:val="2"/>
          <w:szCs w:val="20"/>
        </w:rPr>
        <w:t>原件或当地公证处出具的的前述证书的公证书</w:t>
      </w:r>
      <w:r>
        <w:rPr>
          <w:rFonts w:hint="eastAsia" w:ascii="仿宋" w:hAnsi="仿宋" w:eastAsia="仿宋" w:cs="Times New Roman"/>
          <w:b/>
          <w:bCs/>
          <w:color w:val="FF0000"/>
          <w:kern w:val="2"/>
          <w:szCs w:val="20"/>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FF0000"/>
          <w:sz w:val="24"/>
          <w:szCs w:val="24"/>
        </w:rPr>
        <w:t>。</w:t>
      </w:r>
    </w:p>
    <w:p>
      <w:pPr>
        <w:ind w:firstLine="480" w:firstLineChars="200"/>
        <w:rPr>
          <w:rFonts w:ascii="仿宋" w:hAnsi="仿宋" w:eastAsia="仿宋" w:cs="仿宋"/>
          <w:sz w:val="24"/>
          <w:szCs w:val="24"/>
        </w:rPr>
      </w:pPr>
      <w:r>
        <w:rPr>
          <w:rFonts w:hint="eastAsia" w:ascii="仿宋" w:hAnsi="仿宋" w:eastAsia="仿宋" w:cs="仿宋"/>
          <w:sz w:val="24"/>
          <w:szCs w:val="24"/>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w:t>
      </w:r>
      <w:r>
        <w:rPr>
          <w:rFonts w:hint="eastAsia" w:ascii="仿宋" w:hAnsi="仿宋" w:eastAsia="仿宋" w:cs="仿宋"/>
          <w:color w:val="auto"/>
          <w:spacing w:val="-2"/>
          <w:sz w:val="24"/>
          <w:szCs w:val="24"/>
        </w:rPr>
        <w:t>政府采购项目支持监狱企业发展</w:t>
      </w:r>
      <w:r>
        <w:rPr>
          <w:rFonts w:hint="eastAsia" w:ascii="仿宋" w:hAnsi="仿宋" w:eastAsia="仿宋" w:cs="仿宋"/>
          <w:spacing w:val="-2"/>
          <w:sz w:val="24"/>
          <w:szCs w:val="24"/>
        </w:rPr>
        <w:t>；5）政府采购信用担保。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w:t>
      </w:r>
      <w:r>
        <w:rPr>
          <w:rFonts w:hint="eastAsia" w:ascii="仿宋" w:hAnsi="仿宋" w:eastAsia="仿宋" w:cs="仿宋"/>
          <w:color w:val="auto"/>
          <w:spacing w:val="-2"/>
          <w:sz w:val="24"/>
          <w:szCs w:val="24"/>
        </w:rPr>
        <w:t>监狱企业</w:t>
      </w:r>
      <w:r>
        <w:rPr>
          <w:rFonts w:hint="eastAsia" w:ascii="仿宋" w:hAnsi="仿宋" w:eastAsia="仿宋" w:cs="仿宋"/>
          <w:spacing w:val="-2"/>
          <w:sz w:val="24"/>
          <w:szCs w:val="24"/>
        </w:rPr>
        <w:t>、残疾人福利性单位)产品的价格给予6%的扣除，用扣除后的价格参与评审打分。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29"/>
        <w:ind w:firstLine="480"/>
        <w:rPr>
          <w:rFonts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pStyle w:val="29"/>
        <w:ind w:firstLine="480"/>
        <w:rPr>
          <w:rFonts w:ascii="仿宋" w:hAnsi="仿宋" w:eastAsia="仿宋" w:cs="仿宋"/>
          <w:sz w:val="24"/>
          <w:szCs w:val="24"/>
        </w:rPr>
      </w:pPr>
    </w:p>
    <w:p>
      <w:pPr>
        <w:rPr>
          <w:rFonts w:ascii="仿宋" w:hAnsi="仿宋" w:eastAsia="仿宋" w:cs="仿宋"/>
          <w:b/>
          <w:bCs/>
          <w:sz w:val="24"/>
          <w:szCs w:val="24"/>
        </w:rPr>
      </w:pPr>
      <w:r>
        <w:rPr>
          <w:rFonts w:hint="eastAsia" w:ascii="仿宋" w:hAnsi="仿宋" w:eastAsia="仿宋" w:cs="仿宋"/>
          <w:b/>
          <w:bCs/>
          <w:sz w:val="24"/>
          <w:szCs w:val="24"/>
        </w:rPr>
        <w:t>评分指标分配（按100分计算，报价得分占</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0分，技术和商务得分占</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0分）</w:t>
      </w:r>
    </w:p>
    <w:p>
      <w:pPr>
        <w:spacing w:line="440" w:lineRule="exact"/>
        <w:jc w:val="center"/>
        <w:outlineLvl w:val="0"/>
        <w:rPr>
          <w:rFonts w:hint="eastAsia" w:ascii="宋体" w:hAnsi="宋体"/>
          <w:b/>
          <w:sz w:val="36"/>
        </w:rPr>
      </w:pPr>
      <w:bookmarkStart w:id="195" w:name="_Toc31341"/>
      <w:bookmarkStart w:id="196" w:name="_Toc25927"/>
      <w:bookmarkStart w:id="197" w:name="_Toc22312"/>
      <w:bookmarkStart w:id="198" w:name="_Toc20341"/>
      <w:bookmarkStart w:id="199" w:name="_Toc19200"/>
      <w:bookmarkStart w:id="200" w:name="_Toc2370"/>
      <w:bookmarkStart w:id="201" w:name="_Toc5078"/>
      <w:bookmarkStart w:id="202" w:name="_Toc3030"/>
      <w:bookmarkStart w:id="203" w:name="_Toc28461"/>
      <w:bookmarkStart w:id="204" w:name="_Toc32113"/>
      <w:bookmarkStart w:id="205" w:name="_Toc26813"/>
      <w:bookmarkStart w:id="206" w:name="_Toc22808"/>
      <w:bookmarkStart w:id="207" w:name="_Toc4794"/>
      <w:bookmarkStart w:id="208" w:name="_Toc5628"/>
      <w:bookmarkStart w:id="209" w:name="_Toc11540"/>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2"/>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75"/>
        <w:gridCol w:w="609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498" w:type="dxa"/>
            <w:gridSpan w:val="4"/>
            <w:shd w:val="clear" w:color="auto" w:fill="auto"/>
            <w:vAlign w:val="center"/>
          </w:tcPr>
          <w:p>
            <w:pPr>
              <w:widowControl/>
              <w:rPr>
                <w:rFonts w:cs="宋体"/>
                <w:b/>
                <w:bCs/>
                <w:kern w:val="0"/>
                <w:szCs w:val="21"/>
              </w:rPr>
            </w:pPr>
            <w:r>
              <w:rPr>
                <w:rFonts w:hint="eastAsia" w:cs="宋体"/>
                <w:b/>
                <w:bCs/>
                <w:kern w:val="0"/>
                <w:szCs w:val="21"/>
              </w:rPr>
              <w:t>分值组成（总分100分）：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498" w:type="dxa"/>
            <w:gridSpan w:val="4"/>
            <w:shd w:val="clear" w:color="auto" w:fill="auto"/>
            <w:vAlign w:val="center"/>
          </w:tcPr>
          <w:p>
            <w:pPr>
              <w:widowControl/>
              <w:rPr>
                <w:rFonts w:cs="宋体"/>
                <w:kern w:val="0"/>
                <w:szCs w:val="21"/>
              </w:rPr>
            </w:pPr>
            <w:r>
              <w:rPr>
                <w:rFonts w:hint="eastAsia" w:cs="宋体"/>
                <w:kern w:val="0"/>
                <w:szCs w:val="21"/>
              </w:rPr>
              <w:t>报价部分：</w:t>
            </w:r>
            <w:r>
              <w:rPr>
                <w:rFonts w:cs="宋体"/>
                <w:kern w:val="0"/>
                <w:szCs w:val="21"/>
              </w:rPr>
              <w:t>20</w:t>
            </w:r>
            <w:r>
              <w:rPr>
                <w:rFonts w:hint="eastAsia" w:cs="宋体"/>
                <w:kern w:val="0"/>
                <w:szCs w:val="21"/>
              </w:rPr>
              <w:t>分，商务部分：</w:t>
            </w:r>
            <w:r>
              <w:rPr>
                <w:rFonts w:cs="宋体"/>
                <w:kern w:val="0"/>
                <w:szCs w:val="21"/>
              </w:rPr>
              <w:t>35</w:t>
            </w:r>
            <w:r>
              <w:rPr>
                <w:rFonts w:hint="eastAsia" w:cs="宋体"/>
                <w:kern w:val="0"/>
                <w:szCs w:val="21"/>
              </w:rPr>
              <w:t>分，技术部分：4</w:t>
            </w:r>
            <w:r>
              <w:rPr>
                <w:rFonts w:cs="宋体"/>
                <w:kern w:val="0"/>
                <w:szCs w:val="21"/>
              </w:rPr>
              <w:t>5</w:t>
            </w:r>
            <w:r>
              <w:rPr>
                <w:rFonts w:hint="eastAsia"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shd w:val="clear" w:color="auto" w:fill="auto"/>
            <w:vAlign w:val="center"/>
          </w:tcPr>
          <w:p>
            <w:pPr>
              <w:widowControl/>
              <w:jc w:val="center"/>
              <w:rPr>
                <w:rFonts w:cs="宋体"/>
                <w:b/>
                <w:bCs/>
                <w:kern w:val="0"/>
                <w:szCs w:val="21"/>
              </w:rPr>
            </w:pPr>
            <w:r>
              <w:rPr>
                <w:rFonts w:hint="eastAsia" w:cs="宋体"/>
                <w:b/>
                <w:bCs/>
                <w:kern w:val="0"/>
                <w:szCs w:val="21"/>
              </w:rPr>
              <w:t>评标项目</w:t>
            </w:r>
          </w:p>
        </w:tc>
        <w:tc>
          <w:tcPr>
            <w:tcW w:w="1275" w:type="dxa"/>
            <w:shd w:val="clear" w:color="auto" w:fill="auto"/>
            <w:vAlign w:val="center"/>
          </w:tcPr>
          <w:p>
            <w:pPr>
              <w:widowControl/>
              <w:jc w:val="center"/>
              <w:rPr>
                <w:rFonts w:cs="宋体"/>
                <w:b/>
                <w:bCs/>
                <w:kern w:val="0"/>
                <w:szCs w:val="21"/>
              </w:rPr>
            </w:pPr>
            <w:r>
              <w:rPr>
                <w:rFonts w:hint="eastAsia" w:cs="宋体"/>
                <w:b/>
                <w:bCs/>
                <w:kern w:val="0"/>
                <w:szCs w:val="21"/>
              </w:rPr>
              <w:t>评标内容</w:t>
            </w:r>
          </w:p>
        </w:tc>
        <w:tc>
          <w:tcPr>
            <w:tcW w:w="6096" w:type="dxa"/>
            <w:shd w:val="clear" w:color="auto" w:fill="auto"/>
            <w:vAlign w:val="center"/>
          </w:tcPr>
          <w:p>
            <w:pPr>
              <w:widowControl/>
              <w:jc w:val="center"/>
              <w:rPr>
                <w:rFonts w:cs="宋体"/>
                <w:b/>
                <w:bCs/>
                <w:kern w:val="0"/>
                <w:szCs w:val="21"/>
              </w:rPr>
            </w:pPr>
            <w:r>
              <w:rPr>
                <w:rFonts w:hint="eastAsia" w:cs="宋体"/>
                <w:b/>
                <w:bCs/>
                <w:kern w:val="0"/>
                <w:szCs w:val="21"/>
              </w:rPr>
              <w:t>评标办法</w:t>
            </w:r>
          </w:p>
        </w:tc>
        <w:tc>
          <w:tcPr>
            <w:tcW w:w="850" w:type="dxa"/>
            <w:shd w:val="clear" w:color="auto" w:fill="auto"/>
            <w:vAlign w:val="center"/>
          </w:tcPr>
          <w:p>
            <w:pPr>
              <w:widowControl/>
              <w:jc w:val="center"/>
              <w:rPr>
                <w:rFonts w:cs="宋体"/>
                <w:b/>
                <w:bCs/>
                <w:kern w:val="0"/>
                <w:szCs w:val="21"/>
              </w:rPr>
            </w:pPr>
            <w:r>
              <w:rPr>
                <w:rFonts w:hint="eastAsia"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shd w:val="clear" w:color="auto" w:fill="auto"/>
            <w:vAlign w:val="center"/>
          </w:tcPr>
          <w:p>
            <w:pPr>
              <w:widowControl/>
              <w:jc w:val="center"/>
              <w:rPr>
                <w:rFonts w:cs="宋体"/>
                <w:b/>
                <w:bCs/>
                <w:kern w:val="0"/>
                <w:szCs w:val="21"/>
              </w:rPr>
            </w:pPr>
            <w:r>
              <w:rPr>
                <w:rFonts w:hint="eastAsia" w:cs="宋体"/>
                <w:b/>
                <w:bCs/>
                <w:kern w:val="0"/>
                <w:szCs w:val="21"/>
              </w:rPr>
              <w:t>报价部分</w:t>
            </w:r>
          </w:p>
          <w:p>
            <w:pPr>
              <w:widowControl/>
              <w:jc w:val="center"/>
              <w:rPr>
                <w:rFonts w:cs="宋体"/>
                <w:b/>
                <w:bCs/>
                <w:kern w:val="0"/>
                <w:szCs w:val="21"/>
              </w:rPr>
            </w:pPr>
            <w:r>
              <w:rPr>
                <w:rFonts w:hint="eastAsia" w:cs="宋体"/>
                <w:b/>
                <w:bCs/>
                <w:kern w:val="0"/>
                <w:szCs w:val="21"/>
              </w:rPr>
              <w:t>（2</w:t>
            </w:r>
            <w:r>
              <w:rPr>
                <w:rFonts w:cs="宋体"/>
                <w:b/>
                <w:bCs/>
                <w:kern w:val="0"/>
                <w:szCs w:val="21"/>
              </w:rPr>
              <w:t>0</w:t>
            </w:r>
            <w:r>
              <w:rPr>
                <w:rFonts w:hint="eastAsia" w:cs="宋体"/>
                <w:b/>
                <w:bCs/>
                <w:kern w:val="0"/>
                <w:szCs w:val="21"/>
              </w:rPr>
              <w:t>分）</w:t>
            </w:r>
          </w:p>
        </w:tc>
        <w:tc>
          <w:tcPr>
            <w:tcW w:w="1275" w:type="dxa"/>
            <w:shd w:val="clear" w:color="auto" w:fill="auto"/>
            <w:vAlign w:val="center"/>
          </w:tcPr>
          <w:p>
            <w:pPr>
              <w:widowControl/>
              <w:jc w:val="center"/>
              <w:rPr>
                <w:rFonts w:cs="宋体"/>
                <w:kern w:val="0"/>
                <w:szCs w:val="21"/>
              </w:rPr>
            </w:pPr>
            <w:r>
              <w:rPr>
                <w:rFonts w:hint="eastAsia" w:cs="宋体"/>
                <w:kern w:val="0"/>
                <w:szCs w:val="21"/>
              </w:rPr>
              <w:t>报价（2</w:t>
            </w:r>
            <w:r>
              <w:rPr>
                <w:rFonts w:cs="宋体"/>
                <w:kern w:val="0"/>
                <w:szCs w:val="21"/>
              </w:rPr>
              <w:t>0</w:t>
            </w:r>
            <w:r>
              <w:rPr>
                <w:rFonts w:hint="eastAsia" w:cs="宋体"/>
                <w:kern w:val="0"/>
                <w:szCs w:val="21"/>
              </w:rPr>
              <w:t>分）</w:t>
            </w:r>
          </w:p>
        </w:tc>
        <w:tc>
          <w:tcPr>
            <w:tcW w:w="6096" w:type="dxa"/>
            <w:shd w:val="clear" w:color="auto" w:fill="auto"/>
          </w:tcPr>
          <w:p>
            <w:pPr>
              <w:widowControl/>
              <w:jc w:val="left"/>
              <w:rPr>
                <w:rFonts w:cs="宋体"/>
                <w:kern w:val="0"/>
                <w:szCs w:val="21"/>
              </w:rPr>
            </w:pPr>
            <w:r>
              <w:rPr>
                <w:rFonts w:hint="eastAsia" w:cs="宋体"/>
                <w:kern w:val="0"/>
                <w:szCs w:val="21"/>
              </w:rPr>
              <w:t>有效的投标报价中的最低价为评标基准价，按照下列公式计算每个投标人的投标价格得分。</w:t>
            </w:r>
          </w:p>
          <w:p>
            <w:pPr>
              <w:widowControl/>
              <w:jc w:val="left"/>
              <w:rPr>
                <w:rFonts w:cs="宋体"/>
                <w:kern w:val="0"/>
                <w:szCs w:val="21"/>
              </w:rPr>
            </w:pPr>
            <w:r>
              <w:rPr>
                <w:rFonts w:hint="eastAsia" w:cs="宋体"/>
                <w:kern w:val="0"/>
                <w:szCs w:val="21"/>
              </w:rPr>
              <w:t>投标报价得分＝（评标基准价</w:t>
            </w:r>
            <w:r>
              <w:rPr>
                <w:rFonts w:cs="宋体"/>
                <w:kern w:val="0"/>
                <w:szCs w:val="21"/>
              </w:rPr>
              <w:t>/投标报价）×价格权重×100。</w:t>
            </w:r>
          </w:p>
        </w:tc>
        <w:tc>
          <w:tcPr>
            <w:tcW w:w="850" w:type="dxa"/>
            <w:shd w:val="clear" w:color="auto" w:fill="auto"/>
            <w:vAlign w:val="center"/>
          </w:tcPr>
          <w:p>
            <w:pPr>
              <w:widowControl/>
              <w:jc w:val="center"/>
              <w:rPr>
                <w:rFonts w:cs="宋体"/>
                <w:kern w:val="0"/>
                <w:szCs w:val="21"/>
              </w:rPr>
            </w:pPr>
            <w:r>
              <w:rPr>
                <w:rFonts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restart"/>
            <w:shd w:val="clear" w:color="auto" w:fill="auto"/>
            <w:vAlign w:val="center"/>
          </w:tcPr>
          <w:p>
            <w:pPr>
              <w:widowControl/>
              <w:rPr>
                <w:rFonts w:cs="宋体"/>
                <w:b/>
                <w:bCs/>
                <w:kern w:val="0"/>
                <w:szCs w:val="21"/>
              </w:rPr>
            </w:pPr>
            <w:r>
              <w:rPr>
                <w:rFonts w:hint="eastAsia" w:cs="宋体"/>
                <w:b/>
                <w:bCs/>
                <w:kern w:val="0"/>
                <w:szCs w:val="21"/>
              </w:rPr>
              <w:t>商务部分（3</w:t>
            </w:r>
            <w:r>
              <w:rPr>
                <w:rFonts w:cs="宋体"/>
                <w:b/>
                <w:bCs/>
                <w:kern w:val="0"/>
                <w:szCs w:val="21"/>
              </w:rPr>
              <w:t>5</w:t>
            </w:r>
            <w:r>
              <w:rPr>
                <w:rFonts w:hint="eastAsia" w:cs="宋体"/>
                <w:b/>
                <w:bCs/>
                <w:kern w:val="0"/>
                <w:szCs w:val="21"/>
              </w:rPr>
              <w:t>分）</w:t>
            </w:r>
          </w:p>
        </w:tc>
        <w:tc>
          <w:tcPr>
            <w:tcW w:w="1275" w:type="dxa"/>
            <w:vMerge w:val="restart"/>
            <w:shd w:val="clear" w:color="auto" w:fill="auto"/>
            <w:vAlign w:val="center"/>
          </w:tcPr>
          <w:p>
            <w:pPr>
              <w:jc w:val="left"/>
              <w:rPr>
                <w:rFonts w:cs="宋体"/>
                <w:kern w:val="0"/>
                <w:szCs w:val="21"/>
              </w:rPr>
            </w:pPr>
            <w:r>
              <w:rPr>
                <w:rFonts w:hint="eastAsia" w:cs="宋体"/>
                <w:kern w:val="0"/>
                <w:szCs w:val="21"/>
              </w:rPr>
              <w:t>综合实力（</w:t>
            </w:r>
            <w:r>
              <w:rPr>
                <w:rFonts w:cs="宋体"/>
                <w:kern w:val="0"/>
                <w:szCs w:val="21"/>
              </w:rPr>
              <w:t>15</w:t>
            </w:r>
            <w:r>
              <w:rPr>
                <w:rFonts w:hint="eastAsia" w:cs="宋体"/>
                <w:kern w:val="0"/>
                <w:szCs w:val="21"/>
              </w:rPr>
              <w:t>分）</w:t>
            </w: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制造商具有高新技术企业及软件认定企业证书，提供1项得</w:t>
            </w:r>
            <w:r>
              <w:rPr>
                <w:rFonts w:cs="宋体"/>
                <w:kern w:val="0"/>
                <w:szCs w:val="21"/>
              </w:rPr>
              <w:t>1</w:t>
            </w:r>
            <w:r>
              <w:rPr>
                <w:rFonts w:hint="eastAsia" w:cs="宋体"/>
                <w:kern w:val="0"/>
                <w:szCs w:val="21"/>
              </w:rPr>
              <w:t>分，满分</w:t>
            </w:r>
            <w:r>
              <w:rPr>
                <w:rFonts w:cs="宋体"/>
                <w:kern w:val="0"/>
                <w:szCs w:val="21"/>
              </w:rPr>
              <w:t>2</w:t>
            </w:r>
            <w:r>
              <w:rPr>
                <w:rFonts w:hint="eastAsia" w:cs="宋体"/>
                <w:kern w:val="0"/>
                <w:szCs w:val="21"/>
              </w:rPr>
              <w:t>分。（需提供相关证明材料复印件并加盖公章，没有或未提供证明材料本项不得分。）</w:t>
            </w:r>
          </w:p>
        </w:tc>
        <w:tc>
          <w:tcPr>
            <w:tcW w:w="850" w:type="dxa"/>
            <w:shd w:val="clear" w:color="auto" w:fill="auto"/>
            <w:vAlign w:val="center"/>
          </w:tcPr>
          <w:p>
            <w:pPr>
              <w:widowControl/>
              <w:jc w:val="center"/>
              <w:rPr>
                <w:rFonts w:cs="宋体"/>
                <w:kern w:val="0"/>
                <w:szCs w:val="21"/>
              </w:rPr>
            </w:pP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制造商具有软件成熟度CMMI认证证书，5级得</w:t>
            </w:r>
            <w:r>
              <w:rPr>
                <w:rFonts w:cs="宋体"/>
                <w:kern w:val="0"/>
                <w:szCs w:val="21"/>
              </w:rPr>
              <w:t>3</w:t>
            </w:r>
            <w:r>
              <w:rPr>
                <w:rFonts w:hint="eastAsia" w:cs="宋体"/>
                <w:kern w:val="0"/>
                <w:szCs w:val="21"/>
              </w:rPr>
              <w:t>分，4级得</w:t>
            </w:r>
            <w:r>
              <w:rPr>
                <w:rFonts w:cs="宋体"/>
                <w:kern w:val="0"/>
                <w:szCs w:val="21"/>
              </w:rPr>
              <w:t>2</w:t>
            </w:r>
            <w:r>
              <w:rPr>
                <w:rFonts w:hint="eastAsia" w:cs="宋体"/>
                <w:kern w:val="0"/>
                <w:szCs w:val="21"/>
              </w:rPr>
              <w:t>分，3级得1分。（需提供证书原件复印件并加盖公章）</w:t>
            </w:r>
          </w:p>
        </w:tc>
        <w:tc>
          <w:tcPr>
            <w:tcW w:w="850" w:type="dxa"/>
            <w:shd w:val="clear" w:color="auto" w:fill="auto"/>
            <w:vAlign w:val="center"/>
          </w:tcPr>
          <w:p>
            <w:pPr>
              <w:widowControl/>
              <w:jc w:val="center"/>
              <w:rPr>
                <w:rFonts w:cs="宋体"/>
                <w:kern w:val="0"/>
                <w:szCs w:val="21"/>
              </w:rPr>
            </w:pPr>
            <w:r>
              <w:rPr>
                <w:rFonts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制造商具有ITSS信息技术服务运行维护标准资质证书的得</w:t>
            </w:r>
            <w:r>
              <w:rPr>
                <w:rFonts w:cs="宋体"/>
                <w:kern w:val="0"/>
                <w:szCs w:val="21"/>
              </w:rPr>
              <w:t>1</w:t>
            </w:r>
            <w:r>
              <w:rPr>
                <w:rFonts w:hint="eastAsia" w:cs="宋体"/>
                <w:kern w:val="0"/>
                <w:szCs w:val="21"/>
              </w:rPr>
              <w:t>分；售后及技术服务具有质量管理体系认证（ISO9001）的得</w:t>
            </w:r>
            <w:r>
              <w:rPr>
                <w:rFonts w:cs="宋体"/>
                <w:kern w:val="0"/>
                <w:szCs w:val="21"/>
              </w:rPr>
              <w:t>1</w:t>
            </w:r>
            <w:r>
              <w:rPr>
                <w:rFonts w:hint="eastAsia" w:cs="宋体"/>
                <w:kern w:val="0"/>
                <w:szCs w:val="21"/>
              </w:rPr>
              <w:t>分，要求必须提供资质证书复印件加盖投标人公章，证书不符合或未提供不得分。</w:t>
            </w:r>
          </w:p>
        </w:tc>
        <w:tc>
          <w:tcPr>
            <w:tcW w:w="850" w:type="dxa"/>
            <w:shd w:val="clear" w:color="auto" w:fill="auto"/>
            <w:vAlign w:val="center"/>
          </w:tcPr>
          <w:p>
            <w:pPr>
              <w:widowControl/>
              <w:jc w:val="center"/>
              <w:rPr>
                <w:rFonts w:cs="宋体"/>
                <w:kern w:val="0"/>
                <w:szCs w:val="21"/>
              </w:rPr>
            </w:pP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制造商具有ISO/IEC27001信息安全管理体系认证的得</w:t>
            </w:r>
            <w:r>
              <w:rPr>
                <w:rFonts w:cs="宋体"/>
                <w:kern w:val="0"/>
                <w:szCs w:val="21"/>
              </w:rPr>
              <w:t>1</w:t>
            </w:r>
            <w:r>
              <w:rPr>
                <w:rFonts w:hint="eastAsia" w:cs="宋体"/>
                <w:kern w:val="0"/>
                <w:szCs w:val="21"/>
              </w:rPr>
              <w:t>分，认证范围为医疗信息系统（或医疗卫生信息相关系统）开发和技术服务（或运维服务）的加</w:t>
            </w:r>
            <w:r>
              <w:rPr>
                <w:rFonts w:cs="宋体"/>
                <w:kern w:val="0"/>
                <w:szCs w:val="21"/>
              </w:rPr>
              <w:t>1</w:t>
            </w:r>
            <w:r>
              <w:rPr>
                <w:rFonts w:hint="eastAsia" w:cs="宋体"/>
                <w:kern w:val="0"/>
                <w:szCs w:val="21"/>
              </w:rPr>
              <w:t>分。提供证书复印件加盖投标人公章。证书不符合或未提供不得分。</w:t>
            </w:r>
          </w:p>
        </w:tc>
        <w:tc>
          <w:tcPr>
            <w:tcW w:w="850" w:type="dxa"/>
            <w:shd w:val="clear" w:color="auto" w:fill="auto"/>
            <w:vAlign w:val="center"/>
          </w:tcPr>
          <w:p>
            <w:pPr>
              <w:widowControl/>
              <w:jc w:val="center"/>
              <w:rPr>
                <w:rFonts w:cs="宋体"/>
                <w:kern w:val="0"/>
                <w:szCs w:val="21"/>
              </w:rPr>
            </w:pP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制造商具有ISO/IEC20000信息技术服务管理体系认证的得</w:t>
            </w:r>
            <w:r>
              <w:rPr>
                <w:rFonts w:cs="宋体"/>
                <w:kern w:val="0"/>
                <w:szCs w:val="21"/>
              </w:rPr>
              <w:t>1</w:t>
            </w:r>
            <w:r>
              <w:rPr>
                <w:rFonts w:hint="eastAsia" w:cs="宋体"/>
                <w:kern w:val="0"/>
                <w:szCs w:val="21"/>
              </w:rPr>
              <w:t>分，认证范围为医疗信息系统（或医疗卫生信息相关系统）开发和技术服务（或运维服务）的加</w:t>
            </w:r>
            <w:r>
              <w:rPr>
                <w:rFonts w:cs="宋体"/>
                <w:kern w:val="0"/>
                <w:szCs w:val="21"/>
              </w:rPr>
              <w:t>1</w:t>
            </w:r>
            <w:r>
              <w:rPr>
                <w:rFonts w:hint="eastAsia" w:cs="宋体"/>
                <w:kern w:val="0"/>
                <w:szCs w:val="21"/>
              </w:rPr>
              <w:t>分。提供证书复印件加盖投标人公章。证书不符合或未提供不得分。</w:t>
            </w:r>
          </w:p>
        </w:tc>
        <w:tc>
          <w:tcPr>
            <w:tcW w:w="850" w:type="dxa"/>
            <w:shd w:val="clear" w:color="auto" w:fill="auto"/>
            <w:vAlign w:val="center"/>
          </w:tcPr>
          <w:p>
            <w:pPr>
              <w:widowControl/>
              <w:jc w:val="center"/>
              <w:rPr>
                <w:rFonts w:cs="宋体"/>
                <w:kern w:val="0"/>
                <w:szCs w:val="21"/>
              </w:rPr>
            </w:pP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制造商具有环境管理体系认证（ISO14001）的得</w:t>
            </w:r>
            <w:r>
              <w:rPr>
                <w:rFonts w:cs="宋体"/>
                <w:kern w:val="0"/>
                <w:szCs w:val="21"/>
              </w:rPr>
              <w:t>2</w:t>
            </w:r>
            <w:r>
              <w:rPr>
                <w:rFonts w:hint="eastAsia" w:cs="宋体"/>
                <w:kern w:val="0"/>
                <w:szCs w:val="21"/>
              </w:rPr>
              <w:t>分，提供证书复印件加盖投标人公章。证书不符合或未提供不得分。</w:t>
            </w:r>
          </w:p>
        </w:tc>
        <w:tc>
          <w:tcPr>
            <w:tcW w:w="850" w:type="dxa"/>
            <w:shd w:val="clear" w:color="auto" w:fill="auto"/>
            <w:vAlign w:val="center"/>
          </w:tcPr>
          <w:p>
            <w:pPr>
              <w:widowControl/>
              <w:jc w:val="center"/>
              <w:rPr>
                <w:rFonts w:cs="宋体"/>
                <w:kern w:val="0"/>
                <w:szCs w:val="21"/>
              </w:rPr>
            </w:pPr>
            <w:r>
              <w:rPr>
                <w:rFonts w:hint="eastAsia"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制造商具有职业健康安全管理体系认证（ISO45001）的得</w:t>
            </w:r>
            <w:r>
              <w:rPr>
                <w:rFonts w:cs="宋体"/>
                <w:kern w:val="0"/>
                <w:szCs w:val="21"/>
              </w:rPr>
              <w:t>2</w:t>
            </w:r>
            <w:r>
              <w:rPr>
                <w:rFonts w:hint="eastAsia" w:cs="宋体"/>
                <w:kern w:val="0"/>
                <w:szCs w:val="21"/>
              </w:rPr>
              <w:t>分。提供证书复印件加盖投标人公章。证书不符合或未提供不得分。</w:t>
            </w:r>
          </w:p>
        </w:tc>
        <w:tc>
          <w:tcPr>
            <w:tcW w:w="850" w:type="dxa"/>
            <w:shd w:val="clear" w:color="auto" w:fill="auto"/>
            <w:vAlign w:val="center"/>
          </w:tcPr>
          <w:p>
            <w:pPr>
              <w:widowControl/>
              <w:jc w:val="center"/>
              <w:rPr>
                <w:rFonts w:cs="宋体"/>
                <w:kern w:val="0"/>
                <w:szCs w:val="21"/>
              </w:rPr>
            </w:pPr>
            <w:r>
              <w:rPr>
                <w:rFonts w:hint="eastAsia"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restart"/>
            <w:shd w:val="clear" w:color="auto" w:fill="auto"/>
            <w:vAlign w:val="center"/>
          </w:tcPr>
          <w:p>
            <w:pPr>
              <w:widowControl/>
              <w:jc w:val="left"/>
              <w:rPr>
                <w:rFonts w:cs="宋体"/>
                <w:kern w:val="0"/>
                <w:szCs w:val="21"/>
              </w:rPr>
            </w:pPr>
            <w:r>
              <w:rPr>
                <w:rFonts w:hint="eastAsia" w:cs="宋体"/>
                <w:kern w:val="0"/>
                <w:szCs w:val="21"/>
              </w:rPr>
              <w:t>产品核心实力(</w:t>
            </w:r>
            <w:r>
              <w:rPr>
                <w:rFonts w:cs="宋体"/>
                <w:kern w:val="0"/>
                <w:szCs w:val="21"/>
              </w:rPr>
              <w:t>20</w:t>
            </w:r>
            <w:r>
              <w:rPr>
                <w:rFonts w:hint="eastAsia" w:cs="宋体"/>
                <w:kern w:val="0"/>
                <w:szCs w:val="21"/>
              </w:rPr>
              <w:t>分</w:t>
            </w:r>
            <w:r>
              <w:rPr>
                <w:rFonts w:cs="宋体"/>
                <w:kern w:val="0"/>
                <w:szCs w:val="21"/>
              </w:rPr>
              <w:t>)</w:t>
            </w: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制造商提供自主研发的医院信息系统（HIS）；电子病历(EMR)；临床路径信息系统；病历编辑器系统等系统软件著作权登记证书和软件评测中心出具的测试报告，满分</w:t>
            </w:r>
            <w:r>
              <w:rPr>
                <w:rFonts w:cs="宋体"/>
                <w:kern w:val="0"/>
                <w:szCs w:val="21"/>
              </w:rPr>
              <w:t>8</w:t>
            </w:r>
            <w:r>
              <w:rPr>
                <w:rFonts w:hint="eastAsia" w:cs="宋体"/>
                <w:kern w:val="0"/>
                <w:szCs w:val="21"/>
              </w:rPr>
              <w:t>分。缺1个产品扣</w:t>
            </w:r>
            <w:r>
              <w:rPr>
                <w:rFonts w:cs="宋体"/>
                <w:kern w:val="0"/>
                <w:szCs w:val="21"/>
              </w:rPr>
              <w:t>2</w:t>
            </w:r>
            <w:r>
              <w:rPr>
                <w:rFonts w:hint="eastAsia" w:cs="宋体"/>
                <w:kern w:val="0"/>
                <w:szCs w:val="21"/>
              </w:rPr>
              <w:t>分，扣完为止。计算机软件著作权登记证书取得时间不迟于本项目招标公告发布之前。（提供软件著作权的名称可略有不同，但实际功能需一致，以提供著作权登记证书、测试报告复印件加盖投标人公章为准。）</w:t>
            </w:r>
          </w:p>
        </w:tc>
        <w:tc>
          <w:tcPr>
            <w:tcW w:w="850" w:type="dxa"/>
            <w:shd w:val="clear" w:color="auto" w:fill="auto"/>
            <w:vAlign w:val="center"/>
          </w:tcPr>
          <w:p>
            <w:pPr>
              <w:widowControl/>
              <w:jc w:val="center"/>
              <w:rPr>
                <w:rFonts w:cs="宋体"/>
                <w:kern w:val="0"/>
                <w:szCs w:val="21"/>
              </w:rPr>
            </w:pPr>
            <w:r>
              <w:rPr>
                <w:rFonts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77" w:type="dxa"/>
            <w:vMerge w:val="continue"/>
            <w:shd w:val="clear" w:color="auto" w:fill="auto"/>
            <w:vAlign w:val="center"/>
          </w:tcPr>
          <w:p>
            <w:pPr>
              <w:widowControl/>
              <w:rPr>
                <w:rFonts w:cs="宋体"/>
                <w:kern w:val="0"/>
                <w:szCs w:val="21"/>
              </w:rPr>
            </w:pPr>
          </w:p>
        </w:tc>
        <w:tc>
          <w:tcPr>
            <w:tcW w:w="1275" w:type="dxa"/>
            <w:vMerge w:val="continue"/>
            <w:shd w:val="clear" w:color="auto" w:fill="auto"/>
            <w:vAlign w:val="center"/>
          </w:tcPr>
          <w:p>
            <w:pPr>
              <w:widowControl/>
              <w:jc w:val="left"/>
              <w:rPr>
                <w:rFonts w:cs="宋体"/>
                <w:kern w:val="0"/>
                <w:szCs w:val="21"/>
              </w:rPr>
            </w:pPr>
          </w:p>
        </w:tc>
        <w:tc>
          <w:tcPr>
            <w:tcW w:w="6096" w:type="dxa"/>
            <w:shd w:val="clear" w:color="auto" w:fill="auto"/>
            <w:vAlign w:val="center"/>
          </w:tcPr>
          <w:p>
            <w:pPr>
              <w:widowControl/>
              <w:jc w:val="left"/>
              <w:rPr>
                <w:rFonts w:cs="宋体"/>
                <w:kern w:val="0"/>
                <w:szCs w:val="21"/>
              </w:rPr>
            </w:pPr>
            <w:r>
              <w:rPr>
                <w:rFonts w:hint="eastAsia" w:cs="宋体"/>
                <w:kern w:val="0"/>
                <w:szCs w:val="21"/>
                <w:lang w:eastAsia="zh-CN"/>
              </w:rPr>
              <w:t>所投产品的</w:t>
            </w:r>
            <w:r>
              <w:rPr>
                <w:rFonts w:hint="eastAsia" w:cs="宋体"/>
                <w:kern w:val="0"/>
                <w:szCs w:val="21"/>
              </w:rPr>
              <w:t>制造商的医院信息化系统应用医院用户满足</w:t>
            </w:r>
            <w:r>
              <w:rPr>
                <w:rFonts w:cs="宋体"/>
                <w:kern w:val="0"/>
                <w:szCs w:val="21"/>
              </w:rPr>
              <w:t>国家卫生健康委医院管理研究所</w:t>
            </w:r>
            <w:r>
              <w:rPr>
                <w:rFonts w:hint="eastAsia" w:cs="宋体"/>
                <w:kern w:val="0"/>
                <w:szCs w:val="21"/>
              </w:rPr>
              <w:t>（原国家卫生计生委医院管理研究所）电子病历系统功能应用水平四级标准并通过认证的，每提供1家医院得</w:t>
            </w:r>
            <w:r>
              <w:rPr>
                <w:rFonts w:cs="宋体"/>
                <w:kern w:val="0"/>
                <w:szCs w:val="21"/>
              </w:rPr>
              <w:t>1</w:t>
            </w:r>
            <w:r>
              <w:rPr>
                <w:rFonts w:hint="eastAsia" w:cs="宋体"/>
                <w:kern w:val="0"/>
                <w:szCs w:val="21"/>
              </w:rPr>
              <w:t>分，最多得3分；具有电子病历系统功能应用水平五级认证的医院用户，每提供1家医院用户加</w:t>
            </w:r>
            <w:r>
              <w:rPr>
                <w:rFonts w:cs="宋体"/>
                <w:kern w:val="0"/>
                <w:szCs w:val="21"/>
              </w:rPr>
              <w:t>1</w:t>
            </w:r>
            <w:r>
              <w:rPr>
                <w:rFonts w:hint="eastAsia" w:cs="宋体"/>
                <w:kern w:val="0"/>
                <w:szCs w:val="21"/>
              </w:rPr>
              <w:t>分，最高得3分；具有电子病历系统功能应用水平六级或以上认证的医院用户，每提供1家医院用户加</w:t>
            </w:r>
            <w:r>
              <w:rPr>
                <w:rFonts w:cs="宋体"/>
                <w:kern w:val="0"/>
                <w:szCs w:val="21"/>
              </w:rPr>
              <w:t>2</w:t>
            </w:r>
            <w:r>
              <w:rPr>
                <w:rFonts w:hint="eastAsia" w:cs="宋体"/>
                <w:kern w:val="0"/>
                <w:szCs w:val="21"/>
              </w:rPr>
              <w:t>分，最多得</w:t>
            </w:r>
            <w:r>
              <w:rPr>
                <w:rFonts w:cs="宋体"/>
                <w:kern w:val="0"/>
                <w:szCs w:val="21"/>
              </w:rPr>
              <w:t>6</w:t>
            </w:r>
            <w:r>
              <w:rPr>
                <w:rFonts w:hint="eastAsia" w:cs="宋体"/>
                <w:kern w:val="0"/>
                <w:szCs w:val="21"/>
              </w:rPr>
              <w:t>分。</w:t>
            </w:r>
          </w:p>
          <w:p>
            <w:pPr>
              <w:widowControl/>
              <w:jc w:val="left"/>
              <w:rPr>
                <w:rFonts w:cs="宋体"/>
                <w:kern w:val="0"/>
                <w:szCs w:val="21"/>
              </w:rPr>
            </w:pPr>
            <w:r>
              <w:rPr>
                <w:rFonts w:hint="eastAsia" w:cs="宋体"/>
                <w:kern w:val="0"/>
                <w:szCs w:val="21"/>
              </w:rPr>
              <w:t>（证明材料必须提供</w:t>
            </w:r>
            <w:r>
              <w:rPr>
                <w:rFonts w:hint="eastAsia" w:cs="宋体"/>
                <w:kern w:val="0"/>
                <w:szCs w:val="21"/>
                <w:lang w:eastAsia="zh-CN"/>
              </w:rPr>
              <w:t>所投产品的</w:t>
            </w:r>
            <w:r>
              <w:rPr>
                <w:rFonts w:hint="eastAsia" w:cs="宋体"/>
                <w:kern w:val="0"/>
                <w:szCs w:val="21"/>
              </w:rPr>
              <w:t>产品制造商与用户签订的内容至少包含HIS、电子病历系统的合同及对应的用户验收报告，以及该用户电子病历评级证明材料复印件加盖投标人公章）</w:t>
            </w:r>
          </w:p>
        </w:tc>
        <w:tc>
          <w:tcPr>
            <w:tcW w:w="850" w:type="dxa"/>
            <w:shd w:val="clear" w:color="auto" w:fill="auto"/>
            <w:vAlign w:val="center"/>
          </w:tcPr>
          <w:p>
            <w:pPr>
              <w:widowControl/>
              <w:jc w:val="center"/>
              <w:rPr>
                <w:rFonts w:cs="宋体"/>
                <w:kern w:val="0"/>
                <w:szCs w:val="21"/>
              </w:rPr>
            </w:pPr>
            <w:r>
              <w:rPr>
                <w:rFonts w:hint="eastAsia" w:cs="宋体"/>
                <w:kern w:val="0"/>
                <w:szCs w:val="21"/>
              </w:rPr>
              <w:t>1</w:t>
            </w:r>
            <w:r>
              <w:rPr>
                <w:rFonts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restart"/>
            <w:shd w:val="clear" w:color="auto" w:fill="auto"/>
            <w:vAlign w:val="center"/>
          </w:tcPr>
          <w:p>
            <w:pPr>
              <w:widowControl/>
              <w:jc w:val="center"/>
              <w:rPr>
                <w:rFonts w:cs="宋体"/>
                <w:b/>
                <w:bCs/>
                <w:kern w:val="0"/>
                <w:szCs w:val="21"/>
              </w:rPr>
            </w:pPr>
            <w:r>
              <w:rPr>
                <w:rFonts w:hint="eastAsia" w:cs="宋体"/>
                <w:b/>
                <w:bCs/>
                <w:kern w:val="0"/>
                <w:szCs w:val="21"/>
              </w:rPr>
              <w:t>技术部分</w:t>
            </w:r>
          </w:p>
          <w:p>
            <w:pPr>
              <w:widowControl/>
              <w:jc w:val="center"/>
              <w:rPr>
                <w:rFonts w:cs="宋体"/>
                <w:b/>
                <w:bCs/>
                <w:kern w:val="0"/>
                <w:szCs w:val="21"/>
              </w:rPr>
            </w:pPr>
            <w:r>
              <w:rPr>
                <w:rFonts w:hint="eastAsia" w:cs="宋体"/>
                <w:b/>
                <w:bCs/>
                <w:kern w:val="0"/>
                <w:szCs w:val="21"/>
              </w:rPr>
              <w:t>（4</w:t>
            </w:r>
            <w:r>
              <w:rPr>
                <w:rFonts w:cs="宋体"/>
                <w:b/>
                <w:bCs/>
                <w:kern w:val="0"/>
                <w:szCs w:val="21"/>
              </w:rPr>
              <w:t>5</w:t>
            </w:r>
            <w:r>
              <w:rPr>
                <w:rFonts w:hint="eastAsia" w:cs="宋体"/>
                <w:b/>
                <w:bCs/>
                <w:kern w:val="0"/>
                <w:szCs w:val="21"/>
              </w:rPr>
              <w:t>分）</w:t>
            </w:r>
          </w:p>
        </w:tc>
        <w:tc>
          <w:tcPr>
            <w:tcW w:w="1275" w:type="dxa"/>
            <w:shd w:val="clear" w:color="auto" w:fill="auto"/>
            <w:vAlign w:val="center"/>
          </w:tcPr>
          <w:p>
            <w:pPr>
              <w:jc w:val="left"/>
              <w:rPr>
                <w:rFonts w:cs="宋体"/>
                <w:kern w:val="0"/>
                <w:szCs w:val="21"/>
              </w:rPr>
            </w:pPr>
            <w:r>
              <w:rPr>
                <w:rFonts w:hint="eastAsia" w:cs="宋体"/>
                <w:kern w:val="0"/>
              </w:rPr>
              <w:t>投标技术方案符合情况（</w:t>
            </w:r>
            <w:r>
              <w:rPr>
                <w:rFonts w:cs="宋体"/>
                <w:kern w:val="0"/>
              </w:rPr>
              <w:t>5</w:t>
            </w:r>
            <w:r>
              <w:rPr>
                <w:rFonts w:hint="eastAsia" w:cs="宋体"/>
                <w:kern w:val="0"/>
              </w:rPr>
              <w:t>分）</w:t>
            </w:r>
          </w:p>
        </w:tc>
        <w:tc>
          <w:tcPr>
            <w:tcW w:w="6096" w:type="dxa"/>
            <w:shd w:val="clear" w:color="auto" w:fill="auto"/>
            <w:vAlign w:val="center"/>
          </w:tcPr>
          <w:p>
            <w:pPr>
              <w:jc w:val="left"/>
              <w:rPr>
                <w:rFonts w:cs="宋体"/>
                <w:kern w:val="0"/>
                <w:szCs w:val="21"/>
              </w:rPr>
            </w:pPr>
            <w:r>
              <w:rPr>
                <w:rFonts w:hint="eastAsia" w:cs="宋体"/>
                <w:kern w:val="0"/>
                <w:szCs w:val="21"/>
              </w:rPr>
              <w:t>根据投标人整体投标文件技术内容的合理性、可行性、技术实现等进行评价，是否充分考虑用户实际使用需求进行评价，评委根据方案优劣酌情给分。</w:t>
            </w:r>
          </w:p>
          <w:p>
            <w:pPr>
              <w:jc w:val="left"/>
              <w:rPr>
                <w:rFonts w:cs="宋体"/>
                <w:kern w:val="0"/>
                <w:szCs w:val="21"/>
              </w:rPr>
            </w:pPr>
            <w:r>
              <w:rPr>
                <w:rFonts w:hint="eastAsia" w:cs="宋体"/>
                <w:kern w:val="0"/>
                <w:szCs w:val="21"/>
              </w:rPr>
              <w:t>方案措施安排科学、条理清晰、切合实际的得</w:t>
            </w:r>
            <w:r>
              <w:rPr>
                <w:rFonts w:cs="宋体"/>
                <w:kern w:val="0"/>
                <w:szCs w:val="21"/>
              </w:rPr>
              <w:t>4</w:t>
            </w:r>
            <w:r>
              <w:rPr>
                <w:rFonts w:hint="eastAsia" w:cs="宋体"/>
                <w:kern w:val="0"/>
                <w:szCs w:val="21"/>
              </w:rPr>
              <w:t>-</w:t>
            </w:r>
            <w:r>
              <w:rPr>
                <w:rFonts w:cs="宋体"/>
                <w:kern w:val="0"/>
                <w:szCs w:val="21"/>
              </w:rPr>
              <w:t>5</w:t>
            </w:r>
            <w:r>
              <w:rPr>
                <w:rFonts w:hint="eastAsia" w:cs="宋体"/>
                <w:kern w:val="0"/>
                <w:szCs w:val="21"/>
              </w:rPr>
              <w:t>分；</w:t>
            </w:r>
          </w:p>
          <w:p>
            <w:pPr>
              <w:jc w:val="left"/>
              <w:rPr>
                <w:rFonts w:cs="宋体"/>
                <w:kern w:val="0"/>
                <w:szCs w:val="21"/>
              </w:rPr>
            </w:pPr>
            <w:r>
              <w:rPr>
                <w:rFonts w:hint="eastAsia" w:cs="宋体"/>
                <w:kern w:val="0"/>
                <w:szCs w:val="21"/>
              </w:rPr>
              <w:t>方案安排较科学、切合实际、内容完整性较一般的得2-</w:t>
            </w:r>
            <w:r>
              <w:rPr>
                <w:rFonts w:cs="宋体"/>
                <w:kern w:val="0"/>
                <w:szCs w:val="21"/>
              </w:rPr>
              <w:t>3</w:t>
            </w:r>
            <w:r>
              <w:rPr>
                <w:rFonts w:hint="eastAsia" w:cs="宋体"/>
                <w:kern w:val="0"/>
                <w:szCs w:val="21"/>
              </w:rPr>
              <w:t>分；</w:t>
            </w:r>
          </w:p>
          <w:p>
            <w:pPr>
              <w:jc w:val="left"/>
              <w:rPr>
                <w:rFonts w:cs="宋体"/>
                <w:kern w:val="0"/>
                <w:szCs w:val="21"/>
              </w:rPr>
            </w:pPr>
            <w:r>
              <w:rPr>
                <w:rFonts w:hint="eastAsia" w:cs="宋体"/>
                <w:kern w:val="0"/>
                <w:szCs w:val="21"/>
              </w:rPr>
              <w:t>方案安排科学性、条理性较差，内容缺乏重点、与实际情况及需求有偏差得</w:t>
            </w:r>
            <w:r>
              <w:rPr>
                <w:rFonts w:cs="宋体"/>
                <w:kern w:val="0"/>
                <w:szCs w:val="21"/>
              </w:rPr>
              <w:t>0-1</w:t>
            </w:r>
            <w:r>
              <w:rPr>
                <w:rFonts w:hint="eastAsia" w:cs="宋体"/>
                <w:kern w:val="0"/>
                <w:szCs w:val="21"/>
              </w:rPr>
              <w:t>分。</w:t>
            </w:r>
          </w:p>
        </w:tc>
        <w:tc>
          <w:tcPr>
            <w:tcW w:w="850" w:type="dxa"/>
            <w:shd w:val="clear" w:color="auto" w:fill="auto"/>
            <w:vAlign w:val="center"/>
          </w:tcPr>
          <w:p>
            <w:pPr>
              <w:widowControl/>
              <w:jc w:val="center"/>
              <w:rPr>
                <w:rFonts w:cs="宋体"/>
                <w:kern w:val="0"/>
                <w:szCs w:val="21"/>
              </w:rPr>
            </w:pPr>
            <w:r>
              <w:rPr>
                <w:rFonts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continue"/>
            <w:shd w:val="clear" w:color="auto" w:fill="auto"/>
            <w:vAlign w:val="center"/>
          </w:tcPr>
          <w:p>
            <w:pPr>
              <w:widowControl/>
              <w:jc w:val="center"/>
              <w:rPr>
                <w:rFonts w:cs="宋体"/>
                <w:b/>
                <w:bCs/>
                <w:kern w:val="0"/>
                <w:szCs w:val="21"/>
              </w:rPr>
            </w:pPr>
          </w:p>
        </w:tc>
        <w:tc>
          <w:tcPr>
            <w:tcW w:w="1275" w:type="dxa"/>
            <w:shd w:val="clear" w:color="auto" w:fill="auto"/>
            <w:vAlign w:val="center"/>
          </w:tcPr>
          <w:p>
            <w:pPr>
              <w:jc w:val="left"/>
              <w:rPr>
                <w:rFonts w:cs="宋体"/>
                <w:kern w:val="0"/>
              </w:rPr>
            </w:pPr>
            <w:r>
              <w:rPr>
                <w:rFonts w:hint="eastAsia" w:cs="宋体"/>
                <w:kern w:val="0"/>
              </w:rPr>
              <w:t>系统功能演示（</w:t>
            </w:r>
            <w:r>
              <w:rPr>
                <w:rFonts w:cs="宋体"/>
                <w:kern w:val="0"/>
              </w:rPr>
              <w:t>25</w:t>
            </w:r>
            <w:r>
              <w:rPr>
                <w:rFonts w:hint="eastAsia" w:cs="宋体"/>
                <w:kern w:val="0"/>
              </w:rPr>
              <w:t>分）</w:t>
            </w:r>
          </w:p>
        </w:tc>
        <w:tc>
          <w:tcPr>
            <w:tcW w:w="6096" w:type="dxa"/>
            <w:shd w:val="clear" w:color="auto" w:fill="auto"/>
            <w:vAlign w:val="center"/>
          </w:tcPr>
          <w:p>
            <w:pPr>
              <w:jc w:val="left"/>
              <w:rPr>
                <w:rFonts w:cs="宋体"/>
                <w:kern w:val="0"/>
                <w:szCs w:val="21"/>
              </w:rPr>
            </w:pPr>
            <w:r>
              <w:rPr>
                <w:rFonts w:hint="eastAsia" w:cs="宋体"/>
                <w:kern w:val="0"/>
                <w:szCs w:val="21"/>
              </w:rPr>
              <w:t>投标人须安排专业人员，且自备演示所需软件条件，对招标文件招标内容所要求软件功能进行现场演示，不得以</w:t>
            </w:r>
            <w:r>
              <w:rPr>
                <w:rFonts w:cs="宋体"/>
                <w:kern w:val="0"/>
                <w:szCs w:val="21"/>
              </w:rPr>
              <w:t>PPT、视频、截图等方式进行，否则不得分。每家投标人的演</w:t>
            </w:r>
            <w:r>
              <w:rPr>
                <w:rFonts w:hint="eastAsia" w:cs="宋体"/>
                <w:kern w:val="0"/>
                <w:szCs w:val="21"/>
              </w:rPr>
              <w:t>示与讲解时间不超过</w:t>
            </w:r>
            <w:r>
              <w:rPr>
                <w:rFonts w:cs="宋体"/>
                <w:kern w:val="0"/>
                <w:szCs w:val="21"/>
              </w:rPr>
              <w:t xml:space="preserve"> 15 分钟。评委根据投标人的演示情况进</w:t>
            </w:r>
            <w:r>
              <w:rPr>
                <w:rFonts w:hint="eastAsia" w:cs="宋体"/>
                <w:kern w:val="0"/>
                <w:szCs w:val="21"/>
              </w:rPr>
              <w:t>行比较打分，满分</w:t>
            </w:r>
            <w:r>
              <w:rPr>
                <w:rFonts w:cs="宋体"/>
                <w:kern w:val="0"/>
                <w:szCs w:val="21"/>
              </w:rPr>
              <w:t xml:space="preserve"> 2</w:t>
            </w:r>
            <w:r>
              <w:rPr>
                <w:rFonts w:hint="eastAsia" w:cs="宋体"/>
                <w:kern w:val="0"/>
                <w:szCs w:val="21"/>
                <w:lang w:val="en-US" w:eastAsia="zh-CN"/>
              </w:rPr>
              <w:t>5</w:t>
            </w:r>
            <w:r>
              <w:rPr>
                <w:rFonts w:cs="宋体"/>
                <w:kern w:val="0"/>
                <w:szCs w:val="21"/>
              </w:rPr>
              <w:t xml:space="preserve"> 分</w:t>
            </w:r>
            <w:r>
              <w:rPr>
                <w:rFonts w:hint="eastAsia" w:cs="宋体"/>
                <w:kern w:val="0"/>
                <w:szCs w:val="21"/>
              </w:rPr>
              <w:t>。</w:t>
            </w:r>
          </w:p>
        </w:tc>
        <w:tc>
          <w:tcPr>
            <w:tcW w:w="850" w:type="dxa"/>
            <w:shd w:val="clear" w:color="auto" w:fill="auto"/>
            <w:vAlign w:val="center"/>
          </w:tcPr>
          <w:p>
            <w:pPr>
              <w:widowControl/>
              <w:jc w:val="center"/>
              <w:rPr>
                <w:rFonts w:cs="宋体"/>
                <w:kern w:val="0"/>
                <w:szCs w:val="21"/>
              </w:rPr>
            </w:pPr>
            <w:r>
              <w:rPr>
                <w:rFonts w:hint="eastAsia" w:cs="宋体"/>
                <w:kern w:val="0"/>
              </w:rPr>
              <w:t>2</w:t>
            </w:r>
            <w:r>
              <w:rPr>
                <w:rFonts w:cs="宋体"/>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continue"/>
            <w:vAlign w:val="center"/>
          </w:tcPr>
          <w:p>
            <w:pPr>
              <w:widowControl/>
              <w:jc w:val="left"/>
              <w:rPr>
                <w:rFonts w:cs="宋体"/>
                <w:b/>
                <w:bCs/>
                <w:kern w:val="0"/>
                <w:szCs w:val="21"/>
              </w:rPr>
            </w:pPr>
          </w:p>
        </w:tc>
        <w:tc>
          <w:tcPr>
            <w:tcW w:w="1275" w:type="dxa"/>
            <w:vAlign w:val="center"/>
          </w:tcPr>
          <w:p>
            <w:pPr>
              <w:jc w:val="left"/>
              <w:rPr>
                <w:rFonts w:cs="宋体"/>
                <w:kern w:val="0"/>
              </w:rPr>
            </w:pPr>
            <w:r>
              <w:rPr>
                <w:rFonts w:hint="eastAsia" w:cs="宋体"/>
                <w:kern w:val="0"/>
              </w:rPr>
              <w:t>项目实施保障能力（</w:t>
            </w:r>
            <w:r>
              <w:rPr>
                <w:rFonts w:cs="宋体"/>
                <w:kern w:val="0"/>
              </w:rPr>
              <w:t>5</w:t>
            </w:r>
            <w:r>
              <w:rPr>
                <w:rFonts w:hint="eastAsia" w:cs="宋体"/>
                <w:kern w:val="0"/>
              </w:rPr>
              <w:t>分）</w:t>
            </w:r>
          </w:p>
        </w:tc>
        <w:tc>
          <w:tcPr>
            <w:tcW w:w="6096" w:type="dxa"/>
            <w:shd w:val="clear" w:color="auto" w:fill="auto"/>
            <w:vAlign w:val="center"/>
          </w:tcPr>
          <w:p>
            <w:pPr>
              <w:jc w:val="left"/>
              <w:rPr>
                <w:rFonts w:cs="宋体"/>
                <w:kern w:val="0"/>
                <w:szCs w:val="21"/>
              </w:rPr>
            </w:pPr>
            <w:r>
              <w:rPr>
                <w:rFonts w:hint="eastAsia" w:cs="宋体"/>
                <w:kern w:val="0"/>
                <w:szCs w:val="21"/>
              </w:rPr>
              <w:t>考察投标人项目整体实施方案的完整性、合理性（包含合理可行的工程实施计划、项目人员组成、测试及验收、培训计划的内容）。</w:t>
            </w:r>
          </w:p>
          <w:p>
            <w:pPr>
              <w:jc w:val="left"/>
              <w:rPr>
                <w:rFonts w:cs="宋体"/>
                <w:kern w:val="0"/>
                <w:szCs w:val="21"/>
              </w:rPr>
            </w:pPr>
            <w:r>
              <w:rPr>
                <w:rFonts w:hint="eastAsia" w:cs="宋体"/>
                <w:kern w:val="0"/>
                <w:szCs w:val="21"/>
              </w:rPr>
              <w:t>方案措施安排科学、条理清晰、切合实际的得</w:t>
            </w:r>
            <w:r>
              <w:rPr>
                <w:rFonts w:cs="宋体"/>
                <w:kern w:val="0"/>
                <w:szCs w:val="21"/>
              </w:rPr>
              <w:t>4</w:t>
            </w:r>
            <w:r>
              <w:rPr>
                <w:rFonts w:hint="eastAsia" w:cs="宋体"/>
                <w:kern w:val="0"/>
                <w:szCs w:val="21"/>
              </w:rPr>
              <w:t>-</w:t>
            </w:r>
            <w:r>
              <w:rPr>
                <w:rFonts w:cs="宋体"/>
                <w:kern w:val="0"/>
                <w:szCs w:val="21"/>
              </w:rPr>
              <w:t>5</w:t>
            </w:r>
            <w:r>
              <w:rPr>
                <w:rFonts w:hint="eastAsia" w:cs="宋体"/>
                <w:kern w:val="0"/>
                <w:szCs w:val="21"/>
              </w:rPr>
              <w:t>分；</w:t>
            </w:r>
          </w:p>
          <w:p>
            <w:pPr>
              <w:jc w:val="left"/>
              <w:rPr>
                <w:rFonts w:cs="宋体"/>
                <w:kern w:val="0"/>
                <w:szCs w:val="21"/>
              </w:rPr>
            </w:pPr>
            <w:r>
              <w:rPr>
                <w:rFonts w:hint="eastAsia" w:cs="宋体"/>
                <w:kern w:val="0"/>
                <w:szCs w:val="21"/>
              </w:rPr>
              <w:t>方案安排较科学、切合实际、内容完整性较一般的得</w:t>
            </w:r>
            <w:r>
              <w:rPr>
                <w:rFonts w:cs="宋体"/>
                <w:kern w:val="0"/>
                <w:szCs w:val="21"/>
              </w:rPr>
              <w:t>2</w:t>
            </w:r>
            <w:r>
              <w:rPr>
                <w:rFonts w:hint="eastAsia" w:cs="宋体"/>
                <w:kern w:val="0"/>
                <w:szCs w:val="21"/>
              </w:rPr>
              <w:t>-</w:t>
            </w:r>
            <w:r>
              <w:rPr>
                <w:rFonts w:cs="宋体"/>
                <w:kern w:val="0"/>
                <w:szCs w:val="21"/>
              </w:rPr>
              <w:t>3</w:t>
            </w:r>
            <w:r>
              <w:rPr>
                <w:rFonts w:hint="eastAsia" w:cs="宋体"/>
                <w:kern w:val="0"/>
                <w:szCs w:val="21"/>
              </w:rPr>
              <w:t>分；</w:t>
            </w:r>
          </w:p>
          <w:p>
            <w:pPr>
              <w:jc w:val="left"/>
              <w:rPr>
                <w:rFonts w:cs="宋体"/>
                <w:kern w:val="0"/>
              </w:rPr>
            </w:pPr>
            <w:r>
              <w:rPr>
                <w:rFonts w:hint="eastAsia" w:cs="宋体"/>
                <w:kern w:val="0"/>
                <w:szCs w:val="21"/>
              </w:rPr>
              <w:t>方案安排科学性、条理性较差，内容缺乏重点、与实际情况有偏差得</w:t>
            </w:r>
            <w:r>
              <w:rPr>
                <w:rFonts w:cs="宋体"/>
                <w:kern w:val="0"/>
                <w:szCs w:val="21"/>
              </w:rPr>
              <w:t>0</w:t>
            </w:r>
            <w:r>
              <w:rPr>
                <w:rFonts w:hint="eastAsia" w:cs="宋体"/>
                <w:kern w:val="0"/>
                <w:szCs w:val="21"/>
              </w:rPr>
              <w:t>-</w:t>
            </w:r>
            <w:r>
              <w:rPr>
                <w:rFonts w:cs="宋体"/>
                <w:kern w:val="0"/>
                <w:szCs w:val="21"/>
              </w:rPr>
              <w:t>1</w:t>
            </w:r>
            <w:r>
              <w:rPr>
                <w:rFonts w:hint="eastAsia" w:cs="宋体"/>
                <w:kern w:val="0"/>
                <w:szCs w:val="21"/>
              </w:rPr>
              <w:t>分。</w:t>
            </w:r>
          </w:p>
        </w:tc>
        <w:tc>
          <w:tcPr>
            <w:tcW w:w="850" w:type="dxa"/>
            <w:shd w:val="clear" w:color="auto" w:fill="auto"/>
            <w:vAlign w:val="center"/>
          </w:tcPr>
          <w:p>
            <w:pPr>
              <w:jc w:val="center"/>
              <w:rPr>
                <w:rFonts w:cs="宋体"/>
                <w:kern w:val="0"/>
                <w:szCs w:val="21"/>
              </w:rPr>
            </w:pPr>
            <w:r>
              <w:rPr>
                <w:rFonts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continue"/>
            <w:vAlign w:val="center"/>
          </w:tcPr>
          <w:p>
            <w:pPr>
              <w:widowControl/>
              <w:jc w:val="left"/>
              <w:rPr>
                <w:rFonts w:cs="宋体"/>
                <w:b/>
                <w:bCs/>
                <w:kern w:val="0"/>
                <w:szCs w:val="21"/>
              </w:rPr>
            </w:pPr>
          </w:p>
        </w:tc>
        <w:tc>
          <w:tcPr>
            <w:tcW w:w="1275" w:type="dxa"/>
            <w:vAlign w:val="center"/>
          </w:tcPr>
          <w:p>
            <w:pPr>
              <w:jc w:val="left"/>
              <w:rPr>
                <w:rFonts w:cs="宋体"/>
                <w:kern w:val="0"/>
              </w:rPr>
            </w:pPr>
            <w:r>
              <w:rPr>
                <w:rFonts w:hint="eastAsia" w:cs="宋体"/>
                <w:kern w:val="0"/>
              </w:rPr>
              <w:t>项目系统技术服务人员保障（3分）</w:t>
            </w:r>
          </w:p>
        </w:tc>
        <w:tc>
          <w:tcPr>
            <w:tcW w:w="6096" w:type="dxa"/>
            <w:shd w:val="clear" w:color="auto" w:fill="auto"/>
            <w:vAlign w:val="center"/>
          </w:tcPr>
          <w:p>
            <w:pPr>
              <w:jc w:val="left"/>
              <w:rPr>
                <w:rFonts w:cs="宋体"/>
                <w:kern w:val="0"/>
                <w:szCs w:val="21"/>
              </w:rPr>
            </w:pPr>
            <w:r>
              <w:rPr>
                <w:rFonts w:hint="eastAsia" w:cs="宋体"/>
                <w:kern w:val="0"/>
                <w:szCs w:val="21"/>
                <w:lang w:val="en-US" w:eastAsia="zh-CN"/>
              </w:rPr>
              <w:t>所投</w:t>
            </w:r>
            <w:r>
              <w:rPr>
                <w:rFonts w:hint="eastAsia" w:cs="宋体"/>
                <w:kern w:val="0"/>
                <w:szCs w:val="21"/>
              </w:rPr>
              <w:t>产品制造商拟配备的项目团队中具有信息系统项目管理师、信息安全规划师（或网络规划设计师或信息安全工程师）、系统集成项目管理工程师、软件设计师、软件测试工程师，以上全部具备得</w:t>
            </w:r>
            <w:r>
              <w:rPr>
                <w:rFonts w:hint="eastAsia" w:cs="宋体"/>
                <w:kern w:val="0"/>
                <w:szCs w:val="21"/>
                <w:lang w:val="en-US" w:eastAsia="zh-CN"/>
              </w:rPr>
              <w:t>3</w:t>
            </w:r>
            <w:r>
              <w:rPr>
                <w:rFonts w:cs="宋体"/>
                <w:kern w:val="0"/>
                <w:szCs w:val="21"/>
              </w:rPr>
              <w:t>分，其他不得分。</w:t>
            </w:r>
          </w:p>
          <w:p>
            <w:pPr>
              <w:jc w:val="left"/>
              <w:rPr>
                <w:rFonts w:cs="宋体"/>
                <w:kern w:val="0"/>
                <w:szCs w:val="21"/>
              </w:rPr>
            </w:pPr>
            <w:r>
              <w:rPr>
                <w:rFonts w:hint="eastAsia" w:cs="宋体"/>
                <w:kern w:val="0"/>
                <w:szCs w:val="21"/>
              </w:rPr>
              <w:t>（需提供相关证书复印件和近3个月人员社保缴交证明复印件，并加盖投标人公章）。</w:t>
            </w:r>
          </w:p>
        </w:tc>
        <w:tc>
          <w:tcPr>
            <w:tcW w:w="850" w:type="dxa"/>
            <w:shd w:val="clear" w:color="auto" w:fill="auto"/>
            <w:vAlign w:val="center"/>
          </w:tcPr>
          <w:p>
            <w:pPr>
              <w:jc w:val="center"/>
              <w:rPr>
                <w:rFonts w:cs="宋体"/>
                <w:kern w:val="0"/>
                <w:szCs w:val="21"/>
              </w:rPr>
            </w:pPr>
            <w:r>
              <w:rPr>
                <w:rFonts w:hint="eastAsia"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continue"/>
            <w:vAlign w:val="center"/>
          </w:tcPr>
          <w:p>
            <w:pPr>
              <w:widowControl/>
              <w:jc w:val="left"/>
              <w:rPr>
                <w:rFonts w:cs="宋体"/>
                <w:b/>
                <w:bCs/>
                <w:kern w:val="0"/>
                <w:szCs w:val="21"/>
              </w:rPr>
            </w:pPr>
          </w:p>
        </w:tc>
        <w:tc>
          <w:tcPr>
            <w:tcW w:w="1275" w:type="dxa"/>
            <w:vMerge w:val="restart"/>
            <w:vAlign w:val="center"/>
          </w:tcPr>
          <w:p>
            <w:pPr>
              <w:jc w:val="left"/>
              <w:rPr>
                <w:rFonts w:cs="宋体"/>
                <w:kern w:val="0"/>
              </w:rPr>
            </w:pPr>
            <w:r>
              <w:rPr>
                <w:rFonts w:hint="eastAsia" w:cs="宋体"/>
                <w:kern w:val="0"/>
              </w:rPr>
              <w:t>项目运维售后服务能力（7分）</w:t>
            </w:r>
          </w:p>
        </w:tc>
        <w:tc>
          <w:tcPr>
            <w:tcW w:w="6096" w:type="dxa"/>
            <w:shd w:val="clear" w:color="auto" w:fill="auto"/>
            <w:vAlign w:val="center"/>
          </w:tcPr>
          <w:p>
            <w:pPr>
              <w:jc w:val="left"/>
              <w:rPr>
                <w:rFonts w:cs="宋体"/>
                <w:color w:val="auto"/>
                <w:kern w:val="0"/>
                <w:highlight w:val="none"/>
              </w:rPr>
            </w:pPr>
            <w:r>
              <w:rPr>
                <w:rFonts w:hint="eastAsia" w:cs="宋体"/>
                <w:color w:val="auto"/>
                <w:kern w:val="0"/>
                <w:highlight w:val="none"/>
              </w:rPr>
              <w:t>投标文件中有明确</w:t>
            </w:r>
            <w:r>
              <w:rPr>
                <w:rFonts w:hint="eastAsia" w:cs="宋体"/>
                <w:color w:val="auto"/>
                <w:kern w:val="0"/>
                <w:highlight w:val="none"/>
                <w:lang w:val="en-US" w:eastAsia="zh-CN"/>
              </w:rPr>
              <w:t>所投产品的制造商</w:t>
            </w:r>
            <w:r>
              <w:rPr>
                <w:rFonts w:hint="eastAsia" w:cs="宋体"/>
                <w:color w:val="auto"/>
                <w:kern w:val="0"/>
                <w:highlight w:val="none"/>
              </w:rPr>
              <w:t>售后服务体系，在当地设有分支机构或办事处并提供相关证明材料。满足得</w:t>
            </w:r>
            <w:r>
              <w:rPr>
                <w:rFonts w:cs="宋体"/>
                <w:color w:val="auto"/>
                <w:kern w:val="0"/>
                <w:highlight w:val="none"/>
              </w:rPr>
              <w:t>4</w:t>
            </w:r>
            <w:r>
              <w:rPr>
                <w:rFonts w:hint="eastAsia" w:cs="宋体"/>
                <w:color w:val="auto"/>
                <w:kern w:val="0"/>
                <w:highlight w:val="none"/>
              </w:rPr>
              <w:t>分，否则不得分。</w:t>
            </w:r>
          </w:p>
          <w:p>
            <w:pPr>
              <w:jc w:val="left"/>
              <w:rPr>
                <w:rFonts w:cs="宋体"/>
                <w:kern w:val="0"/>
                <w:szCs w:val="21"/>
              </w:rPr>
            </w:pPr>
            <w:r>
              <w:rPr>
                <w:rFonts w:hint="eastAsia" w:cs="宋体"/>
                <w:kern w:val="0"/>
              </w:rPr>
              <w:t>（需提供机构营业执照复印件并加盖投标人公章）</w:t>
            </w:r>
          </w:p>
        </w:tc>
        <w:tc>
          <w:tcPr>
            <w:tcW w:w="850" w:type="dxa"/>
            <w:shd w:val="clear" w:color="auto" w:fill="auto"/>
            <w:vAlign w:val="center"/>
          </w:tcPr>
          <w:p>
            <w:pPr>
              <w:jc w:val="center"/>
              <w:rPr>
                <w:rFonts w:cs="宋体"/>
                <w:kern w:val="0"/>
                <w:szCs w:val="21"/>
              </w:rPr>
            </w:pPr>
            <w:r>
              <w:rPr>
                <w:rFonts w:cs="宋体"/>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Merge w:val="continue"/>
            <w:vAlign w:val="center"/>
          </w:tcPr>
          <w:p>
            <w:pPr>
              <w:widowControl/>
              <w:jc w:val="left"/>
              <w:rPr>
                <w:rFonts w:cs="宋体"/>
                <w:b/>
                <w:bCs/>
                <w:kern w:val="0"/>
                <w:szCs w:val="21"/>
              </w:rPr>
            </w:pPr>
          </w:p>
        </w:tc>
        <w:tc>
          <w:tcPr>
            <w:tcW w:w="1275" w:type="dxa"/>
            <w:vMerge w:val="continue"/>
            <w:vAlign w:val="center"/>
          </w:tcPr>
          <w:p>
            <w:pPr>
              <w:jc w:val="left"/>
              <w:rPr>
                <w:rFonts w:cs="宋体"/>
                <w:kern w:val="0"/>
              </w:rPr>
            </w:pPr>
          </w:p>
        </w:tc>
        <w:tc>
          <w:tcPr>
            <w:tcW w:w="6096" w:type="dxa"/>
            <w:shd w:val="clear" w:color="auto" w:fill="auto"/>
            <w:vAlign w:val="center"/>
          </w:tcPr>
          <w:p>
            <w:pPr>
              <w:jc w:val="left"/>
              <w:rPr>
                <w:rFonts w:cs="宋体"/>
                <w:kern w:val="0"/>
              </w:rPr>
            </w:pPr>
            <w:r>
              <w:rPr>
                <w:rFonts w:hint="eastAsia" w:cs="宋体"/>
                <w:kern w:val="0"/>
              </w:rPr>
              <w:t>考察投标人所</w:t>
            </w:r>
            <w:r>
              <w:rPr>
                <w:rFonts w:cs="宋体"/>
                <w:kern w:val="0"/>
              </w:rPr>
              <w:t>提供的售后服务方案、售后服务承诺的可行性、完整性，</w:t>
            </w:r>
            <w:r>
              <w:rPr>
                <w:rFonts w:hint="eastAsia" w:cs="宋体"/>
                <w:kern w:val="0"/>
              </w:rPr>
              <w:t>及</w:t>
            </w:r>
            <w:r>
              <w:rPr>
                <w:rFonts w:cs="宋体"/>
                <w:kern w:val="0"/>
              </w:rPr>
              <w:t>维护期内外的后续技术支持和维护能力情况等进行</w:t>
            </w:r>
            <w:r>
              <w:rPr>
                <w:rFonts w:hint="eastAsia" w:cs="宋体"/>
                <w:kern w:val="0"/>
              </w:rPr>
              <w:t>评价</w:t>
            </w:r>
            <w:r>
              <w:rPr>
                <w:rFonts w:cs="宋体"/>
                <w:kern w:val="0"/>
              </w:rPr>
              <w:t>分档打分。</w:t>
            </w:r>
            <w:r>
              <w:rPr>
                <w:rFonts w:hint="eastAsia" w:cs="宋体"/>
                <w:kern w:val="0"/>
              </w:rPr>
              <w:t>优得</w:t>
            </w:r>
            <w:r>
              <w:rPr>
                <w:rFonts w:cs="宋体"/>
                <w:kern w:val="0"/>
              </w:rPr>
              <w:t>3-2分、一般</w:t>
            </w:r>
            <w:r>
              <w:rPr>
                <w:rFonts w:hint="eastAsia" w:cs="宋体"/>
                <w:kern w:val="0"/>
              </w:rPr>
              <w:t>得</w:t>
            </w:r>
            <w:r>
              <w:rPr>
                <w:rFonts w:cs="宋体"/>
                <w:kern w:val="0"/>
              </w:rPr>
              <w:t>2-1</w:t>
            </w:r>
            <w:r>
              <w:rPr>
                <w:rFonts w:hint="eastAsia" w:cs="宋体"/>
                <w:kern w:val="0"/>
              </w:rPr>
              <w:t>分、差则不得分。</w:t>
            </w:r>
          </w:p>
        </w:tc>
        <w:tc>
          <w:tcPr>
            <w:tcW w:w="850" w:type="dxa"/>
            <w:shd w:val="clear" w:color="auto" w:fill="auto"/>
            <w:vAlign w:val="center"/>
          </w:tcPr>
          <w:p>
            <w:pPr>
              <w:jc w:val="center"/>
              <w:rPr>
                <w:rFonts w:cs="宋体"/>
                <w:kern w:val="0"/>
              </w:rPr>
            </w:pPr>
            <w:r>
              <w:rPr>
                <w:rFonts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77" w:type="dxa"/>
            <w:vAlign w:val="center"/>
          </w:tcPr>
          <w:p>
            <w:pPr>
              <w:widowControl/>
              <w:jc w:val="left"/>
              <w:rPr>
                <w:rFonts w:cs="宋体"/>
                <w:b/>
                <w:bCs/>
                <w:kern w:val="0"/>
                <w:szCs w:val="21"/>
              </w:rPr>
            </w:pPr>
          </w:p>
        </w:tc>
        <w:tc>
          <w:tcPr>
            <w:tcW w:w="1275" w:type="dxa"/>
            <w:vAlign w:val="center"/>
          </w:tcPr>
          <w:p>
            <w:pPr>
              <w:jc w:val="left"/>
              <w:rPr>
                <w:rFonts w:cs="宋体"/>
                <w:kern w:val="0"/>
              </w:rPr>
            </w:pPr>
          </w:p>
        </w:tc>
        <w:tc>
          <w:tcPr>
            <w:tcW w:w="6096" w:type="dxa"/>
            <w:shd w:val="clear" w:color="auto" w:fill="auto"/>
            <w:vAlign w:val="center"/>
          </w:tcPr>
          <w:p>
            <w:pPr>
              <w:jc w:val="left"/>
              <w:rPr>
                <w:rFonts w:cs="宋体"/>
                <w:kern w:val="0"/>
              </w:rPr>
            </w:pPr>
          </w:p>
        </w:tc>
        <w:tc>
          <w:tcPr>
            <w:tcW w:w="850" w:type="dxa"/>
            <w:shd w:val="clear" w:color="auto" w:fill="auto"/>
            <w:vAlign w:val="center"/>
          </w:tcPr>
          <w:p>
            <w:pPr>
              <w:jc w:val="center"/>
              <w:rPr>
                <w:rFonts w:cs="宋体"/>
                <w:kern w:val="0"/>
                <w:szCs w:val="21"/>
              </w:rPr>
            </w:pPr>
            <w:r>
              <w:rPr>
                <w:rFonts w:cs="宋体"/>
                <w:kern w:val="0"/>
                <w:szCs w:val="21"/>
              </w:rPr>
              <w:fldChar w:fldCharType="begin"/>
            </w:r>
            <w:r>
              <w:rPr>
                <w:rFonts w:cs="宋体"/>
                <w:kern w:val="0"/>
                <w:szCs w:val="21"/>
              </w:rPr>
              <w:instrText xml:space="preserve"> =SUM(ABOVE) </w:instrText>
            </w:r>
            <w:r>
              <w:rPr>
                <w:rFonts w:cs="宋体"/>
                <w:kern w:val="0"/>
                <w:szCs w:val="21"/>
              </w:rPr>
              <w:fldChar w:fldCharType="separate"/>
            </w:r>
            <w:r>
              <w:rPr>
                <w:rFonts w:cs="宋体"/>
                <w:kern w:val="0"/>
                <w:szCs w:val="21"/>
              </w:rPr>
              <w:t>100</w:t>
            </w:r>
            <w:r>
              <w:rPr>
                <w:rFonts w:cs="宋体"/>
                <w:kern w:val="0"/>
                <w:szCs w:val="21"/>
              </w:rPr>
              <w:fldChar w:fldCharType="end"/>
            </w:r>
          </w:p>
        </w:tc>
      </w:tr>
    </w:tbl>
    <w:p>
      <w:pPr>
        <w:ind w:firstLine="474" w:firstLineChars="200"/>
        <w:rPr>
          <w:rFonts w:hint="eastAsia" w:ascii="仿宋" w:hAnsi="仿宋" w:eastAsia="仿宋" w:cs="仿宋"/>
          <w:b/>
          <w:spacing w:val="-2"/>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rPr>
          <w:rFonts w:ascii="仿宋_GB2312" w:hAnsi="Arial" w:eastAsia="仿宋_GB2312" w:cs="Times New Roman"/>
          <w:spacing w:val="-2"/>
          <w:sz w:val="24"/>
          <w:szCs w:val="24"/>
        </w:rPr>
      </w:pPr>
    </w:p>
    <w:p>
      <w:pPr>
        <w:jc w:val="center"/>
        <w:rPr>
          <w:rFonts w:ascii="仿宋_GB2312" w:hAnsi="宋体" w:eastAsia="仿宋_GB2312" w:cs="Times New Roman"/>
          <w:b/>
          <w:sz w:val="18"/>
          <w:szCs w:val="18"/>
        </w:rPr>
      </w:pPr>
      <w:bookmarkStart w:id="210" w:name="_Toc25873"/>
      <w:bookmarkStart w:id="211" w:name="_Toc26613"/>
      <w:bookmarkStart w:id="212" w:name="_Toc21777"/>
      <w:bookmarkStart w:id="213" w:name="_Toc28069"/>
      <w:bookmarkStart w:id="214" w:name="_Toc17820"/>
      <w:bookmarkStart w:id="215" w:name="_Toc10274"/>
      <w:bookmarkStart w:id="216" w:name="_Toc25010"/>
      <w:bookmarkStart w:id="217" w:name="_Toc16214"/>
      <w:bookmarkStart w:id="218" w:name="_Toc5002"/>
      <w:bookmarkStart w:id="219" w:name="_Toc27758"/>
      <w:bookmarkStart w:id="220" w:name="_Toc4916"/>
      <w:bookmarkStart w:id="221" w:name="_Toc16601"/>
      <w:bookmarkStart w:id="222" w:name="_Toc17675"/>
      <w:bookmarkStart w:id="223" w:name="_Toc8330"/>
      <w:bookmarkStart w:id="224" w:name="_Toc32107"/>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0299"/>
      <w:bookmarkStart w:id="226" w:name="_Toc20557"/>
      <w:bookmarkStart w:id="227" w:name="_Toc2991"/>
      <w:bookmarkStart w:id="228" w:name="_Toc12063"/>
      <w:bookmarkStart w:id="229" w:name="_Toc672"/>
      <w:bookmarkStart w:id="230" w:name="_Toc9812"/>
      <w:bookmarkStart w:id="231" w:name="_Toc8279"/>
      <w:bookmarkStart w:id="232" w:name="_Toc9258"/>
      <w:bookmarkStart w:id="233" w:name="_Toc24361"/>
      <w:bookmarkStart w:id="234" w:name="_Toc30979"/>
      <w:bookmarkStart w:id="235" w:name="_Toc24166"/>
      <w:bookmarkStart w:id="236" w:name="_Toc28963"/>
      <w:bookmarkStart w:id="237" w:name="_Toc30692"/>
      <w:bookmarkStart w:id="238" w:name="_Toc9991"/>
      <w:bookmarkStart w:id="239" w:name="_Toc19746"/>
    </w:p>
    <w:p>
      <w:pPr>
        <w:tabs>
          <w:tab w:val="left" w:pos="1260"/>
        </w:tabs>
        <w:jc w:val="center"/>
        <w:rPr>
          <w:rFonts w:ascii="宋体" w:hAnsi="宋体" w:cs="Times New Roman"/>
          <w:b/>
          <w:sz w:val="36"/>
          <w:szCs w:val="36"/>
        </w:rPr>
      </w:pPr>
    </w:p>
    <w:p>
      <w:pPr>
        <w:tabs>
          <w:tab w:val="left" w:pos="1260"/>
        </w:tabs>
        <w:jc w:val="center"/>
        <w:rPr>
          <w:rFonts w:ascii="宋体" w:hAnsi="宋体" w:cs="Times New Roman"/>
          <w:b/>
          <w:sz w:val="36"/>
          <w:szCs w:val="36"/>
        </w:rPr>
      </w:pPr>
    </w:p>
    <w:p>
      <w:pPr>
        <w:tabs>
          <w:tab w:val="left" w:pos="1260"/>
        </w:tabs>
        <w:jc w:val="center"/>
        <w:rPr>
          <w:rFonts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pStyle w:val="28"/>
        <w:rPr>
          <w:rFonts w:hint="eastAsia" w:ascii="宋体" w:hAnsi="宋体" w:cs="Times New Roman"/>
          <w:b/>
          <w:sz w:val="36"/>
          <w:szCs w:val="36"/>
        </w:rPr>
      </w:pPr>
    </w:p>
    <w:p>
      <w:pPr>
        <w:tabs>
          <w:tab w:val="left" w:pos="1260"/>
        </w:tabs>
        <w:jc w:val="center"/>
        <w:rPr>
          <w:rFonts w:hint="eastAsia" w:ascii="宋体" w:hAnsi="宋体" w:cs="Times New Roman"/>
          <w:b/>
          <w:sz w:val="36"/>
          <w:szCs w:val="36"/>
        </w:rPr>
      </w:pPr>
    </w:p>
    <w:p>
      <w:pPr>
        <w:tabs>
          <w:tab w:val="left" w:pos="1260"/>
        </w:tabs>
        <w:jc w:val="center"/>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3444"/>
      <w:bookmarkStart w:id="241" w:name="_Toc25464"/>
      <w:bookmarkStart w:id="242" w:name="_Toc22243"/>
      <w:bookmarkStart w:id="243" w:name="_Toc25057"/>
      <w:bookmarkStart w:id="244" w:name="_Toc11531"/>
      <w:bookmarkStart w:id="245" w:name="_Toc11066"/>
      <w:bookmarkStart w:id="246" w:name="_Toc5215"/>
      <w:bookmarkStart w:id="247" w:name="_Toc13509"/>
      <w:bookmarkStart w:id="248" w:name="_Toc7368"/>
      <w:bookmarkStart w:id="249" w:name="_Toc28495"/>
      <w:bookmarkStart w:id="250" w:name="_Toc7360"/>
      <w:bookmarkStart w:id="251" w:name="_Toc518"/>
      <w:bookmarkStart w:id="252" w:name="_Toc3688"/>
      <w:bookmarkStart w:id="253" w:name="_Toc15299"/>
      <w:bookmarkStart w:id="254" w:name="_Toc22904"/>
      <w:bookmarkStart w:id="255" w:name="_Toc13503"/>
      <w:bookmarkStart w:id="256" w:name="_Toc25297"/>
      <w:bookmarkStart w:id="257" w:name="_Toc2328"/>
      <w:bookmarkStart w:id="258" w:name="_Toc19351"/>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3081"/>
      <w:bookmarkStart w:id="260" w:name="_Toc21063"/>
      <w:bookmarkStart w:id="261" w:name="_Toc13635"/>
      <w:bookmarkStart w:id="262" w:name="_Toc17178"/>
      <w:bookmarkStart w:id="263" w:name="_Toc2726"/>
      <w:bookmarkStart w:id="264" w:name="_Toc14025"/>
      <w:bookmarkStart w:id="265" w:name="_Toc7296"/>
      <w:bookmarkStart w:id="266" w:name="_Toc31205"/>
      <w:bookmarkStart w:id="267" w:name="_Toc15644"/>
      <w:bookmarkStart w:id="268" w:name="_Toc10561"/>
      <w:bookmarkStart w:id="269" w:name="_Toc6419"/>
      <w:bookmarkStart w:id="270" w:name="_Toc9693"/>
      <w:bookmarkStart w:id="271" w:name="_Toc11909"/>
      <w:bookmarkStart w:id="272" w:name="_Toc18572"/>
      <w:bookmarkStart w:id="273" w:name="_Toc6206"/>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ascii="仿宋" w:hAnsi="仿宋" w:eastAsia="仿宋" w:cs="仿宋"/>
          <w:sz w:val="24"/>
          <w:szCs w:val="20"/>
        </w:rPr>
      </w:pPr>
      <w:r>
        <w:rPr>
          <w:rFonts w:hint="eastAsia" w:ascii="仿宋" w:hAnsi="仿宋" w:eastAsia="仿宋" w:cs="仿宋"/>
          <w:spacing w:val="-2"/>
          <w:sz w:val="24"/>
          <w:szCs w:val="24"/>
        </w:rPr>
        <w:t>1.5采购合同的履行、违约责任和解决争议的方法等适用《中华人民共和国合同法》。</w:t>
      </w:r>
    </w:p>
    <w:p>
      <w:pPr>
        <w:jc w:val="center"/>
        <w:rPr>
          <w:rFonts w:ascii="宋体" w:hAnsi="宋体" w:cs="Times New Roman"/>
          <w:b/>
          <w:sz w:val="24"/>
          <w:szCs w:val="24"/>
        </w:rPr>
      </w:pPr>
      <w:bookmarkStart w:id="274" w:name="_Toc7288"/>
      <w:bookmarkStart w:id="275" w:name="_Toc17272"/>
      <w:bookmarkStart w:id="276" w:name="_Toc22702"/>
      <w:bookmarkStart w:id="277" w:name="_Toc11969"/>
      <w:bookmarkStart w:id="278" w:name="_Toc8133"/>
      <w:bookmarkStart w:id="279" w:name="_Toc15131"/>
      <w:bookmarkStart w:id="280" w:name="_Toc6145"/>
      <w:bookmarkStart w:id="281" w:name="_Toc22825"/>
      <w:bookmarkStart w:id="282" w:name="_Toc1978"/>
      <w:bookmarkStart w:id="283" w:name="_Toc1711"/>
      <w:bookmarkStart w:id="284" w:name="_Toc9472"/>
      <w:bookmarkStart w:id="285" w:name="_Toc19626"/>
      <w:bookmarkStart w:id="286" w:name="_Toc20692"/>
      <w:bookmarkStart w:id="287" w:name="_Toc28748"/>
      <w:bookmarkStart w:id="288" w:name="_Toc9026"/>
      <w:r>
        <w:rPr>
          <w:rFonts w:hint="eastAsia" w:ascii="仿宋_GB2312" w:hAnsi="Arial" w:eastAsia="仿宋_GB2312" w:cs="Times New Roman"/>
          <w:b/>
          <w:sz w:val="32"/>
          <w:szCs w:val="32"/>
        </w:rPr>
        <w:t>第三章 项目验收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6"/>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ascii="宋体" w:hAnsi="宋体" w:cs="Times New Roman"/>
          <w:b/>
          <w:sz w:val="36"/>
          <w:szCs w:val="36"/>
        </w:rPr>
      </w:pPr>
    </w:p>
    <w:p>
      <w:pPr>
        <w:rPr>
          <w:rFonts w:hint="eastAsia" w:ascii="宋体" w:hAnsi="宋体" w:cs="Times New Roman"/>
          <w:b/>
          <w:sz w:val="36"/>
          <w:szCs w:val="36"/>
        </w:rPr>
      </w:pPr>
    </w:p>
    <w:p>
      <w:pPr>
        <w:pStyle w:val="7"/>
        <w:rPr>
          <w:rFonts w:hint="eastAsia"/>
        </w:rPr>
      </w:pPr>
    </w:p>
    <w:p>
      <w:pPr>
        <w:rPr>
          <w:rFonts w:hint="eastAsia"/>
        </w:rPr>
      </w:pPr>
    </w:p>
    <w:p>
      <w:pPr>
        <w:pStyle w:val="28"/>
        <w:rPr>
          <w:rFonts w:hint="eastAsia"/>
        </w:rPr>
      </w:pPr>
    </w:p>
    <w:p>
      <w:pPr>
        <w:pStyle w:val="28"/>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89" w:name="_Toc20900"/>
      <w:bookmarkStart w:id="290" w:name="_Toc26804"/>
      <w:bookmarkStart w:id="291" w:name="_Toc6388"/>
      <w:bookmarkStart w:id="292" w:name="_Toc17075"/>
      <w:bookmarkStart w:id="293" w:name="_Toc14108"/>
      <w:bookmarkStart w:id="294" w:name="_Toc30069"/>
      <w:bookmarkStart w:id="295" w:name="_Toc7456"/>
      <w:bookmarkStart w:id="296" w:name="_Toc8272"/>
      <w:bookmarkStart w:id="297" w:name="_Toc16635"/>
      <w:bookmarkStart w:id="298" w:name="_Toc10287"/>
      <w:bookmarkStart w:id="299" w:name="_Toc8188"/>
      <w:bookmarkStart w:id="300" w:name="_Toc25343"/>
      <w:bookmarkStart w:id="301" w:name="_Toc14785"/>
      <w:bookmarkStart w:id="302" w:name="_Toc24890_WPSOffice_Level2"/>
      <w:bookmarkStart w:id="303" w:name="_Toc28586"/>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29"/>
        <w:ind w:firstLine="420"/>
      </w:pPr>
    </w:p>
    <w:p/>
    <w:p>
      <w:pPr>
        <w:pStyle w:val="29"/>
        <w:ind w:firstLine="420"/>
      </w:pPr>
    </w:p>
    <w:p/>
    <w:p>
      <w:pPr>
        <w:pStyle w:val="13"/>
      </w:pPr>
    </w:p>
    <w:p>
      <w:pPr>
        <w:pStyle w:val="13"/>
      </w:pPr>
    </w:p>
    <w:p>
      <w:pPr>
        <w:pStyle w:val="13"/>
      </w:pPr>
    </w:p>
    <w:p>
      <w:pPr>
        <w:pStyle w:val="13"/>
      </w:pPr>
    </w:p>
    <w:p>
      <w:pPr>
        <w:pStyle w:val="13"/>
      </w:pPr>
    </w:p>
    <w:p>
      <w:pPr>
        <w:pStyle w:val="13"/>
      </w:pPr>
    </w:p>
    <w:p>
      <w:pPr>
        <w:pStyle w:val="13"/>
      </w:pPr>
    </w:p>
    <w:p/>
    <w:p>
      <w:pPr>
        <w:pStyle w:val="28"/>
      </w:pPr>
    </w:p>
    <w:p>
      <w:pPr>
        <w:pStyle w:val="28"/>
      </w:pPr>
    </w:p>
    <w:p>
      <w:pPr>
        <w:pStyle w:val="7"/>
      </w:pPr>
    </w:p>
    <w:p/>
    <w:p>
      <w:pPr>
        <w:keepNext/>
        <w:keepLines/>
        <w:spacing w:line="380" w:lineRule="exact"/>
        <w:jc w:val="center"/>
        <w:outlineLvl w:val="1"/>
        <w:rPr>
          <w:rFonts w:ascii="仿宋" w:hAnsi="仿宋" w:eastAsia="仿宋" w:cs="仿宋"/>
          <w:b/>
          <w:bCs/>
          <w:sz w:val="32"/>
          <w:szCs w:val="32"/>
        </w:rPr>
      </w:pPr>
      <w:bookmarkStart w:id="304" w:name="_Toc9111"/>
      <w:r>
        <w:rPr>
          <w:rFonts w:hint="eastAsia" w:ascii="仿宋" w:hAnsi="仿宋" w:eastAsia="仿宋" w:cs="仿宋"/>
          <w:b/>
          <w:bCs/>
          <w:sz w:val="32"/>
          <w:szCs w:val="32"/>
        </w:rPr>
        <w:t>（一）投 标 函</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木垒哈萨克自治县人民医院</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2</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6"/>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木垒哈萨克自治县人民医院</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5" w:name="_Toc1255"/>
      <w:bookmarkStart w:id="306" w:name="_Toc17429"/>
      <w:bookmarkStart w:id="307" w:name="_Toc28959"/>
      <w:bookmarkStart w:id="308" w:name="_Toc28992"/>
      <w:bookmarkStart w:id="309" w:name="_Toc22678_WPSOffice_Level2"/>
      <w:bookmarkStart w:id="310" w:name="_Toc9032"/>
      <w:bookmarkStart w:id="311" w:name="_Toc8441"/>
      <w:bookmarkStart w:id="312" w:name="_Toc913"/>
      <w:bookmarkStart w:id="313" w:name="_Toc10673"/>
      <w:bookmarkStart w:id="314" w:name="_Toc3640"/>
      <w:bookmarkStart w:id="315" w:name="_Toc10792"/>
      <w:bookmarkStart w:id="316" w:name="_Toc17568"/>
      <w:bookmarkStart w:id="317" w:name="_Toc10815"/>
      <w:bookmarkStart w:id="318" w:name="_Toc6509"/>
      <w:bookmarkStart w:id="319" w:name="_Toc13542"/>
      <w:bookmarkStart w:id="320" w:name="_Toc16155"/>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6"/>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木垒哈萨克自治县人民医院</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2"/>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0"/>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29"/>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29"/>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keepNext/>
        <w:keepLines/>
        <w:spacing w:before="260" w:after="260"/>
        <w:jc w:val="center"/>
        <w:outlineLvl w:val="1"/>
        <w:rPr>
          <w:rFonts w:hint="eastAsia" w:ascii="仿宋" w:hAnsi="仿宋" w:eastAsia="仿宋" w:cs="仿宋"/>
          <w:b/>
          <w:bCs/>
          <w:sz w:val="32"/>
          <w:szCs w:val="32"/>
        </w:rPr>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eastAsia="zh-CN"/>
        </w:rPr>
        <w:t>XJTQ2021ZB78-CG001</w:t>
      </w:r>
      <w:r>
        <w:rPr>
          <w:rFonts w:hint="eastAsia" w:ascii="仿宋" w:hAnsi="仿宋" w:eastAsia="仿宋" w:cs="仿宋"/>
          <w:sz w:val="24"/>
          <w:szCs w:val="24"/>
          <w:u w:val="single"/>
        </w:rPr>
        <w:t>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1"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1"/>
    </w:p>
    <w:tbl>
      <w:tblPr>
        <w:tblStyle w:val="22"/>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spacing w:line="380" w:lineRule="exact"/>
              <w:jc w:val="center"/>
              <w:outlineLvl w:val="0"/>
              <w:rPr>
                <w:rFonts w:ascii="仿宋" w:hAnsi="仿宋" w:eastAsia="仿宋" w:cs="Times New Roman"/>
                <w:b/>
                <w:bCs/>
                <w:sz w:val="28"/>
                <w:szCs w:val="28"/>
              </w:rPr>
            </w:pPr>
            <w:bookmarkStart w:id="322" w:name="_Toc12022"/>
            <w:r>
              <w:rPr>
                <w:rFonts w:hint="eastAsia" w:ascii="仿宋" w:hAnsi="仿宋" w:eastAsia="仿宋" w:cs="Times New Roman"/>
                <w:b/>
                <w:bCs/>
                <w:sz w:val="28"/>
                <w:szCs w:val="28"/>
              </w:rPr>
              <w:t>正面</w:t>
            </w:r>
            <w:bookmarkEnd w:id="322"/>
            <w:r>
              <w:rPr>
                <w:rFonts w:hint="eastAsia" w:ascii="仿宋" w:hAnsi="仿宋" w:eastAsia="仿宋" w:cs="Times New Roman"/>
                <w:b/>
                <w:bCs/>
                <w:sz w:val="28"/>
                <w:szCs w:val="28"/>
              </w:rPr>
              <w:t xml:space="preserve"> </w:t>
            </w:r>
          </w:p>
        </w:tc>
        <w:tc>
          <w:tcPr>
            <w:tcW w:w="4293" w:type="dxa"/>
            <w:vAlign w:val="center"/>
          </w:tcPr>
          <w:p>
            <w:pPr>
              <w:spacing w:line="380" w:lineRule="exact"/>
              <w:jc w:val="center"/>
              <w:outlineLvl w:val="0"/>
              <w:rPr>
                <w:rFonts w:ascii="仿宋" w:hAnsi="仿宋" w:eastAsia="仿宋" w:cs="Times New Roman"/>
                <w:b/>
                <w:bCs/>
                <w:sz w:val="28"/>
                <w:szCs w:val="28"/>
              </w:rPr>
            </w:pPr>
            <w:bookmarkStart w:id="323" w:name="_Toc9509"/>
            <w:r>
              <w:rPr>
                <w:rFonts w:hint="eastAsia" w:ascii="仿宋" w:hAnsi="仿宋" w:eastAsia="仿宋" w:cs="Times New Roman"/>
                <w:b/>
                <w:bCs/>
                <w:sz w:val="28"/>
                <w:szCs w:val="28"/>
              </w:rPr>
              <w:t>背面</w:t>
            </w:r>
            <w:bookmarkEnd w:id="323"/>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4" w:name="_Toc19940"/>
      <w:r>
        <w:rPr>
          <w:rFonts w:hint="eastAsia" w:ascii="宋体" w:hAnsi="宋体" w:cs="宋体"/>
          <w:b/>
          <w:bCs/>
          <w:sz w:val="28"/>
          <w:szCs w:val="28"/>
        </w:rPr>
        <w:t>被授权人身份证复印件</w:t>
      </w:r>
      <w:bookmarkEnd w:id="324"/>
    </w:p>
    <w:tbl>
      <w:tblPr>
        <w:tblStyle w:val="22"/>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spacing w:line="380" w:lineRule="exact"/>
              <w:jc w:val="center"/>
              <w:outlineLvl w:val="0"/>
              <w:rPr>
                <w:rFonts w:ascii="仿宋" w:hAnsi="仿宋" w:eastAsia="仿宋" w:cs="Times New Roman"/>
                <w:b/>
                <w:bCs/>
                <w:sz w:val="28"/>
                <w:szCs w:val="28"/>
              </w:rPr>
            </w:pPr>
            <w:bookmarkStart w:id="325" w:name="_Toc19052"/>
            <w:bookmarkStart w:id="326" w:name="_Toc23835"/>
            <w:bookmarkStart w:id="327" w:name="_Toc29612"/>
            <w:bookmarkStart w:id="328" w:name="_Toc31120"/>
            <w:bookmarkStart w:id="329" w:name="_Toc5285"/>
            <w:bookmarkStart w:id="330" w:name="_Toc21239"/>
            <w:bookmarkStart w:id="331" w:name="_Toc2380"/>
            <w:bookmarkStart w:id="332" w:name="_Toc14188"/>
            <w:bookmarkStart w:id="333" w:name="_Toc12866"/>
            <w:bookmarkStart w:id="334" w:name="_Toc27144"/>
            <w:bookmarkStart w:id="335" w:name="_Toc13738_WPSOffice_Level2"/>
            <w:bookmarkStart w:id="336" w:name="_Toc31819"/>
            <w:bookmarkStart w:id="337" w:name="_Toc17248"/>
            <w:bookmarkStart w:id="338" w:name="_Toc18894"/>
            <w:bookmarkStart w:id="339" w:name="_Toc27024"/>
            <w:bookmarkStart w:id="340" w:name="_Toc9107"/>
            <w:r>
              <w:rPr>
                <w:rFonts w:hint="eastAsia" w:ascii="仿宋" w:hAnsi="仿宋" w:eastAsia="仿宋" w:cs="Times New Roman"/>
                <w:b/>
                <w:bCs/>
                <w:sz w:val="28"/>
                <w:szCs w:val="28"/>
              </w:rPr>
              <w:t>正面</w:t>
            </w:r>
            <w:bookmarkEnd w:id="325"/>
            <w:r>
              <w:rPr>
                <w:rFonts w:hint="eastAsia" w:ascii="仿宋" w:hAnsi="仿宋" w:eastAsia="仿宋" w:cs="Times New Roman"/>
                <w:b/>
                <w:bCs/>
                <w:sz w:val="28"/>
                <w:szCs w:val="28"/>
              </w:rPr>
              <w:t xml:space="preserve"> </w:t>
            </w:r>
          </w:p>
        </w:tc>
        <w:tc>
          <w:tcPr>
            <w:tcW w:w="4292" w:type="dxa"/>
            <w:vAlign w:val="center"/>
          </w:tcPr>
          <w:p>
            <w:pPr>
              <w:spacing w:line="380" w:lineRule="exact"/>
              <w:jc w:val="center"/>
              <w:outlineLvl w:val="0"/>
              <w:rPr>
                <w:rFonts w:ascii="仿宋" w:hAnsi="仿宋" w:eastAsia="仿宋" w:cs="Times New Roman"/>
                <w:b/>
                <w:bCs/>
                <w:sz w:val="28"/>
                <w:szCs w:val="28"/>
              </w:rPr>
            </w:pPr>
            <w:bookmarkStart w:id="341" w:name="_Toc26231"/>
            <w:r>
              <w:rPr>
                <w:rFonts w:hint="eastAsia" w:ascii="仿宋" w:hAnsi="仿宋" w:eastAsia="仿宋" w:cs="Times New Roman"/>
                <w:b/>
                <w:bCs/>
                <w:sz w:val="28"/>
                <w:szCs w:val="28"/>
              </w:rPr>
              <w:t>背面</w:t>
            </w:r>
            <w:bookmarkEnd w:id="341"/>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6"/>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3"/>
        <w:rPr>
          <w:rFonts w:hint="eastAsia" w:ascii="仿宋" w:hAnsi="仿宋" w:eastAsia="仿宋"/>
          <w:b/>
          <w:sz w:val="32"/>
          <w:szCs w:val="32"/>
        </w:rPr>
      </w:pPr>
    </w:p>
    <w:p>
      <w:pPr>
        <w:jc w:val="both"/>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2"/>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ind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ind w:firstLine="482"/>
              <w:rPr>
                <w:rFonts w:ascii="仿宋" w:hAnsi="仿宋" w:eastAsia="仿宋" w:cs="仿宋"/>
                <w:sz w:val="24"/>
                <w:szCs w:val="24"/>
              </w:rPr>
            </w:pPr>
          </w:p>
        </w:tc>
        <w:tc>
          <w:tcPr>
            <w:tcW w:w="1581" w:type="dxa"/>
            <w:vAlign w:val="center"/>
          </w:tcPr>
          <w:p>
            <w:pPr>
              <w:ind w:firstLine="482"/>
              <w:rPr>
                <w:rFonts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ind w:firstLine="482"/>
              <w:rPr>
                <w:rFonts w:hint="eastAsia" w:ascii="仿宋" w:hAnsi="仿宋" w:eastAsia="仿宋" w:cs="仿宋"/>
                <w:sz w:val="24"/>
                <w:szCs w:val="24"/>
              </w:rPr>
            </w:pPr>
          </w:p>
        </w:tc>
        <w:tc>
          <w:tcPr>
            <w:tcW w:w="1491" w:type="dxa"/>
            <w:gridSpan w:val="2"/>
            <w:vAlign w:val="center"/>
          </w:tcPr>
          <w:p>
            <w:pPr>
              <w:ind w:firstLine="482"/>
              <w:rPr>
                <w:rFonts w:hint="eastAsia" w:ascii="仿宋" w:hAnsi="仿宋" w:eastAsia="仿宋" w:cs="仿宋"/>
                <w:sz w:val="24"/>
                <w:szCs w:val="24"/>
              </w:rPr>
            </w:pPr>
          </w:p>
        </w:tc>
        <w:tc>
          <w:tcPr>
            <w:tcW w:w="1100" w:type="dxa"/>
            <w:gridSpan w:val="2"/>
            <w:vAlign w:val="center"/>
          </w:tcPr>
          <w:p>
            <w:pPr>
              <w:ind w:firstLine="482"/>
              <w:rPr>
                <w:rFonts w:hint="eastAsia" w:ascii="仿宋" w:hAnsi="仿宋" w:eastAsia="仿宋" w:cs="仿宋"/>
                <w:sz w:val="24"/>
                <w:szCs w:val="24"/>
              </w:rPr>
            </w:pPr>
          </w:p>
        </w:tc>
        <w:tc>
          <w:tcPr>
            <w:tcW w:w="1685" w:type="dxa"/>
            <w:gridSpan w:val="2"/>
            <w:vAlign w:val="center"/>
          </w:tcPr>
          <w:p>
            <w:pPr>
              <w:ind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29"/>
              <w:ind w:firstLine="420"/>
            </w:pPr>
          </w:p>
        </w:tc>
        <w:tc>
          <w:tcPr>
            <w:tcW w:w="1432" w:type="dxa"/>
            <w:gridSpan w:val="2"/>
          </w:tcPr>
          <w:p>
            <w:pPr>
              <w:pStyle w:val="29"/>
              <w:ind w:firstLine="420"/>
            </w:pPr>
          </w:p>
        </w:tc>
        <w:tc>
          <w:tcPr>
            <w:tcW w:w="1496" w:type="dxa"/>
            <w:gridSpan w:val="3"/>
          </w:tcPr>
          <w:p>
            <w:pPr>
              <w:pStyle w:val="29"/>
              <w:ind w:firstLine="420"/>
            </w:pPr>
          </w:p>
        </w:tc>
        <w:tc>
          <w:tcPr>
            <w:tcW w:w="1100" w:type="dxa"/>
            <w:gridSpan w:val="2"/>
          </w:tcPr>
          <w:p>
            <w:pPr>
              <w:pStyle w:val="29"/>
              <w:ind w:firstLine="420"/>
            </w:pPr>
          </w:p>
        </w:tc>
        <w:tc>
          <w:tcPr>
            <w:tcW w:w="1680" w:type="dxa"/>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rPr>
                <w:rFonts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ind w:firstLine="482"/>
              <w:rPr>
                <w:rFonts w:ascii="仿宋" w:hAnsi="仿宋" w:eastAsia="仿宋" w:cs="仿宋"/>
                <w:sz w:val="24"/>
                <w:szCs w:val="24"/>
              </w:rPr>
            </w:pPr>
            <w:r>
              <w:rPr>
                <w:rFonts w:hint="eastAsia" w:ascii="仿宋" w:hAnsi="仿宋" w:eastAsia="仿宋" w:cs="仿宋"/>
                <w:sz w:val="24"/>
                <w:szCs w:val="24"/>
              </w:rPr>
              <w:t xml:space="preserve">大写：           </w:t>
            </w:r>
          </w:p>
          <w:p>
            <w:pPr>
              <w:pStyle w:val="29"/>
              <w:ind w:firstLine="420"/>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29"/>
              <w:ind w:firstLine="420"/>
            </w:pPr>
          </w:p>
        </w:tc>
        <w:tc>
          <w:tcPr>
            <w:tcW w:w="1636" w:type="dxa"/>
            <w:gridSpan w:val="2"/>
          </w:tcPr>
          <w:p>
            <w:pPr>
              <w:pStyle w:val="29"/>
              <w:ind w:left="0" w:leftChars="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29"/>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29"/>
              <w:ind w:left="0" w:leftChars="0" w:firstLine="0" w:firstLineChars="0"/>
              <w:rPr>
                <w:rFonts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29"/>
              <w:ind w:firstLine="420"/>
            </w:pPr>
          </w:p>
        </w:tc>
        <w:tc>
          <w:tcPr>
            <w:tcW w:w="1636" w:type="dxa"/>
            <w:gridSpan w:val="2"/>
          </w:tcPr>
          <w:p>
            <w:pPr>
              <w:pStyle w:val="29"/>
              <w:ind w:left="0" w:leftChars="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29"/>
              <w:ind w:firstLine="420"/>
            </w:pPr>
          </w:p>
        </w:tc>
      </w:tr>
    </w:tbl>
    <w:p>
      <w:pPr>
        <w:pStyle w:val="29"/>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13"/>
        <w:rPr>
          <w:rFonts w:hint="eastAsia" w:ascii="仿宋" w:hAnsi="仿宋" w:eastAsia="仿宋"/>
          <w:bCs w:val="0"/>
        </w:rPr>
      </w:pPr>
    </w:p>
    <w:p>
      <w:pPr>
        <w:pStyle w:val="13"/>
        <w:rPr>
          <w:rFonts w:hint="eastAsia" w:ascii="仿宋" w:hAnsi="仿宋" w:eastAsia="仿宋"/>
          <w:bCs w:val="0"/>
        </w:rPr>
      </w:pPr>
    </w:p>
    <w:p>
      <w:pPr>
        <w:rPr>
          <w:rFonts w:hint="eastAsia"/>
        </w:rPr>
      </w:pPr>
    </w:p>
    <w:p>
      <w:pPr>
        <w:pStyle w:val="2"/>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Times New Roman"/>
          <w:b/>
          <w:bCs/>
          <w:kern w:val="0"/>
          <w:sz w:val="24"/>
          <w:szCs w:val="24"/>
          <w:lang w:eastAsia="zh-CN"/>
        </w:rPr>
        <w:t>XJTQ2021ZB78-CG001</w:t>
      </w:r>
      <w:r>
        <w:rPr>
          <w:rFonts w:hint="eastAsia" w:ascii="仿宋" w:hAnsi="仿宋" w:eastAsia="仿宋" w:cs="Times New Roman"/>
          <w:b/>
          <w:bCs/>
          <w:kern w:val="0"/>
          <w:sz w:val="24"/>
          <w:szCs w:val="24"/>
        </w:rPr>
        <w:t> </w:t>
      </w:r>
      <w:r>
        <w:rPr>
          <w:rFonts w:hint="eastAsia" w:ascii="仿宋" w:hAnsi="仿宋" w:eastAsia="仿宋" w:cs="仿宋"/>
          <w:color w:val="000000"/>
          <w:kern w:val="0"/>
          <w:sz w:val="24"/>
          <w:szCs w:val="24"/>
        </w:rPr>
        <w:t xml:space="preserve"> </w:t>
      </w:r>
      <w:bookmarkStart w:id="342" w:name="_Toc15264"/>
    </w:p>
    <w:tbl>
      <w:tblPr>
        <w:tblStyle w:val="2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0"/>
              <w:spacing w:line="240" w:lineRule="atLeast"/>
              <w:rPr>
                <w:rFonts w:ascii="仿宋_GB2312" w:eastAsia="仿宋_GB2312"/>
                <w:sz w:val="24"/>
              </w:rPr>
            </w:pPr>
            <w:r>
              <w:rPr>
                <w:rFonts w:hint="eastAsia" w:ascii="仿宋_GB2312" w:eastAsia="仿宋_GB2312"/>
                <w:sz w:val="24"/>
              </w:rPr>
              <w:t>序号</w:t>
            </w:r>
          </w:p>
        </w:tc>
        <w:tc>
          <w:tcPr>
            <w:tcW w:w="1270" w:type="dxa"/>
            <w:vAlign w:val="center"/>
          </w:tcPr>
          <w:p>
            <w:pPr>
              <w:pStyle w:val="10"/>
              <w:spacing w:line="240" w:lineRule="atLeast"/>
              <w:jc w:val="center"/>
              <w:rPr>
                <w:rFonts w:ascii="仿宋_GB2312" w:eastAsia="仿宋_GB2312"/>
                <w:sz w:val="24"/>
              </w:rPr>
            </w:pPr>
            <w:r>
              <w:rPr>
                <w:rFonts w:hint="eastAsia" w:ascii="仿宋_GB2312" w:eastAsia="仿宋_GB2312"/>
                <w:sz w:val="24"/>
              </w:rPr>
              <w:t>（设备、材料、系统及其他）</w:t>
            </w:r>
          </w:p>
        </w:tc>
        <w:tc>
          <w:tcPr>
            <w:tcW w:w="854" w:type="dxa"/>
            <w:vAlign w:val="center"/>
          </w:tcPr>
          <w:p>
            <w:pPr>
              <w:pStyle w:val="10"/>
              <w:spacing w:line="240" w:lineRule="atLeast"/>
              <w:jc w:val="center"/>
              <w:rPr>
                <w:rFonts w:ascii="仿宋_GB2312" w:eastAsia="仿宋_GB2312"/>
                <w:sz w:val="24"/>
              </w:rPr>
            </w:pPr>
            <w:r>
              <w:rPr>
                <w:rFonts w:hint="eastAsia" w:ascii="仿宋_GB2312" w:eastAsia="仿宋_GB2312"/>
                <w:sz w:val="24"/>
              </w:rPr>
              <w:t>品牌</w:t>
            </w:r>
          </w:p>
        </w:tc>
        <w:tc>
          <w:tcPr>
            <w:tcW w:w="1084" w:type="dxa"/>
            <w:vAlign w:val="center"/>
          </w:tcPr>
          <w:p>
            <w:pPr>
              <w:pStyle w:val="10"/>
              <w:spacing w:line="240" w:lineRule="atLeast"/>
              <w:jc w:val="center"/>
              <w:rPr>
                <w:rFonts w:ascii="仿宋_GB2312" w:eastAsia="仿宋_GB2312"/>
                <w:sz w:val="24"/>
              </w:rPr>
            </w:pPr>
            <w:r>
              <w:rPr>
                <w:rFonts w:hint="eastAsia" w:ascii="仿宋_GB2312" w:eastAsia="仿宋_GB2312"/>
                <w:sz w:val="24"/>
              </w:rPr>
              <w:t>规格型号及技术参数</w:t>
            </w:r>
          </w:p>
        </w:tc>
        <w:tc>
          <w:tcPr>
            <w:tcW w:w="796" w:type="dxa"/>
            <w:vAlign w:val="center"/>
          </w:tcPr>
          <w:p>
            <w:pPr>
              <w:pStyle w:val="10"/>
              <w:spacing w:line="240" w:lineRule="atLeast"/>
              <w:jc w:val="center"/>
              <w:rPr>
                <w:rFonts w:ascii="仿宋_GB2312" w:eastAsia="仿宋_GB2312"/>
                <w:sz w:val="24"/>
              </w:rPr>
            </w:pPr>
            <w:r>
              <w:rPr>
                <w:rFonts w:hint="eastAsia" w:ascii="仿宋_GB2312" w:eastAsia="仿宋_GB2312"/>
                <w:sz w:val="24"/>
              </w:rPr>
              <w:t>数量</w:t>
            </w:r>
          </w:p>
        </w:tc>
        <w:tc>
          <w:tcPr>
            <w:tcW w:w="1026" w:type="dxa"/>
            <w:vAlign w:val="center"/>
          </w:tcPr>
          <w:p>
            <w:pPr>
              <w:pStyle w:val="10"/>
              <w:spacing w:line="240" w:lineRule="atLeast"/>
              <w:jc w:val="center"/>
              <w:rPr>
                <w:rFonts w:ascii="仿宋_GB2312" w:eastAsia="仿宋_GB2312"/>
                <w:sz w:val="24"/>
              </w:rPr>
            </w:pPr>
            <w:r>
              <w:rPr>
                <w:rFonts w:hint="eastAsia" w:ascii="仿宋_GB2312" w:eastAsia="仿宋_GB2312"/>
                <w:sz w:val="24"/>
              </w:rPr>
              <w:t>原产地</w:t>
            </w:r>
          </w:p>
        </w:tc>
        <w:tc>
          <w:tcPr>
            <w:tcW w:w="1063" w:type="dxa"/>
            <w:vAlign w:val="center"/>
          </w:tcPr>
          <w:p>
            <w:pPr>
              <w:pStyle w:val="10"/>
              <w:spacing w:line="240" w:lineRule="atLeast"/>
              <w:jc w:val="center"/>
              <w:rPr>
                <w:rFonts w:ascii="仿宋_GB2312" w:eastAsia="仿宋_GB2312"/>
                <w:sz w:val="24"/>
              </w:rPr>
            </w:pPr>
            <w:r>
              <w:rPr>
                <w:rFonts w:hint="eastAsia" w:ascii="仿宋_GB2312" w:eastAsia="仿宋_GB2312"/>
                <w:sz w:val="24"/>
              </w:rPr>
              <w:t>制造商名称</w:t>
            </w:r>
          </w:p>
        </w:tc>
        <w:tc>
          <w:tcPr>
            <w:tcW w:w="715" w:type="dxa"/>
            <w:vAlign w:val="center"/>
          </w:tcPr>
          <w:p>
            <w:pPr>
              <w:pStyle w:val="10"/>
              <w:spacing w:line="240" w:lineRule="atLeast"/>
              <w:jc w:val="center"/>
              <w:rPr>
                <w:rFonts w:ascii="仿宋_GB2312" w:eastAsia="仿宋_GB2312"/>
                <w:sz w:val="24"/>
              </w:rPr>
            </w:pPr>
            <w:r>
              <w:rPr>
                <w:rFonts w:hint="eastAsia" w:ascii="仿宋_GB2312" w:eastAsia="仿宋_GB2312"/>
                <w:sz w:val="24"/>
              </w:rPr>
              <w:t>单价</w:t>
            </w:r>
          </w:p>
        </w:tc>
        <w:tc>
          <w:tcPr>
            <w:tcW w:w="986" w:type="dxa"/>
            <w:vAlign w:val="center"/>
          </w:tcPr>
          <w:p>
            <w:pPr>
              <w:pStyle w:val="10"/>
              <w:spacing w:line="240" w:lineRule="atLeast"/>
              <w:jc w:val="center"/>
              <w:rPr>
                <w:rFonts w:ascii="仿宋_GB2312" w:eastAsia="仿宋_GB2312"/>
                <w:sz w:val="24"/>
              </w:rPr>
            </w:pPr>
            <w:r>
              <w:rPr>
                <w:rFonts w:hint="eastAsia" w:ascii="仿宋_GB2312" w:eastAsia="仿宋_GB2312"/>
                <w:sz w:val="24"/>
              </w:rPr>
              <w:t>总价</w:t>
            </w:r>
          </w:p>
        </w:tc>
        <w:tc>
          <w:tcPr>
            <w:tcW w:w="821" w:type="dxa"/>
            <w:vAlign w:val="center"/>
          </w:tcPr>
          <w:p>
            <w:pPr>
              <w:pStyle w:val="10"/>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240" w:lineRule="atLeast"/>
              <w:jc w:val="center"/>
              <w:rPr>
                <w:rFonts w:ascii="仿宋_GB2312" w:eastAsia="仿宋_GB2312"/>
                <w:sz w:val="24"/>
              </w:rPr>
            </w:pPr>
          </w:p>
        </w:tc>
        <w:tc>
          <w:tcPr>
            <w:tcW w:w="854"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240" w:lineRule="atLeast"/>
              <w:jc w:val="center"/>
              <w:rPr>
                <w:rFonts w:ascii="仿宋_GB2312" w:eastAsia="仿宋_GB2312"/>
                <w:sz w:val="24"/>
              </w:rPr>
            </w:pPr>
          </w:p>
        </w:tc>
        <w:tc>
          <w:tcPr>
            <w:tcW w:w="854"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240" w:lineRule="atLeast"/>
              <w:jc w:val="center"/>
              <w:rPr>
                <w:rFonts w:ascii="仿宋_GB2312" w:eastAsia="仿宋_GB2312"/>
                <w:sz w:val="24"/>
              </w:rPr>
            </w:pPr>
          </w:p>
        </w:tc>
        <w:tc>
          <w:tcPr>
            <w:tcW w:w="854"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240" w:lineRule="atLeast"/>
              <w:jc w:val="center"/>
              <w:rPr>
                <w:rFonts w:ascii="仿宋_GB2312" w:eastAsia="仿宋_GB2312"/>
                <w:sz w:val="24"/>
              </w:rPr>
            </w:pPr>
            <w:r>
              <w:rPr>
                <w:rFonts w:hint="eastAsia" w:ascii="黑体" w:hAnsi="黑体" w:eastAsia="黑体"/>
              </w:rPr>
              <w:t>…</w:t>
            </w:r>
          </w:p>
        </w:tc>
        <w:tc>
          <w:tcPr>
            <w:tcW w:w="854"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0"/>
              <w:spacing w:line="240" w:lineRule="atLeast"/>
              <w:ind w:left="1080" w:leftChars="257"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240" w:lineRule="atLeast"/>
              <w:jc w:val="center"/>
              <w:rPr>
                <w:rFonts w:ascii="仿宋_GB2312" w:eastAsia="仿宋_GB2312"/>
                <w:sz w:val="24"/>
              </w:rPr>
            </w:pPr>
          </w:p>
        </w:tc>
        <w:tc>
          <w:tcPr>
            <w:tcW w:w="854" w:type="dxa"/>
            <w:vAlign w:val="center"/>
          </w:tcPr>
          <w:p>
            <w:pPr>
              <w:pStyle w:val="10"/>
              <w:spacing w:line="240" w:lineRule="atLeast"/>
              <w:ind w:left="1080" w:leftChars="257" w:hanging="540"/>
              <w:jc w:val="center"/>
              <w:rPr>
                <w:rFonts w:ascii="仿宋_GB2312" w:eastAsia="仿宋_GB2312"/>
                <w:sz w:val="24"/>
              </w:rPr>
            </w:pPr>
          </w:p>
        </w:tc>
        <w:tc>
          <w:tcPr>
            <w:tcW w:w="1084" w:type="dxa"/>
            <w:vAlign w:val="center"/>
          </w:tcPr>
          <w:p>
            <w:pPr>
              <w:pStyle w:val="10"/>
              <w:spacing w:line="240" w:lineRule="atLeast"/>
              <w:ind w:left="1080" w:leftChars="257" w:hanging="540"/>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0"/>
              <w:spacing w:line="240" w:lineRule="atLeast"/>
              <w:rPr>
                <w:rFonts w:ascii="仿宋_GB2312" w:eastAsia="仿宋_GB2312"/>
                <w:sz w:val="24"/>
              </w:rPr>
            </w:pPr>
          </w:p>
        </w:tc>
        <w:tc>
          <w:tcPr>
            <w:tcW w:w="1270" w:type="dxa"/>
            <w:vAlign w:val="center"/>
          </w:tcPr>
          <w:p>
            <w:pPr>
              <w:pStyle w:val="10"/>
              <w:spacing w:line="360" w:lineRule="auto"/>
              <w:jc w:val="center"/>
              <w:rPr>
                <w:rFonts w:ascii="仿宋_GB2312" w:eastAsia="仿宋_GB2312"/>
                <w:sz w:val="24"/>
              </w:rPr>
            </w:pPr>
          </w:p>
        </w:tc>
        <w:tc>
          <w:tcPr>
            <w:tcW w:w="854" w:type="dxa"/>
            <w:vAlign w:val="center"/>
          </w:tcPr>
          <w:p>
            <w:pPr>
              <w:pStyle w:val="10"/>
              <w:spacing w:line="360" w:lineRule="auto"/>
              <w:jc w:val="center"/>
              <w:rPr>
                <w:rFonts w:ascii="仿宋_GB2312" w:eastAsia="仿宋_GB2312"/>
                <w:sz w:val="24"/>
              </w:rPr>
            </w:pPr>
          </w:p>
        </w:tc>
        <w:tc>
          <w:tcPr>
            <w:tcW w:w="1084" w:type="dxa"/>
            <w:vAlign w:val="center"/>
          </w:tcPr>
          <w:p>
            <w:pPr>
              <w:pStyle w:val="10"/>
              <w:spacing w:line="360" w:lineRule="auto"/>
              <w:jc w:val="center"/>
              <w:rPr>
                <w:rFonts w:ascii="仿宋_GB2312" w:eastAsia="仿宋_GB2312"/>
                <w:sz w:val="24"/>
              </w:rPr>
            </w:pPr>
          </w:p>
        </w:tc>
        <w:tc>
          <w:tcPr>
            <w:tcW w:w="796" w:type="dxa"/>
            <w:vAlign w:val="center"/>
          </w:tcPr>
          <w:p>
            <w:pPr>
              <w:pStyle w:val="10"/>
              <w:spacing w:line="240" w:lineRule="atLeast"/>
              <w:ind w:left="1080" w:leftChars="257" w:hanging="540"/>
              <w:jc w:val="center"/>
              <w:rPr>
                <w:rFonts w:ascii="仿宋_GB2312" w:eastAsia="仿宋_GB2312"/>
                <w:sz w:val="24"/>
              </w:rPr>
            </w:pPr>
          </w:p>
        </w:tc>
        <w:tc>
          <w:tcPr>
            <w:tcW w:w="1026" w:type="dxa"/>
            <w:vAlign w:val="center"/>
          </w:tcPr>
          <w:p>
            <w:pPr>
              <w:pStyle w:val="10"/>
              <w:spacing w:line="240" w:lineRule="atLeast"/>
              <w:ind w:left="1080" w:leftChars="257" w:hanging="540"/>
              <w:jc w:val="center"/>
              <w:rPr>
                <w:rFonts w:ascii="仿宋_GB2312" w:eastAsia="仿宋_GB2312"/>
                <w:sz w:val="24"/>
              </w:rPr>
            </w:pPr>
          </w:p>
        </w:tc>
        <w:tc>
          <w:tcPr>
            <w:tcW w:w="1063" w:type="dxa"/>
            <w:vAlign w:val="center"/>
          </w:tcPr>
          <w:p>
            <w:pPr>
              <w:pStyle w:val="10"/>
              <w:spacing w:line="240" w:lineRule="atLeast"/>
              <w:ind w:left="1080" w:leftChars="257" w:hanging="540"/>
              <w:jc w:val="center"/>
              <w:rPr>
                <w:rFonts w:ascii="仿宋_GB2312" w:eastAsia="仿宋_GB2312"/>
                <w:sz w:val="24"/>
              </w:rPr>
            </w:pPr>
          </w:p>
        </w:tc>
        <w:tc>
          <w:tcPr>
            <w:tcW w:w="715" w:type="dxa"/>
            <w:vAlign w:val="center"/>
          </w:tcPr>
          <w:p>
            <w:pPr>
              <w:pStyle w:val="10"/>
              <w:spacing w:line="240" w:lineRule="atLeast"/>
              <w:ind w:left="1080" w:leftChars="257" w:hanging="540"/>
              <w:jc w:val="center"/>
              <w:rPr>
                <w:rFonts w:ascii="仿宋_GB2312" w:eastAsia="仿宋_GB2312"/>
                <w:sz w:val="24"/>
              </w:rPr>
            </w:pPr>
          </w:p>
        </w:tc>
        <w:tc>
          <w:tcPr>
            <w:tcW w:w="986" w:type="dxa"/>
            <w:vAlign w:val="center"/>
          </w:tcPr>
          <w:p>
            <w:pPr>
              <w:pStyle w:val="10"/>
              <w:spacing w:line="240" w:lineRule="atLeast"/>
              <w:ind w:left="1080" w:leftChars="257" w:hanging="540"/>
              <w:jc w:val="center"/>
              <w:rPr>
                <w:rFonts w:ascii="仿宋_GB2312" w:eastAsia="仿宋_GB2312"/>
                <w:sz w:val="24"/>
              </w:rPr>
            </w:pPr>
          </w:p>
        </w:tc>
        <w:tc>
          <w:tcPr>
            <w:tcW w:w="821"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 xml:space="preserve">合计总报价（大写）： </w:t>
            </w: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0"/>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10"/>
        <w:spacing w:line="360" w:lineRule="auto"/>
        <w:rPr>
          <w:rFonts w:ascii="仿宋_GB2312" w:eastAsia="仿宋_GB2312"/>
          <w:sz w:val="24"/>
        </w:rPr>
      </w:pPr>
    </w:p>
    <w:p>
      <w:pPr>
        <w:pStyle w:val="2"/>
        <w:numPr>
          <w:ilvl w:val="0"/>
          <w:numId w:val="7"/>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3" w:name="_Toc14674_WPSOffice_Level1"/>
    </w:p>
    <w:p>
      <w:pPr>
        <w:pStyle w:val="2"/>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3"/>
    </w:p>
    <w:p>
      <w:pPr>
        <w:pStyle w:val="29"/>
        <w:ind w:firstLine="840" w:firstLineChars="400"/>
        <w:rPr>
          <w:rFonts w:hint="eastAsia"/>
          <w:lang w:eastAsia="zh-CN"/>
        </w:rPr>
      </w:pPr>
      <w:r>
        <w:rPr>
          <w:rFonts w:hint="eastAsia"/>
        </w:rPr>
        <w:t>项目名称：                                                    项目编号：</w:t>
      </w:r>
      <w:r>
        <w:rPr>
          <w:rFonts w:hint="eastAsia"/>
          <w:lang w:eastAsia="zh-CN"/>
        </w:rPr>
        <w:t>XJTQ2021ZB78-CG001</w:t>
      </w:r>
    </w:p>
    <w:p/>
    <w:tbl>
      <w:tblPr>
        <w:tblStyle w:val="22"/>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ind w:firstLine="0"/>
              <w:rPr>
                <w:rFonts w:ascii="仿宋_GB2312" w:hAnsi="Courier New" w:eastAsia="仿宋_GB2312"/>
                <w:kern w:val="2"/>
              </w:rPr>
            </w:pPr>
            <w:r>
              <w:rPr>
                <w:rFonts w:hint="eastAsia" w:ascii="仿宋_GB2312" w:hAnsi="Courier New" w:eastAsia="仿宋_GB2312"/>
                <w:kern w:val="2"/>
              </w:rPr>
              <w:t>序号</w:t>
            </w:r>
          </w:p>
        </w:tc>
        <w:tc>
          <w:tcPr>
            <w:tcW w:w="1526" w:type="dxa"/>
          </w:tcPr>
          <w:p>
            <w:pPr>
              <w:pStyle w:val="6"/>
              <w:ind w:firstLine="0"/>
              <w:rPr>
                <w:rFonts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6"/>
              <w:ind w:firstLine="0"/>
              <w:rPr>
                <w:rFonts w:ascii="仿宋_GB2312" w:hAnsi="Courier New" w:eastAsia="仿宋_GB2312"/>
                <w:kern w:val="2"/>
              </w:rPr>
            </w:pPr>
            <w:r>
              <w:rPr>
                <w:rFonts w:hint="eastAsia" w:ascii="仿宋_GB2312" w:hAnsi="Courier New" w:eastAsia="仿宋_GB2312"/>
                <w:kern w:val="2"/>
              </w:rPr>
              <w:t>规格型号</w:t>
            </w:r>
          </w:p>
        </w:tc>
        <w:tc>
          <w:tcPr>
            <w:tcW w:w="1526" w:type="dxa"/>
          </w:tcPr>
          <w:p>
            <w:pPr>
              <w:pStyle w:val="6"/>
              <w:rPr>
                <w:rFonts w:ascii="仿宋_GB2312" w:hAnsi="Courier New" w:eastAsia="仿宋_GB2312"/>
                <w:kern w:val="2"/>
              </w:rPr>
            </w:pPr>
            <w:r>
              <w:rPr>
                <w:rFonts w:hint="eastAsia" w:ascii="仿宋_GB2312" w:hAnsi="Courier New" w:eastAsia="仿宋_GB2312"/>
                <w:kern w:val="2"/>
              </w:rPr>
              <w:t>制造商</w:t>
            </w:r>
          </w:p>
        </w:tc>
        <w:tc>
          <w:tcPr>
            <w:tcW w:w="1526" w:type="dxa"/>
          </w:tcPr>
          <w:p>
            <w:pPr>
              <w:pStyle w:val="6"/>
              <w:rPr>
                <w:rFonts w:ascii="仿宋_GB2312" w:hAnsi="Courier New" w:eastAsia="仿宋_GB2312"/>
                <w:kern w:val="2"/>
              </w:rPr>
            </w:pPr>
            <w:r>
              <w:rPr>
                <w:rFonts w:hint="eastAsia" w:ascii="仿宋_GB2312" w:hAnsi="Courier New" w:eastAsia="仿宋_GB2312"/>
                <w:kern w:val="2"/>
              </w:rPr>
              <w:t>单位</w:t>
            </w:r>
          </w:p>
        </w:tc>
        <w:tc>
          <w:tcPr>
            <w:tcW w:w="636" w:type="dxa"/>
          </w:tcPr>
          <w:p>
            <w:pPr>
              <w:pStyle w:val="6"/>
              <w:ind w:firstLine="0"/>
              <w:rPr>
                <w:rFonts w:ascii="仿宋_GB2312" w:hAnsi="Courier New" w:eastAsia="仿宋_GB2312"/>
                <w:kern w:val="2"/>
              </w:rPr>
            </w:pPr>
            <w:r>
              <w:rPr>
                <w:rFonts w:hint="eastAsia" w:ascii="仿宋_GB2312" w:hAnsi="Courier New" w:eastAsia="仿宋_GB2312"/>
                <w:kern w:val="2"/>
              </w:rPr>
              <w:t>数量</w:t>
            </w:r>
          </w:p>
        </w:tc>
        <w:tc>
          <w:tcPr>
            <w:tcW w:w="762" w:type="dxa"/>
          </w:tcPr>
          <w:p>
            <w:pPr>
              <w:pStyle w:val="6"/>
              <w:ind w:firstLine="0"/>
              <w:rPr>
                <w:rFonts w:ascii="仿宋_GB2312" w:hAnsi="Courier New" w:eastAsia="仿宋_GB2312"/>
                <w:kern w:val="2"/>
              </w:rPr>
            </w:pPr>
            <w:r>
              <w:rPr>
                <w:rFonts w:hint="eastAsia" w:ascii="仿宋_GB2312" w:hAnsi="Courier New" w:eastAsia="仿宋_GB2312"/>
                <w:kern w:val="2"/>
              </w:rPr>
              <w:t>单价</w:t>
            </w:r>
          </w:p>
        </w:tc>
        <w:tc>
          <w:tcPr>
            <w:tcW w:w="905" w:type="dxa"/>
          </w:tcPr>
          <w:p>
            <w:pPr>
              <w:pStyle w:val="6"/>
              <w:ind w:firstLine="0"/>
              <w:rPr>
                <w:rFonts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636" w:type="dxa"/>
          </w:tcPr>
          <w:p>
            <w:pPr>
              <w:pStyle w:val="6"/>
              <w:rPr>
                <w:rFonts w:ascii="仿宋_GB2312" w:hAnsi="Courier New" w:eastAsia="仿宋_GB2312"/>
                <w:kern w:val="2"/>
              </w:rPr>
            </w:pPr>
          </w:p>
        </w:tc>
        <w:tc>
          <w:tcPr>
            <w:tcW w:w="762" w:type="dxa"/>
          </w:tcPr>
          <w:p>
            <w:pPr>
              <w:pStyle w:val="6"/>
              <w:rPr>
                <w:rFonts w:ascii="仿宋_GB2312" w:hAnsi="Courier New" w:eastAsia="仿宋_GB2312"/>
                <w:kern w:val="2"/>
              </w:rPr>
            </w:pPr>
          </w:p>
        </w:tc>
        <w:tc>
          <w:tcPr>
            <w:tcW w:w="905" w:type="dxa"/>
          </w:tcPr>
          <w:p>
            <w:pPr>
              <w:pStyle w:val="6"/>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6"/>
              <w:ind w:firstLine="0"/>
              <w:rPr>
                <w:rFonts w:ascii="仿宋_GB2312" w:hAnsi="Courier New" w:eastAsia="仿宋_GB2312"/>
                <w:kern w:val="2"/>
              </w:rPr>
            </w:pPr>
            <w:r>
              <w:rPr>
                <w:rFonts w:hint="eastAsia" w:ascii="仿宋_GB2312" w:hAnsi="Courier New" w:eastAsia="仿宋_GB2312"/>
                <w:kern w:val="2"/>
              </w:rPr>
              <w:t>...</w:t>
            </w: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636" w:type="dxa"/>
          </w:tcPr>
          <w:p>
            <w:pPr>
              <w:pStyle w:val="6"/>
              <w:rPr>
                <w:rFonts w:ascii="仿宋_GB2312" w:hAnsi="Courier New" w:eastAsia="仿宋_GB2312"/>
                <w:kern w:val="2"/>
              </w:rPr>
            </w:pPr>
          </w:p>
        </w:tc>
        <w:tc>
          <w:tcPr>
            <w:tcW w:w="762" w:type="dxa"/>
          </w:tcPr>
          <w:p>
            <w:pPr>
              <w:pStyle w:val="6"/>
              <w:rPr>
                <w:rFonts w:ascii="仿宋_GB2312" w:hAnsi="Courier New" w:eastAsia="仿宋_GB2312"/>
                <w:kern w:val="2"/>
              </w:rPr>
            </w:pPr>
          </w:p>
        </w:tc>
        <w:tc>
          <w:tcPr>
            <w:tcW w:w="905" w:type="dxa"/>
          </w:tcPr>
          <w:p>
            <w:pPr>
              <w:pStyle w:val="6"/>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6" w:type="dxa"/>
            <w:gridSpan w:val="3"/>
          </w:tcPr>
          <w:p>
            <w:pPr>
              <w:pStyle w:val="6"/>
              <w:ind w:firstLine="0"/>
              <w:rPr>
                <w:rFonts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6"/>
              <w:rPr>
                <w:rFonts w:ascii="仿宋_GB2312" w:hAnsi="Courier New" w:eastAsia="仿宋_GB2312"/>
                <w:kern w:val="2"/>
              </w:rPr>
            </w:pPr>
          </w:p>
        </w:tc>
        <w:tc>
          <w:tcPr>
            <w:tcW w:w="1526" w:type="dxa"/>
          </w:tcPr>
          <w:p>
            <w:pPr>
              <w:pStyle w:val="6"/>
              <w:rPr>
                <w:rFonts w:ascii="仿宋_GB2312" w:hAnsi="Courier New" w:eastAsia="仿宋_GB2312"/>
                <w:kern w:val="2"/>
              </w:rPr>
            </w:pPr>
          </w:p>
        </w:tc>
        <w:tc>
          <w:tcPr>
            <w:tcW w:w="636" w:type="dxa"/>
          </w:tcPr>
          <w:p>
            <w:pPr>
              <w:pStyle w:val="6"/>
              <w:rPr>
                <w:rFonts w:ascii="仿宋_GB2312" w:hAnsi="Courier New" w:eastAsia="仿宋_GB2312"/>
                <w:kern w:val="2"/>
              </w:rPr>
            </w:pPr>
          </w:p>
        </w:tc>
        <w:tc>
          <w:tcPr>
            <w:tcW w:w="762" w:type="dxa"/>
          </w:tcPr>
          <w:p>
            <w:pPr>
              <w:pStyle w:val="6"/>
              <w:rPr>
                <w:rFonts w:ascii="仿宋_GB2312" w:hAnsi="Courier New" w:eastAsia="仿宋_GB2312"/>
                <w:kern w:val="2"/>
              </w:rPr>
            </w:pPr>
          </w:p>
        </w:tc>
        <w:tc>
          <w:tcPr>
            <w:tcW w:w="905" w:type="dxa"/>
          </w:tcPr>
          <w:p>
            <w:pPr>
              <w:pStyle w:val="6"/>
              <w:rPr>
                <w:rFonts w:ascii="仿宋_GB2312" w:hAnsi="Courier New" w:eastAsia="仿宋_GB2312"/>
                <w:kern w:val="2"/>
              </w:rPr>
            </w:pPr>
          </w:p>
        </w:tc>
      </w:tr>
    </w:tbl>
    <w:p>
      <w:pPr>
        <w:pStyle w:val="10"/>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0"/>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5" w:type="default"/>
          <w:headerReference r:id="rId6" w:type="even"/>
          <w:footerReference r:id="rId7"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2"/>
    </w:p>
    <w:p>
      <w:pPr>
        <w:rPr>
          <w:rFonts w:hint="eastAsia" w:ascii="仿宋" w:hAnsi="仿宋" w:eastAsia="仿宋" w:cs="Times New Roman"/>
          <w:b/>
          <w:bCs/>
          <w:sz w:val="24"/>
          <w:szCs w:val="24"/>
          <w:lang w:eastAsia="zh-CN"/>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r>
        <w:rPr>
          <w:rFonts w:hint="eastAsia" w:ascii="仿宋" w:hAnsi="仿宋" w:eastAsia="仿宋" w:cs="Times New Roman"/>
          <w:b/>
          <w:bCs/>
          <w:sz w:val="24"/>
          <w:szCs w:val="24"/>
          <w:lang w:eastAsia="zh-CN"/>
        </w:rPr>
        <w:t>XJTQ2021ZB78-CG001</w:t>
      </w:r>
    </w:p>
    <w:p>
      <w:pPr>
        <w:pStyle w:val="28"/>
      </w:pPr>
    </w:p>
    <w:tbl>
      <w:tblPr>
        <w:tblStyle w:val="22"/>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偏离</w:t>
            </w:r>
          </w:p>
          <w:p>
            <w:pPr>
              <w:jc w:val="center"/>
              <w:rPr>
                <w:rFonts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1</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2</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1"/>
        <w:spacing w:line="380" w:lineRule="exact"/>
        <w:jc w:val="center"/>
        <w:rPr>
          <w:rFonts w:ascii="仿宋" w:hAnsi="仿宋" w:eastAsia="仿宋" w:cs="仿宋"/>
          <w:b/>
        </w:rPr>
      </w:pPr>
    </w:p>
    <w:p>
      <w:pPr>
        <w:pStyle w:val="31"/>
        <w:rPr>
          <w:rFonts w:ascii="仿宋" w:hAnsi="仿宋" w:eastAsia="仿宋" w:cs="仿宋"/>
          <w:b/>
        </w:rPr>
      </w:pPr>
      <w:r>
        <w:rPr>
          <w:rFonts w:hint="eastAsia" w:ascii="仿宋" w:hAnsi="仿宋" w:eastAsia="仿宋" w:cs="仿宋"/>
          <w:b/>
        </w:rPr>
        <w:t>法定代表人或被委托授权代表（签字）：</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autoSpaceDE w:val="0"/>
        <w:autoSpaceDN w:val="0"/>
        <w:adjustRightInd w:val="0"/>
        <w:rPr>
          <w:rFonts w:hint="eastAsia" w:ascii="仿宋_GB2312" w:hAnsi="Courier New" w:eastAsia="仿宋_GB2312"/>
          <w:b/>
          <w:bCs/>
          <w:color w:val="000000"/>
          <w:sz w:val="24"/>
          <w:szCs w:val="20"/>
        </w:rPr>
      </w:pPr>
      <w:bookmarkStart w:id="344" w:name="_Toc6453_WPSOffice_Level2"/>
      <w:bookmarkStart w:id="345" w:name="_Toc7997"/>
      <w:bookmarkStart w:id="346" w:name="_Toc3339"/>
      <w:bookmarkStart w:id="347" w:name="_Toc8972"/>
      <w:bookmarkStart w:id="348" w:name="_Toc2509"/>
      <w:bookmarkStart w:id="349" w:name="_Toc22349"/>
      <w:bookmarkStart w:id="350" w:name="_Toc25633"/>
      <w:bookmarkStart w:id="351" w:name="_Toc4564"/>
      <w:bookmarkStart w:id="352" w:name="_Toc17736"/>
      <w:bookmarkStart w:id="353" w:name="_Toc24493"/>
      <w:bookmarkStart w:id="354" w:name="_Toc8728"/>
      <w:bookmarkStart w:id="355" w:name="_Toc28734"/>
      <w:bookmarkStart w:id="356" w:name="_Toc18576"/>
      <w:bookmarkStart w:id="357" w:name="_Toc2882"/>
      <w:bookmarkStart w:id="358" w:name="_Toc19355"/>
      <w:bookmarkStart w:id="359" w:name="_Toc7502"/>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2"/>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spacing w:line="360" w:lineRule="exact"/>
              <w:rPr>
                <w:rFonts w:ascii="黑体" w:hAnsi="黑体"/>
                <w:szCs w:val="21"/>
              </w:rPr>
            </w:pPr>
            <w:r>
              <w:rPr>
                <w:rFonts w:hint="eastAsia" w:ascii="黑体" w:hAnsi="黑体"/>
                <w:szCs w:val="21"/>
              </w:rPr>
              <w:t>职责分工</w:t>
            </w:r>
          </w:p>
        </w:tc>
        <w:tc>
          <w:tcPr>
            <w:tcW w:w="1303" w:type="dxa"/>
            <w:vAlign w:val="center"/>
          </w:tcPr>
          <w:p>
            <w:pPr>
              <w:spacing w:line="360" w:lineRule="exact"/>
              <w:rPr>
                <w:rFonts w:ascii="黑体" w:hAnsi="黑体"/>
                <w:szCs w:val="21"/>
              </w:rPr>
            </w:pPr>
            <w:r>
              <w:rPr>
                <w:rFonts w:hint="eastAsia" w:ascii="黑体" w:hAnsi="黑体"/>
                <w:szCs w:val="21"/>
              </w:rPr>
              <w:t>姓名</w:t>
            </w:r>
          </w:p>
        </w:tc>
        <w:tc>
          <w:tcPr>
            <w:tcW w:w="797" w:type="dxa"/>
            <w:tcBorders>
              <w:right w:val="single" w:color="auto" w:sz="4" w:space="0"/>
            </w:tcBorders>
            <w:vAlign w:val="center"/>
          </w:tcPr>
          <w:p>
            <w:pPr>
              <w:spacing w:line="360" w:lineRule="exact"/>
              <w:rPr>
                <w:rFonts w:ascii="黑体" w:hAnsi="黑体"/>
                <w:szCs w:val="21"/>
              </w:rPr>
            </w:pPr>
            <w:r>
              <w:rPr>
                <w:rFonts w:hint="eastAsia" w:ascii="黑体" w:hAnsi="黑体"/>
                <w:szCs w:val="21"/>
              </w:rPr>
              <w:t>年龄</w:t>
            </w:r>
          </w:p>
        </w:tc>
        <w:tc>
          <w:tcPr>
            <w:tcW w:w="963" w:type="dxa"/>
            <w:tcBorders>
              <w:left w:val="single" w:color="auto" w:sz="4" w:space="0"/>
            </w:tcBorders>
            <w:vAlign w:val="center"/>
          </w:tcPr>
          <w:p>
            <w:pPr>
              <w:spacing w:line="360" w:lineRule="exact"/>
              <w:rPr>
                <w:rFonts w:ascii="黑体" w:hAnsi="黑体"/>
                <w:szCs w:val="21"/>
              </w:rPr>
            </w:pPr>
            <w:r>
              <w:rPr>
                <w:rFonts w:hint="eastAsia" w:ascii="黑体" w:hAnsi="黑体"/>
                <w:szCs w:val="21"/>
              </w:rPr>
              <w:t>学历</w:t>
            </w:r>
          </w:p>
        </w:tc>
        <w:tc>
          <w:tcPr>
            <w:tcW w:w="791" w:type="dxa"/>
            <w:vAlign w:val="center"/>
          </w:tcPr>
          <w:p>
            <w:pPr>
              <w:spacing w:line="360" w:lineRule="exact"/>
              <w:rPr>
                <w:rFonts w:ascii="黑体" w:hAnsi="黑体"/>
                <w:szCs w:val="21"/>
              </w:rPr>
            </w:pPr>
            <w:r>
              <w:rPr>
                <w:rFonts w:hint="eastAsia" w:ascii="黑体" w:hAnsi="黑体"/>
                <w:szCs w:val="21"/>
              </w:rPr>
              <w:t>专业</w:t>
            </w:r>
          </w:p>
        </w:tc>
        <w:tc>
          <w:tcPr>
            <w:tcW w:w="709" w:type="dxa"/>
            <w:tcBorders>
              <w:right w:val="single" w:color="auto" w:sz="4" w:space="0"/>
            </w:tcBorders>
            <w:vAlign w:val="center"/>
          </w:tcPr>
          <w:p>
            <w:pPr>
              <w:spacing w:line="360" w:lineRule="exact"/>
              <w:rPr>
                <w:rFonts w:ascii="黑体" w:hAnsi="黑体"/>
                <w:szCs w:val="21"/>
              </w:rPr>
            </w:pPr>
            <w:r>
              <w:rPr>
                <w:rFonts w:hint="eastAsia" w:ascii="黑体" w:hAnsi="黑体"/>
                <w:szCs w:val="21"/>
              </w:rPr>
              <w:t>职务</w:t>
            </w:r>
          </w:p>
        </w:tc>
        <w:tc>
          <w:tcPr>
            <w:tcW w:w="1269" w:type="dxa"/>
            <w:tcBorders>
              <w:left w:val="single" w:color="auto" w:sz="4" w:space="0"/>
            </w:tcBorders>
            <w:vAlign w:val="center"/>
          </w:tcPr>
          <w:p>
            <w:pPr>
              <w:spacing w:line="360" w:lineRule="exact"/>
              <w:rPr>
                <w:rFonts w:ascii="黑体" w:hAnsi="黑体"/>
                <w:szCs w:val="21"/>
              </w:rPr>
            </w:pPr>
            <w:r>
              <w:rPr>
                <w:rFonts w:hint="eastAsia" w:ascii="黑体" w:hAnsi="黑体"/>
                <w:szCs w:val="21"/>
              </w:rPr>
              <w:t>在本项目中担任的岗位</w:t>
            </w:r>
          </w:p>
        </w:tc>
        <w:tc>
          <w:tcPr>
            <w:tcW w:w="1385" w:type="dxa"/>
            <w:vAlign w:val="center"/>
          </w:tcPr>
          <w:p>
            <w:pPr>
              <w:spacing w:line="360" w:lineRule="exact"/>
              <w:rPr>
                <w:rFonts w:ascii="黑体" w:hAnsi="黑体"/>
                <w:szCs w:val="21"/>
              </w:rPr>
            </w:pPr>
            <w:r>
              <w:rPr>
                <w:rFonts w:hint="eastAsia" w:ascii="黑体" w:hAnsi="黑体"/>
                <w:szCs w:val="21"/>
              </w:rPr>
              <w:t>从事类似工作年限</w:t>
            </w:r>
          </w:p>
        </w:tc>
        <w:tc>
          <w:tcPr>
            <w:tcW w:w="714" w:type="dxa"/>
            <w:vAlign w:val="center"/>
          </w:tcPr>
          <w:p>
            <w:pPr>
              <w:spacing w:line="360" w:lineRule="exact"/>
              <w:rPr>
                <w:rFonts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exact"/>
              <w:rPr>
                <w:rFonts w:ascii="黑体" w:hAnsi="黑体"/>
                <w:szCs w:val="21"/>
              </w:rPr>
            </w:pPr>
            <w:r>
              <w:rPr>
                <w:rFonts w:hint="eastAsia" w:ascii="黑体" w:hAnsi="黑体"/>
                <w:szCs w:val="21"/>
              </w:rPr>
              <w:t>项目负责人</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黑体" w:hAnsi="黑体"/>
                <w:szCs w:val="21"/>
              </w:rPr>
            </w:pPr>
            <w:r>
              <w:rPr>
                <w:rFonts w:hint="eastAsia" w:ascii="黑体" w:hAnsi="黑体"/>
                <w:szCs w:val="21"/>
              </w:rPr>
              <w:t>其他人员</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黑体" w:hAnsi="黑体"/>
                <w:szCs w:val="21"/>
              </w:rPr>
            </w:pP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黑体" w:hAnsi="黑体"/>
                <w:szCs w:val="21"/>
              </w:rPr>
            </w:pPr>
          </w:p>
        </w:tc>
        <w:tc>
          <w:tcPr>
            <w:tcW w:w="1303" w:type="dxa"/>
            <w:tcBorders>
              <w:bottom w:val="single" w:color="auto" w:sz="4" w:space="0"/>
            </w:tcBorders>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bl>
    <w:p>
      <w:pPr>
        <w:pStyle w:val="10"/>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0"/>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6"/>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Pr>
        <w:jc w:val="both"/>
        <w:outlineLvl w:val="1"/>
        <w:rPr>
          <w:rFonts w:ascii="仿宋" w:hAnsi="仿宋" w:eastAsia="仿宋" w:cs="仿宋"/>
          <w:b/>
          <w:bCs/>
          <w:sz w:val="32"/>
          <w:szCs w:val="32"/>
        </w:rPr>
      </w:pPr>
      <w:bookmarkStart w:id="360" w:name="_Toc10015_WPSOffice_Level2"/>
      <w:bookmarkStart w:id="361" w:name="_Toc17340"/>
      <w:bookmarkStart w:id="362" w:name="_Toc5115"/>
      <w:bookmarkStart w:id="363" w:name="_Toc5813"/>
      <w:bookmarkStart w:id="364" w:name="_Toc27671"/>
      <w:bookmarkStart w:id="365" w:name="_Toc1365"/>
      <w:bookmarkStart w:id="366" w:name="_Toc22369"/>
      <w:bookmarkStart w:id="367" w:name="_Toc8343"/>
      <w:bookmarkStart w:id="368" w:name="_Toc29509"/>
      <w:bookmarkStart w:id="369" w:name="_Toc21899"/>
      <w:bookmarkStart w:id="370" w:name="_Toc19247"/>
      <w:bookmarkStart w:id="371" w:name="_Toc32375"/>
      <w:bookmarkStart w:id="372" w:name="_Toc531"/>
      <w:bookmarkStart w:id="373" w:name="_Toc288"/>
      <w:bookmarkStart w:id="374" w:name="_Toc25174"/>
    </w:p>
    <w:p>
      <w:pPr>
        <w:jc w:val="center"/>
        <w:outlineLvl w:val="1"/>
        <w:rPr>
          <w:rFonts w:ascii="仿宋" w:hAnsi="仿宋" w:eastAsia="仿宋" w:cs="仿宋"/>
          <w:b/>
          <w:bCs/>
          <w:sz w:val="32"/>
          <w:szCs w:val="32"/>
        </w:rPr>
      </w:pPr>
    </w:p>
    <w:bookmarkEnd w:id="360"/>
    <w:p>
      <w:pPr>
        <w:pStyle w:val="4"/>
        <w:spacing w:before="0" w:line="240" w:lineRule="atLeast"/>
        <w:jc w:val="center"/>
        <w:rPr>
          <w:rFonts w:ascii="仿宋" w:hAnsi="仿宋" w:eastAsia="仿宋" w:cs="仿宋"/>
          <w:sz w:val="30"/>
          <w:szCs w:val="30"/>
        </w:rPr>
      </w:pPr>
      <w:bookmarkStart w:id="375" w:name="_Toc14965"/>
      <w:r>
        <w:rPr>
          <w:rFonts w:hint="eastAsia" w:ascii="仿宋" w:hAnsi="仿宋" w:eastAsia="仿宋" w:cs="仿宋"/>
          <w:sz w:val="30"/>
          <w:szCs w:val="30"/>
        </w:rPr>
        <w:t>（十）投标人企业（单位）类型声明函</w:t>
      </w:r>
      <w:bookmarkEnd w:id="375"/>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6" w:name="_Toc515647824"/>
      <w:bookmarkStart w:id="377" w:name="_Toc10977"/>
      <w:bookmarkStart w:id="378" w:name="_Toc11803"/>
      <w:bookmarkStart w:id="379" w:name="_Toc13776"/>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）制造商企业（单位）类型声明函</w:t>
      </w:r>
      <w:bookmarkEnd w:id="376"/>
      <w:bookmarkEnd w:id="377"/>
      <w:bookmarkEnd w:id="378"/>
      <w:bookmarkEnd w:id="379"/>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0" w:name="_Toc24603"/>
      <w:bookmarkStart w:id="381" w:name="_Toc19284"/>
      <w:bookmarkStart w:id="382" w:name="_Toc515647825"/>
      <w:bookmarkStart w:id="383" w:name="_Toc5160"/>
      <w:bookmarkStart w:id="384" w:name="_Toc23068"/>
      <w:bookmarkStart w:id="385" w:name="OLE_LINK14"/>
      <w:bookmarkStart w:id="386"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）残疾人福利性单位声明函</w:t>
      </w:r>
      <w:bookmarkEnd w:id="380"/>
      <w:bookmarkEnd w:id="381"/>
      <w:bookmarkEnd w:id="382"/>
      <w:bookmarkEnd w:id="383"/>
      <w:bookmarkEnd w:id="384"/>
    </w:p>
    <w:bookmarkEnd w:id="385"/>
    <w:bookmarkEnd w:id="386"/>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Pr>
        <w:rPr>
          <w:rFonts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2"/>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项目名称</w:t>
            </w:r>
          </w:p>
          <w:p>
            <w:pPr>
              <w:jc w:val="center"/>
              <w:rPr>
                <w:rFonts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jc w:val="center"/>
              <w:rPr>
                <w:rFonts w:ascii="仿宋" w:hAnsi="仿宋" w:eastAsia="仿宋" w:cs="仿宋"/>
                <w:b/>
                <w:bCs/>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合同完</w:t>
            </w:r>
          </w:p>
          <w:p>
            <w:pPr>
              <w:jc w:val="center"/>
              <w:rPr>
                <w:rFonts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项目验</w:t>
            </w:r>
          </w:p>
          <w:p>
            <w:pPr>
              <w:jc w:val="center"/>
              <w:rPr>
                <w:rFonts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7047" w:type="dxa"/>
            <w:gridSpan w:val="8"/>
            <w:vAlign w:val="center"/>
          </w:tcPr>
          <w:p>
            <w:pPr>
              <w:jc w:val="center"/>
              <w:rPr>
                <w:rFonts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jc w:val="center"/>
              <w:rPr>
                <w:rFonts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529" w:type="dxa"/>
            <w:vAlign w:val="center"/>
          </w:tcPr>
          <w:p>
            <w:pPr>
              <w:jc w:val="center"/>
              <w:rPr>
                <w:rFonts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设备</w:t>
            </w:r>
          </w:p>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jc w:val="center"/>
              <w:rPr>
                <w:rFonts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7047" w:type="dxa"/>
            <w:gridSpan w:val="8"/>
            <w:vAlign w:val="center"/>
          </w:tcPr>
          <w:p>
            <w:pPr>
              <w:jc w:val="center"/>
              <w:rPr>
                <w:rFonts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529" w:type="dxa"/>
            <w:vMerge w:val="restart"/>
            <w:vAlign w:val="center"/>
          </w:tcPr>
          <w:p>
            <w:pPr>
              <w:ind w:left="103" w:leftChars="49"/>
              <w:jc w:val="center"/>
              <w:rPr>
                <w:rFonts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专业技术或</w:t>
            </w:r>
          </w:p>
          <w:p>
            <w:pPr>
              <w:spacing w:line="320" w:lineRule="exact"/>
              <w:jc w:val="center"/>
              <w:rPr>
                <w:rFonts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rPr>
                <w:rFonts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trPr>
        <w:tc>
          <w:tcPr>
            <w:tcW w:w="9321" w:type="dxa"/>
            <w:gridSpan w:val="9"/>
            <w:vAlign w:val="center"/>
          </w:tcPr>
          <w:p>
            <w:pPr>
              <w:rPr>
                <w:rFonts w:ascii="仿宋" w:hAnsi="仿宋" w:eastAsia="仿宋" w:cs="仿宋"/>
                <w:b/>
                <w:sz w:val="24"/>
                <w:szCs w:val="20"/>
              </w:rPr>
            </w:pPr>
            <w:r>
              <w:rPr>
                <w:rFonts w:hint="eastAsia" w:ascii="仿宋" w:hAnsi="仿宋" w:eastAsia="仿宋" w:cs="仿宋"/>
                <w:b/>
                <w:sz w:val="24"/>
                <w:szCs w:val="20"/>
              </w:rPr>
              <w:t>供应商意见：（是否属实）</w:t>
            </w:r>
          </w:p>
          <w:p>
            <w:pPr>
              <w:rPr>
                <w:rFonts w:ascii="仿宋" w:hAnsi="仿宋" w:eastAsia="仿宋" w:cs="仿宋"/>
                <w:b/>
                <w:sz w:val="24"/>
                <w:szCs w:val="20"/>
              </w:rPr>
            </w:pPr>
          </w:p>
          <w:p>
            <w:pPr>
              <w:rPr>
                <w:rFonts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jc w:val="left"/>
              <w:rPr>
                <w:rFonts w:ascii="仿宋" w:hAnsi="仿宋" w:eastAsia="仿宋" w:cs="仿宋"/>
                <w:b/>
                <w:sz w:val="24"/>
                <w:szCs w:val="20"/>
              </w:rPr>
            </w:pPr>
          </w:p>
          <w:p>
            <w:pPr>
              <w:jc w:val="left"/>
              <w:rPr>
                <w:rFonts w:ascii="仿宋" w:hAnsi="仿宋" w:eastAsia="仿宋" w:cs="仿宋"/>
                <w:b/>
                <w:sz w:val="24"/>
                <w:szCs w:val="20"/>
              </w:rPr>
            </w:pPr>
            <w:r>
              <w:rPr>
                <w:rFonts w:hint="eastAsia" w:ascii="仿宋" w:hAnsi="仿宋" w:eastAsia="仿宋" w:cs="仿宋"/>
                <w:b/>
                <w:sz w:val="24"/>
                <w:szCs w:val="20"/>
              </w:rPr>
              <w:t>采购人意见:</w:t>
            </w:r>
          </w:p>
          <w:p>
            <w:pPr>
              <w:ind w:firstLine="1771" w:firstLineChars="735"/>
              <w:jc w:val="left"/>
              <w:rPr>
                <w:rFonts w:ascii="仿宋" w:hAnsi="仿宋" w:eastAsia="仿宋" w:cs="仿宋"/>
                <w:b/>
                <w:sz w:val="24"/>
                <w:szCs w:val="20"/>
              </w:rPr>
            </w:pPr>
          </w:p>
          <w:p>
            <w:pPr>
              <w:ind w:firstLine="2976" w:firstLineChars="1235"/>
              <w:rPr>
                <w:rFonts w:ascii="仿宋" w:hAnsi="仿宋" w:eastAsia="仿宋" w:cs="仿宋"/>
                <w:b/>
                <w:sz w:val="24"/>
                <w:szCs w:val="20"/>
              </w:rPr>
            </w:pPr>
            <w:r>
              <w:rPr>
                <w:rFonts w:hint="eastAsia" w:ascii="仿宋" w:hAnsi="仿宋" w:eastAsia="仿宋" w:cs="仿宋"/>
                <w:b/>
                <w:sz w:val="24"/>
                <w:szCs w:val="20"/>
              </w:rPr>
              <w:t>(是否合格)</w:t>
            </w:r>
          </w:p>
          <w:p>
            <w:pPr>
              <w:ind w:firstLine="1771" w:firstLineChars="735"/>
              <w:jc w:val="left"/>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采购人公章</w:t>
            </w:r>
          </w:p>
          <w:p>
            <w:pPr>
              <w:ind w:firstLine="1771" w:firstLineChars="735"/>
              <w:jc w:val="center"/>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87"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87"/>
    </w:p>
    <w:p>
      <w:pPr>
        <w:widowControl/>
        <w:spacing w:line="440" w:lineRule="exact"/>
        <w:rPr>
          <w:rFonts w:ascii="宋体" w:hAnsi="宋体" w:cs="宋体"/>
          <w:b/>
          <w:bCs/>
          <w:color w:val="000000"/>
          <w:kern w:val="0"/>
          <w:sz w:val="24"/>
          <w:szCs w:val="24"/>
        </w:rPr>
      </w:pPr>
      <w:bookmarkStart w:id="388" w:name="_Toc11364"/>
      <w:bookmarkStart w:id="389" w:name="_Toc20004"/>
      <w:bookmarkStart w:id="390" w:name="_Toc12352"/>
      <w:r>
        <w:rPr>
          <w:rFonts w:hint="eastAsia" w:ascii="仿宋" w:hAnsi="仿宋" w:eastAsia="仿宋" w:cs="仿宋"/>
          <w:sz w:val="24"/>
          <w:szCs w:val="24"/>
          <w:lang w:eastAsia="zh-CN"/>
        </w:rPr>
        <w:t>木垒哈萨克自治县人民医院</w:t>
      </w:r>
      <w:r>
        <w:rPr>
          <w:rFonts w:hint="eastAsia" w:ascii="宋体" w:hAnsi="宋体" w:cs="宋体"/>
          <w:b/>
          <w:bCs/>
          <w:color w:val="000000"/>
          <w:kern w:val="0"/>
          <w:sz w:val="24"/>
          <w:szCs w:val="24"/>
        </w:rPr>
        <w:t>：</w:t>
      </w:r>
      <w:bookmarkEnd w:id="388"/>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eastAsia="zh-CN"/>
        </w:rPr>
        <w:t>XJTQ2021ZB78-CG001</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1" w:name="_Toc2304"/>
      <w:r>
        <w:rPr>
          <w:rFonts w:hint="eastAsia" w:ascii="仿宋" w:hAnsi="仿宋" w:eastAsia="仿宋" w:cs="Times New Roman"/>
          <w:b/>
          <w:bCs/>
          <w:color w:val="333333"/>
          <w:kern w:val="0"/>
          <w:sz w:val="24"/>
          <w:szCs w:val="24"/>
        </w:rPr>
        <w:t>收 款  单 位：</w:t>
      </w:r>
      <w:bookmarkEnd w:id="391"/>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2"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3" w:name="_Toc14681"/>
      <w:r>
        <w:rPr>
          <w:rFonts w:hint="eastAsia" w:ascii="仿宋" w:hAnsi="仿宋" w:eastAsia="仿宋" w:cs="Times New Roman"/>
          <w:b/>
          <w:bCs/>
          <w:color w:val="333333"/>
          <w:kern w:val="0"/>
          <w:sz w:val="24"/>
          <w:szCs w:val="24"/>
        </w:rPr>
        <w:t>开户银行全称:</w:t>
      </w:r>
      <w:bookmarkEnd w:id="39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4"/>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5"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5"/>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6" w:name="_Toc23779"/>
      <w:bookmarkStart w:id="397" w:name="_Toc30653"/>
      <w:bookmarkStart w:id="398" w:name="_Toc13314"/>
      <w:bookmarkStart w:id="399" w:name="_Toc22502"/>
      <w:bookmarkStart w:id="400" w:name="_Toc10912"/>
      <w:bookmarkStart w:id="401" w:name="_Toc14906"/>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89"/>
      <w:bookmarkEnd w:id="390"/>
      <w:bookmarkEnd w:id="396"/>
      <w:bookmarkEnd w:id="397"/>
      <w:bookmarkEnd w:id="398"/>
      <w:bookmarkEnd w:id="399"/>
      <w:bookmarkEnd w:id="400"/>
      <w:bookmarkEnd w:id="401"/>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2" w:name="_Toc7297"/>
      <w:bookmarkStart w:id="403" w:name="_Toc20490"/>
      <w:bookmarkStart w:id="404" w:name="_Toc2596"/>
      <w:bookmarkStart w:id="405" w:name="_Toc8836"/>
      <w:bookmarkStart w:id="406" w:name="_Toc16925"/>
      <w:bookmarkStart w:id="407" w:name="_Toc25653"/>
      <w:bookmarkStart w:id="408" w:name="_Toc11054"/>
      <w:bookmarkStart w:id="409" w:name="_Toc8115"/>
      <w:r>
        <w:rPr>
          <w:rFonts w:hint="eastAsia" w:ascii="仿宋" w:hAnsi="仿宋" w:eastAsia="仿宋" w:cs="Times New Roman"/>
          <w:b/>
          <w:color w:val="333333"/>
          <w:kern w:val="0"/>
          <w:sz w:val="24"/>
          <w:szCs w:val="24"/>
        </w:rPr>
        <w:t>年  月  日</w:t>
      </w:r>
      <w:bookmarkEnd w:id="402"/>
      <w:bookmarkEnd w:id="403"/>
      <w:bookmarkEnd w:id="404"/>
      <w:bookmarkEnd w:id="405"/>
      <w:bookmarkEnd w:id="406"/>
      <w:bookmarkEnd w:id="407"/>
      <w:bookmarkEnd w:id="408"/>
      <w:bookmarkEnd w:id="409"/>
    </w:p>
    <w:tbl>
      <w:tblPr>
        <w:tblStyle w:val="22"/>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rPr>
                <w:rFonts w:cs="Times New Roman"/>
                <w:b/>
                <w:sz w:val="24"/>
                <w:szCs w:val="20"/>
              </w:rPr>
            </w:pPr>
            <w:r>
              <w:rPr>
                <w:rFonts w:hint="eastAsia" w:cs="Times New Roman"/>
                <w:b/>
                <w:sz w:val="24"/>
                <w:szCs w:val="20"/>
              </w:rPr>
              <w:t>项目负责人签字：</w:t>
            </w:r>
          </w:p>
          <w:p>
            <w:pPr>
              <w:rPr>
                <w:rFonts w:cs="Times New Roman"/>
                <w:b/>
                <w:sz w:val="24"/>
                <w:szCs w:val="20"/>
              </w:rPr>
            </w:pPr>
          </w:p>
          <w:p>
            <w:pPr>
              <w:rPr>
                <w:rFonts w:cs="Times New Roman"/>
                <w:b/>
                <w:sz w:val="24"/>
                <w:szCs w:val="20"/>
              </w:rPr>
            </w:pPr>
            <w:r>
              <w:rPr>
                <w:rFonts w:hint="eastAsia" w:cs="Times New Roman"/>
                <w:b/>
                <w:sz w:val="24"/>
                <w:szCs w:val="20"/>
              </w:rPr>
              <w:t xml:space="preserve">                         年   月   日</w:t>
            </w:r>
          </w:p>
          <w:p>
            <w:pPr>
              <w:rPr>
                <w:rFonts w:cs="Times New Roman"/>
                <w:b/>
                <w:sz w:val="24"/>
                <w:szCs w:val="20"/>
              </w:rPr>
            </w:pPr>
          </w:p>
          <w:p>
            <w:pPr>
              <w:rPr>
                <w:rFonts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ind w:firstLine="944" w:firstLineChars="392"/>
              <w:rPr>
                <w:rFonts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pStyle w:val="28"/>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6"/>
        <w:ind w:firstLine="0"/>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sectPr>
      <w:footerReference r:id="rId9" w:type="first"/>
      <w:footerReference r:id="rId8"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3076" o:spid="_x0000_s3076" o:spt="202" type="#_x0000_t202" style="position:absolute;left:0pt;margin-left:247pt;margin-top:0pt;height:144pt;width:144pt;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- 38 -</w:t>
                </w:r>
                <w:r>
                  <w:fldChar w:fldCharType="end"/>
                </w:r>
              </w:p>
            </w:txbxContent>
          </v:textbox>
        </v:shape>
      </w:pic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3"/>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20364595"/>
    <w:multiLevelType w:val="singleLevel"/>
    <w:tmpl w:val="20364595"/>
    <w:lvl w:ilvl="0" w:tentative="0">
      <w:start w:val="2"/>
      <w:numFmt w:val="decimal"/>
      <w:suff w:val="nothing"/>
      <w:lvlText w:val="%1、"/>
      <w:lvlJc w:val="left"/>
    </w:lvl>
  </w:abstractNum>
  <w:abstractNum w:abstractNumId="6">
    <w:nsid w:val="775EE156"/>
    <w:multiLevelType w:val="singleLevel"/>
    <w:tmpl w:val="775EE156"/>
    <w:lvl w:ilvl="0" w:tentative="0">
      <w:start w:val="1"/>
      <w:numFmt w:val="chineseCounting"/>
      <w:suff w:val="nothing"/>
      <w:lvlText w:val="（%1）"/>
      <w:lvlJc w:val="left"/>
      <w:rPr>
        <w:rFonts w:hint="eastAsia"/>
      </w:r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FD2"/>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937E5"/>
    <w:rsid w:val="00FE2CBC"/>
    <w:rsid w:val="00FF23A7"/>
    <w:rsid w:val="010A219D"/>
    <w:rsid w:val="0117090E"/>
    <w:rsid w:val="012D6F4B"/>
    <w:rsid w:val="01474BAD"/>
    <w:rsid w:val="0151773A"/>
    <w:rsid w:val="015F2416"/>
    <w:rsid w:val="01656568"/>
    <w:rsid w:val="0176717D"/>
    <w:rsid w:val="01771D1C"/>
    <w:rsid w:val="017A7E8C"/>
    <w:rsid w:val="01812C9A"/>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0A5AE2"/>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B2B487D"/>
    <w:rsid w:val="0B3F41B2"/>
    <w:rsid w:val="0B426BFF"/>
    <w:rsid w:val="0B7A5CA5"/>
    <w:rsid w:val="0B9614BE"/>
    <w:rsid w:val="0BA10F01"/>
    <w:rsid w:val="0BB1173A"/>
    <w:rsid w:val="0BB51FD5"/>
    <w:rsid w:val="0BC85AD7"/>
    <w:rsid w:val="0BFB6358"/>
    <w:rsid w:val="0BFD7C3F"/>
    <w:rsid w:val="0C064E70"/>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C4BB7"/>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F1129B"/>
    <w:rsid w:val="142A2625"/>
    <w:rsid w:val="143102D7"/>
    <w:rsid w:val="143E7CA8"/>
    <w:rsid w:val="14533359"/>
    <w:rsid w:val="14BC3E72"/>
    <w:rsid w:val="14D376EF"/>
    <w:rsid w:val="14DC1AF4"/>
    <w:rsid w:val="14EF05EB"/>
    <w:rsid w:val="150B5BFA"/>
    <w:rsid w:val="1518434B"/>
    <w:rsid w:val="15791116"/>
    <w:rsid w:val="15802C9C"/>
    <w:rsid w:val="1593274C"/>
    <w:rsid w:val="159557A8"/>
    <w:rsid w:val="15A836F4"/>
    <w:rsid w:val="15AB3005"/>
    <w:rsid w:val="15BC3124"/>
    <w:rsid w:val="15C66D7D"/>
    <w:rsid w:val="15C850B1"/>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6C5719"/>
    <w:rsid w:val="178648A8"/>
    <w:rsid w:val="178E24DD"/>
    <w:rsid w:val="1793491F"/>
    <w:rsid w:val="17A97592"/>
    <w:rsid w:val="17BE5480"/>
    <w:rsid w:val="17CB39ED"/>
    <w:rsid w:val="17CE3A24"/>
    <w:rsid w:val="17EA3A0A"/>
    <w:rsid w:val="180B55F1"/>
    <w:rsid w:val="1811107C"/>
    <w:rsid w:val="18135070"/>
    <w:rsid w:val="18266E5B"/>
    <w:rsid w:val="183F7C0F"/>
    <w:rsid w:val="184B48F4"/>
    <w:rsid w:val="187A4E7E"/>
    <w:rsid w:val="187B1937"/>
    <w:rsid w:val="187F650C"/>
    <w:rsid w:val="18A328CC"/>
    <w:rsid w:val="18B824B5"/>
    <w:rsid w:val="18E76EB1"/>
    <w:rsid w:val="18E77AC1"/>
    <w:rsid w:val="18EB3C08"/>
    <w:rsid w:val="190232C0"/>
    <w:rsid w:val="19206F6D"/>
    <w:rsid w:val="192632ED"/>
    <w:rsid w:val="1930573C"/>
    <w:rsid w:val="19395351"/>
    <w:rsid w:val="193F6188"/>
    <w:rsid w:val="196A09BA"/>
    <w:rsid w:val="19741AAD"/>
    <w:rsid w:val="197C1136"/>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DD4866"/>
    <w:rsid w:val="1BE60757"/>
    <w:rsid w:val="1C186A38"/>
    <w:rsid w:val="1C2D5486"/>
    <w:rsid w:val="1C492209"/>
    <w:rsid w:val="1C581D0C"/>
    <w:rsid w:val="1C5F7614"/>
    <w:rsid w:val="1C6A7EB8"/>
    <w:rsid w:val="1C6F7772"/>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25370D"/>
    <w:rsid w:val="233C7BF9"/>
    <w:rsid w:val="23510103"/>
    <w:rsid w:val="23814580"/>
    <w:rsid w:val="239D37CD"/>
    <w:rsid w:val="23B42BC6"/>
    <w:rsid w:val="23C34B5E"/>
    <w:rsid w:val="23C35C30"/>
    <w:rsid w:val="23DC0AA4"/>
    <w:rsid w:val="23E32BB3"/>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79321E"/>
    <w:rsid w:val="25847256"/>
    <w:rsid w:val="25866F2C"/>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A67D0"/>
    <w:rsid w:val="273A69A0"/>
    <w:rsid w:val="276D18EC"/>
    <w:rsid w:val="27833035"/>
    <w:rsid w:val="278F296A"/>
    <w:rsid w:val="27952A05"/>
    <w:rsid w:val="279A72ED"/>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565D9F"/>
    <w:rsid w:val="467D2180"/>
    <w:rsid w:val="46977ECC"/>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4E5"/>
    <w:rsid w:val="49C23108"/>
    <w:rsid w:val="49CE7624"/>
    <w:rsid w:val="49EE5BEF"/>
    <w:rsid w:val="49FC79CF"/>
    <w:rsid w:val="4A01056E"/>
    <w:rsid w:val="4A07754C"/>
    <w:rsid w:val="4A107A80"/>
    <w:rsid w:val="4A2F6602"/>
    <w:rsid w:val="4A3A2314"/>
    <w:rsid w:val="4A444F53"/>
    <w:rsid w:val="4A573752"/>
    <w:rsid w:val="4A675977"/>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4C59BA"/>
    <w:rsid w:val="5057415D"/>
    <w:rsid w:val="507C20F1"/>
    <w:rsid w:val="5099512D"/>
    <w:rsid w:val="509D2B04"/>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665399"/>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67084A"/>
    <w:rsid w:val="57675486"/>
    <w:rsid w:val="576D181D"/>
    <w:rsid w:val="577E0195"/>
    <w:rsid w:val="579B080E"/>
    <w:rsid w:val="57E8419F"/>
    <w:rsid w:val="57EB1663"/>
    <w:rsid w:val="57F40803"/>
    <w:rsid w:val="57F63B81"/>
    <w:rsid w:val="57FC5DA1"/>
    <w:rsid w:val="580644E2"/>
    <w:rsid w:val="58072F49"/>
    <w:rsid w:val="581C6513"/>
    <w:rsid w:val="588D708F"/>
    <w:rsid w:val="58AF1D16"/>
    <w:rsid w:val="58D66337"/>
    <w:rsid w:val="59084B2C"/>
    <w:rsid w:val="59170AC5"/>
    <w:rsid w:val="592C4027"/>
    <w:rsid w:val="59534494"/>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76128"/>
    <w:rsid w:val="5EEC01A5"/>
    <w:rsid w:val="5F0A4E0E"/>
    <w:rsid w:val="5F12377E"/>
    <w:rsid w:val="5F392770"/>
    <w:rsid w:val="5F5A0902"/>
    <w:rsid w:val="5F610162"/>
    <w:rsid w:val="5F6419B5"/>
    <w:rsid w:val="5FA4213E"/>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6246E4"/>
    <w:rsid w:val="65652954"/>
    <w:rsid w:val="656B7B22"/>
    <w:rsid w:val="657A5DAB"/>
    <w:rsid w:val="65995B5D"/>
    <w:rsid w:val="65AF0698"/>
    <w:rsid w:val="65BD51BE"/>
    <w:rsid w:val="65C7368C"/>
    <w:rsid w:val="65D756AF"/>
    <w:rsid w:val="65DA4A03"/>
    <w:rsid w:val="65DD3FD0"/>
    <w:rsid w:val="65E61C25"/>
    <w:rsid w:val="65E63217"/>
    <w:rsid w:val="65F12B73"/>
    <w:rsid w:val="65F82138"/>
    <w:rsid w:val="661776A5"/>
    <w:rsid w:val="666A3731"/>
    <w:rsid w:val="66862423"/>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CD3516"/>
    <w:rsid w:val="68F556FC"/>
    <w:rsid w:val="691F7E2B"/>
    <w:rsid w:val="693041B5"/>
    <w:rsid w:val="694C44A6"/>
    <w:rsid w:val="69503867"/>
    <w:rsid w:val="6951504C"/>
    <w:rsid w:val="69594895"/>
    <w:rsid w:val="69694226"/>
    <w:rsid w:val="69754746"/>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C506D9"/>
    <w:rsid w:val="6EEE2ADC"/>
    <w:rsid w:val="6EEF5909"/>
    <w:rsid w:val="6EF627F8"/>
    <w:rsid w:val="6F0A7FEA"/>
    <w:rsid w:val="6F140343"/>
    <w:rsid w:val="6F2C3E7E"/>
    <w:rsid w:val="6F7F6239"/>
    <w:rsid w:val="6F8C13A2"/>
    <w:rsid w:val="6F8D6CDA"/>
    <w:rsid w:val="6F945EBA"/>
    <w:rsid w:val="6F9C44EC"/>
    <w:rsid w:val="6FDB71C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3729"/>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3E45EB"/>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C3A1AFF"/>
    <w:rsid w:val="7C6161C3"/>
    <w:rsid w:val="7C7B56E0"/>
    <w:rsid w:val="7C8D12FA"/>
    <w:rsid w:val="7C935C28"/>
    <w:rsid w:val="7CA46084"/>
    <w:rsid w:val="7CA46244"/>
    <w:rsid w:val="7CBE68C3"/>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E5D51"/>
    <w:rsid w:val="7F421131"/>
    <w:rsid w:val="7F6A4E0D"/>
    <w:rsid w:val="7F7F529B"/>
    <w:rsid w:val="7F876D2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3"/>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semiHidden/>
    <w:qFormat/>
    <w:uiPriority w:val="99"/>
    <w:pPr>
      <w:spacing w:before="120"/>
    </w:pPr>
    <w:rPr>
      <w:rFonts w:ascii="Arial" w:hAnsi="Arial" w:cs="Arial"/>
      <w:sz w:val="24"/>
    </w:rPr>
  </w:style>
  <w:style w:type="paragraph" w:styleId="8">
    <w:name w:val="Body Text"/>
    <w:basedOn w:val="1"/>
    <w:link w:val="60"/>
    <w:unhideWhenUsed/>
    <w:qFormat/>
    <w:uiPriority w:val="99"/>
    <w:pPr>
      <w:spacing w:after="120"/>
    </w:pPr>
  </w:style>
  <w:style w:type="paragraph" w:styleId="9">
    <w:name w:val="Body Text Indent"/>
    <w:basedOn w:val="1"/>
    <w:qFormat/>
    <w:uiPriority w:val="0"/>
    <w:pPr>
      <w:ind w:firstLine="630"/>
    </w:pPr>
    <w:rPr>
      <w:rFonts w:eastAsia="楷体_GB2312"/>
      <w:sz w:val="30"/>
      <w:szCs w:val="20"/>
    </w:rPr>
  </w:style>
  <w:style w:type="paragraph" w:styleId="10">
    <w:name w:val="Plain Text"/>
    <w:basedOn w:val="1"/>
    <w:qFormat/>
    <w:uiPriority w:val="0"/>
    <w:rPr>
      <w:rFonts w:ascii="宋体" w:hAnsi="Courier New"/>
      <w:szCs w:val="20"/>
    </w:rPr>
  </w:style>
  <w:style w:type="paragraph" w:styleId="11">
    <w:name w:val="Body Text Indent 2"/>
    <w:basedOn w:val="1"/>
    <w:link w:val="58"/>
    <w:qFormat/>
    <w:uiPriority w:val="99"/>
    <w:pPr>
      <w:ind w:firstLine="480"/>
    </w:pPr>
    <w:rPr>
      <w:rFonts w:ascii="宋体" w:hAnsi="宋体"/>
      <w:sz w:val="30"/>
      <w:szCs w:val="24"/>
    </w:rPr>
  </w:style>
  <w:style w:type="paragraph" w:styleId="12">
    <w:name w:val="Balloon Text"/>
    <w:basedOn w:val="1"/>
    <w:link w:val="54"/>
    <w:unhideWhenUsed/>
    <w:qFormat/>
    <w:uiPriority w:val="99"/>
    <w:rPr>
      <w:sz w:val="18"/>
      <w:szCs w:val="18"/>
    </w:rPr>
  </w:style>
  <w:style w:type="paragraph" w:styleId="13">
    <w:name w:val="footer"/>
    <w:basedOn w:val="1"/>
    <w:link w:val="51"/>
    <w:unhideWhenUsed/>
    <w:qFormat/>
    <w:uiPriority w:val="99"/>
    <w:pPr>
      <w:tabs>
        <w:tab w:val="center" w:pos="4153"/>
        <w:tab w:val="right" w:pos="8306"/>
      </w:tabs>
      <w:snapToGrid w:val="0"/>
      <w:jc w:val="left"/>
    </w:pPr>
    <w:rPr>
      <w:sz w:val="18"/>
      <w:szCs w:val="18"/>
    </w:rPr>
  </w:style>
  <w:style w:type="paragraph" w:styleId="14">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footnote text"/>
    <w:basedOn w:val="1"/>
    <w:qFormat/>
    <w:uiPriority w:val="0"/>
    <w:pPr>
      <w:adjustRightInd w:val="0"/>
      <w:spacing w:line="315" w:lineRule="atLeast"/>
      <w:textAlignment w:val="baseline"/>
    </w:pPr>
    <w:rPr>
      <w:rFonts w:ascii="宋体" w:hAnsi="宋体"/>
      <w:sz w:val="18"/>
      <w:szCs w:val="18"/>
    </w:rPr>
  </w:style>
  <w:style w:type="paragraph" w:styleId="17">
    <w:name w:val="toc 2"/>
    <w:basedOn w:val="1"/>
    <w:next w:val="1"/>
    <w:semiHidden/>
    <w:unhideWhenUsed/>
    <w:qFormat/>
    <w:uiPriority w:val="39"/>
    <w:pPr>
      <w:ind w:left="420" w:leftChars="200"/>
    </w:pPr>
  </w:style>
  <w:style w:type="paragraph" w:styleId="18">
    <w:name w:val="Normal (Web)"/>
    <w:basedOn w:val="1"/>
    <w:link w:val="57"/>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61"/>
    <w:qFormat/>
    <w:uiPriority w:val="0"/>
    <w:pPr>
      <w:jc w:val="center"/>
    </w:pPr>
    <w:rPr>
      <w:rFonts w:ascii="宋体" w:hAnsi="宋体" w:cs="Times New Roman"/>
      <w:b/>
      <w:sz w:val="32"/>
      <w:szCs w:val="24"/>
    </w:rPr>
  </w:style>
  <w:style w:type="paragraph" w:styleId="20">
    <w:name w:val="Body Text First Indent"/>
    <w:basedOn w:val="8"/>
    <w:qFormat/>
    <w:uiPriority w:val="0"/>
    <w:pPr>
      <w:spacing w:after="120"/>
      <w:ind w:firstLine="420" w:firstLineChars="100"/>
    </w:pPr>
    <w:rPr>
      <w:rFonts w:ascii="Times New Roman" w:hAnsi="Times New Roman" w:cs="Times New Roman"/>
      <w:sz w:val="21"/>
    </w:rPr>
  </w:style>
  <w:style w:type="paragraph" w:styleId="21">
    <w:name w:val="Body Text First Indent 2"/>
    <w:basedOn w:val="9"/>
    <w:qFormat/>
    <w:uiPriority w:val="0"/>
    <w:pPr>
      <w:ind w:firstLine="420" w:firstLineChars="200"/>
    </w:pPr>
    <w:rPr>
      <w:kern w:val="0"/>
      <w:sz w:val="20"/>
      <w:szCs w:val="24"/>
    </w:rPr>
  </w:style>
  <w:style w:type="table" w:styleId="23">
    <w:name w:val="Table Grid"/>
    <w:basedOn w:val="22"/>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basedOn w:val="24"/>
    <w:qFormat/>
    <w:uiPriority w:val="0"/>
  </w:style>
  <w:style w:type="character" w:styleId="27">
    <w:name w:val="Hyperlink"/>
    <w:unhideWhenUsed/>
    <w:qFormat/>
    <w:uiPriority w:val="99"/>
    <w:rPr>
      <w:color w:val="0000FF"/>
      <w:u w:val="single"/>
    </w:rPr>
  </w:style>
  <w:style w:type="paragraph" w:customStyle="1" w:styleId="28">
    <w:name w:val="无间隔1"/>
    <w:basedOn w:val="1"/>
    <w:qFormat/>
    <w:uiPriority w:val="0"/>
    <w:pPr>
      <w:widowControl/>
      <w:jc w:val="left"/>
    </w:pPr>
    <w:rPr>
      <w:rFonts w:ascii="Calibri" w:hAnsi="Calibri" w:eastAsia="宋体" w:cs="Times New Roman"/>
      <w:kern w:val="0"/>
      <w:sz w:val="22"/>
      <w:szCs w:val="22"/>
    </w:rPr>
  </w:style>
  <w:style w:type="paragraph" w:customStyle="1" w:styleId="2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0">
    <w:name w:val="Char"/>
    <w:basedOn w:val="1"/>
    <w:qFormat/>
    <w:uiPriority w:val="0"/>
    <w:pPr>
      <w:spacing w:line="240" w:lineRule="atLeast"/>
      <w:ind w:left="420" w:firstLine="420"/>
    </w:pPr>
    <w:rPr>
      <w:rFonts w:cs="Times New Roman"/>
      <w:kern w:val="0"/>
      <w:szCs w:val="21"/>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Char1"/>
    <w:basedOn w:val="1"/>
    <w:qFormat/>
    <w:uiPriority w:val="0"/>
    <w:pPr>
      <w:spacing w:line="240" w:lineRule="atLeast"/>
      <w:ind w:left="420" w:firstLine="420"/>
    </w:pPr>
    <w:rPr>
      <w:rFonts w:cs="Times New Roman"/>
      <w:kern w:val="0"/>
      <w:szCs w:val="21"/>
    </w:rPr>
  </w:style>
  <w:style w:type="paragraph" w:customStyle="1" w:styleId="33">
    <w:name w:val="列出段落1"/>
    <w:basedOn w:val="1"/>
    <w:qFormat/>
    <w:uiPriority w:val="99"/>
    <w:pPr>
      <w:ind w:firstLine="420" w:firstLineChars="200"/>
    </w:pPr>
  </w:style>
  <w:style w:type="paragraph" w:customStyle="1" w:styleId="34">
    <w:name w:val="WPSOffice手动目录 1"/>
    <w:qFormat/>
    <w:uiPriority w:val="0"/>
    <w:rPr>
      <w:rFonts w:ascii="Calibri" w:hAnsi="Calibri" w:eastAsia="宋体" w:cs="Times New Roman"/>
      <w:lang w:val="en-US" w:eastAsia="zh-CN" w:bidi="ar-SA"/>
    </w:rPr>
  </w:style>
  <w:style w:type="paragraph" w:customStyle="1" w:styleId="35">
    <w:name w:val="WPSOffice手动目录 2"/>
    <w:qFormat/>
    <w:uiPriority w:val="0"/>
    <w:pPr>
      <w:ind w:left="200" w:leftChars="200"/>
    </w:pPr>
    <w:rPr>
      <w:rFonts w:ascii="Calibri" w:hAnsi="Calibri" w:eastAsia="宋体" w:cs="Times New Roman"/>
      <w:lang w:val="en-US" w:eastAsia="zh-CN" w:bidi="ar-SA"/>
    </w:rPr>
  </w:style>
  <w:style w:type="paragraph" w:customStyle="1" w:styleId="36">
    <w:name w:val="Char2"/>
    <w:basedOn w:val="1"/>
    <w:qFormat/>
    <w:uiPriority w:val="0"/>
    <w:pPr>
      <w:spacing w:line="240" w:lineRule="atLeast"/>
      <w:ind w:left="420" w:firstLine="420"/>
    </w:pPr>
    <w:rPr>
      <w:rFonts w:cs="Times New Roman"/>
      <w:kern w:val="0"/>
      <w:szCs w:val="21"/>
    </w:rPr>
  </w:style>
  <w:style w:type="paragraph" w:customStyle="1" w:styleId="37">
    <w:name w:val="Char3"/>
    <w:basedOn w:val="1"/>
    <w:qFormat/>
    <w:uiPriority w:val="0"/>
    <w:pPr>
      <w:spacing w:line="240" w:lineRule="atLeast"/>
      <w:ind w:left="420" w:firstLine="420"/>
    </w:pPr>
    <w:rPr>
      <w:rFonts w:cs="Times New Roman"/>
      <w:kern w:val="0"/>
      <w:szCs w:val="21"/>
    </w:rPr>
  </w:style>
  <w:style w:type="paragraph" w:customStyle="1" w:styleId="38">
    <w:name w:val="采购二级"/>
    <w:basedOn w:val="1"/>
    <w:link w:val="56"/>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39">
    <w:name w:val="Char4"/>
    <w:basedOn w:val="1"/>
    <w:qFormat/>
    <w:uiPriority w:val="0"/>
    <w:pPr>
      <w:spacing w:line="240" w:lineRule="atLeast"/>
      <w:ind w:left="420" w:firstLine="420"/>
    </w:pPr>
    <w:rPr>
      <w:rFonts w:cs="Times New Roman"/>
      <w:kern w:val="0"/>
      <w:szCs w:val="21"/>
    </w:rPr>
  </w:style>
  <w:style w:type="paragraph" w:customStyle="1" w:styleId="40">
    <w:name w:val="Char5"/>
    <w:basedOn w:val="1"/>
    <w:qFormat/>
    <w:uiPriority w:val="0"/>
    <w:pPr>
      <w:spacing w:line="240" w:lineRule="atLeast"/>
      <w:ind w:left="420" w:firstLine="420"/>
    </w:pPr>
    <w:rPr>
      <w:rFonts w:cs="Times New Roman"/>
      <w:kern w:val="0"/>
      <w:szCs w:val="21"/>
    </w:rPr>
  </w:style>
  <w:style w:type="paragraph" w:customStyle="1" w:styleId="41">
    <w:name w:val="Char6"/>
    <w:basedOn w:val="1"/>
    <w:qFormat/>
    <w:uiPriority w:val="0"/>
    <w:pPr>
      <w:spacing w:line="240" w:lineRule="atLeast"/>
      <w:ind w:left="420" w:firstLine="420"/>
    </w:pPr>
    <w:rPr>
      <w:rFonts w:cs="Times New Roman"/>
      <w:kern w:val="0"/>
      <w:szCs w:val="21"/>
    </w:rPr>
  </w:style>
  <w:style w:type="paragraph" w:customStyle="1" w:styleId="42">
    <w:name w:val="Char7"/>
    <w:basedOn w:val="1"/>
    <w:qFormat/>
    <w:uiPriority w:val="0"/>
    <w:pPr>
      <w:spacing w:line="240" w:lineRule="atLeast"/>
      <w:ind w:left="420" w:firstLine="420"/>
    </w:pPr>
    <w:rPr>
      <w:rFonts w:cs="Times New Roman"/>
      <w:kern w:val="0"/>
      <w:szCs w:val="21"/>
    </w:rPr>
  </w:style>
  <w:style w:type="paragraph" w:customStyle="1" w:styleId="43">
    <w:name w:val="Char8"/>
    <w:basedOn w:val="1"/>
    <w:qFormat/>
    <w:uiPriority w:val="0"/>
    <w:pPr>
      <w:spacing w:line="240" w:lineRule="atLeast"/>
      <w:ind w:left="420" w:firstLine="420"/>
    </w:pPr>
    <w:rPr>
      <w:rFonts w:cs="Times New Roman"/>
      <w:kern w:val="0"/>
      <w:szCs w:val="21"/>
    </w:rPr>
  </w:style>
  <w:style w:type="paragraph" w:customStyle="1" w:styleId="44">
    <w:name w:val="Char9"/>
    <w:basedOn w:val="1"/>
    <w:qFormat/>
    <w:uiPriority w:val="0"/>
    <w:pPr>
      <w:spacing w:line="240" w:lineRule="atLeast"/>
      <w:ind w:left="420" w:firstLine="420"/>
    </w:pPr>
    <w:rPr>
      <w:rFonts w:cs="Times New Roman"/>
      <w:kern w:val="0"/>
      <w:szCs w:val="21"/>
    </w:rPr>
  </w:style>
  <w:style w:type="paragraph" w:customStyle="1" w:styleId="4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6">
    <w:name w:val="列出段落2"/>
    <w:basedOn w:val="1"/>
    <w:qFormat/>
    <w:uiPriority w:val="0"/>
    <w:pPr>
      <w:ind w:firstLine="420" w:firstLineChars="200"/>
    </w:pPr>
    <w:rPr>
      <w:rFonts w:cs="Times New Roman"/>
      <w:szCs w:val="21"/>
    </w:rPr>
  </w:style>
  <w:style w:type="paragraph" w:customStyle="1" w:styleId="47">
    <w:name w:val="列出段落3"/>
    <w:basedOn w:val="1"/>
    <w:unhideWhenUsed/>
    <w:qFormat/>
    <w:uiPriority w:val="99"/>
    <w:pPr>
      <w:ind w:firstLine="420" w:firstLineChars="200"/>
    </w:pPr>
  </w:style>
  <w:style w:type="paragraph" w:customStyle="1" w:styleId="48">
    <w:name w:val="Char Char Char Char Char Char Char"/>
    <w:basedOn w:val="1"/>
    <w:qFormat/>
    <w:uiPriority w:val="0"/>
    <w:rPr>
      <w:rFonts w:ascii="Times New Roman" w:hAnsi="Times New Roman" w:cs="Times New Roman"/>
      <w:szCs w:val="24"/>
    </w:rPr>
  </w:style>
  <w:style w:type="paragraph" w:customStyle="1" w:styleId="49">
    <w:name w:val="Char Char Char Char Char Char Char1"/>
    <w:basedOn w:val="1"/>
    <w:qFormat/>
    <w:uiPriority w:val="0"/>
    <w:rPr>
      <w:rFonts w:ascii="Times New Roman" w:hAnsi="Times New Roman" w:cs="Times New Roman"/>
      <w:szCs w:val="24"/>
    </w:rPr>
  </w:style>
  <w:style w:type="character" w:customStyle="1" w:styleId="50">
    <w:name w:val="页眉 字符"/>
    <w:link w:val="14"/>
    <w:qFormat/>
    <w:uiPriority w:val="99"/>
    <w:rPr>
      <w:sz w:val="18"/>
      <w:szCs w:val="18"/>
    </w:rPr>
  </w:style>
  <w:style w:type="character" w:customStyle="1" w:styleId="51">
    <w:name w:val="页脚 字符"/>
    <w:link w:val="13"/>
    <w:qFormat/>
    <w:uiPriority w:val="99"/>
    <w:rPr>
      <w:sz w:val="18"/>
      <w:szCs w:val="18"/>
    </w:rPr>
  </w:style>
  <w:style w:type="character" w:customStyle="1" w:styleId="52">
    <w:name w:val="标题 1 字符"/>
    <w:link w:val="3"/>
    <w:qFormat/>
    <w:uiPriority w:val="9"/>
    <w:rPr>
      <w:b/>
      <w:bCs/>
      <w:kern w:val="44"/>
      <w:sz w:val="44"/>
      <w:szCs w:val="44"/>
    </w:rPr>
  </w:style>
  <w:style w:type="character" w:customStyle="1" w:styleId="53">
    <w:name w:val="标题 2 字符"/>
    <w:link w:val="4"/>
    <w:qFormat/>
    <w:uiPriority w:val="9"/>
    <w:rPr>
      <w:rFonts w:ascii="Cambria" w:hAnsi="Cambria" w:eastAsia="宋体" w:cs="黑体"/>
      <w:b/>
      <w:bCs/>
      <w:sz w:val="32"/>
      <w:szCs w:val="32"/>
    </w:rPr>
  </w:style>
  <w:style w:type="character" w:customStyle="1" w:styleId="54">
    <w:name w:val="批注框文本 字符"/>
    <w:link w:val="12"/>
    <w:semiHidden/>
    <w:qFormat/>
    <w:uiPriority w:val="99"/>
    <w:rPr>
      <w:sz w:val="18"/>
      <w:szCs w:val="18"/>
    </w:rPr>
  </w:style>
  <w:style w:type="character" w:customStyle="1" w:styleId="55">
    <w:name w:val="标题 3 字符"/>
    <w:link w:val="2"/>
    <w:qFormat/>
    <w:uiPriority w:val="9"/>
    <w:rPr>
      <w:b/>
      <w:bCs/>
      <w:sz w:val="32"/>
      <w:szCs w:val="32"/>
    </w:rPr>
  </w:style>
  <w:style w:type="character" w:customStyle="1" w:styleId="56">
    <w:name w:val="采购二级 Char"/>
    <w:link w:val="38"/>
    <w:qFormat/>
    <w:locked/>
    <w:uiPriority w:val="0"/>
    <w:rPr>
      <w:rFonts w:ascii="仿宋" w:hAnsi="仿宋" w:eastAsia="仿宋"/>
      <w:b/>
      <w:kern w:val="2"/>
      <w:sz w:val="24"/>
      <w:szCs w:val="24"/>
    </w:rPr>
  </w:style>
  <w:style w:type="character" w:customStyle="1" w:styleId="57">
    <w:name w:val="普通(网站) 字符"/>
    <w:link w:val="18"/>
    <w:qFormat/>
    <w:uiPriority w:val="0"/>
    <w:rPr>
      <w:rFonts w:ascii="宋体" w:hAnsi="宋体" w:cs="宋体"/>
      <w:color w:val="000000"/>
      <w:sz w:val="24"/>
      <w:szCs w:val="24"/>
    </w:rPr>
  </w:style>
  <w:style w:type="character" w:customStyle="1" w:styleId="58">
    <w:name w:val="正文文本缩进 2 字符"/>
    <w:link w:val="11"/>
    <w:qFormat/>
    <w:locked/>
    <w:uiPriority w:val="99"/>
    <w:rPr>
      <w:rFonts w:ascii="宋体" w:hAnsi="宋体"/>
      <w:kern w:val="2"/>
      <w:sz w:val="30"/>
      <w:szCs w:val="24"/>
    </w:rPr>
  </w:style>
  <w:style w:type="character" w:customStyle="1" w:styleId="59">
    <w:name w:val="正文文本缩进 2 Char1"/>
    <w:semiHidden/>
    <w:qFormat/>
    <w:uiPriority w:val="99"/>
    <w:rPr>
      <w:kern w:val="2"/>
      <w:sz w:val="21"/>
      <w:szCs w:val="22"/>
    </w:rPr>
  </w:style>
  <w:style w:type="character" w:customStyle="1" w:styleId="60">
    <w:name w:val="正文文本 字符"/>
    <w:link w:val="8"/>
    <w:qFormat/>
    <w:uiPriority w:val="99"/>
    <w:rPr>
      <w:kern w:val="2"/>
      <w:sz w:val="21"/>
      <w:szCs w:val="22"/>
    </w:rPr>
  </w:style>
  <w:style w:type="character" w:customStyle="1" w:styleId="61">
    <w:name w:val="标题 字符"/>
    <w:link w:val="19"/>
    <w:qFormat/>
    <w:uiPriority w:val="0"/>
    <w:rPr>
      <w:rFonts w:ascii="宋体" w:hAnsi="宋体"/>
      <w:b/>
      <w:kern w:val="2"/>
      <w:sz w:val="32"/>
      <w:szCs w:val="24"/>
    </w:rPr>
  </w:style>
  <w:style w:type="character" w:customStyle="1" w:styleId="62">
    <w:name w:val="font21"/>
    <w:qFormat/>
    <w:uiPriority w:val="0"/>
    <w:rPr>
      <w:rFonts w:hint="eastAsia" w:ascii="宋体" w:hAnsi="宋体" w:eastAsia="宋体" w:cs="宋体"/>
      <w:color w:val="000000"/>
      <w:sz w:val="24"/>
      <w:szCs w:val="24"/>
      <w:u w:val="none"/>
    </w:rPr>
  </w:style>
  <w:style w:type="paragraph" w:customStyle="1" w:styleId="63">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4">
    <w:name w:val="font11"/>
    <w:qFormat/>
    <w:uiPriority w:val="0"/>
    <w:rPr>
      <w:rFonts w:hint="eastAsia" w:ascii="宋体" w:hAnsi="宋体" w:eastAsia="宋体" w:cs="宋体"/>
      <w:color w:val="FF0000"/>
      <w:sz w:val="21"/>
      <w:szCs w:val="21"/>
      <w:u w:val="none"/>
    </w:rPr>
  </w:style>
  <w:style w:type="character" w:customStyle="1" w:styleId="65">
    <w:name w:val="font01"/>
    <w:qFormat/>
    <w:uiPriority w:val="0"/>
    <w:rPr>
      <w:rFonts w:hint="eastAsia" w:ascii="宋体" w:hAnsi="宋体" w:eastAsia="宋体" w:cs="宋体"/>
      <w:color w:val="000000"/>
      <w:sz w:val="21"/>
      <w:szCs w:val="21"/>
      <w:u w:val="none"/>
    </w:rPr>
  </w:style>
  <w:style w:type="character" w:customStyle="1" w:styleId="66">
    <w:name w:val="font51"/>
    <w:qFormat/>
    <w:uiPriority w:val="0"/>
    <w:rPr>
      <w:rFonts w:hint="eastAsia" w:ascii="仿宋" w:hAnsi="仿宋" w:eastAsia="仿宋" w:cs="仿宋"/>
      <w:color w:val="000000"/>
      <w:sz w:val="24"/>
      <w:szCs w:val="24"/>
      <w:u w:val="none"/>
    </w:rPr>
  </w:style>
  <w:style w:type="character" w:customStyle="1" w:styleId="67">
    <w:name w:val="font41"/>
    <w:qFormat/>
    <w:uiPriority w:val="0"/>
    <w:rPr>
      <w:rFonts w:hint="eastAsia" w:ascii="宋体" w:hAnsi="宋体" w:eastAsia="宋体" w:cs="宋体"/>
      <w:color w:val="000000"/>
      <w:sz w:val="21"/>
      <w:szCs w:val="21"/>
      <w:u w:val="none"/>
    </w:rPr>
  </w:style>
  <w:style w:type="character" w:customStyle="1" w:styleId="68">
    <w:name w:val="font61"/>
    <w:qFormat/>
    <w:uiPriority w:val="0"/>
    <w:rPr>
      <w:rFonts w:hint="eastAsia" w:ascii="仿宋" w:hAnsi="仿宋" w:eastAsia="仿宋" w:cs="仿宋"/>
      <w:color w:val="000000"/>
      <w:sz w:val="24"/>
      <w:szCs w:val="24"/>
      <w:u w:val="none"/>
    </w:rPr>
  </w:style>
  <w:style w:type="character" w:customStyle="1" w:styleId="69">
    <w:name w:val="font71"/>
    <w:qFormat/>
    <w:uiPriority w:val="0"/>
    <w:rPr>
      <w:rFonts w:hint="eastAsia" w:ascii="仿宋" w:hAnsi="仿宋" w:eastAsia="仿宋" w:cs="仿宋"/>
      <w:b/>
      <w:color w:val="000000"/>
      <w:sz w:val="24"/>
      <w:szCs w:val="24"/>
      <w:u w:val="none"/>
    </w:rPr>
  </w:style>
  <w:style w:type="character" w:customStyle="1" w:styleId="70">
    <w:name w:val="font81"/>
    <w:qFormat/>
    <w:uiPriority w:val="0"/>
    <w:rPr>
      <w:rFonts w:hint="eastAsia" w:ascii="宋体" w:hAnsi="宋体" w:eastAsia="宋体" w:cs="宋体"/>
      <w:b/>
      <w:color w:val="FF0000"/>
      <w:sz w:val="24"/>
      <w:szCs w:val="24"/>
      <w:u w:val="none"/>
    </w:rPr>
  </w:style>
  <w:style w:type="paragraph" w:customStyle="1" w:styleId="71">
    <w:name w:val="正文_0"/>
    <w:basedOn w:val="1"/>
    <w:qFormat/>
    <w:uiPriority w:val="0"/>
    <w:rPr>
      <w:rFonts w:ascii="Times New Roman" w:hAnsi="Times New Roman" w:cs="Times New Roman"/>
      <w:szCs w:val="20"/>
    </w:rPr>
  </w:style>
  <w:style w:type="character" w:customStyle="1" w:styleId="72">
    <w:name w:val="NormalCharacter"/>
    <w:qFormat/>
    <w:uiPriority w:val="0"/>
    <w:rPr>
      <w:rFonts w:ascii="Calibri" w:hAnsi="Calibri" w:eastAsia="宋体" w:cs="黑体"/>
      <w:kern w:val="2"/>
      <w:sz w:val="21"/>
      <w:szCs w:val="22"/>
      <w:lang w:val="en-US" w:eastAsia="zh-CN" w:bidi="ar-SA"/>
    </w:rPr>
  </w:style>
  <w:style w:type="paragraph" w:customStyle="1" w:styleId="73">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4">
    <w:name w:val="Table Paragraph"/>
    <w:basedOn w:val="1"/>
    <w:qFormat/>
    <w:uiPriority w:val="1"/>
    <w:pPr>
      <w:jc w:val="center"/>
    </w:pPr>
  </w:style>
  <w:style w:type="paragraph" w:styleId="75">
    <w:name w:val="List Paragraph"/>
    <w:basedOn w:val="1"/>
    <w:qFormat/>
    <w:uiPriority w:val="34"/>
    <w:pPr>
      <w:ind w:left="520" w:firstLine="419"/>
    </w:pPr>
  </w:style>
  <w:style w:type="paragraph" w:customStyle="1" w:styleId="76">
    <w:name w:val="智业正文"/>
    <w:basedOn w:val="20"/>
    <w:qFormat/>
    <w:uiPriority w:val="0"/>
    <w:pPr>
      <w:spacing w:after="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4792</Words>
  <Characters>27319</Characters>
  <Lines>227</Lines>
  <Paragraphs>64</Paragraphs>
  <TotalTime>10</TotalTime>
  <ScaleCrop>false</ScaleCrop>
  <LinksUpToDate>false</LinksUpToDate>
  <CharactersWithSpaces>32047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因为我是顾娜尔呀</cp:lastModifiedBy>
  <cp:lastPrinted>2021-04-14T04:10:00Z</cp:lastPrinted>
  <dcterms:modified xsi:type="dcterms:W3CDTF">2021-10-15T04:21:21Z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DE9C00653C934DDBB4890C1030AF8ED9</vt:lpwstr>
  </property>
</Properties>
</file>