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Noto Sans Mono CJK JP Regular" w:hAnsi="Noto Sans Mono CJK JP Regular" w:cs="Noto Sans Mono CJK JP Regular" w:eastAsiaTheme="minorEastAsia"/>
          <w:b/>
          <w:color w:val="000000" w:themeColor="text1"/>
          <w:kern w:val="0"/>
          <w:sz w:val="36"/>
          <w:szCs w:val="36"/>
          <w:lang w:val="en-US" w:eastAsia="zh-CN" w:bidi="zh-CN"/>
          <w14:textFill>
            <w14:solidFill>
              <w14:schemeClr w14:val="tx1"/>
            </w14:solidFill>
          </w14:textFill>
        </w:rPr>
      </w:pPr>
      <w:r>
        <w:rPr>
          <w:rFonts w:hint="eastAsia" w:ascii="Noto Sans Mono CJK JP Regular" w:hAnsi="Noto Sans Mono CJK JP Regular" w:cs="Noto Sans Mono CJK JP Regular" w:eastAsiaTheme="minorEastAsia"/>
          <w:b/>
          <w:color w:val="000000" w:themeColor="text1"/>
          <w:kern w:val="0"/>
          <w:sz w:val="36"/>
          <w:szCs w:val="36"/>
          <w:lang w:val="en-US" w:eastAsia="zh-CN" w:bidi="zh-CN"/>
          <w14:textFill>
            <w14:solidFill>
              <w14:schemeClr w14:val="tx1"/>
            </w14:solidFill>
          </w14:textFill>
        </w:rPr>
        <w:t>莎车县农业农村局2021年莎车县林果基地示范</w:t>
      </w:r>
    </w:p>
    <w:p>
      <w:pPr>
        <w:autoSpaceDE w:val="0"/>
        <w:autoSpaceDN w:val="0"/>
        <w:jc w:val="center"/>
        <w:rPr>
          <w:rFonts w:hint="eastAsia" w:ascii="Noto Sans Mono CJK JP Regular" w:hAnsi="Noto Sans Mono CJK JP Regular" w:cs="Noto Sans Mono CJK JP Regular" w:eastAsiaTheme="minorEastAsia"/>
          <w:b/>
          <w:color w:val="000000" w:themeColor="text1"/>
          <w:kern w:val="0"/>
          <w:sz w:val="36"/>
          <w:szCs w:val="36"/>
          <w:lang w:val="en-US" w:eastAsia="zh-CN" w:bidi="zh-CN"/>
          <w14:textFill>
            <w14:solidFill>
              <w14:schemeClr w14:val="tx1"/>
            </w14:solidFill>
          </w14:textFill>
        </w:rPr>
      </w:pPr>
      <w:r>
        <w:rPr>
          <w:rFonts w:hint="eastAsia" w:ascii="Noto Sans Mono CJK JP Regular" w:hAnsi="Noto Sans Mono CJK JP Regular" w:cs="Noto Sans Mono CJK JP Regular" w:eastAsiaTheme="minorEastAsia"/>
          <w:b/>
          <w:color w:val="000000" w:themeColor="text1"/>
          <w:kern w:val="0"/>
          <w:sz w:val="36"/>
          <w:szCs w:val="36"/>
          <w:lang w:val="en-US" w:eastAsia="zh-CN" w:bidi="zh-CN"/>
          <w14:textFill>
            <w14:solidFill>
              <w14:schemeClr w14:val="tx1"/>
            </w14:solidFill>
          </w14:textFill>
        </w:rPr>
        <w:t>园建设项目设备工具采购项目需求书</w:t>
      </w:r>
    </w:p>
    <w:p>
      <w:pPr>
        <w:pStyle w:val="2"/>
        <w:rPr>
          <w:rFonts w:hint="default"/>
          <w:lang w:val="en-US" w:eastAsia="zh-CN"/>
        </w:rPr>
      </w:pPr>
    </w:p>
    <w:p>
      <w:pPr>
        <w:keepNext w:val="0"/>
        <w:keepLines w:val="0"/>
        <w:widowControl/>
        <w:suppressLineNumbers w:val="0"/>
        <w:ind w:firstLine="562" w:firstLineChars="200"/>
        <w:jc w:val="both"/>
        <w:rPr>
          <w:rFonts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一、采购标的需实现的功能或者目标，以及为落实政府采购政策需满足的要求</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（一）采购标的需实现的功能或者目标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满足项目需要的技术、服务、安全等要求，采购项目的数量、交付或者实施的时间和地点。</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（二）为落实政府采购政策需满足的要求</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（1）《关于中国环境标志产品政府采购实施的意见》（财库[2006]90号）； </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（2）《关于开展政府采购信用担保试点工作的通知》（财库【2011】124号）；</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（3）《关于印发《政府采购促进中小企业发展暂行办法》的通知》（财库【2011】181号）；</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（4）《财政部、司法部关于政府采购支持监狱企业发展有关问题的通知》（财库【2014】68号）；</w:t>
      </w:r>
    </w:p>
    <w:p>
      <w:pPr>
        <w:pStyle w:val="4"/>
        <w:rPr>
          <w:rFonts w:hint="eastAsia" w:ascii="宋体" w:hAnsi="宋体" w:eastAsia="宋体" w:cs="Calibri"/>
          <w:spacing w:val="15"/>
          <w:kern w:val="10"/>
          <w:sz w:val="22"/>
          <w:szCs w:val="22"/>
          <w:lang w:val="en-US" w:eastAsia="zh-CN" w:bidi="ar-SA"/>
        </w:rPr>
      </w:pPr>
      <w:r>
        <w:rPr>
          <w:rFonts w:hint="eastAsia" w:ascii="仿宋_GB2312" w:hAnsi="仿宋_GB2312" w:eastAsia="仿宋_GB2312" w:cs="仿宋_GB2312"/>
          <w:b w:val="0"/>
          <w:bCs w:val="0"/>
          <w:color w:val="000000"/>
          <w:kern w:val="0"/>
          <w:sz w:val="28"/>
          <w:szCs w:val="28"/>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二、供应商资格</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2、具有所投项目相关经营范围企业法人营业执照正本或副本原件（要求营业执照里面的经营范围必须包含本项目的经营许可）；</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投标法人授权委托书及被授权委托人身份证原件,被授权委托人必须是投标单位正式员工在本单位缴纳的4月至9月的社保证明原件（单位社保缴费凭证和个人明细表）原件；法定代表人身份证原件及法人身份代表证明，需提供本单位社保缴费凭证（4-9月）原件；</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4、提供税务部门出具的上一季度（4-9月）的完税证明原件；</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5、提供2020年的财务审计报告（新成立公司需提供银行资信证明）；</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6、参与政府采购活动前3年内未被列入失信、重大税收违法案件、财政部门禁止参加政府采购活动的承诺书；</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7、提供针对本次项目的反商业贿赂承诺书；</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三、采购标的需执行的国家相关标准、行业标准、地方标准或者其他标准、规范：无。</w:t>
      </w:r>
    </w:p>
    <w:p>
      <w:pPr>
        <w:keepNext w:val="0"/>
        <w:keepLines w:val="0"/>
        <w:widowControl/>
        <w:suppressLineNumbers w:val="0"/>
        <w:ind w:firstLine="562"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四、</w:t>
      </w:r>
      <w:r>
        <w:rPr>
          <w:rFonts w:ascii="仿宋_GB2312" w:hAnsi="仿宋_GB2312" w:eastAsia="仿宋_GB2312" w:cs="仿宋_GB2312"/>
          <w:b/>
          <w:bCs/>
          <w:color w:val="000000"/>
          <w:kern w:val="0"/>
          <w:sz w:val="28"/>
          <w:szCs w:val="28"/>
          <w:lang w:val="en-US" w:eastAsia="zh-CN" w:bidi="ar"/>
        </w:rPr>
        <w:t>采购实施计划</w:t>
      </w:r>
      <w:r>
        <w:rPr>
          <w:rFonts w:hint="eastAsia" w:ascii="仿宋_GB2312" w:hAnsi="仿宋_GB2312" w:eastAsia="仿宋_GB2312" w:cs="仿宋_GB2312"/>
          <w:b/>
          <w:bCs/>
          <w:color w:val="000000"/>
          <w:kern w:val="0"/>
          <w:sz w:val="28"/>
          <w:szCs w:val="28"/>
          <w:lang w:val="en-US" w:eastAsia="zh-CN" w:bidi="ar"/>
        </w:rPr>
        <w:t>主要内容</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1、采购内容：电动摘果剪、手持电动剪、电动加热剪、手持电锯等</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w:t>
      </w:r>
      <w:r>
        <w:rPr>
          <w:rFonts w:ascii="仿宋_GB2312" w:hAnsi="仿宋_GB2312" w:eastAsia="仿宋_GB2312" w:cs="仿宋_GB2312"/>
          <w:b w:val="0"/>
          <w:bCs w:val="0"/>
          <w:color w:val="000000"/>
          <w:kern w:val="0"/>
          <w:sz w:val="28"/>
          <w:szCs w:val="28"/>
          <w:lang w:val="en-US" w:eastAsia="zh-CN" w:bidi="ar"/>
        </w:rPr>
        <w:t>采购项目预（概）算</w:t>
      </w:r>
      <w:r>
        <w:rPr>
          <w:rFonts w:hint="eastAsia" w:ascii="仿宋_GB2312" w:hAnsi="仿宋_GB2312" w:eastAsia="仿宋_GB2312" w:cs="仿宋_GB2312"/>
          <w:b w:val="0"/>
          <w:bCs w:val="0"/>
          <w:color w:val="000000"/>
          <w:kern w:val="0"/>
          <w:sz w:val="28"/>
          <w:szCs w:val="28"/>
          <w:lang w:val="en-US" w:eastAsia="zh-CN" w:bidi="ar"/>
        </w:rPr>
        <w:t>：1120000元</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w:t>
      </w:r>
      <w:r>
        <w:rPr>
          <w:rFonts w:ascii="仿宋_GB2312" w:hAnsi="仿宋_GB2312" w:eastAsia="仿宋_GB2312" w:cs="仿宋_GB2312"/>
          <w:b w:val="0"/>
          <w:bCs w:val="0"/>
          <w:color w:val="000000"/>
          <w:kern w:val="0"/>
          <w:sz w:val="28"/>
          <w:szCs w:val="28"/>
          <w:lang w:val="en-US" w:eastAsia="zh-CN" w:bidi="ar"/>
        </w:rPr>
        <w:t>最高限价</w:t>
      </w:r>
      <w:r>
        <w:rPr>
          <w:rFonts w:hint="eastAsia" w:ascii="仿宋_GB2312" w:hAnsi="仿宋_GB2312" w:eastAsia="仿宋_GB2312" w:cs="仿宋_GB2312"/>
          <w:b w:val="0"/>
          <w:bCs w:val="0"/>
          <w:color w:val="000000"/>
          <w:kern w:val="0"/>
          <w:sz w:val="28"/>
          <w:szCs w:val="28"/>
          <w:lang w:val="en-US" w:eastAsia="zh-CN" w:bidi="ar"/>
        </w:rPr>
        <w:t>：1120000元</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lang w:val="en-US" w:eastAsia="zh-CN" w:bidi="ar"/>
        </w:rPr>
        <w:t>4、</w:t>
      </w:r>
      <w:r>
        <w:rPr>
          <w:rFonts w:ascii="仿宋_GB2312" w:hAnsi="仿宋_GB2312" w:eastAsia="仿宋_GB2312" w:cs="仿宋_GB2312"/>
          <w:b w:val="0"/>
          <w:bCs w:val="0"/>
          <w:color w:val="000000"/>
          <w:kern w:val="0"/>
          <w:sz w:val="28"/>
          <w:szCs w:val="28"/>
          <w:lang w:val="en-US" w:eastAsia="zh-CN" w:bidi="ar"/>
        </w:rPr>
        <w:t>开展采购活动的时间安排</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b w:val="0"/>
          <w:bCs w:val="0"/>
          <w:color w:val="000000"/>
          <w:kern w:val="0"/>
          <w:sz w:val="28"/>
          <w:szCs w:val="28"/>
          <w:highlight w:val="none"/>
          <w:lang w:val="en-US" w:eastAsia="zh-CN" w:bidi="ar"/>
        </w:rPr>
        <w:t>2021年11月4日下午16:00(北京时间)</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w:t>
      </w:r>
      <w:r>
        <w:rPr>
          <w:rFonts w:ascii="仿宋_GB2312" w:hAnsi="仿宋_GB2312" w:eastAsia="仿宋_GB2312" w:cs="仿宋_GB2312"/>
          <w:b w:val="0"/>
          <w:bCs w:val="0"/>
          <w:color w:val="000000"/>
          <w:kern w:val="0"/>
          <w:sz w:val="28"/>
          <w:szCs w:val="28"/>
          <w:lang w:val="en-US" w:eastAsia="zh-CN" w:bidi="ar"/>
        </w:rPr>
        <w:t>采购组织形式</w:t>
      </w:r>
      <w:r>
        <w:rPr>
          <w:rFonts w:hint="eastAsia" w:ascii="仿宋_GB2312" w:hAnsi="仿宋_GB2312" w:eastAsia="仿宋_GB2312" w:cs="仿宋_GB2312"/>
          <w:b w:val="0"/>
          <w:bCs w:val="0"/>
          <w:color w:val="000000"/>
          <w:kern w:val="0"/>
          <w:sz w:val="28"/>
          <w:szCs w:val="28"/>
          <w:lang w:val="en-US" w:eastAsia="zh-CN" w:bidi="ar"/>
        </w:rPr>
        <w:t>：分散采购-委托中介</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6、</w:t>
      </w:r>
      <w:r>
        <w:rPr>
          <w:rFonts w:ascii="仿宋_GB2312" w:hAnsi="仿宋_GB2312" w:eastAsia="仿宋_GB2312" w:cs="仿宋_GB2312"/>
          <w:b w:val="0"/>
          <w:bCs w:val="0"/>
          <w:color w:val="000000"/>
          <w:kern w:val="0"/>
          <w:sz w:val="28"/>
          <w:szCs w:val="28"/>
          <w:lang w:val="en-US" w:eastAsia="zh-CN" w:bidi="ar"/>
        </w:rPr>
        <w:t>委托代理安排</w:t>
      </w:r>
      <w:r>
        <w:rPr>
          <w:rFonts w:hint="eastAsia" w:ascii="仿宋_GB2312" w:hAnsi="仿宋_GB2312" w:eastAsia="仿宋_GB2312" w:cs="仿宋_GB2312"/>
          <w:b w:val="0"/>
          <w:bCs w:val="0"/>
          <w:color w:val="000000"/>
          <w:kern w:val="0"/>
          <w:sz w:val="28"/>
          <w:szCs w:val="28"/>
          <w:lang w:val="en-US" w:eastAsia="zh-CN" w:bidi="ar"/>
        </w:rPr>
        <w:t>：新疆永信国金工程管理咨询有限公司</w:t>
      </w:r>
    </w:p>
    <w:p>
      <w:pPr>
        <w:keepNext w:val="0"/>
        <w:keepLines w:val="0"/>
        <w:widowControl/>
        <w:suppressLineNumbers w:val="0"/>
        <w:ind w:firstLine="560" w:firstLineChars="200"/>
        <w:jc w:val="both"/>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b w:val="0"/>
          <w:bCs w:val="0"/>
          <w:color w:val="000000"/>
          <w:kern w:val="0"/>
          <w:sz w:val="28"/>
          <w:szCs w:val="28"/>
          <w:lang w:val="en-US" w:eastAsia="zh-CN" w:bidi="ar"/>
        </w:rPr>
        <w:t>7、</w:t>
      </w:r>
      <w:r>
        <w:rPr>
          <w:rFonts w:ascii="仿宋_GB2312" w:hAnsi="仿宋_GB2312" w:eastAsia="仿宋_GB2312" w:cs="仿宋_GB2312"/>
          <w:b w:val="0"/>
          <w:bCs w:val="0"/>
          <w:color w:val="000000"/>
          <w:kern w:val="0"/>
          <w:sz w:val="28"/>
          <w:szCs w:val="28"/>
          <w:lang w:val="en-US" w:eastAsia="zh-CN" w:bidi="ar"/>
        </w:rPr>
        <w:t>采购包划分与合同分包</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color w:val="000000"/>
          <w:kern w:val="0"/>
          <w:sz w:val="28"/>
          <w:szCs w:val="28"/>
          <w:lang w:bidi="ar"/>
        </w:rPr>
        <w:t>本项目</w:t>
      </w:r>
      <w:r>
        <w:rPr>
          <w:rFonts w:hint="eastAsia" w:ascii="仿宋_GB2312" w:hAnsi="仿宋_GB2312" w:eastAsia="仿宋_GB2312" w:cs="仿宋_GB2312"/>
          <w:color w:val="000000"/>
          <w:kern w:val="0"/>
          <w:sz w:val="28"/>
          <w:szCs w:val="28"/>
          <w:lang w:eastAsia="zh-CN" w:bidi="ar"/>
        </w:rPr>
        <w:t>不分标段</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8、</w:t>
      </w:r>
      <w:r>
        <w:rPr>
          <w:rFonts w:ascii="仿宋_GB2312" w:hAnsi="仿宋_GB2312" w:eastAsia="仿宋_GB2312" w:cs="仿宋_GB2312"/>
          <w:b w:val="0"/>
          <w:bCs w:val="0"/>
          <w:color w:val="000000"/>
          <w:kern w:val="0"/>
          <w:sz w:val="28"/>
          <w:szCs w:val="28"/>
          <w:lang w:val="en-US" w:eastAsia="zh-CN" w:bidi="ar"/>
        </w:rPr>
        <w:t>采购方式</w:t>
      </w:r>
      <w:r>
        <w:rPr>
          <w:rFonts w:hint="eastAsia" w:ascii="仿宋_GB2312" w:hAnsi="仿宋_GB2312" w:eastAsia="仿宋_GB2312" w:cs="仿宋_GB2312"/>
          <w:b w:val="0"/>
          <w:bCs w:val="0"/>
          <w:color w:val="000000"/>
          <w:kern w:val="0"/>
          <w:sz w:val="28"/>
          <w:szCs w:val="28"/>
          <w:lang w:val="en-US" w:eastAsia="zh-CN" w:bidi="ar"/>
        </w:rPr>
        <w:t>：竞争性谈判</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9、竞争范围：符合资质要求的所有投标企业</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10、</w:t>
      </w:r>
      <w:r>
        <w:rPr>
          <w:rFonts w:ascii="仿宋_GB2312" w:hAnsi="仿宋_GB2312" w:eastAsia="仿宋_GB2312" w:cs="仿宋_GB2312"/>
          <w:b w:val="0"/>
          <w:bCs w:val="0"/>
          <w:color w:val="000000"/>
          <w:kern w:val="0"/>
          <w:sz w:val="28"/>
          <w:szCs w:val="28"/>
          <w:highlight w:val="none"/>
          <w:lang w:val="en-US" w:eastAsia="zh-CN" w:bidi="ar"/>
        </w:rPr>
        <w:t>评审规则</w:t>
      </w:r>
      <w:r>
        <w:rPr>
          <w:rFonts w:hint="eastAsia" w:ascii="仿宋_GB2312" w:hAnsi="仿宋_GB2312" w:eastAsia="仿宋_GB2312" w:cs="仿宋_GB2312"/>
          <w:b w:val="0"/>
          <w:bCs w:val="0"/>
          <w:color w:val="000000"/>
          <w:kern w:val="0"/>
          <w:sz w:val="28"/>
          <w:szCs w:val="28"/>
          <w:highlight w:val="none"/>
          <w:lang w:val="en-US" w:eastAsia="zh-CN" w:bidi="ar"/>
        </w:rPr>
        <w:t>：最低评标价法,通过资格性审查、符合性审查后的合格供应商取最低的二次报价为第一中标候选人。 </w:t>
      </w:r>
    </w:p>
    <w:p>
      <w:pPr>
        <w:keepNext w:val="0"/>
        <w:keepLines w:val="0"/>
        <w:widowControl/>
        <w:suppressLineNumbers w:val="0"/>
        <w:ind w:firstLine="622"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（一）</w:t>
      </w:r>
      <w:r>
        <w:rPr>
          <w:rFonts w:hint="eastAsia" w:ascii="仿宋_GB2312" w:hAnsi="仿宋_GB2312" w:eastAsia="仿宋_GB2312" w:cs="仿宋_GB2312"/>
          <w:b w:val="0"/>
          <w:bCs w:val="0"/>
          <w:color w:val="000000"/>
          <w:kern w:val="0"/>
          <w:sz w:val="31"/>
          <w:szCs w:val="31"/>
          <w:lang w:val="en-US" w:eastAsia="zh-CN" w:bidi="ar"/>
        </w:rPr>
        <w:t>货物</w:t>
      </w:r>
      <w:r>
        <w:rPr>
          <w:rFonts w:hint="eastAsia" w:ascii="仿宋_GB2312" w:hAnsi="仿宋_GB2312" w:eastAsia="仿宋_GB2312" w:cs="仿宋_GB2312"/>
          <w:b w:val="0"/>
          <w:bCs w:val="0"/>
          <w:color w:val="auto"/>
          <w:kern w:val="0"/>
          <w:sz w:val="31"/>
          <w:szCs w:val="31"/>
          <w:lang w:val="en-US" w:eastAsia="zh-CN" w:bidi="ar"/>
        </w:rPr>
        <w:t>内容、数量</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806"/>
        <w:gridCol w:w="4942"/>
        <w:gridCol w:w="638"/>
        <w:gridCol w:w="638"/>
        <w:gridCol w:w="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覆带行走升降车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形式：履带自走式</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 xml:space="preserve">配套动力：≥8.5kW 柴油发动机 </w:t>
            </w:r>
            <w:r>
              <w:rPr>
                <w:rFonts w:hint="eastAsia"/>
                <w:highlight w:val="none"/>
                <w:lang w:val="en-US" w:eastAsia="zh-CN"/>
              </w:rPr>
              <w:br w:type="textWrapping"/>
            </w:r>
            <w:r>
              <w:rPr>
                <w:rFonts w:hint="eastAsia"/>
                <w:highlight w:val="none"/>
                <w:lang w:val="en-US" w:eastAsia="zh-CN"/>
              </w:rPr>
              <w:t>最大平台高度≥2.3m</w:t>
            </w:r>
            <w:r>
              <w:rPr>
                <w:rFonts w:hint="eastAsia"/>
                <w:highlight w:val="none"/>
                <w:lang w:val="en-US" w:eastAsia="zh-CN"/>
              </w:rPr>
              <w:br w:type="textWrapping"/>
            </w:r>
            <w:r>
              <w:rPr>
                <w:rFonts w:hint="eastAsia"/>
                <w:highlight w:val="none"/>
                <w:lang w:val="en-US" w:eastAsia="zh-CN"/>
              </w:rPr>
              <w:t xml:space="preserve">安全工作载荷≥350kg   </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 xml:space="preserve">延伸平台安全工作载荷：113kg   </w:t>
            </w:r>
            <w:r>
              <w:rPr>
                <w:rFonts w:hint="eastAsia"/>
                <w:highlight w:val="none"/>
                <w:lang w:val="en-US" w:eastAsia="zh-CN"/>
              </w:rPr>
              <w:br w:type="textWrapping"/>
            </w:r>
            <w:r>
              <w:rPr>
                <w:rFonts w:hint="eastAsia"/>
                <w:highlight w:val="none"/>
                <w:lang w:val="en-US" w:eastAsia="zh-CN"/>
              </w:rPr>
              <w:t xml:space="preserve">工作平台宽度：1040mm-1900mm   </w:t>
            </w:r>
            <w:r>
              <w:rPr>
                <w:rFonts w:hint="eastAsia"/>
                <w:highlight w:val="none"/>
                <w:lang w:val="en-US" w:eastAsia="zh-CN"/>
              </w:rPr>
              <w:br w:type="textWrapping"/>
            </w:r>
            <w:r>
              <w:rPr>
                <w:rFonts w:hint="eastAsia"/>
                <w:highlight w:val="none"/>
                <w:lang w:val="en-US" w:eastAsia="zh-CN"/>
              </w:rPr>
              <w:t xml:space="preserve">平台空载质量：750公斤  </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 xml:space="preserve">外形尺寸≥2400mm×1000mm×1700mm </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 xml:space="preserve">轨距≥700 </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升降装置：双液压油缸</w:t>
            </w:r>
          </w:p>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附带一台气泵和一把气动剪刀。</w:t>
            </w:r>
          </w:p>
          <w:p>
            <w:pPr>
              <w:pStyle w:val="2"/>
              <w:ind w:left="0" w:leftChars="0" w:firstLine="0" w:firstLineChars="0"/>
              <w:rPr>
                <w:rFonts w:hint="eastAsia" w:eastAsia="宋体"/>
                <w:lang w:val="en-US" w:eastAsia="zh-CN"/>
              </w:rPr>
            </w:pPr>
            <w:r>
              <w:rPr>
                <w:rFonts w:hint="eastAsia" w:ascii="Calibri" w:hAnsi="Calibri" w:eastAsia="宋体" w:cs="Calibri"/>
                <w:kern w:val="2"/>
                <w:sz w:val="21"/>
                <w:szCs w:val="21"/>
                <w:highlight w:val="none"/>
                <w:lang w:val="en-US" w:eastAsia="zh-CN" w:bidi="ar-SA"/>
              </w:rPr>
              <w:t>提供检测报告原件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地区级2台，县级1台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自走履带打药车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形式：送风式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配套动力：单杠、四冲程、风冷柴油机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主机配套功率≥7.6 kW/1800rpm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风机配套功率≥5.5kW/3600rpm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风机形式：轴流式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叶片直径≥560mm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液泵形式：柱塞泵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变速箱结构：3前进2后退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整机运行方式：可手动/可遥控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整机重量≥500kg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药箱容积≥350L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外形尺寸（长×宽×高） mm ≥2800×780×1770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水平/垂直射程≥10.5m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地区级2台，县级1台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电动摘果剪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工作电压≥21V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电池包数量≥2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电池包容量≥6Ah/2.5AH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剪切直径≥30mm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传动结构：减速箱摆齿传动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电机类型：无刷电机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延长杆长度≥1200mm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配置双电池包，可直插剪刀，也可通过电源线连接剪刀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直插电池包续航时间≥4小时，背负电池包续航时间≥8小时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刀片上配置摘果器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每50亩1台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手持电动剪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电池容量：2.0Ah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电池数量≥2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工作时间≥8小时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电机类型：无刷电机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传动结构：三级齿轮传动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最大剪切直径：30mm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两档开口20mm/30mm,长按5S可切换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直柄设计，不挂枝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每20亩1台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电动加热剪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净重1公斤</w:t>
            </w:r>
            <w:r>
              <w:rPr>
                <w:rFonts w:hint="eastAsia"/>
                <w:lang w:val="en-US" w:eastAsia="zh-CN"/>
              </w:rPr>
              <w:br w:type="textWrapping"/>
            </w:r>
            <w:r>
              <w:rPr>
                <w:rFonts w:hint="eastAsia"/>
                <w:lang w:val="en-US" w:eastAsia="zh-CN"/>
              </w:rPr>
              <w:t>工作电压36v</w:t>
            </w:r>
            <w:r>
              <w:rPr>
                <w:rFonts w:hint="eastAsia"/>
                <w:lang w:val="en-US" w:eastAsia="zh-CN"/>
              </w:rPr>
              <w:br w:type="textWrapping"/>
            </w:r>
            <w:r>
              <w:rPr>
                <w:rFonts w:hint="eastAsia"/>
                <w:lang w:val="en-US" w:eastAsia="zh-CN"/>
              </w:rPr>
              <w:t>剪枝直径为30mm</w:t>
            </w:r>
            <w:r>
              <w:rPr>
                <w:rFonts w:hint="eastAsia"/>
                <w:lang w:val="en-US" w:eastAsia="zh-CN"/>
              </w:rPr>
              <w:br w:type="textWrapping"/>
            </w:r>
            <w:r>
              <w:rPr>
                <w:rFonts w:hint="eastAsia"/>
                <w:lang w:val="en-US" w:eastAsia="zh-CN"/>
              </w:rPr>
              <w:t>电池充电为1-1.5小时</w:t>
            </w:r>
            <w:r>
              <w:rPr>
                <w:rFonts w:hint="eastAsia"/>
                <w:lang w:val="en-US" w:eastAsia="zh-CN"/>
              </w:rPr>
              <w:br w:type="textWrapping"/>
            </w:r>
            <w:r>
              <w:rPr>
                <w:rFonts w:hint="eastAsia"/>
                <w:lang w:val="en-US" w:eastAsia="zh-CN"/>
              </w:rPr>
              <w:t>额定功率100W</w:t>
            </w:r>
          </w:p>
          <w:p>
            <w:pPr>
              <w:keepNext w:val="0"/>
              <w:keepLines w:val="0"/>
              <w:widowControl/>
              <w:suppressLineNumbers w:val="0"/>
              <w:jc w:val="left"/>
              <w:textAlignment w:val="center"/>
              <w:rPr>
                <w:rFonts w:hint="eastAsia"/>
                <w:lang w:val="en-US" w:eastAsia="zh-CN"/>
              </w:rPr>
            </w:pPr>
            <w:r>
              <w:rPr>
                <w:rFonts w:hint="eastAsia"/>
                <w:lang w:val="en-US" w:eastAsia="zh-CN"/>
              </w:rPr>
              <w:t xml:space="preserve">刀片工作温度120-150℃ </w:t>
            </w:r>
            <w:r>
              <w:rPr>
                <w:rFonts w:hint="eastAsia"/>
                <w:lang w:val="en-US" w:eastAsia="zh-CN"/>
              </w:rPr>
              <w:br w:type="textWrapping"/>
            </w:r>
            <w:r>
              <w:rPr>
                <w:rFonts w:hint="eastAsia"/>
                <w:lang w:val="en-US" w:eastAsia="zh-CN"/>
              </w:rPr>
              <w:t>锂电池16.8V</w:t>
            </w:r>
            <w:r>
              <w:rPr>
                <w:rFonts w:hint="eastAsia"/>
                <w:lang w:val="en-US" w:eastAsia="zh-CN"/>
              </w:rPr>
              <w:br w:type="textWrapping"/>
            </w:r>
            <w:r>
              <w:rPr>
                <w:rFonts w:hint="eastAsia"/>
                <w:lang w:val="en-US" w:eastAsia="zh-CN"/>
              </w:rPr>
              <w:t>电池工作时间5-6小时</w:t>
            </w:r>
            <w:r>
              <w:rPr>
                <w:rFonts w:hint="eastAsia"/>
                <w:lang w:val="en-US" w:eastAsia="zh-CN"/>
              </w:rPr>
              <w:br w:type="textWrapping"/>
            </w:r>
            <w:r>
              <w:rPr>
                <w:rFonts w:hint="eastAsia"/>
                <w:lang w:val="en-US" w:eastAsia="zh-CN"/>
              </w:rPr>
              <w:t>充电器输入电压AC110-220V.</w:t>
            </w:r>
          </w:p>
          <w:p>
            <w:pPr>
              <w:pStyle w:val="2"/>
              <w:ind w:left="0" w:leftChars="0" w:firstLine="0" w:firstLineChars="0"/>
              <w:jc w:val="both"/>
              <w:rPr>
                <w:rFonts w:hint="eastAsia" w:eastAsia="宋体"/>
                <w:lang w:eastAsia="zh-CN"/>
              </w:rPr>
            </w:pPr>
            <w:r>
              <w:rPr>
                <w:rFonts w:hint="eastAsia" w:ascii="Calibri" w:hAnsi="Calibri" w:eastAsia="宋体" w:cs="Calibri"/>
                <w:kern w:val="2"/>
                <w:sz w:val="21"/>
                <w:szCs w:val="21"/>
                <w:lang w:val="en-US" w:eastAsia="zh-CN" w:bidi="ar-SA"/>
              </w:rPr>
              <w:t>提供检测报告原件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每100亩1台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手持电锯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切割长度：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链速：5.5m/s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电机转速：2800rpm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链条长度：240mm（8寸）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充电电压：21.5V，充电电流1.5A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整机重量≤3.5kg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电池包容量：4Ah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充电时长≤2.5H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每100亩1台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打药机（带400升药箱）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打药机：外形尺寸： 390mm*370mm*360mm、转速：≥850（r/min）功率：≥750W(.配件：包纱管60米，一个喷枪，进水管及滤网各一个)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2、400升药箱：主材料：滚塑材质，内外光滑、耐、酸碱、耐高低温、耐碰撞、容量：≥400L、壁厚：0.8㎝以上、外形尺寸：长120cm,宽≥60cm小于90cm，高：90cm、带盖、底座带阀门</w:t>
            </w:r>
          </w:p>
          <w:p>
            <w:pPr>
              <w:keepNext w:val="0"/>
              <w:keepLines w:val="0"/>
              <w:widowControl/>
              <w:numPr>
                <w:numId w:val="0"/>
              </w:numPr>
              <w:suppressLineNumbers w:val="0"/>
              <w:jc w:val="left"/>
              <w:textAlignment w:val="center"/>
              <w:rPr>
                <w:rFonts w:hint="eastAsia" w:ascii="宋体" w:hAnsi="宋体" w:eastAsia="宋体" w:cs="宋体"/>
                <w:i w:val="0"/>
                <w:iCs w:val="0"/>
                <w:color w:val="000000"/>
                <w:sz w:val="20"/>
                <w:szCs w:val="20"/>
                <w:u w:val="none"/>
              </w:rPr>
            </w:pPr>
            <w:bookmarkStart w:id="0" w:name="_GoBack"/>
            <w:bookmarkEnd w:id="0"/>
            <w:r>
              <w:rPr>
                <w:rFonts w:hint="eastAsia" w:ascii="宋体" w:hAnsi="宋体" w:eastAsia="宋体" w:cs="宋体"/>
                <w:i w:val="0"/>
                <w:iCs w:val="0"/>
                <w:color w:val="000000"/>
                <w:kern w:val="0"/>
                <w:sz w:val="20"/>
                <w:szCs w:val="20"/>
                <w:u w:val="none"/>
                <w:lang w:val="en-US" w:eastAsia="zh-CN" w:bidi="ar"/>
              </w:rPr>
              <w:t>提供检测报告原件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每50亩1台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总长：183mm</w:t>
            </w:r>
            <w:r>
              <w:rPr>
                <w:rFonts w:hint="eastAsia"/>
                <w:highlight w:val="none"/>
                <w:lang w:val="en-US" w:eastAsia="zh-CN"/>
              </w:rPr>
              <w:br w:type="textWrapping"/>
            </w:r>
            <w:r>
              <w:rPr>
                <w:rFonts w:hint="eastAsia"/>
                <w:highlight w:val="none"/>
                <w:lang w:val="en-US" w:eastAsia="zh-CN"/>
              </w:rPr>
              <w:t>柄长：117mm</w:t>
            </w:r>
            <w:r>
              <w:rPr>
                <w:rFonts w:hint="eastAsia"/>
                <w:highlight w:val="none"/>
                <w:lang w:val="en-US" w:eastAsia="zh-CN"/>
              </w:rPr>
              <w:br w:type="textWrapping"/>
            </w:r>
            <w:r>
              <w:rPr>
                <w:rFonts w:hint="eastAsia"/>
                <w:highlight w:val="none"/>
                <w:lang w:val="en-US" w:eastAsia="zh-CN"/>
              </w:rPr>
              <w:t>闭合柄宽50mm</w:t>
            </w:r>
            <w:r>
              <w:rPr>
                <w:rFonts w:hint="eastAsia"/>
                <w:highlight w:val="none"/>
                <w:lang w:val="en-US" w:eastAsia="zh-CN"/>
              </w:rPr>
              <w:br w:type="textWrapping"/>
            </w:r>
            <w:r>
              <w:rPr>
                <w:rFonts w:hint="eastAsia"/>
                <w:highlight w:val="none"/>
                <w:lang w:val="en-US" w:eastAsia="zh-CN"/>
              </w:rPr>
              <w:t>刃口长66mm</w:t>
            </w:r>
            <w:r>
              <w:rPr>
                <w:rFonts w:hint="eastAsia"/>
                <w:highlight w:val="none"/>
                <w:lang w:val="en-US" w:eastAsia="zh-CN"/>
              </w:rPr>
              <w:br w:type="textWrapping"/>
            </w:r>
            <w:r>
              <w:rPr>
                <w:rFonts w:hint="eastAsia"/>
                <w:highlight w:val="none"/>
                <w:lang w:val="en-US" w:eastAsia="zh-CN"/>
              </w:rPr>
              <w:t>中心锁紧螺丝</w:t>
            </w:r>
            <w:r>
              <w:rPr>
                <w:rFonts w:hint="eastAsia"/>
                <w:highlight w:val="none"/>
                <w:lang w:val="en-US" w:eastAsia="zh-CN"/>
              </w:rPr>
              <w:br w:type="textWrapping"/>
            </w:r>
            <w:r>
              <w:rPr>
                <w:rFonts w:hint="eastAsia"/>
                <w:highlight w:val="none"/>
                <w:lang w:val="en-US" w:eastAsia="zh-CN"/>
              </w:rPr>
              <w:t>硬度HRC59.</w:t>
            </w:r>
          </w:p>
          <w:p>
            <w:pPr>
              <w:pStyle w:val="2"/>
              <w:ind w:left="0" w:leftChars="0" w:firstLine="0" w:firstLineChars="0"/>
              <w:rPr>
                <w:rFonts w:hint="eastAsia" w:eastAsia="宋体"/>
                <w:highlight w:val="none"/>
                <w:lang w:eastAsia="zh-CN"/>
              </w:rPr>
            </w:pPr>
            <w:r>
              <w:rPr>
                <w:rFonts w:hint="eastAsia" w:ascii="Calibri" w:hAnsi="Calibri" w:eastAsia="宋体" w:cs="Calibri"/>
                <w:kern w:val="2"/>
                <w:sz w:val="21"/>
                <w:szCs w:val="21"/>
                <w:highlight w:val="none"/>
                <w:lang w:val="en-US" w:eastAsia="zh-CN" w:bidi="ar-SA"/>
              </w:rPr>
              <w:t>提供检测报告原件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每亩1把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替刃、长：≥350㎜、宽：≥45㎜、手柄：一级合金搭配TPR肢，合为一体手柄、锯壳：采用钢化制作，背面开齿，防止树皮损伤高档精美锯壳有保护锯齿的作用，锯片：SK5高碳钢，表面处理：表面精抛光处理，采用专业研磨设备，精致研磨，锯齿锋利耐用。</w:t>
            </w:r>
          </w:p>
          <w:p>
            <w:pPr>
              <w:keepNext w:val="0"/>
              <w:keepLines w:val="0"/>
              <w:widowControl/>
              <w:suppressLineNumbers w:val="0"/>
              <w:jc w:val="left"/>
              <w:textAlignment w:val="center"/>
              <w:rPr>
                <w:rFonts w:hint="eastAsia" w:eastAsia="宋体"/>
                <w:highlight w:val="none"/>
                <w:lang w:eastAsia="zh-CN"/>
              </w:rPr>
            </w:pPr>
            <w:r>
              <w:rPr>
                <w:rFonts w:hint="eastAsia"/>
                <w:highlight w:val="none"/>
                <w:lang w:val="en-US" w:eastAsia="zh-CN"/>
              </w:rPr>
              <w:t>提供检测报告原件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每亩1把</w:t>
            </w:r>
          </w:p>
        </w:tc>
      </w:tr>
    </w:tbl>
    <w:p/>
    <w:p>
      <w:pPr>
        <w:keepNext w:val="0"/>
        <w:keepLines w:val="0"/>
        <w:widowControl/>
        <w:numPr>
          <w:ilvl w:val="0"/>
          <w:numId w:val="2"/>
        </w:numPr>
        <w:suppressLineNumbers w:val="0"/>
        <w:ind w:firstLine="560" w:firstLineChars="200"/>
        <w:jc w:val="both"/>
        <w:rPr>
          <w:rFonts w:hint="eastAsia" w:ascii="仿宋_GB2312" w:hAnsi="仿宋_GB2312" w:eastAsia="仿宋_GB2312" w:cs="仿宋_GB2312"/>
          <w:b w:val="0"/>
          <w:bCs w:val="0"/>
          <w:color w:val="auto"/>
          <w:kern w:val="0"/>
          <w:sz w:val="28"/>
          <w:szCs w:val="28"/>
          <w:lang w:val="en-US" w:eastAsia="zh-CN" w:bidi="ar"/>
        </w:rPr>
      </w:pPr>
      <w:r>
        <w:rPr>
          <w:rFonts w:ascii="仿宋_GB2312" w:hAnsi="仿宋_GB2312" w:eastAsia="仿宋_GB2312" w:cs="仿宋_GB2312"/>
          <w:b w:val="0"/>
          <w:bCs w:val="0"/>
          <w:color w:val="auto"/>
          <w:kern w:val="0"/>
          <w:sz w:val="28"/>
          <w:szCs w:val="28"/>
          <w:lang w:val="en-US" w:eastAsia="zh-CN" w:bidi="ar"/>
        </w:rPr>
        <w:t>取得采购标的</w:t>
      </w:r>
      <w:r>
        <w:rPr>
          <w:rFonts w:ascii="仿宋_GB2312" w:hAnsi="仿宋_GB2312" w:eastAsia="仿宋_GB2312" w:cs="仿宋_GB2312"/>
          <w:b w:val="0"/>
          <w:bCs w:val="0"/>
          <w:color w:val="auto"/>
          <w:kern w:val="0"/>
          <w:sz w:val="28"/>
          <w:szCs w:val="28"/>
          <w:highlight w:val="none"/>
          <w:lang w:val="en-US" w:eastAsia="zh-CN" w:bidi="ar"/>
        </w:rPr>
        <w:t>的时间</w:t>
      </w:r>
      <w:r>
        <w:rPr>
          <w:rFonts w:hint="eastAsia" w:ascii="仿宋_GB2312" w:hAnsi="仿宋_GB2312" w:eastAsia="仿宋_GB2312" w:cs="仿宋_GB2312"/>
          <w:b w:val="0"/>
          <w:bCs w:val="0"/>
          <w:color w:val="auto"/>
          <w:kern w:val="0"/>
          <w:sz w:val="28"/>
          <w:szCs w:val="28"/>
          <w:highlight w:val="none"/>
          <w:lang w:val="en-US" w:eastAsia="zh-CN" w:bidi="ar"/>
        </w:rPr>
        <w:t>：签订合同后5日内供货</w:t>
      </w:r>
    </w:p>
    <w:p>
      <w:pPr>
        <w:keepNext w:val="0"/>
        <w:keepLines w:val="0"/>
        <w:widowControl/>
        <w:numPr>
          <w:ilvl w:val="0"/>
          <w:numId w:val="0"/>
        </w:numPr>
        <w:suppressLineNumbers w:val="0"/>
        <w:ind w:firstLine="560" w:firstLineChars="200"/>
        <w:jc w:val="both"/>
        <w:rPr>
          <w:b w:val="0"/>
          <w:bCs w:val="0"/>
          <w:color w:val="auto"/>
          <w:sz w:val="20"/>
          <w:szCs w:val="20"/>
        </w:rPr>
      </w:pPr>
      <w:r>
        <w:rPr>
          <w:rFonts w:hint="eastAsia" w:ascii="仿宋_GB2312" w:hAnsi="仿宋_GB2312" w:eastAsia="仿宋_GB2312" w:cs="仿宋_GB2312"/>
          <w:b w:val="0"/>
          <w:bCs w:val="0"/>
          <w:color w:val="auto"/>
          <w:kern w:val="0"/>
          <w:sz w:val="28"/>
          <w:szCs w:val="28"/>
          <w:lang w:val="en-US" w:eastAsia="zh-CN" w:bidi="ar"/>
        </w:rPr>
        <w:t>（2）</w:t>
      </w:r>
      <w:r>
        <w:rPr>
          <w:rFonts w:ascii="仿宋_GB2312" w:hAnsi="仿宋_GB2312" w:eastAsia="仿宋_GB2312" w:cs="仿宋_GB2312"/>
          <w:b w:val="0"/>
          <w:bCs w:val="0"/>
          <w:color w:val="auto"/>
          <w:kern w:val="0"/>
          <w:sz w:val="28"/>
          <w:szCs w:val="28"/>
          <w:lang w:val="en-US" w:eastAsia="zh-CN" w:bidi="ar"/>
        </w:rPr>
        <w:t>取得采购标的的地点</w:t>
      </w:r>
      <w:r>
        <w:rPr>
          <w:rFonts w:hint="eastAsia" w:ascii="仿宋_GB2312" w:hAnsi="仿宋_GB2312" w:eastAsia="仿宋_GB2312" w:cs="仿宋_GB2312"/>
          <w:b w:val="0"/>
          <w:bCs w:val="0"/>
          <w:color w:val="auto"/>
          <w:kern w:val="0"/>
          <w:sz w:val="28"/>
          <w:szCs w:val="28"/>
          <w:lang w:val="en-US" w:eastAsia="zh-CN" w:bidi="ar"/>
        </w:rPr>
        <w:t>：莎车县农业农村</w:t>
      </w:r>
      <w:r>
        <w:rPr>
          <w:rFonts w:hint="eastAsia" w:ascii="仿宋_GB2312" w:hAnsi="仿宋_GB2312" w:eastAsia="仿宋_GB2312" w:cs="仿宋_GB2312"/>
          <w:b w:val="0"/>
          <w:bCs w:val="0"/>
          <w:color w:val="auto"/>
          <w:kern w:val="0"/>
          <w:sz w:val="28"/>
          <w:szCs w:val="28"/>
          <w:highlight w:val="none"/>
          <w:lang w:val="en-US" w:eastAsia="zh-CN" w:bidi="ar"/>
        </w:rPr>
        <w:t>局指定地点</w:t>
      </w:r>
    </w:p>
    <w:p>
      <w:pPr>
        <w:pStyle w:val="8"/>
        <w:spacing w:before="120" w:beforeLines="50" w:after="0" w:line="360" w:lineRule="auto"/>
        <w:ind w:firstLine="560" w:firstLineChars="200"/>
        <w:jc w:val="both"/>
        <w:outlineLvl w:val="9"/>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（3）</w:t>
      </w:r>
      <w:r>
        <w:rPr>
          <w:rFonts w:ascii="仿宋_GB2312" w:hAnsi="仿宋_GB2312" w:eastAsia="仿宋_GB2312" w:cs="仿宋_GB2312"/>
          <w:b w:val="0"/>
          <w:bCs w:val="0"/>
          <w:color w:val="auto"/>
          <w:kern w:val="0"/>
          <w:sz w:val="28"/>
          <w:szCs w:val="28"/>
          <w:lang w:val="en-US" w:eastAsia="zh-CN" w:bidi="ar"/>
        </w:rPr>
        <w:t>付款条件</w:t>
      </w:r>
      <w:r>
        <w:rPr>
          <w:rFonts w:hint="eastAsia" w:ascii="仿宋_GB2312" w:hAnsi="仿宋_GB2312" w:eastAsia="仿宋_GB2312" w:cs="仿宋_GB2312"/>
          <w:b w:val="0"/>
          <w:bCs w:val="0"/>
          <w:color w:val="auto"/>
          <w:kern w:val="0"/>
          <w:sz w:val="28"/>
          <w:szCs w:val="28"/>
          <w:lang w:val="en-US" w:eastAsia="zh-CN" w:bidi="ar"/>
        </w:rPr>
        <w:t>：合同签订后支付30%预付款，货到付款50%，验收合格后支付17%，3%做质保金，具体以签订合同为准</w:t>
      </w:r>
    </w:p>
    <w:p>
      <w:pPr>
        <w:pStyle w:val="8"/>
        <w:spacing w:before="120" w:beforeLines="50" w:after="0" w:line="360" w:lineRule="auto"/>
        <w:ind w:firstLine="560" w:firstLineChars="200"/>
        <w:jc w:val="both"/>
        <w:outlineLvl w:val="9"/>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（4）</w:t>
      </w:r>
      <w:r>
        <w:rPr>
          <w:rFonts w:ascii="仿宋_GB2312" w:hAnsi="仿宋_GB2312" w:eastAsia="仿宋_GB2312" w:cs="仿宋_GB2312"/>
          <w:b w:val="0"/>
          <w:bCs w:val="0"/>
          <w:color w:val="auto"/>
          <w:kern w:val="0"/>
          <w:sz w:val="28"/>
          <w:szCs w:val="28"/>
          <w:lang w:val="en-US" w:eastAsia="zh-CN" w:bidi="ar"/>
        </w:rPr>
        <w:t>售后服务</w:t>
      </w:r>
      <w:r>
        <w:rPr>
          <w:rFonts w:hint="eastAsia" w:ascii="仿宋_GB2312" w:hAnsi="仿宋_GB2312" w:eastAsia="仿宋_GB2312" w:cs="仿宋_GB2312"/>
          <w:b w:val="0"/>
          <w:bCs w:val="0"/>
          <w:color w:val="auto"/>
          <w:kern w:val="0"/>
          <w:sz w:val="28"/>
          <w:szCs w:val="28"/>
          <w:lang w:val="en-US" w:eastAsia="zh-CN" w:bidi="ar"/>
        </w:rPr>
        <w:t>：一年</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（五）</w:t>
      </w:r>
      <w:r>
        <w:rPr>
          <w:rFonts w:ascii="仿宋_GB2312" w:hAnsi="仿宋_GB2312" w:eastAsia="仿宋_GB2312" w:cs="仿宋_GB2312"/>
          <w:b w:val="0"/>
          <w:bCs w:val="0"/>
          <w:color w:val="auto"/>
          <w:kern w:val="0"/>
          <w:sz w:val="28"/>
          <w:szCs w:val="28"/>
          <w:lang w:val="en-US" w:eastAsia="zh-CN" w:bidi="ar"/>
        </w:rPr>
        <w:t>可能影响供应商报价和项目实施风险的因素</w:t>
      </w:r>
      <w:r>
        <w:rPr>
          <w:rFonts w:hint="eastAsia" w:ascii="仿宋_GB2312" w:hAnsi="仿宋_GB2312" w:eastAsia="仿宋_GB2312" w:cs="仿宋_GB2312"/>
          <w:b w:val="0"/>
          <w:bCs w:val="0"/>
          <w:color w:val="auto"/>
          <w:kern w:val="0"/>
          <w:sz w:val="28"/>
          <w:szCs w:val="28"/>
          <w:lang w:val="en-US" w:eastAsia="zh-CN" w:bidi="ar"/>
        </w:rPr>
        <w:t>：</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（1）自然风险：因自然界中的不可抗力所造成的本次公开招标采购工作不能顺利实施的风险。比如因自然灾害影响，供应商不能按时参加本次公开招标活动的风险。</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（2）政策风险：因政府政策或行业标准改变，或者企业发展方向改变、企业升级等问题导致本次公开招标采购项目不得不取消或者进行调整。</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3）投标单位风险：投标单位风险是本次公开招标采购中的主要风险之一。投标单位风险主要体现在以下几个方面：一是投标单位本身生产能力达不到，但是却恶意拉低投标价格，以低价格中标之后再在生产中通过不良手段降低产品生产成本，提高利润，损害招标单位的行为；二是投标单位相互串通，实施围标、窜标等违法行为；三是投标单位与企业招标人员相互勾结，通过串通的方式拿到标底价格，进行恶意竞争，影响企业公开招标活动的实施。</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（4）质量安全风险：中标单位没有按照标书中的产品技术标准进行供货。</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（六）该项目无需开展需求调查</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六、采购标的的验收标准</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ascii="仿宋_GB2312" w:hAnsi="仿宋_GB2312" w:eastAsia="仿宋_GB2312" w:cs="仿宋_GB2312"/>
          <w:b w:val="0"/>
          <w:bCs w:val="0"/>
          <w:color w:val="000000"/>
          <w:kern w:val="0"/>
          <w:sz w:val="28"/>
          <w:szCs w:val="28"/>
          <w:lang w:val="en-US" w:eastAsia="zh-CN" w:bidi="ar"/>
        </w:rPr>
        <w:t>验收主体</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b w:val="0"/>
          <w:bCs w:val="0"/>
          <w:color w:val="auto"/>
          <w:kern w:val="0"/>
          <w:sz w:val="28"/>
          <w:szCs w:val="28"/>
          <w:lang w:val="en-US" w:eastAsia="zh-CN" w:bidi="ar"/>
        </w:rPr>
        <w:t>采购人</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时间</w:t>
      </w:r>
      <w:r>
        <w:rPr>
          <w:rFonts w:hint="eastAsia" w:ascii="仿宋_GB2312" w:hAnsi="仿宋_GB2312" w:eastAsia="仿宋_GB2312" w:cs="仿宋_GB2312"/>
          <w:b w:val="0"/>
          <w:bCs w:val="0"/>
          <w:color w:val="000000"/>
          <w:kern w:val="0"/>
          <w:sz w:val="28"/>
          <w:szCs w:val="28"/>
          <w:lang w:val="en-US" w:eastAsia="zh-CN" w:bidi="ar"/>
        </w:rPr>
        <w:t>：每次供货完毕后当场验收</w:t>
      </w:r>
    </w:p>
    <w:p>
      <w:pPr>
        <w:widowControl/>
        <w:ind w:firstLine="560" w:firstLineChars="200"/>
        <w:rPr>
          <w:rFonts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方式</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color w:val="000000"/>
          <w:kern w:val="0"/>
          <w:sz w:val="28"/>
          <w:szCs w:val="28"/>
          <w:highlight w:val="none"/>
          <w:lang w:bidi="ar"/>
        </w:rPr>
        <w:t>合同期满或者履行完毕后，甲方有权组织对乙方履约的验收。</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highlight w:val="yellow"/>
          <w:lang w:val="en-US" w:eastAsia="zh-CN"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内容</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b w:val="0"/>
          <w:bCs w:val="0"/>
          <w:color w:val="000000"/>
          <w:kern w:val="0"/>
          <w:sz w:val="28"/>
          <w:szCs w:val="28"/>
          <w:highlight w:val="none"/>
          <w:lang w:val="en-US" w:eastAsia="zh-CN" w:bidi="ar"/>
        </w:rPr>
        <w:t>采购清单中的所有设备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ascii="仿宋_GB2312" w:hAnsi="仿宋_GB2312" w:eastAsia="仿宋_GB2312" w:cs="仿宋_GB2312"/>
          <w:b w:val="0"/>
          <w:bCs w:val="0"/>
          <w:color w:val="000000"/>
          <w:kern w:val="0"/>
          <w:sz w:val="28"/>
          <w:szCs w:val="28"/>
          <w:lang w:val="en-US" w:eastAsia="zh-CN" w:bidi="ar"/>
        </w:rPr>
        <w:t>验收标准</w:t>
      </w:r>
      <w:r>
        <w:rPr>
          <w:rFonts w:hint="eastAsia" w:ascii="仿宋_GB2312" w:hAnsi="仿宋_GB2312" w:eastAsia="仿宋_GB2312" w:cs="仿宋_GB2312"/>
          <w:b w:val="0"/>
          <w:bCs w:val="0"/>
          <w:color w:val="000000"/>
          <w:kern w:val="0"/>
          <w:sz w:val="28"/>
          <w:szCs w:val="28"/>
          <w:lang w:val="en-US" w:eastAsia="zh-CN" w:bidi="ar"/>
        </w:rPr>
        <w:t>：经检验达到合格标准。</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七、采购标的的其他技术、服务等要求：</w:t>
      </w:r>
      <w:r>
        <w:rPr>
          <w:rFonts w:hint="eastAsia" w:ascii="仿宋_GB2312" w:hAnsi="仿宋_GB2312" w:eastAsia="仿宋_GB2312" w:cs="仿宋_GB2312"/>
          <w:b w:val="0"/>
          <w:bCs w:val="0"/>
          <w:color w:val="000000"/>
          <w:kern w:val="0"/>
          <w:sz w:val="28"/>
          <w:szCs w:val="28"/>
          <w:lang w:val="en-US" w:eastAsia="zh-CN" w:bidi="ar"/>
        </w:rPr>
        <w:t>无</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八、需要满足的其他技术规格要求</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1、货物名称：电动摘果剪、手持电动剪、电动加热剪、手持电锯等</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highlight w:val="yellow"/>
          <w:lang w:val="en-US" w:eastAsia="zh-CN" w:bidi="ar"/>
        </w:rPr>
      </w:pPr>
      <w:r>
        <w:rPr>
          <w:rFonts w:hint="eastAsia" w:ascii="仿宋_GB2312" w:hAnsi="仿宋_GB2312" w:eastAsia="仿宋_GB2312" w:cs="仿宋_GB2312"/>
          <w:b w:val="0"/>
          <w:bCs w:val="0"/>
          <w:color w:val="000000"/>
          <w:kern w:val="0"/>
          <w:sz w:val="28"/>
          <w:szCs w:val="28"/>
          <w:lang w:val="en-US" w:eastAsia="zh-CN" w:bidi="ar"/>
        </w:rPr>
        <w:t>2、维保期限</w:t>
      </w:r>
      <w:r>
        <w:rPr>
          <w:rFonts w:hint="eastAsia" w:ascii="仿宋_GB2312" w:hAnsi="仿宋_GB2312" w:eastAsia="仿宋_GB2312" w:cs="仿宋_GB2312"/>
          <w:b w:val="0"/>
          <w:bCs w:val="0"/>
          <w:color w:val="000000"/>
          <w:kern w:val="0"/>
          <w:sz w:val="28"/>
          <w:szCs w:val="28"/>
          <w:highlight w:val="none"/>
          <w:lang w:val="en-US" w:eastAsia="zh-CN" w:bidi="ar"/>
        </w:rPr>
        <w:t>：一年</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3、货物使用单位：莎车县农业农村局</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4、维保用途说明：</w:t>
      </w:r>
      <w:r>
        <w:rPr>
          <w:rFonts w:hint="eastAsia" w:ascii="仿宋_GB2312" w:hAnsi="仿宋_GB2312" w:eastAsia="仿宋_GB2312" w:cs="仿宋_GB2312"/>
          <w:b w:val="0"/>
          <w:bCs w:val="0"/>
          <w:color w:val="000000"/>
          <w:kern w:val="0"/>
          <w:sz w:val="28"/>
          <w:szCs w:val="28"/>
          <w:highlight w:val="none"/>
          <w:lang w:val="en-US" w:eastAsia="zh-CN" w:bidi="ar"/>
        </w:rPr>
        <w:t>无</w:t>
      </w:r>
    </w:p>
    <w:p>
      <w:pPr>
        <w:keepNext w:val="0"/>
        <w:keepLines w:val="0"/>
        <w:widowControl/>
        <w:suppressLineNumbers w:val="0"/>
        <w:ind w:firstLine="560"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5、维保服务参数要求：中标投标单位应保证所供货物质量合格，若质保期内出现问题，采购人有权全部退货。</w:t>
      </w:r>
    </w:p>
    <w:p>
      <w:pPr>
        <w:keepNext w:val="0"/>
        <w:keepLines w:val="0"/>
        <w:widowControl/>
        <w:suppressLineNumbers w:val="0"/>
        <w:ind w:firstLine="562"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九、该项目为一般性审查</w:t>
      </w:r>
    </w:p>
    <w:p>
      <w:pPr>
        <w:pStyle w:val="4"/>
        <w:numPr>
          <w:ilvl w:val="0"/>
          <w:numId w:val="3"/>
        </w:numPr>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采购单位审查人员姓名：杨新成</w:t>
      </w:r>
    </w:p>
    <w:p>
      <w:pPr>
        <w:pStyle w:val="4"/>
        <w:numPr>
          <w:ilvl w:val="0"/>
          <w:numId w:val="3"/>
        </w:numPr>
        <w:rPr>
          <w:rFonts w:hint="default"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审查时间：2021.10.26</w:t>
      </w:r>
    </w:p>
    <w:p>
      <w:pPr>
        <w:pStyle w:val="4"/>
        <w:numPr>
          <w:ilvl w:val="0"/>
          <w:numId w:val="0"/>
        </w:numPr>
        <w:jc w:val="both"/>
        <w:rPr>
          <w:rFonts w:hint="eastAsia" w:ascii="仿宋_GB2312" w:hAnsi="仿宋_GB2312" w:eastAsia="仿宋_GB2312" w:cs="仿宋_GB2312"/>
          <w:b w:val="0"/>
          <w:bCs w:val="0"/>
          <w:color w:val="000000"/>
          <w:kern w:val="0"/>
          <w:sz w:val="28"/>
          <w:szCs w:val="28"/>
          <w:highlight w:val="none"/>
          <w:lang w:val="en-US" w:eastAsia="zh-CN" w:bidi="ar"/>
        </w:rPr>
      </w:pPr>
    </w:p>
    <w:p>
      <w:pPr>
        <w:pStyle w:val="4"/>
        <w:numPr>
          <w:ilvl w:val="0"/>
          <w:numId w:val="0"/>
        </w:numPr>
        <w:jc w:val="center"/>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 xml:space="preserve">                   采 购 单 位：莎车县农业农村局</w:t>
      </w:r>
    </w:p>
    <w:p>
      <w:pPr>
        <w:pStyle w:val="4"/>
        <w:numPr>
          <w:ilvl w:val="0"/>
          <w:numId w:val="0"/>
        </w:numPr>
        <w:ind w:firstLine="560" w:firstLineChars="200"/>
        <w:jc w:val="center"/>
        <w:rPr>
          <w:rFonts w:hint="default" w:ascii="仿宋_GB2312" w:hAnsi="仿宋_GB2312" w:eastAsia="仿宋_GB2312" w:cs="仿宋_GB2312"/>
          <w:b w:val="0"/>
          <w:bCs w:val="0"/>
          <w:color w:val="000000"/>
          <w:kern w:val="0"/>
          <w:sz w:val="31"/>
          <w:szCs w:val="31"/>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 xml:space="preserve">        </w:t>
      </w:r>
      <w:r>
        <w:rPr>
          <w:rFonts w:hint="eastAsia" w:ascii="仿宋_GB2312" w:hAnsi="仿宋_GB2312" w:eastAsia="仿宋_GB2312" w:cs="仿宋_GB2312"/>
          <w:b w:val="0"/>
          <w:bCs w:val="0"/>
          <w:color w:val="000000"/>
          <w:kern w:val="0"/>
          <w:sz w:val="31"/>
          <w:szCs w:val="31"/>
          <w:highlight w:val="none"/>
          <w:lang w:val="en-US" w:eastAsia="zh-CN" w:bidi="ar"/>
        </w:rPr>
        <w:t xml:space="preserve">     </w:t>
      </w:r>
      <w:r>
        <w:rPr>
          <w:rFonts w:hint="default" w:ascii="仿宋_GB2312" w:hAnsi="仿宋_GB2312" w:eastAsia="仿宋_GB2312" w:cs="仿宋_GB2312"/>
          <w:b w:val="0"/>
          <w:bCs w:val="0"/>
          <w:color w:val="000000"/>
          <w:kern w:val="0"/>
          <w:sz w:val="31"/>
          <w:szCs w:val="31"/>
          <w:highlight w:val="none"/>
          <w:lang w:val="en-US" w:eastAsia="zh-CN" w:bidi="ar"/>
        </w:rPr>
        <w:t>2021年</w:t>
      </w:r>
      <w:r>
        <w:rPr>
          <w:rFonts w:hint="eastAsia" w:ascii="仿宋_GB2312" w:hAnsi="仿宋_GB2312" w:eastAsia="仿宋_GB2312" w:cs="仿宋_GB2312"/>
          <w:b w:val="0"/>
          <w:bCs w:val="0"/>
          <w:color w:val="000000"/>
          <w:kern w:val="0"/>
          <w:sz w:val="31"/>
          <w:szCs w:val="31"/>
          <w:highlight w:val="none"/>
          <w:lang w:val="en-US" w:eastAsia="zh-CN" w:bidi="ar"/>
        </w:rPr>
        <w:t>10</w:t>
      </w:r>
      <w:r>
        <w:rPr>
          <w:rFonts w:hint="default" w:ascii="仿宋_GB2312" w:hAnsi="仿宋_GB2312" w:eastAsia="仿宋_GB2312" w:cs="仿宋_GB2312"/>
          <w:b w:val="0"/>
          <w:bCs w:val="0"/>
          <w:color w:val="000000"/>
          <w:kern w:val="0"/>
          <w:sz w:val="31"/>
          <w:szCs w:val="31"/>
          <w:highlight w:val="none"/>
          <w:lang w:val="en-US" w:eastAsia="zh-CN" w:bidi="ar"/>
        </w:rPr>
        <w:t>月2</w:t>
      </w:r>
      <w:r>
        <w:rPr>
          <w:rFonts w:hint="eastAsia" w:ascii="仿宋_GB2312" w:hAnsi="仿宋_GB2312" w:eastAsia="仿宋_GB2312" w:cs="仿宋_GB2312"/>
          <w:b w:val="0"/>
          <w:bCs w:val="0"/>
          <w:color w:val="000000"/>
          <w:kern w:val="0"/>
          <w:sz w:val="31"/>
          <w:szCs w:val="31"/>
          <w:highlight w:val="none"/>
          <w:lang w:val="en-US" w:eastAsia="zh-CN" w:bidi="ar"/>
        </w:rPr>
        <w:t>6</w:t>
      </w:r>
      <w:r>
        <w:rPr>
          <w:rFonts w:hint="default" w:ascii="仿宋_GB2312" w:hAnsi="仿宋_GB2312" w:eastAsia="仿宋_GB2312" w:cs="仿宋_GB2312"/>
          <w:b w:val="0"/>
          <w:bCs w:val="0"/>
          <w:color w:val="000000"/>
          <w:kern w:val="0"/>
          <w:sz w:val="31"/>
          <w:szCs w:val="31"/>
          <w:highlight w:val="none"/>
          <w:lang w:val="en-US" w:eastAsia="zh-CN" w:bidi="ar"/>
        </w:rPr>
        <w:t>日</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oto Sans Mono CJK JP Regular">
    <w:altName w:val="Arial"/>
    <w:panose1 w:val="00000000000000000000"/>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69633"/>
    <w:multiLevelType w:val="singleLevel"/>
    <w:tmpl w:val="12869633"/>
    <w:lvl w:ilvl="0" w:tentative="0">
      <w:start w:val="1"/>
      <w:numFmt w:val="decimal"/>
      <w:suff w:val="nothing"/>
      <w:lvlText w:val="%1、"/>
      <w:lvlJc w:val="left"/>
    </w:lvl>
  </w:abstractNum>
  <w:abstractNum w:abstractNumId="1">
    <w:nsid w:val="6EAF9B0A"/>
    <w:multiLevelType w:val="singleLevel"/>
    <w:tmpl w:val="6EAF9B0A"/>
    <w:lvl w:ilvl="0" w:tentative="0">
      <w:start w:val="1"/>
      <w:numFmt w:val="decimal"/>
      <w:suff w:val="nothing"/>
      <w:lvlText w:val="（%1）"/>
      <w:lvlJc w:val="left"/>
    </w:lvl>
  </w:abstractNum>
  <w:abstractNum w:abstractNumId="2">
    <w:nsid w:val="74825F59"/>
    <w:multiLevelType w:val="singleLevel"/>
    <w:tmpl w:val="74825F59"/>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0422BEE"/>
    <w:rsid w:val="02C40FCF"/>
    <w:rsid w:val="02E20F22"/>
    <w:rsid w:val="02EC42F5"/>
    <w:rsid w:val="043D31D7"/>
    <w:rsid w:val="048F729C"/>
    <w:rsid w:val="04911826"/>
    <w:rsid w:val="04A93FDF"/>
    <w:rsid w:val="05527953"/>
    <w:rsid w:val="06C15122"/>
    <w:rsid w:val="073A5D19"/>
    <w:rsid w:val="07715C20"/>
    <w:rsid w:val="09966EBD"/>
    <w:rsid w:val="0A766299"/>
    <w:rsid w:val="0B004148"/>
    <w:rsid w:val="0BB330CE"/>
    <w:rsid w:val="0DA21A93"/>
    <w:rsid w:val="0FD344B8"/>
    <w:rsid w:val="10816206"/>
    <w:rsid w:val="126E010B"/>
    <w:rsid w:val="13D66CA8"/>
    <w:rsid w:val="14EC5658"/>
    <w:rsid w:val="15524A55"/>
    <w:rsid w:val="15F02BB6"/>
    <w:rsid w:val="1656228F"/>
    <w:rsid w:val="178365ED"/>
    <w:rsid w:val="19F13D3F"/>
    <w:rsid w:val="1E8D246B"/>
    <w:rsid w:val="1EC137C2"/>
    <w:rsid w:val="1F316138"/>
    <w:rsid w:val="1F4E69F5"/>
    <w:rsid w:val="1FBB359D"/>
    <w:rsid w:val="20120EE2"/>
    <w:rsid w:val="209078C3"/>
    <w:rsid w:val="20C21BAB"/>
    <w:rsid w:val="20EB52D0"/>
    <w:rsid w:val="242D09F4"/>
    <w:rsid w:val="250B0954"/>
    <w:rsid w:val="275333B7"/>
    <w:rsid w:val="293E6B81"/>
    <w:rsid w:val="2A867A10"/>
    <w:rsid w:val="2DC17D1A"/>
    <w:rsid w:val="2FFE2EC0"/>
    <w:rsid w:val="329C61A1"/>
    <w:rsid w:val="33D76E9C"/>
    <w:rsid w:val="34414952"/>
    <w:rsid w:val="34756087"/>
    <w:rsid w:val="36545F20"/>
    <w:rsid w:val="368E64D2"/>
    <w:rsid w:val="3C7E355F"/>
    <w:rsid w:val="3CED0AEB"/>
    <w:rsid w:val="403F35BB"/>
    <w:rsid w:val="423A4C6E"/>
    <w:rsid w:val="44045C69"/>
    <w:rsid w:val="46C30FEE"/>
    <w:rsid w:val="47741A2D"/>
    <w:rsid w:val="47AC4EEB"/>
    <w:rsid w:val="485F1214"/>
    <w:rsid w:val="4A1D570A"/>
    <w:rsid w:val="4EA301DE"/>
    <w:rsid w:val="500C48E2"/>
    <w:rsid w:val="512A1DC8"/>
    <w:rsid w:val="512C1180"/>
    <w:rsid w:val="521072D5"/>
    <w:rsid w:val="52244CD2"/>
    <w:rsid w:val="527D0205"/>
    <w:rsid w:val="53403E04"/>
    <w:rsid w:val="559C75AA"/>
    <w:rsid w:val="570F7309"/>
    <w:rsid w:val="57246095"/>
    <w:rsid w:val="596D3821"/>
    <w:rsid w:val="5B267BDA"/>
    <w:rsid w:val="5D8B0702"/>
    <w:rsid w:val="60E37DC2"/>
    <w:rsid w:val="614F3DBC"/>
    <w:rsid w:val="62BC3321"/>
    <w:rsid w:val="63620C08"/>
    <w:rsid w:val="651631C7"/>
    <w:rsid w:val="682C2D0D"/>
    <w:rsid w:val="687D3E14"/>
    <w:rsid w:val="6AF439F2"/>
    <w:rsid w:val="6C51790E"/>
    <w:rsid w:val="6F2C480B"/>
    <w:rsid w:val="6FD72C97"/>
    <w:rsid w:val="726B7FAB"/>
    <w:rsid w:val="726C3FDA"/>
    <w:rsid w:val="750A1DF5"/>
    <w:rsid w:val="78620DA2"/>
    <w:rsid w:val="7918737B"/>
    <w:rsid w:val="79B42C26"/>
    <w:rsid w:val="7A9A4B8D"/>
    <w:rsid w:val="7BD70A25"/>
    <w:rsid w:val="7CAC34ED"/>
    <w:rsid w:val="7D334C4C"/>
    <w:rsid w:val="7EB86318"/>
    <w:rsid w:val="7F1866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spacing w:line="580" w:lineRule="exact"/>
      <w:outlineLvl w:val="0"/>
    </w:pPr>
    <w:rPr>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528"/>
    </w:pPr>
    <w:rPr>
      <w:sz w:val="24"/>
      <w:szCs w:val="24"/>
    </w:rPr>
  </w:style>
  <w:style w:type="paragraph" w:styleId="4">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5">
    <w:name w:val="Body Text Indent"/>
    <w:basedOn w:val="1"/>
    <w:unhideWhenUsed/>
    <w:qFormat/>
    <w:uiPriority w:val="0"/>
    <w:pPr>
      <w:spacing w:after="120"/>
      <w:ind w:left="420" w:leftChars="200"/>
    </w:pPr>
  </w:style>
  <w:style w:type="paragraph" w:styleId="6">
    <w:name w:val="footnote text"/>
    <w:basedOn w:val="1"/>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qFormat/>
    <w:uiPriority w:val="0"/>
    <w:pPr>
      <w:spacing w:before="240" w:after="60"/>
      <w:jc w:val="center"/>
      <w:outlineLvl w:val="0"/>
    </w:pPr>
    <w:rPr>
      <w:rFonts w:ascii="Arial" w:hAnsi="Arial" w:cs="Arial"/>
      <w:b/>
      <w:bCs/>
      <w:sz w:val="32"/>
      <w:szCs w:val="32"/>
    </w:rPr>
  </w:style>
  <w:style w:type="paragraph" w:styleId="9">
    <w:name w:val="Body Text First Indent 2"/>
    <w:basedOn w:val="5"/>
    <w:next w:val="1"/>
    <w:qFormat/>
    <w:uiPriority w:val="0"/>
    <w:pPr>
      <w:spacing w:line="360" w:lineRule="auto"/>
      <w:ind w:firstLine="200" w:firstLineChars="200"/>
    </w:pPr>
    <w:rPr>
      <w:rFonts w:eastAsia="仿宋_GB2312"/>
      <w:spacing w:val="15"/>
      <w:kern w:val="10"/>
      <w:sz w:val="24"/>
    </w:rPr>
  </w:style>
  <w:style w:type="paragraph" w:customStyle="1" w:styleId="12">
    <w:name w:val="正文3"/>
    <w:qFormat/>
    <w:uiPriority w:val="99"/>
    <w:pPr>
      <w:jc w:val="both"/>
    </w:pPr>
    <w:rPr>
      <w:rFonts w:ascii="Calibri" w:hAnsi="Calibri" w:eastAsia="宋体" w:cs="Calibri"/>
      <w:kern w:val="2"/>
      <w:sz w:val="21"/>
      <w:szCs w:val="21"/>
      <w:lang w:val="en-US" w:eastAsia="zh-CN" w:bidi="ar-SA"/>
    </w:rPr>
  </w:style>
  <w:style w:type="character" w:customStyle="1" w:styleId="13">
    <w:name w:val="font61"/>
    <w:basedOn w:val="11"/>
    <w:qFormat/>
    <w:uiPriority w:val="0"/>
    <w:rPr>
      <w:rFonts w:hint="eastAsia" w:ascii="宋体" w:hAnsi="宋体" w:eastAsia="宋体" w:cs="宋体"/>
      <w:color w:val="000000"/>
      <w:sz w:val="18"/>
      <w:szCs w:val="18"/>
      <w:u w:val="none"/>
    </w:rPr>
  </w:style>
  <w:style w:type="character" w:customStyle="1" w:styleId="14">
    <w:name w:val="font41"/>
    <w:basedOn w:val="11"/>
    <w:qFormat/>
    <w:uiPriority w:val="0"/>
    <w:rPr>
      <w:rFonts w:hint="eastAsia" w:ascii="宋体" w:hAnsi="宋体" w:eastAsia="宋体" w:cs="宋体"/>
      <w:color w:val="000000"/>
      <w:sz w:val="22"/>
      <w:szCs w:val="22"/>
      <w:u w:val="none"/>
    </w:rPr>
  </w:style>
  <w:style w:type="paragraph" w:customStyle="1" w:styleId="15">
    <w:name w:val="列表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t-05 style3 style30"/>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Administrator</cp:lastModifiedBy>
  <dcterms:modified xsi:type="dcterms:W3CDTF">2021-10-27T10:36:10Z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986BC928C5A2480F96EB8E1E80BF37A9</vt:lpwstr>
  </property>
</Properties>
</file>