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hint="default" w:asciiTheme="majorEastAsia" w:hAnsiTheme="majorEastAsia" w:eastAsiaTheme="majorEastAsia" w:cstheme="majorEastAsia"/>
          <w:color w:val="auto"/>
        </w:rPr>
      </w:pPr>
    </w:p>
    <w:p>
      <w:pPr>
        <w:pStyle w:val="24"/>
        <w:jc w:val="center"/>
        <w:rPr>
          <w:rFonts w:hint="default" w:asciiTheme="majorEastAsia" w:hAnsiTheme="majorEastAsia" w:eastAsiaTheme="majorEastAsia" w:cstheme="majorEastAsia"/>
          <w:b/>
          <w:color w:val="auto"/>
          <w:sz w:val="36"/>
          <w:szCs w:val="36"/>
        </w:rPr>
      </w:pPr>
    </w:p>
    <w:p>
      <w:pPr>
        <w:rPr>
          <w:rFonts w:asciiTheme="majorEastAsia" w:hAnsiTheme="majorEastAsia" w:eastAsiaTheme="majorEastAsia" w:cstheme="majorEastAsia"/>
          <w:color w:val="auto"/>
        </w:rPr>
      </w:pPr>
    </w:p>
    <w:p>
      <w:pPr>
        <w:pStyle w:val="24"/>
        <w:jc w:val="center"/>
        <w:rPr>
          <w:rFonts w:hint="default" w:asciiTheme="majorEastAsia" w:hAnsiTheme="majorEastAsia" w:eastAsiaTheme="majorEastAsia" w:cstheme="majorEastAsia"/>
          <w:color w:val="auto"/>
          <w:sz w:val="44"/>
          <w:szCs w:val="44"/>
        </w:rPr>
      </w:pPr>
      <w:r>
        <w:rPr>
          <w:rFonts w:asciiTheme="majorEastAsia" w:hAnsiTheme="majorEastAsia" w:eastAsiaTheme="majorEastAsia" w:cstheme="majorEastAsia"/>
          <w:b/>
          <w:color w:val="auto"/>
          <w:sz w:val="44"/>
          <w:szCs w:val="44"/>
        </w:rPr>
        <w:t>布尔津县农用地、集体建设用地基准地价、城镇标定地价评估服务项目</w:t>
      </w:r>
    </w:p>
    <w:p>
      <w:pPr>
        <w:rPr>
          <w:rFonts w:asciiTheme="majorEastAsia" w:hAnsiTheme="majorEastAsia" w:eastAsiaTheme="majorEastAsia" w:cstheme="majorEastAsia"/>
          <w:color w:val="auto"/>
          <w:sz w:val="44"/>
          <w:szCs w:val="44"/>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autoSpaceDE w:val="0"/>
        <w:autoSpaceDN w:val="0"/>
        <w:adjustRightInd w:val="0"/>
        <w:jc w:val="center"/>
        <w:rPr>
          <w:rFonts w:asciiTheme="majorEastAsia" w:hAnsiTheme="majorEastAsia" w:eastAsiaTheme="majorEastAsia" w:cstheme="majorEastAsia"/>
          <w:b/>
          <w:color w:val="auto"/>
          <w:kern w:val="0"/>
          <w:sz w:val="72"/>
          <w:szCs w:val="72"/>
        </w:rPr>
      </w:pPr>
      <w:r>
        <w:rPr>
          <w:rFonts w:hint="eastAsia" w:asciiTheme="majorEastAsia" w:hAnsiTheme="majorEastAsia" w:eastAsiaTheme="majorEastAsia" w:cstheme="majorEastAsia"/>
          <w:b/>
          <w:color w:val="auto"/>
          <w:kern w:val="0"/>
          <w:sz w:val="72"/>
          <w:szCs w:val="72"/>
        </w:rPr>
        <w:t>谈判文件</w:t>
      </w:r>
    </w:p>
    <w:p>
      <w:pPr>
        <w:autoSpaceDE w:val="0"/>
        <w:autoSpaceDN w:val="0"/>
        <w:adjustRightInd w:val="0"/>
        <w:spacing w:line="500" w:lineRule="exact"/>
        <w:ind w:firstLine="643"/>
        <w:rPr>
          <w:rFonts w:asciiTheme="majorEastAsia" w:hAnsiTheme="majorEastAsia" w:eastAsiaTheme="majorEastAsia" w:cstheme="majorEastAsia"/>
          <w:b/>
          <w:color w:val="auto"/>
          <w:kern w:val="0"/>
          <w:sz w:val="32"/>
          <w:szCs w:val="32"/>
        </w:rPr>
      </w:pPr>
    </w:p>
    <w:p>
      <w:pPr>
        <w:pStyle w:val="24"/>
        <w:rPr>
          <w:rFonts w:hint="default" w:asciiTheme="majorEastAsia" w:hAnsiTheme="majorEastAsia" w:eastAsiaTheme="majorEastAsia" w:cstheme="majorEastAsia"/>
          <w:b/>
          <w:color w:val="auto"/>
          <w:sz w:val="32"/>
          <w:szCs w:val="32"/>
        </w:rPr>
      </w:pPr>
    </w:p>
    <w:p>
      <w:pPr>
        <w:pStyle w:val="24"/>
        <w:rPr>
          <w:rFonts w:hint="default" w:asciiTheme="majorEastAsia" w:hAnsiTheme="majorEastAsia" w:eastAsiaTheme="majorEastAsia" w:cstheme="majorEastAsia"/>
          <w:b/>
          <w:color w:val="auto"/>
        </w:rPr>
      </w:pPr>
    </w:p>
    <w:p>
      <w:pPr>
        <w:pStyle w:val="24"/>
        <w:rPr>
          <w:rFonts w:hint="default" w:asciiTheme="majorEastAsia" w:hAnsiTheme="majorEastAsia" w:eastAsiaTheme="majorEastAsia" w:cstheme="majorEastAsia"/>
          <w:b/>
          <w:color w:val="auto"/>
        </w:rPr>
      </w:pPr>
    </w:p>
    <w:p>
      <w:pPr>
        <w:pStyle w:val="24"/>
        <w:rPr>
          <w:rFonts w:hint="default" w:asciiTheme="majorEastAsia" w:hAnsiTheme="majorEastAsia" w:eastAsiaTheme="majorEastAsia" w:cstheme="majorEastAsia"/>
          <w:b/>
          <w:color w:val="auto"/>
        </w:rPr>
      </w:pPr>
    </w:p>
    <w:p>
      <w:pPr>
        <w:pStyle w:val="24"/>
        <w:rPr>
          <w:rFonts w:hint="default" w:asciiTheme="majorEastAsia" w:hAnsiTheme="majorEastAsia" w:eastAsiaTheme="majorEastAsia" w:cstheme="majorEastAsia"/>
          <w:b/>
          <w:color w:val="auto"/>
        </w:rPr>
      </w:pPr>
    </w:p>
    <w:p>
      <w:pPr>
        <w:widowControl/>
        <w:spacing w:line="600" w:lineRule="exact"/>
        <w:ind w:left="487" w:leftChars="232"/>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b/>
          <w:color w:val="auto"/>
          <w:sz w:val="28"/>
          <w:szCs w:val="28"/>
        </w:rPr>
        <w:t>项目名称：布尔津县农用地、集体建设用地基准地价、城镇标定地价评估服务项目</w:t>
      </w:r>
    </w:p>
    <w:p>
      <w:pPr>
        <w:pStyle w:val="24"/>
        <w:spacing w:line="600" w:lineRule="exact"/>
        <w:ind w:firstLine="562" w:firstLineChars="200"/>
        <w:rPr>
          <w:rFonts w:hint="default" w:asciiTheme="majorEastAsia" w:hAnsiTheme="majorEastAsia" w:eastAsiaTheme="majorEastAsia" w:cstheme="majorEastAsia"/>
          <w:b/>
          <w:color w:val="auto"/>
          <w:kern w:val="2"/>
          <w:sz w:val="28"/>
          <w:szCs w:val="28"/>
        </w:rPr>
      </w:pPr>
      <w:r>
        <w:rPr>
          <w:rFonts w:asciiTheme="majorEastAsia" w:hAnsiTheme="majorEastAsia" w:eastAsiaTheme="majorEastAsia" w:cstheme="majorEastAsia"/>
          <w:b/>
          <w:color w:val="auto"/>
          <w:sz w:val="28"/>
          <w:szCs w:val="28"/>
        </w:rPr>
        <w:t>采购单位：</w:t>
      </w:r>
      <w:r>
        <w:rPr>
          <w:rFonts w:asciiTheme="majorEastAsia" w:hAnsiTheme="majorEastAsia" w:eastAsiaTheme="majorEastAsia" w:cstheme="majorEastAsia"/>
          <w:b/>
          <w:color w:val="auto"/>
          <w:kern w:val="2"/>
          <w:sz w:val="28"/>
          <w:szCs w:val="28"/>
        </w:rPr>
        <w:t>布尔津县自然资源局</w:t>
      </w:r>
    </w:p>
    <w:p>
      <w:pPr>
        <w:pStyle w:val="24"/>
        <w:spacing w:line="600" w:lineRule="exact"/>
        <w:ind w:firstLine="562" w:firstLineChars="200"/>
        <w:rPr>
          <w:rFonts w:hint="default" w:asciiTheme="majorEastAsia" w:hAnsiTheme="majorEastAsia" w:eastAsiaTheme="majorEastAsia" w:cstheme="majorEastAsia"/>
          <w:b/>
          <w:bCs/>
          <w:color w:val="auto"/>
          <w:sz w:val="28"/>
          <w:szCs w:val="28"/>
        </w:rPr>
      </w:pPr>
      <w:r>
        <w:rPr>
          <w:rFonts w:asciiTheme="majorEastAsia" w:hAnsiTheme="majorEastAsia" w:eastAsiaTheme="majorEastAsia" w:cstheme="majorEastAsia"/>
          <w:b/>
          <w:bCs/>
          <w:color w:val="auto"/>
          <w:sz w:val="28"/>
          <w:szCs w:val="28"/>
        </w:rPr>
        <w:t>联 系 人：马恒超  联系电话：0906-6526035</w:t>
      </w:r>
    </w:p>
    <w:p>
      <w:pPr>
        <w:rPr>
          <w:rFonts w:asciiTheme="majorEastAsia" w:hAnsiTheme="majorEastAsia" w:eastAsiaTheme="majorEastAsia" w:cstheme="majorEastAsia"/>
          <w:b/>
          <w:bCs/>
          <w:color w:val="auto"/>
          <w:kern w:val="0"/>
          <w:sz w:val="28"/>
          <w:szCs w:val="28"/>
        </w:rPr>
      </w:pPr>
    </w:p>
    <w:p>
      <w:pPr>
        <w:pStyle w:val="24"/>
        <w:rPr>
          <w:rFonts w:hint="default" w:asciiTheme="majorEastAsia" w:hAnsiTheme="majorEastAsia" w:eastAsiaTheme="majorEastAsia" w:cstheme="majorEastAsia"/>
          <w:color w:val="auto"/>
        </w:rPr>
      </w:pPr>
    </w:p>
    <w:p>
      <w:pPr>
        <w:autoSpaceDE w:val="0"/>
        <w:autoSpaceDN w:val="0"/>
        <w:adjustRightInd w:val="0"/>
        <w:spacing w:line="600" w:lineRule="exact"/>
        <w:ind w:firstLine="562"/>
        <w:jc w:val="left"/>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代理机构：新疆鸿延建设项目管理有限公司</w:t>
      </w:r>
    </w:p>
    <w:p>
      <w:pPr>
        <w:widowControl/>
        <w:spacing w:line="600" w:lineRule="exact"/>
        <w:ind w:firstLine="562"/>
        <w:jc w:val="left"/>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 xml:space="preserve">联 系 人：尚梦云  </w:t>
      </w:r>
      <w:r>
        <w:rPr>
          <w:rFonts w:hint="eastAsia" w:asciiTheme="majorEastAsia" w:hAnsiTheme="majorEastAsia" w:eastAsiaTheme="majorEastAsia" w:cstheme="majorEastAsia"/>
          <w:b/>
          <w:bCs/>
          <w:color w:val="auto"/>
          <w:kern w:val="0"/>
          <w:sz w:val="28"/>
          <w:szCs w:val="28"/>
        </w:rPr>
        <w:t xml:space="preserve">                   </w:t>
      </w:r>
    </w:p>
    <w:p>
      <w:pPr>
        <w:autoSpaceDE w:val="0"/>
        <w:autoSpaceDN w:val="0"/>
        <w:adjustRightInd w:val="0"/>
        <w:spacing w:line="600" w:lineRule="exact"/>
        <w:ind w:firstLine="562"/>
        <w:jc w:val="left"/>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电    话： 18935826608</w:t>
      </w:r>
    </w:p>
    <w:p>
      <w:pPr>
        <w:spacing w:line="600" w:lineRule="exact"/>
        <w:ind w:firstLine="562"/>
        <w:rPr>
          <w:rFonts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color w:val="auto"/>
          <w:sz w:val="28"/>
          <w:szCs w:val="28"/>
        </w:rPr>
        <w:t>地    址：</w:t>
      </w:r>
      <w:r>
        <w:rPr>
          <w:rFonts w:hint="eastAsia" w:asciiTheme="majorEastAsia" w:hAnsiTheme="majorEastAsia" w:eastAsiaTheme="majorEastAsia" w:cstheme="majorEastAsia"/>
          <w:b/>
          <w:bCs/>
          <w:color w:val="auto"/>
          <w:sz w:val="28"/>
          <w:szCs w:val="28"/>
        </w:rPr>
        <w:t>阿勒泰市润德名苑1-1602　</w:t>
      </w:r>
    </w:p>
    <w:p>
      <w:pPr>
        <w:rPr>
          <w:rFonts w:asciiTheme="majorEastAsia" w:hAnsiTheme="majorEastAsia" w:eastAsiaTheme="majorEastAsia" w:cstheme="majorEastAsia"/>
          <w:color w:val="auto"/>
        </w:rPr>
      </w:pPr>
    </w:p>
    <w:p>
      <w:pPr>
        <w:pStyle w:val="3"/>
        <w:tabs>
          <w:tab w:val="left" w:pos="0"/>
        </w:tabs>
        <w:autoSpaceDE w:val="0"/>
        <w:autoSpaceDN w:val="0"/>
        <w:adjustRightInd w:val="0"/>
        <w:spacing w:before="0" w:after="0"/>
        <w:jc w:val="center"/>
        <w:rPr>
          <w:rFonts w:ascii="华文中宋" w:hAnsi="华文中宋" w:eastAsia="华文中宋"/>
          <w:color w:val="auto"/>
        </w:rPr>
      </w:pPr>
      <w:bookmarkStart w:id="0" w:name="_Toc35393797"/>
      <w:bookmarkStart w:id="1" w:name="_Toc28359011"/>
      <w:bookmarkStart w:id="39" w:name="_GoBack"/>
      <w:r>
        <w:rPr>
          <w:rFonts w:hint="eastAsia" w:ascii="华文中宋" w:hAnsi="华文中宋" w:eastAsia="华文中宋"/>
          <w:color w:val="auto"/>
        </w:rPr>
        <w:t>布尔津县农用地、集体建设用地基准地价、城镇标定地价评估服务项目</w:t>
      </w:r>
    </w:p>
    <w:p>
      <w:pPr>
        <w:pStyle w:val="3"/>
        <w:tabs>
          <w:tab w:val="left" w:pos="0"/>
        </w:tabs>
        <w:autoSpaceDE w:val="0"/>
        <w:autoSpaceDN w:val="0"/>
        <w:adjustRightInd w:val="0"/>
        <w:spacing w:before="0" w:after="0"/>
        <w:jc w:val="center"/>
        <w:rPr>
          <w:rFonts w:ascii="华文中宋" w:hAnsi="华文中宋" w:eastAsia="华文中宋"/>
          <w:color w:val="auto"/>
        </w:rPr>
      </w:pPr>
      <w:r>
        <w:rPr>
          <w:rFonts w:hint="eastAsia" w:ascii="华文中宋" w:hAnsi="华文中宋" w:eastAsia="华文中宋"/>
          <w:color w:val="auto"/>
        </w:rPr>
        <w:t>竞争性谈判公告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 xml:space="preserve"> 布尔津县农用地、集体建设用地基准地价、城镇标定地价评估服务项目</w:t>
      </w:r>
      <w:r>
        <w:rPr>
          <w:rFonts w:hint="eastAsia" w:ascii="仿宋" w:hAnsi="仿宋" w:eastAsia="仿宋"/>
          <w:color w:val="auto"/>
          <w:sz w:val="28"/>
          <w:szCs w:val="28"/>
        </w:rPr>
        <w:t>采购项目的潜在供应商应在阿勒泰市润德名苑1-1602获取采购文件，并于</w:t>
      </w:r>
      <w:r>
        <w:rPr>
          <w:rFonts w:hint="eastAsia" w:ascii="仿宋" w:hAnsi="仿宋" w:eastAsia="仿宋"/>
          <w:color w:val="auto"/>
          <w:sz w:val="28"/>
          <w:szCs w:val="28"/>
          <w:u w:val="single"/>
        </w:rPr>
        <w:t>2021</w:t>
      </w:r>
      <w:r>
        <w:rPr>
          <w:rFonts w:hint="eastAsia" w:ascii="仿宋" w:hAnsi="仿宋" w:eastAsia="仿宋"/>
          <w:bCs/>
          <w:color w:val="auto"/>
          <w:sz w:val="28"/>
          <w:szCs w:val="28"/>
          <w:u w:val="single"/>
        </w:rPr>
        <w:t>年11月</w:t>
      </w:r>
      <w:r>
        <w:rPr>
          <w:rFonts w:hint="eastAsia" w:ascii="仿宋" w:hAnsi="仿宋" w:eastAsia="仿宋"/>
          <w:bCs/>
          <w:color w:val="auto"/>
          <w:sz w:val="28"/>
          <w:szCs w:val="28"/>
          <w:u w:val="single"/>
          <w:lang w:val="en-US" w:eastAsia="zh-CN"/>
        </w:rPr>
        <w:t>05</w:t>
      </w:r>
      <w:r>
        <w:rPr>
          <w:rFonts w:hint="eastAsia" w:ascii="仿宋" w:hAnsi="仿宋" w:eastAsia="仿宋"/>
          <w:bCs/>
          <w:color w:val="auto"/>
          <w:sz w:val="28"/>
          <w:szCs w:val="28"/>
          <w:u w:val="single"/>
        </w:rPr>
        <w:t>日16点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4"/>
        <w:spacing w:line="360" w:lineRule="auto"/>
        <w:rPr>
          <w:rFonts w:hint="default" w:ascii="黑体" w:hAnsi="黑体" w:cs="宋体"/>
          <w:color w:val="auto"/>
          <w:sz w:val="28"/>
          <w:szCs w:val="28"/>
        </w:rPr>
      </w:pPr>
      <w:bookmarkStart w:id="2" w:name="_Toc35393629"/>
      <w:bookmarkStart w:id="3" w:name="_Toc35393798"/>
      <w:bookmarkStart w:id="4" w:name="_Toc28359012"/>
      <w:bookmarkStart w:id="5" w:name="_Toc28359089"/>
      <w:r>
        <w:rPr>
          <w:rFonts w:ascii="黑体" w:hAnsi="黑体" w:cs="宋体"/>
          <w:color w:val="auto"/>
          <w:sz w:val="28"/>
          <w:szCs w:val="28"/>
        </w:rPr>
        <w:t>一、项目基本情况</w:t>
      </w:r>
      <w:bookmarkEnd w:id="2"/>
      <w:bookmarkEnd w:id="3"/>
      <w:bookmarkEnd w:id="4"/>
      <w:bookmarkEnd w:id="5"/>
    </w:p>
    <w:p>
      <w:pPr>
        <w:ind w:firstLine="560" w:firstLineChars="200"/>
        <w:rPr>
          <w:rFonts w:ascii="仿宋" w:hAnsi="仿宋" w:eastAsia="仿宋"/>
          <w:color w:val="auto"/>
          <w:sz w:val="28"/>
          <w:szCs w:val="28"/>
        </w:rPr>
      </w:pPr>
      <w:r>
        <w:rPr>
          <w:rFonts w:hint="eastAsia" w:ascii="仿宋" w:hAnsi="仿宋" w:eastAsia="仿宋"/>
          <w:color w:val="auto"/>
          <w:sz w:val="28"/>
          <w:szCs w:val="28"/>
        </w:rPr>
        <w:t>项目编号：HYZFCG-2021-020</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项目名称：布尔津县农用地、集体建设用地基准地价、城镇标定地价评估服务项目</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采购方式：☑竞争性谈判 □竞争性磋商 □询价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预算金额：1650000元</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最高限价（如有）：1650000元</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采购需求：依据《自然资源部办公厅关于部署开展2019年度自然资源评价评估工作的通知》（自然资办发〔2019〕36号）以及新疆维吾尔自治区自然资源厅办公室《关于开展2019年度自然资源评价评估工作的通知》，完善自然资源公示体系，促进布尔津县自然资源保护与合理开发利用，开展布尔津县农用地、集体建设用地基准地价，城镇标定地价评估工作。</w:t>
      </w:r>
    </w:p>
    <w:p>
      <w:pPr>
        <w:ind w:firstLine="560" w:firstLineChars="200"/>
        <w:rPr>
          <w:rFonts w:ascii="仿宋" w:hAnsi="仿宋" w:eastAsia="仿宋"/>
          <w:color w:val="auto"/>
          <w:sz w:val="28"/>
          <w:szCs w:val="28"/>
          <w:u w:val="single"/>
        </w:rPr>
      </w:pPr>
      <w:r>
        <w:rPr>
          <w:rFonts w:hint="eastAsia" w:ascii="仿宋" w:hAnsi="仿宋" w:eastAsia="仿宋"/>
          <w:color w:val="auto"/>
          <w:sz w:val="28"/>
          <w:szCs w:val="28"/>
        </w:rPr>
        <w:t>合同履行期限：30天（日历日）</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本项目不接受联合体。</w:t>
      </w:r>
    </w:p>
    <w:p>
      <w:pPr>
        <w:pStyle w:val="4"/>
        <w:spacing w:line="360" w:lineRule="auto"/>
        <w:rPr>
          <w:rFonts w:hint="default" w:ascii="黑体" w:hAnsi="黑体" w:cs="宋体"/>
          <w:color w:val="auto"/>
          <w:sz w:val="28"/>
          <w:szCs w:val="28"/>
        </w:rPr>
      </w:pPr>
      <w:bookmarkStart w:id="6" w:name="_Toc35393630"/>
      <w:bookmarkStart w:id="7" w:name="_Toc35393799"/>
      <w:bookmarkStart w:id="8" w:name="_Toc28359090"/>
      <w:bookmarkStart w:id="9" w:name="_Toc28359013"/>
      <w:r>
        <w:rPr>
          <w:rFonts w:ascii="黑体" w:hAnsi="黑体" w:cs="宋体"/>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ind w:firstLine="560" w:firstLineChars="200"/>
        <w:rPr>
          <w:rFonts w:ascii="仿宋" w:hAnsi="仿宋" w:eastAsia="仿宋"/>
          <w:color w:val="auto"/>
          <w:sz w:val="28"/>
          <w:szCs w:val="28"/>
        </w:rPr>
      </w:pPr>
      <w:bookmarkStart w:id="10" w:name="_Toc28359014"/>
      <w:bookmarkStart w:id="11" w:name="_Toc2835909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.落实政府采购政策需满足的资格要求：：1)根据财政部、工业和信息化部关于印发《政府采购促进中小企业发展暂行办法》的通知(财库[2011]181号)。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ind w:firstLine="560" w:firstLineChars="200"/>
        <w:rPr>
          <w:rFonts w:ascii="仿宋" w:hAnsi="仿宋" w:eastAsia="仿宋"/>
          <w:color w:val="auto"/>
          <w:sz w:val="28"/>
          <w:szCs w:val="28"/>
        </w:rPr>
      </w:pPr>
      <w:r>
        <w:rPr>
          <w:rFonts w:hint="eastAsia" w:ascii="仿宋" w:hAnsi="仿宋" w:eastAsia="仿宋"/>
          <w:color w:val="auto"/>
          <w:sz w:val="28"/>
          <w:szCs w:val="28"/>
        </w:rPr>
        <w:t>3)《财政部 发展改革委 生态环境部 市场监管总局 关于调整优化节能产品、环境标志产品政府采购执行机制的通知》（财库〔2019〕9号）。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3.本项目的特定资格要求：</w:t>
      </w:r>
      <w:r>
        <w:rPr>
          <w:rFonts w:hint="eastAsia" w:ascii="仿宋" w:hAnsi="仿宋" w:eastAsia="仿宋"/>
          <w:color w:val="auto"/>
          <w:sz w:val="28"/>
          <w:szCs w:val="28"/>
        </w:rPr>
        <w:t xml:space="preserve">投标人参加本次采购活动应满足《中华人民共和国政府采购法》第二十二条规定并具备土地规划乙级以上（含乙级），项目负责人需具备相关专业中级及以上工程师。 </w:t>
      </w:r>
      <w:r>
        <w:rPr>
          <w:rFonts w:hint="eastAsia" w:ascii="仿宋" w:hAnsi="仿宋" w:eastAsia="仿宋"/>
          <w:color w:val="auto"/>
          <w:sz w:val="28"/>
          <w:szCs w:val="28"/>
        </w:rPr>
        <w:t xml:space="preserve">   </w:t>
      </w:r>
    </w:p>
    <w:p>
      <w:pPr>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备注：单位负责人为同一人或者存在直接控股、管理关系的不同供应商，不得参加本项目同一标段下的政府采购活动。 </w:t>
      </w:r>
    </w:p>
    <w:p>
      <w:pPr>
        <w:pStyle w:val="4"/>
        <w:spacing w:line="360" w:lineRule="auto"/>
        <w:rPr>
          <w:rFonts w:hint="default" w:ascii="黑体" w:hAnsi="黑体" w:cs="宋体"/>
          <w:color w:val="auto"/>
          <w:sz w:val="28"/>
          <w:szCs w:val="28"/>
        </w:rPr>
      </w:pPr>
      <w:bookmarkStart w:id="12" w:name="_Toc35393800"/>
      <w:bookmarkStart w:id="13" w:name="_Toc35393631"/>
      <w:r>
        <w:rPr>
          <w:rFonts w:ascii="黑体" w:hAnsi="黑体" w:cs="宋体"/>
          <w:color w:val="auto"/>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rPr>
        <w:t>2021年10月</w:t>
      </w:r>
      <w:r>
        <w:rPr>
          <w:rFonts w:hint="eastAsia" w:ascii="仿宋" w:hAnsi="仿宋" w:eastAsia="仿宋" w:cs="宋体"/>
          <w:color w:val="auto"/>
          <w:sz w:val="28"/>
          <w:szCs w:val="28"/>
          <w:u w:val="single"/>
          <w:lang w:val="en-US" w:eastAsia="zh-CN"/>
        </w:rPr>
        <w:t>29</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2021年11月0</w:t>
      </w:r>
      <w:r>
        <w:rPr>
          <w:rFonts w:hint="eastAsia" w:ascii="仿宋" w:hAnsi="仿宋" w:eastAsia="仿宋" w:cs="宋体"/>
          <w:color w:val="auto"/>
          <w:sz w:val="28"/>
          <w:szCs w:val="28"/>
          <w:u w:val="single"/>
          <w:lang w:val="en-US" w:eastAsia="zh-CN"/>
        </w:rPr>
        <w:t>2</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地点：新疆鸿延建设项目管理有限公司（阿勒泰市润德名苑1-1602）</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方式：线下购买</w:t>
      </w:r>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售价：300（元）</w:t>
      </w:r>
    </w:p>
    <w:p>
      <w:pPr>
        <w:pStyle w:val="4"/>
        <w:spacing w:line="360" w:lineRule="auto"/>
        <w:rPr>
          <w:rFonts w:hint="default" w:ascii="黑体" w:hAnsi="黑体" w:cs="宋体"/>
          <w:color w:val="auto"/>
          <w:sz w:val="28"/>
          <w:szCs w:val="28"/>
        </w:rPr>
      </w:pPr>
      <w:bookmarkStart w:id="14" w:name="_Toc28359092"/>
      <w:bookmarkStart w:id="15" w:name="_Toc35393632"/>
      <w:bookmarkStart w:id="16" w:name="_Toc35393801"/>
      <w:bookmarkStart w:id="17" w:name="_Toc28359015"/>
      <w:r>
        <w:rPr>
          <w:rFonts w:ascii="黑体" w:hAnsi="黑体" w:cs="宋体"/>
          <w:color w:val="auto"/>
          <w:sz w:val="28"/>
          <w:szCs w:val="28"/>
        </w:rPr>
        <w:t>四、响应文件提交</w:t>
      </w:r>
      <w:bookmarkEnd w:id="14"/>
      <w:bookmarkEnd w:id="15"/>
      <w:bookmarkEnd w:id="16"/>
      <w:bookmarkEnd w:id="17"/>
    </w:p>
    <w:p>
      <w:pPr>
        <w:ind w:firstLine="560" w:firstLineChars="200"/>
        <w:rPr>
          <w:rFonts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u w:val="single"/>
        </w:rPr>
        <w:t>2021</w:t>
      </w:r>
      <w:r>
        <w:rPr>
          <w:rFonts w:hint="eastAsia" w:ascii="仿宋" w:hAnsi="仿宋" w:eastAsia="仿宋"/>
          <w:bCs/>
          <w:color w:val="auto"/>
          <w:sz w:val="28"/>
          <w:szCs w:val="28"/>
          <w:u w:val="single"/>
        </w:rPr>
        <w:t>年11月0</w:t>
      </w:r>
      <w:r>
        <w:rPr>
          <w:rFonts w:ascii="仿宋" w:hAnsi="仿宋" w:eastAsia="仿宋"/>
          <w:bCs/>
          <w:color w:val="auto"/>
          <w:sz w:val="28"/>
          <w:szCs w:val="28"/>
          <w:u w:val="single"/>
        </w:rPr>
        <w:t>5</w:t>
      </w:r>
      <w:r>
        <w:rPr>
          <w:rFonts w:hint="eastAsia" w:ascii="仿宋" w:hAnsi="仿宋" w:eastAsia="仿宋"/>
          <w:bCs/>
          <w:color w:val="auto"/>
          <w:sz w:val="28"/>
          <w:szCs w:val="28"/>
          <w:u w:val="single"/>
        </w:rPr>
        <w:t>日16点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ascii="仿宋" w:hAnsi="仿宋" w:eastAsia="仿宋"/>
          <w:bCs/>
          <w:color w:val="auto"/>
          <w:sz w:val="28"/>
          <w:szCs w:val="28"/>
        </w:rPr>
      </w:pPr>
      <w:r>
        <w:rPr>
          <w:rFonts w:hint="eastAsia" w:ascii="仿宋" w:hAnsi="仿宋" w:eastAsia="仿宋"/>
          <w:color w:val="auto"/>
          <w:sz w:val="28"/>
          <w:szCs w:val="28"/>
        </w:rPr>
        <w:t>地点：布尔津县财政局4楼开标室</w:t>
      </w:r>
    </w:p>
    <w:p>
      <w:pPr>
        <w:pStyle w:val="4"/>
        <w:spacing w:line="360" w:lineRule="auto"/>
        <w:rPr>
          <w:rFonts w:hint="default" w:ascii="黑体" w:hAnsi="黑体" w:cs="宋体"/>
          <w:color w:val="auto"/>
          <w:sz w:val="28"/>
          <w:szCs w:val="28"/>
        </w:rPr>
      </w:pPr>
      <w:bookmarkStart w:id="18" w:name="_Toc35393802"/>
      <w:bookmarkStart w:id="19" w:name="_Toc35393633"/>
      <w:bookmarkStart w:id="20" w:name="_Toc28359016"/>
      <w:bookmarkStart w:id="21" w:name="_Toc28359093"/>
      <w:r>
        <w:rPr>
          <w:rFonts w:ascii="黑体" w:hAnsi="黑体" w:cs="宋体"/>
          <w:color w:val="auto"/>
          <w:sz w:val="28"/>
          <w:szCs w:val="28"/>
        </w:rPr>
        <w:t>五、开启</w:t>
      </w:r>
      <w:bookmarkEnd w:id="18"/>
      <w:bookmarkEnd w:id="19"/>
      <w:bookmarkEnd w:id="20"/>
      <w:bookmarkEnd w:id="21"/>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时间：</w:t>
      </w:r>
      <w:r>
        <w:rPr>
          <w:rFonts w:hint="eastAsia" w:ascii="仿宋" w:hAnsi="仿宋" w:eastAsia="仿宋"/>
          <w:color w:val="auto"/>
          <w:sz w:val="28"/>
          <w:szCs w:val="28"/>
          <w:u w:val="single"/>
        </w:rPr>
        <w:t>2021</w:t>
      </w:r>
      <w:r>
        <w:rPr>
          <w:rFonts w:hint="eastAsia" w:ascii="仿宋" w:hAnsi="仿宋" w:eastAsia="仿宋"/>
          <w:bCs/>
          <w:color w:val="auto"/>
          <w:sz w:val="28"/>
          <w:szCs w:val="28"/>
          <w:u w:val="single"/>
        </w:rPr>
        <w:t>年11月0</w:t>
      </w:r>
      <w:r>
        <w:rPr>
          <w:rFonts w:ascii="仿宋" w:hAnsi="仿宋" w:eastAsia="仿宋"/>
          <w:bCs/>
          <w:color w:val="auto"/>
          <w:sz w:val="28"/>
          <w:szCs w:val="28"/>
          <w:u w:val="single"/>
        </w:rPr>
        <w:t>5</w:t>
      </w:r>
      <w:r>
        <w:rPr>
          <w:rFonts w:hint="eastAsia" w:ascii="仿宋" w:hAnsi="仿宋" w:eastAsia="仿宋"/>
          <w:bCs/>
          <w:color w:val="auto"/>
          <w:sz w:val="28"/>
          <w:szCs w:val="28"/>
          <w:u w:val="single"/>
        </w:rPr>
        <w:t>日16点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地点：</w:t>
      </w:r>
      <w:bookmarkStart w:id="22" w:name="_Toc28359094"/>
      <w:bookmarkStart w:id="23" w:name="_Toc28359017"/>
      <w:bookmarkStart w:id="24" w:name="_Toc35393634"/>
      <w:bookmarkStart w:id="25" w:name="_Toc35393803"/>
      <w:r>
        <w:rPr>
          <w:rFonts w:hint="eastAsia" w:ascii="仿宋" w:hAnsi="仿宋" w:eastAsia="仿宋"/>
          <w:color w:val="auto"/>
          <w:sz w:val="28"/>
          <w:szCs w:val="28"/>
        </w:rPr>
        <w:t>布尔津县财政局4楼开标室</w:t>
      </w:r>
    </w:p>
    <w:p>
      <w:pPr>
        <w:ind w:firstLine="560" w:firstLineChars="200"/>
        <w:rPr>
          <w:rFonts w:ascii="黑体" w:hAnsi="黑体" w:cs="宋体"/>
          <w:color w:val="auto"/>
          <w:sz w:val="28"/>
          <w:szCs w:val="28"/>
        </w:rPr>
      </w:pPr>
      <w:r>
        <w:rPr>
          <w:rFonts w:hint="eastAsia" w:ascii="黑体" w:hAnsi="黑体" w:cs="宋体"/>
          <w:color w:val="auto"/>
          <w:sz w:val="28"/>
          <w:szCs w:val="28"/>
        </w:rPr>
        <w:t>六、公告期限</w:t>
      </w:r>
      <w:bookmarkEnd w:id="22"/>
      <w:bookmarkEnd w:id="23"/>
      <w:bookmarkEnd w:id="24"/>
      <w:bookmarkEnd w:id="25"/>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自本公告发布之日起3个工作日。</w:t>
      </w:r>
    </w:p>
    <w:p>
      <w:pPr>
        <w:pStyle w:val="4"/>
        <w:numPr>
          <w:ilvl w:val="0"/>
          <w:numId w:val="1"/>
        </w:numPr>
        <w:spacing w:line="360" w:lineRule="auto"/>
        <w:rPr>
          <w:rFonts w:hint="default" w:ascii="黑体" w:hAnsi="黑体" w:cs="宋体"/>
          <w:color w:val="auto"/>
          <w:sz w:val="28"/>
          <w:szCs w:val="28"/>
        </w:rPr>
      </w:pPr>
      <w:bookmarkStart w:id="26" w:name="_Toc35393804"/>
      <w:bookmarkStart w:id="27" w:name="_Toc35393635"/>
      <w:r>
        <w:rPr>
          <w:rFonts w:ascii="黑体" w:hAnsi="黑体" w:cs="宋体"/>
          <w:color w:val="auto"/>
          <w:sz w:val="28"/>
          <w:szCs w:val="28"/>
        </w:rPr>
        <w:t>其他补充事宜</w:t>
      </w:r>
      <w:bookmarkEnd w:id="26"/>
      <w:bookmarkEnd w:id="27"/>
    </w:p>
    <w:p>
      <w:pPr>
        <w:ind w:firstLine="560" w:firstLineChars="200"/>
        <w:rPr>
          <w:color w:val="auto"/>
        </w:rPr>
      </w:pPr>
      <w:r>
        <w:rPr>
          <w:rFonts w:hint="eastAsia" w:ascii="仿宋" w:hAnsi="仿宋" w:eastAsia="仿宋" w:cs="宋体"/>
          <w:color w:val="auto"/>
          <w:kern w:val="0"/>
          <w:sz w:val="28"/>
          <w:szCs w:val="28"/>
        </w:rPr>
        <w:t>报名时须携带①法定代表人授权书及被授权人身份证原件（法定代表人提供法人证明及身份证原件）；②企业资质证书原件；③项目负责人证书原件；④营业执照原件；⑤近一年度的财务审计报告（2020年度）；⑥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证件均应提供原件及加盖投标单位公章的复印件一式两份。</w:t>
      </w:r>
    </w:p>
    <w:p>
      <w:pPr>
        <w:pStyle w:val="4"/>
        <w:spacing w:line="360" w:lineRule="auto"/>
        <w:rPr>
          <w:rFonts w:hint="default" w:ascii="黑体" w:hAnsi="黑体" w:cs="宋体"/>
          <w:color w:val="auto"/>
          <w:sz w:val="28"/>
          <w:szCs w:val="28"/>
        </w:rPr>
      </w:pPr>
      <w:bookmarkStart w:id="28" w:name="_Toc35393636"/>
      <w:bookmarkStart w:id="29" w:name="_Toc28359018"/>
      <w:bookmarkStart w:id="30" w:name="_Toc35393805"/>
      <w:bookmarkStart w:id="31" w:name="_Toc28359095"/>
      <w:r>
        <w:rPr>
          <w:rFonts w:ascii="黑体" w:hAnsi="黑体" w:cs="宋体"/>
          <w:color w:val="auto"/>
          <w:sz w:val="28"/>
          <w:szCs w:val="28"/>
        </w:rPr>
        <w:t>八、凡对本次采购提出询问，请按以下方式联系。</w:t>
      </w:r>
      <w:bookmarkEnd w:id="28"/>
      <w:bookmarkEnd w:id="29"/>
      <w:bookmarkEnd w:id="30"/>
      <w:bookmarkEnd w:id="31"/>
    </w:p>
    <w:p>
      <w:pPr>
        <w:pStyle w:val="4"/>
        <w:spacing w:line="360" w:lineRule="auto"/>
        <w:ind w:firstLine="840" w:firstLineChars="300"/>
        <w:rPr>
          <w:rFonts w:hint="default" w:ascii="仿宋" w:hAnsi="仿宋" w:eastAsia="仿宋" w:cs="宋体"/>
          <w:color w:val="auto"/>
          <w:sz w:val="28"/>
          <w:szCs w:val="28"/>
        </w:rPr>
      </w:pPr>
      <w:bookmarkStart w:id="32" w:name="_Toc35393806"/>
      <w:bookmarkStart w:id="33" w:name="_Toc35393637"/>
      <w:bookmarkStart w:id="34" w:name="_Toc28359019"/>
      <w:bookmarkStart w:id="35" w:name="_Toc28359096"/>
      <w:r>
        <w:rPr>
          <w:rFonts w:ascii="仿宋" w:hAnsi="仿宋" w:eastAsia="仿宋" w:cs="宋体"/>
          <w:color w:val="auto"/>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名    称：</w:t>
      </w:r>
      <w:r>
        <w:rPr>
          <w:rFonts w:hint="eastAsia" w:ascii="仿宋" w:hAnsi="仿宋" w:eastAsia="仿宋"/>
          <w:color w:val="auto"/>
          <w:sz w:val="28"/>
          <w:szCs w:val="28"/>
          <w:u w:val="single"/>
        </w:rPr>
        <w:t>布尔津县自然资源局　</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布尔津县　　　　　　　　</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联系方式：</w:t>
      </w:r>
      <w:r>
        <w:rPr>
          <w:rFonts w:hint="eastAsia" w:ascii="仿宋" w:hAnsi="仿宋" w:eastAsia="仿宋"/>
          <w:color w:val="auto"/>
          <w:sz w:val="28"/>
          <w:szCs w:val="28"/>
          <w:u w:val="single"/>
        </w:rPr>
        <w:t xml:space="preserve">0906-6526035　　　　　　 　　　 </w:t>
      </w:r>
    </w:p>
    <w:p>
      <w:pPr>
        <w:spacing w:line="240" w:lineRule="atLeast"/>
        <w:ind w:firstLine="840" w:firstLineChars="300"/>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rPr>
        <w:t>新疆鸿延建设项目管理有限公司　</w:t>
      </w:r>
    </w:p>
    <w:p>
      <w:pPr>
        <w:spacing w:line="240" w:lineRule="atLeast"/>
        <w:ind w:firstLine="840" w:firstLineChars="300"/>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阿勒泰市润德名苑1-1602　</w:t>
      </w:r>
    </w:p>
    <w:p>
      <w:pPr>
        <w:spacing w:line="240" w:lineRule="atLeast"/>
        <w:ind w:firstLine="840" w:firstLineChars="300"/>
        <w:rPr>
          <w:rFonts w:ascii="仿宋" w:hAnsi="仿宋" w:eastAsia="仿宋"/>
          <w:color w:val="auto"/>
          <w:sz w:val="28"/>
          <w:szCs w:val="28"/>
        </w:rPr>
      </w:pPr>
      <w:r>
        <w:rPr>
          <w:rFonts w:hint="eastAsia" w:ascii="仿宋" w:hAnsi="仿宋" w:eastAsia="仿宋"/>
          <w:color w:val="auto"/>
          <w:sz w:val="28"/>
          <w:szCs w:val="28"/>
        </w:rPr>
        <w:t>联系方式：</w:t>
      </w:r>
      <w:bookmarkStart w:id="36" w:name="_Toc28359010"/>
      <w:bookmarkStart w:id="37" w:name="_Toc28359087"/>
      <w:r>
        <w:rPr>
          <w:rFonts w:hint="eastAsia" w:ascii="仿宋" w:hAnsi="仿宋" w:eastAsia="仿宋"/>
          <w:color w:val="auto"/>
          <w:sz w:val="28"/>
          <w:szCs w:val="28"/>
          <w:u w:val="single"/>
        </w:rPr>
        <w:t>18935826608</w:t>
      </w:r>
    </w:p>
    <w:p>
      <w:pPr>
        <w:spacing w:line="240" w:lineRule="atLeast"/>
        <w:ind w:firstLine="840" w:firstLineChars="300"/>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6"/>
      <w:bookmarkEnd w:id="37"/>
    </w:p>
    <w:p>
      <w:pPr>
        <w:pStyle w:val="9"/>
        <w:spacing w:line="240" w:lineRule="atLeast"/>
        <w:ind w:firstLine="840" w:firstLineChars="300"/>
        <w:rPr>
          <w:rFonts w:ascii="仿宋" w:hAnsi="仿宋" w:eastAsia="仿宋"/>
          <w:color w:val="auto"/>
          <w:sz w:val="28"/>
          <w:szCs w:val="28"/>
        </w:rPr>
      </w:pPr>
      <w:r>
        <w:rPr>
          <w:rFonts w:hint="eastAsia" w:ascii="仿宋" w:hAnsi="仿宋" w:eastAsia="仿宋"/>
          <w:color w:val="auto"/>
          <w:sz w:val="28"/>
          <w:szCs w:val="28"/>
        </w:rPr>
        <w:t>项目联系人：</w:t>
      </w:r>
      <w:r>
        <w:rPr>
          <w:rFonts w:hint="eastAsia" w:ascii="仿宋" w:hAnsi="仿宋" w:eastAsia="仿宋"/>
          <w:color w:val="auto"/>
          <w:sz w:val="28"/>
          <w:szCs w:val="28"/>
          <w:u w:val="single"/>
        </w:rPr>
        <w:t>尚梦云</w:t>
      </w:r>
    </w:p>
    <w:p>
      <w:pPr>
        <w:spacing w:line="240" w:lineRule="atLeast"/>
        <w:ind w:firstLine="840" w:firstLineChars="300"/>
        <w:rPr>
          <w:rFonts w:ascii="宋体" w:hAnsi="宋体" w:cs="宋体"/>
          <w:color w:val="auto"/>
          <w:kern w:val="0"/>
          <w:sz w:val="24"/>
          <w:shd w:val="clear" w:color="auto" w:fill="FFFFFF"/>
        </w:rPr>
      </w:pPr>
      <w:r>
        <w:rPr>
          <w:rFonts w:hint="eastAsia" w:ascii="仿宋" w:hAnsi="仿宋" w:eastAsia="仿宋"/>
          <w:color w:val="auto"/>
          <w:sz w:val="28"/>
          <w:szCs w:val="28"/>
        </w:rPr>
        <w:t>电　话：</w:t>
      </w:r>
      <w:r>
        <w:rPr>
          <w:rFonts w:hint="eastAsia" w:ascii="仿宋" w:hAnsi="仿宋" w:eastAsia="仿宋"/>
          <w:color w:val="auto"/>
          <w:sz w:val="28"/>
          <w:szCs w:val="28"/>
          <w:u w:val="single"/>
        </w:rPr>
        <w:t>18935826608</w:t>
      </w:r>
    </w:p>
    <w:p>
      <w:pPr>
        <w:pStyle w:val="24"/>
        <w:spacing w:line="360" w:lineRule="auto"/>
        <w:jc w:val="center"/>
        <w:rPr>
          <w:rFonts w:hint="default" w:asciiTheme="majorEastAsia" w:hAnsiTheme="majorEastAsia" w:eastAsiaTheme="majorEastAsia" w:cstheme="majorEastAsia"/>
          <w:color w:val="auto"/>
          <w:sz w:val="28"/>
          <w:szCs w:val="28"/>
        </w:rPr>
      </w:pPr>
    </w:p>
    <w:bookmarkEnd w:id="39"/>
    <w:p>
      <w:pPr>
        <w:rPr>
          <w:rFonts w:asciiTheme="majorEastAsia" w:hAnsiTheme="majorEastAsia" w:eastAsiaTheme="majorEastAsia" w:cstheme="majorEastAsia"/>
          <w:color w:val="auto"/>
          <w:sz w:val="28"/>
          <w:szCs w:val="28"/>
        </w:rPr>
      </w:pPr>
    </w:p>
    <w:p>
      <w:pPr>
        <w:pStyle w:val="24"/>
        <w:rPr>
          <w:rFonts w:hint="default"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p>
    <w:p>
      <w:pPr>
        <w:pStyle w:val="24"/>
        <w:rPr>
          <w:rFonts w:hint="default"/>
          <w:color w:val="auto"/>
        </w:rPr>
      </w:pPr>
    </w:p>
    <w:p>
      <w:pPr>
        <w:pStyle w:val="24"/>
        <w:spacing w:line="360" w:lineRule="auto"/>
        <w:jc w:val="center"/>
        <w:rPr>
          <w:rFonts w:hint="default" w:asciiTheme="majorEastAsia" w:hAnsiTheme="majorEastAsia" w:eastAsiaTheme="majorEastAsia" w:cstheme="majorEastAsia"/>
          <w:color w:val="auto"/>
          <w:sz w:val="28"/>
          <w:szCs w:val="28"/>
        </w:rPr>
      </w:pPr>
    </w:p>
    <w:p>
      <w:pPr>
        <w:pStyle w:val="24"/>
        <w:spacing w:line="480" w:lineRule="exact"/>
        <w:jc w:val="center"/>
        <w:rPr>
          <w:rFonts w:hint="default" w:asciiTheme="majorEastAsia" w:hAnsiTheme="majorEastAsia" w:eastAsiaTheme="majorEastAsia" w:cstheme="majorEastAsia"/>
          <w:color w:val="auto"/>
          <w:sz w:val="28"/>
          <w:szCs w:val="28"/>
        </w:rPr>
      </w:pPr>
    </w:p>
    <w:p>
      <w:pPr>
        <w:spacing w:before="312" w:beforeLines="100" w:after="156" w:afterLines="50"/>
        <w:rPr>
          <w:rFonts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rPr>
          <w:rFonts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rPr>
          <w:rFonts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rPr>
          <w:rFonts w:asciiTheme="majorEastAsia" w:hAnsiTheme="majorEastAsia" w:eastAsiaTheme="majorEastAsia" w:cstheme="majorEastAsia"/>
          <w:b/>
          <w:color w:val="auto"/>
          <w:sz w:val="44"/>
          <w:szCs w:val="44"/>
        </w:rPr>
      </w:pPr>
    </w:p>
    <w:p>
      <w:pPr>
        <w:pStyle w:val="3"/>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投 标 须 知</w:t>
      </w:r>
    </w:p>
    <w:tbl>
      <w:tblPr>
        <w:tblStyle w:val="18"/>
        <w:tblW w:w="100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9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8" w:hRule="atLeast"/>
          <w:jc w:val="center"/>
        </w:trPr>
        <w:tc>
          <w:tcPr>
            <w:tcW w:w="675" w:type="dxa"/>
          </w:tcPr>
          <w:p>
            <w:pPr>
              <w:autoSpaceDE w:val="0"/>
              <w:autoSpaceDN w:val="0"/>
              <w:jc w:val="left"/>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项号</w:t>
            </w:r>
          </w:p>
        </w:tc>
        <w:tc>
          <w:tcPr>
            <w:tcW w:w="9356" w:type="dxa"/>
          </w:tcPr>
          <w:p>
            <w:pPr>
              <w:autoSpaceDE w:val="0"/>
              <w:autoSpaceDN w:val="0"/>
              <w:jc w:val="center"/>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13" w:hRule="atLeast"/>
          <w:jc w:val="center"/>
        </w:trPr>
        <w:tc>
          <w:tcPr>
            <w:tcW w:w="675" w:type="dxa"/>
          </w:tcPr>
          <w:p>
            <w:pPr>
              <w:autoSpaceDE w:val="0"/>
              <w:autoSpaceDN w:val="0"/>
              <w:spacing w:line="360" w:lineRule="auto"/>
              <w:jc w:val="center"/>
              <w:rPr>
                <w:rFonts w:asciiTheme="majorEastAsia" w:hAnsiTheme="majorEastAsia" w:eastAsiaTheme="majorEastAsia" w:cstheme="majorEastAsia"/>
                <w:color w:val="auto"/>
                <w:kern w:val="0"/>
                <w:sz w:val="24"/>
              </w:rPr>
            </w:pPr>
          </w:p>
          <w:p>
            <w:pPr>
              <w:autoSpaceDE w:val="0"/>
              <w:autoSpaceDN w:val="0"/>
              <w:spacing w:line="360" w:lineRule="auto"/>
              <w:jc w:val="center"/>
              <w:rPr>
                <w:rFonts w:asciiTheme="majorEastAsia" w:hAnsiTheme="majorEastAsia" w:eastAsiaTheme="majorEastAsia" w:cstheme="majorEastAsia"/>
                <w:color w:val="auto"/>
                <w:kern w:val="0"/>
                <w:sz w:val="24"/>
              </w:rPr>
            </w:pPr>
          </w:p>
          <w:p>
            <w:pPr>
              <w:autoSpaceDE w:val="0"/>
              <w:autoSpaceDN w:val="0"/>
              <w:spacing w:line="360" w:lineRule="auto"/>
              <w:jc w:val="center"/>
              <w:rPr>
                <w:rFonts w:asciiTheme="majorEastAsia" w:hAnsiTheme="majorEastAsia" w:eastAsiaTheme="majorEastAsia" w:cstheme="majorEastAsia"/>
                <w:color w:val="auto"/>
                <w:kern w:val="0"/>
                <w:sz w:val="24"/>
              </w:rPr>
            </w:pPr>
          </w:p>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１</w:t>
            </w:r>
          </w:p>
        </w:tc>
        <w:tc>
          <w:tcPr>
            <w:tcW w:w="9356" w:type="dxa"/>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工程名称：布尔津县农用地、集体建设用地基准地价、城镇标定地价评估服务项目</w:t>
            </w:r>
          </w:p>
          <w:p>
            <w:pPr>
              <w:autoSpaceDE w:val="0"/>
              <w:autoSpaceDN w:val="0"/>
              <w:spacing w:line="360" w:lineRule="auto"/>
              <w:rPr>
                <w:rFonts w:asciiTheme="majorEastAsia" w:hAnsiTheme="majorEastAsia" w:eastAsiaTheme="majorEastAsia" w:cstheme="majorEastAsia"/>
                <w:bCs/>
                <w:color w:val="auto"/>
                <w:kern w:val="0"/>
                <w:sz w:val="24"/>
                <w:lang w:bidi="ar"/>
              </w:rPr>
            </w:pPr>
            <w:r>
              <w:rPr>
                <w:rFonts w:hint="eastAsia" w:asciiTheme="majorEastAsia" w:hAnsiTheme="majorEastAsia" w:eastAsiaTheme="majorEastAsia" w:cstheme="majorEastAsia"/>
                <w:bCs/>
                <w:color w:val="auto"/>
                <w:kern w:val="0"/>
                <w:sz w:val="24"/>
                <w:lang w:bidi="ar"/>
              </w:rPr>
              <w:t>项目编号：HYZFCG-2021-020</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建设单位：布尔津县自然资源局</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工程地点：布尔津县</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招标方式：竞争性谈判</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采购内容：依据《自然资源部办公厅关于部署开展2019年度自然资源评价评估工作的通知》（自然资办发〔2019〕36号）以及新疆维吾尔自治区自然资源厅办公室《关于开展2019年度自然资源评价评估工作的通知》，完善自然资源公示体系，促进布尔津县自然资源保护与合理开发利用，开展布尔津县农用地、集体建设用地基准地价，城镇标定地价评估工作。</w:t>
            </w:r>
          </w:p>
          <w:p>
            <w:pPr>
              <w:autoSpaceDE w:val="0"/>
              <w:autoSpaceDN w:val="0"/>
              <w:spacing w:line="360" w:lineRule="auto"/>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服务期限：自签订合同后</w:t>
            </w:r>
            <w:r>
              <w:rPr>
                <w:rFonts w:hint="eastAsia" w:asciiTheme="majorEastAsia" w:hAnsiTheme="majorEastAsia" w:eastAsiaTheme="majorEastAsia" w:cstheme="majorEastAsia"/>
                <w:b/>
                <w:color w:val="auto"/>
                <w:sz w:val="24"/>
                <w:lang w:val="en-US" w:eastAsia="zh-CN"/>
              </w:rPr>
              <w:t>30日历日</w:t>
            </w:r>
            <w:r>
              <w:rPr>
                <w:rFonts w:hint="eastAsia" w:asciiTheme="majorEastAsia" w:hAnsiTheme="majorEastAsia" w:eastAsiaTheme="majorEastAsia" w:cstheme="majorEastAsia"/>
                <w:b/>
                <w:color w:val="auto"/>
                <w:sz w:val="24"/>
              </w:rPr>
              <w:t>完成所有工作内容。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jc w:val="center"/>
        </w:trPr>
        <w:tc>
          <w:tcPr>
            <w:tcW w:w="675" w:type="dxa"/>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w:t>
            </w:r>
          </w:p>
        </w:tc>
        <w:tc>
          <w:tcPr>
            <w:tcW w:w="9356" w:type="dxa"/>
          </w:tcPr>
          <w:p>
            <w:pPr>
              <w:autoSpaceDE w:val="0"/>
              <w:autoSpaceDN w:val="0"/>
              <w:spacing w:line="360" w:lineRule="auto"/>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color w:val="auto"/>
                <w:sz w:val="24"/>
              </w:rPr>
              <w:t>财务状况：近一年（2020年度）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jc w:val="center"/>
        </w:trPr>
        <w:tc>
          <w:tcPr>
            <w:tcW w:w="675" w:type="dxa"/>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w:t>
            </w:r>
          </w:p>
        </w:tc>
        <w:tc>
          <w:tcPr>
            <w:tcW w:w="9356" w:type="dxa"/>
          </w:tcPr>
          <w:p>
            <w:pPr>
              <w:autoSpaceDE w:val="0"/>
              <w:autoSpaceDN w:val="0"/>
              <w:spacing w:line="360" w:lineRule="auto"/>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4"/>
              </w:rPr>
              <w:t>类似业绩：2018年10月1日-2021年11月05日类似业绩，附中标通知书或合同协议书。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4</w:t>
            </w:r>
          </w:p>
        </w:tc>
        <w:tc>
          <w:tcPr>
            <w:tcW w:w="9356" w:type="dxa"/>
            <w:vAlign w:val="center"/>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资金来源：财政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1"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5</w:t>
            </w:r>
          </w:p>
        </w:tc>
        <w:tc>
          <w:tcPr>
            <w:tcW w:w="9356" w:type="dxa"/>
            <w:vAlign w:val="center"/>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投标有效期为：30天（日历日）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3"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6</w:t>
            </w:r>
          </w:p>
        </w:tc>
        <w:tc>
          <w:tcPr>
            <w:tcW w:w="9356" w:type="dxa"/>
            <w:vAlign w:val="center"/>
          </w:tcPr>
          <w:p>
            <w:pPr>
              <w:pStyle w:val="24"/>
              <w:spacing w:line="360" w:lineRule="auto"/>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rPr>
              <w:t>1 投标人必须符合《中华人民共和国政府采购法》第二十二条规定；</w:t>
            </w:r>
          </w:p>
          <w:p>
            <w:pPr>
              <w:pStyle w:val="24"/>
              <w:spacing w:line="360" w:lineRule="auto"/>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rPr>
              <w:t>2、报名条件：投标人须具备以下资质</w:t>
            </w:r>
          </w:p>
          <w:p>
            <w:pPr>
              <w:pStyle w:val="24"/>
              <w:spacing w:line="360" w:lineRule="auto"/>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rPr>
              <w:t xml:space="preserve">2.1投标人参加本次采购活动应满足《中华人民共和国政府采购法》第二十二条规定并具备土地规划乙级以上（含乙级），项目负责人需具备相关专业中级及以上工程师。  </w:t>
            </w:r>
          </w:p>
          <w:p>
            <w:pPr>
              <w:pStyle w:val="24"/>
              <w:spacing w:line="360" w:lineRule="auto"/>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rPr>
              <w:t>2.2本项目不接受联合体投标。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1"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7</w:t>
            </w:r>
          </w:p>
        </w:tc>
        <w:tc>
          <w:tcPr>
            <w:tcW w:w="9356" w:type="dxa"/>
            <w:vAlign w:val="center"/>
          </w:tcPr>
          <w:p>
            <w:pPr>
              <w:autoSpaceDE w:val="0"/>
              <w:autoSpaceDN w:val="0"/>
              <w:spacing w:line="360" w:lineRule="auto"/>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color w:val="auto"/>
                <w:sz w:val="24"/>
              </w:rPr>
              <w:t>竞争性谈判响应文件份数：</w:t>
            </w:r>
            <w:r>
              <w:rPr>
                <w:rFonts w:hint="eastAsia" w:asciiTheme="majorEastAsia" w:hAnsiTheme="majorEastAsia" w:eastAsiaTheme="majorEastAsia" w:cstheme="majorEastAsia"/>
                <w:bCs/>
                <w:color w:val="auto"/>
                <w:kern w:val="0"/>
                <w:sz w:val="24"/>
              </w:rPr>
              <w:t xml:space="preserve"> </w:t>
            </w:r>
            <w:r>
              <w:rPr>
                <w:rFonts w:hint="eastAsia" w:asciiTheme="majorEastAsia" w:hAnsiTheme="majorEastAsia" w:eastAsiaTheme="majorEastAsia" w:cstheme="majorEastAsia"/>
                <w:bCs/>
                <w:color w:val="auto"/>
                <w:kern w:val="0"/>
                <w:sz w:val="24"/>
                <w:highlight w:val="yellow"/>
              </w:rPr>
              <w:t>一正二副，竞争性谈判响应文件一律采用胶装。另电子版一份（要求盖章扫描的PDF格式）</w:t>
            </w:r>
            <w:r>
              <w:rPr>
                <w:rFonts w:hint="eastAsia" w:asciiTheme="majorEastAsia" w:hAnsiTheme="majorEastAsia" w:eastAsiaTheme="majorEastAsia" w:cstheme="majorEastAsia"/>
                <w:bCs/>
                <w:color w:val="auto"/>
                <w:kern w:val="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3"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8</w:t>
            </w:r>
          </w:p>
        </w:tc>
        <w:tc>
          <w:tcPr>
            <w:tcW w:w="9356" w:type="dxa"/>
            <w:vAlign w:val="center"/>
          </w:tcPr>
          <w:p>
            <w:pPr>
              <w:autoSpaceDE w:val="0"/>
              <w:autoSpaceDN w:val="0"/>
              <w:spacing w:line="360" w:lineRule="auto"/>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color w:val="auto"/>
                <w:sz w:val="24"/>
              </w:rPr>
              <w:t>竞争性谈判响应文件递交截止时间：2021年11月05日下午16:</w:t>
            </w:r>
            <w:r>
              <w:rPr>
                <w:rFonts w:hint="eastAsia" w:asciiTheme="majorEastAsia" w:hAnsiTheme="majorEastAsia" w:eastAsiaTheme="majorEastAsia" w:cstheme="majorEastAsia"/>
                <w:color w:val="auto"/>
                <w:sz w:val="24"/>
                <w:lang w:val="en-US" w:eastAsia="zh-CN"/>
              </w:rPr>
              <w:t>00</w:t>
            </w:r>
            <w:r>
              <w:rPr>
                <w:rFonts w:hint="eastAsia" w:asciiTheme="majorEastAsia" w:hAnsiTheme="majorEastAsia" w:eastAsiaTheme="majorEastAsia" w:cstheme="majorEastAsia"/>
                <w:color w:val="auto"/>
                <w:sz w:val="24"/>
              </w:rPr>
              <w:t>时</w:t>
            </w:r>
            <w:r>
              <w:rPr>
                <w:rFonts w:hint="eastAsia" w:asciiTheme="majorEastAsia" w:hAnsiTheme="majorEastAsia" w:eastAsiaTheme="majorEastAsia" w:cstheme="majorEastAsia"/>
                <w:b/>
                <w:bCs/>
                <w:color w:val="auto"/>
                <w:sz w:val="24"/>
              </w:rPr>
              <w:t>（超过此时间的竞争性谈判响应文件一律不接收）</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竞争性谈判响应文件递交至：布尔津县财政局4楼开标室</w:t>
            </w:r>
          </w:p>
        </w:tc>
      </w:tr>
    </w:tbl>
    <w:p>
      <w:pP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kern w:val="0"/>
          <w:sz w:val="24"/>
        </w:rPr>
        <w:br w:type="page"/>
      </w:r>
    </w:p>
    <w:tbl>
      <w:tblPr>
        <w:tblStyle w:val="18"/>
        <w:tblW w:w="100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9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5"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9</w:t>
            </w:r>
          </w:p>
        </w:tc>
        <w:tc>
          <w:tcPr>
            <w:tcW w:w="9356" w:type="dxa"/>
            <w:vAlign w:val="center"/>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开标日期：2021年11月05日下午16:</w:t>
            </w:r>
            <w:r>
              <w:rPr>
                <w:rFonts w:hint="eastAsia" w:asciiTheme="majorEastAsia" w:hAnsiTheme="majorEastAsia" w:eastAsiaTheme="majorEastAsia" w:cstheme="majorEastAsia"/>
                <w:color w:val="auto"/>
                <w:sz w:val="24"/>
                <w:lang w:val="en-US" w:eastAsia="zh-CN"/>
              </w:rPr>
              <w:t>00</w:t>
            </w:r>
            <w:r>
              <w:rPr>
                <w:rFonts w:hint="eastAsia" w:asciiTheme="majorEastAsia" w:hAnsiTheme="majorEastAsia" w:eastAsiaTheme="majorEastAsia" w:cstheme="majorEastAsia"/>
                <w:color w:val="auto"/>
                <w:sz w:val="24"/>
              </w:rPr>
              <w:t>时</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地点：布尔津县财政局4楼开标室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10</w:t>
            </w:r>
          </w:p>
        </w:tc>
        <w:tc>
          <w:tcPr>
            <w:tcW w:w="9356" w:type="dxa"/>
            <w:vAlign w:val="center"/>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投标保证金的形式：投标保证金需以电汇、转账、支票、汇票、本票或者金融机构、担保机构出具的保函等非现金形式提交。</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投标保证金的金额：小写：20000元    大写：贰万元整</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开户银行及帐号如下：</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开户名称：新疆鸿延建设项目管理有限公司阿勒泰分公司</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开户行：中国银行股份有限公司阿勒泰地区分行营业部  </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账号：107085863924</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注：1）投标保证金必须于2021年11月05日下午16：</w:t>
            </w:r>
            <w:r>
              <w:rPr>
                <w:rFonts w:hint="eastAsia" w:asciiTheme="majorEastAsia" w:hAnsiTheme="majorEastAsia" w:eastAsiaTheme="majorEastAsia" w:cstheme="majorEastAsia"/>
                <w:color w:val="auto"/>
                <w:sz w:val="24"/>
                <w:lang w:val="en-US" w:eastAsia="zh-CN"/>
              </w:rPr>
              <w:t>00</w:t>
            </w:r>
            <w:r>
              <w:rPr>
                <w:rFonts w:hint="eastAsia" w:asciiTheme="majorEastAsia" w:hAnsiTheme="majorEastAsia" w:eastAsiaTheme="majorEastAsia" w:cstheme="majorEastAsia"/>
                <w:color w:val="auto"/>
                <w:sz w:val="24"/>
              </w:rPr>
              <w:t>之前交纳，以到账时间为准，逾期不交者视为自动放弃，逾期交纳者视为无效；</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2）转账时须注明转账项目名称及用途(投标保证金)；</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3）在规定的投标保证金到账日期之后递交投标保证金的、投标保证金未从基本户汇出的、未注明项目名称的、未将汇款凭据复印件装订在竞争性谈判响应文件中的视同未交纳投标保证金。</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4）投标人应充分考虑保证金在银行之间划转所需要的时间，以确保其在截止时间之前到达指定账户，否则后果自负。</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5)银行保函；（银行保函须从基本账户开出，须注明项目名称及单位名称，银行保函的有效期不得少于投标有效期，银行保函需提供原件并单独密封提交）</w:t>
            </w:r>
          </w:p>
          <w:p>
            <w:pPr>
              <w:pStyle w:val="2"/>
              <w:rPr>
                <w:color w:val="auto"/>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1"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11</w:t>
            </w:r>
          </w:p>
        </w:tc>
        <w:tc>
          <w:tcPr>
            <w:tcW w:w="9356" w:type="dxa"/>
            <w:vAlign w:val="center"/>
          </w:tcPr>
          <w:p>
            <w:pPr>
              <w:autoSpaceDE w:val="0"/>
              <w:autoSpaceDN w:val="0"/>
              <w:spacing w:line="360" w:lineRule="auto"/>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投标上限价：165万元（壹佰陆拾伍万元整），投标企业的报价不能高于或等于投标上限价，否则视为无效报价。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12</w:t>
            </w:r>
          </w:p>
        </w:tc>
        <w:tc>
          <w:tcPr>
            <w:tcW w:w="9356" w:type="dxa"/>
            <w:vAlign w:val="center"/>
          </w:tcPr>
          <w:p>
            <w:pPr>
              <w:autoSpaceDE w:val="0"/>
              <w:autoSpaceDN w:val="0"/>
              <w:spacing w:line="360" w:lineRule="auto"/>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质量保证金金额为：甲乙签订合同时双方协商约定。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13</w:t>
            </w:r>
          </w:p>
        </w:tc>
        <w:tc>
          <w:tcPr>
            <w:tcW w:w="9356" w:type="dxa"/>
            <w:vAlign w:val="center"/>
          </w:tcPr>
          <w:p>
            <w:pPr>
              <w:autoSpaceDE w:val="0"/>
              <w:autoSpaceDN w:val="0"/>
              <w:spacing w:line="360" w:lineRule="auto"/>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付款方式：甲乙签订合同时双方协商约定。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2"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14</w:t>
            </w:r>
          </w:p>
        </w:tc>
        <w:tc>
          <w:tcPr>
            <w:tcW w:w="9356" w:type="dxa"/>
            <w:vAlign w:val="center"/>
          </w:tcPr>
          <w:p>
            <w:pPr>
              <w:autoSpaceDE w:val="0"/>
              <w:autoSpaceDN w:val="0"/>
              <w:spacing w:line="360" w:lineRule="auto"/>
              <w:rPr>
                <w:rFonts w:asciiTheme="majorEastAsia" w:hAnsiTheme="majorEastAsia" w:eastAsiaTheme="majorEastAsia" w:cstheme="majorEastAsia"/>
                <w:bCs/>
                <w:color w:val="auto"/>
                <w:kern w:val="0"/>
                <w:sz w:val="24"/>
              </w:rPr>
            </w:pPr>
            <w:bookmarkStart w:id="38" w:name="OLE_LINK20"/>
            <w:r>
              <w:rPr>
                <w:rFonts w:hint="eastAsia" w:asciiTheme="majorEastAsia" w:hAnsiTheme="majorEastAsia" w:eastAsiaTheme="majorEastAsia" w:cstheme="majorEastAsia"/>
                <w:color w:val="auto"/>
                <w:sz w:val="24"/>
              </w:rPr>
              <w:t>中标服务费遵照国家发改价格发[2011]534号文有关规定执行。</w:t>
            </w:r>
            <w:bookmarkEnd w:id="3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2" w:hRule="atLeast"/>
          <w:jc w:val="center"/>
        </w:trPr>
        <w:tc>
          <w:tcPr>
            <w:tcW w:w="675" w:type="dxa"/>
            <w:vAlign w:val="center"/>
          </w:tcPr>
          <w:p>
            <w:pPr>
              <w:autoSpaceDE w:val="0"/>
              <w:autoSpaceDN w:val="0"/>
              <w:spacing w:line="360" w:lineRule="auto"/>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15</w:t>
            </w:r>
          </w:p>
        </w:tc>
        <w:tc>
          <w:tcPr>
            <w:tcW w:w="9356" w:type="dxa"/>
            <w:vAlign w:val="center"/>
          </w:tcPr>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开标前，请各投标人随身携带下列有效证件以备随时查验：</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（1）法定代表人授权书及被授权人身份证原件（法定代表人提供法人证明及身份证原件）</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法定代表人</w:t>
            </w:r>
            <w:r>
              <w:rPr>
                <w:rFonts w:hint="eastAsia" w:asciiTheme="majorEastAsia" w:hAnsiTheme="majorEastAsia" w:eastAsiaTheme="majorEastAsia" w:cstheme="majorEastAsia"/>
                <w:color w:val="auto"/>
                <w:sz w:val="24"/>
                <w:highlight w:val="yellow"/>
              </w:rPr>
              <w:t>授权委托书应当单独提供</w:t>
            </w:r>
            <w:r>
              <w:rPr>
                <w:rFonts w:hint="eastAsia" w:asciiTheme="majorEastAsia" w:hAnsiTheme="majorEastAsia" w:eastAsiaTheme="majorEastAsia" w:cstheme="majorEastAsia"/>
                <w:color w:val="auto"/>
                <w:sz w:val="24"/>
              </w:rPr>
              <w:t>，并与竞争性谈判响应文件中所提供的相一致。以上证件均应当为原件。</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 营业执照（三证合一）；</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 加盖公章投标保证金交纳凭证及投标保证金收据；</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 企业资质证书及项目负责人证书。</w:t>
            </w:r>
          </w:p>
          <w:p>
            <w:pPr>
              <w:autoSpaceDE w:val="0"/>
              <w:autoSpaceDN w:val="0"/>
              <w:spacing w:line="360" w:lineRule="auto"/>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以上证件均应当为原件，上述证件的公证件，本次招标不予认可。</w:t>
            </w:r>
          </w:p>
          <w:p>
            <w:pPr>
              <w:autoSpaceDE w:val="0"/>
              <w:autoSpaceDN w:val="0"/>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4"/>
              </w:rPr>
              <w:t>上述证件齐全、满足要求的投标人为有效投标人。</w:t>
            </w:r>
          </w:p>
        </w:tc>
      </w:tr>
    </w:tbl>
    <w:p>
      <w:pPr>
        <w:spacing w:line="360" w:lineRule="auto"/>
        <w:rPr>
          <w:rFonts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spacing w:line="360" w:lineRule="auto"/>
        <w:rPr>
          <w:rFonts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rPr>
          <w:color w:val="auto"/>
        </w:rPr>
      </w:pPr>
    </w:p>
    <w:p>
      <w:pPr>
        <w:pStyle w:val="2"/>
        <w:rPr>
          <w:color w:val="auto"/>
          <w:lang w:eastAsia="zh-CN"/>
        </w:rPr>
      </w:pPr>
    </w:p>
    <w:p>
      <w:pPr>
        <w:rPr>
          <w:rFonts w:asciiTheme="majorEastAsia" w:hAnsiTheme="majorEastAsia" w:eastAsiaTheme="majorEastAsia" w:cstheme="majorEastAsia"/>
          <w:b/>
          <w:color w:val="auto"/>
          <w:sz w:val="44"/>
          <w:szCs w:val="44"/>
        </w:rPr>
      </w:pPr>
    </w:p>
    <w:p>
      <w:pPr>
        <w:jc w:val="center"/>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
          <w:color w:val="auto"/>
          <w:sz w:val="44"/>
          <w:szCs w:val="44"/>
        </w:rPr>
        <w:t>投标人须知</w:t>
      </w:r>
    </w:p>
    <w:p>
      <w:pPr>
        <w:spacing w:line="40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一、总则</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 合格的投标人</w:t>
      </w:r>
    </w:p>
    <w:p>
      <w:pPr>
        <w:spacing w:line="560" w:lineRule="exact"/>
        <w:ind w:firstLine="560" w:firstLineChars="200"/>
        <w:rPr>
          <w:rFonts w:asciiTheme="majorEastAsia" w:hAnsiTheme="majorEastAsia" w:eastAsiaTheme="majorEastAsia" w:cstheme="majorEastAsia"/>
          <w:color w:val="auto"/>
          <w:sz w:val="28"/>
          <w:szCs w:val="24"/>
        </w:rPr>
      </w:pPr>
      <w:r>
        <w:rPr>
          <w:rFonts w:hint="eastAsia" w:asciiTheme="majorEastAsia" w:hAnsiTheme="majorEastAsia" w:eastAsiaTheme="majorEastAsia" w:cstheme="majorEastAsia"/>
          <w:color w:val="auto"/>
          <w:sz w:val="28"/>
          <w:szCs w:val="24"/>
        </w:rPr>
        <w:t>1.1 投标人参加本次采购活动应满足《中华人民共和国政府采购法》第二十二条规定并具备土地规划乙级以上（含乙级），项目负责人需具备相关专业中级及以上工程师均可参加报名。</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1.2投标人在本次招标活动中，必须遵循《中华人民共和国招标投标法》和《中华人民共和国招标投标法实施条例》（国务院第613号令）的规定。</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 定义</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2.1“招标代理机构”系指</w:t>
      </w:r>
      <w:r>
        <w:rPr>
          <w:rFonts w:hint="eastAsia" w:asciiTheme="majorEastAsia" w:hAnsiTheme="majorEastAsia" w:eastAsiaTheme="majorEastAsia" w:cstheme="majorEastAsia"/>
          <w:b/>
          <w:color w:val="auto"/>
          <w:kern w:val="0"/>
          <w:sz w:val="28"/>
          <w:szCs w:val="28"/>
        </w:rPr>
        <w:t>新疆鸿延建设项目管理有限公司</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2.2“投标人”系指向招标代理机构提交竞争性谈判响应文件的企业</w:t>
      </w:r>
    </w:p>
    <w:p>
      <w:pPr>
        <w:pStyle w:val="30"/>
        <w:spacing w:line="540" w:lineRule="exact"/>
        <w:ind w:left="210" w:leftChars="100" w:firstLine="280" w:firstLineChars="1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2.3“货物”系指卖方按合同要求，须向买方提供的设计文件及其他技术资料等。</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2.4“服务”系指按合同规定投标人须承担的项目工作内容和交付使用后保修期内应履行的义务及售后服务等其他类似的义务。</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2.5“卖方”系指提供合同货物和服务的经济实体。本次招标指有关中标人。</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2.6“买方”系指购买货物和服务的单位，即为本次招标的招标人。</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3.投标费用</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3.1 投标人应自行承担所有与本次招标投标有关的费用，而不论投标的结果如何。</w:t>
      </w:r>
    </w:p>
    <w:p>
      <w:pPr>
        <w:pStyle w:val="30"/>
        <w:spacing w:line="540" w:lineRule="exact"/>
        <w:ind w:firstLine="643" w:firstLineChars="200"/>
        <w:jc w:val="cente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二、竞争性谈判文件</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 竞争性谈判文件</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 竞争性谈判文件用以阐明所需货物和服务、招标投标程序和合同条款。包括：</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4.1.1 谈判公告</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4.1.2 投标人须知</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4.1.3 招标需求一览表及其技术要求</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4.1.4 评标办法</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4.1.5 合同条款</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附件：（投标书格式）</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4.2  投标人应认真阅读竞争性谈判文件中所有的事项、格式、条款和规范等要求。如果没有按照竞争性谈判文件要求提交全部资料或者竞争性谈判响应文件没有对竞争性谈判文件做出实质性响应，其竞争性谈判响应文件有可能被拒绝。</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5.  竞争性谈判文件的澄清</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5.1  竞争性谈判文件发出后3个工作日内，各投标人向招标人提出自己的问题；要求澄清竞争性谈判文件等的投标人应以书面形式向招标人提出，需加盖法人公章。招标人将对其在投标截止期3个工作日以前收到的要求澄清的问题以书面形式予以答复。招标人的答复将发给所有购买竞争性谈判文件的投标人（包括对要求澄清问题的说明，但不指明问题的来源）。</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6.  竞争性谈判文件的修改</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6.1  在投标截止期24小时之前，招标人都可能会以补充通知的方式修改竞争性谈判文件。</w:t>
      </w:r>
    </w:p>
    <w:p>
      <w:pPr>
        <w:pStyle w:val="30"/>
        <w:spacing w:line="540" w:lineRule="exact"/>
        <w:ind w:firstLine="560" w:firstLineChars="200"/>
        <w:jc w:val="both"/>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sz w:val="28"/>
        </w:rPr>
        <w:t>6.2  据此发出的补充通知将以书面形式发给所有购买竞争性谈判文件的投标人，投标人应以书面方式通知招标人确认收到。补充通知作为竞争性谈判文件的组成部分，对投标人起同等约束作用。</w:t>
      </w:r>
    </w:p>
    <w:p>
      <w:pPr>
        <w:pStyle w:val="30"/>
        <w:spacing w:before="312" w:beforeLines="100" w:after="156" w:afterLines="50" w:line="54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三、竞争性谈判响应文件的编制</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7. 竞争性谈判响应文件的编写</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7.1  投标人应仔细阅读竞争性谈判文件,了解竞争性谈判文件的要求，并在充分理解竞争性谈判文件提出的监测 技术规范、监测 配套、服务和商务条款后的基础上制作竞争性谈判响应文件。</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8.  投标的语言及计量单位</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8.1  投标人的竞争性谈判响应文件以及投标人与招标代理机构就有关招标活动的所有来往函电均应使用中文。如果竞争性谈判响应文件或与投标有关的其它文件、信件及来往函电以其它语言书写的，投标人应将其译成中文。</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8.2  竞争性谈判响应文件中所使用的计量单位除竞争性谈判文件中有特殊规定外，一律使用法定计量单位。</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9.  竞争性谈判响应文件构成</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9.1  投标人编写的竞争性谈判响应文件应按下列顺序及内容提供:</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9.1.1资格证明文件(以下文件必须在有效期内)</w:t>
      </w:r>
    </w:p>
    <w:p>
      <w:pPr>
        <w:pStyle w:val="30"/>
        <w:spacing w:line="540" w:lineRule="exact"/>
        <w:ind w:firstLine="562" w:firstLineChars="200"/>
        <w:jc w:val="both"/>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rPr>
        <w:t xml:space="preserve">(1) </w:t>
      </w:r>
      <w:r>
        <w:rPr>
          <w:rFonts w:hint="eastAsia" w:asciiTheme="majorEastAsia" w:hAnsiTheme="majorEastAsia" w:eastAsiaTheme="majorEastAsia" w:cstheme="majorEastAsia"/>
          <w:b/>
          <w:color w:val="auto"/>
          <w:sz w:val="28"/>
          <w:szCs w:val="28"/>
        </w:rPr>
        <w:t>加盖投标企业公章的</w:t>
      </w:r>
      <w:r>
        <w:rPr>
          <w:rFonts w:hint="eastAsia" w:asciiTheme="majorEastAsia" w:hAnsiTheme="majorEastAsia" w:eastAsiaTheme="majorEastAsia" w:cstheme="majorEastAsia"/>
          <w:b/>
          <w:color w:val="auto"/>
          <w:kern w:val="0"/>
          <w:sz w:val="28"/>
          <w:szCs w:val="28"/>
        </w:rPr>
        <w:t>营业执照复印件</w:t>
      </w:r>
      <w:r>
        <w:rPr>
          <w:rFonts w:hint="eastAsia" w:asciiTheme="majorEastAsia" w:hAnsiTheme="majorEastAsia" w:eastAsiaTheme="majorEastAsia" w:cstheme="majorEastAsia"/>
          <w:b/>
          <w:color w:val="auto"/>
          <w:sz w:val="28"/>
          <w:szCs w:val="28"/>
        </w:rPr>
        <w:t>（</w:t>
      </w:r>
      <w:r>
        <w:rPr>
          <w:rFonts w:hint="eastAsia" w:asciiTheme="majorEastAsia" w:hAnsiTheme="majorEastAsia" w:eastAsiaTheme="majorEastAsia" w:cstheme="majorEastAsia"/>
          <w:b/>
          <w:color w:val="auto"/>
          <w:kern w:val="0"/>
          <w:sz w:val="28"/>
          <w:szCs w:val="28"/>
        </w:rPr>
        <w:t>三证合一）</w:t>
      </w:r>
      <w:r>
        <w:rPr>
          <w:rFonts w:hint="eastAsia" w:asciiTheme="majorEastAsia" w:hAnsiTheme="majorEastAsia" w:eastAsiaTheme="majorEastAsia" w:cstheme="majorEastAsia"/>
          <w:b/>
          <w:color w:val="auto"/>
          <w:sz w:val="28"/>
          <w:szCs w:val="28"/>
        </w:rPr>
        <w:t>；</w:t>
      </w:r>
      <w:r>
        <w:rPr>
          <w:rFonts w:hint="eastAsia" w:asciiTheme="majorEastAsia" w:hAnsiTheme="majorEastAsia" w:eastAsiaTheme="majorEastAsia" w:cstheme="majorEastAsia"/>
          <w:b/>
          <w:color w:val="auto"/>
          <w:sz w:val="28"/>
        </w:rPr>
        <w:t>（原件备妥，开标时查验）；</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 xml:space="preserve">(2) </w:t>
      </w:r>
      <w:r>
        <w:rPr>
          <w:rFonts w:hint="eastAsia" w:asciiTheme="majorEastAsia" w:hAnsiTheme="majorEastAsia" w:eastAsiaTheme="majorEastAsia" w:cstheme="majorEastAsia"/>
          <w:b/>
          <w:color w:val="auto"/>
          <w:sz w:val="28"/>
        </w:rPr>
        <w:t>法代表人签署并</w:t>
      </w:r>
      <w:r>
        <w:rPr>
          <w:rFonts w:hint="eastAsia" w:asciiTheme="majorEastAsia" w:hAnsiTheme="majorEastAsia" w:eastAsiaTheme="majorEastAsia" w:cstheme="majorEastAsia"/>
          <w:b/>
          <w:bCs/>
          <w:color w:val="auto"/>
          <w:sz w:val="28"/>
        </w:rPr>
        <w:t>加盖投标单位公章的</w:t>
      </w:r>
      <w:r>
        <w:rPr>
          <w:rFonts w:hint="eastAsia" w:asciiTheme="majorEastAsia" w:hAnsiTheme="majorEastAsia" w:eastAsiaTheme="majorEastAsia" w:cstheme="majorEastAsia"/>
          <w:b/>
          <w:color w:val="auto"/>
          <w:sz w:val="28"/>
        </w:rPr>
        <w:t>投标代表授权委托书原件一份；（原件备妥，开标时查验）；</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(3) 被授权人身份证明文件（原件备妥，开标时查验）；</w:t>
      </w:r>
    </w:p>
    <w:p>
      <w:pPr>
        <w:pStyle w:val="30"/>
        <w:spacing w:line="540" w:lineRule="exact"/>
        <w:ind w:firstLine="562" w:firstLineChars="200"/>
        <w:jc w:val="both"/>
        <w:rPr>
          <w:rFonts w:asciiTheme="majorEastAsia" w:hAnsiTheme="majorEastAsia" w:eastAsiaTheme="majorEastAsia" w:cstheme="majorEastAsia"/>
          <w:b/>
          <w:bCs/>
          <w:color w:val="auto"/>
          <w:sz w:val="28"/>
        </w:rPr>
      </w:pPr>
      <w:r>
        <w:rPr>
          <w:rFonts w:hint="eastAsia" w:asciiTheme="majorEastAsia" w:hAnsiTheme="majorEastAsia" w:eastAsiaTheme="majorEastAsia" w:cstheme="majorEastAsia"/>
          <w:b/>
          <w:color w:val="auto"/>
          <w:sz w:val="28"/>
        </w:rPr>
        <w:t>(4) 加盖公章</w:t>
      </w:r>
      <w:r>
        <w:rPr>
          <w:rFonts w:hint="eastAsia" w:asciiTheme="majorEastAsia" w:hAnsiTheme="majorEastAsia" w:eastAsiaTheme="majorEastAsia" w:cstheme="majorEastAsia"/>
          <w:b/>
          <w:bCs/>
          <w:color w:val="auto"/>
          <w:sz w:val="28"/>
        </w:rPr>
        <w:t>投标保证金交纳凭证及投标保证金收据；</w:t>
      </w:r>
      <w:r>
        <w:rPr>
          <w:rFonts w:hint="eastAsia" w:asciiTheme="majorEastAsia" w:hAnsiTheme="majorEastAsia" w:eastAsiaTheme="majorEastAsia" w:cstheme="majorEastAsia"/>
          <w:b/>
          <w:color w:val="auto"/>
          <w:sz w:val="28"/>
        </w:rPr>
        <w:t>（原件备妥，开标时查验）；</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bCs/>
          <w:color w:val="auto"/>
          <w:sz w:val="28"/>
        </w:rPr>
        <w:t>(5) 企业</w:t>
      </w:r>
      <w:r>
        <w:rPr>
          <w:rFonts w:hint="eastAsia" w:asciiTheme="majorEastAsia" w:hAnsiTheme="majorEastAsia" w:eastAsiaTheme="majorEastAsia" w:cstheme="majorEastAsia"/>
          <w:b/>
          <w:color w:val="auto"/>
          <w:sz w:val="28"/>
        </w:rPr>
        <w:t>资质证书及项目负责人证书复印件（原件备妥，开标时查验）。</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9.1</w:t>
      </w:r>
      <w:r>
        <w:rPr>
          <w:rFonts w:hint="eastAsia" w:asciiTheme="majorEastAsia" w:hAnsiTheme="majorEastAsia" w:eastAsiaTheme="majorEastAsia" w:cstheme="majorEastAsia"/>
          <w:b/>
          <w:color w:val="auto"/>
          <w:sz w:val="28"/>
        </w:rPr>
        <w:t>.2 商务投标书</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(1) 投标报价单；</w:t>
      </w:r>
    </w:p>
    <w:p>
      <w:pPr>
        <w:pStyle w:val="30"/>
        <w:spacing w:line="540" w:lineRule="exact"/>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 xml:space="preserve">    (2) 项目负责人简历表；</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(3) 投标人依据本项目拟投入的专职技术工作人员；</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(4) 投标人2018年10月1日至2021年11月5日类似项目业绩（需附中标通知书或合同协议书）；</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 xml:space="preserve"> (5) 后续服务承诺；</w:t>
      </w:r>
    </w:p>
    <w:p>
      <w:pPr>
        <w:pStyle w:val="30"/>
        <w:spacing w:line="540" w:lineRule="exact"/>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 xml:space="preserve">   （6）投标人认为有必要提供的声明及文件资料。</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9.1.3 技术投标书</w:t>
      </w:r>
    </w:p>
    <w:p>
      <w:pPr>
        <w:pStyle w:val="30"/>
        <w:spacing w:line="540" w:lineRule="exact"/>
        <w:ind w:firstLine="1124" w:firstLineChars="4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格式自拟</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9.2 投标人在竞争性谈判响应文件中必须提供有关材料。如果缺项，将可能导致投标失败。</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9.3 投标人在投标中违反国家有关法律法规的强制性规定的，其投标按废标处理。</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10.  投标书格式</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10.1  投标人应按竞争性谈判文件提供的格式完整地填写所提供的货物、服务、数量及价格。</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11.  投标报价</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11.1  投标人应按竞争性谈判文件所附的《投标报价单》，标明拟提供服务的总价。</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11.2  投标报价方案：请详见《投标人须知前附表》的相关规定。</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11.3  投标人应按竞争性谈判文件的要求对有关其配套服务的全部内容进行报价。投标报价应包括：投标人中标后为完全履行合同规定的全部工作需支付的一切费用和拟获得的利润，是竞争性谈判文件所确定的招标范围内全部工作内容的价格表现。否则由此而引起的一切费用均视为已包括在投标报价中。</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12.   投标货币</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12.1  投标应以人民币报价。</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13.   证明投标人合格和资格的文件</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13.1  按照第9条规定，投标人应提交证明其有资格参加投标和一旦其投标被接受则有能力履行合同的文件，并作为其竞争性谈判响应文件的一部分。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13.2 投标人应填写并提交竞争性谈判文件所要求的资格证明类文件。</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14.  证明服务的合格性和符合竞争性谈判文件规定的文件</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14.1 按照第9条规定，投标人应提交商务投标书中内容来证明投标人有履行本项目的能力，并作为竞争性谈判响应文件的一部分。</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15.  竞争性谈判响应文件的有效期</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15.1  竞争性谈判响应文件从实际开标之日起</w:t>
      </w:r>
      <w:r>
        <w:rPr>
          <w:rFonts w:hint="eastAsia" w:asciiTheme="majorEastAsia" w:hAnsiTheme="majorEastAsia" w:eastAsiaTheme="majorEastAsia" w:cstheme="majorEastAsia"/>
          <w:color w:val="auto"/>
          <w:sz w:val="28"/>
          <w:u w:val="single"/>
        </w:rPr>
        <w:t xml:space="preserve"> 30 </w:t>
      </w:r>
      <w:r>
        <w:rPr>
          <w:rFonts w:hint="eastAsia" w:asciiTheme="majorEastAsia" w:hAnsiTheme="majorEastAsia" w:eastAsiaTheme="majorEastAsia" w:cstheme="majorEastAsia"/>
          <w:color w:val="auto"/>
          <w:sz w:val="28"/>
        </w:rPr>
        <w:t>天内有效。</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15.2  在特殊情况下, 在原投标有效期届满之前，招标代理机构可与投标单位协商延长竞争性谈判响应文件的有效期，并经投标方确认。</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16.  竞争性谈判响应文件的书写要求、签署及份数。</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16.1  投标人必须按“投标人须知前附表”第7项规定，编制竞争性谈判响应文件“正本”和“副本”份数，竞争性谈判响应文件正本和副本如有不一致之处，以正本为准。参考资料数量不限。投标人应对竞争性谈判文件提出的实质性要求和条件做出响应。</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 xml:space="preserve"> 16. 2 竞争性谈判响应文件除封面、封底、目录、分隔页外，其余每一页均应加盖投标人单位公章，并由投标人的法定代表人签字或其委托代理人签字。竞争性谈判响应文件应尽量避免涂改、行间插字或删除。如果出现上述情况，修改之处应加盖投标人单位公章或由投标人的法定代表人或其委托代理人签字确认。否则，评标委员会应当否决其投标。</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17.  投标保证金</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 xml:space="preserve">17．1  投标人必须按投标须知第10项规定交纳并换取投标保证金收据。 </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17．2  招标人将拒绝未能按要求提交投标保证金的投标书。</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17．3  未中标的投标人的投标保证金在定标结束后并完整退回有关资料（图纸等）后予以退回（无息）。</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17．4  中标单位的投标保证金在与建设单位正式签订合同并提交履约保证金后予以返还（无息），也可直接转为履约保证金。</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17．5 如有下列情况，将没收投标保证金：</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 投标人在投标有效期内撤回其投标书；</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 中标人未能在规定期限内：</w:t>
      </w:r>
    </w:p>
    <w:p>
      <w:pPr>
        <w:pStyle w:val="30"/>
        <w:spacing w:line="540" w:lineRule="exact"/>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 xml:space="preserve"> ①签署合同；</w:t>
      </w:r>
    </w:p>
    <w:p>
      <w:pPr>
        <w:pStyle w:val="30"/>
        <w:spacing w:line="540" w:lineRule="exact"/>
        <w:ind w:firstLine="280" w:firstLineChars="100"/>
        <w:jc w:val="both"/>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sz w:val="28"/>
        </w:rPr>
        <w:t>②提交所要求的履约保证金；</w:t>
      </w:r>
    </w:p>
    <w:p>
      <w:pPr>
        <w:pStyle w:val="30"/>
        <w:spacing w:before="312" w:beforeLines="100" w:after="156" w:afterLines="50" w:line="540" w:lineRule="exact"/>
        <w:jc w:val="center"/>
        <w:outlineLvl w:val="0"/>
        <w:rPr>
          <w:rFonts w:asciiTheme="majorEastAsia" w:hAnsiTheme="majorEastAsia" w:eastAsiaTheme="majorEastAsia" w:cstheme="majorEastAsia"/>
          <w:b/>
          <w:color w:val="auto"/>
          <w:sz w:val="32"/>
          <w:szCs w:val="32"/>
        </w:rPr>
      </w:pPr>
    </w:p>
    <w:p>
      <w:pPr>
        <w:pStyle w:val="30"/>
        <w:spacing w:before="312" w:beforeLines="100" w:after="156" w:afterLines="50" w:line="54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四、竞争性谈判响应文件的递交</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18.  竞争性谈判响应文件的密封与标记</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18.1  投标人应将竞争性谈判响应文件正本和副本分别装入信袋内加以密封，分别在信袋上标“正本”或“副本”，并在密封处加盖公章（或合同专用章）。</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highlight w:val="yellow"/>
        </w:rPr>
        <w:t xml:space="preserve">18.2  </w:t>
      </w:r>
      <w:r>
        <w:rPr>
          <w:rFonts w:hint="eastAsia" w:asciiTheme="majorEastAsia" w:hAnsiTheme="majorEastAsia" w:eastAsiaTheme="majorEastAsia" w:cstheme="majorEastAsia"/>
          <w:b/>
          <w:bCs/>
          <w:color w:val="auto"/>
          <w:sz w:val="28"/>
          <w:highlight w:val="yellow"/>
        </w:rPr>
        <w:t>投标人应将填好的投标报价单</w:t>
      </w:r>
      <w:r>
        <w:rPr>
          <w:rFonts w:hint="eastAsia" w:asciiTheme="majorEastAsia" w:hAnsiTheme="majorEastAsia" w:eastAsiaTheme="majorEastAsia" w:cstheme="majorEastAsia"/>
          <w:b/>
          <w:bCs/>
          <w:color w:val="auto"/>
          <w:sz w:val="28"/>
          <w:highlight w:val="yellow"/>
          <w:em w:val="dot"/>
        </w:rPr>
        <w:t>单独装入</w:t>
      </w:r>
      <w:r>
        <w:rPr>
          <w:rFonts w:hint="eastAsia" w:asciiTheme="majorEastAsia" w:hAnsiTheme="majorEastAsia" w:eastAsiaTheme="majorEastAsia" w:cstheme="majorEastAsia"/>
          <w:b/>
          <w:bCs/>
          <w:color w:val="auto"/>
          <w:sz w:val="28"/>
          <w:highlight w:val="yellow"/>
        </w:rPr>
        <w:t>信袋内加以密封，在密封处加盖公章，在信袋上注明“投标报价单”字样，作为竞争性谈判响应文件的一部分</w:t>
      </w:r>
      <w:r>
        <w:rPr>
          <w:rFonts w:hint="eastAsia" w:asciiTheme="majorEastAsia" w:hAnsiTheme="majorEastAsia" w:eastAsiaTheme="majorEastAsia" w:cstheme="majorEastAsia"/>
          <w:b/>
          <w:color w:val="auto"/>
          <w:sz w:val="28"/>
          <w:highlight w:val="yellow"/>
        </w:rPr>
        <w:t>。</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18.3  竞争性谈判响应文件所有密封封面标记：</w:t>
      </w:r>
      <w:r>
        <w:rPr>
          <w:rFonts w:hint="eastAsia" w:asciiTheme="majorEastAsia" w:hAnsiTheme="majorEastAsia" w:eastAsiaTheme="majorEastAsia" w:cstheme="majorEastAsia"/>
          <w:b/>
          <w:color w:val="auto"/>
          <w:sz w:val="28"/>
        </w:rPr>
        <w:t>请详见《投标人须知前附表》的相关规定。</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18.4 未按本须知要求密封、标记和投递的竞争性谈判响应文件，其风险由投标人自行承担。</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19.  竞争性谈判响应文件递交的截止时间</w:t>
      </w:r>
    </w:p>
    <w:p>
      <w:pPr>
        <w:pStyle w:val="30"/>
        <w:spacing w:line="520" w:lineRule="exact"/>
        <w:ind w:firstLine="560" w:firstLineChars="200"/>
        <w:jc w:val="both"/>
        <w:rPr>
          <w:rFonts w:asciiTheme="majorEastAsia" w:hAnsiTheme="majorEastAsia" w:eastAsiaTheme="majorEastAsia" w:cstheme="majorEastAsia"/>
          <w:color w:val="auto"/>
          <w:sz w:val="28"/>
          <w:u w:val="single"/>
        </w:rPr>
      </w:pPr>
      <w:r>
        <w:rPr>
          <w:rFonts w:hint="eastAsia" w:asciiTheme="majorEastAsia" w:hAnsiTheme="majorEastAsia" w:eastAsiaTheme="majorEastAsia" w:cstheme="majorEastAsia"/>
          <w:color w:val="auto"/>
          <w:sz w:val="28"/>
        </w:rPr>
        <w:t>19.1  投标人必须在《投标人须知前附表》中规定的时间之前将竞争性谈判响应文件送达到规定的地点。</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19.2  在竞争性谈判文件规定的投标截止时间后送达的竞争性谈判响应文件将不予接受。</w:t>
      </w:r>
    </w:p>
    <w:p>
      <w:pPr>
        <w:pStyle w:val="30"/>
        <w:spacing w:line="52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20.  竞争性谈判响应文件的修改和撤销</w:t>
      </w:r>
    </w:p>
    <w:p>
      <w:pPr>
        <w:pStyle w:val="31"/>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20.1  投标人对其竞争性谈判响应文件进行的修改或撤销应以书面形式并在竞争性谈判文件规定的投标截止时间前送达或邮寄到招标代理机构手中。</w:t>
      </w:r>
    </w:p>
    <w:p>
      <w:pPr>
        <w:pStyle w:val="31"/>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20.2  投标人对竞争性谈判响应文件的修改或撤销应按第18和19条规定进行准备、密封、标注和递交。</w:t>
      </w:r>
    </w:p>
    <w:p>
      <w:pPr>
        <w:pStyle w:val="31"/>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20.3  投标截止时间以后，不允许对竞争性谈判响应文件进行修改。</w:t>
      </w:r>
    </w:p>
    <w:p>
      <w:pPr>
        <w:pStyle w:val="31"/>
        <w:spacing w:line="520" w:lineRule="exact"/>
        <w:ind w:firstLine="560" w:firstLineChars="200"/>
        <w:jc w:val="both"/>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sz w:val="28"/>
        </w:rPr>
        <w:t>20.4  投标人不得在投标截止时间起至竞争性谈判响应文件有效期满前撤销竞争性谈判响应文件，否则其投标保证金将被没收。</w:t>
      </w:r>
    </w:p>
    <w:p>
      <w:pPr>
        <w:pStyle w:val="30"/>
        <w:spacing w:before="312" w:beforeLines="100" w:after="156" w:afterLines="50" w:line="52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五、开标</w:t>
      </w:r>
    </w:p>
    <w:p>
      <w:pPr>
        <w:pStyle w:val="30"/>
        <w:spacing w:line="52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21.  开标</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21.1  招标人将于投标须知第9项规定的时间和地点开标，开标由招标人主持，邀请所有投标人参加。投标人可委派代表参加开标（必须携带授权委托书及身份证原件）。</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21.1.1有效证件</w:t>
      </w:r>
    </w:p>
    <w:p>
      <w:pPr>
        <w:pStyle w:val="30"/>
        <w:spacing w:line="520" w:lineRule="exact"/>
        <w:ind w:firstLine="840" w:firstLineChars="3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开标前，招标人将查验投标人以下证件：</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（1）法定代表人授权书及被授权人身份证原件（法定代表人提供法人证明及身份证原件）</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 营业执照（三证合一）；</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 加盖公章投标保证金交纳凭证及投标保证金收据；</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 企业资质证书及项目负责人证书。</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上述证件齐全、满足要求的投标人为有效投标人。进入评标环节。</w:t>
      </w:r>
    </w:p>
    <w:p>
      <w:pPr>
        <w:pStyle w:val="30"/>
        <w:spacing w:line="540" w:lineRule="exact"/>
        <w:jc w:val="both"/>
        <w:rPr>
          <w:rFonts w:asciiTheme="majorEastAsia" w:hAnsiTheme="majorEastAsia" w:eastAsiaTheme="majorEastAsia" w:cstheme="majorEastAsia"/>
          <w:color w:val="auto"/>
          <w:sz w:val="28"/>
        </w:rPr>
      </w:pPr>
    </w:p>
    <w:p>
      <w:pPr>
        <w:pStyle w:val="30"/>
        <w:spacing w:before="312" w:beforeLines="100" w:after="156" w:afterLines="50" w:line="54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六、评标和定标</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 评标原则</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22.1本标的评标遵循公平、公正、科学、择优的原则。</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22.2评标委员会将严格按照《中华人民共和国招标投标法》、《中华人民共和国招标投标法实施条例》（国务院第613号令）、《评标委员会和评标方法暂行规定》（国家发改委第12号令）等相关法律法规的规定依法评标，维护招标投标各方当事人的合法权益。</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22.3不徇私情，不明招暗定。</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22.4资格审查合格的投标人，均有同等机会参加竞争。</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22.5评标人员不得私自泄露评标内容，不得进行旨在影响评标结果公正、公平的任何活动。</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 评标方法</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23.1  招标代理机构将根据有关法律法规的规定组建本次招标的评标委员会。评标委员会成员由项目法人代表以及本行业相关技术、经济等方面的专家组成。其中，技术、经济等方面的专家不少于成员总人数的三分之二。</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23.2  评标的依据为竞争性谈判文件和竞争性谈判响应文件。根据相关法律法规的规定，评标委员会不以任何外部证据作为其评标的依据或标准。</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23.3  评标过程将严格保密。开标后直到授予中标人合同止，凡是属于审查、澄清、评价和比较的有关评标资料以及授标建议等均不得向投标人或其他无关的人员透露。</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23.4谈判流程</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（1）谈判小组讨论、通过谈判评审工作流程和谈判要点；</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（2）谈判小组审阅谈判响应文件和竞争性谈判文件；</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（3）供应商根据签到顺序逐家与谈判小组谈判；</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（4）围绕谈判要点谈判小组全体成员集中与各个供应商方分别进行谈判。逐家谈判一次为一个轮次，谈判轮次由谈判谈判小组视情况决定。谈判轮次最多不超过3轮；谈判过程中，各投标企业做好再次报价准备。</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（5）谈判文件有实质性变动的，谈判小组将以书面形式通知所有参加谈判的供应商。</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23.4  在评标的整个过程中，投标人所进行的旨在影响评标结果的活动，可能导致其投标被拒绝，或者被取消中标资格。</w:t>
      </w:r>
    </w:p>
    <w:p>
      <w:pPr>
        <w:pStyle w:val="30"/>
        <w:spacing w:line="52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23.5  资格审查方法</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23.5.1 评标时，投标人须提交《投标人须知前附表》中规定的相关资格证书以备查验。未按规定接受审查、或者资格审查不合格者，其投标将被拒绝。</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23.5.2 本项资格审查属于初步评审的一部分，不能替代评标委员会在初步评审阶段对其他内容所进行的评审。</w:t>
      </w:r>
    </w:p>
    <w:p>
      <w:pPr>
        <w:pStyle w:val="30"/>
        <w:spacing w:line="52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23.6 本次招标采用</w:t>
      </w:r>
      <w:r>
        <w:rPr>
          <w:rFonts w:hint="eastAsia" w:asciiTheme="majorEastAsia" w:hAnsiTheme="majorEastAsia" w:eastAsiaTheme="majorEastAsia" w:cstheme="majorEastAsia"/>
          <w:b/>
          <w:color w:val="auto"/>
          <w:sz w:val="28"/>
          <w:highlight w:val="yellow"/>
        </w:rPr>
        <w:t>最低价法进</w:t>
      </w:r>
      <w:r>
        <w:rPr>
          <w:rFonts w:hint="eastAsia" w:asciiTheme="majorEastAsia" w:hAnsiTheme="majorEastAsia" w:eastAsiaTheme="majorEastAsia" w:cstheme="majorEastAsia"/>
          <w:b/>
          <w:color w:val="auto"/>
          <w:sz w:val="28"/>
        </w:rPr>
        <w:t>行评标。评标分初步评审，通过初步评审的竞争性谈判响应文件才可进入谈判阶段。</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 初步评审是指对竞争性谈判响应文件的符合性检查，以判定其内容是否真实可靠，是否满足竞争性谈判文件的最基本的实质性要求，是否存在重大偏离。重大偏离系指竞争性谈判响应文件的有效性、真实性、合同的供货范围、质量、性能和规格等内容在实质上与竞争性谈判文件形成了重大的不一致，而这种不一致可能限制了买方的权力和投标人的义务，纠正或承认这些偏离将会对该投标人和其它投标人合理的竞争地位产生不公正的影响。与竞争性谈判文件有重大偏离的竞争性谈判响应文件将被拒绝。具体评审内容系指：</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23.7.1投标人不满足本竞争性谈判文件关于对投标人资格证明文件的规定；</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23.7.2竞争性谈判响应文件组成不完整，主要内容未能按竞争性谈判文件规定的内容、格式填写、装订；</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23.7.3投标人没有按照竞争性谈判文件的要求提供投标保证金，或者所提供的投标保证金有瑕疵；</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23.7.4竞争性谈判响应文件的有效期不满足竞争性谈判文件的规定；</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23.7.5竞争性谈判响应文件没有投标人授权代表签字和加盖公章；</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23.7.6竞争性谈判响应文件没有按照规定在应由企业法人或法人授权代表在所有规定签章处逐一签署及加盖单位公章的。</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23.7.7投标代表授权书未能由法定代表人签署；</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23.7.8竞争性谈判响应文件违反竞争性谈判文件的规定，出现了两个或两个以上的报价；</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23.7.9明显不符合竞争性谈判文件关于对招标监测技术规格和标准的要求；</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23.7.10竞争性谈判响应文件载明的服务期超过竞争性谈判文件规定的期限；</w:t>
      </w:r>
    </w:p>
    <w:p>
      <w:pPr>
        <w:pStyle w:val="15"/>
        <w:spacing w:before="0" w:beforeAutospacing="0" w:after="0" w:afterAutospacing="0" w:line="520" w:lineRule="exact"/>
        <w:ind w:firstLine="560" w:firstLineChars="20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23.7.11竞争性谈判响应文件附有招标人不能接受的其他条件；</w:t>
      </w:r>
    </w:p>
    <w:p>
      <w:pPr>
        <w:pStyle w:val="33"/>
        <w:spacing w:line="520" w:lineRule="exact"/>
        <w:ind w:firstLine="560"/>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23.8 对通过初步评审的竞争性谈判响应文件，评标委员会将对其进行算术性修正。算术性修正是指对竞争性谈判响应文件的报价明细进行校核，并对其算术上和运算上的差错给予修正。修正的原则如下：</w:t>
      </w:r>
    </w:p>
    <w:p>
      <w:pPr>
        <w:pStyle w:val="33"/>
        <w:spacing w:line="520" w:lineRule="exact"/>
        <w:ind w:firstLine="560"/>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23.8.1 当以数字表示的金额与文字表示的金额有差异时，以文字表示的金额为准（有明细报价和单价的，应以23.8.2条和23.8.3条的表述为准）；</w:t>
      </w:r>
    </w:p>
    <w:p>
      <w:pPr>
        <w:pStyle w:val="33"/>
        <w:spacing w:line="520" w:lineRule="exact"/>
        <w:ind w:firstLine="560"/>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23.8.2 当单价与数量相乘不等于合价时，以单价计算为准。如果单价有明显的小数点位置差错，应以标出的合价为准，同时对单价予以修正；</w:t>
      </w:r>
    </w:p>
    <w:p>
      <w:pPr>
        <w:pStyle w:val="33"/>
        <w:spacing w:line="520" w:lineRule="exact"/>
        <w:ind w:firstLine="560"/>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23.8.3 当各明细部分的价格累计不等于合价时，应以各明细的累计数为准，修正合价。</w:t>
      </w:r>
    </w:p>
    <w:p>
      <w:pPr>
        <w:pStyle w:val="32"/>
        <w:spacing w:line="520" w:lineRule="exact"/>
        <w:ind w:firstLine="560"/>
        <w:jc w:val="both"/>
        <w:rPr>
          <w:rFonts w:asciiTheme="majorEastAsia" w:hAnsiTheme="majorEastAsia" w:eastAsiaTheme="majorEastAsia" w:cstheme="majorEastAsia"/>
          <w:b w:val="0"/>
          <w:color w:val="auto"/>
          <w:kern w:val="0"/>
          <w:sz w:val="28"/>
        </w:rPr>
      </w:pPr>
      <w:r>
        <w:rPr>
          <w:rFonts w:hint="eastAsia" w:asciiTheme="majorEastAsia" w:hAnsiTheme="majorEastAsia" w:eastAsiaTheme="majorEastAsia" w:cstheme="majorEastAsia"/>
          <w:b w:val="0"/>
          <w:color w:val="auto"/>
          <w:kern w:val="0"/>
          <w:sz w:val="28"/>
        </w:rPr>
        <w:t>23.8.4 按以上原则对算术性差错的修正，应取得投标人的同意，并确认修正后的最终投标价。如果投标人拒绝确认，则其竞争性谈判响应文件将不予以评审并按废标处理，没收其投标担保。</w:t>
      </w:r>
    </w:p>
    <w:p>
      <w:pPr>
        <w:pStyle w:val="32"/>
        <w:spacing w:line="520" w:lineRule="exact"/>
        <w:ind w:firstLine="560"/>
        <w:jc w:val="both"/>
        <w:rPr>
          <w:rFonts w:asciiTheme="majorEastAsia" w:hAnsiTheme="majorEastAsia" w:eastAsiaTheme="majorEastAsia" w:cstheme="majorEastAsia"/>
          <w:b w:val="0"/>
          <w:color w:val="auto"/>
          <w:kern w:val="0"/>
          <w:sz w:val="28"/>
        </w:rPr>
      </w:pPr>
      <w:r>
        <w:rPr>
          <w:rFonts w:hint="eastAsia" w:asciiTheme="majorEastAsia" w:hAnsiTheme="majorEastAsia" w:eastAsiaTheme="majorEastAsia" w:cstheme="majorEastAsia"/>
          <w:b w:val="0"/>
          <w:color w:val="auto"/>
          <w:kern w:val="0"/>
          <w:sz w:val="28"/>
        </w:rPr>
        <w:t>23.8.5评标委员会将拒绝被定为实质上非响应性的投标，投标人不能通过修正或撤销不符之处而使其投标成为响应性投标。</w:t>
      </w:r>
    </w:p>
    <w:p>
      <w:pPr>
        <w:pStyle w:val="32"/>
        <w:spacing w:line="520" w:lineRule="exact"/>
        <w:ind w:firstLine="560"/>
        <w:jc w:val="both"/>
        <w:rPr>
          <w:rFonts w:asciiTheme="majorEastAsia" w:hAnsiTheme="majorEastAsia" w:eastAsiaTheme="majorEastAsia" w:cstheme="majorEastAsia"/>
          <w:b w:val="0"/>
          <w:color w:val="auto"/>
          <w:kern w:val="0"/>
          <w:sz w:val="28"/>
        </w:rPr>
      </w:pPr>
      <w:r>
        <w:rPr>
          <w:rFonts w:hint="eastAsia" w:asciiTheme="majorEastAsia" w:hAnsiTheme="majorEastAsia" w:eastAsiaTheme="majorEastAsia" w:cstheme="majorEastAsia"/>
          <w:b w:val="0"/>
          <w:color w:val="auto"/>
          <w:kern w:val="0"/>
          <w:sz w:val="28"/>
        </w:rPr>
        <w:t>23.8.6 评标委员会将允许投标中有微小的不正规、不一致或不规则，而该微小之处不构成重大偏离。</w:t>
      </w:r>
    </w:p>
    <w:p>
      <w:pPr>
        <w:pStyle w:val="32"/>
        <w:spacing w:line="520" w:lineRule="exact"/>
        <w:ind w:firstLine="560"/>
        <w:jc w:val="both"/>
        <w:rPr>
          <w:rFonts w:asciiTheme="majorEastAsia" w:hAnsiTheme="majorEastAsia" w:eastAsiaTheme="majorEastAsia" w:cstheme="majorEastAsia"/>
          <w:b w:val="0"/>
          <w:color w:val="auto"/>
          <w:kern w:val="0"/>
          <w:sz w:val="28"/>
        </w:rPr>
      </w:pPr>
      <w:r>
        <w:rPr>
          <w:rFonts w:hint="eastAsia" w:asciiTheme="majorEastAsia" w:hAnsiTheme="majorEastAsia" w:eastAsiaTheme="majorEastAsia" w:cstheme="majorEastAsia"/>
          <w:b w:val="0"/>
          <w:color w:val="auto"/>
          <w:kern w:val="0"/>
          <w:sz w:val="28"/>
        </w:rPr>
        <w:t>23.9 通过初步评审及算术性修正的竞争性谈判响应文件将进入谈判环节。</w:t>
      </w:r>
    </w:p>
    <w:p>
      <w:pPr>
        <w:pStyle w:val="30"/>
        <w:spacing w:line="540" w:lineRule="exact"/>
        <w:ind w:firstLine="562" w:firstLineChars="200"/>
        <w:jc w:val="both"/>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23.9.1 最低投标报价作为中标的唯一依据。</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szCs w:val="28"/>
        </w:rPr>
        <w:t>23.9.2 经评标委员会评议，认为所有投标报价过高、并且超出了招标人承受能力的项目，可以不确立中标人，做为流标处理。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 竞争性谈判响应文件的澄清</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24.1  评标委员会在评标过程中有权随时请投标人就竞争性谈判响应文件中含混之处加以澄清或答疑。</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24.2  投标人对要求澄清的问题应以书面形式明确答复，并应有法人授权代表的签署。</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24.3  投标人的澄清文件是竞争性谈判响应文件的组成部分，并取代竞争性谈判响应文件中被澄清的部分。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24.4  竞争性谈判响应文件的澄清不得改变投标的实质内容。</w:t>
      </w:r>
    </w:p>
    <w:p>
      <w:pPr>
        <w:pStyle w:val="30"/>
        <w:spacing w:line="540" w:lineRule="exact"/>
        <w:ind w:firstLine="562"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b/>
          <w:color w:val="auto"/>
          <w:sz w:val="28"/>
        </w:rPr>
        <w:t>24.5  如果投标人在竞争性谈判响应文件中未对竞争性谈判文件中的条款或参数要求提出偏离意见或澄清，将视同投标人同意、确认或接受竞争性谈判文件的全部或相应部分的要求。</w:t>
      </w:r>
    </w:p>
    <w:p>
      <w:pPr>
        <w:pStyle w:val="30"/>
        <w:spacing w:line="540" w:lineRule="exact"/>
        <w:ind w:firstLine="562" w:firstLineChars="200"/>
        <w:jc w:val="both"/>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23.9.4 最低报价作为中标的唯一依据。</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szCs w:val="28"/>
        </w:rPr>
        <w:t>23.9.5 经评标委员会评议，认为所有投标报价过高、并且超出了招标人承受能力的项目，可以不确立中标人，做为流标处理。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 竞争性谈判响应文件的澄清</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24.1  评标委员会在评标过程中有权随时请投标人就竞争性谈判响应文件中含混之处加以澄清或答疑。</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24.2  投标人对要求澄清的问题应以书面形式明确答复，并应有法人授权代表的签署。</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24.3  投标人的澄清文件是竞争性谈判响应文件的组成部分，并取代竞争性谈判响应文件中被澄清的部分。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24.4  竞争性谈判响应文件的澄清不得改变投标的实质内容。</w:t>
      </w:r>
    </w:p>
    <w:p>
      <w:pPr>
        <w:pStyle w:val="30"/>
        <w:spacing w:line="540" w:lineRule="exact"/>
        <w:ind w:firstLine="562" w:firstLineChars="200"/>
        <w:jc w:val="both"/>
        <w:rPr>
          <w:rFonts w:asciiTheme="majorEastAsia" w:hAnsiTheme="majorEastAsia" w:eastAsiaTheme="majorEastAsia" w:cstheme="majorEastAsia"/>
          <w:b/>
          <w:color w:val="auto"/>
          <w:sz w:val="28"/>
        </w:rPr>
      </w:pPr>
      <w:r>
        <w:rPr>
          <w:rFonts w:hint="eastAsia" w:asciiTheme="majorEastAsia" w:hAnsiTheme="majorEastAsia" w:eastAsiaTheme="majorEastAsia" w:cstheme="majorEastAsia"/>
          <w:b/>
          <w:color w:val="auto"/>
          <w:sz w:val="28"/>
        </w:rPr>
        <w:t>24.5  如果投标人在竞争性谈判响应文件中未对竞争性谈判文件中的条款要求提出偏离意见或澄清，将视同投标人同意、确认或接受竞争性谈判文件的全部或相应部分的要求。</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25 中标人的确定</w:t>
      </w:r>
    </w:p>
    <w:p>
      <w:pPr>
        <w:pStyle w:val="15"/>
        <w:spacing w:before="0" w:beforeAutospacing="0" w:after="0" w:afterAutospacing="0" w:line="540" w:lineRule="exact"/>
        <w:ind w:firstLine="560" w:firstLineChars="200"/>
        <w:rPr>
          <w:rFonts w:asciiTheme="majorEastAsia" w:hAnsiTheme="majorEastAsia" w:eastAsiaTheme="majorEastAsia" w:cstheme="majorEastAsia"/>
          <w:bCs/>
          <w:color w:val="auto"/>
          <w:sz w:val="28"/>
        </w:rPr>
      </w:pPr>
      <w:r>
        <w:rPr>
          <w:rFonts w:hint="eastAsia" w:asciiTheme="majorEastAsia" w:hAnsiTheme="majorEastAsia" w:eastAsiaTheme="majorEastAsia" w:cstheme="majorEastAsia"/>
          <w:bCs/>
          <w:color w:val="auto"/>
          <w:sz w:val="28"/>
        </w:rPr>
        <w:t>使用国有资金投资或者国家融资的项目，招标人应当确定排名第一的中标候选人为中标人。排名第一的中标候选人放弃中标、因不可抗力提出不能履行合同，或者竞争性谈判文件规定应当提交合同履约保证金而在规定的期限内未能提交的，招标人可以确定排名第二的中标候选人为中标人。排名第二的中标候选人因前款规定的同样原因不能签定合同的，招标人可以确定排名第三的中标候选人为中标人。</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 中标的标准</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26.1  资格审查文件完整无缺；</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26.2  已交纳投标保证金；</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26.3  报价合理;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26.4  满足设计、技术要求和产品功能，技术规格与竞争性谈判文件无重大偏离；</w:t>
      </w:r>
    </w:p>
    <w:p>
      <w:pPr>
        <w:pStyle w:val="30"/>
        <w:spacing w:line="540" w:lineRule="exact"/>
        <w:ind w:firstLine="560" w:firstLineChars="200"/>
        <w:jc w:val="both"/>
        <w:outlineLvl w:val="0"/>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26.5  有先进的规划编制能力，能保证服务质量，保证服务期；</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26.6  能提供最佳的服务，有较好的社会信誉。</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27.  中标通知</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27.1  招标代理机构根据评委会的评标报告和招标人的定标结果，以书面形式向中标单位发出《中标通知书》。</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27.2  在定标或《中标通知书》发出的同时，招标代理机构将通知未中标单位，并于7日内退回投标保证金。招标代理机构无义务解释落标原因，对于所有投标人的竞争性谈判响应文件均</w:t>
      </w:r>
      <w:r>
        <w:rPr>
          <w:rFonts w:hint="eastAsia" w:asciiTheme="majorEastAsia" w:hAnsiTheme="majorEastAsia" w:eastAsiaTheme="majorEastAsia" w:cstheme="majorEastAsia"/>
          <w:color w:val="auto"/>
          <w:sz w:val="28"/>
          <w:shd w:val="clear" w:color="auto" w:fill="FFFFFF"/>
        </w:rPr>
        <w:t>不予以退还，但对其承担保密责任。</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28 拒绝某些或所有投标的权力。</w:t>
      </w:r>
    </w:p>
    <w:p>
      <w:pPr>
        <w:pStyle w:val="30"/>
        <w:spacing w:line="540" w:lineRule="exact"/>
        <w:ind w:firstLine="560" w:firstLineChars="200"/>
        <w:jc w:val="both"/>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sz w:val="28"/>
        </w:rPr>
        <w:t>28.1招标人或招标代理机构有权在《中标通知书》发放之前的任何时候拒绝任何有不正当行为或扰乱正常招标工作的投标人，由此对相关投标人造成的损失不负责任。</w:t>
      </w:r>
    </w:p>
    <w:p>
      <w:pPr>
        <w:rPr>
          <w:rFonts w:asciiTheme="majorEastAsia" w:hAnsiTheme="majorEastAsia" w:eastAsiaTheme="majorEastAsia" w:cstheme="majorEastAsia"/>
          <w:color w:val="auto"/>
        </w:rPr>
      </w:pPr>
    </w:p>
    <w:p>
      <w:pPr>
        <w:pStyle w:val="30"/>
        <w:spacing w:before="312" w:beforeLines="100" w:after="156" w:afterLines="50" w:line="54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七、授予合同</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  签定合同</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29.1  中标人收到《中标通知书》后，须按有关规定与招标方签定经济合同。合同的签定一般在《中标通知书》发出后30天内进行，但招标人事先约定的情况除外。</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29.2  合同签定后，卖方应按合同的规定履行合同，未按规定履约的，招标人有权取消合同，并且不退还中标人的投标保证金。</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29.3  中标合同不得转让或分包。如需对合同的非主体部分进行转让或分包，投标人必须在竞争性谈判响应文件中予以说明，并需经招标人同意。否则，招标人有权取消中标人的中标资格。</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29.4  如中标人未按有关规定与招标人签定合同的, 招标人可以选择其他中标候选人为中标人，并组织中标人和招标人签定经济合同。</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29.5  招标人在与中标人合同签订后5个工作日内，将中标人的投标保证金予以退还，不计利息。</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  合同的组成</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30.1  下列文件均为经济合同不可分割的组成部分：</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30.1.1  竞争性谈判文件及其附件、补遗文件；</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30.1.2  中标的竞争性谈判响应文件、图纸及其他附件；</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30.1.3  经确认的答疑记录；</w:t>
      </w:r>
    </w:p>
    <w:p>
      <w:pPr>
        <w:pStyle w:val="30"/>
        <w:spacing w:line="54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30.1.4  中标通知书。</w:t>
      </w:r>
    </w:p>
    <w:p>
      <w:pPr>
        <w:pStyle w:val="30"/>
        <w:spacing w:line="520" w:lineRule="exact"/>
        <w:jc w:val="both"/>
        <w:rPr>
          <w:rFonts w:asciiTheme="majorEastAsia" w:hAnsiTheme="majorEastAsia" w:eastAsiaTheme="majorEastAsia" w:cstheme="majorEastAsia"/>
          <w:color w:val="auto"/>
          <w:sz w:val="28"/>
        </w:rPr>
      </w:pPr>
    </w:p>
    <w:p>
      <w:pPr>
        <w:pStyle w:val="30"/>
        <w:spacing w:line="520" w:lineRule="exact"/>
        <w:ind w:firstLine="643" w:firstLineChars="200"/>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八、其他事项</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32.  招标代理服务费</w:t>
      </w:r>
    </w:p>
    <w:p>
      <w:pPr>
        <w:pStyle w:val="30"/>
        <w:spacing w:line="520" w:lineRule="exact"/>
        <w:ind w:firstLine="560" w:firstLineChars="200"/>
        <w:jc w:val="both"/>
        <w:rPr>
          <w:rFonts w:asciiTheme="majorEastAsia" w:hAnsiTheme="majorEastAsia" w:eastAsiaTheme="majorEastAsia" w:cstheme="majorEastAsia"/>
          <w:color w:val="auto"/>
          <w:sz w:val="28"/>
        </w:rPr>
      </w:pPr>
      <w:r>
        <w:rPr>
          <w:rFonts w:hint="eastAsia" w:asciiTheme="majorEastAsia" w:hAnsiTheme="majorEastAsia" w:eastAsiaTheme="majorEastAsia" w:cstheme="majorEastAsia"/>
          <w:color w:val="auto"/>
          <w:sz w:val="28"/>
        </w:rPr>
        <w:t>32.1 本项目招标代理服务费其计算标准和方法按原国家计委［2002］1980号文件、发改价格[2011]534号文件和发改办价格[2003]857号文件的有关规定执行。</w:t>
      </w:r>
    </w:p>
    <w:p>
      <w:pPr>
        <w:pStyle w:val="30"/>
        <w:tabs>
          <w:tab w:val="left" w:pos="420"/>
        </w:tabs>
        <w:spacing w:line="520" w:lineRule="exact"/>
        <w:ind w:firstLine="560" w:firstLineChars="200"/>
        <w:jc w:val="both"/>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8"/>
        </w:rPr>
        <w:t>32.2 招标代理服务费的计算基数是中标人投标报价的总金额，即中标通知书中载明的总金额。</w:t>
      </w: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ind w:firstLine="480" w:firstLineChars="200"/>
        <w:jc w:val="both"/>
        <w:rPr>
          <w:rFonts w:asciiTheme="majorEastAsia" w:hAnsiTheme="majorEastAsia" w:eastAsiaTheme="majorEastAsia" w:cstheme="majorEastAsia"/>
          <w:color w:val="auto"/>
        </w:rPr>
      </w:pPr>
    </w:p>
    <w:p>
      <w:pPr>
        <w:pStyle w:val="30"/>
        <w:spacing w:line="520" w:lineRule="exact"/>
        <w:jc w:val="center"/>
        <w:outlineLvl w:val="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布尔津县农用地、集体建设用地基准地价、城镇标定地价评估服务项目概况</w:t>
      </w:r>
    </w:p>
    <w:p>
      <w:pPr>
        <w:pStyle w:val="30"/>
        <w:spacing w:line="520" w:lineRule="exact"/>
        <w:ind w:firstLine="480" w:firstLineChars="200"/>
        <w:jc w:val="both"/>
        <w:rPr>
          <w:rFonts w:asciiTheme="majorEastAsia" w:hAnsiTheme="majorEastAsia" w:eastAsiaTheme="majorEastAsia" w:cstheme="majorEastAsia"/>
          <w:color w:val="auto"/>
        </w:rPr>
      </w:pPr>
    </w:p>
    <w:p>
      <w:pPr>
        <w:widowControl/>
        <w:jc w:val="left"/>
        <w:rPr>
          <w:color w:val="auto"/>
        </w:rPr>
      </w:pPr>
      <w:r>
        <w:rPr>
          <w:rFonts w:ascii="黑体" w:hAnsi="宋体" w:eastAsia="黑体" w:cs="黑体"/>
          <w:color w:val="auto"/>
          <w:kern w:val="0"/>
          <w:sz w:val="32"/>
          <w:szCs w:val="32"/>
          <w:lang w:bidi="ar"/>
        </w:rPr>
        <w:t xml:space="preserve">一、总体要求 </w:t>
      </w:r>
    </w:p>
    <w:p>
      <w:pPr>
        <w:widowControl/>
        <w:ind w:firstLine="640" w:firstLineChars="200"/>
        <w:jc w:val="left"/>
        <w:rPr>
          <w:color w:val="auto"/>
        </w:rPr>
      </w:pPr>
      <w:r>
        <w:rPr>
          <w:rFonts w:ascii="仿宋" w:hAnsi="仿宋" w:eastAsia="仿宋" w:cs="仿宋"/>
          <w:color w:val="auto"/>
          <w:kern w:val="0"/>
          <w:sz w:val="32"/>
          <w:szCs w:val="32"/>
          <w:lang w:bidi="ar"/>
        </w:rPr>
        <w:t xml:space="preserve">按照山水林田湖草是一个生命共同体的要求,总体统筹、分类 </w:t>
      </w:r>
    </w:p>
    <w:p>
      <w:pPr>
        <w:widowControl/>
        <w:jc w:val="left"/>
        <w:rPr>
          <w:color w:val="auto"/>
        </w:rPr>
      </w:pPr>
      <w:r>
        <w:rPr>
          <w:rFonts w:hint="eastAsia" w:ascii="仿宋" w:hAnsi="仿宋" w:eastAsia="仿宋" w:cs="仿宋"/>
          <w:color w:val="auto"/>
          <w:kern w:val="0"/>
          <w:sz w:val="32"/>
          <w:szCs w:val="32"/>
          <w:lang w:bidi="ar"/>
        </w:rPr>
        <w:t xml:space="preserve">推进自然资源评价评估工作。对生态保护区内的自然资源,充分量 </w:t>
      </w:r>
    </w:p>
    <w:p>
      <w:pPr>
        <w:widowControl/>
        <w:jc w:val="left"/>
        <w:rPr>
          <w:color w:val="auto"/>
        </w:rPr>
      </w:pPr>
      <w:r>
        <w:rPr>
          <w:rFonts w:hint="eastAsia" w:ascii="仿宋" w:hAnsi="仿宋" w:eastAsia="仿宋" w:cs="仿宋"/>
          <w:color w:val="auto"/>
          <w:kern w:val="0"/>
          <w:sz w:val="32"/>
          <w:szCs w:val="32"/>
          <w:lang w:bidi="ar"/>
        </w:rPr>
        <w:t xml:space="preserve">化其生态价值,评价生态质量。农业开发区内的自然资源,以农业 </w:t>
      </w:r>
    </w:p>
    <w:p>
      <w:pPr>
        <w:widowControl/>
        <w:jc w:val="left"/>
        <w:rPr>
          <w:color w:val="auto"/>
        </w:rPr>
      </w:pPr>
      <w:r>
        <w:rPr>
          <w:rFonts w:hint="eastAsia" w:ascii="仿宋" w:hAnsi="仿宋" w:eastAsia="仿宋" w:cs="仿宋"/>
          <w:color w:val="auto"/>
          <w:kern w:val="0"/>
          <w:sz w:val="32"/>
          <w:szCs w:val="32"/>
          <w:lang w:bidi="ar"/>
        </w:rPr>
        <w:t xml:space="preserve">生产能力为主导,开展分等定级和价格评估。城镇建设区内可开发 </w:t>
      </w:r>
    </w:p>
    <w:p>
      <w:pPr>
        <w:widowControl/>
        <w:jc w:val="left"/>
        <w:rPr>
          <w:color w:val="auto"/>
        </w:rPr>
      </w:pPr>
      <w:r>
        <w:rPr>
          <w:rFonts w:hint="eastAsia" w:ascii="仿宋" w:hAnsi="仿宋" w:eastAsia="仿宋" w:cs="仿宋"/>
          <w:color w:val="auto"/>
          <w:kern w:val="0"/>
          <w:sz w:val="32"/>
          <w:szCs w:val="32"/>
          <w:lang w:bidi="ar"/>
        </w:rPr>
        <w:t xml:space="preserve">利用的自然资源,形成充分反映市场供求关系、资源稀缺程度、环 </w:t>
      </w:r>
    </w:p>
    <w:p>
      <w:pPr>
        <w:widowControl/>
        <w:jc w:val="left"/>
        <w:rPr>
          <w:color w:val="auto"/>
        </w:rPr>
      </w:pPr>
      <w:r>
        <w:rPr>
          <w:rFonts w:hint="eastAsia" w:ascii="仿宋" w:hAnsi="仿宋" w:eastAsia="仿宋" w:cs="仿宋"/>
          <w:color w:val="auto"/>
          <w:kern w:val="0"/>
          <w:sz w:val="32"/>
          <w:szCs w:val="32"/>
          <w:lang w:bidi="ar"/>
        </w:rPr>
        <w:t xml:space="preserve">境损害成本的等级与价格体系,有效发挥价格杠杆对生态环境保 </w:t>
      </w:r>
    </w:p>
    <w:p>
      <w:pPr>
        <w:widowControl/>
        <w:jc w:val="left"/>
        <w:rPr>
          <w:color w:val="auto"/>
        </w:rPr>
      </w:pPr>
      <w:r>
        <w:rPr>
          <w:rFonts w:hint="eastAsia" w:ascii="仿宋" w:hAnsi="仿宋" w:eastAsia="仿宋" w:cs="仿宋"/>
          <w:color w:val="auto"/>
          <w:kern w:val="0"/>
          <w:sz w:val="32"/>
          <w:szCs w:val="32"/>
          <w:lang w:bidi="ar"/>
        </w:rPr>
        <w:t xml:space="preserve">护和资源节约集约利用的引导作用,促进自然资源管理向数量、质 </w:t>
      </w:r>
    </w:p>
    <w:p>
      <w:pPr>
        <w:widowControl/>
        <w:jc w:val="left"/>
        <w:rPr>
          <w:color w:val="auto"/>
        </w:rPr>
      </w:pPr>
      <w:r>
        <w:rPr>
          <w:rFonts w:hint="eastAsia" w:ascii="仿宋" w:hAnsi="仿宋" w:eastAsia="仿宋" w:cs="仿宋"/>
          <w:color w:val="auto"/>
          <w:kern w:val="0"/>
          <w:sz w:val="32"/>
          <w:szCs w:val="32"/>
          <w:lang w:bidi="ar"/>
        </w:rPr>
        <w:t xml:space="preserve">量、生态并重转变,支撑自然资源整体管护、合理开发利用和系统 </w:t>
      </w:r>
    </w:p>
    <w:p>
      <w:pPr>
        <w:widowControl/>
        <w:jc w:val="left"/>
        <w:rPr>
          <w:color w:val="auto"/>
        </w:rPr>
      </w:pPr>
      <w:r>
        <w:rPr>
          <w:rFonts w:hint="eastAsia" w:ascii="仿宋" w:hAnsi="仿宋" w:eastAsia="仿宋" w:cs="仿宋"/>
          <w:color w:val="auto"/>
          <w:kern w:val="0"/>
          <w:sz w:val="32"/>
          <w:szCs w:val="32"/>
          <w:lang w:bidi="ar"/>
        </w:rPr>
        <w:t xml:space="preserve">修复。 </w:t>
      </w:r>
    </w:p>
    <w:p>
      <w:pPr>
        <w:widowControl/>
        <w:jc w:val="left"/>
        <w:rPr>
          <w:color w:val="auto"/>
        </w:rPr>
      </w:pPr>
      <w:r>
        <w:rPr>
          <w:rFonts w:hint="eastAsia" w:ascii="黑体" w:hAnsi="宋体" w:eastAsia="黑体" w:cs="黑体"/>
          <w:color w:val="auto"/>
          <w:kern w:val="0"/>
          <w:sz w:val="32"/>
          <w:szCs w:val="32"/>
          <w:lang w:bidi="ar"/>
        </w:rPr>
        <w:t xml:space="preserve">二、工作任务 </w:t>
      </w:r>
    </w:p>
    <w:p>
      <w:pPr>
        <w:widowControl/>
        <w:jc w:val="left"/>
        <w:rPr>
          <w:color w:val="auto"/>
        </w:rPr>
      </w:pPr>
      <w:r>
        <w:rPr>
          <w:rFonts w:ascii="楷体" w:hAnsi="楷体" w:eastAsia="楷体" w:cs="楷体"/>
          <w:color w:val="auto"/>
          <w:kern w:val="0"/>
          <w:sz w:val="32"/>
          <w:szCs w:val="32"/>
          <w:lang w:bidi="ar"/>
        </w:rPr>
        <w:t xml:space="preserve">（一）建立政府公示自然资源价格体系 </w:t>
      </w:r>
    </w:p>
    <w:p>
      <w:pPr>
        <w:widowControl/>
        <w:jc w:val="left"/>
        <w:rPr>
          <w:color w:val="auto"/>
        </w:rPr>
      </w:pPr>
      <w:r>
        <w:rPr>
          <w:rFonts w:hint="eastAsia" w:ascii="仿宋" w:hAnsi="仿宋" w:eastAsia="仿宋" w:cs="仿宋"/>
          <w:color w:val="auto"/>
          <w:kern w:val="0"/>
          <w:sz w:val="32"/>
          <w:szCs w:val="32"/>
          <w:lang w:bidi="ar"/>
        </w:rPr>
        <w:t xml:space="preserve">全面推进县（市、区）城镇标定地价制定和公示。各地要在本行政区域内所有县（市、区）启动城镇标定地价制订和公示工 作，确保在 2020 年 12 月 31 日前完成。为提高工作效率，自然资源部开发了标定地价管理系统供各地使用，可在部门户网站服务栏目土地板块下载。继续完善规范城乡基准地价体系。对超过 6 年未更新的城镇基准地价，各地应尽快完成包含公共服务项目用地基准地价的全面更新，开展公共服务项目用地、国有农用地和集体土地基准地价的制订与发布工作，全区所有县（市、区）在 2020 年 12 月 31日前完成集体建设用地和农用地基准地价制订工作。加快推进城镇基准地价管理系统备案。各地要按时完成基准地价更新、发布，及时完成基准地价电子化备案。截止 2019 年 7月 10 日，已有 45 个县（市、区）完成基准地价备案，尚有 47 个未备案；仅有 3 个完成公共服务项目用地基准地价备案，尚有 89个未备案（详见附件）。各县（市、区）已经验收发布的基准地价成果应在 15 个工作日内登录全国基准地价备案系统，按要求完成基准地价电子化备案。 </w:t>
      </w:r>
    </w:p>
    <w:p>
      <w:pPr>
        <w:widowControl/>
        <w:jc w:val="left"/>
        <w:rPr>
          <w:color w:val="auto"/>
        </w:rPr>
      </w:pPr>
      <w:r>
        <w:rPr>
          <w:rFonts w:hint="eastAsia" w:ascii="楷体" w:hAnsi="楷体" w:eastAsia="楷体" w:cs="楷体"/>
          <w:color w:val="auto"/>
          <w:kern w:val="0"/>
          <w:sz w:val="32"/>
          <w:szCs w:val="32"/>
          <w:lang w:bidi="ar"/>
        </w:rPr>
        <w:t xml:space="preserve">（二）健全自然资源等级与价格监测体系 </w:t>
      </w:r>
    </w:p>
    <w:p>
      <w:pPr>
        <w:widowControl/>
        <w:jc w:val="left"/>
        <w:rPr>
          <w:color w:val="auto"/>
        </w:rPr>
      </w:pPr>
      <w:r>
        <w:rPr>
          <w:rFonts w:hint="eastAsia" w:ascii="仿宋" w:hAnsi="仿宋" w:eastAsia="仿宋" w:cs="仿宋"/>
          <w:color w:val="auto"/>
          <w:kern w:val="0"/>
          <w:sz w:val="32"/>
          <w:szCs w:val="32"/>
          <w:lang w:bidi="ar"/>
        </w:rPr>
        <w:t xml:space="preserve">乌鲁木齐市作为全国 105 个主要城市部署开展国家级城市地价动态监测城市之一，要按季度监测各用途地价水平变化。从 2006 年起，自治区每年安排补助经费开展乌鲁木齐市、克拉玛依市、 </w:t>
      </w:r>
    </w:p>
    <w:p>
      <w:pPr>
        <w:widowControl/>
        <w:jc w:val="left"/>
        <w:rPr>
          <w:color w:val="auto"/>
        </w:rPr>
      </w:pPr>
      <w:r>
        <w:rPr>
          <w:rFonts w:hint="eastAsia" w:ascii="仿宋" w:hAnsi="仿宋" w:eastAsia="仿宋" w:cs="仿宋"/>
          <w:color w:val="auto"/>
          <w:kern w:val="0"/>
          <w:sz w:val="32"/>
          <w:szCs w:val="32"/>
          <w:lang w:bidi="ar"/>
        </w:rPr>
        <w:t xml:space="preserve">昌吉市、奎屯市、博乐市、伊宁市、塔城市、阿勒泰市、库尔勒 </w:t>
      </w:r>
    </w:p>
    <w:p>
      <w:pPr>
        <w:widowControl/>
        <w:jc w:val="left"/>
        <w:rPr>
          <w:color w:val="auto"/>
        </w:rPr>
      </w:pPr>
      <w:r>
        <w:rPr>
          <w:rFonts w:hint="eastAsia" w:ascii="仿宋" w:hAnsi="仿宋" w:eastAsia="仿宋" w:cs="仿宋"/>
          <w:color w:val="auto"/>
          <w:kern w:val="0"/>
          <w:sz w:val="32"/>
          <w:szCs w:val="32"/>
          <w:lang w:bidi="ar"/>
        </w:rPr>
        <w:t xml:space="preserve">市、阿克苏市、喀什市、布尔津县、阿图什市以及高昌区、伊州区 </w:t>
      </w:r>
    </w:p>
    <w:p>
      <w:pPr>
        <w:widowControl/>
        <w:jc w:val="left"/>
        <w:rPr>
          <w:color w:val="auto"/>
        </w:rPr>
      </w:pPr>
      <w:r>
        <w:rPr>
          <w:rFonts w:hint="eastAsia" w:ascii="仿宋" w:hAnsi="仿宋" w:eastAsia="仿宋" w:cs="仿宋"/>
          <w:color w:val="auto"/>
          <w:kern w:val="0"/>
          <w:sz w:val="32"/>
          <w:szCs w:val="32"/>
          <w:lang w:bidi="ar"/>
        </w:rPr>
        <w:t xml:space="preserve">地价监测工作，各地须在每年 3 月底前完成上一年度城市地价动 </w:t>
      </w:r>
    </w:p>
    <w:p>
      <w:pPr>
        <w:widowControl/>
        <w:jc w:val="left"/>
        <w:rPr>
          <w:color w:val="auto"/>
        </w:rPr>
      </w:pPr>
      <w:r>
        <w:rPr>
          <w:rFonts w:hint="eastAsia" w:ascii="仿宋" w:hAnsi="仿宋" w:eastAsia="仿宋" w:cs="仿宋"/>
          <w:color w:val="auto"/>
          <w:kern w:val="0"/>
          <w:sz w:val="32"/>
          <w:szCs w:val="32"/>
          <w:lang w:bidi="ar"/>
        </w:rPr>
        <w:t xml:space="preserve">态监测，4 月汇总形成自治区级监测结果，以继续完善城镇土地等别体系，全面完成农用地定级工作。 </w:t>
      </w:r>
    </w:p>
    <w:p>
      <w:pPr>
        <w:widowControl/>
        <w:jc w:val="left"/>
        <w:rPr>
          <w:color w:val="auto"/>
        </w:rPr>
      </w:pPr>
      <w:r>
        <w:rPr>
          <w:rFonts w:hint="eastAsia" w:ascii="楷体" w:hAnsi="楷体" w:eastAsia="楷体" w:cs="楷体"/>
          <w:color w:val="auto"/>
          <w:kern w:val="0"/>
          <w:sz w:val="32"/>
          <w:szCs w:val="32"/>
          <w:lang w:bidi="ar"/>
        </w:rPr>
        <w:t xml:space="preserve">（三）强化自然资源评价评估管理 </w:t>
      </w:r>
    </w:p>
    <w:p>
      <w:pPr>
        <w:widowControl/>
        <w:jc w:val="left"/>
        <w:rPr>
          <w:color w:val="auto"/>
        </w:rPr>
      </w:pPr>
      <w:r>
        <w:rPr>
          <w:rFonts w:hint="eastAsia" w:ascii="仿宋" w:hAnsi="仿宋" w:eastAsia="仿宋" w:cs="仿宋"/>
          <w:color w:val="auto"/>
          <w:kern w:val="0"/>
          <w:sz w:val="32"/>
          <w:szCs w:val="32"/>
          <w:lang w:bidi="ar"/>
        </w:rPr>
        <w:t xml:space="preserve">从 2019 年 7 月至 2020 年 6 月 30 日，对在我区备案的土地估价机构开展专项清查，重点查处评估机构虚假备案、土地评估专业人员挂靠、土地评估专业人员同时在两个以上机构从事业务、 </w:t>
      </w:r>
    </w:p>
    <w:p>
      <w:pPr>
        <w:widowControl/>
        <w:jc w:val="left"/>
        <w:rPr>
          <w:color w:val="auto"/>
        </w:rPr>
      </w:pPr>
      <w:r>
        <w:rPr>
          <w:rFonts w:hint="eastAsia" w:ascii="仿宋" w:hAnsi="仿宋" w:eastAsia="仿宋" w:cs="仿宋"/>
          <w:color w:val="auto"/>
          <w:kern w:val="0"/>
          <w:sz w:val="32"/>
          <w:szCs w:val="32"/>
          <w:lang w:bidi="ar"/>
        </w:rPr>
        <w:t xml:space="preserve">土地评估专业人员签署本人未承办业务的报告、非土地评估专业 </w:t>
      </w:r>
    </w:p>
    <w:p>
      <w:pPr>
        <w:widowControl/>
        <w:jc w:val="left"/>
        <w:rPr>
          <w:color w:val="auto"/>
        </w:rPr>
      </w:pPr>
      <w:r>
        <w:rPr>
          <w:rFonts w:hint="eastAsia" w:ascii="仿宋" w:hAnsi="仿宋" w:eastAsia="仿宋" w:cs="仿宋"/>
          <w:color w:val="auto"/>
          <w:kern w:val="0"/>
          <w:sz w:val="32"/>
          <w:szCs w:val="32"/>
          <w:lang w:bidi="ar"/>
        </w:rPr>
        <w:t xml:space="preserve">人员签署业务报告等情况。清查结果将报自然资源部。同时，将 </w:t>
      </w:r>
    </w:p>
    <w:p>
      <w:pPr>
        <w:widowControl/>
        <w:jc w:val="left"/>
        <w:rPr>
          <w:color w:val="auto"/>
        </w:rPr>
      </w:pPr>
      <w:r>
        <w:rPr>
          <w:rFonts w:hint="eastAsia" w:ascii="仿宋" w:hAnsi="仿宋" w:eastAsia="仿宋" w:cs="仿宋"/>
          <w:color w:val="auto"/>
          <w:kern w:val="0"/>
          <w:sz w:val="32"/>
          <w:szCs w:val="32"/>
          <w:lang w:bidi="ar"/>
        </w:rPr>
        <w:t xml:space="preserve">对宗地评估、地价监测、政府公示价格制订等质量情况进行常态 </w:t>
      </w:r>
    </w:p>
    <w:p>
      <w:pPr>
        <w:widowControl/>
        <w:jc w:val="left"/>
        <w:rPr>
          <w:color w:val="auto"/>
        </w:rPr>
      </w:pPr>
      <w:r>
        <w:rPr>
          <w:rFonts w:hint="eastAsia" w:ascii="仿宋" w:hAnsi="仿宋" w:eastAsia="仿宋" w:cs="仿宋"/>
          <w:color w:val="auto"/>
          <w:kern w:val="0"/>
          <w:sz w:val="32"/>
          <w:szCs w:val="32"/>
          <w:lang w:bidi="ar"/>
        </w:rPr>
        <w:t xml:space="preserve">化随机抽查，抽查结果定期向社会公示。支持包括土地评估在内的自然资源评价评估行业健康发展，会同新疆土地估价师协会积极拓展评估专业人员能力，加大业务培训力度。充分运用全国土地估价监管系统，提高我区监管工作水平。土地出让或租赁是政府行为，出让地价或租赁租金评估依规应由负责土地出让的自然资源主管部门委托土地评估专业机构并支付评估费用。各地要对本行政区域内各县（市、区）是否存在向用地单位或其它第三方转嫁出让地价或租赁租金评估费用情况开展自查自纠，工作情况请于 2019 年 9 月 10 日前报厅。 </w:t>
      </w:r>
    </w:p>
    <w:p>
      <w:pPr>
        <w:widowControl/>
        <w:jc w:val="left"/>
        <w:rPr>
          <w:color w:val="auto"/>
        </w:rPr>
      </w:pPr>
      <w:r>
        <w:rPr>
          <w:rFonts w:hint="eastAsia" w:ascii="黑体" w:hAnsi="宋体" w:eastAsia="黑体" w:cs="黑体"/>
          <w:color w:val="auto"/>
          <w:kern w:val="0"/>
          <w:sz w:val="32"/>
          <w:szCs w:val="32"/>
          <w:lang w:bidi="ar"/>
        </w:rPr>
        <w:t xml:space="preserve">三、保障措施 </w:t>
      </w:r>
    </w:p>
    <w:p>
      <w:pPr>
        <w:widowControl/>
        <w:jc w:val="left"/>
        <w:rPr>
          <w:color w:val="auto"/>
        </w:rPr>
      </w:pPr>
      <w:r>
        <w:rPr>
          <w:rFonts w:hint="eastAsia" w:ascii="楷体" w:hAnsi="楷体" w:eastAsia="楷体" w:cs="楷体"/>
          <w:color w:val="auto"/>
          <w:kern w:val="0"/>
          <w:sz w:val="32"/>
          <w:szCs w:val="32"/>
          <w:lang w:bidi="ar"/>
        </w:rPr>
        <w:t>（一）加强统筹协作。</w:t>
      </w:r>
      <w:r>
        <w:rPr>
          <w:rFonts w:hint="eastAsia" w:ascii="仿宋" w:hAnsi="仿宋" w:eastAsia="仿宋" w:cs="仿宋"/>
          <w:color w:val="auto"/>
          <w:kern w:val="0"/>
          <w:sz w:val="32"/>
          <w:szCs w:val="32"/>
          <w:lang w:bidi="ar"/>
        </w:rPr>
        <w:t xml:space="preserve">各地（州、市）自然资源主管部门要组织梳理本行政区域内自然资源等级价现状,以工作机制科学高效、成果体系完备统一、成果信息集成透明为工作目标,合理规划和推进工作。要做好部门内外统筹协调,科学开展涉及建设用地和农用地、林草（湿）地、矿业权出让收益评价评估工作。 </w:t>
      </w:r>
    </w:p>
    <w:p>
      <w:pPr>
        <w:widowControl/>
        <w:jc w:val="left"/>
        <w:rPr>
          <w:color w:val="auto"/>
        </w:rPr>
      </w:pPr>
      <w:r>
        <w:rPr>
          <w:rFonts w:hint="eastAsia" w:ascii="楷体" w:hAnsi="楷体" w:eastAsia="楷体" w:cs="楷体"/>
          <w:color w:val="auto"/>
          <w:kern w:val="0"/>
          <w:sz w:val="32"/>
          <w:szCs w:val="32"/>
          <w:lang w:bidi="ar"/>
        </w:rPr>
        <w:t>（二）落实资金保障。</w:t>
      </w:r>
      <w:r>
        <w:rPr>
          <w:rFonts w:hint="eastAsia" w:ascii="仿宋" w:hAnsi="仿宋" w:eastAsia="仿宋" w:cs="仿宋"/>
          <w:color w:val="auto"/>
          <w:kern w:val="0"/>
          <w:sz w:val="32"/>
          <w:szCs w:val="32"/>
          <w:lang w:bidi="ar"/>
        </w:rPr>
        <w:t xml:space="preserve">自然资源等级价格评估监测、政府公示自然资源价格体系均为中央与地方共同事权,自然资源部落实中央财政列支的重点项目经费安排。厅将积极争取自治区财政的支持，落实工作经费。地（州、市）、县（市、区）自然资源局要根据近期及中期工作任务安排,争取当地政府支持,提前将所需经费列入地方财政预算,做好资金保障。 </w:t>
      </w:r>
    </w:p>
    <w:p>
      <w:pPr>
        <w:widowControl/>
        <w:jc w:val="left"/>
        <w:rPr>
          <w:color w:val="auto"/>
        </w:rPr>
      </w:pPr>
      <w:r>
        <w:rPr>
          <w:rFonts w:hint="eastAsia" w:ascii="楷体" w:hAnsi="楷体" w:eastAsia="楷体" w:cs="楷体"/>
          <w:color w:val="auto"/>
          <w:kern w:val="0"/>
          <w:sz w:val="32"/>
          <w:szCs w:val="32"/>
          <w:lang w:bidi="ar"/>
        </w:rPr>
        <w:t>（三）强化技术支撑。</w:t>
      </w:r>
      <w:r>
        <w:rPr>
          <w:rFonts w:hint="eastAsia" w:ascii="仿宋" w:hAnsi="仿宋" w:eastAsia="仿宋" w:cs="仿宋"/>
          <w:color w:val="auto"/>
          <w:kern w:val="0"/>
          <w:sz w:val="32"/>
          <w:szCs w:val="32"/>
          <w:lang w:bidi="ar"/>
        </w:rPr>
        <w:t xml:space="preserve">加强技术力量保障，确保工作顺利实施。自治区层面将成立全疆自然资源评价评估工作组，支撑重点项目和具体实施工作，自治区国土资源规划研究院为自治区技术 </w:t>
      </w:r>
    </w:p>
    <w:p>
      <w:pPr>
        <w:widowControl/>
        <w:jc w:val="left"/>
        <w:rPr>
          <w:color w:val="auto"/>
        </w:rPr>
      </w:pPr>
      <w:r>
        <w:rPr>
          <w:rFonts w:hint="eastAsia" w:ascii="仿宋" w:hAnsi="仿宋" w:eastAsia="仿宋" w:cs="仿宋"/>
          <w:color w:val="auto"/>
          <w:kern w:val="0"/>
          <w:sz w:val="32"/>
          <w:szCs w:val="32"/>
          <w:lang w:bidi="ar"/>
        </w:rPr>
        <w:t xml:space="preserve">支撑单位，负责为各地提供相关工作技术咨询。 </w:t>
      </w:r>
    </w:p>
    <w:p>
      <w:pPr>
        <w:rPr>
          <w:rFonts w:asciiTheme="majorEastAsia" w:hAnsiTheme="majorEastAsia" w:eastAsiaTheme="majorEastAsia" w:cstheme="majorEastAsia"/>
          <w:bCs/>
          <w:color w:val="auto"/>
          <w:szCs w:val="28"/>
        </w:rPr>
      </w:pPr>
      <w:r>
        <w:rPr>
          <w:rFonts w:asciiTheme="majorEastAsia" w:hAnsiTheme="majorEastAsia" w:eastAsiaTheme="majorEastAsia" w:cstheme="majorEastAsia"/>
          <w:bCs/>
          <w:color w:val="auto"/>
          <w:szCs w:val="28"/>
        </w:rPr>
        <w:br w:type="page"/>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967"/>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pPr>
              <w:pStyle w:val="5"/>
              <w:ind w:firstLine="0"/>
              <w:rPr>
                <w:color w:val="auto"/>
                <w:sz w:val="20"/>
                <w:szCs w:val="18"/>
              </w:rPr>
            </w:pPr>
            <w:r>
              <w:rPr>
                <w:rFonts w:hint="eastAsia"/>
                <w:color w:val="auto"/>
                <w:sz w:val="20"/>
                <w:szCs w:val="18"/>
              </w:rPr>
              <w:t>序号</w:t>
            </w:r>
          </w:p>
        </w:tc>
        <w:tc>
          <w:tcPr>
            <w:tcW w:w="548" w:type="pct"/>
          </w:tcPr>
          <w:p>
            <w:pPr>
              <w:pStyle w:val="5"/>
              <w:ind w:firstLine="0"/>
              <w:rPr>
                <w:color w:val="auto"/>
                <w:sz w:val="20"/>
                <w:szCs w:val="18"/>
              </w:rPr>
            </w:pPr>
            <w:r>
              <w:rPr>
                <w:rFonts w:hint="eastAsia"/>
                <w:color w:val="auto"/>
                <w:sz w:val="20"/>
                <w:szCs w:val="18"/>
              </w:rPr>
              <w:t>采购内容</w:t>
            </w:r>
          </w:p>
        </w:tc>
        <w:tc>
          <w:tcPr>
            <w:tcW w:w="4105" w:type="pct"/>
          </w:tcPr>
          <w:p>
            <w:pPr>
              <w:pStyle w:val="5"/>
              <w:rPr>
                <w:color w:val="auto"/>
                <w:sz w:val="20"/>
                <w:szCs w:val="18"/>
              </w:rPr>
            </w:pPr>
            <w:r>
              <w:rPr>
                <w:rFonts w:hint="eastAsia"/>
                <w:color w:val="auto"/>
                <w:sz w:val="20"/>
                <w:szCs w:val="18"/>
              </w:rPr>
              <w:t>技术规格、参数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5"/>
              <w:rPr>
                <w:b/>
                <w:bCs/>
                <w:color w:val="auto"/>
                <w:sz w:val="22"/>
                <w:szCs w:val="21"/>
              </w:rPr>
            </w:pPr>
            <w:r>
              <w:rPr>
                <w:b/>
                <w:bCs/>
                <w:color w:val="auto"/>
                <w:sz w:val="22"/>
                <w:szCs w:val="21"/>
              </w:rPr>
              <w:t>1</w:t>
            </w:r>
          </w:p>
        </w:tc>
        <w:tc>
          <w:tcPr>
            <w:tcW w:w="548" w:type="pct"/>
          </w:tcPr>
          <w:p>
            <w:pPr>
              <w:rPr>
                <w:color w:val="auto"/>
                <w:sz w:val="18"/>
                <w:szCs w:val="18"/>
              </w:rPr>
            </w:pPr>
            <w:r>
              <w:rPr>
                <w:rFonts w:hint="eastAsia"/>
                <w:color w:val="auto"/>
                <w:sz w:val="18"/>
                <w:szCs w:val="18"/>
              </w:rPr>
              <w:t>布尔津县标定地价制订工作</w:t>
            </w:r>
          </w:p>
          <w:p>
            <w:pPr>
              <w:pStyle w:val="5"/>
              <w:rPr>
                <w:color w:val="auto"/>
                <w:sz w:val="13"/>
                <w:szCs w:val="11"/>
              </w:rPr>
            </w:pPr>
          </w:p>
        </w:tc>
        <w:tc>
          <w:tcPr>
            <w:tcW w:w="4105" w:type="pct"/>
          </w:tcPr>
          <w:p>
            <w:pPr>
              <w:numPr>
                <w:ilvl w:val="0"/>
                <w:numId w:val="2"/>
              </w:numPr>
              <w:rPr>
                <w:color w:val="auto"/>
                <w:sz w:val="18"/>
                <w:szCs w:val="18"/>
              </w:rPr>
            </w:pPr>
            <w:r>
              <w:rPr>
                <w:rFonts w:hint="eastAsia"/>
                <w:color w:val="auto"/>
                <w:sz w:val="18"/>
                <w:szCs w:val="18"/>
              </w:rPr>
              <w:t>完成标定地价公示范围确定及标定区域划分</w:t>
            </w:r>
          </w:p>
          <w:p>
            <w:pPr>
              <w:ind w:firstLine="180" w:firstLineChars="100"/>
              <w:rPr>
                <w:color w:val="auto"/>
                <w:sz w:val="18"/>
                <w:szCs w:val="18"/>
              </w:rPr>
            </w:pPr>
            <w:r>
              <w:rPr>
                <w:rFonts w:hint="eastAsia"/>
                <w:color w:val="auto"/>
                <w:sz w:val="18"/>
                <w:szCs w:val="18"/>
              </w:rPr>
              <w:t>在更新基准地价的土地级别的基础上，依据土地条件、利用状况、土地开发程度并结合近年来布尔津县城市发展及房地产市场价格变化等判断，划分各用途标定区域。</w:t>
            </w:r>
          </w:p>
          <w:p>
            <w:pPr>
              <w:numPr>
                <w:ilvl w:val="0"/>
                <w:numId w:val="2"/>
              </w:numPr>
              <w:rPr>
                <w:color w:val="auto"/>
                <w:sz w:val="18"/>
                <w:szCs w:val="18"/>
              </w:rPr>
            </w:pPr>
            <w:r>
              <w:rPr>
                <w:rFonts w:hint="eastAsia"/>
                <w:color w:val="auto"/>
                <w:sz w:val="18"/>
                <w:szCs w:val="18"/>
              </w:rPr>
              <w:t>完成标准宗地布设及信息采集</w:t>
            </w:r>
          </w:p>
          <w:p>
            <w:pPr>
              <w:ind w:firstLine="180" w:firstLineChars="100"/>
              <w:rPr>
                <w:color w:val="auto"/>
                <w:sz w:val="18"/>
                <w:szCs w:val="18"/>
              </w:rPr>
            </w:pPr>
            <w:r>
              <w:rPr>
                <w:rFonts w:hint="eastAsia"/>
                <w:color w:val="auto"/>
                <w:sz w:val="18"/>
                <w:szCs w:val="18"/>
              </w:rPr>
              <w:t>标准宗地的土地用途，标准宗地根据实际需要确定，完成标准宗地基础信息的采集工作，并形成相应的数据成果。</w:t>
            </w:r>
          </w:p>
          <w:p>
            <w:pPr>
              <w:numPr>
                <w:ilvl w:val="0"/>
                <w:numId w:val="2"/>
              </w:numPr>
              <w:rPr>
                <w:color w:val="auto"/>
                <w:sz w:val="18"/>
                <w:szCs w:val="18"/>
              </w:rPr>
            </w:pPr>
            <w:r>
              <w:rPr>
                <w:rFonts w:hint="eastAsia"/>
                <w:color w:val="auto"/>
                <w:sz w:val="18"/>
                <w:szCs w:val="18"/>
              </w:rPr>
              <w:t>完成标定地价的评估</w:t>
            </w:r>
          </w:p>
          <w:p>
            <w:pPr>
              <w:ind w:firstLine="180" w:firstLineChars="100"/>
              <w:rPr>
                <w:color w:val="auto"/>
                <w:sz w:val="18"/>
                <w:szCs w:val="18"/>
              </w:rPr>
            </w:pPr>
            <w:r>
              <w:rPr>
                <w:rFonts w:hint="eastAsia"/>
                <w:color w:val="auto"/>
                <w:sz w:val="18"/>
                <w:szCs w:val="18"/>
              </w:rPr>
              <w:t>根据《标定地价规程》（TD/T 1052-2017）、 《城镇土地估价规程》（GB/T 18508-2014）的要求，遵循每宗地分别独立负责评估的原则完成评估工作，并按标准格式填写相关表格、说明评估要点、编制评估报告。</w:t>
            </w:r>
          </w:p>
          <w:p>
            <w:pPr>
              <w:numPr>
                <w:ilvl w:val="0"/>
                <w:numId w:val="2"/>
              </w:numPr>
              <w:rPr>
                <w:color w:val="auto"/>
                <w:sz w:val="18"/>
                <w:szCs w:val="18"/>
              </w:rPr>
            </w:pPr>
            <w:r>
              <w:rPr>
                <w:rFonts w:hint="eastAsia"/>
                <w:color w:val="auto"/>
                <w:sz w:val="18"/>
                <w:szCs w:val="18"/>
              </w:rPr>
              <w:t>编制标定地价修正体系</w:t>
            </w:r>
          </w:p>
          <w:p>
            <w:pPr>
              <w:ind w:firstLine="180" w:firstLineChars="100"/>
              <w:rPr>
                <w:color w:val="auto"/>
                <w:sz w:val="13"/>
                <w:szCs w:val="11"/>
              </w:rPr>
            </w:pPr>
            <w:r>
              <w:rPr>
                <w:rFonts w:hint="eastAsia"/>
                <w:color w:val="auto"/>
                <w:sz w:val="18"/>
                <w:szCs w:val="18"/>
              </w:rPr>
              <w:t>选择布尔津县不同用途地价影响因素因子，建立标定地价修正体系，确定不同类型土地地价的修正体系。并根据布尔津县标定地价利用类型特征，建立地价用地类型修正系数。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347" w:type="pct"/>
            <w:vAlign w:val="center"/>
          </w:tcPr>
          <w:p>
            <w:pPr>
              <w:pStyle w:val="5"/>
              <w:rPr>
                <w:b/>
                <w:bCs/>
                <w:color w:val="auto"/>
                <w:sz w:val="22"/>
                <w:szCs w:val="21"/>
              </w:rPr>
            </w:pPr>
            <w:r>
              <w:rPr>
                <w:b/>
                <w:bCs/>
                <w:color w:val="auto"/>
                <w:sz w:val="22"/>
                <w:szCs w:val="21"/>
              </w:rPr>
              <w:t>2</w:t>
            </w:r>
          </w:p>
        </w:tc>
        <w:tc>
          <w:tcPr>
            <w:tcW w:w="548" w:type="pct"/>
          </w:tcPr>
          <w:p>
            <w:pPr>
              <w:rPr>
                <w:color w:val="auto"/>
                <w:sz w:val="18"/>
                <w:szCs w:val="18"/>
              </w:rPr>
            </w:pPr>
            <w:r>
              <w:rPr>
                <w:rFonts w:hint="eastAsia"/>
                <w:color w:val="auto"/>
                <w:sz w:val="18"/>
                <w:szCs w:val="18"/>
              </w:rPr>
              <w:t>布尔津县集体建设用地基准地价制订工作</w:t>
            </w:r>
          </w:p>
          <w:p>
            <w:pPr>
              <w:pStyle w:val="5"/>
              <w:rPr>
                <w:color w:val="auto"/>
                <w:sz w:val="13"/>
                <w:szCs w:val="11"/>
              </w:rPr>
            </w:pPr>
          </w:p>
        </w:tc>
        <w:tc>
          <w:tcPr>
            <w:tcW w:w="4105" w:type="pct"/>
          </w:tcPr>
          <w:p>
            <w:pPr>
              <w:numPr>
                <w:ilvl w:val="0"/>
                <w:numId w:val="3"/>
              </w:numPr>
              <w:rPr>
                <w:color w:val="auto"/>
                <w:sz w:val="18"/>
                <w:szCs w:val="18"/>
              </w:rPr>
            </w:pPr>
            <w:r>
              <w:rPr>
                <w:rFonts w:hint="eastAsia"/>
                <w:color w:val="auto"/>
                <w:sz w:val="18"/>
                <w:szCs w:val="18"/>
              </w:rPr>
              <w:t>完成布尔津县集体建设用地定级</w:t>
            </w:r>
          </w:p>
          <w:p>
            <w:pPr>
              <w:ind w:firstLine="180" w:firstLineChars="100"/>
              <w:rPr>
                <w:color w:val="auto"/>
                <w:sz w:val="18"/>
                <w:szCs w:val="18"/>
              </w:rPr>
            </w:pPr>
            <w:r>
              <w:rPr>
                <w:rFonts w:hint="eastAsia"/>
                <w:color w:val="auto"/>
                <w:sz w:val="18"/>
                <w:szCs w:val="18"/>
              </w:rPr>
              <w:t>参照《城镇土地分等定级规程》（GB/T 18507-2014）的要求，采用计算机技术手段，对影响集体建设用地质量的各种经济、社会、自然因素进行分析，运用多因素综合评价法完成布尔津县宅基地、公用设施公益事业用地、集体经营性建设用地（商业、工业）等集体建设用地定级工作。</w:t>
            </w:r>
          </w:p>
          <w:p>
            <w:pPr>
              <w:numPr>
                <w:ilvl w:val="0"/>
                <w:numId w:val="3"/>
              </w:numPr>
              <w:rPr>
                <w:color w:val="auto"/>
                <w:sz w:val="18"/>
                <w:szCs w:val="18"/>
              </w:rPr>
            </w:pPr>
            <w:r>
              <w:rPr>
                <w:rFonts w:hint="eastAsia"/>
                <w:color w:val="auto"/>
                <w:sz w:val="18"/>
                <w:szCs w:val="18"/>
              </w:rPr>
              <w:t>完成布尔津县集体建设用地基准地价评估</w:t>
            </w:r>
          </w:p>
          <w:p>
            <w:pPr>
              <w:ind w:firstLine="180" w:firstLineChars="100"/>
              <w:rPr>
                <w:color w:val="auto"/>
                <w:sz w:val="18"/>
                <w:szCs w:val="18"/>
              </w:rPr>
            </w:pPr>
            <w:r>
              <w:rPr>
                <w:rFonts w:hint="eastAsia"/>
                <w:color w:val="auto"/>
                <w:sz w:val="18"/>
                <w:szCs w:val="18"/>
              </w:rPr>
              <w:t>根据外业调查资料，在土地定级的基础上，参照《城镇土地估价规程》（GB/T 18508-2014）的要求，完成宅基地、公用设施公益事业用地、集体经营性建设用地（商业、工业）等用途集体建设用地基准地价制订。</w:t>
            </w:r>
          </w:p>
          <w:p>
            <w:pPr>
              <w:numPr>
                <w:ilvl w:val="0"/>
                <w:numId w:val="3"/>
              </w:numPr>
              <w:rPr>
                <w:color w:val="auto"/>
                <w:sz w:val="18"/>
                <w:szCs w:val="18"/>
              </w:rPr>
            </w:pPr>
            <w:r>
              <w:rPr>
                <w:rFonts w:hint="eastAsia"/>
                <w:color w:val="auto"/>
                <w:sz w:val="18"/>
                <w:szCs w:val="18"/>
              </w:rPr>
              <w:t>编制集体建设用地基准地价修正体系</w:t>
            </w:r>
          </w:p>
          <w:p>
            <w:pPr>
              <w:ind w:firstLine="180" w:firstLineChars="100"/>
              <w:rPr>
                <w:color w:val="auto"/>
                <w:sz w:val="13"/>
                <w:szCs w:val="11"/>
              </w:rPr>
            </w:pPr>
            <w:r>
              <w:rPr>
                <w:rFonts w:hint="eastAsia"/>
                <w:color w:val="auto"/>
                <w:sz w:val="18"/>
                <w:szCs w:val="18"/>
              </w:rPr>
              <w:t>在分等定级估价的基础上，建立布尔津县宅基地、公用设施公益事业用地、集体经营性建设用地（商业、工业）等类别集体建设用地级别基准地价修正体系。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347" w:type="pct"/>
            <w:vAlign w:val="center"/>
          </w:tcPr>
          <w:p>
            <w:pPr>
              <w:pStyle w:val="5"/>
              <w:rPr>
                <w:b/>
                <w:bCs/>
                <w:color w:val="auto"/>
                <w:sz w:val="22"/>
                <w:szCs w:val="21"/>
              </w:rPr>
            </w:pPr>
            <w:r>
              <w:rPr>
                <w:b/>
                <w:bCs/>
                <w:color w:val="auto"/>
                <w:sz w:val="22"/>
                <w:szCs w:val="21"/>
              </w:rPr>
              <w:t>3</w:t>
            </w:r>
          </w:p>
        </w:tc>
        <w:tc>
          <w:tcPr>
            <w:tcW w:w="548" w:type="pct"/>
          </w:tcPr>
          <w:p>
            <w:pPr>
              <w:pStyle w:val="5"/>
              <w:ind w:firstLine="0"/>
              <w:rPr>
                <w:color w:val="auto"/>
                <w:sz w:val="13"/>
                <w:szCs w:val="11"/>
              </w:rPr>
            </w:pPr>
            <w:r>
              <w:rPr>
                <w:rFonts w:hint="eastAsia"/>
                <w:color w:val="auto"/>
                <w:sz w:val="18"/>
                <w:szCs w:val="18"/>
              </w:rPr>
              <w:t>布尔津县农用地基准地价制订工作</w:t>
            </w:r>
          </w:p>
        </w:tc>
        <w:tc>
          <w:tcPr>
            <w:tcW w:w="4105" w:type="pct"/>
          </w:tcPr>
          <w:p>
            <w:pPr>
              <w:numPr>
                <w:ilvl w:val="0"/>
                <w:numId w:val="4"/>
              </w:numPr>
              <w:rPr>
                <w:color w:val="auto"/>
                <w:sz w:val="18"/>
                <w:szCs w:val="18"/>
              </w:rPr>
            </w:pPr>
            <w:r>
              <w:rPr>
                <w:rFonts w:hint="eastAsia"/>
                <w:color w:val="auto"/>
                <w:sz w:val="18"/>
                <w:szCs w:val="18"/>
              </w:rPr>
              <w:t>完成布尔津县农用地定级</w:t>
            </w:r>
          </w:p>
          <w:p>
            <w:pPr>
              <w:ind w:firstLine="180" w:firstLineChars="100"/>
              <w:rPr>
                <w:color w:val="auto"/>
                <w:sz w:val="18"/>
                <w:szCs w:val="18"/>
              </w:rPr>
            </w:pPr>
            <w:r>
              <w:rPr>
                <w:rFonts w:hint="eastAsia"/>
                <w:color w:val="auto"/>
                <w:sz w:val="18"/>
                <w:szCs w:val="18"/>
              </w:rPr>
              <w:t>按照《农用地定级规程》（GB/T 28405-2012）的要求，采用计算机技术手段，对影响农用地质量的各种经济、社会、自然因素进行分析，按分类评价的差异划分级别，全面完成布尔津县农用地定级工作。</w:t>
            </w:r>
          </w:p>
          <w:p>
            <w:pPr>
              <w:numPr>
                <w:ilvl w:val="0"/>
                <w:numId w:val="4"/>
              </w:numPr>
              <w:rPr>
                <w:color w:val="auto"/>
                <w:sz w:val="18"/>
                <w:szCs w:val="18"/>
              </w:rPr>
            </w:pPr>
            <w:r>
              <w:rPr>
                <w:rFonts w:hint="eastAsia"/>
                <w:color w:val="auto"/>
                <w:sz w:val="18"/>
                <w:szCs w:val="18"/>
              </w:rPr>
              <w:t>完成布尔津县农用地基准地价评估</w:t>
            </w:r>
          </w:p>
          <w:p>
            <w:pPr>
              <w:ind w:firstLine="180" w:firstLineChars="100"/>
              <w:rPr>
                <w:color w:val="auto"/>
                <w:sz w:val="18"/>
                <w:szCs w:val="18"/>
              </w:rPr>
            </w:pPr>
            <w:r>
              <w:rPr>
                <w:rFonts w:hint="eastAsia"/>
                <w:color w:val="auto"/>
                <w:sz w:val="18"/>
                <w:szCs w:val="18"/>
              </w:rPr>
              <w:t>根据外业调查资料，在农用地定级的基础上，按照《农用地估价规程》（GB/T 28406-2012）的要求，完成耕地、林地、园地等类别农用地基准地价制订工作。</w:t>
            </w:r>
          </w:p>
          <w:p>
            <w:pPr>
              <w:numPr>
                <w:ilvl w:val="0"/>
                <w:numId w:val="4"/>
              </w:numPr>
              <w:rPr>
                <w:color w:val="auto"/>
                <w:sz w:val="18"/>
                <w:szCs w:val="18"/>
              </w:rPr>
            </w:pPr>
            <w:r>
              <w:rPr>
                <w:rFonts w:hint="eastAsia"/>
                <w:color w:val="auto"/>
                <w:sz w:val="18"/>
                <w:szCs w:val="18"/>
              </w:rPr>
              <w:t>编制农用地基准地价修正体系</w:t>
            </w:r>
          </w:p>
          <w:p>
            <w:pPr>
              <w:ind w:firstLine="180" w:firstLineChars="100"/>
              <w:rPr>
                <w:color w:val="auto"/>
                <w:sz w:val="18"/>
                <w:szCs w:val="18"/>
              </w:rPr>
            </w:pPr>
            <w:r>
              <w:rPr>
                <w:rFonts w:hint="eastAsia"/>
                <w:color w:val="auto"/>
                <w:sz w:val="18"/>
                <w:szCs w:val="18"/>
              </w:rPr>
              <w:t>在定级估价的基础上，按照《农用地估价规程》（GB/T 28406-2012）对基准地价修正系数表、农用地价格影响因素表编制的规定，选择对农用地价格影响较大的自然因素、社会经济因素和特殊因素等，结合农用地定级指数模型，编制农用地基准地价修正系数表。</w:t>
            </w:r>
          </w:p>
          <w:p>
            <w:pPr>
              <w:pStyle w:val="5"/>
              <w:rPr>
                <w:color w:val="auto"/>
                <w:sz w:val="13"/>
                <w:szCs w:val="11"/>
              </w:rPr>
            </w:pPr>
          </w:p>
        </w:tc>
      </w:tr>
    </w:tbl>
    <w:p>
      <w:pPr>
        <w:pStyle w:val="47"/>
        <w:spacing w:line="360" w:lineRule="auto"/>
        <w:ind w:firstLine="560"/>
        <w:rPr>
          <w:rFonts w:asciiTheme="majorEastAsia" w:hAnsiTheme="majorEastAsia" w:eastAsiaTheme="majorEastAsia" w:cstheme="majorEastAsia"/>
          <w:bCs/>
          <w:color w:val="auto"/>
          <w:szCs w:val="28"/>
        </w:rPr>
      </w:pPr>
    </w:p>
    <w:p>
      <w:pPr>
        <w:pStyle w:val="3"/>
        <w:rPr>
          <w:rFonts w:asciiTheme="majorEastAsia" w:hAnsiTheme="majorEastAsia" w:eastAsiaTheme="majorEastAsia" w:cstheme="majorEastAsia"/>
          <w:color w:val="auto"/>
        </w:rPr>
      </w:pPr>
    </w:p>
    <w:p>
      <w:pPr>
        <w:rPr>
          <w:rFonts w:asciiTheme="majorEastAsia" w:hAnsiTheme="majorEastAsia" w:eastAsiaTheme="majorEastAsia" w:cstheme="majorEastAsia"/>
          <w:color w:val="auto"/>
        </w:rPr>
      </w:pPr>
    </w:p>
    <w:p>
      <w:pPr>
        <w:pStyle w:val="14"/>
        <w:rPr>
          <w:rFonts w:asciiTheme="majorEastAsia" w:hAnsiTheme="majorEastAsia" w:eastAsiaTheme="majorEastAsia" w:cstheme="majorEastAsia"/>
          <w:color w:val="auto"/>
        </w:rPr>
      </w:pPr>
    </w:p>
    <w:p>
      <w:pPr>
        <w:pStyle w:val="14"/>
        <w:rPr>
          <w:rFonts w:asciiTheme="majorEastAsia" w:hAnsiTheme="majorEastAsia" w:eastAsiaTheme="majorEastAsia" w:cstheme="majorEastAsia"/>
          <w:color w:val="auto"/>
        </w:rPr>
      </w:pPr>
    </w:p>
    <w:p>
      <w:pPr>
        <w:pStyle w:val="3"/>
        <w:jc w:val="center"/>
        <w:rPr>
          <w:rFonts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rPr>
        <w:t>十、竞争性谈判响应文件格式</w:t>
      </w:r>
    </w:p>
    <w:p>
      <w:pPr>
        <w:rPr>
          <w:rFonts w:asciiTheme="majorEastAsia" w:hAnsiTheme="majorEastAsia" w:eastAsiaTheme="majorEastAsia" w:cstheme="majorEastAsia"/>
          <w:color w:val="auto"/>
          <w:sz w:val="28"/>
          <w:szCs w:val="36"/>
          <w:u w:val="single"/>
        </w:rPr>
      </w:pPr>
      <w:r>
        <w:rPr>
          <w:rFonts w:hint="eastAsia" w:asciiTheme="majorEastAsia" w:hAnsiTheme="majorEastAsia" w:eastAsiaTheme="majorEastAsia" w:cstheme="majorEastAsia"/>
          <w:color w:val="auto"/>
          <w:sz w:val="28"/>
          <w:szCs w:val="36"/>
          <w:u w:val="single"/>
        </w:rPr>
        <w:t>竞争性谈判响应文件封面示例</w:t>
      </w:r>
    </w:p>
    <w:p>
      <w:pPr>
        <w:jc w:val="right"/>
        <w:rPr>
          <w:rFonts w:asciiTheme="majorEastAsia" w:hAnsiTheme="majorEastAsia" w:eastAsiaTheme="majorEastAsia" w:cstheme="majorEastAsia"/>
          <w:b/>
          <w:color w:val="auto"/>
          <w:sz w:val="30"/>
          <w:szCs w:val="30"/>
        </w:rPr>
      </w:pPr>
      <w:r>
        <w:rPr>
          <w:rFonts w:hint="eastAsia" w:asciiTheme="majorEastAsia" w:hAnsiTheme="majorEastAsia" w:eastAsiaTheme="majorEastAsia" w:cstheme="majorEastAsia"/>
          <w:b/>
          <w:color w:val="auto"/>
          <w:sz w:val="30"/>
          <w:szCs w:val="30"/>
          <w:bdr w:val="single" w:color="auto" w:sz="4" w:space="0"/>
        </w:rPr>
        <w:t>正本</w:t>
      </w:r>
    </w:p>
    <w:p>
      <w:pPr>
        <w:jc w:val="center"/>
        <w:rPr>
          <w:rFonts w:asciiTheme="majorEastAsia" w:hAnsiTheme="majorEastAsia" w:eastAsiaTheme="majorEastAsia" w:cstheme="majorEastAsia"/>
          <w:b/>
          <w:color w:val="auto"/>
          <w:sz w:val="36"/>
          <w:szCs w:val="36"/>
        </w:rPr>
      </w:pPr>
    </w:p>
    <w:p>
      <w:pPr>
        <w:rPr>
          <w:rFonts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项目名称：</w:t>
      </w:r>
    </w:p>
    <w:p>
      <w:pPr>
        <w:jc w:val="center"/>
        <w:rPr>
          <w:rFonts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竞 争 性 谈 判 响 应 文 件</w:t>
      </w:r>
    </w:p>
    <w:p>
      <w:pPr>
        <w:pStyle w:val="24"/>
        <w:rPr>
          <w:rFonts w:hint="default"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pStyle w:val="24"/>
        <w:rPr>
          <w:rFonts w:hint="default" w:asciiTheme="majorEastAsia" w:hAnsiTheme="majorEastAsia" w:eastAsiaTheme="majorEastAsia" w:cstheme="majorEastAsia"/>
          <w:b/>
          <w:color w:val="auto"/>
          <w:sz w:val="44"/>
          <w:szCs w:val="44"/>
        </w:rPr>
      </w:pPr>
    </w:p>
    <w:p>
      <w:pPr>
        <w:ind w:firstLine="640" w:firstLineChars="200"/>
        <w:rPr>
          <w:rFonts w:asciiTheme="majorEastAsia" w:hAnsiTheme="majorEastAsia" w:eastAsiaTheme="majorEastAsia" w:cstheme="majorEastAsia"/>
          <w:color w:val="auto"/>
          <w:sz w:val="32"/>
          <w:szCs w:val="32"/>
        </w:rPr>
      </w:pPr>
    </w:p>
    <w:p>
      <w:pPr>
        <w:ind w:firstLine="640" w:firstLineChars="20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sz w:val="32"/>
          <w:szCs w:val="32"/>
        </w:rPr>
        <w:t xml:space="preserve"> </w:t>
      </w:r>
      <w:r>
        <w:rPr>
          <w:rFonts w:hint="eastAsia" w:asciiTheme="majorEastAsia" w:hAnsiTheme="majorEastAsia" w:eastAsiaTheme="majorEastAsia" w:cstheme="majorEastAsia"/>
          <w:b/>
          <w:color w:val="auto"/>
          <w:sz w:val="32"/>
          <w:szCs w:val="32"/>
        </w:rPr>
        <w:t xml:space="preserve">投标人名称： </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b/>
          <w:color w:val="auto"/>
          <w:sz w:val="32"/>
          <w:szCs w:val="32"/>
        </w:rPr>
        <w:t>（盖单位章）</w:t>
      </w:r>
    </w:p>
    <w:p>
      <w:pPr>
        <w:rPr>
          <w:rFonts w:asciiTheme="majorEastAsia" w:hAnsiTheme="majorEastAsia" w:eastAsiaTheme="majorEastAsia" w:cstheme="majorEastAsia"/>
          <w:b/>
          <w:color w:val="auto"/>
          <w:sz w:val="32"/>
          <w:szCs w:val="32"/>
        </w:rPr>
      </w:pPr>
    </w:p>
    <w:p>
      <w:pP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 xml:space="preserve">     法定代表人：（签字、盖章） </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b/>
          <w:color w:val="auto"/>
          <w:sz w:val="32"/>
          <w:szCs w:val="32"/>
        </w:rPr>
      </w:pPr>
    </w:p>
    <w:p>
      <w:pP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 xml:space="preserve">     单位地址：</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b/>
          <w:color w:val="auto"/>
          <w:sz w:val="32"/>
          <w:szCs w:val="32"/>
        </w:rPr>
      </w:pPr>
    </w:p>
    <w:p>
      <w:pPr>
        <w:ind w:firstLine="803" w:firstLineChars="250"/>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邮政编码：</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b/>
          <w:color w:val="auto"/>
          <w:sz w:val="32"/>
          <w:szCs w:val="32"/>
        </w:rPr>
      </w:pPr>
    </w:p>
    <w:p>
      <w:pP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 xml:space="preserve">     联 系 人：</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b/>
          <w:color w:val="auto"/>
          <w:sz w:val="32"/>
          <w:szCs w:val="32"/>
        </w:rPr>
      </w:pPr>
    </w:p>
    <w:p>
      <w:pPr>
        <w:ind w:firstLine="848" w:firstLineChars="264"/>
        <w:rPr>
          <w:rFonts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b/>
          <w:color w:val="auto"/>
          <w:sz w:val="32"/>
          <w:szCs w:val="32"/>
        </w:rPr>
        <w:t>联系电话：</w:t>
      </w:r>
      <w:r>
        <w:rPr>
          <w:rFonts w:hint="eastAsia" w:asciiTheme="majorEastAsia" w:hAnsiTheme="majorEastAsia" w:eastAsiaTheme="majorEastAsia" w:cstheme="majorEastAsia"/>
          <w:color w:val="auto"/>
          <w:sz w:val="28"/>
          <w:szCs w:val="28"/>
          <w:u w:val="single"/>
        </w:rPr>
        <w:t xml:space="preserve">                                        </w:t>
      </w:r>
    </w:p>
    <w:p>
      <w:pPr>
        <w:ind w:firstLine="739" w:firstLineChars="264"/>
        <w:rPr>
          <w:rFonts w:asciiTheme="majorEastAsia" w:hAnsiTheme="majorEastAsia" w:eastAsiaTheme="majorEastAsia" w:cstheme="majorEastAsia"/>
          <w:color w:val="auto"/>
          <w:sz w:val="28"/>
          <w:szCs w:val="28"/>
          <w:u w:val="single"/>
        </w:rPr>
      </w:pPr>
    </w:p>
    <w:p>
      <w:pPr>
        <w:ind w:firstLine="848" w:firstLineChars="264"/>
        <w:rPr>
          <w:rFonts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b/>
          <w:color w:val="auto"/>
          <w:sz w:val="32"/>
          <w:szCs w:val="32"/>
        </w:rPr>
        <w:t xml:space="preserve"> 日期：</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b/>
          <w:color w:val="auto"/>
          <w:sz w:val="32"/>
          <w:szCs w:val="32"/>
        </w:rPr>
        <w:t xml:space="preserve">年 </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b/>
          <w:color w:val="auto"/>
          <w:sz w:val="32"/>
          <w:szCs w:val="32"/>
        </w:rPr>
        <w:t>月</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b/>
          <w:color w:val="auto"/>
          <w:sz w:val="32"/>
          <w:szCs w:val="32"/>
        </w:rPr>
        <w:t>日</w:t>
      </w:r>
    </w:p>
    <w:p>
      <w:pPr>
        <w:ind w:firstLine="1080" w:firstLineChars="300"/>
        <w:jc w:val="center"/>
        <w:rPr>
          <w:rFonts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rPr>
        <w:t>目     录</w:t>
      </w:r>
    </w:p>
    <w:p>
      <w:pPr>
        <w:ind w:firstLine="840" w:firstLineChars="30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kern w:val="0"/>
          <w:sz w:val="28"/>
        </w:rPr>
        <w:t>投标承诺书（一）、（二）</w:t>
      </w:r>
    </w:p>
    <w:p>
      <w:pPr>
        <w:pStyle w:val="24"/>
        <w:ind w:firstLine="840" w:firstLineChars="300"/>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sz w:val="28"/>
          <w:szCs w:val="28"/>
        </w:rPr>
        <w:t>（2）投标报价单</w:t>
      </w:r>
    </w:p>
    <w:p>
      <w:pPr>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（3）法人代表证明书附法定代表人身份证正反面</w:t>
      </w:r>
      <w:r>
        <w:rPr>
          <w:rFonts w:hint="eastAsia" w:asciiTheme="majorEastAsia" w:hAnsiTheme="majorEastAsia" w:eastAsiaTheme="majorEastAsia" w:cstheme="majorEastAsia"/>
          <w:color w:val="auto"/>
          <w:kern w:val="0"/>
          <w:sz w:val="28"/>
        </w:rPr>
        <w:t>复印件</w:t>
      </w:r>
    </w:p>
    <w:p>
      <w:pPr>
        <w:ind w:firstLine="840" w:firstLineChars="30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sz w:val="28"/>
          <w:szCs w:val="28"/>
        </w:rPr>
        <w:t>（4）</w:t>
      </w:r>
      <w:r>
        <w:rPr>
          <w:rFonts w:hint="eastAsia" w:asciiTheme="majorEastAsia" w:hAnsiTheme="majorEastAsia" w:eastAsiaTheme="majorEastAsia" w:cstheme="majorEastAsia"/>
          <w:color w:val="auto"/>
          <w:kern w:val="0"/>
          <w:sz w:val="28"/>
        </w:rPr>
        <w:t>法定代表授权委托书及身份证</w:t>
      </w:r>
      <w:r>
        <w:rPr>
          <w:rFonts w:hint="eastAsia" w:asciiTheme="majorEastAsia" w:hAnsiTheme="majorEastAsia" w:eastAsiaTheme="majorEastAsia" w:cstheme="majorEastAsia"/>
          <w:color w:val="auto"/>
          <w:sz w:val="28"/>
          <w:szCs w:val="28"/>
        </w:rPr>
        <w:t>正反面</w:t>
      </w:r>
      <w:r>
        <w:rPr>
          <w:rFonts w:hint="eastAsia" w:asciiTheme="majorEastAsia" w:hAnsiTheme="majorEastAsia" w:eastAsiaTheme="majorEastAsia" w:cstheme="majorEastAsia"/>
          <w:color w:val="auto"/>
          <w:kern w:val="0"/>
          <w:sz w:val="28"/>
        </w:rPr>
        <w:t>复印件</w:t>
      </w:r>
    </w:p>
    <w:p>
      <w:pPr>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（5）投标保证金收据</w:t>
      </w:r>
    </w:p>
    <w:p>
      <w:pPr>
        <w:pStyle w:val="24"/>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sz w:val="28"/>
          <w:szCs w:val="28"/>
        </w:rPr>
        <w:t xml:space="preserve">      （6）投标保证金收据复印件、汇款凭证复印件、开户许可证复印件</w:t>
      </w:r>
    </w:p>
    <w:p>
      <w:pPr>
        <w:ind w:firstLine="840" w:firstLineChars="30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kern w:val="0"/>
          <w:sz w:val="28"/>
        </w:rPr>
        <w:t>（7）项目负责人简历表；</w:t>
      </w:r>
    </w:p>
    <w:p>
      <w:pPr>
        <w:ind w:firstLine="840" w:firstLineChars="30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kern w:val="0"/>
          <w:sz w:val="28"/>
        </w:rPr>
        <w:t>（8）本项目专业人员配置表；</w:t>
      </w:r>
    </w:p>
    <w:p>
      <w:pPr>
        <w:ind w:firstLine="840" w:firstLineChars="30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kern w:val="0"/>
          <w:sz w:val="28"/>
        </w:rPr>
        <w:t>（9）近三年类似项目业绩表（附中标通知书或合同协议书）</w:t>
      </w:r>
    </w:p>
    <w:p>
      <w:pPr>
        <w:pStyle w:val="24"/>
        <w:ind w:left="1120" w:hanging="1120" w:hangingChars="400"/>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sz w:val="28"/>
        </w:rPr>
        <w:t xml:space="preserve">      （10）近一年财务状况（附财务会计报表或资产负债表或损益表的复印件）</w:t>
      </w:r>
    </w:p>
    <w:p>
      <w:pPr>
        <w:ind w:left="1540" w:leftChars="400" w:hanging="700" w:hangingChars="25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（11）投标人概况（企业简介及营业执照、资质证书等资格证明文件，加盖公章）</w:t>
      </w:r>
    </w:p>
    <w:p>
      <w:pPr>
        <w:ind w:left="1540" w:leftChars="400" w:hanging="700" w:hangingChars="250"/>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sz w:val="28"/>
          <w:szCs w:val="28"/>
        </w:rPr>
        <w:t>（12）</w:t>
      </w:r>
      <w:r>
        <w:rPr>
          <w:rFonts w:hint="eastAsia" w:asciiTheme="majorEastAsia" w:hAnsiTheme="majorEastAsia" w:eastAsiaTheme="majorEastAsia" w:cstheme="majorEastAsia"/>
          <w:color w:val="auto"/>
          <w:kern w:val="0"/>
          <w:sz w:val="28"/>
        </w:rPr>
        <w:t>编制方案</w:t>
      </w:r>
    </w:p>
    <w:p>
      <w:pPr>
        <w:pStyle w:val="24"/>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sz w:val="28"/>
        </w:rPr>
        <w:t xml:space="preserve">       (13)对编制工作进行决策咨询及合理性建议</w:t>
      </w:r>
    </w:p>
    <w:p>
      <w:pPr>
        <w:ind w:left="1540" w:leftChars="400" w:hanging="700" w:hangingChars="25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（14）项目工期是否合理并满足招标人的要求，工作进度安排合理</w:t>
      </w:r>
    </w:p>
    <w:p>
      <w:pPr>
        <w:ind w:left="1540" w:leftChars="400" w:hanging="700" w:hangingChars="25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 合理、可行的质量保证体系措施</w:t>
      </w:r>
    </w:p>
    <w:p>
      <w:pPr>
        <w:ind w:left="1540" w:leftChars="400" w:hanging="700" w:hangingChars="250"/>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color w:val="auto"/>
          <w:sz w:val="28"/>
          <w:szCs w:val="28"/>
        </w:rPr>
        <w:t xml:space="preserve">（16） </w:t>
      </w:r>
      <w:r>
        <w:rPr>
          <w:rFonts w:hint="eastAsia" w:asciiTheme="majorEastAsia" w:hAnsiTheme="majorEastAsia" w:eastAsiaTheme="majorEastAsia" w:cstheme="majorEastAsia"/>
          <w:bCs/>
          <w:color w:val="auto"/>
          <w:kern w:val="0"/>
          <w:sz w:val="28"/>
          <w:szCs w:val="28"/>
        </w:rPr>
        <w:t>提供本项目工作的相关人员具体任务的安排能保证项目顺利进行</w:t>
      </w:r>
    </w:p>
    <w:p>
      <w:pPr>
        <w:ind w:left="1540" w:leftChars="400" w:hanging="700" w:hangingChars="250"/>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color w:val="auto"/>
          <w:sz w:val="28"/>
          <w:szCs w:val="28"/>
        </w:rPr>
        <w:t xml:space="preserve">（17） </w:t>
      </w:r>
      <w:r>
        <w:rPr>
          <w:rFonts w:hint="eastAsia" w:asciiTheme="majorEastAsia" w:hAnsiTheme="majorEastAsia" w:eastAsiaTheme="majorEastAsia" w:cstheme="majorEastAsia"/>
          <w:bCs/>
          <w:color w:val="auto"/>
          <w:kern w:val="0"/>
          <w:sz w:val="28"/>
          <w:szCs w:val="28"/>
        </w:rPr>
        <w:t>服务承诺</w:t>
      </w:r>
    </w:p>
    <w:p>
      <w:pPr>
        <w:ind w:left="1540" w:leftChars="400" w:hanging="700" w:hangingChars="250"/>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color w:val="auto"/>
          <w:sz w:val="28"/>
          <w:szCs w:val="28"/>
        </w:rPr>
        <w:t>（18）</w:t>
      </w:r>
      <w:r>
        <w:rPr>
          <w:rFonts w:hint="eastAsia" w:asciiTheme="majorEastAsia" w:hAnsiTheme="majorEastAsia" w:eastAsiaTheme="majorEastAsia" w:cstheme="majorEastAsia"/>
          <w:bCs/>
          <w:color w:val="auto"/>
          <w:kern w:val="0"/>
          <w:sz w:val="28"/>
          <w:szCs w:val="28"/>
        </w:rPr>
        <w:t xml:space="preserve"> 其它资料</w:t>
      </w:r>
    </w:p>
    <w:p>
      <w:pPr>
        <w:rPr>
          <w:rFonts w:asciiTheme="majorEastAsia" w:hAnsiTheme="majorEastAsia" w:eastAsiaTheme="majorEastAsia" w:cstheme="majorEastAsia"/>
          <w:bCs/>
          <w:color w:val="auto"/>
          <w:kern w:val="0"/>
          <w:sz w:val="28"/>
          <w:szCs w:val="28"/>
        </w:rPr>
      </w:pPr>
    </w:p>
    <w:p>
      <w:pPr>
        <w:pStyle w:val="24"/>
        <w:rPr>
          <w:rFonts w:hint="default" w:asciiTheme="majorEastAsia" w:hAnsiTheme="majorEastAsia" w:eastAsiaTheme="majorEastAsia" w:cstheme="majorEastAsia"/>
          <w:color w:val="auto"/>
        </w:rPr>
      </w:pP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z w:val="36"/>
          <w:szCs w:val="32"/>
        </w:rPr>
        <w:t>（一）、投标承诺书</w:t>
      </w:r>
    </w:p>
    <w:p>
      <w:pPr>
        <w:jc w:val="left"/>
        <w:rPr>
          <w:rFonts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招标人：</w:t>
      </w:r>
      <w:r>
        <w:rPr>
          <w:rFonts w:hint="eastAsia" w:asciiTheme="majorEastAsia" w:hAnsiTheme="majorEastAsia" w:eastAsiaTheme="majorEastAsia" w:cstheme="majorEastAsia"/>
          <w:color w:val="auto"/>
          <w:sz w:val="28"/>
          <w:szCs w:val="28"/>
          <w:u w:val="single"/>
        </w:rPr>
        <w:t xml:space="preserve">                 </w:t>
      </w:r>
    </w:p>
    <w:p>
      <w:pPr>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1、根据已收到的</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项目的竞争性谈判文件，我单位经考察现场和研究贵方的竞争性谈判文件后，将接受该项目竞争性谈判文件中各条款内容并且以所报投标价格承包本招标范围内的</w:t>
      </w:r>
      <w:r>
        <w:rPr>
          <w:rFonts w:hint="eastAsia" w:asciiTheme="majorEastAsia" w:hAnsiTheme="majorEastAsia" w:eastAsiaTheme="majorEastAsia" w:cstheme="majorEastAsia"/>
          <w:bCs/>
          <w:color w:val="auto"/>
          <w:kern w:val="0"/>
          <w:sz w:val="28"/>
          <w:szCs w:val="28"/>
        </w:rPr>
        <w:t>规划编制</w:t>
      </w:r>
      <w:r>
        <w:rPr>
          <w:rFonts w:hint="eastAsia" w:asciiTheme="majorEastAsia" w:hAnsiTheme="majorEastAsia" w:eastAsiaTheme="majorEastAsia" w:cstheme="majorEastAsia"/>
          <w:color w:val="auto"/>
          <w:sz w:val="28"/>
          <w:szCs w:val="28"/>
        </w:rPr>
        <w:t>。</w:t>
      </w:r>
    </w:p>
    <w:p>
      <w:pPr>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28"/>
        </w:rPr>
        <w:t>2、如果我方中标，非业主原因，</w:t>
      </w:r>
      <w:r>
        <w:rPr>
          <w:rFonts w:hint="eastAsia" w:asciiTheme="majorEastAsia" w:hAnsiTheme="majorEastAsia" w:eastAsiaTheme="majorEastAsia" w:cstheme="majorEastAsia"/>
          <w:color w:val="auto"/>
          <w:sz w:val="28"/>
          <w:szCs w:val="32"/>
        </w:rPr>
        <w:t>我方保证在在</w:t>
      </w:r>
      <w:r>
        <w:rPr>
          <w:rFonts w:hint="eastAsia" w:asciiTheme="majorEastAsia" w:hAnsiTheme="majorEastAsia" w:eastAsiaTheme="majorEastAsia" w:cstheme="majorEastAsia"/>
          <w:color w:val="auto"/>
          <w:sz w:val="28"/>
          <w:szCs w:val="32"/>
          <w:u w:val="single"/>
        </w:rPr>
        <w:t xml:space="preserve">         </w:t>
      </w:r>
      <w:r>
        <w:rPr>
          <w:rFonts w:hint="eastAsia" w:asciiTheme="majorEastAsia" w:hAnsiTheme="majorEastAsia" w:eastAsiaTheme="majorEastAsia" w:cstheme="majorEastAsia"/>
          <w:color w:val="auto"/>
          <w:sz w:val="28"/>
          <w:szCs w:val="32"/>
        </w:rPr>
        <w:t>日（日历日）内完成本项目</w:t>
      </w:r>
      <w:r>
        <w:rPr>
          <w:rFonts w:hint="eastAsia" w:asciiTheme="majorEastAsia" w:hAnsiTheme="majorEastAsia" w:eastAsiaTheme="majorEastAsia" w:cstheme="majorEastAsia"/>
          <w:bCs/>
          <w:color w:val="auto"/>
          <w:kern w:val="0"/>
          <w:sz w:val="28"/>
          <w:szCs w:val="28"/>
        </w:rPr>
        <w:t>规划编制</w:t>
      </w:r>
      <w:r>
        <w:rPr>
          <w:rFonts w:hint="eastAsia" w:asciiTheme="majorEastAsia" w:hAnsiTheme="majorEastAsia" w:eastAsiaTheme="majorEastAsia" w:cstheme="majorEastAsia"/>
          <w:color w:val="auto"/>
          <w:sz w:val="28"/>
          <w:szCs w:val="32"/>
        </w:rPr>
        <w:t>；</w:t>
      </w:r>
    </w:p>
    <w:p>
      <w:pPr>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r>
        <w:rPr>
          <w:rFonts w:hint="eastAsia" w:asciiTheme="majorEastAsia" w:hAnsiTheme="majorEastAsia" w:eastAsiaTheme="majorEastAsia" w:cstheme="majorEastAsia"/>
          <w:color w:val="auto"/>
          <w:sz w:val="28"/>
          <w:szCs w:val="32"/>
        </w:rPr>
        <w:t>如果我方中标，我方保证按照贵方要求的质量标准完成本本项目</w:t>
      </w:r>
      <w:r>
        <w:rPr>
          <w:rFonts w:hint="eastAsia" w:asciiTheme="majorEastAsia" w:hAnsiTheme="majorEastAsia" w:eastAsiaTheme="majorEastAsia" w:cstheme="majorEastAsia"/>
          <w:bCs/>
          <w:color w:val="auto"/>
          <w:kern w:val="0"/>
          <w:sz w:val="28"/>
          <w:szCs w:val="28"/>
        </w:rPr>
        <w:t>规划编制</w:t>
      </w:r>
      <w:r>
        <w:rPr>
          <w:rFonts w:hint="eastAsia" w:asciiTheme="majorEastAsia" w:hAnsiTheme="majorEastAsia" w:eastAsiaTheme="majorEastAsia" w:cstheme="majorEastAsia"/>
          <w:color w:val="auto"/>
          <w:sz w:val="28"/>
          <w:szCs w:val="32"/>
        </w:rPr>
        <w:t>；</w:t>
      </w:r>
      <w:r>
        <w:rPr>
          <w:rFonts w:hint="eastAsia" w:asciiTheme="majorEastAsia" w:hAnsiTheme="majorEastAsia" w:eastAsiaTheme="majorEastAsia" w:cstheme="majorEastAsia"/>
          <w:color w:val="auto"/>
          <w:sz w:val="28"/>
          <w:szCs w:val="28"/>
        </w:rPr>
        <w:t xml:space="preserve">    </w:t>
      </w:r>
    </w:p>
    <w:p>
      <w:pPr>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4、如果我方中标，我方将按竞争性谈判文件规定的时间内签订承包合同。如果我方违约，除投标保证金外，我方还将以中标价</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 xml:space="preserve"> %作为赔偿金，同时贵方有权终止我方中标并选择其它中标人。</w:t>
      </w:r>
    </w:p>
    <w:p>
      <w:pPr>
        <w:ind w:firstLine="420" w:firstLineChars="15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5、贵方的竞争性谈判文件、中标通知书、我方的竞争性谈判响应文件将构成约束双方的合同一部分。</w:t>
      </w:r>
    </w:p>
    <w:p>
      <w:pPr>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6、如果我方未中标，贵方没有必要对我方做出任何解释和说明，我方将充分尊重和理解贵方的选择。</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法定代表人（签字并盖章）：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授权代理人（签字或盖章）：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p>
    <w:p>
      <w:pPr>
        <w:jc w:val="center"/>
        <w:rPr>
          <w:rFonts w:asciiTheme="majorEastAsia" w:hAnsiTheme="majorEastAsia" w:eastAsiaTheme="majorEastAsia" w:cstheme="majorEastAsia"/>
          <w:b/>
          <w:bCs/>
          <w:color w:val="auto"/>
          <w:sz w:val="36"/>
          <w:szCs w:val="36"/>
        </w:rPr>
      </w:pPr>
    </w:p>
    <w:p>
      <w:pPr>
        <w:pStyle w:val="24"/>
        <w:rPr>
          <w:rFonts w:hint="default" w:asciiTheme="majorEastAsia" w:hAnsiTheme="majorEastAsia" w:eastAsiaTheme="majorEastAsia" w:cstheme="majorEastAsia"/>
          <w:b/>
          <w:bCs/>
          <w:color w:val="auto"/>
          <w:sz w:val="36"/>
          <w:szCs w:val="36"/>
        </w:rPr>
      </w:pPr>
    </w:p>
    <w:p>
      <w:pPr>
        <w:jc w:val="center"/>
        <w:rPr>
          <w:rFonts w:asciiTheme="majorEastAsia" w:hAnsiTheme="majorEastAsia" w:eastAsiaTheme="majorEastAsia" w:cstheme="majorEastAsia"/>
          <w:b/>
          <w:bCs/>
          <w:color w:val="auto"/>
          <w:sz w:val="36"/>
          <w:szCs w:val="32"/>
        </w:rPr>
      </w:pPr>
      <w:r>
        <w:rPr>
          <w:rFonts w:hint="eastAsia" w:asciiTheme="majorEastAsia" w:hAnsiTheme="majorEastAsia" w:eastAsiaTheme="majorEastAsia" w:cstheme="majorEastAsia"/>
          <w:b/>
          <w:bCs/>
          <w:color w:val="auto"/>
          <w:sz w:val="36"/>
          <w:szCs w:val="32"/>
        </w:rPr>
        <w:t>（二）、投标承诺书</w:t>
      </w:r>
    </w:p>
    <w:p>
      <w:pPr>
        <w:rPr>
          <w:rFonts w:asciiTheme="majorEastAsia" w:hAnsiTheme="majorEastAsia" w:eastAsiaTheme="majorEastAsia" w:cstheme="majorEastAsia"/>
          <w:b/>
          <w:bCs/>
          <w:color w:val="auto"/>
          <w:sz w:val="28"/>
          <w:szCs w:val="28"/>
          <w:u w:val="single"/>
        </w:rPr>
      </w:pPr>
      <w:r>
        <w:rPr>
          <w:rFonts w:hint="eastAsia" w:asciiTheme="majorEastAsia" w:hAnsiTheme="majorEastAsia" w:eastAsiaTheme="majorEastAsia" w:cstheme="majorEastAsia"/>
          <w:b/>
          <w:bCs/>
          <w:color w:val="auto"/>
          <w:sz w:val="28"/>
          <w:szCs w:val="28"/>
        </w:rPr>
        <w:t>致（招标人）：</w:t>
      </w:r>
      <w:r>
        <w:rPr>
          <w:rFonts w:hint="eastAsia" w:asciiTheme="majorEastAsia" w:hAnsiTheme="majorEastAsia" w:eastAsiaTheme="majorEastAsia" w:cstheme="majorEastAsia"/>
          <w:b/>
          <w:bCs/>
          <w:color w:val="auto"/>
          <w:sz w:val="28"/>
          <w:szCs w:val="28"/>
          <w:u w:val="single"/>
        </w:rPr>
        <w:t xml:space="preserve">                                           </w:t>
      </w:r>
    </w:p>
    <w:p>
      <w:pPr>
        <w:ind w:firstLine="560" w:firstLineChars="200"/>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如果我方中标，担任本项目项目负责人为：</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692"/>
        <w:gridCol w:w="1135"/>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4" w:type="dxa"/>
            <w:vAlign w:val="center"/>
          </w:tcPr>
          <w:p>
            <w:pP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姓  名</w:t>
            </w:r>
          </w:p>
        </w:tc>
        <w:tc>
          <w:tcPr>
            <w:tcW w:w="2692" w:type="dxa"/>
            <w:vAlign w:val="center"/>
          </w:tcPr>
          <w:p>
            <w:pPr>
              <w:jc w:val="center"/>
              <w:rPr>
                <w:rFonts w:asciiTheme="majorEastAsia" w:hAnsiTheme="majorEastAsia" w:eastAsiaTheme="majorEastAsia" w:cstheme="majorEastAsia"/>
                <w:bCs/>
                <w:color w:val="auto"/>
                <w:sz w:val="28"/>
                <w:szCs w:val="28"/>
              </w:rPr>
            </w:pPr>
          </w:p>
        </w:tc>
        <w:tc>
          <w:tcPr>
            <w:tcW w:w="1135" w:type="dxa"/>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职  称</w:t>
            </w:r>
          </w:p>
        </w:tc>
        <w:tc>
          <w:tcPr>
            <w:tcW w:w="3793" w:type="dxa"/>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vAlign w:val="center"/>
          </w:tcPr>
          <w:p>
            <w:pP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资格等级</w:t>
            </w:r>
          </w:p>
        </w:tc>
        <w:tc>
          <w:tcPr>
            <w:tcW w:w="2692" w:type="dxa"/>
            <w:vAlign w:val="center"/>
          </w:tcPr>
          <w:p>
            <w:pPr>
              <w:jc w:val="center"/>
              <w:rPr>
                <w:rFonts w:asciiTheme="majorEastAsia" w:hAnsiTheme="majorEastAsia" w:eastAsiaTheme="majorEastAsia" w:cstheme="majorEastAsia"/>
                <w:bCs/>
                <w:color w:val="auto"/>
                <w:sz w:val="28"/>
                <w:szCs w:val="28"/>
              </w:rPr>
            </w:pPr>
          </w:p>
        </w:tc>
        <w:tc>
          <w:tcPr>
            <w:tcW w:w="1135" w:type="dxa"/>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证书号</w:t>
            </w:r>
          </w:p>
        </w:tc>
        <w:tc>
          <w:tcPr>
            <w:tcW w:w="3793" w:type="dxa"/>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vAlign w:val="center"/>
          </w:tcPr>
          <w:p>
            <w:pP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身份证号码</w:t>
            </w:r>
          </w:p>
        </w:tc>
        <w:tc>
          <w:tcPr>
            <w:tcW w:w="7620" w:type="dxa"/>
            <w:gridSpan w:val="3"/>
            <w:vAlign w:val="center"/>
          </w:tcPr>
          <w:p>
            <w:pPr>
              <w:rPr>
                <w:rFonts w:asciiTheme="majorEastAsia" w:hAnsiTheme="majorEastAsia" w:eastAsiaTheme="majorEastAsia" w:cstheme="majorEastAsia"/>
                <w:bCs/>
                <w:color w:val="auto"/>
                <w:sz w:val="28"/>
                <w:szCs w:val="28"/>
              </w:rPr>
            </w:pPr>
          </w:p>
        </w:tc>
      </w:tr>
    </w:tbl>
    <w:p>
      <w:pPr>
        <w:ind w:firstLine="560" w:firstLineChars="200"/>
        <w:rPr>
          <w:rFonts w:asciiTheme="majorEastAsia" w:hAnsiTheme="majorEastAsia" w:eastAsiaTheme="majorEastAsia" w:cstheme="majorEastAsia"/>
          <w:bCs/>
          <w:color w:val="auto"/>
          <w:sz w:val="28"/>
          <w:szCs w:val="28"/>
        </w:rPr>
      </w:pPr>
    </w:p>
    <w:p>
      <w:pPr>
        <w:autoSpaceDE w:val="0"/>
        <w:autoSpaceDN w:val="0"/>
        <w:adjustRightInd w:val="0"/>
        <w:jc w:val="left"/>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Cs/>
          <w:color w:val="auto"/>
          <w:kern w:val="0"/>
          <w:sz w:val="28"/>
          <w:szCs w:val="28"/>
        </w:rPr>
        <w:t xml:space="preserve">    中标后，若由于特殊原因更换</w:t>
      </w:r>
      <w:r>
        <w:rPr>
          <w:rFonts w:hint="eastAsia" w:asciiTheme="majorEastAsia" w:hAnsiTheme="majorEastAsia" w:eastAsiaTheme="majorEastAsia" w:cstheme="majorEastAsia"/>
          <w:bCs/>
          <w:color w:val="auto"/>
          <w:sz w:val="28"/>
          <w:szCs w:val="28"/>
        </w:rPr>
        <w:t>技术总负</w:t>
      </w:r>
      <w:r>
        <w:rPr>
          <w:rFonts w:hint="eastAsia" w:asciiTheme="majorEastAsia" w:hAnsiTheme="majorEastAsia" w:eastAsiaTheme="majorEastAsia" w:cstheme="majorEastAsia"/>
          <w:bCs/>
          <w:color w:val="auto"/>
          <w:kern w:val="0"/>
          <w:sz w:val="28"/>
          <w:szCs w:val="28"/>
        </w:rPr>
        <w:t>责人时，必须报招标人审察同意后，方可更换。如果未经招标人批准，我方擅自更换总负责人，我方愿以合同从的</w:t>
      </w:r>
      <w:r>
        <w:rPr>
          <w:rFonts w:hint="eastAsia" w:asciiTheme="majorEastAsia" w:hAnsiTheme="majorEastAsia" w:eastAsiaTheme="majorEastAsia" w:cstheme="majorEastAsia"/>
          <w:bCs/>
          <w:color w:val="auto"/>
          <w:kern w:val="0"/>
          <w:sz w:val="28"/>
          <w:szCs w:val="28"/>
          <w:u w:val="single"/>
        </w:rPr>
        <w:t xml:space="preserve">     </w:t>
      </w:r>
      <w:r>
        <w:rPr>
          <w:rFonts w:hint="eastAsia" w:asciiTheme="majorEastAsia" w:hAnsiTheme="majorEastAsia" w:eastAsiaTheme="majorEastAsia" w:cstheme="majorEastAsia"/>
          <w:bCs/>
          <w:color w:val="auto"/>
          <w:kern w:val="0"/>
          <w:sz w:val="28"/>
          <w:szCs w:val="28"/>
        </w:rPr>
        <w:t>%作为赔偿金。</w:t>
      </w:r>
    </w:p>
    <w:p>
      <w:pPr>
        <w:autoSpaceDE w:val="0"/>
        <w:autoSpaceDN w:val="0"/>
        <w:adjustRightInd w:val="0"/>
        <w:jc w:val="left"/>
        <w:rPr>
          <w:rFonts w:asciiTheme="majorEastAsia" w:hAnsiTheme="majorEastAsia" w:eastAsiaTheme="majorEastAsia" w:cstheme="majorEastAsia"/>
          <w:bCs/>
          <w:color w:val="auto"/>
          <w:kern w:val="0"/>
          <w:sz w:val="28"/>
          <w:szCs w:val="28"/>
        </w:rPr>
      </w:pPr>
    </w:p>
    <w:p>
      <w:pPr>
        <w:autoSpaceDE w:val="0"/>
        <w:autoSpaceDN w:val="0"/>
        <w:adjustRightInd w:val="0"/>
        <w:jc w:val="left"/>
        <w:rPr>
          <w:rFonts w:asciiTheme="majorEastAsia" w:hAnsiTheme="majorEastAsia" w:eastAsiaTheme="majorEastAsia" w:cstheme="majorEastAsia"/>
          <w:bCs/>
          <w:color w:val="auto"/>
          <w:kern w:val="0"/>
          <w:sz w:val="28"/>
          <w:szCs w:val="28"/>
        </w:rPr>
      </w:pPr>
    </w:p>
    <w:p>
      <w:pPr>
        <w:autoSpaceDE w:val="0"/>
        <w:autoSpaceDN w:val="0"/>
        <w:adjustRightInd w:val="0"/>
        <w:jc w:val="left"/>
        <w:rPr>
          <w:rFonts w:asciiTheme="majorEastAsia" w:hAnsiTheme="majorEastAsia" w:eastAsiaTheme="majorEastAsia" w:cstheme="majorEastAsia"/>
          <w:bCs/>
          <w:color w:val="auto"/>
          <w:kern w:val="0"/>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法定代表人（签字并盖章）：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授权代理人（签字或盖章）：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p>
    <w:p>
      <w:pPr>
        <w:autoSpaceDE w:val="0"/>
        <w:autoSpaceDN w:val="0"/>
        <w:adjustRightInd w:val="0"/>
        <w:jc w:val="left"/>
        <w:rPr>
          <w:rFonts w:asciiTheme="majorEastAsia" w:hAnsiTheme="majorEastAsia" w:eastAsiaTheme="majorEastAsia" w:cstheme="majorEastAsia"/>
          <w:bCs/>
          <w:color w:val="auto"/>
          <w:kern w:val="0"/>
          <w:sz w:val="28"/>
          <w:szCs w:val="28"/>
        </w:rPr>
      </w:pPr>
    </w:p>
    <w:p>
      <w:pPr>
        <w:rPr>
          <w:rFonts w:asciiTheme="majorEastAsia" w:hAnsiTheme="majorEastAsia" w:eastAsiaTheme="majorEastAsia" w:cstheme="majorEastAsia"/>
          <w:b/>
          <w:bCs/>
          <w:color w:val="auto"/>
          <w:sz w:val="36"/>
          <w:szCs w:val="32"/>
        </w:rPr>
      </w:pPr>
    </w:p>
    <w:p>
      <w:pPr>
        <w:jc w:val="center"/>
        <w:rPr>
          <w:rFonts w:asciiTheme="majorEastAsia" w:hAnsiTheme="majorEastAsia" w:eastAsiaTheme="majorEastAsia" w:cstheme="majorEastAsia"/>
          <w:b/>
          <w:color w:val="auto"/>
          <w:sz w:val="36"/>
          <w:szCs w:val="36"/>
        </w:rPr>
      </w:pPr>
    </w:p>
    <w:p>
      <w:pPr>
        <w:jc w:val="center"/>
        <w:rPr>
          <w:rFonts w:asciiTheme="majorEastAsia" w:hAnsiTheme="majorEastAsia" w:eastAsiaTheme="majorEastAsia" w:cstheme="majorEastAsia"/>
          <w:b/>
          <w:color w:val="auto"/>
          <w:sz w:val="36"/>
          <w:szCs w:val="36"/>
        </w:rPr>
      </w:pPr>
    </w:p>
    <w:p>
      <w:pPr>
        <w:pStyle w:val="24"/>
        <w:rPr>
          <w:rFonts w:hint="default"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二、报价单</w:t>
      </w:r>
    </w:p>
    <w:p>
      <w:pPr>
        <w:pStyle w:val="24"/>
        <w:rPr>
          <w:rFonts w:hint="default" w:asciiTheme="majorEastAsia" w:hAnsiTheme="majorEastAsia" w:eastAsiaTheme="majorEastAsia" w:cstheme="majorEastAsia"/>
          <w:bCs/>
          <w:color w:val="auto"/>
          <w:sz w:val="28"/>
          <w:szCs w:val="28"/>
        </w:rPr>
      </w:pPr>
      <w:r>
        <w:rPr>
          <w:rFonts w:asciiTheme="majorEastAsia" w:hAnsiTheme="majorEastAsia" w:eastAsiaTheme="majorEastAsia" w:cstheme="majorEastAsia"/>
          <w:bCs/>
          <w:color w:val="auto"/>
          <w:sz w:val="28"/>
          <w:szCs w:val="28"/>
          <w:lang w:val="zh-CN"/>
        </w:rPr>
        <w:t>项目名称：布尔津县农用地、集体建设用地基准地价、城镇标定地价评估服务项目</w:t>
      </w:r>
    </w:p>
    <w:p>
      <w:pPr>
        <w:pStyle w:val="24"/>
        <w:rPr>
          <w:rFonts w:hint="default" w:asciiTheme="majorEastAsia" w:hAnsiTheme="majorEastAsia" w:eastAsiaTheme="majorEastAsia" w:cstheme="majorEastAsia"/>
          <w:bCs/>
          <w:color w:val="auto"/>
          <w:sz w:val="28"/>
          <w:szCs w:val="28"/>
        </w:rPr>
      </w:pPr>
      <w:r>
        <w:rPr>
          <w:rFonts w:asciiTheme="majorEastAsia" w:hAnsiTheme="majorEastAsia" w:eastAsiaTheme="majorEastAsia" w:cstheme="majorEastAsia"/>
          <w:bCs/>
          <w:color w:val="auto"/>
          <w:sz w:val="28"/>
          <w:szCs w:val="28"/>
          <w:lang w:val="zh-CN"/>
        </w:rPr>
        <w:t>编号：HYZFCG-2021-020</w:t>
      </w:r>
    </w:p>
    <w:p>
      <w:pPr>
        <w:rPr>
          <w:rFonts w:asciiTheme="majorEastAsia" w:hAnsiTheme="majorEastAsia" w:eastAsiaTheme="majorEastAsia" w:cstheme="majorEastAsia"/>
          <w:color w:val="auto"/>
          <w:sz w:val="24"/>
        </w:rPr>
      </w:pPr>
    </w:p>
    <w:tbl>
      <w:tblPr>
        <w:tblStyle w:val="18"/>
        <w:tblW w:w="103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2"/>
        <w:gridCol w:w="3028"/>
        <w:gridCol w:w="2207"/>
        <w:gridCol w:w="1980"/>
        <w:gridCol w:w="1290"/>
        <w:gridCol w:w="11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8" w:hRule="exact"/>
          <w:jc w:val="center"/>
        </w:trPr>
        <w:tc>
          <w:tcPr>
            <w:tcW w:w="622" w:type="dxa"/>
            <w:tcBorders>
              <w:right w:val="single" w:color="auto" w:sz="4" w:space="0"/>
              <w:tl2br w:val="single" w:color="auto" w:sz="4" w:space="0"/>
            </w:tcBorders>
            <w:vAlign w:val="center"/>
          </w:tcPr>
          <w:p>
            <w:pPr>
              <w:jc w:val="center"/>
              <w:rPr>
                <w:rFonts w:asciiTheme="majorEastAsia" w:hAnsiTheme="majorEastAsia" w:eastAsiaTheme="majorEastAsia" w:cstheme="majorEastAsia"/>
                <w:color w:val="auto"/>
                <w:sz w:val="24"/>
              </w:rPr>
            </w:pPr>
          </w:p>
          <w:p>
            <w:pPr>
              <w:rPr>
                <w:rFonts w:asciiTheme="majorEastAsia" w:hAnsiTheme="majorEastAsia" w:eastAsiaTheme="majorEastAsia" w:cstheme="majorEastAsia"/>
                <w:color w:val="auto"/>
                <w:sz w:val="24"/>
              </w:rPr>
            </w:pPr>
          </w:p>
        </w:tc>
        <w:tc>
          <w:tcPr>
            <w:tcW w:w="3028" w:type="dxa"/>
            <w:tcBorders>
              <w:lef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招标</w:t>
            </w:r>
            <w:r>
              <w:rPr>
                <w:rFonts w:hint="eastAsia" w:asciiTheme="majorEastAsia" w:hAnsiTheme="majorEastAsia" w:eastAsiaTheme="majorEastAsia" w:cstheme="majorEastAsia"/>
                <w:bCs/>
                <w:color w:val="auto"/>
                <w:kern w:val="0"/>
                <w:sz w:val="28"/>
                <w:szCs w:val="28"/>
              </w:rPr>
              <w:t>项目名称</w:t>
            </w:r>
          </w:p>
        </w:tc>
        <w:tc>
          <w:tcPr>
            <w:tcW w:w="2207" w:type="dxa"/>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最终报价</w:t>
            </w:r>
          </w:p>
          <w:p>
            <w:pPr>
              <w:autoSpaceDE w:val="0"/>
              <w:autoSpaceDN w:val="0"/>
              <w:adjustRightInd w:val="0"/>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b/>
                <w:bCs/>
                <w:color w:val="auto"/>
                <w:kern w:val="0"/>
                <w:sz w:val="30"/>
                <w:szCs w:val="30"/>
              </w:rPr>
              <w:t>元</w:t>
            </w:r>
            <w:r>
              <w:rPr>
                <w:rFonts w:hint="eastAsia" w:asciiTheme="majorEastAsia" w:hAnsiTheme="majorEastAsia" w:eastAsiaTheme="majorEastAsia" w:cstheme="majorEastAsia"/>
                <w:color w:val="auto"/>
                <w:sz w:val="28"/>
                <w:szCs w:val="28"/>
              </w:rPr>
              <w:t>）</w:t>
            </w:r>
          </w:p>
        </w:tc>
        <w:tc>
          <w:tcPr>
            <w:tcW w:w="1980" w:type="dxa"/>
            <w:tcBorders>
              <w:right w:val="single" w:color="auto" w:sz="4" w:space="0"/>
            </w:tcBorders>
            <w:vAlign w:val="center"/>
          </w:tcPr>
          <w:p>
            <w:pPr>
              <w:autoSpaceDE w:val="0"/>
              <w:autoSpaceDN w:val="0"/>
              <w:adjustRightInd w:val="0"/>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合计</w:t>
            </w:r>
          </w:p>
          <w:p>
            <w:pPr>
              <w:autoSpaceDE w:val="0"/>
              <w:autoSpaceDN w:val="0"/>
              <w:adjustRightInd w:val="0"/>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8"/>
                <w:szCs w:val="28"/>
              </w:rPr>
              <w:t>（元）</w:t>
            </w:r>
          </w:p>
        </w:tc>
        <w:tc>
          <w:tcPr>
            <w:tcW w:w="1290" w:type="dxa"/>
            <w:tcBorders>
              <w:left w:val="single" w:color="auto" w:sz="4" w:space="0"/>
            </w:tcBorders>
            <w:vAlign w:val="center"/>
          </w:tcPr>
          <w:p>
            <w:pPr>
              <w:autoSpaceDE w:val="0"/>
              <w:autoSpaceDN w:val="0"/>
              <w:adjustRightInd w:val="0"/>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工期</w:t>
            </w:r>
          </w:p>
          <w:p>
            <w:pPr>
              <w:autoSpaceDE w:val="0"/>
              <w:autoSpaceDN w:val="0"/>
              <w:adjustRightInd w:val="0"/>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（天）</w:t>
            </w:r>
          </w:p>
        </w:tc>
        <w:tc>
          <w:tcPr>
            <w:tcW w:w="1186" w:type="dxa"/>
            <w:vAlign w:val="center"/>
          </w:tcPr>
          <w:p>
            <w:pPr>
              <w:autoSpaceDE w:val="0"/>
              <w:autoSpaceDN w:val="0"/>
              <w:adjustRightInd w:val="0"/>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9" w:hRule="exact"/>
          <w:jc w:val="center"/>
        </w:trPr>
        <w:tc>
          <w:tcPr>
            <w:tcW w:w="622" w:type="dxa"/>
            <w:tcBorders>
              <w:righ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3028" w:type="dxa"/>
            <w:tcBorders>
              <w:lef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Cs/>
                <w:color w:val="auto"/>
                <w:kern w:val="0"/>
                <w:sz w:val="28"/>
                <w:szCs w:val="28"/>
              </w:rPr>
              <w:t>布尔津县农用地、集体建设用地基准地价、城镇标定地价评估服务项目</w:t>
            </w:r>
          </w:p>
        </w:tc>
        <w:tc>
          <w:tcPr>
            <w:tcW w:w="2207" w:type="dxa"/>
            <w:vAlign w:val="center"/>
          </w:tcPr>
          <w:p>
            <w:pPr>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小写：                              大写：                                    </w:t>
            </w:r>
          </w:p>
        </w:tc>
        <w:tc>
          <w:tcPr>
            <w:tcW w:w="1980" w:type="dxa"/>
            <w:tcBorders>
              <w:right w:val="single" w:color="auto" w:sz="4" w:space="0"/>
            </w:tcBorders>
          </w:tcPr>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小写：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大写：</w:t>
            </w:r>
            <w:r>
              <w:rPr>
                <w:rFonts w:hint="eastAsia" w:asciiTheme="majorEastAsia" w:hAnsiTheme="majorEastAsia" w:eastAsiaTheme="majorEastAsia" w:cstheme="majorEastAsia"/>
                <w:color w:val="auto"/>
                <w:sz w:val="28"/>
                <w:szCs w:val="28"/>
                <w:u w:val="single"/>
              </w:rPr>
              <w:t xml:space="preserve">                                    </w:t>
            </w:r>
          </w:p>
        </w:tc>
        <w:tc>
          <w:tcPr>
            <w:tcW w:w="1290" w:type="dxa"/>
            <w:tcBorders>
              <w:left w:val="single" w:color="auto" w:sz="4" w:space="0"/>
            </w:tcBorders>
          </w:tcPr>
          <w:p>
            <w:pPr>
              <w:rPr>
                <w:rFonts w:asciiTheme="majorEastAsia" w:hAnsiTheme="majorEastAsia" w:eastAsiaTheme="majorEastAsia" w:cstheme="majorEastAsia"/>
                <w:color w:val="auto"/>
                <w:sz w:val="28"/>
                <w:szCs w:val="28"/>
              </w:rPr>
            </w:pPr>
          </w:p>
        </w:tc>
        <w:tc>
          <w:tcPr>
            <w:tcW w:w="1186" w:type="dxa"/>
          </w:tcPr>
          <w:p>
            <w:pPr>
              <w:rPr>
                <w:rFonts w:asciiTheme="majorEastAsia" w:hAnsiTheme="majorEastAsia" w:eastAsiaTheme="majorEastAsia" w:cstheme="majorEastAsia"/>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50" w:hRule="exact"/>
          <w:jc w:val="center"/>
        </w:trPr>
        <w:tc>
          <w:tcPr>
            <w:tcW w:w="622" w:type="dxa"/>
            <w:tcBorders>
              <w:righ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9691" w:type="dxa"/>
            <w:gridSpan w:val="5"/>
            <w:tcBorders>
              <w:left w:val="single" w:color="auto" w:sz="4"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我方愿意以人民币（大写）</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元（小写￥：</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元）的投标总价（含所有费用），遵照竞争性谈判文件的要求，在全面接受约定的权利、义务和责任的前提下承担本合同的全部</w:t>
            </w:r>
            <w:r>
              <w:rPr>
                <w:rFonts w:hint="eastAsia" w:asciiTheme="majorEastAsia" w:hAnsiTheme="majorEastAsia" w:eastAsiaTheme="majorEastAsia" w:cstheme="majorEastAsia"/>
                <w:bCs/>
                <w:color w:val="auto"/>
                <w:kern w:val="0"/>
                <w:sz w:val="28"/>
                <w:szCs w:val="28"/>
              </w:rPr>
              <w:t>规划编制</w:t>
            </w:r>
            <w:r>
              <w:rPr>
                <w:rFonts w:hint="eastAsia" w:asciiTheme="majorEastAsia" w:hAnsiTheme="majorEastAsia" w:eastAsiaTheme="majorEastAsia" w:cstheme="majorEastAsia"/>
                <w:color w:val="auto"/>
                <w:sz w:val="28"/>
                <w:szCs w:val="28"/>
              </w:rPr>
              <w:t>工作。</w:t>
            </w:r>
          </w:p>
        </w:tc>
      </w:tr>
    </w:tbl>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注：1、表中每项必须填写。</w:t>
      </w:r>
    </w:p>
    <w:p>
      <w:pPr>
        <w:numPr>
          <w:ilvl w:val="0"/>
          <w:numId w:val="5"/>
        </w:numPr>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表中大小写不一致时，以大写为准。</w:t>
      </w:r>
    </w:p>
    <w:p>
      <w:pPr>
        <w:pStyle w:val="24"/>
        <w:ind w:firstLine="560" w:firstLineChars="200"/>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kern w:val="2"/>
          <w:sz w:val="28"/>
          <w:szCs w:val="28"/>
        </w:rPr>
        <w:t>3、投标人的报价应包括可研、设计、 测量、成果报验各个阶段专家费、审查费等全部费用。</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授权代理人（签字或盖章）：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b/>
          <w:color w:val="auto"/>
          <w:kern w:val="0"/>
          <w:sz w:val="44"/>
          <w:szCs w:val="44"/>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p>
    <w:p>
      <w:pPr>
        <w:jc w:val="center"/>
        <w:rPr>
          <w:rFonts w:asciiTheme="majorEastAsia" w:hAnsiTheme="majorEastAsia" w:eastAsiaTheme="majorEastAsia" w:cstheme="majorEastAsia"/>
          <w:b/>
          <w:color w:val="auto"/>
          <w:sz w:val="36"/>
          <w:szCs w:val="36"/>
        </w:rPr>
      </w:pPr>
    </w:p>
    <w:p>
      <w:pPr>
        <w:jc w:val="center"/>
        <w:rPr>
          <w:rFonts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三、法定代表人资格证明书</w:t>
      </w:r>
    </w:p>
    <w:p>
      <w:pPr>
        <w:ind w:firstLine="560" w:firstLineChars="200"/>
        <w:rPr>
          <w:rFonts w:asciiTheme="majorEastAsia" w:hAnsiTheme="majorEastAsia" w:eastAsiaTheme="majorEastAsia" w:cstheme="majorEastAsia"/>
          <w:color w:val="auto"/>
          <w:sz w:val="28"/>
          <w:szCs w:val="32"/>
        </w:rPr>
      </w:pPr>
    </w:p>
    <w:p>
      <w:pPr>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兹证明</w:t>
      </w:r>
      <w:r>
        <w:rPr>
          <w:rFonts w:hint="eastAsia" w:asciiTheme="majorEastAsia" w:hAnsiTheme="majorEastAsia" w:eastAsiaTheme="majorEastAsia" w:cstheme="majorEastAsia"/>
          <w:color w:val="auto"/>
          <w:sz w:val="28"/>
          <w:szCs w:val="32"/>
          <w:u w:val="single"/>
        </w:rPr>
        <w:t xml:space="preserve">     </w:t>
      </w:r>
      <w:r>
        <w:rPr>
          <w:rFonts w:hint="eastAsia" w:asciiTheme="majorEastAsia" w:hAnsiTheme="majorEastAsia" w:eastAsiaTheme="majorEastAsia" w:cstheme="majorEastAsia"/>
          <w:color w:val="auto"/>
          <w:sz w:val="28"/>
          <w:szCs w:val="32"/>
        </w:rPr>
        <w:t>（姓名），</w:t>
      </w:r>
      <w:r>
        <w:rPr>
          <w:rFonts w:hint="eastAsia" w:asciiTheme="majorEastAsia" w:hAnsiTheme="majorEastAsia" w:eastAsiaTheme="majorEastAsia" w:cstheme="majorEastAsia"/>
          <w:color w:val="auto"/>
          <w:sz w:val="28"/>
          <w:szCs w:val="32"/>
          <w:u w:val="single"/>
        </w:rPr>
        <w:t xml:space="preserve">      </w:t>
      </w:r>
      <w:r>
        <w:rPr>
          <w:rFonts w:hint="eastAsia" w:asciiTheme="majorEastAsia" w:hAnsiTheme="majorEastAsia" w:eastAsiaTheme="majorEastAsia" w:cstheme="majorEastAsia"/>
          <w:color w:val="auto"/>
          <w:sz w:val="28"/>
          <w:szCs w:val="32"/>
        </w:rPr>
        <w:t>（性别），</w:t>
      </w:r>
      <w:r>
        <w:rPr>
          <w:rFonts w:hint="eastAsia" w:asciiTheme="majorEastAsia" w:hAnsiTheme="majorEastAsia" w:eastAsiaTheme="majorEastAsia" w:cstheme="majorEastAsia"/>
          <w:color w:val="auto"/>
          <w:sz w:val="28"/>
          <w:szCs w:val="32"/>
          <w:u w:val="single"/>
        </w:rPr>
        <w:t xml:space="preserve">      </w:t>
      </w:r>
      <w:r>
        <w:rPr>
          <w:rFonts w:hint="eastAsia" w:asciiTheme="majorEastAsia" w:hAnsiTheme="majorEastAsia" w:eastAsiaTheme="majorEastAsia" w:cstheme="majorEastAsia"/>
          <w:color w:val="auto"/>
          <w:sz w:val="28"/>
          <w:szCs w:val="32"/>
        </w:rPr>
        <w:t xml:space="preserve">（年龄），现为              </w:t>
      </w:r>
      <w:r>
        <w:rPr>
          <w:rFonts w:hint="eastAsia" w:asciiTheme="majorEastAsia" w:hAnsiTheme="majorEastAsia" w:eastAsiaTheme="majorEastAsia" w:cstheme="majorEastAsia"/>
          <w:color w:val="auto"/>
          <w:sz w:val="28"/>
          <w:szCs w:val="32"/>
          <w:u w:val="single"/>
        </w:rPr>
        <w:t>（单位名称，所在职务）</w:t>
      </w:r>
      <w:r>
        <w:rPr>
          <w:rFonts w:hint="eastAsia" w:asciiTheme="majorEastAsia" w:hAnsiTheme="majorEastAsia" w:eastAsiaTheme="majorEastAsia" w:cstheme="majorEastAsia"/>
          <w:color w:val="auto"/>
          <w:sz w:val="28"/>
          <w:szCs w:val="32"/>
        </w:rPr>
        <w:t>，系</w:t>
      </w:r>
      <w:r>
        <w:rPr>
          <w:rFonts w:hint="eastAsia" w:asciiTheme="majorEastAsia" w:hAnsiTheme="majorEastAsia" w:eastAsiaTheme="majorEastAsia" w:cstheme="majorEastAsia"/>
          <w:color w:val="auto"/>
          <w:sz w:val="28"/>
          <w:szCs w:val="32"/>
          <w:u w:val="single"/>
        </w:rPr>
        <w:t>（单位名称）</w:t>
      </w:r>
      <w:r>
        <w:rPr>
          <w:rFonts w:hint="eastAsia" w:asciiTheme="majorEastAsia" w:hAnsiTheme="majorEastAsia" w:eastAsiaTheme="majorEastAsia" w:cstheme="majorEastAsia"/>
          <w:color w:val="auto"/>
          <w:sz w:val="28"/>
          <w:szCs w:val="32"/>
        </w:rPr>
        <w:t>的法定代表人，有签署</w:t>
      </w:r>
      <w:r>
        <w:rPr>
          <w:rFonts w:hint="eastAsia" w:asciiTheme="majorEastAsia" w:hAnsiTheme="majorEastAsia" w:eastAsiaTheme="majorEastAsia" w:cstheme="majorEastAsia"/>
          <w:color w:val="auto"/>
          <w:sz w:val="28"/>
          <w:szCs w:val="32"/>
          <w:u w:val="single"/>
        </w:rPr>
        <w:t>（招标项目名称）</w:t>
      </w:r>
      <w:r>
        <w:rPr>
          <w:rFonts w:hint="eastAsia" w:asciiTheme="majorEastAsia" w:hAnsiTheme="majorEastAsia" w:eastAsiaTheme="majorEastAsia" w:cstheme="majorEastAsia"/>
          <w:color w:val="auto"/>
          <w:sz w:val="28"/>
          <w:szCs w:val="32"/>
        </w:rPr>
        <w:t>的竞争性谈判响应文件、合同和处理一切与之有关的事项的合法资格。</w:t>
      </w:r>
    </w:p>
    <w:p>
      <w:pPr>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附：法定代表人身份证复印件正反面：</w:t>
      </w:r>
    </w:p>
    <w:p>
      <w:pPr>
        <w:ind w:firstLine="560" w:firstLineChars="200"/>
        <w:rPr>
          <w:rFonts w:asciiTheme="majorEastAsia" w:hAnsiTheme="majorEastAsia" w:eastAsiaTheme="majorEastAsia" w:cstheme="majorEastAsia"/>
          <w:color w:val="auto"/>
          <w:sz w:val="28"/>
          <w:szCs w:val="32"/>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p>
    <w:p>
      <w:pPr>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 xml:space="preserve">        法定代表人（签字或盖章）：</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32"/>
        </w:rPr>
        <w:t xml:space="preserve">           </w:t>
      </w:r>
    </w:p>
    <w:p>
      <w:pPr>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 xml:space="preserve">             </w:t>
      </w:r>
    </w:p>
    <w:p>
      <w:pPr>
        <w:ind w:firstLine="739" w:firstLineChars="264"/>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color w:val="auto"/>
          <w:sz w:val="28"/>
          <w:szCs w:val="32"/>
        </w:rPr>
        <w:t xml:space="preserve">       日期：</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color w:val="auto"/>
          <w:sz w:val="28"/>
          <w:szCs w:val="32"/>
        </w:rPr>
        <w:t>年</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color w:val="auto"/>
          <w:sz w:val="28"/>
          <w:szCs w:val="32"/>
        </w:rPr>
        <w:t>月</w:t>
      </w:r>
      <w:r>
        <w:rPr>
          <w:rFonts w:hint="eastAsia" w:asciiTheme="majorEastAsia" w:hAnsiTheme="majorEastAsia" w:eastAsiaTheme="majorEastAsia" w:cstheme="majorEastAsia"/>
          <w:b/>
          <w:color w:val="auto"/>
          <w:sz w:val="32"/>
          <w:szCs w:val="32"/>
          <w:u w:val="single"/>
        </w:rPr>
        <w:t xml:space="preserve">     </w:t>
      </w:r>
      <w:r>
        <w:rPr>
          <w:rFonts w:hint="eastAsia" w:asciiTheme="majorEastAsia" w:hAnsiTheme="majorEastAsia" w:eastAsiaTheme="majorEastAsia" w:cstheme="majorEastAsia"/>
          <w:color w:val="auto"/>
          <w:sz w:val="28"/>
          <w:szCs w:val="32"/>
        </w:rPr>
        <w:t>日</w:t>
      </w:r>
    </w:p>
    <w:p>
      <w:pPr>
        <w:ind w:firstLine="560" w:firstLineChars="200"/>
        <w:jc w:val="center"/>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 xml:space="preserve">                 </w:t>
      </w: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rPr>
          <w:rFonts w:asciiTheme="majorEastAsia" w:hAnsiTheme="majorEastAsia" w:eastAsiaTheme="majorEastAsia" w:cstheme="majorEastAsia"/>
          <w:color w:val="auto"/>
          <w:kern w:val="1"/>
          <w:szCs w:val="21"/>
        </w:rPr>
      </w:pPr>
    </w:p>
    <w:p>
      <w:pPr>
        <w:pStyle w:val="24"/>
        <w:rPr>
          <w:rFonts w:hint="default" w:asciiTheme="majorEastAsia" w:hAnsiTheme="majorEastAsia" w:eastAsiaTheme="majorEastAsia" w:cstheme="majorEastAsia"/>
          <w:color w:val="auto"/>
        </w:rPr>
      </w:pPr>
    </w:p>
    <w:p>
      <w:pPr>
        <w:rPr>
          <w:rFonts w:asciiTheme="majorEastAsia" w:hAnsiTheme="majorEastAsia" w:eastAsiaTheme="majorEastAsia" w:cstheme="majorEastAsia"/>
          <w:color w:val="auto"/>
          <w:kern w:val="1"/>
          <w:szCs w:val="21"/>
        </w:rPr>
      </w:pPr>
    </w:p>
    <w:p>
      <w:pPr>
        <w:jc w:val="center"/>
        <w:rPr>
          <w:rFonts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四、法人授权委托书</w:t>
      </w:r>
    </w:p>
    <w:p>
      <w:pPr>
        <w:ind w:firstLine="640" w:firstLineChars="200"/>
        <w:rPr>
          <w:rFonts w:asciiTheme="majorEastAsia" w:hAnsiTheme="majorEastAsia" w:eastAsiaTheme="majorEastAsia" w:cstheme="majorEastAsia"/>
          <w:color w:val="auto"/>
          <w:sz w:val="32"/>
          <w:szCs w:val="32"/>
        </w:rPr>
      </w:pPr>
    </w:p>
    <w:p>
      <w:pPr>
        <w:ind w:firstLine="840" w:firstLineChars="300"/>
        <w:rPr>
          <w:rFonts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28"/>
          <w:szCs w:val="28"/>
        </w:rPr>
        <w:t>本人</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，系</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公司法定代表人（身份证号码：</w:t>
      </w:r>
      <w:r>
        <w:rPr>
          <w:rFonts w:hint="eastAsia" w:asciiTheme="majorEastAsia" w:hAnsiTheme="majorEastAsia" w:eastAsiaTheme="majorEastAsia" w:cstheme="majorEastAsia"/>
          <w:color w:val="auto"/>
          <w:sz w:val="28"/>
          <w:szCs w:val="28"/>
          <w:u w:val="single"/>
        </w:rPr>
        <w:t>×××××××××××××</w:t>
      </w:r>
      <w:r>
        <w:rPr>
          <w:rFonts w:hint="eastAsia" w:asciiTheme="majorEastAsia" w:hAnsiTheme="majorEastAsia" w:eastAsiaTheme="majorEastAsia" w:cstheme="majorEastAsia"/>
          <w:color w:val="auto"/>
          <w:sz w:val="28"/>
          <w:szCs w:val="28"/>
        </w:rPr>
        <w:t>），现委托</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（身份证号码：</w:t>
      </w:r>
      <w:r>
        <w:rPr>
          <w:rFonts w:hint="eastAsia" w:asciiTheme="majorEastAsia" w:hAnsiTheme="majorEastAsia" w:eastAsiaTheme="majorEastAsia" w:cstheme="majorEastAsia"/>
          <w:color w:val="auto"/>
          <w:sz w:val="28"/>
          <w:szCs w:val="28"/>
          <w:u w:val="single"/>
        </w:rPr>
        <w:t>×××××××××××</w:t>
      </w:r>
      <w:r>
        <w:rPr>
          <w:rFonts w:hint="eastAsia" w:asciiTheme="majorEastAsia" w:hAnsiTheme="majorEastAsia" w:eastAsiaTheme="majorEastAsia" w:cstheme="majorEastAsia"/>
          <w:color w:val="auto"/>
          <w:sz w:val="28"/>
          <w:szCs w:val="28"/>
        </w:rPr>
        <w:t>），参加</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项目招标会议，请接洽</w:t>
      </w:r>
      <w:r>
        <w:rPr>
          <w:rFonts w:hint="eastAsia" w:asciiTheme="majorEastAsia" w:hAnsiTheme="majorEastAsia" w:eastAsiaTheme="majorEastAsia" w:cstheme="majorEastAsia"/>
          <w:color w:val="auto"/>
          <w:sz w:val="32"/>
          <w:szCs w:val="32"/>
        </w:rPr>
        <w:t>。</w:t>
      </w:r>
    </w:p>
    <w:p>
      <w:pPr>
        <w:ind w:firstLine="480" w:firstLineChars="2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附：法定代表人身份证明</w:t>
      </w:r>
    </w:p>
    <w:p>
      <w:pPr>
        <w:rPr>
          <w:rFonts w:asciiTheme="majorEastAsia" w:hAnsiTheme="majorEastAsia" w:eastAsiaTheme="majorEastAsia" w:cstheme="majorEastAsia"/>
          <w:color w:val="auto"/>
          <w:sz w:val="24"/>
        </w:rPr>
      </w:pPr>
    </w:p>
    <w:p>
      <w:pP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2802890</wp:posOffset>
                </wp:positionH>
                <wp:positionV relativeFrom="paragraph">
                  <wp:posOffset>31750</wp:posOffset>
                </wp:positionV>
                <wp:extent cx="2472690" cy="1777365"/>
                <wp:effectExtent l="4445" t="4445" r="18415" b="8890"/>
                <wp:wrapNone/>
                <wp:docPr id="1" name="文本框 1"/>
                <wp:cNvGraphicFramePr/>
                <a:graphic xmlns:a="http://schemas.openxmlformats.org/drawingml/2006/main">
                  <a:graphicData uri="http://schemas.microsoft.com/office/word/2010/wordprocessingShape">
                    <wps:wsp>
                      <wps:cNvSpPr txBox="1"/>
                      <wps:spPr>
                        <a:xfrm>
                          <a:off x="0" y="0"/>
                          <a:ext cx="2472690" cy="177736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被委托人身份证复印件</w:t>
                            </w:r>
                          </w:p>
                        </w:txbxContent>
                      </wps:txbx>
                      <wps:bodyPr upright="1"/>
                    </wps:wsp>
                  </a:graphicData>
                </a:graphic>
              </wp:anchor>
            </w:drawing>
          </mc:Choice>
          <mc:Fallback>
            <w:pict>
              <v:shape id="_x0000_s1026" o:spid="_x0000_s1026" o:spt="202" type="#_x0000_t202" style="position:absolute;left:0pt;margin-left:220.7pt;margin-top:2.5pt;height:139.95pt;width:194.7pt;z-index:251660288;mso-width-relative:page;mso-height-relative:page;" fillcolor="#FFFFFF" filled="t" stroked="t" coordsize="21600,21600" o:gfxdata="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mc0wrZAAAACQEAAA8AAAAAAAAAAQAgAAAAIgAAAGRycy9kb3ducmV2LnhtbFBLAQIU&#10;ABQAAAAIAIdO4kBC3v908gEAAOkDAAAOAAAAAAAAAAEAIAAAACgBAABkcnMvZTJvRG9jLnhtbFBL&#10;BQYAAAAABgAGAFkBAACM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w:t>
                      </w:r>
                    </w:p>
                  </w:txbxContent>
                </v:textbox>
              </v:shape>
            </w:pict>
          </mc:Fallback>
        </mc:AlternateContent>
      </w:r>
      <w:r>
        <w:rPr>
          <w:rFonts w:hint="eastAsia" w:asciiTheme="majorEastAsia" w:hAnsiTheme="majorEastAsia" w:eastAsiaTheme="majorEastAsia" w:cstheme="majorEastAsia"/>
          <w:bCs/>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31750</wp:posOffset>
                </wp:positionV>
                <wp:extent cx="2472690" cy="1767840"/>
                <wp:effectExtent l="5080" t="4445" r="17780" b="18415"/>
                <wp:wrapNone/>
                <wp:docPr id="3" name="文本框 3"/>
                <wp:cNvGraphicFramePr/>
                <a:graphic xmlns:a="http://schemas.openxmlformats.org/drawingml/2006/main">
                  <a:graphicData uri="http://schemas.microsoft.com/office/word/2010/wordprocessingShape">
                    <wps:wsp>
                      <wps:cNvSpPr txBox="1"/>
                      <wps:spPr>
                        <a:xfrm>
                          <a:off x="0" y="0"/>
                          <a:ext cx="2472690" cy="176784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法人身份证复印件</w:t>
                            </w:r>
                          </w:p>
                        </w:txbxContent>
                      </wps:txbx>
                      <wps:bodyPr upright="1"/>
                    </wps:wsp>
                  </a:graphicData>
                </a:graphic>
              </wp:anchor>
            </w:drawing>
          </mc:Choice>
          <mc:Fallback>
            <w:pict>
              <v:shape id="_x0000_s1026" o:spid="_x0000_s1026" o:spt="202" type="#_x0000_t202" style="position:absolute;left:0pt;margin-left:2.45pt;margin-top:2.5pt;height:139.2pt;width:194.7pt;z-index:251659264;mso-width-relative:page;mso-height-relative:page;" fillcolor="#FFFFFF" filled="t" stroked="t" coordsize="21600,21600" o:gfxdata="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7vzz2AAAAAcBAAAPAAAAAAAAAAEAIAAAACIAAABkcnMvZG93bnJldi54bWxQ&#10;SwECFAAUAAAACACHTuJAN3/VdPcBAADpAwAADgAAAAAAAAABACAAAAAnAQAAZHJzL2Uyb0RvYy54&#10;bWxQSwUGAAAAAAYABgBZAQAAkAU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w:t>
                      </w:r>
                    </w:p>
                  </w:txbxContent>
                </v:textbox>
              </v:shape>
            </w:pict>
          </mc:Fallback>
        </mc:AlternateContent>
      </w:r>
      <w:r>
        <w:rPr>
          <w:rFonts w:hint="eastAsia" w:asciiTheme="majorEastAsia" w:hAnsiTheme="majorEastAsia" w:eastAsiaTheme="majorEastAsia" w:cstheme="majorEastAsia"/>
          <w:color w:val="auto"/>
          <w:sz w:val="24"/>
        </w:rPr>
        <w:t xml:space="preserve">                                    </w:t>
      </w:r>
    </w:p>
    <w:p>
      <w:pPr>
        <w:ind w:firstLine="480" w:firstLineChars="200"/>
        <w:rPr>
          <w:rFonts w:asciiTheme="majorEastAsia" w:hAnsiTheme="majorEastAsia" w:eastAsiaTheme="majorEastAsia" w:cstheme="majorEastAsia"/>
          <w:color w:val="auto"/>
          <w:sz w:val="24"/>
        </w:rPr>
      </w:pPr>
    </w:p>
    <w:p>
      <w:pPr>
        <w:ind w:firstLine="480" w:firstLineChars="200"/>
        <w:rPr>
          <w:rFonts w:asciiTheme="majorEastAsia" w:hAnsiTheme="majorEastAsia" w:eastAsiaTheme="majorEastAsia" w:cstheme="majorEastAsia"/>
          <w:color w:val="auto"/>
          <w:sz w:val="24"/>
        </w:rPr>
      </w:pPr>
    </w:p>
    <w:p>
      <w:pPr>
        <w:ind w:firstLine="480" w:firstLineChars="200"/>
        <w:rPr>
          <w:rFonts w:asciiTheme="majorEastAsia" w:hAnsiTheme="majorEastAsia" w:eastAsiaTheme="majorEastAsia" w:cstheme="majorEastAsia"/>
          <w:color w:val="auto"/>
          <w:sz w:val="24"/>
        </w:rPr>
      </w:pPr>
    </w:p>
    <w:p>
      <w:pPr>
        <w:ind w:firstLine="480" w:firstLineChars="200"/>
        <w:rPr>
          <w:rFonts w:asciiTheme="majorEastAsia" w:hAnsiTheme="majorEastAsia" w:eastAsiaTheme="majorEastAsia" w:cstheme="majorEastAsia"/>
          <w:color w:val="auto"/>
          <w:sz w:val="24"/>
        </w:rPr>
      </w:pPr>
    </w:p>
    <w:p>
      <w:pPr>
        <w:ind w:firstLine="480" w:firstLineChars="200"/>
        <w:rPr>
          <w:rFonts w:asciiTheme="majorEastAsia" w:hAnsiTheme="majorEastAsia" w:eastAsiaTheme="majorEastAsia" w:cstheme="majorEastAsia"/>
          <w:color w:val="auto"/>
          <w:sz w:val="24"/>
        </w:rPr>
      </w:pPr>
    </w:p>
    <w:p>
      <w:pPr>
        <w:ind w:firstLine="480" w:firstLineChars="200"/>
        <w:rPr>
          <w:rFonts w:asciiTheme="majorEastAsia" w:hAnsiTheme="majorEastAsia" w:eastAsiaTheme="majorEastAsia" w:cstheme="majorEastAsia"/>
          <w:color w:val="auto"/>
          <w:sz w:val="24"/>
        </w:rPr>
      </w:pPr>
    </w:p>
    <w:p>
      <w:pPr>
        <w:ind w:firstLine="960" w:firstLineChars="300"/>
        <w:rPr>
          <w:rFonts w:asciiTheme="majorEastAsia" w:hAnsiTheme="majorEastAsia" w:eastAsiaTheme="majorEastAsia" w:cstheme="majorEastAsia"/>
          <w:color w:val="auto"/>
          <w:sz w:val="32"/>
          <w:szCs w:val="32"/>
        </w:rPr>
      </w:pPr>
    </w:p>
    <w:p>
      <w:pPr>
        <w:rPr>
          <w:rFonts w:asciiTheme="majorEastAsia" w:hAnsiTheme="majorEastAsia" w:eastAsiaTheme="majorEastAsia" w:cstheme="majorEastAsia"/>
          <w:color w:val="auto"/>
          <w:sz w:val="32"/>
          <w:szCs w:val="32"/>
        </w:rPr>
      </w:pPr>
    </w:p>
    <w:p>
      <w:pPr>
        <w:ind w:firstLine="560" w:firstLineChars="200"/>
        <w:rPr>
          <w:rFonts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委托权限：</w:t>
      </w:r>
      <w:r>
        <w:rPr>
          <w:rFonts w:hint="eastAsia" w:asciiTheme="majorEastAsia" w:hAnsiTheme="majorEastAsia" w:eastAsiaTheme="majorEastAsia" w:cstheme="majorEastAsia"/>
          <w:color w:val="auto"/>
          <w:sz w:val="28"/>
          <w:szCs w:val="28"/>
          <w:u w:val="single"/>
        </w:rPr>
        <w:t>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本委托书有效期：</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日至</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日</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委托代理人无转委权。</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授权代理人（签字或盖章）：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p>
    <w:p>
      <w:pPr>
        <w:jc w:val="center"/>
        <w:rPr>
          <w:rFonts w:asciiTheme="majorEastAsia" w:hAnsiTheme="majorEastAsia" w:eastAsiaTheme="majorEastAsia" w:cstheme="majorEastAsia"/>
          <w:b/>
          <w:color w:val="auto"/>
          <w:sz w:val="36"/>
          <w:szCs w:val="36"/>
        </w:rPr>
      </w:pPr>
    </w:p>
    <w:p>
      <w:pPr>
        <w:rPr>
          <w:rFonts w:asciiTheme="majorEastAsia" w:hAnsiTheme="majorEastAsia" w:eastAsiaTheme="majorEastAsia" w:cstheme="majorEastAsia"/>
          <w:b/>
          <w:color w:val="auto"/>
          <w:sz w:val="36"/>
          <w:szCs w:val="36"/>
        </w:rPr>
      </w:pPr>
    </w:p>
    <w:p>
      <w:pPr>
        <w:jc w:val="center"/>
        <w:rPr>
          <w:rFonts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五、投标保证金</w:t>
      </w:r>
    </w:p>
    <w:p>
      <w:pPr>
        <w:spacing w:line="440" w:lineRule="exact"/>
        <w:ind w:firstLine="48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（招标人名称）：</w:t>
      </w:r>
    </w:p>
    <w:p>
      <w:pPr>
        <w:spacing w:line="440" w:lineRule="exact"/>
        <w:ind w:firstLine="560" w:firstLineChars="200"/>
        <w:jc w:val="left"/>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鉴于</w:t>
      </w: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（投标人名称）（以下简称“投标人”）参加你方</w:t>
      </w: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（项目名称）的投标，</w:t>
      </w: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 xml:space="preserve">（担保人名称）（以下简称“我方”）受该投标人委托，在此无条件地、不可撤销地保证：一旦收到你方提出的下述任何一种事实的书面通知，在7日内无条件地向你方支付总额不超过 </w:t>
      </w: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（投标保函额度）的任何你方要求的金额：</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1．投标人在规定的投标有效期内撤销或者修改其竞争性谈判响应文件。</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2．投标人在收到中标通知书后无正当理由而未在规定期限内与贵方签署合同。</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3．投标人在收到中标通知书后未能在竞争性谈判文件规定期限内向贵方提交竞争性谈判文件所要求的履约担保。</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本保函在投标有效期内保持有效，除非你方提前终止或解除本保函。要求我方承担保证责任的通知应在投标有效期内送达我方。保函失效后请将本保函交投标人退回我方注销。</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本保函项下所有权利和义务均受中华人民共和国法律管辖和制约。</w:t>
      </w: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32"/>
        </w:rPr>
        <w:t xml:space="preserve">         担保人名称：</w:t>
      </w:r>
      <w:r>
        <w:rPr>
          <w:rFonts w:hint="eastAsia" w:asciiTheme="majorEastAsia" w:hAnsiTheme="majorEastAsia" w:eastAsiaTheme="majorEastAsia" w:cstheme="majorEastAsia"/>
          <w:color w:val="auto"/>
          <w:sz w:val="24"/>
          <w:szCs w:val="21"/>
          <w:u w:val="single"/>
        </w:rPr>
        <w:t xml:space="preserve">                          </w:t>
      </w:r>
      <w:r>
        <w:rPr>
          <w:rFonts w:hint="eastAsia" w:asciiTheme="majorEastAsia" w:hAnsiTheme="majorEastAsia" w:eastAsiaTheme="majorEastAsia" w:cstheme="majorEastAsia"/>
          <w:color w:val="auto"/>
          <w:sz w:val="28"/>
          <w:szCs w:val="32"/>
        </w:rPr>
        <w:t xml:space="preserve"> （盖单位章）</w:t>
      </w:r>
    </w:p>
    <w:p>
      <w:pPr>
        <w:spacing w:line="44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32"/>
        </w:rPr>
        <w:t xml:space="preserve">             </w:t>
      </w:r>
      <w:r>
        <w:rPr>
          <w:rFonts w:hint="eastAsia" w:asciiTheme="majorEastAsia" w:hAnsiTheme="majorEastAsia" w:eastAsiaTheme="majorEastAsia" w:cstheme="majorEastAsia"/>
          <w:color w:val="auto"/>
          <w:sz w:val="28"/>
          <w:szCs w:val="28"/>
        </w:rPr>
        <w:t>法定代表人（签字并盖章）：</w:t>
      </w:r>
      <w:r>
        <w:rPr>
          <w:rFonts w:hint="eastAsia" w:asciiTheme="majorEastAsia" w:hAnsiTheme="majorEastAsia" w:eastAsiaTheme="majorEastAsia" w:cstheme="majorEastAsia"/>
          <w:color w:val="auto"/>
          <w:sz w:val="28"/>
          <w:szCs w:val="28"/>
          <w:u w:val="single"/>
        </w:rPr>
        <w:t xml:space="preserve">                                         </w:t>
      </w:r>
    </w:p>
    <w:p>
      <w:pPr>
        <w:spacing w:line="44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授权代理人（签字或盖章）：</w:t>
      </w:r>
      <w:r>
        <w:rPr>
          <w:rFonts w:hint="eastAsia" w:asciiTheme="majorEastAsia" w:hAnsiTheme="majorEastAsia" w:eastAsiaTheme="majorEastAsia" w:cstheme="majorEastAsia"/>
          <w:color w:val="auto"/>
          <w:sz w:val="28"/>
          <w:szCs w:val="28"/>
          <w:u w:val="single"/>
        </w:rPr>
        <w:t xml:space="preserve">                                         </w:t>
      </w:r>
    </w:p>
    <w:p>
      <w:pPr>
        <w:spacing w:line="440" w:lineRule="exact"/>
        <w:rPr>
          <w:rFonts w:asciiTheme="majorEastAsia" w:hAnsiTheme="majorEastAsia" w:eastAsiaTheme="majorEastAsia" w:cstheme="majorEastAsia"/>
          <w:color w:val="auto"/>
          <w:sz w:val="28"/>
          <w:szCs w:val="28"/>
        </w:rPr>
      </w:pPr>
    </w:p>
    <w:p>
      <w:pPr>
        <w:spacing w:line="440" w:lineRule="exact"/>
        <w:ind w:firstLine="560" w:firstLineChars="200"/>
        <w:rPr>
          <w:rFonts w:asciiTheme="majorEastAsia" w:hAnsiTheme="majorEastAsia" w:eastAsiaTheme="majorEastAsia" w:cstheme="majorEastAsia"/>
          <w:color w:val="auto"/>
          <w:sz w:val="28"/>
          <w:szCs w:val="32"/>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r>
        <w:rPr>
          <w:rFonts w:hint="eastAsia" w:asciiTheme="majorEastAsia" w:hAnsiTheme="majorEastAsia" w:eastAsiaTheme="majorEastAsia" w:cstheme="majorEastAsia"/>
          <w:color w:val="auto"/>
          <w:sz w:val="28"/>
          <w:szCs w:val="32"/>
        </w:rPr>
        <w:t xml:space="preserve">           </w:t>
      </w:r>
    </w:p>
    <w:p>
      <w:pPr>
        <w:ind w:firstLine="723" w:firstLineChars="200"/>
        <w:jc w:val="left"/>
        <w:rPr>
          <w:rFonts w:asciiTheme="majorEastAsia" w:hAnsiTheme="majorEastAsia" w:eastAsiaTheme="majorEastAsia" w:cstheme="majorEastAsia"/>
          <w:b/>
          <w:bCs/>
          <w:color w:val="auto"/>
          <w:sz w:val="36"/>
          <w:szCs w:val="32"/>
        </w:rPr>
      </w:pPr>
      <w:r>
        <w:rPr>
          <w:rFonts w:hint="eastAsia" w:asciiTheme="majorEastAsia" w:hAnsiTheme="majorEastAsia" w:eastAsiaTheme="majorEastAsia" w:cstheme="majorEastAsia"/>
          <w:b/>
          <w:bCs/>
          <w:color w:val="auto"/>
          <w:sz w:val="36"/>
          <w:szCs w:val="32"/>
        </w:rPr>
        <w:t xml:space="preserve">   </w:t>
      </w:r>
    </w:p>
    <w:p>
      <w:pPr>
        <w:ind w:firstLine="723" w:firstLineChars="200"/>
        <w:jc w:val="left"/>
        <w:rPr>
          <w:rFonts w:asciiTheme="majorEastAsia" w:hAnsiTheme="majorEastAsia" w:eastAsiaTheme="majorEastAsia" w:cstheme="majorEastAsia"/>
          <w:b/>
          <w:bCs/>
          <w:color w:val="auto"/>
          <w:sz w:val="36"/>
          <w:szCs w:val="32"/>
        </w:rPr>
      </w:pPr>
    </w:p>
    <w:p>
      <w:pPr>
        <w:ind w:firstLine="723" w:firstLineChars="200"/>
        <w:jc w:val="left"/>
        <w:rPr>
          <w:rFonts w:asciiTheme="majorEastAsia" w:hAnsiTheme="majorEastAsia" w:eastAsiaTheme="majorEastAsia" w:cstheme="majorEastAsia"/>
          <w:b/>
          <w:bCs/>
          <w:color w:val="auto"/>
          <w:sz w:val="36"/>
          <w:szCs w:val="32"/>
        </w:rPr>
      </w:pPr>
    </w:p>
    <w:p>
      <w:pPr>
        <w:ind w:firstLine="723" w:firstLineChars="200"/>
        <w:jc w:val="left"/>
        <w:rPr>
          <w:rFonts w:asciiTheme="majorEastAsia" w:hAnsiTheme="majorEastAsia" w:eastAsiaTheme="majorEastAsia" w:cstheme="majorEastAsia"/>
          <w:b/>
          <w:bCs/>
          <w:color w:val="auto"/>
          <w:sz w:val="36"/>
          <w:szCs w:val="32"/>
        </w:rPr>
      </w:pPr>
    </w:p>
    <w:p>
      <w:pPr>
        <w:pStyle w:val="24"/>
        <w:rPr>
          <w:rFonts w:hint="default" w:asciiTheme="majorEastAsia" w:hAnsiTheme="majorEastAsia" w:eastAsiaTheme="majorEastAsia" w:cstheme="majorEastAsia"/>
          <w:b/>
          <w:bCs/>
          <w:color w:val="auto"/>
          <w:sz w:val="36"/>
          <w:szCs w:val="32"/>
        </w:rPr>
      </w:pPr>
    </w:p>
    <w:p>
      <w:pPr>
        <w:ind w:firstLine="723" w:firstLineChars="200"/>
        <w:jc w:val="left"/>
        <w:rPr>
          <w:rFonts w:asciiTheme="majorEastAsia" w:hAnsiTheme="majorEastAsia" w:eastAsiaTheme="majorEastAsia" w:cstheme="majorEastAsia"/>
          <w:b/>
          <w:bCs/>
          <w:color w:val="auto"/>
          <w:sz w:val="36"/>
          <w:szCs w:val="32"/>
        </w:rPr>
      </w:pPr>
    </w:p>
    <w:p>
      <w:pPr>
        <w:ind w:firstLine="1084" w:firstLineChars="300"/>
        <w:rPr>
          <w:rFonts w:asciiTheme="majorEastAsia" w:hAnsiTheme="majorEastAsia" w:eastAsiaTheme="majorEastAsia" w:cstheme="majorEastAsia"/>
          <w:b/>
          <w:bCs/>
          <w:color w:val="auto"/>
          <w:sz w:val="36"/>
          <w:szCs w:val="32"/>
        </w:rPr>
      </w:pPr>
    </w:p>
    <w:p>
      <w:pPr>
        <w:ind w:firstLine="1084" w:firstLineChars="300"/>
        <w:jc w:val="center"/>
        <w:rPr>
          <w:rFonts w:asciiTheme="majorEastAsia" w:hAnsiTheme="majorEastAsia" w:eastAsiaTheme="majorEastAsia" w:cstheme="majorEastAsia"/>
          <w:b/>
          <w:bCs/>
          <w:color w:val="auto"/>
          <w:sz w:val="36"/>
          <w:szCs w:val="32"/>
        </w:rPr>
      </w:pPr>
      <w:r>
        <w:rPr>
          <w:rFonts w:hint="eastAsia" w:asciiTheme="majorEastAsia" w:hAnsiTheme="majorEastAsia" w:eastAsiaTheme="majorEastAsia" w:cstheme="majorEastAsia"/>
          <w:b/>
          <w:bCs/>
          <w:color w:val="auto"/>
          <w:sz w:val="36"/>
          <w:szCs w:val="32"/>
        </w:rPr>
        <w:t>六、投标保证金收据复印件、汇款凭证复印件</w:t>
      </w: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ind w:firstLine="723" w:firstLineChars="200"/>
        <w:jc w:val="center"/>
        <w:rPr>
          <w:rFonts w:asciiTheme="majorEastAsia" w:hAnsiTheme="majorEastAsia" w:eastAsiaTheme="majorEastAsia" w:cstheme="majorEastAsia"/>
          <w:b/>
          <w:bCs/>
          <w:color w:val="auto"/>
          <w:sz w:val="36"/>
          <w:szCs w:val="32"/>
        </w:rPr>
      </w:pPr>
    </w:p>
    <w:p>
      <w:pPr>
        <w:pStyle w:val="24"/>
        <w:rPr>
          <w:rFonts w:hint="default" w:asciiTheme="majorEastAsia" w:hAnsiTheme="majorEastAsia" w:eastAsiaTheme="majorEastAsia" w:cstheme="majorEastAsia"/>
          <w:color w:val="auto"/>
        </w:rPr>
      </w:pPr>
    </w:p>
    <w:p>
      <w:pPr>
        <w:ind w:firstLine="723" w:firstLineChars="200"/>
        <w:jc w:val="center"/>
        <w:rPr>
          <w:rFonts w:asciiTheme="majorEastAsia" w:hAnsiTheme="majorEastAsia" w:eastAsiaTheme="majorEastAsia" w:cstheme="majorEastAsia"/>
          <w:b/>
          <w:bCs/>
          <w:color w:val="auto"/>
          <w:sz w:val="36"/>
          <w:szCs w:val="32"/>
        </w:rPr>
      </w:pPr>
    </w:p>
    <w:p>
      <w:pPr>
        <w:rPr>
          <w:rFonts w:asciiTheme="majorEastAsia" w:hAnsiTheme="majorEastAsia" w:eastAsiaTheme="majorEastAsia" w:cstheme="majorEastAsia"/>
          <w:b/>
          <w:bCs/>
          <w:color w:val="auto"/>
          <w:sz w:val="36"/>
          <w:szCs w:val="32"/>
        </w:rPr>
      </w:pPr>
    </w:p>
    <w:p>
      <w:pPr>
        <w:pStyle w:val="24"/>
        <w:rPr>
          <w:rFonts w:hint="default" w:asciiTheme="majorEastAsia" w:hAnsiTheme="majorEastAsia" w:eastAsiaTheme="majorEastAsia" w:cstheme="majorEastAsia"/>
          <w:color w:val="auto"/>
        </w:rPr>
      </w:pP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七、项目负责人简历表</w:t>
      </w:r>
    </w:p>
    <w:tbl>
      <w:tblPr>
        <w:tblStyle w:val="1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077"/>
        <w:gridCol w:w="1883"/>
        <w:gridCol w:w="4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88" w:type="dxa"/>
            <w:gridSpan w:val="2"/>
            <w:tcBorders>
              <w:top w:val="single" w:color="auto" w:sz="8" w:space="0"/>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姓       名</w:t>
            </w:r>
          </w:p>
        </w:tc>
        <w:tc>
          <w:tcPr>
            <w:tcW w:w="1883" w:type="dxa"/>
            <w:tcBorders>
              <w:top w:val="single" w:color="auto" w:sz="8" w:space="0"/>
            </w:tcBorders>
            <w:vAlign w:val="center"/>
          </w:tcPr>
          <w:p>
            <w:pPr>
              <w:jc w:val="center"/>
              <w:rPr>
                <w:rFonts w:asciiTheme="majorEastAsia" w:hAnsiTheme="majorEastAsia" w:eastAsiaTheme="majorEastAsia" w:cstheme="majorEastAsia"/>
                <w:bCs/>
                <w:color w:val="auto"/>
                <w:sz w:val="28"/>
                <w:szCs w:val="28"/>
              </w:rPr>
            </w:pPr>
          </w:p>
        </w:tc>
        <w:tc>
          <w:tcPr>
            <w:tcW w:w="4789" w:type="dxa"/>
            <w:tcBorders>
              <w:top w:val="single" w:color="auto" w:sz="8" w:space="0"/>
              <w:righ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曾 担 任 项 目 负 责 人 的</w:t>
            </w:r>
          </w:p>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工 程 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性       别</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restart"/>
            <w:tcBorders>
              <w:right w:val="single" w:color="auto" w:sz="8" w:space="0"/>
            </w:tcBorders>
          </w:tcPr>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年       龄</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职       称</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毕 业 院 校</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毕 业 时 间</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988" w:type="dxa"/>
            <w:gridSpan w:val="2"/>
            <w:tcBorders>
              <w:left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所 学 专 业</w:t>
            </w: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911" w:type="dxa"/>
            <w:vMerge w:val="restart"/>
            <w:tcBorders>
              <w:left w:val="single" w:color="auto" w:sz="8" w:space="0"/>
              <w:right w:val="single" w:color="auto" w:sz="4"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执行资格</w:t>
            </w:r>
          </w:p>
        </w:tc>
        <w:tc>
          <w:tcPr>
            <w:tcW w:w="2077" w:type="dxa"/>
            <w:tcBorders>
              <w:left w:val="single" w:color="auto" w:sz="4"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中级或中级</w:t>
            </w:r>
          </w:p>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以上工程师</w:t>
            </w:r>
          </w:p>
        </w:tc>
        <w:tc>
          <w:tcPr>
            <w:tcW w:w="1883" w:type="dxa"/>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证书编号</w:t>
            </w: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911" w:type="dxa"/>
            <w:vMerge w:val="continue"/>
            <w:tcBorders>
              <w:left w:val="single" w:color="auto" w:sz="8" w:space="0"/>
              <w:right w:val="single" w:color="auto" w:sz="4" w:space="0"/>
            </w:tcBorders>
            <w:vAlign w:val="center"/>
          </w:tcPr>
          <w:p>
            <w:pPr>
              <w:jc w:val="center"/>
              <w:rPr>
                <w:rFonts w:asciiTheme="majorEastAsia" w:hAnsiTheme="majorEastAsia" w:eastAsiaTheme="majorEastAsia" w:cstheme="majorEastAsia"/>
                <w:bCs/>
                <w:color w:val="auto"/>
                <w:sz w:val="28"/>
                <w:szCs w:val="28"/>
              </w:rPr>
            </w:pPr>
          </w:p>
        </w:tc>
        <w:tc>
          <w:tcPr>
            <w:tcW w:w="2077" w:type="dxa"/>
            <w:tcBorders>
              <w:left w:val="single" w:color="auto" w:sz="4" w:space="0"/>
            </w:tcBorders>
            <w:vAlign w:val="center"/>
          </w:tcPr>
          <w:p>
            <w:pPr>
              <w:jc w:val="center"/>
              <w:rPr>
                <w:rFonts w:asciiTheme="majorEastAsia" w:hAnsiTheme="majorEastAsia" w:eastAsiaTheme="majorEastAsia" w:cstheme="majorEastAsia"/>
                <w:bCs/>
                <w:color w:val="auto"/>
                <w:sz w:val="28"/>
                <w:szCs w:val="28"/>
              </w:rPr>
            </w:pPr>
          </w:p>
        </w:tc>
        <w:tc>
          <w:tcPr>
            <w:tcW w:w="1883" w:type="dxa"/>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right w:val="single" w:color="auto" w:sz="8" w:space="0"/>
            </w:tcBorders>
            <w:vAlign w:val="center"/>
          </w:tcPr>
          <w:p>
            <w:pPr>
              <w:rPr>
                <w:rFonts w:asciiTheme="majorEastAsia" w:hAnsiTheme="majorEastAsia" w:eastAsiaTheme="majorEastAsia" w:cstheme="majorEastAsia"/>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988" w:type="dxa"/>
            <w:gridSpan w:val="2"/>
            <w:tcBorders>
              <w:left w:val="single" w:color="auto" w:sz="8" w:space="0"/>
              <w:bottom w:val="single" w:color="auto" w:sz="8" w:space="0"/>
            </w:tcBorders>
            <w:vAlign w:val="center"/>
          </w:tcPr>
          <w:p>
            <w:pPr>
              <w:jc w:val="cente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联 系 电 话</w:t>
            </w:r>
          </w:p>
        </w:tc>
        <w:tc>
          <w:tcPr>
            <w:tcW w:w="1883" w:type="dxa"/>
            <w:tcBorders>
              <w:bottom w:val="single" w:color="auto" w:sz="8" w:space="0"/>
            </w:tcBorders>
            <w:vAlign w:val="center"/>
          </w:tcPr>
          <w:p>
            <w:pPr>
              <w:jc w:val="center"/>
              <w:rPr>
                <w:rFonts w:asciiTheme="majorEastAsia" w:hAnsiTheme="majorEastAsia" w:eastAsiaTheme="majorEastAsia" w:cstheme="majorEastAsia"/>
                <w:bCs/>
                <w:color w:val="auto"/>
                <w:sz w:val="28"/>
                <w:szCs w:val="28"/>
              </w:rPr>
            </w:pPr>
          </w:p>
        </w:tc>
        <w:tc>
          <w:tcPr>
            <w:tcW w:w="4789" w:type="dxa"/>
            <w:vMerge w:val="continue"/>
            <w:tcBorders>
              <w:bottom w:val="single" w:color="auto" w:sz="8" w:space="0"/>
              <w:right w:val="single" w:color="auto" w:sz="8" w:space="0"/>
            </w:tcBorders>
            <w:vAlign w:val="center"/>
          </w:tcPr>
          <w:p>
            <w:pPr>
              <w:rPr>
                <w:rFonts w:asciiTheme="majorEastAsia" w:hAnsiTheme="majorEastAsia" w:eastAsiaTheme="majorEastAsia" w:cstheme="majorEastAsia"/>
                <w:bCs/>
                <w:color w:val="auto"/>
                <w:sz w:val="28"/>
                <w:szCs w:val="28"/>
              </w:rPr>
            </w:pPr>
          </w:p>
        </w:tc>
      </w:tr>
    </w:tbl>
    <w:p>
      <w:pPr>
        <w:ind w:firstLine="560" w:firstLineChars="200"/>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color w:val="auto"/>
          <w:sz w:val="28"/>
          <w:szCs w:val="28"/>
        </w:rPr>
        <w:t>上述填报内容真实，如不真实，将按照有关规定接受处理。</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法定代表人（签字并盖章）：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授权代理人（签字或盖章）：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pStyle w:val="24"/>
        <w:rPr>
          <w:rFonts w:hint="default"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color w:val="auto"/>
        </w:rPr>
      </w:pP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八、本项目专业人员配置表</w:t>
      </w:r>
    </w:p>
    <w:p>
      <w:pPr>
        <w:autoSpaceDE w:val="0"/>
        <w:autoSpaceDN w:val="0"/>
        <w:adjustRightInd w:val="0"/>
        <w:jc w:val="left"/>
        <w:rPr>
          <w:rFonts w:asciiTheme="majorEastAsia" w:hAnsiTheme="majorEastAsia" w:eastAsiaTheme="majorEastAsia" w:cstheme="majorEastAsia"/>
          <w:b/>
          <w:bCs/>
          <w:color w:val="auto"/>
          <w:kern w:val="0"/>
          <w:sz w:val="28"/>
          <w:szCs w:val="28"/>
        </w:rPr>
      </w:pP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559"/>
        <w:gridCol w:w="1559"/>
        <w:gridCol w:w="2693"/>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autoSpaceDE w:val="0"/>
              <w:autoSpaceDN w:val="0"/>
              <w:adjustRightInd w:val="0"/>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姓名</w:t>
            </w:r>
          </w:p>
        </w:tc>
        <w:tc>
          <w:tcPr>
            <w:tcW w:w="1559" w:type="dxa"/>
            <w:vAlign w:val="center"/>
          </w:tcPr>
          <w:p>
            <w:pPr>
              <w:autoSpaceDE w:val="0"/>
              <w:autoSpaceDN w:val="0"/>
              <w:adjustRightInd w:val="0"/>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职务</w:t>
            </w:r>
          </w:p>
        </w:tc>
        <w:tc>
          <w:tcPr>
            <w:tcW w:w="1559" w:type="dxa"/>
            <w:vAlign w:val="center"/>
          </w:tcPr>
          <w:p>
            <w:pPr>
              <w:autoSpaceDE w:val="0"/>
              <w:autoSpaceDN w:val="0"/>
              <w:adjustRightInd w:val="0"/>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职称</w:t>
            </w:r>
          </w:p>
        </w:tc>
        <w:tc>
          <w:tcPr>
            <w:tcW w:w="2693" w:type="dxa"/>
            <w:vAlign w:val="center"/>
          </w:tcPr>
          <w:p>
            <w:pPr>
              <w:autoSpaceDE w:val="0"/>
              <w:autoSpaceDN w:val="0"/>
              <w:adjustRightInd w:val="0"/>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从事专业年限</w:t>
            </w:r>
          </w:p>
        </w:tc>
        <w:tc>
          <w:tcPr>
            <w:tcW w:w="2943" w:type="dxa"/>
            <w:vAlign w:val="center"/>
          </w:tcPr>
          <w:p>
            <w:pPr>
              <w:autoSpaceDE w:val="0"/>
              <w:autoSpaceDN w:val="0"/>
              <w:adjustRightInd w:val="0"/>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
                <w:bCs/>
                <w:color w:val="auto"/>
                <w:kern w:val="0"/>
                <w:sz w:val="28"/>
                <w:szCs w:val="28"/>
              </w:rPr>
              <w:t>承担本项目内容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1559"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69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c>
          <w:tcPr>
            <w:tcW w:w="2943" w:type="dxa"/>
          </w:tcPr>
          <w:p>
            <w:pPr>
              <w:autoSpaceDE w:val="0"/>
              <w:autoSpaceDN w:val="0"/>
              <w:adjustRightInd w:val="0"/>
              <w:jc w:val="left"/>
              <w:rPr>
                <w:rFonts w:asciiTheme="majorEastAsia" w:hAnsiTheme="majorEastAsia" w:eastAsiaTheme="majorEastAsia" w:cstheme="majorEastAsia"/>
                <w:b/>
                <w:bCs/>
                <w:color w:val="auto"/>
                <w:kern w:val="0"/>
                <w:sz w:val="28"/>
                <w:szCs w:val="28"/>
              </w:rPr>
            </w:pPr>
          </w:p>
        </w:tc>
      </w:tr>
    </w:tbl>
    <w:p>
      <w:pPr>
        <w:autoSpaceDE w:val="0"/>
        <w:autoSpaceDN w:val="0"/>
        <w:adjustRightInd w:val="0"/>
        <w:spacing w:line="400" w:lineRule="exact"/>
        <w:jc w:val="left"/>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Cs/>
          <w:color w:val="auto"/>
          <w:kern w:val="0"/>
          <w:sz w:val="28"/>
          <w:szCs w:val="28"/>
        </w:rPr>
        <w:t>注：1、本项目一旦我单位中标，将实行项目负责制，并配备上述项目班子。</w:t>
      </w:r>
    </w:p>
    <w:p>
      <w:pPr>
        <w:autoSpaceDE w:val="0"/>
        <w:autoSpaceDN w:val="0"/>
        <w:adjustRightInd w:val="0"/>
        <w:spacing w:line="400" w:lineRule="exact"/>
        <w:jc w:val="left"/>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Cs/>
          <w:color w:val="auto"/>
          <w:kern w:val="0"/>
          <w:sz w:val="28"/>
          <w:szCs w:val="28"/>
        </w:rPr>
        <w:t xml:space="preserve">    2、项目专业规划人员简历中应附职称证书复印件。</w:t>
      </w: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Cs/>
          <w:color w:val="auto"/>
          <w:kern w:val="0"/>
          <w:sz w:val="28"/>
          <w:szCs w:val="28"/>
        </w:rPr>
        <w:t>3、上述填报内容真实，如不真实，将按照有关规定接受处理</w:t>
      </w:r>
    </w:p>
    <w:p>
      <w:pPr>
        <w:autoSpaceDE w:val="0"/>
        <w:autoSpaceDN w:val="0"/>
        <w:adjustRightInd w:val="0"/>
        <w:jc w:val="center"/>
        <w:rPr>
          <w:rFonts w:asciiTheme="majorEastAsia" w:hAnsiTheme="majorEastAsia" w:eastAsiaTheme="majorEastAsia" w:cstheme="majorEastAsia"/>
          <w:b/>
          <w:bCs/>
          <w:color w:val="auto"/>
          <w:kern w:val="0"/>
          <w:sz w:val="36"/>
          <w:szCs w:val="36"/>
        </w:rPr>
      </w:pPr>
    </w:p>
    <w:p>
      <w:pPr>
        <w:autoSpaceDE w:val="0"/>
        <w:autoSpaceDN w:val="0"/>
        <w:adjustRightInd w:val="0"/>
        <w:jc w:val="center"/>
        <w:rPr>
          <w:rFonts w:asciiTheme="majorEastAsia" w:hAnsiTheme="majorEastAsia" w:eastAsiaTheme="majorEastAsia" w:cstheme="majorEastAsia"/>
          <w:b/>
          <w:bCs/>
          <w:color w:val="auto"/>
          <w:kern w:val="0"/>
          <w:sz w:val="36"/>
          <w:szCs w:val="36"/>
        </w:rPr>
      </w:pPr>
    </w:p>
    <w:p>
      <w:pPr>
        <w:pStyle w:val="24"/>
        <w:rPr>
          <w:rFonts w:hint="default" w:asciiTheme="majorEastAsia" w:hAnsiTheme="majorEastAsia" w:eastAsiaTheme="majorEastAsia" w:cstheme="majorEastAsia"/>
          <w:b/>
          <w:bCs/>
          <w:color w:val="auto"/>
          <w:sz w:val="36"/>
          <w:szCs w:val="36"/>
        </w:rPr>
      </w:pPr>
    </w:p>
    <w:p>
      <w:pPr>
        <w:rPr>
          <w:rFonts w:asciiTheme="majorEastAsia" w:hAnsiTheme="majorEastAsia" w:eastAsiaTheme="majorEastAsia" w:cstheme="majorEastAsia"/>
          <w:color w:val="auto"/>
        </w:rPr>
      </w:pPr>
    </w:p>
    <w:p>
      <w:pPr>
        <w:pStyle w:val="24"/>
        <w:rPr>
          <w:rFonts w:hint="default" w:asciiTheme="majorEastAsia" w:hAnsiTheme="majorEastAsia" w:eastAsiaTheme="majorEastAsia" w:cstheme="majorEastAsia"/>
          <w:b/>
          <w:bCs/>
          <w:color w:val="auto"/>
          <w:sz w:val="36"/>
          <w:szCs w:val="36"/>
        </w:rPr>
      </w:pPr>
    </w:p>
    <w:p>
      <w:pPr>
        <w:pStyle w:val="24"/>
        <w:rPr>
          <w:rFonts w:hint="default" w:asciiTheme="majorEastAsia" w:hAnsiTheme="majorEastAsia" w:eastAsiaTheme="majorEastAsia" w:cstheme="majorEastAsia"/>
          <w:b/>
          <w:bCs/>
          <w:color w:val="auto"/>
          <w:sz w:val="36"/>
          <w:szCs w:val="36"/>
        </w:rPr>
      </w:pPr>
    </w:p>
    <w:p>
      <w:pPr>
        <w:autoSpaceDE w:val="0"/>
        <w:autoSpaceDN w:val="0"/>
        <w:adjustRightInd w:val="0"/>
        <w:jc w:val="center"/>
        <w:rPr>
          <w:rFonts w:asciiTheme="majorEastAsia" w:hAnsiTheme="majorEastAsia" w:eastAsiaTheme="majorEastAsia" w:cstheme="majorEastAsia"/>
          <w:b/>
          <w:bCs/>
          <w:color w:val="auto"/>
          <w:kern w:val="0"/>
          <w:sz w:val="36"/>
          <w:szCs w:val="36"/>
        </w:rPr>
      </w:pP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九、近三年类似项目业绩表</w:t>
      </w:r>
    </w:p>
    <w:p>
      <w:pPr>
        <w:autoSpaceDE w:val="0"/>
        <w:autoSpaceDN w:val="0"/>
        <w:adjustRightInd w:val="0"/>
        <w:jc w:val="left"/>
        <w:rPr>
          <w:rFonts w:asciiTheme="majorEastAsia" w:hAnsiTheme="majorEastAsia" w:eastAsiaTheme="majorEastAsia" w:cstheme="majorEastAsia"/>
          <w:color w:val="auto"/>
          <w:kern w:val="0"/>
          <w:sz w:val="28"/>
        </w:rPr>
      </w:pPr>
      <w:r>
        <w:rPr>
          <w:rFonts w:hint="eastAsia" w:asciiTheme="majorEastAsia" w:hAnsiTheme="majorEastAsia" w:eastAsiaTheme="majorEastAsia" w:cstheme="majorEastAsia"/>
          <w:color w:val="auto"/>
          <w:kern w:val="0"/>
          <w:sz w:val="28"/>
        </w:rPr>
        <w:t>投标人名称：</w:t>
      </w:r>
    </w:p>
    <w:tbl>
      <w:tblPr>
        <w:tblStyle w:val="1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90"/>
        <w:gridCol w:w="1541"/>
        <w:gridCol w:w="2019"/>
        <w:gridCol w:w="201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建设单位</w:t>
            </w: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项目名称</w:t>
            </w: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规划规模</w:t>
            </w: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合同履约时间</w:t>
            </w: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履约情况说明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5" w:type="dxa"/>
            <w:gridSpan w:val="6"/>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自拟项目名称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5" w:type="dxa"/>
            <w:gridSpan w:val="6"/>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自拟项目名称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5" w:type="dxa"/>
            <w:gridSpan w:val="6"/>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自拟项目名称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5" w:type="dxa"/>
            <w:gridSpan w:val="6"/>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自拟项目名称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5" w:type="dxa"/>
            <w:gridSpan w:val="6"/>
            <w:vAlign w:val="center"/>
          </w:tcPr>
          <w:p>
            <w:pPr>
              <w:autoSpaceDE w:val="0"/>
              <w:autoSpaceDN w:val="0"/>
              <w:adjustRightInd w:val="0"/>
              <w:jc w:val="center"/>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自拟项目名称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90"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1541"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9"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18"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c>
          <w:tcPr>
            <w:tcW w:w="2045" w:type="dxa"/>
            <w:vAlign w:val="center"/>
          </w:tcPr>
          <w:p>
            <w:pPr>
              <w:autoSpaceDE w:val="0"/>
              <w:autoSpaceDN w:val="0"/>
              <w:adjustRightInd w:val="0"/>
              <w:jc w:val="center"/>
              <w:rPr>
                <w:rFonts w:asciiTheme="majorEastAsia" w:hAnsiTheme="majorEastAsia" w:eastAsiaTheme="majorEastAsia" w:cstheme="majorEastAsia"/>
                <w:color w:val="auto"/>
                <w:kern w:val="0"/>
                <w:sz w:val="24"/>
              </w:rPr>
            </w:pPr>
          </w:p>
        </w:tc>
      </w:tr>
    </w:tbl>
    <w:p>
      <w:pPr>
        <w:autoSpaceDE w:val="0"/>
        <w:autoSpaceDN w:val="0"/>
        <w:adjustRightInd w:val="0"/>
        <w:jc w:val="left"/>
        <w:rPr>
          <w:rFonts w:asciiTheme="majorEastAsia" w:hAnsiTheme="majorEastAsia" w:eastAsiaTheme="majorEastAsia" w:cstheme="majorEastAsia"/>
          <w:b/>
          <w:color w:val="auto"/>
          <w:kern w:val="0"/>
          <w:sz w:val="28"/>
        </w:rPr>
      </w:pPr>
      <w:r>
        <w:rPr>
          <w:rFonts w:hint="eastAsia" w:asciiTheme="majorEastAsia" w:hAnsiTheme="majorEastAsia" w:eastAsiaTheme="majorEastAsia" w:cstheme="majorEastAsia"/>
          <w:b/>
          <w:color w:val="auto"/>
          <w:kern w:val="0"/>
          <w:sz w:val="28"/>
        </w:rPr>
        <w:t>注：此表由各投标人如实填写，如预留空格不够，可有投标人自行向下扩展，但不得改变本表格格式。业绩应附土地规划类似项目合同或中标通知书。</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投标人名称：</w:t>
      </w:r>
      <w:r>
        <w:rPr>
          <w:rFonts w:hint="eastAsia" w:asciiTheme="majorEastAsia" w:hAnsiTheme="majorEastAsia" w:eastAsiaTheme="majorEastAsia" w:cstheme="majorEastAsia"/>
          <w:b/>
          <w:color w:val="auto"/>
          <w:sz w:val="32"/>
          <w:szCs w:val="32"/>
        </w:rPr>
        <w:t xml:space="preserve"> </w:t>
      </w:r>
      <w:r>
        <w:rPr>
          <w:rFonts w:hint="eastAsia" w:asciiTheme="majorEastAsia" w:hAnsiTheme="majorEastAsia" w:eastAsiaTheme="majorEastAsia" w:cstheme="majorEastAsia"/>
          <w:bCs/>
          <w:color w:val="auto"/>
          <w:sz w:val="32"/>
          <w:szCs w:val="32"/>
          <w:u w:val="single"/>
        </w:rPr>
        <w:t xml:space="preserve">                                     </w:t>
      </w:r>
      <w:r>
        <w:rPr>
          <w:rFonts w:hint="eastAsia" w:asciiTheme="majorEastAsia" w:hAnsiTheme="majorEastAsia" w:eastAsiaTheme="majorEastAsia" w:cstheme="majorEastAsia"/>
          <w:color w:val="auto"/>
          <w:sz w:val="28"/>
          <w:szCs w:val="28"/>
        </w:rPr>
        <w:t>（盖单位章）</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法定代表人（签字并盖章）：</w:t>
      </w:r>
      <w:r>
        <w:rPr>
          <w:rFonts w:hint="eastAsia" w:asciiTheme="majorEastAsia" w:hAnsiTheme="majorEastAsia" w:eastAsiaTheme="majorEastAsia" w:cstheme="majorEastAsia"/>
          <w:color w:val="auto"/>
          <w:sz w:val="28"/>
          <w:szCs w:val="28"/>
          <w:u w:val="single"/>
        </w:rPr>
        <w:t xml:space="preserve">                                         </w:t>
      </w:r>
    </w:p>
    <w:p>
      <w:pP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color w:val="auto"/>
          <w:sz w:val="28"/>
          <w:szCs w:val="28"/>
        </w:rPr>
        <w:t xml:space="preserve">                                       日期：</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rPr>
        <w:t>日</w:t>
      </w:r>
      <w:r>
        <w:rPr>
          <w:rFonts w:hint="eastAsia" w:asciiTheme="majorEastAsia" w:hAnsiTheme="majorEastAsia" w:eastAsiaTheme="majorEastAsia" w:cstheme="majorEastAsia"/>
          <w:b/>
          <w:bCs/>
          <w:color w:val="auto"/>
          <w:kern w:val="0"/>
          <w:sz w:val="36"/>
          <w:szCs w:val="36"/>
        </w:rPr>
        <w:t xml:space="preserve"> </w:t>
      </w:r>
    </w:p>
    <w:p>
      <w:pPr>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 xml:space="preserve">   </w:t>
      </w:r>
    </w:p>
    <w:p>
      <w:pPr>
        <w:pStyle w:val="24"/>
        <w:jc w:val="center"/>
        <w:rPr>
          <w:rFonts w:hint="default" w:asciiTheme="majorEastAsia" w:hAnsiTheme="majorEastAsia" w:eastAsiaTheme="majorEastAsia" w:cstheme="majorEastAsia"/>
          <w:b/>
          <w:bCs/>
          <w:color w:val="auto"/>
          <w:sz w:val="36"/>
          <w:szCs w:val="36"/>
        </w:rPr>
      </w:pPr>
      <w:r>
        <w:rPr>
          <w:rFonts w:asciiTheme="majorEastAsia" w:hAnsiTheme="majorEastAsia" w:eastAsiaTheme="majorEastAsia" w:cstheme="majorEastAsia"/>
          <w:b/>
          <w:bCs/>
          <w:color w:val="auto"/>
          <w:sz w:val="36"/>
          <w:szCs w:val="36"/>
        </w:rPr>
        <w:t>十、近二年财务状况：附财务会计报表</w:t>
      </w:r>
    </w:p>
    <w:p>
      <w:pPr>
        <w:pStyle w:val="24"/>
        <w:jc w:val="center"/>
        <w:rPr>
          <w:rFonts w:hint="default" w:asciiTheme="majorEastAsia" w:hAnsiTheme="majorEastAsia" w:eastAsiaTheme="majorEastAsia" w:cstheme="majorEastAsia"/>
          <w:color w:val="auto"/>
        </w:rPr>
      </w:pPr>
      <w:r>
        <w:rPr>
          <w:rFonts w:asciiTheme="majorEastAsia" w:hAnsiTheme="majorEastAsia" w:eastAsiaTheme="majorEastAsia" w:cstheme="majorEastAsia"/>
          <w:color w:val="auto"/>
        </w:rPr>
        <w:t>或资产负债表或损益表的复印件</w:t>
      </w:r>
    </w:p>
    <w:p>
      <w:pPr>
        <w:pStyle w:val="24"/>
        <w:rPr>
          <w:rFonts w:hint="default" w:asciiTheme="majorEastAsia" w:hAnsiTheme="majorEastAsia" w:eastAsiaTheme="majorEastAsia" w:cstheme="majorEastAsia"/>
          <w:color w:val="auto"/>
        </w:rPr>
      </w:pPr>
    </w:p>
    <w:p>
      <w:pPr>
        <w:ind w:firstLine="2891" w:firstLineChars="800"/>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十一、投标人概况</w:t>
      </w:r>
    </w:p>
    <w:p>
      <w:pPr>
        <w:jc w:val="center"/>
        <w:rPr>
          <w:rFonts w:asciiTheme="majorEastAsia" w:hAnsiTheme="majorEastAsia" w:eastAsiaTheme="majorEastAsia" w:cstheme="majorEastAsia"/>
          <w:color w:val="auto"/>
          <w:kern w:val="0"/>
          <w:sz w:val="36"/>
          <w:szCs w:val="36"/>
        </w:rPr>
      </w:pPr>
      <w:r>
        <w:rPr>
          <w:rFonts w:hint="eastAsia" w:asciiTheme="majorEastAsia" w:hAnsiTheme="majorEastAsia" w:eastAsiaTheme="majorEastAsia" w:cstheme="majorEastAsia"/>
          <w:color w:val="auto"/>
          <w:kern w:val="0"/>
          <w:sz w:val="28"/>
          <w:szCs w:val="28"/>
        </w:rPr>
        <w:t>（企业简介及营业执照、资质证书等资格证明文件，加盖公章）</w:t>
      </w: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Cs/>
          <w:color w:val="auto"/>
          <w:kern w:val="0"/>
          <w:sz w:val="28"/>
          <w:szCs w:val="28"/>
        </w:rPr>
        <w:t>（投标单位自行编制）</w:t>
      </w:r>
    </w:p>
    <w:p>
      <w:pPr>
        <w:jc w:val="center"/>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
          <w:bCs/>
          <w:color w:val="auto"/>
          <w:kern w:val="0"/>
          <w:sz w:val="36"/>
          <w:szCs w:val="36"/>
        </w:rPr>
        <w:t>十二、编制方案</w:t>
      </w:r>
    </w:p>
    <w:p>
      <w:pPr>
        <w:jc w:val="center"/>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Cs/>
          <w:color w:val="auto"/>
          <w:kern w:val="0"/>
          <w:sz w:val="28"/>
          <w:szCs w:val="28"/>
        </w:rPr>
        <w:t>（投标单位自行编制）</w:t>
      </w:r>
    </w:p>
    <w:p>
      <w:pPr>
        <w:pStyle w:val="24"/>
        <w:rPr>
          <w:rFonts w:hint="default" w:asciiTheme="majorEastAsia" w:hAnsiTheme="majorEastAsia" w:eastAsiaTheme="majorEastAsia" w:cstheme="majorEastAsia"/>
          <w:color w:val="auto"/>
        </w:rPr>
      </w:pPr>
    </w:p>
    <w:p>
      <w:pPr>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十三、对编制工作进行决策咨询及合理性建议</w:t>
      </w:r>
    </w:p>
    <w:p>
      <w:pPr>
        <w:autoSpaceDE w:val="0"/>
        <w:autoSpaceDN w:val="0"/>
        <w:adjustRightInd w:val="0"/>
        <w:jc w:val="center"/>
        <w:rPr>
          <w:rFonts w:asciiTheme="majorEastAsia" w:hAnsiTheme="majorEastAsia" w:eastAsiaTheme="majorEastAsia" w:cstheme="majorEastAsia"/>
          <w:bCs/>
          <w:color w:val="auto"/>
          <w:kern w:val="0"/>
          <w:sz w:val="28"/>
          <w:szCs w:val="28"/>
        </w:rPr>
      </w:pPr>
      <w:r>
        <w:rPr>
          <w:rFonts w:hint="eastAsia" w:asciiTheme="majorEastAsia" w:hAnsiTheme="majorEastAsia" w:eastAsiaTheme="majorEastAsia" w:cstheme="majorEastAsia"/>
          <w:bCs/>
          <w:color w:val="auto"/>
          <w:kern w:val="0"/>
          <w:sz w:val="28"/>
          <w:szCs w:val="28"/>
        </w:rPr>
        <w:t>（投标单位自行编制）</w:t>
      </w:r>
    </w:p>
    <w:p>
      <w:pPr>
        <w:numPr>
          <w:ilvl w:val="0"/>
          <w:numId w:val="6"/>
        </w:numPr>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项目工期是否合理并满足招标人的要求，工作进度安排合理</w:t>
      </w:r>
    </w:p>
    <w:p>
      <w:pPr>
        <w:jc w:val="center"/>
        <w:rPr>
          <w:rFonts w:asciiTheme="majorEastAsia" w:hAnsiTheme="majorEastAsia" w:eastAsiaTheme="majorEastAsia" w:cstheme="majorEastAsia"/>
          <w:b/>
          <w:bCs/>
          <w:color w:val="auto"/>
          <w:kern w:val="0"/>
          <w:sz w:val="28"/>
          <w:szCs w:val="28"/>
        </w:rPr>
      </w:pPr>
      <w:r>
        <w:rPr>
          <w:rFonts w:hint="eastAsia" w:asciiTheme="majorEastAsia" w:hAnsiTheme="majorEastAsia" w:eastAsiaTheme="majorEastAsia" w:cstheme="majorEastAsia"/>
          <w:bCs/>
          <w:color w:val="auto"/>
          <w:kern w:val="0"/>
          <w:sz w:val="28"/>
          <w:szCs w:val="28"/>
        </w:rPr>
        <w:t>（提供本项目的相关人员，具体任务的安排能保证此次编制工作顺利进行，投标单位自行编制）</w:t>
      </w: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十五、合理、可行的质量保证体系措施</w:t>
      </w:r>
    </w:p>
    <w:p>
      <w:pPr>
        <w:autoSpaceDE w:val="0"/>
        <w:autoSpaceDN w:val="0"/>
        <w:adjustRightInd w:val="0"/>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bCs/>
          <w:color w:val="auto"/>
          <w:kern w:val="0"/>
          <w:sz w:val="28"/>
          <w:szCs w:val="28"/>
        </w:rPr>
        <w:t>（投标单位自行编制）</w:t>
      </w: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十六、提供本项目工作的相关人员具体任务的安排能保证项目顺利进行</w:t>
      </w:r>
    </w:p>
    <w:p>
      <w:pPr>
        <w:autoSpaceDE w:val="0"/>
        <w:autoSpaceDN w:val="0"/>
        <w:adjustRightInd w:val="0"/>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bCs/>
          <w:color w:val="auto"/>
          <w:kern w:val="0"/>
          <w:sz w:val="28"/>
          <w:szCs w:val="28"/>
        </w:rPr>
        <w:t>（投标单位自行编制）</w:t>
      </w:r>
    </w:p>
    <w:p>
      <w:pPr>
        <w:numPr>
          <w:ilvl w:val="0"/>
          <w:numId w:val="7"/>
        </w:num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服务承诺</w:t>
      </w:r>
    </w:p>
    <w:p>
      <w:pPr>
        <w:autoSpaceDE w:val="0"/>
        <w:autoSpaceDN w:val="0"/>
        <w:adjustRightInd w:val="0"/>
        <w:jc w:val="center"/>
        <w:rPr>
          <w:rFonts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Cs/>
          <w:color w:val="auto"/>
          <w:kern w:val="0"/>
          <w:sz w:val="28"/>
          <w:szCs w:val="28"/>
        </w:rPr>
        <w:t>（投标单位自行编制）</w:t>
      </w:r>
    </w:p>
    <w:p>
      <w:pPr>
        <w:autoSpaceDE w:val="0"/>
        <w:autoSpaceDN w:val="0"/>
        <w:adjustRightInd w:val="0"/>
        <w:ind w:firstLine="3253" w:firstLineChars="900"/>
        <w:rPr>
          <w:rFonts w:asciiTheme="majorEastAsia" w:hAnsiTheme="majorEastAsia" w:eastAsiaTheme="majorEastAsia" w:cstheme="majorEastAsia"/>
          <w:color w:val="auto"/>
          <w:sz w:val="28"/>
          <w:szCs w:val="36"/>
          <w:u w:val="single"/>
        </w:rPr>
      </w:pPr>
      <w:r>
        <w:rPr>
          <w:rFonts w:hint="eastAsia" w:asciiTheme="majorEastAsia" w:hAnsiTheme="majorEastAsia" w:eastAsiaTheme="majorEastAsia" w:cstheme="majorEastAsia"/>
          <w:b/>
          <w:bCs/>
          <w:color w:val="auto"/>
          <w:kern w:val="0"/>
          <w:sz w:val="36"/>
          <w:szCs w:val="36"/>
        </w:rPr>
        <w:t>十八、其他资料</w:t>
      </w:r>
    </w:p>
    <w:p>
      <w:pP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8"/>
          <w:szCs w:val="36"/>
          <w:u w:val="single"/>
        </w:rPr>
        <w:t xml:space="preserve">                                                                                                                                                                                                                                                                                                                                                                                                                                                                                                                            </w:t>
      </w:r>
    </w:p>
    <w:sectPr>
      <w:footerReference r:id="rId3" w:type="default"/>
      <w:pgSz w:w="11906" w:h="16838"/>
      <w:pgMar w:top="993" w:right="1416"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271B7"/>
    <w:multiLevelType w:val="singleLevel"/>
    <w:tmpl w:val="9B8271B7"/>
    <w:lvl w:ilvl="0" w:tentative="0">
      <w:start w:val="17"/>
      <w:numFmt w:val="chineseCounting"/>
      <w:suff w:val="nothing"/>
      <w:lvlText w:val="%1、"/>
      <w:lvlJc w:val="left"/>
      <w:rPr>
        <w:rFonts w:hint="eastAsia"/>
      </w:rPr>
    </w:lvl>
  </w:abstractNum>
  <w:abstractNum w:abstractNumId="1">
    <w:nsid w:val="A598FA73"/>
    <w:multiLevelType w:val="singleLevel"/>
    <w:tmpl w:val="A598FA73"/>
    <w:lvl w:ilvl="0" w:tentative="0">
      <w:start w:val="1"/>
      <w:numFmt w:val="decimal"/>
      <w:suff w:val="nothing"/>
      <w:lvlText w:val="（%1）"/>
      <w:lvlJc w:val="left"/>
      <w:pPr>
        <w:ind w:left="140" w:firstLine="0"/>
      </w:pPr>
    </w:lvl>
  </w:abstractNum>
  <w:abstractNum w:abstractNumId="2">
    <w:nsid w:val="DA93ACAA"/>
    <w:multiLevelType w:val="singleLevel"/>
    <w:tmpl w:val="DA93ACAA"/>
    <w:lvl w:ilvl="0" w:tentative="0">
      <w:start w:val="1"/>
      <w:numFmt w:val="decimal"/>
      <w:suff w:val="nothing"/>
      <w:lvlText w:val="（%1）"/>
      <w:lvlJc w:val="left"/>
      <w:pPr>
        <w:ind w:left="140" w:firstLine="0"/>
      </w:pPr>
    </w:lvl>
  </w:abstractNum>
  <w:abstractNum w:abstractNumId="3">
    <w:nsid w:val="006B5858"/>
    <w:multiLevelType w:val="singleLevel"/>
    <w:tmpl w:val="006B5858"/>
    <w:lvl w:ilvl="0" w:tentative="0">
      <w:start w:val="14"/>
      <w:numFmt w:val="chineseCounting"/>
      <w:suff w:val="nothing"/>
      <w:lvlText w:val="%1、"/>
      <w:lvlJc w:val="left"/>
      <w:rPr>
        <w:rFonts w:hint="eastAsia"/>
      </w:rPr>
    </w:lvl>
  </w:abstractNum>
  <w:abstractNum w:abstractNumId="4">
    <w:nsid w:val="125A28D5"/>
    <w:multiLevelType w:val="singleLevel"/>
    <w:tmpl w:val="125A28D5"/>
    <w:lvl w:ilvl="0" w:tentative="0">
      <w:start w:val="2"/>
      <w:numFmt w:val="decimal"/>
      <w:suff w:val="nothing"/>
      <w:lvlText w:val="%1、"/>
      <w:lvlJc w:val="left"/>
    </w:lvl>
  </w:abstractNum>
  <w:abstractNum w:abstractNumId="5">
    <w:nsid w:val="2D059806"/>
    <w:multiLevelType w:val="singleLevel"/>
    <w:tmpl w:val="2D059806"/>
    <w:lvl w:ilvl="0" w:tentative="0">
      <w:start w:val="1"/>
      <w:numFmt w:val="decimal"/>
      <w:suff w:val="nothing"/>
      <w:lvlText w:val="（%1）"/>
      <w:lvlJc w:val="left"/>
      <w:pPr>
        <w:ind w:left="140" w:firstLine="0"/>
      </w:pPr>
    </w:lvl>
  </w:abstractNum>
  <w:abstractNum w:abstractNumId="6">
    <w:nsid w:val="7B88C26C"/>
    <w:multiLevelType w:val="singleLevel"/>
    <w:tmpl w:val="7B88C26C"/>
    <w:lvl w:ilvl="0" w:tentative="0">
      <w:start w:val="7"/>
      <w:numFmt w:val="chineseCounting"/>
      <w:suff w:val="nothing"/>
      <w:lvlText w:val="%1、"/>
      <w:lvlJc w:val="left"/>
      <w:rPr>
        <w:rFonts w:hint="eastAsia"/>
      </w:rPr>
    </w:lvl>
  </w:abstractNum>
  <w:num w:numId="1">
    <w:abstractNumId w:val="6"/>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90"/>
    <w:rsid w:val="00006B1B"/>
    <w:rsid w:val="00011AD7"/>
    <w:rsid w:val="00032DD0"/>
    <w:rsid w:val="00055180"/>
    <w:rsid w:val="000573A3"/>
    <w:rsid w:val="00066107"/>
    <w:rsid w:val="00074721"/>
    <w:rsid w:val="000A14B3"/>
    <w:rsid w:val="000A275F"/>
    <w:rsid w:val="000C20F2"/>
    <w:rsid w:val="000D6030"/>
    <w:rsid w:val="000E19C1"/>
    <w:rsid w:val="000F5FB5"/>
    <w:rsid w:val="00100EF7"/>
    <w:rsid w:val="00120393"/>
    <w:rsid w:val="001344A1"/>
    <w:rsid w:val="00147865"/>
    <w:rsid w:val="001552EC"/>
    <w:rsid w:val="00155641"/>
    <w:rsid w:val="001669D2"/>
    <w:rsid w:val="00166B25"/>
    <w:rsid w:val="001703BD"/>
    <w:rsid w:val="00180353"/>
    <w:rsid w:val="00180ED0"/>
    <w:rsid w:val="0018559C"/>
    <w:rsid w:val="00197253"/>
    <w:rsid w:val="001A3427"/>
    <w:rsid w:val="001B52C4"/>
    <w:rsid w:val="001C0CD9"/>
    <w:rsid w:val="001D15CF"/>
    <w:rsid w:val="001E3ED8"/>
    <w:rsid w:val="001F2952"/>
    <w:rsid w:val="00215E7D"/>
    <w:rsid w:val="00216429"/>
    <w:rsid w:val="002467E2"/>
    <w:rsid w:val="00254F60"/>
    <w:rsid w:val="00266544"/>
    <w:rsid w:val="002826FD"/>
    <w:rsid w:val="002A0F0B"/>
    <w:rsid w:val="002B3332"/>
    <w:rsid w:val="002B6CC3"/>
    <w:rsid w:val="002D4FDA"/>
    <w:rsid w:val="002E118A"/>
    <w:rsid w:val="002E5738"/>
    <w:rsid w:val="002E6011"/>
    <w:rsid w:val="00303C24"/>
    <w:rsid w:val="00310DDB"/>
    <w:rsid w:val="003226ED"/>
    <w:rsid w:val="00325B1E"/>
    <w:rsid w:val="003432F0"/>
    <w:rsid w:val="0035140A"/>
    <w:rsid w:val="0035619C"/>
    <w:rsid w:val="003A7F1A"/>
    <w:rsid w:val="003B6EE2"/>
    <w:rsid w:val="003E60DB"/>
    <w:rsid w:val="003F0927"/>
    <w:rsid w:val="0041314C"/>
    <w:rsid w:val="00415160"/>
    <w:rsid w:val="0043789E"/>
    <w:rsid w:val="0044010C"/>
    <w:rsid w:val="004448E7"/>
    <w:rsid w:val="004451C6"/>
    <w:rsid w:val="00452E95"/>
    <w:rsid w:val="004537E6"/>
    <w:rsid w:val="00455B4C"/>
    <w:rsid w:val="00456B92"/>
    <w:rsid w:val="00485A76"/>
    <w:rsid w:val="004B2CE3"/>
    <w:rsid w:val="004C259D"/>
    <w:rsid w:val="004C6FA5"/>
    <w:rsid w:val="004F1E19"/>
    <w:rsid w:val="00506B3A"/>
    <w:rsid w:val="00521EAB"/>
    <w:rsid w:val="00527C98"/>
    <w:rsid w:val="00530DE1"/>
    <w:rsid w:val="0053588E"/>
    <w:rsid w:val="00543F4B"/>
    <w:rsid w:val="0054449B"/>
    <w:rsid w:val="00556A95"/>
    <w:rsid w:val="00574A61"/>
    <w:rsid w:val="0059126D"/>
    <w:rsid w:val="005A27DF"/>
    <w:rsid w:val="005A7E8B"/>
    <w:rsid w:val="005B52D4"/>
    <w:rsid w:val="005C3C74"/>
    <w:rsid w:val="005C6B4F"/>
    <w:rsid w:val="005D14E6"/>
    <w:rsid w:val="005E2962"/>
    <w:rsid w:val="005F37C1"/>
    <w:rsid w:val="005F639C"/>
    <w:rsid w:val="005F6F78"/>
    <w:rsid w:val="006066B7"/>
    <w:rsid w:val="006100F7"/>
    <w:rsid w:val="00612E32"/>
    <w:rsid w:val="00613261"/>
    <w:rsid w:val="006279A9"/>
    <w:rsid w:val="00644B5F"/>
    <w:rsid w:val="006469B4"/>
    <w:rsid w:val="00653B06"/>
    <w:rsid w:val="00657386"/>
    <w:rsid w:val="00657D74"/>
    <w:rsid w:val="006668B4"/>
    <w:rsid w:val="0067606C"/>
    <w:rsid w:val="006D253B"/>
    <w:rsid w:val="006D54EE"/>
    <w:rsid w:val="006E2082"/>
    <w:rsid w:val="006F6A25"/>
    <w:rsid w:val="00705483"/>
    <w:rsid w:val="00713086"/>
    <w:rsid w:val="007225F0"/>
    <w:rsid w:val="0072773F"/>
    <w:rsid w:val="00731D4A"/>
    <w:rsid w:val="00744094"/>
    <w:rsid w:val="00752724"/>
    <w:rsid w:val="007672DA"/>
    <w:rsid w:val="00795B90"/>
    <w:rsid w:val="007A3669"/>
    <w:rsid w:val="007A7AC0"/>
    <w:rsid w:val="007B6C82"/>
    <w:rsid w:val="00803DB6"/>
    <w:rsid w:val="00815168"/>
    <w:rsid w:val="00817C5A"/>
    <w:rsid w:val="008271FA"/>
    <w:rsid w:val="00843436"/>
    <w:rsid w:val="00847145"/>
    <w:rsid w:val="0085494E"/>
    <w:rsid w:val="00857AD3"/>
    <w:rsid w:val="00861401"/>
    <w:rsid w:val="00861FB1"/>
    <w:rsid w:val="00876DC3"/>
    <w:rsid w:val="0088686C"/>
    <w:rsid w:val="00890722"/>
    <w:rsid w:val="00893F7B"/>
    <w:rsid w:val="0089513D"/>
    <w:rsid w:val="008C156F"/>
    <w:rsid w:val="008C5929"/>
    <w:rsid w:val="008D486B"/>
    <w:rsid w:val="008F3C47"/>
    <w:rsid w:val="008F64F6"/>
    <w:rsid w:val="0091115F"/>
    <w:rsid w:val="00923A16"/>
    <w:rsid w:val="00926AC8"/>
    <w:rsid w:val="00936901"/>
    <w:rsid w:val="00943AED"/>
    <w:rsid w:val="00943F86"/>
    <w:rsid w:val="00945F50"/>
    <w:rsid w:val="0095162B"/>
    <w:rsid w:val="009607C9"/>
    <w:rsid w:val="00964876"/>
    <w:rsid w:val="009667D8"/>
    <w:rsid w:val="0097359E"/>
    <w:rsid w:val="00973FA0"/>
    <w:rsid w:val="00984613"/>
    <w:rsid w:val="009C773F"/>
    <w:rsid w:val="009E46AA"/>
    <w:rsid w:val="00A10D5C"/>
    <w:rsid w:val="00A37045"/>
    <w:rsid w:val="00A573B4"/>
    <w:rsid w:val="00A60B5C"/>
    <w:rsid w:val="00A612AA"/>
    <w:rsid w:val="00AA5F17"/>
    <w:rsid w:val="00AC5D5D"/>
    <w:rsid w:val="00AD6AE2"/>
    <w:rsid w:val="00AE25F9"/>
    <w:rsid w:val="00AE5402"/>
    <w:rsid w:val="00B041C4"/>
    <w:rsid w:val="00B20B0C"/>
    <w:rsid w:val="00B25453"/>
    <w:rsid w:val="00B50C56"/>
    <w:rsid w:val="00B52DBD"/>
    <w:rsid w:val="00B74D8E"/>
    <w:rsid w:val="00BA2817"/>
    <w:rsid w:val="00BB02A5"/>
    <w:rsid w:val="00BF2766"/>
    <w:rsid w:val="00BF6B00"/>
    <w:rsid w:val="00C2570B"/>
    <w:rsid w:val="00C364E8"/>
    <w:rsid w:val="00C372F3"/>
    <w:rsid w:val="00C377BF"/>
    <w:rsid w:val="00C6007C"/>
    <w:rsid w:val="00C642E6"/>
    <w:rsid w:val="00C71B26"/>
    <w:rsid w:val="00C81396"/>
    <w:rsid w:val="00C81B13"/>
    <w:rsid w:val="00C84346"/>
    <w:rsid w:val="00C855BC"/>
    <w:rsid w:val="00CA23A3"/>
    <w:rsid w:val="00CA52FB"/>
    <w:rsid w:val="00CA561F"/>
    <w:rsid w:val="00CA5A44"/>
    <w:rsid w:val="00CB01BE"/>
    <w:rsid w:val="00CC09E7"/>
    <w:rsid w:val="00CC1A03"/>
    <w:rsid w:val="00CC3B6D"/>
    <w:rsid w:val="00CD3FC3"/>
    <w:rsid w:val="00D038C4"/>
    <w:rsid w:val="00D32660"/>
    <w:rsid w:val="00D32FF1"/>
    <w:rsid w:val="00D34771"/>
    <w:rsid w:val="00D57FA6"/>
    <w:rsid w:val="00D86B34"/>
    <w:rsid w:val="00D96A00"/>
    <w:rsid w:val="00DA4A85"/>
    <w:rsid w:val="00DC3FAE"/>
    <w:rsid w:val="00DC406B"/>
    <w:rsid w:val="00DC6F0F"/>
    <w:rsid w:val="00DD3821"/>
    <w:rsid w:val="00DE6CE0"/>
    <w:rsid w:val="00E125E3"/>
    <w:rsid w:val="00E238D0"/>
    <w:rsid w:val="00E26615"/>
    <w:rsid w:val="00E41982"/>
    <w:rsid w:val="00E44D2F"/>
    <w:rsid w:val="00E5317F"/>
    <w:rsid w:val="00E552D4"/>
    <w:rsid w:val="00E67464"/>
    <w:rsid w:val="00E74A2E"/>
    <w:rsid w:val="00E75EF2"/>
    <w:rsid w:val="00E90501"/>
    <w:rsid w:val="00EA06CF"/>
    <w:rsid w:val="00EA4E60"/>
    <w:rsid w:val="00EB4708"/>
    <w:rsid w:val="00EE6957"/>
    <w:rsid w:val="00F024AE"/>
    <w:rsid w:val="00F056C4"/>
    <w:rsid w:val="00F247DA"/>
    <w:rsid w:val="00F27023"/>
    <w:rsid w:val="00F27651"/>
    <w:rsid w:val="00F3474E"/>
    <w:rsid w:val="00F3761F"/>
    <w:rsid w:val="00F51647"/>
    <w:rsid w:val="00F56B23"/>
    <w:rsid w:val="00F700C4"/>
    <w:rsid w:val="00F74832"/>
    <w:rsid w:val="00F76967"/>
    <w:rsid w:val="00F83BC2"/>
    <w:rsid w:val="00FF30E5"/>
    <w:rsid w:val="00FF64E8"/>
    <w:rsid w:val="00FF6938"/>
    <w:rsid w:val="011F3D19"/>
    <w:rsid w:val="0173242C"/>
    <w:rsid w:val="01E06DE1"/>
    <w:rsid w:val="01F24F84"/>
    <w:rsid w:val="02434CAD"/>
    <w:rsid w:val="039A51F5"/>
    <w:rsid w:val="03C204F9"/>
    <w:rsid w:val="04115189"/>
    <w:rsid w:val="04650B15"/>
    <w:rsid w:val="055E17BA"/>
    <w:rsid w:val="06617897"/>
    <w:rsid w:val="06E35A27"/>
    <w:rsid w:val="07377C01"/>
    <w:rsid w:val="082E28FF"/>
    <w:rsid w:val="08484AB9"/>
    <w:rsid w:val="08655194"/>
    <w:rsid w:val="08837B1B"/>
    <w:rsid w:val="08AF1CA5"/>
    <w:rsid w:val="08C11768"/>
    <w:rsid w:val="09D15FBF"/>
    <w:rsid w:val="0A5A45D8"/>
    <w:rsid w:val="0C1C5107"/>
    <w:rsid w:val="0C4019B9"/>
    <w:rsid w:val="0C454988"/>
    <w:rsid w:val="0CB73416"/>
    <w:rsid w:val="0D550DF6"/>
    <w:rsid w:val="0D697A64"/>
    <w:rsid w:val="0F193D1D"/>
    <w:rsid w:val="0F3802E2"/>
    <w:rsid w:val="106806CA"/>
    <w:rsid w:val="12F746AB"/>
    <w:rsid w:val="13121C81"/>
    <w:rsid w:val="1509577D"/>
    <w:rsid w:val="152B425D"/>
    <w:rsid w:val="153569B7"/>
    <w:rsid w:val="15FE21A8"/>
    <w:rsid w:val="16217517"/>
    <w:rsid w:val="17266AF0"/>
    <w:rsid w:val="180437D1"/>
    <w:rsid w:val="181A3981"/>
    <w:rsid w:val="1991274D"/>
    <w:rsid w:val="19FC06E3"/>
    <w:rsid w:val="1AA62ED5"/>
    <w:rsid w:val="1AAE4E0F"/>
    <w:rsid w:val="1AFB58DA"/>
    <w:rsid w:val="1B4A2911"/>
    <w:rsid w:val="1BA610CE"/>
    <w:rsid w:val="1BD4511D"/>
    <w:rsid w:val="1C634B02"/>
    <w:rsid w:val="1C9D3EC4"/>
    <w:rsid w:val="1D536B14"/>
    <w:rsid w:val="1E0F3CB9"/>
    <w:rsid w:val="1E7B6DC4"/>
    <w:rsid w:val="1E987B47"/>
    <w:rsid w:val="1F1B430C"/>
    <w:rsid w:val="1F510D0C"/>
    <w:rsid w:val="205A2632"/>
    <w:rsid w:val="205B6ADE"/>
    <w:rsid w:val="207519A5"/>
    <w:rsid w:val="20AE2899"/>
    <w:rsid w:val="20BD2D09"/>
    <w:rsid w:val="21B00278"/>
    <w:rsid w:val="21D9304A"/>
    <w:rsid w:val="220156A6"/>
    <w:rsid w:val="22974735"/>
    <w:rsid w:val="235B2C51"/>
    <w:rsid w:val="236955B7"/>
    <w:rsid w:val="24002098"/>
    <w:rsid w:val="249C6E1A"/>
    <w:rsid w:val="24EC5FC6"/>
    <w:rsid w:val="25194706"/>
    <w:rsid w:val="255D34DB"/>
    <w:rsid w:val="25A778BB"/>
    <w:rsid w:val="25E4427A"/>
    <w:rsid w:val="260A06BD"/>
    <w:rsid w:val="265F2143"/>
    <w:rsid w:val="26B26BF1"/>
    <w:rsid w:val="278C0F79"/>
    <w:rsid w:val="29210D6C"/>
    <w:rsid w:val="29780F88"/>
    <w:rsid w:val="29966286"/>
    <w:rsid w:val="2B014A26"/>
    <w:rsid w:val="2B3C43F0"/>
    <w:rsid w:val="2B575528"/>
    <w:rsid w:val="2B5A6026"/>
    <w:rsid w:val="2B9B75DF"/>
    <w:rsid w:val="2B9F456D"/>
    <w:rsid w:val="2C240316"/>
    <w:rsid w:val="2C426D5A"/>
    <w:rsid w:val="2C66104D"/>
    <w:rsid w:val="2D37202E"/>
    <w:rsid w:val="2DDC031A"/>
    <w:rsid w:val="2E0F2A9F"/>
    <w:rsid w:val="2F1228BE"/>
    <w:rsid w:val="2F6425FA"/>
    <w:rsid w:val="2F893EDA"/>
    <w:rsid w:val="30114699"/>
    <w:rsid w:val="306C5EB0"/>
    <w:rsid w:val="30C35480"/>
    <w:rsid w:val="30F069CA"/>
    <w:rsid w:val="32F33534"/>
    <w:rsid w:val="342A4779"/>
    <w:rsid w:val="34DF0B41"/>
    <w:rsid w:val="367C1DD4"/>
    <w:rsid w:val="36803C70"/>
    <w:rsid w:val="37133F58"/>
    <w:rsid w:val="37EE2627"/>
    <w:rsid w:val="38A35806"/>
    <w:rsid w:val="39354DC4"/>
    <w:rsid w:val="3AE0707E"/>
    <w:rsid w:val="3B301FD2"/>
    <w:rsid w:val="3B96233F"/>
    <w:rsid w:val="3CEE6867"/>
    <w:rsid w:val="3D166D34"/>
    <w:rsid w:val="3D886E1B"/>
    <w:rsid w:val="3DEF4447"/>
    <w:rsid w:val="3E141445"/>
    <w:rsid w:val="3E147F00"/>
    <w:rsid w:val="3E276CFC"/>
    <w:rsid w:val="3E6006EF"/>
    <w:rsid w:val="3E6F67C5"/>
    <w:rsid w:val="3EB65C2C"/>
    <w:rsid w:val="3ED70C3F"/>
    <w:rsid w:val="3EEC0EB8"/>
    <w:rsid w:val="3F5166FA"/>
    <w:rsid w:val="3F6A1CA4"/>
    <w:rsid w:val="3F712EC1"/>
    <w:rsid w:val="3FD0553D"/>
    <w:rsid w:val="3FE3392B"/>
    <w:rsid w:val="40180359"/>
    <w:rsid w:val="40757558"/>
    <w:rsid w:val="40A4439A"/>
    <w:rsid w:val="40D96BC6"/>
    <w:rsid w:val="414A3B03"/>
    <w:rsid w:val="42047F8E"/>
    <w:rsid w:val="42984F48"/>
    <w:rsid w:val="43075644"/>
    <w:rsid w:val="433950E9"/>
    <w:rsid w:val="43C463CD"/>
    <w:rsid w:val="43EB4045"/>
    <w:rsid w:val="454A7CD4"/>
    <w:rsid w:val="45E8599A"/>
    <w:rsid w:val="460135C8"/>
    <w:rsid w:val="47186D89"/>
    <w:rsid w:val="47466363"/>
    <w:rsid w:val="47640BFF"/>
    <w:rsid w:val="476E13A8"/>
    <w:rsid w:val="47B1531D"/>
    <w:rsid w:val="48275E82"/>
    <w:rsid w:val="48C4045E"/>
    <w:rsid w:val="48F14839"/>
    <w:rsid w:val="49153B12"/>
    <w:rsid w:val="4948607D"/>
    <w:rsid w:val="49A761BE"/>
    <w:rsid w:val="4A9379D2"/>
    <w:rsid w:val="4B861CFF"/>
    <w:rsid w:val="4C2370DB"/>
    <w:rsid w:val="4C9347CD"/>
    <w:rsid w:val="4D88734A"/>
    <w:rsid w:val="4D9871BA"/>
    <w:rsid w:val="4DEE6F40"/>
    <w:rsid w:val="4E542D35"/>
    <w:rsid w:val="4EC86FDE"/>
    <w:rsid w:val="4F797D39"/>
    <w:rsid w:val="4F842F13"/>
    <w:rsid w:val="50602D77"/>
    <w:rsid w:val="50627AB7"/>
    <w:rsid w:val="51DE7B42"/>
    <w:rsid w:val="51E77386"/>
    <w:rsid w:val="530F7792"/>
    <w:rsid w:val="53427DE4"/>
    <w:rsid w:val="542B0689"/>
    <w:rsid w:val="549D7BB7"/>
    <w:rsid w:val="54A975F8"/>
    <w:rsid w:val="54AC02C7"/>
    <w:rsid w:val="56512221"/>
    <w:rsid w:val="568675AD"/>
    <w:rsid w:val="56AE5501"/>
    <w:rsid w:val="56FC6617"/>
    <w:rsid w:val="571A2894"/>
    <w:rsid w:val="571A2C3A"/>
    <w:rsid w:val="5747212D"/>
    <w:rsid w:val="57BC5989"/>
    <w:rsid w:val="57EE76DD"/>
    <w:rsid w:val="58F94DB6"/>
    <w:rsid w:val="5946160A"/>
    <w:rsid w:val="5B3C13A5"/>
    <w:rsid w:val="5C9E73D7"/>
    <w:rsid w:val="5CC7215F"/>
    <w:rsid w:val="5CD57E4E"/>
    <w:rsid w:val="5D5F442D"/>
    <w:rsid w:val="5DFC1708"/>
    <w:rsid w:val="5EB77FAC"/>
    <w:rsid w:val="5ED7703C"/>
    <w:rsid w:val="5EE81CF6"/>
    <w:rsid w:val="60662F75"/>
    <w:rsid w:val="61917353"/>
    <w:rsid w:val="62581CCC"/>
    <w:rsid w:val="632279C5"/>
    <w:rsid w:val="633F2BB6"/>
    <w:rsid w:val="63921D98"/>
    <w:rsid w:val="643B1A72"/>
    <w:rsid w:val="64672E94"/>
    <w:rsid w:val="64B03CB4"/>
    <w:rsid w:val="650E53E2"/>
    <w:rsid w:val="66A342FE"/>
    <w:rsid w:val="66C81C7E"/>
    <w:rsid w:val="671C0E5B"/>
    <w:rsid w:val="6745507E"/>
    <w:rsid w:val="67C6388B"/>
    <w:rsid w:val="683E64CF"/>
    <w:rsid w:val="6930440C"/>
    <w:rsid w:val="69B97D55"/>
    <w:rsid w:val="69E13BDB"/>
    <w:rsid w:val="6A0D39DF"/>
    <w:rsid w:val="6B696802"/>
    <w:rsid w:val="6BC469B4"/>
    <w:rsid w:val="6D3C73B0"/>
    <w:rsid w:val="6DA203AA"/>
    <w:rsid w:val="6E463D66"/>
    <w:rsid w:val="6E4E5A17"/>
    <w:rsid w:val="6F2650B8"/>
    <w:rsid w:val="6F9D4D78"/>
    <w:rsid w:val="6FD049C8"/>
    <w:rsid w:val="70DB6EFE"/>
    <w:rsid w:val="714C32FD"/>
    <w:rsid w:val="717D1C9B"/>
    <w:rsid w:val="724A3B19"/>
    <w:rsid w:val="72BF24D0"/>
    <w:rsid w:val="738528C7"/>
    <w:rsid w:val="748546CE"/>
    <w:rsid w:val="74F66D29"/>
    <w:rsid w:val="752F3BFA"/>
    <w:rsid w:val="758064B8"/>
    <w:rsid w:val="76624ECD"/>
    <w:rsid w:val="766A4889"/>
    <w:rsid w:val="76793A62"/>
    <w:rsid w:val="76BC56D7"/>
    <w:rsid w:val="76E16441"/>
    <w:rsid w:val="774518DF"/>
    <w:rsid w:val="77BE05EC"/>
    <w:rsid w:val="77C874D1"/>
    <w:rsid w:val="796C1210"/>
    <w:rsid w:val="79D06852"/>
    <w:rsid w:val="7AAE3593"/>
    <w:rsid w:val="7AE8061C"/>
    <w:rsid w:val="7B604B4F"/>
    <w:rsid w:val="7BD5305A"/>
    <w:rsid w:val="7BFA0524"/>
    <w:rsid w:val="7CEF249A"/>
    <w:rsid w:val="7D1828B6"/>
    <w:rsid w:val="7DF112FF"/>
    <w:rsid w:val="7E706F7B"/>
    <w:rsid w:val="7F7B40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qFormat="1" w:uiPriority="99" w:semiHidden="0"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locked/>
    <w:uiPriority w:val="0"/>
    <w:pPr>
      <w:keepNext/>
      <w:keepLines/>
      <w:spacing w:before="180" w:after="180" w:line="360" w:lineRule="auto"/>
      <w:outlineLvl w:val="0"/>
    </w:pPr>
    <w:rPr>
      <w:rFonts w:eastAsia="黑体"/>
      <w:b/>
      <w:kern w:val="44"/>
      <w:sz w:val="30"/>
    </w:rPr>
  </w:style>
  <w:style w:type="paragraph" w:styleId="4">
    <w:name w:val="heading 2"/>
    <w:basedOn w:val="1"/>
    <w:next w:val="1"/>
    <w:qFormat/>
    <w:locked/>
    <w:uiPriority w:val="0"/>
    <w:pPr>
      <w:jc w:val="left"/>
      <w:outlineLvl w:val="1"/>
    </w:pPr>
    <w:rPr>
      <w:rFonts w:hint="eastAsia" w:ascii="宋体" w:hAnsi="宋体"/>
      <w:kern w:val="0"/>
      <w:sz w:val="24"/>
      <w:szCs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Char"/>
    <w:basedOn w:val="1"/>
    <w:uiPriority w:val="0"/>
    <w:pPr>
      <w:widowControl/>
      <w:spacing w:after="160" w:line="240" w:lineRule="exact"/>
      <w:jc w:val="left"/>
    </w:pPr>
    <w:rPr>
      <w:rFonts w:ascii="Verdana" w:hAnsi="Verdana" w:eastAsia="楷体_GB2312"/>
      <w:b/>
      <w:i/>
      <w:iCs/>
      <w:color w:val="000000"/>
      <w:kern w:val="0"/>
      <w:sz w:val="20"/>
      <w:lang w:eastAsia="en-US"/>
    </w:rPr>
  </w:style>
  <w:style w:type="paragraph" w:styleId="5">
    <w:name w:val="Normal Indent"/>
    <w:basedOn w:val="1"/>
    <w:next w:val="1"/>
    <w:unhideWhenUsed/>
    <w:qFormat/>
    <w:uiPriority w:val="0"/>
    <w:pPr>
      <w:ind w:firstLine="420"/>
    </w:pPr>
  </w:style>
  <w:style w:type="paragraph" w:styleId="6">
    <w:name w:val="Document Map"/>
    <w:basedOn w:val="1"/>
    <w:link w:val="43"/>
    <w:unhideWhenUsed/>
    <w:qFormat/>
    <w:uiPriority w:val="99"/>
    <w:rPr>
      <w:rFonts w:ascii="宋体"/>
      <w:sz w:val="18"/>
      <w:szCs w:val="18"/>
    </w:rPr>
  </w:style>
  <w:style w:type="paragraph" w:styleId="7">
    <w:name w:val="annotation text"/>
    <w:basedOn w:val="1"/>
    <w:link w:val="44"/>
    <w:unhideWhenUsed/>
    <w:qFormat/>
    <w:uiPriority w:val="99"/>
    <w:pPr>
      <w:jc w:val="left"/>
    </w:pPr>
  </w:style>
  <w:style w:type="paragraph" w:styleId="8">
    <w:name w:val="Body Text"/>
    <w:basedOn w:val="1"/>
    <w:unhideWhenUsed/>
    <w:qFormat/>
    <w:uiPriority w:val="99"/>
    <w:pPr>
      <w:spacing w:after="120"/>
    </w:pPr>
    <w:rPr>
      <w:rFonts w:ascii="Calibri" w:hAnsi="Calibri" w:cs="Calibri"/>
    </w:rPr>
  </w:style>
  <w:style w:type="paragraph" w:styleId="9">
    <w:name w:val="Plain Text"/>
    <w:basedOn w:val="1"/>
    <w:link w:val="25"/>
    <w:qFormat/>
    <w:uiPriority w:val="99"/>
    <w:rPr>
      <w:rFonts w:ascii="宋体" w:hAnsi="Calibri"/>
    </w:rPr>
  </w:style>
  <w:style w:type="paragraph" w:styleId="10">
    <w:name w:val="Date"/>
    <w:basedOn w:val="1"/>
    <w:next w:val="1"/>
    <w:link w:val="26"/>
    <w:qFormat/>
    <w:uiPriority w:val="99"/>
    <w:pPr>
      <w:ind w:left="100" w:leftChars="2500"/>
    </w:pPr>
    <w:rPr>
      <w:kern w:val="0"/>
      <w:sz w:val="20"/>
    </w:rPr>
  </w:style>
  <w:style w:type="paragraph" w:styleId="11">
    <w:name w:val="Balloon Text"/>
    <w:basedOn w:val="1"/>
    <w:link w:val="46"/>
    <w:unhideWhenUsed/>
    <w:qFormat/>
    <w:uiPriority w:val="99"/>
    <w:rPr>
      <w:sz w:val="18"/>
      <w:szCs w:val="18"/>
    </w:rPr>
  </w:style>
  <w:style w:type="paragraph" w:styleId="12">
    <w:name w:val="footer"/>
    <w:basedOn w:val="1"/>
    <w:link w:val="27"/>
    <w:semiHidden/>
    <w:qFormat/>
    <w:uiPriority w:val="99"/>
    <w:pPr>
      <w:tabs>
        <w:tab w:val="center" w:pos="4153"/>
        <w:tab w:val="right" w:pos="8306"/>
      </w:tabs>
      <w:snapToGrid w:val="0"/>
      <w:jc w:val="left"/>
    </w:pPr>
    <w:rPr>
      <w:kern w:val="0"/>
      <w:sz w:val="18"/>
      <w:szCs w:val="18"/>
    </w:rPr>
  </w:style>
  <w:style w:type="paragraph" w:styleId="13">
    <w:name w:val="header"/>
    <w:basedOn w:val="1"/>
    <w:link w:val="2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footnote text"/>
    <w:basedOn w:val="1"/>
    <w:unhideWhenUsed/>
    <w:qFormat/>
    <w:uiPriority w:val="99"/>
    <w:pPr>
      <w:snapToGrid w:val="0"/>
      <w:jc w:val="left"/>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7"/>
    <w:next w:val="7"/>
    <w:link w:val="45"/>
    <w:unhideWhenUsed/>
    <w:qFormat/>
    <w:uiPriority w:val="99"/>
    <w:rPr>
      <w:b/>
      <w:bCs/>
    </w:rPr>
  </w:style>
  <w:style w:type="paragraph" w:styleId="17">
    <w:name w:val="Body Text First Indent"/>
    <w:basedOn w:val="8"/>
    <w:unhideWhenUsed/>
    <w:qFormat/>
    <w:uiPriority w:val="99"/>
    <w:pPr>
      <w:ind w:firstLine="420"/>
    </w:pPr>
    <w:rPr>
      <w:rFonts w:ascii="Times New Roman" w:hAnsi="Times New Roman" w:cs="Times New Roman"/>
    </w:rPr>
  </w:style>
  <w:style w:type="table" w:styleId="19">
    <w:name w:val="Table Grid"/>
    <w:basedOn w:val="18"/>
    <w:unhideWhenUsed/>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99"/>
    <w:rPr>
      <w:rFonts w:cs="Times New Roman"/>
      <w:b/>
    </w:rPr>
  </w:style>
  <w:style w:type="character" w:styleId="22">
    <w:name w:val="Hyperlink"/>
    <w:basedOn w:val="20"/>
    <w:qFormat/>
    <w:uiPriority w:val="99"/>
    <w:rPr>
      <w:rFonts w:cs="Times New Roman"/>
      <w:color w:val="0000FF"/>
      <w:sz w:val="24"/>
      <w:u w:val="single"/>
    </w:rPr>
  </w:style>
  <w:style w:type="character" w:styleId="23">
    <w:name w:val="annotation reference"/>
    <w:basedOn w:val="20"/>
    <w:unhideWhenUsed/>
    <w:qFormat/>
    <w:uiPriority w:val="99"/>
    <w:rPr>
      <w:sz w:val="21"/>
      <w:szCs w:val="21"/>
    </w:rPr>
  </w:style>
  <w:style w:type="paragraph" w:customStyle="1" w:styleId="2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5">
    <w:name w:val="纯文本 字符"/>
    <w:basedOn w:val="20"/>
    <w:link w:val="9"/>
    <w:qFormat/>
    <w:locked/>
    <w:uiPriority w:val="99"/>
    <w:rPr>
      <w:rFonts w:ascii="宋体" w:eastAsia="宋体" w:cs="Times New Roman"/>
      <w:kern w:val="2"/>
      <w:sz w:val="21"/>
      <w:lang w:val="en-US" w:eastAsia="zh-CN"/>
    </w:rPr>
  </w:style>
  <w:style w:type="character" w:customStyle="1" w:styleId="26">
    <w:name w:val="日期 字符"/>
    <w:basedOn w:val="20"/>
    <w:link w:val="10"/>
    <w:semiHidden/>
    <w:qFormat/>
    <w:locked/>
    <w:uiPriority w:val="99"/>
    <w:rPr>
      <w:rFonts w:ascii="Times New Roman" w:hAnsi="Times New Roman" w:cs="Times New Roman"/>
      <w:sz w:val="20"/>
    </w:rPr>
  </w:style>
  <w:style w:type="character" w:customStyle="1" w:styleId="27">
    <w:name w:val="页脚 字符"/>
    <w:basedOn w:val="20"/>
    <w:link w:val="12"/>
    <w:semiHidden/>
    <w:qFormat/>
    <w:locked/>
    <w:uiPriority w:val="99"/>
    <w:rPr>
      <w:rFonts w:ascii="Times New Roman" w:hAnsi="Times New Roman" w:eastAsia="宋体" w:cs="Times New Roman"/>
      <w:sz w:val="18"/>
    </w:rPr>
  </w:style>
  <w:style w:type="character" w:customStyle="1" w:styleId="28">
    <w:name w:val="页眉 字符"/>
    <w:basedOn w:val="20"/>
    <w:link w:val="13"/>
    <w:semiHidden/>
    <w:qFormat/>
    <w:locked/>
    <w:uiPriority w:val="99"/>
    <w:rPr>
      <w:rFonts w:ascii="Times New Roman" w:hAnsi="Times New Roman" w:eastAsia="宋体" w:cs="Times New Roman"/>
      <w:sz w:val="18"/>
    </w:rPr>
  </w:style>
  <w:style w:type="character" w:customStyle="1" w:styleId="29">
    <w:name w:val="Default Text Char"/>
    <w:link w:val="30"/>
    <w:qFormat/>
    <w:locked/>
    <w:uiPriority w:val="99"/>
    <w:rPr>
      <w:color w:val="000000"/>
      <w:kern w:val="2"/>
      <w:sz w:val="24"/>
      <w:lang w:val="en-US" w:eastAsia="zh-CN"/>
    </w:rPr>
  </w:style>
  <w:style w:type="paragraph" w:customStyle="1" w:styleId="30">
    <w:name w:val="Default Text"/>
    <w:link w:val="29"/>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1">
    <w:name w:val="缺省文本"/>
    <w:qFormat/>
    <w:uiPriority w:val="99"/>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2">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33">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4">
    <w:name w:val="Char1 Char Char Char"/>
    <w:basedOn w:val="1"/>
    <w:qFormat/>
    <w:uiPriority w:val="99"/>
    <w:rPr>
      <w:szCs w:val="24"/>
    </w:rPr>
  </w:style>
  <w:style w:type="character" w:customStyle="1" w:styleId="35">
    <w:name w:val="font41"/>
    <w:basedOn w:val="20"/>
    <w:qFormat/>
    <w:uiPriority w:val="0"/>
    <w:rPr>
      <w:rFonts w:hint="eastAsia" w:ascii="宋体" w:hAnsi="宋体" w:eastAsia="宋体" w:cs="宋体"/>
      <w:color w:val="000000"/>
      <w:sz w:val="18"/>
      <w:szCs w:val="18"/>
      <w:u w:val="none"/>
    </w:rPr>
  </w:style>
  <w:style w:type="character" w:customStyle="1" w:styleId="36">
    <w:name w:val="font31"/>
    <w:basedOn w:val="20"/>
    <w:qFormat/>
    <w:uiPriority w:val="0"/>
    <w:rPr>
      <w:rFonts w:hint="default" w:ascii="Arial Unicode MS" w:hAnsi="Arial Unicode MS" w:eastAsia="Arial Unicode MS" w:cs="Arial Unicode MS"/>
      <w:color w:val="000000"/>
      <w:sz w:val="18"/>
      <w:szCs w:val="18"/>
      <w:u w:val="none"/>
    </w:rPr>
  </w:style>
  <w:style w:type="character" w:customStyle="1" w:styleId="37">
    <w:name w:val="font21"/>
    <w:basedOn w:val="20"/>
    <w:qFormat/>
    <w:uiPriority w:val="0"/>
    <w:rPr>
      <w:rFonts w:hint="default" w:ascii="Arial" w:hAnsi="Arial" w:cs="Arial"/>
      <w:color w:val="000000"/>
      <w:sz w:val="18"/>
      <w:szCs w:val="18"/>
      <w:u w:val="none"/>
    </w:rPr>
  </w:style>
  <w:style w:type="character" w:customStyle="1" w:styleId="38">
    <w:name w:val="font51"/>
    <w:basedOn w:val="20"/>
    <w:qFormat/>
    <w:uiPriority w:val="0"/>
    <w:rPr>
      <w:rFonts w:hint="eastAsia" w:ascii="宋体" w:hAnsi="宋体" w:eastAsia="宋体" w:cs="宋体"/>
      <w:color w:val="000000"/>
      <w:sz w:val="18"/>
      <w:szCs w:val="18"/>
      <w:u w:val="none"/>
    </w:rPr>
  </w:style>
  <w:style w:type="character" w:customStyle="1" w:styleId="39">
    <w:name w:val="font111"/>
    <w:basedOn w:val="20"/>
    <w:qFormat/>
    <w:uiPriority w:val="0"/>
    <w:rPr>
      <w:rFonts w:hint="eastAsia" w:ascii="宋体" w:hAnsi="宋体" w:eastAsia="宋体" w:cs="宋体"/>
      <w:color w:val="000000"/>
      <w:sz w:val="18"/>
      <w:szCs w:val="18"/>
      <w:u w:val="none"/>
    </w:rPr>
  </w:style>
  <w:style w:type="character" w:customStyle="1" w:styleId="40">
    <w:name w:val="font61"/>
    <w:basedOn w:val="20"/>
    <w:qFormat/>
    <w:uiPriority w:val="0"/>
    <w:rPr>
      <w:rFonts w:hint="default" w:ascii="Arial Unicode MS" w:hAnsi="Arial Unicode MS" w:eastAsia="Arial Unicode MS" w:cs="Arial Unicode MS"/>
      <w:color w:val="000000"/>
      <w:sz w:val="18"/>
      <w:szCs w:val="18"/>
      <w:u w:val="none"/>
    </w:rPr>
  </w:style>
  <w:style w:type="character" w:customStyle="1" w:styleId="41">
    <w:name w:val="font71"/>
    <w:basedOn w:val="20"/>
    <w:qFormat/>
    <w:uiPriority w:val="0"/>
    <w:rPr>
      <w:rFonts w:hint="default" w:ascii="Arial" w:hAnsi="Arial" w:cs="Arial"/>
      <w:color w:val="000000"/>
      <w:sz w:val="18"/>
      <w:szCs w:val="18"/>
      <w:u w:val="none"/>
    </w:rPr>
  </w:style>
  <w:style w:type="paragraph" w:customStyle="1" w:styleId="42">
    <w:name w:val="列出段落1"/>
    <w:basedOn w:val="1"/>
    <w:unhideWhenUsed/>
    <w:qFormat/>
    <w:uiPriority w:val="34"/>
    <w:pPr>
      <w:ind w:firstLine="420" w:firstLineChars="200"/>
    </w:pPr>
  </w:style>
  <w:style w:type="character" w:customStyle="1" w:styleId="43">
    <w:name w:val="文档结构图 字符"/>
    <w:basedOn w:val="20"/>
    <w:link w:val="6"/>
    <w:semiHidden/>
    <w:qFormat/>
    <w:uiPriority w:val="99"/>
    <w:rPr>
      <w:rFonts w:ascii="宋体"/>
      <w:kern w:val="2"/>
      <w:sz w:val="18"/>
      <w:szCs w:val="18"/>
    </w:rPr>
  </w:style>
  <w:style w:type="character" w:customStyle="1" w:styleId="44">
    <w:name w:val="批注文字 字符"/>
    <w:basedOn w:val="20"/>
    <w:link w:val="7"/>
    <w:semiHidden/>
    <w:qFormat/>
    <w:uiPriority w:val="99"/>
    <w:rPr>
      <w:kern w:val="2"/>
      <w:sz w:val="21"/>
    </w:rPr>
  </w:style>
  <w:style w:type="character" w:customStyle="1" w:styleId="45">
    <w:name w:val="批注主题 字符"/>
    <w:basedOn w:val="44"/>
    <w:link w:val="16"/>
    <w:semiHidden/>
    <w:qFormat/>
    <w:uiPriority w:val="99"/>
    <w:rPr>
      <w:b/>
      <w:bCs/>
      <w:kern w:val="2"/>
      <w:sz w:val="21"/>
    </w:rPr>
  </w:style>
  <w:style w:type="character" w:customStyle="1" w:styleId="46">
    <w:name w:val="批注框文本 字符"/>
    <w:basedOn w:val="20"/>
    <w:link w:val="11"/>
    <w:semiHidden/>
    <w:qFormat/>
    <w:uiPriority w:val="99"/>
    <w:rPr>
      <w:kern w:val="2"/>
      <w:sz w:val="18"/>
      <w:szCs w:val="18"/>
    </w:rPr>
  </w:style>
  <w:style w:type="paragraph" w:customStyle="1" w:styleId="47">
    <w:name w:val="正文缩进3"/>
    <w:basedOn w:val="1"/>
    <w:qFormat/>
    <w:uiPriority w:val="0"/>
    <w:pPr>
      <w:spacing w:line="480" w:lineRule="auto"/>
      <w:ind w:firstLine="420" w:firstLineChars="200"/>
    </w:pPr>
    <w:rPr>
      <w:rFonts w:ascii="Calibri" w:hAnsi="Calibri" w:eastAsia="微软雅黑" w:cs="黑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3A216-E9B4-4351-A88F-BB0C1F8FC9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3082</Words>
  <Characters>17574</Characters>
  <Lines>146</Lines>
  <Paragraphs>41</Paragraphs>
  <TotalTime>132</TotalTime>
  <ScaleCrop>false</ScaleCrop>
  <LinksUpToDate>false</LinksUpToDate>
  <CharactersWithSpaces>20615</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2017-02-23T02:25:00Z</dcterms:created>
  <dc:creator>lenovo</dc:creator>
  <cp:lastModifiedBy>A～小石</cp:lastModifiedBy>
  <cp:lastPrinted>2019-11-21T10:05:00Z</cp:lastPrinted>
  <dcterms:modified xsi:type="dcterms:W3CDTF">2021-10-28T08:05:01Z</dcterms:modified>
  <dc:title>招</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5E4F583B35954352B40C49A39258CE74</vt:lpwstr>
  </property>
</Properties>
</file>