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220" w:leftChars="100" w:firstLine="0" w:firstLineChars="0"/>
        <w:rPr>
          <w:rFonts w:ascii="Times New Roman"/>
          <w:sz w:val="20"/>
          <w:highlight w:val="none"/>
        </w:rPr>
      </w:pPr>
    </w:p>
    <w:p>
      <w:pPr>
        <w:pStyle w:val="10"/>
        <w:ind w:left="0"/>
        <w:rPr>
          <w:rFonts w:ascii="Times New Roman"/>
          <w:sz w:val="21"/>
          <w:highlight w:val="none"/>
        </w:rPr>
      </w:pPr>
    </w:p>
    <w:p>
      <w:pPr>
        <w:pStyle w:val="3"/>
        <w:spacing w:before="39" w:line="170" w:lineRule="auto"/>
        <w:rPr>
          <w:highlight w:val="none"/>
        </w:rPr>
      </w:pPr>
      <w:bookmarkStart w:id="0" w:name="_Toc14573"/>
      <w:r>
        <w:rPr>
          <w:rFonts w:hint="eastAsia"/>
          <w:highlight w:val="none"/>
        </w:rPr>
        <w:t>麦盖提县</w:t>
      </w:r>
      <w:r>
        <w:rPr>
          <w:highlight w:val="none"/>
        </w:rPr>
        <w:t>政府采购招标文件</w:t>
      </w:r>
      <w:bookmarkEnd w:id="0"/>
      <w:r>
        <w:rPr>
          <w:w w:val="200"/>
          <w:highlight w:val="none"/>
        </w:rPr>
        <w:t xml:space="preserve"> </w:t>
      </w:r>
    </w:p>
    <w:p>
      <w:pPr>
        <w:pStyle w:val="4"/>
        <w:spacing w:line="455" w:lineRule="exact"/>
        <w:ind w:left="0" w:right="798"/>
        <w:jc w:val="center"/>
        <w:outlineLvl w:val="9"/>
        <w:rPr>
          <w:highlight w:val="none"/>
        </w:rPr>
      </w:pPr>
      <w:r>
        <w:rPr>
          <w:w w:val="200"/>
          <w:highlight w:val="none"/>
        </w:rPr>
        <w:t xml:space="preserve"> </w:t>
      </w:r>
    </w:p>
    <w:p>
      <w:pPr>
        <w:spacing w:before="0" w:line="1129" w:lineRule="exact"/>
        <w:ind w:left="2080" w:right="2698" w:firstLine="0"/>
        <w:jc w:val="center"/>
        <w:rPr>
          <w:rFonts w:hint="eastAsia" w:ascii="Microsoft JhengHei" w:eastAsia="Microsoft JhengHei"/>
          <w:b/>
          <w:sz w:val="72"/>
          <w:highlight w:val="none"/>
        </w:rPr>
      </w:pPr>
      <w:r>
        <w:rPr>
          <w:rFonts w:hint="eastAsia" w:ascii="Microsoft JhengHei" w:eastAsia="Microsoft JhengHei"/>
          <w:b/>
          <w:sz w:val="72"/>
          <w:highlight w:val="none"/>
        </w:rPr>
        <w:t>（服务类）</w:t>
      </w:r>
      <w:r>
        <w:rPr>
          <w:rFonts w:hint="eastAsia" w:ascii="Microsoft JhengHei" w:eastAsia="Microsoft JhengHei"/>
          <w:b/>
          <w:w w:val="200"/>
          <w:sz w:val="72"/>
          <w:highlight w:val="none"/>
        </w:rPr>
        <w:t xml:space="preserve"> </w:t>
      </w:r>
    </w:p>
    <w:p>
      <w:pPr>
        <w:pStyle w:val="5"/>
        <w:spacing w:before="0" w:line="511" w:lineRule="exact"/>
        <w:ind w:left="0" w:right="818"/>
        <w:jc w:val="center"/>
        <w:outlineLvl w:val="9"/>
        <w:rPr>
          <w:highlight w:val="none"/>
        </w:rPr>
      </w:pPr>
      <w:r>
        <w:rPr>
          <w:w w:val="199"/>
          <w:highlight w:val="none"/>
        </w:rPr>
        <w:t xml:space="preserve"> </w:t>
      </w:r>
    </w:p>
    <w:p>
      <w:pPr>
        <w:spacing w:before="36"/>
        <w:ind w:left="0" w:right="818" w:firstLine="0"/>
        <w:jc w:val="center"/>
        <w:rPr>
          <w:rFonts w:ascii="Microsoft JhengHei"/>
          <w:b/>
          <w:sz w:val="32"/>
          <w:highlight w:val="none"/>
        </w:rPr>
      </w:pPr>
      <w:r>
        <w:rPr>
          <w:rFonts w:ascii="Microsoft JhengHei"/>
          <w:b/>
          <w:w w:val="199"/>
          <w:sz w:val="32"/>
          <w:highlight w:val="none"/>
        </w:rPr>
        <w:t xml:space="preserve"> </w:t>
      </w:r>
    </w:p>
    <w:p>
      <w:pPr>
        <w:spacing w:before="35"/>
        <w:ind w:left="0" w:right="818" w:firstLine="0"/>
        <w:jc w:val="center"/>
        <w:rPr>
          <w:rFonts w:ascii="Microsoft JhengHei"/>
          <w:b/>
          <w:sz w:val="32"/>
          <w:highlight w:val="none"/>
        </w:rPr>
      </w:pPr>
      <w:r>
        <w:rPr>
          <w:rFonts w:ascii="Microsoft JhengHei"/>
          <w:b/>
          <w:w w:val="199"/>
          <w:sz w:val="32"/>
          <w:highlight w:val="none"/>
        </w:rPr>
        <w:t xml:space="preserve"> </w:t>
      </w:r>
    </w:p>
    <w:p>
      <w:pPr>
        <w:spacing w:before="36"/>
        <w:ind w:left="0" w:right="818" w:firstLine="0"/>
        <w:jc w:val="center"/>
        <w:rPr>
          <w:rFonts w:ascii="Microsoft JhengHei"/>
          <w:b/>
          <w:sz w:val="32"/>
          <w:highlight w:val="none"/>
        </w:rPr>
      </w:pPr>
      <w:r>
        <w:rPr>
          <w:rFonts w:ascii="Microsoft JhengHei"/>
          <w:b/>
          <w:w w:val="199"/>
          <w:sz w:val="32"/>
          <w:highlight w:val="none"/>
        </w:rPr>
        <w:t xml:space="preserve"> </w:t>
      </w:r>
    </w:p>
    <w:p>
      <w:pPr>
        <w:spacing w:before="35"/>
        <w:ind w:left="0" w:right="818" w:firstLine="0"/>
        <w:jc w:val="center"/>
        <w:rPr>
          <w:rFonts w:ascii="Microsoft JhengHei"/>
          <w:b/>
          <w:sz w:val="32"/>
          <w:highlight w:val="none"/>
        </w:rPr>
      </w:pPr>
      <w:r>
        <w:rPr>
          <w:rFonts w:ascii="Microsoft JhengHei"/>
          <w:b/>
          <w:w w:val="199"/>
          <w:sz w:val="32"/>
          <w:highlight w:val="none"/>
        </w:rPr>
        <w:t xml:space="preserve"> </w:t>
      </w:r>
    </w:p>
    <w:p>
      <w:pPr>
        <w:spacing w:before="36"/>
        <w:ind w:left="0" w:right="818" w:firstLine="0"/>
        <w:jc w:val="center"/>
        <w:rPr>
          <w:rFonts w:ascii="Microsoft JhengHei"/>
          <w:b/>
          <w:sz w:val="32"/>
          <w:highlight w:val="none"/>
        </w:rPr>
      </w:pPr>
      <w:r>
        <w:rPr>
          <w:rFonts w:ascii="Microsoft JhengHei"/>
          <w:b/>
          <w:w w:val="199"/>
          <w:sz w:val="32"/>
          <w:highlight w:val="none"/>
        </w:rPr>
        <w:t xml:space="preserve"> </w:t>
      </w:r>
    </w:p>
    <w:p>
      <w:pPr>
        <w:spacing w:before="36"/>
        <w:ind w:left="0" w:right="818" w:firstLine="0"/>
        <w:jc w:val="center"/>
        <w:rPr>
          <w:rFonts w:ascii="Microsoft JhengHei"/>
          <w:b/>
          <w:sz w:val="32"/>
          <w:highlight w:val="none"/>
        </w:rPr>
      </w:pPr>
      <w:r>
        <w:rPr>
          <w:rFonts w:ascii="Microsoft JhengHei"/>
          <w:b/>
          <w:w w:val="199"/>
          <w:sz w:val="32"/>
          <w:highlight w:val="none"/>
        </w:rPr>
        <w:t xml:space="preserve"> </w:t>
      </w:r>
    </w:p>
    <w:p>
      <w:pPr>
        <w:spacing w:before="35"/>
        <w:ind w:left="0" w:right="818" w:firstLine="0"/>
        <w:jc w:val="center"/>
        <w:rPr>
          <w:rFonts w:ascii="Microsoft JhengHei"/>
          <w:b/>
          <w:sz w:val="32"/>
          <w:highlight w:val="none"/>
        </w:rPr>
      </w:pPr>
      <w:r>
        <w:rPr>
          <w:rFonts w:ascii="Microsoft JhengHei"/>
          <w:b/>
          <w:w w:val="199"/>
          <w:sz w:val="32"/>
          <w:highlight w:val="none"/>
        </w:rPr>
        <w:t xml:space="preserve"> </w:t>
      </w:r>
    </w:p>
    <w:p>
      <w:pPr>
        <w:spacing w:before="36"/>
        <w:ind w:left="0" w:right="818" w:firstLine="0"/>
        <w:jc w:val="center"/>
        <w:rPr>
          <w:rFonts w:ascii="Microsoft JhengHei"/>
          <w:b/>
          <w:sz w:val="32"/>
          <w:highlight w:val="none"/>
        </w:rPr>
      </w:pPr>
      <w:r>
        <w:rPr>
          <w:rFonts w:ascii="Microsoft JhengHei"/>
          <w:b/>
          <w:w w:val="199"/>
          <w:sz w:val="32"/>
          <w:highlight w:val="none"/>
        </w:rPr>
        <w:t xml:space="preserve"> </w:t>
      </w:r>
    </w:p>
    <w:p>
      <w:pPr>
        <w:spacing w:before="36"/>
        <w:ind w:right="818" w:firstLine="810" w:firstLineChars="300"/>
        <w:jc w:val="left"/>
        <w:rPr>
          <w:rFonts w:hint="eastAsia" w:ascii="Microsoft JhengHei" w:eastAsia="Microsoft JhengHei"/>
          <w:b/>
          <w:spacing w:val="-25"/>
          <w:sz w:val="32"/>
          <w:highlight w:val="none"/>
          <w:lang w:eastAsia="zh-CN"/>
        </w:rPr>
      </w:pPr>
      <w:r>
        <w:rPr>
          <w:rFonts w:hint="eastAsia" w:ascii="Microsoft JhengHei" w:eastAsia="Microsoft JhengHei"/>
          <w:b/>
          <w:spacing w:val="-25"/>
          <w:sz w:val="32"/>
          <w:highlight w:val="none"/>
          <w:lang w:eastAsia="zh-CN"/>
        </w:rPr>
        <w:t>项目名称：麦盖提县库木库萨尔乡刀郎文化打造项目</w:t>
      </w:r>
    </w:p>
    <w:p>
      <w:pPr>
        <w:spacing w:before="36"/>
        <w:ind w:right="818" w:firstLine="810" w:firstLineChars="300"/>
        <w:jc w:val="left"/>
        <w:rPr>
          <w:rFonts w:hint="eastAsia" w:ascii="Microsoft JhengHei" w:eastAsia="Microsoft JhengHei"/>
          <w:b/>
          <w:spacing w:val="-25"/>
          <w:sz w:val="32"/>
          <w:highlight w:val="none"/>
          <w:lang w:eastAsia="zh-CN"/>
        </w:rPr>
      </w:pPr>
      <w:r>
        <w:rPr>
          <w:rFonts w:hint="eastAsia" w:ascii="Microsoft JhengHei" w:eastAsia="Microsoft JhengHei"/>
          <w:b/>
          <w:spacing w:val="-25"/>
          <w:sz w:val="32"/>
          <w:highlight w:val="none"/>
          <w:lang w:eastAsia="zh-CN"/>
        </w:rPr>
        <w:t xml:space="preserve">项目编号：ZRDKS2021-15 </w:t>
      </w:r>
    </w:p>
    <w:p>
      <w:pPr>
        <w:spacing w:before="36"/>
        <w:ind w:left="0" w:right="818" w:firstLine="810" w:firstLineChars="300"/>
        <w:jc w:val="left"/>
        <w:rPr>
          <w:rFonts w:hint="eastAsia" w:ascii="Microsoft JhengHei" w:eastAsia="Microsoft JhengHei"/>
          <w:b/>
          <w:spacing w:val="-25"/>
          <w:sz w:val="32"/>
          <w:highlight w:val="none"/>
          <w:lang w:val="en-US" w:eastAsia="zh-CN"/>
        </w:rPr>
      </w:pPr>
      <w:r>
        <w:rPr>
          <w:rFonts w:hint="eastAsia" w:ascii="Microsoft JhengHei" w:eastAsia="Microsoft JhengHei"/>
          <w:b/>
          <w:spacing w:val="-25"/>
          <w:sz w:val="32"/>
          <w:highlight w:val="none"/>
          <w:lang w:val="en-US" w:eastAsia="zh-CN"/>
        </w:rPr>
        <w:t>采购人：麦盖提县库木库萨尔乡人民政府</w:t>
      </w:r>
    </w:p>
    <w:p>
      <w:pPr>
        <w:spacing w:before="36"/>
        <w:ind w:left="0" w:right="818" w:firstLine="810" w:firstLineChars="300"/>
        <w:jc w:val="left"/>
        <w:rPr>
          <w:rFonts w:hint="eastAsia" w:ascii="Microsoft JhengHei" w:eastAsia="Microsoft JhengHei"/>
          <w:b/>
          <w:spacing w:val="-25"/>
          <w:sz w:val="32"/>
          <w:highlight w:val="none"/>
          <w:lang w:eastAsia="zh-CN"/>
        </w:rPr>
      </w:pPr>
      <w:r>
        <w:rPr>
          <w:rFonts w:hint="eastAsia" w:ascii="Microsoft JhengHei" w:eastAsia="Microsoft JhengHei"/>
          <w:b/>
          <w:spacing w:val="-25"/>
          <w:sz w:val="32"/>
          <w:highlight w:val="none"/>
          <w:lang w:eastAsia="zh-CN"/>
        </w:rPr>
        <w:t>采购代理机构：新疆泽瑞达企业管理咨询有限责任公司</w:t>
      </w:r>
    </w:p>
    <w:p>
      <w:pPr>
        <w:spacing w:before="36"/>
        <w:ind w:left="0" w:right="818" w:firstLine="810" w:firstLineChars="300"/>
        <w:jc w:val="left"/>
        <w:rPr>
          <w:rFonts w:hint="default"/>
          <w:highlight w:val="none"/>
          <w:lang w:val="en-US"/>
        </w:rPr>
        <w:sectPr>
          <w:footerReference r:id="rId5" w:type="default"/>
          <w:pgSz w:w="11910" w:h="16840"/>
          <w:pgMar w:top="1580" w:right="981" w:bottom="1668" w:left="980" w:header="0" w:footer="915" w:gutter="0"/>
          <w:pgNumType w:start="1"/>
          <w:cols w:space="720" w:num="1"/>
        </w:sectPr>
      </w:pPr>
      <w:r>
        <w:rPr>
          <w:rFonts w:hint="eastAsia" w:ascii="Microsoft JhengHei" w:eastAsia="Microsoft JhengHei"/>
          <w:b/>
          <w:spacing w:val="-25"/>
          <w:sz w:val="32"/>
          <w:highlight w:val="none"/>
          <w:lang w:eastAsia="zh-CN"/>
        </w:rPr>
        <w:t>日期：2021-</w:t>
      </w:r>
      <w:r>
        <w:rPr>
          <w:rFonts w:hint="eastAsia" w:ascii="Microsoft JhengHei" w:eastAsia="Microsoft JhengHei"/>
          <w:b/>
          <w:spacing w:val="-25"/>
          <w:sz w:val="32"/>
          <w:highlight w:val="none"/>
          <w:lang w:val="en-US" w:eastAsia="zh-CN"/>
        </w:rPr>
        <w:t>10</w:t>
      </w:r>
      <w:r>
        <w:rPr>
          <w:rFonts w:hint="eastAsia" w:ascii="Microsoft JhengHei" w:eastAsia="Microsoft JhengHei"/>
          <w:b/>
          <w:spacing w:val="-25"/>
          <w:sz w:val="32"/>
          <w:highlight w:val="none"/>
          <w:lang w:eastAsia="zh-CN"/>
        </w:rPr>
        <w:t>-</w:t>
      </w:r>
      <w:r>
        <w:rPr>
          <w:rFonts w:hint="eastAsia" w:ascii="Microsoft JhengHei" w:eastAsia="Microsoft JhengHei"/>
          <w:b/>
          <w:spacing w:val="-25"/>
          <w:sz w:val="32"/>
          <w:highlight w:val="none"/>
          <w:lang w:val="en-US" w:eastAsia="zh-CN"/>
        </w:rPr>
        <w:t>18</w:t>
      </w:r>
    </w:p>
    <w:sdt>
      <w:sdtPr>
        <w:rPr>
          <w:rFonts w:ascii="宋体" w:hAnsi="宋体" w:eastAsia="宋体" w:cs="宋体"/>
          <w:sz w:val="21"/>
          <w:szCs w:val="22"/>
          <w:highlight w:val="none"/>
          <w:lang w:val="zh-CN" w:eastAsia="zh-CN" w:bidi="zh-CN"/>
        </w:rPr>
        <w:id w:val="147458266"/>
        <w15:color w:val="DBDBDB"/>
        <w:docPartObj>
          <w:docPartGallery w:val="Table of Contents"/>
          <w:docPartUnique/>
        </w:docPartObj>
      </w:sdtPr>
      <w:sdtEndPr>
        <w:rPr>
          <w:rFonts w:ascii="Calibri" w:hAnsi="宋体" w:eastAsia="Calibri" w:cs="宋体"/>
          <w:sz w:val="22"/>
          <w:szCs w:val="22"/>
          <w:highlight w:val="none"/>
          <w:lang w:val="zh-CN" w:eastAsia="zh-CN" w:bidi="zh-CN"/>
        </w:rPr>
      </w:sdtEndPr>
      <w:sdtContent>
        <w:p>
          <w:pPr>
            <w:spacing w:before="0" w:beforeLines="0" w:after="0" w:afterLines="0" w:line="240" w:lineRule="auto"/>
            <w:ind w:left="0" w:leftChars="0" w:right="0" w:rightChars="0" w:firstLine="0" w:firstLineChars="0"/>
            <w:jc w:val="center"/>
            <w:rPr>
              <w:highlight w:val="none"/>
            </w:rPr>
          </w:pPr>
        </w:p>
        <w:p>
          <w:pPr>
            <w:pStyle w:val="23"/>
            <w:ind w:left="440" w:leftChars="200"/>
            <w:rPr>
              <w:highlight w:val="none"/>
            </w:rPr>
          </w:pPr>
          <w:bookmarkStart w:id="1" w:name="第一部分   招标公告"/>
          <w:bookmarkEnd w:id="1"/>
          <w:bookmarkStart w:id="2" w:name="_Toc13878"/>
        </w:p>
      </w:sdtContent>
    </w:sdt>
    <w:p>
      <w:pPr>
        <w:pStyle w:val="4"/>
        <w:outlineLvl w:val="0"/>
        <w:rPr>
          <w:highlight w:val="none"/>
        </w:rPr>
      </w:pPr>
      <w:r>
        <w:rPr>
          <w:highlight w:val="none"/>
        </w:rPr>
        <w:t>第一部分 招标公告</w:t>
      </w:r>
      <w:bookmarkEnd w:id="2"/>
      <w:r>
        <w:rPr>
          <w:w w:val="200"/>
          <w:highlight w:val="none"/>
        </w:rPr>
        <w:t xml:space="preserve"> </w:t>
      </w:r>
    </w:p>
    <w:p>
      <w:pPr>
        <w:pStyle w:val="10"/>
        <w:spacing w:before="4" w:line="242" w:lineRule="auto"/>
        <w:ind w:right="1794"/>
        <w:rPr>
          <w:highlight w:val="none"/>
        </w:rPr>
      </w:pPr>
      <w:r>
        <w:rPr>
          <w:highlight w:val="none"/>
        </w:rPr>
        <w:t>受采购单位</w:t>
      </w:r>
      <w:r>
        <w:rPr>
          <w:rFonts w:hint="eastAsia" w:ascii="Calibri"/>
          <w:highlight w:val="none"/>
          <w:lang w:eastAsia="zh-CN"/>
        </w:rPr>
        <w:t>：</w:t>
      </w:r>
      <w:r>
        <w:rPr>
          <w:rFonts w:hint="eastAsia" w:ascii="Calibri"/>
          <w:highlight w:val="none"/>
          <w:u w:val="single"/>
          <w:lang w:eastAsia="zh-CN"/>
        </w:rPr>
        <w:t>麦盖提县库木库萨尔乡人民政府</w:t>
      </w:r>
      <w:r>
        <w:rPr>
          <w:highlight w:val="none"/>
        </w:rPr>
        <w:t>委托</w:t>
      </w:r>
      <w:r>
        <w:rPr>
          <w:rFonts w:hint="eastAsia" w:ascii="Calibri"/>
          <w:highlight w:val="none"/>
          <w:lang w:eastAsia="zh-CN"/>
        </w:rPr>
        <w:t>，</w:t>
      </w:r>
      <w:r>
        <w:rPr>
          <w:highlight w:val="none"/>
        </w:rPr>
        <w:t>代理机构</w:t>
      </w:r>
      <w:r>
        <w:rPr>
          <w:rFonts w:hint="eastAsia" w:ascii="Calibri"/>
          <w:highlight w:val="none"/>
          <w:lang w:eastAsia="zh-CN"/>
        </w:rPr>
        <w:t>：</w:t>
      </w:r>
      <w:r>
        <w:rPr>
          <w:rFonts w:hint="eastAsia"/>
          <w:highlight w:val="none"/>
          <w:u w:val="single"/>
          <w:lang w:eastAsia="zh-CN"/>
        </w:rPr>
        <w:t>新疆泽瑞达企业管理咨询有限责任公司</w:t>
      </w:r>
      <w:r>
        <w:rPr>
          <w:highlight w:val="none"/>
        </w:rPr>
        <w:t>对采购编号</w:t>
      </w:r>
      <w:r>
        <w:rPr>
          <w:rFonts w:hint="eastAsia" w:ascii="Calibri"/>
          <w:highlight w:val="none"/>
          <w:lang w:eastAsia="zh-CN"/>
        </w:rPr>
        <w:t>：</w:t>
      </w:r>
      <w:r>
        <w:rPr>
          <w:rFonts w:hint="eastAsia" w:ascii="宋体" w:hAnsi="宋体" w:eastAsia="宋体" w:cs="宋体"/>
          <w:i w:val="0"/>
          <w:caps w:val="0"/>
          <w:color w:val="auto"/>
          <w:spacing w:val="0"/>
          <w:sz w:val="24"/>
          <w:szCs w:val="24"/>
          <w:highlight w:val="none"/>
          <w:u w:val="single"/>
        </w:rPr>
        <w:t>ZRDKS2021-1</w:t>
      </w:r>
      <w:r>
        <w:rPr>
          <w:rFonts w:hint="eastAsia" w:ascii="宋体" w:hAnsi="宋体" w:eastAsia="宋体" w:cs="宋体"/>
          <w:i w:val="0"/>
          <w:caps w:val="0"/>
          <w:color w:val="auto"/>
          <w:spacing w:val="0"/>
          <w:sz w:val="24"/>
          <w:szCs w:val="24"/>
          <w:highlight w:val="none"/>
          <w:u w:val="single"/>
          <w:lang w:val="en-US" w:eastAsia="zh-CN"/>
        </w:rPr>
        <w:t>5</w:t>
      </w:r>
      <w:r>
        <w:rPr>
          <w:rFonts w:hint="eastAsia" w:ascii="Calibri"/>
          <w:highlight w:val="none"/>
          <w:lang w:eastAsia="zh-CN"/>
        </w:rPr>
        <w:t>，</w:t>
      </w:r>
      <w:r>
        <w:rPr>
          <w:highlight w:val="none"/>
        </w:rPr>
        <w:t>项目名称</w:t>
      </w:r>
      <w:r>
        <w:rPr>
          <w:rFonts w:hint="eastAsia" w:ascii="Calibri"/>
          <w:highlight w:val="none"/>
          <w:lang w:eastAsia="zh-CN"/>
        </w:rPr>
        <w:t>：</w:t>
      </w:r>
      <w:r>
        <w:rPr>
          <w:rFonts w:hint="eastAsia" w:ascii="Calibri"/>
          <w:highlight w:val="none"/>
          <w:u w:val="single"/>
          <w:lang w:eastAsia="zh-CN"/>
        </w:rPr>
        <w:t>麦盖提县库木库萨尔乡刀郎文化打造项目</w:t>
      </w:r>
      <w:r>
        <w:rPr>
          <w:highlight w:val="none"/>
        </w:rPr>
        <w:t>组织进行公开招标</w:t>
      </w:r>
      <w:r>
        <w:rPr>
          <w:rFonts w:hint="eastAsia" w:ascii="Calibri"/>
          <w:highlight w:val="none"/>
          <w:lang w:eastAsia="zh-CN"/>
        </w:rPr>
        <w:t>，</w:t>
      </w:r>
      <w:r>
        <w:rPr>
          <w:highlight w:val="none"/>
        </w:rPr>
        <w:t>现欢迎合格的供应商前来投标。</w:t>
      </w:r>
    </w:p>
    <w:p>
      <w:pPr>
        <w:pStyle w:val="10"/>
        <w:spacing w:before="5"/>
        <w:ind w:left="0"/>
        <w:rPr>
          <w:sz w:val="18"/>
          <w:highlight w:val="none"/>
        </w:rPr>
      </w:pPr>
    </w:p>
    <w:p>
      <w:pPr>
        <w:pStyle w:val="7"/>
        <w:rPr>
          <w:highlight w:val="none"/>
        </w:rPr>
      </w:pPr>
      <w:r>
        <w:rPr>
          <w:highlight w:val="none"/>
        </w:rPr>
        <w:t>一、 项目基本情况</w:t>
      </w:r>
    </w:p>
    <w:p>
      <w:pPr>
        <w:pStyle w:val="20"/>
        <w:numPr>
          <w:ilvl w:val="0"/>
          <w:numId w:val="1"/>
        </w:numPr>
        <w:tabs>
          <w:tab w:val="left" w:pos="1182"/>
        </w:tabs>
        <w:spacing w:before="5" w:after="0" w:line="240" w:lineRule="auto"/>
        <w:ind w:left="1181" w:right="0" w:hanging="364"/>
        <w:jc w:val="left"/>
        <w:rPr>
          <w:sz w:val="24"/>
          <w:highlight w:val="none"/>
        </w:rPr>
      </w:pPr>
      <w:r>
        <w:rPr>
          <w:sz w:val="24"/>
          <w:highlight w:val="none"/>
        </w:rPr>
        <w:t>招标编号</w:t>
      </w:r>
      <w:r>
        <w:rPr>
          <w:rFonts w:hint="eastAsia" w:ascii="Calibri"/>
          <w:spacing w:val="-4"/>
          <w:sz w:val="24"/>
          <w:highlight w:val="none"/>
          <w:lang w:eastAsia="zh-CN"/>
        </w:rPr>
        <w:t>：ZRDKS2021-15</w:t>
      </w:r>
    </w:p>
    <w:p>
      <w:pPr>
        <w:pStyle w:val="20"/>
        <w:numPr>
          <w:ilvl w:val="0"/>
          <w:numId w:val="1"/>
        </w:numPr>
        <w:tabs>
          <w:tab w:val="left" w:pos="1182"/>
        </w:tabs>
        <w:spacing w:before="5" w:after="0" w:line="240" w:lineRule="auto"/>
        <w:ind w:left="1181" w:right="0" w:hanging="364"/>
        <w:jc w:val="left"/>
        <w:rPr>
          <w:sz w:val="24"/>
          <w:highlight w:val="none"/>
        </w:rPr>
      </w:pPr>
      <w:r>
        <w:rPr>
          <w:sz w:val="24"/>
          <w:highlight w:val="none"/>
        </w:rPr>
        <w:t>项目名称</w:t>
      </w:r>
      <w:r>
        <w:rPr>
          <w:rFonts w:hint="eastAsia" w:ascii="Calibri"/>
          <w:spacing w:val="13"/>
          <w:sz w:val="24"/>
          <w:highlight w:val="none"/>
          <w:lang w:eastAsia="zh-CN"/>
        </w:rPr>
        <w:t>：麦盖提县库木库萨尔乡刀郎文化打造项目</w:t>
      </w:r>
    </w:p>
    <w:p>
      <w:pPr>
        <w:pStyle w:val="20"/>
        <w:numPr>
          <w:ilvl w:val="0"/>
          <w:numId w:val="1"/>
        </w:numPr>
        <w:tabs>
          <w:tab w:val="left" w:pos="1182"/>
        </w:tabs>
        <w:spacing w:before="5" w:after="0" w:line="240" w:lineRule="auto"/>
        <w:ind w:left="1181" w:right="0" w:hanging="364"/>
        <w:jc w:val="left"/>
        <w:rPr>
          <w:sz w:val="24"/>
          <w:highlight w:val="none"/>
        </w:rPr>
      </w:pPr>
      <w:r>
        <w:rPr>
          <w:sz w:val="24"/>
          <w:highlight w:val="none"/>
        </w:rPr>
        <w:t>采购方式：公开招标</w:t>
      </w:r>
    </w:p>
    <w:p>
      <w:pPr>
        <w:pStyle w:val="20"/>
        <w:numPr>
          <w:ilvl w:val="0"/>
          <w:numId w:val="1"/>
        </w:numPr>
        <w:tabs>
          <w:tab w:val="left" w:pos="1182"/>
        </w:tabs>
        <w:spacing w:before="5" w:after="0" w:line="240" w:lineRule="auto"/>
        <w:ind w:left="1181" w:right="0" w:hanging="364"/>
        <w:jc w:val="left"/>
        <w:rPr>
          <w:sz w:val="24"/>
          <w:highlight w:val="none"/>
        </w:rPr>
      </w:pPr>
      <w:r>
        <w:rPr>
          <w:sz w:val="24"/>
          <w:highlight w:val="none"/>
        </w:rPr>
        <w:t>招标内容及要求</w:t>
      </w:r>
    </w:p>
    <w:p>
      <w:pPr>
        <w:pStyle w:val="10"/>
        <w:spacing w:before="4" w:after="5"/>
        <w:rPr>
          <w:highlight w:val="none"/>
        </w:rPr>
      </w:pPr>
      <w:r>
        <w:rPr>
          <w:highlight w:val="none"/>
        </w:rPr>
        <w:t>（服务类）</w:t>
      </w:r>
    </w:p>
    <w:tbl>
      <w:tblPr>
        <w:tblStyle w:val="16"/>
        <w:tblW w:w="0" w:type="auto"/>
        <w:tblInd w:w="8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5"/>
        <w:gridCol w:w="2079"/>
        <w:gridCol w:w="2059"/>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845" w:type="dxa"/>
          </w:tcPr>
          <w:p>
            <w:pPr>
              <w:pStyle w:val="21"/>
              <w:spacing w:before="9"/>
              <w:jc w:val="center"/>
              <w:rPr>
                <w:sz w:val="17"/>
                <w:highlight w:val="none"/>
              </w:rPr>
            </w:pPr>
          </w:p>
          <w:p>
            <w:pPr>
              <w:pStyle w:val="21"/>
              <w:spacing w:before="1"/>
              <w:ind w:left="4"/>
              <w:jc w:val="center"/>
              <w:rPr>
                <w:sz w:val="24"/>
                <w:highlight w:val="none"/>
              </w:rPr>
            </w:pPr>
            <w:r>
              <w:rPr>
                <w:rFonts w:hint="eastAsia"/>
                <w:sz w:val="24"/>
                <w:highlight w:val="none"/>
                <w:lang w:val="en-US" w:eastAsia="zh-CN"/>
              </w:rPr>
              <w:t>标项</w:t>
            </w:r>
            <w:r>
              <w:rPr>
                <w:sz w:val="24"/>
                <w:highlight w:val="none"/>
              </w:rPr>
              <w:t>名称</w:t>
            </w:r>
          </w:p>
        </w:tc>
        <w:tc>
          <w:tcPr>
            <w:tcW w:w="2079" w:type="dxa"/>
          </w:tcPr>
          <w:p>
            <w:pPr>
              <w:pStyle w:val="21"/>
              <w:spacing w:before="9"/>
              <w:jc w:val="center"/>
              <w:rPr>
                <w:sz w:val="17"/>
                <w:highlight w:val="none"/>
              </w:rPr>
            </w:pPr>
          </w:p>
          <w:p>
            <w:pPr>
              <w:pStyle w:val="21"/>
              <w:spacing w:before="1"/>
              <w:ind w:left="4"/>
              <w:jc w:val="center"/>
              <w:rPr>
                <w:sz w:val="24"/>
                <w:highlight w:val="none"/>
              </w:rPr>
            </w:pPr>
            <w:r>
              <w:rPr>
                <w:rFonts w:hint="eastAsia"/>
                <w:sz w:val="24"/>
                <w:highlight w:val="none"/>
                <w:lang w:val="en-US" w:eastAsia="zh-CN"/>
              </w:rPr>
              <w:t>标项</w:t>
            </w:r>
            <w:r>
              <w:rPr>
                <w:sz w:val="24"/>
                <w:highlight w:val="none"/>
              </w:rPr>
              <w:t>内容</w:t>
            </w:r>
          </w:p>
        </w:tc>
        <w:tc>
          <w:tcPr>
            <w:tcW w:w="2059" w:type="dxa"/>
          </w:tcPr>
          <w:p>
            <w:pPr>
              <w:pStyle w:val="21"/>
              <w:spacing w:before="228"/>
              <w:ind w:left="3"/>
              <w:jc w:val="center"/>
              <w:rPr>
                <w:rFonts w:ascii="Calibri" w:eastAsia="Calibri"/>
                <w:sz w:val="24"/>
                <w:highlight w:val="none"/>
              </w:rPr>
            </w:pPr>
            <w:r>
              <w:rPr>
                <w:sz w:val="24"/>
                <w:highlight w:val="none"/>
              </w:rPr>
              <w:t>预算金额</w:t>
            </w:r>
            <w:r>
              <w:rPr>
                <w:rFonts w:ascii="Calibri" w:eastAsia="Calibri"/>
                <w:sz w:val="24"/>
                <w:highlight w:val="none"/>
              </w:rPr>
              <w:t>(</w:t>
            </w:r>
            <w:r>
              <w:rPr>
                <w:sz w:val="24"/>
                <w:highlight w:val="none"/>
              </w:rPr>
              <w:t>元</w:t>
            </w:r>
            <w:r>
              <w:rPr>
                <w:rFonts w:ascii="Calibri" w:eastAsia="Calibri"/>
                <w:sz w:val="24"/>
                <w:highlight w:val="none"/>
              </w:rPr>
              <w:t>)</w:t>
            </w:r>
          </w:p>
        </w:tc>
        <w:tc>
          <w:tcPr>
            <w:tcW w:w="1364" w:type="dxa"/>
          </w:tcPr>
          <w:p>
            <w:pPr>
              <w:pStyle w:val="21"/>
              <w:spacing w:before="228"/>
              <w:ind w:left="4"/>
              <w:jc w:val="center"/>
              <w:rPr>
                <w:rFonts w:ascii="Calibri" w:eastAsia="Calibri"/>
                <w:sz w:val="24"/>
                <w:highlight w:val="none"/>
              </w:rPr>
            </w:pPr>
            <w:r>
              <w:rPr>
                <w:sz w:val="24"/>
                <w:highlight w:val="none"/>
              </w:rPr>
              <w:t>最高限价</w:t>
            </w:r>
            <w:r>
              <w:rPr>
                <w:rFonts w:ascii="Calibri" w:eastAsia="Calibri"/>
                <w:sz w:val="24"/>
                <w:highlight w:val="none"/>
              </w:rPr>
              <w:t>(</w:t>
            </w:r>
            <w:r>
              <w:rPr>
                <w:sz w:val="24"/>
                <w:highlight w:val="none"/>
              </w:rPr>
              <w:t>元</w:t>
            </w:r>
            <w:r>
              <w:rPr>
                <w:rFonts w:ascii="Calibri" w:eastAsia="Calibri"/>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845" w:type="dxa"/>
          </w:tcPr>
          <w:p>
            <w:pPr>
              <w:pStyle w:val="21"/>
              <w:rPr>
                <w:sz w:val="24"/>
                <w:highlight w:val="none"/>
              </w:rPr>
            </w:pPr>
          </w:p>
          <w:p>
            <w:pPr>
              <w:pStyle w:val="21"/>
              <w:spacing w:before="160" w:line="242" w:lineRule="auto"/>
              <w:ind w:left="4" w:right="-15"/>
              <w:jc w:val="center"/>
              <w:rPr>
                <w:sz w:val="24"/>
                <w:highlight w:val="none"/>
              </w:rPr>
            </w:pPr>
            <w:r>
              <w:rPr>
                <w:rFonts w:hint="eastAsia"/>
                <w:sz w:val="24"/>
                <w:highlight w:val="none"/>
              </w:rPr>
              <w:t>麦盖提县库木库萨尔乡刀郎文化打造项目</w:t>
            </w:r>
          </w:p>
        </w:tc>
        <w:tc>
          <w:tcPr>
            <w:tcW w:w="2079" w:type="dxa"/>
            <w:vAlign w:val="center"/>
          </w:tcPr>
          <w:p>
            <w:pPr>
              <w:pStyle w:val="21"/>
              <w:spacing w:before="5" w:line="292" w:lineRule="exact"/>
              <w:ind w:left="4"/>
              <w:jc w:val="center"/>
              <w:rPr>
                <w:sz w:val="24"/>
                <w:highlight w:val="none"/>
              </w:rPr>
            </w:pPr>
            <w:r>
              <w:rPr>
                <w:rFonts w:hint="eastAsia" w:ascii="宋体" w:hAnsi="宋体" w:eastAsia="宋体" w:cs="宋体"/>
                <w:i w:val="0"/>
                <w:caps w:val="0"/>
                <w:color w:val="auto"/>
                <w:spacing w:val="0"/>
                <w:sz w:val="24"/>
                <w:szCs w:val="24"/>
                <w:highlight w:val="none"/>
              </w:rPr>
              <w:t>刀郎文化打造</w:t>
            </w:r>
          </w:p>
        </w:tc>
        <w:tc>
          <w:tcPr>
            <w:tcW w:w="2059" w:type="dxa"/>
          </w:tcPr>
          <w:p>
            <w:pPr>
              <w:pStyle w:val="21"/>
              <w:rPr>
                <w:sz w:val="24"/>
                <w:highlight w:val="none"/>
              </w:rPr>
            </w:pPr>
          </w:p>
          <w:p>
            <w:pPr>
              <w:pStyle w:val="21"/>
              <w:spacing w:before="5"/>
              <w:rPr>
                <w:sz w:val="25"/>
                <w:highlight w:val="none"/>
              </w:rPr>
            </w:pPr>
          </w:p>
          <w:p>
            <w:pPr>
              <w:pStyle w:val="21"/>
              <w:ind w:left="3"/>
              <w:rPr>
                <w:rFonts w:hint="default" w:ascii="Calibri" w:eastAsia="宋体"/>
                <w:sz w:val="24"/>
                <w:highlight w:val="none"/>
                <w:lang w:val="en-US" w:eastAsia="zh-CN"/>
              </w:rPr>
            </w:pPr>
            <w:r>
              <w:rPr>
                <w:rFonts w:hint="eastAsia" w:ascii="Calibri"/>
                <w:sz w:val="24"/>
                <w:highlight w:val="none"/>
                <w:lang w:val="en-US" w:eastAsia="zh-CN"/>
              </w:rPr>
              <w:t>4000000</w:t>
            </w:r>
          </w:p>
        </w:tc>
        <w:tc>
          <w:tcPr>
            <w:tcW w:w="1364" w:type="dxa"/>
          </w:tcPr>
          <w:p>
            <w:pPr>
              <w:pStyle w:val="21"/>
              <w:rPr>
                <w:sz w:val="24"/>
                <w:highlight w:val="none"/>
              </w:rPr>
            </w:pPr>
          </w:p>
          <w:p>
            <w:pPr>
              <w:pStyle w:val="21"/>
              <w:spacing w:before="5"/>
              <w:rPr>
                <w:sz w:val="25"/>
                <w:highlight w:val="none"/>
              </w:rPr>
            </w:pPr>
          </w:p>
          <w:p>
            <w:pPr>
              <w:pStyle w:val="21"/>
              <w:ind w:left="4"/>
              <w:rPr>
                <w:rFonts w:ascii="Calibri"/>
                <w:sz w:val="24"/>
                <w:highlight w:val="none"/>
              </w:rPr>
            </w:pPr>
            <w:r>
              <w:rPr>
                <w:rFonts w:hint="eastAsia" w:ascii="Calibri"/>
                <w:sz w:val="24"/>
                <w:highlight w:val="none"/>
                <w:lang w:val="en-US" w:eastAsia="zh-CN"/>
              </w:rPr>
              <w:t>4000000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924" w:type="dxa"/>
            <w:gridSpan w:val="2"/>
          </w:tcPr>
          <w:p>
            <w:pPr>
              <w:pStyle w:val="21"/>
              <w:spacing w:before="98"/>
              <w:ind w:left="4"/>
              <w:rPr>
                <w:rFonts w:ascii="Calibri" w:eastAsia="Calibri"/>
                <w:sz w:val="24"/>
                <w:highlight w:val="none"/>
              </w:rPr>
            </w:pPr>
            <w:r>
              <w:rPr>
                <w:sz w:val="24"/>
                <w:highlight w:val="none"/>
              </w:rPr>
              <w:t>预算合计</w:t>
            </w:r>
            <w:r>
              <w:rPr>
                <w:rFonts w:ascii="Calibri" w:eastAsia="Calibri"/>
                <w:sz w:val="24"/>
                <w:highlight w:val="none"/>
              </w:rPr>
              <w:t>(</w:t>
            </w:r>
            <w:r>
              <w:rPr>
                <w:sz w:val="24"/>
                <w:highlight w:val="none"/>
              </w:rPr>
              <w:t>元</w:t>
            </w:r>
            <w:r>
              <w:rPr>
                <w:rFonts w:ascii="Calibri" w:eastAsia="Calibri"/>
                <w:sz w:val="24"/>
                <w:highlight w:val="none"/>
              </w:rPr>
              <w:t>)/</w:t>
            </w:r>
            <w:r>
              <w:rPr>
                <w:sz w:val="24"/>
                <w:highlight w:val="none"/>
              </w:rPr>
              <w:t>最高限价合计</w:t>
            </w:r>
            <w:r>
              <w:rPr>
                <w:rFonts w:ascii="Calibri" w:eastAsia="Calibri"/>
                <w:sz w:val="24"/>
                <w:highlight w:val="none"/>
              </w:rPr>
              <w:t>(</w:t>
            </w:r>
            <w:r>
              <w:rPr>
                <w:sz w:val="24"/>
                <w:highlight w:val="none"/>
              </w:rPr>
              <w:t>元</w:t>
            </w:r>
            <w:r>
              <w:rPr>
                <w:rFonts w:ascii="Calibri" w:eastAsia="Calibri"/>
                <w:sz w:val="24"/>
                <w:highlight w:val="none"/>
              </w:rPr>
              <w:t>)</w:t>
            </w:r>
          </w:p>
        </w:tc>
        <w:tc>
          <w:tcPr>
            <w:tcW w:w="2059" w:type="dxa"/>
          </w:tcPr>
          <w:p>
            <w:pPr>
              <w:pStyle w:val="21"/>
              <w:spacing w:before="107"/>
              <w:ind w:left="3"/>
              <w:rPr>
                <w:rFonts w:ascii="Calibri"/>
                <w:sz w:val="24"/>
                <w:highlight w:val="none"/>
              </w:rPr>
            </w:pPr>
            <w:r>
              <w:rPr>
                <w:rFonts w:hint="eastAsia" w:ascii="Calibri"/>
                <w:sz w:val="24"/>
                <w:highlight w:val="none"/>
                <w:lang w:val="en-US" w:eastAsia="zh-CN"/>
              </w:rPr>
              <w:t>4000000</w:t>
            </w:r>
          </w:p>
        </w:tc>
        <w:tc>
          <w:tcPr>
            <w:tcW w:w="1364" w:type="dxa"/>
          </w:tcPr>
          <w:p>
            <w:pPr>
              <w:pStyle w:val="21"/>
              <w:spacing w:before="107"/>
              <w:ind w:left="4"/>
              <w:rPr>
                <w:rFonts w:ascii="Calibri"/>
                <w:sz w:val="24"/>
                <w:highlight w:val="none"/>
              </w:rPr>
            </w:pPr>
            <w:r>
              <w:rPr>
                <w:rFonts w:hint="eastAsia" w:ascii="Calibri"/>
                <w:sz w:val="24"/>
                <w:highlight w:val="none"/>
                <w:lang w:val="en-US" w:eastAsia="zh-CN"/>
              </w:rPr>
              <w:t>4000000</w:t>
            </w:r>
          </w:p>
        </w:tc>
      </w:tr>
    </w:tbl>
    <w:p>
      <w:pPr>
        <w:pStyle w:val="10"/>
        <w:spacing w:before="4"/>
        <w:ind w:left="0"/>
        <w:rPr>
          <w:highlight w:val="none"/>
        </w:rPr>
      </w:pPr>
    </w:p>
    <w:p>
      <w:pPr>
        <w:pStyle w:val="20"/>
        <w:numPr>
          <w:ilvl w:val="0"/>
          <w:numId w:val="1"/>
        </w:numPr>
        <w:tabs>
          <w:tab w:val="left" w:pos="1182"/>
        </w:tabs>
        <w:spacing w:before="5" w:after="0" w:line="240" w:lineRule="auto"/>
        <w:ind w:left="1181" w:right="0" w:hanging="364"/>
        <w:jc w:val="left"/>
        <w:rPr>
          <w:b w:val="0"/>
          <w:bCs w:val="0"/>
          <w:sz w:val="24"/>
          <w:highlight w:val="none"/>
        </w:rPr>
      </w:pPr>
      <w:r>
        <w:rPr>
          <w:b w:val="0"/>
          <w:bCs w:val="0"/>
          <w:sz w:val="24"/>
          <w:highlight w:val="none"/>
        </w:rPr>
        <w:t>合同履行期限：根据合同规定</w:t>
      </w:r>
    </w:p>
    <w:p>
      <w:pPr>
        <w:pStyle w:val="20"/>
        <w:numPr>
          <w:ilvl w:val="0"/>
          <w:numId w:val="1"/>
        </w:numPr>
        <w:tabs>
          <w:tab w:val="left" w:pos="1182"/>
        </w:tabs>
        <w:spacing w:before="5" w:after="0" w:line="240" w:lineRule="auto"/>
        <w:ind w:left="1181" w:right="0" w:hanging="364"/>
        <w:jc w:val="left"/>
        <w:rPr>
          <w:rFonts w:hint="eastAsia" w:ascii="Microsoft JhengHei" w:eastAsia="Microsoft JhengHei"/>
          <w:b w:val="0"/>
          <w:bCs w:val="0"/>
          <w:sz w:val="24"/>
          <w:highlight w:val="none"/>
        </w:rPr>
      </w:pPr>
      <w:r>
        <w:rPr>
          <w:b w:val="0"/>
          <w:bCs w:val="0"/>
          <w:sz w:val="24"/>
          <w:highlight w:val="none"/>
        </w:rPr>
        <w:t>本项目不接受联合体投标：</w:t>
      </w:r>
    </w:p>
    <w:p>
      <w:pPr>
        <w:pStyle w:val="20"/>
        <w:numPr>
          <w:ilvl w:val="0"/>
          <w:numId w:val="0"/>
        </w:numPr>
        <w:tabs>
          <w:tab w:val="left" w:pos="1182"/>
        </w:tabs>
        <w:spacing w:before="5" w:after="0" w:line="240" w:lineRule="auto"/>
        <w:ind w:left="817" w:leftChars="0" w:right="0" w:rightChars="0"/>
        <w:jc w:val="left"/>
        <w:rPr>
          <w:rFonts w:hint="eastAsia" w:ascii="Microsoft JhengHei" w:eastAsia="Microsoft JhengHei"/>
          <w:b/>
          <w:sz w:val="24"/>
          <w:highlight w:val="none"/>
        </w:rPr>
      </w:pPr>
    </w:p>
    <w:p>
      <w:pPr>
        <w:pStyle w:val="20"/>
        <w:numPr>
          <w:ilvl w:val="0"/>
          <w:numId w:val="0"/>
        </w:numPr>
        <w:tabs>
          <w:tab w:val="left" w:pos="1182"/>
        </w:tabs>
        <w:spacing w:before="5" w:after="0" w:line="240" w:lineRule="auto"/>
        <w:ind w:left="817" w:leftChars="0" w:right="0" w:rightChars="0"/>
        <w:jc w:val="left"/>
        <w:rPr>
          <w:rFonts w:hint="eastAsia" w:ascii="Microsoft JhengHei" w:eastAsia="Microsoft JhengHei"/>
          <w:b/>
          <w:sz w:val="24"/>
          <w:highlight w:val="none"/>
        </w:rPr>
      </w:pPr>
      <w:r>
        <w:rPr>
          <w:rFonts w:hint="eastAsia" w:ascii="Microsoft JhengHei" w:eastAsia="Microsoft JhengHei"/>
          <w:b/>
          <w:sz w:val="24"/>
          <w:highlight w:val="none"/>
        </w:rPr>
        <w:t>二、申请人的资格要求</w:t>
      </w:r>
    </w:p>
    <w:p>
      <w:pPr>
        <w:pStyle w:val="20"/>
        <w:numPr>
          <w:ilvl w:val="0"/>
          <w:numId w:val="2"/>
        </w:numPr>
        <w:tabs>
          <w:tab w:val="left" w:pos="1003"/>
        </w:tabs>
        <w:spacing w:before="0" w:after="0" w:line="360" w:lineRule="auto"/>
        <w:ind w:left="1002" w:right="0" w:hanging="185"/>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满足《中华人民共和国政府采购法》第二十二条要求：</w:t>
      </w:r>
    </w:p>
    <w:p>
      <w:pPr>
        <w:pStyle w:val="20"/>
        <w:numPr>
          <w:ilvl w:val="0"/>
          <w:numId w:val="3"/>
        </w:numPr>
        <w:tabs>
          <w:tab w:val="left" w:pos="1422"/>
        </w:tabs>
        <w:spacing w:before="4" w:after="0" w:line="360" w:lineRule="auto"/>
        <w:ind w:left="818" w:right="1798" w:firstLine="0"/>
        <w:jc w:val="left"/>
        <w:rPr>
          <w:rFonts w:hint="eastAsia" w:ascii="宋体" w:hAnsi="宋体" w:eastAsia="宋体" w:cs="宋体"/>
          <w:sz w:val="24"/>
          <w:highlight w:val="none"/>
        </w:rPr>
      </w:pPr>
      <w:r>
        <w:rPr>
          <w:rFonts w:hint="eastAsia" w:ascii="宋体" w:hAnsi="宋体" w:eastAsia="宋体" w:cs="宋体"/>
          <w:sz w:val="24"/>
          <w:highlight w:val="none"/>
        </w:rPr>
        <w:t>具有独立承担民事责任的能力（</w:t>
      </w:r>
      <w:r>
        <w:rPr>
          <w:rFonts w:hint="eastAsia" w:ascii="宋体" w:hAnsi="宋体" w:eastAsia="宋体" w:cs="宋体"/>
          <w:spacing w:val="-1"/>
          <w:sz w:val="24"/>
          <w:highlight w:val="none"/>
        </w:rPr>
        <w:t>营业执照及法定代表人证明或法定代表人</w:t>
      </w:r>
      <w:r>
        <w:rPr>
          <w:rFonts w:hint="eastAsia" w:ascii="宋体" w:hAnsi="宋体" w:eastAsia="宋体" w:cs="宋体"/>
          <w:sz w:val="24"/>
          <w:highlight w:val="none"/>
        </w:rPr>
        <w:t>授权委托书原件</w:t>
      </w:r>
      <w:r>
        <w:rPr>
          <w:rFonts w:hint="eastAsia" w:ascii="宋体" w:hAnsi="宋体" w:eastAsia="宋体" w:cs="宋体"/>
          <w:spacing w:val="-120"/>
          <w:sz w:val="24"/>
          <w:highlight w:val="none"/>
        </w:rPr>
        <w:t>）</w:t>
      </w:r>
      <w:r>
        <w:rPr>
          <w:rFonts w:hint="eastAsia" w:ascii="宋体" w:hAnsi="宋体" w:eastAsia="宋体" w:cs="宋体"/>
          <w:sz w:val="24"/>
          <w:highlight w:val="none"/>
        </w:rPr>
        <w:t>；</w:t>
      </w:r>
    </w:p>
    <w:p>
      <w:pPr>
        <w:pStyle w:val="20"/>
        <w:numPr>
          <w:ilvl w:val="0"/>
          <w:numId w:val="3"/>
        </w:numPr>
        <w:tabs>
          <w:tab w:val="left" w:pos="1422"/>
        </w:tabs>
        <w:spacing w:before="3" w:after="0" w:line="360" w:lineRule="auto"/>
        <w:ind w:left="818" w:right="1794" w:firstLine="0"/>
        <w:jc w:val="left"/>
        <w:rPr>
          <w:rFonts w:hint="eastAsia" w:ascii="宋体" w:hAnsi="宋体" w:eastAsia="宋体" w:cs="宋体"/>
          <w:sz w:val="24"/>
          <w:highlight w:val="none"/>
        </w:rPr>
      </w:pPr>
      <w:r>
        <w:rPr>
          <w:rFonts w:hint="eastAsia" w:ascii="宋体" w:hAnsi="宋体" w:eastAsia="宋体" w:cs="宋体"/>
          <w:sz w:val="24"/>
          <w:highlight w:val="none"/>
        </w:rPr>
        <w:t>具有健全的财务会计制度（2020</w:t>
      </w:r>
      <w:r>
        <w:rPr>
          <w:rFonts w:hint="eastAsia" w:ascii="宋体" w:hAnsi="宋体" w:eastAsia="宋体" w:cs="宋体"/>
          <w:spacing w:val="-2"/>
          <w:sz w:val="24"/>
          <w:highlight w:val="none"/>
        </w:rPr>
        <w:t>年度会计师事务所出具的审计</w:t>
      </w:r>
      <w:r>
        <w:rPr>
          <w:rFonts w:hint="eastAsia" w:ascii="宋体" w:hAnsi="宋体" w:eastAsia="宋体" w:cs="宋体"/>
          <w:sz w:val="24"/>
          <w:highlight w:val="none"/>
        </w:rPr>
        <w:t>报告，新办企业提供银行资信证明</w:t>
      </w:r>
      <w:r>
        <w:rPr>
          <w:rFonts w:hint="eastAsia" w:ascii="宋体" w:hAnsi="宋体" w:eastAsia="宋体" w:cs="宋体"/>
          <w:spacing w:val="-120"/>
          <w:sz w:val="24"/>
          <w:highlight w:val="none"/>
        </w:rPr>
        <w:t>）</w:t>
      </w:r>
      <w:r>
        <w:rPr>
          <w:rFonts w:hint="eastAsia" w:ascii="宋体" w:hAnsi="宋体" w:eastAsia="宋体" w:cs="宋体"/>
          <w:sz w:val="24"/>
          <w:highlight w:val="none"/>
        </w:rPr>
        <w:t>；</w:t>
      </w:r>
    </w:p>
    <w:p>
      <w:pPr>
        <w:pStyle w:val="20"/>
        <w:numPr>
          <w:ilvl w:val="0"/>
          <w:numId w:val="3"/>
        </w:numPr>
        <w:tabs>
          <w:tab w:val="left" w:pos="1422"/>
        </w:tabs>
        <w:spacing w:before="4" w:after="0" w:line="360" w:lineRule="auto"/>
        <w:ind w:left="1421" w:right="0" w:hanging="604"/>
        <w:jc w:val="left"/>
        <w:rPr>
          <w:rFonts w:hint="eastAsia" w:ascii="宋体" w:hAnsi="宋体" w:eastAsia="宋体" w:cs="宋体"/>
          <w:sz w:val="24"/>
          <w:highlight w:val="none"/>
        </w:rPr>
      </w:pPr>
      <w:r>
        <w:rPr>
          <w:rFonts w:hint="eastAsia" w:ascii="宋体" w:hAnsi="宋体" w:eastAsia="宋体" w:cs="宋体"/>
          <w:sz w:val="24"/>
          <w:highlight w:val="none"/>
        </w:rPr>
        <w:t>具有履行合同所必需的设备和专业技术能力，提供承诺函；</w:t>
      </w:r>
    </w:p>
    <w:p>
      <w:pPr>
        <w:pStyle w:val="20"/>
        <w:numPr>
          <w:ilvl w:val="0"/>
          <w:numId w:val="3"/>
        </w:numPr>
        <w:tabs>
          <w:tab w:val="left" w:pos="1422"/>
        </w:tabs>
        <w:spacing w:before="4" w:after="0" w:line="360" w:lineRule="auto"/>
        <w:ind w:left="818" w:right="1798" w:firstLine="0"/>
        <w:jc w:val="left"/>
        <w:rPr>
          <w:rFonts w:hint="eastAsia" w:ascii="宋体" w:hAnsi="宋体" w:eastAsia="宋体" w:cs="宋体"/>
          <w:sz w:val="24"/>
          <w:highlight w:val="none"/>
        </w:rPr>
      </w:pPr>
      <w:r>
        <w:rPr>
          <w:rFonts w:hint="eastAsia" w:ascii="宋体" w:hAnsi="宋体" w:eastAsia="宋体" w:cs="宋体"/>
          <w:sz w:val="24"/>
          <w:highlight w:val="none"/>
        </w:rPr>
        <w:t>有依法缴纳税收和社会保障资金的良好记录（近三个月（任意一个月）</w:t>
      </w:r>
      <w:r>
        <w:rPr>
          <w:rFonts w:hint="eastAsia" w:ascii="宋体" w:hAnsi="宋体" w:eastAsia="宋体" w:cs="宋体"/>
          <w:spacing w:val="-15"/>
          <w:sz w:val="24"/>
          <w:highlight w:val="none"/>
        </w:rPr>
        <w:t>社</w:t>
      </w:r>
      <w:r>
        <w:rPr>
          <w:rFonts w:hint="eastAsia" w:ascii="宋体" w:hAnsi="宋体" w:eastAsia="宋体" w:cs="宋体"/>
          <w:sz w:val="24"/>
          <w:highlight w:val="none"/>
        </w:rPr>
        <w:t>保证明及完税证明</w:t>
      </w:r>
      <w:r>
        <w:rPr>
          <w:rFonts w:hint="eastAsia" w:ascii="宋体" w:hAnsi="宋体" w:eastAsia="宋体" w:cs="宋体"/>
          <w:spacing w:val="-120"/>
          <w:sz w:val="24"/>
          <w:highlight w:val="none"/>
        </w:rPr>
        <w:t>）</w:t>
      </w:r>
      <w:r>
        <w:rPr>
          <w:rFonts w:hint="eastAsia" w:ascii="宋体" w:hAnsi="宋体" w:eastAsia="宋体" w:cs="宋体"/>
          <w:sz w:val="24"/>
          <w:highlight w:val="none"/>
        </w:rPr>
        <w:t>；</w:t>
      </w:r>
    </w:p>
    <w:p>
      <w:pPr>
        <w:pStyle w:val="20"/>
        <w:numPr>
          <w:ilvl w:val="0"/>
          <w:numId w:val="3"/>
        </w:numPr>
        <w:tabs>
          <w:tab w:val="left" w:pos="1422"/>
        </w:tabs>
        <w:spacing w:before="3" w:after="0" w:line="360" w:lineRule="auto"/>
        <w:ind w:left="1421" w:right="0" w:hanging="604"/>
        <w:jc w:val="left"/>
        <w:rPr>
          <w:rFonts w:hint="eastAsia" w:ascii="宋体" w:hAnsi="宋体" w:eastAsia="宋体" w:cs="宋体"/>
          <w:sz w:val="24"/>
          <w:highlight w:val="none"/>
        </w:rPr>
      </w:pPr>
      <w:r>
        <w:rPr>
          <w:rFonts w:hint="eastAsia" w:ascii="宋体" w:hAnsi="宋体" w:eastAsia="宋体" w:cs="宋体"/>
          <w:sz w:val="24"/>
          <w:highlight w:val="none"/>
        </w:rPr>
        <w:t>参加政府采购活动前三年内，在经营活动中没有重大违法记录；</w:t>
      </w:r>
    </w:p>
    <w:p>
      <w:pPr>
        <w:pStyle w:val="20"/>
        <w:numPr>
          <w:ilvl w:val="0"/>
          <w:numId w:val="0"/>
        </w:numPr>
        <w:tabs>
          <w:tab w:val="left" w:pos="1422"/>
        </w:tabs>
        <w:spacing w:before="4" w:after="0" w:line="360" w:lineRule="auto"/>
        <w:ind w:left="817" w:leftChars="0" w:right="810" w:rightChars="368"/>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在“信用中国”网站（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\h </w:instrText>
      </w:r>
      <w:r>
        <w:rPr>
          <w:rFonts w:hint="eastAsia" w:ascii="宋体" w:hAnsi="宋体" w:eastAsia="宋体" w:cs="宋体"/>
          <w:highlight w:val="none"/>
        </w:rPr>
        <w:fldChar w:fldCharType="separate"/>
      </w:r>
      <w:r>
        <w:rPr>
          <w:rFonts w:hint="eastAsia" w:ascii="宋体" w:hAnsi="宋体" w:eastAsia="宋体" w:cs="宋体"/>
          <w:sz w:val="24"/>
          <w:highlight w:val="none"/>
        </w:rPr>
        <w:t>www.creditchina.gov.cn</w:t>
      </w:r>
      <w:r>
        <w:rPr>
          <w:rFonts w:hint="eastAsia" w:ascii="宋体" w:hAnsi="宋体" w:eastAsia="宋体" w:cs="宋体"/>
          <w:sz w:val="24"/>
          <w:highlight w:val="none"/>
        </w:rPr>
        <w:fldChar w:fldCharType="end"/>
      </w:r>
      <w:r>
        <w:rPr>
          <w:rFonts w:hint="eastAsia" w:ascii="宋体" w:hAnsi="宋体" w:eastAsia="宋体" w:cs="宋体"/>
          <w:sz w:val="24"/>
          <w:highlight w:val="none"/>
        </w:rPr>
        <w:t>）被列入失信被执行人、重大税收违法案件当事人名单(搜索栏输入单位全称</w:t>
      </w:r>
      <w:r>
        <w:rPr>
          <w:rFonts w:hint="eastAsia" w:ascii="宋体" w:hAnsi="宋体" w:eastAsia="宋体" w:cs="宋体"/>
          <w:spacing w:val="5"/>
          <w:sz w:val="24"/>
          <w:highlight w:val="none"/>
        </w:rPr>
        <w:t>-</w:t>
      </w:r>
      <w:r>
        <w:rPr>
          <w:rFonts w:hint="eastAsia" w:ascii="宋体" w:hAnsi="宋体" w:eastAsia="宋体" w:cs="宋体"/>
          <w:sz w:val="24"/>
          <w:highlight w:val="none"/>
        </w:rPr>
        <w:t>点击总公司</w:t>
      </w:r>
      <w:r>
        <w:rPr>
          <w:rFonts w:hint="eastAsia" w:ascii="宋体" w:hAnsi="宋体" w:eastAsia="宋体" w:cs="宋体"/>
          <w:spacing w:val="3"/>
          <w:sz w:val="24"/>
          <w:highlight w:val="none"/>
        </w:rPr>
        <w:t>-</w:t>
      </w:r>
      <w:r>
        <w:rPr>
          <w:rFonts w:hint="eastAsia" w:ascii="宋体" w:hAnsi="宋体" w:eastAsia="宋体" w:cs="宋体"/>
          <w:spacing w:val="1"/>
          <w:sz w:val="24"/>
          <w:highlight w:val="none"/>
        </w:rPr>
        <w:t>网页打印页</w:t>
      </w:r>
      <w:r>
        <w:rPr>
          <w:rFonts w:hint="eastAsia" w:ascii="宋体" w:hAnsi="宋体" w:eastAsia="宋体" w:cs="宋体"/>
          <w:sz w:val="24"/>
          <w:highlight w:val="none"/>
        </w:rPr>
        <w:t>)、中国政</w:t>
      </w:r>
      <w:r>
        <w:rPr>
          <w:rFonts w:hint="eastAsia" w:ascii="宋体" w:hAnsi="宋体" w:eastAsia="宋体" w:cs="宋体"/>
          <w:spacing w:val="-13"/>
          <w:sz w:val="24"/>
          <w:highlight w:val="none"/>
        </w:rPr>
        <w:t>府采购网</w:t>
      </w:r>
      <w:r>
        <w:rPr>
          <w:rFonts w:hint="eastAsia" w:ascii="宋体" w:hAnsi="宋体" w:eastAsia="宋体" w:cs="宋体"/>
          <w:spacing w:val="-4"/>
          <w:sz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"http://www.ccgp.gov.cn/search/cr/" \h </w:instrText>
      </w:r>
      <w:r>
        <w:rPr>
          <w:rFonts w:hint="eastAsia" w:ascii="宋体" w:hAnsi="宋体" w:eastAsia="宋体" w:cs="宋体"/>
          <w:highlight w:val="none"/>
        </w:rPr>
        <w:fldChar w:fldCharType="separate"/>
      </w:r>
      <w:r>
        <w:rPr>
          <w:rFonts w:hint="eastAsia" w:ascii="宋体" w:hAnsi="宋体" w:eastAsia="宋体" w:cs="宋体"/>
          <w:spacing w:val="-4"/>
          <w:sz w:val="24"/>
          <w:highlight w:val="none"/>
        </w:rPr>
        <w:t>http://www.ccgp.gov.cn/search/cr/</w:t>
      </w:r>
      <w:r>
        <w:rPr>
          <w:rFonts w:hint="eastAsia" w:ascii="宋体" w:hAnsi="宋体" w:eastAsia="宋体" w:cs="宋体"/>
          <w:spacing w:val="-4"/>
          <w:sz w:val="24"/>
          <w:highlight w:val="none"/>
        </w:rPr>
        <w:fldChar w:fldCharType="end"/>
      </w:r>
      <w:r>
        <w:rPr>
          <w:rFonts w:hint="eastAsia" w:ascii="宋体" w:hAnsi="宋体" w:eastAsia="宋体" w:cs="宋体"/>
          <w:spacing w:val="-4"/>
          <w:sz w:val="24"/>
          <w:highlight w:val="none"/>
        </w:rPr>
        <w:t>）严重违法失信行为记录名单的</w:t>
      </w:r>
      <w:r>
        <w:rPr>
          <w:rFonts w:hint="eastAsia" w:ascii="宋体" w:hAnsi="宋体" w:eastAsia="宋体" w:cs="宋体"/>
          <w:sz w:val="24"/>
          <w:highlight w:val="none"/>
        </w:rPr>
        <w:t>（尚在处罚期内的</w:t>
      </w:r>
      <w:r>
        <w:rPr>
          <w:rFonts w:hint="eastAsia" w:ascii="宋体" w:hAnsi="宋体" w:eastAsia="宋体" w:cs="宋体"/>
          <w:spacing w:val="-120"/>
          <w:sz w:val="24"/>
          <w:highlight w:val="none"/>
        </w:rPr>
        <w:t>）</w:t>
      </w:r>
      <w:r>
        <w:rPr>
          <w:rFonts w:hint="eastAsia" w:ascii="宋体" w:hAnsi="宋体" w:eastAsia="宋体" w:cs="宋体"/>
          <w:sz w:val="24"/>
          <w:highlight w:val="none"/>
        </w:rPr>
        <w:t>，将拒绝其参加本次招标活动。</w:t>
      </w:r>
    </w:p>
    <w:p>
      <w:pPr>
        <w:pStyle w:val="7"/>
        <w:spacing w:before="74" w:line="360" w:lineRule="auto"/>
        <w:rPr>
          <w:rFonts w:hint="eastAsia" w:ascii="宋体" w:hAnsi="宋体" w:eastAsia="宋体" w:cs="宋体"/>
          <w:b/>
          <w:sz w:val="18"/>
          <w:highlight w:val="none"/>
        </w:rPr>
      </w:pPr>
      <w:r>
        <w:rPr>
          <w:rFonts w:hint="eastAsia" w:ascii="宋体" w:hAnsi="宋体" w:eastAsia="宋体" w:cs="宋体"/>
          <w:highlight w:val="none"/>
        </w:rPr>
        <w:t>三、获取招标文件</w:t>
      </w:r>
    </w:p>
    <w:p>
      <w:pPr>
        <w:pStyle w:val="10"/>
        <w:spacing w:before="1" w:line="360" w:lineRule="auto"/>
        <w:ind w:right="1788"/>
        <w:rPr>
          <w:rFonts w:hint="eastAsia" w:ascii="宋体" w:hAnsi="宋体" w:eastAsia="宋体" w:cs="宋体"/>
          <w:highlight w:val="none"/>
        </w:rPr>
      </w:pPr>
      <w:r>
        <w:rPr>
          <w:rFonts w:hint="eastAsia" w:ascii="宋体" w:hAnsi="宋体" w:eastAsia="宋体" w:cs="宋体"/>
          <w:highlight w:val="none"/>
        </w:rPr>
        <w:t>1、时间：2021</w:t>
      </w:r>
      <w:r>
        <w:rPr>
          <w:rFonts w:hint="eastAsia" w:ascii="宋体" w:hAnsi="宋体" w:eastAsia="宋体" w:cs="宋体"/>
          <w:spacing w:val="-30"/>
          <w:highlight w:val="none"/>
        </w:rPr>
        <w:t xml:space="preserve">年 </w:t>
      </w:r>
      <w:r>
        <w:rPr>
          <w:rFonts w:hint="eastAsia" w:cs="宋体"/>
          <w:spacing w:val="-30"/>
          <w:highlight w:val="none"/>
          <w:lang w:val="en-US" w:eastAsia="zh-CN"/>
        </w:rPr>
        <w:t>10</w:t>
      </w:r>
      <w:r>
        <w:rPr>
          <w:rFonts w:hint="eastAsia" w:ascii="宋体" w:hAnsi="宋体" w:eastAsia="宋体" w:cs="宋体"/>
          <w:spacing w:val="-30"/>
          <w:highlight w:val="none"/>
        </w:rPr>
        <w:t xml:space="preserve">月 </w:t>
      </w:r>
      <w:r>
        <w:rPr>
          <w:rFonts w:hint="eastAsia" w:ascii="宋体" w:hAnsi="宋体" w:eastAsia="宋体" w:cs="宋体"/>
          <w:highlight w:val="none"/>
          <w:lang w:val="en-US" w:eastAsia="zh-CN"/>
        </w:rPr>
        <w:t>1</w:t>
      </w:r>
      <w:r>
        <w:rPr>
          <w:rFonts w:hint="eastAsia" w:cs="宋体"/>
          <w:highlight w:val="none"/>
          <w:lang w:val="en-US" w:eastAsia="zh-CN"/>
        </w:rPr>
        <w:t>8</w:t>
      </w:r>
      <w:r>
        <w:rPr>
          <w:rFonts w:hint="eastAsia" w:ascii="宋体" w:hAnsi="宋体" w:eastAsia="宋体" w:cs="宋体"/>
          <w:spacing w:val="-20"/>
          <w:highlight w:val="none"/>
        </w:rPr>
        <w:t xml:space="preserve">日至 </w:t>
      </w:r>
      <w:r>
        <w:rPr>
          <w:rFonts w:hint="eastAsia" w:ascii="宋体" w:hAnsi="宋体" w:eastAsia="宋体" w:cs="宋体"/>
          <w:highlight w:val="none"/>
        </w:rPr>
        <w:t>2021</w:t>
      </w:r>
      <w:r>
        <w:rPr>
          <w:rFonts w:hint="eastAsia" w:ascii="宋体" w:hAnsi="宋体" w:eastAsia="宋体" w:cs="宋体"/>
          <w:spacing w:val="-30"/>
          <w:highlight w:val="none"/>
        </w:rPr>
        <w:t>年</w:t>
      </w:r>
      <w:r>
        <w:rPr>
          <w:rFonts w:hint="eastAsia" w:cs="宋体"/>
          <w:spacing w:val="-30"/>
          <w:highlight w:val="none"/>
          <w:lang w:val="en-US" w:eastAsia="zh-CN"/>
        </w:rPr>
        <w:t>10</w:t>
      </w:r>
      <w:r>
        <w:rPr>
          <w:rFonts w:hint="eastAsia" w:ascii="宋体" w:hAnsi="宋体" w:eastAsia="宋体" w:cs="宋体"/>
          <w:spacing w:val="-30"/>
          <w:highlight w:val="none"/>
        </w:rPr>
        <w:t>月</w:t>
      </w:r>
      <w:r>
        <w:rPr>
          <w:rFonts w:hint="eastAsia" w:ascii="宋体" w:hAnsi="宋体" w:eastAsia="宋体" w:cs="宋体"/>
          <w:spacing w:val="-30"/>
          <w:highlight w:val="none"/>
          <w:lang w:val="en-US" w:eastAsia="zh-CN"/>
        </w:rPr>
        <w:t xml:space="preserve">25 </w:t>
      </w:r>
      <w:r>
        <w:rPr>
          <w:rFonts w:hint="eastAsia" w:ascii="宋体" w:hAnsi="宋体" w:eastAsia="宋体" w:cs="宋体"/>
          <w:spacing w:val="-9"/>
          <w:highlight w:val="none"/>
        </w:rPr>
        <w:t xml:space="preserve">日，每天上午 </w:t>
      </w:r>
      <w:r>
        <w:rPr>
          <w:rFonts w:hint="eastAsia" w:ascii="宋体" w:hAnsi="宋体" w:eastAsia="宋体" w:cs="宋体"/>
          <w:highlight w:val="none"/>
        </w:rPr>
        <w:t>10：</w:t>
      </w:r>
      <w:r>
        <w:rPr>
          <w:rFonts w:hint="eastAsia" w:ascii="宋体" w:hAnsi="宋体" w:eastAsia="宋体" w:cs="宋体"/>
          <w:highlight w:val="none"/>
          <w:lang w:val="en-US" w:eastAsia="zh-CN"/>
        </w:rPr>
        <w:t>0</w:t>
      </w:r>
      <w:r>
        <w:rPr>
          <w:rFonts w:hint="eastAsia" w:ascii="宋体" w:hAnsi="宋体" w:eastAsia="宋体" w:cs="宋体"/>
          <w:highlight w:val="none"/>
        </w:rPr>
        <w:t>0-1</w:t>
      </w:r>
      <w:r>
        <w:rPr>
          <w:rFonts w:hint="eastAsia" w:cs="宋体"/>
          <w:highlight w:val="none"/>
          <w:lang w:val="en-US" w:eastAsia="zh-CN"/>
        </w:rPr>
        <w:t>3</w:t>
      </w:r>
      <w:r>
        <w:rPr>
          <w:rFonts w:hint="eastAsia" w:ascii="宋体" w:hAnsi="宋体" w:eastAsia="宋体" w:cs="宋体"/>
          <w:highlight w:val="none"/>
        </w:rPr>
        <w:t>：</w:t>
      </w:r>
      <w:r>
        <w:rPr>
          <w:rFonts w:hint="eastAsia" w:cs="宋体"/>
          <w:highlight w:val="none"/>
          <w:lang w:val="en-US" w:eastAsia="zh-CN"/>
        </w:rPr>
        <w:t>3</w:t>
      </w:r>
      <w:r>
        <w:rPr>
          <w:rFonts w:hint="eastAsia" w:ascii="宋体" w:hAnsi="宋体" w:eastAsia="宋体" w:cs="宋体"/>
          <w:highlight w:val="none"/>
        </w:rPr>
        <w:t>0，下</w:t>
      </w:r>
      <w:r>
        <w:rPr>
          <w:rFonts w:hint="eastAsia" w:ascii="宋体" w:hAnsi="宋体" w:eastAsia="宋体" w:cs="宋体"/>
          <w:spacing w:val="-31"/>
          <w:highlight w:val="none"/>
        </w:rPr>
        <w:t xml:space="preserve">午 </w:t>
      </w:r>
      <w:r>
        <w:rPr>
          <w:rFonts w:hint="eastAsia" w:ascii="宋体" w:hAnsi="宋体" w:eastAsia="宋体" w:cs="宋体"/>
          <w:highlight w:val="none"/>
        </w:rPr>
        <w:t>1</w:t>
      </w:r>
      <w:r>
        <w:rPr>
          <w:rFonts w:hint="eastAsia" w:cs="宋体"/>
          <w:highlight w:val="none"/>
          <w:lang w:val="en-US" w:eastAsia="zh-CN"/>
        </w:rPr>
        <w:t>5</w:t>
      </w:r>
      <w:r>
        <w:rPr>
          <w:rFonts w:hint="eastAsia" w:ascii="宋体" w:hAnsi="宋体" w:eastAsia="宋体" w:cs="宋体"/>
          <w:highlight w:val="none"/>
        </w:rPr>
        <w:t>：30-1</w:t>
      </w:r>
      <w:r>
        <w:rPr>
          <w:rFonts w:hint="eastAsia" w:ascii="宋体" w:hAnsi="宋体" w:eastAsia="宋体" w:cs="宋体"/>
          <w:highlight w:val="none"/>
          <w:lang w:val="en-US" w:eastAsia="zh-CN"/>
        </w:rPr>
        <w:t>9</w:t>
      </w:r>
      <w:r>
        <w:rPr>
          <w:rFonts w:hint="eastAsia" w:ascii="宋体" w:hAnsi="宋体" w:eastAsia="宋体" w:cs="宋体"/>
          <w:highlight w:val="none"/>
        </w:rPr>
        <w:t>：00（</w:t>
      </w:r>
      <w:r>
        <w:rPr>
          <w:rFonts w:hint="eastAsia" w:ascii="宋体" w:hAnsi="宋体" w:eastAsia="宋体" w:cs="宋体"/>
          <w:spacing w:val="-2"/>
          <w:highlight w:val="none"/>
        </w:rPr>
        <w:t xml:space="preserve">北京时间，法定节假日除外 </w:t>
      </w:r>
      <w:r>
        <w:rPr>
          <w:rFonts w:hint="eastAsia" w:ascii="宋体" w:hAnsi="宋体" w:eastAsia="宋体" w:cs="宋体"/>
          <w:spacing w:val="-120"/>
          <w:highlight w:val="none"/>
        </w:rPr>
        <w:t>）。</w:t>
      </w:r>
    </w:p>
    <w:p>
      <w:pPr>
        <w:pStyle w:val="10"/>
        <w:spacing w:before="1" w:line="360" w:lineRule="auto"/>
        <w:ind w:right="3848"/>
        <w:rPr>
          <w:rFonts w:hint="eastAsia" w:ascii="宋体" w:hAnsi="宋体" w:eastAsia="宋体" w:cs="宋体"/>
          <w:highlight w:val="none"/>
          <w:lang w:val="en-US" w:eastAsia="zh-CN"/>
        </w:rPr>
      </w:pPr>
      <w:r>
        <w:rPr>
          <w:rFonts w:hint="eastAsia" w:ascii="宋体" w:hAnsi="宋体" w:eastAsia="宋体" w:cs="宋体"/>
          <w:highlight w:val="none"/>
        </w:rPr>
        <w:t>2、地点：新疆政府采购</w:t>
      </w:r>
      <w:r>
        <w:rPr>
          <w:rFonts w:hint="eastAsia" w:cs="宋体"/>
          <w:highlight w:val="none"/>
          <w:lang w:val="en-US" w:eastAsia="zh-CN"/>
        </w:rPr>
        <w:t>网（</w:t>
      </w:r>
      <w:r>
        <w:rPr>
          <w:rFonts w:hint="eastAsia" w:ascii="宋体" w:hAnsi="宋体" w:eastAsia="宋体" w:cs="宋体"/>
          <w:spacing w:val="-2"/>
          <w:highlight w:val="none"/>
        </w:rPr>
        <w:t>ww</w:t>
      </w:r>
      <w:r>
        <w:rPr>
          <w:rFonts w:hint="eastAsia" w:ascii="宋体" w:hAnsi="宋体" w:eastAsia="宋体" w:cs="宋体"/>
          <w:spacing w:val="-16"/>
          <w:highlight w:val="none"/>
        </w:rPr>
        <w:t>w</w:t>
      </w:r>
      <w:r>
        <w:rPr>
          <w:rFonts w:hint="eastAsia" w:ascii="宋体" w:hAnsi="宋体" w:eastAsia="宋体" w:cs="宋体"/>
          <w:spacing w:val="-1"/>
          <w:highlight w:val="none"/>
        </w:rPr>
        <w:t>.</w:t>
      </w:r>
      <w:r>
        <w:rPr>
          <w:rFonts w:hint="eastAsia" w:ascii="宋体" w:hAnsi="宋体" w:eastAsia="宋体" w:cs="宋体"/>
          <w:spacing w:val="-2"/>
          <w:highlight w:val="none"/>
        </w:rPr>
        <w:t>c</w:t>
      </w:r>
      <w:r>
        <w:rPr>
          <w:rFonts w:hint="eastAsia" w:ascii="宋体" w:hAnsi="宋体" w:eastAsia="宋体" w:cs="宋体"/>
          <w:spacing w:val="1"/>
          <w:highlight w:val="none"/>
        </w:rPr>
        <w:t>c</w:t>
      </w:r>
      <w:r>
        <w:rPr>
          <w:rFonts w:hint="eastAsia" w:ascii="宋体" w:hAnsi="宋体" w:eastAsia="宋体" w:cs="宋体"/>
          <w:highlight w:val="none"/>
        </w:rPr>
        <w:t>g</w:t>
      </w:r>
      <w:r>
        <w:rPr>
          <w:rFonts w:hint="eastAsia" w:ascii="宋体" w:hAnsi="宋体" w:eastAsia="宋体" w:cs="宋体"/>
          <w:spacing w:val="2"/>
          <w:highlight w:val="none"/>
        </w:rPr>
        <w:t>p</w:t>
      </w:r>
      <w:r>
        <w:rPr>
          <w:rFonts w:hint="eastAsia" w:ascii="宋体" w:hAnsi="宋体" w:eastAsia="宋体" w:cs="宋体"/>
          <w:spacing w:val="-1"/>
          <w:highlight w:val="none"/>
        </w:rPr>
        <w:t>x</w:t>
      </w:r>
      <w:r>
        <w:rPr>
          <w:rFonts w:hint="eastAsia" w:ascii="宋体" w:hAnsi="宋体" w:eastAsia="宋体" w:cs="宋体"/>
          <w:highlight w:val="none"/>
        </w:rPr>
        <w:t>i</w:t>
      </w:r>
      <w:r>
        <w:rPr>
          <w:rFonts w:hint="eastAsia" w:ascii="宋体" w:hAnsi="宋体" w:eastAsia="宋体" w:cs="宋体"/>
          <w:spacing w:val="1"/>
          <w:highlight w:val="none"/>
        </w:rPr>
        <w:t>n</w:t>
      </w:r>
      <w:r>
        <w:rPr>
          <w:rFonts w:hint="eastAsia" w:ascii="宋体" w:hAnsi="宋体" w:eastAsia="宋体" w:cs="宋体"/>
          <w:spacing w:val="-1"/>
          <w:highlight w:val="none"/>
        </w:rPr>
        <w:t>jia</w:t>
      </w:r>
      <w:r>
        <w:rPr>
          <w:rFonts w:hint="eastAsia" w:ascii="宋体" w:hAnsi="宋体" w:eastAsia="宋体" w:cs="宋体"/>
          <w:spacing w:val="1"/>
          <w:highlight w:val="none"/>
        </w:rPr>
        <w:t>n</w:t>
      </w:r>
      <w:r>
        <w:rPr>
          <w:rFonts w:hint="eastAsia" w:ascii="宋体" w:hAnsi="宋体" w:eastAsia="宋体" w:cs="宋体"/>
          <w:highlight w:val="none"/>
        </w:rPr>
        <w:t>g</w:t>
      </w:r>
      <w:r>
        <w:rPr>
          <w:rFonts w:hint="eastAsia" w:ascii="宋体" w:hAnsi="宋体" w:eastAsia="宋体" w:cs="宋体"/>
          <w:spacing w:val="1"/>
          <w:highlight w:val="none"/>
        </w:rPr>
        <w:t>.</w:t>
      </w:r>
      <w:r>
        <w:rPr>
          <w:rFonts w:hint="eastAsia" w:ascii="宋体" w:hAnsi="宋体" w:eastAsia="宋体" w:cs="宋体"/>
          <w:spacing w:val="-3"/>
          <w:highlight w:val="none"/>
        </w:rPr>
        <w:t>g</w:t>
      </w:r>
      <w:r>
        <w:rPr>
          <w:rFonts w:hint="eastAsia" w:ascii="宋体" w:hAnsi="宋体" w:eastAsia="宋体" w:cs="宋体"/>
          <w:spacing w:val="-1"/>
          <w:highlight w:val="none"/>
        </w:rPr>
        <w:t>o</w:t>
      </w:r>
      <w:r>
        <w:rPr>
          <w:rFonts w:hint="eastAsia" w:ascii="宋体" w:hAnsi="宋体" w:eastAsia="宋体" w:cs="宋体"/>
          <w:spacing w:val="-20"/>
          <w:highlight w:val="none"/>
        </w:rPr>
        <w:t>v</w:t>
      </w:r>
      <w:r>
        <w:rPr>
          <w:rFonts w:hint="eastAsia" w:ascii="宋体" w:hAnsi="宋体" w:eastAsia="宋体" w:cs="宋体"/>
          <w:spacing w:val="-1"/>
          <w:highlight w:val="none"/>
        </w:rPr>
        <w:t>.</w:t>
      </w:r>
      <w:r>
        <w:rPr>
          <w:rFonts w:hint="eastAsia" w:ascii="宋体" w:hAnsi="宋体" w:eastAsia="宋体" w:cs="宋体"/>
          <w:spacing w:val="-2"/>
          <w:highlight w:val="none"/>
        </w:rPr>
        <w:t>c</w:t>
      </w:r>
      <w:r>
        <w:rPr>
          <w:rFonts w:hint="eastAsia" w:ascii="宋体" w:hAnsi="宋体" w:eastAsia="宋体" w:cs="宋体"/>
          <w:highlight w:val="none"/>
        </w:rPr>
        <w:t>n</w:t>
      </w:r>
      <w:r>
        <w:rPr>
          <w:rFonts w:hint="eastAsia" w:cs="宋体"/>
          <w:highlight w:val="none"/>
          <w:lang w:val="en-US" w:eastAsia="zh-CN"/>
        </w:rPr>
        <w:t>）</w:t>
      </w:r>
    </w:p>
    <w:p>
      <w:pPr>
        <w:pStyle w:val="10"/>
        <w:spacing w:before="1" w:line="360" w:lineRule="auto"/>
        <w:ind w:right="1791"/>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spacing w:val="-10"/>
          <w:highlight w:val="none"/>
        </w:rPr>
        <w:t>、方式：线上</w:t>
      </w:r>
      <w:r>
        <w:rPr>
          <w:rFonts w:hint="eastAsia" w:ascii="宋体" w:hAnsi="宋体" w:eastAsia="宋体" w:cs="宋体"/>
          <w:highlight w:val="none"/>
        </w:rPr>
        <w:t>获取采购文件。</w:t>
      </w:r>
    </w:p>
    <w:p>
      <w:pPr>
        <w:pStyle w:val="10"/>
        <w:spacing w:before="2" w:line="360" w:lineRule="auto"/>
        <w:rPr>
          <w:rFonts w:hint="eastAsia" w:ascii="宋体" w:hAnsi="宋体" w:eastAsia="宋体" w:cs="宋体"/>
          <w:highlight w:val="none"/>
        </w:rPr>
      </w:pPr>
      <w:r>
        <w:rPr>
          <w:rFonts w:hint="eastAsia" w:ascii="宋体" w:hAnsi="宋体" w:eastAsia="宋体" w:cs="宋体"/>
          <w:highlight w:val="none"/>
        </w:rPr>
        <w:t>4、售价：0 元。</w:t>
      </w:r>
    </w:p>
    <w:p>
      <w:pPr>
        <w:pStyle w:val="7"/>
        <w:spacing w:line="360" w:lineRule="auto"/>
        <w:rPr>
          <w:rFonts w:hint="eastAsia" w:ascii="宋体" w:hAnsi="宋体" w:eastAsia="宋体" w:cs="宋体"/>
          <w:highlight w:val="none"/>
        </w:rPr>
      </w:pPr>
      <w:r>
        <w:rPr>
          <w:rFonts w:hint="eastAsia" w:ascii="宋体" w:hAnsi="宋体" w:eastAsia="宋体" w:cs="宋体"/>
          <w:highlight w:val="none"/>
        </w:rPr>
        <w:t>四、提交投标文件截止时间、开标时间和地点</w:t>
      </w:r>
    </w:p>
    <w:p>
      <w:pPr>
        <w:pStyle w:val="20"/>
        <w:numPr>
          <w:ilvl w:val="0"/>
          <w:numId w:val="0"/>
        </w:numPr>
        <w:tabs>
          <w:tab w:val="left" w:pos="1182"/>
        </w:tabs>
        <w:spacing w:before="106" w:after="0" w:line="360" w:lineRule="auto"/>
        <w:ind w:left="818" w:leftChars="0" w:right="1792" w:rightChars="0"/>
        <w:jc w:val="both"/>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投标截止时间</w:t>
      </w:r>
      <w:r>
        <w:rPr>
          <w:rFonts w:hint="eastAsia" w:ascii="宋体" w:hAnsi="宋体" w:eastAsia="宋体" w:cs="宋体"/>
          <w:spacing w:val="5"/>
          <w:sz w:val="24"/>
          <w:highlight w:val="none"/>
          <w:lang w:eastAsia="zh-CN"/>
        </w:rPr>
        <w:t>：</w:t>
      </w:r>
      <w:r>
        <w:rPr>
          <w:rFonts w:hint="eastAsia" w:ascii="宋体" w:hAnsi="宋体" w:eastAsia="宋体" w:cs="宋体"/>
          <w:sz w:val="24"/>
          <w:highlight w:val="none"/>
          <w:u w:val="single"/>
        </w:rPr>
        <w:t>2021</w:t>
      </w:r>
      <w:r>
        <w:rPr>
          <w:rFonts w:hint="eastAsia" w:ascii="宋体" w:hAnsi="宋体" w:eastAsia="宋体" w:cs="宋体"/>
          <w:spacing w:val="-40"/>
          <w:sz w:val="24"/>
          <w:highlight w:val="none"/>
          <w:u w:val="single"/>
        </w:rPr>
        <w:t xml:space="preserve"> 年 </w:t>
      </w:r>
      <w:r>
        <w:rPr>
          <w:rFonts w:hint="eastAsia" w:cs="宋体"/>
          <w:sz w:val="24"/>
          <w:highlight w:val="none"/>
          <w:u w:val="single"/>
          <w:lang w:val="en-US" w:eastAsia="zh-CN"/>
        </w:rPr>
        <w:t>11</w:t>
      </w:r>
      <w:r>
        <w:rPr>
          <w:rFonts w:hint="eastAsia" w:ascii="宋体" w:hAnsi="宋体" w:eastAsia="宋体" w:cs="宋体"/>
          <w:spacing w:val="-40"/>
          <w:sz w:val="24"/>
          <w:highlight w:val="none"/>
          <w:u w:val="single"/>
        </w:rPr>
        <w:t xml:space="preserve">月 </w:t>
      </w:r>
      <w:r>
        <w:rPr>
          <w:rFonts w:hint="eastAsia" w:cs="宋体"/>
          <w:spacing w:val="-40"/>
          <w:sz w:val="24"/>
          <w:highlight w:val="none"/>
          <w:u w:val="single"/>
          <w:lang w:val="en-US" w:eastAsia="zh-CN"/>
        </w:rPr>
        <w:t>07</w:t>
      </w:r>
      <w:r>
        <w:rPr>
          <w:rFonts w:hint="eastAsia" w:ascii="宋体" w:hAnsi="宋体" w:eastAsia="宋体" w:cs="宋体"/>
          <w:spacing w:val="-40"/>
          <w:sz w:val="24"/>
          <w:highlight w:val="none"/>
          <w:u w:val="single"/>
        </w:rPr>
        <w:t xml:space="preserve"> 日 </w:t>
      </w:r>
      <w:r>
        <w:rPr>
          <w:rFonts w:hint="eastAsia" w:cs="宋体"/>
          <w:spacing w:val="-40"/>
          <w:sz w:val="24"/>
          <w:highlight w:val="none"/>
          <w:u w:val="single"/>
          <w:lang w:val="en-US" w:eastAsia="zh-CN"/>
        </w:rPr>
        <w:t>16</w:t>
      </w:r>
      <w:r>
        <w:rPr>
          <w:rFonts w:hint="eastAsia" w:ascii="宋体" w:hAnsi="宋体" w:eastAsia="宋体" w:cs="宋体"/>
          <w:spacing w:val="-40"/>
          <w:sz w:val="24"/>
          <w:highlight w:val="none"/>
          <w:u w:val="single"/>
        </w:rPr>
        <w:t xml:space="preserve"> 点 </w:t>
      </w:r>
      <w:r>
        <w:rPr>
          <w:rFonts w:hint="eastAsia" w:cs="宋体"/>
          <w:spacing w:val="-40"/>
          <w:sz w:val="24"/>
          <w:highlight w:val="none"/>
          <w:u w:val="single"/>
          <w:lang w:val="en-US" w:eastAsia="zh-CN"/>
        </w:rPr>
        <w:t>3</w:t>
      </w:r>
      <w:r>
        <w:rPr>
          <w:rFonts w:hint="eastAsia" w:ascii="宋体" w:hAnsi="宋体" w:eastAsia="宋体" w:cs="宋体"/>
          <w:sz w:val="24"/>
          <w:highlight w:val="none"/>
          <w:u w:val="single"/>
        </w:rPr>
        <w:t>0</w:t>
      </w:r>
      <w:r>
        <w:rPr>
          <w:rFonts w:hint="eastAsia" w:ascii="宋体" w:hAnsi="宋体" w:eastAsia="宋体" w:cs="宋体"/>
          <w:spacing w:val="-30"/>
          <w:sz w:val="24"/>
          <w:highlight w:val="none"/>
          <w:u w:val="single"/>
        </w:rPr>
        <w:t xml:space="preserve"> 分</w:t>
      </w:r>
      <w:r>
        <w:rPr>
          <w:rFonts w:hint="eastAsia" w:ascii="宋体" w:hAnsi="宋体" w:eastAsia="宋体" w:cs="宋体"/>
          <w:sz w:val="24"/>
          <w:highlight w:val="none"/>
        </w:rPr>
        <w:t>(北京时间</w:t>
      </w:r>
    </w:p>
    <w:p>
      <w:pPr>
        <w:pStyle w:val="20"/>
        <w:numPr>
          <w:ilvl w:val="0"/>
          <w:numId w:val="0"/>
        </w:numPr>
        <w:tabs>
          <w:tab w:val="left" w:pos="1182"/>
        </w:tabs>
        <w:spacing w:before="106" w:after="0" w:line="360" w:lineRule="auto"/>
        <w:ind w:left="818" w:leftChars="0" w:right="1792" w:rightChars="0"/>
        <w:jc w:val="both"/>
        <w:rPr>
          <w:rFonts w:hint="eastAsia" w:ascii="宋体" w:hAnsi="宋体" w:eastAsia="宋体" w:cs="宋体"/>
          <w:sz w:val="24"/>
          <w:highlight w:val="none"/>
        </w:rPr>
      </w:pPr>
      <w:r>
        <w:rPr>
          <w:rFonts w:hint="eastAsia" w:ascii="宋体" w:hAnsi="宋体" w:eastAsia="宋体" w:cs="宋体"/>
          <w:spacing w:val="8"/>
          <w:sz w:val="24"/>
          <w:highlight w:val="none"/>
          <w:lang w:val="en-US" w:eastAsia="zh-CN"/>
        </w:rPr>
        <w:t>2.</w:t>
      </w:r>
      <w:r>
        <w:rPr>
          <w:rFonts w:hint="eastAsia" w:ascii="宋体" w:hAnsi="宋体" w:eastAsia="宋体" w:cs="宋体"/>
          <w:sz w:val="24"/>
          <w:highlight w:val="none"/>
        </w:rPr>
        <w:t>开标时间及地点</w:t>
      </w:r>
      <w:r>
        <w:rPr>
          <w:rFonts w:hint="eastAsia" w:ascii="宋体" w:hAnsi="宋体" w:eastAsia="宋体" w:cs="宋体"/>
          <w:spacing w:val="-1"/>
          <w:sz w:val="24"/>
          <w:highlight w:val="none"/>
          <w:lang w:eastAsia="zh-CN"/>
        </w:rPr>
        <w:t>：</w:t>
      </w:r>
      <w:r>
        <w:rPr>
          <w:rFonts w:hint="eastAsia" w:ascii="宋体" w:hAnsi="宋体" w:eastAsia="宋体" w:cs="宋体"/>
          <w:sz w:val="24"/>
          <w:highlight w:val="none"/>
        </w:rPr>
        <w:t>2021</w:t>
      </w:r>
      <w:r>
        <w:rPr>
          <w:rFonts w:hint="eastAsia" w:ascii="宋体" w:hAnsi="宋体" w:eastAsia="宋体" w:cs="宋体"/>
          <w:spacing w:val="7"/>
          <w:sz w:val="24"/>
          <w:highlight w:val="none"/>
        </w:rPr>
        <w:t xml:space="preserve"> </w:t>
      </w:r>
      <w:r>
        <w:rPr>
          <w:rFonts w:hint="eastAsia" w:ascii="宋体" w:hAnsi="宋体" w:eastAsia="宋体" w:cs="宋体"/>
          <w:spacing w:val="-30"/>
          <w:sz w:val="24"/>
          <w:highlight w:val="none"/>
        </w:rPr>
        <w:t xml:space="preserve">年 </w:t>
      </w:r>
      <w:r>
        <w:rPr>
          <w:rFonts w:hint="eastAsia" w:cs="宋体"/>
          <w:spacing w:val="-30"/>
          <w:sz w:val="24"/>
          <w:highlight w:val="none"/>
          <w:lang w:val="en-US" w:eastAsia="zh-CN"/>
        </w:rPr>
        <w:t>11</w:t>
      </w:r>
      <w:r>
        <w:rPr>
          <w:rFonts w:hint="eastAsia" w:ascii="宋体" w:hAnsi="宋体" w:eastAsia="宋体" w:cs="宋体"/>
          <w:spacing w:val="-30"/>
          <w:sz w:val="24"/>
          <w:highlight w:val="none"/>
        </w:rPr>
        <w:t xml:space="preserve">月 </w:t>
      </w:r>
      <w:r>
        <w:rPr>
          <w:rFonts w:hint="eastAsia" w:cs="宋体"/>
          <w:spacing w:val="-30"/>
          <w:sz w:val="24"/>
          <w:highlight w:val="none"/>
          <w:lang w:val="en-US" w:eastAsia="zh-CN"/>
        </w:rPr>
        <w:t>07</w:t>
      </w:r>
      <w:r>
        <w:rPr>
          <w:rFonts w:hint="eastAsia" w:ascii="宋体" w:hAnsi="宋体" w:eastAsia="宋体" w:cs="宋体"/>
          <w:spacing w:val="-30"/>
          <w:sz w:val="24"/>
          <w:highlight w:val="none"/>
        </w:rPr>
        <w:t xml:space="preserve">日 </w:t>
      </w:r>
      <w:r>
        <w:rPr>
          <w:rFonts w:hint="eastAsia" w:ascii="宋体" w:hAnsi="宋体" w:eastAsia="宋体" w:cs="宋体"/>
          <w:sz w:val="24"/>
          <w:highlight w:val="none"/>
        </w:rPr>
        <w:t>1</w:t>
      </w:r>
      <w:r>
        <w:rPr>
          <w:rFonts w:hint="eastAsia" w:cs="宋体"/>
          <w:sz w:val="24"/>
          <w:highlight w:val="none"/>
          <w:lang w:val="en-US" w:eastAsia="zh-CN"/>
        </w:rPr>
        <w:t>6</w:t>
      </w:r>
      <w:r>
        <w:rPr>
          <w:rFonts w:hint="eastAsia" w:ascii="宋体" w:hAnsi="宋体" w:eastAsia="宋体" w:cs="宋体"/>
          <w:spacing w:val="-31"/>
          <w:sz w:val="24"/>
          <w:highlight w:val="none"/>
        </w:rPr>
        <w:t xml:space="preserve">点 </w:t>
      </w:r>
      <w:r>
        <w:rPr>
          <w:rFonts w:hint="eastAsia" w:cs="宋体"/>
          <w:spacing w:val="-31"/>
          <w:sz w:val="24"/>
          <w:highlight w:val="none"/>
          <w:lang w:val="en-US" w:eastAsia="zh-CN"/>
        </w:rPr>
        <w:t>3</w:t>
      </w:r>
      <w:r>
        <w:rPr>
          <w:rFonts w:hint="eastAsia" w:ascii="宋体" w:hAnsi="宋体" w:eastAsia="宋体" w:cs="宋体"/>
          <w:sz w:val="24"/>
          <w:highlight w:val="none"/>
        </w:rPr>
        <w:t>0</w:t>
      </w:r>
      <w:r>
        <w:rPr>
          <w:rFonts w:hint="eastAsia" w:ascii="宋体" w:hAnsi="宋体" w:eastAsia="宋体" w:cs="宋体"/>
          <w:spacing w:val="6"/>
          <w:sz w:val="24"/>
          <w:highlight w:val="none"/>
        </w:rPr>
        <w:t xml:space="preserve"> </w:t>
      </w:r>
      <w:r>
        <w:rPr>
          <w:rFonts w:hint="eastAsia" w:ascii="宋体" w:hAnsi="宋体" w:eastAsia="宋体" w:cs="宋体"/>
          <w:sz w:val="24"/>
          <w:highlight w:val="none"/>
        </w:rPr>
        <w:t>分(北京时间)</w:t>
      </w:r>
    </w:p>
    <w:p>
      <w:pPr>
        <w:pStyle w:val="20"/>
        <w:numPr>
          <w:ilvl w:val="0"/>
          <w:numId w:val="0"/>
        </w:numPr>
        <w:tabs>
          <w:tab w:val="left" w:pos="1182"/>
        </w:tabs>
        <w:spacing w:before="106" w:after="0" w:line="360" w:lineRule="auto"/>
        <w:ind w:left="818" w:leftChars="0" w:right="1792" w:rightChars="0"/>
        <w:jc w:val="both"/>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开标地点</w:t>
      </w:r>
      <w:r>
        <w:rPr>
          <w:rFonts w:hint="eastAsia" w:ascii="宋体" w:hAnsi="宋体" w:eastAsia="宋体" w:cs="宋体"/>
          <w:spacing w:val="3"/>
          <w:sz w:val="24"/>
          <w:highlight w:val="none"/>
          <w:lang w:eastAsia="zh-CN"/>
        </w:rPr>
        <w:t>：</w:t>
      </w:r>
      <w:r>
        <w:rPr>
          <w:rFonts w:hint="eastAsia" w:ascii="宋体" w:hAnsi="宋体" w:eastAsia="宋体" w:cs="宋体"/>
          <w:spacing w:val="3"/>
          <w:sz w:val="24"/>
          <w:highlight w:val="none"/>
        </w:rPr>
        <w:t xml:space="preserve"> 麦盖提县馕产业园会议室</w:t>
      </w:r>
    </w:p>
    <w:p>
      <w:pPr>
        <w:pStyle w:val="7"/>
        <w:spacing w:line="360" w:lineRule="auto"/>
        <w:rPr>
          <w:rFonts w:hint="eastAsia" w:ascii="宋体" w:hAnsi="宋体" w:eastAsia="宋体" w:cs="宋体"/>
          <w:highlight w:val="none"/>
        </w:rPr>
      </w:pPr>
      <w:r>
        <w:rPr>
          <w:rFonts w:hint="eastAsia" w:ascii="宋体" w:hAnsi="宋体" w:eastAsia="宋体" w:cs="宋体"/>
          <w:highlight w:val="none"/>
        </w:rPr>
        <w:t>五、公告期限</w:t>
      </w:r>
    </w:p>
    <w:p>
      <w:pPr>
        <w:pStyle w:val="10"/>
        <w:spacing w:before="106" w:line="360" w:lineRule="auto"/>
        <w:ind w:left="1058"/>
        <w:rPr>
          <w:rFonts w:hint="eastAsia" w:ascii="宋体" w:hAnsi="宋体" w:eastAsia="宋体" w:cs="宋体"/>
          <w:highlight w:val="none"/>
        </w:rPr>
      </w:pPr>
      <w:r>
        <w:rPr>
          <w:rFonts w:hint="eastAsia" w:ascii="宋体" w:hAnsi="宋体" w:eastAsia="宋体" w:cs="宋体"/>
          <w:highlight w:val="none"/>
        </w:rPr>
        <w:t>自本公告发布之日起 5 个工作日</w:t>
      </w:r>
    </w:p>
    <w:p>
      <w:pPr>
        <w:pStyle w:val="10"/>
        <w:spacing w:line="360" w:lineRule="auto"/>
        <w:ind w:left="0"/>
        <w:rPr>
          <w:rFonts w:hint="eastAsia" w:ascii="宋体" w:hAnsi="宋体" w:eastAsia="宋体" w:cs="宋体"/>
          <w:sz w:val="28"/>
          <w:highlight w:val="none"/>
        </w:rPr>
      </w:pPr>
    </w:p>
    <w:p>
      <w:pPr>
        <w:pStyle w:val="7"/>
        <w:spacing w:line="360" w:lineRule="auto"/>
        <w:ind w:left="1058" w:right="8179" w:hanging="240"/>
        <w:rPr>
          <w:rFonts w:hint="eastAsia" w:ascii="宋体" w:hAnsi="宋体" w:eastAsia="宋体" w:cs="宋体"/>
          <w:b w:val="0"/>
          <w:highlight w:val="none"/>
        </w:rPr>
      </w:pPr>
      <w:r>
        <w:rPr>
          <w:rFonts w:hint="eastAsia" w:ascii="宋体" w:hAnsi="宋体" w:eastAsia="宋体" w:cs="宋体"/>
          <w:highlight w:val="none"/>
        </w:rPr>
        <w:t>六、其他补充事宜</w:t>
      </w:r>
      <w:r>
        <w:rPr>
          <w:rFonts w:hint="eastAsia" w:ascii="宋体" w:hAnsi="宋体" w:eastAsia="宋体" w:cs="宋体"/>
          <w:b w:val="0"/>
          <w:highlight w:val="none"/>
        </w:rPr>
        <w:t>无</w:t>
      </w:r>
    </w:p>
    <w:p>
      <w:pPr>
        <w:spacing w:before="0" w:line="360" w:lineRule="auto"/>
        <w:ind w:left="818" w:right="0" w:firstLine="0"/>
        <w:jc w:val="left"/>
        <w:rPr>
          <w:rFonts w:hint="eastAsia" w:ascii="宋体" w:hAnsi="宋体" w:eastAsia="宋体" w:cs="宋体"/>
          <w:b/>
          <w:sz w:val="24"/>
          <w:highlight w:val="none"/>
          <w:lang w:eastAsia="zh-CN"/>
        </w:rPr>
      </w:pPr>
      <w:r>
        <w:rPr>
          <w:rFonts w:hint="eastAsia" w:ascii="宋体" w:hAnsi="宋体" w:eastAsia="宋体" w:cs="宋体"/>
          <w:b/>
          <w:sz w:val="24"/>
          <w:highlight w:val="none"/>
        </w:rPr>
        <w:t>七、</w:t>
      </w:r>
      <w:r>
        <w:rPr>
          <w:rFonts w:hint="eastAsia" w:ascii="宋体" w:hAnsi="宋体" w:eastAsia="宋体" w:cs="宋体"/>
          <w:b/>
          <w:sz w:val="24"/>
          <w:highlight w:val="none"/>
          <w:lang w:val="en-US" w:eastAsia="zh-CN"/>
        </w:rPr>
        <w:t>对本次招标提出询问，请按以下方式联系</w:t>
      </w:r>
    </w:p>
    <w:p>
      <w:pPr>
        <w:pStyle w:val="20"/>
        <w:numPr>
          <w:ilvl w:val="0"/>
          <w:numId w:val="0"/>
        </w:numPr>
        <w:tabs>
          <w:tab w:val="left" w:pos="1100"/>
        </w:tabs>
        <w:spacing w:before="55" w:after="0" w:line="360" w:lineRule="auto"/>
        <w:ind w:right="0" w:rightChars="0" w:firstLine="960" w:firstLineChars="400"/>
        <w:jc w:val="left"/>
        <w:rPr>
          <w:rFonts w:hint="eastAsia" w:ascii="宋体" w:hAnsi="宋体" w:eastAsia="宋体" w:cs="宋体"/>
          <w:sz w:val="24"/>
          <w:szCs w:val="24"/>
          <w:highlight w:val="none"/>
          <w:lang w:val="zh-CN" w:eastAsia="zh-CN" w:bidi="zh-CN"/>
        </w:rPr>
      </w:pPr>
      <w:r>
        <w:rPr>
          <w:rFonts w:hint="eastAsia" w:cs="宋体"/>
          <w:sz w:val="24"/>
          <w:szCs w:val="24"/>
          <w:highlight w:val="none"/>
          <w:lang w:val="en-US" w:eastAsia="zh-CN" w:bidi="zh-CN"/>
        </w:rPr>
        <w:t>1、</w:t>
      </w:r>
      <w:r>
        <w:rPr>
          <w:rFonts w:hint="eastAsia" w:ascii="宋体" w:hAnsi="宋体" w:eastAsia="宋体" w:cs="宋体"/>
          <w:sz w:val="24"/>
          <w:szCs w:val="24"/>
          <w:highlight w:val="none"/>
          <w:lang w:val="zh-CN" w:eastAsia="zh-CN" w:bidi="zh-CN"/>
        </w:rPr>
        <w:t>采购人信息</w:t>
      </w:r>
    </w:p>
    <w:p>
      <w:pPr>
        <w:spacing w:before="108" w:line="360" w:lineRule="auto"/>
        <w:ind w:right="4157" w:firstLine="1000" w:firstLineChars="400"/>
        <w:jc w:val="left"/>
        <w:rPr>
          <w:rFonts w:hint="eastAsia" w:ascii="宋体" w:hAnsi="宋体" w:eastAsia="宋体" w:cs="宋体"/>
          <w:sz w:val="25"/>
          <w:highlight w:val="none"/>
        </w:rPr>
      </w:pPr>
      <w:r>
        <w:rPr>
          <w:rFonts w:hint="eastAsia" w:ascii="宋体" w:hAnsi="宋体" w:eastAsia="宋体" w:cs="宋体"/>
          <w:sz w:val="25"/>
          <w:highlight w:val="none"/>
        </w:rPr>
        <w:t>名称：麦盖提县库木库萨尔乡人民政府</w:t>
      </w:r>
    </w:p>
    <w:p>
      <w:pPr>
        <w:spacing w:before="108" w:line="360" w:lineRule="auto"/>
        <w:ind w:right="4157" w:firstLine="1000" w:firstLineChars="400"/>
        <w:jc w:val="left"/>
        <w:rPr>
          <w:rFonts w:hint="eastAsia" w:ascii="宋体" w:hAnsi="宋体" w:eastAsia="宋体" w:cs="宋体"/>
          <w:sz w:val="25"/>
          <w:highlight w:val="none"/>
        </w:rPr>
      </w:pPr>
      <w:r>
        <w:rPr>
          <w:rFonts w:hint="eastAsia" w:ascii="宋体" w:hAnsi="宋体" w:eastAsia="宋体" w:cs="宋体"/>
          <w:sz w:val="25"/>
          <w:highlight w:val="none"/>
        </w:rPr>
        <w:t>地址：麦盖提县库木库萨尔乡胡木丹买里村100号</w:t>
      </w:r>
    </w:p>
    <w:p>
      <w:pPr>
        <w:spacing w:before="108" w:line="360" w:lineRule="auto"/>
        <w:ind w:right="4157" w:firstLine="1000" w:firstLineChars="400"/>
        <w:jc w:val="left"/>
        <w:rPr>
          <w:rFonts w:hint="default" w:ascii="宋体" w:hAnsi="宋体" w:eastAsia="宋体" w:cs="宋体"/>
          <w:sz w:val="25"/>
          <w:highlight w:val="none"/>
          <w:lang w:val="en-US" w:eastAsia="zh-CN"/>
        </w:rPr>
      </w:pPr>
      <w:r>
        <w:rPr>
          <w:rFonts w:hint="eastAsia" w:ascii="宋体" w:hAnsi="宋体" w:eastAsia="宋体" w:cs="宋体"/>
          <w:sz w:val="25"/>
          <w:highlight w:val="none"/>
        </w:rPr>
        <w:t>联系人：</w:t>
      </w:r>
      <w:r>
        <w:rPr>
          <w:rFonts w:hint="eastAsia" w:cs="宋体"/>
          <w:sz w:val="25"/>
          <w:highlight w:val="none"/>
          <w:lang w:val="en-US" w:eastAsia="zh-CN"/>
        </w:rPr>
        <w:t>孙先生</w:t>
      </w:r>
    </w:p>
    <w:p>
      <w:pPr>
        <w:spacing w:before="0" w:line="360" w:lineRule="auto"/>
        <w:ind w:right="0" w:firstLine="1000" w:firstLineChars="400"/>
        <w:jc w:val="left"/>
        <w:rPr>
          <w:rFonts w:hint="eastAsia" w:ascii="宋体" w:hAnsi="宋体" w:eastAsia="宋体" w:cs="宋体"/>
          <w:sz w:val="25"/>
          <w:highlight w:val="none"/>
        </w:rPr>
      </w:pPr>
      <w:r>
        <w:rPr>
          <w:rFonts w:hint="eastAsia" w:ascii="宋体" w:hAnsi="宋体" w:eastAsia="宋体" w:cs="宋体"/>
          <w:sz w:val="25"/>
          <w:highlight w:val="none"/>
        </w:rPr>
        <w:t>联系方式：</w:t>
      </w:r>
      <w:r>
        <w:rPr>
          <w:rFonts w:hint="eastAsia" w:ascii="宋体" w:hAnsi="宋体" w:eastAsia="宋体" w:cs="宋体"/>
          <w:i w:val="0"/>
          <w:caps w:val="0"/>
          <w:color w:val="auto"/>
          <w:spacing w:val="0"/>
          <w:sz w:val="24"/>
          <w:szCs w:val="24"/>
          <w:highlight w:val="none"/>
          <w:lang w:val="en-US" w:eastAsia="zh-CN"/>
        </w:rPr>
        <w:t>15999237421</w:t>
      </w:r>
    </w:p>
    <w:p>
      <w:pPr>
        <w:pStyle w:val="20"/>
        <w:numPr>
          <w:ilvl w:val="0"/>
          <w:numId w:val="0"/>
        </w:numPr>
        <w:tabs>
          <w:tab w:val="left" w:pos="1100"/>
        </w:tabs>
        <w:spacing w:before="106" w:after="0" w:line="360" w:lineRule="auto"/>
        <w:ind w:right="0" w:rightChars="0" w:firstLine="1000" w:firstLineChars="400"/>
        <w:jc w:val="left"/>
        <w:rPr>
          <w:rFonts w:hint="eastAsia" w:ascii="宋体" w:hAnsi="宋体" w:eastAsia="宋体" w:cs="宋体"/>
          <w:sz w:val="25"/>
          <w:highlight w:val="none"/>
        </w:rPr>
      </w:pPr>
      <w:r>
        <w:rPr>
          <w:rFonts w:hint="eastAsia" w:cs="宋体"/>
          <w:sz w:val="25"/>
          <w:highlight w:val="none"/>
          <w:lang w:val="en-US" w:eastAsia="zh-CN"/>
        </w:rPr>
        <w:t>2、</w:t>
      </w:r>
      <w:r>
        <w:rPr>
          <w:rFonts w:hint="eastAsia" w:ascii="宋体" w:hAnsi="宋体" w:eastAsia="宋体" w:cs="宋体"/>
          <w:sz w:val="25"/>
          <w:highlight w:val="none"/>
        </w:rPr>
        <w:t>采购代理机构信息</w:t>
      </w:r>
    </w:p>
    <w:p>
      <w:pPr>
        <w:spacing w:before="108" w:line="360" w:lineRule="auto"/>
        <w:ind w:right="4157" w:firstLine="1000" w:firstLineChars="400"/>
        <w:jc w:val="left"/>
        <w:rPr>
          <w:rFonts w:hint="eastAsia" w:ascii="宋体" w:hAnsi="宋体" w:eastAsia="宋体" w:cs="宋体"/>
          <w:sz w:val="25"/>
          <w:highlight w:val="none"/>
          <w:lang w:eastAsia="zh-CN"/>
        </w:rPr>
      </w:pPr>
      <w:r>
        <w:rPr>
          <w:rFonts w:hint="eastAsia" w:ascii="宋体" w:hAnsi="宋体" w:eastAsia="宋体" w:cs="宋体"/>
          <w:sz w:val="25"/>
          <w:highlight w:val="none"/>
        </w:rPr>
        <w:t>名称：</w:t>
      </w:r>
      <w:r>
        <w:rPr>
          <w:rFonts w:hint="eastAsia" w:cs="宋体"/>
          <w:sz w:val="25"/>
          <w:highlight w:val="none"/>
          <w:lang w:eastAsia="zh-CN"/>
        </w:rPr>
        <w:t>新疆泽瑞达企业管理咨询有限责任公司</w:t>
      </w:r>
    </w:p>
    <w:p>
      <w:pPr>
        <w:spacing w:before="108" w:line="360" w:lineRule="auto"/>
        <w:ind w:left="1099" w:leftChars="454" w:right="1030" w:rightChars="0" w:hanging="100" w:hangingChars="40"/>
        <w:jc w:val="left"/>
        <w:rPr>
          <w:rFonts w:hint="eastAsia" w:ascii="宋体" w:hAnsi="宋体" w:eastAsia="宋体" w:cs="宋体"/>
          <w:sz w:val="25"/>
          <w:highlight w:val="none"/>
        </w:rPr>
      </w:pPr>
      <w:r>
        <w:rPr>
          <w:rFonts w:hint="eastAsia" w:ascii="宋体" w:hAnsi="宋体" w:eastAsia="宋体" w:cs="宋体"/>
          <w:sz w:val="25"/>
          <w:highlight w:val="none"/>
        </w:rPr>
        <w:t>地址：新疆喀什地区喀什市夏马勒巴格镇阿亚合帕哈太克里村13村6组办公楼三层322室</w:t>
      </w:r>
    </w:p>
    <w:p>
      <w:pPr>
        <w:spacing w:before="108" w:line="360" w:lineRule="auto"/>
        <w:ind w:right="4157" w:firstLine="1000" w:firstLineChars="400"/>
        <w:jc w:val="left"/>
        <w:rPr>
          <w:rFonts w:hint="eastAsia" w:ascii="宋体" w:hAnsi="宋体" w:eastAsia="宋体" w:cs="宋体"/>
          <w:sz w:val="25"/>
          <w:highlight w:val="none"/>
          <w:lang w:val="en-US" w:eastAsia="zh-CN"/>
        </w:rPr>
      </w:pPr>
      <w:r>
        <w:rPr>
          <w:rFonts w:hint="eastAsia" w:ascii="宋体" w:hAnsi="宋体" w:eastAsia="宋体" w:cs="宋体"/>
          <w:sz w:val="25"/>
          <w:highlight w:val="none"/>
        </w:rPr>
        <w:t>联系人：</w:t>
      </w:r>
      <w:r>
        <w:rPr>
          <w:rFonts w:hint="eastAsia" w:cs="宋体"/>
          <w:sz w:val="25"/>
          <w:highlight w:val="none"/>
          <w:lang w:val="en-US" w:eastAsia="zh-CN"/>
        </w:rPr>
        <w:t>廖爱玲</w:t>
      </w:r>
    </w:p>
    <w:p>
      <w:pPr>
        <w:spacing w:before="108" w:line="360" w:lineRule="auto"/>
        <w:ind w:right="4157" w:firstLine="1000" w:firstLineChars="400"/>
        <w:jc w:val="left"/>
        <w:rPr>
          <w:rFonts w:hint="default" w:ascii="宋体" w:hAnsi="宋体" w:eastAsia="宋体" w:cs="宋体"/>
          <w:sz w:val="25"/>
          <w:highlight w:val="none"/>
          <w:lang w:val="en-US" w:eastAsia="zh-CN"/>
        </w:rPr>
      </w:pPr>
      <w:r>
        <w:rPr>
          <w:rFonts w:hint="eastAsia" w:ascii="宋体" w:hAnsi="宋体" w:eastAsia="宋体" w:cs="宋体"/>
          <w:sz w:val="25"/>
          <w:highlight w:val="none"/>
        </w:rPr>
        <w:t>联系方式：</w:t>
      </w:r>
      <w:r>
        <w:rPr>
          <w:rFonts w:hint="eastAsia" w:cs="宋体"/>
          <w:sz w:val="25"/>
          <w:highlight w:val="none"/>
          <w:lang w:val="en-US" w:eastAsia="zh-CN"/>
        </w:rPr>
        <w:t>17354834608</w:t>
      </w:r>
    </w:p>
    <w:p>
      <w:pPr>
        <w:pStyle w:val="20"/>
        <w:numPr>
          <w:ilvl w:val="0"/>
          <w:numId w:val="0"/>
        </w:numPr>
        <w:tabs>
          <w:tab w:val="left" w:pos="1100"/>
        </w:tabs>
        <w:spacing w:before="108" w:after="0" w:line="360" w:lineRule="auto"/>
        <w:ind w:right="0" w:rightChars="0" w:firstLine="1000" w:firstLineChars="400"/>
        <w:jc w:val="left"/>
        <w:rPr>
          <w:rFonts w:hint="eastAsia" w:ascii="宋体" w:hAnsi="宋体" w:eastAsia="宋体" w:cs="宋体"/>
          <w:sz w:val="25"/>
          <w:highlight w:val="none"/>
        </w:rPr>
      </w:pPr>
      <w:r>
        <w:rPr>
          <w:rFonts w:hint="eastAsia" w:ascii="宋体" w:hAnsi="宋体" w:eastAsia="宋体" w:cs="宋体"/>
          <w:sz w:val="25"/>
          <w:highlight w:val="none"/>
        </w:rPr>
        <w:t>项目联系方式</w:t>
      </w:r>
    </w:p>
    <w:p>
      <w:pPr>
        <w:pStyle w:val="20"/>
        <w:numPr>
          <w:ilvl w:val="0"/>
          <w:numId w:val="0"/>
        </w:numPr>
        <w:tabs>
          <w:tab w:val="left" w:pos="1549"/>
        </w:tabs>
        <w:spacing w:before="108" w:after="0" w:line="360" w:lineRule="auto"/>
        <w:ind w:right="0" w:rightChars="0" w:firstLine="1000" w:firstLineChars="400"/>
        <w:jc w:val="left"/>
        <w:rPr>
          <w:rFonts w:hint="eastAsia" w:ascii="宋体" w:hAnsi="宋体" w:eastAsia="宋体" w:cs="宋体"/>
          <w:sz w:val="25"/>
          <w:highlight w:val="none"/>
        </w:rPr>
      </w:pPr>
      <w:r>
        <w:rPr>
          <w:rFonts w:hint="eastAsia" w:ascii="宋体" w:hAnsi="宋体" w:eastAsia="宋体" w:cs="宋体"/>
          <w:sz w:val="25"/>
          <w:highlight w:val="none"/>
        </w:rPr>
        <w:t>联系人：</w:t>
      </w:r>
      <w:r>
        <w:rPr>
          <w:rFonts w:hint="eastAsia" w:cs="宋体"/>
          <w:sz w:val="25"/>
          <w:highlight w:val="none"/>
          <w:lang w:val="en-US" w:eastAsia="zh-CN"/>
        </w:rPr>
        <w:t>廖爱玲</w:t>
      </w:r>
    </w:p>
    <w:p>
      <w:pPr>
        <w:spacing w:before="108" w:line="360" w:lineRule="auto"/>
        <w:ind w:right="4157" w:firstLine="1000" w:firstLineChars="400"/>
        <w:jc w:val="left"/>
        <w:rPr>
          <w:rFonts w:hint="eastAsia" w:ascii="宋体" w:hAnsi="宋体" w:eastAsia="宋体" w:cs="宋体"/>
          <w:sz w:val="25"/>
          <w:highlight w:val="none"/>
        </w:rPr>
      </w:pPr>
      <w:r>
        <w:rPr>
          <w:rFonts w:hint="eastAsia" w:ascii="宋体" w:hAnsi="宋体" w:eastAsia="宋体" w:cs="宋体"/>
          <w:sz w:val="25"/>
          <w:highlight w:val="none"/>
        </w:rPr>
        <w:t>联系方式：</w:t>
      </w:r>
      <w:r>
        <w:rPr>
          <w:rFonts w:hint="eastAsia" w:cs="宋体"/>
          <w:sz w:val="25"/>
          <w:highlight w:val="none"/>
          <w:lang w:val="en-US" w:eastAsia="zh-CN"/>
        </w:rPr>
        <w:t>17354834608</w:t>
      </w:r>
    </w:p>
    <w:p>
      <w:pPr>
        <w:pStyle w:val="20"/>
        <w:numPr>
          <w:ilvl w:val="0"/>
          <w:numId w:val="0"/>
        </w:numPr>
        <w:tabs>
          <w:tab w:val="left" w:pos="1100"/>
        </w:tabs>
        <w:spacing w:before="0" w:after="0" w:line="360" w:lineRule="auto"/>
        <w:ind w:right="0" w:rightChars="0" w:firstLine="1000" w:firstLineChars="400"/>
        <w:jc w:val="left"/>
        <w:rPr>
          <w:rFonts w:hint="eastAsia" w:ascii="宋体" w:hAnsi="宋体" w:eastAsia="宋体" w:cs="宋体"/>
          <w:sz w:val="25"/>
          <w:highlight w:val="none"/>
        </w:rPr>
      </w:pPr>
      <w:r>
        <w:rPr>
          <w:rFonts w:hint="eastAsia" w:ascii="宋体" w:hAnsi="宋体" w:eastAsia="宋体" w:cs="宋体"/>
          <w:sz w:val="25"/>
          <w:highlight w:val="none"/>
        </w:rPr>
        <w:t>同级政府采购监督管理部门</w:t>
      </w:r>
    </w:p>
    <w:p>
      <w:pPr>
        <w:spacing w:before="107" w:line="360" w:lineRule="auto"/>
        <w:ind w:right="5126" w:firstLine="1000" w:firstLineChars="400"/>
        <w:jc w:val="left"/>
        <w:rPr>
          <w:rFonts w:hint="eastAsia" w:ascii="宋体" w:hAnsi="宋体" w:eastAsia="宋体" w:cs="宋体"/>
          <w:sz w:val="25"/>
          <w:highlight w:val="none"/>
        </w:rPr>
      </w:pPr>
      <w:r>
        <w:rPr>
          <w:rFonts w:hint="eastAsia" w:ascii="宋体" w:hAnsi="宋体" w:eastAsia="宋体" w:cs="宋体"/>
          <w:sz w:val="25"/>
          <w:highlight w:val="none"/>
        </w:rPr>
        <w:t xml:space="preserve">名称：麦盖提县财政局采购办  </w:t>
      </w:r>
    </w:p>
    <w:p>
      <w:pPr>
        <w:spacing w:before="107" w:line="360" w:lineRule="auto"/>
        <w:ind w:right="5126" w:firstLine="1000" w:firstLineChars="400"/>
        <w:jc w:val="left"/>
        <w:rPr>
          <w:rFonts w:hint="eastAsia" w:ascii="宋体" w:hAnsi="宋体" w:eastAsia="宋体" w:cs="宋体"/>
          <w:sz w:val="25"/>
          <w:highlight w:val="none"/>
        </w:rPr>
      </w:pPr>
      <w:r>
        <w:rPr>
          <w:rFonts w:hint="eastAsia" w:ascii="宋体" w:hAnsi="宋体" w:eastAsia="宋体" w:cs="宋体"/>
          <w:sz w:val="25"/>
          <w:highlight w:val="none"/>
        </w:rPr>
        <w:t xml:space="preserve">联系人：何晓飞  </w:t>
      </w:r>
    </w:p>
    <w:p>
      <w:pPr>
        <w:spacing w:before="0" w:line="360" w:lineRule="auto"/>
        <w:ind w:right="0" w:firstLine="1000" w:firstLineChars="400"/>
        <w:jc w:val="left"/>
        <w:rPr>
          <w:rFonts w:hint="eastAsia" w:ascii="宋体" w:hAnsi="宋体" w:eastAsia="宋体" w:cs="宋体"/>
          <w:sz w:val="25"/>
          <w:highlight w:val="none"/>
        </w:rPr>
      </w:pPr>
      <w:r>
        <w:rPr>
          <w:rFonts w:hint="eastAsia" w:ascii="宋体" w:hAnsi="宋体" w:eastAsia="宋体" w:cs="宋体"/>
          <w:sz w:val="25"/>
          <w:highlight w:val="none"/>
        </w:rPr>
        <w:t xml:space="preserve">监督投诉电话：0998-7846655 </w:t>
      </w:r>
    </w:p>
    <w:p>
      <w:pPr>
        <w:spacing w:after="0" w:line="319" w:lineRule="exact"/>
        <w:ind w:right="370" w:rightChars="168"/>
        <w:jc w:val="left"/>
        <w:rPr>
          <w:sz w:val="25"/>
          <w:highlight w:val="none"/>
        </w:rPr>
        <w:sectPr>
          <w:pgSz w:w="11910" w:h="16840"/>
          <w:pgMar w:top="1420" w:right="0" w:bottom="1180" w:left="980" w:header="0" w:footer="915" w:gutter="0"/>
          <w:cols w:space="720" w:num="1"/>
        </w:sectPr>
      </w:pPr>
    </w:p>
    <w:p>
      <w:pPr>
        <w:pStyle w:val="4"/>
        <w:ind w:left="1903" w:right="2698"/>
        <w:jc w:val="center"/>
        <w:outlineLvl w:val="0"/>
        <w:rPr>
          <w:highlight w:val="none"/>
        </w:rPr>
      </w:pPr>
      <w:bookmarkStart w:id="3" w:name="第二部分   投标人须知"/>
      <w:bookmarkEnd w:id="3"/>
      <w:bookmarkStart w:id="4" w:name="_Toc20077"/>
      <w:r>
        <w:rPr>
          <w:highlight w:val="none"/>
        </w:rPr>
        <w:t>第二部分 投标人须知</w:t>
      </w:r>
      <w:bookmarkEnd w:id="4"/>
      <w:r>
        <w:rPr>
          <w:w w:val="200"/>
          <w:highlight w:val="none"/>
        </w:rPr>
        <w:t xml:space="preserve"> </w:t>
      </w:r>
    </w:p>
    <w:p>
      <w:pPr>
        <w:spacing w:before="0"/>
        <w:ind w:left="1828" w:right="2698" w:firstLine="0"/>
        <w:jc w:val="center"/>
        <w:rPr>
          <w:rFonts w:hint="eastAsia" w:ascii="Microsoft JhengHei" w:eastAsia="Microsoft JhengHei"/>
          <w:b/>
          <w:sz w:val="21"/>
          <w:highlight w:val="none"/>
        </w:rPr>
      </w:pPr>
      <w:bookmarkStart w:id="5" w:name="投标人须知前附表"/>
      <w:bookmarkEnd w:id="5"/>
    </w:p>
    <w:p>
      <w:pPr>
        <w:spacing w:before="0"/>
        <w:ind w:left="1828" w:right="2698" w:firstLine="0"/>
        <w:jc w:val="center"/>
        <w:outlineLvl w:val="1"/>
        <w:rPr>
          <w:rFonts w:hint="eastAsia" w:ascii="Microsoft JhengHei" w:eastAsia="Microsoft JhengHei"/>
          <w:b/>
          <w:sz w:val="21"/>
          <w:highlight w:val="none"/>
        </w:rPr>
      </w:pPr>
      <w:bookmarkStart w:id="6" w:name="_Toc27592"/>
      <w:r>
        <w:rPr>
          <w:rFonts w:hint="eastAsia" w:ascii="Microsoft JhengHei" w:eastAsia="Microsoft JhengHei"/>
          <w:b/>
          <w:sz w:val="21"/>
          <w:highlight w:val="none"/>
        </w:rPr>
        <w:t>投标人须知前附表</w:t>
      </w:r>
      <w:bookmarkEnd w:id="6"/>
      <w:r>
        <w:rPr>
          <w:rFonts w:hint="eastAsia" w:ascii="Microsoft JhengHei" w:eastAsia="Microsoft JhengHei"/>
          <w:b/>
          <w:w w:val="201"/>
          <w:sz w:val="21"/>
          <w:highlight w:val="none"/>
        </w:rPr>
        <w:t xml:space="preserve"> </w:t>
      </w:r>
    </w:p>
    <w:tbl>
      <w:tblPr>
        <w:tblStyle w:val="16"/>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610"/>
        <w:gridCol w:w="1054"/>
        <w:gridCol w:w="1"/>
        <w:gridCol w:w="6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35" w:type="dxa"/>
          </w:tcPr>
          <w:p>
            <w:pPr>
              <w:pStyle w:val="21"/>
              <w:spacing w:line="433" w:lineRule="exact"/>
              <w:ind w:left="172" w:right="33"/>
              <w:jc w:val="center"/>
              <w:rPr>
                <w:rFonts w:hint="eastAsia" w:ascii="Microsoft JhengHei" w:eastAsia="Microsoft JhengHei"/>
                <w:b/>
                <w:sz w:val="24"/>
                <w:highlight w:val="none"/>
              </w:rPr>
            </w:pPr>
            <w:r>
              <w:rPr>
                <w:rFonts w:hint="eastAsia" w:ascii="Microsoft JhengHei" w:eastAsia="Microsoft JhengHei"/>
                <w:b/>
                <w:sz w:val="24"/>
                <w:highlight w:val="none"/>
              </w:rPr>
              <w:t>序号</w:t>
            </w:r>
            <w:r>
              <w:rPr>
                <w:rFonts w:hint="eastAsia" w:ascii="Microsoft JhengHei" w:eastAsia="Microsoft JhengHei"/>
                <w:b/>
                <w:w w:val="200"/>
                <w:sz w:val="24"/>
                <w:highlight w:val="none"/>
              </w:rPr>
              <w:t xml:space="preserve"> </w:t>
            </w:r>
          </w:p>
        </w:tc>
        <w:tc>
          <w:tcPr>
            <w:tcW w:w="2665" w:type="dxa"/>
            <w:gridSpan w:val="3"/>
          </w:tcPr>
          <w:p>
            <w:pPr>
              <w:pStyle w:val="21"/>
              <w:spacing w:line="433" w:lineRule="exact"/>
              <w:ind w:left="168" w:right="43"/>
              <w:jc w:val="center"/>
              <w:rPr>
                <w:rFonts w:hint="eastAsia" w:ascii="Microsoft JhengHei" w:eastAsia="Microsoft JhengHei"/>
                <w:b/>
                <w:sz w:val="24"/>
                <w:highlight w:val="none"/>
              </w:rPr>
            </w:pPr>
            <w:r>
              <w:rPr>
                <w:rFonts w:hint="eastAsia" w:ascii="Microsoft JhengHei" w:eastAsia="Microsoft JhengHei"/>
                <w:b/>
                <w:sz w:val="24"/>
                <w:highlight w:val="none"/>
              </w:rPr>
              <w:t>内容</w:t>
            </w:r>
            <w:r>
              <w:rPr>
                <w:rFonts w:hint="eastAsia" w:ascii="Microsoft JhengHei" w:eastAsia="Microsoft JhengHei"/>
                <w:b/>
                <w:w w:val="200"/>
                <w:sz w:val="24"/>
                <w:highlight w:val="none"/>
              </w:rPr>
              <w:t xml:space="preserve"> </w:t>
            </w:r>
          </w:p>
        </w:tc>
        <w:tc>
          <w:tcPr>
            <w:tcW w:w="6476" w:type="dxa"/>
          </w:tcPr>
          <w:p>
            <w:pPr>
              <w:pStyle w:val="21"/>
              <w:spacing w:line="433" w:lineRule="exact"/>
              <w:ind w:left="2598" w:right="2475"/>
              <w:jc w:val="center"/>
              <w:rPr>
                <w:rFonts w:hint="eastAsia" w:ascii="Microsoft JhengHei" w:eastAsia="Microsoft JhengHei"/>
                <w:b/>
                <w:sz w:val="24"/>
                <w:highlight w:val="none"/>
              </w:rPr>
            </w:pPr>
            <w:r>
              <w:rPr>
                <w:rFonts w:hint="eastAsia" w:ascii="Microsoft JhengHei" w:eastAsia="Microsoft JhengHei"/>
                <w:b/>
                <w:sz w:val="24"/>
                <w:highlight w:val="none"/>
              </w:rPr>
              <w:t>说明与要求</w:t>
            </w:r>
            <w:r>
              <w:rPr>
                <w:rFonts w:hint="eastAsia" w:ascii="Microsoft JhengHei" w:eastAsia="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5" w:type="dxa"/>
          </w:tcPr>
          <w:p>
            <w:pPr>
              <w:pStyle w:val="21"/>
              <w:spacing w:line="435" w:lineRule="exact"/>
              <w:ind w:left="158" w:right="33"/>
              <w:jc w:val="center"/>
              <w:rPr>
                <w:rFonts w:ascii="Microsoft JhengHei"/>
                <w:b/>
                <w:sz w:val="24"/>
                <w:highlight w:val="none"/>
              </w:rPr>
            </w:pPr>
            <w:r>
              <w:rPr>
                <w:rFonts w:ascii="Microsoft JhengHei"/>
                <w:b/>
                <w:w w:val="95"/>
                <w:sz w:val="24"/>
                <w:highlight w:val="none"/>
              </w:rPr>
              <w:t>1</w:t>
            </w:r>
            <w:r>
              <w:rPr>
                <w:rFonts w:ascii="Microsoft JhengHei"/>
                <w:b/>
                <w:w w:val="200"/>
                <w:sz w:val="24"/>
                <w:highlight w:val="none"/>
              </w:rPr>
              <w:t xml:space="preserve"> </w:t>
            </w:r>
          </w:p>
        </w:tc>
        <w:tc>
          <w:tcPr>
            <w:tcW w:w="2665" w:type="dxa"/>
            <w:gridSpan w:val="3"/>
          </w:tcPr>
          <w:p>
            <w:pPr>
              <w:pStyle w:val="21"/>
              <w:spacing w:line="435" w:lineRule="exact"/>
              <w:ind w:left="171" w:right="43"/>
              <w:jc w:val="center"/>
              <w:rPr>
                <w:rFonts w:hint="eastAsia" w:ascii="Microsoft JhengHei" w:eastAsia="Microsoft JhengHei"/>
                <w:b/>
                <w:sz w:val="24"/>
                <w:highlight w:val="none"/>
              </w:rPr>
            </w:pPr>
            <w:r>
              <w:rPr>
                <w:rFonts w:hint="eastAsia" w:ascii="Microsoft JhengHei" w:eastAsia="Microsoft JhengHei"/>
                <w:b/>
                <w:sz w:val="24"/>
                <w:highlight w:val="none"/>
              </w:rPr>
              <w:t>项目名称</w:t>
            </w:r>
            <w:r>
              <w:rPr>
                <w:rFonts w:hint="eastAsia" w:ascii="Microsoft JhengHei" w:eastAsia="Microsoft JhengHei"/>
                <w:b/>
                <w:w w:val="200"/>
                <w:sz w:val="24"/>
                <w:highlight w:val="none"/>
              </w:rPr>
              <w:t xml:space="preserve"> </w:t>
            </w:r>
          </w:p>
        </w:tc>
        <w:tc>
          <w:tcPr>
            <w:tcW w:w="6476" w:type="dxa"/>
          </w:tcPr>
          <w:p>
            <w:pPr>
              <w:pStyle w:val="21"/>
              <w:spacing w:before="73"/>
              <w:ind w:left="107"/>
              <w:rPr>
                <w:sz w:val="24"/>
                <w:highlight w:val="none"/>
              </w:rPr>
            </w:pPr>
            <w:r>
              <w:rPr>
                <w:rFonts w:hint="eastAsia"/>
                <w:color w:val="393939"/>
                <w:sz w:val="24"/>
                <w:highlight w:val="none"/>
                <w:u w:val="single" w:color="393939"/>
                <w:lang w:eastAsia="zh-CN"/>
              </w:rPr>
              <w:t>麦盖提县库木库萨尔乡刀郎文化打造招标项目</w:t>
            </w: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8" w:hRule="atLeast"/>
        </w:trPr>
        <w:tc>
          <w:tcPr>
            <w:tcW w:w="735" w:type="dxa"/>
          </w:tcPr>
          <w:p>
            <w:pPr>
              <w:pStyle w:val="21"/>
              <w:rPr>
                <w:rFonts w:ascii="Microsoft JhengHei"/>
                <w:b/>
                <w:sz w:val="24"/>
                <w:highlight w:val="none"/>
              </w:rPr>
            </w:pPr>
          </w:p>
          <w:p>
            <w:pPr>
              <w:pStyle w:val="21"/>
              <w:rPr>
                <w:rFonts w:ascii="Microsoft JhengHei"/>
                <w:b/>
                <w:sz w:val="24"/>
                <w:highlight w:val="none"/>
              </w:rPr>
            </w:pPr>
          </w:p>
          <w:p>
            <w:pPr>
              <w:pStyle w:val="21"/>
              <w:spacing w:before="2"/>
              <w:rPr>
                <w:rFonts w:ascii="Microsoft JhengHei"/>
                <w:b/>
                <w:sz w:val="15"/>
                <w:highlight w:val="none"/>
              </w:rPr>
            </w:pPr>
          </w:p>
          <w:p>
            <w:pPr>
              <w:pStyle w:val="21"/>
              <w:ind w:left="158" w:right="33"/>
              <w:jc w:val="center"/>
              <w:rPr>
                <w:rFonts w:ascii="Microsoft JhengHei"/>
                <w:b/>
                <w:sz w:val="24"/>
                <w:highlight w:val="none"/>
              </w:rPr>
            </w:pPr>
            <w:r>
              <w:rPr>
                <w:rFonts w:ascii="Microsoft JhengHei"/>
                <w:b/>
                <w:w w:val="95"/>
                <w:sz w:val="24"/>
                <w:highlight w:val="none"/>
              </w:rPr>
              <w:t>2</w:t>
            </w:r>
            <w:r>
              <w:rPr>
                <w:rFonts w:ascii="Microsoft JhengHei"/>
                <w:b/>
                <w:w w:val="200"/>
                <w:sz w:val="24"/>
                <w:highlight w:val="none"/>
              </w:rPr>
              <w:t xml:space="preserve"> </w:t>
            </w:r>
          </w:p>
        </w:tc>
        <w:tc>
          <w:tcPr>
            <w:tcW w:w="2665" w:type="dxa"/>
            <w:gridSpan w:val="3"/>
          </w:tcPr>
          <w:p>
            <w:pPr>
              <w:pStyle w:val="21"/>
              <w:rPr>
                <w:rFonts w:ascii="Microsoft JhengHei"/>
                <w:b/>
                <w:sz w:val="24"/>
                <w:highlight w:val="none"/>
              </w:rPr>
            </w:pPr>
          </w:p>
          <w:p>
            <w:pPr>
              <w:pStyle w:val="21"/>
              <w:rPr>
                <w:rFonts w:ascii="Microsoft JhengHei"/>
                <w:b/>
                <w:sz w:val="24"/>
                <w:highlight w:val="none"/>
              </w:rPr>
            </w:pPr>
          </w:p>
          <w:p>
            <w:pPr>
              <w:pStyle w:val="21"/>
              <w:spacing w:before="2"/>
              <w:rPr>
                <w:rFonts w:ascii="Microsoft JhengHei"/>
                <w:b/>
                <w:sz w:val="15"/>
                <w:highlight w:val="none"/>
              </w:rPr>
            </w:pPr>
          </w:p>
          <w:p>
            <w:pPr>
              <w:pStyle w:val="21"/>
              <w:ind w:left="168" w:right="43"/>
              <w:jc w:val="center"/>
              <w:rPr>
                <w:rFonts w:hint="eastAsia" w:ascii="Microsoft JhengHei" w:eastAsia="Microsoft JhengHei"/>
                <w:b/>
                <w:sz w:val="24"/>
                <w:highlight w:val="none"/>
              </w:rPr>
            </w:pPr>
            <w:r>
              <w:rPr>
                <w:rFonts w:hint="eastAsia" w:ascii="Microsoft JhengHei" w:eastAsia="Microsoft JhengHei"/>
                <w:b/>
                <w:sz w:val="24"/>
                <w:highlight w:val="none"/>
              </w:rPr>
              <w:t>采购人</w:t>
            </w:r>
            <w:r>
              <w:rPr>
                <w:rFonts w:hint="eastAsia" w:ascii="Microsoft JhengHei" w:eastAsia="Microsoft JhengHei"/>
                <w:b/>
                <w:w w:val="200"/>
                <w:sz w:val="24"/>
                <w:highlight w:val="none"/>
              </w:rPr>
              <w:t xml:space="preserve"> </w:t>
            </w:r>
          </w:p>
        </w:tc>
        <w:tc>
          <w:tcPr>
            <w:tcW w:w="6476" w:type="dxa"/>
          </w:tcPr>
          <w:p>
            <w:pPr>
              <w:pStyle w:val="21"/>
              <w:spacing w:before="2" w:line="364" w:lineRule="auto"/>
              <w:ind w:left="107" w:right="593" w:rightChars="0"/>
              <w:rPr>
                <w:rFonts w:hint="eastAsia"/>
                <w:sz w:val="24"/>
                <w:highlight w:val="none"/>
                <w:u w:val="single"/>
              </w:rPr>
            </w:pPr>
            <w:r>
              <w:rPr>
                <w:rFonts w:hint="eastAsia"/>
                <w:sz w:val="24"/>
                <w:highlight w:val="none"/>
              </w:rPr>
              <w:t>名称：</w:t>
            </w:r>
            <w:r>
              <w:rPr>
                <w:rFonts w:hint="eastAsia"/>
                <w:sz w:val="24"/>
                <w:highlight w:val="none"/>
                <w:u w:val="single"/>
              </w:rPr>
              <w:t>麦盖提县库木库萨尔乡人民政府</w:t>
            </w:r>
          </w:p>
          <w:p>
            <w:pPr>
              <w:pStyle w:val="21"/>
              <w:spacing w:before="2" w:line="364" w:lineRule="auto"/>
              <w:ind w:left="107" w:right="813" w:rightChars="0"/>
              <w:rPr>
                <w:rFonts w:hint="eastAsia"/>
                <w:sz w:val="24"/>
                <w:highlight w:val="none"/>
              </w:rPr>
            </w:pPr>
            <w:r>
              <w:rPr>
                <w:rFonts w:hint="eastAsia"/>
                <w:sz w:val="24"/>
                <w:highlight w:val="none"/>
              </w:rPr>
              <w:t>地址：</w:t>
            </w:r>
            <w:r>
              <w:rPr>
                <w:rFonts w:hint="eastAsia"/>
                <w:sz w:val="24"/>
                <w:highlight w:val="none"/>
                <w:u w:val="single"/>
              </w:rPr>
              <w:t>麦盖提县库木库萨尔乡胡木丹买里村100号</w:t>
            </w:r>
            <w:r>
              <w:rPr>
                <w:rFonts w:hint="eastAsia"/>
                <w:sz w:val="24"/>
                <w:highlight w:val="none"/>
              </w:rPr>
              <w:t>联系人：</w:t>
            </w:r>
            <w:r>
              <w:rPr>
                <w:rFonts w:hint="eastAsia"/>
                <w:sz w:val="24"/>
                <w:highlight w:val="none"/>
                <w:u w:val="single"/>
              </w:rPr>
              <w:t>孙先生</w:t>
            </w:r>
          </w:p>
          <w:p>
            <w:pPr>
              <w:pStyle w:val="21"/>
              <w:spacing w:before="2" w:line="364" w:lineRule="auto"/>
              <w:ind w:left="107" w:right="3203"/>
              <w:rPr>
                <w:sz w:val="24"/>
                <w:highlight w:val="none"/>
              </w:rPr>
            </w:pPr>
            <w:r>
              <w:rPr>
                <w:rFonts w:hint="eastAsia"/>
                <w:sz w:val="24"/>
                <w:highlight w:val="none"/>
              </w:rPr>
              <w:t>联系方式：15999237421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7" w:hRule="atLeast"/>
        </w:trPr>
        <w:tc>
          <w:tcPr>
            <w:tcW w:w="735" w:type="dxa"/>
          </w:tcPr>
          <w:p>
            <w:pPr>
              <w:pStyle w:val="21"/>
              <w:rPr>
                <w:rFonts w:ascii="Microsoft JhengHei"/>
                <w:b/>
                <w:sz w:val="24"/>
                <w:highlight w:val="none"/>
              </w:rPr>
            </w:pPr>
          </w:p>
          <w:p>
            <w:pPr>
              <w:pStyle w:val="21"/>
              <w:rPr>
                <w:rFonts w:ascii="Microsoft JhengHei"/>
                <w:b/>
                <w:sz w:val="24"/>
                <w:highlight w:val="none"/>
              </w:rPr>
            </w:pPr>
          </w:p>
          <w:p>
            <w:pPr>
              <w:pStyle w:val="21"/>
              <w:spacing w:before="1"/>
              <w:rPr>
                <w:rFonts w:ascii="Microsoft JhengHei"/>
                <w:b/>
                <w:sz w:val="15"/>
                <w:highlight w:val="none"/>
              </w:rPr>
            </w:pPr>
          </w:p>
          <w:p>
            <w:pPr>
              <w:pStyle w:val="21"/>
              <w:spacing w:before="1"/>
              <w:ind w:left="158" w:right="33"/>
              <w:jc w:val="center"/>
              <w:rPr>
                <w:rFonts w:ascii="Microsoft JhengHei"/>
                <w:b/>
                <w:sz w:val="24"/>
                <w:highlight w:val="none"/>
              </w:rPr>
            </w:pPr>
            <w:r>
              <w:rPr>
                <w:rFonts w:ascii="Microsoft JhengHei"/>
                <w:b/>
                <w:w w:val="95"/>
                <w:sz w:val="24"/>
                <w:highlight w:val="none"/>
              </w:rPr>
              <w:t>3</w:t>
            </w:r>
            <w:r>
              <w:rPr>
                <w:rFonts w:ascii="Microsoft JhengHei"/>
                <w:b/>
                <w:w w:val="200"/>
                <w:sz w:val="24"/>
                <w:highlight w:val="none"/>
              </w:rPr>
              <w:t xml:space="preserve"> </w:t>
            </w:r>
          </w:p>
        </w:tc>
        <w:tc>
          <w:tcPr>
            <w:tcW w:w="2665" w:type="dxa"/>
            <w:gridSpan w:val="3"/>
          </w:tcPr>
          <w:p>
            <w:pPr>
              <w:pStyle w:val="21"/>
              <w:rPr>
                <w:rFonts w:ascii="Microsoft JhengHei"/>
                <w:b/>
                <w:sz w:val="24"/>
                <w:highlight w:val="none"/>
              </w:rPr>
            </w:pPr>
          </w:p>
          <w:p>
            <w:pPr>
              <w:pStyle w:val="21"/>
              <w:rPr>
                <w:rFonts w:ascii="Microsoft JhengHei"/>
                <w:b/>
                <w:sz w:val="24"/>
                <w:highlight w:val="none"/>
              </w:rPr>
            </w:pPr>
          </w:p>
          <w:p>
            <w:pPr>
              <w:pStyle w:val="21"/>
              <w:spacing w:before="1"/>
              <w:rPr>
                <w:rFonts w:ascii="Microsoft JhengHei"/>
                <w:b/>
                <w:sz w:val="15"/>
                <w:highlight w:val="none"/>
              </w:rPr>
            </w:pPr>
          </w:p>
          <w:p>
            <w:pPr>
              <w:pStyle w:val="21"/>
              <w:spacing w:before="1"/>
              <w:ind w:left="171" w:right="43"/>
              <w:jc w:val="center"/>
              <w:rPr>
                <w:rFonts w:hint="eastAsia" w:ascii="Microsoft JhengHei" w:eastAsia="Microsoft JhengHei"/>
                <w:b/>
                <w:sz w:val="24"/>
                <w:highlight w:val="none"/>
              </w:rPr>
            </w:pPr>
            <w:r>
              <w:rPr>
                <w:rFonts w:hint="eastAsia" w:ascii="Microsoft JhengHei" w:eastAsia="Microsoft JhengHei"/>
                <w:b/>
                <w:sz w:val="24"/>
                <w:highlight w:val="none"/>
              </w:rPr>
              <w:t>采购代理机构</w:t>
            </w:r>
            <w:r>
              <w:rPr>
                <w:rFonts w:hint="eastAsia" w:ascii="Microsoft JhengHei" w:eastAsia="Microsoft JhengHei"/>
                <w:b/>
                <w:w w:val="200"/>
                <w:sz w:val="24"/>
                <w:highlight w:val="none"/>
              </w:rPr>
              <w:t xml:space="preserve"> </w:t>
            </w:r>
          </w:p>
        </w:tc>
        <w:tc>
          <w:tcPr>
            <w:tcW w:w="6476" w:type="dxa"/>
          </w:tcPr>
          <w:p>
            <w:pPr>
              <w:pStyle w:val="21"/>
              <w:spacing w:before="161" w:line="364" w:lineRule="auto"/>
              <w:ind w:left="107" w:right="1042"/>
              <w:rPr>
                <w:rFonts w:hint="eastAsia" w:ascii="宋体" w:hAnsi="宋体" w:eastAsia="宋体" w:cs="宋体"/>
                <w:spacing w:val="1"/>
                <w:sz w:val="24"/>
                <w:highlight w:val="none"/>
                <w:u w:val="single"/>
              </w:rPr>
            </w:pPr>
            <w:r>
              <w:rPr>
                <w:rFonts w:hint="eastAsia" w:ascii="宋体" w:hAnsi="宋体" w:eastAsia="宋体" w:cs="宋体"/>
                <w:spacing w:val="1"/>
                <w:sz w:val="24"/>
                <w:highlight w:val="none"/>
                <w:u w:val="none"/>
              </w:rPr>
              <w:t>名称：</w:t>
            </w:r>
            <w:r>
              <w:rPr>
                <w:rFonts w:hint="eastAsia" w:cs="宋体"/>
                <w:spacing w:val="1"/>
                <w:sz w:val="24"/>
                <w:highlight w:val="none"/>
                <w:u w:val="single"/>
                <w:lang w:eastAsia="zh-CN"/>
              </w:rPr>
              <w:t>新疆泽瑞达企业管理咨询有限责任公司</w:t>
            </w:r>
            <w:r>
              <w:rPr>
                <w:rFonts w:hint="eastAsia" w:ascii="宋体" w:hAnsi="宋体" w:eastAsia="宋体" w:cs="宋体"/>
                <w:spacing w:val="1"/>
                <w:sz w:val="24"/>
                <w:highlight w:val="none"/>
                <w:u w:val="single"/>
              </w:rPr>
              <w:t xml:space="preserve"> </w:t>
            </w:r>
          </w:p>
          <w:p>
            <w:pPr>
              <w:pStyle w:val="21"/>
              <w:spacing w:before="161" w:line="364" w:lineRule="auto"/>
              <w:ind w:left="107" w:right="373" w:rightChars="0"/>
              <w:rPr>
                <w:rFonts w:hint="eastAsia"/>
                <w:spacing w:val="1"/>
                <w:sz w:val="24"/>
                <w:highlight w:val="none"/>
                <w:u w:val="single"/>
              </w:rPr>
            </w:pPr>
            <w:r>
              <w:rPr>
                <w:rFonts w:hint="eastAsia"/>
                <w:spacing w:val="1"/>
                <w:sz w:val="24"/>
                <w:highlight w:val="none"/>
              </w:rPr>
              <w:t>地址：</w:t>
            </w:r>
            <w:r>
              <w:rPr>
                <w:rFonts w:hint="eastAsia"/>
                <w:spacing w:val="1"/>
                <w:sz w:val="24"/>
                <w:highlight w:val="none"/>
                <w:u w:val="single"/>
              </w:rPr>
              <w:t>新疆喀什地区喀什市夏马勒巴格镇阿亚合帕哈太克里村13村6组办公楼三层322室</w:t>
            </w:r>
          </w:p>
          <w:p>
            <w:pPr>
              <w:pStyle w:val="21"/>
              <w:spacing w:before="161" w:line="364" w:lineRule="auto"/>
              <w:ind w:left="107" w:right="373" w:rightChars="0"/>
              <w:rPr>
                <w:rFonts w:hint="eastAsia" w:eastAsia="宋体"/>
                <w:spacing w:val="1"/>
                <w:sz w:val="24"/>
                <w:highlight w:val="none"/>
                <w:lang w:val="en-US" w:eastAsia="zh-CN"/>
              </w:rPr>
            </w:pPr>
            <w:r>
              <w:rPr>
                <w:rFonts w:hint="eastAsia"/>
                <w:spacing w:val="1"/>
                <w:sz w:val="24"/>
                <w:highlight w:val="none"/>
              </w:rPr>
              <w:t>联系人：</w:t>
            </w:r>
            <w:r>
              <w:rPr>
                <w:rFonts w:hint="eastAsia"/>
                <w:spacing w:val="1"/>
                <w:sz w:val="24"/>
                <w:highlight w:val="none"/>
                <w:lang w:val="en-US" w:eastAsia="zh-CN"/>
              </w:rPr>
              <w:t>廖爱玲</w:t>
            </w:r>
          </w:p>
          <w:p>
            <w:pPr>
              <w:pStyle w:val="21"/>
              <w:spacing w:before="1" w:line="364" w:lineRule="auto"/>
              <w:ind w:left="107" w:right="3203"/>
              <w:rPr>
                <w:rFonts w:hint="default" w:eastAsia="宋体"/>
                <w:sz w:val="24"/>
                <w:highlight w:val="none"/>
                <w:lang w:val="en-US" w:eastAsia="zh-CN"/>
              </w:rPr>
            </w:pPr>
            <w:r>
              <w:rPr>
                <w:rFonts w:hint="eastAsia"/>
                <w:spacing w:val="1"/>
                <w:sz w:val="24"/>
                <w:highlight w:val="none"/>
              </w:rPr>
              <w:t>联系方式：</w:t>
            </w:r>
            <w:r>
              <w:rPr>
                <w:rFonts w:hint="eastAsia"/>
                <w:spacing w:val="1"/>
                <w:sz w:val="24"/>
                <w:highlight w:val="none"/>
                <w:lang w:val="en-US" w:eastAsia="zh-CN"/>
              </w:rPr>
              <w:t>17354834608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35" w:type="dxa"/>
          </w:tcPr>
          <w:p>
            <w:pPr>
              <w:pStyle w:val="21"/>
              <w:spacing w:line="433" w:lineRule="exact"/>
              <w:ind w:left="158" w:right="33"/>
              <w:jc w:val="center"/>
              <w:rPr>
                <w:rFonts w:ascii="Microsoft JhengHei"/>
                <w:b/>
                <w:sz w:val="24"/>
                <w:highlight w:val="none"/>
              </w:rPr>
            </w:pPr>
            <w:r>
              <w:rPr>
                <w:rFonts w:ascii="Microsoft JhengHei"/>
                <w:b/>
                <w:w w:val="95"/>
                <w:sz w:val="24"/>
                <w:highlight w:val="none"/>
              </w:rPr>
              <w:t>4</w:t>
            </w:r>
            <w:r>
              <w:rPr>
                <w:rFonts w:ascii="Microsoft JhengHei"/>
                <w:b/>
                <w:w w:val="200"/>
                <w:sz w:val="24"/>
                <w:highlight w:val="none"/>
              </w:rPr>
              <w:t xml:space="preserve"> </w:t>
            </w:r>
          </w:p>
        </w:tc>
        <w:tc>
          <w:tcPr>
            <w:tcW w:w="2665" w:type="dxa"/>
            <w:gridSpan w:val="3"/>
          </w:tcPr>
          <w:p>
            <w:pPr>
              <w:pStyle w:val="21"/>
              <w:spacing w:line="433" w:lineRule="exact"/>
              <w:ind w:left="171" w:right="43"/>
              <w:jc w:val="center"/>
              <w:rPr>
                <w:rFonts w:hint="eastAsia" w:ascii="Microsoft JhengHei" w:eastAsia="Microsoft JhengHei"/>
                <w:b/>
                <w:sz w:val="24"/>
                <w:highlight w:val="none"/>
              </w:rPr>
            </w:pPr>
            <w:r>
              <w:rPr>
                <w:rFonts w:hint="eastAsia" w:ascii="Microsoft JhengHei" w:eastAsia="Microsoft JhengHei"/>
                <w:b/>
                <w:sz w:val="24"/>
                <w:highlight w:val="none"/>
              </w:rPr>
              <w:t>采购内容</w:t>
            </w:r>
            <w:r>
              <w:rPr>
                <w:rFonts w:hint="eastAsia" w:ascii="Microsoft JhengHei" w:eastAsia="Microsoft JhengHei"/>
                <w:b/>
                <w:w w:val="200"/>
                <w:sz w:val="24"/>
                <w:highlight w:val="none"/>
              </w:rPr>
              <w:t xml:space="preserve"> </w:t>
            </w:r>
          </w:p>
        </w:tc>
        <w:tc>
          <w:tcPr>
            <w:tcW w:w="6476" w:type="dxa"/>
          </w:tcPr>
          <w:p>
            <w:pPr>
              <w:pStyle w:val="21"/>
              <w:spacing w:before="70"/>
              <w:ind w:left="107"/>
              <w:rPr>
                <w:sz w:val="24"/>
                <w:highlight w:val="none"/>
              </w:rPr>
            </w:pPr>
            <w:r>
              <w:rPr>
                <w:sz w:val="24"/>
                <w:highlight w:val="none"/>
              </w:rPr>
              <w:t xml:space="preserve">详见招标文件第三部分项目说明；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35" w:type="dxa"/>
          </w:tcPr>
          <w:p>
            <w:pPr>
              <w:pStyle w:val="21"/>
              <w:spacing w:line="433" w:lineRule="exact"/>
              <w:ind w:left="158" w:right="33"/>
              <w:jc w:val="center"/>
              <w:rPr>
                <w:rFonts w:ascii="Microsoft JhengHei"/>
                <w:b/>
                <w:w w:val="95"/>
                <w:sz w:val="24"/>
                <w:highlight w:val="none"/>
              </w:rPr>
            </w:pPr>
            <w:r>
              <w:rPr>
                <w:rFonts w:ascii="Microsoft JhengHei"/>
                <w:b/>
                <w:w w:val="95"/>
                <w:sz w:val="24"/>
                <w:highlight w:val="none"/>
              </w:rPr>
              <w:t>5</w:t>
            </w:r>
            <w:r>
              <w:rPr>
                <w:rFonts w:ascii="Microsoft JhengHei"/>
                <w:b/>
                <w:w w:val="200"/>
                <w:sz w:val="24"/>
                <w:highlight w:val="none"/>
              </w:rPr>
              <w:t xml:space="preserve"> </w:t>
            </w:r>
          </w:p>
        </w:tc>
        <w:tc>
          <w:tcPr>
            <w:tcW w:w="2665" w:type="dxa"/>
            <w:gridSpan w:val="3"/>
          </w:tcPr>
          <w:p>
            <w:pPr>
              <w:pStyle w:val="21"/>
              <w:spacing w:line="433" w:lineRule="exact"/>
              <w:ind w:left="171" w:right="43"/>
              <w:jc w:val="center"/>
              <w:rPr>
                <w:rFonts w:hint="eastAsia" w:ascii="Microsoft JhengHei" w:eastAsia="Microsoft JhengHei"/>
                <w:b/>
                <w:sz w:val="24"/>
                <w:highlight w:val="none"/>
              </w:rPr>
            </w:pPr>
            <w:r>
              <w:rPr>
                <w:rFonts w:hint="eastAsia" w:ascii="Microsoft JhengHei" w:eastAsia="Microsoft JhengHei"/>
                <w:b/>
                <w:sz w:val="24"/>
                <w:highlight w:val="none"/>
              </w:rPr>
              <w:t>投标人资格要求</w:t>
            </w:r>
          </w:p>
        </w:tc>
        <w:tc>
          <w:tcPr>
            <w:tcW w:w="6476" w:type="dxa"/>
          </w:tcPr>
          <w:p>
            <w:pPr>
              <w:pStyle w:val="21"/>
              <w:spacing w:before="70" w:line="360" w:lineRule="auto"/>
              <w:ind w:left="107"/>
              <w:rPr>
                <w:sz w:val="24"/>
                <w:highlight w:val="none"/>
              </w:rPr>
            </w:pPr>
            <w:r>
              <w:rPr>
                <w:color w:val="393939"/>
                <w:sz w:val="24"/>
                <w:highlight w:val="none"/>
                <w:u w:val="single" w:color="393939"/>
              </w:rPr>
              <w:t>1.满足《中华人民共和国政府采购法》第二十二条要求：</w:t>
            </w:r>
            <w:r>
              <w:rPr>
                <w:color w:val="393939"/>
                <w:sz w:val="24"/>
                <w:highlight w:val="none"/>
              </w:rPr>
              <w:t xml:space="preserve"> </w:t>
            </w:r>
          </w:p>
          <w:p>
            <w:pPr>
              <w:pStyle w:val="21"/>
              <w:numPr>
                <w:ilvl w:val="0"/>
                <w:numId w:val="4"/>
              </w:numPr>
              <w:tabs>
                <w:tab w:val="left" w:pos="709"/>
              </w:tabs>
              <w:spacing w:before="161" w:after="0" w:line="360" w:lineRule="auto"/>
              <w:ind w:left="107" w:right="98" w:firstLine="0"/>
              <w:jc w:val="left"/>
              <w:rPr>
                <w:sz w:val="24"/>
                <w:highlight w:val="none"/>
              </w:rPr>
            </w:pPr>
            <w:r>
              <w:rPr>
                <w:color w:val="393939"/>
                <w:spacing w:val="-1"/>
                <w:sz w:val="24"/>
                <w:highlight w:val="none"/>
                <w:u w:val="single" w:color="393939"/>
              </w:rPr>
              <w:t>具有独立承担民事责任的能力</w:t>
            </w:r>
            <w:r>
              <w:rPr>
                <w:color w:val="393939"/>
                <w:sz w:val="24"/>
                <w:highlight w:val="none"/>
                <w:u w:val="single" w:color="393939"/>
              </w:rPr>
              <w:t>（</w:t>
            </w:r>
            <w:r>
              <w:rPr>
                <w:color w:val="393939"/>
                <w:spacing w:val="-2"/>
                <w:sz w:val="24"/>
                <w:highlight w:val="none"/>
                <w:u w:val="single" w:color="393939"/>
              </w:rPr>
              <w:t>营业执照及法定代表</w:t>
            </w:r>
            <w:r>
              <w:rPr>
                <w:color w:val="393939"/>
                <w:spacing w:val="-17"/>
                <w:sz w:val="24"/>
                <w:highlight w:val="none"/>
                <w:u w:val="single" w:color="393939"/>
              </w:rPr>
              <w:t>人证明或法定代表人授权委托书原件</w:t>
            </w:r>
            <w:r>
              <w:rPr>
                <w:color w:val="393939"/>
                <w:sz w:val="24"/>
                <w:highlight w:val="none"/>
                <w:u w:val="single" w:color="393939"/>
              </w:rPr>
              <w:t xml:space="preserve">）； </w:t>
            </w:r>
            <w:r>
              <w:rPr>
                <w:color w:val="393939"/>
                <w:sz w:val="24"/>
                <w:highlight w:val="none"/>
              </w:rPr>
              <w:t xml:space="preserve"> </w:t>
            </w:r>
          </w:p>
          <w:p>
            <w:pPr>
              <w:pStyle w:val="21"/>
              <w:numPr>
                <w:ilvl w:val="0"/>
                <w:numId w:val="4"/>
              </w:numPr>
              <w:tabs>
                <w:tab w:val="left" w:pos="709"/>
              </w:tabs>
              <w:spacing w:before="1" w:after="0" w:line="360" w:lineRule="auto"/>
              <w:ind w:left="107" w:right="-29" w:firstLine="0"/>
              <w:jc w:val="left"/>
              <w:rPr>
                <w:sz w:val="24"/>
                <w:highlight w:val="none"/>
              </w:rPr>
            </w:pPr>
            <w:r>
              <w:rPr>
                <w:color w:val="393939"/>
                <w:sz w:val="24"/>
                <w:highlight w:val="none"/>
                <w:u w:val="single" w:color="393939"/>
              </w:rPr>
              <w:t>具有健全的财务会计制度（</w:t>
            </w:r>
            <w:r>
              <w:rPr>
                <w:rFonts w:hint="eastAsia"/>
                <w:color w:val="393939"/>
                <w:sz w:val="24"/>
                <w:highlight w:val="none"/>
                <w:u w:val="single" w:color="393939"/>
              </w:rPr>
              <w:t>2020年度会计师事务所出具的审计报告，新办企业提供银行资信证明</w:t>
            </w:r>
            <w:r>
              <w:rPr>
                <w:color w:val="393939"/>
                <w:spacing w:val="-8"/>
                <w:sz w:val="24"/>
                <w:highlight w:val="none"/>
                <w:u w:val="single" w:color="393939"/>
              </w:rPr>
              <w:t>）</w:t>
            </w:r>
            <w:r>
              <w:rPr>
                <w:color w:val="393939"/>
                <w:spacing w:val="-122"/>
                <w:sz w:val="24"/>
                <w:highlight w:val="none"/>
                <w:u w:val="single" w:color="393939"/>
              </w:rPr>
              <w:t>；</w:t>
            </w:r>
            <w:r>
              <w:rPr>
                <w:color w:val="393939"/>
                <w:sz w:val="24"/>
                <w:highlight w:val="none"/>
              </w:rPr>
              <w:t xml:space="preserve"> </w:t>
            </w:r>
          </w:p>
          <w:p>
            <w:pPr>
              <w:pStyle w:val="21"/>
              <w:numPr>
                <w:ilvl w:val="0"/>
                <w:numId w:val="4"/>
              </w:numPr>
              <w:tabs>
                <w:tab w:val="left" w:pos="709"/>
              </w:tabs>
              <w:spacing w:before="2" w:after="0" w:line="360" w:lineRule="auto"/>
              <w:ind w:left="107" w:right="98" w:firstLine="0"/>
              <w:jc w:val="left"/>
              <w:rPr>
                <w:sz w:val="24"/>
                <w:highlight w:val="none"/>
              </w:rPr>
            </w:pPr>
            <w:r>
              <w:rPr>
                <w:color w:val="393939"/>
                <w:spacing w:val="-2"/>
                <w:sz w:val="24"/>
                <w:highlight w:val="none"/>
                <w:u w:val="single" w:color="393939"/>
              </w:rPr>
              <w:t>具有履行合同所必需的设备和专业技术能力，提供承</w:t>
            </w:r>
            <w:r>
              <w:rPr>
                <w:color w:val="393939"/>
                <w:spacing w:val="-74"/>
                <w:sz w:val="24"/>
                <w:highlight w:val="none"/>
                <w:u w:val="single" w:color="393939"/>
              </w:rPr>
              <w:t>诺</w:t>
            </w:r>
            <w:r>
              <w:rPr>
                <w:rFonts w:hint="eastAsia"/>
                <w:color w:val="393939"/>
                <w:spacing w:val="-74"/>
                <w:sz w:val="24"/>
                <w:highlight w:val="none"/>
                <w:u w:val="single" w:color="393939"/>
                <w:lang w:val="en-US" w:eastAsia="zh-CN"/>
              </w:rPr>
              <w:t xml:space="preserve">  </w:t>
            </w:r>
            <w:r>
              <w:rPr>
                <w:color w:val="393939"/>
                <w:spacing w:val="-74"/>
                <w:sz w:val="24"/>
                <w:highlight w:val="none"/>
                <w:u w:val="single" w:color="393939"/>
              </w:rPr>
              <w:t>函；</w:t>
            </w:r>
            <w:r>
              <w:rPr>
                <w:color w:val="393939"/>
                <w:spacing w:val="-74"/>
                <w:sz w:val="24"/>
                <w:highlight w:val="none"/>
              </w:rPr>
              <w:t xml:space="preserve"> </w:t>
            </w:r>
          </w:p>
          <w:p>
            <w:pPr>
              <w:pStyle w:val="21"/>
              <w:numPr>
                <w:ilvl w:val="0"/>
                <w:numId w:val="4"/>
              </w:numPr>
              <w:tabs>
                <w:tab w:val="left" w:pos="709"/>
              </w:tabs>
              <w:spacing w:before="1" w:after="0" w:line="360" w:lineRule="auto"/>
              <w:ind w:left="107" w:right="153" w:rightChars="0" w:firstLine="0"/>
              <w:jc w:val="left"/>
              <w:rPr>
                <w:rFonts w:hint="eastAsia"/>
                <w:color w:val="393939"/>
                <w:spacing w:val="-1"/>
                <w:sz w:val="24"/>
                <w:highlight w:val="none"/>
                <w:u w:val="single" w:color="393939"/>
              </w:rPr>
            </w:pPr>
            <w:r>
              <w:rPr>
                <w:color w:val="393939"/>
                <w:spacing w:val="-1"/>
                <w:sz w:val="24"/>
                <w:highlight w:val="none"/>
                <w:u w:val="single" w:color="393939"/>
              </w:rPr>
              <w:t>有依法缴纳税收和社会保障资金的良好记录</w:t>
            </w:r>
            <w:r>
              <w:rPr>
                <w:color w:val="393939"/>
                <w:sz w:val="24"/>
                <w:highlight w:val="none"/>
                <w:u w:val="single" w:color="393939"/>
              </w:rPr>
              <w:t>（</w:t>
            </w:r>
            <w:r>
              <w:rPr>
                <w:color w:val="393939"/>
                <w:spacing w:val="-6"/>
                <w:sz w:val="24"/>
                <w:highlight w:val="none"/>
                <w:u w:val="single" w:color="393939"/>
              </w:rPr>
              <w:t>近三个</w:t>
            </w:r>
            <w:r>
              <w:rPr>
                <w:color w:val="393939"/>
                <w:spacing w:val="-220"/>
                <w:sz w:val="24"/>
                <w:highlight w:val="none"/>
                <w:u w:val="single" w:color="393939"/>
              </w:rPr>
              <w:t>月</w:t>
            </w:r>
            <w:r>
              <w:rPr>
                <w:color w:val="393939"/>
                <w:sz w:val="24"/>
                <w:highlight w:val="none"/>
                <w:u w:val="single" w:color="393939"/>
              </w:rPr>
              <w:t>（任意一个月）社保证明及完税证明）；</w:t>
            </w:r>
            <w:r>
              <w:rPr>
                <w:color w:val="393939"/>
                <w:sz w:val="24"/>
                <w:highlight w:val="none"/>
              </w:rPr>
              <w:t xml:space="preserve"> </w:t>
            </w:r>
          </w:p>
          <w:p>
            <w:pPr>
              <w:pStyle w:val="21"/>
              <w:numPr>
                <w:ilvl w:val="0"/>
                <w:numId w:val="4"/>
              </w:numPr>
              <w:tabs>
                <w:tab w:val="left" w:pos="709"/>
              </w:tabs>
              <w:spacing w:before="1" w:after="0" w:line="360" w:lineRule="auto"/>
              <w:ind w:left="107" w:right="98" w:firstLine="0"/>
              <w:jc w:val="left"/>
              <w:rPr>
                <w:rFonts w:hint="eastAsia"/>
                <w:color w:val="393939"/>
                <w:spacing w:val="-1"/>
                <w:sz w:val="24"/>
                <w:highlight w:val="none"/>
                <w:u w:val="single" w:color="393939"/>
              </w:rPr>
            </w:pPr>
            <w:r>
              <w:rPr>
                <w:color w:val="393939"/>
                <w:spacing w:val="-1"/>
                <w:sz w:val="24"/>
                <w:highlight w:val="none"/>
                <w:u w:val="single" w:color="393939"/>
              </w:rPr>
              <w:t>参加政府采购活动前三年内，在经营活动中没有重大</w:t>
            </w:r>
            <w:r>
              <w:rPr>
                <w:rFonts w:hint="eastAsia"/>
                <w:color w:val="393939"/>
                <w:spacing w:val="-1"/>
                <w:sz w:val="24"/>
                <w:highlight w:val="none"/>
                <w:u w:val="single" w:color="393939"/>
              </w:rPr>
              <w:t xml:space="preserve">违法记录； </w:t>
            </w:r>
          </w:p>
          <w:p>
            <w:pPr>
              <w:pStyle w:val="21"/>
              <w:spacing w:before="70" w:line="360" w:lineRule="auto"/>
              <w:ind w:left="107"/>
              <w:rPr>
                <w:sz w:val="24"/>
                <w:highlight w:val="none"/>
              </w:rPr>
            </w:pPr>
            <w:r>
              <w:rPr>
                <w:rFonts w:hint="eastAsia"/>
                <w:color w:val="393939"/>
                <w:spacing w:val="-1"/>
                <w:sz w:val="24"/>
                <w:highlight w:val="none"/>
                <w:u w:val="single" w:color="393939"/>
              </w:rPr>
              <w:t xml:space="preserve">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35" w:type="dxa"/>
            <w:vMerge w:val="restart"/>
          </w:tcPr>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spacing w:before="8"/>
              <w:rPr>
                <w:rFonts w:ascii="Microsoft JhengHei"/>
                <w:b/>
                <w:sz w:val="15"/>
                <w:highlight w:val="none"/>
              </w:rPr>
            </w:pPr>
          </w:p>
          <w:p>
            <w:pPr>
              <w:pStyle w:val="21"/>
              <w:ind w:left="305"/>
              <w:rPr>
                <w:rFonts w:ascii="Microsoft JhengHei"/>
                <w:b/>
                <w:sz w:val="24"/>
                <w:highlight w:val="none"/>
              </w:rPr>
            </w:pPr>
            <w:r>
              <w:rPr>
                <w:rFonts w:ascii="Microsoft JhengHei"/>
                <w:b/>
                <w:w w:val="95"/>
                <w:sz w:val="24"/>
                <w:highlight w:val="none"/>
              </w:rPr>
              <w:t>6</w:t>
            </w:r>
            <w:r>
              <w:rPr>
                <w:rFonts w:ascii="Microsoft JhengHei"/>
                <w:b/>
                <w:w w:val="200"/>
                <w:sz w:val="24"/>
                <w:highlight w:val="none"/>
              </w:rPr>
              <w:t xml:space="preserve"> </w:t>
            </w:r>
          </w:p>
        </w:tc>
        <w:tc>
          <w:tcPr>
            <w:tcW w:w="1610" w:type="dxa"/>
            <w:vMerge w:val="restart"/>
          </w:tcPr>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spacing w:before="12"/>
              <w:rPr>
                <w:rFonts w:ascii="Microsoft JhengHei"/>
                <w:b/>
                <w:sz w:val="26"/>
                <w:highlight w:val="none"/>
              </w:rPr>
            </w:pPr>
          </w:p>
          <w:p>
            <w:pPr>
              <w:pStyle w:val="21"/>
              <w:spacing w:line="254" w:lineRule="auto"/>
              <w:ind w:left="321" w:right="193" w:hanging="120"/>
              <w:rPr>
                <w:sz w:val="24"/>
                <w:highlight w:val="none"/>
              </w:rPr>
            </w:pPr>
            <w:r>
              <w:rPr>
                <w:rFonts w:hint="eastAsia" w:ascii="Microsoft JhengHei" w:eastAsia="Microsoft JhengHei"/>
                <w:b/>
                <w:sz w:val="24"/>
                <w:highlight w:val="none"/>
              </w:rPr>
              <w:t>投标文件的组成部分</w:t>
            </w:r>
            <w:r>
              <w:rPr>
                <w:sz w:val="24"/>
                <w:highlight w:val="none"/>
              </w:rPr>
              <w:t xml:space="preserve"> </w:t>
            </w:r>
          </w:p>
        </w:tc>
        <w:tc>
          <w:tcPr>
            <w:tcW w:w="1054" w:type="dxa"/>
          </w:tcPr>
          <w:p>
            <w:pPr>
              <w:pStyle w:val="21"/>
              <w:ind w:left="285"/>
              <w:rPr>
                <w:rFonts w:hint="eastAsia" w:ascii="Microsoft JhengHei" w:eastAsia="Microsoft JhengHei"/>
                <w:b/>
                <w:sz w:val="24"/>
                <w:highlight w:val="none"/>
              </w:rPr>
            </w:pPr>
            <w:r>
              <w:rPr>
                <w:rFonts w:hint="eastAsia" w:ascii="Microsoft JhengHei" w:eastAsia="Microsoft JhengHei"/>
                <w:b/>
                <w:sz w:val="24"/>
                <w:highlight w:val="none"/>
              </w:rPr>
              <w:t>封面</w:t>
            </w:r>
            <w:r>
              <w:rPr>
                <w:rFonts w:hint="eastAsia" w:ascii="Microsoft JhengHei" w:eastAsia="Microsoft JhengHei"/>
                <w:b/>
                <w:w w:val="200"/>
                <w:sz w:val="24"/>
                <w:highlight w:val="none"/>
              </w:rPr>
              <w:t xml:space="preserve"> </w:t>
            </w:r>
          </w:p>
        </w:tc>
        <w:tc>
          <w:tcPr>
            <w:tcW w:w="6477" w:type="dxa"/>
            <w:gridSpan w:val="2"/>
          </w:tcPr>
          <w:p>
            <w:pPr>
              <w:pStyle w:val="21"/>
              <w:spacing w:before="79"/>
              <w:ind w:left="108"/>
              <w:rPr>
                <w:sz w:val="24"/>
                <w:highlight w:val="none"/>
              </w:rPr>
            </w:pPr>
            <w:r>
              <w:rPr>
                <w:sz w:val="24"/>
                <w:highlight w:val="none"/>
              </w:rPr>
              <w:t xml:space="preserve">投标文件封面；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35" w:type="dxa"/>
            <w:vMerge w:val="continue"/>
            <w:tcBorders>
              <w:top w:val="nil"/>
            </w:tcBorders>
          </w:tcPr>
          <w:p>
            <w:pPr>
              <w:rPr>
                <w:sz w:val="2"/>
                <w:szCs w:val="2"/>
                <w:highlight w:val="none"/>
              </w:rPr>
            </w:pPr>
          </w:p>
        </w:tc>
        <w:tc>
          <w:tcPr>
            <w:tcW w:w="1610" w:type="dxa"/>
            <w:vMerge w:val="continue"/>
            <w:tcBorders>
              <w:top w:val="nil"/>
            </w:tcBorders>
          </w:tcPr>
          <w:p>
            <w:pPr>
              <w:rPr>
                <w:sz w:val="2"/>
                <w:szCs w:val="2"/>
                <w:highlight w:val="none"/>
              </w:rPr>
            </w:pPr>
          </w:p>
        </w:tc>
        <w:tc>
          <w:tcPr>
            <w:tcW w:w="1054" w:type="dxa"/>
          </w:tcPr>
          <w:p>
            <w:pPr>
              <w:pStyle w:val="21"/>
              <w:spacing w:line="441" w:lineRule="exact"/>
              <w:ind w:left="165"/>
              <w:rPr>
                <w:rFonts w:hint="eastAsia" w:ascii="Microsoft JhengHei" w:eastAsia="Microsoft JhengHei"/>
                <w:b/>
                <w:sz w:val="24"/>
                <w:highlight w:val="none"/>
              </w:rPr>
            </w:pPr>
            <w:r>
              <w:rPr>
                <w:rFonts w:hint="eastAsia" w:ascii="Microsoft JhengHei" w:eastAsia="Microsoft JhengHei"/>
                <w:b/>
                <w:sz w:val="24"/>
                <w:highlight w:val="none"/>
              </w:rPr>
              <w:t>资格审</w:t>
            </w:r>
          </w:p>
          <w:p>
            <w:pPr>
              <w:pStyle w:val="21"/>
              <w:spacing w:before="26"/>
              <w:ind w:left="165"/>
              <w:rPr>
                <w:rFonts w:hint="eastAsia" w:ascii="Microsoft JhengHei" w:eastAsia="Microsoft JhengHei"/>
                <w:b/>
                <w:sz w:val="24"/>
                <w:highlight w:val="none"/>
              </w:rPr>
            </w:pPr>
            <w:r>
              <w:rPr>
                <w:rFonts w:hint="eastAsia" w:ascii="Microsoft JhengHei" w:eastAsia="Microsoft JhengHei"/>
                <w:b/>
                <w:sz w:val="24"/>
                <w:highlight w:val="none"/>
              </w:rPr>
              <w:t>查材料</w:t>
            </w:r>
            <w:r>
              <w:rPr>
                <w:rFonts w:hint="eastAsia" w:ascii="Microsoft JhengHei" w:eastAsia="Microsoft JhengHei"/>
                <w:b/>
                <w:w w:val="200"/>
                <w:sz w:val="24"/>
                <w:highlight w:val="none"/>
              </w:rPr>
              <w:t xml:space="preserve"> </w:t>
            </w:r>
          </w:p>
        </w:tc>
        <w:tc>
          <w:tcPr>
            <w:tcW w:w="6477" w:type="dxa"/>
            <w:gridSpan w:val="2"/>
          </w:tcPr>
          <w:p>
            <w:pPr>
              <w:pStyle w:val="21"/>
              <w:spacing w:before="1"/>
              <w:rPr>
                <w:rFonts w:ascii="Microsoft JhengHei"/>
                <w:b/>
                <w:sz w:val="17"/>
                <w:highlight w:val="none"/>
              </w:rPr>
            </w:pPr>
          </w:p>
          <w:p>
            <w:pPr>
              <w:pStyle w:val="21"/>
              <w:ind w:left="108"/>
              <w:rPr>
                <w:sz w:val="24"/>
                <w:highlight w:val="none"/>
              </w:rPr>
            </w:pPr>
            <w:r>
              <w:rPr>
                <w:color w:val="393939"/>
                <w:sz w:val="24"/>
                <w:highlight w:val="none"/>
                <w:u w:val="single" w:color="393939"/>
              </w:rPr>
              <w:t xml:space="preserve">详见“第四部分 评审方法”中“初步评审内容”  </w:t>
            </w: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5" w:type="dxa"/>
            <w:vMerge w:val="continue"/>
            <w:tcBorders>
              <w:top w:val="nil"/>
            </w:tcBorders>
          </w:tcPr>
          <w:p>
            <w:pPr>
              <w:rPr>
                <w:sz w:val="2"/>
                <w:szCs w:val="2"/>
                <w:highlight w:val="none"/>
              </w:rPr>
            </w:pPr>
          </w:p>
        </w:tc>
        <w:tc>
          <w:tcPr>
            <w:tcW w:w="1610" w:type="dxa"/>
            <w:vMerge w:val="continue"/>
            <w:tcBorders>
              <w:top w:val="nil"/>
            </w:tcBorders>
          </w:tcPr>
          <w:p>
            <w:pPr>
              <w:rPr>
                <w:sz w:val="2"/>
                <w:szCs w:val="2"/>
                <w:highlight w:val="none"/>
              </w:rPr>
            </w:pPr>
          </w:p>
        </w:tc>
        <w:tc>
          <w:tcPr>
            <w:tcW w:w="1054" w:type="dxa"/>
          </w:tcPr>
          <w:p>
            <w:pPr>
              <w:pStyle w:val="21"/>
              <w:rPr>
                <w:rFonts w:ascii="Microsoft JhengHei"/>
                <w:b/>
                <w:sz w:val="24"/>
                <w:highlight w:val="none"/>
              </w:rPr>
            </w:pPr>
          </w:p>
          <w:p>
            <w:pPr>
              <w:pStyle w:val="21"/>
              <w:rPr>
                <w:rFonts w:ascii="Microsoft JhengHei"/>
                <w:b/>
                <w:sz w:val="24"/>
                <w:highlight w:val="none"/>
              </w:rPr>
            </w:pPr>
          </w:p>
          <w:p>
            <w:pPr>
              <w:pStyle w:val="21"/>
              <w:spacing w:before="12"/>
              <w:rPr>
                <w:rFonts w:ascii="Microsoft JhengHei"/>
                <w:b/>
                <w:sz w:val="15"/>
                <w:highlight w:val="none"/>
              </w:rPr>
            </w:pPr>
          </w:p>
          <w:p>
            <w:pPr>
              <w:pStyle w:val="21"/>
              <w:spacing w:line="254" w:lineRule="auto"/>
              <w:ind w:left="408" w:right="154" w:hanging="243"/>
              <w:rPr>
                <w:rFonts w:hint="eastAsia" w:ascii="Microsoft JhengHei" w:eastAsia="Microsoft JhengHei"/>
                <w:b/>
                <w:sz w:val="24"/>
                <w:highlight w:val="none"/>
              </w:rPr>
            </w:pPr>
            <w:r>
              <w:rPr>
                <w:rFonts w:hint="eastAsia" w:ascii="Microsoft JhengHei" w:eastAsia="Microsoft JhengHei"/>
                <w:b/>
                <w:sz w:val="24"/>
                <w:highlight w:val="none"/>
              </w:rPr>
              <w:t>商务文件</w:t>
            </w:r>
            <w:r>
              <w:rPr>
                <w:rFonts w:hint="eastAsia" w:ascii="Microsoft JhengHei" w:eastAsia="Microsoft JhengHei"/>
                <w:b/>
                <w:w w:val="200"/>
                <w:sz w:val="24"/>
                <w:highlight w:val="none"/>
              </w:rPr>
              <w:t xml:space="preserve"> </w:t>
            </w:r>
          </w:p>
        </w:tc>
        <w:tc>
          <w:tcPr>
            <w:tcW w:w="6477" w:type="dxa"/>
            <w:gridSpan w:val="2"/>
          </w:tcPr>
          <w:p>
            <w:pPr>
              <w:pStyle w:val="21"/>
              <w:spacing w:before="81"/>
              <w:ind w:left="108"/>
              <w:rPr>
                <w:sz w:val="24"/>
                <w:highlight w:val="none"/>
              </w:rPr>
            </w:pPr>
            <w:r>
              <w:rPr>
                <w:sz w:val="24"/>
                <w:highlight w:val="none"/>
              </w:rPr>
              <w:t xml:space="preserve">☆投标函； </w:t>
            </w:r>
          </w:p>
          <w:p>
            <w:pPr>
              <w:pStyle w:val="21"/>
              <w:spacing w:before="161"/>
              <w:ind w:left="108"/>
              <w:rPr>
                <w:sz w:val="24"/>
                <w:highlight w:val="none"/>
              </w:rPr>
            </w:pPr>
            <w:r>
              <w:rPr>
                <w:sz w:val="24"/>
                <w:highlight w:val="none"/>
              </w:rPr>
              <w:t xml:space="preserve">☆开标一览表； </w:t>
            </w:r>
          </w:p>
          <w:p>
            <w:pPr>
              <w:pStyle w:val="21"/>
              <w:spacing w:before="160"/>
              <w:ind w:left="108"/>
              <w:rPr>
                <w:sz w:val="24"/>
                <w:highlight w:val="none"/>
              </w:rPr>
            </w:pPr>
            <w:r>
              <w:rPr>
                <w:sz w:val="24"/>
                <w:highlight w:val="none"/>
              </w:rPr>
              <w:t xml:space="preserve">☆投标报价明细表； </w:t>
            </w:r>
          </w:p>
          <w:p>
            <w:pPr>
              <w:pStyle w:val="21"/>
              <w:spacing w:before="161"/>
              <w:ind w:left="108"/>
              <w:rPr>
                <w:sz w:val="24"/>
                <w:highlight w:val="none"/>
              </w:rPr>
            </w:pPr>
            <w:r>
              <w:rPr>
                <w:sz w:val="24"/>
                <w:highlight w:val="none"/>
              </w:rPr>
              <w:t xml:space="preserve">☆服务承诺书； </w:t>
            </w:r>
          </w:p>
          <w:p>
            <w:pPr>
              <w:pStyle w:val="21"/>
              <w:spacing w:before="160"/>
              <w:ind w:left="108"/>
              <w:rPr>
                <w:sz w:val="24"/>
                <w:highlight w:val="none"/>
              </w:rPr>
            </w:pPr>
            <w:r>
              <w:rPr>
                <w:sz w:val="24"/>
                <w:highlight w:val="none"/>
              </w:rPr>
              <w:t xml:space="preserve">商务条款偏离说明表； </w:t>
            </w:r>
          </w:p>
          <w:p>
            <w:pPr>
              <w:pStyle w:val="21"/>
              <w:spacing w:line="470" w:lineRule="atLeast"/>
              <w:ind w:left="108" w:right="1520"/>
              <w:rPr>
                <w:sz w:val="24"/>
                <w:highlight w:val="none"/>
              </w:rPr>
            </w:pPr>
            <w:r>
              <w:rPr>
                <w:sz w:val="24"/>
                <w:highlight w:val="none"/>
              </w:rPr>
              <w:t>供应商认为有必要提供的声明及文件资料； 其他：</w:t>
            </w:r>
            <w:r>
              <w:rPr>
                <w:color w:val="393939"/>
                <w:sz w:val="24"/>
                <w:highlight w:val="none"/>
                <w:u w:val="single" w:color="393939"/>
              </w:rPr>
              <w:t>招标文件中要求的其他资料</w:t>
            </w: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8" w:hRule="atLeast"/>
        </w:trPr>
        <w:tc>
          <w:tcPr>
            <w:tcW w:w="735" w:type="dxa"/>
            <w:vMerge w:val="continue"/>
            <w:tcBorders>
              <w:top w:val="nil"/>
            </w:tcBorders>
          </w:tcPr>
          <w:p>
            <w:pPr>
              <w:rPr>
                <w:sz w:val="2"/>
                <w:szCs w:val="2"/>
                <w:highlight w:val="none"/>
              </w:rPr>
            </w:pPr>
          </w:p>
        </w:tc>
        <w:tc>
          <w:tcPr>
            <w:tcW w:w="1610" w:type="dxa"/>
            <w:vMerge w:val="continue"/>
            <w:tcBorders>
              <w:top w:val="nil"/>
            </w:tcBorders>
          </w:tcPr>
          <w:p>
            <w:pPr>
              <w:rPr>
                <w:sz w:val="2"/>
                <w:szCs w:val="2"/>
                <w:highlight w:val="none"/>
              </w:rPr>
            </w:pPr>
          </w:p>
        </w:tc>
        <w:tc>
          <w:tcPr>
            <w:tcW w:w="1054" w:type="dxa"/>
          </w:tcPr>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spacing w:before="14"/>
              <w:rPr>
                <w:rFonts w:ascii="Microsoft JhengHei"/>
                <w:b/>
                <w:sz w:val="29"/>
                <w:highlight w:val="none"/>
              </w:rPr>
            </w:pPr>
          </w:p>
          <w:p>
            <w:pPr>
              <w:pStyle w:val="21"/>
              <w:tabs>
                <w:tab w:val="left" w:pos="660"/>
              </w:tabs>
              <w:spacing w:line="254" w:lineRule="auto"/>
              <w:ind w:right="153"/>
              <w:jc w:val="center"/>
              <w:rPr>
                <w:rFonts w:hint="eastAsia" w:ascii="Microsoft JhengHei" w:eastAsia="Microsoft JhengHei"/>
                <w:b/>
                <w:sz w:val="24"/>
                <w:highlight w:val="none"/>
              </w:rPr>
            </w:pPr>
            <w:r>
              <w:rPr>
                <w:rFonts w:hint="eastAsia" w:ascii="Microsoft JhengHei" w:eastAsia="Microsoft JhengHei"/>
                <w:b/>
                <w:sz w:val="24"/>
                <w:highlight w:val="none"/>
              </w:rPr>
              <w:t>技术   文件</w:t>
            </w:r>
          </w:p>
        </w:tc>
        <w:tc>
          <w:tcPr>
            <w:tcW w:w="6477" w:type="dxa"/>
            <w:gridSpan w:val="2"/>
          </w:tcPr>
          <w:p>
            <w:pPr>
              <w:pStyle w:val="21"/>
              <w:spacing w:before="79"/>
              <w:ind w:left="108"/>
              <w:rPr>
                <w:sz w:val="24"/>
                <w:highlight w:val="none"/>
              </w:rPr>
            </w:pPr>
            <w:r>
              <w:rPr>
                <w:sz w:val="24"/>
                <w:highlight w:val="none"/>
              </w:rPr>
              <w:t xml:space="preserve">投标人自行编写的技术文件： </w:t>
            </w:r>
          </w:p>
          <w:p>
            <w:pPr>
              <w:pStyle w:val="21"/>
              <w:spacing w:before="160" w:line="364" w:lineRule="auto"/>
              <w:ind w:left="108" w:right="50"/>
              <w:rPr>
                <w:sz w:val="24"/>
                <w:highlight w:val="none"/>
              </w:rPr>
            </w:pPr>
            <w:r>
              <w:rPr>
                <w:sz w:val="24"/>
                <w:highlight w:val="none"/>
              </w:rPr>
              <w:t xml:space="preserve">{①针对本项目的综合说明（含服务理念、工作目标、整体设想和策划）； </w:t>
            </w:r>
          </w:p>
          <w:p>
            <w:pPr>
              <w:pStyle w:val="21"/>
              <w:spacing w:before="1"/>
              <w:ind w:left="108"/>
              <w:rPr>
                <w:sz w:val="24"/>
                <w:highlight w:val="none"/>
              </w:rPr>
            </w:pPr>
            <w:r>
              <w:rPr>
                <w:sz w:val="24"/>
                <w:highlight w:val="none"/>
              </w:rPr>
              <w:t xml:space="preserve">②简单方案说明或总体方案设计； </w:t>
            </w:r>
          </w:p>
          <w:p>
            <w:pPr>
              <w:pStyle w:val="21"/>
              <w:spacing w:before="161"/>
              <w:ind w:left="108"/>
              <w:rPr>
                <w:sz w:val="24"/>
                <w:highlight w:val="none"/>
              </w:rPr>
            </w:pPr>
            <w:r>
              <w:rPr>
                <w:sz w:val="24"/>
                <w:highlight w:val="none"/>
              </w:rPr>
              <w:t xml:space="preserve">③项目组织和管理； </w:t>
            </w:r>
          </w:p>
          <w:p>
            <w:pPr>
              <w:pStyle w:val="21"/>
              <w:spacing w:before="161"/>
              <w:ind w:left="108"/>
              <w:rPr>
                <w:sz w:val="24"/>
                <w:highlight w:val="none"/>
              </w:rPr>
            </w:pPr>
            <w:r>
              <w:rPr>
                <w:sz w:val="24"/>
                <w:highlight w:val="none"/>
              </w:rPr>
              <w:t xml:space="preserve">④质量、进度、安全相关保障措施； </w:t>
            </w:r>
          </w:p>
          <w:p>
            <w:pPr>
              <w:pStyle w:val="21"/>
              <w:spacing w:before="160" w:line="364" w:lineRule="auto"/>
              <w:ind w:left="108" w:right="-29"/>
              <w:jc w:val="both"/>
              <w:rPr>
                <w:sz w:val="24"/>
                <w:highlight w:val="none"/>
              </w:rPr>
            </w:pPr>
            <w:r>
              <w:rPr>
                <w:sz w:val="24"/>
                <w:highlight w:val="none"/>
              </w:rPr>
              <w:t>⑤项目管理机构：要求提供项目管理机构框图、人员配备方案及岗位职责和职业资格</w:t>
            </w:r>
            <w:r>
              <w:rPr>
                <w:spacing w:val="4"/>
                <w:sz w:val="24"/>
                <w:highlight w:val="none"/>
              </w:rPr>
              <w:t>（</w:t>
            </w:r>
            <w:r>
              <w:rPr>
                <w:spacing w:val="2"/>
                <w:sz w:val="24"/>
                <w:highlight w:val="none"/>
              </w:rPr>
              <w:t>含管理层的设置，主要技术</w:t>
            </w:r>
            <w:r>
              <w:rPr>
                <w:spacing w:val="-14"/>
                <w:sz w:val="24"/>
                <w:highlight w:val="none"/>
              </w:rPr>
              <w:t>人员的人数和职责，各部门的设置、职责和拟安排的人数</w:t>
            </w:r>
            <w:r>
              <w:rPr>
                <w:spacing w:val="-104"/>
                <w:sz w:val="24"/>
                <w:highlight w:val="none"/>
              </w:rPr>
              <w:t>）；</w:t>
            </w:r>
            <w:r>
              <w:rPr>
                <w:sz w:val="24"/>
                <w:highlight w:val="none"/>
              </w:rPr>
              <w:t xml:space="preserve"> </w:t>
            </w:r>
          </w:p>
          <w:p>
            <w:pPr>
              <w:pStyle w:val="21"/>
              <w:spacing w:before="2"/>
              <w:ind w:left="108"/>
              <w:rPr>
                <w:sz w:val="24"/>
                <w:highlight w:val="none"/>
              </w:rPr>
            </w:pPr>
            <w:r>
              <w:rPr>
                <w:sz w:val="24"/>
                <w:highlight w:val="none"/>
              </w:rPr>
              <w:t xml:space="preserve">⑥完成服务所需的工具、设备等资源配置； </w:t>
            </w:r>
          </w:p>
          <w:p>
            <w:pPr>
              <w:pStyle w:val="21"/>
              <w:spacing w:before="161"/>
              <w:ind w:left="108"/>
              <w:rPr>
                <w:sz w:val="24"/>
                <w:highlight w:val="none"/>
              </w:rPr>
            </w:pPr>
            <w:r>
              <w:rPr>
                <w:sz w:val="24"/>
                <w:highlight w:val="none"/>
              </w:rPr>
              <w:t>⑦技术规范偏离表；}</w:t>
            </w:r>
          </w:p>
          <w:p>
            <w:pPr>
              <w:pStyle w:val="21"/>
              <w:spacing w:before="161"/>
              <w:ind w:left="108"/>
              <w:rPr>
                <w:sz w:val="24"/>
                <w:highlight w:val="none"/>
              </w:rPr>
            </w:pPr>
            <w:r>
              <w:rPr>
                <w:sz w:val="24"/>
                <w:highlight w:val="none"/>
              </w:rPr>
              <w:t>其他：</w:t>
            </w:r>
            <w:r>
              <w:rPr>
                <w:color w:val="393939"/>
                <w:sz w:val="24"/>
                <w:highlight w:val="none"/>
                <w:u w:val="single" w:color="393939"/>
              </w:rPr>
              <w:t>招标文件中要求的其他资料</w:t>
            </w: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2" w:hRule="atLeast"/>
        </w:trPr>
        <w:tc>
          <w:tcPr>
            <w:tcW w:w="735" w:type="dxa"/>
            <w:vMerge w:val="continue"/>
            <w:tcBorders>
              <w:top w:val="nil"/>
            </w:tcBorders>
          </w:tcPr>
          <w:p>
            <w:pPr>
              <w:rPr>
                <w:sz w:val="2"/>
                <w:szCs w:val="2"/>
                <w:highlight w:val="none"/>
              </w:rPr>
            </w:pPr>
          </w:p>
        </w:tc>
        <w:tc>
          <w:tcPr>
            <w:tcW w:w="1610" w:type="dxa"/>
            <w:vMerge w:val="continue"/>
            <w:tcBorders>
              <w:top w:val="nil"/>
            </w:tcBorders>
          </w:tcPr>
          <w:p>
            <w:pPr>
              <w:rPr>
                <w:sz w:val="2"/>
                <w:szCs w:val="2"/>
                <w:highlight w:val="none"/>
              </w:rPr>
            </w:pPr>
          </w:p>
        </w:tc>
        <w:tc>
          <w:tcPr>
            <w:tcW w:w="1054" w:type="dxa"/>
          </w:tcPr>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spacing w:before="2"/>
              <w:rPr>
                <w:rFonts w:ascii="Microsoft JhengHei"/>
                <w:b/>
                <w:sz w:val="17"/>
                <w:highlight w:val="none"/>
              </w:rPr>
            </w:pPr>
          </w:p>
          <w:p>
            <w:pPr>
              <w:pStyle w:val="21"/>
              <w:spacing w:before="1" w:line="254" w:lineRule="auto"/>
              <w:ind w:left="408" w:right="154" w:hanging="243"/>
              <w:rPr>
                <w:rFonts w:hint="eastAsia" w:ascii="Microsoft JhengHei" w:eastAsia="Microsoft JhengHei"/>
                <w:b/>
                <w:sz w:val="24"/>
                <w:highlight w:val="none"/>
              </w:rPr>
            </w:pPr>
            <w:r>
              <w:rPr>
                <w:rFonts w:hint="eastAsia" w:ascii="Microsoft JhengHei" w:eastAsia="Microsoft JhengHei"/>
                <w:b/>
                <w:sz w:val="24"/>
                <w:highlight w:val="none"/>
              </w:rPr>
              <w:t>服务文件</w:t>
            </w:r>
            <w:r>
              <w:rPr>
                <w:rFonts w:hint="eastAsia" w:ascii="Microsoft JhengHei" w:eastAsia="Microsoft JhengHei"/>
                <w:b/>
                <w:w w:val="200"/>
                <w:sz w:val="24"/>
                <w:highlight w:val="none"/>
              </w:rPr>
              <w:t xml:space="preserve"> </w:t>
            </w:r>
          </w:p>
        </w:tc>
        <w:tc>
          <w:tcPr>
            <w:tcW w:w="6477" w:type="dxa"/>
            <w:gridSpan w:val="2"/>
          </w:tcPr>
          <w:p>
            <w:pPr>
              <w:pStyle w:val="21"/>
              <w:spacing w:before="79"/>
              <w:ind w:left="108"/>
              <w:rPr>
                <w:sz w:val="24"/>
                <w:highlight w:val="none"/>
              </w:rPr>
            </w:pPr>
            <w:r>
              <w:rPr>
                <w:sz w:val="24"/>
                <w:highlight w:val="none"/>
              </w:rPr>
              <w:t xml:space="preserve">投标人自行编写的服务文件： </w:t>
            </w:r>
          </w:p>
          <w:p>
            <w:pPr>
              <w:pStyle w:val="21"/>
              <w:spacing w:before="160"/>
              <w:ind w:left="108"/>
              <w:rPr>
                <w:rFonts w:hint="eastAsia" w:eastAsia="宋体"/>
                <w:sz w:val="24"/>
                <w:highlight w:val="none"/>
                <w:lang w:eastAsia="zh-CN"/>
              </w:rPr>
            </w:pPr>
            <w:r>
              <w:rPr>
                <w:sz w:val="24"/>
                <w:highlight w:val="none"/>
              </w:rPr>
              <w:t>{①后续服务</w:t>
            </w:r>
            <w:r>
              <w:rPr>
                <w:rFonts w:hint="eastAsia"/>
                <w:sz w:val="24"/>
                <w:highlight w:val="none"/>
                <w:lang w:eastAsia="zh-CN"/>
              </w:rPr>
              <w:t>：</w:t>
            </w:r>
          </w:p>
          <w:p>
            <w:pPr>
              <w:pStyle w:val="21"/>
              <w:spacing w:before="161"/>
              <w:ind w:left="108"/>
              <w:rPr>
                <w:sz w:val="24"/>
                <w:highlight w:val="none"/>
              </w:rPr>
            </w:pPr>
            <w:r>
              <w:rPr>
                <w:sz w:val="24"/>
                <w:highlight w:val="none"/>
              </w:rPr>
              <w:t xml:space="preserve">&lt;1&gt;后续服务的程序、内容、措施以及合理化建议； </w:t>
            </w:r>
          </w:p>
          <w:p>
            <w:pPr>
              <w:pStyle w:val="21"/>
              <w:spacing w:before="161"/>
              <w:ind w:left="108"/>
              <w:rPr>
                <w:sz w:val="24"/>
                <w:highlight w:val="none"/>
              </w:rPr>
            </w:pPr>
            <w:r>
              <w:rPr>
                <w:sz w:val="24"/>
                <w:highlight w:val="none"/>
              </w:rPr>
              <w:t xml:space="preserve">&lt;2&gt;响应时间和技术支持情况； </w:t>
            </w:r>
          </w:p>
          <w:p>
            <w:pPr>
              <w:pStyle w:val="21"/>
              <w:spacing w:before="160"/>
              <w:ind w:left="108"/>
              <w:rPr>
                <w:sz w:val="24"/>
                <w:highlight w:val="none"/>
              </w:rPr>
            </w:pPr>
            <w:r>
              <w:rPr>
                <w:sz w:val="24"/>
                <w:highlight w:val="none"/>
              </w:rPr>
              <w:t>&lt;3&gt;</w:t>
            </w:r>
            <w:r>
              <w:rPr>
                <w:rFonts w:hint="eastAsia"/>
                <w:sz w:val="24"/>
                <w:highlight w:val="none"/>
                <w:lang w:val="en-US" w:eastAsia="zh-CN"/>
              </w:rPr>
              <w:t>服务</w:t>
            </w:r>
            <w:r>
              <w:rPr>
                <w:sz w:val="24"/>
                <w:highlight w:val="none"/>
              </w:rPr>
              <w:t xml:space="preserve">方案及内容； </w:t>
            </w:r>
          </w:p>
          <w:p>
            <w:pPr>
              <w:pStyle w:val="21"/>
              <w:spacing w:before="161" w:line="364" w:lineRule="auto"/>
              <w:ind w:left="108" w:right="91"/>
              <w:rPr>
                <w:sz w:val="24"/>
                <w:highlight w:val="none"/>
              </w:rPr>
            </w:pPr>
            <w:r>
              <w:rPr>
                <w:sz w:val="24"/>
                <w:highlight w:val="none"/>
              </w:rPr>
              <w:t xml:space="preserve">②后续服务网点明细表（包括联系人、详细地址、电话、传真）及本地化服务情况一览表； </w:t>
            </w:r>
          </w:p>
          <w:p>
            <w:pPr>
              <w:pStyle w:val="21"/>
              <w:spacing w:before="1"/>
              <w:ind w:left="108"/>
              <w:rPr>
                <w:sz w:val="24"/>
                <w:highlight w:val="none"/>
              </w:rPr>
            </w:pPr>
            <w:r>
              <w:rPr>
                <w:sz w:val="24"/>
                <w:highlight w:val="none"/>
              </w:rPr>
              <w:t xml:space="preserve">③服务项目偏离表。} </w:t>
            </w:r>
          </w:p>
          <w:p>
            <w:pPr>
              <w:pStyle w:val="21"/>
              <w:spacing w:before="161"/>
              <w:ind w:left="108"/>
              <w:rPr>
                <w:sz w:val="24"/>
                <w:highlight w:val="none"/>
              </w:rPr>
            </w:pPr>
            <w:r>
              <w:rPr>
                <w:sz w:val="24"/>
                <w:highlight w:val="none"/>
              </w:rPr>
              <w:t>其他：</w:t>
            </w:r>
            <w:r>
              <w:rPr>
                <w:color w:val="393939"/>
                <w:sz w:val="24"/>
                <w:highlight w:val="none"/>
                <w:u w:val="single" w:color="393939"/>
              </w:rPr>
              <w:t>招标文件中要求的其他资料</w:t>
            </w: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35" w:type="dxa"/>
          </w:tcPr>
          <w:p>
            <w:pPr>
              <w:pStyle w:val="21"/>
              <w:spacing w:line="441" w:lineRule="exact"/>
              <w:ind w:left="305"/>
              <w:rPr>
                <w:rFonts w:ascii="Microsoft JhengHei"/>
                <w:b/>
                <w:sz w:val="24"/>
                <w:highlight w:val="none"/>
              </w:rPr>
            </w:pPr>
            <w:r>
              <w:rPr>
                <w:rFonts w:ascii="Microsoft JhengHei"/>
                <w:b/>
                <w:w w:val="95"/>
                <w:sz w:val="24"/>
                <w:highlight w:val="none"/>
              </w:rPr>
              <w:t>7</w:t>
            </w:r>
            <w:r>
              <w:rPr>
                <w:rFonts w:ascii="Microsoft JhengHei"/>
                <w:b/>
                <w:w w:val="200"/>
                <w:sz w:val="24"/>
                <w:highlight w:val="none"/>
              </w:rPr>
              <w:t xml:space="preserve"> </w:t>
            </w:r>
          </w:p>
        </w:tc>
        <w:tc>
          <w:tcPr>
            <w:tcW w:w="2664" w:type="dxa"/>
            <w:gridSpan w:val="2"/>
          </w:tcPr>
          <w:p>
            <w:pPr>
              <w:pStyle w:val="21"/>
              <w:spacing w:line="441" w:lineRule="exact"/>
              <w:ind w:left="246"/>
              <w:rPr>
                <w:rFonts w:hint="eastAsia" w:ascii="Microsoft JhengHei" w:eastAsia="Microsoft JhengHei"/>
                <w:b/>
                <w:sz w:val="24"/>
                <w:highlight w:val="none"/>
              </w:rPr>
            </w:pPr>
            <w:r>
              <w:rPr>
                <w:rFonts w:hint="eastAsia" w:ascii="Microsoft JhengHei" w:eastAsia="Microsoft JhengHei"/>
                <w:b/>
                <w:sz w:val="24"/>
                <w:highlight w:val="none"/>
              </w:rPr>
              <w:t>是否允许联合体投标</w:t>
            </w:r>
            <w:r>
              <w:rPr>
                <w:rFonts w:hint="eastAsia" w:ascii="Microsoft JhengHei" w:eastAsia="Microsoft JhengHei"/>
                <w:b/>
                <w:w w:val="200"/>
                <w:sz w:val="24"/>
                <w:highlight w:val="none"/>
              </w:rPr>
              <w:t xml:space="preserve"> </w:t>
            </w:r>
          </w:p>
        </w:tc>
        <w:tc>
          <w:tcPr>
            <w:tcW w:w="6477" w:type="dxa"/>
            <w:gridSpan w:val="2"/>
          </w:tcPr>
          <w:p>
            <w:pPr>
              <w:pStyle w:val="21"/>
              <w:spacing w:before="79"/>
              <w:ind w:left="108"/>
              <w:rPr>
                <w:sz w:val="24"/>
                <w:highlight w:val="none"/>
              </w:rPr>
            </w:pPr>
            <w:r>
              <w:rPr>
                <w:rFonts w:ascii="Wingdings" w:hAnsi="Wingdings" w:eastAsia="Wingdings"/>
                <w:sz w:val="24"/>
                <w:highlight w:val="none"/>
              </w:rPr>
              <w:t></w:t>
            </w:r>
            <w:r>
              <w:rPr>
                <w:sz w:val="24"/>
                <w:highlight w:val="none"/>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5" w:type="dxa"/>
          </w:tcPr>
          <w:p>
            <w:pPr>
              <w:pStyle w:val="21"/>
              <w:spacing w:before="8"/>
              <w:rPr>
                <w:rFonts w:ascii="Microsoft JhengHei"/>
                <w:b/>
                <w:sz w:val="25"/>
                <w:highlight w:val="none"/>
              </w:rPr>
            </w:pPr>
          </w:p>
          <w:p>
            <w:pPr>
              <w:pStyle w:val="21"/>
              <w:ind w:left="305"/>
              <w:rPr>
                <w:rFonts w:ascii="Microsoft JhengHei"/>
                <w:b/>
                <w:sz w:val="24"/>
                <w:highlight w:val="none"/>
              </w:rPr>
            </w:pPr>
            <w:r>
              <w:rPr>
                <w:rFonts w:ascii="Microsoft JhengHei"/>
                <w:b/>
                <w:w w:val="95"/>
                <w:sz w:val="24"/>
                <w:highlight w:val="none"/>
              </w:rPr>
              <w:t>8</w:t>
            </w:r>
            <w:r>
              <w:rPr>
                <w:rFonts w:ascii="Microsoft JhengHei"/>
                <w:b/>
                <w:w w:val="200"/>
                <w:sz w:val="24"/>
                <w:highlight w:val="none"/>
              </w:rPr>
              <w:t xml:space="preserve"> </w:t>
            </w:r>
          </w:p>
        </w:tc>
        <w:tc>
          <w:tcPr>
            <w:tcW w:w="2664" w:type="dxa"/>
            <w:gridSpan w:val="2"/>
          </w:tcPr>
          <w:p>
            <w:pPr>
              <w:pStyle w:val="21"/>
              <w:spacing w:line="254" w:lineRule="auto"/>
              <w:ind w:left="126" w:right="116"/>
              <w:rPr>
                <w:rFonts w:hint="eastAsia" w:ascii="Microsoft JhengHei" w:eastAsia="Microsoft JhengHei"/>
                <w:b/>
                <w:sz w:val="24"/>
                <w:highlight w:val="none"/>
              </w:rPr>
            </w:pPr>
            <w:r>
              <w:rPr>
                <w:rFonts w:hint="eastAsia" w:ascii="Microsoft JhengHei" w:eastAsia="Microsoft JhengHei"/>
                <w:b/>
                <w:sz w:val="24"/>
                <w:highlight w:val="none"/>
              </w:rPr>
              <w:t>是否允许投标人</w:t>
            </w:r>
            <w:r>
              <w:rPr>
                <w:rFonts w:hint="eastAsia" w:ascii="Microsoft JhengHei"/>
                <w:b/>
                <w:sz w:val="24"/>
                <w:highlight w:val="none"/>
                <w:lang w:val="en-US" w:eastAsia="zh-CN"/>
              </w:rPr>
              <w:t>将</w:t>
            </w:r>
            <w:r>
              <w:rPr>
                <w:rFonts w:hint="eastAsia" w:ascii="Microsoft JhengHei" w:eastAsia="Microsoft JhengHei"/>
                <w:b/>
                <w:sz w:val="24"/>
                <w:highlight w:val="none"/>
              </w:rPr>
              <w:t>项目</w:t>
            </w:r>
            <w:r>
              <w:rPr>
                <w:rFonts w:hint="eastAsia" w:ascii="Microsoft JhengHei"/>
                <w:b/>
                <w:sz w:val="24"/>
                <w:highlight w:val="none"/>
                <w:lang w:val="en-US" w:eastAsia="zh-CN"/>
              </w:rPr>
              <w:t>非</w:t>
            </w:r>
            <w:r>
              <w:rPr>
                <w:rFonts w:hint="eastAsia" w:ascii="Microsoft JhengHei" w:eastAsia="Microsoft JhengHei"/>
                <w:b/>
                <w:sz w:val="24"/>
                <w:highlight w:val="none"/>
              </w:rPr>
              <w:t>主体、</w:t>
            </w:r>
            <w:r>
              <w:rPr>
                <w:rFonts w:hint="eastAsia" w:ascii="Microsoft JhengHei"/>
                <w:b/>
                <w:sz w:val="24"/>
                <w:highlight w:val="none"/>
                <w:lang w:val="en-US" w:eastAsia="zh-CN"/>
              </w:rPr>
              <w:t>非关键性</w:t>
            </w:r>
            <w:r>
              <w:rPr>
                <w:rFonts w:hint="eastAsia" w:ascii="Microsoft JhengHei" w:eastAsia="Microsoft JhengHei"/>
                <w:b/>
                <w:sz w:val="24"/>
                <w:highlight w:val="none"/>
              </w:rPr>
              <w:t>工作</w:t>
            </w:r>
          </w:p>
          <w:p>
            <w:pPr>
              <w:pStyle w:val="21"/>
              <w:ind w:left="609"/>
              <w:rPr>
                <w:rFonts w:hint="eastAsia" w:ascii="Microsoft JhengHei" w:eastAsia="Microsoft JhengHei"/>
                <w:b/>
                <w:sz w:val="24"/>
                <w:highlight w:val="none"/>
              </w:rPr>
            </w:pPr>
            <w:r>
              <w:rPr>
                <w:rFonts w:hint="eastAsia" w:ascii="Microsoft JhengHei" w:eastAsia="Microsoft JhengHei"/>
                <w:b/>
                <w:sz w:val="24"/>
                <w:highlight w:val="none"/>
              </w:rPr>
              <w:t>交由他人完成</w:t>
            </w:r>
            <w:r>
              <w:rPr>
                <w:rFonts w:hint="eastAsia" w:ascii="Microsoft JhengHei" w:eastAsia="Microsoft JhengHei"/>
                <w:b/>
                <w:w w:val="200"/>
                <w:sz w:val="24"/>
                <w:highlight w:val="none"/>
              </w:rPr>
              <w:t xml:space="preserve"> </w:t>
            </w:r>
          </w:p>
        </w:tc>
        <w:tc>
          <w:tcPr>
            <w:tcW w:w="6477" w:type="dxa"/>
            <w:gridSpan w:val="2"/>
          </w:tcPr>
          <w:p>
            <w:pPr>
              <w:pStyle w:val="21"/>
              <w:spacing w:before="13"/>
              <w:rPr>
                <w:rFonts w:ascii="Microsoft JhengHei"/>
                <w:b/>
                <w:sz w:val="29"/>
                <w:highlight w:val="none"/>
              </w:rPr>
            </w:pPr>
          </w:p>
          <w:p>
            <w:pPr>
              <w:pStyle w:val="21"/>
              <w:ind w:left="108"/>
              <w:rPr>
                <w:sz w:val="24"/>
                <w:highlight w:val="none"/>
              </w:rPr>
            </w:pPr>
            <w:r>
              <w:rPr>
                <w:rFonts w:ascii="Wingdings" w:hAnsi="Wingdings" w:eastAsia="Wingdings"/>
                <w:sz w:val="24"/>
                <w:highlight w:val="none"/>
              </w:rPr>
              <w:t></w:t>
            </w:r>
            <w:r>
              <w:rPr>
                <w:sz w:val="24"/>
                <w:highlight w:val="none"/>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735" w:type="dxa"/>
          </w:tcPr>
          <w:p>
            <w:pPr>
              <w:pStyle w:val="21"/>
              <w:rPr>
                <w:rFonts w:ascii="Microsoft JhengHei"/>
                <w:b/>
                <w:sz w:val="24"/>
                <w:highlight w:val="none"/>
              </w:rPr>
            </w:pPr>
          </w:p>
          <w:p>
            <w:pPr>
              <w:pStyle w:val="21"/>
              <w:rPr>
                <w:rFonts w:ascii="Microsoft JhengHei"/>
                <w:b/>
                <w:sz w:val="24"/>
                <w:highlight w:val="none"/>
              </w:rPr>
            </w:pPr>
          </w:p>
          <w:p>
            <w:pPr>
              <w:pStyle w:val="21"/>
              <w:spacing w:before="12"/>
              <w:rPr>
                <w:rFonts w:ascii="Microsoft JhengHei"/>
                <w:b/>
                <w:sz w:val="15"/>
                <w:highlight w:val="none"/>
              </w:rPr>
            </w:pPr>
          </w:p>
          <w:p>
            <w:pPr>
              <w:pStyle w:val="21"/>
              <w:ind w:left="305"/>
              <w:rPr>
                <w:rFonts w:ascii="Microsoft JhengHei"/>
                <w:b/>
                <w:sz w:val="24"/>
                <w:highlight w:val="none"/>
              </w:rPr>
            </w:pPr>
            <w:r>
              <w:rPr>
                <w:rFonts w:ascii="Microsoft JhengHei"/>
                <w:b/>
                <w:w w:val="95"/>
                <w:sz w:val="24"/>
                <w:highlight w:val="none"/>
              </w:rPr>
              <w:t>9</w:t>
            </w:r>
            <w:r>
              <w:rPr>
                <w:rFonts w:ascii="Microsoft JhengHei"/>
                <w:b/>
                <w:w w:val="200"/>
                <w:sz w:val="24"/>
                <w:highlight w:val="none"/>
              </w:rPr>
              <w:t xml:space="preserve"> </w:t>
            </w:r>
          </w:p>
        </w:tc>
        <w:tc>
          <w:tcPr>
            <w:tcW w:w="2664" w:type="dxa"/>
            <w:gridSpan w:val="2"/>
          </w:tcPr>
          <w:p>
            <w:pPr>
              <w:pStyle w:val="21"/>
              <w:rPr>
                <w:rFonts w:ascii="Microsoft JhengHei"/>
                <w:b/>
                <w:sz w:val="24"/>
                <w:highlight w:val="none"/>
              </w:rPr>
            </w:pPr>
          </w:p>
          <w:p>
            <w:pPr>
              <w:pStyle w:val="21"/>
              <w:rPr>
                <w:rFonts w:ascii="Microsoft JhengHei"/>
                <w:b/>
                <w:sz w:val="24"/>
                <w:highlight w:val="none"/>
              </w:rPr>
            </w:pPr>
          </w:p>
          <w:p>
            <w:pPr>
              <w:pStyle w:val="21"/>
              <w:spacing w:before="12"/>
              <w:rPr>
                <w:rFonts w:ascii="Microsoft JhengHei"/>
                <w:b/>
                <w:sz w:val="15"/>
                <w:highlight w:val="none"/>
              </w:rPr>
            </w:pPr>
          </w:p>
          <w:p>
            <w:pPr>
              <w:pStyle w:val="21"/>
              <w:ind w:left="849"/>
              <w:rPr>
                <w:rFonts w:hint="eastAsia" w:ascii="Microsoft JhengHei" w:eastAsia="Microsoft JhengHei"/>
                <w:b/>
                <w:sz w:val="24"/>
                <w:highlight w:val="none"/>
              </w:rPr>
            </w:pPr>
            <w:r>
              <w:rPr>
                <w:rFonts w:hint="eastAsia" w:ascii="Microsoft JhengHei" w:eastAsia="Microsoft JhengHei"/>
                <w:b/>
                <w:sz w:val="24"/>
                <w:highlight w:val="none"/>
              </w:rPr>
              <w:t>踏勘现场</w:t>
            </w:r>
            <w:r>
              <w:rPr>
                <w:rFonts w:hint="eastAsia" w:ascii="Microsoft JhengHei" w:eastAsia="Microsoft JhengHei"/>
                <w:b/>
                <w:w w:val="200"/>
                <w:sz w:val="24"/>
                <w:highlight w:val="none"/>
              </w:rPr>
              <w:t xml:space="preserve"> </w:t>
            </w:r>
          </w:p>
        </w:tc>
        <w:tc>
          <w:tcPr>
            <w:tcW w:w="6477" w:type="dxa"/>
            <w:gridSpan w:val="2"/>
          </w:tcPr>
          <w:p>
            <w:pPr>
              <w:pStyle w:val="21"/>
              <w:spacing w:before="81"/>
              <w:ind w:left="108"/>
              <w:rPr>
                <w:sz w:val="24"/>
                <w:highlight w:val="none"/>
              </w:rPr>
            </w:pPr>
            <w:r>
              <w:rPr>
                <w:rFonts w:ascii="Wingdings" w:hAnsi="Wingdings" w:eastAsia="Wingdings"/>
                <w:sz w:val="24"/>
                <w:highlight w:val="none"/>
              </w:rPr>
              <w:t></w:t>
            </w:r>
            <w:r>
              <w:rPr>
                <w:sz w:val="24"/>
                <w:highlight w:val="none"/>
              </w:rPr>
              <w:t xml:space="preserve">自行踏勘 </w:t>
            </w:r>
          </w:p>
          <w:p>
            <w:pPr>
              <w:pStyle w:val="21"/>
              <w:numPr>
                <w:ilvl w:val="0"/>
                <w:numId w:val="5"/>
              </w:numPr>
              <w:tabs>
                <w:tab w:val="left" w:pos="350"/>
              </w:tabs>
              <w:spacing w:before="161" w:after="0" w:line="364" w:lineRule="auto"/>
              <w:ind w:left="108" w:right="3674" w:rightChars="0" w:firstLine="0"/>
              <w:jc w:val="left"/>
              <w:rPr>
                <w:sz w:val="24"/>
                <w:highlight w:val="none"/>
              </w:rPr>
            </w:pPr>
            <w:r>
              <w:rPr>
                <w:sz w:val="24"/>
                <w:highlight w:val="none"/>
              </w:rPr>
              <w:t xml:space="preserve">统一组织  </w:t>
            </w:r>
          </w:p>
          <w:p>
            <w:pPr>
              <w:pStyle w:val="21"/>
              <w:numPr>
                <w:ilvl w:val="0"/>
                <w:numId w:val="0"/>
              </w:numPr>
              <w:tabs>
                <w:tab w:val="left" w:pos="350"/>
              </w:tabs>
              <w:spacing w:before="161" w:after="0" w:line="364" w:lineRule="auto"/>
              <w:ind w:left="108" w:leftChars="0" w:right="3674" w:rightChars="0"/>
              <w:jc w:val="left"/>
              <w:rPr>
                <w:sz w:val="24"/>
                <w:highlight w:val="none"/>
              </w:rPr>
            </w:pPr>
            <w:r>
              <w:rPr>
                <w:sz w:val="24"/>
                <w:highlight w:val="none"/>
              </w:rPr>
              <w:t>联系人：</w:t>
            </w:r>
            <w:r>
              <w:rPr>
                <w:rFonts w:hint="eastAsia"/>
                <w:sz w:val="24"/>
                <w:highlight w:val="none"/>
                <w:lang w:val="en-US" w:eastAsia="zh-CN"/>
              </w:rPr>
              <w:t>孙先生</w:t>
            </w:r>
            <w:r>
              <w:rPr>
                <w:color w:val="0000FF"/>
                <w:sz w:val="24"/>
                <w:highlight w:val="none"/>
              </w:rPr>
              <w:t xml:space="preserve"> </w:t>
            </w:r>
          </w:p>
          <w:p>
            <w:pPr>
              <w:pStyle w:val="21"/>
              <w:spacing w:before="1" w:line="364" w:lineRule="auto"/>
              <w:ind w:left="108" w:right="3215"/>
              <w:rPr>
                <w:rFonts w:hint="eastAsia"/>
                <w:color w:val="393939"/>
                <w:sz w:val="24"/>
                <w:highlight w:val="none"/>
                <w:u w:val="single" w:color="393939"/>
              </w:rPr>
            </w:pPr>
            <w:r>
              <w:rPr>
                <w:sz w:val="24"/>
                <w:highlight w:val="none"/>
              </w:rPr>
              <w:t>联系电话：</w:t>
            </w:r>
            <w:r>
              <w:rPr>
                <w:color w:val="393939"/>
                <w:sz w:val="24"/>
                <w:highlight w:val="none"/>
                <w:u w:val="single" w:color="393939"/>
              </w:rPr>
              <w:t xml:space="preserve"> </w:t>
            </w:r>
            <w:r>
              <w:rPr>
                <w:rFonts w:hint="eastAsia"/>
                <w:color w:val="393939"/>
                <w:sz w:val="24"/>
                <w:highlight w:val="none"/>
                <w:u w:val="single" w:color="393939"/>
              </w:rPr>
              <w:t>15999237421</w:t>
            </w:r>
          </w:p>
          <w:p>
            <w:pPr>
              <w:pStyle w:val="21"/>
              <w:spacing w:before="1" w:line="364" w:lineRule="auto"/>
              <w:ind w:left="108" w:right="3215"/>
              <w:rPr>
                <w:sz w:val="24"/>
                <w:highlight w:val="none"/>
              </w:rPr>
            </w:pPr>
            <w:r>
              <w:rPr>
                <w:sz w:val="24"/>
                <w:highlight w:val="none"/>
              </w:rPr>
              <w:t>踏勘时间：</w:t>
            </w:r>
            <w:r>
              <w:rPr>
                <w:color w:val="393939"/>
                <w:sz w:val="24"/>
                <w:highlight w:val="none"/>
                <w:u w:val="single" w:color="393939"/>
              </w:rPr>
              <w:t xml:space="preserve"> /  </w:t>
            </w:r>
            <w:r>
              <w:rPr>
                <w:color w:val="0000FF"/>
                <w:sz w:val="24"/>
                <w:highlight w:val="none"/>
              </w:rPr>
              <w:t xml:space="preserve"> </w:t>
            </w:r>
          </w:p>
          <w:p>
            <w:pPr>
              <w:pStyle w:val="21"/>
              <w:spacing w:before="2"/>
              <w:ind w:left="108"/>
              <w:rPr>
                <w:sz w:val="24"/>
                <w:highlight w:val="none"/>
              </w:rPr>
            </w:pPr>
            <w:r>
              <w:rPr>
                <w:sz w:val="24"/>
                <w:highlight w:val="none"/>
              </w:rPr>
              <w:t>踏勘地点：</w:t>
            </w:r>
            <w:r>
              <w:rPr>
                <w:color w:val="393939"/>
                <w:sz w:val="24"/>
                <w:highlight w:val="none"/>
                <w:u w:val="single" w:color="393939"/>
              </w:rPr>
              <w:t xml:space="preserve"> /  </w:t>
            </w: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0" w:hRule="atLeast"/>
        </w:trPr>
        <w:tc>
          <w:tcPr>
            <w:tcW w:w="735" w:type="dxa"/>
          </w:tcPr>
          <w:p>
            <w:pPr>
              <w:pStyle w:val="21"/>
              <w:rPr>
                <w:rFonts w:ascii="Microsoft JhengHei"/>
                <w:b/>
                <w:sz w:val="24"/>
                <w:highlight w:val="none"/>
              </w:rPr>
            </w:pPr>
          </w:p>
          <w:p>
            <w:pPr>
              <w:pStyle w:val="21"/>
              <w:spacing w:before="1"/>
              <w:rPr>
                <w:rFonts w:ascii="Microsoft JhengHei"/>
                <w:b/>
                <w:sz w:val="14"/>
                <w:highlight w:val="none"/>
              </w:rPr>
            </w:pPr>
          </w:p>
          <w:p>
            <w:pPr>
              <w:pStyle w:val="21"/>
              <w:spacing w:before="1"/>
              <w:ind w:left="245"/>
              <w:rPr>
                <w:rFonts w:ascii="Microsoft JhengHei"/>
                <w:b/>
                <w:sz w:val="24"/>
                <w:highlight w:val="none"/>
              </w:rPr>
            </w:pPr>
            <w:r>
              <w:rPr>
                <w:rFonts w:ascii="Microsoft JhengHei"/>
                <w:b/>
                <w:w w:val="95"/>
                <w:sz w:val="24"/>
                <w:highlight w:val="none"/>
              </w:rPr>
              <w:t>10</w:t>
            </w:r>
            <w:r>
              <w:rPr>
                <w:rFonts w:ascii="Microsoft JhengHei"/>
                <w:b/>
                <w:w w:val="200"/>
                <w:sz w:val="24"/>
                <w:highlight w:val="none"/>
              </w:rPr>
              <w:t xml:space="preserve"> </w:t>
            </w:r>
          </w:p>
        </w:tc>
        <w:tc>
          <w:tcPr>
            <w:tcW w:w="2664" w:type="dxa"/>
            <w:gridSpan w:val="2"/>
          </w:tcPr>
          <w:p>
            <w:pPr>
              <w:pStyle w:val="21"/>
              <w:rPr>
                <w:rFonts w:ascii="Microsoft JhengHei"/>
                <w:b/>
                <w:sz w:val="24"/>
                <w:highlight w:val="none"/>
              </w:rPr>
            </w:pPr>
          </w:p>
          <w:p>
            <w:pPr>
              <w:pStyle w:val="21"/>
              <w:spacing w:before="1"/>
              <w:rPr>
                <w:rFonts w:ascii="Microsoft JhengHei"/>
                <w:b/>
                <w:sz w:val="14"/>
                <w:highlight w:val="none"/>
              </w:rPr>
            </w:pPr>
          </w:p>
          <w:p>
            <w:pPr>
              <w:pStyle w:val="21"/>
              <w:spacing w:before="1"/>
              <w:ind w:left="609"/>
              <w:rPr>
                <w:rFonts w:hint="eastAsia" w:ascii="Microsoft JhengHei" w:eastAsia="Microsoft JhengHei"/>
                <w:b/>
                <w:sz w:val="24"/>
                <w:highlight w:val="none"/>
              </w:rPr>
            </w:pPr>
            <w:r>
              <w:rPr>
                <w:rFonts w:hint="eastAsia" w:ascii="Microsoft JhengHei" w:eastAsia="Microsoft JhengHei"/>
                <w:b/>
                <w:sz w:val="24"/>
                <w:highlight w:val="none"/>
              </w:rPr>
              <w:t>答疑接受时间</w:t>
            </w:r>
            <w:r>
              <w:rPr>
                <w:rFonts w:hint="eastAsia" w:ascii="Microsoft JhengHei" w:eastAsia="Microsoft JhengHei"/>
                <w:b/>
                <w:w w:val="200"/>
                <w:sz w:val="24"/>
                <w:highlight w:val="none"/>
              </w:rPr>
              <w:t xml:space="preserve"> </w:t>
            </w:r>
          </w:p>
        </w:tc>
        <w:tc>
          <w:tcPr>
            <w:tcW w:w="6477" w:type="dxa"/>
            <w:gridSpan w:val="2"/>
          </w:tcPr>
          <w:p>
            <w:pPr>
              <w:pStyle w:val="21"/>
              <w:spacing w:before="79" w:line="364" w:lineRule="auto"/>
              <w:ind w:left="108" w:right="97"/>
              <w:rPr>
                <w:sz w:val="24"/>
                <w:highlight w:val="none"/>
              </w:rPr>
            </w:pPr>
            <w:r>
              <w:rPr>
                <w:color w:val="393939"/>
                <w:sz w:val="24"/>
                <w:highlight w:val="none"/>
                <w:u w:val="single" w:color="393939"/>
              </w:rPr>
              <w:t xml:space="preserve"> 2021</w:t>
            </w:r>
            <w:r>
              <w:rPr>
                <w:color w:val="393939"/>
                <w:spacing w:val="-30"/>
                <w:sz w:val="24"/>
                <w:highlight w:val="none"/>
                <w:u w:val="single" w:color="393939"/>
              </w:rPr>
              <w:t xml:space="preserve"> 年</w:t>
            </w:r>
            <w:r>
              <w:rPr>
                <w:rFonts w:hint="eastAsia"/>
                <w:color w:val="393939"/>
                <w:spacing w:val="-30"/>
                <w:sz w:val="24"/>
                <w:highlight w:val="none"/>
                <w:u w:val="single" w:color="393939"/>
                <w:lang w:val="en-US" w:eastAsia="zh-CN"/>
              </w:rPr>
              <w:t xml:space="preserve"> 10</w:t>
            </w:r>
            <w:r>
              <w:rPr>
                <w:color w:val="393939"/>
                <w:spacing w:val="-29"/>
                <w:sz w:val="24"/>
                <w:highlight w:val="none"/>
                <w:u w:val="single" w:color="393939"/>
              </w:rPr>
              <w:t xml:space="preserve">月 </w:t>
            </w:r>
            <w:r>
              <w:rPr>
                <w:rFonts w:hint="eastAsia"/>
                <w:color w:val="393939"/>
                <w:spacing w:val="-29"/>
                <w:sz w:val="24"/>
                <w:highlight w:val="none"/>
                <w:u w:val="single" w:color="393939"/>
                <w:lang w:val="en-US" w:eastAsia="zh-CN"/>
              </w:rPr>
              <w:t>27</w:t>
            </w:r>
            <w:r>
              <w:rPr>
                <w:color w:val="393939"/>
                <w:spacing w:val="-30"/>
                <w:sz w:val="24"/>
                <w:highlight w:val="none"/>
                <w:u w:val="single" w:color="393939"/>
              </w:rPr>
              <w:t xml:space="preserve"> 日 </w:t>
            </w:r>
            <w:r>
              <w:rPr>
                <w:color w:val="393939"/>
                <w:sz w:val="24"/>
                <w:highlight w:val="none"/>
                <w:u w:val="single" w:color="393939"/>
              </w:rPr>
              <w:t xml:space="preserve">19:00 </w:t>
            </w:r>
            <w:r>
              <w:rPr>
                <w:sz w:val="24"/>
                <w:highlight w:val="none"/>
              </w:rPr>
              <w:t>（北京时间）</w:t>
            </w:r>
            <w:r>
              <w:rPr>
                <w:spacing w:val="-2"/>
                <w:sz w:val="24"/>
                <w:highlight w:val="none"/>
              </w:rPr>
              <w:t>前接受投标人疑</w:t>
            </w:r>
            <w:r>
              <w:rPr>
                <w:sz w:val="24"/>
                <w:highlight w:val="none"/>
              </w:rPr>
              <w:t>问或澄清要求（逾期不予受理</w:t>
            </w:r>
            <w:r>
              <w:rPr>
                <w:spacing w:val="-120"/>
                <w:sz w:val="24"/>
                <w:highlight w:val="none"/>
              </w:rPr>
              <w:t>）</w:t>
            </w:r>
            <w:r>
              <w:rPr>
                <w:sz w:val="24"/>
                <w:highlight w:val="none"/>
              </w:rPr>
              <w:t xml:space="preserve">。 </w:t>
            </w:r>
          </w:p>
          <w:p>
            <w:pPr>
              <w:pStyle w:val="21"/>
              <w:spacing w:before="1"/>
              <w:ind w:left="108"/>
              <w:rPr>
                <w:sz w:val="24"/>
                <w:highlight w:val="none"/>
              </w:rPr>
            </w:pPr>
            <w:r>
              <w:rPr>
                <w:sz w:val="24"/>
                <w:highlight w:val="none"/>
              </w:rPr>
              <w:t>联系人：</w:t>
            </w:r>
            <w:r>
              <w:rPr>
                <w:color w:val="393939"/>
                <w:sz w:val="24"/>
                <w:highlight w:val="none"/>
                <w:u w:val="single" w:color="393939"/>
              </w:rPr>
              <w:t xml:space="preserve"> </w:t>
            </w:r>
            <w:r>
              <w:rPr>
                <w:rFonts w:hint="eastAsia"/>
                <w:color w:val="393939"/>
                <w:sz w:val="24"/>
                <w:highlight w:val="none"/>
                <w:u w:val="single" w:color="393939"/>
                <w:lang w:val="en-US" w:eastAsia="zh-CN"/>
              </w:rPr>
              <w:t>廖爱玲</w:t>
            </w:r>
            <w:r>
              <w:rPr>
                <w:color w:val="393939"/>
                <w:sz w:val="24"/>
                <w:highlight w:val="none"/>
                <w:u w:val="single" w:color="393939"/>
              </w:rPr>
              <w:t xml:space="preserve"> </w:t>
            </w:r>
            <w:r>
              <w:rPr>
                <w:color w:val="0000FF"/>
                <w:sz w:val="24"/>
                <w:highlight w:val="none"/>
              </w:rPr>
              <w:t xml:space="preserve"> </w:t>
            </w:r>
          </w:p>
          <w:p>
            <w:pPr>
              <w:pStyle w:val="21"/>
              <w:spacing w:before="160"/>
              <w:ind w:left="108"/>
              <w:rPr>
                <w:sz w:val="24"/>
                <w:highlight w:val="none"/>
              </w:rPr>
            </w:pPr>
            <w:r>
              <w:rPr>
                <w:sz w:val="24"/>
                <w:highlight w:val="none"/>
              </w:rPr>
              <w:t>联系电话：</w:t>
            </w:r>
            <w:r>
              <w:rPr>
                <w:rFonts w:hint="eastAsia"/>
                <w:color w:val="393939"/>
                <w:sz w:val="24"/>
                <w:highlight w:val="none"/>
                <w:u w:val="single" w:color="393939"/>
                <w:lang w:eastAsia="zh-CN"/>
              </w:rPr>
              <w:t>1</w:t>
            </w:r>
            <w:r>
              <w:rPr>
                <w:rFonts w:hint="eastAsia"/>
                <w:color w:val="393939"/>
                <w:sz w:val="24"/>
                <w:highlight w:val="none"/>
                <w:u w:val="single" w:color="393939"/>
                <w:lang w:val="en-US" w:eastAsia="zh-CN"/>
              </w:rPr>
              <w:t>7345834608</w:t>
            </w:r>
            <w:r>
              <w:rPr>
                <w:color w:val="393939"/>
                <w:sz w:val="24"/>
                <w:highlight w:val="none"/>
                <w:u w:val="single" w:color="393939"/>
              </w:rPr>
              <w:t xml:space="preserve"> </w:t>
            </w:r>
            <w:r>
              <w:rPr>
                <w:sz w:val="24"/>
                <w:highlight w:val="none"/>
              </w:rPr>
              <w:t xml:space="preserve"> </w:t>
            </w:r>
          </w:p>
          <w:p>
            <w:pPr>
              <w:pStyle w:val="21"/>
              <w:spacing w:before="79" w:line="364" w:lineRule="auto"/>
              <w:ind w:left="107" w:right="100"/>
              <w:jc w:val="both"/>
              <w:rPr>
                <w:sz w:val="24"/>
                <w:highlight w:val="none"/>
              </w:rPr>
            </w:pPr>
            <w:r>
              <w:rPr>
                <w:spacing w:val="4"/>
                <w:sz w:val="24"/>
                <w:highlight w:val="none"/>
              </w:rPr>
              <w:t>提交方式：</w:t>
            </w:r>
            <w:r>
              <w:rPr>
                <w:color w:val="393939"/>
                <w:sz w:val="24"/>
                <w:highlight w:val="none"/>
                <w:u w:val="single" w:color="393939"/>
              </w:rPr>
              <w:t>提交纸质材料以及营业执照复印件和授权委托</w:t>
            </w:r>
            <w:r>
              <w:rPr>
                <w:color w:val="393939"/>
                <w:spacing w:val="-231"/>
                <w:sz w:val="24"/>
                <w:highlight w:val="none"/>
                <w:u w:val="single" w:color="393939"/>
              </w:rPr>
              <w:t>书</w:t>
            </w:r>
            <w:r>
              <w:rPr>
                <w:rFonts w:hint="eastAsia"/>
                <w:color w:val="393939"/>
                <w:spacing w:val="-231"/>
                <w:sz w:val="24"/>
                <w:highlight w:val="none"/>
                <w:u w:val="single" w:color="393939"/>
                <w:lang w:eastAsia="zh-CN"/>
              </w:rPr>
              <w:t>并</w:t>
            </w:r>
            <w:r>
              <w:rPr>
                <w:color w:val="393939"/>
                <w:spacing w:val="-1"/>
                <w:sz w:val="24"/>
                <w:highlight w:val="none"/>
                <w:u w:val="single" w:color="393939"/>
              </w:rPr>
              <w:t>盖投标人公章</w:t>
            </w:r>
            <w:r>
              <w:rPr>
                <w:rFonts w:hint="eastAsia"/>
                <w:color w:val="393939"/>
                <w:spacing w:val="-1"/>
                <w:sz w:val="24"/>
                <w:highlight w:val="none"/>
                <w:u w:val="single" w:color="393939"/>
                <w:lang w:eastAsia="zh-CN"/>
              </w:rPr>
              <w:t>，</w:t>
            </w:r>
            <w:r>
              <w:rPr>
                <w:color w:val="393939"/>
                <w:spacing w:val="-1"/>
                <w:sz w:val="24"/>
                <w:highlight w:val="none"/>
                <w:u w:val="single" w:color="393939"/>
              </w:rPr>
              <w:t>或</w:t>
            </w:r>
            <w:r>
              <w:rPr>
                <w:rFonts w:hint="eastAsia"/>
                <w:color w:val="393939"/>
                <w:spacing w:val="-1"/>
                <w:sz w:val="24"/>
                <w:highlight w:val="none"/>
                <w:u w:val="single" w:color="393939"/>
                <w:lang w:val="en-US" w:eastAsia="zh-CN"/>
              </w:rPr>
              <w:t>发送邮件至193850190@qq.com</w:t>
            </w:r>
            <w:r>
              <w:rPr>
                <w:color w:val="393939"/>
                <w:spacing w:val="-1"/>
                <w:sz w:val="24"/>
                <w:highlight w:val="none"/>
                <w:u w:val="single" w:color="393939"/>
              </w:rPr>
              <w:t xml:space="preserve">，同时通过电话告知招标代理公司。 </w:t>
            </w:r>
            <w:r>
              <w:rPr>
                <w:spacing w:val="-1"/>
                <w:sz w:val="24"/>
                <w:highlight w:val="none"/>
              </w:rPr>
              <w:t xml:space="preserve"> </w:t>
            </w: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5" w:type="dxa"/>
          </w:tcPr>
          <w:p>
            <w:pPr>
              <w:pStyle w:val="21"/>
              <w:spacing w:line="441" w:lineRule="exact"/>
              <w:ind w:right="115"/>
              <w:jc w:val="center"/>
              <w:rPr>
                <w:rFonts w:ascii="Microsoft JhengHei"/>
                <w:b/>
                <w:sz w:val="24"/>
                <w:highlight w:val="none"/>
              </w:rPr>
            </w:pPr>
            <w:r>
              <w:rPr>
                <w:rFonts w:ascii="Microsoft JhengHei"/>
                <w:b/>
                <w:w w:val="80"/>
                <w:sz w:val="24"/>
                <w:highlight w:val="none"/>
              </w:rPr>
              <w:t>11</w:t>
            </w:r>
          </w:p>
        </w:tc>
        <w:tc>
          <w:tcPr>
            <w:tcW w:w="2665" w:type="dxa"/>
            <w:gridSpan w:val="3"/>
          </w:tcPr>
          <w:p>
            <w:pPr>
              <w:pStyle w:val="21"/>
              <w:spacing w:line="441" w:lineRule="exact"/>
              <w:ind w:left="171" w:right="43"/>
              <w:jc w:val="center"/>
              <w:rPr>
                <w:rFonts w:hint="eastAsia" w:ascii="Microsoft JhengHei" w:eastAsia="Microsoft JhengHei"/>
                <w:b/>
                <w:sz w:val="24"/>
                <w:highlight w:val="none"/>
              </w:rPr>
            </w:pPr>
            <w:r>
              <w:rPr>
                <w:rFonts w:hint="eastAsia" w:ascii="Microsoft JhengHei" w:eastAsia="Microsoft JhengHei"/>
                <w:b/>
                <w:sz w:val="24"/>
                <w:highlight w:val="none"/>
              </w:rPr>
              <w:t>投标有效期</w:t>
            </w:r>
            <w:r>
              <w:rPr>
                <w:rFonts w:hint="eastAsia" w:ascii="Microsoft JhengHei" w:eastAsia="Microsoft JhengHei"/>
                <w:b/>
                <w:w w:val="200"/>
                <w:sz w:val="24"/>
                <w:highlight w:val="none"/>
              </w:rPr>
              <w:t xml:space="preserve"> </w:t>
            </w:r>
          </w:p>
        </w:tc>
        <w:tc>
          <w:tcPr>
            <w:tcW w:w="6476" w:type="dxa"/>
          </w:tcPr>
          <w:p>
            <w:pPr>
              <w:pStyle w:val="21"/>
              <w:spacing w:before="79"/>
              <w:ind w:left="107"/>
              <w:rPr>
                <w:rFonts w:hint="eastAsia" w:ascii="Microsoft JhengHei" w:eastAsia="Microsoft JhengHei"/>
                <w:b/>
                <w:sz w:val="24"/>
                <w:highlight w:val="none"/>
              </w:rPr>
            </w:pPr>
            <w:r>
              <w:rPr>
                <w:sz w:val="24"/>
                <w:highlight w:val="none"/>
              </w:rPr>
              <w:t>自投标截止之日起</w:t>
            </w:r>
            <w:r>
              <w:rPr>
                <w:color w:val="393939"/>
                <w:sz w:val="24"/>
                <w:highlight w:val="none"/>
                <w:u w:val="single" w:color="393939"/>
              </w:rPr>
              <w:t xml:space="preserve"> 90 </w:t>
            </w:r>
            <w:r>
              <w:rPr>
                <w:sz w:val="24"/>
                <w:highlight w:val="none"/>
              </w:rPr>
              <w:t>日历天。</w:t>
            </w:r>
            <w:r>
              <w:rPr>
                <w:rFonts w:hint="eastAsia" w:ascii="Microsoft JhengHei" w:eastAsia="Microsoft JhengHei"/>
                <w:b/>
                <w:color w:val="FF0000"/>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35" w:type="dxa"/>
          </w:tcPr>
          <w:p>
            <w:pPr>
              <w:pStyle w:val="21"/>
              <w:spacing w:before="14"/>
              <w:jc w:val="center"/>
              <w:rPr>
                <w:rFonts w:ascii="Microsoft JhengHei"/>
                <w:b/>
                <w:sz w:val="12"/>
                <w:highlight w:val="none"/>
              </w:rPr>
            </w:pPr>
          </w:p>
          <w:p>
            <w:pPr>
              <w:pStyle w:val="21"/>
              <w:ind w:right="115"/>
              <w:jc w:val="center"/>
              <w:rPr>
                <w:rFonts w:ascii="Microsoft JhengHei"/>
                <w:b/>
                <w:sz w:val="24"/>
                <w:highlight w:val="none"/>
              </w:rPr>
            </w:pPr>
            <w:r>
              <w:rPr>
                <w:rFonts w:ascii="Microsoft JhengHei"/>
                <w:b/>
                <w:w w:val="80"/>
                <w:sz w:val="24"/>
                <w:highlight w:val="none"/>
              </w:rPr>
              <w:t>12</w:t>
            </w:r>
          </w:p>
        </w:tc>
        <w:tc>
          <w:tcPr>
            <w:tcW w:w="2665" w:type="dxa"/>
            <w:gridSpan w:val="3"/>
          </w:tcPr>
          <w:p>
            <w:pPr>
              <w:pStyle w:val="21"/>
              <w:spacing w:line="441" w:lineRule="exact"/>
              <w:ind w:left="50" w:right="43"/>
              <w:jc w:val="center"/>
              <w:rPr>
                <w:rFonts w:hint="eastAsia" w:ascii="Microsoft JhengHei" w:eastAsia="Microsoft JhengHei"/>
                <w:b/>
                <w:sz w:val="24"/>
                <w:highlight w:val="none"/>
              </w:rPr>
            </w:pPr>
            <w:r>
              <w:rPr>
                <w:rFonts w:hint="eastAsia" w:ascii="Microsoft JhengHei" w:eastAsia="Microsoft JhengHei"/>
                <w:b/>
                <w:sz w:val="24"/>
                <w:highlight w:val="none"/>
              </w:rPr>
              <w:t>投标截止时间（开标时</w:t>
            </w:r>
          </w:p>
          <w:p>
            <w:pPr>
              <w:pStyle w:val="21"/>
              <w:spacing w:before="26"/>
              <w:ind w:left="168" w:right="43"/>
              <w:jc w:val="center"/>
              <w:rPr>
                <w:rFonts w:hint="eastAsia" w:ascii="Microsoft JhengHei" w:eastAsia="Microsoft JhengHei"/>
                <w:b/>
                <w:sz w:val="24"/>
                <w:highlight w:val="none"/>
              </w:rPr>
            </w:pPr>
            <w:r>
              <w:rPr>
                <w:rFonts w:hint="eastAsia" w:ascii="Microsoft JhengHei" w:eastAsia="Microsoft JhengHei"/>
                <w:b/>
                <w:sz w:val="24"/>
                <w:highlight w:val="none"/>
              </w:rPr>
              <w:t>间）</w:t>
            </w:r>
            <w:r>
              <w:rPr>
                <w:rFonts w:hint="eastAsia" w:ascii="Microsoft JhengHei" w:eastAsia="Microsoft JhengHei"/>
                <w:b/>
                <w:w w:val="200"/>
                <w:sz w:val="24"/>
                <w:highlight w:val="none"/>
              </w:rPr>
              <w:t xml:space="preserve"> </w:t>
            </w:r>
          </w:p>
        </w:tc>
        <w:tc>
          <w:tcPr>
            <w:tcW w:w="6476" w:type="dxa"/>
          </w:tcPr>
          <w:p>
            <w:pPr>
              <w:pStyle w:val="21"/>
              <w:spacing w:before="1"/>
              <w:rPr>
                <w:rFonts w:ascii="Microsoft JhengHei"/>
                <w:b/>
                <w:sz w:val="17"/>
                <w:highlight w:val="none"/>
              </w:rPr>
            </w:pPr>
          </w:p>
          <w:p>
            <w:pPr>
              <w:pStyle w:val="21"/>
              <w:ind w:left="107"/>
              <w:rPr>
                <w:sz w:val="24"/>
                <w:highlight w:val="none"/>
              </w:rPr>
            </w:pPr>
            <w:r>
              <w:rPr>
                <w:sz w:val="24"/>
                <w:highlight w:val="none"/>
              </w:rPr>
              <w:t>截止时间：</w:t>
            </w:r>
            <w:r>
              <w:rPr>
                <w:color w:val="393939"/>
                <w:sz w:val="24"/>
                <w:highlight w:val="none"/>
                <w:u w:val="single" w:color="393939"/>
              </w:rPr>
              <w:t xml:space="preserve"> 2021 年 </w:t>
            </w:r>
            <w:r>
              <w:rPr>
                <w:rFonts w:hint="eastAsia"/>
                <w:color w:val="393939"/>
                <w:sz w:val="24"/>
                <w:highlight w:val="none"/>
                <w:u w:val="single" w:color="393939"/>
                <w:lang w:val="en-US" w:eastAsia="zh-CN"/>
              </w:rPr>
              <w:t>11</w:t>
            </w:r>
            <w:r>
              <w:rPr>
                <w:color w:val="393939"/>
                <w:sz w:val="24"/>
                <w:highlight w:val="none"/>
                <w:u w:val="single" w:color="393939"/>
              </w:rPr>
              <w:t xml:space="preserve"> 月 </w:t>
            </w:r>
            <w:r>
              <w:rPr>
                <w:rFonts w:hint="eastAsia"/>
                <w:color w:val="393939"/>
                <w:sz w:val="24"/>
                <w:highlight w:val="none"/>
                <w:u w:val="single" w:color="393939"/>
                <w:lang w:val="en-US" w:eastAsia="zh-CN"/>
              </w:rPr>
              <w:t>07</w:t>
            </w:r>
            <w:r>
              <w:rPr>
                <w:color w:val="393939"/>
                <w:sz w:val="24"/>
                <w:highlight w:val="none"/>
                <w:u w:val="single" w:color="393939"/>
              </w:rPr>
              <w:t xml:space="preserve"> 日 1</w:t>
            </w:r>
            <w:r>
              <w:rPr>
                <w:rFonts w:hint="eastAsia"/>
                <w:color w:val="393939"/>
                <w:sz w:val="24"/>
                <w:highlight w:val="none"/>
                <w:u w:val="single" w:color="393939"/>
                <w:lang w:val="en-US" w:eastAsia="zh-CN"/>
              </w:rPr>
              <w:t>6</w:t>
            </w:r>
            <w:r>
              <w:rPr>
                <w:color w:val="393939"/>
                <w:sz w:val="24"/>
                <w:highlight w:val="none"/>
                <w:u w:val="single" w:color="393939"/>
              </w:rPr>
              <w:t>:</w:t>
            </w:r>
            <w:r>
              <w:rPr>
                <w:rFonts w:hint="eastAsia"/>
                <w:color w:val="393939"/>
                <w:sz w:val="24"/>
                <w:highlight w:val="none"/>
                <w:u w:val="single" w:color="393939"/>
                <w:lang w:val="en-US" w:eastAsia="zh-CN"/>
              </w:rPr>
              <w:t>3</w:t>
            </w:r>
            <w:r>
              <w:rPr>
                <w:color w:val="393939"/>
                <w:sz w:val="24"/>
                <w:highlight w:val="none"/>
                <w:u w:val="single" w:color="393939"/>
              </w:rPr>
              <w:t xml:space="preserve">0:00 </w:t>
            </w:r>
            <w:r>
              <w:rPr>
                <w:sz w:val="24"/>
                <w:highlight w:val="none"/>
              </w:rPr>
              <w:t>（北京时间）</w:t>
            </w:r>
            <w:r>
              <w:rPr>
                <w:color w:val="FF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735" w:type="dxa"/>
          </w:tcPr>
          <w:p>
            <w:pPr>
              <w:pStyle w:val="21"/>
              <w:spacing w:before="14"/>
              <w:jc w:val="center"/>
              <w:rPr>
                <w:rFonts w:ascii="Microsoft JhengHei"/>
                <w:b/>
                <w:sz w:val="12"/>
                <w:highlight w:val="none"/>
              </w:rPr>
            </w:pPr>
          </w:p>
          <w:p>
            <w:pPr>
              <w:pStyle w:val="21"/>
              <w:spacing w:before="1"/>
              <w:ind w:right="115"/>
              <w:jc w:val="center"/>
              <w:rPr>
                <w:rFonts w:ascii="Microsoft JhengHei"/>
                <w:b/>
                <w:sz w:val="24"/>
                <w:highlight w:val="none"/>
              </w:rPr>
            </w:pPr>
            <w:r>
              <w:rPr>
                <w:rFonts w:ascii="Microsoft JhengHei"/>
                <w:b/>
                <w:w w:val="80"/>
                <w:sz w:val="24"/>
                <w:highlight w:val="none"/>
              </w:rPr>
              <w:t>13</w:t>
            </w:r>
          </w:p>
        </w:tc>
        <w:tc>
          <w:tcPr>
            <w:tcW w:w="2665" w:type="dxa"/>
            <w:gridSpan w:val="3"/>
          </w:tcPr>
          <w:p>
            <w:pPr>
              <w:pStyle w:val="21"/>
              <w:spacing w:before="2"/>
              <w:ind w:left="366"/>
              <w:rPr>
                <w:rFonts w:hint="eastAsia" w:ascii="Microsoft JhengHei" w:eastAsia="Microsoft JhengHei"/>
                <w:b/>
                <w:sz w:val="24"/>
                <w:highlight w:val="none"/>
              </w:rPr>
            </w:pPr>
            <w:r>
              <w:rPr>
                <w:rFonts w:hint="eastAsia" w:ascii="Microsoft JhengHei" w:eastAsia="Microsoft JhengHei"/>
                <w:b/>
                <w:sz w:val="24"/>
                <w:highlight w:val="none"/>
              </w:rPr>
              <w:t>投标人在投标截止</w:t>
            </w:r>
            <w:r>
              <w:rPr>
                <w:rFonts w:hint="eastAsia" w:ascii="Microsoft JhengHei" w:eastAsia="Microsoft JhengHei"/>
                <w:b/>
                <w:w w:val="200"/>
                <w:sz w:val="24"/>
                <w:highlight w:val="none"/>
              </w:rPr>
              <w:t xml:space="preserve"> </w:t>
            </w:r>
          </w:p>
          <w:p>
            <w:pPr>
              <w:pStyle w:val="21"/>
              <w:spacing w:before="27"/>
              <w:ind w:left="366"/>
              <w:rPr>
                <w:rFonts w:hint="eastAsia" w:ascii="Microsoft JhengHei" w:eastAsia="Microsoft JhengHei"/>
                <w:b/>
                <w:sz w:val="24"/>
                <w:highlight w:val="none"/>
              </w:rPr>
            </w:pPr>
            <w:r>
              <w:rPr>
                <w:rFonts w:hint="eastAsia" w:ascii="Microsoft JhengHei" w:eastAsia="Microsoft JhengHei"/>
                <w:b/>
                <w:sz w:val="24"/>
                <w:highlight w:val="none"/>
              </w:rPr>
              <w:t>时间前提交的文件</w:t>
            </w:r>
            <w:r>
              <w:rPr>
                <w:rFonts w:hint="eastAsia" w:ascii="Microsoft JhengHei" w:eastAsia="Microsoft JhengHei"/>
                <w:b/>
                <w:w w:val="200"/>
                <w:sz w:val="24"/>
                <w:highlight w:val="none"/>
              </w:rPr>
              <w:t xml:space="preserve"> </w:t>
            </w:r>
          </w:p>
        </w:tc>
        <w:tc>
          <w:tcPr>
            <w:tcW w:w="6476" w:type="dxa"/>
          </w:tcPr>
          <w:p>
            <w:pPr>
              <w:pStyle w:val="21"/>
              <w:spacing w:before="2"/>
              <w:rPr>
                <w:rFonts w:ascii="Microsoft JhengHei"/>
                <w:b/>
                <w:sz w:val="17"/>
                <w:highlight w:val="none"/>
              </w:rPr>
            </w:pPr>
          </w:p>
          <w:p>
            <w:pPr>
              <w:pStyle w:val="21"/>
              <w:ind w:left="107"/>
              <w:rPr>
                <w:sz w:val="24"/>
                <w:highlight w:val="none"/>
              </w:rPr>
            </w:pPr>
            <w:r>
              <w:rPr>
                <w:sz w:val="24"/>
                <w:highlight w:val="none"/>
              </w:rPr>
              <w:t xml:space="preserve">投标文件（具体要求见本表第 14 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1" w:hRule="atLeast"/>
        </w:trPr>
        <w:tc>
          <w:tcPr>
            <w:tcW w:w="735" w:type="dxa"/>
          </w:tcPr>
          <w:p>
            <w:pPr>
              <w:pStyle w:val="21"/>
              <w:jc w:val="center"/>
              <w:rPr>
                <w:rFonts w:ascii="Microsoft JhengHei"/>
                <w:b/>
                <w:sz w:val="24"/>
                <w:highlight w:val="none"/>
              </w:rPr>
            </w:pPr>
          </w:p>
          <w:p>
            <w:pPr>
              <w:pStyle w:val="21"/>
              <w:jc w:val="center"/>
              <w:rPr>
                <w:rFonts w:ascii="Microsoft JhengHei"/>
                <w:b/>
                <w:sz w:val="24"/>
                <w:highlight w:val="none"/>
              </w:rPr>
            </w:pPr>
          </w:p>
          <w:p>
            <w:pPr>
              <w:pStyle w:val="21"/>
              <w:jc w:val="center"/>
              <w:rPr>
                <w:rFonts w:ascii="Microsoft JhengHei"/>
                <w:b/>
                <w:sz w:val="24"/>
                <w:highlight w:val="none"/>
              </w:rPr>
            </w:pPr>
          </w:p>
          <w:p>
            <w:pPr>
              <w:pStyle w:val="21"/>
              <w:jc w:val="center"/>
              <w:rPr>
                <w:rFonts w:ascii="Microsoft JhengHei"/>
                <w:b/>
                <w:sz w:val="24"/>
                <w:highlight w:val="none"/>
              </w:rPr>
            </w:pPr>
          </w:p>
          <w:p>
            <w:pPr>
              <w:pStyle w:val="21"/>
              <w:jc w:val="center"/>
              <w:rPr>
                <w:rFonts w:ascii="Microsoft JhengHei"/>
                <w:b/>
                <w:sz w:val="24"/>
                <w:highlight w:val="none"/>
              </w:rPr>
            </w:pPr>
          </w:p>
          <w:p>
            <w:pPr>
              <w:pStyle w:val="21"/>
              <w:jc w:val="center"/>
              <w:rPr>
                <w:rFonts w:ascii="Microsoft JhengHei"/>
                <w:b/>
                <w:sz w:val="24"/>
                <w:highlight w:val="none"/>
              </w:rPr>
            </w:pPr>
          </w:p>
          <w:p>
            <w:pPr>
              <w:pStyle w:val="21"/>
              <w:jc w:val="center"/>
              <w:rPr>
                <w:rFonts w:ascii="Microsoft JhengHei"/>
                <w:b/>
                <w:sz w:val="24"/>
                <w:highlight w:val="none"/>
              </w:rPr>
            </w:pPr>
          </w:p>
          <w:p>
            <w:pPr>
              <w:pStyle w:val="21"/>
              <w:jc w:val="center"/>
              <w:rPr>
                <w:rFonts w:ascii="Microsoft JhengHei"/>
                <w:b/>
                <w:sz w:val="24"/>
                <w:highlight w:val="none"/>
              </w:rPr>
            </w:pPr>
          </w:p>
          <w:p>
            <w:pPr>
              <w:pStyle w:val="21"/>
              <w:jc w:val="center"/>
              <w:rPr>
                <w:rFonts w:ascii="Microsoft JhengHei"/>
                <w:b/>
                <w:sz w:val="24"/>
                <w:highlight w:val="none"/>
              </w:rPr>
            </w:pPr>
          </w:p>
          <w:p>
            <w:pPr>
              <w:pStyle w:val="21"/>
              <w:spacing w:before="1"/>
              <w:jc w:val="center"/>
              <w:rPr>
                <w:rFonts w:ascii="Microsoft JhengHei"/>
                <w:b/>
                <w:sz w:val="13"/>
                <w:highlight w:val="none"/>
              </w:rPr>
            </w:pPr>
          </w:p>
          <w:p>
            <w:pPr>
              <w:pStyle w:val="21"/>
              <w:ind w:right="115"/>
              <w:jc w:val="center"/>
              <w:rPr>
                <w:rFonts w:ascii="Microsoft JhengHei"/>
                <w:b/>
                <w:sz w:val="24"/>
                <w:highlight w:val="none"/>
              </w:rPr>
            </w:pPr>
            <w:r>
              <w:rPr>
                <w:rFonts w:ascii="Microsoft JhengHei"/>
                <w:b/>
                <w:w w:val="80"/>
                <w:sz w:val="24"/>
                <w:highlight w:val="none"/>
              </w:rPr>
              <w:t>14</w:t>
            </w:r>
          </w:p>
        </w:tc>
        <w:tc>
          <w:tcPr>
            <w:tcW w:w="2665" w:type="dxa"/>
            <w:gridSpan w:val="3"/>
          </w:tcPr>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spacing w:before="1"/>
              <w:rPr>
                <w:rFonts w:ascii="Microsoft JhengHei"/>
                <w:b/>
                <w:sz w:val="13"/>
                <w:highlight w:val="none"/>
              </w:rPr>
            </w:pPr>
          </w:p>
          <w:p>
            <w:pPr>
              <w:pStyle w:val="21"/>
              <w:ind w:left="171" w:right="43"/>
              <w:jc w:val="center"/>
              <w:rPr>
                <w:rFonts w:hint="eastAsia" w:ascii="Microsoft JhengHei" w:eastAsia="Microsoft JhengHei"/>
                <w:b/>
                <w:sz w:val="24"/>
                <w:highlight w:val="none"/>
              </w:rPr>
            </w:pPr>
            <w:r>
              <w:rPr>
                <w:rFonts w:hint="eastAsia" w:ascii="Microsoft JhengHei" w:eastAsia="Microsoft JhengHei"/>
                <w:b/>
                <w:sz w:val="24"/>
                <w:highlight w:val="none"/>
              </w:rPr>
              <w:t>投标文件份数</w:t>
            </w:r>
            <w:r>
              <w:rPr>
                <w:rFonts w:hint="eastAsia" w:ascii="Microsoft JhengHei" w:eastAsia="Microsoft JhengHei"/>
                <w:b/>
                <w:w w:val="200"/>
                <w:sz w:val="24"/>
                <w:highlight w:val="none"/>
              </w:rPr>
              <w:t xml:space="preserve"> </w:t>
            </w:r>
          </w:p>
        </w:tc>
        <w:tc>
          <w:tcPr>
            <w:tcW w:w="6476" w:type="dxa"/>
          </w:tcPr>
          <w:p>
            <w:pPr>
              <w:pStyle w:val="21"/>
              <w:spacing w:before="79" w:line="364" w:lineRule="auto"/>
              <w:ind w:left="107" w:right="4192" w:hanging="3"/>
              <w:rPr>
                <w:sz w:val="24"/>
                <w:highlight w:val="none"/>
              </w:rPr>
            </w:pPr>
            <w:r>
              <w:rPr>
                <w:rFonts w:ascii="Wingdings" w:hAnsi="Wingdings" w:eastAsia="Wingdings"/>
                <w:sz w:val="24"/>
                <w:highlight w:val="none"/>
              </w:rPr>
              <w:t></w:t>
            </w:r>
            <w:r>
              <w:rPr>
                <w:sz w:val="24"/>
                <w:highlight w:val="none"/>
              </w:rPr>
              <w:t xml:space="preserve">采用见面开标： 投标文件包括： </w:t>
            </w:r>
          </w:p>
          <w:p>
            <w:pPr>
              <w:spacing w:line="240" w:lineRule="atLeast"/>
              <w:rPr>
                <w:rFonts w:hint="eastAsia" w:ascii="宋体" w:hAnsi="宋体" w:eastAsia="宋体" w:cs="宋体"/>
                <w:sz w:val="24"/>
                <w:highlight w:val="none"/>
              </w:rPr>
            </w:pPr>
            <w:r>
              <w:rPr>
                <w:sz w:val="24"/>
                <w:highlight w:val="none"/>
              </w:rPr>
              <w:t>1</w:t>
            </w:r>
            <w:r>
              <w:rPr>
                <w:spacing w:val="-3"/>
                <w:sz w:val="24"/>
                <w:highlight w:val="none"/>
              </w:rPr>
              <w:t>、</w:t>
            </w:r>
            <w:r>
              <w:rPr>
                <w:rFonts w:hint="eastAsia" w:ascii="宋体" w:hAnsi="宋体" w:eastAsia="宋体" w:cs="宋体"/>
                <w:sz w:val="24"/>
                <w:highlight w:val="none"/>
              </w:rPr>
              <w:t>第一部分投标文件：正本：</w:t>
            </w:r>
            <w:r>
              <w:rPr>
                <w:rFonts w:hint="eastAsia" w:ascii="宋体" w:hAnsi="宋体" w:eastAsia="宋体" w:cs="宋体"/>
                <w:sz w:val="24"/>
                <w:highlight w:val="none"/>
                <w:u w:val="single"/>
              </w:rPr>
              <w:t>　</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份、副本：</w:t>
            </w:r>
            <w:r>
              <w:rPr>
                <w:rFonts w:hint="eastAsia" w:ascii="宋体" w:hAnsi="宋体" w:eastAsia="宋体" w:cs="宋体"/>
                <w:sz w:val="24"/>
                <w:highlight w:val="none"/>
                <w:u w:val="single"/>
              </w:rPr>
              <w:t xml:space="preserve"> </w:t>
            </w:r>
            <w:r>
              <w:rPr>
                <w:rFonts w:hint="eastAsia" w:cs="宋体"/>
                <w:sz w:val="24"/>
                <w:highlight w:val="none"/>
                <w:u w:val="single"/>
                <w:lang w:val="en-US" w:eastAsia="zh-CN"/>
              </w:rPr>
              <w:t>2</w:t>
            </w:r>
            <w:r>
              <w:rPr>
                <w:rFonts w:hint="eastAsia" w:ascii="宋体" w:hAnsi="宋体" w:eastAsia="宋体" w:cs="宋体"/>
                <w:sz w:val="24"/>
                <w:highlight w:val="none"/>
                <w:u w:val="single"/>
              </w:rPr>
              <w:t>　</w:t>
            </w:r>
            <w:r>
              <w:rPr>
                <w:rFonts w:hint="eastAsia" w:ascii="宋体" w:hAnsi="宋体" w:eastAsia="宋体" w:cs="宋体"/>
                <w:sz w:val="24"/>
                <w:highlight w:val="none"/>
              </w:rPr>
              <w:t>份；</w:t>
            </w:r>
          </w:p>
          <w:p>
            <w:pPr>
              <w:spacing w:line="240" w:lineRule="atLeas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第二部分投标文件：正本：</w:t>
            </w:r>
            <w:r>
              <w:rPr>
                <w:rFonts w:hint="eastAsia" w:ascii="宋体" w:hAnsi="宋体" w:eastAsia="宋体" w:cs="宋体"/>
                <w:sz w:val="24"/>
                <w:highlight w:val="none"/>
                <w:u w:val="single"/>
              </w:rPr>
              <w:t>　</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份、副本：</w:t>
            </w:r>
            <w:r>
              <w:rPr>
                <w:rFonts w:hint="eastAsia" w:ascii="宋体" w:hAnsi="宋体" w:eastAsia="宋体" w:cs="宋体"/>
                <w:sz w:val="24"/>
                <w:highlight w:val="none"/>
                <w:u w:val="single"/>
              </w:rPr>
              <w:t xml:space="preserve"> </w:t>
            </w:r>
            <w:r>
              <w:rPr>
                <w:rFonts w:hint="eastAsia" w:cs="宋体"/>
                <w:sz w:val="24"/>
                <w:highlight w:val="none"/>
                <w:u w:val="single"/>
                <w:lang w:val="en-US" w:eastAsia="zh-CN"/>
              </w:rPr>
              <w:t>2</w:t>
            </w:r>
            <w:r>
              <w:rPr>
                <w:rFonts w:hint="eastAsia" w:ascii="宋体" w:hAnsi="宋体" w:eastAsia="宋体" w:cs="宋体"/>
                <w:sz w:val="24"/>
                <w:highlight w:val="none"/>
                <w:u w:val="single"/>
              </w:rPr>
              <w:t>　</w:t>
            </w:r>
            <w:r>
              <w:rPr>
                <w:rFonts w:hint="eastAsia" w:ascii="宋体" w:hAnsi="宋体" w:eastAsia="宋体" w:cs="宋体"/>
                <w:sz w:val="24"/>
                <w:highlight w:val="none"/>
              </w:rPr>
              <w:t>份；</w:t>
            </w:r>
          </w:p>
          <w:p>
            <w:pPr>
              <w:pStyle w:val="21"/>
              <w:spacing w:before="1" w:line="364" w:lineRule="auto"/>
              <w:ind w:right="99"/>
              <w:rPr>
                <w:sz w:val="24"/>
                <w:highlight w:val="none"/>
              </w:rPr>
            </w:pPr>
            <w:r>
              <w:rPr>
                <w:rFonts w:hint="eastAsia" w:ascii="宋体" w:hAnsi="宋体" w:eastAsia="宋体" w:cs="宋体"/>
                <w:sz w:val="24"/>
                <w:highlight w:val="none"/>
              </w:rPr>
              <w:t>除上述文件外，还须密封递交投标文件电子文档</w:t>
            </w:r>
            <w:r>
              <w:rPr>
                <w:rFonts w:hint="eastAsia" w:ascii="宋体" w:hAnsi="宋体" w:eastAsia="宋体" w:cs="宋体"/>
                <w:sz w:val="24"/>
                <w:highlight w:val="none"/>
                <w:lang w:val="en-US" w:eastAsia="zh-CN"/>
              </w:rPr>
              <w:t>U盘</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w:t>
            </w:r>
          </w:p>
          <w:p>
            <w:pPr>
              <w:pStyle w:val="21"/>
              <w:numPr>
                <w:ilvl w:val="0"/>
                <w:numId w:val="6"/>
              </w:numPr>
              <w:spacing w:before="1" w:line="364" w:lineRule="auto"/>
              <w:ind w:left="107" w:right="2483"/>
              <w:rPr>
                <w:sz w:val="24"/>
                <w:highlight w:val="none"/>
              </w:rPr>
            </w:pPr>
            <w:r>
              <w:rPr>
                <w:sz w:val="24"/>
                <w:highlight w:val="none"/>
              </w:rPr>
              <w:t xml:space="preserve">密封要求：密封封套上应写明 </w:t>
            </w:r>
          </w:p>
          <w:p>
            <w:pPr>
              <w:pStyle w:val="21"/>
              <w:numPr>
                <w:ilvl w:val="0"/>
                <w:numId w:val="0"/>
              </w:numPr>
              <w:spacing w:before="1" w:line="364" w:lineRule="auto"/>
              <w:ind w:right="2483" w:rightChars="0"/>
              <w:rPr>
                <w:sz w:val="24"/>
                <w:highlight w:val="none"/>
              </w:rPr>
            </w:pPr>
            <w:r>
              <w:rPr>
                <w:sz w:val="24"/>
                <w:highlight w:val="none"/>
              </w:rPr>
              <w:t xml:space="preserve">采购人名称：   </w:t>
            </w:r>
          </w:p>
          <w:p>
            <w:pPr>
              <w:pStyle w:val="21"/>
              <w:spacing w:before="1" w:line="364" w:lineRule="auto"/>
              <w:ind w:left="107" w:right="4643"/>
              <w:rPr>
                <w:sz w:val="24"/>
                <w:highlight w:val="none"/>
              </w:rPr>
            </w:pPr>
            <w:r>
              <w:rPr>
                <w:sz w:val="24"/>
                <w:highlight w:val="none"/>
              </w:rPr>
              <w:t xml:space="preserve">项目名称：  </w:t>
            </w:r>
          </w:p>
          <w:p>
            <w:pPr>
              <w:pStyle w:val="21"/>
              <w:spacing w:before="1" w:line="364" w:lineRule="auto"/>
              <w:ind w:left="107" w:right="4643"/>
              <w:rPr>
                <w:sz w:val="24"/>
                <w:highlight w:val="none"/>
              </w:rPr>
            </w:pPr>
            <w:r>
              <w:rPr>
                <w:sz w:val="24"/>
                <w:highlight w:val="none"/>
              </w:rPr>
              <w:t xml:space="preserve">项目编号：   </w:t>
            </w:r>
          </w:p>
          <w:p>
            <w:pPr>
              <w:pStyle w:val="21"/>
              <w:spacing w:before="1" w:line="364" w:lineRule="auto"/>
              <w:ind w:left="107" w:right="1522"/>
              <w:jc w:val="left"/>
              <w:rPr>
                <w:sz w:val="24"/>
                <w:highlight w:val="none"/>
              </w:rPr>
            </w:pPr>
            <w:r>
              <w:rPr>
                <w:sz w:val="24"/>
                <w:highlight w:val="none"/>
              </w:rPr>
              <w:t xml:space="preserve">投标人名称：                          </w:t>
            </w:r>
          </w:p>
          <w:p>
            <w:pPr>
              <w:pStyle w:val="21"/>
              <w:spacing w:before="1" w:line="364" w:lineRule="auto"/>
              <w:ind w:left="107" w:right="1522"/>
              <w:jc w:val="left"/>
              <w:rPr>
                <w:sz w:val="24"/>
                <w:highlight w:val="none"/>
              </w:rPr>
            </w:pPr>
            <w:r>
              <w:rPr>
                <w:sz w:val="24"/>
                <w:highlight w:val="none"/>
              </w:rPr>
              <w:t xml:space="preserve">投标人联系方式：                      </w:t>
            </w:r>
          </w:p>
          <w:p>
            <w:pPr>
              <w:pStyle w:val="21"/>
              <w:spacing w:before="1" w:line="364" w:lineRule="auto"/>
              <w:ind w:left="107" w:right="1522"/>
              <w:jc w:val="left"/>
              <w:rPr>
                <w:sz w:val="24"/>
                <w:highlight w:val="none"/>
              </w:rPr>
            </w:pPr>
            <w:r>
              <w:rPr>
                <w:sz w:val="24"/>
                <w:highlight w:val="none"/>
              </w:rPr>
              <w:t xml:space="preserve">投标人地址：                         </w:t>
            </w:r>
            <w:r>
              <w:rPr>
                <w:spacing w:val="1"/>
                <w:sz w:val="24"/>
                <w:highlight w:val="none"/>
              </w:rPr>
              <w:t xml:space="preserve"> </w:t>
            </w:r>
            <w:r>
              <w:rPr>
                <w:sz w:val="24"/>
                <w:highlight w:val="none"/>
              </w:rPr>
              <w:t xml:space="preserve"> </w:t>
            </w:r>
          </w:p>
          <w:p>
            <w:pPr>
              <w:pStyle w:val="21"/>
              <w:spacing w:before="3" w:line="364" w:lineRule="auto"/>
              <w:ind w:left="107" w:right="53"/>
              <w:rPr>
                <w:sz w:val="24"/>
                <w:highlight w:val="none"/>
              </w:rPr>
            </w:pPr>
            <w:r>
              <w:rPr>
                <w:sz w:val="24"/>
                <w:highlight w:val="none"/>
              </w:rPr>
              <w:t>投标文件：在 XXXX 年 XX 月 XX 日 XX 分前不得开启</w:t>
            </w:r>
          </w:p>
          <w:p>
            <w:pPr>
              <w:pStyle w:val="21"/>
              <w:spacing w:before="1"/>
              <w:rPr>
                <w:sz w:val="24"/>
                <w:highlight w:val="none"/>
              </w:rPr>
            </w:pPr>
            <w:r>
              <w:rPr>
                <w:sz w:val="24"/>
                <w:highlight w:val="none"/>
              </w:rPr>
              <w:t>其中，电子投标文件 U 盘应</w:t>
            </w:r>
            <w:r>
              <w:rPr>
                <w:rFonts w:hint="eastAsia"/>
                <w:sz w:val="24"/>
                <w:highlight w:val="none"/>
                <w:lang w:val="en-US" w:eastAsia="zh-CN"/>
              </w:rPr>
              <w:t>单独</w:t>
            </w:r>
            <w:r>
              <w:rPr>
                <w:sz w:val="24"/>
                <w:highlight w:val="none"/>
              </w:rPr>
              <w:t>密封。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trPr>
        <w:tc>
          <w:tcPr>
            <w:tcW w:w="735" w:type="dxa"/>
          </w:tcPr>
          <w:p>
            <w:pPr>
              <w:pStyle w:val="21"/>
              <w:jc w:val="center"/>
              <w:rPr>
                <w:rFonts w:ascii="Microsoft JhengHei"/>
                <w:b/>
                <w:sz w:val="24"/>
                <w:highlight w:val="none"/>
              </w:rPr>
            </w:pPr>
          </w:p>
          <w:p>
            <w:pPr>
              <w:pStyle w:val="21"/>
              <w:spacing w:before="4"/>
              <w:jc w:val="center"/>
              <w:rPr>
                <w:rFonts w:ascii="Microsoft JhengHei"/>
                <w:b/>
                <w:sz w:val="14"/>
                <w:highlight w:val="none"/>
              </w:rPr>
            </w:pPr>
          </w:p>
          <w:p>
            <w:pPr>
              <w:pStyle w:val="21"/>
              <w:ind w:right="115"/>
              <w:jc w:val="center"/>
              <w:rPr>
                <w:rFonts w:ascii="Microsoft JhengHei"/>
                <w:b/>
                <w:sz w:val="24"/>
                <w:highlight w:val="none"/>
              </w:rPr>
            </w:pPr>
            <w:r>
              <w:rPr>
                <w:rFonts w:ascii="Microsoft JhengHei"/>
                <w:b/>
                <w:w w:val="80"/>
                <w:sz w:val="24"/>
                <w:highlight w:val="none"/>
              </w:rPr>
              <w:t>15</w:t>
            </w:r>
          </w:p>
        </w:tc>
        <w:tc>
          <w:tcPr>
            <w:tcW w:w="2665" w:type="dxa"/>
            <w:gridSpan w:val="3"/>
          </w:tcPr>
          <w:p>
            <w:pPr>
              <w:pStyle w:val="21"/>
              <w:rPr>
                <w:rFonts w:ascii="Microsoft JhengHei"/>
                <w:b/>
                <w:sz w:val="24"/>
                <w:highlight w:val="none"/>
              </w:rPr>
            </w:pPr>
          </w:p>
          <w:p>
            <w:pPr>
              <w:pStyle w:val="21"/>
              <w:spacing w:before="4"/>
              <w:rPr>
                <w:rFonts w:ascii="Microsoft JhengHei"/>
                <w:b/>
                <w:sz w:val="14"/>
                <w:highlight w:val="none"/>
              </w:rPr>
            </w:pPr>
          </w:p>
          <w:p>
            <w:pPr>
              <w:pStyle w:val="21"/>
              <w:ind w:left="169" w:right="43"/>
              <w:jc w:val="center"/>
              <w:rPr>
                <w:rFonts w:hint="eastAsia" w:ascii="Microsoft JhengHei" w:eastAsia="Microsoft JhengHei"/>
                <w:b/>
                <w:sz w:val="24"/>
                <w:highlight w:val="none"/>
              </w:rPr>
            </w:pPr>
            <w:r>
              <w:rPr>
                <w:rFonts w:hint="eastAsia" w:ascii="Microsoft JhengHei" w:eastAsia="Microsoft JhengHei"/>
                <w:b/>
                <w:sz w:val="24"/>
                <w:highlight w:val="none"/>
              </w:rPr>
              <w:t>开标时间及地点</w:t>
            </w:r>
            <w:r>
              <w:rPr>
                <w:rFonts w:hint="eastAsia" w:ascii="Microsoft JhengHei" w:eastAsia="Microsoft JhengHei"/>
                <w:b/>
                <w:w w:val="200"/>
                <w:sz w:val="24"/>
                <w:highlight w:val="none"/>
              </w:rPr>
              <w:t xml:space="preserve"> </w:t>
            </w:r>
          </w:p>
        </w:tc>
        <w:tc>
          <w:tcPr>
            <w:tcW w:w="6476" w:type="dxa"/>
          </w:tcPr>
          <w:p>
            <w:pPr>
              <w:pStyle w:val="21"/>
              <w:spacing w:before="79"/>
              <w:ind w:left="104"/>
              <w:rPr>
                <w:sz w:val="24"/>
                <w:highlight w:val="none"/>
              </w:rPr>
            </w:pPr>
            <w:r>
              <w:rPr>
                <w:rFonts w:ascii="Wingdings" w:hAnsi="Wingdings" w:eastAsia="Wingdings"/>
                <w:sz w:val="24"/>
                <w:highlight w:val="none"/>
              </w:rPr>
              <w:t></w:t>
            </w:r>
            <w:r>
              <w:rPr>
                <w:sz w:val="24"/>
                <w:highlight w:val="none"/>
              </w:rPr>
              <w:t xml:space="preserve">采用见面开标： </w:t>
            </w:r>
          </w:p>
          <w:p>
            <w:pPr>
              <w:pStyle w:val="21"/>
              <w:spacing w:before="160"/>
              <w:ind w:left="107"/>
              <w:rPr>
                <w:sz w:val="24"/>
                <w:highlight w:val="none"/>
              </w:rPr>
            </w:pPr>
            <w:r>
              <w:rPr>
                <w:sz w:val="24"/>
                <w:highlight w:val="none"/>
              </w:rPr>
              <w:t xml:space="preserve">开标时间：同投标截止时间 </w:t>
            </w:r>
          </w:p>
          <w:p>
            <w:pPr>
              <w:pStyle w:val="21"/>
              <w:spacing w:before="9" w:line="460" w:lineRule="atLeast"/>
              <w:ind w:left="107" w:right="102"/>
              <w:rPr>
                <w:sz w:val="24"/>
                <w:highlight w:val="none"/>
              </w:rPr>
            </w:pPr>
            <w:r>
              <w:rPr>
                <w:spacing w:val="4"/>
                <w:sz w:val="24"/>
                <w:highlight w:val="none"/>
              </w:rPr>
              <w:t>开标地点：</w:t>
            </w:r>
            <w:r>
              <w:rPr>
                <w:rFonts w:hint="eastAsia"/>
                <w:spacing w:val="4"/>
                <w:sz w:val="24"/>
                <w:highlight w:val="none"/>
                <w:u w:val="single"/>
              </w:rPr>
              <w:t>麦盖提县馕产业园会议室</w:t>
            </w:r>
            <w:r>
              <w:rPr>
                <w:color w:val="393939"/>
                <w:sz w:val="24"/>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735" w:type="dxa"/>
          </w:tcPr>
          <w:p>
            <w:pPr>
              <w:pStyle w:val="21"/>
              <w:ind w:right="115"/>
              <w:jc w:val="center"/>
              <w:rPr>
                <w:rFonts w:ascii="Microsoft JhengHei" w:hAnsi="宋体" w:eastAsia="宋体" w:cs="宋体"/>
                <w:b/>
                <w:w w:val="80"/>
                <w:sz w:val="24"/>
                <w:highlight w:val="none"/>
              </w:rPr>
            </w:pPr>
          </w:p>
          <w:p>
            <w:pPr>
              <w:pStyle w:val="21"/>
              <w:ind w:right="115"/>
              <w:jc w:val="center"/>
              <w:rPr>
                <w:rFonts w:ascii="Microsoft JhengHei" w:hAnsi="宋体" w:eastAsia="宋体" w:cs="宋体"/>
                <w:b/>
                <w:w w:val="80"/>
                <w:sz w:val="24"/>
                <w:highlight w:val="none"/>
              </w:rPr>
            </w:pPr>
          </w:p>
          <w:p>
            <w:pPr>
              <w:pStyle w:val="21"/>
              <w:ind w:right="115"/>
              <w:jc w:val="center"/>
              <w:rPr>
                <w:rFonts w:ascii="Microsoft JhengHei" w:hAnsi="宋体" w:eastAsia="宋体" w:cs="宋体"/>
                <w:b/>
                <w:w w:val="80"/>
                <w:sz w:val="24"/>
                <w:highlight w:val="none"/>
              </w:rPr>
            </w:pPr>
          </w:p>
          <w:p>
            <w:pPr>
              <w:pStyle w:val="21"/>
              <w:ind w:right="115"/>
              <w:jc w:val="center"/>
              <w:rPr>
                <w:rFonts w:ascii="Microsoft JhengHei" w:hAnsi="宋体" w:eastAsia="宋体" w:cs="宋体"/>
                <w:b/>
                <w:w w:val="80"/>
                <w:sz w:val="24"/>
                <w:highlight w:val="none"/>
              </w:rPr>
            </w:pPr>
          </w:p>
          <w:p>
            <w:pPr>
              <w:pStyle w:val="21"/>
              <w:ind w:right="115"/>
              <w:jc w:val="center"/>
              <w:rPr>
                <w:rFonts w:ascii="Microsoft JhengHei" w:hAnsi="宋体" w:eastAsia="宋体" w:cs="宋体"/>
                <w:b/>
                <w:w w:val="80"/>
                <w:sz w:val="24"/>
                <w:highlight w:val="none"/>
              </w:rPr>
            </w:pPr>
            <w:r>
              <w:rPr>
                <w:rFonts w:hint="eastAsia" w:ascii="Microsoft JhengHei" w:hAnsi="宋体" w:eastAsia="宋体" w:cs="宋体"/>
                <w:b/>
                <w:w w:val="80"/>
                <w:sz w:val="24"/>
                <w:highlight w:val="none"/>
                <w:lang w:val="en-US" w:eastAsia="zh-CN"/>
              </w:rPr>
              <w:t>16</w:t>
            </w:r>
            <w:r>
              <w:rPr>
                <w:rFonts w:ascii="Microsoft JhengHei" w:hAnsi="宋体" w:eastAsia="宋体" w:cs="宋体"/>
                <w:b/>
                <w:w w:val="80"/>
                <w:sz w:val="24"/>
                <w:highlight w:val="none"/>
              </w:rPr>
              <w:t xml:space="preserve"> </w:t>
            </w:r>
          </w:p>
        </w:tc>
        <w:tc>
          <w:tcPr>
            <w:tcW w:w="2665" w:type="dxa"/>
            <w:gridSpan w:val="3"/>
          </w:tcPr>
          <w:p>
            <w:pPr>
              <w:pStyle w:val="21"/>
              <w:ind w:right="115"/>
              <w:jc w:val="center"/>
              <w:rPr>
                <w:rFonts w:ascii="Microsoft JhengHei" w:hAnsi="宋体" w:eastAsia="宋体" w:cs="宋体"/>
                <w:b/>
                <w:w w:val="80"/>
                <w:sz w:val="24"/>
                <w:highlight w:val="none"/>
              </w:rPr>
            </w:pPr>
          </w:p>
          <w:p>
            <w:pPr>
              <w:pStyle w:val="21"/>
              <w:ind w:right="115"/>
              <w:jc w:val="center"/>
              <w:rPr>
                <w:rFonts w:ascii="Microsoft JhengHei" w:hAnsi="宋体" w:eastAsia="宋体" w:cs="宋体"/>
                <w:b/>
                <w:w w:val="80"/>
                <w:sz w:val="24"/>
                <w:highlight w:val="none"/>
              </w:rPr>
            </w:pPr>
          </w:p>
          <w:p>
            <w:pPr>
              <w:pStyle w:val="21"/>
              <w:ind w:right="115"/>
              <w:jc w:val="center"/>
              <w:rPr>
                <w:rFonts w:ascii="Microsoft JhengHei" w:hAnsi="宋体" w:eastAsia="宋体" w:cs="宋体"/>
                <w:b/>
                <w:w w:val="80"/>
                <w:sz w:val="24"/>
                <w:highlight w:val="none"/>
              </w:rPr>
            </w:pPr>
          </w:p>
          <w:p>
            <w:pPr>
              <w:pStyle w:val="21"/>
              <w:ind w:right="115"/>
              <w:jc w:val="center"/>
              <w:rPr>
                <w:rFonts w:ascii="Microsoft JhengHei" w:hAnsi="宋体" w:eastAsia="宋体" w:cs="宋体"/>
                <w:b/>
                <w:w w:val="80"/>
                <w:sz w:val="24"/>
                <w:highlight w:val="none"/>
              </w:rPr>
            </w:pPr>
          </w:p>
          <w:p>
            <w:pPr>
              <w:pStyle w:val="21"/>
              <w:ind w:right="115"/>
              <w:jc w:val="center"/>
              <w:rPr>
                <w:rFonts w:hint="eastAsia" w:ascii="Microsoft JhengHei" w:hAnsi="宋体" w:eastAsia="宋体" w:cs="宋体"/>
                <w:b/>
                <w:w w:val="80"/>
                <w:sz w:val="24"/>
                <w:highlight w:val="none"/>
              </w:rPr>
            </w:pPr>
            <w:r>
              <w:rPr>
                <w:rFonts w:hint="eastAsia" w:ascii="Microsoft JhengHei" w:hAnsi="宋体" w:eastAsia="Microsoft JhengHei" w:cs="宋体"/>
                <w:b/>
                <w:sz w:val="24"/>
                <w:highlight w:val="none"/>
              </w:rPr>
              <w:t xml:space="preserve">投标保证金 </w:t>
            </w:r>
          </w:p>
        </w:tc>
        <w:tc>
          <w:tcPr>
            <w:tcW w:w="6476" w:type="dxa"/>
          </w:tcPr>
          <w:p>
            <w:pPr>
              <w:pStyle w:val="21"/>
              <w:spacing w:before="81"/>
              <w:ind w:left="107"/>
              <w:rPr>
                <w:sz w:val="24"/>
                <w:highlight w:val="none"/>
              </w:rPr>
            </w:pPr>
            <w:r>
              <w:rPr>
                <w:sz w:val="24"/>
                <w:highlight w:val="none"/>
              </w:rPr>
              <w:t xml:space="preserve">到账截止时间：同投标截止时间（北京时间） </w:t>
            </w:r>
          </w:p>
          <w:p>
            <w:pPr>
              <w:pStyle w:val="21"/>
              <w:spacing w:before="161" w:line="364" w:lineRule="auto"/>
              <w:ind w:left="107" w:right="53"/>
              <w:rPr>
                <w:sz w:val="24"/>
                <w:highlight w:val="none"/>
              </w:rPr>
            </w:pPr>
            <w:r>
              <w:rPr>
                <w:sz w:val="24"/>
                <w:highlight w:val="none"/>
              </w:rPr>
              <w:t>投标人应在投标截止时间前提交</w:t>
            </w:r>
            <w:r>
              <w:rPr>
                <w:sz w:val="24"/>
                <w:highlight w:val="none"/>
                <w:u w:val="single"/>
              </w:rPr>
              <w:t xml:space="preserve"> </w:t>
            </w:r>
            <w:r>
              <w:rPr>
                <w:rFonts w:hint="eastAsia"/>
                <w:sz w:val="24"/>
                <w:highlight w:val="none"/>
                <w:u w:val="single"/>
                <w:lang w:val="en-US" w:eastAsia="zh-CN"/>
              </w:rPr>
              <w:t>5</w:t>
            </w:r>
            <w:r>
              <w:rPr>
                <w:sz w:val="24"/>
                <w:highlight w:val="none"/>
                <w:u w:val="single"/>
              </w:rPr>
              <w:t xml:space="preserve"> </w:t>
            </w:r>
            <w:r>
              <w:rPr>
                <w:sz w:val="24"/>
                <w:highlight w:val="none"/>
              </w:rPr>
              <w:t xml:space="preserve">万元投标保证金， 并确保投标保证金在投标截止时间前缴纳。 </w:t>
            </w: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保证金收款人：</w:t>
            </w:r>
            <w:r>
              <w:rPr>
                <w:rFonts w:hint="eastAsia" w:ascii="宋体" w:hAnsi="宋体" w:eastAsia="宋体" w:cs="宋体"/>
                <w:b/>
                <w:bCs/>
                <w:color w:val="auto"/>
                <w:highlight w:val="none"/>
                <w:u w:val="single"/>
              </w:rPr>
              <w:t>新疆泽瑞达企业管理咨询有限责任公司</w:t>
            </w:r>
          </w:p>
          <w:p>
            <w:pPr>
              <w:spacing w:line="360" w:lineRule="auto"/>
              <w:rPr>
                <w:rFonts w:hint="eastAsia" w:ascii="宋体" w:hAnsi="宋体" w:eastAsia="宋体" w:cs="宋体"/>
                <w:b/>
                <w:bCs/>
                <w:color w:val="auto"/>
                <w:highlight w:val="none"/>
                <w:u w:val="single"/>
              </w:rPr>
            </w:pPr>
            <w:r>
              <w:rPr>
                <w:rFonts w:hint="eastAsia" w:ascii="宋体" w:hAnsi="宋体" w:eastAsia="宋体" w:cs="宋体"/>
                <w:color w:val="auto"/>
                <w:highlight w:val="none"/>
              </w:rPr>
              <w:t>开户行：</w:t>
            </w:r>
            <w:r>
              <w:rPr>
                <w:rFonts w:hint="eastAsia" w:ascii="宋体" w:hAnsi="宋体" w:eastAsia="宋体" w:cs="宋体"/>
                <w:b/>
                <w:bCs/>
                <w:color w:val="auto"/>
                <w:highlight w:val="none"/>
                <w:u w:val="single"/>
              </w:rPr>
              <w:t>中国建设银行股份有限公司喀什唐城支行</w:t>
            </w:r>
          </w:p>
          <w:p>
            <w:pPr>
              <w:spacing w:line="360" w:lineRule="auto"/>
              <w:rPr>
                <w:rFonts w:hint="eastAsia" w:ascii="宋体" w:hAnsi="宋体" w:eastAsia="宋体" w:cs="宋体"/>
                <w:b/>
                <w:bCs/>
                <w:color w:val="auto"/>
                <w:highlight w:val="none"/>
                <w:u w:val="single"/>
              </w:rPr>
            </w:pPr>
            <w:r>
              <w:rPr>
                <w:rFonts w:hint="eastAsia" w:ascii="宋体" w:hAnsi="宋体" w:eastAsia="宋体" w:cs="宋体"/>
                <w:color w:val="auto"/>
                <w:highlight w:val="none"/>
              </w:rPr>
              <w:t>账号</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u w:val="single"/>
              </w:rPr>
              <w:t xml:space="preserve">65050110184600000838 </w:t>
            </w:r>
          </w:p>
          <w:p>
            <w:pPr>
              <w:spacing w:line="480" w:lineRule="exact"/>
              <w:ind w:left="600" w:hanging="550"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保证金形式：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保函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电汇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支票</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对公转账    </w:t>
            </w:r>
          </w:p>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（电汇时请在汇款备注栏注明项目名称及编号、包号（如有），并注明是投标保证金）     </w:t>
            </w:r>
          </w:p>
          <w:p>
            <w:pPr>
              <w:pStyle w:val="21"/>
              <w:spacing w:before="1"/>
              <w:ind w:left="107"/>
              <w:rPr>
                <w:sz w:val="24"/>
                <w:highlight w:val="none"/>
              </w:rPr>
            </w:pPr>
            <w:r>
              <w:rPr>
                <w:rFonts w:hint="eastAsia" w:ascii="宋体" w:hAnsi="宋体" w:eastAsia="宋体" w:cs="宋体"/>
                <w:b/>
                <w:bCs/>
                <w:color w:val="auto"/>
                <w:spacing w:val="-20"/>
                <w:kern w:val="2"/>
                <w:sz w:val="24"/>
                <w:szCs w:val="24"/>
                <w:highlight w:val="none"/>
                <w:lang w:val="en-US" w:eastAsia="zh-CN" w:bidi="ar-SA"/>
              </w:rPr>
              <w:t>投标保证金必须在提交投标文件截止时间前交到新疆泽瑞达企业管理咨询有限责任公司账户中。不接受现金、支票及任何个人、分公司汇款。确认到帐后，持银行缴款单和银行开户许可证复印件加盖公章到新疆泽瑞达企业管理咨询有限责任公司换取收据，开标现场持投标保证金收据原件，投标文件内放置收据复印件及转账回执单复印件，投标文件内未放置收据复印件及转账回执单复印件将做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735" w:type="dxa"/>
          </w:tcPr>
          <w:p>
            <w:pPr>
              <w:pStyle w:val="21"/>
              <w:spacing w:before="8"/>
              <w:jc w:val="center"/>
              <w:rPr>
                <w:rFonts w:ascii="Microsoft JhengHei"/>
                <w:b/>
                <w:sz w:val="25"/>
                <w:highlight w:val="none"/>
              </w:rPr>
            </w:pPr>
          </w:p>
          <w:p>
            <w:pPr>
              <w:pStyle w:val="21"/>
              <w:ind w:right="115"/>
              <w:jc w:val="center"/>
              <w:rPr>
                <w:rFonts w:ascii="Microsoft JhengHei"/>
                <w:b/>
                <w:sz w:val="24"/>
                <w:highlight w:val="none"/>
              </w:rPr>
            </w:pPr>
            <w:r>
              <w:rPr>
                <w:rFonts w:ascii="Microsoft JhengHei"/>
                <w:b/>
                <w:w w:val="80"/>
                <w:sz w:val="24"/>
                <w:highlight w:val="none"/>
              </w:rPr>
              <w:t>1</w:t>
            </w:r>
            <w:r>
              <w:rPr>
                <w:rFonts w:hint="eastAsia" w:ascii="Microsoft JhengHei"/>
                <w:b/>
                <w:w w:val="80"/>
                <w:sz w:val="24"/>
                <w:highlight w:val="none"/>
                <w:lang w:val="en-US" w:eastAsia="zh-CN"/>
              </w:rPr>
              <w:t>7</w:t>
            </w:r>
          </w:p>
        </w:tc>
        <w:tc>
          <w:tcPr>
            <w:tcW w:w="2665" w:type="dxa"/>
            <w:gridSpan w:val="3"/>
          </w:tcPr>
          <w:p>
            <w:pPr>
              <w:pStyle w:val="21"/>
              <w:spacing w:before="14"/>
              <w:rPr>
                <w:rFonts w:ascii="Microsoft JhengHei"/>
                <w:b/>
                <w:sz w:val="12"/>
                <w:highlight w:val="none"/>
              </w:rPr>
            </w:pPr>
          </w:p>
          <w:p>
            <w:pPr>
              <w:pStyle w:val="21"/>
              <w:spacing w:line="254" w:lineRule="auto"/>
              <w:ind w:left="849" w:right="478" w:hanging="240"/>
              <w:rPr>
                <w:rFonts w:hint="eastAsia" w:ascii="Microsoft JhengHei" w:eastAsia="Microsoft JhengHei"/>
                <w:b/>
                <w:sz w:val="24"/>
                <w:highlight w:val="none"/>
              </w:rPr>
            </w:pPr>
            <w:r>
              <w:rPr>
                <w:rFonts w:hint="eastAsia" w:ascii="Microsoft JhengHei" w:eastAsia="Microsoft JhengHei"/>
                <w:b/>
                <w:sz w:val="24"/>
                <w:highlight w:val="none"/>
              </w:rPr>
              <w:t>中小微型企业有关政策</w:t>
            </w:r>
            <w:r>
              <w:rPr>
                <w:rFonts w:hint="eastAsia" w:ascii="Microsoft JhengHei" w:eastAsia="Microsoft JhengHei"/>
                <w:b/>
                <w:w w:val="200"/>
                <w:sz w:val="24"/>
                <w:highlight w:val="none"/>
              </w:rPr>
              <w:t xml:space="preserve"> </w:t>
            </w:r>
          </w:p>
        </w:tc>
        <w:tc>
          <w:tcPr>
            <w:tcW w:w="6476" w:type="dxa"/>
          </w:tcPr>
          <w:p>
            <w:pPr>
              <w:pStyle w:val="21"/>
              <w:numPr>
                <w:ilvl w:val="0"/>
                <w:numId w:val="7"/>
              </w:numPr>
              <w:tabs>
                <w:tab w:val="left" w:pos="469"/>
              </w:tabs>
              <w:spacing w:before="79" w:after="0" w:line="364" w:lineRule="auto"/>
              <w:ind w:left="107" w:right="100" w:firstLine="0"/>
              <w:jc w:val="left"/>
              <w:rPr>
                <w:sz w:val="24"/>
                <w:highlight w:val="none"/>
              </w:rPr>
            </w:pPr>
            <w:r>
              <w:rPr>
                <w:spacing w:val="-3"/>
                <w:sz w:val="24"/>
                <w:highlight w:val="none"/>
              </w:rPr>
              <w:t>根据工信部等部委发布的《关于印发中小企业划型标准</w:t>
            </w:r>
            <w:r>
              <w:rPr>
                <w:sz w:val="24"/>
                <w:highlight w:val="none"/>
              </w:rPr>
              <w:t>规定的通知》（工信部联企业[2011]300</w:t>
            </w:r>
            <w:r>
              <w:rPr>
                <w:spacing w:val="-30"/>
                <w:sz w:val="24"/>
                <w:highlight w:val="none"/>
              </w:rPr>
              <w:t xml:space="preserve"> 号</w:t>
            </w:r>
            <w:r>
              <w:rPr>
                <w:sz w:val="24"/>
                <w:highlight w:val="none"/>
              </w:rPr>
              <w:t xml:space="preserve">）规定执行； </w:t>
            </w:r>
          </w:p>
          <w:p>
            <w:pPr>
              <w:pStyle w:val="21"/>
              <w:numPr>
                <w:ilvl w:val="0"/>
                <w:numId w:val="7"/>
              </w:numPr>
              <w:tabs>
                <w:tab w:val="left" w:pos="469"/>
              </w:tabs>
              <w:spacing w:before="1" w:after="0" w:line="240" w:lineRule="auto"/>
              <w:ind w:left="468" w:right="0" w:hanging="362"/>
              <w:jc w:val="left"/>
              <w:rPr>
                <w:sz w:val="24"/>
                <w:highlight w:val="none"/>
              </w:rPr>
            </w:pPr>
            <w:r>
              <w:rPr>
                <w:sz w:val="24"/>
                <w:highlight w:val="none"/>
              </w:rPr>
              <w:t>价格扣除幅度：价格给予</w:t>
            </w:r>
            <w:r>
              <w:rPr>
                <w:sz w:val="24"/>
                <w:highlight w:val="none"/>
                <w:u w:val="single"/>
              </w:rPr>
              <w:t xml:space="preserve"> 6%</w:t>
            </w:r>
            <w:r>
              <w:rPr>
                <w:sz w:val="24"/>
                <w:highlight w:val="none"/>
              </w:rPr>
              <w:t xml:space="preserve"> 的扣除。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35" w:type="dxa"/>
          </w:tcPr>
          <w:p>
            <w:pPr>
              <w:pStyle w:val="21"/>
              <w:spacing w:before="14"/>
              <w:jc w:val="center"/>
              <w:rPr>
                <w:rFonts w:ascii="Microsoft JhengHei"/>
                <w:b/>
                <w:sz w:val="12"/>
                <w:highlight w:val="none"/>
              </w:rPr>
            </w:pPr>
          </w:p>
          <w:p>
            <w:pPr>
              <w:pStyle w:val="21"/>
              <w:spacing w:before="1"/>
              <w:ind w:right="115"/>
              <w:jc w:val="center"/>
              <w:rPr>
                <w:rFonts w:ascii="Microsoft JhengHei"/>
                <w:b/>
                <w:sz w:val="24"/>
                <w:highlight w:val="none"/>
              </w:rPr>
            </w:pPr>
            <w:r>
              <w:rPr>
                <w:rFonts w:ascii="Microsoft JhengHei"/>
                <w:b/>
                <w:w w:val="80"/>
                <w:sz w:val="24"/>
                <w:highlight w:val="none"/>
              </w:rPr>
              <w:t>19</w:t>
            </w:r>
          </w:p>
        </w:tc>
        <w:tc>
          <w:tcPr>
            <w:tcW w:w="2665" w:type="dxa"/>
            <w:gridSpan w:val="3"/>
          </w:tcPr>
          <w:p>
            <w:pPr>
              <w:pStyle w:val="21"/>
              <w:ind w:left="366"/>
              <w:rPr>
                <w:rFonts w:hint="eastAsia" w:ascii="Microsoft JhengHei" w:eastAsia="Microsoft JhengHei"/>
                <w:b/>
                <w:sz w:val="24"/>
                <w:highlight w:val="none"/>
              </w:rPr>
            </w:pPr>
            <w:r>
              <w:rPr>
                <w:rFonts w:hint="eastAsia" w:ascii="Microsoft JhengHei" w:eastAsia="Microsoft JhengHei"/>
                <w:b/>
                <w:sz w:val="24"/>
                <w:highlight w:val="none"/>
              </w:rPr>
              <w:t>技术部分是否采用</w:t>
            </w:r>
            <w:r>
              <w:rPr>
                <w:rFonts w:hint="eastAsia" w:ascii="Microsoft JhengHei" w:eastAsia="Microsoft JhengHei"/>
                <w:b/>
                <w:w w:val="200"/>
                <w:sz w:val="24"/>
                <w:highlight w:val="none"/>
              </w:rPr>
              <w:t xml:space="preserve"> </w:t>
            </w:r>
          </w:p>
          <w:p>
            <w:pPr>
              <w:pStyle w:val="21"/>
              <w:spacing w:before="27"/>
              <w:ind w:left="366"/>
              <w:rPr>
                <w:rFonts w:hint="eastAsia" w:ascii="Microsoft JhengHei" w:hAnsi="Microsoft JhengHei" w:eastAsia="Microsoft JhengHei"/>
                <w:b/>
                <w:sz w:val="24"/>
                <w:highlight w:val="none"/>
              </w:rPr>
            </w:pPr>
            <w:r>
              <w:rPr>
                <w:rFonts w:hint="eastAsia" w:ascii="Microsoft JhengHei" w:hAnsi="Microsoft JhengHei" w:eastAsia="Microsoft JhengHei"/>
                <w:b/>
                <w:sz w:val="24"/>
                <w:highlight w:val="none"/>
              </w:rPr>
              <w:t>“暗标”评审方式</w:t>
            </w:r>
            <w:r>
              <w:rPr>
                <w:rFonts w:hint="eastAsia" w:ascii="Microsoft JhengHei" w:hAnsi="Microsoft JhengHei" w:eastAsia="Microsoft JhengHei"/>
                <w:b/>
                <w:w w:val="200"/>
                <w:sz w:val="24"/>
                <w:highlight w:val="none"/>
              </w:rPr>
              <w:t xml:space="preserve"> </w:t>
            </w:r>
          </w:p>
        </w:tc>
        <w:tc>
          <w:tcPr>
            <w:tcW w:w="6476" w:type="dxa"/>
          </w:tcPr>
          <w:p>
            <w:pPr>
              <w:pStyle w:val="21"/>
              <w:spacing w:before="2"/>
              <w:rPr>
                <w:rFonts w:ascii="Microsoft JhengHei"/>
                <w:b/>
                <w:sz w:val="17"/>
                <w:highlight w:val="none"/>
              </w:rPr>
            </w:pPr>
          </w:p>
          <w:p>
            <w:pPr>
              <w:pStyle w:val="21"/>
              <w:ind w:left="107"/>
              <w:rPr>
                <w:sz w:val="24"/>
                <w:highlight w:val="none"/>
              </w:rPr>
            </w:pPr>
            <w:r>
              <w:rPr>
                <w:rFonts w:ascii="Wingdings" w:hAnsi="Wingdings" w:eastAsia="Wingdings"/>
                <w:sz w:val="24"/>
                <w:highlight w:val="none"/>
              </w:rPr>
              <w:t></w:t>
            </w:r>
            <w:r>
              <w:rPr>
                <w:sz w:val="24"/>
                <w:highlight w:val="none"/>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735" w:type="dxa"/>
          </w:tcPr>
          <w:p>
            <w:pPr>
              <w:pStyle w:val="21"/>
              <w:rPr>
                <w:rFonts w:ascii="Microsoft JhengHei"/>
                <w:b/>
                <w:sz w:val="24"/>
                <w:highlight w:val="none"/>
              </w:rPr>
            </w:pPr>
          </w:p>
          <w:p>
            <w:pPr>
              <w:pStyle w:val="21"/>
              <w:spacing w:before="4"/>
              <w:rPr>
                <w:rFonts w:ascii="Microsoft JhengHei"/>
                <w:b/>
                <w:sz w:val="14"/>
                <w:highlight w:val="none"/>
              </w:rPr>
            </w:pPr>
          </w:p>
          <w:p>
            <w:pPr>
              <w:pStyle w:val="21"/>
              <w:ind w:right="115"/>
              <w:jc w:val="right"/>
              <w:rPr>
                <w:rFonts w:ascii="Microsoft JhengHei"/>
                <w:b/>
                <w:sz w:val="24"/>
                <w:highlight w:val="none"/>
              </w:rPr>
            </w:pPr>
            <w:r>
              <w:rPr>
                <w:rFonts w:ascii="Microsoft JhengHei"/>
                <w:b/>
                <w:w w:val="80"/>
                <w:sz w:val="24"/>
                <w:highlight w:val="none"/>
              </w:rPr>
              <w:t>20</w:t>
            </w:r>
            <w:r>
              <w:rPr>
                <w:rFonts w:ascii="Microsoft JhengHei"/>
                <w:b/>
                <w:w w:val="200"/>
                <w:sz w:val="24"/>
                <w:highlight w:val="none"/>
              </w:rPr>
              <w:t xml:space="preserve"> </w:t>
            </w:r>
          </w:p>
        </w:tc>
        <w:tc>
          <w:tcPr>
            <w:tcW w:w="2665" w:type="dxa"/>
            <w:gridSpan w:val="3"/>
          </w:tcPr>
          <w:p>
            <w:pPr>
              <w:pStyle w:val="21"/>
              <w:rPr>
                <w:rFonts w:ascii="Microsoft JhengHei"/>
                <w:b/>
                <w:sz w:val="24"/>
                <w:highlight w:val="none"/>
              </w:rPr>
            </w:pPr>
          </w:p>
          <w:p>
            <w:pPr>
              <w:pStyle w:val="21"/>
              <w:spacing w:before="4"/>
              <w:rPr>
                <w:rFonts w:ascii="Microsoft JhengHei"/>
                <w:b/>
                <w:sz w:val="14"/>
                <w:highlight w:val="none"/>
              </w:rPr>
            </w:pPr>
          </w:p>
          <w:p>
            <w:pPr>
              <w:pStyle w:val="21"/>
              <w:ind w:left="849"/>
              <w:rPr>
                <w:rFonts w:hint="eastAsia" w:ascii="Microsoft JhengHei" w:eastAsia="Microsoft JhengHei"/>
                <w:b/>
                <w:sz w:val="24"/>
                <w:highlight w:val="none"/>
              </w:rPr>
            </w:pPr>
            <w:r>
              <w:rPr>
                <w:rFonts w:hint="eastAsia" w:ascii="Microsoft JhengHei" w:eastAsia="Microsoft JhengHei"/>
                <w:b/>
                <w:sz w:val="24"/>
                <w:highlight w:val="none"/>
              </w:rPr>
              <w:t>评审方法</w:t>
            </w:r>
            <w:r>
              <w:rPr>
                <w:rFonts w:hint="eastAsia" w:ascii="Microsoft JhengHei" w:eastAsia="Microsoft JhengHei"/>
                <w:b/>
                <w:w w:val="200"/>
                <w:sz w:val="24"/>
                <w:highlight w:val="none"/>
              </w:rPr>
              <w:t xml:space="preserve"> </w:t>
            </w:r>
          </w:p>
        </w:tc>
        <w:tc>
          <w:tcPr>
            <w:tcW w:w="6476" w:type="dxa"/>
          </w:tcPr>
          <w:p>
            <w:pPr>
              <w:pStyle w:val="21"/>
              <w:spacing w:before="81"/>
              <w:ind w:left="107"/>
              <w:rPr>
                <w:sz w:val="24"/>
                <w:highlight w:val="none"/>
              </w:rPr>
            </w:pPr>
            <w:r>
              <w:rPr>
                <w:rFonts w:ascii="Wingdings" w:hAnsi="Wingdings" w:eastAsia="Wingdings"/>
                <w:sz w:val="24"/>
                <w:highlight w:val="none"/>
              </w:rPr>
              <w:t></w:t>
            </w:r>
            <w:r>
              <w:rPr>
                <w:sz w:val="24"/>
                <w:highlight w:val="none"/>
              </w:rPr>
              <w:t xml:space="preserve">资格后审 </w:t>
            </w:r>
            <w:r>
              <w:rPr>
                <w:rFonts w:hint="eastAsia" w:ascii="MS UI Gothic" w:hAnsi="MS UI Gothic" w:eastAsia="MS UI Gothic"/>
                <w:sz w:val="24"/>
                <w:highlight w:val="none"/>
              </w:rPr>
              <w:t>☐</w:t>
            </w:r>
            <w:r>
              <w:rPr>
                <w:sz w:val="24"/>
                <w:highlight w:val="none"/>
              </w:rPr>
              <w:t xml:space="preserve">资格预审 </w:t>
            </w:r>
          </w:p>
          <w:p>
            <w:pPr>
              <w:pStyle w:val="21"/>
              <w:spacing w:before="161" w:line="364" w:lineRule="auto"/>
              <w:ind w:left="107" w:right="2149"/>
              <w:rPr>
                <w:sz w:val="24"/>
                <w:highlight w:val="none"/>
              </w:rPr>
            </w:pPr>
            <w:r>
              <w:rPr>
                <w:rFonts w:ascii="Wingdings" w:hAnsi="Wingdings" w:eastAsia="Wingdings"/>
                <w:sz w:val="24"/>
                <w:highlight w:val="none"/>
              </w:rPr>
              <w:t></w:t>
            </w:r>
            <w:r>
              <w:rPr>
                <w:sz w:val="24"/>
                <w:highlight w:val="none"/>
              </w:rPr>
              <w:t xml:space="preserve">综合评分法       </w:t>
            </w:r>
            <w:r>
              <w:rPr>
                <w:rFonts w:hint="eastAsia" w:ascii="MS UI Gothic" w:hAnsi="MS UI Gothic" w:eastAsia="MS UI Gothic"/>
                <w:sz w:val="24"/>
                <w:highlight w:val="none"/>
              </w:rPr>
              <w:t>☐</w:t>
            </w:r>
            <w:r>
              <w:rPr>
                <w:sz w:val="24"/>
                <w:highlight w:val="none"/>
              </w:rPr>
              <w:t xml:space="preserve">最低评标价法注： </w:t>
            </w:r>
          </w:p>
          <w:p>
            <w:pPr>
              <w:pStyle w:val="21"/>
              <w:numPr>
                <w:ilvl w:val="0"/>
                <w:numId w:val="8"/>
              </w:numPr>
              <w:spacing w:before="1"/>
              <w:ind w:left="107"/>
              <w:rPr>
                <w:sz w:val="24"/>
                <w:highlight w:val="none"/>
              </w:rPr>
            </w:pPr>
            <w:r>
              <w:rPr>
                <w:sz w:val="24"/>
                <w:highlight w:val="none"/>
              </w:rPr>
              <w:t>最低评标价法，是指以价格为主要因素确定中标供应商</w:t>
            </w:r>
          </w:p>
          <w:p>
            <w:pPr>
              <w:pStyle w:val="21"/>
              <w:spacing w:before="79" w:line="364" w:lineRule="auto"/>
              <w:ind w:left="107" w:right="92"/>
              <w:jc w:val="both"/>
              <w:rPr>
                <w:sz w:val="24"/>
                <w:highlight w:val="none"/>
              </w:rPr>
            </w:pPr>
            <w:r>
              <w:rPr>
                <w:sz w:val="24"/>
                <w:highlight w:val="none"/>
              </w:rPr>
              <w:t xml:space="preserve">的评标方法，即在全部满足招标文件实质性要求前提下， 依据统一的价格要素评定最低报价，以提出最低报价的投标人作为中标候选供应商或者中标供应商的评标方法。投标报价相同的，按技术指标优劣顺序排列，技术指标较优的一方为中标人。 </w:t>
            </w:r>
          </w:p>
          <w:p>
            <w:pPr>
              <w:pStyle w:val="21"/>
              <w:spacing w:before="3" w:line="364" w:lineRule="auto"/>
              <w:ind w:left="107" w:right="93"/>
              <w:jc w:val="both"/>
              <w:rPr>
                <w:sz w:val="24"/>
                <w:highlight w:val="none"/>
              </w:rPr>
            </w:pPr>
            <w:r>
              <w:rPr>
                <w:sz w:val="24"/>
                <w:highlight w:val="none"/>
              </w:rPr>
              <w:t>2</w:t>
            </w:r>
            <w:r>
              <w:rPr>
                <w:spacing w:val="-4"/>
                <w:sz w:val="24"/>
                <w:highlight w:val="none"/>
              </w:rPr>
              <w:t>、综合评分法是指在最大限度地满足招标文件实质性要求</w:t>
            </w:r>
            <w:r>
              <w:rPr>
                <w:sz w:val="24"/>
                <w:highlight w:val="none"/>
              </w:rPr>
              <w:t>前提下，按照招标文件中规定的评分细则评审后，以评标最终最高得分的投标人作为中标人的评标方法。每一投标</w:t>
            </w:r>
          </w:p>
          <w:p>
            <w:pPr>
              <w:pStyle w:val="21"/>
              <w:spacing w:line="365" w:lineRule="exact"/>
              <w:ind w:left="107" w:right="-29"/>
              <w:rPr>
                <w:sz w:val="24"/>
                <w:highlight w:val="none"/>
              </w:rPr>
            </w:pPr>
            <w:r>
              <w:rPr>
                <w:sz w:val="24"/>
                <w:highlight w:val="none"/>
              </w:rPr>
              <w:t>人的最终得分为所有评委评分的算术平均值</w:t>
            </w:r>
            <w:r>
              <w:rPr>
                <w:rFonts w:hint="eastAsia" w:ascii="Microsoft JhengHei" w:eastAsia="Microsoft JhengHei"/>
                <w:b/>
                <w:spacing w:val="-17"/>
                <w:sz w:val="24"/>
                <w:highlight w:val="none"/>
              </w:rPr>
              <w:t>。</w:t>
            </w:r>
            <w:r>
              <w:rPr>
                <w:sz w:val="24"/>
                <w:highlight w:val="none"/>
              </w:rPr>
              <w:t>得分相同的，</w:t>
            </w:r>
          </w:p>
          <w:p>
            <w:pPr>
              <w:pStyle w:val="21"/>
              <w:spacing w:before="106"/>
              <w:ind w:left="107"/>
              <w:rPr>
                <w:sz w:val="24"/>
                <w:highlight w:val="none"/>
              </w:rPr>
            </w:pPr>
            <w:r>
              <w:rPr>
                <w:sz w:val="24"/>
                <w:highlight w:val="none"/>
              </w:rPr>
              <w:t>报价较低的一方为中标人。得分且投标报价相同的，技术</w:t>
            </w:r>
          </w:p>
          <w:p>
            <w:pPr>
              <w:pStyle w:val="21"/>
              <w:numPr>
                <w:ilvl w:val="0"/>
                <w:numId w:val="0"/>
              </w:numPr>
              <w:spacing w:before="1"/>
              <w:ind w:right="0" w:rightChars="0"/>
              <w:rPr>
                <w:sz w:val="24"/>
                <w:highlight w:val="none"/>
              </w:rPr>
            </w:pPr>
            <w:r>
              <w:rPr>
                <w:sz w:val="24"/>
                <w:highlight w:val="none"/>
              </w:rPr>
              <w:t>指标较优的一方为中标人。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35" w:type="dxa"/>
          </w:tcPr>
          <w:p>
            <w:pPr>
              <w:pStyle w:val="21"/>
              <w:spacing w:before="12"/>
              <w:rPr>
                <w:rFonts w:ascii="Microsoft JhengHei"/>
                <w:b/>
                <w:sz w:val="15"/>
                <w:highlight w:val="none"/>
              </w:rPr>
            </w:pPr>
          </w:p>
          <w:p>
            <w:pPr>
              <w:pStyle w:val="21"/>
              <w:ind w:right="115"/>
              <w:jc w:val="right"/>
              <w:rPr>
                <w:rFonts w:ascii="Microsoft JhengHei"/>
                <w:b/>
                <w:sz w:val="24"/>
                <w:highlight w:val="none"/>
              </w:rPr>
            </w:pPr>
            <w:r>
              <w:rPr>
                <w:rFonts w:ascii="Microsoft JhengHei"/>
                <w:b/>
                <w:w w:val="80"/>
                <w:sz w:val="24"/>
                <w:highlight w:val="none"/>
              </w:rPr>
              <w:t>21</w:t>
            </w:r>
            <w:r>
              <w:rPr>
                <w:rFonts w:ascii="Microsoft JhengHei"/>
                <w:b/>
                <w:w w:val="200"/>
                <w:sz w:val="24"/>
                <w:highlight w:val="none"/>
              </w:rPr>
              <w:t xml:space="preserve"> </w:t>
            </w:r>
          </w:p>
        </w:tc>
        <w:tc>
          <w:tcPr>
            <w:tcW w:w="2665" w:type="dxa"/>
            <w:gridSpan w:val="3"/>
          </w:tcPr>
          <w:p>
            <w:pPr>
              <w:pStyle w:val="21"/>
              <w:spacing w:before="12"/>
              <w:rPr>
                <w:rFonts w:ascii="Microsoft JhengHei"/>
                <w:b/>
                <w:sz w:val="15"/>
                <w:highlight w:val="none"/>
              </w:rPr>
            </w:pPr>
          </w:p>
          <w:p>
            <w:pPr>
              <w:pStyle w:val="21"/>
              <w:ind w:right="600"/>
              <w:jc w:val="right"/>
              <w:rPr>
                <w:rFonts w:hint="eastAsia" w:ascii="Microsoft JhengHei" w:eastAsia="Microsoft JhengHei"/>
                <w:b/>
                <w:sz w:val="24"/>
                <w:highlight w:val="none"/>
              </w:rPr>
            </w:pPr>
            <w:r>
              <w:rPr>
                <w:rFonts w:hint="eastAsia" w:ascii="Microsoft JhengHei" w:eastAsia="Microsoft JhengHei"/>
                <w:b/>
                <w:sz w:val="24"/>
                <w:highlight w:val="none"/>
              </w:rPr>
              <w:t>履约保证金</w:t>
            </w:r>
            <w:r>
              <w:rPr>
                <w:rFonts w:hint="eastAsia" w:ascii="Microsoft JhengHei" w:eastAsia="Microsoft JhengHei"/>
                <w:b/>
                <w:w w:val="200"/>
                <w:sz w:val="24"/>
                <w:highlight w:val="none"/>
              </w:rPr>
              <w:t xml:space="preserve"> </w:t>
            </w:r>
          </w:p>
        </w:tc>
        <w:tc>
          <w:tcPr>
            <w:tcW w:w="6476" w:type="dxa"/>
          </w:tcPr>
          <w:p>
            <w:pPr>
              <w:pStyle w:val="21"/>
              <w:spacing w:before="161"/>
              <w:ind w:left="107"/>
              <w:rPr>
                <w:rFonts w:hint="eastAsia" w:eastAsia="宋体"/>
                <w:sz w:val="24"/>
                <w:highlight w:val="none"/>
                <w:lang w:val="en-US" w:eastAsia="zh-CN"/>
              </w:rPr>
            </w:pPr>
            <w:r>
              <w:rPr>
                <w:sz w:val="24"/>
                <w:highlight w:val="none"/>
              </w:rPr>
              <w:t>履约保证金的交纳</w:t>
            </w:r>
            <w:r>
              <w:rPr>
                <w:rFonts w:hint="eastAsia"/>
                <w:sz w:val="24"/>
                <w:highlight w:val="none"/>
                <w:lang w:eastAsia="zh-CN"/>
              </w:rPr>
              <w:t>以合同签订要求为准。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4" w:hRule="atLeast"/>
        </w:trPr>
        <w:tc>
          <w:tcPr>
            <w:tcW w:w="735" w:type="dxa"/>
          </w:tcPr>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spacing w:before="2"/>
              <w:rPr>
                <w:rFonts w:ascii="Microsoft JhengHei"/>
                <w:b/>
                <w:sz w:val="17"/>
                <w:highlight w:val="none"/>
              </w:rPr>
            </w:pPr>
          </w:p>
          <w:p>
            <w:pPr>
              <w:pStyle w:val="21"/>
              <w:ind w:right="115"/>
              <w:jc w:val="right"/>
              <w:rPr>
                <w:rFonts w:ascii="Microsoft JhengHei"/>
                <w:b/>
                <w:sz w:val="24"/>
                <w:highlight w:val="none"/>
              </w:rPr>
            </w:pPr>
            <w:r>
              <w:rPr>
                <w:rFonts w:ascii="Microsoft JhengHei"/>
                <w:b/>
                <w:w w:val="80"/>
                <w:sz w:val="24"/>
                <w:highlight w:val="none"/>
              </w:rPr>
              <w:t>22</w:t>
            </w:r>
            <w:r>
              <w:rPr>
                <w:rFonts w:ascii="Microsoft JhengHei"/>
                <w:b/>
                <w:w w:val="200"/>
                <w:sz w:val="24"/>
                <w:highlight w:val="none"/>
              </w:rPr>
              <w:t xml:space="preserve"> </w:t>
            </w:r>
          </w:p>
        </w:tc>
        <w:tc>
          <w:tcPr>
            <w:tcW w:w="2665" w:type="dxa"/>
            <w:gridSpan w:val="3"/>
          </w:tcPr>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spacing w:before="2"/>
              <w:rPr>
                <w:rFonts w:ascii="Microsoft JhengHei"/>
                <w:b/>
                <w:sz w:val="17"/>
                <w:highlight w:val="none"/>
              </w:rPr>
            </w:pPr>
          </w:p>
          <w:p>
            <w:pPr>
              <w:pStyle w:val="21"/>
              <w:ind w:right="600"/>
              <w:jc w:val="right"/>
              <w:rPr>
                <w:rFonts w:hint="eastAsia" w:ascii="Microsoft JhengHei" w:eastAsia="Microsoft JhengHei"/>
                <w:b/>
                <w:sz w:val="24"/>
                <w:highlight w:val="none"/>
              </w:rPr>
            </w:pPr>
            <w:r>
              <w:rPr>
                <w:rFonts w:hint="eastAsia" w:ascii="Microsoft JhengHei" w:eastAsia="Microsoft JhengHei"/>
                <w:b/>
                <w:sz w:val="24"/>
                <w:highlight w:val="none"/>
              </w:rPr>
              <w:t>代理服务费</w:t>
            </w:r>
            <w:r>
              <w:rPr>
                <w:rFonts w:hint="eastAsia" w:ascii="Microsoft JhengHei" w:eastAsia="Microsoft JhengHei"/>
                <w:b/>
                <w:w w:val="200"/>
                <w:sz w:val="24"/>
                <w:highlight w:val="none"/>
              </w:rPr>
              <w:t xml:space="preserve"> </w:t>
            </w:r>
          </w:p>
        </w:tc>
        <w:tc>
          <w:tcPr>
            <w:tcW w:w="6476" w:type="dxa"/>
          </w:tcPr>
          <w:p>
            <w:pPr>
              <w:pStyle w:val="21"/>
              <w:spacing w:before="79"/>
              <w:ind w:left="107"/>
              <w:rPr>
                <w:sz w:val="24"/>
                <w:highlight w:val="none"/>
              </w:rPr>
            </w:pPr>
            <w:r>
              <w:rPr>
                <w:rFonts w:ascii="Wingdings" w:hAnsi="Wingdings" w:eastAsia="Wingdings"/>
                <w:sz w:val="24"/>
                <w:highlight w:val="none"/>
              </w:rPr>
              <w:t></w:t>
            </w:r>
            <w:r>
              <w:rPr>
                <w:sz w:val="24"/>
                <w:highlight w:val="none"/>
              </w:rPr>
              <w:t xml:space="preserve">缴纳 </w:t>
            </w:r>
          </w:p>
          <w:p>
            <w:pPr>
              <w:pStyle w:val="21"/>
              <w:spacing w:before="160"/>
              <w:ind w:left="107"/>
              <w:rPr>
                <w:sz w:val="21"/>
                <w:highlight w:val="none"/>
              </w:rPr>
            </w:pPr>
            <w:r>
              <w:rPr>
                <w:sz w:val="24"/>
                <w:highlight w:val="none"/>
              </w:rPr>
              <w:t>交纳时间：</w:t>
            </w:r>
            <w:r>
              <w:rPr>
                <w:color w:val="393939"/>
                <w:sz w:val="24"/>
                <w:highlight w:val="none"/>
                <w:u w:val="single" w:color="393939"/>
              </w:rPr>
              <w:t>投标人中标后，于领取中标通知书前交纳</w:t>
            </w:r>
            <w:r>
              <w:rPr>
                <w:color w:val="0000FF"/>
                <w:w w:val="100"/>
                <w:sz w:val="21"/>
                <w:highlight w:val="none"/>
              </w:rPr>
              <w:t xml:space="preserve"> </w:t>
            </w:r>
          </w:p>
          <w:p>
            <w:pPr>
              <w:pStyle w:val="21"/>
              <w:spacing w:before="161" w:line="364" w:lineRule="auto"/>
              <w:ind w:left="107" w:right="97"/>
              <w:jc w:val="both"/>
              <w:rPr>
                <w:sz w:val="21"/>
                <w:highlight w:val="none"/>
              </w:rPr>
            </w:pPr>
            <w:r>
              <w:rPr>
                <w:spacing w:val="-1"/>
                <w:sz w:val="24"/>
                <w:highlight w:val="none"/>
              </w:rPr>
              <w:t>交纳金额：</w:t>
            </w:r>
            <w:r>
              <w:rPr>
                <w:color w:val="393939"/>
                <w:spacing w:val="-1"/>
                <w:sz w:val="24"/>
                <w:highlight w:val="none"/>
                <w:u w:val="single" w:color="393939"/>
              </w:rPr>
              <w:t>中标人按国家计委计价格【</w:t>
            </w:r>
            <w:r>
              <w:rPr>
                <w:color w:val="393939"/>
                <w:sz w:val="24"/>
                <w:highlight w:val="none"/>
                <w:u w:val="single" w:color="393939"/>
              </w:rPr>
              <w:t>2002</w:t>
            </w:r>
            <w:r>
              <w:rPr>
                <w:color w:val="393939"/>
                <w:spacing w:val="-5"/>
                <w:sz w:val="24"/>
                <w:highlight w:val="none"/>
                <w:u w:val="single" w:color="393939"/>
              </w:rPr>
              <w:t>】</w:t>
            </w:r>
            <w:r>
              <w:rPr>
                <w:color w:val="393939"/>
                <w:sz w:val="24"/>
                <w:highlight w:val="none"/>
                <w:u w:val="single" w:color="393939"/>
              </w:rPr>
              <w:t>1980</w:t>
            </w:r>
            <w:r>
              <w:rPr>
                <w:color w:val="393939"/>
                <w:spacing w:val="-4"/>
                <w:sz w:val="24"/>
                <w:highlight w:val="none"/>
                <w:u w:val="single" w:color="393939"/>
              </w:rPr>
              <w:t xml:space="preserve"> 号文件</w:t>
            </w:r>
            <w:r>
              <w:rPr>
                <w:color w:val="393939"/>
                <w:spacing w:val="-6"/>
                <w:sz w:val="24"/>
                <w:highlight w:val="none"/>
              </w:rPr>
              <w:t>和发改委【</w:t>
            </w:r>
            <w:r>
              <w:rPr>
                <w:color w:val="393939"/>
                <w:sz w:val="24"/>
                <w:highlight w:val="none"/>
              </w:rPr>
              <w:t>2003</w:t>
            </w:r>
            <w:r>
              <w:rPr>
                <w:color w:val="393939"/>
                <w:spacing w:val="-26"/>
                <w:sz w:val="24"/>
                <w:highlight w:val="none"/>
              </w:rPr>
              <w:t>】</w:t>
            </w:r>
            <w:r>
              <w:rPr>
                <w:color w:val="393939"/>
                <w:sz w:val="24"/>
                <w:highlight w:val="none"/>
              </w:rPr>
              <w:t>857</w:t>
            </w:r>
            <w:r>
              <w:rPr>
                <w:color w:val="393939"/>
                <w:spacing w:val="-5"/>
                <w:sz w:val="24"/>
                <w:highlight w:val="none"/>
              </w:rPr>
              <w:t xml:space="preserve"> 号文件规定的收费标准</w:t>
            </w:r>
            <w:r>
              <w:rPr>
                <w:color w:val="393939"/>
                <w:spacing w:val="-17"/>
                <w:sz w:val="24"/>
                <w:highlight w:val="none"/>
              </w:rPr>
              <w:t>，向</w:t>
            </w:r>
            <w:r>
              <w:rPr>
                <w:rFonts w:hint="eastAsia"/>
                <w:color w:val="393939"/>
                <w:sz w:val="24"/>
                <w:highlight w:val="none"/>
                <w:u w:val="single" w:color="393939"/>
                <w:lang w:eastAsia="zh-CN"/>
              </w:rPr>
              <w:t>新疆泽瑞达企业管理咨询有限责任公司</w:t>
            </w:r>
            <w:r>
              <w:rPr>
                <w:color w:val="393939"/>
                <w:sz w:val="24"/>
                <w:highlight w:val="none"/>
                <w:u w:val="single" w:color="393939"/>
              </w:rPr>
              <w:t>支付招标代理服务费</w:t>
            </w:r>
            <w:r>
              <w:rPr>
                <w:rFonts w:hint="eastAsia"/>
                <w:color w:val="393939"/>
                <w:sz w:val="24"/>
                <w:highlight w:val="none"/>
                <w:u w:val="single" w:color="393939"/>
                <w:lang w:eastAsia="zh-CN"/>
              </w:rPr>
              <w:t>。</w:t>
            </w:r>
            <w:r>
              <w:rPr>
                <w:color w:val="0000FF"/>
                <w:w w:val="100"/>
                <w:sz w:val="21"/>
                <w:highlight w:val="none"/>
              </w:rPr>
              <w:t xml:space="preserve"> </w:t>
            </w:r>
          </w:p>
          <w:p>
            <w:pPr>
              <w:pStyle w:val="21"/>
              <w:spacing w:before="8" w:line="460" w:lineRule="atLeast"/>
              <w:ind w:left="107" w:right="306" w:rightChars="0"/>
              <w:rPr>
                <w:rFonts w:hint="eastAsia"/>
                <w:sz w:val="24"/>
                <w:highlight w:val="none"/>
              </w:rPr>
            </w:pPr>
            <w:r>
              <w:rPr>
                <w:rFonts w:hint="eastAsia"/>
                <w:sz w:val="24"/>
                <w:highlight w:val="none"/>
                <w:lang w:val="en-US" w:eastAsia="zh-CN"/>
              </w:rPr>
              <w:t>开户名称</w:t>
            </w:r>
            <w:r>
              <w:rPr>
                <w:rFonts w:hint="eastAsia"/>
                <w:sz w:val="24"/>
                <w:highlight w:val="none"/>
              </w:rPr>
              <w:t>：新疆泽瑞达企业管理咨询有限责任公司</w:t>
            </w:r>
          </w:p>
          <w:p>
            <w:pPr>
              <w:pStyle w:val="21"/>
              <w:spacing w:before="8" w:line="460" w:lineRule="atLeast"/>
              <w:ind w:left="107" w:right="526" w:rightChars="0"/>
              <w:rPr>
                <w:rFonts w:hint="eastAsia"/>
                <w:sz w:val="24"/>
                <w:highlight w:val="none"/>
              </w:rPr>
            </w:pPr>
            <w:r>
              <w:rPr>
                <w:rFonts w:hint="eastAsia"/>
                <w:sz w:val="24"/>
                <w:highlight w:val="none"/>
              </w:rPr>
              <w:t>开户行：中国建设银行股份有限公司喀什唐城支行</w:t>
            </w:r>
          </w:p>
          <w:p>
            <w:pPr>
              <w:pStyle w:val="21"/>
              <w:spacing w:before="8" w:line="460" w:lineRule="atLeast"/>
              <w:ind w:left="107" w:right="2003"/>
              <w:rPr>
                <w:sz w:val="24"/>
                <w:highlight w:val="none"/>
              </w:rPr>
            </w:pPr>
            <w:r>
              <w:rPr>
                <w:rFonts w:hint="eastAsia"/>
                <w:sz w:val="24"/>
                <w:highlight w:val="none"/>
              </w:rPr>
              <w:t xml:space="preserve">账号：65050110184600000838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35" w:type="dxa"/>
          </w:tcPr>
          <w:p>
            <w:pPr>
              <w:pStyle w:val="21"/>
              <w:ind w:right="115"/>
              <w:jc w:val="center"/>
              <w:rPr>
                <w:rFonts w:ascii="Microsoft JhengHei"/>
                <w:b/>
                <w:sz w:val="24"/>
                <w:highlight w:val="none"/>
              </w:rPr>
            </w:pPr>
            <w:r>
              <w:rPr>
                <w:rFonts w:ascii="Microsoft JhengHei"/>
                <w:b/>
                <w:w w:val="80"/>
                <w:sz w:val="24"/>
                <w:highlight w:val="none"/>
              </w:rPr>
              <w:t>23</w:t>
            </w:r>
          </w:p>
        </w:tc>
        <w:tc>
          <w:tcPr>
            <w:tcW w:w="2665" w:type="dxa"/>
            <w:gridSpan w:val="3"/>
          </w:tcPr>
          <w:p>
            <w:pPr>
              <w:pStyle w:val="21"/>
              <w:ind w:right="600"/>
              <w:jc w:val="center"/>
              <w:rPr>
                <w:rFonts w:hint="eastAsia" w:ascii="Microsoft JhengHei" w:eastAsia="Microsoft JhengHei"/>
                <w:b/>
                <w:sz w:val="24"/>
                <w:highlight w:val="none"/>
              </w:rPr>
            </w:pPr>
            <w:r>
              <w:rPr>
                <w:rFonts w:hint="eastAsia" w:ascii="Microsoft JhengHei" w:eastAsia="宋体"/>
                <w:b/>
                <w:sz w:val="24"/>
                <w:highlight w:val="none"/>
                <w:lang w:val="en-US" w:eastAsia="zh-CN"/>
              </w:rPr>
              <w:t xml:space="preserve">       </w:t>
            </w:r>
            <w:r>
              <w:rPr>
                <w:rFonts w:hint="eastAsia" w:ascii="Microsoft JhengHei" w:eastAsia="Microsoft JhengHei"/>
                <w:b/>
                <w:sz w:val="24"/>
                <w:highlight w:val="none"/>
              </w:rPr>
              <w:t>场地服务费</w:t>
            </w:r>
          </w:p>
        </w:tc>
        <w:tc>
          <w:tcPr>
            <w:tcW w:w="6476" w:type="dxa"/>
          </w:tcPr>
          <w:p>
            <w:pPr>
              <w:pStyle w:val="21"/>
              <w:rPr>
                <w:sz w:val="24"/>
                <w:highlight w:val="none"/>
              </w:rPr>
            </w:pPr>
            <w:r>
              <w:rPr>
                <w:rFonts w:ascii="Wingdings" w:hAnsi="Wingdings" w:eastAsia="Wingdings"/>
                <w:sz w:val="24"/>
                <w:highlight w:val="none"/>
              </w:rPr>
              <w:t></w:t>
            </w:r>
            <w:r>
              <w:rPr>
                <w:sz w:val="24"/>
                <w:highlight w:val="none"/>
              </w:rPr>
              <w:t xml:space="preserve">不缴纳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35" w:type="dxa"/>
          </w:tcPr>
          <w:p>
            <w:pPr>
              <w:pStyle w:val="21"/>
              <w:spacing w:line="441" w:lineRule="exact"/>
              <w:ind w:right="115"/>
              <w:jc w:val="center"/>
              <w:rPr>
                <w:rFonts w:ascii="Microsoft JhengHei"/>
                <w:b/>
                <w:sz w:val="24"/>
                <w:highlight w:val="none"/>
              </w:rPr>
            </w:pPr>
            <w:r>
              <w:rPr>
                <w:rFonts w:ascii="Microsoft JhengHei"/>
                <w:b/>
                <w:w w:val="80"/>
                <w:sz w:val="24"/>
                <w:highlight w:val="none"/>
              </w:rPr>
              <w:t>24</w:t>
            </w:r>
          </w:p>
        </w:tc>
        <w:tc>
          <w:tcPr>
            <w:tcW w:w="2665" w:type="dxa"/>
            <w:gridSpan w:val="3"/>
          </w:tcPr>
          <w:p>
            <w:pPr>
              <w:pStyle w:val="21"/>
              <w:spacing w:line="441" w:lineRule="exact"/>
              <w:ind w:right="43" w:firstLine="720" w:firstLineChars="300"/>
              <w:jc w:val="both"/>
              <w:rPr>
                <w:rFonts w:hint="eastAsia" w:ascii="Microsoft JhengHei" w:eastAsia="Microsoft JhengHei"/>
                <w:b/>
                <w:sz w:val="24"/>
                <w:highlight w:val="none"/>
              </w:rPr>
            </w:pPr>
            <w:r>
              <w:rPr>
                <w:rFonts w:hint="eastAsia" w:ascii="Microsoft JhengHei" w:eastAsia="Microsoft JhengHei"/>
                <w:b/>
                <w:sz w:val="24"/>
                <w:highlight w:val="none"/>
              </w:rPr>
              <w:t>合同公证费</w:t>
            </w:r>
          </w:p>
        </w:tc>
        <w:tc>
          <w:tcPr>
            <w:tcW w:w="6476" w:type="dxa"/>
          </w:tcPr>
          <w:p>
            <w:pPr>
              <w:pStyle w:val="21"/>
              <w:spacing w:before="79"/>
              <w:ind w:left="107"/>
              <w:rPr>
                <w:sz w:val="24"/>
                <w:highlight w:val="none"/>
              </w:rPr>
            </w:pPr>
            <w:r>
              <w:rPr>
                <w:rFonts w:ascii="Wingdings" w:hAnsi="Wingdings" w:eastAsia="Wingdings"/>
                <w:sz w:val="24"/>
                <w:highlight w:val="none"/>
              </w:rPr>
              <w:t></w:t>
            </w:r>
            <w:r>
              <w:rPr>
                <w:sz w:val="24"/>
                <w:highlight w:val="none"/>
              </w:rPr>
              <w:t xml:space="preserve">不缴纳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35" w:type="dxa"/>
          </w:tcPr>
          <w:p>
            <w:pPr>
              <w:pStyle w:val="21"/>
              <w:spacing w:line="441" w:lineRule="exact"/>
              <w:ind w:right="115"/>
              <w:jc w:val="center"/>
              <w:rPr>
                <w:rFonts w:ascii="Microsoft JhengHei"/>
                <w:b/>
                <w:sz w:val="24"/>
                <w:highlight w:val="none"/>
              </w:rPr>
            </w:pPr>
            <w:r>
              <w:rPr>
                <w:rFonts w:ascii="Microsoft JhengHei"/>
                <w:b/>
                <w:w w:val="80"/>
                <w:sz w:val="24"/>
                <w:highlight w:val="none"/>
              </w:rPr>
              <w:t>25</w:t>
            </w:r>
          </w:p>
        </w:tc>
        <w:tc>
          <w:tcPr>
            <w:tcW w:w="2665" w:type="dxa"/>
            <w:gridSpan w:val="3"/>
          </w:tcPr>
          <w:p>
            <w:pPr>
              <w:pStyle w:val="21"/>
              <w:spacing w:line="441" w:lineRule="exact"/>
              <w:ind w:right="43"/>
              <w:jc w:val="center"/>
              <w:rPr>
                <w:rFonts w:hint="eastAsia" w:ascii="Microsoft JhengHei" w:eastAsia="Microsoft JhengHei"/>
                <w:b/>
                <w:sz w:val="24"/>
                <w:highlight w:val="none"/>
              </w:rPr>
            </w:pPr>
            <w:r>
              <w:rPr>
                <w:rFonts w:hint="eastAsia" w:ascii="Microsoft JhengHei" w:eastAsia="Microsoft JhengHei"/>
                <w:b/>
                <w:sz w:val="24"/>
                <w:highlight w:val="none"/>
              </w:rPr>
              <w:t>争议的解决</w:t>
            </w:r>
          </w:p>
        </w:tc>
        <w:tc>
          <w:tcPr>
            <w:tcW w:w="6476" w:type="dxa"/>
          </w:tcPr>
          <w:p>
            <w:pPr>
              <w:pStyle w:val="21"/>
              <w:spacing w:before="79"/>
              <w:ind w:left="107"/>
              <w:rPr>
                <w:sz w:val="24"/>
                <w:highlight w:val="none"/>
              </w:rPr>
            </w:pPr>
            <w:r>
              <w:rPr>
                <w:color w:val="393939"/>
                <w:sz w:val="24"/>
                <w:highlight w:val="none"/>
                <w:u w:val="single" w:color="393939"/>
              </w:rPr>
              <w:t>甲方所在地有管辖权的人民法院管辖</w:t>
            </w:r>
            <w:r>
              <w:rPr>
                <w:color w:val="FF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35" w:type="dxa"/>
          </w:tcPr>
          <w:p>
            <w:pPr>
              <w:pStyle w:val="21"/>
              <w:ind w:right="115"/>
              <w:jc w:val="center"/>
              <w:rPr>
                <w:rFonts w:ascii="Microsoft JhengHei"/>
                <w:b/>
                <w:sz w:val="24"/>
                <w:highlight w:val="none"/>
              </w:rPr>
            </w:pPr>
            <w:r>
              <w:rPr>
                <w:rFonts w:ascii="Microsoft JhengHei"/>
                <w:b/>
                <w:w w:val="80"/>
                <w:sz w:val="24"/>
                <w:highlight w:val="none"/>
              </w:rPr>
              <w:t>26</w:t>
            </w:r>
          </w:p>
        </w:tc>
        <w:tc>
          <w:tcPr>
            <w:tcW w:w="2665" w:type="dxa"/>
            <w:gridSpan w:val="3"/>
          </w:tcPr>
          <w:p>
            <w:pPr>
              <w:pStyle w:val="21"/>
              <w:ind w:right="43" w:firstLine="720" w:firstLineChars="300"/>
              <w:jc w:val="both"/>
              <w:rPr>
                <w:rFonts w:hint="eastAsia" w:ascii="Microsoft JhengHei" w:eastAsia="Microsoft JhengHei"/>
                <w:b/>
                <w:sz w:val="24"/>
                <w:highlight w:val="none"/>
              </w:rPr>
            </w:pPr>
            <w:r>
              <w:rPr>
                <w:rFonts w:hint="eastAsia" w:ascii="Microsoft JhengHei" w:eastAsia="Microsoft JhengHei"/>
                <w:b/>
                <w:sz w:val="24"/>
                <w:highlight w:val="none"/>
              </w:rPr>
              <w:t>现场陈述</w:t>
            </w:r>
          </w:p>
        </w:tc>
        <w:tc>
          <w:tcPr>
            <w:tcW w:w="6476" w:type="dxa"/>
          </w:tcPr>
          <w:p>
            <w:pPr>
              <w:pStyle w:val="21"/>
              <w:ind w:left="107" w:right="152" w:rightChars="69"/>
              <w:rPr>
                <w:sz w:val="24"/>
                <w:highlight w:val="none"/>
              </w:rPr>
            </w:pPr>
            <w:r>
              <w:rPr>
                <w:rFonts w:ascii="Wingdings" w:hAnsi="Wingdings" w:eastAsia="Wingdings"/>
                <w:sz w:val="24"/>
                <w:highlight w:val="none"/>
              </w:rPr>
              <w:t></w:t>
            </w:r>
            <w:r>
              <w:rPr>
                <w:sz w:val="24"/>
                <w:highlight w:val="none"/>
              </w:rPr>
              <w:t xml:space="preserve">不需要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735" w:type="dxa"/>
          </w:tcPr>
          <w:p>
            <w:pPr>
              <w:pStyle w:val="21"/>
              <w:spacing w:before="10"/>
              <w:jc w:val="center"/>
              <w:rPr>
                <w:rFonts w:ascii="Microsoft JhengHei"/>
                <w:b/>
                <w:sz w:val="25"/>
                <w:highlight w:val="none"/>
              </w:rPr>
            </w:pPr>
          </w:p>
          <w:p>
            <w:pPr>
              <w:pStyle w:val="21"/>
              <w:ind w:right="115"/>
              <w:jc w:val="center"/>
              <w:rPr>
                <w:rFonts w:ascii="Microsoft JhengHei"/>
                <w:b/>
                <w:sz w:val="24"/>
                <w:highlight w:val="none"/>
              </w:rPr>
            </w:pPr>
            <w:r>
              <w:rPr>
                <w:rFonts w:ascii="Microsoft JhengHei"/>
                <w:b/>
                <w:w w:val="80"/>
                <w:sz w:val="24"/>
                <w:highlight w:val="none"/>
              </w:rPr>
              <w:t>27</w:t>
            </w:r>
          </w:p>
        </w:tc>
        <w:tc>
          <w:tcPr>
            <w:tcW w:w="2665" w:type="dxa"/>
            <w:gridSpan w:val="3"/>
          </w:tcPr>
          <w:p>
            <w:pPr>
              <w:pStyle w:val="21"/>
              <w:spacing w:before="10"/>
              <w:jc w:val="center"/>
              <w:rPr>
                <w:rFonts w:ascii="Microsoft JhengHei"/>
                <w:b/>
                <w:sz w:val="25"/>
                <w:highlight w:val="none"/>
              </w:rPr>
            </w:pPr>
          </w:p>
          <w:p>
            <w:pPr>
              <w:pStyle w:val="21"/>
              <w:ind w:right="43"/>
              <w:jc w:val="center"/>
              <w:rPr>
                <w:rFonts w:hint="eastAsia" w:ascii="Microsoft JhengHei" w:eastAsia="Microsoft JhengHei"/>
                <w:b/>
                <w:sz w:val="24"/>
                <w:highlight w:val="none"/>
              </w:rPr>
            </w:pPr>
            <w:r>
              <w:rPr>
                <w:rFonts w:hint="eastAsia" w:ascii="Microsoft JhengHei" w:eastAsia="Microsoft JhengHei"/>
                <w:b/>
                <w:sz w:val="24"/>
                <w:highlight w:val="none"/>
              </w:rPr>
              <w:t>项目预算</w:t>
            </w:r>
          </w:p>
        </w:tc>
        <w:tc>
          <w:tcPr>
            <w:tcW w:w="6476" w:type="dxa"/>
          </w:tcPr>
          <w:p>
            <w:pPr>
              <w:pStyle w:val="21"/>
              <w:spacing w:before="81" w:line="364" w:lineRule="auto"/>
              <w:ind w:left="107" w:right="-29"/>
              <w:rPr>
                <w:sz w:val="24"/>
                <w:highlight w:val="none"/>
              </w:rPr>
            </w:pPr>
            <w:r>
              <w:rPr>
                <w:sz w:val="24"/>
                <w:highlight w:val="none"/>
              </w:rPr>
              <w:t>本项目预算为</w:t>
            </w:r>
            <w:r>
              <w:rPr>
                <w:rFonts w:hint="eastAsia"/>
                <w:sz w:val="24"/>
                <w:highlight w:val="none"/>
                <w:u w:val="single"/>
                <w:lang w:val="en-US" w:eastAsia="zh-CN"/>
              </w:rPr>
              <w:t>4000000</w:t>
            </w:r>
            <w:r>
              <w:rPr>
                <w:color w:val="393939"/>
                <w:spacing w:val="-5"/>
                <w:sz w:val="24"/>
                <w:highlight w:val="none"/>
                <w:u w:val="single" w:color="393939"/>
              </w:rPr>
              <w:t>元</w:t>
            </w:r>
            <w:r>
              <w:rPr>
                <w:color w:val="393939"/>
                <w:sz w:val="24"/>
                <w:highlight w:val="none"/>
                <w:u w:val="single" w:color="393939"/>
              </w:rPr>
              <w:t>（</w:t>
            </w:r>
            <w:r>
              <w:rPr>
                <w:color w:val="393939"/>
                <w:spacing w:val="-2"/>
                <w:sz w:val="24"/>
                <w:highlight w:val="none"/>
                <w:u w:val="single" w:color="393939"/>
              </w:rPr>
              <w:t>大写：</w:t>
            </w:r>
            <w:r>
              <w:rPr>
                <w:rFonts w:hint="eastAsia"/>
                <w:color w:val="393939"/>
                <w:spacing w:val="-2"/>
                <w:sz w:val="24"/>
                <w:highlight w:val="none"/>
                <w:u w:val="single" w:color="393939"/>
              </w:rPr>
              <w:t>肆佰万元整</w:t>
            </w:r>
            <w:r>
              <w:rPr>
                <w:color w:val="393939"/>
                <w:spacing w:val="-5"/>
                <w:sz w:val="24"/>
                <w:highlight w:val="none"/>
                <w:u w:val="single" w:color="393939"/>
              </w:rPr>
              <w:t>）</w:t>
            </w:r>
            <w:r>
              <w:rPr>
                <w:spacing w:val="-123"/>
                <w:sz w:val="24"/>
                <w:highlight w:val="none"/>
              </w:rPr>
              <w:t>，</w:t>
            </w:r>
            <w:r>
              <w:rPr>
                <w:sz w:val="24"/>
                <w:highlight w:val="none"/>
              </w:rPr>
              <w:t xml:space="preserve"> 最高限价</w:t>
            </w:r>
            <w:r>
              <w:rPr>
                <w:rFonts w:hint="eastAsia"/>
                <w:sz w:val="24"/>
                <w:highlight w:val="none"/>
                <w:u w:val="single"/>
                <w:lang w:val="en-US" w:eastAsia="zh-CN"/>
              </w:rPr>
              <w:t>4000000</w:t>
            </w:r>
            <w:r>
              <w:rPr>
                <w:color w:val="393939"/>
                <w:sz w:val="24"/>
                <w:highlight w:val="none"/>
                <w:u w:val="single" w:color="393939"/>
              </w:rPr>
              <w:t>元（大写：</w:t>
            </w:r>
            <w:r>
              <w:rPr>
                <w:rFonts w:hint="eastAsia"/>
                <w:color w:val="393939"/>
                <w:sz w:val="24"/>
                <w:highlight w:val="none"/>
                <w:u w:val="single" w:color="393939"/>
                <w:lang w:val="en-US" w:eastAsia="zh-CN"/>
              </w:rPr>
              <w:t>肆佰万</w:t>
            </w:r>
            <w:r>
              <w:rPr>
                <w:color w:val="393939"/>
                <w:sz w:val="24"/>
                <w:highlight w:val="none"/>
                <w:u w:val="single" w:color="393939"/>
              </w:rPr>
              <w:t>元整）</w:t>
            </w:r>
            <w:r>
              <w:rPr>
                <w:sz w:val="24"/>
                <w:highlight w:val="none"/>
              </w:rPr>
              <w:t xml:space="preserve"> </w:t>
            </w:r>
          </w:p>
          <w:p>
            <w:pPr>
              <w:pStyle w:val="21"/>
              <w:spacing w:before="1"/>
              <w:ind w:left="107"/>
              <w:rPr>
                <w:sz w:val="24"/>
                <w:highlight w:val="none"/>
              </w:rPr>
            </w:pPr>
            <w:r>
              <w:rPr>
                <w:sz w:val="24"/>
                <w:highlight w:val="none"/>
              </w:rPr>
              <w:t xml:space="preserve">投标人投标报价超过项目预算的按无效投标处理。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735" w:type="dxa"/>
          </w:tcPr>
          <w:p>
            <w:pPr>
              <w:pStyle w:val="21"/>
              <w:jc w:val="center"/>
              <w:rPr>
                <w:rFonts w:ascii="Microsoft JhengHei"/>
                <w:b/>
                <w:sz w:val="24"/>
                <w:highlight w:val="none"/>
              </w:rPr>
            </w:pPr>
          </w:p>
          <w:p>
            <w:pPr>
              <w:pStyle w:val="21"/>
              <w:spacing w:before="16"/>
              <w:jc w:val="center"/>
              <w:rPr>
                <w:rFonts w:ascii="Microsoft JhengHei"/>
                <w:b/>
                <w:sz w:val="26"/>
                <w:highlight w:val="none"/>
              </w:rPr>
            </w:pPr>
          </w:p>
          <w:p>
            <w:pPr>
              <w:pStyle w:val="21"/>
              <w:ind w:right="115"/>
              <w:jc w:val="center"/>
              <w:rPr>
                <w:rFonts w:ascii="Microsoft JhengHei"/>
                <w:b/>
                <w:sz w:val="24"/>
                <w:highlight w:val="none"/>
              </w:rPr>
            </w:pPr>
            <w:r>
              <w:rPr>
                <w:rFonts w:ascii="Microsoft JhengHei"/>
                <w:b/>
                <w:w w:val="80"/>
                <w:sz w:val="24"/>
                <w:highlight w:val="none"/>
              </w:rPr>
              <w:t>28</w:t>
            </w:r>
          </w:p>
        </w:tc>
        <w:tc>
          <w:tcPr>
            <w:tcW w:w="2665" w:type="dxa"/>
            <w:gridSpan w:val="3"/>
          </w:tcPr>
          <w:p>
            <w:pPr>
              <w:pStyle w:val="21"/>
              <w:rPr>
                <w:rFonts w:ascii="Microsoft JhengHei"/>
                <w:b/>
                <w:sz w:val="24"/>
                <w:highlight w:val="none"/>
              </w:rPr>
            </w:pPr>
          </w:p>
          <w:p>
            <w:pPr>
              <w:pStyle w:val="21"/>
              <w:spacing w:before="16"/>
              <w:rPr>
                <w:rFonts w:ascii="Microsoft JhengHei"/>
                <w:b/>
                <w:sz w:val="26"/>
                <w:highlight w:val="none"/>
              </w:rPr>
            </w:pPr>
          </w:p>
          <w:p>
            <w:pPr>
              <w:pStyle w:val="21"/>
              <w:ind w:left="168" w:right="43"/>
              <w:jc w:val="center"/>
              <w:rPr>
                <w:rFonts w:hint="eastAsia" w:ascii="Microsoft JhengHei" w:eastAsia="Microsoft JhengHei"/>
                <w:b/>
                <w:sz w:val="24"/>
                <w:highlight w:val="none"/>
              </w:rPr>
            </w:pPr>
            <w:r>
              <w:rPr>
                <w:rFonts w:hint="eastAsia" w:ascii="Microsoft JhengHei" w:eastAsia="Microsoft JhengHei"/>
                <w:b/>
                <w:sz w:val="24"/>
                <w:highlight w:val="none"/>
              </w:rPr>
              <w:t>其他</w:t>
            </w:r>
            <w:r>
              <w:rPr>
                <w:rFonts w:hint="eastAsia" w:ascii="Microsoft JhengHei" w:eastAsia="Microsoft JhengHei"/>
                <w:b/>
                <w:w w:val="200"/>
                <w:sz w:val="24"/>
                <w:highlight w:val="none"/>
              </w:rPr>
              <w:t xml:space="preserve"> </w:t>
            </w:r>
          </w:p>
        </w:tc>
        <w:tc>
          <w:tcPr>
            <w:tcW w:w="6476" w:type="dxa"/>
          </w:tcPr>
          <w:p>
            <w:pPr>
              <w:pStyle w:val="21"/>
              <w:spacing w:before="79" w:line="364" w:lineRule="auto"/>
              <w:ind w:left="107" w:right="83"/>
              <w:jc w:val="both"/>
              <w:rPr>
                <w:sz w:val="24"/>
                <w:highlight w:val="none"/>
              </w:rPr>
            </w:pPr>
            <w:r>
              <w:rPr>
                <w:sz w:val="24"/>
                <w:highlight w:val="none"/>
              </w:rPr>
              <w:t xml:space="preserve">1、各投标人必须针对每包项目分别制作投标文件并报价， 每包的投标文件均必须满足招标文件份数与制作等要求， 否则将导致投标被拒绝。  </w:t>
            </w:r>
          </w:p>
          <w:p>
            <w:pPr>
              <w:pStyle w:val="21"/>
              <w:spacing w:before="2"/>
              <w:ind w:left="107"/>
              <w:rPr>
                <w:sz w:val="24"/>
                <w:highlight w:val="none"/>
              </w:rPr>
            </w:pPr>
            <w:r>
              <w:rPr>
                <w:sz w:val="24"/>
                <w:highlight w:val="none"/>
              </w:rPr>
              <w:t>2、本项目的招标投标活动以及相关当事人须接受财政监督</w:t>
            </w:r>
          </w:p>
          <w:p>
            <w:pPr>
              <w:pStyle w:val="21"/>
              <w:spacing w:before="160"/>
              <w:ind w:left="107"/>
              <w:rPr>
                <w:sz w:val="24"/>
                <w:highlight w:val="none"/>
              </w:rPr>
            </w:pPr>
            <w:r>
              <w:rPr>
                <w:sz w:val="24"/>
                <w:highlight w:val="none"/>
              </w:rPr>
              <w:t xml:space="preserve">部门依法实施的监督。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trPr>
        <w:tc>
          <w:tcPr>
            <w:tcW w:w="735" w:type="dxa"/>
          </w:tcPr>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spacing w:before="17"/>
              <w:rPr>
                <w:rFonts w:ascii="Microsoft JhengHei"/>
                <w:b/>
                <w:sz w:val="19"/>
                <w:highlight w:val="none"/>
              </w:rPr>
            </w:pPr>
          </w:p>
          <w:p>
            <w:pPr>
              <w:pStyle w:val="21"/>
              <w:ind w:right="115"/>
              <w:jc w:val="right"/>
              <w:rPr>
                <w:rFonts w:ascii="Microsoft JhengHei"/>
                <w:b/>
                <w:sz w:val="24"/>
                <w:highlight w:val="none"/>
              </w:rPr>
            </w:pPr>
            <w:r>
              <w:rPr>
                <w:rFonts w:ascii="Microsoft JhengHei"/>
                <w:b/>
                <w:w w:val="80"/>
                <w:sz w:val="24"/>
                <w:highlight w:val="none"/>
              </w:rPr>
              <w:t>29</w:t>
            </w:r>
            <w:r>
              <w:rPr>
                <w:rFonts w:ascii="Microsoft JhengHei"/>
                <w:b/>
                <w:w w:val="200"/>
                <w:sz w:val="24"/>
                <w:highlight w:val="none"/>
              </w:rPr>
              <w:t xml:space="preserve"> </w:t>
            </w:r>
          </w:p>
        </w:tc>
        <w:tc>
          <w:tcPr>
            <w:tcW w:w="2665" w:type="dxa"/>
            <w:gridSpan w:val="3"/>
          </w:tcPr>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rPr>
                <w:rFonts w:ascii="Microsoft JhengHei"/>
                <w:b/>
                <w:sz w:val="24"/>
                <w:highlight w:val="none"/>
              </w:rPr>
            </w:pPr>
          </w:p>
          <w:p>
            <w:pPr>
              <w:pStyle w:val="21"/>
              <w:spacing w:before="4"/>
              <w:rPr>
                <w:rFonts w:ascii="Microsoft JhengHei"/>
                <w:b/>
                <w:sz w:val="24"/>
                <w:highlight w:val="none"/>
              </w:rPr>
            </w:pPr>
          </w:p>
          <w:p>
            <w:pPr>
              <w:pStyle w:val="21"/>
              <w:ind w:left="171" w:right="43"/>
              <w:jc w:val="center"/>
              <w:rPr>
                <w:rFonts w:hint="eastAsia" w:ascii="Microsoft JhengHei" w:eastAsia="Microsoft JhengHei"/>
                <w:b/>
                <w:sz w:val="24"/>
                <w:highlight w:val="none"/>
              </w:rPr>
            </w:pPr>
            <w:r>
              <w:rPr>
                <w:sz w:val="24"/>
                <w:highlight w:val="none"/>
              </w:rPr>
              <w:t>招标人补充的其他内容</w:t>
            </w:r>
            <w:r>
              <w:rPr>
                <w:rFonts w:hint="eastAsia" w:ascii="Microsoft JhengHei" w:eastAsia="Microsoft JhengHei"/>
                <w:b/>
                <w:w w:val="200"/>
                <w:sz w:val="24"/>
                <w:highlight w:val="none"/>
              </w:rPr>
              <w:t xml:space="preserve"> </w:t>
            </w:r>
          </w:p>
        </w:tc>
        <w:tc>
          <w:tcPr>
            <w:tcW w:w="6476" w:type="dxa"/>
          </w:tcPr>
          <w:p>
            <w:pPr>
              <w:pStyle w:val="21"/>
              <w:spacing w:before="79"/>
              <w:ind w:left="107"/>
              <w:rPr>
                <w:sz w:val="24"/>
                <w:highlight w:val="none"/>
              </w:rPr>
            </w:pPr>
            <w:r>
              <w:rPr>
                <w:color w:val="393939"/>
                <w:sz w:val="24"/>
                <w:highlight w:val="none"/>
                <w:u w:val="single" w:color="393939"/>
              </w:rPr>
              <w:t xml:space="preserve"> 1、开标现场携带：</w:t>
            </w:r>
            <w:r>
              <w:rPr>
                <w:color w:val="393939"/>
                <w:sz w:val="24"/>
                <w:highlight w:val="none"/>
              </w:rPr>
              <w:t xml:space="preserve"> </w:t>
            </w:r>
          </w:p>
          <w:p>
            <w:pPr>
              <w:pStyle w:val="21"/>
              <w:numPr>
                <w:ilvl w:val="0"/>
                <w:numId w:val="9"/>
              </w:numPr>
              <w:tabs>
                <w:tab w:val="left" w:pos="477"/>
              </w:tabs>
              <w:spacing w:before="160" w:after="0" w:line="364" w:lineRule="auto"/>
              <w:ind w:left="107" w:right="126" w:rightChars="0" w:firstLine="0"/>
              <w:jc w:val="left"/>
              <w:rPr>
                <w:sz w:val="24"/>
                <w:highlight w:val="none"/>
              </w:rPr>
            </w:pPr>
            <w:r>
              <w:rPr>
                <w:color w:val="393939"/>
                <w:spacing w:val="8"/>
                <w:sz w:val="24"/>
                <w:highlight w:val="none"/>
                <w:u w:val="single" w:color="393939"/>
              </w:rPr>
              <w:t>营业执照及法定代表人证明或法定代表人授权委托书</w:t>
            </w:r>
            <w:r>
              <w:rPr>
                <w:rFonts w:hint="eastAsia"/>
                <w:color w:val="393939"/>
                <w:spacing w:val="8"/>
                <w:sz w:val="24"/>
                <w:highlight w:val="none"/>
                <w:u w:val="single" w:color="393939"/>
                <w:lang w:val="en-US" w:eastAsia="zh-CN"/>
              </w:rPr>
              <w:t>原件</w:t>
            </w:r>
          </w:p>
          <w:p>
            <w:pPr>
              <w:pStyle w:val="21"/>
              <w:numPr>
                <w:ilvl w:val="0"/>
                <w:numId w:val="9"/>
              </w:numPr>
              <w:tabs>
                <w:tab w:val="left" w:pos="469"/>
              </w:tabs>
              <w:spacing w:before="1" w:after="0" w:line="240" w:lineRule="auto"/>
              <w:ind w:left="468" w:right="0" w:hanging="362"/>
              <w:jc w:val="left"/>
              <w:rPr>
                <w:sz w:val="24"/>
                <w:highlight w:val="none"/>
              </w:rPr>
            </w:pPr>
            <w:r>
              <w:rPr>
                <w:color w:val="393939"/>
                <w:sz w:val="24"/>
                <w:highlight w:val="none"/>
                <w:u w:val="single" w:color="393939"/>
              </w:rPr>
              <w:t>法定代表人或被授权委托人身份证原件；</w:t>
            </w:r>
            <w:r>
              <w:rPr>
                <w:color w:val="393939"/>
                <w:sz w:val="24"/>
                <w:highlight w:val="none"/>
              </w:rPr>
              <w:t xml:space="preserve"> </w:t>
            </w:r>
          </w:p>
          <w:p>
            <w:pPr>
              <w:pStyle w:val="21"/>
              <w:numPr>
                <w:ilvl w:val="0"/>
                <w:numId w:val="9"/>
              </w:numPr>
              <w:tabs>
                <w:tab w:val="left" w:pos="469"/>
              </w:tabs>
              <w:spacing w:before="161" w:after="0" w:line="364" w:lineRule="auto"/>
              <w:ind w:left="107" w:right="100" w:firstLine="0"/>
              <w:jc w:val="left"/>
              <w:rPr>
                <w:sz w:val="24"/>
                <w:highlight w:val="none"/>
              </w:rPr>
            </w:pPr>
            <w:r>
              <w:rPr>
                <w:color w:val="393939"/>
                <w:spacing w:val="-2"/>
                <w:sz w:val="24"/>
                <w:highlight w:val="none"/>
                <w:u w:val="single" w:color="393939"/>
              </w:rPr>
              <w:t>具有履行合同所必需的设备和专业技术能力，提供承诺</w:t>
            </w:r>
            <w:r>
              <w:rPr>
                <w:color w:val="393939"/>
                <w:spacing w:val="-220"/>
                <w:sz w:val="24"/>
                <w:highlight w:val="none"/>
                <w:u w:val="single" w:color="393939"/>
              </w:rPr>
              <w:t>函</w:t>
            </w:r>
            <w:r>
              <w:rPr>
                <w:color w:val="393939"/>
                <w:sz w:val="24"/>
                <w:highlight w:val="none"/>
                <w:u w:val="single" w:color="393939"/>
              </w:rPr>
              <w:t>（格式自拟）。</w:t>
            </w:r>
            <w:r>
              <w:rPr>
                <w:color w:val="393939"/>
                <w:sz w:val="24"/>
                <w:highlight w:val="none"/>
              </w:rPr>
              <w:t xml:space="preserve"> </w:t>
            </w:r>
          </w:p>
          <w:p>
            <w:pPr>
              <w:pStyle w:val="21"/>
              <w:numPr>
                <w:ilvl w:val="0"/>
                <w:numId w:val="9"/>
              </w:numPr>
              <w:tabs>
                <w:tab w:val="left" w:pos="469"/>
              </w:tabs>
              <w:spacing w:before="2" w:after="0" w:line="364" w:lineRule="auto"/>
              <w:ind w:left="107" w:right="100" w:firstLine="0"/>
              <w:jc w:val="left"/>
              <w:rPr>
                <w:sz w:val="24"/>
                <w:highlight w:val="none"/>
              </w:rPr>
            </w:pPr>
            <w:r>
              <w:rPr>
                <w:rFonts w:hint="eastAsia"/>
                <w:color w:val="393939"/>
                <w:spacing w:val="-1"/>
                <w:sz w:val="24"/>
                <w:highlight w:val="none"/>
                <w:u w:val="single" w:color="393939"/>
                <w:lang w:eastAsia="zh-CN"/>
              </w:rPr>
              <w:t>投标企业</w:t>
            </w:r>
            <w:r>
              <w:rPr>
                <w:color w:val="393939"/>
                <w:spacing w:val="-1"/>
                <w:sz w:val="24"/>
                <w:highlight w:val="none"/>
                <w:u w:val="single" w:color="393939"/>
              </w:rPr>
              <w:t>缴纳近三个月内</w:t>
            </w:r>
            <w:r>
              <w:rPr>
                <w:color w:val="393939"/>
                <w:sz w:val="24"/>
                <w:highlight w:val="none"/>
                <w:u w:val="single" w:color="393939"/>
              </w:rPr>
              <w:t>（</w:t>
            </w:r>
            <w:r>
              <w:rPr>
                <w:color w:val="393939"/>
                <w:spacing w:val="-6"/>
                <w:sz w:val="24"/>
                <w:highlight w:val="none"/>
                <w:u w:val="single" w:color="393939"/>
              </w:rPr>
              <w:t>任意一</w:t>
            </w:r>
            <w:r>
              <w:rPr>
                <w:color w:val="393939"/>
                <w:sz w:val="24"/>
                <w:highlight w:val="none"/>
                <w:u w:val="single" w:color="393939"/>
              </w:rPr>
              <w:t>个月）的社保证明原件。</w:t>
            </w:r>
            <w:r>
              <w:rPr>
                <w:color w:val="393939"/>
                <w:sz w:val="24"/>
                <w:highlight w:val="none"/>
              </w:rPr>
              <w:t xml:space="preserve"> </w:t>
            </w:r>
          </w:p>
          <w:p>
            <w:pPr>
              <w:pStyle w:val="21"/>
              <w:numPr>
                <w:ilvl w:val="0"/>
                <w:numId w:val="9"/>
              </w:numPr>
              <w:tabs>
                <w:tab w:val="left" w:pos="469"/>
              </w:tabs>
              <w:spacing w:before="2" w:after="0" w:line="364" w:lineRule="auto"/>
              <w:ind w:left="107" w:right="100" w:firstLine="0"/>
              <w:jc w:val="left"/>
              <w:rPr>
                <w:sz w:val="24"/>
                <w:highlight w:val="none"/>
              </w:rPr>
            </w:pPr>
            <w:r>
              <w:rPr>
                <w:rFonts w:hint="eastAsia"/>
                <w:color w:val="393939"/>
                <w:spacing w:val="-1"/>
                <w:sz w:val="24"/>
                <w:highlight w:val="none"/>
                <w:u w:val="single" w:color="393939"/>
                <w:lang w:eastAsia="zh-CN"/>
              </w:rPr>
              <w:t>投标企业</w:t>
            </w:r>
            <w:r>
              <w:rPr>
                <w:color w:val="393939"/>
                <w:spacing w:val="-2"/>
                <w:sz w:val="24"/>
                <w:highlight w:val="none"/>
                <w:u w:val="single" w:color="393939"/>
              </w:rPr>
              <w:t>三个月内</w:t>
            </w:r>
            <w:r>
              <w:rPr>
                <w:color w:val="393939"/>
                <w:sz w:val="24"/>
                <w:highlight w:val="none"/>
                <w:u w:val="single" w:color="393939"/>
              </w:rPr>
              <w:t>（任意一个月</w:t>
            </w:r>
            <w:r>
              <w:rPr>
                <w:color w:val="393939"/>
                <w:spacing w:val="-5"/>
                <w:sz w:val="24"/>
                <w:highlight w:val="none"/>
                <w:u w:val="single" w:color="393939"/>
              </w:rPr>
              <w:t>）</w:t>
            </w:r>
            <w:r>
              <w:rPr>
                <w:color w:val="393939"/>
                <w:spacing w:val="-1"/>
                <w:sz w:val="24"/>
                <w:highlight w:val="none"/>
                <w:u w:val="single" w:color="393939"/>
              </w:rPr>
              <w:t>依法缴纳税收的证明原件</w:t>
            </w:r>
            <w:r>
              <w:rPr>
                <w:color w:val="393939"/>
                <w:sz w:val="24"/>
                <w:highlight w:val="none"/>
                <w:u w:val="single" w:color="393939"/>
              </w:rPr>
              <w:t>（</w:t>
            </w:r>
            <w:r>
              <w:rPr>
                <w:color w:val="393939"/>
                <w:spacing w:val="-12"/>
                <w:sz w:val="24"/>
                <w:highlight w:val="none"/>
                <w:u w:val="single" w:color="393939"/>
              </w:rPr>
              <w:t>税</w:t>
            </w:r>
            <w:r>
              <w:rPr>
                <w:color w:val="393939"/>
                <w:sz w:val="24"/>
                <w:highlight w:val="none"/>
                <w:u w:val="single" w:color="393939"/>
              </w:rPr>
              <w:t>务部门出具的完税凭证或缴税证明或银行出具的“</w:t>
            </w:r>
            <w:r>
              <w:rPr>
                <w:rFonts w:hint="eastAsia"/>
                <w:color w:val="393939"/>
                <w:sz w:val="24"/>
                <w:highlight w:val="none"/>
                <w:u w:val="single" w:color="393939"/>
                <w:lang w:val="en-US" w:eastAsia="zh-CN"/>
              </w:rPr>
              <w:t>银行电子缴税付款凭证</w:t>
            </w:r>
            <w:r>
              <w:rPr>
                <w:color w:val="393939"/>
                <w:sz w:val="24"/>
                <w:highlight w:val="none"/>
                <w:u w:val="single" w:color="393939"/>
              </w:rPr>
              <w:t>”）</w:t>
            </w:r>
            <w:r>
              <w:rPr>
                <w:color w:val="393939"/>
                <w:sz w:val="24"/>
                <w:highlight w:val="none"/>
              </w:rPr>
              <w:t xml:space="preserve"> </w:t>
            </w:r>
          </w:p>
          <w:p>
            <w:pPr>
              <w:pStyle w:val="21"/>
              <w:numPr>
                <w:ilvl w:val="0"/>
                <w:numId w:val="9"/>
              </w:numPr>
              <w:tabs>
                <w:tab w:val="left" w:pos="477"/>
              </w:tabs>
              <w:spacing w:before="2" w:after="0" w:line="240" w:lineRule="auto"/>
              <w:ind w:left="476" w:right="0" w:hanging="370"/>
              <w:jc w:val="left"/>
              <w:rPr>
                <w:rFonts w:hint="eastAsia"/>
                <w:color w:val="393939"/>
                <w:spacing w:val="7"/>
                <w:sz w:val="24"/>
                <w:highlight w:val="none"/>
                <w:u w:val="single" w:color="393939"/>
              </w:rPr>
            </w:pPr>
            <w:r>
              <w:rPr>
                <w:color w:val="393939"/>
                <w:spacing w:val="9"/>
                <w:sz w:val="24"/>
                <w:highlight w:val="none"/>
                <w:u w:val="single" w:color="393939"/>
              </w:rPr>
              <w:t>会计师事务所出具的</w:t>
            </w:r>
            <w:r>
              <w:rPr>
                <w:color w:val="393939"/>
                <w:spacing w:val="3"/>
                <w:sz w:val="24"/>
                <w:highlight w:val="none"/>
                <w:u w:val="single" w:color="393939"/>
              </w:rPr>
              <w:t>2020</w:t>
            </w:r>
            <w:r>
              <w:rPr>
                <w:color w:val="393939"/>
                <w:spacing w:val="7"/>
                <w:sz w:val="24"/>
                <w:highlight w:val="none"/>
                <w:u w:val="single" w:color="393939"/>
              </w:rPr>
              <w:t>年的年度财务审计</w:t>
            </w:r>
            <w:r>
              <w:rPr>
                <w:rFonts w:hint="eastAsia"/>
                <w:color w:val="393939"/>
                <w:spacing w:val="7"/>
                <w:sz w:val="24"/>
                <w:highlight w:val="none"/>
                <w:u w:val="single" w:color="393939"/>
              </w:rPr>
              <w:t xml:space="preserve">报告书原件；新办企业提供银行资信证明原件。 </w:t>
            </w:r>
          </w:p>
          <w:p>
            <w:pPr>
              <w:pStyle w:val="21"/>
              <w:numPr>
                <w:ilvl w:val="0"/>
                <w:numId w:val="9"/>
              </w:numPr>
              <w:tabs>
                <w:tab w:val="left" w:pos="477"/>
              </w:tabs>
              <w:spacing w:before="2" w:after="0" w:line="240" w:lineRule="auto"/>
              <w:ind w:left="476" w:right="0" w:hanging="370"/>
              <w:jc w:val="left"/>
              <w:rPr>
                <w:rFonts w:hint="eastAsia"/>
                <w:color w:val="393939"/>
                <w:spacing w:val="7"/>
                <w:sz w:val="24"/>
                <w:highlight w:val="none"/>
                <w:u w:val="single" w:color="393939"/>
              </w:rPr>
            </w:pPr>
            <w:r>
              <w:rPr>
                <w:rFonts w:hint="eastAsia"/>
                <w:color w:val="393939"/>
                <w:spacing w:val="7"/>
                <w:sz w:val="24"/>
                <w:highlight w:val="none"/>
                <w:u w:val="single" w:color="393939"/>
              </w:rPr>
              <w:t xml:space="preserve">投标单位按招标文件要求缴纳投标保证金的缴款凭证证明。 </w:t>
            </w:r>
          </w:p>
          <w:p>
            <w:pPr>
              <w:pStyle w:val="21"/>
              <w:numPr>
                <w:ilvl w:val="0"/>
                <w:numId w:val="0"/>
              </w:numPr>
              <w:tabs>
                <w:tab w:val="left" w:pos="477"/>
              </w:tabs>
              <w:spacing w:before="2" w:after="0" w:line="240" w:lineRule="auto"/>
              <w:ind w:left="106" w:leftChars="0" w:right="0" w:rightChars="0"/>
              <w:jc w:val="left"/>
              <w:rPr>
                <w:rFonts w:hint="eastAsia"/>
                <w:color w:val="393939"/>
                <w:spacing w:val="7"/>
                <w:sz w:val="24"/>
                <w:highlight w:val="none"/>
                <w:u w:val="single" w:color="393939"/>
              </w:rPr>
            </w:pPr>
            <w:r>
              <w:rPr>
                <w:rFonts w:hint="eastAsia"/>
                <w:color w:val="393939"/>
                <w:spacing w:val="7"/>
                <w:sz w:val="24"/>
                <w:highlight w:val="none"/>
                <w:u w:val="single" w:color="393939"/>
              </w:rPr>
              <w:t xml:space="preserve">(8)招标文件所要求的其他原件。 </w:t>
            </w:r>
          </w:p>
          <w:p>
            <w:pPr>
              <w:pStyle w:val="21"/>
              <w:numPr>
                <w:ilvl w:val="0"/>
                <w:numId w:val="0"/>
              </w:numPr>
              <w:tabs>
                <w:tab w:val="left" w:pos="477"/>
              </w:tabs>
              <w:spacing w:before="2" w:after="0" w:line="240" w:lineRule="auto"/>
              <w:ind w:left="106" w:leftChars="0" w:right="0" w:rightChars="0"/>
              <w:jc w:val="left"/>
              <w:rPr>
                <w:sz w:val="24"/>
                <w:highlight w:val="none"/>
              </w:rPr>
            </w:pPr>
            <w:r>
              <w:rPr>
                <w:rFonts w:hint="eastAsia"/>
                <w:color w:val="393939"/>
                <w:spacing w:val="7"/>
                <w:sz w:val="24"/>
                <w:highlight w:val="none"/>
                <w:u w:val="single" w:color="393939"/>
              </w:rPr>
              <w:t>注：开标时供应商本人须手持以上资格证明原件</w:t>
            </w:r>
            <w:r>
              <w:rPr>
                <w:rFonts w:hint="eastAsia"/>
                <w:color w:val="393939"/>
                <w:spacing w:val="7"/>
                <w:sz w:val="24"/>
                <w:highlight w:val="none"/>
                <w:u w:val="single" w:color="393939"/>
                <w:lang w:eastAsia="zh-CN"/>
              </w:rPr>
              <w:t>，</w:t>
            </w:r>
            <w:r>
              <w:rPr>
                <w:rFonts w:hint="eastAsia"/>
                <w:color w:val="393939"/>
                <w:spacing w:val="7"/>
                <w:sz w:val="24"/>
                <w:highlight w:val="none"/>
                <w:u w:val="single" w:color="393939"/>
              </w:rPr>
              <w:t>如资格审查时无法提供的，按资格不符合招标要求，做无效投标处理。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35" w:type="dxa"/>
          </w:tcPr>
          <w:p>
            <w:pPr>
              <w:pStyle w:val="21"/>
              <w:spacing w:line="364" w:lineRule="auto"/>
              <w:ind w:right="-15"/>
              <w:rPr>
                <w:rFonts w:hint="eastAsia" w:ascii="Microsoft JhengHei" w:eastAsia="Microsoft JhengHei"/>
                <w:b/>
                <w:sz w:val="24"/>
                <w:highlight w:val="none"/>
              </w:rPr>
            </w:pPr>
            <w:r>
              <w:rPr>
                <w:sz w:val="24"/>
                <w:highlight w:val="none"/>
              </w:rPr>
              <w:t>注意事项</w:t>
            </w:r>
            <w:r>
              <w:rPr>
                <w:rFonts w:hint="eastAsia" w:ascii="Microsoft JhengHei" w:eastAsia="Microsoft JhengHei"/>
                <w:b/>
                <w:w w:val="200"/>
                <w:sz w:val="24"/>
                <w:highlight w:val="none"/>
              </w:rPr>
              <w:t xml:space="preserve"> </w:t>
            </w:r>
          </w:p>
        </w:tc>
        <w:tc>
          <w:tcPr>
            <w:tcW w:w="9141" w:type="dxa"/>
            <w:gridSpan w:val="4"/>
          </w:tcPr>
          <w:p>
            <w:pPr>
              <w:pStyle w:val="21"/>
              <w:spacing w:line="364" w:lineRule="auto"/>
              <w:ind w:left="124" w:right="-15"/>
              <w:rPr>
                <w:sz w:val="24"/>
                <w:highlight w:val="none"/>
              </w:rPr>
            </w:pPr>
            <w:r>
              <w:rPr>
                <w:sz w:val="24"/>
                <w:highlight w:val="none"/>
              </w:rPr>
              <w:t xml:space="preserve">注：无论何种原因，即使投标人开标时携带了证书材料的原件，但在投标文件中未提供与之内容完全一致的扫描件的，评标委员会可以视同其未提供。 </w:t>
            </w:r>
          </w:p>
        </w:tc>
      </w:tr>
    </w:tbl>
    <w:p>
      <w:pPr>
        <w:rPr>
          <w:sz w:val="2"/>
          <w:szCs w:val="2"/>
          <w:highlight w:val="none"/>
        </w:rPr>
      </w:pPr>
    </w:p>
    <w:p>
      <w:pPr>
        <w:pStyle w:val="10"/>
        <w:spacing w:before="79" w:line="364" w:lineRule="auto"/>
        <w:ind w:right="1798"/>
        <w:rPr>
          <w:highlight w:val="none"/>
        </w:rPr>
      </w:pPr>
      <w:r>
        <w:rPr>
          <w:highlight w:val="none"/>
        </w:rPr>
        <mc:AlternateContent>
          <mc:Choice Requires="wps">
            <w:drawing>
              <wp:anchor distT="0" distB="0" distL="114300" distR="114300" simplePos="0" relativeHeight="251663360" behindDoc="1" locked="0" layoutInCell="1" allowOverlap="1">
                <wp:simplePos x="0" y="0"/>
                <wp:positionH relativeFrom="page">
                  <wp:posOffset>1229995</wp:posOffset>
                </wp:positionH>
                <wp:positionV relativeFrom="paragraph">
                  <wp:posOffset>-622300</wp:posOffset>
                </wp:positionV>
                <wp:extent cx="609600" cy="0"/>
                <wp:effectExtent l="0" t="0" r="0" b="0"/>
                <wp:wrapNone/>
                <wp:docPr id="2" name="直线 3"/>
                <wp:cNvGraphicFramePr/>
                <a:graphic xmlns:a="http://schemas.openxmlformats.org/drawingml/2006/main">
                  <a:graphicData uri="http://schemas.microsoft.com/office/word/2010/wordprocessingShape">
                    <wps:wsp>
                      <wps:cNvCnPr/>
                      <wps:spPr>
                        <a:xfrm>
                          <a:off x="0" y="0"/>
                          <a:ext cx="609600" cy="0"/>
                        </a:xfrm>
                        <a:prstGeom prst="line">
                          <a:avLst/>
                        </a:prstGeom>
                        <a:ln w="7620" cap="flat" cmpd="sng">
                          <a:solidFill>
                            <a:srgbClr val="0000FF"/>
                          </a:solidFill>
                          <a:prstDash val="solid"/>
                          <a:headEnd type="none" w="med" len="med"/>
                          <a:tailEnd type="none" w="med" len="med"/>
                        </a:ln>
                      </wps:spPr>
                      <wps:bodyPr upright="1"/>
                    </wps:wsp>
                  </a:graphicData>
                </a:graphic>
              </wp:anchor>
            </w:drawing>
          </mc:Choice>
          <mc:Fallback>
            <w:pict>
              <v:line id="直线 3" o:spid="_x0000_s1026" o:spt="20" style="position:absolute;left:0pt;margin-left:96.85pt;margin-top:-49pt;height:0pt;width:48pt;mso-position-horizontal-relative:page;z-index:-251653120;mso-width-relative:page;mso-height-relative:page;" filled="f" stroked="t" coordsize="21600,21600" o:gfxdata="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98PhK&#10;2QAAAAsBAAAPAAAAAAAAAAEAIAAAACIAAABkcnMvZG93bnJldi54bWxQSwECFAAUAAAACACHTuJA&#10;+Gq5e+cBAADaAwAADgAAAAAAAAABACAAAAAoAQAAZHJzL2Uyb0RvYy54bWxQSwUGAAAAAAYABgBZ&#10;AQAAgQUAAAAA&#10;">
                <v:fill on="f" focussize="0,0"/>
                <v:stroke weight="0.6pt" color="#0000FF" joinstyle="round"/>
                <v:imagedata o:title=""/>
                <o:lock v:ext="edit" aspectratio="f"/>
              </v:line>
            </w:pict>
          </mc:Fallback>
        </mc:AlternateContent>
      </w:r>
      <w:r>
        <w:rPr>
          <w:highlight w:val="none"/>
        </w:rPr>
        <mc:AlternateContent>
          <mc:Choice Requires="wps">
            <w:drawing>
              <wp:anchor distT="0" distB="0" distL="114300" distR="114300" simplePos="0" relativeHeight="251664384" behindDoc="1" locked="0" layoutInCell="1" allowOverlap="1">
                <wp:simplePos x="0" y="0"/>
                <wp:positionH relativeFrom="page">
                  <wp:posOffset>1839595</wp:posOffset>
                </wp:positionH>
                <wp:positionV relativeFrom="paragraph">
                  <wp:posOffset>-123825</wp:posOffset>
                </wp:positionV>
                <wp:extent cx="1828800" cy="0"/>
                <wp:effectExtent l="0" t="0" r="0" b="0"/>
                <wp:wrapNone/>
                <wp:docPr id="3" name="直线 4"/>
                <wp:cNvGraphicFramePr/>
                <a:graphic xmlns:a="http://schemas.openxmlformats.org/drawingml/2006/main">
                  <a:graphicData uri="http://schemas.microsoft.com/office/word/2010/wordprocessingShape">
                    <wps:wsp>
                      <wps:cNvCnPr/>
                      <wps:spPr>
                        <a:xfrm>
                          <a:off x="0" y="0"/>
                          <a:ext cx="1828800" cy="0"/>
                        </a:xfrm>
                        <a:prstGeom prst="line">
                          <a:avLst/>
                        </a:prstGeom>
                        <a:ln w="7621" cap="flat" cmpd="sng">
                          <a:solidFill>
                            <a:srgbClr val="0000FF"/>
                          </a:solidFill>
                          <a:prstDash val="solid"/>
                          <a:headEnd type="none" w="med" len="med"/>
                          <a:tailEnd type="none" w="med" len="med"/>
                        </a:ln>
                      </wps:spPr>
                      <wps:bodyPr upright="1"/>
                    </wps:wsp>
                  </a:graphicData>
                </a:graphic>
              </wp:anchor>
            </w:drawing>
          </mc:Choice>
          <mc:Fallback>
            <w:pict>
              <v:line id="直线 4" o:spid="_x0000_s1026" o:spt="20" style="position:absolute;left:0pt;margin-left:144.85pt;margin-top:-9.75pt;height:0pt;width:144pt;mso-position-horizontal-relative:page;z-index:-251652096;mso-width-relative:page;mso-height-relative:page;" filled="f" stroked="t" coordsize="21600,21600" o:gfxdata="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v3d&#10;ZNcAAAALAQAADwAAAAAAAAABACAAAAAiAAAAZHJzL2Rvd25yZXYueG1sUEsBAhQAFAAAAAgAh07i&#10;QD+tz/7qAQAA2wMAAA4AAAAAAAAAAQAgAAAAJgEAAGRycy9lMm9Eb2MueG1sUEsFBgAAAAAGAAYA&#10;WQEAAIIFAAAAAA==&#10;">
                <v:fill on="f" focussize="0,0"/>
                <v:stroke weight="0.60007874015748pt" color="#0000FF" joinstyle="round"/>
                <v:imagedata o:title=""/>
                <o:lock v:ext="edit" aspectratio="f"/>
              </v:line>
            </w:pict>
          </mc:Fallback>
        </mc:AlternateContent>
      </w:r>
      <w:r>
        <w:rPr>
          <w:highlight w:val="none"/>
        </w:rPr>
        <w:t xml:space="preserve">注：1、本表中加☆项目若有缺失或无效，将导致投标无效且不允许在开标后补正； </w:t>
      </w:r>
    </w:p>
    <w:p>
      <w:pPr>
        <w:pStyle w:val="10"/>
        <w:spacing w:before="2"/>
        <w:ind w:left="1298"/>
        <w:rPr>
          <w:highlight w:val="none"/>
        </w:rPr>
      </w:pPr>
      <w:r>
        <w:rPr>
          <w:highlight w:val="none"/>
        </w:rPr>
        <w:t xml:space="preserve">2、本表内容与招标文件其它内容不一致的，应当以本表内容为准。 </w:t>
      </w:r>
    </w:p>
    <w:p>
      <w:pPr>
        <w:pStyle w:val="10"/>
        <w:spacing w:before="160"/>
        <w:ind w:left="1298"/>
        <w:rPr>
          <w:highlight w:val="none"/>
        </w:rPr>
      </w:pPr>
      <w:r>
        <w:rPr>
          <w:highlight w:val="none"/>
        </w:rPr>
        <w:t>3、本表中“</w:t>
      </w:r>
      <w:r>
        <w:rPr>
          <w:rFonts w:ascii="Wingdings" w:hAnsi="Wingdings" w:eastAsia="Wingdings"/>
          <w:highlight w:val="none"/>
        </w:rPr>
        <w:t></w:t>
      </w:r>
      <w:r>
        <w:rPr>
          <w:highlight w:val="none"/>
        </w:rPr>
        <w:t xml:space="preserve">”标示选择使用该项，“□”标示不选择使用该项。 </w:t>
      </w:r>
    </w:p>
    <w:p>
      <w:pPr>
        <w:pStyle w:val="10"/>
        <w:spacing w:before="161" w:line="364" w:lineRule="auto"/>
        <w:ind w:right="1796" w:firstLine="479"/>
        <w:rPr>
          <w:highlight w:val="none"/>
        </w:rPr>
      </w:pPr>
      <w:r>
        <w:rPr>
          <w:highlight w:val="none"/>
        </w:rPr>
        <w:t xml:space="preserve"> </w:t>
      </w:r>
    </w:p>
    <w:p>
      <w:pPr>
        <w:spacing w:before="34"/>
        <w:ind w:right="0"/>
        <w:jc w:val="left"/>
        <w:rPr>
          <w:sz w:val="24"/>
          <w:highlight w:val="none"/>
        </w:rPr>
      </w:pPr>
      <w:r>
        <w:rPr>
          <w:color w:val="000080"/>
          <w:spacing w:val="1"/>
          <w:w w:val="99"/>
          <w:sz w:val="20"/>
          <w:highlight w:val="none"/>
        </w:rPr>
        <w:t xml:space="preserve"> </w:t>
      </w:r>
      <w:r>
        <w:rPr>
          <w:sz w:val="24"/>
          <w:highlight w:val="none"/>
        </w:rPr>
        <w:t xml:space="preserve"> </w:t>
      </w:r>
    </w:p>
    <w:p>
      <w:pPr>
        <w:spacing w:after="0"/>
        <w:jc w:val="left"/>
        <w:rPr>
          <w:sz w:val="24"/>
          <w:highlight w:val="none"/>
        </w:rPr>
        <w:sectPr>
          <w:pgSz w:w="11910" w:h="16840"/>
          <w:pgMar w:top="1420" w:right="0" w:bottom="1100" w:left="980" w:header="0" w:footer="915" w:gutter="0"/>
          <w:cols w:space="720" w:num="1"/>
        </w:sectPr>
      </w:pPr>
    </w:p>
    <w:p>
      <w:pPr>
        <w:pStyle w:val="10"/>
        <w:spacing w:before="4"/>
        <w:ind w:left="0"/>
        <w:rPr>
          <w:sz w:val="21"/>
          <w:highlight w:val="none"/>
        </w:rPr>
      </w:pPr>
    </w:p>
    <w:p>
      <w:pPr>
        <w:spacing w:before="2" w:line="382" w:lineRule="exact"/>
        <w:ind w:left="818" w:right="0" w:firstLine="3362" w:firstLineChars="1600"/>
        <w:jc w:val="both"/>
        <w:outlineLvl w:val="1"/>
        <w:rPr>
          <w:rFonts w:hint="eastAsia" w:ascii="Microsoft JhengHei" w:eastAsia="Microsoft JhengHei"/>
          <w:b/>
          <w:sz w:val="21"/>
          <w:highlight w:val="none"/>
        </w:rPr>
      </w:pPr>
      <w:bookmarkStart w:id="7" w:name="投标人须知正文部分"/>
      <w:bookmarkEnd w:id="7"/>
      <w:bookmarkStart w:id="8" w:name="_Toc24355"/>
      <w:r>
        <w:rPr>
          <w:rFonts w:hint="eastAsia" w:ascii="Microsoft JhengHei" w:eastAsia="Microsoft JhengHei"/>
          <w:b/>
          <w:sz w:val="21"/>
          <w:highlight w:val="none"/>
        </w:rPr>
        <w:t>投标人须知正文部分</w:t>
      </w:r>
      <w:bookmarkEnd w:id="8"/>
    </w:p>
    <w:p>
      <w:pPr>
        <w:pStyle w:val="7"/>
        <w:spacing w:line="254" w:lineRule="auto"/>
        <w:ind w:right="9021"/>
        <w:outlineLvl w:val="1"/>
        <w:rPr>
          <w:highlight w:val="none"/>
        </w:rPr>
      </w:pPr>
      <w:bookmarkStart w:id="9" w:name="一、总则"/>
      <w:bookmarkEnd w:id="9"/>
      <w:bookmarkStart w:id="10" w:name="_Toc27256"/>
      <w:r>
        <w:rPr>
          <w:highlight w:val="none"/>
        </w:rPr>
        <w:t>一、总则1.说明</w:t>
      </w:r>
      <w:bookmarkEnd w:id="10"/>
      <w:r>
        <w:rPr>
          <w:w w:val="200"/>
          <w:highlight w:val="none"/>
        </w:rPr>
        <w:t xml:space="preserve"> </w:t>
      </w:r>
    </w:p>
    <w:p>
      <w:pPr>
        <w:pStyle w:val="10"/>
        <w:spacing w:before="75"/>
        <w:ind w:left="1298"/>
        <w:rPr>
          <w:highlight w:val="none"/>
        </w:rPr>
      </w:pPr>
      <w:r>
        <w:rPr>
          <w:highlight w:val="none"/>
        </w:rPr>
        <w:t xml:space="preserve">1.1 本招标文件适用于本次招标采购项目的招标投标。 </w:t>
      </w:r>
    </w:p>
    <w:p>
      <w:pPr>
        <w:pStyle w:val="7"/>
        <w:numPr>
          <w:ilvl w:val="0"/>
          <w:numId w:val="10"/>
        </w:numPr>
        <w:tabs>
          <w:tab w:val="left" w:pos="1062"/>
        </w:tabs>
        <w:spacing w:before="82" w:after="0" w:line="240" w:lineRule="auto"/>
        <w:ind w:left="1061" w:right="0" w:hanging="244"/>
        <w:jc w:val="left"/>
        <w:rPr>
          <w:highlight w:val="none"/>
        </w:rPr>
      </w:pPr>
      <w:r>
        <w:rPr>
          <w:highlight w:val="none"/>
        </w:rPr>
        <w:t>定义</w:t>
      </w:r>
      <w:r>
        <w:rPr>
          <w:w w:val="200"/>
          <w:highlight w:val="none"/>
        </w:rPr>
        <w:t xml:space="preserve"> </w:t>
      </w:r>
    </w:p>
    <w:p>
      <w:pPr>
        <w:pStyle w:val="20"/>
        <w:numPr>
          <w:ilvl w:val="1"/>
          <w:numId w:val="10"/>
        </w:numPr>
        <w:tabs>
          <w:tab w:val="left" w:pos="1659"/>
        </w:tabs>
        <w:spacing w:before="106" w:after="0" w:line="240" w:lineRule="auto"/>
        <w:ind w:left="1659" w:right="0" w:hanging="361"/>
        <w:jc w:val="left"/>
        <w:rPr>
          <w:sz w:val="24"/>
          <w:highlight w:val="none"/>
        </w:rPr>
      </w:pPr>
      <w:r>
        <w:rPr>
          <w:spacing w:val="-5"/>
          <w:sz w:val="24"/>
          <w:highlight w:val="none"/>
        </w:rPr>
        <w:t xml:space="preserve">“采购人”名称见本招标文件第二部分“投标人须知前附表”。 </w:t>
      </w:r>
    </w:p>
    <w:p>
      <w:pPr>
        <w:pStyle w:val="20"/>
        <w:numPr>
          <w:ilvl w:val="1"/>
          <w:numId w:val="10"/>
        </w:numPr>
        <w:tabs>
          <w:tab w:val="left" w:pos="1659"/>
        </w:tabs>
        <w:spacing w:before="160" w:after="0" w:line="240" w:lineRule="auto"/>
        <w:ind w:left="1659" w:right="0" w:hanging="361"/>
        <w:jc w:val="left"/>
        <w:rPr>
          <w:sz w:val="24"/>
          <w:highlight w:val="none"/>
        </w:rPr>
      </w:pPr>
      <w:r>
        <w:rPr>
          <w:spacing w:val="-4"/>
          <w:sz w:val="24"/>
          <w:highlight w:val="none"/>
        </w:rPr>
        <w:t xml:space="preserve">“采购代理机构”名称见本招标文件第二部分“投标人须知前附表”。 </w:t>
      </w:r>
    </w:p>
    <w:p>
      <w:pPr>
        <w:pStyle w:val="20"/>
        <w:numPr>
          <w:ilvl w:val="1"/>
          <w:numId w:val="10"/>
        </w:numPr>
        <w:tabs>
          <w:tab w:val="left" w:pos="1659"/>
        </w:tabs>
        <w:spacing w:before="161" w:after="0" w:line="240" w:lineRule="auto"/>
        <w:ind w:left="1659" w:right="0" w:hanging="361"/>
        <w:jc w:val="left"/>
        <w:rPr>
          <w:sz w:val="24"/>
          <w:highlight w:val="none"/>
        </w:rPr>
      </w:pPr>
      <w:r>
        <w:rPr>
          <w:sz w:val="24"/>
          <w:highlight w:val="none"/>
        </w:rPr>
        <w:t xml:space="preserve">“服务”指招标文件第三部分所述投标人应该履行的承诺和义务。 </w:t>
      </w:r>
    </w:p>
    <w:p>
      <w:pPr>
        <w:pStyle w:val="20"/>
        <w:numPr>
          <w:ilvl w:val="1"/>
          <w:numId w:val="10"/>
        </w:numPr>
        <w:tabs>
          <w:tab w:val="left" w:pos="1659"/>
        </w:tabs>
        <w:spacing w:before="161" w:after="0" w:line="240" w:lineRule="auto"/>
        <w:ind w:left="1659" w:right="0" w:hanging="361"/>
        <w:jc w:val="left"/>
        <w:rPr>
          <w:sz w:val="24"/>
          <w:highlight w:val="none"/>
        </w:rPr>
      </w:pPr>
      <w:r>
        <w:rPr>
          <w:sz w:val="24"/>
          <w:highlight w:val="none"/>
        </w:rPr>
        <w:t xml:space="preserve">“潜在投标人”指符合招标文件各项规定的供应商。 </w:t>
      </w:r>
    </w:p>
    <w:p>
      <w:pPr>
        <w:pStyle w:val="20"/>
        <w:numPr>
          <w:ilvl w:val="1"/>
          <w:numId w:val="10"/>
        </w:numPr>
        <w:tabs>
          <w:tab w:val="left" w:pos="1659"/>
        </w:tabs>
        <w:spacing w:before="160" w:after="0" w:line="240" w:lineRule="auto"/>
        <w:ind w:left="1659" w:right="0" w:hanging="361"/>
        <w:jc w:val="left"/>
        <w:rPr>
          <w:sz w:val="24"/>
          <w:highlight w:val="none"/>
        </w:rPr>
      </w:pPr>
      <w:r>
        <w:rPr>
          <w:sz w:val="24"/>
          <w:highlight w:val="none"/>
        </w:rPr>
        <w:t xml:space="preserve">“投标人”指符合招标文件规定并参加投标的供应商。 </w:t>
      </w:r>
    </w:p>
    <w:p>
      <w:pPr>
        <w:pStyle w:val="20"/>
        <w:numPr>
          <w:ilvl w:val="1"/>
          <w:numId w:val="10"/>
        </w:numPr>
        <w:tabs>
          <w:tab w:val="left" w:pos="1659"/>
        </w:tabs>
        <w:spacing w:before="161" w:after="0" w:line="364" w:lineRule="auto"/>
        <w:ind w:left="818" w:right="1795" w:firstLine="479"/>
        <w:jc w:val="left"/>
        <w:rPr>
          <w:sz w:val="24"/>
          <w:highlight w:val="none"/>
        </w:rPr>
      </w:pPr>
      <w:r>
        <w:rPr>
          <w:spacing w:val="-8"/>
          <w:sz w:val="24"/>
          <w:highlight w:val="none"/>
        </w:rPr>
        <w:t>“投标人公章”在投标文件中指与投标人标准公章一致的投标人</w:t>
      </w:r>
      <w:r>
        <w:rPr>
          <w:sz w:val="24"/>
          <w:highlight w:val="none"/>
        </w:rPr>
        <w:t xml:space="preserve">章。 </w:t>
      </w:r>
    </w:p>
    <w:p>
      <w:pPr>
        <w:pStyle w:val="7"/>
        <w:numPr>
          <w:ilvl w:val="0"/>
          <w:numId w:val="10"/>
        </w:numPr>
        <w:tabs>
          <w:tab w:val="left" w:pos="1062"/>
        </w:tabs>
        <w:spacing w:before="0" w:after="0" w:line="363" w:lineRule="exact"/>
        <w:ind w:left="1061" w:right="0" w:hanging="244"/>
        <w:jc w:val="left"/>
        <w:rPr>
          <w:highlight w:val="none"/>
        </w:rPr>
      </w:pPr>
      <w:r>
        <w:rPr>
          <w:highlight w:val="none"/>
        </w:rPr>
        <w:t>合格投标人的条件</w:t>
      </w:r>
      <w:r>
        <w:rPr>
          <w:w w:val="200"/>
          <w:highlight w:val="none"/>
        </w:rPr>
        <w:t xml:space="preserve"> </w:t>
      </w:r>
    </w:p>
    <w:p>
      <w:pPr>
        <w:pStyle w:val="20"/>
        <w:numPr>
          <w:ilvl w:val="1"/>
          <w:numId w:val="10"/>
        </w:numPr>
        <w:tabs>
          <w:tab w:val="left" w:pos="1659"/>
        </w:tabs>
        <w:spacing w:before="106" w:after="0" w:line="364" w:lineRule="auto"/>
        <w:ind w:left="818" w:right="1795" w:firstLine="479"/>
        <w:jc w:val="left"/>
        <w:rPr>
          <w:sz w:val="24"/>
          <w:highlight w:val="none"/>
        </w:rPr>
      </w:pPr>
      <w:r>
        <w:rPr>
          <w:spacing w:val="-9"/>
          <w:sz w:val="24"/>
          <w:highlight w:val="none"/>
        </w:rPr>
        <w:t>具有本项目实施能力，符合、承认并承诺履行本文件各项规定的国内法</w:t>
      </w:r>
      <w:r>
        <w:rPr>
          <w:sz w:val="24"/>
          <w:highlight w:val="none"/>
        </w:rPr>
        <w:t xml:space="preserve">人、其他组织或自然人均可参加投标。 </w:t>
      </w:r>
    </w:p>
    <w:p>
      <w:pPr>
        <w:pStyle w:val="20"/>
        <w:numPr>
          <w:ilvl w:val="1"/>
          <w:numId w:val="10"/>
        </w:numPr>
        <w:tabs>
          <w:tab w:val="left" w:pos="1659"/>
        </w:tabs>
        <w:spacing w:before="1" w:after="0" w:line="364" w:lineRule="auto"/>
        <w:ind w:left="818" w:right="1675" w:firstLine="479"/>
        <w:jc w:val="left"/>
        <w:rPr>
          <w:sz w:val="24"/>
          <w:highlight w:val="none"/>
        </w:rPr>
      </w:pPr>
      <w:r>
        <w:rPr>
          <w:spacing w:val="-16"/>
          <w:sz w:val="24"/>
          <w:highlight w:val="none"/>
        </w:rPr>
        <w:t>遵守有关的国家法律、法规和条例，具备《中华人民共和国政府采购法》</w:t>
      </w:r>
      <w:r>
        <w:rPr>
          <w:sz w:val="24"/>
          <w:highlight w:val="none"/>
        </w:rPr>
        <w:t xml:space="preserve">和本文件中规定的条件： </w:t>
      </w:r>
    </w:p>
    <w:p>
      <w:pPr>
        <w:pStyle w:val="20"/>
        <w:numPr>
          <w:ilvl w:val="0"/>
          <w:numId w:val="11"/>
        </w:numPr>
        <w:tabs>
          <w:tab w:val="left" w:pos="1539"/>
        </w:tabs>
        <w:spacing w:before="2" w:after="0" w:line="240" w:lineRule="auto"/>
        <w:ind w:left="1539" w:right="0" w:hanging="241"/>
        <w:jc w:val="left"/>
        <w:rPr>
          <w:sz w:val="24"/>
          <w:highlight w:val="none"/>
        </w:rPr>
      </w:pPr>
      <w:r>
        <w:rPr>
          <w:sz w:val="24"/>
          <w:highlight w:val="none"/>
        </w:rPr>
        <w:t xml:space="preserve">具有独立承担民事责任的能力；  </w:t>
      </w:r>
    </w:p>
    <w:p>
      <w:pPr>
        <w:pStyle w:val="20"/>
        <w:numPr>
          <w:ilvl w:val="0"/>
          <w:numId w:val="11"/>
        </w:numPr>
        <w:tabs>
          <w:tab w:val="left" w:pos="1539"/>
        </w:tabs>
        <w:spacing w:before="160" w:after="0" w:line="240" w:lineRule="auto"/>
        <w:ind w:left="1539" w:right="0" w:hanging="241"/>
        <w:jc w:val="left"/>
        <w:rPr>
          <w:sz w:val="24"/>
          <w:highlight w:val="none"/>
        </w:rPr>
      </w:pPr>
      <w:r>
        <w:rPr>
          <w:sz w:val="24"/>
          <w:highlight w:val="none"/>
        </w:rPr>
        <w:t xml:space="preserve">具有良好的商业信誉和健全的财务会计制度； </w:t>
      </w:r>
    </w:p>
    <w:p>
      <w:pPr>
        <w:pStyle w:val="20"/>
        <w:numPr>
          <w:ilvl w:val="0"/>
          <w:numId w:val="11"/>
        </w:numPr>
        <w:tabs>
          <w:tab w:val="left" w:pos="1539"/>
        </w:tabs>
        <w:spacing w:before="161" w:after="0" w:line="240" w:lineRule="auto"/>
        <w:ind w:left="1539" w:right="0" w:hanging="241"/>
        <w:jc w:val="left"/>
        <w:rPr>
          <w:sz w:val="24"/>
          <w:highlight w:val="none"/>
        </w:rPr>
      </w:pPr>
      <w:r>
        <w:rPr>
          <w:sz w:val="24"/>
          <w:highlight w:val="none"/>
        </w:rPr>
        <w:t xml:space="preserve">具有履行合同所必需的设备和专业技术能力； </w:t>
      </w:r>
    </w:p>
    <w:p>
      <w:pPr>
        <w:pStyle w:val="20"/>
        <w:numPr>
          <w:ilvl w:val="0"/>
          <w:numId w:val="11"/>
        </w:numPr>
        <w:tabs>
          <w:tab w:val="left" w:pos="1539"/>
        </w:tabs>
        <w:spacing w:before="160" w:after="0" w:line="240" w:lineRule="auto"/>
        <w:ind w:left="1539" w:right="0" w:hanging="241"/>
        <w:jc w:val="left"/>
        <w:rPr>
          <w:sz w:val="24"/>
          <w:highlight w:val="none"/>
        </w:rPr>
      </w:pPr>
      <w:r>
        <w:rPr>
          <w:sz w:val="24"/>
          <w:highlight w:val="none"/>
        </w:rPr>
        <w:t xml:space="preserve">具有依法缴纳税收和社会保障资金的良好记录； </w:t>
      </w:r>
    </w:p>
    <w:p>
      <w:pPr>
        <w:pStyle w:val="20"/>
        <w:numPr>
          <w:ilvl w:val="0"/>
          <w:numId w:val="11"/>
        </w:numPr>
        <w:tabs>
          <w:tab w:val="left" w:pos="1539"/>
        </w:tabs>
        <w:spacing w:before="161" w:after="0" w:line="240" w:lineRule="auto"/>
        <w:ind w:left="1539" w:right="0" w:hanging="241"/>
        <w:jc w:val="left"/>
        <w:rPr>
          <w:sz w:val="24"/>
          <w:highlight w:val="none"/>
        </w:rPr>
      </w:pPr>
      <w:r>
        <w:rPr>
          <w:sz w:val="24"/>
          <w:highlight w:val="none"/>
        </w:rPr>
        <w:t xml:space="preserve">参加政府采购活动前三年内，在经营活动中没有重大违法记录； </w:t>
      </w:r>
    </w:p>
    <w:p>
      <w:pPr>
        <w:pStyle w:val="20"/>
        <w:numPr>
          <w:ilvl w:val="0"/>
          <w:numId w:val="11"/>
        </w:numPr>
        <w:tabs>
          <w:tab w:val="left" w:pos="1539"/>
        </w:tabs>
        <w:spacing w:before="161" w:after="0" w:line="240" w:lineRule="auto"/>
        <w:ind w:left="1539" w:right="0" w:hanging="241"/>
        <w:jc w:val="left"/>
        <w:rPr>
          <w:sz w:val="24"/>
          <w:highlight w:val="none"/>
        </w:rPr>
      </w:pPr>
      <w:r>
        <w:rPr>
          <w:sz w:val="24"/>
          <w:highlight w:val="none"/>
        </w:rPr>
        <w:t xml:space="preserve">法律、行政法规规定的其他条件； </w:t>
      </w:r>
    </w:p>
    <w:p>
      <w:pPr>
        <w:pStyle w:val="20"/>
        <w:numPr>
          <w:ilvl w:val="0"/>
          <w:numId w:val="11"/>
        </w:numPr>
        <w:tabs>
          <w:tab w:val="left" w:pos="1539"/>
        </w:tabs>
        <w:spacing w:before="160" w:after="0" w:line="240" w:lineRule="auto"/>
        <w:ind w:left="1539" w:right="0" w:hanging="241"/>
        <w:jc w:val="left"/>
        <w:rPr>
          <w:sz w:val="24"/>
          <w:highlight w:val="none"/>
        </w:rPr>
      </w:pPr>
      <w:r>
        <w:rPr>
          <w:spacing w:val="-17"/>
          <w:sz w:val="24"/>
          <w:highlight w:val="none"/>
        </w:rPr>
        <w:t xml:space="preserve">具有本招标文件第二部分“投标人须知前附表”中第 </w:t>
      </w:r>
      <w:r>
        <w:rPr>
          <w:sz w:val="24"/>
          <w:highlight w:val="none"/>
        </w:rPr>
        <w:t>5</w:t>
      </w:r>
      <w:r>
        <w:rPr>
          <w:spacing w:val="-20"/>
          <w:sz w:val="24"/>
          <w:highlight w:val="none"/>
        </w:rPr>
        <w:t xml:space="preserve"> 项规定的资格条件。</w:t>
      </w:r>
      <w:r>
        <w:rPr>
          <w:sz w:val="24"/>
          <w:highlight w:val="none"/>
        </w:rPr>
        <w:t xml:space="preserve"> </w:t>
      </w:r>
    </w:p>
    <w:p>
      <w:pPr>
        <w:pStyle w:val="20"/>
        <w:numPr>
          <w:ilvl w:val="1"/>
          <w:numId w:val="10"/>
        </w:numPr>
        <w:tabs>
          <w:tab w:val="left" w:pos="1659"/>
        </w:tabs>
        <w:spacing w:before="161" w:after="0" w:line="364" w:lineRule="auto"/>
        <w:ind w:left="818" w:right="1792" w:firstLine="479"/>
        <w:jc w:val="left"/>
        <w:rPr>
          <w:sz w:val="24"/>
          <w:highlight w:val="none"/>
        </w:rPr>
      </w:pPr>
      <w:r>
        <w:rPr>
          <w:spacing w:val="-4"/>
          <w:sz w:val="24"/>
          <w:highlight w:val="none"/>
        </w:rPr>
        <w:t>投标人之间如果存在下列情形之一的，不得同时参加同一包</w:t>
      </w:r>
      <w:r>
        <w:rPr>
          <w:sz w:val="24"/>
          <w:highlight w:val="none"/>
        </w:rPr>
        <w:t>（标段</w:t>
      </w:r>
      <w:r>
        <w:rPr>
          <w:spacing w:val="-29"/>
          <w:sz w:val="24"/>
          <w:highlight w:val="none"/>
        </w:rPr>
        <w:t>）</w:t>
      </w:r>
      <w:r>
        <w:rPr>
          <w:spacing w:val="-16"/>
          <w:sz w:val="24"/>
          <w:highlight w:val="none"/>
        </w:rPr>
        <w:t>或</w:t>
      </w:r>
      <w:r>
        <w:rPr>
          <w:sz w:val="24"/>
          <w:highlight w:val="none"/>
        </w:rPr>
        <w:t xml:space="preserve">者不分包（标段）的同一项目投标： </w:t>
      </w:r>
    </w:p>
    <w:p>
      <w:pPr>
        <w:pStyle w:val="20"/>
        <w:numPr>
          <w:ilvl w:val="2"/>
          <w:numId w:val="10"/>
        </w:numPr>
        <w:tabs>
          <w:tab w:val="left" w:pos="1899"/>
        </w:tabs>
        <w:spacing w:before="1" w:after="0" w:line="240" w:lineRule="auto"/>
        <w:ind w:left="1899" w:right="0" w:hanging="601"/>
        <w:jc w:val="left"/>
        <w:rPr>
          <w:sz w:val="24"/>
          <w:highlight w:val="none"/>
        </w:rPr>
      </w:pPr>
      <w:r>
        <w:rPr>
          <w:sz w:val="24"/>
          <w:highlight w:val="none"/>
        </w:rPr>
        <w:t xml:space="preserve">法定代表人为同一个人的两个及两个以上法人； </w:t>
      </w:r>
    </w:p>
    <w:p>
      <w:pPr>
        <w:spacing w:after="0" w:line="240" w:lineRule="auto"/>
        <w:jc w:val="left"/>
        <w:rPr>
          <w:sz w:val="24"/>
          <w:highlight w:val="none"/>
        </w:rPr>
        <w:sectPr>
          <w:pgSz w:w="11910" w:h="16840"/>
          <w:pgMar w:top="1580" w:right="0" w:bottom="1180" w:left="980" w:header="0" w:footer="915" w:gutter="0"/>
          <w:cols w:space="720" w:num="1"/>
        </w:sectPr>
      </w:pPr>
    </w:p>
    <w:p>
      <w:pPr>
        <w:pStyle w:val="20"/>
        <w:numPr>
          <w:ilvl w:val="2"/>
          <w:numId w:val="10"/>
        </w:numPr>
        <w:tabs>
          <w:tab w:val="left" w:pos="1899"/>
        </w:tabs>
        <w:spacing w:before="40" w:after="0" w:line="240" w:lineRule="auto"/>
        <w:ind w:left="1899" w:right="0" w:hanging="601"/>
        <w:jc w:val="left"/>
        <w:rPr>
          <w:sz w:val="24"/>
          <w:highlight w:val="none"/>
        </w:rPr>
      </w:pPr>
      <w:r>
        <w:rPr>
          <w:sz w:val="24"/>
          <w:highlight w:val="none"/>
        </w:rPr>
        <w:t xml:space="preserve">母公司、全资子公司及其控股公司； </w:t>
      </w:r>
    </w:p>
    <w:p>
      <w:pPr>
        <w:pStyle w:val="20"/>
        <w:numPr>
          <w:ilvl w:val="2"/>
          <w:numId w:val="10"/>
        </w:numPr>
        <w:tabs>
          <w:tab w:val="left" w:pos="1899"/>
        </w:tabs>
        <w:spacing w:before="161" w:after="0" w:line="240" w:lineRule="auto"/>
        <w:ind w:left="1899" w:right="0" w:hanging="601"/>
        <w:jc w:val="left"/>
        <w:rPr>
          <w:sz w:val="24"/>
          <w:highlight w:val="none"/>
        </w:rPr>
      </w:pPr>
      <w:r>
        <w:rPr>
          <w:sz w:val="24"/>
          <w:highlight w:val="none"/>
        </w:rPr>
        <w:t xml:space="preserve">参加投标的其他组织之间存在特殊的利害关系的； </w:t>
      </w:r>
    </w:p>
    <w:p>
      <w:pPr>
        <w:pStyle w:val="20"/>
        <w:numPr>
          <w:ilvl w:val="2"/>
          <w:numId w:val="10"/>
        </w:numPr>
        <w:tabs>
          <w:tab w:val="left" w:pos="1899"/>
        </w:tabs>
        <w:spacing w:before="161" w:after="0" w:line="240" w:lineRule="auto"/>
        <w:ind w:left="1899" w:right="0" w:hanging="601"/>
        <w:jc w:val="left"/>
        <w:rPr>
          <w:sz w:val="24"/>
          <w:highlight w:val="none"/>
        </w:rPr>
      </w:pPr>
      <w:r>
        <w:rPr>
          <w:sz w:val="24"/>
          <w:highlight w:val="none"/>
        </w:rPr>
        <w:t xml:space="preserve">法律和行政法规规定的其他情形。 </w:t>
      </w:r>
    </w:p>
    <w:p>
      <w:pPr>
        <w:pStyle w:val="20"/>
        <w:numPr>
          <w:ilvl w:val="1"/>
          <w:numId w:val="10"/>
        </w:numPr>
        <w:tabs>
          <w:tab w:val="left" w:pos="1659"/>
        </w:tabs>
        <w:spacing w:before="160" w:after="0" w:line="240" w:lineRule="auto"/>
        <w:ind w:left="1659" w:right="0" w:hanging="361"/>
        <w:jc w:val="left"/>
        <w:rPr>
          <w:sz w:val="24"/>
          <w:highlight w:val="none"/>
        </w:rPr>
      </w:pPr>
      <w:r>
        <w:rPr>
          <w:spacing w:val="-7"/>
          <w:sz w:val="24"/>
          <w:highlight w:val="none"/>
        </w:rPr>
        <w:t xml:space="preserve">投标人须持有《法定代表人授权委托书》。 </w:t>
      </w:r>
    </w:p>
    <w:p>
      <w:pPr>
        <w:pStyle w:val="20"/>
        <w:numPr>
          <w:ilvl w:val="1"/>
          <w:numId w:val="10"/>
        </w:numPr>
        <w:tabs>
          <w:tab w:val="left" w:pos="1659"/>
        </w:tabs>
        <w:spacing w:before="161" w:after="0" w:line="364" w:lineRule="auto"/>
        <w:ind w:left="818" w:right="1793" w:firstLine="479"/>
        <w:jc w:val="left"/>
        <w:rPr>
          <w:sz w:val="24"/>
          <w:highlight w:val="none"/>
        </w:rPr>
      </w:pPr>
      <w:r>
        <w:rPr>
          <w:spacing w:val="-4"/>
          <w:sz w:val="24"/>
          <w:highlight w:val="none"/>
        </w:rPr>
        <w:t>投标人在</w:t>
      </w:r>
      <w:r>
        <w:rPr>
          <w:rFonts w:hint="eastAsia"/>
          <w:spacing w:val="-4"/>
          <w:sz w:val="24"/>
          <w:highlight w:val="none"/>
          <w:lang w:val="en-US" w:eastAsia="zh-CN"/>
        </w:rPr>
        <w:t>新疆政府采购网</w:t>
      </w:r>
      <w:r>
        <w:rPr>
          <w:spacing w:val="-4"/>
          <w:sz w:val="24"/>
          <w:highlight w:val="none"/>
        </w:rPr>
        <w:t>平台内针对本项目下载了采购文件</w:t>
      </w:r>
    </w:p>
    <w:p>
      <w:pPr>
        <w:pStyle w:val="20"/>
        <w:numPr>
          <w:ilvl w:val="1"/>
          <w:numId w:val="10"/>
        </w:numPr>
        <w:tabs>
          <w:tab w:val="left" w:pos="1659"/>
        </w:tabs>
        <w:spacing w:before="1" w:after="0" w:line="240" w:lineRule="auto"/>
        <w:ind w:left="1659" w:right="0" w:hanging="361"/>
        <w:jc w:val="left"/>
        <w:rPr>
          <w:sz w:val="24"/>
          <w:highlight w:val="none"/>
        </w:rPr>
      </w:pPr>
      <w:r>
        <w:rPr>
          <w:sz w:val="24"/>
          <w:highlight w:val="none"/>
        </w:rPr>
        <w:t xml:space="preserve">投标人按时足额交纳投标保证金。 </w:t>
      </w:r>
    </w:p>
    <w:p>
      <w:pPr>
        <w:pStyle w:val="20"/>
        <w:numPr>
          <w:ilvl w:val="1"/>
          <w:numId w:val="10"/>
        </w:numPr>
        <w:tabs>
          <w:tab w:val="left" w:pos="1659"/>
        </w:tabs>
        <w:spacing w:before="161" w:after="0" w:line="364" w:lineRule="auto"/>
        <w:ind w:left="818" w:right="1791" w:firstLine="479"/>
        <w:jc w:val="both"/>
        <w:rPr>
          <w:sz w:val="24"/>
          <w:highlight w:val="none"/>
        </w:rPr>
      </w:pPr>
      <w:r>
        <w:rPr>
          <w:spacing w:val="4"/>
          <w:sz w:val="24"/>
          <w:highlight w:val="none"/>
        </w:rPr>
        <w:t>本次招标是否允许由两个以上投标人组成一个联合体以一个投标人身</w:t>
      </w:r>
      <w:r>
        <w:rPr>
          <w:spacing w:val="-9"/>
          <w:sz w:val="24"/>
          <w:highlight w:val="none"/>
        </w:rPr>
        <w:t xml:space="preserve">份共同投标，按照招标文件第二部分“投标人须知前附表”中第 </w:t>
      </w:r>
      <w:r>
        <w:rPr>
          <w:sz w:val="24"/>
          <w:highlight w:val="none"/>
        </w:rPr>
        <w:t>7</w:t>
      </w:r>
      <w:r>
        <w:rPr>
          <w:spacing w:val="-15"/>
          <w:sz w:val="24"/>
          <w:highlight w:val="none"/>
        </w:rPr>
        <w:t xml:space="preserve"> 项的规定。如</w:t>
      </w:r>
      <w:r>
        <w:rPr>
          <w:sz w:val="24"/>
          <w:highlight w:val="none"/>
        </w:rPr>
        <w:t xml:space="preserve">果允许，除均应符合上述规定外，还应符合下列要求： </w:t>
      </w:r>
    </w:p>
    <w:p>
      <w:pPr>
        <w:pStyle w:val="20"/>
        <w:numPr>
          <w:ilvl w:val="0"/>
          <w:numId w:val="12"/>
        </w:numPr>
        <w:tabs>
          <w:tab w:val="left" w:pos="1659"/>
        </w:tabs>
        <w:spacing w:before="2" w:after="0" w:line="364" w:lineRule="auto"/>
        <w:ind w:left="818" w:right="1792" w:firstLine="479"/>
        <w:jc w:val="both"/>
        <w:rPr>
          <w:sz w:val="24"/>
          <w:highlight w:val="none"/>
        </w:rPr>
      </w:pPr>
      <w:r>
        <w:rPr>
          <w:spacing w:val="-13"/>
          <w:sz w:val="24"/>
          <w:highlight w:val="none"/>
        </w:rPr>
        <w:t>联合投标体应提供“联合投标协议书”，该协议书对联合投标各方均具</w:t>
      </w:r>
      <w:r>
        <w:rPr>
          <w:spacing w:val="-10"/>
          <w:sz w:val="24"/>
          <w:highlight w:val="none"/>
        </w:rPr>
        <w:t xml:space="preserve">有法律约束力。联合投标体必须确定其中一方为投标的全权代表参加投标活动， </w:t>
      </w:r>
      <w:r>
        <w:rPr>
          <w:spacing w:val="-8"/>
          <w:sz w:val="24"/>
          <w:highlight w:val="none"/>
        </w:rPr>
        <w:t>并承担投标及履约活动中的全部责任与义务，且联合体各方无论是否实际参加、</w:t>
      </w:r>
      <w:r>
        <w:rPr>
          <w:spacing w:val="-10"/>
          <w:sz w:val="24"/>
          <w:highlight w:val="none"/>
        </w:rPr>
        <w:t>发生的情形怎样，一旦该联合体实际开始投标，联合体各方均应当就本次采购所</w:t>
      </w:r>
      <w:r>
        <w:rPr>
          <w:spacing w:val="-9"/>
          <w:sz w:val="24"/>
          <w:highlight w:val="none"/>
        </w:rPr>
        <w:t>引起或相关的任何或所有事项、义务、责任、损失等承担连带责任。申请参与本</w:t>
      </w:r>
      <w:r>
        <w:rPr>
          <w:spacing w:val="-7"/>
          <w:sz w:val="24"/>
          <w:highlight w:val="none"/>
        </w:rPr>
        <w:t>项目联合投标成员各自均应具备政府有权机构核发的有效营业执照；均应是自主</w:t>
      </w:r>
      <w:r>
        <w:rPr>
          <w:spacing w:val="-4"/>
          <w:sz w:val="24"/>
          <w:highlight w:val="none"/>
        </w:rPr>
        <w:t xml:space="preserve">经营、独立核算、处于持续正常经营状态的经济实体。 </w:t>
      </w:r>
    </w:p>
    <w:p>
      <w:pPr>
        <w:pStyle w:val="20"/>
        <w:numPr>
          <w:ilvl w:val="0"/>
          <w:numId w:val="12"/>
        </w:numPr>
        <w:tabs>
          <w:tab w:val="left" w:pos="1659"/>
        </w:tabs>
        <w:spacing w:before="5" w:after="0" w:line="364" w:lineRule="auto"/>
        <w:ind w:left="818" w:right="1795" w:firstLine="479"/>
        <w:jc w:val="both"/>
        <w:rPr>
          <w:sz w:val="24"/>
          <w:highlight w:val="none"/>
        </w:rPr>
      </w:pPr>
      <w:r>
        <w:rPr>
          <w:spacing w:val="-1"/>
          <w:sz w:val="24"/>
          <w:highlight w:val="none"/>
        </w:rPr>
        <w:t>联合体各方中至少应当有一方对应满足本项目规定的相应资质条件，并</w:t>
      </w:r>
      <w:r>
        <w:rPr>
          <w:spacing w:val="-5"/>
          <w:sz w:val="24"/>
          <w:highlight w:val="none"/>
        </w:rPr>
        <w:t>且联合体投标人整体应当符合本项目的资质要求，否则，其提交的联合投标将被</w:t>
      </w:r>
      <w:r>
        <w:rPr>
          <w:sz w:val="24"/>
          <w:highlight w:val="none"/>
        </w:rPr>
        <w:t xml:space="preserve">拒绝。 </w:t>
      </w:r>
    </w:p>
    <w:p>
      <w:pPr>
        <w:pStyle w:val="20"/>
        <w:numPr>
          <w:ilvl w:val="0"/>
          <w:numId w:val="12"/>
        </w:numPr>
        <w:tabs>
          <w:tab w:val="left" w:pos="1659"/>
        </w:tabs>
        <w:spacing w:before="1" w:after="0" w:line="364" w:lineRule="auto"/>
        <w:ind w:left="818" w:right="1794" w:firstLine="479"/>
        <w:jc w:val="both"/>
        <w:rPr>
          <w:sz w:val="24"/>
          <w:highlight w:val="none"/>
        </w:rPr>
      </w:pPr>
      <w:r>
        <w:rPr>
          <w:spacing w:val="-1"/>
          <w:sz w:val="24"/>
          <w:highlight w:val="none"/>
        </w:rPr>
        <w:t>由不同专业的投标人组成的联合体</w:t>
      </w:r>
      <w:r>
        <w:rPr>
          <w:rFonts w:hint="eastAsia"/>
          <w:spacing w:val="-1"/>
          <w:sz w:val="24"/>
          <w:highlight w:val="none"/>
          <w:lang w:eastAsia="zh-CN"/>
        </w:rPr>
        <w:t>，</w:t>
      </w:r>
      <w:r>
        <w:rPr>
          <w:spacing w:val="-1"/>
          <w:sz w:val="24"/>
          <w:highlight w:val="none"/>
        </w:rPr>
        <w:t xml:space="preserve"> 首先以投标的全权代表方的应答材料作为认定资质以及商务评审的依据；涉及行业专属的资质</w:t>
      </w:r>
      <w:r>
        <w:rPr>
          <w:rFonts w:hint="eastAsia"/>
          <w:spacing w:val="-1"/>
          <w:sz w:val="24"/>
          <w:highlight w:val="none"/>
          <w:lang w:eastAsia="zh-CN"/>
        </w:rPr>
        <w:t>，</w:t>
      </w:r>
      <w:r>
        <w:rPr>
          <w:spacing w:val="-1"/>
          <w:sz w:val="24"/>
          <w:highlight w:val="none"/>
        </w:rPr>
        <w:t>按照所属行业所对</w:t>
      </w:r>
      <w:r>
        <w:rPr>
          <w:sz w:val="24"/>
          <w:highlight w:val="none"/>
        </w:rPr>
        <w:t xml:space="preserve">应的投标人的应答材料确定。 </w:t>
      </w:r>
    </w:p>
    <w:p>
      <w:pPr>
        <w:pStyle w:val="20"/>
        <w:numPr>
          <w:ilvl w:val="0"/>
          <w:numId w:val="12"/>
        </w:numPr>
        <w:tabs>
          <w:tab w:val="left" w:pos="1659"/>
        </w:tabs>
        <w:spacing w:before="3" w:after="0" w:line="364" w:lineRule="auto"/>
        <w:ind w:left="818" w:right="1675" w:firstLine="479"/>
        <w:jc w:val="left"/>
        <w:rPr>
          <w:sz w:val="24"/>
          <w:highlight w:val="none"/>
        </w:rPr>
      </w:pPr>
      <w:r>
        <w:rPr>
          <w:spacing w:val="-7"/>
          <w:sz w:val="24"/>
          <w:highlight w:val="none"/>
        </w:rPr>
        <w:t>联合体中标后，合同应由各成员的合法授权代表签字并加盖各成员公章，以便对联合体成员作为整体和他们各自作为独立体均具有法律约束力，但若该</w:t>
      </w:r>
      <w:r>
        <w:rPr>
          <w:spacing w:val="-13"/>
          <w:sz w:val="24"/>
          <w:highlight w:val="none"/>
        </w:rPr>
        <w:t>等签字或公章不齐全或缺乏，该联合体的牵头人的签署或类似的意思表示人具有</w:t>
      </w:r>
      <w:r>
        <w:rPr>
          <w:spacing w:val="-17"/>
          <w:sz w:val="24"/>
          <w:highlight w:val="none"/>
        </w:rPr>
        <w:t xml:space="preserve">代表该联合体的签署或意思表示的法律效力，并且据此各成员为履行合同应向采购代理机构与采购人承担连带责任。 </w:t>
      </w:r>
    </w:p>
    <w:p>
      <w:pPr>
        <w:pStyle w:val="20"/>
        <w:numPr>
          <w:ilvl w:val="0"/>
          <w:numId w:val="12"/>
        </w:numPr>
        <w:tabs>
          <w:tab w:val="left" w:pos="1659"/>
        </w:tabs>
        <w:spacing w:before="3" w:after="0" w:line="240" w:lineRule="auto"/>
        <w:ind w:left="1659" w:right="0" w:hanging="361"/>
        <w:jc w:val="left"/>
        <w:rPr>
          <w:sz w:val="24"/>
          <w:highlight w:val="none"/>
        </w:rPr>
      </w:pPr>
      <w:r>
        <w:rPr>
          <w:sz w:val="24"/>
          <w:highlight w:val="none"/>
        </w:rPr>
        <w:t>联合体或其成员不得将其在合同项下的权利或义务全部或部分转让给第</w:t>
      </w:r>
    </w:p>
    <w:p>
      <w:pPr>
        <w:spacing w:after="0" w:line="240" w:lineRule="auto"/>
        <w:jc w:val="left"/>
        <w:rPr>
          <w:sz w:val="24"/>
          <w:highlight w:val="none"/>
        </w:rPr>
        <w:sectPr>
          <w:pgSz w:w="11910" w:h="16840"/>
          <w:pgMar w:top="1460" w:right="0" w:bottom="1180" w:left="980" w:header="0" w:footer="915" w:gutter="0"/>
          <w:cols w:space="720" w:num="1"/>
        </w:sectPr>
      </w:pPr>
    </w:p>
    <w:p>
      <w:pPr>
        <w:pStyle w:val="10"/>
        <w:spacing w:before="40" w:line="364" w:lineRule="auto"/>
        <w:ind w:right="1795"/>
        <w:rPr>
          <w:highlight w:val="none"/>
        </w:rPr>
      </w:pPr>
      <w:r>
        <w:rPr>
          <w:spacing w:val="-11"/>
          <w:highlight w:val="none"/>
        </w:rPr>
        <w:t>三人，有关分包事项或服务委托等须事先取得采购代理机构书面同意并且须遵守</w:t>
      </w:r>
      <w:r>
        <w:rPr>
          <w:highlight w:val="none"/>
        </w:rPr>
        <w:t xml:space="preserve">相关法律、法规、本次招标的全部相关规定。 </w:t>
      </w:r>
    </w:p>
    <w:p>
      <w:pPr>
        <w:pStyle w:val="20"/>
        <w:numPr>
          <w:ilvl w:val="0"/>
          <w:numId w:val="12"/>
        </w:numPr>
        <w:tabs>
          <w:tab w:val="left" w:pos="1659"/>
        </w:tabs>
        <w:spacing w:before="2" w:after="0" w:line="364" w:lineRule="auto"/>
        <w:ind w:left="818" w:right="1792" w:firstLine="479"/>
        <w:jc w:val="both"/>
        <w:rPr>
          <w:sz w:val="24"/>
          <w:highlight w:val="none"/>
        </w:rPr>
      </w:pPr>
      <w:r>
        <w:rPr>
          <w:sz w:val="24"/>
          <w:highlight w:val="none"/>
        </w:rPr>
        <w:t>联合体各方均不得同时再以自己独立的名义单独投标，也不得再同时参</w:t>
      </w:r>
      <w:r>
        <w:rPr>
          <w:spacing w:val="-9"/>
          <w:sz w:val="24"/>
          <w:highlight w:val="none"/>
        </w:rPr>
        <w:t>加其他的联合体投标。若该等情形被发现，其单独的投标和与此有关的联合体的</w:t>
      </w:r>
      <w:r>
        <w:rPr>
          <w:sz w:val="24"/>
          <w:highlight w:val="none"/>
        </w:rPr>
        <w:t xml:space="preserve">投标均将被一并拒绝。 </w:t>
      </w:r>
    </w:p>
    <w:p>
      <w:pPr>
        <w:pStyle w:val="10"/>
        <w:spacing w:before="2"/>
        <w:ind w:left="1298"/>
        <w:rPr>
          <w:highlight w:val="none"/>
        </w:rPr>
      </w:pPr>
      <w:r>
        <w:rPr>
          <w:highlight w:val="none"/>
        </w:rPr>
        <w:t xml:space="preserve">3.7 投标人不得与采购人、采购代理机构等有利害关系。 </w:t>
      </w:r>
    </w:p>
    <w:p>
      <w:pPr>
        <w:pStyle w:val="7"/>
        <w:numPr>
          <w:ilvl w:val="0"/>
          <w:numId w:val="10"/>
        </w:numPr>
        <w:tabs>
          <w:tab w:val="left" w:pos="1062"/>
        </w:tabs>
        <w:spacing w:before="81" w:after="0" w:line="240" w:lineRule="auto"/>
        <w:ind w:left="1061" w:right="0" w:hanging="244"/>
        <w:jc w:val="left"/>
        <w:rPr>
          <w:highlight w:val="none"/>
        </w:rPr>
      </w:pPr>
      <w:r>
        <w:rPr>
          <w:highlight w:val="none"/>
        </w:rPr>
        <w:t>投标费用</w:t>
      </w:r>
      <w:r>
        <w:rPr>
          <w:w w:val="200"/>
          <w:highlight w:val="none"/>
        </w:rPr>
        <w:t xml:space="preserve"> </w:t>
      </w:r>
    </w:p>
    <w:p>
      <w:pPr>
        <w:pStyle w:val="20"/>
        <w:numPr>
          <w:ilvl w:val="0"/>
          <w:numId w:val="0"/>
        </w:numPr>
        <w:tabs>
          <w:tab w:val="left" w:pos="1659"/>
        </w:tabs>
        <w:spacing w:before="106" w:after="0" w:line="240" w:lineRule="auto"/>
        <w:ind w:left="1298" w:leftChars="0" w:right="0" w:rightChars="0"/>
        <w:jc w:val="left"/>
        <w:rPr>
          <w:sz w:val="24"/>
          <w:highlight w:val="none"/>
        </w:rPr>
      </w:pPr>
      <w:r>
        <w:rPr>
          <w:rFonts w:hint="eastAsia"/>
          <w:sz w:val="24"/>
          <w:highlight w:val="none"/>
          <w:lang w:val="en-US" w:eastAsia="zh-CN"/>
        </w:rPr>
        <w:t>4.1</w:t>
      </w:r>
      <w:r>
        <w:rPr>
          <w:sz w:val="24"/>
          <w:highlight w:val="none"/>
        </w:rPr>
        <w:t xml:space="preserve">投标人应承担所有与准备和参加投标有关的费用。 </w:t>
      </w:r>
    </w:p>
    <w:p>
      <w:pPr>
        <w:pStyle w:val="7"/>
        <w:numPr>
          <w:ilvl w:val="0"/>
          <w:numId w:val="10"/>
        </w:numPr>
        <w:tabs>
          <w:tab w:val="left" w:pos="1062"/>
        </w:tabs>
        <w:spacing w:before="82" w:after="0" w:line="240" w:lineRule="auto"/>
        <w:ind w:left="1061" w:right="0" w:hanging="244"/>
        <w:jc w:val="left"/>
        <w:rPr>
          <w:highlight w:val="none"/>
        </w:rPr>
      </w:pPr>
      <w:r>
        <w:rPr>
          <w:highlight w:val="none"/>
        </w:rPr>
        <w:t>纪律</w:t>
      </w:r>
      <w:r>
        <w:rPr>
          <w:w w:val="200"/>
          <w:highlight w:val="none"/>
        </w:rPr>
        <w:t xml:space="preserve"> </w:t>
      </w:r>
    </w:p>
    <w:p>
      <w:pPr>
        <w:pStyle w:val="20"/>
        <w:numPr>
          <w:ilvl w:val="1"/>
          <w:numId w:val="10"/>
        </w:numPr>
        <w:tabs>
          <w:tab w:val="left" w:pos="1659"/>
        </w:tabs>
        <w:spacing w:before="106" w:after="0" w:line="240" w:lineRule="auto"/>
        <w:ind w:left="1659" w:right="0" w:hanging="361"/>
        <w:jc w:val="left"/>
        <w:rPr>
          <w:sz w:val="24"/>
          <w:highlight w:val="none"/>
        </w:rPr>
      </w:pPr>
      <w:r>
        <w:rPr>
          <w:sz w:val="24"/>
          <w:highlight w:val="none"/>
        </w:rPr>
        <w:t xml:space="preserve">投标人的投标行为应遵守中国的有关法律、法规和规章。 </w:t>
      </w:r>
    </w:p>
    <w:p>
      <w:pPr>
        <w:pStyle w:val="20"/>
        <w:numPr>
          <w:ilvl w:val="1"/>
          <w:numId w:val="10"/>
        </w:numPr>
        <w:tabs>
          <w:tab w:val="left" w:pos="1659"/>
        </w:tabs>
        <w:spacing w:before="106" w:after="0" w:line="240" w:lineRule="auto"/>
        <w:ind w:left="1659" w:right="1100" w:rightChars="500" w:hanging="361"/>
        <w:jc w:val="left"/>
        <w:rPr>
          <w:sz w:val="24"/>
          <w:highlight w:val="none"/>
        </w:rPr>
      </w:pPr>
      <w:r>
        <w:rPr>
          <w:sz w:val="24"/>
          <w:highlight w:val="none"/>
        </w:rPr>
        <w:t>投标人</w:t>
      </w:r>
      <w:r>
        <w:rPr>
          <w:spacing w:val="-7"/>
          <w:sz w:val="24"/>
          <w:highlight w:val="none"/>
        </w:rPr>
        <w:t>不得相互串通投标报价，不得妨碍其他投标人的公平竞争，不得</w:t>
      </w:r>
      <w:r>
        <w:rPr>
          <w:spacing w:val="-6"/>
          <w:sz w:val="24"/>
          <w:highlight w:val="none"/>
        </w:rPr>
        <w:t>损害采购人或其他投标人的合法权益，投标人不得以向采购人、评标委员会成员</w:t>
      </w:r>
      <w:r>
        <w:rPr>
          <w:sz w:val="24"/>
          <w:highlight w:val="none"/>
        </w:rPr>
        <w:t xml:space="preserve">行贿或者采取其他不正当手段谋取中标。 </w:t>
      </w:r>
    </w:p>
    <w:p>
      <w:pPr>
        <w:pStyle w:val="20"/>
        <w:numPr>
          <w:ilvl w:val="2"/>
          <w:numId w:val="10"/>
        </w:numPr>
        <w:tabs>
          <w:tab w:val="left" w:pos="1899"/>
        </w:tabs>
        <w:spacing w:before="2" w:after="0" w:line="240" w:lineRule="auto"/>
        <w:ind w:left="1899" w:right="0" w:hanging="601"/>
        <w:jc w:val="left"/>
        <w:rPr>
          <w:sz w:val="24"/>
          <w:highlight w:val="none"/>
        </w:rPr>
      </w:pPr>
      <w:r>
        <w:rPr>
          <w:sz w:val="24"/>
          <w:highlight w:val="none"/>
        </w:rPr>
        <w:t xml:space="preserve">有下列情形之一的，属于投标人相互串通投标： </w:t>
      </w:r>
    </w:p>
    <w:p>
      <w:pPr>
        <w:pStyle w:val="20"/>
        <w:numPr>
          <w:ilvl w:val="3"/>
          <w:numId w:val="10"/>
        </w:numPr>
        <w:tabs>
          <w:tab w:val="left" w:pos="2139"/>
        </w:tabs>
        <w:spacing w:before="161" w:after="0" w:line="240" w:lineRule="auto"/>
        <w:ind w:left="2139" w:right="0" w:hanging="841"/>
        <w:jc w:val="left"/>
        <w:rPr>
          <w:sz w:val="24"/>
          <w:highlight w:val="none"/>
        </w:rPr>
      </w:pPr>
      <w:r>
        <w:rPr>
          <w:sz w:val="24"/>
          <w:highlight w:val="none"/>
        </w:rPr>
        <w:t xml:space="preserve">投标人之间协商投标报价等投标文件的实质性内容； </w:t>
      </w:r>
    </w:p>
    <w:p>
      <w:pPr>
        <w:pStyle w:val="20"/>
        <w:numPr>
          <w:ilvl w:val="3"/>
          <w:numId w:val="10"/>
        </w:numPr>
        <w:tabs>
          <w:tab w:val="left" w:pos="2139"/>
        </w:tabs>
        <w:spacing w:before="160" w:after="0" w:line="240" w:lineRule="auto"/>
        <w:ind w:left="2139" w:right="0" w:hanging="841"/>
        <w:jc w:val="left"/>
        <w:rPr>
          <w:sz w:val="24"/>
          <w:highlight w:val="none"/>
        </w:rPr>
      </w:pPr>
      <w:r>
        <w:rPr>
          <w:sz w:val="24"/>
          <w:highlight w:val="none"/>
        </w:rPr>
        <w:t xml:space="preserve">投标人之间约定中标人； </w:t>
      </w:r>
    </w:p>
    <w:p>
      <w:pPr>
        <w:pStyle w:val="20"/>
        <w:numPr>
          <w:ilvl w:val="3"/>
          <w:numId w:val="10"/>
        </w:numPr>
        <w:tabs>
          <w:tab w:val="left" w:pos="2139"/>
        </w:tabs>
        <w:spacing w:before="161" w:after="0" w:line="240" w:lineRule="auto"/>
        <w:ind w:left="2139" w:right="0" w:hanging="841"/>
        <w:jc w:val="left"/>
        <w:rPr>
          <w:sz w:val="24"/>
          <w:highlight w:val="none"/>
        </w:rPr>
      </w:pPr>
      <w:r>
        <w:rPr>
          <w:sz w:val="24"/>
          <w:highlight w:val="none"/>
        </w:rPr>
        <w:t xml:space="preserve">投标人之间约定部分投标人放弃投标或者中标； </w:t>
      </w:r>
    </w:p>
    <w:p>
      <w:pPr>
        <w:pStyle w:val="20"/>
        <w:numPr>
          <w:ilvl w:val="3"/>
          <w:numId w:val="10"/>
        </w:numPr>
        <w:tabs>
          <w:tab w:val="left" w:pos="2139"/>
        </w:tabs>
        <w:spacing w:before="161" w:after="0" w:line="364" w:lineRule="auto"/>
        <w:ind w:left="818" w:right="1795" w:firstLine="479"/>
        <w:jc w:val="left"/>
        <w:rPr>
          <w:sz w:val="24"/>
          <w:highlight w:val="none"/>
        </w:rPr>
      </w:pPr>
      <w:r>
        <w:rPr>
          <w:spacing w:val="-11"/>
          <w:sz w:val="24"/>
          <w:highlight w:val="none"/>
        </w:rPr>
        <w:t>属于同一集团、协会、商会等组织成员的投标人按照该组织要求协</w:t>
      </w:r>
      <w:r>
        <w:rPr>
          <w:sz w:val="24"/>
          <w:highlight w:val="none"/>
        </w:rPr>
        <w:t xml:space="preserve">同投标； </w:t>
      </w:r>
    </w:p>
    <w:p>
      <w:pPr>
        <w:pStyle w:val="20"/>
        <w:numPr>
          <w:ilvl w:val="3"/>
          <w:numId w:val="10"/>
        </w:numPr>
        <w:tabs>
          <w:tab w:val="left" w:pos="2139"/>
        </w:tabs>
        <w:spacing w:before="1" w:after="0" w:line="364" w:lineRule="auto"/>
        <w:ind w:left="818" w:right="1799" w:firstLine="479"/>
        <w:jc w:val="left"/>
        <w:rPr>
          <w:sz w:val="24"/>
          <w:highlight w:val="none"/>
        </w:rPr>
      </w:pPr>
      <w:r>
        <w:rPr>
          <w:spacing w:val="3"/>
          <w:sz w:val="24"/>
          <w:highlight w:val="none"/>
        </w:rPr>
        <w:t xml:space="preserve">投标人之间为谋取中标或者排斥特定投标人而采取的其他联合行动。 </w:t>
      </w:r>
    </w:p>
    <w:p>
      <w:pPr>
        <w:pStyle w:val="20"/>
        <w:numPr>
          <w:ilvl w:val="2"/>
          <w:numId w:val="10"/>
        </w:numPr>
        <w:tabs>
          <w:tab w:val="left" w:pos="1899"/>
        </w:tabs>
        <w:spacing w:before="1" w:after="0" w:line="240" w:lineRule="auto"/>
        <w:ind w:left="1899" w:right="0" w:hanging="601"/>
        <w:jc w:val="left"/>
        <w:rPr>
          <w:sz w:val="24"/>
          <w:highlight w:val="none"/>
        </w:rPr>
      </w:pPr>
      <w:r>
        <w:rPr>
          <w:sz w:val="24"/>
          <w:highlight w:val="none"/>
        </w:rPr>
        <w:t xml:space="preserve">有下列情形之一的，视为投标人相互串通投标： </w:t>
      </w:r>
    </w:p>
    <w:p>
      <w:pPr>
        <w:pStyle w:val="20"/>
        <w:numPr>
          <w:ilvl w:val="3"/>
          <w:numId w:val="10"/>
        </w:numPr>
        <w:tabs>
          <w:tab w:val="left" w:pos="2139"/>
        </w:tabs>
        <w:spacing w:before="160" w:after="0" w:line="240" w:lineRule="auto"/>
        <w:ind w:left="2139" w:right="0" w:hanging="841"/>
        <w:jc w:val="left"/>
        <w:rPr>
          <w:sz w:val="24"/>
          <w:highlight w:val="none"/>
        </w:rPr>
      </w:pPr>
      <w:r>
        <w:rPr>
          <w:sz w:val="24"/>
          <w:highlight w:val="none"/>
        </w:rPr>
        <w:t xml:space="preserve">不同投标人的投标文件由同一单位或者个人编制； </w:t>
      </w:r>
    </w:p>
    <w:p>
      <w:pPr>
        <w:pStyle w:val="20"/>
        <w:numPr>
          <w:ilvl w:val="3"/>
          <w:numId w:val="10"/>
        </w:numPr>
        <w:tabs>
          <w:tab w:val="left" w:pos="2139"/>
        </w:tabs>
        <w:spacing w:before="162" w:after="0" w:line="364" w:lineRule="auto"/>
        <w:ind w:left="818" w:right="1794" w:firstLine="479"/>
        <w:jc w:val="both"/>
        <w:rPr>
          <w:sz w:val="24"/>
          <w:highlight w:val="none"/>
        </w:rPr>
      </w:pPr>
      <w:r>
        <w:rPr>
          <w:spacing w:val="-6"/>
          <w:sz w:val="24"/>
          <w:highlight w:val="none"/>
        </w:rPr>
        <w:t>不同投标人委托同一单位或者个人办理投标事宜，或制作投标</w:t>
      </w:r>
      <w:r>
        <w:rPr>
          <w:spacing w:val="-1"/>
          <w:sz w:val="24"/>
          <w:highlight w:val="none"/>
        </w:rPr>
        <w:t>文件</w:t>
      </w:r>
    </w:p>
    <w:p>
      <w:pPr>
        <w:pStyle w:val="20"/>
        <w:numPr>
          <w:ilvl w:val="3"/>
          <w:numId w:val="10"/>
        </w:numPr>
        <w:tabs>
          <w:tab w:val="left" w:pos="2139"/>
        </w:tabs>
        <w:spacing w:before="1" w:after="0" w:line="240" w:lineRule="auto"/>
        <w:ind w:left="2139" w:right="0" w:hanging="841"/>
        <w:jc w:val="left"/>
        <w:rPr>
          <w:sz w:val="24"/>
          <w:highlight w:val="none"/>
        </w:rPr>
      </w:pPr>
      <w:r>
        <w:rPr>
          <w:sz w:val="24"/>
          <w:highlight w:val="none"/>
        </w:rPr>
        <w:t xml:space="preserve">不同投标人的投标文件载明的项目管理成员为同一人； </w:t>
      </w:r>
    </w:p>
    <w:p>
      <w:pPr>
        <w:pStyle w:val="20"/>
        <w:numPr>
          <w:ilvl w:val="3"/>
          <w:numId w:val="10"/>
        </w:numPr>
        <w:tabs>
          <w:tab w:val="left" w:pos="2139"/>
        </w:tabs>
        <w:spacing w:before="161" w:after="0" w:line="240" w:lineRule="auto"/>
        <w:ind w:left="2139" w:right="0" w:hanging="841"/>
        <w:jc w:val="left"/>
        <w:rPr>
          <w:sz w:val="24"/>
          <w:highlight w:val="none"/>
        </w:rPr>
      </w:pPr>
      <w:r>
        <w:rPr>
          <w:sz w:val="24"/>
          <w:highlight w:val="none"/>
        </w:rPr>
        <w:t xml:space="preserve">不同投标人的投标文件异常一致或者投标报价呈规律性差异； </w:t>
      </w:r>
    </w:p>
    <w:p>
      <w:pPr>
        <w:pStyle w:val="20"/>
        <w:numPr>
          <w:ilvl w:val="3"/>
          <w:numId w:val="10"/>
        </w:numPr>
        <w:tabs>
          <w:tab w:val="left" w:pos="2139"/>
        </w:tabs>
        <w:spacing w:before="160" w:after="0" w:line="240" w:lineRule="auto"/>
        <w:ind w:left="2139" w:right="0" w:hanging="841"/>
        <w:jc w:val="left"/>
        <w:rPr>
          <w:sz w:val="24"/>
          <w:highlight w:val="none"/>
        </w:rPr>
      </w:pPr>
      <w:r>
        <w:rPr>
          <w:sz w:val="24"/>
          <w:highlight w:val="none"/>
        </w:rPr>
        <w:t xml:space="preserve">不同投标人的投标文件相互混装； </w:t>
      </w:r>
    </w:p>
    <w:p>
      <w:pPr>
        <w:spacing w:after="0" w:line="240" w:lineRule="auto"/>
        <w:jc w:val="left"/>
        <w:rPr>
          <w:sz w:val="24"/>
          <w:highlight w:val="none"/>
        </w:rPr>
        <w:sectPr>
          <w:pgSz w:w="11910" w:h="16840"/>
          <w:pgMar w:top="1460" w:right="590" w:bottom="1180" w:left="980" w:header="0" w:footer="915" w:gutter="0"/>
          <w:cols w:space="720" w:num="1"/>
        </w:sectPr>
      </w:pPr>
    </w:p>
    <w:p>
      <w:pPr>
        <w:pStyle w:val="20"/>
        <w:numPr>
          <w:ilvl w:val="3"/>
          <w:numId w:val="10"/>
        </w:numPr>
        <w:tabs>
          <w:tab w:val="left" w:pos="2139"/>
        </w:tabs>
        <w:spacing w:before="40" w:after="0" w:line="240" w:lineRule="auto"/>
        <w:ind w:left="2139" w:right="0" w:hanging="841"/>
        <w:jc w:val="left"/>
        <w:rPr>
          <w:sz w:val="24"/>
          <w:highlight w:val="none"/>
        </w:rPr>
      </w:pPr>
      <w:r>
        <w:rPr>
          <w:sz w:val="24"/>
          <w:highlight w:val="none"/>
        </w:rPr>
        <w:t xml:space="preserve">不同投标人的投标保证金从同一单位或者个人的账户转出。 </w:t>
      </w:r>
    </w:p>
    <w:p>
      <w:pPr>
        <w:pStyle w:val="7"/>
        <w:numPr>
          <w:ilvl w:val="0"/>
          <w:numId w:val="10"/>
        </w:numPr>
        <w:tabs>
          <w:tab w:val="left" w:pos="1062"/>
        </w:tabs>
        <w:spacing w:before="82" w:after="0" w:line="240" w:lineRule="auto"/>
        <w:ind w:left="1061" w:right="0" w:hanging="244"/>
        <w:jc w:val="left"/>
        <w:rPr>
          <w:highlight w:val="none"/>
        </w:rPr>
      </w:pPr>
      <w:r>
        <w:rPr>
          <w:highlight w:val="none"/>
        </w:rPr>
        <w:t>通知</w:t>
      </w:r>
      <w:r>
        <w:rPr>
          <w:w w:val="200"/>
          <w:highlight w:val="none"/>
        </w:rPr>
        <w:t xml:space="preserve"> </w:t>
      </w:r>
    </w:p>
    <w:p>
      <w:pPr>
        <w:pStyle w:val="20"/>
        <w:numPr>
          <w:ilvl w:val="1"/>
          <w:numId w:val="10"/>
        </w:numPr>
        <w:tabs>
          <w:tab w:val="left" w:pos="1659"/>
        </w:tabs>
        <w:spacing w:before="106" w:after="0" w:line="364" w:lineRule="auto"/>
        <w:ind w:left="818" w:right="1675" w:firstLine="479"/>
        <w:jc w:val="left"/>
        <w:rPr>
          <w:sz w:val="24"/>
          <w:highlight w:val="none"/>
        </w:rPr>
      </w:pPr>
      <w:r>
        <w:rPr>
          <w:spacing w:val="-10"/>
          <w:sz w:val="24"/>
          <w:highlight w:val="none"/>
        </w:rPr>
        <w:t>对与本项目有关的通知，采购代理机构将以书面</w:t>
      </w:r>
      <w:r>
        <w:rPr>
          <w:sz w:val="24"/>
          <w:highlight w:val="none"/>
        </w:rPr>
        <w:t>（</w:t>
      </w:r>
      <w:r>
        <w:rPr>
          <w:spacing w:val="-9"/>
          <w:sz w:val="24"/>
          <w:highlight w:val="none"/>
        </w:rPr>
        <w:t>包括书面材料、信函、</w:t>
      </w:r>
      <w:r>
        <w:rPr>
          <w:spacing w:val="-8"/>
          <w:sz w:val="24"/>
          <w:highlight w:val="none"/>
        </w:rPr>
        <w:t>传真等，下同</w:t>
      </w:r>
      <w:r>
        <w:rPr>
          <w:spacing w:val="-44"/>
          <w:sz w:val="24"/>
          <w:highlight w:val="none"/>
        </w:rPr>
        <w:t>）</w:t>
      </w:r>
      <w:r>
        <w:rPr>
          <w:spacing w:val="-1"/>
          <w:sz w:val="24"/>
          <w:highlight w:val="none"/>
        </w:rPr>
        <w:t>或在本次招标公告刊登的媒体上发布公告</w:t>
      </w:r>
      <w:r>
        <w:rPr>
          <w:sz w:val="24"/>
          <w:highlight w:val="none"/>
        </w:rPr>
        <w:t>，向潜在投标人发出，传真和电话号</w:t>
      </w:r>
      <w:r>
        <w:rPr>
          <w:spacing w:val="-6"/>
          <w:sz w:val="24"/>
          <w:highlight w:val="none"/>
        </w:rPr>
        <w:t>码以潜在投标人的登记为准。收到通知的投标人须立即予以回复确认，但投标人</w:t>
      </w:r>
      <w:r>
        <w:rPr>
          <w:spacing w:val="-11"/>
          <w:sz w:val="24"/>
          <w:highlight w:val="none"/>
        </w:rPr>
        <w:t xml:space="preserve">未回复或采购代理机构未收到回复时，并不应当被理解为采购代理机构知道或应当知道投标人是否收到通知。因登记有误、传真线路故障或其它任何意外情形， </w:t>
      </w:r>
      <w:r>
        <w:rPr>
          <w:spacing w:val="-15"/>
          <w:sz w:val="24"/>
          <w:highlight w:val="none"/>
        </w:rPr>
        <w:t xml:space="preserve">导致所发出的通知延迟送达或无法到达投标人，采购代理机构不因此承担任何责任，有关的招标活动可以继续有效地进行。 </w:t>
      </w:r>
    </w:p>
    <w:p>
      <w:pPr>
        <w:pStyle w:val="10"/>
        <w:spacing w:before="7"/>
        <w:ind w:left="0"/>
        <w:rPr>
          <w:sz w:val="18"/>
          <w:highlight w:val="none"/>
        </w:rPr>
      </w:pPr>
    </w:p>
    <w:p>
      <w:pPr>
        <w:pStyle w:val="7"/>
        <w:spacing w:before="1" w:line="254" w:lineRule="auto"/>
        <w:ind w:right="8299"/>
        <w:outlineLvl w:val="1"/>
        <w:rPr>
          <w:highlight w:val="none"/>
        </w:rPr>
      </w:pPr>
      <w:bookmarkStart w:id="11" w:name="二、招标文件"/>
      <w:bookmarkEnd w:id="11"/>
      <w:bookmarkStart w:id="12" w:name="_Toc312"/>
      <w:r>
        <w:rPr>
          <w:highlight w:val="none"/>
        </w:rPr>
        <w:t>二、招标文件   7.招标文件组成</w:t>
      </w:r>
      <w:bookmarkEnd w:id="12"/>
      <w:r>
        <w:rPr>
          <w:w w:val="200"/>
          <w:highlight w:val="none"/>
        </w:rPr>
        <w:t xml:space="preserve"> </w:t>
      </w:r>
    </w:p>
    <w:p>
      <w:pPr>
        <w:pStyle w:val="10"/>
        <w:spacing w:before="79"/>
        <w:ind w:left="1298"/>
        <w:rPr>
          <w:highlight w:val="none"/>
        </w:rPr>
      </w:pPr>
      <w:r>
        <w:rPr>
          <w:highlight w:val="none"/>
        </w:rPr>
        <w:t xml:space="preserve">7.1 招标文件由招标文件目录所列内容组成。 </w:t>
      </w:r>
    </w:p>
    <w:p>
      <w:pPr>
        <w:pStyle w:val="7"/>
        <w:numPr>
          <w:ilvl w:val="0"/>
          <w:numId w:val="13"/>
        </w:numPr>
        <w:tabs>
          <w:tab w:val="left" w:pos="1062"/>
        </w:tabs>
        <w:spacing w:before="82" w:after="0" w:line="240" w:lineRule="auto"/>
        <w:ind w:left="1061" w:right="0" w:hanging="244"/>
        <w:jc w:val="left"/>
        <w:rPr>
          <w:highlight w:val="none"/>
        </w:rPr>
      </w:pPr>
      <w:r>
        <w:rPr>
          <w:highlight w:val="none"/>
        </w:rPr>
        <w:t>踏勘现场</w:t>
      </w:r>
      <w:r>
        <w:rPr>
          <w:w w:val="200"/>
          <w:highlight w:val="none"/>
        </w:rPr>
        <w:t xml:space="preserve"> </w:t>
      </w:r>
    </w:p>
    <w:p>
      <w:pPr>
        <w:pStyle w:val="20"/>
        <w:numPr>
          <w:ilvl w:val="1"/>
          <w:numId w:val="13"/>
        </w:numPr>
        <w:tabs>
          <w:tab w:val="left" w:pos="1659"/>
        </w:tabs>
        <w:spacing w:before="105" w:after="0" w:line="364" w:lineRule="auto"/>
        <w:ind w:left="818" w:right="1792" w:firstLine="479"/>
        <w:jc w:val="both"/>
        <w:rPr>
          <w:sz w:val="24"/>
          <w:highlight w:val="none"/>
        </w:rPr>
      </w:pPr>
      <w:r>
        <w:rPr>
          <w:spacing w:val="-5"/>
          <w:sz w:val="24"/>
          <w:highlight w:val="none"/>
        </w:rPr>
        <w:t>本项目是否统一组织投标人踏勘现场见招标文件第二部分“投标人须知</w:t>
      </w:r>
      <w:r>
        <w:rPr>
          <w:spacing w:val="-14"/>
          <w:sz w:val="24"/>
          <w:highlight w:val="none"/>
        </w:rPr>
        <w:t xml:space="preserve">前附表”中第 </w:t>
      </w:r>
      <w:r>
        <w:rPr>
          <w:sz w:val="24"/>
          <w:highlight w:val="none"/>
        </w:rPr>
        <w:t>9</w:t>
      </w:r>
      <w:r>
        <w:rPr>
          <w:spacing w:val="-13"/>
          <w:sz w:val="24"/>
          <w:highlight w:val="none"/>
        </w:rPr>
        <w:t xml:space="preserve"> 项的规定</w:t>
      </w:r>
      <w:r>
        <w:rPr>
          <w:rFonts w:hint="eastAsia"/>
          <w:spacing w:val="-13"/>
          <w:sz w:val="24"/>
          <w:highlight w:val="none"/>
          <w:lang w:eastAsia="zh-CN"/>
        </w:rPr>
        <w:t>，</w:t>
      </w:r>
      <w:r>
        <w:rPr>
          <w:sz w:val="24"/>
          <w:highlight w:val="none"/>
        </w:rPr>
        <w:t xml:space="preserve">以获取编制投标文件所需的资料。 </w:t>
      </w:r>
    </w:p>
    <w:p>
      <w:pPr>
        <w:pStyle w:val="20"/>
        <w:numPr>
          <w:ilvl w:val="1"/>
          <w:numId w:val="13"/>
        </w:numPr>
        <w:tabs>
          <w:tab w:val="left" w:pos="1659"/>
        </w:tabs>
        <w:spacing w:before="3" w:after="0" w:line="364" w:lineRule="auto"/>
        <w:ind w:left="818" w:right="1706" w:firstLine="479"/>
        <w:jc w:val="left"/>
        <w:rPr>
          <w:sz w:val="24"/>
          <w:highlight w:val="none"/>
        </w:rPr>
      </w:pPr>
      <w:r>
        <w:rPr>
          <w:spacing w:val="-5"/>
          <w:sz w:val="24"/>
          <w:highlight w:val="none"/>
        </w:rPr>
        <w:t>踏勘现场所发生的费用由投标人自行承担。采购人向投标人提供的有关</w:t>
      </w:r>
      <w:r>
        <w:rPr>
          <w:spacing w:val="-11"/>
          <w:sz w:val="24"/>
          <w:highlight w:val="none"/>
        </w:rPr>
        <w:t>供货现场的资料和数据，是采购人现有的能使投标人利用的资料。采购人对投标</w:t>
      </w:r>
      <w:r>
        <w:rPr>
          <w:spacing w:val="-12"/>
          <w:sz w:val="24"/>
          <w:highlight w:val="none"/>
        </w:rPr>
        <w:t xml:space="preserve">人由此而做出的推论、理解和结论概不负责。投标人未到供货现场实地踏勘的， </w:t>
      </w:r>
      <w:r>
        <w:rPr>
          <w:spacing w:val="-5"/>
          <w:sz w:val="24"/>
          <w:highlight w:val="none"/>
        </w:rPr>
        <w:t xml:space="preserve">中标后签订合同时和履约过程中，不得以不完全了解现场情况为由，提出任何形式的增加合同价款或索赔的要求。 </w:t>
      </w:r>
    </w:p>
    <w:p>
      <w:pPr>
        <w:pStyle w:val="20"/>
        <w:numPr>
          <w:ilvl w:val="1"/>
          <w:numId w:val="13"/>
        </w:numPr>
        <w:tabs>
          <w:tab w:val="left" w:pos="1659"/>
        </w:tabs>
        <w:spacing w:before="3" w:after="0" w:line="364" w:lineRule="auto"/>
        <w:ind w:left="818" w:right="1792" w:firstLine="479"/>
        <w:jc w:val="left"/>
        <w:rPr>
          <w:sz w:val="24"/>
          <w:highlight w:val="none"/>
        </w:rPr>
      </w:pPr>
      <w:r>
        <w:rPr>
          <w:spacing w:val="-9"/>
          <w:sz w:val="24"/>
          <w:highlight w:val="none"/>
        </w:rPr>
        <w:t>除非有特殊要求，招标文件不单独提供供货使用地的自然环境、气候条</w:t>
      </w:r>
      <w:r>
        <w:rPr>
          <w:sz w:val="24"/>
          <w:highlight w:val="none"/>
        </w:rPr>
        <w:t xml:space="preserve">件、公用设施等情况，投标人被视为熟悉上述与履行合同有关的一切情况。 </w:t>
      </w:r>
    </w:p>
    <w:p>
      <w:pPr>
        <w:pStyle w:val="20"/>
        <w:numPr>
          <w:ilvl w:val="1"/>
          <w:numId w:val="13"/>
        </w:numPr>
        <w:tabs>
          <w:tab w:val="left" w:pos="1659"/>
        </w:tabs>
        <w:spacing w:before="1" w:after="0" w:line="364" w:lineRule="auto"/>
        <w:ind w:left="818" w:right="1795" w:firstLine="479"/>
        <w:jc w:val="left"/>
        <w:rPr>
          <w:sz w:val="24"/>
          <w:highlight w:val="none"/>
        </w:rPr>
      </w:pPr>
      <w:r>
        <w:rPr>
          <w:spacing w:val="-11"/>
          <w:sz w:val="24"/>
          <w:highlight w:val="none"/>
        </w:rPr>
        <w:t>除采购人原因外，投标人自行负责在踏勘现场中所发生的人员伤亡和财</w:t>
      </w:r>
      <w:r>
        <w:rPr>
          <w:sz w:val="24"/>
          <w:highlight w:val="none"/>
        </w:rPr>
        <w:t xml:space="preserve">产损失。 </w:t>
      </w:r>
    </w:p>
    <w:p>
      <w:pPr>
        <w:pStyle w:val="7"/>
        <w:numPr>
          <w:ilvl w:val="0"/>
          <w:numId w:val="13"/>
        </w:numPr>
        <w:tabs>
          <w:tab w:val="left" w:pos="1062"/>
        </w:tabs>
        <w:spacing w:before="0" w:after="0" w:line="363" w:lineRule="exact"/>
        <w:ind w:left="1061" w:right="0" w:hanging="244"/>
        <w:jc w:val="left"/>
        <w:rPr>
          <w:rFonts w:hint="eastAsia" w:ascii="宋体" w:eastAsia="宋体"/>
          <w:b w:val="0"/>
          <w:highlight w:val="none"/>
        </w:rPr>
      </w:pPr>
      <w:r>
        <w:rPr>
          <w:highlight w:val="none"/>
        </w:rPr>
        <w:t>知识产权</w:t>
      </w:r>
      <w:r>
        <w:rPr>
          <w:rFonts w:hint="eastAsia" w:ascii="宋体" w:eastAsia="宋体"/>
          <w:b w:val="0"/>
          <w:highlight w:val="none"/>
        </w:rPr>
        <w:t xml:space="preserve"> </w:t>
      </w:r>
    </w:p>
    <w:p>
      <w:pPr>
        <w:pStyle w:val="20"/>
        <w:numPr>
          <w:ilvl w:val="1"/>
          <w:numId w:val="13"/>
        </w:numPr>
        <w:tabs>
          <w:tab w:val="left" w:pos="1659"/>
        </w:tabs>
        <w:spacing w:before="106" w:after="0" w:line="364" w:lineRule="auto"/>
        <w:ind w:left="818" w:right="1792" w:firstLine="479"/>
        <w:jc w:val="left"/>
        <w:rPr>
          <w:sz w:val="24"/>
          <w:highlight w:val="none"/>
        </w:rPr>
      </w:pPr>
      <w:r>
        <w:rPr>
          <w:spacing w:val="-8"/>
          <w:sz w:val="24"/>
          <w:highlight w:val="none"/>
        </w:rPr>
        <w:t>投标人须保证，采购人在中华人民共和国境内使用投标货物、资料、技</w:t>
      </w:r>
      <w:r>
        <w:rPr>
          <w:spacing w:val="-10"/>
          <w:sz w:val="24"/>
          <w:highlight w:val="none"/>
        </w:rPr>
        <w:t>术、服务或其任何一部分时，享有不受限制的无偿使用权，不会产生因第三方提</w:t>
      </w:r>
    </w:p>
    <w:p>
      <w:pPr>
        <w:spacing w:after="0" w:line="364" w:lineRule="auto"/>
        <w:jc w:val="left"/>
        <w:rPr>
          <w:sz w:val="24"/>
          <w:highlight w:val="none"/>
        </w:rPr>
        <w:sectPr>
          <w:pgSz w:w="11910" w:h="16840"/>
          <w:pgMar w:top="1460" w:right="0" w:bottom="1180" w:left="980" w:header="0" w:footer="915" w:gutter="0"/>
          <w:cols w:space="720" w:num="1"/>
        </w:sectPr>
      </w:pPr>
    </w:p>
    <w:p>
      <w:pPr>
        <w:pStyle w:val="10"/>
        <w:spacing w:before="40" w:line="364" w:lineRule="auto"/>
        <w:ind w:right="1792"/>
        <w:jc w:val="both"/>
        <w:rPr>
          <w:highlight w:val="none"/>
        </w:rPr>
      </w:pPr>
      <w:r>
        <w:rPr>
          <w:spacing w:val="-9"/>
          <w:highlight w:val="none"/>
        </w:rPr>
        <w:t>出侵犯其专利权、商标权或其它知识产权而引起的法律或经济纠纷。如投标人不</w:t>
      </w:r>
      <w:r>
        <w:rPr>
          <w:spacing w:val="-10"/>
          <w:highlight w:val="none"/>
        </w:rPr>
        <w:t>拥有相应的知识产权，则在投标报价中必须包括合法获取该知识产权的一切相关</w:t>
      </w:r>
      <w:r>
        <w:rPr>
          <w:highlight w:val="none"/>
        </w:rPr>
        <w:t xml:space="preserve">费用。如因此导致采购人损失的，投标人须承担全部赔偿责任。 </w:t>
      </w:r>
    </w:p>
    <w:p>
      <w:pPr>
        <w:pStyle w:val="20"/>
        <w:numPr>
          <w:ilvl w:val="1"/>
          <w:numId w:val="13"/>
        </w:numPr>
        <w:tabs>
          <w:tab w:val="left" w:pos="1659"/>
        </w:tabs>
        <w:spacing w:before="3" w:after="0" w:line="364" w:lineRule="auto"/>
        <w:ind w:left="818" w:right="1791" w:firstLine="479"/>
        <w:jc w:val="both"/>
        <w:rPr>
          <w:sz w:val="24"/>
          <w:highlight w:val="none"/>
        </w:rPr>
      </w:pPr>
      <w:r>
        <w:rPr>
          <w:spacing w:val="4"/>
          <w:sz w:val="24"/>
          <w:highlight w:val="none"/>
        </w:rPr>
        <w:t>投标人如欲在项目实施过程中采用自有知识成果，须在投标文件中声</w:t>
      </w:r>
      <w:r>
        <w:rPr>
          <w:spacing w:val="-10"/>
          <w:sz w:val="24"/>
          <w:highlight w:val="none"/>
        </w:rPr>
        <w:t>明，并提供相关知识产权证明文件。使用该知识成果后，投标人须提供开发接口</w:t>
      </w:r>
      <w:r>
        <w:rPr>
          <w:sz w:val="24"/>
          <w:highlight w:val="none"/>
        </w:rPr>
        <w:t xml:space="preserve">和开发手册等技术文档。 </w:t>
      </w:r>
    </w:p>
    <w:p>
      <w:pPr>
        <w:pStyle w:val="7"/>
        <w:numPr>
          <w:ilvl w:val="0"/>
          <w:numId w:val="13"/>
        </w:numPr>
        <w:tabs>
          <w:tab w:val="left" w:pos="1183"/>
        </w:tabs>
        <w:spacing w:before="0" w:after="0" w:line="364" w:lineRule="exact"/>
        <w:ind w:left="1182" w:right="0" w:hanging="365"/>
        <w:jc w:val="left"/>
        <w:rPr>
          <w:highlight w:val="none"/>
        </w:rPr>
      </w:pPr>
      <w:r>
        <w:rPr>
          <w:highlight w:val="none"/>
        </w:rPr>
        <w:t>答疑及招标文件的澄清和修改</w:t>
      </w:r>
      <w:r>
        <w:rPr>
          <w:w w:val="200"/>
          <w:highlight w:val="none"/>
        </w:rPr>
        <w:t xml:space="preserve"> </w:t>
      </w:r>
    </w:p>
    <w:p>
      <w:pPr>
        <w:pStyle w:val="20"/>
        <w:numPr>
          <w:ilvl w:val="1"/>
          <w:numId w:val="13"/>
        </w:numPr>
        <w:tabs>
          <w:tab w:val="left" w:pos="1779"/>
        </w:tabs>
        <w:spacing w:before="106" w:after="0" w:line="364" w:lineRule="auto"/>
        <w:ind w:left="818" w:right="1675" w:firstLine="479"/>
        <w:jc w:val="left"/>
        <w:rPr>
          <w:sz w:val="24"/>
          <w:highlight w:val="none"/>
        </w:rPr>
      </w:pPr>
      <w:r>
        <w:rPr>
          <w:spacing w:val="-1"/>
          <w:sz w:val="24"/>
          <w:highlight w:val="none"/>
        </w:rPr>
        <w:t>投标人如果对招标文件有疑问或要求进行澄清的，应按照招标文件第二</w:t>
      </w:r>
      <w:r>
        <w:rPr>
          <w:spacing w:val="-4"/>
          <w:sz w:val="24"/>
          <w:highlight w:val="none"/>
        </w:rPr>
        <w:t xml:space="preserve">部分“投标人须知前附表”第 </w:t>
      </w:r>
      <w:r>
        <w:rPr>
          <w:sz w:val="24"/>
          <w:highlight w:val="none"/>
        </w:rPr>
        <w:t>10</w:t>
      </w:r>
      <w:r>
        <w:rPr>
          <w:spacing w:val="-8"/>
          <w:sz w:val="24"/>
          <w:highlight w:val="none"/>
        </w:rPr>
        <w:t xml:space="preserve"> 项规定向采购代理机构提出。提出后，请投标</w:t>
      </w:r>
      <w:r>
        <w:rPr>
          <w:spacing w:val="-18"/>
          <w:sz w:val="24"/>
          <w:highlight w:val="none"/>
        </w:rPr>
        <w:t xml:space="preserve">人及时通过交易平台“答疑文件下载”栏目查看答疑文件或澄清文件。必要时，采购代理机构将组织相关专家召开答疑会，如召开，答疑会安排另行通知。 </w:t>
      </w:r>
    </w:p>
    <w:p>
      <w:pPr>
        <w:pStyle w:val="10"/>
        <w:spacing w:before="3" w:line="364" w:lineRule="auto"/>
        <w:ind w:right="1792" w:firstLine="479"/>
        <w:jc w:val="both"/>
        <w:rPr>
          <w:highlight w:val="none"/>
        </w:rPr>
      </w:pPr>
      <w:r>
        <w:rPr>
          <w:spacing w:val="-5"/>
          <w:highlight w:val="none"/>
        </w:rPr>
        <w:t>投标人在规定的时间内未对招标文件提出疑问或要求澄清的，采购代理机构</w:t>
      </w:r>
      <w:r>
        <w:rPr>
          <w:spacing w:val="-11"/>
          <w:highlight w:val="none"/>
        </w:rPr>
        <w:t>将视其为同意，对在“答疑接受时间”后就招标文件内容提出的疑问及澄清要求</w:t>
      </w:r>
      <w:r>
        <w:rPr>
          <w:highlight w:val="none"/>
        </w:rPr>
        <w:t xml:space="preserve">将不予受理。 </w:t>
      </w:r>
    </w:p>
    <w:p>
      <w:pPr>
        <w:pStyle w:val="20"/>
        <w:numPr>
          <w:ilvl w:val="1"/>
          <w:numId w:val="13"/>
        </w:numPr>
        <w:tabs>
          <w:tab w:val="left" w:pos="1779"/>
        </w:tabs>
        <w:spacing w:before="1" w:after="0" w:line="364" w:lineRule="auto"/>
        <w:ind w:left="818" w:right="1792" w:firstLine="479"/>
        <w:jc w:val="both"/>
        <w:rPr>
          <w:sz w:val="24"/>
          <w:highlight w:val="none"/>
        </w:rPr>
      </w:pPr>
      <w:r>
        <w:rPr>
          <w:spacing w:val="-2"/>
          <w:sz w:val="24"/>
          <w:highlight w:val="none"/>
        </w:rPr>
        <w:t>无论出于何种原因，采购代理机构主动或出于解答投标人疑问对已发</w:t>
      </w:r>
      <w:r>
        <w:rPr>
          <w:spacing w:val="-7"/>
          <w:sz w:val="24"/>
          <w:highlight w:val="none"/>
        </w:rPr>
        <w:t>出的招标文件进行必要澄清或修改的，应当在招标文件要求提交投标文件截止时</w:t>
      </w:r>
      <w:r>
        <w:rPr>
          <w:spacing w:val="-22"/>
          <w:sz w:val="24"/>
          <w:highlight w:val="none"/>
        </w:rPr>
        <w:t xml:space="preserve">间 </w:t>
      </w:r>
      <w:r>
        <w:rPr>
          <w:sz w:val="24"/>
          <w:highlight w:val="none"/>
        </w:rPr>
        <w:t>15</w:t>
      </w:r>
      <w:r>
        <w:rPr>
          <w:spacing w:val="-9"/>
          <w:sz w:val="24"/>
          <w:highlight w:val="none"/>
        </w:rPr>
        <w:t xml:space="preserve"> 日前，以当面交接、邮寄、传真或电子邮件、网站披露等其中至少一种方</w:t>
      </w:r>
      <w:r>
        <w:rPr>
          <w:spacing w:val="-10"/>
          <w:sz w:val="24"/>
          <w:highlight w:val="none"/>
        </w:rPr>
        <w:t>式，向潜在投标人发出澄清、修改的补充文件。需要为此调整投标文件提交截止</w:t>
      </w:r>
      <w:r>
        <w:rPr>
          <w:sz w:val="24"/>
          <w:highlight w:val="none"/>
        </w:rPr>
        <w:t xml:space="preserve">时间的，应当重新确定，并就变更后的投标截止时间重新发出通知。 </w:t>
      </w:r>
    </w:p>
    <w:p>
      <w:pPr>
        <w:pStyle w:val="10"/>
        <w:spacing w:before="4" w:line="364" w:lineRule="auto"/>
        <w:ind w:right="1792" w:firstLine="479"/>
        <w:rPr>
          <w:highlight w:val="none"/>
        </w:rPr>
      </w:pPr>
      <w:r>
        <w:rPr>
          <w:spacing w:val="-9"/>
          <w:highlight w:val="none"/>
        </w:rPr>
        <w:t>特殊情况下，采购代理机构发布澄清、修改文件后，征得投标人同意，可不</w:t>
      </w:r>
      <w:r>
        <w:rPr>
          <w:highlight w:val="none"/>
        </w:rPr>
        <w:t xml:space="preserve">改变投标截止时间和开标时间。 </w:t>
      </w:r>
    </w:p>
    <w:p>
      <w:pPr>
        <w:pStyle w:val="20"/>
        <w:numPr>
          <w:ilvl w:val="1"/>
          <w:numId w:val="13"/>
        </w:numPr>
        <w:tabs>
          <w:tab w:val="left" w:pos="1779"/>
        </w:tabs>
        <w:spacing w:before="1" w:after="0" w:line="364" w:lineRule="auto"/>
        <w:ind w:left="818" w:right="1791" w:firstLine="479"/>
        <w:jc w:val="both"/>
        <w:rPr>
          <w:sz w:val="24"/>
          <w:highlight w:val="none"/>
        </w:rPr>
      </w:pPr>
      <w:r>
        <w:rPr>
          <w:spacing w:val="-1"/>
          <w:sz w:val="24"/>
          <w:highlight w:val="none"/>
        </w:rPr>
        <w:t>采购代理机构一旦对招标文件作出了澄清、修改，即刻发生效力，采</w:t>
      </w:r>
      <w:r>
        <w:rPr>
          <w:spacing w:val="-8"/>
          <w:sz w:val="24"/>
          <w:highlight w:val="none"/>
        </w:rPr>
        <w:t>购代理机构有关的补充文件，将作为招标文件的组成部分，对所有现实的或潜在</w:t>
      </w:r>
      <w:r>
        <w:rPr>
          <w:spacing w:val="-6"/>
          <w:sz w:val="24"/>
          <w:highlight w:val="none"/>
        </w:rPr>
        <w:t>的投标人均具有约束力，而无论是否已经实际收到上述文件。同时，采购代理机</w:t>
      </w:r>
      <w:r>
        <w:rPr>
          <w:sz w:val="24"/>
          <w:highlight w:val="none"/>
        </w:rPr>
        <w:t xml:space="preserve">构和投标人的权利及义务将受到新的截止期的约束。 </w:t>
      </w:r>
    </w:p>
    <w:p>
      <w:pPr>
        <w:pStyle w:val="20"/>
        <w:numPr>
          <w:ilvl w:val="1"/>
          <w:numId w:val="13"/>
        </w:numPr>
        <w:tabs>
          <w:tab w:val="left" w:pos="1779"/>
        </w:tabs>
        <w:spacing w:before="3" w:after="0" w:line="364" w:lineRule="auto"/>
        <w:ind w:left="818" w:right="1706" w:firstLine="479"/>
        <w:jc w:val="left"/>
        <w:rPr>
          <w:sz w:val="24"/>
          <w:highlight w:val="none"/>
        </w:rPr>
      </w:pPr>
      <w:r>
        <w:rPr>
          <w:spacing w:val="-1"/>
          <w:sz w:val="24"/>
          <w:highlight w:val="none"/>
        </w:rPr>
        <w:t>采购代理机构对招标文件作出的澄清、修改</w:t>
      </w:r>
      <w:r>
        <w:rPr>
          <w:spacing w:val="-9"/>
          <w:sz w:val="24"/>
          <w:highlight w:val="none"/>
        </w:rPr>
        <w:t>请投标人及时关注并获取相关资料。因登记有误、线路故障或其它</w:t>
      </w:r>
      <w:r>
        <w:rPr>
          <w:spacing w:val="-10"/>
          <w:sz w:val="24"/>
          <w:highlight w:val="none"/>
        </w:rPr>
        <w:t xml:space="preserve">任何意外情形，导致投标人未及时获取的，采购代理机构不因此承担任何责任， </w:t>
      </w:r>
      <w:r>
        <w:rPr>
          <w:spacing w:val="-5"/>
          <w:sz w:val="24"/>
          <w:highlight w:val="none"/>
        </w:rPr>
        <w:t>且有关的招标活动继续有效地进行。当招标文件的澄清、修改及进行其他答复等</w:t>
      </w:r>
    </w:p>
    <w:p>
      <w:pPr>
        <w:spacing w:after="0" w:line="364" w:lineRule="auto"/>
        <w:jc w:val="left"/>
        <w:rPr>
          <w:sz w:val="24"/>
          <w:highlight w:val="none"/>
        </w:rPr>
        <w:sectPr>
          <w:pgSz w:w="11910" w:h="16840"/>
          <w:pgMar w:top="1460" w:right="0" w:bottom="1180" w:left="980" w:header="0" w:footer="915" w:gutter="0"/>
          <w:cols w:space="720" w:num="1"/>
        </w:sectPr>
      </w:pPr>
    </w:p>
    <w:p>
      <w:pPr>
        <w:pStyle w:val="10"/>
        <w:spacing w:before="40"/>
        <w:rPr>
          <w:rFonts w:hint="eastAsia" w:ascii="Microsoft JhengHei" w:eastAsia="Microsoft JhengHei"/>
          <w:b/>
          <w:highlight w:val="none"/>
        </w:rPr>
      </w:pPr>
      <w:r>
        <w:rPr>
          <w:highlight w:val="none"/>
        </w:rPr>
        <w:t>就同一内容的表述不一致时，以最后发布的内容为准。</w:t>
      </w:r>
      <w:r>
        <w:rPr>
          <w:rFonts w:hint="eastAsia" w:ascii="Microsoft JhengHei" w:eastAsia="Microsoft JhengHei"/>
          <w:b/>
          <w:w w:val="200"/>
          <w:highlight w:val="none"/>
        </w:rPr>
        <w:t xml:space="preserve"> </w:t>
      </w:r>
    </w:p>
    <w:p>
      <w:pPr>
        <w:pStyle w:val="20"/>
        <w:numPr>
          <w:ilvl w:val="1"/>
          <w:numId w:val="13"/>
        </w:numPr>
        <w:tabs>
          <w:tab w:val="left" w:pos="1779"/>
        </w:tabs>
        <w:spacing w:before="2" w:after="0" w:line="364" w:lineRule="auto"/>
        <w:ind w:left="818" w:right="1798" w:firstLine="479"/>
        <w:jc w:val="left"/>
        <w:rPr>
          <w:sz w:val="24"/>
          <w:highlight w:val="none"/>
        </w:rPr>
      </w:pPr>
      <w:r>
        <w:rPr>
          <w:spacing w:val="-2"/>
          <w:sz w:val="24"/>
          <w:highlight w:val="none"/>
        </w:rPr>
        <w:t>澄清、修改文件发出后，投标人必须使用最新的答疑、澄清文件制作</w:t>
      </w:r>
      <w:r>
        <w:rPr>
          <w:sz w:val="24"/>
          <w:highlight w:val="none"/>
        </w:rPr>
        <w:t xml:space="preserve">投标文件。 </w:t>
      </w:r>
    </w:p>
    <w:p>
      <w:pPr>
        <w:pStyle w:val="10"/>
        <w:spacing w:before="3"/>
        <w:ind w:left="0"/>
        <w:rPr>
          <w:sz w:val="18"/>
          <w:highlight w:val="none"/>
        </w:rPr>
      </w:pPr>
    </w:p>
    <w:p>
      <w:pPr>
        <w:pStyle w:val="7"/>
        <w:spacing w:before="1"/>
        <w:outlineLvl w:val="1"/>
        <w:rPr>
          <w:highlight w:val="none"/>
        </w:rPr>
      </w:pPr>
      <w:bookmarkStart w:id="13" w:name="三、投标文件"/>
      <w:bookmarkEnd w:id="13"/>
      <w:bookmarkStart w:id="14" w:name="_Toc6122"/>
      <w:r>
        <w:rPr>
          <w:highlight w:val="none"/>
        </w:rPr>
        <w:t>三、投标文件</w:t>
      </w:r>
      <w:bookmarkEnd w:id="14"/>
      <w:r>
        <w:rPr>
          <w:w w:val="200"/>
          <w:highlight w:val="none"/>
        </w:rPr>
        <w:t xml:space="preserve"> </w:t>
      </w:r>
    </w:p>
    <w:p>
      <w:pPr>
        <w:pStyle w:val="20"/>
        <w:numPr>
          <w:ilvl w:val="0"/>
          <w:numId w:val="13"/>
        </w:numPr>
        <w:tabs>
          <w:tab w:val="left" w:pos="1183"/>
        </w:tabs>
        <w:spacing w:before="27" w:after="0" w:line="240" w:lineRule="auto"/>
        <w:ind w:left="1182" w:right="0" w:hanging="365"/>
        <w:jc w:val="left"/>
        <w:rPr>
          <w:rFonts w:hint="eastAsia" w:ascii="Microsoft JhengHei" w:eastAsia="Microsoft JhengHei"/>
          <w:b/>
          <w:sz w:val="24"/>
          <w:highlight w:val="none"/>
        </w:rPr>
      </w:pPr>
      <w:r>
        <w:rPr>
          <w:rFonts w:hint="eastAsia" w:ascii="Microsoft JhengHei" w:eastAsia="Microsoft JhengHei"/>
          <w:b/>
          <w:sz w:val="24"/>
          <w:highlight w:val="none"/>
        </w:rPr>
        <w:t>投标文件的语言及计量单位</w:t>
      </w:r>
      <w:r>
        <w:rPr>
          <w:rFonts w:hint="eastAsia" w:ascii="Microsoft JhengHei" w:eastAsia="Microsoft JhengHei"/>
          <w:b/>
          <w:w w:val="200"/>
          <w:sz w:val="24"/>
          <w:highlight w:val="none"/>
        </w:rPr>
        <w:t xml:space="preserve"> </w:t>
      </w:r>
    </w:p>
    <w:p>
      <w:pPr>
        <w:pStyle w:val="20"/>
        <w:numPr>
          <w:ilvl w:val="1"/>
          <w:numId w:val="13"/>
        </w:numPr>
        <w:tabs>
          <w:tab w:val="left" w:pos="1779"/>
        </w:tabs>
        <w:spacing w:before="106" w:after="0" w:line="364" w:lineRule="auto"/>
        <w:ind w:left="818" w:right="1798" w:firstLine="479"/>
        <w:jc w:val="left"/>
        <w:rPr>
          <w:sz w:val="24"/>
          <w:highlight w:val="none"/>
        </w:rPr>
      </w:pPr>
      <w:r>
        <w:rPr>
          <w:sz w:val="24"/>
          <w:highlight w:val="none"/>
        </w:rPr>
        <w:t>投标人提交的投标文件（包括技术文件和资料、图纸中的说明）</w:t>
      </w:r>
      <w:r>
        <w:rPr>
          <w:spacing w:val="-9"/>
          <w:sz w:val="24"/>
          <w:highlight w:val="none"/>
        </w:rPr>
        <w:t>以及</w:t>
      </w:r>
      <w:r>
        <w:rPr>
          <w:sz w:val="24"/>
          <w:highlight w:val="none"/>
        </w:rPr>
        <w:t xml:space="preserve">投标人与采购代理机构就有关投标的所有来往函电均应使用中文简体字。 </w:t>
      </w:r>
    </w:p>
    <w:p>
      <w:pPr>
        <w:pStyle w:val="20"/>
        <w:numPr>
          <w:ilvl w:val="1"/>
          <w:numId w:val="13"/>
        </w:numPr>
        <w:tabs>
          <w:tab w:val="left" w:pos="1779"/>
        </w:tabs>
        <w:spacing w:before="1" w:after="0" w:line="364" w:lineRule="auto"/>
        <w:ind w:left="818" w:right="1706" w:firstLine="479"/>
        <w:jc w:val="left"/>
        <w:rPr>
          <w:sz w:val="24"/>
          <w:highlight w:val="none"/>
        </w:rPr>
      </w:pPr>
      <w:r>
        <w:rPr>
          <w:spacing w:val="-1"/>
          <w:sz w:val="24"/>
          <w:highlight w:val="none"/>
        </w:rPr>
        <w:t xml:space="preserve">原版为外文的证书类文件，以及由外国人作出的本人签名、外国公司 </w:t>
      </w:r>
      <w:r>
        <w:rPr>
          <w:spacing w:val="-2"/>
          <w:sz w:val="24"/>
          <w:highlight w:val="none"/>
        </w:rPr>
        <w:t>的名称或外国印章等可以是外文，但应当提供中文翻译文件并加盖投标人公章。</w:t>
      </w:r>
      <w:r>
        <w:rPr>
          <w:spacing w:val="1"/>
          <w:sz w:val="24"/>
          <w:highlight w:val="none"/>
        </w:rPr>
        <w:t>必要时评标委员会可以要求投标人提供附有公证书的中文翻译文件或者与原版</w:t>
      </w:r>
      <w:r>
        <w:rPr>
          <w:spacing w:val="-5"/>
          <w:sz w:val="24"/>
          <w:highlight w:val="none"/>
        </w:rPr>
        <w:t xml:space="preserve">文件签章相一致的中文翻译文件。原版为外文的证书类、证明类文件，与投标人名称或其他实际情况不符的，投标人应当提供相关证明文件。 </w:t>
      </w:r>
    </w:p>
    <w:p>
      <w:pPr>
        <w:pStyle w:val="20"/>
        <w:numPr>
          <w:ilvl w:val="1"/>
          <w:numId w:val="13"/>
        </w:numPr>
        <w:tabs>
          <w:tab w:val="left" w:pos="1779"/>
        </w:tabs>
        <w:spacing w:before="3" w:after="0" w:line="364" w:lineRule="auto"/>
        <w:ind w:left="818" w:right="1798" w:firstLine="479"/>
        <w:jc w:val="left"/>
        <w:rPr>
          <w:sz w:val="24"/>
          <w:highlight w:val="none"/>
        </w:rPr>
      </w:pPr>
      <w:r>
        <w:rPr>
          <w:spacing w:val="-2"/>
          <w:sz w:val="24"/>
          <w:highlight w:val="none"/>
        </w:rPr>
        <w:t>除非招标文件另有规定，投标文件所使用的计量单位，应使用国家法</w:t>
      </w:r>
      <w:r>
        <w:rPr>
          <w:sz w:val="24"/>
          <w:highlight w:val="none"/>
        </w:rPr>
        <w:t xml:space="preserve">定计量单位。 </w:t>
      </w:r>
    </w:p>
    <w:p>
      <w:pPr>
        <w:pStyle w:val="20"/>
        <w:numPr>
          <w:ilvl w:val="1"/>
          <w:numId w:val="13"/>
        </w:numPr>
        <w:tabs>
          <w:tab w:val="left" w:pos="1779"/>
        </w:tabs>
        <w:spacing w:before="2" w:after="0" w:line="364" w:lineRule="auto"/>
        <w:ind w:left="818" w:right="1798" w:firstLine="479"/>
        <w:jc w:val="left"/>
        <w:rPr>
          <w:sz w:val="24"/>
          <w:highlight w:val="none"/>
        </w:rPr>
      </w:pPr>
      <w:r>
        <w:rPr>
          <w:spacing w:val="-2"/>
          <w:sz w:val="24"/>
          <w:highlight w:val="none"/>
        </w:rPr>
        <w:t>对违反上述规定情形的，评标委员会有权要求投标人限期提供相应文</w:t>
      </w:r>
      <w:r>
        <w:rPr>
          <w:sz w:val="24"/>
          <w:highlight w:val="none"/>
        </w:rPr>
        <w:t xml:space="preserve">件或决定对其投标予以拒绝。 </w:t>
      </w:r>
    </w:p>
    <w:p>
      <w:pPr>
        <w:pStyle w:val="20"/>
        <w:numPr>
          <w:ilvl w:val="1"/>
          <w:numId w:val="13"/>
        </w:numPr>
        <w:tabs>
          <w:tab w:val="left" w:pos="1779"/>
        </w:tabs>
        <w:spacing w:before="1" w:after="0" w:line="364" w:lineRule="auto"/>
        <w:ind w:left="818" w:right="1793" w:firstLine="479"/>
        <w:jc w:val="left"/>
        <w:rPr>
          <w:sz w:val="24"/>
          <w:highlight w:val="none"/>
        </w:rPr>
      </w:pPr>
      <w:r>
        <w:rPr>
          <w:spacing w:val="-1"/>
          <w:sz w:val="24"/>
          <w:highlight w:val="none"/>
        </w:rPr>
        <w:t>电报、电话、传真形式的投标概不接受。投标人的投标文件一律不予</w:t>
      </w:r>
      <w:r>
        <w:rPr>
          <w:sz w:val="24"/>
          <w:highlight w:val="none"/>
        </w:rPr>
        <w:t xml:space="preserve">退还。 </w:t>
      </w:r>
    </w:p>
    <w:p>
      <w:pPr>
        <w:pStyle w:val="7"/>
        <w:numPr>
          <w:ilvl w:val="0"/>
          <w:numId w:val="13"/>
        </w:numPr>
        <w:tabs>
          <w:tab w:val="left" w:pos="1183"/>
        </w:tabs>
        <w:spacing w:before="0" w:after="0" w:line="363" w:lineRule="exact"/>
        <w:ind w:left="1182" w:right="0" w:hanging="365"/>
        <w:jc w:val="left"/>
        <w:rPr>
          <w:highlight w:val="none"/>
        </w:rPr>
      </w:pPr>
      <w:r>
        <w:rPr>
          <w:highlight w:val="none"/>
        </w:rPr>
        <w:t>投标文件组成及编制</w:t>
      </w:r>
      <w:r>
        <w:rPr>
          <w:w w:val="200"/>
          <w:highlight w:val="none"/>
        </w:rPr>
        <w:t xml:space="preserve"> </w:t>
      </w:r>
    </w:p>
    <w:p>
      <w:pPr>
        <w:pStyle w:val="20"/>
        <w:numPr>
          <w:ilvl w:val="1"/>
          <w:numId w:val="13"/>
        </w:numPr>
        <w:tabs>
          <w:tab w:val="left" w:pos="1779"/>
        </w:tabs>
        <w:spacing w:before="106" w:after="0" w:line="240" w:lineRule="auto"/>
        <w:ind w:left="1779" w:right="0" w:hanging="481"/>
        <w:jc w:val="left"/>
        <w:rPr>
          <w:sz w:val="24"/>
          <w:highlight w:val="none"/>
        </w:rPr>
      </w:pPr>
      <w:r>
        <w:rPr>
          <w:sz w:val="24"/>
          <w:highlight w:val="none"/>
        </w:rPr>
        <w:t xml:space="preserve">投标文件分为资格审查资料、商务文件、技术文件和服务文件。 </w:t>
      </w:r>
    </w:p>
    <w:p>
      <w:pPr>
        <w:pStyle w:val="10"/>
        <w:spacing w:before="161" w:line="364" w:lineRule="auto"/>
        <w:ind w:right="1675" w:firstLine="479"/>
        <w:rPr>
          <w:highlight w:val="none"/>
        </w:rPr>
      </w:pPr>
      <w:r>
        <w:rPr>
          <w:spacing w:val="2"/>
          <w:highlight w:val="none"/>
        </w:rPr>
        <w:t>商务文件指投标人提交的证明其有资格参加投标和中标后有能力履行合同</w:t>
      </w:r>
      <w:r>
        <w:rPr>
          <w:spacing w:val="-10"/>
          <w:highlight w:val="none"/>
        </w:rPr>
        <w:t>的文件。技术和服务文件指投标人提交的能够证明其提供的货物及服务符合招标</w:t>
      </w:r>
      <w:r>
        <w:rPr>
          <w:spacing w:val="-18"/>
          <w:highlight w:val="none"/>
        </w:rPr>
        <w:t xml:space="preserve">文件规定的文件。本次招标，投标人须按招标文件第二部分“投标人须知前附表” </w:t>
      </w:r>
      <w:r>
        <w:rPr>
          <w:spacing w:val="-21"/>
          <w:highlight w:val="none"/>
        </w:rPr>
        <w:t xml:space="preserve">中第 </w:t>
      </w:r>
      <w:r>
        <w:rPr>
          <w:highlight w:val="none"/>
        </w:rPr>
        <w:t>6</w:t>
      </w:r>
      <w:r>
        <w:rPr>
          <w:spacing w:val="-13"/>
          <w:highlight w:val="none"/>
        </w:rPr>
        <w:t xml:space="preserve"> 项规定提交资格审查资料、商务文件、技术文件和服务文件，其中加☆项目若有缺失或无效，将导致投标被拒绝且不允许在开标后补正。 </w:t>
      </w:r>
    </w:p>
    <w:p>
      <w:pPr>
        <w:pStyle w:val="20"/>
        <w:numPr>
          <w:ilvl w:val="1"/>
          <w:numId w:val="13"/>
        </w:numPr>
        <w:tabs>
          <w:tab w:val="left" w:pos="1779"/>
        </w:tabs>
        <w:spacing w:before="3" w:after="0" w:line="240" w:lineRule="auto"/>
        <w:ind w:left="1779" w:right="0" w:hanging="481"/>
        <w:jc w:val="left"/>
        <w:rPr>
          <w:sz w:val="24"/>
          <w:highlight w:val="none"/>
        </w:rPr>
      </w:pPr>
      <w:r>
        <w:rPr>
          <w:spacing w:val="-1"/>
          <w:sz w:val="24"/>
          <w:highlight w:val="none"/>
        </w:rPr>
        <w:t>投标人递交的投标文件及相关要求按照招标文件第二部分“投标人须</w:t>
      </w:r>
    </w:p>
    <w:p>
      <w:pPr>
        <w:spacing w:after="0" w:line="240" w:lineRule="auto"/>
        <w:jc w:val="left"/>
        <w:rPr>
          <w:sz w:val="24"/>
          <w:highlight w:val="none"/>
        </w:rPr>
        <w:sectPr>
          <w:pgSz w:w="11910" w:h="16840"/>
          <w:pgMar w:top="1460" w:right="0" w:bottom="1180" w:left="980" w:header="0" w:footer="915" w:gutter="0"/>
          <w:cols w:space="720" w:num="1"/>
        </w:sectPr>
      </w:pPr>
    </w:p>
    <w:p>
      <w:pPr>
        <w:pStyle w:val="20"/>
        <w:numPr>
          <w:ilvl w:val="3"/>
          <w:numId w:val="14"/>
        </w:numPr>
        <w:tabs>
          <w:tab w:val="left" w:pos="2259"/>
        </w:tabs>
        <w:spacing w:before="3" w:after="0" w:line="364" w:lineRule="auto"/>
        <w:ind w:left="818" w:right="1791" w:firstLine="479"/>
        <w:jc w:val="both"/>
        <w:rPr>
          <w:sz w:val="24"/>
          <w:highlight w:val="none"/>
        </w:rPr>
      </w:pPr>
      <w:r>
        <w:rPr>
          <w:highlight w:val="none"/>
        </w:rPr>
        <w:t>知前附表”中第 13、14 项的规定。</w:t>
      </w:r>
    </w:p>
    <w:p>
      <w:pPr>
        <w:pStyle w:val="7"/>
        <w:numPr>
          <w:ilvl w:val="0"/>
          <w:numId w:val="13"/>
        </w:numPr>
        <w:tabs>
          <w:tab w:val="left" w:pos="1183"/>
        </w:tabs>
        <w:spacing w:before="0" w:after="0" w:line="364" w:lineRule="exact"/>
        <w:ind w:left="1182" w:right="0" w:hanging="365"/>
        <w:jc w:val="left"/>
        <w:rPr>
          <w:highlight w:val="none"/>
        </w:rPr>
      </w:pPr>
      <w:r>
        <w:rPr>
          <w:highlight w:val="none"/>
        </w:rPr>
        <w:t>投标报价</w:t>
      </w:r>
      <w:r>
        <w:rPr>
          <w:w w:val="200"/>
          <w:highlight w:val="none"/>
        </w:rPr>
        <w:t xml:space="preserve"> </w:t>
      </w:r>
    </w:p>
    <w:p>
      <w:pPr>
        <w:pStyle w:val="20"/>
        <w:numPr>
          <w:ilvl w:val="1"/>
          <w:numId w:val="13"/>
        </w:numPr>
        <w:tabs>
          <w:tab w:val="left" w:pos="1779"/>
        </w:tabs>
        <w:spacing w:before="106" w:after="0" w:line="364" w:lineRule="auto"/>
        <w:ind w:left="818" w:right="1792" w:firstLine="479"/>
        <w:jc w:val="both"/>
        <w:rPr>
          <w:sz w:val="24"/>
          <w:highlight w:val="none"/>
        </w:rPr>
      </w:pPr>
      <w:r>
        <w:rPr>
          <w:spacing w:val="-1"/>
          <w:sz w:val="24"/>
          <w:highlight w:val="none"/>
        </w:rPr>
        <w:t>所有投标报价均以人民币元为计算单位。只要投报了一个确定数额的</w:t>
      </w:r>
      <w:r>
        <w:rPr>
          <w:spacing w:val="-10"/>
          <w:sz w:val="24"/>
          <w:highlight w:val="none"/>
        </w:rPr>
        <w:t>总价，无论分项价格是否全部填报了相应的金额或免费字样，报价应被视为已经</w:t>
      </w:r>
      <w:r>
        <w:rPr>
          <w:spacing w:val="-6"/>
          <w:sz w:val="24"/>
          <w:highlight w:val="none"/>
        </w:rPr>
        <w:t>包含了但并不限于各项购买货物及其运送、安装、调试、验收、保险和相关服务</w:t>
      </w:r>
      <w:r>
        <w:rPr>
          <w:spacing w:val="-7"/>
          <w:sz w:val="24"/>
          <w:highlight w:val="none"/>
        </w:rPr>
        <w:t>等的费用和所需缴纳的所有价格、税、费。在其他情况下，由于分项报价填报不</w:t>
      </w:r>
      <w:r>
        <w:rPr>
          <w:spacing w:val="-11"/>
          <w:sz w:val="24"/>
          <w:highlight w:val="none"/>
        </w:rPr>
        <w:t>完整、不清楚或存在其他任何失误，所导致的任何不利后果均应当由投标人自行</w:t>
      </w:r>
      <w:r>
        <w:rPr>
          <w:sz w:val="24"/>
          <w:highlight w:val="none"/>
        </w:rPr>
        <w:t xml:space="preserve">承担。 </w:t>
      </w:r>
    </w:p>
    <w:p>
      <w:pPr>
        <w:pStyle w:val="20"/>
        <w:numPr>
          <w:ilvl w:val="1"/>
          <w:numId w:val="13"/>
        </w:numPr>
        <w:tabs>
          <w:tab w:val="left" w:pos="1779"/>
        </w:tabs>
        <w:spacing w:before="0" w:after="0" w:line="366" w:lineRule="exact"/>
        <w:ind w:left="1779" w:right="0" w:hanging="481"/>
        <w:jc w:val="left"/>
        <w:rPr>
          <w:sz w:val="24"/>
          <w:highlight w:val="none"/>
        </w:rPr>
      </w:pPr>
      <w:r>
        <w:rPr>
          <w:sz w:val="24"/>
          <w:highlight w:val="none"/>
        </w:rPr>
        <w:t>投标人投报多包的，须对每包分别制作投标文件并报价</w:t>
      </w:r>
      <w:r>
        <w:rPr>
          <w:rFonts w:hint="eastAsia" w:ascii="Microsoft JhengHei" w:eastAsia="Microsoft JhengHei"/>
          <w:b/>
          <w:sz w:val="24"/>
          <w:highlight w:val="none"/>
        </w:rPr>
        <w:t>。</w:t>
      </w:r>
      <w:r>
        <w:rPr>
          <w:sz w:val="24"/>
          <w:highlight w:val="none"/>
        </w:rPr>
        <w:t xml:space="preserve"> </w:t>
      </w:r>
    </w:p>
    <w:p>
      <w:pPr>
        <w:pStyle w:val="20"/>
        <w:numPr>
          <w:ilvl w:val="1"/>
          <w:numId w:val="13"/>
        </w:numPr>
        <w:tabs>
          <w:tab w:val="left" w:pos="1779"/>
        </w:tabs>
        <w:spacing w:before="106" w:after="0" w:line="364" w:lineRule="auto"/>
        <w:ind w:left="818" w:right="1798" w:firstLine="479"/>
        <w:jc w:val="left"/>
        <w:rPr>
          <w:rFonts w:hint="eastAsia" w:ascii="Microsoft JhengHei" w:eastAsia="Microsoft JhengHei"/>
          <w:b/>
          <w:sz w:val="24"/>
          <w:highlight w:val="none"/>
        </w:rPr>
      </w:pPr>
      <w:r>
        <w:rPr>
          <w:spacing w:val="-2"/>
          <w:sz w:val="24"/>
          <w:highlight w:val="none"/>
        </w:rPr>
        <w:t xml:space="preserve">除非招标文件另有规定，不接受可选择或可调整的投标方案和报价， </w:t>
      </w:r>
      <w:r>
        <w:rPr>
          <w:sz w:val="24"/>
          <w:highlight w:val="none"/>
        </w:rPr>
        <w:t>任何有选择的或可调整的投标方案和报价将被视为非响应性投标而被拒绝。</w:t>
      </w:r>
      <w:r>
        <w:rPr>
          <w:rFonts w:hint="eastAsia" w:ascii="Microsoft JhengHei" w:eastAsia="Microsoft JhengHei"/>
          <w:b/>
          <w:w w:val="200"/>
          <w:sz w:val="24"/>
          <w:highlight w:val="none"/>
        </w:rPr>
        <w:t xml:space="preserve"> </w:t>
      </w:r>
    </w:p>
    <w:p>
      <w:pPr>
        <w:pStyle w:val="20"/>
        <w:numPr>
          <w:ilvl w:val="1"/>
          <w:numId w:val="13"/>
        </w:numPr>
        <w:tabs>
          <w:tab w:val="left" w:pos="1779"/>
        </w:tabs>
        <w:spacing w:before="2" w:after="0" w:line="364" w:lineRule="auto"/>
        <w:ind w:left="818" w:right="1798" w:firstLine="479"/>
        <w:jc w:val="left"/>
        <w:rPr>
          <w:sz w:val="24"/>
          <w:highlight w:val="none"/>
        </w:rPr>
      </w:pPr>
      <w:r>
        <w:rPr>
          <w:spacing w:val="-2"/>
          <w:sz w:val="24"/>
          <w:highlight w:val="none"/>
        </w:rPr>
        <w:t>本项目是否接受进口产品按照招标文件第二部分“投标人须知前附表</w:t>
      </w:r>
      <w:r>
        <w:rPr>
          <w:spacing w:val="-13"/>
          <w:sz w:val="24"/>
          <w:highlight w:val="none"/>
        </w:rPr>
        <w:t xml:space="preserve">中”中第 </w:t>
      </w:r>
      <w:r>
        <w:rPr>
          <w:sz w:val="24"/>
          <w:highlight w:val="none"/>
        </w:rPr>
        <w:t>6</w:t>
      </w:r>
      <w:r>
        <w:rPr>
          <w:spacing w:val="-10"/>
          <w:sz w:val="24"/>
          <w:highlight w:val="none"/>
        </w:rPr>
        <w:t xml:space="preserve"> 项的规定。 </w:t>
      </w:r>
    </w:p>
    <w:p>
      <w:pPr>
        <w:pStyle w:val="10"/>
        <w:spacing w:before="40" w:line="364" w:lineRule="auto"/>
        <w:ind w:right="1792"/>
        <w:rPr>
          <w:highlight w:val="none"/>
        </w:rPr>
      </w:pPr>
      <w:r>
        <w:rPr>
          <w:spacing w:val="-1"/>
          <w:sz w:val="24"/>
          <w:highlight w:val="none"/>
        </w:rPr>
        <w:t>本项目是否允许投标人将项目的非主体、非关键性工作交由他人完成</w:t>
      </w:r>
      <w:r>
        <w:rPr>
          <w:spacing w:val="-8"/>
          <w:sz w:val="24"/>
          <w:highlight w:val="none"/>
        </w:rPr>
        <w:t xml:space="preserve">按照招标文件第二部分“投标人须知前附表”中第 </w:t>
      </w:r>
      <w:r>
        <w:rPr>
          <w:sz w:val="24"/>
          <w:highlight w:val="none"/>
        </w:rPr>
        <w:t>8</w:t>
      </w:r>
      <w:r>
        <w:rPr>
          <w:spacing w:val="-12"/>
          <w:sz w:val="24"/>
          <w:highlight w:val="none"/>
        </w:rPr>
        <w:t xml:space="preserve"> 项的规定。如允许，投标人</w:t>
      </w:r>
      <w:r>
        <w:rPr>
          <w:spacing w:val="-7"/>
          <w:highlight w:val="none"/>
        </w:rPr>
        <w:t>根据采购项目的实际情况，拟在中标后将中标项目的非主体、非关键性工作交由</w:t>
      </w:r>
      <w:r>
        <w:rPr>
          <w:highlight w:val="none"/>
        </w:rPr>
        <w:t xml:space="preserve">他人完成，须在技术文件中载明。 </w:t>
      </w:r>
    </w:p>
    <w:p>
      <w:pPr>
        <w:pStyle w:val="20"/>
        <w:numPr>
          <w:ilvl w:val="1"/>
          <w:numId w:val="13"/>
        </w:numPr>
        <w:tabs>
          <w:tab w:val="left" w:pos="1779"/>
        </w:tabs>
        <w:spacing w:before="1" w:after="0" w:line="364" w:lineRule="auto"/>
        <w:ind w:left="818" w:right="1706" w:firstLine="479"/>
        <w:jc w:val="left"/>
        <w:rPr>
          <w:sz w:val="24"/>
          <w:highlight w:val="none"/>
        </w:rPr>
      </w:pPr>
      <w:r>
        <w:rPr>
          <w:spacing w:val="5"/>
          <w:sz w:val="24"/>
          <w:highlight w:val="none"/>
        </w:rPr>
        <w:t>投</w:t>
      </w:r>
      <w:r>
        <w:rPr>
          <w:sz w:val="24"/>
          <w:highlight w:val="none"/>
        </w:rPr>
        <w:t>标人须严格按照报价明细表规定的内容填写货物单价以及其他事项</w:t>
      </w:r>
      <w:r>
        <w:rPr>
          <w:rFonts w:hint="eastAsia"/>
          <w:sz w:val="24"/>
          <w:highlight w:val="none"/>
          <w:lang w:eastAsia="zh-CN"/>
        </w:rPr>
        <w:t>，</w:t>
      </w:r>
      <w:r>
        <w:rPr>
          <w:sz w:val="24"/>
          <w:highlight w:val="none"/>
        </w:rPr>
        <w:t>最低报价不能作为中标的保证</w:t>
      </w:r>
      <w:r>
        <w:rPr>
          <w:rFonts w:hint="eastAsia"/>
          <w:sz w:val="24"/>
          <w:highlight w:val="none"/>
          <w:lang w:eastAsia="zh-CN"/>
        </w:rPr>
        <w:t>，投标报价须精确到小数点后两位，否则其投标将被认定为投标无效。</w:t>
      </w:r>
      <w:r>
        <w:rPr>
          <w:sz w:val="24"/>
          <w:highlight w:val="none"/>
        </w:rPr>
        <w:t xml:space="preserve"> </w:t>
      </w:r>
    </w:p>
    <w:p>
      <w:pPr>
        <w:pStyle w:val="20"/>
        <w:numPr>
          <w:ilvl w:val="1"/>
          <w:numId w:val="13"/>
        </w:numPr>
        <w:tabs>
          <w:tab w:val="left" w:pos="1779"/>
        </w:tabs>
        <w:spacing w:before="1" w:after="0" w:line="240" w:lineRule="auto"/>
        <w:ind w:left="1779" w:right="0" w:hanging="481"/>
        <w:jc w:val="left"/>
        <w:rPr>
          <w:sz w:val="24"/>
          <w:highlight w:val="none"/>
        </w:rPr>
      </w:pPr>
      <w:r>
        <w:rPr>
          <w:sz w:val="24"/>
          <w:highlight w:val="none"/>
        </w:rPr>
        <w:t xml:space="preserve">投标人对投标报价若有说明应在投标文件中显著处注明。 </w:t>
      </w:r>
    </w:p>
    <w:p>
      <w:pPr>
        <w:pStyle w:val="20"/>
        <w:numPr>
          <w:ilvl w:val="1"/>
          <w:numId w:val="13"/>
        </w:numPr>
        <w:tabs>
          <w:tab w:val="left" w:pos="1779"/>
        </w:tabs>
        <w:spacing w:before="1" w:after="0" w:line="364" w:lineRule="auto"/>
        <w:ind w:left="818" w:right="1706" w:firstLine="479"/>
        <w:jc w:val="left"/>
        <w:rPr>
          <w:sz w:val="24"/>
          <w:highlight w:val="none"/>
        </w:rPr>
      </w:pPr>
      <w:r>
        <w:rPr>
          <w:spacing w:val="-10"/>
          <w:highlight w:val="none"/>
        </w:rPr>
        <w:t>除政策性文件规定以外，投标人所报价格在合同实施期间不因市场变化因素</w:t>
      </w:r>
      <w:r>
        <w:rPr>
          <w:highlight w:val="none"/>
        </w:rPr>
        <w:t xml:space="preserve">而变动。 </w:t>
      </w:r>
      <w:r>
        <w:rPr>
          <w:sz w:val="24"/>
          <w:highlight w:val="none"/>
        </w:rPr>
        <w:t xml:space="preserve">对于有配件、耗材、选件、备件和特殊工具的货物，还应填报投标货 </w:t>
      </w:r>
      <w:r>
        <w:rPr>
          <w:spacing w:val="-1"/>
          <w:sz w:val="24"/>
          <w:highlight w:val="none"/>
        </w:rPr>
        <w:t>物配件、耗材、选件表和备件及特殊工具清单，注明品牌、型号、产地、功能、</w:t>
      </w:r>
      <w:r>
        <w:rPr>
          <w:spacing w:val="-10"/>
          <w:sz w:val="24"/>
          <w:highlight w:val="none"/>
        </w:rPr>
        <w:t>单价、批量折扣等内容，该表格格式由投标人自行设计。投标人按照上述要求分</w:t>
      </w:r>
      <w:r>
        <w:rPr>
          <w:spacing w:val="-12"/>
          <w:sz w:val="24"/>
          <w:highlight w:val="none"/>
        </w:rPr>
        <w:t xml:space="preserve">类报价，其目的是便于评标，但在任何情况下并不限制采购人以其他条款签订合同的权利。 </w:t>
      </w:r>
    </w:p>
    <w:p>
      <w:pPr>
        <w:pStyle w:val="7"/>
        <w:numPr>
          <w:ilvl w:val="0"/>
          <w:numId w:val="13"/>
        </w:numPr>
        <w:tabs>
          <w:tab w:val="left" w:pos="1183"/>
        </w:tabs>
        <w:spacing w:before="81" w:after="0" w:line="240" w:lineRule="auto"/>
        <w:ind w:left="1182" w:right="0" w:hanging="365"/>
        <w:jc w:val="left"/>
        <w:rPr>
          <w:highlight w:val="none"/>
        </w:rPr>
      </w:pPr>
      <w:r>
        <w:rPr>
          <w:highlight w:val="none"/>
        </w:rPr>
        <w:t>投标有效期</w:t>
      </w:r>
      <w:r>
        <w:rPr>
          <w:w w:val="200"/>
          <w:highlight w:val="none"/>
        </w:rPr>
        <w:t xml:space="preserve"> </w:t>
      </w:r>
    </w:p>
    <w:p>
      <w:pPr>
        <w:pStyle w:val="20"/>
        <w:numPr>
          <w:ilvl w:val="1"/>
          <w:numId w:val="13"/>
        </w:numPr>
        <w:tabs>
          <w:tab w:val="left" w:pos="1779"/>
        </w:tabs>
        <w:spacing w:before="106" w:after="0" w:line="364" w:lineRule="auto"/>
        <w:ind w:left="818" w:right="1795" w:firstLine="479"/>
        <w:jc w:val="both"/>
        <w:rPr>
          <w:sz w:val="24"/>
          <w:highlight w:val="none"/>
        </w:rPr>
      </w:pPr>
      <w:r>
        <w:rPr>
          <w:spacing w:val="-2"/>
          <w:sz w:val="24"/>
          <w:highlight w:val="none"/>
        </w:rPr>
        <w:t xml:space="preserve">本项目的投标有效期按照招标文件第二部分“投标人须知前附表中” </w:t>
      </w:r>
      <w:r>
        <w:rPr>
          <w:spacing w:val="-15"/>
          <w:sz w:val="24"/>
          <w:highlight w:val="none"/>
        </w:rPr>
        <w:t xml:space="preserve">中第 </w:t>
      </w:r>
      <w:r>
        <w:rPr>
          <w:sz w:val="24"/>
          <w:highlight w:val="none"/>
        </w:rPr>
        <w:t>11</w:t>
      </w:r>
      <w:r>
        <w:rPr>
          <w:spacing w:val="-9"/>
          <w:sz w:val="24"/>
          <w:highlight w:val="none"/>
        </w:rPr>
        <w:t xml:space="preserve"> 项的规定。投标有效期自开标之日起计算，短于规定期限的投标将按无</w:t>
      </w:r>
      <w:r>
        <w:rPr>
          <w:sz w:val="24"/>
          <w:highlight w:val="none"/>
        </w:rPr>
        <w:t xml:space="preserve">效投标处理。 </w:t>
      </w:r>
    </w:p>
    <w:p>
      <w:pPr>
        <w:pStyle w:val="20"/>
        <w:numPr>
          <w:ilvl w:val="1"/>
          <w:numId w:val="13"/>
        </w:numPr>
        <w:tabs>
          <w:tab w:val="left" w:pos="1779"/>
        </w:tabs>
        <w:spacing w:before="2" w:after="0" w:line="364" w:lineRule="auto"/>
        <w:ind w:left="818" w:right="1675" w:firstLine="479"/>
        <w:jc w:val="left"/>
        <w:rPr>
          <w:sz w:val="24"/>
          <w:highlight w:val="none"/>
        </w:rPr>
      </w:pPr>
      <w:r>
        <w:rPr>
          <w:spacing w:val="-1"/>
          <w:sz w:val="24"/>
          <w:highlight w:val="none"/>
        </w:rPr>
        <w:t>在特殊情况下，采购代理机构可与投标人协商延长投标有效期。这种要</w:t>
      </w:r>
      <w:r>
        <w:rPr>
          <w:spacing w:val="-15"/>
          <w:sz w:val="24"/>
          <w:highlight w:val="none"/>
        </w:rPr>
        <w:t>求和答复都应以书面形式进行。此时，规定的投标保证金的有效期也相应延长。投</w:t>
      </w:r>
      <w:r>
        <w:rPr>
          <w:spacing w:val="-19"/>
          <w:sz w:val="24"/>
          <w:highlight w:val="none"/>
        </w:rPr>
        <w:t xml:space="preserve">标人可以拒绝接受延期要求而不会被没收保证金。同意延长有效期的投标人除按照采购代理机构要求修改投标有效期外，不能修改投标文件的其他内容。 </w:t>
      </w:r>
    </w:p>
    <w:p>
      <w:pPr>
        <w:pStyle w:val="7"/>
        <w:numPr>
          <w:ilvl w:val="0"/>
          <w:numId w:val="13"/>
        </w:numPr>
        <w:tabs>
          <w:tab w:val="left" w:pos="1183"/>
        </w:tabs>
        <w:spacing w:before="0" w:after="0" w:line="365" w:lineRule="exact"/>
        <w:ind w:left="1182" w:right="0" w:hanging="365"/>
        <w:jc w:val="left"/>
        <w:rPr>
          <w:highlight w:val="none"/>
        </w:rPr>
      </w:pPr>
      <w:r>
        <w:rPr>
          <w:highlight w:val="none"/>
        </w:rPr>
        <w:t>投标内容填写说明</w:t>
      </w:r>
      <w:r>
        <w:rPr>
          <w:w w:val="200"/>
          <w:highlight w:val="none"/>
        </w:rPr>
        <w:t xml:space="preserve"> </w:t>
      </w:r>
    </w:p>
    <w:p>
      <w:pPr>
        <w:pStyle w:val="20"/>
        <w:numPr>
          <w:ilvl w:val="1"/>
          <w:numId w:val="13"/>
        </w:numPr>
        <w:tabs>
          <w:tab w:val="left" w:pos="1779"/>
        </w:tabs>
        <w:spacing w:before="106" w:after="0" w:line="364" w:lineRule="auto"/>
        <w:ind w:left="818" w:right="1792" w:firstLine="479"/>
        <w:jc w:val="both"/>
        <w:rPr>
          <w:sz w:val="24"/>
          <w:highlight w:val="none"/>
        </w:rPr>
      </w:pPr>
      <w:r>
        <w:rPr>
          <w:spacing w:val="-1"/>
          <w:sz w:val="24"/>
          <w:highlight w:val="none"/>
        </w:rPr>
        <w:t>投标人应详细阅读招标文件的全部内容。投标文件须对招标文件中的</w:t>
      </w:r>
      <w:r>
        <w:rPr>
          <w:spacing w:val="-8"/>
          <w:sz w:val="24"/>
          <w:highlight w:val="none"/>
        </w:rPr>
        <w:t>内容作出实质性和完整的响应，如果投标文件填报的内容不详，或没有提供招标</w:t>
      </w:r>
      <w:r>
        <w:rPr>
          <w:sz w:val="24"/>
          <w:highlight w:val="none"/>
        </w:rPr>
        <w:t xml:space="preserve">文件中所要求的全部资料及数据，将可能导致投标被拒绝。 </w:t>
      </w:r>
    </w:p>
    <w:p>
      <w:pPr>
        <w:pStyle w:val="10"/>
        <w:spacing w:line="403" w:lineRule="exact"/>
        <w:ind w:right="1690" w:rightChars="768"/>
        <w:rPr>
          <w:rFonts w:hint="eastAsia" w:ascii="Microsoft JhengHei" w:eastAsia="宋体"/>
          <w:b/>
          <w:highlight w:val="none"/>
          <w:lang w:eastAsia="zh-CN"/>
        </w:rPr>
      </w:pPr>
      <w:r>
        <w:rPr>
          <w:spacing w:val="-1"/>
          <w:sz w:val="24"/>
          <w:highlight w:val="none"/>
        </w:rPr>
        <w:t>投标文件须严格按照招标文件第六部分规定的格式提交</w:t>
      </w:r>
      <w:r>
        <w:rPr>
          <w:rFonts w:hint="eastAsia"/>
          <w:spacing w:val="-1"/>
          <w:sz w:val="24"/>
          <w:highlight w:val="none"/>
          <w:lang w:val="en-US" w:eastAsia="zh-CN"/>
        </w:rPr>
        <w:t>完</w:t>
      </w:r>
      <w:r>
        <w:rPr>
          <w:highlight w:val="none"/>
        </w:rPr>
        <w:t>整响应的投标文件，</w:t>
      </w:r>
      <w:r>
        <w:rPr>
          <w:rFonts w:hint="eastAsia"/>
          <w:highlight w:val="none"/>
          <w:lang w:val="en-US" w:eastAsia="zh-CN"/>
        </w:rPr>
        <w:t>未按照要求提供</w:t>
      </w:r>
      <w:r>
        <w:rPr>
          <w:highlight w:val="none"/>
        </w:rPr>
        <w:t>其投标有可能被拒绝</w:t>
      </w:r>
      <w:r>
        <w:rPr>
          <w:rFonts w:hint="eastAsia"/>
          <w:highlight w:val="none"/>
          <w:lang w:eastAsia="zh-CN"/>
        </w:rPr>
        <w:t>。</w:t>
      </w:r>
    </w:p>
    <w:p>
      <w:pPr>
        <w:pStyle w:val="20"/>
        <w:numPr>
          <w:ilvl w:val="1"/>
          <w:numId w:val="13"/>
        </w:numPr>
        <w:tabs>
          <w:tab w:val="left" w:pos="1779"/>
        </w:tabs>
        <w:spacing w:before="106" w:after="0" w:line="364" w:lineRule="auto"/>
        <w:ind w:left="818" w:right="1798" w:firstLine="479"/>
        <w:jc w:val="left"/>
        <w:rPr>
          <w:sz w:val="24"/>
          <w:highlight w:val="none"/>
        </w:rPr>
      </w:pPr>
      <w:r>
        <w:rPr>
          <w:spacing w:val="-2"/>
          <w:sz w:val="24"/>
          <w:highlight w:val="none"/>
        </w:rPr>
        <w:t>开标一览表为在开标仪式上唱标的内容，要求按格式统一填写，不得</w:t>
      </w:r>
      <w:r>
        <w:rPr>
          <w:sz w:val="24"/>
          <w:highlight w:val="none"/>
        </w:rPr>
        <w:t xml:space="preserve">自行增减内容。 </w:t>
      </w:r>
    </w:p>
    <w:p>
      <w:pPr>
        <w:pStyle w:val="20"/>
        <w:numPr>
          <w:ilvl w:val="1"/>
          <w:numId w:val="13"/>
        </w:numPr>
        <w:tabs>
          <w:tab w:val="left" w:pos="1779"/>
        </w:tabs>
        <w:spacing w:before="1" w:after="0" w:line="364" w:lineRule="auto"/>
        <w:ind w:left="818" w:right="1791" w:firstLine="479"/>
        <w:jc w:val="both"/>
        <w:rPr>
          <w:sz w:val="24"/>
          <w:highlight w:val="none"/>
        </w:rPr>
      </w:pPr>
      <w:r>
        <w:rPr>
          <w:spacing w:val="-1"/>
          <w:sz w:val="24"/>
          <w:highlight w:val="none"/>
        </w:rPr>
        <w:t>投标人须注意：为合理节约政府采购评审成本，提倡诚实信用的投标</w:t>
      </w:r>
      <w:r>
        <w:rPr>
          <w:spacing w:val="-10"/>
          <w:sz w:val="24"/>
          <w:highlight w:val="none"/>
        </w:rPr>
        <w:t>行为，特别要求投标人应本着诚信精神，在本次投标文件的偏离表中，均以审慎</w:t>
      </w:r>
      <w:r>
        <w:rPr>
          <w:spacing w:val="-11"/>
          <w:sz w:val="24"/>
          <w:highlight w:val="none"/>
        </w:rPr>
        <w:t>的态度明确、清楚地披露各项偏离。若投标人对某一事项是否存在或是否属于偏</w:t>
      </w:r>
      <w:r>
        <w:rPr>
          <w:spacing w:val="-10"/>
          <w:sz w:val="24"/>
          <w:highlight w:val="none"/>
        </w:rPr>
        <w:t>离不能确定，亦必须在偏离表中清楚地表明该偏离事项，并可以注明不能确定的字样。任何情况下，对于投标人没有在偏离表中明确、清楚地披露的事项，包括</w:t>
      </w:r>
      <w:r>
        <w:rPr>
          <w:spacing w:val="-6"/>
          <w:sz w:val="24"/>
          <w:highlight w:val="none"/>
        </w:rPr>
        <w:t>可能属于被投标人在偏离表中遗漏披露的事项，一旦在评审中被发现存在偏离或</w:t>
      </w:r>
      <w:r>
        <w:rPr>
          <w:spacing w:val="-8"/>
          <w:sz w:val="24"/>
          <w:highlight w:val="none"/>
        </w:rPr>
        <w:t>被认定为属于偏离，则评标委员会有权视具体情形评审时予以处理，乃至对该投</w:t>
      </w:r>
      <w:r>
        <w:rPr>
          <w:sz w:val="24"/>
          <w:highlight w:val="none"/>
        </w:rPr>
        <w:t xml:space="preserve">标予以拒绝。 </w:t>
      </w:r>
    </w:p>
    <w:p>
      <w:pPr>
        <w:pStyle w:val="20"/>
        <w:numPr>
          <w:ilvl w:val="1"/>
          <w:numId w:val="13"/>
        </w:numPr>
        <w:tabs>
          <w:tab w:val="left" w:pos="1779"/>
        </w:tabs>
        <w:spacing w:before="6" w:after="0" w:line="364" w:lineRule="auto"/>
        <w:ind w:left="818" w:right="1798" w:firstLine="479"/>
        <w:jc w:val="left"/>
        <w:rPr>
          <w:sz w:val="24"/>
          <w:highlight w:val="none"/>
        </w:rPr>
      </w:pPr>
      <w:r>
        <w:rPr>
          <w:spacing w:val="-2"/>
          <w:sz w:val="24"/>
          <w:highlight w:val="none"/>
        </w:rPr>
        <w:t>投标人必须保证投标文件所提供的全部资料真实可靠，并接受采购代</w:t>
      </w:r>
      <w:r>
        <w:rPr>
          <w:sz w:val="24"/>
          <w:highlight w:val="none"/>
        </w:rPr>
        <w:t xml:space="preserve">理机构或评标委员会对其中任何资料进一步审查的要求。 </w:t>
      </w:r>
    </w:p>
    <w:p>
      <w:pPr>
        <w:pStyle w:val="20"/>
        <w:numPr>
          <w:ilvl w:val="1"/>
          <w:numId w:val="13"/>
        </w:numPr>
        <w:tabs>
          <w:tab w:val="left" w:pos="1779"/>
        </w:tabs>
        <w:spacing w:before="1" w:after="0" w:line="364" w:lineRule="auto"/>
        <w:ind w:left="818" w:right="1792" w:firstLine="479"/>
        <w:jc w:val="both"/>
        <w:rPr>
          <w:rFonts w:hint="eastAsia" w:ascii="Microsoft JhengHei" w:hAnsi="Microsoft JhengHei" w:eastAsia="Microsoft JhengHei"/>
          <w:b/>
          <w:sz w:val="24"/>
          <w:highlight w:val="none"/>
        </w:rPr>
      </w:pPr>
      <w:r>
        <w:rPr>
          <w:spacing w:val="-1"/>
          <w:sz w:val="24"/>
          <w:highlight w:val="none"/>
        </w:rPr>
        <w:t>投标人在投标文件及相关文件的签订、履行、通知等事项的文件中的</w:t>
      </w:r>
      <w:r>
        <w:rPr>
          <w:spacing w:val="-10"/>
          <w:sz w:val="24"/>
          <w:highlight w:val="none"/>
        </w:rPr>
        <w:t>单位盖章、印章、公章等处均指与当事人全称相一致的标准公章，不</w:t>
      </w:r>
      <w:r>
        <w:rPr>
          <w:sz w:val="24"/>
          <w:highlight w:val="none"/>
        </w:rPr>
        <w:t>得使用其他形式（如带有“专用章”等字样的印章</w:t>
      </w:r>
      <w:r>
        <w:rPr>
          <w:spacing w:val="-118"/>
          <w:sz w:val="24"/>
          <w:highlight w:val="none"/>
        </w:rPr>
        <w:t>）</w:t>
      </w:r>
      <w:r>
        <w:rPr>
          <w:sz w:val="24"/>
          <w:highlight w:val="none"/>
        </w:rPr>
        <w:t>。不符合本条规定的按无效投标处理。</w:t>
      </w:r>
      <w:r>
        <w:rPr>
          <w:rFonts w:hint="eastAsia" w:ascii="Microsoft JhengHei" w:hAnsi="Microsoft JhengHei" w:eastAsia="Microsoft JhengHei"/>
          <w:b/>
          <w:w w:val="200"/>
          <w:sz w:val="24"/>
          <w:highlight w:val="none"/>
        </w:rPr>
        <w:t xml:space="preserve"> </w:t>
      </w:r>
    </w:p>
    <w:p>
      <w:pPr>
        <w:spacing w:after="0" w:line="364" w:lineRule="auto"/>
        <w:jc w:val="left"/>
        <w:rPr>
          <w:sz w:val="24"/>
          <w:highlight w:val="none"/>
        </w:rPr>
        <w:sectPr>
          <w:pgSz w:w="11910" w:h="16840"/>
          <w:pgMar w:top="1460" w:right="0" w:bottom="1180" w:left="980" w:header="0" w:footer="915" w:gutter="0"/>
          <w:cols w:space="720" w:num="1"/>
        </w:sectPr>
      </w:pPr>
    </w:p>
    <w:p>
      <w:pPr>
        <w:pStyle w:val="10"/>
        <w:spacing w:before="4"/>
        <w:ind w:left="0"/>
        <w:rPr>
          <w:sz w:val="18"/>
          <w:highlight w:val="none"/>
        </w:rPr>
      </w:pPr>
    </w:p>
    <w:p>
      <w:pPr>
        <w:pStyle w:val="7"/>
        <w:spacing w:line="254" w:lineRule="auto"/>
        <w:ind w:right="8299"/>
        <w:outlineLvl w:val="1"/>
        <w:rPr>
          <w:highlight w:val="none"/>
        </w:rPr>
      </w:pPr>
      <w:bookmarkStart w:id="15" w:name="四、投标保证金"/>
      <w:bookmarkEnd w:id="15"/>
      <w:bookmarkStart w:id="16" w:name="_Toc29553"/>
      <w:r>
        <w:rPr>
          <w:w w:val="105"/>
          <w:highlight w:val="none"/>
        </w:rPr>
        <w:t>四、投标保证金16.投标保证金</w:t>
      </w:r>
      <w:bookmarkEnd w:id="16"/>
      <w:r>
        <w:rPr>
          <w:w w:val="200"/>
          <w:highlight w:val="none"/>
        </w:rPr>
        <w:t xml:space="preserve">  </w:t>
      </w:r>
    </w:p>
    <w:p>
      <w:pPr>
        <w:pStyle w:val="20"/>
        <w:numPr>
          <w:ilvl w:val="1"/>
          <w:numId w:val="15"/>
        </w:numPr>
        <w:tabs>
          <w:tab w:val="left" w:pos="1779"/>
        </w:tabs>
        <w:spacing w:before="79" w:after="0" w:line="364" w:lineRule="auto"/>
        <w:ind w:left="818" w:right="1791" w:firstLine="479"/>
        <w:jc w:val="left"/>
        <w:rPr>
          <w:sz w:val="24"/>
          <w:highlight w:val="none"/>
        </w:rPr>
      </w:pPr>
      <w:r>
        <w:rPr>
          <w:spacing w:val="-8"/>
          <w:sz w:val="24"/>
          <w:highlight w:val="none"/>
        </w:rPr>
        <w:t xml:space="preserve">投标人应按照招标文件第二部分“投标人须知前附表”中第 </w:t>
      </w:r>
      <w:r>
        <w:rPr>
          <w:sz w:val="24"/>
          <w:highlight w:val="none"/>
        </w:rPr>
        <w:t>17</w:t>
      </w:r>
      <w:r>
        <w:rPr>
          <w:spacing w:val="-19"/>
          <w:sz w:val="24"/>
          <w:highlight w:val="none"/>
        </w:rPr>
        <w:t xml:space="preserve"> 项的规</w:t>
      </w:r>
      <w:r>
        <w:rPr>
          <w:sz w:val="24"/>
          <w:highlight w:val="none"/>
        </w:rPr>
        <w:t xml:space="preserve">定交纳。投标保证金须于到账截止时间前到帐，并经采购代理机构确认。 </w:t>
      </w:r>
    </w:p>
    <w:p>
      <w:pPr>
        <w:pStyle w:val="20"/>
        <w:numPr>
          <w:ilvl w:val="1"/>
          <w:numId w:val="15"/>
        </w:numPr>
        <w:tabs>
          <w:tab w:val="left" w:pos="1779"/>
        </w:tabs>
        <w:spacing w:before="2" w:after="0" w:line="364" w:lineRule="auto"/>
        <w:ind w:left="818" w:right="1798" w:firstLine="479"/>
        <w:jc w:val="left"/>
        <w:rPr>
          <w:sz w:val="24"/>
          <w:highlight w:val="none"/>
        </w:rPr>
      </w:pPr>
      <w:r>
        <w:rPr>
          <w:spacing w:val="-2"/>
          <w:sz w:val="24"/>
          <w:highlight w:val="none"/>
        </w:rPr>
        <w:t>采购代理机构不接收以现金或汇票等其他形式递交的投标保证金。未</w:t>
      </w:r>
      <w:r>
        <w:rPr>
          <w:sz w:val="24"/>
          <w:highlight w:val="none"/>
        </w:rPr>
        <w:t xml:space="preserve">按要求提交投标保证金的，将被视为无效投标。 </w:t>
      </w:r>
    </w:p>
    <w:p>
      <w:pPr>
        <w:pStyle w:val="20"/>
        <w:numPr>
          <w:ilvl w:val="1"/>
          <w:numId w:val="15"/>
        </w:numPr>
        <w:tabs>
          <w:tab w:val="left" w:pos="1779"/>
        </w:tabs>
        <w:spacing w:before="1" w:after="0" w:line="240" w:lineRule="auto"/>
        <w:ind w:left="1779" w:right="0" w:hanging="481"/>
        <w:jc w:val="left"/>
        <w:rPr>
          <w:sz w:val="24"/>
          <w:highlight w:val="none"/>
        </w:rPr>
      </w:pPr>
      <w:r>
        <w:rPr>
          <w:spacing w:val="-2"/>
          <w:sz w:val="24"/>
          <w:highlight w:val="none"/>
        </w:rPr>
        <w:t xml:space="preserve">未中标的投标人的投标保证金在中标通知书发出之日起 </w:t>
      </w:r>
      <w:r>
        <w:rPr>
          <w:sz w:val="24"/>
          <w:highlight w:val="none"/>
        </w:rPr>
        <w:t>5</w:t>
      </w:r>
      <w:r>
        <w:rPr>
          <w:spacing w:val="-9"/>
          <w:sz w:val="24"/>
          <w:highlight w:val="none"/>
        </w:rPr>
        <w:t xml:space="preserve"> 个工作日内</w:t>
      </w:r>
    </w:p>
    <w:p>
      <w:pPr>
        <w:pStyle w:val="10"/>
        <w:spacing w:before="161" w:line="364" w:lineRule="auto"/>
        <w:ind w:right="1794"/>
        <w:rPr>
          <w:highlight w:val="none"/>
        </w:rPr>
      </w:pPr>
      <w:r>
        <w:rPr>
          <w:spacing w:val="-12"/>
          <w:highlight w:val="none"/>
        </w:rPr>
        <w:t xml:space="preserve">退还；中标人的投标保证金将在交纳履约保证金并于合同生效后 </w:t>
      </w:r>
      <w:r>
        <w:rPr>
          <w:highlight w:val="none"/>
        </w:rPr>
        <w:t>5</w:t>
      </w:r>
      <w:r>
        <w:rPr>
          <w:spacing w:val="-11"/>
          <w:highlight w:val="none"/>
        </w:rPr>
        <w:t xml:space="preserve"> 个工作日内退</w:t>
      </w:r>
      <w:r>
        <w:rPr>
          <w:highlight w:val="none"/>
        </w:rPr>
        <w:t xml:space="preserve">还。 </w:t>
      </w:r>
    </w:p>
    <w:p>
      <w:pPr>
        <w:pStyle w:val="20"/>
        <w:numPr>
          <w:ilvl w:val="1"/>
          <w:numId w:val="15"/>
        </w:numPr>
        <w:tabs>
          <w:tab w:val="left" w:pos="1779"/>
        </w:tabs>
        <w:spacing w:before="1" w:after="0" w:line="364" w:lineRule="auto"/>
        <w:ind w:left="818" w:right="1797" w:firstLine="479"/>
        <w:jc w:val="left"/>
        <w:rPr>
          <w:sz w:val="24"/>
          <w:highlight w:val="none"/>
        </w:rPr>
      </w:pPr>
      <w:r>
        <w:rPr>
          <w:spacing w:val="5"/>
          <w:sz w:val="24"/>
          <w:highlight w:val="none"/>
        </w:rPr>
        <w:t xml:space="preserve">投标保证金退还一律采用网上银行转帐方式退还至投标人的汇款帐户，资金原路返回。 </w:t>
      </w:r>
    </w:p>
    <w:p>
      <w:pPr>
        <w:pStyle w:val="20"/>
        <w:numPr>
          <w:ilvl w:val="1"/>
          <w:numId w:val="15"/>
        </w:numPr>
        <w:tabs>
          <w:tab w:val="left" w:pos="1920"/>
        </w:tabs>
        <w:spacing w:before="1" w:after="0" w:line="364" w:lineRule="auto"/>
        <w:ind w:left="818" w:right="1795" w:firstLine="501"/>
        <w:jc w:val="both"/>
        <w:rPr>
          <w:sz w:val="24"/>
          <w:highlight w:val="none"/>
        </w:rPr>
      </w:pPr>
      <w:r>
        <w:rPr>
          <w:spacing w:val="-1"/>
          <w:sz w:val="24"/>
          <w:highlight w:val="none"/>
        </w:rPr>
        <w:t>如开标时投标人对本单位投标保证金缴纳情况有疑义，投标人应在开</w:t>
      </w:r>
      <w:r>
        <w:rPr>
          <w:spacing w:val="-5"/>
          <w:sz w:val="24"/>
          <w:highlight w:val="none"/>
        </w:rPr>
        <w:t>标结束前向招标人提交书面申请核实保证金缴纳情况。由银行或保险公司核实后</w:t>
      </w:r>
      <w:r>
        <w:rPr>
          <w:sz w:val="24"/>
          <w:highlight w:val="none"/>
        </w:rPr>
        <w:t xml:space="preserve">出具书面材料予以答复。 </w:t>
      </w:r>
    </w:p>
    <w:p>
      <w:pPr>
        <w:pStyle w:val="20"/>
        <w:numPr>
          <w:ilvl w:val="1"/>
          <w:numId w:val="15"/>
        </w:numPr>
        <w:tabs>
          <w:tab w:val="left" w:pos="1898"/>
        </w:tabs>
        <w:spacing w:before="2" w:after="0" w:line="364" w:lineRule="auto"/>
        <w:ind w:left="818" w:right="1672" w:firstLine="479"/>
        <w:jc w:val="left"/>
        <w:rPr>
          <w:sz w:val="24"/>
          <w:highlight w:val="none"/>
        </w:rPr>
      </w:pPr>
      <w:r>
        <w:rPr>
          <w:spacing w:val="-1"/>
          <w:sz w:val="24"/>
          <w:highlight w:val="none"/>
        </w:rPr>
        <w:t>开标结束后，转账、电汇、网银形式缴纳的保证金由招标代理或招标</w:t>
      </w:r>
      <w:r>
        <w:rPr>
          <w:spacing w:val="-10"/>
          <w:sz w:val="24"/>
          <w:highlight w:val="none"/>
        </w:rPr>
        <w:t xml:space="preserve">人统一办理中标人和未中标人的保证金退还事宜。如本项目招标中遇质疑，投诉， </w:t>
      </w:r>
      <w:r>
        <w:rPr>
          <w:spacing w:val="-7"/>
          <w:sz w:val="24"/>
          <w:highlight w:val="none"/>
        </w:rPr>
        <w:t xml:space="preserve">复议等特殊情况，保证金退还时间按相关规定执行。银行电子保函、保险电子保函等形式缴纳的投标保证金按协议执行，无需办理退款手续。 </w:t>
      </w:r>
    </w:p>
    <w:p>
      <w:pPr>
        <w:pStyle w:val="10"/>
        <w:spacing w:before="5"/>
        <w:ind w:left="0"/>
        <w:rPr>
          <w:sz w:val="18"/>
          <w:highlight w:val="none"/>
        </w:rPr>
      </w:pPr>
    </w:p>
    <w:p>
      <w:pPr>
        <w:pStyle w:val="7"/>
        <w:outlineLvl w:val="1"/>
        <w:rPr>
          <w:highlight w:val="none"/>
        </w:rPr>
      </w:pPr>
      <w:bookmarkStart w:id="17" w:name="五、投标文件的递交"/>
      <w:bookmarkEnd w:id="17"/>
      <w:bookmarkStart w:id="18" w:name="_Toc12471"/>
      <w:r>
        <w:rPr>
          <w:highlight w:val="none"/>
        </w:rPr>
        <w:t>五、投标文件的递交</w:t>
      </w:r>
      <w:bookmarkEnd w:id="18"/>
      <w:r>
        <w:rPr>
          <w:w w:val="200"/>
          <w:highlight w:val="none"/>
        </w:rPr>
        <w:t xml:space="preserve"> </w:t>
      </w:r>
    </w:p>
    <w:p>
      <w:pPr>
        <w:pStyle w:val="20"/>
        <w:numPr>
          <w:ilvl w:val="0"/>
          <w:numId w:val="16"/>
        </w:numPr>
        <w:tabs>
          <w:tab w:val="left" w:pos="1183"/>
        </w:tabs>
        <w:spacing w:before="27" w:after="0" w:line="240" w:lineRule="auto"/>
        <w:ind w:left="1182" w:right="0" w:hanging="365"/>
        <w:jc w:val="left"/>
        <w:rPr>
          <w:rFonts w:hint="eastAsia" w:ascii="Microsoft JhengHei" w:eastAsia="Microsoft JhengHei"/>
          <w:b/>
          <w:sz w:val="24"/>
          <w:highlight w:val="none"/>
        </w:rPr>
      </w:pPr>
      <w:r>
        <w:rPr>
          <w:rFonts w:hint="eastAsia" w:ascii="Microsoft JhengHei" w:eastAsia="Microsoft JhengHei"/>
          <w:b/>
          <w:sz w:val="24"/>
          <w:highlight w:val="none"/>
        </w:rPr>
        <w:t>投标文件的密封和标记</w:t>
      </w:r>
      <w:r>
        <w:rPr>
          <w:rFonts w:hint="eastAsia" w:ascii="Microsoft JhengHei" w:eastAsia="Microsoft JhengHei"/>
          <w:b/>
          <w:w w:val="200"/>
          <w:sz w:val="24"/>
          <w:highlight w:val="none"/>
        </w:rPr>
        <w:t xml:space="preserve"> </w:t>
      </w:r>
    </w:p>
    <w:p>
      <w:pPr>
        <w:pStyle w:val="10"/>
        <w:spacing w:before="40" w:line="364" w:lineRule="auto"/>
        <w:ind w:right="1795" w:firstLine="479"/>
        <w:rPr>
          <w:rFonts w:hint="eastAsia"/>
          <w:spacing w:val="-5"/>
          <w:highlight w:val="none"/>
        </w:rPr>
      </w:pPr>
      <w:r>
        <w:rPr>
          <w:rFonts w:hint="eastAsia"/>
          <w:spacing w:val="-5"/>
          <w:highlight w:val="none"/>
        </w:rPr>
        <w:t>为方便开标及进行资格审查，投标人应将投标文件第一部分和第二部分分开单独密封提交，并在封皮正面标明“第一部分开标一览表及资格证明文件”或“第二部分商务及技术文件”字样。</w:t>
      </w:r>
    </w:p>
    <w:p>
      <w:pPr>
        <w:pStyle w:val="10"/>
        <w:spacing w:before="40" w:line="364" w:lineRule="auto"/>
        <w:ind w:right="1795" w:firstLine="479"/>
        <w:rPr>
          <w:rFonts w:hint="eastAsia"/>
          <w:spacing w:val="-5"/>
          <w:highlight w:val="none"/>
        </w:rPr>
      </w:pPr>
      <w:r>
        <w:rPr>
          <w:rFonts w:hint="eastAsia"/>
          <w:spacing w:val="-5"/>
          <w:highlight w:val="none"/>
        </w:rPr>
        <w:t>1</w:t>
      </w:r>
      <w:r>
        <w:rPr>
          <w:rFonts w:hint="eastAsia"/>
          <w:spacing w:val="-5"/>
          <w:highlight w:val="none"/>
          <w:lang w:val="en-US" w:eastAsia="zh-CN"/>
        </w:rPr>
        <w:t>7</w:t>
      </w:r>
      <w:r>
        <w:rPr>
          <w:rFonts w:hint="eastAsia"/>
          <w:spacing w:val="-5"/>
          <w:highlight w:val="none"/>
        </w:rPr>
        <w:t>.</w:t>
      </w:r>
      <w:r>
        <w:rPr>
          <w:rFonts w:hint="eastAsia"/>
          <w:spacing w:val="-5"/>
          <w:highlight w:val="none"/>
          <w:lang w:val="en-US" w:eastAsia="zh-CN"/>
        </w:rPr>
        <w:t>1</w:t>
      </w:r>
      <w:r>
        <w:rPr>
          <w:rFonts w:hint="eastAsia"/>
          <w:spacing w:val="-5"/>
          <w:highlight w:val="none"/>
        </w:rPr>
        <w:t xml:space="preserve">   所有包装封皮和信封上均应：</w:t>
      </w:r>
    </w:p>
    <w:p>
      <w:pPr>
        <w:pStyle w:val="10"/>
        <w:spacing w:before="40" w:line="364" w:lineRule="auto"/>
        <w:ind w:right="1795" w:firstLine="479"/>
        <w:rPr>
          <w:rFonts w:hint="eastAsia"/>
          <w:spacing w:val="-5"/>
          <w:highlight w:val="none"/>
        </w:rPr>
      </w:pPr>
      <w:r>
        <w:rPr>
          <w:rFonts w:hint="eastAsia"/>
          <w:spacing w:val="-5"/>
          <w:highlight w:val="none"/>
        </w:rPr>
        <w:t>（1）注明招标公告或投标邀请书中指明的项目名称、招标编号、投标人名称和“在（开标时间）之前不得启封”的字样。</w:t>
      </w:r>
    </w:p>
    <w:p>
      <w:pPr>
        <w:pStyle w:val="10"/>
        <w:spacing w:before="40" w:line="364" w:lineRule="auto"/>
        <w:ind w:right="1795" w:firstLine="479"/>
        <w:rPr>
          <w:rFonts w:hint="eastAsia"/>
          <w:spacing w:val="-5"/>
          <w:highlight w:val="none"/>
        </w:rPr>
      </w:pPr>
      <w:r>
        <w:rPr>
          <w:rFonts w:hint="eastAsia"/>
          <w:spacing w:val="-5"/>
          <w:highlight w:val="none"/>
        </w:rPr>
        <w:t>（2）在封口处加盖投标人单位章，或由法定代表人（或其委托代理人）签字。</w:t>
      </w:r>
    </w:p>
    <w:p>
      <w:pPr>
        <w:pStyle w:val="10"/>
        <w:spacing w:before="40" w:line="364" w:lineRule="auto"/>
        <w:ind w:right="1795" w:firstLine="479"/>
        <w:rPr>
          <w:rFonts w:hint="eastAsia"/>
          <w:spacing w:val="-5"/>
          <w:highlight w:val="none"/>
        </w:rPr>
      </w:pPr>
      <w:r>
        <w:rPr>
          <w:rFonts w:hint="eastAsia"/>
          <w:spacing w:val="-5"/>
          <w:highlight w:val="none"/>
        </w:rPr>
        <w:t>1</w:t>
      </w:r>
      <w:r>
        <w:rPr>
          <w:rFonts w:hint="eastAsia"/>
          <w:spacing w:val="-5"/>
          <w:highlight w:val="none"/>
          <w:lang w:val="en-US" w:eastAsia="zh-CN"/>
        </w:rPr>
        <w:t>7</w:t>
      </w:r>
      <w:r>
        <w:rPr>
          <w:rFonts w:hint="eastAsia"/>
          <w:spacing w:val="-5"/>
          <w:highlight w:val="none"/>
        </w:rPr>
        <w:t>.</w:t>
      </w:r>
      <w:r>
        <w:rPr>
          <w:rFonts w:hint="eastAsia"/>
          <w:spacing w:val="-5"/>
          <w:highlight w:val="none"/>
          <w:lang w:val="en-US" w:eastAsia="zh-CN"/>
        </w:rPr>
        <w:t>2</w:t>
      </w:r>
      <w:r>
        <w:rPr>
          <w:rFonts w:hint="eastAsia"/>
          <w:spacing w:val="-5"/>
          <w:highlight w:val="none"/>
        </w:rPr>
        <w:t xml:space="preserve">    如果投标人未按上述要求密封，其投标文件将被拒绝接收。</w:t>
      </w:r>
    </w:p>
    <w:p>
      <w:pPr>
        <w:pStyle w:val="10"/>
        <w:spacing w:before="40" w:line="364" w:lineRule="auto"/>
        <w:ind w:right="1795" w:firstLine="479"/>
        <w:rPr>
          <w:sz w:val="24"/>
          <w:highlight w:val="none"/>
        </w:rPr>
      </w:pPr>
      <w:r>
        <w:rPr>
          <w:rFonts w:hint="eastAsia"/>
          <w:spacing w:val="-5"/>
          <w:highlight w:val="none"/>
        </w:rPr>
        <w:t>1</w:t>
      </w:r>
      <w:r>
        <w:rPr>
          <w:rFonts w:hint="eastAsia"/>
          <w:spacing w:val="-5"/>
          <w:highlight w:val="none"/>
          <w:lang w:val="en-US" w:eastAsia="zh-CN"/>
        </w:rPr>
        <w:t>7</w:t>
      </w:r>
      <w:r>
        <w:rPr>
          <w:rFonts w:hint="eastAsia"/>
          <w:spacing w:val="-5"/>
          <w:highlight w:val="none"/>
        </w:rPr>
        <w:t>.</w:t>
      </w:r>
      <w:r>
        <w:rPr>
          <w:rFonts w:hint="eastAsia"/>
          <w:spacing w:val="-5"/>
          <w:highlight w:val="none"/>
          <w:lang w:val="en-US" w:eastAsia="zh-CN"/>
        </w:rPr>
        <w:t>3</w:t>
      </w:r>
      <w:r>
        <w:rPr>
          <w:rFonts w:hint="eastAsia"/>
          <w:spacing w:val="-5"/>
          <w:highlight w:val="none"/>
        </w:rPr>
        <w:t xml:space="preserve">    资格证明文件密封装订在其他投标文件中，其投标将被认定为投标无效。</w:t>
      </w:r>
      <w:r>
        <w:rPr>
          <w:spacing w:val="-5"/>
          <w:highlight w:val="none"/>
        </w:rPr>
        <w:t>投标截止时间以</w:t>
      </w:r>
      <w:r>
        <w:rPr>
          <w:rFonts w:hint="eastAsia"/>
          <w:spacing w:val="-5"/>
          <w:highlight w:val="none"/>
          <w:lang w:val="en-US" w:eastAsia="zh-CN"/>
        </w:rPr>
        <w:t>招标文件截止</w:t>
      </w:r>
      <w:r>
        <w:rPr>
          <w:spacing w:val="-5"/>
          <w:highlight w:val="none"/>
        </w:rPr>
        <w:t>的时间为准，</w:t>
      </w:r>
      <w:r>
        <w:rPr>
          <w:highlight w:val="none"/>
        </w:rPr>
        <w:t xml:space="preserve">逾期送达投标文件，将被拒绝。 </w:t>
      </w:r>
    </w:p>
    <w:p>
      <w:pPr>
        <w:pStyle w:val="7"/>
        <w:numPr>
          <w:ilvl w:val="0"/>
          <w:numId w:val="16"/>
        </w:numPr>
        <w:tabs>
          <w:tab w:val="left" w:pos="1183"/>
        </w:tabs>
        <w:spacing w:before="0" w:after="0" w:line="285" w:lineRule="exact"/>
        <w:ind w:left="1182" w:right="0" w:hanging="365"/>
        <w:jc w:val="left"/>
        <w:rPr>
          <w:highlight w:val="none"/>
        </w:rPr>
      </w:pPr>
      <w:r>
        <w:rPr>
          <w:highlight w:val="none"/>
        </w:rPr>
        <w:t>投标文件的递交</w:t>
      </w:r>
      <w:r>
        <w:rPr>
          <w:w w:val="200"/>
          <w:highlight w:val="none"/>
        </w:rPr>
        <w:t xml:space="preserve"> </w:t>
      </w:r>
    </w:p>
    <w:p>
      <w:pPr>
        <w:pStyle w:val="20"/>
        <w:numPr>
          <w:ilvl w:val="0"/>
          <w:numId w:val="0"/>
        </w:numPr>
        <w:tabs>
          <w:tab w:val="left" w:pos="1838"/>
        </w:tabs>
        <w:spacing w:before="2" w:after="0" w:line="364" w:lineRule="auto"/>
        <w:ind w:left="1297" w:leftChars="0" w:right="1675" w:rightChars="0"/>
        <w:jc w:val="left"/>
        <w:rPr>
          <w:rFonts w:hint="eastAsia"/>
          <w:sz w:val="24"/>
          <w:highlight w:val="none"/>
        </w:rPr>
      </w:pPr>
      <w:r>
        <w:rPr>
          <w:rFonts w:hint="eastAsia"/>
          <w:sz w:val="24"/>
          <w:highlight w:val="none"/>
        </w:rPr>
        <w:t>投标人应在投标邀请书中规定的截止时间前，将投标文件递交到投标邀请书中规定的地点。</w:t>
      </w:r>
    </w:p>
    <w:p>
      <w:pPr>
        <w:pStyle w:val="20"/>
        <w:numPr>
          <w:ilvl w:val="0"/>
          <w:numId w:val="0"/>
        </w:numPr>
        <w:tabs>
          <w:tab w:val="left" w:pos="1838"/>
        </w:tabs>
        <w:spacing w:before="2" w:after="0" w:line="364" w:lineRule="auto"/>
        <w:ind w:left="1297" w:leftChars="0" w:right="1675" w:rightChars="0"/>
        <w:jc w:val="left"/>
        <w:rPr>
          <w:sz w:val="24"/>
          <w:highlight w:val="none"/>
        </w:rPr>
      </w:pPr>
      <w:r>
        <w:rPr>
          <w:rFonts w:hint="eastAsia"/>
          <w:sz w:val="24"/>
          <w:highlight w:val="none"/>
        </w:rPr>
        <w:t>1</w:t>
      </w:r>
      <w:r>
        <w:rPr>
          <w:rFonts w:hint="eastAsia"/>
          <w:sz w:val="24"/>
          <w:highlight w:val="none"/>
          <w:lang w:val="en-US" w:eastAsia="zh-CN"/>
        </w:rPr>
        <w:t>8</w:t>
      </w:r>
      <w:r>
        <w:rPr>
          <w:rFonts w:hint="eastAsia"/>
          <w:sz w:val="24"/>
          <w:highlight w:val="none"/>
        </w:rPr>
        <w:t>.</w:t>
      </w:r>
      <w:r>
        <w:rPr>
          <w:rFonts w:hint="eastAsia"/>
          <w:sz w:val="24"/>
          <w:highlight w:val="none"/>
          <w:lang w:val="en-US" w:eastAsia="zh-CN"/>
        </w:rPr>
        <w:t>1</w:t>
      </w:r>
      <w:r>
        <w:rPr>
          <w:rFonts w:hint="eastAsia"/>
          <w:sz w:val="24"/>
          <w:highlight w:val="none"/>
        </w:rPr>
        <w:tab/>
      </w:r>
      <w:r>
        <w:rPr>
          <w:rFonts w:hint="eastAsia"/>
          <w:sz w:val="24"/>
          <w:highlight w:val="none"/>
        </w:rPr>
        <w:t>采购人和采购代理机构有权按本须知的规定，延迟投标截止时间。在此情况下，采购人、采购代理机构和投标人受投标截止时间制约的所有权利和义务均应延长至新的截止时间。</w:t>
      </w:r>
      <w:r>
        <w:rPr>
          <w:sz w:val="24"/>
          <w:highlight w:val="none"/>
        </w:rPr>
        <w:t xml:space="preserve"> </w:t>
      </w:r>
    </w:p>
    <w:p>
      <w:pPr>
        <w:pStyle w:val="7"/>
        <w:numPr>
          <w:ilvl w:val="0"/>
          <w:numId w:val="16"/>
        </w:numPr>
        <w:tabs>
          <w:tab w:val="left" w:pos="1183"/>
        </w:tabs>
        <w:spacing w:before="0" w:after="0" w:line="365" w:lineRule="exact"/>
        <w:ind w:left="1182" w:right="0" w:hanging="365"/>
        <w:jc w:val="left"/>
        <w:rPr>
          <w:highlight w:val="none"/>
        </w:rPr>
      </w:pPr>
      <w:r>
        <w:rPr>
          <w:highlight w:val="none"/>
        </w:rPr>
        <w:t>投标文件的修改和撤回</w:t>
      </w:r>
      <w:r>
        <w:rPr>
          <w:w w:val="200"/>
          <w:highlight w:val="none"/>
        </w:rPr>
        <w:t xml:space="preserve"> </w:t>
      </w:r>
    </w:p>
    <w:p>
      <w:pPr>
        <w:pStyle w:val="20"/>
        <w:numPr>
          <w:ilvl w:val="1"/>
          <w:numId w:val="16"/>
        </w:numPr>
        <w:tabs>
          <w:tab w:val="left" w:pos="1779"/>
        </w:tabs>
        <w:spacing w:before="106" w:after="0" w:line="364" w:lineRule="auto"/>
        <w:ind w:left="818" w:right="1791" w:firstLine="479"/>
        <w:jc w:val="both"/>
        <w:rPr>
          <w:sz w:val="24"/>
          <w:highlight w:val="none"/>
        </w:rPr>
      </w:pPr>
      <w:r>
        <w:rPr>
          <w:spacing w:val="-7"/>
          <w:sz w:val="24"/>
          <w:highlight w:val="none"/>
        </w:rPr>
        <w:t>投标人在递交投标文件后，可以修改或撤回其投标，但这种修改和撤回</w:t>
      </w:r>
      <w:r>
        <w:rPr>
          <w:spacing w:val="-10"/>
          <w:sz w:val="24"/>
          <w:highlight w:val="none"/>
        </w:rPr>
        <w:t xml:space="preserve">，必须在规定的投标截止时间前。在投标截止时间后，投标人不得要求修改或撤回其投标文件。 </w:t>
      </w:r>
    </w:p>
    <w:p>
      <w:pPr>
        <w:pStyle w:val="10"/>
        <w:spacing w:before="4"/>
        <w:ind w:left="0"/>
        <w:rPr>
          <w:sz w:val="18"/>
          <w:highlight w:val="none"/>
        </w:rPr>
      </w:pPr>
    </w:p>
    <w:p>
      <w:pPr>
        <w:pStyle w:val="7"/>
        <w:spacing w:before="1" w:line="254" w:lineRule="auto"/>
        <w:ind w:right="9021"/>
        <w:outlineLvl w:val="1"/>
        <w:rPr>
          <w:highlight w:val="none"/>
        </w:rPr>
      </w:pPr>
      <w:bookmarkStart w:id="19" w:name="六、开标"/>
      <w:bookmarkEnd w:id="19"/>
      <w:bookmarkStart w:id="20" w:name="_Toc15681"/>
      <w:r>
        <w:rPr>
          <w:w w:val="105"/>
          <w:highlight w:val="none"/>
        </w:rPr>
        <w:t>六、开标20.开标</w:t>
      </w:r>
      <w:bookmarkEnd w:id="20"/>
      <w:r>
        <w:rPr>
          <w:w w:val="200"/>
          <w:highlight w:val="none"/>
        </w:rPr>
        <w:t xml:space="preserve"> </w:t>
      </w:r>
    </w:p>
    <w:p>
      <w:pPr>
        <w:pStyle w:val="20"/>
        <w:numPr>
          <w:ilvl w:val="0"/>
          <w:numId w:val="0"/>
        </w:numPr>
        <w:tabs>
          <w:tab w:val="left" w:pos="1779"/>
        </w:tabs>
        <w:spacing w:before="80" w:after="0" w:line="364" w:lineRule="auto"/>
        <w:ind w:left="897" w:leftChars="0" w:right="1792" w:rightChars="0" w:firstLine="399" w:firstLineChars="168"/>
        <w:jc w:val="left"/>
        <w:rPr>
          <w:rFonts w:hint="eastAsia" w:ascii="宋体" w:hAnsi="宋体" w:eastAsia="宋体" w:cs="宋体"/>
          <w:spacing w:val="-1"/>
          <w:sz w:val="24"/>
          <w:highlight w:val="none"/>
        </w:rPr>
      </w:pPr>
      <w:r>
        <w:rPr>
          <w:rFonts w:hint="eastAsia" w:ascii="宋体" w:hAnsi="宋体" w:eastAsia="宋体" w:cs="宋体"/>
          <w:spacing w:val="-1"/>
          <w:sz w:val="24"/>
          <w:highlight w:val="none"/>
          <w:lang w:val="en-US" w:eastAsia="zh-CN"/>
        </w:rPr>
        <w:t>20.1</w:t>
      </w:r>
      <w:r>
        <w:rPr>
          <w:rFonts w:hint="eastAsia" w:ascii="宋体" w:hAnsi="宋体" w:eastAsia="宋体" w:cs="宋体"/>
          <w:spacing w:val="-1"/>
          <w:sz w:val="24"/>
          <w:highlight w:val="none"/>
        </w:rPr>
        <w:t xml:space="preserve">购人和采购代理机构将按投标人须知资料表中规定的开标时间和地点组织公开开标并邀请所有投标人代表参加。  </w:t>
      </w:r>
    </w:p>
    <w:p>
      <w:pPr>
        <w:pStyle w:val="20"/>
        <w:numPr>
          <w:ilvl w:val="0"/>
          <w:numId w:val="0"/>
        </w:numPr>
        <w:tabs>
          <w:tab w:val="left" w:pos="1779"/>
        </w:tabs>
        <w:spacing w:before="80" w:after="0" w:line="364" w:lineRule="auto"/>
        <w:ind w:left="1297" w:leftChars="0" w:right="1792" w:rightChars="0"/>
        <w:jc w:val="left"/>
        <w:rPr>
          <w:rFonts w:hint="eastAsia" w:ascii="宋体" w:hAnsi="宋体" w:eastAsia="宋体" w:cs="宋体"/>
          <w:spacing w:val="-1"/>
          <w:sz w:val="24"/>
          <w:highlight w:val="none"/>
        </w:rPr>
      </w:pPr>
      <w:r>
        <w:rPr>
          <w:rFonts w:hint="eastAsia" w:ascii="宋体" w:hAnsi="宋体" w:eastAsia="宋体" w:cs="宋体"/>
          <w:spacing w:val="-1"/>
          <w:sz w:val="24"/>
          <w:highlight w:val="none"/>
          <w:lang w:val="en-US" w:eastAsia="zh-CN"/>
        </w:rPr>
        <w:t>20.2</w:t>
      </w:r>
      <w:r>
        <w:rPr>
          <w:rFonts w:hint="eastAsia" w:ascii="宋体" w:hAnsi="宋体" w:eastAsia="宋体" w:cs="宋体"/>
          <w:spacing w:val="-1"/>
          <w:sz w:val="24"/>
          <w:highlight w:val="none"/>
        </w:rPr>
        <w:t>投标人不足3家的，不得开标。</w:t>
      </w:r>
    </w:p>
    <w:p>
      <w:pPr>
        <w:pStyle w:val="20"/>
        <w:numPr>
          <w:ilvl w:val="0"/>
          <w:numId w:val="0"/>
        </w:numPr>
        <w:tabs>
          <w:tab w:val="left" w:pos="1779"/>
        </w:tabs>
        <w:spacing w:before="80" w:after="0" w:line="364" w:lineRule="auto"/>
        <w:ind w:left="897" w:leftChars="0" w:right="1792" w:rightChars="0" w:firstLine="399" w:firstLineChars="168"/>
        <w:jc w:val="left"/>
        <w:rPr>
          <w:rFonts w:hint="eastAsia" w:ascii="宋体" w:hAnsi="宋体" w:eastAsia="宋体" w:cs="宋体"/>
          <w:spacing w:val="-1"/>
          <w:sz w:val="24"/>
          <w:highlight w:val="none"/>
        </w:rPr>
      </w:pPr>
      <w:r>
        <w:rPr>
          <w:rFonts w:hint="eastAsia" w:ascii="宋体" w:hAnsi="宋体" w:eastAsia="宋体" w:cs="宋体"/>
          <w:spacing w:val="-1"/>
          <w:sz w:val="24"/>
          <w:highlight w:val="none"/>
        </w:rPr>
        <w:t>开标时，由投标人或其推选的代表检查自己或所代表的投标文件的密封情况，经记录后，由采购人或采购代理机构当众拆封投标文件第一部分，宣读投标人名称、投标价格及招标文件规定的内容。对于投标人在投标截止期前递交的投标声明，在开标时当众宣读，评标时有效。</w:t>
      </w:r>
    </w:p>
    <w:p>
      <w:pPr>
        <w:pStyle w:val="20"/>
        <w:numPr>
          <w:ilvl w:val="0"/>
          <w:numId w:val="0"/>
        </w:numPr>
        <w:tabs>
          <w:tab w:val="left" w:pos="1779"/>
        </w:tabs>
        <w:spacing w:before="80" w:after="0" w:line="364" w:lineRule="auto"/>
        <w:ind w:left="897" w:leftChars="0" w:right="1792" w:rightChars="0" w:firstLine="399" w:firstLineChars="168"/>
        <w:jc w:val="left"/>
        <w:rPr>
          <w:rFonts w:hint="eastAsia" w:ascii="宋体" w:hAnsi="宋体" w:eastAsia="宋体" w:cs="宋体"/>
          <w:spacing w:val="-1"/>
          <w:sz w:val="24"/>
          <w:highlight w:val="none"/>
        </w:rPr>
      </w:pPr>
      <w:r>
        <w:rPr>
          <w:rFonts w:hint="eastAsia" w:ascii="宋体" w:hAnsi="宋体" w:eastAsia="宋体" w:cs="宋体"/>
          <w:spacing w:val="-1"/>
          <w:sz w:val="24"/>
          <w:highlight w:val="none"/>
        </w:rPr>
        <w:t>未宣读投标价格、价格折扣等实质内容，评标时不予承认。</w:t>
      </w:r>
    </w:p>
    <w:p>
      <w:pPr>
        <w:pStyle w:val="20"/>
        <w:numPr>
          <w:ilvl w:val="0"/>
          <w:numId w:val="0"/>
        </w:numPr>
        <w:tabs>
          <w:tab w:val="left" w:pos="1779"/>
        </w:tabs>
        <w:spacing w:before="80" w:after="0" w:line="364" w:lineRule="auto"/>
        <w:ind w:left="897" w:leftChars="0" w:right="1792" w:rightChars="0" w:firstLine="399" w:firstLineChars="168"/>
        <w:jc w:val="left"/>
        <w:rPr>
          <w:rFonts w:hint="eastAsia" w:ascii="宋体" w:hAnsi="宋体" w:eastAsia="宋体" w:cs="宋体"/>
          <w:spacing w:val="-1"/>
          <w:sz w:val="24"/>
          <w:highlight w:val="none"/>
        </w:rPr>
      </w:pPr>
      <w:r>
        <w:rPr>
          <w:rFonts w:hint="eastAsia" w:ascii="宋体" w:hAnsi="宋体" w:eastAsia="宋体" w:cs="宋体"/>
          <w:spacing w:val="-1"/>
          <w:sz w:val="24"/>
          <w:highlight w:val="none"/>
        </w:rPr>
        <w:t>采购人或采购代理机构将对开标过程进行记录，由参加开标的各投标人代表和相关工作人员签字确认，并存档备查。</w:t>
      </w:r>
    </w:p>
    <w:p>
      <w:pPr>
        <w:pStyle w:val="20"/>
        <w:numPr>
          <w:ilvl w:val="0"/>
          <w:numId w:val="0"/>
        </w:numPr>
        <w:tabs>
          <w:tab w:val="left" w:pos="1779"/>
        </w:tabs>
        <w:spacing w:before="80" w:after="0" w:line="364" w:lineRule="auto"/>
        <w:ind w:left="897" w:leftChars="0" w:right="1792" w:rightChars="0" w:firstLine="399" w:firstLineChars="168"/>
        <w:jc w:val="left"/>
        <w:rPr>
          <w:rFonts w:hint="eastAsia" w:ascii="宋体" w:hAnsi="宋体" w:eastAsia="宋体" w:cs="宋体"/>
          <w:spacing w:val="-1"/>
          <w:sz w:val="24"/>
          <w:highlight w:val="none"/>
        </w:rPr>
      </w:pPr>
      <w:r>
        <w:rPr>
          <w:rFonts w:hint="eastAsia" w:ascii="宋体" w:hAnsi="宋体" w:eastAsia="宋体" w:cs="宋体"/>
          <w:spacing w:val="-1"/>
          <w:sz w:val="24"/>
          <w:highlight w:val="none"/>
        </w:rPr>
        <w:t xml:space="preserve"> 投标人代表对开标过程和开标记录有疑义，以及认为采购人、采购代理机构相关工作人员有需要回避的情形的，应当场提出询问或者回避申请。</w:t>
      </w:r>
    </w:p>
    <w:p>
      <w:pPr>
        <w:spacing w:before="0" w:line="429" w:lineRule="exact"/>
        <w:ind w:left="818" w:right="0" w:firstLine="0"/>
        <w:jc w:val="left"/>
        <w:rPr>
          <w:rFonts w:ascii="Microsoft JhengHei"/>
          <w:b/>
          <w:sz w:val="24"/>
          <w:highlight w:val="none"/>
        </w:rPr>
      </w:pPr>
      <w:r>
        <w:rPr>
          <w:rFonts w:ascii="Microsoft JhengHei"/>
          <w:b/>
          <w:w w:val="200"/>
          <w:sz w:val="24"/>
          <w:highlight w:val="none"/>
        </w:rPr>
        <w:t xml:space="preserve"> </w:t>
      </w:r>
    </w:p>
    <w:p>
      <w:pPr>
        <w:pStyle w:val="10"/>
        <w:spacing w:before="4"/>
        <w:ind w:left="0"/>
        <w:rPr>
          <w:sz w:val="18"/>
          <w:highlight w:val="none"/>
        </w:rPr>
      </w:pPr>
    </w:p>
    <w:p>
      <w:pPr>
        <w:pStyle w:val="7"/>
        <w:spacing w:line="254" w:lineRule="auto"/>
        <w:ind w:right="7816"/>
        <w:outlineLvl w:val="1"/>
        <w:rPr>
          <w:highlight w:val="none"/>
        </w:rPr>
      </w:pPr>
      <w:bookmarkStart w:id="21" w:name="七、评标步骤和要求"/>
      <w:bookmarkEnd w:id="21"/>
      <w:bookmarkStart w:id="22" w:name="_Toc28354"/>
      <w:r>
        <w:rPr>
          <w:highlight w:val="none"/>
        </w:rPr>
        <w:t>七、评标步骤和要求</w:t>
      </w:r>
      <w:r>
        <w:rPr>
          <w:w w:val="105"/>
          <w:highlight w:val="none"/>
        </w:rPr>
        <w:t>21.组建评标委员会</w:t>
      </w:r>
      <w:bookmarkEnd w:id="22"/>
      <w:r>
        <w:rPr>
          <w:w w:val="200"/>
          <w:highlight w:val="none"/>
        </w:rPr>
        <w:t xml:space="preserve"> </w:t>
      </w:r>
    </w:p>
    <w:p>
      <w:pPr>
        <w:pStyle w:val="10"/>
        <w:spacing w:before="40"/>
        <w:ind w:right="1250" w:rightChars="568"/>
        <w:rPr>
          <w:highlight w:val="none"/>
        </w:rPr>
      </w:pPr>
      <w:r>
        <w:rPr>
          <w:spacing w:val="-1"/>
          <w:sz w:val="24"/>
          <w:highlight w:val="none"/>
        </w:rPr>
        <w:t>采购代理机构根据有关法律法规和本招标文件的规定，结合招标项目</w:t>
      </w:r>
      <w:r>
        <w:rPr>
          <w:spacing w:val="-8"/>
          <w:sz w:val="24"/>
          <w:highlight w:val="none"/>
        </w:rPr>
        <w:t>的特点组建评标委员会，对投标文件进行评估和比较。评标委员会由五人以上单</w:t>
      </w:r>
      <w:r>
        <w:rPr>
          <w:highlight w:val="none"/>
        </w:rPr>
        <w:t xml:space="preserve">数组成，其中经济、技术等方面的专家不少于三分之二。 </w:t>
      </w:r>
    </w:p>
    <w:p>
      <w:pPr>
        <w:pStyle w:val="20"/>
        <w:numPr>
          <w:ilvl w:val="1"/>
          <w:numId w:val="17"/>
        </w:numPr>
        <w:tabs>
          <w:tab w:val="left" w:pos="1779"/>
        </w:tabs>
        <w:spacing w:before="161" w:after="0" w:line="364" w:lineRule="auto"/>
        <w:ind w:left="818" w:right="1798" w:firstLine="479"/>
        <w:jc w:val="left"/>
        <w:rPr>
          <w:sz w:val="24"/>
          <w:highlight w:val="none"/>
        </w:rPr>
      </w:pPr>
      <w:r>
        <w:rPr>
          <w:spacing w:val="-2"/>
          <w:sz w:val="24"/>
          <w:highlight w:val="none"/>
        </w:rPr>
        <w:t>参与过本项目的论证专家不得作为评标专家参加评标，采购人不得以</w:t>
      </w:r>
      <w:r>
        <w:rPr>
          <w:sz w:val="24"/>
          <w:highlight w:val="none"/>
        </w:rPr>
        <w:t xml:space="preserve">专家身份参与评标。 </w:t>
      </w:r>
    </w:p>
    <w:p>
      <w:pPr>
        <w:spacing w:before="0" w:line="338" w:lineRule="exact"/>
        <w:ind w:left="818" w:right="0" w:firstLine="0"/>
        <w:jc w:val="left"/>
        <w:rPr>
          <w:rFonts w:hint="eastAsia" w:ascii="Microsoft JhengHei" w:eastAsia="Microsoft JhengHei"/>
          <w:b/>
          <w:sz w:val="21"/>
          <w:highlight w:val="none"/>
        </w:rPr>
      </w:pPr>
      <w:r>
        <w:rPr>
          <w:rFonts w:hint="eastAsia" w:ascii="Microsoft JhengHei" w:eastAsia="Microsoft JhengHei"/>
          <w:b/>
          <w:sz w:val="21"/>
          <w:highlight w:val="none"/>
        </w:rPr>
        <w:t>22、资格审查</w:t>
      </w:r>
      <w:r>
        <w:rPr>
          <w:rFonts w:hint="eastAsia" w:ascii="Microsoft JhengHei" w:eastAsia="Microsoft JhengHei"/>
          <w:b/>
          <w:w w:val="201"/>
          <w:sz w:val="21"/>
          <w:highlight w:val="none"/>
        </w:rPr>
        <w:t xml:space="preserve"> </w:t>
      </w:r>
    </w:p>
    <w:p>
      <w:pPr>
        <w:spacing w:before="152" w:line="417" w:lineRule="auto"/>
        <w:ind w:left="818" w:right="1789" w:firstLine="419"/>
        <w:jc w:val="left"/>
        <w:rPr>
          <w:sz w:val="24"/>
          <w:highlight w:val="none"/>
        </w:rPr>
      </w:pPr>
      <w:r>
        <w:rPr>
          <w:sz w:val="21"/>
          <w:highlight w:val="none"/>
        </w:rPr>
        <w:t>22.1 公开招标采购项目开标结束后，采购人或者采购代理机构应当依法对投标人的资格进行审查。合格投标人不足 3 家的，不得评标。</w:t>
      </w:r>
      <w:r>
        <w:rPr>
          <w:sz w:val="24"/>
          <w:highlight w:val="none"/>
        </w:rPr>
        <w:t xml:space="preserve"> </w:t>
      </w:r>
    </w:p>
    <w:p>
      <w:pPr>
        <w:pStyle w:val="7"/>
        <w:numPr>
          <w:ilvl w:val="0"/>
          <w:numId w:val="18"/>
        </w:numPr>
        <w:tabs>
          <w:tab w:val="left" w:pos="1183"/>
        </w:tabs>
        <w:spacing w:before="0" w:after="0" w:line="341" w:lineRule="exact"/>
        <w:ind w:left="1182" w:right="0" w:hanging="365"/>
        <w:jc w:val="left"/>
        <w:rPr>
          <w:highlight w:val="none"/>
        </w:rPr>
      </w:pPr>
      <w:r>
        <w:rPr>
          <w:highlight w:val="none"/>
        </w:rPr>
        <w:t>初步评审</w:t>
      </w:r>
      <w:r>
        <w:rPr>
          <w:w w:val="200"/>
          <w:highlight w:val="none"/>
        </w:rPr>
        <w:t xml:space="preserve"> </w:t>
      </w:r>
    </w:p>
    <w:p>
      <w:pPr>
        <w:pStyle w:val="20"/>
        <w:numPr>
          <w:ilvl w:val="1"/>
          <w:numId w:val="18"/>
        </w:numPr>
        <w:tabs>
          <w:tab w:val="left" w:pos="1779"/>
        </w:tabs>
        <w:spacing w:before="105" w:after="0" w:line="364" w:lineRule="auto"/>
        <w:ind w:left="818" w:right="1798" w:firstLine="479"/>
        <w:jc w:val="left"/>
        <w:rPr>
          <w:sz w:val="24"/>
          <w:highlight w:val="none"/>
        </w:rPr>
      </w:pPr>
      <w:r>
        <w:rPr>
          <w:spacing w:val="-2"/>
          <w:sz w:val="24"/>
          <w:highlight w:val="none"/>
        </w:rPr>
        <w:t>评标委员会审查投标文件是否符合招标文件的基本要求：内容是否完</w:t>
      </w:r>
      <w:r>
        <w:rPr>
          <w:sz w:val="24"/>
          <w:highlight w:val="none"/>
        </w:rPr>
        <w:t xml:space="preserve">整、资格证明文件是否合格、文件签署是否齐全、有无计算错误等。  </w:t>
      </w:r>
    </w:p>
    <w:p>
      <w:pPr>
        <w:pStyle w:val="20"/>
        <w:numPr>
          <w:ilvl w:val="1"/>
          <w:numId w:val="18"/>
        </w:numPr>
        <w:tabs>
          <w:tab w:val="left" w:pos="1779"/>
        </w:tabs>
        <w:spacing w:before="2" w:after="0" w:line="240" w:lineRule="auto"/>
        <w:ind w:left="1779" w:right="0" w:hanging="481"/>
        <w:jc w:val="left"/>
        <w:rPr>
          <w:sz w:val="24"/>
          <w:highlight w:val="none"/>
        </w:rPr>
      </w:pPr>
      <w:r>
        <w:rPr>
          <w:sz w:val="24"/>
          <w:highlight w:val="none"/>
        </w:rPr>
        <w:t xml:space="preserve">评标委员会审查投标文件是否实质上响应招标文件的要求。 </w:t>
      </w:r>
    </w:p>
    <w:p>
      <w:pPr>
        <w:pStyle w:val="20"/>
        <w:numPr>
          <w:ilvl w:val="0"/>
          <w:numId w:val="19"/>
        </w:numPr>
        <w:tabs>
          <w:tab w:val="left" w:pos="1659"/>
        </w:tabs>
        <w:spacing w:before="161" w:after="0" w:line="364" w:lineRule="auto"/>
        <w:ind w:left="818" w:right="1800" w:firstLine="479"/>
        <w:jc w:val="left"/>
        <w:rPr>
          <w:sz w:val="24"/>
          <w:highlight w:val="none"/>
        </w:rPr>
      </w:pPr>
      <w:r>
        <w:rPr>
          <w:spacing w:val="-1"/>
          <w:sz w:val="24"/>
          <w:highlight w:val="none"/>
        </w:rPr>
        <w:t>实质上响应的投标是指与招标文件上的条款、条件和规格相符，没有重</w:t>
      </w:r>
      <w:r>
        <w:rPr>
          <w:sz w:val="24"/>
          <w:highlight w:val="none"/>
        </w:rPr>
        <w:t xml:space="preserve">大偏离或保留，否则将视为无效投标。 </w:t>
      </w:r>
    </w:p>
    <w:p>
      <w:pPr>
        <w:pStyle w:val="20"/>
        <w:numPr>
          <w:ilvl w:val="0"/>
          <w:numId w:val="19"/>
        </w:numPr>
        <w:tabs>
          <w:tab w:val="left" w:pos="1659"/>
        </w:tabs>
        <w:spacing w:before="1" w:after="0" w:line="364" w:lineRule="auto"/>
        <w:ind w:left="818" w:right="1791" w:firstLine="479"/>
        <w:jc w:val="both"/>
        <w:rPr>
          <w:sz w:val="24"/>
          <w:highlight w:val="none"/>
        </w:rPr>
      </w:pPr>
      <w:r>
        <w:rPr>
          <w:sz w:val="24"/>
          <w:highlight w:val="none"/>
        </w:rPr>
        <w:t>重大偏离或保留系指投标货物的质量、数量和交付日期等明显不能满足</w:t>
      </w:r>
      <w:r>
        <w:rPr>
          <w:spacing w:val="-9"/>
          <w:sz w:val="24"/>
          <w:highlight w:val="none"/>
        </w:rPr>
        <w:t>招标文件的要求，或者实质上与招标文件不一致，纠正这些偏离或保留将对其他</w:t>
      </w:r>
      <w:r>
        <w:rPr>
          <w:sz w:val="24"/>
          <w:highlight w:val="none"/>
        </w:rPr>
        <w:t xml:space="preserve">实质上响应要求的投标人的竞争地位产生不公正的影响。包括但不限于： </w:t>
      </w:r>
    </w:p>
    <w:p>
      <w:pPr>
        <w:pStyle w:val="10"/>
        <w:spacing w:before="2" w:line="364" w:lineRule="auto"/>
        <w:ind w:right="1794" w:firstLine="479"/>
        <w:jc w:val="both"/>
        <w:rPr>
          <w:highlight w:val="none"/>
        </w:rPr>
      </w:pPr>
      <w:r>
        <w:rPr>
          <w:highlight w:val="none"/>
        </w:rPr>
        <w:t>A</w:t>
      </w:r>
      <w:r>
        <w:rPr>
          <w:spacing w:val="-3"/>
          <w:highlight w:val="none"/>
        </w:rPr>
        <w:t xml:space="preserve">、招标文件第二部分“投标人须知前附表”第 </w:t>
      </w:r>
      <w:r>
        <w:rPr>
          <w:highlight w:val="none"/>
        </w:rPr>
        <w:t>6</w:t>
      </w:r>
      <w:r>
        <w:rPr>
          <w:spacing w:val="-8"/>
          <w:highlight w:val="none"/>
        </w:rPr>
        <w:t xml:space="preserve"> 条“投标文件组成”部分</w:t>
      </w:r>
      <w:r>
        <w:rPr>
          <w:highlight w:val="none"/>
        </w:rPr>
        <w:t xml:space="preserve">中，带“☆”号部分的证明文件不全或无效的； </w:t>
      </w:r>
    </w:p>
    <w:p>
      <w:pPr>
        <w:pStyle w:val="10"/>
        <w:spacing w:before="1"/>
        <w:ind w:left="1298"/>
        <w:rPr>
          <w:highlight w:val="none"/>
        </w:rPr>
      </w:pPr>
      <w:r>
        <w:rPr>
          <w:highlight w:val="none"/>
        </w:rPr>
        <w:t xml:space="preserve">B、投标文件未按招标文件的规定签章的； </w:t>
      </w:r>
    </w:p>
    <w:p>
      <w:pPr>
        <w:pStyle w:val="10"/>
        <w:spacing w:before="161"/>
        <w:ind w:left="1298"/>
        <w:rPr>
          <w:highlight w:val="none"/>
        </w:rPr>
      </w:pPr>
      <w:r>
        <w:rPr>
          <w:highlight w:val="none"/>
        </w:rPr>
        <w:t xml:space="preserve">C、未按投标文件份数要求提交投标文件的； </w:t>
      </w:r>
    </w:p>
    <w:p>
      <w:pPr>
        <w:pStyle w:val="10"/>
        <w:spacing w:before="160"/>
        <w:ind w:left="1298"/>
        <w:rPr>
          <w:highlight w:val="none"/>
        </w:rPr>
      </w:pPr>
      <w:r>
        <w:rPr>
          <w:highlight w:val="none"/>
        </w:rPr>
        <w:t xml:space="preserve">D、招标文件带“☆”号部分任意一款不满足要求的； </w:t>
      </w:r>
    </w:p>
    <w:p>
      <w:pPr>
        <w:pStyle w:val="10"/>
        <w:spacing w:before="161" w:line="364" w:lineRule="auto"/>
        <w:ind w:left="1298" w:right="3632"/>
        <w:rPr>
          <w:highlight w:val="none"/>
        </w:rPr>
      </w:pPr>
      <w:r>
        <w:rPr>
          <w:highlight w:val="none"/>
        </w:rPr>
        <w:t xml:space="preserve">E、报价超过项目预算或经评标委员会认定低于成本的； F、投标有效期不足的； </w:t>
      </w:r>
    </w:p>
    <w:p>
      <w:pPr>
        <w:pStyle w:val="10"/>
        <w:spacing w:before="1" w:line="364" w:lineRule="auto"/>
        <w:ind w:left="1298" w:right="4592"/>
        <w:rPr>
          <w:highlight w:val="none"/>
        </w:rPr>
      </w:pPr>
      <w:r>
        <w:rPr>
          <w:highlight w:val="none"/>
        </w:rPr>
        <w:t xml:space="preserve">G、联合体投标文件未附联合体投标协议书的； H、不符合招标文件中有关分包规定的； </w:t>
      </w:r>
    </w:p>
    <w:p>
      <w:pPr>
        <w:pStyle w:val="10"/>
        <w:spacing w:before="2"/>
        <w:ind w:left="1298"/>
        <w:rPr>
          <w:highlight w:val="none"/>
        </w:rPr>
      </w:pPr>
      <w:r>
        <w:rPr>
          <w:highlight w:val="none"/>
        </w:rPr>
        <w:t xml:space="preserve">I、有串通投标或弄虚作假或有其他违法行为的； </w:t>
      </w:r>
    </w:p>
    <w:p>
      <w:pPr>
        <w:pStyle w:val="20"/>
        <w:numPr>
          <w:ilvl w:val="1"/>
          <w:numId w:val="17"/>
        </w:numPr>
        <w:tabs>
          <w:tab w:val="left" w:pos="1779"/>
        </w:tabs>
        <w:spacing w:before="80" w:after="0" w:line="364" w:lineRule="auto"/>
        <w:ind w:left="818" w:right="1792" w:firstLine="479"/>
        <w:jc w:val="left"/>
        <w:rPr>
          <w:sz w:val="24"/>
          <w:highlight w:val="none"/>
        </w:rPr>
      </w:pPr>
      <w:r>
        <w:rPr>
          <w:highlight w:val="none"/>
        </w:rPr>
        <w:t>J、投标人名称或组织结构与领取采购文件时不一致且无有效变更证明的； L、不符合招标文件中规定的其他实质性要求。</w:t>
      </w:r>
    </w:p>
    <w:p>
      <w:pPr>
        <w:pStyle w:val="10"/>
        <w:spacing w:before="160" w:line="364" w:lineRule="auto"/>
        <w:ind w:left="0" w:leftChars="0" w:right="1592" w:firstLine="0" w:firstLineChars="0"/>
        <w:rPr>
          <w:highlight w:val="none"/>
        </w:rPr>
        <w:sectPr>
          <w:pgSz w:w="11910" w:h="16840"/>
          <w:pgMar w:top="1460" w:right="0" w:bottom="1180" w:left="980" w:header="0" w:footer="915" w:gutter="0"/>
          <w:cols w:space="720" w:num="1"/>
        </w:sectPr>
      </w:pPr>
    </w:p>
    <w:p>
      <w:pPr>
        <w:pStyle w:val="20"/>
        <w:numPr>
          <w:ilvl w:val="1"/>
          <w:numId w:val="18"/>
        </w:numPr>
        <w:tabs>
          <w:tab w:val="left" w:pos="1779"/>
        </w:tabs>
        <w:spacing w:before="40" w:after="0" w:line="364" w:lineRule="auto"/>
        <w:ind w:left="818" w:right="1673" w:firstLine="479"/>
        <w:jc w:val="both"/>
        <w:rPr>
          <w:sz w:val="24"/>
          <w:highlight w:val="none"/>
        </w:rPr>
      </w:pPr>
      <w:r>
        <w:rPr>
          <w:spacing w:val="-1"/>
          <w:sz w:val="24"/>
          <w:highlight w:val="none"/>
        </w:rPr>
        <w:t>投标文件的细微偏差是指在实质上响应招标文件要求，但在个别地方存</w:t>
      </w:r>
      <w:r>
        <w:rPr>
          <w:spacing w:val="-5"/>
          <w:sz w:val="24"/>
          <w:highlight w:val="none"/>
        </w:rPr>
        <w:t>在漏项或者提供了不完整的技术信息和数据等情况，并且补正这些遗漏或者不完</w:t>
      </w:r>
      <w:r>
        <w:rPr>
          <w:spacing w:val="-20"/>
          <w:sz w:val="24"/>
          <w:highlight w:val="none"/>
        </w:rPr>
        <w:t>整，不会对其他投标人造成不公正的结果。细微偏差不影响投标文件的有效性。</w:t>
      </w:r>
      <w:r>
        <w:rPr>
          <w:sz w:val="24"/>
          <w:highlight w:val="none"/>
        </w:rPr>
        <w:t xml:space="preserve"> </w:t>
      </w:r>
    </w:p>
    <w:p>
      <w:pPr>
        <w:pStyle w:val="20"/>
        <w:numPr>
          <w:ilvl w:val="1"/>
          <w:numId w:val="18"/>
        </w:numPr>
        <w:tabs>
          <w:tab w:val="left" w:pos="1779"/>
        </w:tabs>
        <w:spacing w:before="3" w:after="0" w:line="364" w:lineRule="auto"/>
        <w:ind w:left="818" w:right="1798" w:firstLine="479"/>
        <w:jc w:val="left"/>
        <w:rPr>
          <w:sz w:val="24"/>
          <w:highlight w:val="none"/>
        </w:rPr>
      </w:pPr>
      <w:r>
        <w:rPr>
          <w:spacing w:val="-2"/>
          <w:sz w:val="24"/>
          <w:highlight w:val="none"/>
        </w:rPr>
        <w:t>初步评审中，对明显的文字和计算错误按下述原则处理，若出现相互</w:t>
      </w:r>
      <w:r>
        <w:rPr>
          <w:sz w:val="24"/>
          <w:highlight w:val="none"/>
        </w:rPr>
        <w:t xml:space="preserve">矛盾之处，应以排列在先的原则为准优先处理：         </w:t>
      </w:r>
    </w:p>
    <w:p>
      <w:pPr>
        <w:pStyle w:val="20"/>
        <w:numPr>
          <w:ilvl w:val="0"/>
          <w:numId w:val="20"/>
        </w:numPr>
        <w:tabs>
          <w:tab w:val="left" w:pos="1659"/>
        </w:tabs>
        <w:spacing w:before="1" w:after="0" w:line="240" w:lineRule="auto"/>
        <w:ind w:left="1659" w:right="0" w:hanging="361"/>
        <w:jc w:val="left"/>
        <w:rPr>
          <w:sz w:val="24"/>
          <w:highlight w:val="none"/>
        </w:rPr>
      </w:pPr>
      <w:r>
        <w:rPr>
          <w:sz w:val="24"/>
          <w:highlight w:val="none"/>
        </w:rPr>
        <w:t xml:space="preserve">投标文件中的开标一览表与明细表内容不一致的，以开标一览表为准。 </w:t>
      </w:r>
    </w:p>
    <w:p>
      <w:pPr>
        <w:pStyle w:val="20"/>
        <w:numPr>
          <w:ilvl w:val="0"/>
          <w:numId w:val="20"/>
        </w:numPr>
        <w:tabs>
          <w:tab w:val="left" w:pos="1659"/>
        </w:tabs>
        <w:spacing w:before="160" w:after="0" w:line="364" w:lineRule="auto"/>
        <w:ind w:left="818" w:right="1800" w:firstLine="479"/>
        <w:jc w:val="left"/>
        <w:rPr>
          <w:sz w:val="24"/>
          <w:highlight w:val="none"/>
        </w:rPr>
      </w:pPr>
      <w:r>
        <w:rPr>
          <w:spacing w:val="-1"/>
          <w:sz w:val="24"/>
          <w:highlight w:val="none"/>
        </w:rPr>
        <w:t>如果以文字表示的数据与数字表示的有差别，以文字为准修正数字。如</w:t>
      </w:r>
      <w:r>
        <w:rPr>
          <w:sz w:val="24"/>
          <w:highlight w:val="none"/>
        </w:rPr>
        <w:t xml:space="preserve">果大写金额和小写金额不一致的，以大写金额为准； </w:t>
      </w:r>
    </w:p>
    <w:p>
      <w:pPr>
        <w:pStyle w:val="20"/>
        <w:numPr>
          <w:ilvl w:val="0"/>
          <w:numId w:val="20"/>
        </w:numPr>
        <w:tabs>
          <w:tab w:val="left" w:pos="1659"/>
        </w:tabs>
        <w:spacing w:before="2" w:after="0" w:line="364" w:lineRule="auto"/>
        <w:ind w:left="818" w:right="1792" w:firstLine="479"/>
        <w:jc w:val="both"/>
        <w:rPr>
          <w:sz w:val="24"/>
          <w:highlight w:val="none"/>
        </w:rPr>
      </w:pPr>
      <w:r>
        <w:rPr>
          <w:sz w:val="24"/>
          <w:highlight w:val="none"/>
        </w:rPr>
        <w:t>如果单价乘以数量不等于总价，以单价为准修正总价，但单价金额小数</w:t>
      </w:r>
      <w:r>
        <w:rPr>
          <w:spacing w:val="-9"/>
          <w:sz w:val="24"/>
          <w:highlight w:val="none"/>
        </w:rPr>
        <w:t>点有明显错位的，应以总价为准，并修改单价。如果明细价格相加不等于汇总价</w:t>
      </w:r>
      <w:r>
        <w:rPr>
          <w:sz w:val="24"/>
          <w:highlight w:val="none"/>
        </w:rPr>
        <w:t xml:space="preserve">格，以明细价格为准。 </w:t>
      </w:r>
    </w:p>
    <w:p>
      <w:pPr>
        <w:pStyle w:val="20"/>
        <w:numPr>
          <w:ilvl w:val="0"/>
          <w:numId w:val="20"/>
        </w:numPr>
        <w:tabs>
          <w:tab w:val="left" w:pos="1659"/>
        </w:tabs>
        <w:spacing w:before="2" w:after="0" w:line="364" w:lineRule="auto"/>
        <w:ind w:left="818" w:right="1800" w:firstLine="479"/>
        <w:jc w:val="left"/>
        <w:rPr>
          <w:sz w:val="24"/>
          <w:highlight w:val="none"/>
        </w:rPr>
      </w:pPr>
      <w:r>
        <w:rPr>
          <w:spacing w:val="-1"/>
          <w:sz w:val="24"/>
          <w:highlight w:val="none"/>
        </w:rPr>
        <w:t>调整后的数据对投标人具有约束力，投标人不同意以上修正，其投标将</w:t>
      </w:r>
      <w:r>
        <w:rPr>
          <w:sz w:val="24"/>
          <w:highlight w:val="none"/>
        </w:rPr>
        <w:t xml:space="preserve">被拒绝。 </w:t>
      </w:r>
    </w:p>
    <w:p>
      <w:pPr>
        <w:pStyle w:val="20"/>
        <w:numPr>
          <w:ilvl w:val="1"/>
          <w:numId w:val="18"/>
        </w:numPr>
        <w:tabs>
          <w:tab w:val="left" w:pos="1779"/>
        </w:tabs>
        <w:spacing w:before="1" w:after="0" w:line="364" w:lineRule="auto"/>
        <w:ind w:left="818" w:right="1796" w:firstLine="479"/>
        <w:jc w:val="left"/>
        <w:rPr>
          <w:sz w:val="24"/>
          <w:highlight w:val="none"/>
        </w:rPr>
      </w:pPr>
      <w:r>
        <w:rPr>
          <w:spacing w:val="-2"/>
          <w:sz w:val="24"/>
          <w:highlight w:val="none"/>
        </w:rPr>
        <w:t>评标委员会对投标文件的判定，只依据投标文件内容本身，不依据其</w:t>
      </w:r>
      <w:r>
        <w:rPr>
          <w:sz w:val="24"/>
          <w:highlight w:val="none"/>
        </w:rPr>
        <w:t xml:space="preserve">他外来证明。 </w:t>
      </w:r>
    </w:p>
    <w:p>
      <w:pPr>
        <w:pStyle w:val="7"/>
        <w:numPr>
          <w:ilvl w:val="0"/>
          <w:numId w:val="18"/>
        </w:numPr>
        <w:tabs>
          <w:tab w:val="left" w:pos="1183"/>
        </w:tabs>
        <w:spacing w:before="0" w:after="0" w:line="363" w:lineRule="exact"/>
        <w:ind w:left="1182" w:right="0" w:hanging="365"/>
        <w:jc w:val="left"/>
        <w:rPr>
          <w:highlight w:val="none"/>
        </w:rPr>
      </w:pPr>
      <w:r>
        <w:rPr>
          <w:highlight w:val="none"/>
        </w:rPr>
        <w:t>投标的澄清</w:t>
      </w:r>
      <w:r>
        <w:rPr>
          <w:w w:val="200"/>
          <w:highlight w:val="none"/>
        </w:rPr>
        <w:t xml:space="preserve"> </w:t>
      </w:r>
    </w:p>
    <w:p>
      <w:pPr>
        <w:pStyle w:val="20"/>
        <w:numPr>
          <w:ilvl w:val="1"/>
          <w:numId w:val="18"/>
        </w:numPr>
        <w:tabs>
          <w:tab w:val="left" w:pos="1779"/>
        </w:tabs>
        <w:spacing w:before="106" w:after="0" w:line="364" w:lineRule="auto"/>
        <w:ind w:left="818" w:right="1792" w:firstLine="479"/>
        <w:jc w:val="both"/>
        <w:rPr>
          <w:sz w:val="24"/>
          <w:highlight w:val="none"/>
        </w:rPr>
      </w:pPr>
      <w:r>
        <w:rPr>
          <w:spacing w:val="-1"/>
          <w:sz w:val="24"/>
          <w:highlight w:val="none"/>
        </w:rPr>
        <w:t>评标委员会有权要求投标人对投标文件中含义不明确、对同类问题表</w:t>
      </w:r>
      <w:r>
        <w:rPr>
          <w:spacing w:val="-6"/>
          <w:sz w:val="24"/>
          <w:highlight w:val="none"/>
        </w:rPr>
        <w:t>述不一致或者有明显文字和计算错误等内容作必要的澄清、说明或者补正。该要</w:t>
      </w:r>
      <w:r>
        <w:rPr>
          <w:spacing w:val="-8"/>
          <w:sz w:val="24"/>
          <w:highlight w:val="none"/>
        </w:rPr>
        <w:t>求应当采用书面形式，并由评标委员会成员签字。评标委员会不接受投标人主动</w:t>
      </w:r>
      <w:r>
        <w:rPr>
          <w:sz w:val="24"/>
          <w:highlight w:val="none"/>
        </w:rPr>
        <w:t xml:space="preserve">提出的澄清、说明或者补正。 </w:t>
      </w:r>
    </w:p>
    <w:p>
      <w:pPr>
        <w:pStyle w:val="20"/>
        <w:numPr>
          <w:ilvl w:val="1"/>
          <w:numId w:val="18"/>
        </w:numPr>
        <w:tabs>
          <w:tab w:val="left" w:pos="1779"/>
        </w:tabs>
        <w:spacing w:before="3" w:after="0" w:line="364" w:lineRule="auto"/>
        <w:ind w:left="818" w:right="1673" w:firstLine="479"/>
        <w:jc w:val="left"/>
        <w:rPr>
          <w:sz w:val="24"/>
          <w:highlight w:val="none"/>
        </w:rPr>
      </w:pPr>
      <w:r>
        <w:rPr>
          <w:spacing w:val="-1"/>
          <w:sz w:val="24"/>
          <w:highlight w:val="none"/>
        </w:rPr>
        <w:t>投标人必须按照评标委员会通知的内容和时间做出书面答复，该答复经法定代表人或授权代理人的签字认可，将作为投标文件内容的一部分。澄清、说</w:t>
      </w:r>
      <w:r>
        <w:rPr>
          <w:spacing w:val="-4"/>
          <w:sz w:val="24"/>
          <w:highlight w:val="none"/>
        </w:rPr>
        <w:t>明或者补正不得超出投标文件的范围或者改变投标文件的实质性内容。投标人拒</w:t>
      </w:r>
      <w:r>
        <w:rPr>
          <w:spacing w:val="-19"/>
          <w:sz w:val="24"/>
          <w:highlight w:val="none"/>
        </w:rPr>
        <w:t>不按照要求对投标文件进行澄清、说明或者补正的，评标委员会可拒绝该投标。</w:t>
      </w:r>
      <w:r>
        <w:rPr>
          <w:sz w:val="24"/>
          <w:highlight w:val="none"/>
        </w:rPr>
        <w:t xml:space="preserve"> </w:t>
      </w:r>
    </w:p>
    <w:p>
      <w:pPr>
        <w:pStyle w:val="20"/>
        <w:numPr>
          <w:ilvl w:val="1"/>
          <w:numId w:val="18"/>
        </w:numPr>
        <w:tabs>
          <w:tab w:val="left" w:pos="1779"/>
        </w:tabs>
        <w:spacing w:before="3" w:after="0" w:line="364" w:lineRule="auto"/>
        <w:ind w:left="818" w:right="1792" w:firstLine="479"/>
        <w:jc w:val="both"/>
        <w:rPr>
          <w:sz w:val="24"/>
          <w:highlight w:val="none"/>
        </w:rPr>
      </w:pPr>
      <w:r>
        <w:rPr>
          <w:spacing w:val="-1"/>
          <w:sz w:val="24"/>
          <w:highlight w:val="none"/>
        </w:rPr>
        <w:t>如评标委员会一致认为某个投标人的报价明显不合理，有降低质量、</w:t>
      </w:r>
      <w:r>
        <w:rPr>
          <w:spacing w:val="-10"/>
          <w:sz w:val="24"/>
          <w:highlight w:val="none"/>
        </w:rPr>
        <w:t>不能诚信履行的可能时，评标委员会有权决定是否通知投标人限期进行书面解释</w:t>
      </w:r>
      <w:r>
        <w:rPr>
          <w:spacing w:val="-7"/>
          <w:sz w:val="24"/>
          <w:highlight w:val="none"/>
        </w:rPr>
        <w:t>或提供相关证明材料。若已要求，而该投标人在规定期限内未做出解释、作出的</w:t>
      </w:r>
      <w:r>
        <w:rPr>
          <w:spacing w:val="-6"/>
          <w:sz w:val="24"/>
          <w:highlight w:val="none"/>
        </w:rPr>
        <w:t>解释不合理或不能提供证明材料的，经评标委员会取得一致意见后，可拒绝该投</w:t>
      </w:r>
      <w:r>
        <w:rPr>
          <w:sz w:val="24"/>
          <w:highlight w:val="none"/>
        </w:rPr>
        <w:t xml:space="preserve">标。 </w:t>
      </w:r>
    </w:p>
    <w:p>
      <w:pPr>
        <w:spacing w:after="0" w:line="364" w:lineRule="auto"/>
        <w:jc w:val="both"/>
        <w:rPr>
          <w:sz w:val="24"/>
          <w:highlight w:val="none"/>
        </w:rPr>
        <w:sectPr>
          <w:pgSz w:w="11910" w:h="16840"/>
          <w:pgMar w:top="1460" w:right="0" w:bottom="1180" w:left="980" w:header="0" w:footer="915" w:gutter="0"/>
          <w:cols w:space="720" w:num="1"/>
        </w:sectPr>
      </w:pPr>
    </w:p>
    <w:p>
      <w:pPr>
        <w:pStyle w:val="20"/>
        <w:numPr>
          <w:ilvl w:val="1"/>
          <w:numId w:val="18"/>
        </w:numPr>
        <w:tabs>
          <w:tab w:val="left" w:pos="1779"/>
        </w:tabs>
        <w:spacing w:before="40" w:after="0" w:line="364" w:lineRule="auto"/>
        <w:ind w:left="818" w:right="1798" w:firstLine="479"/>
        <w:jc w:val="both"/>
        <w:rPr>
          <w:sz w:val="24"/>
          <w:highlight w:val="none"/>
        </w:rPr>
      </w:pPr>
      <w:r>
        <w:rPr>
          <w:spacing w:val="-2"/>
          <w:sz w:val="24"/>
          <w:highlight w:val="none"/>
        </w:rPr>
        <w:t>公开招标采购项目开标结束后，采购人或者采购代理机构应当依法对</w:t>
      </w:r>
      <w:r>
        <w:rPr>
          <w:spacing w:val="-4"/>
          <w:sz w:val="24"/>
          <w:highlight w:val="none"/>
        </w:rPr>
        <w:t xml:space="preserve">投标人的资格进行审查。合格投标人不足 </w:t>
      </w:r>
      <w:r>
        <w:rPr>
          <w:sz w:val="24"/>
          <w:highlight w:val="none"/>
        </w:rPr>
        <w:t>3</w:t>
      </w:r>
      <w:r>
        <w:rPr>
          <w:spacing w:val="-8"/>
          <w:sz w:val="24"/>
          <w:highlight w:val="none"/>
        </w:rPr>
        <w:t xml:space="preserve"> 家的，不得评标。 </w:t>
      </w:r>
    </w:p>
    <w:p>
      <w:pPr>
        <w:pStyle w:val="7"/>
        <w:numPr>
          <w:ilvl w:val="0"/>
          <w:numId w:val="18"/>
        </w:numPr>
        <w:tabs>
          <w:tab w:val="left" w:pos="1183"/>
        </w:tabs>
        <w:spacing w:before="0" w:after="0" w:line="364" w:lineRule="exact"/>
        <w:ind w:left="1182" w:right="0" w:hanging="365"/>
        <w:jc w:val="left"/>
        <w:rPr>
          <w:highlight w:val="none"/>
        </w:rPr>
      </w:pPr>
      <w:r>
        <w:rPr>
          <w:highlight w:val="none"/>
        </w:rPr>
        <w:t>详细评审</w:t>
      </w:r>
      <w:r>
        <w:rPr>
          <w:w w:val="200"/>
          <w:highlight w:val="none"/>
        </w:rPr>
        <w:t xml:space="preserve"> </w:t>
      </w:r>
    </w:p>
    <w:p>
      <w:pPr>
        <w:pStyle w:val="20"/>
        <w:numPr>
          <w:ilvl w:val="1"/>
          <w:numId w:val="18"/>
        </w:numPr>
        <w:tabs>
          <w:tab w:val="left" w:pos="1779"/>
        </w:tabs>
        <w:spacing w:before="106" w:after="0" w:line="364" w:lineRule="auto"/>
        <w:ind w:left="818" w:right="1794" w:firstLine="479"/>
        <w:jc w:val="both"/>
        <w:rPr>
          <w:sz w:val="24"/>
          <w:highlight w:val="none"/>
        </w:rPr>
      </w:pPr>
      <w:r>
        <w:rPr>
          <w:spacing w:val="-1"/>
          <w:sz w:val="24"/>
          <w:highlight w:val="none"/>
        </w:rPr>
        <w:t>评标委员会只对实质上响应招标文件的投标进行评价和比较；评审应</w:t>
      </w:r>
      <w:r>
        <w:rPr>
          <w:spacing w:val="-3"/>
          <w:sz w:val="24"/>
          <w:highlight w:val="none"/>
        </w:rPr>
        <w:t xml:space="preserve">严格按照招标文件第二部分“投标人须知前附表”中第 </w:t>
      </w:r>
      <w:r>
        <w:rPr>
          <w:sz w:val="24"/>
          <w:highlight w:val="none"/>
        </w:rPr>
        <w:t>20</w:t>
      </w:r>
      <w:r>
        <w:rPr>
          <w:spacing w:val="-9"/>
          <w:sz w:val="24"/>
          <w:highlight w:val="none"/>
        </w:rPr>
        <w:t xml:space="preserve"> 项规定以及招标文件</w:t>
      </w:r>
      <w:r>
        <w:rPr>
          <w:spacing w:val="-5"/>
          <w:sz w:val="24"/>
          <w:highlight w:val="none"/>
        </w:rPr>
        <w:t xml:space="preserve">的要求进行。具体要求等详见招标文件第四部分“评审方法”。 </w:t>
      </w:r>
    </w:p>
    <w:p>
      <w:pPr>
        <w:pStyle w:val="20"/>
        <w:numPr>
          <w:ilvl w:val="1"/>
          <w:numId w:val="18"/>
        </w:numPr>
        <w:tabs>
          <w:tab w:val="left" w:pos="1779"/>
        </w:tabs>
        <w:spacing w:before="2" w:after="0" w:line="364" w:lineRule="auto"/>
        <w:ind w:left="818" w:right="1792" w:firstLine="479"/>
        <w:jc w:val="both"/>
        <w:rPr>
          <w:sz w:val="24"/>
          <w:highlight w:val="none"/>
        </w:rPr>
      </w:pPr>
      <w:r>
        <w:rPr>
          <w:spacing w:val="-1"/>
          <w:sz w:val="24"/>
          <w:highlight w:val="none"/>
        </w:rPr>
        <w:t>评标委员会依法独立评审，严格遵守评审工作纪律。对需要共同认定</w:t>
      </w:r>
      <w:r>
        <w:rPr>
          <w:spacing w:val="-9"/>
          <w:sz w:val="24"/>
          <w:highlight w:val="none"/>
        </w:rPr>
        <w:t>的事项存在争议的，按照少数服从多数的原则作出评审结论。持不同意见的评标</w:t>
      </w:r>
      <w:r>
        <w:rPr>
          <w:spacing w:val="-5"/>
          <w:sz w:val="24"/>
          <w:highlight w:val="none"/>
        </w:rPr>
        <w:t>委员会成员应当在评标报告上签署不同意见并说明理由，不签署不同意见的视为</w:t>
      </w:r>
      <w:r>
        <w:rPr>
          <w:sz w:val="24"/>
          <w:highlight w:val="none"/>
        </w:rPr>
        <w:t xml:space="preserve">同意。 </w:t>
      </w:r>
    </w:p>
    <w:p>
      <w:pPr>
        <w:pStyle w:val="7"/>
        <w:numPr>
          <w:ilvl w:val="0"/>
          <w:numId w:val="18"/>
        </w:numPr>
        <w:tabs>
          <w:tab w:val="left" w:pos="1183"/>
        </w:tabs>
        <w:spacing w:before="0" w:after="0" w:line="365" w:lineRule="exact"/>
        <w:ind w:left="1182" w:right="0" w:hanging="365"/>
        <w:jc w:val="left"/>
        <w:rPr>
          <w:highlight w:val="none"/>
        </w:rPr>
      </w:pPr>
      <w:r>
        <w:rPr>
          <w:highlight w:val="none"/>
        </w:rPr>
        <w:t>确定中标人</w:t>
      </w:r>
      <w:r>
        <w:rPr>
          <w:w w:val="200"/>
          <w:highlight w:val="none"/>
        </w:rPr>
        <w:t xml:space="preserve"> </w:t>
      </w:r>
    </w:p>
    <w:p>
      <w:pPr>
        <w:pStyle w:val="20"/>
        <w:numPr>
          <w:ilvl w:val="1"/>
          <w:numId w:val="18"/>
        </w:numPr>
        <w:tabs>
          <w:tab w:val="left" w:pos="1779"/>
        </w:tabs>
        <w:spacing w:before="106" w:after="0" w:line="364" w:lineRule="auto"/>
        <w:ind w:left="818" w:right="1790" w:firstLine="479"/>
        <w:jc w:val="both"/>
        <w:rPr>
          <w:sz w:val="24"/>
          <w:highlight w:val="none"/>
        </w:rPr>
      </w:pPr>
      <w:r>
        <w:rPr>
          <w:spacing w:val="-1"/>
          <w:sz w:val="24"/>
          <w:highlight w:val="none"/>
        </w:rPr>
        <w:t>使用综合评分法的采购项目，提供相同品牌产品且通过资格审查、符</w:t>
      </w:r>
      <w:r>
        <w:rPr>
          <w:spacing w:val="-6"/>
          <w:sz w:val="24"/>
          <w:highlight w:val="none"/>
        </w:rPr>
        <w:t>合性审查的不同投标人参加同一合同项下投标的，按一家投标人计算，评审后得分最高的同品牌投标人获得中标人推荐资格；评审得分相同的，由采购人或者采</w:t>
      </w:r>
      <w:r>
        <w:rPr>
          <w:spacing w:val="1"/>
          <w:sz w:val="24"/>
          <w:highlight w:val="none"/>
        </w:rPr>
        <w:t>购人委托评标委员会按照招标文件规定的方式确定一个投标人获得中标人推荐</w:t>
      </w:r>
      <w:r>
        <w:rPr>
          <w:spacing w:val="-10"/>
          <w:sz w:val="24"/>
          <w:highlight w:val="none"/>
        </w:rPr>
        <w:t>资格，招标文件未规定的采取随机抽取方式确定，其他同品牌投标人不作为中标</w:t>
      </w:r>
      <w:r>
        <w:rPr>
          <w:sz w:val="24"/>
          <w:highlight w:val="none"/>
        </w:rPr>
        <w:t xml:space="preserve">候选人。 </w:t>
      </w:r>
    </w:p>
    <w:p>
      <w:pPr>
        <w:pStyle w:val="20"/>
        <w:numPr>
          <w:ilvl w:val="1"/>
          <w:numId w:val="18"/>
        </w:numPr>
        <w:tabs>
          <w:tab w:val="left" w:pos="1779"/>
        </w:tabs>
        <w:spacing w:before="4" w:after="0" w:line="240" w:lineRule="auto"/>
        <w:ind w:left="1779" w:right="0" w:hanging="481"/>
        <w:jc w:val="left"/>
        <w:rPr>
          <w:sz w:val="24"/>
          <w:highlight w:val="none"/>
        </w:rPr>
      </w:pPr>
      <w:r>
        <w:rPr>
          <w:sz w:val="24"/>
          <w:highlight w:val="none"/>
        </w:rPr>
        <w:t xml:space="preserve">评标委员会根据评审结果及招标文件的规定确定中标人。 </w:t>
      </w:r>
    </w:p>
    <w:p>
      <w:pPr>
        <w:pStyle w:val="7"/>
        <w:numPr>
          <w:ilvl w:val="0"/>
          <w:numId w:val="18"/>
        </w:numPr>
        <w:tabs>
          <w:tab w:val="left" w:pos="1183"/>
        </w:tabs>
        <w:spacing w:before="81" w:after="0" w:line="240" w:lineRule="auto"/>
        <w:ind w:left="1182" w:right="0" w:hanging="365"/>
        <w:jc w:val="left"/>
        <w:rPr>
          <w:highlight w:val="none"/>
        </w:rPr>
      </w:pPr>
      <w:r>
        <w:rPr>
          <w:highlight w:val="none"/>
        </w:rPr>
        <w:t>评标过程要求</w:t>
      </w:r>
      <w:r>
        <w:rPr>
          <w:w w:val="200"/>
          <w:highlight w:val="none"/>
        </w:rPr>
        <w:t xml:space="preserve"> </w:t>
      </w:r>
    </w:p>
    <w:p>
      <w:pPr>
        <w:pStyle w:val="20"/>
        <w:numPr>
          <w:ilvl w:val="1"/>
          <w:numId w:val="18"/>
        </w:numPr>
        <w:tabs>
          <w:tab w:val="left" w:pos="1779"/>
        </w:tabs>
        <w:spacing w:before="106" w:after="0" w:line="364" w:lineRule="auto"/>
        <w:ind w:left="818" w:right="1797" w:firstLine="479"/>
        <w:jc w:val="right"/>
        <w:rPr>
          <w:sz w:val="24"/>
          <w:highlight w:val="none"/>
        </w:rPr>
      </w:pPr>
      <w:r>
        <w:rPr>
          <w:spacing w:val="-2"/>
          <w:sz w:val="24"/>
          <w:highlight w:val="none"/>
        </w:rPr>
        <w:t>开标之后，直到签订合同止，凡是属于审查、澄清、评价和比较投标</w:t>
      </w:r>
      <w:r>
        <w:rPr>
          <w:sz w:val="24"/>
          <w:highlight w:val="none"/>
        </w:rPr>
        <w:t>的有关资料以及定标意向等，均不向投标人或者其他与评标无关的人员透露。 27.2</w:t>
      </w:r>
      <w:r>
        <w:rPr>
          <w:spacing w:val="-1"/>
          <w:sz w:val="24"/>
          <w:highlight w:val="none"/>
        </w:rPr>
        <w:t xml:space="preserve"> 在确定中标人之前，投标人试图在投标文件审查、澄清、比较和评标</w:t>
      </w:r>
    </w:p>
    <w:p>
      <w:pPr>
        <w:pStyle w:val="20"/>
        <w:numPr>
          <w:ilvl w:val="2"/>
          <w:numId w:val="21"/>
        </w:numPr>
        <w:tabs>
          <w:tab w:val="left" w:pos="2019"/>
        </w:tabs>
        <w:spacing w:before="1" w:after="0" w:line="364" w:lineRule="auto"/>
        <w:ind w:left="818" w:right="1790" w:firstLine="479"/>
        <w:jc w:val="both"/>
        <w:rPr>
          <w:sz w:val="24"/>
          <w:highlight w:val="none"/>
        </w:rPr>
      </w:pPr>
      <w:r>
        <w:rPr>
          <w:highlight w:val="none"/>
        </w:rPr>
        <w:t>时对评标委员会、采购人和采购代理机构施加任何影响都可能导致其投标无效。</w:t>
      </w:r>
    </w:p>
    <w:p>
      <w:pPr>
        <w:pStyle w:val="7"/>
        <w:numPr>
          <w:ilvl w:val="0"/>
          <w:numId w:val="18"/>
        </w:numPr>
        <w:tabs>
          <w:tab w:val="left" w:pos="1183"/>
        </w:tabs>
        <w:spacing w:before="0" w:after="0" w:line="364" w:lineRule="exact"/>
        <w:ind w:left="1182" w:right="0" w:hanging="365"/>
        <w:jc w:val="left"/>
        <w:rPr>
          <w:highlight w:val="none"/>
        </w:rPr>
      </w:pPr>
      <w:r>
        <w:rPr>
          <w:highlight w:val="none"/>
        </w:rPr>
        <w:t>投标人瑕疵滞后发现的处理规则</w:t>
      </w:r>
      <w:r>
        <w:rPr>
          <w:w w:val="200"/>
          <w:highlight w:val="none"/>
        </w:rPr>
        <w:t xml:space="preserve"> </w:t>
      </w:r>
    </w:p>
    <w:p>
      <w:pPr>
        <w:pStyle w:val="20"/>
        <w:numPr>
          <w:ilvl w:val="1"/>
          <w:numId w:val="18"/>
        </w:numPr>
        <w:tabs>
          <w:tab w:val="left" w:pos="1779"/>
        </w:tabs>
        <w:spacing w:before="107" w:after="0" w:line="364" w:lineRule="auto"/>
        <w:ind w:left="818" w:right="1792" w:firstLine="479"/>
        <w:jc w:val="both"/>
        <w:rPr>
          <w:sz w:val="24"/>
          <w:highlight w:val="none"/>
        </w:rPr>
      </w:pPr>
      <w:r>
        <w:rPr>
          <w:spacing w:val="-1"/>
          <w:sz w:val="24"/>
          <w:highlight w:val="none"/>
        </w:rPr>
        <w:t>无论基于何种原因，各项本应作拒绝处理的情形即便未被及时发现而</w:t>
      </w:r>
      <w:r>
        <w:rPr>
          <w:spacing w:val="-8"/>
          <w:sz w:val="24"/>
          <w:highlight w:val="none"/>
        </w:rPr>
        <w:t>使该投标人进入初审、综合评审或其他后续程序，包括已经签订合同的情形，一</w:t>
      </w:r>
      <w:r>
        <w:rPr>
          <w:spacing w:val="-5"/>
          <w:sz w:val="24"/>
          <w:highlight w:val="none"/>
        </w:rPr>
        <w:t>旦投标人被拒绝或该投标人的此前评议结果被取消，其现有的位置将被其他投标</w:t>
      </w:r>
      <w:r>
        <w:rPr>
          <w:sz w:val="24"/>
          <w:highlight w:val="none"/>
        </w:rPr>
        <w:t xml:space="preserve">人依序替代，相关的一切损失均由该投标人承担。 </w:t>
      </w:r>
    </w:p>
    <w:p>
      <w:pPr>
        <w:pStyle w:val="7"/>
        <w:numPr>
          <w:ilvl w:val="0"/>
          <w:numId w:val="18"/>
        </w:numPr>
        <w:tabs>
          <w:tab w:val="left" w:pos="1183"/>
        </w:tabs>
        <w:spacing w:before="0" w:after="0" w:line="365" w:lineRule="exact"/>
        <w:ind w:left="1182" w:right="0" w:hanging="365"/>
        <w:jc w:val="left"/>
        <w:rPr>
          <w:highlight w:val="none"/>
        </w:rPr>
      </w:pPr>
      <w:r>
        <w:rPr>
          <w:highlight w:val="none"/>
        </w:rPr>
        <w:t>采购项目废标</w:t>
      </w:r>
      <w:r>
        <w:rPr>
          <w:w w:val="200"/>
          <w:highlight w:val="none"/>
        </w:rPr>
        <w:t xml:space="preserve"> </w:t>
      </w:r>
    </w:p>
    <w:p>
      <w:pPr>
        <w:pStyle w:val="20"/>
        <w:numPr>
          <w:ilvl w:val="1"/>
          <w:numId w:val="18"/>
        </w:numPr>
        <w:tabs>
          <w:tab w:val="left" w:pos="1779"/>
        </w:tabs>
        <w:spacing w:before="105" w:after="0" w:line="364" w:lineRule="auto"/>
        <w:ind w:left="818" w:right="1798" w:firstLine="479"/>
        <w:jc w:val="left"/>
        <w:rPr>
          <w:sz w:val="24"/>
          <w:highlight w:val="none"/>
        </w:rPr>
      </w:pPr>
      <w:r>
        <w:rPr>
          <w:spacing w:val="-2"/>
          <w:sz w:val="24"/>
          <w:highlight w:val="none"/>
        </w:rPr>
        <w:t>在评标过程中，评标委员会发现有下列情形之一的，应对采购项目予</w:t>
      </w:r>
      <w:r>
        <w:rPr>
          <w:sz w:val="24"/>
          <w:highlight w:val="none"/>
        </w:rPr>
        <w:t xml:space="preserve">以废标： </w:t>
      </w:r>
    </w:p>
    <w:p>
      <w:pPr>
        <w:pStyle w:val="20"/>
        <w:numPr>
          <w:ilvl w:val="0"/>
          <w:numId w:val="22"/>
        </w:numPr>
        <w:tabs>
          <w:tab w:val="left" w:pos="1659"/>
        </w:tabs>
        <w:spacing w:before="2" w:after="0" w:line="364" w:lineRule="auto"/>
        <w:ind w:left="818" w:right="1800" w:firstLine="479"/>
        <w:jc w:val="left"/>
        <w:rPr>
          <w:sz w:val="24"/>
          <w:highlight w:val="none"/>
        </w:rPr>
      </w:pPr>
      <w:r>
        <w:rPr>
          <w:spacing w:val="-1"/>
          <w:sz w:val="24"/>
          <w:highlight w:val="none"/>
        </w:rPr>
        <w:t xml:space="preserve">符合专业条件的供应商或者对招标文件作实质响应的供应商数量不足， </w:t>
      </w:r>
      <w:r>
        <w:rPr>
          <w:spacing w:val="-3"/>
          <w:sz w:val="24"/>
          <w:highlight w:val="none"/>
        </w:rPr>
        <w:t xml:space="preserve">导致进入详细评审、打分阶段的供应商不足 </w:t>
      </w:r>
      <w:r>
        <w:rPr>
          <w:sz w:val="24"/>
          <w:highlight w:val="none"/>
        </w:rPr>
        <w:t>3</w:t>
      </w:r>
      <w:r>
        <w:rPr>
          <w:spacing w:val="-15"/>
          <w:sz w:val="24"/>
          <w:highlight w:val="none"/>
        </w:rPr>
        <w:t xml:space="preserve"> 家的；  </w:t>
      </w:r>
    </w:p>
    <w:p>
      <w:pPr>
        <w:pStyle w:val="20"/>
        <w:numPr>
          <w:ilvl w:val="0"/>
          <w:numId w:val="22"/>
        </w:numPr>
        <w:tabs>
          <w:tab w:val="left" w:pos="1659"/>
        </w:tabs>
        <w:spacing w:before="1" w:after="0" w:line="240" w:lineRule="auto"/>
        <w:ind w:left="1659" w:right="0" w:hanging="361"/>
        <w:jc w:val="left"/>
        <w:rPr>
          <w:sz w:val="24"/>
          <w:highlight w:val="none"/>
        </w:rPr>
      </w:pPr>
      <w:r>
        <w:rPr>
          <w:sz w:val="24"/>
          <w:highlight w:val="none"/>
        </w:rPr>
        <w:t xml:space="preserve">投标人的报价均超过了采购预算； </w:t>
      </w:r>
    </w:p>
    <w:p>
      <w:pPr>
        <w:pStyle w:val="20"/>
        <w:numPr>
          <w:ilvl w:val="0"/>
          <w:numId w:val="22"/>
        </w:numPr>
        <w:tabs>
          <w:tab w:val="left" w:pos="1659"/>
        </w:tabs>
        <w:spacing w:before="161" w:after="0" w:line="240" w:lineRule="auto"/>
        <w:ind w:left="1659" w:right="0" w:hanging="361"/>
        <w:jc w:val="left"/>
        <w:rPr>
          <w:sz w:val="24"/>
          <w:highlight w:val="none"/>
        </w:rPr>
      </w:pPr>
      <w:r>
        <w:rPr>
          <w:sz w:val="24"/>
          <w:highlight w:val="none"/>
        </w:rPr>
        <w:t xml:space="preserve">出现影响采购公正的违法、违规行为的； </w:t>
      </w:r>
    </w:p>
    <w:p>
      <w:pPr>
        <w:pStyle w:val="20"/>
        <w:numPr>
          <w:ilvl w:val="0"/>
          <w:numId w:val="22"/>
        </w:numPr>
        <w:tabs>
          <w:tab w:val="left" w:pos="1659"/>
        </w:tabs>
        <w:spacing w:before="160" w:after="0" w:line="240" w:lineRule="auto"/>
        <w:ind w:left="1659" w:right="0" w:hanging="361"/>
        <w:jc w:val="left"/>
        <w:rPr>
          <w:sz w:val="24"/>
          <w:highlight w:val="none"/>
        </w:rPr>
      </w:pPr>
      <w:r>
        <w:rPr>
          <w:sz w:val="24"/>
          <w:highlight w:val="none"/>
        </w:rPr>
        <w:t xml:space="preserve">因重大变故，采购任务取消的。 </w:t>
      </w:r>
    </w:p>
    <w:p>
      <w:pPr>
        <w:pStyle w:val="10"/>
        <w:spacing w:before="161" w:line="364" w:lineRule="auto"/>
        <w:ind w:right="1792"/>
        <w:rPr>
          <w:highlight w:val="none"/>
        </w:rPr>
      </w:pPr>
      <w:r>
        <w:rPr>
          <w:spacing w:val="-7"/>
          <w:highlight w:val="none"/>
        </w:rPr>
        <w:t>除前款第四项规定的情形外，项目废标后，如未变更采购方式，采购代理机构将</w:t>
      </w:r>
      <w:r>
        <w:rPr>
          <w:highlight w:val="none"/>
        </w:rPr>
        <w:t xml:space="preserve">依法重新组织招标。 </w:t>
      </w:r>
    </w:p>
    <w:p>
      <w:pPr>
        <w:pStyle w:val="20"/>
        <w:numPr>
          <w:ilvl w:val="1"/>
          <w:numId w:val="18"/>
        </w:numPr>
        <w:tabs>
          <w:tab w:val="left" w:pos="1779"/>
        </w:tabs>
        <w:spacing w:before="1" w:after="0" w:line="364" w:lineRule="auto"/>
        <w:ind w:left="818" w:right="1792" w:firstLine="479"/>
        <w:jc w:val="both"/>
        <w:rPr>
          <w:sz w:val="24"/>
          <w:highlight w:val="none"/>
        </w:rPr>
      </w:pPr>
      <w:r>
        <w:rPr>
          <w:spacing w:val="-2"/>
          <w:sz w:val="24"/>
          <w:highlight w:val="none"/>
        </w:rPr>
        <w:t xml:space="preserve">有前款第一项规定的情形导致废标时，供应商只有 </w:t>
      </w:r>
      <w:r>
        <w:rPr>
          <w:sz w:val="24"/>
          <w:highlight w:val="none"/>
        </w:rPr>
        <w:t>2</w:t>
      </w:r>
      <w:r>
        <w:rPr>
          <w:spacing w:val="-10"/>
          <w:sz w:val="24"/>
          <w:highlight w:val="none"/>
        </w:rPr>
        <w:t xml:space="preserve"> 家的，可以改为</w:t>
      </w:r>
      <w:r>
        <w:rPr>
          <w:spacing w:val="-7"/>
          <w:sz w:val="24"/>
          <w:highlight w:val="none"/>
        </w:rPr>
        <w:t>竞争性谈判方式，在书面征得供应商同意并报经财政部门核准后，由采购人、采</w:t>
      </w:r>
      <w:r>
        <w:rPr>
          <w:sz w:val="24"/>
          <w:highlight w:val="none"/>
        </w:rPr>
        <w:t xml:space="preserve">购代理机构按照竞争性谈判方式的程序组织采购。 </w:t>
      </w:r>
    </w:p>
    <w:p>
      <w:pPr>
        <w:pStyle w:val="20"/>
        <w:numPr>
          <w:ilvl w:val="2"/>
          <w:numId w:val="18"/>
        </w:numPr>
        <w:tabs>
          <w:tab w:val="left" w:pos="2019"/>
        </w:tabs>
        <w:spacing w:before="2" w:after="0" w:line="364" w:lineRule="auto"/>
        <w:ind w:left="818" w:right="1795" w:firstLine="479"/>
        <w:jc w:val="both"/>
        <w:rPr>
          <w:sz w:val="24"/>
          <w:highlight w:val="none"/>
        </w:rPr>
      </w:pPr>
      <w:r>
        <w:rPr>
          <w:sz w:val="24"/>
          <w:highlight w:val="none"/>
        </w:rPr>
        <w:t>转为谈判后，若供应商未能在评标委员会指定时间内（</w:t>
      </w:r>
      <w:r>
        <w:rPr>
          <w:spacing w:val="-3"/>
          <w:sz w:val="24"/>
          <w:highlight w:val="none"/>
        </w:rPr>
        <w:t>原则上不超</w:t>
      </w:r>
      <w:r>
        <w:rPr>
          <w:spacing w:val="-22"/>
          <w:sz w:val="24"/>
          <w:highlight w:val="none"/>
        </w:rPr>
        <w:t xml:space="preserve">过 </w:t>
      </w:r>
      <w:r>
        <w:rPr>
          <w:sz w:val="24"/>
          <w:highlight w:val="none"/>
        </w:rPr>
        <w:t>60</w:t>
      </w:r>
      <w:r>
        <w:rPr>
          <w:spacing w:val="-15"/>
          <w:sz w:val="24"/>
          <w:highlight w:val="none"/>
        </w:rPr>
        <w:t xml:space="preserve"> 分钟</w:t>
      </w:r>
      <w:r>
        <w:rPr>
          <w:sz w:val="24"/>
          <w:highlight w:val="none"/>
        </w:rPr>
        <w:t>）</w:t>
      </w:r>
      <w:r>
        <w:rPr>
          <w:spacing w:val="-2"/>
          <w:sz w:val="24"/>
          <w:highlight w:val="none"/>
        </w:rPr>
        <w:t>提交符合要求的补充资料或未作出实质性响应的，投标无效。经过</w:t>
      </w:r>
      <w:r>
        <w:rPr>
          <w:sz w:val="24"/>
          <w:highlight w:val="none"/>
        </w:rPr>
        <w:t xml:space="preserve">审查符合谈判要求的有效供应商少于两家的，作废标处理。 </w:t>
      </w:r>
    </w:p>
    <w:p>
      <w:pPr>
        <w:pStyle w:val="20"/>
        <w:numPr>
          <w:ilvl w:val="0"/>
          <w:numId w:val="0"/>
        </w:numPr>
        <w:spacing w:before="2" w:after="0" w:line="240" w:lineRule="auto"/>
        <w:ind w:left="660" w:leftChars="300" w:right="1690" w:rightChars="768" w:firstLine="720" w:firstLineChars="300"/>
        <w:jc w:val="left"/>
        <w:rPr>
          <w:rFonts w:hint="eastAsia"/>
          <w:sz w:val="24"/>
          <w:highlight w:val="none"/>
        </w:rPr>
      </w:pPr>
      <w:r>
        <w:rPr>
          <w:sz w:val="24"/>
          <w:highlight w:val="none"/>
        </w:rPr>
        <w:t>评标委员会根据采购文件内容与实质性响应采购文件要求的供应</w:t>
      </w:r>
      <w:r>
        <w:rPr>
          <w:rFonts w:hint="eastAsia"/>
          <w:sz w:val="24"/>
          <w:highlight w:val="none"/>
        </w:rPr>
        <w:t>分别进行谈判，并给予所有参加谈判的供应商平等的谈判机会。在谈判过程中， 评标委员会可以根据采购文件和谈判情况实质性变动采购需求中的技术、服务要求以及合同草案条款，但不得变动采购文件中的其他内容。实质性变动的内容， 须经采购人代表确认。对采购文件作出的实质性变动是采购文件的有效组成部分，评标委员会应当及时以书面形式同时通知所有参加谈判的供应商。</w:t>
      </w:r>
    </w:p>
    <w:p>
      <w:pPr>
        <w:pStyle w:val="20"/>
        <w:numPr>
          <w:ilvl w:val="0"/>
          <w:numId w:val="0"/>
        </w:numPr>
        <w:spacing w:before="2" w:after="0" w:line="240" w:lineRule="auto"/>
        <w:ind w:left="660" w:leftChars="300" w:right="1690" w:rightChars="768" w:firstLine="720" w:firstLineChars="300"/>
        <w:jc w:val="left"/>
        <w:rPr>
          <w:rFonts w:hint="eastAsia"/>
          <w:sz w:val="24"/>
          <w:highlight w:val="none"/>
        </w:rPr>
      </w:pPr>
    </w:p>
    <w:p>
      <w:pPr>
        <w:pStyle w:val="10"/>
        <w:spacing w:before="4" w:line="364" w:lineRule="auto"/>
        <w:ind w:right="1793" w:firstLine="479"/>
        <w:rPr>
          <w:highlight w:val="none"/>
        </w:rPr>
      </w:pPr>
      <w:r>
        <w:rPr>
          <w:highlight w:val="none"/>
        </w:rPr>
        <w:t xml:space="preserve">供应商应当按照采购文件的变动情况和评标委员会的要求重新提交响应文件，并由其法定代表人或授权代表签字或者加盖公章。 </w:t>
      </w:r>
    </w:p>
    <w:p>
      <w:pPr>
        <w:pStyle w:val="20"/>
        <w:numPr>
          <w:ilvl w:val="2"/>
          <w:numId w:val="18"/>
        </w:numPr>
        <w:tabs>
          <w:tab w:val="left" w:pos="2019"/>
        </w:tabs>
        <w:spacing w:before="1" w:after="0" w:line="364" w:lineRule="auto"/>
        <w:ind w:left="818" w:right="1795" w:firstLine="479"/>
        <w:jc w:val="both"/>
        <w:rPr>
          <w:sz w:val="24"/>
          <w:highlight w:val="none"/>
        </w:rPr>
      </w:pPr>
      <w:r>
        <w:rPr>
          <w:spacing w:val="-1"/>
          <w:sz w:val="24"/>
          <w:highlight w:val="none"/>
        </w:rPr>
        <w:t>投标文件的报价视为谈判时的首次报价。谈判结束后，评标委员会</w:t>
      </w:r>
      <w:r>
        <w:rPr>
          <w:spacing w:val="-4"/>
          <w:sz w:val="24"/>
          <w:highlight w:val="none"/>
        </w:rPr>
        <w:t>应当要求所有继续参加谈判的供应商在规定时间内提交不超过两轮的报价。供应</w:t>
      </w:r>
      <w:r>
        <w:rPr>
          <w:sz w:val="24"/>
          <w:highlight w:val="none"/>
        </w:rPr>
        <w:t xml:space="preserve">商的各轮报价是供应商报价文件的有效组成部分。 </w:t>
      </w:r>
    </w:p>
    <w:p>
      <w:pPr>
        <w:pStyle w:val="20"/>
        <w:numPr>
          <w:ilvl w:val="2"/>
          <w:numId w:val="18"/>
        </w:numPr>
        <w:tabs>
          <w:tab w:val="left" w:pos="2019"/>
        </w:tabs>
        <w:spacing w:before="3" w:after="0" w:line="364" w:lineRule="auto"/>
        <w:ind w:left="818" w:right="1798" w:firstLine="479"/>
        <w:jc w:val="left"/>
        <w:rPr>
          <w:sz w:val="24"/>
          <w:highlight w:val="none"/>
        </w:rPr>
      </w:pPr>
      <w:r>
        <w:rPr>
          <w:spacing w:val="-1"/>
          <w:sz w:val="24"/>
          <w:highlight w:val="none"/>
        </w:rPr>
        <w:t>在谈判内容不作实质性变更及重大调整的前提下，供应商次轮报价</w:t>
      </w:r>
      <w:r>
        <w:rPr>
          <w:sz w:val="24"/>
          <w:highlight w:val="none"/>
        </w:rPr>
        <w:t xml:space="preserve">不得高于上一轮报价，否则将视为重大偏离并导致报价被拒绝。 </w:t>
      </w:r>
    </w:p>
    <w:p>
      <w:pPr>
        <w:pStyle w:val="20"/>
        <w:numPr>
          <w:ilvl w:val="0"/>
          <w:numId w:val="0"/>
        </w:numPr>
        <w:spacing w:before="2" w:after="0" w:line="240" w:lineRule="auto"/>
        <w:ind w:left="660" w:leftChars="300" w:right="1690" w:rightChars="768" w:firstLine="720" w:firstLineChars="300"/>
        <w:jc w:val="left"/>
        <w:rPr>
          <w:rFonts w:hint="eastAsia"/>
          <w:sz w:val="24"/>
          <w:highlight w:val="none"/>
        </w:rPr>
        <w:sectPr>
          <w:pgSz w:w="11910" w:h="16840"/>
          <w:pgMar w:top="1460" w:right="0" w:bottom="1180" w:left="980" w:header="0" w:footer="915" w:gutter="0"/>
          <w:cols w:space="720" w:num="1"/>
        </w:sectPr>
      </w:pPr>
    </w:p>
    <w:p>
      <w:pPr>
        <w:pStyle w:val="10"/>
        <w:spacing w:before="40" w:line="364" w:lineRule="auto"/>
        <w:ind w:left="0" w:leftChars="0" w:right="1706" w:firstLine="0" w:firstLineChars="0"/>
        <w:rPr>
          <w:sz w:val="18"/>
          <w:highlight w:val="none"/>
        </w:rPr>
      </w:pPr>
    </w:p>
    <w:p>
      <w:pPr>
        <w:pStyle w:val="7"/>
        <w:spacing w:line="254" w:lineRule="auto"/>
        <w:ind w:right="8299"/>
        <w:outlineLvl w:val="1"/>
        <w:rPr>
          <w:highlight w:val="none"/>
        </w:rPr>
      </w:pPr>
      <w:bookmarkStart w:id="23" w:name="八、履约保证金"/>
      <w:bookmarkEnd w:id="23"/>
      <w:bookmarkStart w:id="24" w:name="_Toc10324"/>
      <w:r>
        <w:rPr>
          <w:w w:val="105"/>
          <w:highlight w:val="none"/>
        </w:rPr>
        <w:t>八、履约保证金30.履约保证金</w:t>
      </w:r>
      <w:bookmarkEnd w:id="24"/>
      <w:r>
        <w:rPr>
          <w:w w:val="200"/>
          <w:highlight w:val="none"/>
        </w:rPr>
        <w:t xml:space="preserve"> </w:t>
      </w:r>
    </w:p>
    <w:p>
      <w:pPr>
        <w:pStyle w:val="20"/>
        <w:numPr>
          <w:ilvl w:val="1"/>
          <w:numId w:val="23"/>
        </w:numPr>
        <w:tabs>
          <w:tab w:val="left" w:pos="1779"/>
        </w:tabs>
        <w:spacing w:before="79" w:after="0" w:line="364" w:lineRule="auto"/>
        <w:ind w:left="818" w:right="1791" w:firstLine="479"/>
        <w:jc w:val="left"/>
        <w:rPr>
          <w:sz w:val="24"/>
          <w:highlight w:val="none"/>
        </w:rPr>
      </w:pPr>
      <w:r>
        <w:rPr>
          <w:spacing w:val="-7"/>
          <w:sz w:val="24"/>
          <w:highlight w:val="none"/>
        </w:rPr>
        <w:t xml:space="preserve">履约保证金按照招标文件第二部分“投标人须知前附表”中第 </w:t>
      </w:r>
      <w:r>
        <w:rPr>
          <w:sz w:val="24"/>
          <w:highlight w:val="none"/>
        </w:rPr>
        <w:t>21</w:t>
      </w:r>
      <w:r>
        <w:rPr>
          <w:spacing w:val="-25"/>
          <w:sz w:val="24"/>
          <w:highlight w:val="none"/>
        </w:rPr>
        <w:t xml:space="preserve"> 项规</w:t>
      </w:r>
      <w:r>
        <w:rPr>
          <w:sz w:val="24"/>
          <w:highlight w:val="none"/>
        </w:rPr>
        <w:t xml:space="preserve">定，在签订合同前交纳。 </w:t>
      </w:r>
    </w:p>
    <w:p>
      <w:pPr>
        <w:pStyle w:val="20"/>
        <w:numPr>
          <w:ilvl w:val="1"/>
          <w:numId w:val="23"/>
        </w:numPr>
        <w:tabs>
          <w:tab w:val="left" w:pos="1779"/>
        </w:tabs>
        <w:spacing w:before="2" w:after="0" w:line="240" w:lineRule="auto"/>
        <w:ind w:left="1779" w:right="0" w:hanging="481"/>
        <w:jc w:val="left"/>
        <w:rPr>
          <w:sz w:val="24"/>
          <w:highlight w:val="none"/>
        </w:rPr>
      </w:pPr>
      <w:r>
        <w:rPr>
          <w:sz w:val="24"/>
          <w:highlight w:val="none"/>
        </w:rPr>
        <w:t xml:space="preserve">中标人在中标公告发布后及时足额交纳履约保证金。 </w:t>
      </w:r>
    </w:p>
    <w:p>
      <w:pPr>
        <w:pStyle w:val="10"/>
        <w:spacing w:before="9"/>
        <w:ind w:left="0"/>
        <w:rPr>
          <w:sz w:val="30"/>
          <w:highlight w:val="none"/>
        </w:rPr>
      </w:pPr>
    </w:p>
    <w:p>
      <w:pPr>
        <w:pStyle w:val="7"/>
        <w:spacing w:line="254" w:lineRule="auto"/>
        <w:ind w:right="7336"/>
        <w:outlineLvl w:val="1"/>
        <w:rPr>
          <w:highlight w:val="none"/>
        </w:rPr>
      </w:pPr>
      <w:bookmarkStart w:id="25" w:name="九、代理服务费、公证费"/>
      <w:bookmarkEnd w:id="25"/>
      <w:bookmarkStart w:id="26" w:name="_Toc22286"/>
      <w:r>
        <w:rPr>
          <w:highlight w:val="none"/>
        </w:rPr>
        <w:t>九、代理服务费、公证费</w:t>
      </w:r>
      <w:r>
        <w:rPr>
          <w:w w:val="105"/>
          <w:highlight w:val="none"/>
        </w:rPr>
        <w:t>31.代理服务费、公证费</w:t>
      </w:r>
      <w:bookmarkEnd w:id="26"/>
      <w:r>
        <w:rPr>
          <w:w w:val="200"/>
          <w:highlight w:val="none"/>
        </w:rPr>
        <w:t xml:space="preserve"> </w:t>
      </w:r>
    </w:p>
    <w:p>
      <w:pPr>
        <w:pStyle w:val="10"/>
        <w:spacing w:before="80" w:line="364" w:lineRule="auto"/>
        <w:ind w:right="1795" w:firstLine="479"/>
        <w:jc w:val="both"/>
        <w:rPr>
          <w:highlight w:val="none"/>
        </w:rPr>
      </w:pPr>
      <w:r>
        <w:rPr>
          <w:highlight w:val="none"/>
        </w:rPr>
        <w:t>31.1</w:t>
      </w:r>
      <w:r>
        <w:rPr>
          <w:spacing w:val="-2"/>
          <w:highlight w:val="none"/>
        </w:rPr>
        <w:t xml:space="preserve"> 代理服务费、公证费按照招标文件第二部分“投标人须知前附表”中</w:t>
      </w:r>
      <w:r>
        <w:rPr>
          <w:spacing w:val="-31"/>
          <w:highlight w:val="none"/>
        </w:rPr>
        <w:t xml:space="preserve">第 </w:t>
      </w:r>
      <w:r>
        <w:rPr>
          <w:highlight w:val="none"/>
        </w:rPr>
        <w:t>22</w:t>
      </w:r>
      <w:r>
        <w:rPr>
          <w:spacing w:val="-24"/>
          <w:highlight w:val="none"/>
        </w:rPr>
        <w:t xml:space="preserve"> 项和第 </w:t>
      </w:r>
      <w:r>
        <w:rPr>
          <w:highlight w:val="none"/>
        </w:rPr>
        <w:t>24</w:t>
      </w:r>
      <w:r>
        <w:rPr>
          <w:spacing w:val="-14"/>
          <w:highlight w:val="none"/>
        </w:rPr>
        <w:t xml:space="preserve"> 项的规定由中标人交纳，请投标人在测算投标报价时充分考虑这</w:t>
      </w:r>
      <w:r>
        <w:rPr>
          <w:highlight w:val="none"/>
        </w:rPr>
        <w:t xml:space="preserve">一因素。 </w:t>
      </w:r>
    </w:p>
    <w:p>
      <w:pPr>
        <w:pStyle w:val="10"/>
        <w:spacing w:before="4"/>
        <w:ind w:left="0"/>
        <w:rPr>
          <w:sz w:val="18"/>
          <w:highlight w:val="none"/>
        </w:rPr>
      </w:pPr>
    </w:p>
    <w:p>
      <w:pPr>
        <w:pStyle w:val="7"/>
        <w:spacing w:line="254" w:lineRule="auto"/>
        <w:ind w:right="7816"/>
        <w:outlineLvl w:val="1"/>
        <w:rPr>
          <w:highlight w:val="none"/>
        </w:rPr>
      </w:pPr>
      <w:bookmarkStart w:id="27" w:name="十、签订、审核合同"/>
      <w:bookmarkEnd w:id="27"/>
      <w:bookmarkStart w:id="28" w:name="_Toc10115"/>
      <w:r>
        <w:rPr>
          <w:highlight w:val="none"/>
        </w:rPr>
        <w:t>十、签订、审核合同</w:t>
      </w:r>
      <w:r>
        <w:rPr>
          <w:w w:val="105"/>
          <w:highlight w:val="none"/>
        </w:rPr>
        <w:t>32.中标通知</w:t>
      </w:r>
      <w:bookmarkEnd w:id="28"/>
      <w:r>
        <w:rPr>
          <w:w w:val="200"/>
          <w:highlight w:val="none"/>
        </w:rPr>
        <w:t xml:space="preserve"> </w:t>
      </w:r>
    </w:p>
    <w:p>
      <w:pPr>
        <w:pStyle w:val="10"/>
        <w:spacing w:before="40" w:line="364" w:lineRule="auto"/>
        <w:ind w:right="1791"/>
        <w:jc w:val="both"/>
        <w:rPr>
          <w:highlight w:val="none"/>
        </w:rPr>
      </w:pPr>
      <w:r>
        <w:rPr>
          <w:spacing w:val="3"/>
          <w:sz w:val="24"/>
          <w:highlight w:val="none"/>
        </w:rPr>
        <w:t>中标人确定后</w:t>
      </w:r>
      <w:r>
        <w:rPr>
          <w:rFonts w:hint="eastAsia"/>
          <w:spacing w:val="3"/>
          <w:sz w:val="24"/>
          <w:highlight w:val="none"/>
          <w:lang w:eastAsia="zh-CN"/>
        </w:rPr>
        <w:t>，</w:t>
      </w:r>
      <w:r>
        <w:rPr>
          <w:spacing w:val="3"/>
          <w:sz w:val="24"/>
          <w:highlight w:val="none"/>
        </w:rPr>
        <w:t>采购代理机构将在相关政府采购信息发布媒体上发布</w:t>
      </w:r>
      <w:r>
        <w:rPr>
          <w:spacing w:val="-9"/>
          <w:sz w:val="24"/>
          <w:highlight w:val="none"/>
        </w:rPr>
        <w:t>中标公告，并以书面形式向中标人发出中标通知书，但该中标结果的有效性不依</w:t>
      </w:r>
      <w:r>
        <w:rPr>
          <w:spacing w:val="-2"/>
          <w:sz w:val="24"/>
          <w:highlight w:val="none"/>
        </w:rPr>
        <w:t xml:space="preserve">赖于未中标的投标人是否已经收到该通知。中标人应按照上述第 </w:t>
      </w:r>
      <w:r>
        <w:rPr>
          <w:sz w:val="24"/>
          <w:highlight w:val="none"/>
        </w:rPr>
        <w:t>21、22、24</w:t>
      </w:r>
      <w:r>
        <w:rPr>
          <w:spacing w:val="-30"/>
          <w:sz w:val="24"/>
          <w:highlight w:val="none"/>
        </w:rPr>
        <w:t xml:space="preserve"> 条</w:t>
      </w:r>
      <w:r>
        <w:rPr>
          <w:spacing w:val="-7"/>
          <w:highlight w:val="none"/>
        </w:rPr>
        <w:t>的规定交纳履约保证金、代理服务费和公证费并经采购代理机构确认后，委派专</w:t>
      </w:r>
      <w:r>
        <w:rPr>
          <w:spacing w:val="-4"/>
          <w:highlight w:val="none"/>
        </w:rPr>
        <w:t>人持介绍信或授权书和身份证件前往采购代理机构领取中标通知书。中标通知书</w:t>
      </w:r>
      <w:r>
        <w:rPr>
          <w:spacing w:val="-6"/>
          <w:highlight w:val="none"/>
        </w:rPr>
        <w:t>对采购人和中标人具有同等法律效力。中标通知书发出以后，采购人改变中标结</w:t>
      </w:r>
      <w:r>
        <w:rPr>
          <w:highlight w:val="none"/>
        </w:rPr>
        <w:t xml:space="preserve">果或者中标人放弃中标，应当承担相应的法律责任。 </w:t>
      </w:r>
    </w:p>
    <w:p>
      <w:pPr>
        <w:pStyle w:val="20"/>
        <w:numPr>
          <w:ilvl w:val="1"/>
          <w:numId w:val="24"/>
        </w:numPr>
        <w:tabs>
          <w:tab w:val="left" w:pos="1779"/>
        </w:tabs>
        <w:spacing w:before="3" w:after="0" w:line="364" w:lineRule="auto"/>
        <w:ind w:left="818" w:right="1798" w:firstLine="479"/>
        <w:jc w:val="left"/>
        <w:rPr>
          <w:sz w:val="24"/>
          <w:highlight w:val="none"/>
        </w:rPr>
      </w:pPr>
      <w:r>
        <w:rPr>
          <w:spacing w:val="-2"/>
          <w:sz w:val="24"/>
          <w:highlight w:val="none"/>
        </w:rPr>
        <w:t>采购代理机构对未中标的投标人不作未中标原因的解释，但中标结果</w:t>
      </w:r>
      <w:r>
        <w:rPr>
          <w:sz w:val="24"/>
          <w:highlight w:val="none"/>
        </w:rPr>
        <w:t xml:space="preserve">的有效性不以未中标的投标人是否收到相应的通知为前提。 </w:t>
      </w:r>
    </w:p>
    <w:p>
      <w:pPr>
        <w:pStyle w:val="20"/>
        <w:numPr>
          <w:ilvl w:val="1"/>
          <w:numId w:val="24"/>
        </w:numPr>
        <w:tabs>
          <w:tab w:val="left" w:pos="1779"/>
        </w:tabs>
        <w:spacing w:before="2" w:after="0" w:line="240" w:lineRule="auto"/>
        <w:ind w:left="1779" w:right="0" w:hanging="481"/>
        <w:jc w:val="left"/>
        <w:rPr>
          <w:sz w:val="24"/>
          <w:highlight w:val="none"/>
        </w:rPr>
      </w:pPr>
      <w:r>
        <w:rPr>
          <w:sz w:val="24"/>
          <w:highlight w:val="none"/>
        </w:rPr>
        <w:t xml:space="preserve">中标通知书是合同的组成部分。 </w:t>
      </w:r>
    </w:p>
    <w:p>
      <w:pPr>
        <w:pStyle w:val="7"/>
        <w:numPr>
          <w:ilvl w:val="0"/>
          <w:numId w:val="25"/>
        </w:numPr>
        <w:tabs>
          <w:tab w:val="left" w:pos="1183"/>
        </w:tabs>
        <w:spacing w:before="81" w:after="0" w:line="240" w:lineRule="auto"/>
        <w:ind w:left="1182" w:right="0" w:hanging="365"/>
        <w:jc w:val="left"/>
        <w:rPr>
          <w:highlight w:val="none"/>
        </w:rPr>
      </w:pPr>
      <w:r>
        <w:rPr>
          <w:highlight w:val="none"/>
        </w:rPr>
        <w:t>签订合同</w:t>
      </w:r>
      <w:r>
        <w:rPr>
          <w:w w:val="200"/>
          <w:highlight w:val="none"/>
        </w:rPr>
        <w:t xml:space="preserve"> </w:t>
      </w:r>
    </w:p>
    <w:p>
      <w:pPr>
        <w:pStyle w:val="20"/>
        <w:numPr>
          <w:ilvl w:val="1"/>
          <w:numId w:val="25"/>
        </w:numPr>
        <w:tabs>
          <w:tab w:val="left" w:pos="1779"/>
        </w:tabs>
        <w:spacing w:before="106" w:after="0" w:line="240" w:lineRule="auto"/>
        <w:ind w:left="1779" w:right="0" w:hanging="481"/>
        <w:jc w:val="both"/>
        <w:rPr>
          <w:sz w:val="24"/>
          <w:highlight w:val="none"/>
        </w:rPr>
      </w:pPr>
      <w:r>
        <w:rPr>
          <w:spacing w:val="-4"/>
          <w:sz w:val="24"/>
          <w:highlight w:val="none"/>
        </w:rPr>
        <w:t xml:space="preserve">中标人须在中标通知书发出之日起 </w:t>
      </w:r>
      <w:r>
        <w:rPr>
          <w:sz w:val="24"/>
          <w:highlight w:val="none"/>
        </w:rPr>
        <w:t>15</w:t>
      </w:r>
      <w:r>
        <w:rPr>
          <w:spacing w:val="-8"/>
          <w:sz w:val="24"/>
          <w:highlight w:val="none"/>
        </w:rPr>
        <w:t xml:space="preserve"> 日内与采购人签订采购合同。 </w:t>
      </w:r>
    </w:p>
    <w:p>
      <w:pPr>
        <w:pStyle w:val="20"/>
        <w:numPr>
          <w:ilvl w:val="1"/>
          <w:numId w:val="25"/>
        </w:numPr>
        <w:tabs>
          <w:tab w:val="left" w:pos="1779"/>
        </w:tabs>
        <w:spacing w:before="161" w:after="0" w:line="364" w:lineRule="auto"/>
        <w:ind w:left="818" w:right="1795" w:firstLine="479"/>
        <w:jc w:val="both"/>
        <w:rPr>
          <w:sz w:val="24"/>
          <w:highlight w:val="none"/>
        </w:rPr>
      </w:pPr>
      <w:r>
        <w:rPr>
          <w:spacing w:val="-2"/>
          <w:sz w:val="24"/>
          <w:highlight w:val="none"/>
        </w:rPr>
        <w:t>中标人须按照招标文件、投标文件及评标过程中的有关澄清、说明或</w:t>
      </w:r>
      <w:r>
        <w:rPr>
          <w:spacing w:val="-7"/>
          <w:sz w:val="24"/>
          <w:highlight w:val="none"/>
        </w:rPr>
        <w:t>者补正文件的内容与采购人签订合同。中标人不得再与采购人签订背离合同实质</w:t>
      </w:r>
      <w:r>
        <w:rPr>
          <w:sz w:val="24"/>
          <w:highlight w:val="none"/>
        </w:rPr>
        <w:t xml:space="preserve">性内容的其他协议或声明。 </w:t>
      </w:r>
    </w:p>
    <w:p>
      <w:pPr>
        <w:pStyle w:val="20"/>
        <w:numPr>
          <w:ilvl w:val="0"/>
          <w:numId w:val="0"/>
        </w:numPr>
        <w:tabs>
          <w:tab w:val="left" w:pos="1779"/>
        </w:tabs>
        <w:spacing w:before="80" w:after="0" w:line="364" w:lineRule="auto"/>
        <w:ind w:left="1297" w:leftChars="0" w:right="1791" w:rightChars="0"/>
        <w:jc w:val="both"/>
        <w:rPr>
          <w:sz w:val="24"/>
          <w:highlight w:val="none"/>
        </w:rPr>
      </w:pPr>
    </w:p>
    <w:p>
      <w:pPr>
        <w:spacing w:after="0" w:line="364" w:lineRule="auto"/>
        <w:jc w:val="both"/>
        <w:rPr>
          <w:sz w:val="24"/>
          <w:highlight w:val="none"/>
        </w:rPr>
        <w:sectPr>
          <w:pgSz w:w="11910" w:h="16840"/>
          <w:pgMar w:top="1460" w:right="0" w:bottom="1180" w:left="980" w:header="0" w:footer="915" w:gutter="0"/>
          <w:cols w:space="720" w:num="1"/>
        </w:sectPr>
      </w:pPr>
    </w:p>
    <w:p>
      <w:pPr>
        <w:pStyle w:val="20"/>
        <w:numPr>
          <w:ilvl w:val="1"/>
          <w:numId w:val="25"/>
        </w:numPr>
        <w:tabs>
          <w:tab w:val="left" w:pos="1779"/>
        </w:tabs>
        <w:spacing w:before="2" w:after="0" w:line="364" w:lineRule="auto"/>
        <w:ind w:left="818" w:right="1706" w:firstLine="479"/>
        <w:jc w:val="left"/>
        <w:rPr>
          <w:sz w:val="24"/>
          <w:highlight w:val="none"/>
        </w:rPr>
      </w:pPr>
      <w:r>
        <w:rPr>
          <w:spacing w:val="-1"/>
          <w:sz w:val="24"/>
          <w:highlight w:val="none"/>
        </w:rPr>
        <w:t xml:space="preserve">采购人如需追加与合同标的相同的货物，在不改变合同其他条款的前 </w:t>
      </w:r>
      <w:r>
        <w:rPr>
          <w:spacing w:val="-2"/>
          <w:sz w:val="24"/>
          <w:highlight w:val="none"/>
        </w:rPr>
        <w:t xml:space="preserve">提下，提交追加合同的申请报经同级财政部门审核后， </w:t>
      </w:r>
      <w:r>
        <w:rPr>
          <w:spacing w:val="-8"/>
          <w:sz w:val="24"/>
          <w:highlight w:val="none"/>
        </w:rPr>
        <w:t xml:space="preserve">可与中标人签订补充合同，但所有补充合同的采购金额不得超过原合同金额的百分之十。 </w:t>
      </w:r>
    </w:p>
    <w:p>
      <w:pPr>
        <w:pStyle w:val="20"/>
        <w:numPr>
          <w:ilvl w:val="1"/>
          <w:numId w:val="25"/>
        </w:numPr>
        <w:tabs>
          <w:tab w:val="left" w:pos="1779"/>
        </w:tabs>
        <w:spacing w:before="2" w:after="0" w:line="364" w:lineRule="auto"/>
        <w:ind w:left="818" w:right="1798" w:firstLine="479"/>
        <w:jc w:val="left"/>
        <w:rPr>
          <w:sz w:val="24"/>
          <w:highlight w:val="none"/>
        </w:rPr>
      </w:pPr>
      <w:r>
        <w:rPr>
          <w:spacing w:val="-2"/>
          <w:sz w:val="24"/>
          <w:highlight w:val="none"/>
        </w:rPr>
        <w:t>中标人一旦中标及签订合同后，不得转包，亦不得将合同全部及任何</w:t>
      </w:r>
      <w:r>
        <w:rPr>
          <w:sz w:val="24"/>
          <w:highlight w:val="none"/>
        </w:rPr>
        <w:t xml:space="preserve">权利、义务向第三方转让。 </w:t>
      </w:r>
    </w:p>
    <w:p>
      <w:pPr>
        <w:pStyle w:val="20"/>
        <w:numPr>
          <w:ilvl w:val="1"/>
          <w:numId w:val="25"/>
        </w:numPr>
        <w:tabs>
          <w:tab w:val="left" w:pos="1779"/>
        </w:tabs>
        <w:spacing w:before="2" w:after="0" w:line="364" w:lineRule="auto"/>
        <w:ind w:left="818" w:right="1675" w:firstLine="479"/>
        <w:jc w:val="left"/>
        <w:rPr>
          <w:sz w:val="24"/>
          <w:highlight w:val="none"/>
        </w:rPr>
      </w:pPr>
      <w:r>
        <w:rPr>
          <w:spacing w:val="-10"/>
          <w:sz w:val="24"/>
          <w:highlight w:val="none"/>
        </w:rPr>
        <w:t xml:space="preserve">中标人不履行合同的，采购人可在报经同级人民政府财政部门核准后， </w:t>
      </w:r>
      <w:r>
        <w:rPr>
          <w:spacing w:val="-4"/>
          <w:sz w:val="24"/>
          <w:highlight w:val="none"/>
        </w:rPr>
        <w:t xml:space="preserve">与排位在中标人之后的第一位中标候选供应商签订合同，以此类推；或在报经同级人民政府财政部门核准后重新组织采购。 </w:t>
      </w:r>
    </w:p>
    <w:p>
      <w:pPr>
        <w:pStyle w:val="20"/>
        <w:numPr>
          <w:ilvl w:val="1"/>
          <w:numId w:val="25"/>
        </w:numPr>
        <w:tabs>
          <w:tab w:val="left" w:pos="1779"/>
        </w:tabs>
        <w:spacing w:before="1" w:after="0" w:line="240" w:lineRule="auto"/>
        <w:ind w:left="1779" w:right="0" w:hanging="481"/>
        <w:jc w:val="left"/>
        <w:rPr>
          <w:sz w:val="24"/>
          <w:highlight w:val="none"/>
        </w:rPr>
      </w:pPr>
      <w:r>
        <w:rPr>
          <w:spacing w:val="-20"/>
          <w:sz w:val="24"/>
          <w:highlight w:val="none"/>
        </w:rPr>
        <w:t xml:space="preserve">违反 </w:t>
      </w:r>
      <w:r>
        <w:rPr>
          <w:sz w:val="24"/>
          <w:highlight w:val="none"/>
        </w:rPr>
        <w:t>32.1</w:t>
      </w:r>
      <w:r>
        <w:rPr>
          <w:spacing w:val="-24"/>
          <w:sz w:val="24"/>
          <w:highlight w:val="none"/>
        </w:rPr>
        <w:t xml:space="preserve"> 条、</w:t>
      </w:r>
      <w:r>
        <w:rPr>
          <w:sz w:val="24"/>
          <w:highlight w:val="none"/>
        </w:rPr>
        <w:t>32.2</w:t>
      </w:r>
      <w:r>
        <w:rPr>
          <w:spacing w:val="-15"/>
          <w:sz w:val="24"/>
          <w:highlight w:val="none"/>
        </w:rPr>
        <w:t xml:space="preserve"> 条的规定，给对方造成损失的，应承担赔偿责任。</w:t>
      </w:r>
      <w:r>
        <w:rPr>
          <w:sz w:val="24"/>
          <w:highlight w:val="none"/>
        </w:rPr>
        <w:t xml:space="preserve"> </w:t>
      </w:r>
    </w:p>
    <w:p>
      <w:pPr>
        <w:pStyle w:val="10"/>
        <w:spacing w:before="3"/>
        <w:ind w:left="0"/>
        <w:rPr>
          <w:sz w:val="18"/>
          <w:highlight w:val="none"/>
        </w:rPr>
      </w:pPr>
    </w:p>
    <w:p>
      <w:pPr>
        <w:pStyle w:val="7"/>
        <w:spacing w:before="1" w:line="254" w:lineRule="auto"/>
        <w:ind w:right="7213"/>
        <w:outlineLvl w:val="1"/>
        <w:rPr>
          <w:highlight w:val="none"/>
        </w:rPr>
      </w:pPr>
      <w:bookmarkStart w:id="29" w:name="十一、处罚、询问和质疑"/>
      <w:bookmarkEnd w:id="29"/>
      <w:bookmarkStart w:id="30" w:name="_Toc4969"/>
      <w:r>
        <w:rPr>
          <w:w w:val="105"/>
          <w:highlight w:val="none"/>
        </w:rPr>
        <w:t>十一、处罚、询问和质疑3</w:t>
      </w:r>
      <w:r>
        <w:rPr>
          <w:rFonts w:hint="eastAsia" w:eastAsia="宋体"/>
          <w:w w:val="105"/>
          <w:highlight w:val="none"/>
          <w:lang w:val="en-US" w:eastAsia="zh-CN"/>
        </w:rPr>
        <w:t>4</w:t>
      </w:r>
      <w:r>
        <w:rPr>
          <w:w w:val="105"/>
          <w:highlight w:val="none"/>
        </w:rPr>
        <w:t>.处罚</w:t>
      </w:r>
      <w:bookmarkEnd w:id="30"/>
      <w:r>
        <w:rPr>
          <w:w w:val="200"/>
          <w:highlight w:val="none"/>
        </w:rPr>
        <w:t xml:space="preserve"> </w:t>
      </w:r>
    </w:p>
    <w:p>
      <w:pPr>
        <w:pStyle w:val="20"/>
        <w:numPr>
          <w:ilvl w:val="0"/>
          <w:numId w:val="26"/>
        </w:numPr>
        <w:tabs>
          <w:tab w:val="left" w:pos="1659"/>
        </w:tabs>
        <w:spacing w:before="40" w:after="0" w:line="240" w:lineRule="auto"/>
        <w:ind w:left="1659" w:right="0" w:hanging="361"/>
        <w:jc w:val="left"/>
        <w:rPr>
          <w:sz w:val="24"/>
          <w:highlight w:val="none"/>
        </w:rPr>
      </w:pPr>
      <w:r>
        <w:rPr>
          <w:highlight w:val="none"/>
        </w:rPr>
        <w:t>35.1 发生下列情况之一，投标人的保证金不予退还；情节严重的将其列入不良记录名单。</w:t>
      </w:r>
      <w:r>
        <w:rPr>
          <w:sz w:val="24"/>
          <w:highlight w:val="none"/>
        </w:rPr>
        <w:t xml:space="preserve">开标后在投标有效期内，投标人撤回其投标； </w:t>
      </w:r>
    </w:p>
    <w:p>
      <w:pPr>
        <w:pStyle w:val="20"/>
        <w:numPr>
          <w:ilvl w:val="0"/>
          <w:numId w:val="26"/>
        </w:numPr>
        <w:tabs>
          <w:tab w:val="left" w:pos="1659"/>
        </w:tabs>
        <w:spacing w:before="161" w:after="0" w:line="240" w:lineRule="auto"/>
        <w:ind w:left="1659" w:right="0" w:hanging="361"/>
        <w:jc w:val="left"/>
        <w:rPr>
          <w:sz w:val="24"/>
          <w:highlight w:val="none"/>
        </w:rPr>
      </w:pPr>
      <w:r>
        <w:rPr>
          <w:sz w:val="24"/>
          <w:highlight w:val="none"/>
        </w:rPr>
        <w:t xml:space="preserve">中标后无正当理由不与采购人签订合同的； </w:t>
      </w:r>
    </w:p>
    <w:p>
      <w:pPr>
        <w:pStyle w:val="20"/>
        <w:numPr>
          <w:ilvl w:val="0"/>
          <w:numId w:val="26"/>
        </w:numPr>
        <w:tabs>
          <w:tab w:val="left" w:pos="1659"/>
        </w:tabs>
        <w:spacing w:before="161" w:after="0" w:line="240" w:lineRule="auto"/>
        <w:ind w:left="1659" w:right="0" w:hanging="361"/>
        <w:jc w:val="left"/>
        <w:rPr>
          <w:sz w:val="24"/>
          <w:highlight w:val="none"/>
        </w:rPr>
      </w:pPr>
      <w:r>
        <w:rPr>
          <w:sz w:val="24"/>
          <w:highlight w:val="none"/>
        </w:rPr>
        <w:t xml:space="preserve">中标人与采购人订立背离合同实质性内容的其他协议； </w:t>
      </w:r>
    </w:p>
    <w:p>
      <w:pPr>
        <w:pStyle w:val="20"/>
        <w:numPr>
          <w:ilvl w:val="0"/>
          <w:numId w:val="26"/>
        </w:numPr>
        <w:tabs>
          <w:tab w:val="left" w:pos="1659"/>
        </w:tabs>
        <w:spacing w:before="160" w:after="0" w:line="364" w:lineRule="auto"/>
        <w:ind w:left="818" w:right="1800" w:firstLine="479"/>
        <w:jc w:val="left"/>
        <w:rPr>
          <w:sz w:val="24"/>
          <w:highlight w:val="none"/>
        </w:rPr>
      </w:pPr>
      <w:r>
        <w:rPr>
          <w:spacing w:val="-1"/>
          <w:sz w:val="24"/>
          <w:highlight w:val="none"/>
        </w:rPr>
        <w:t>将中标项目转让给他人，或者在投标文件中未说明，且未经采购代理机</w:t>
      </w:r>
      <w:r>
        <w:rPr>
          <w:sz w:val="24"/>
          <w:highlight w:val="none"/>
        </w:rPr>
        <w:t xml:space="preserve">构同意，将中标项目分包给他人的； </w:t>
      </w:r>
    </w:p>
    <w:p>
      <w:pPr>
        <w:pStyle w:val="20"/>
        <w:numPr>
          <w:ilvl w:val="0"/>
          <w:numId w:val="26"/>
        </w:numPr>
        <w:tabs>
          <w:tab w:val="left" w:pos="1659"/>
        </w:tabs>
        <w:spacing w:before="2" w:after="0" w:line="240" w:lineRule="auto"/>
        <w:ind w:left="1659" w:right="0" w:hanging="361"/>
        <w:jc w:val="left"/>
        <w:rPr>
          <w:sz w:val="24"/>
          <w:highlight w:val="none"/>
        </w:rPr>
      </w:pPr>
      <w:r>
        <w:rPr>
          <w:sz w:val="24"/>
          <w:highlight w:val="none"/>
        </w:rPr>
        <w:t xml:space="preserve">存在串通投标行为的； </w:t>
      </w:r>
    </w:p>
    <w:p>
      <w:pPr>
        <w:pStyle w:val="20"/>
        <w:numPr>
          <w:ilvl w:val="0"/>
          <w:numId w:val="26"/>
        </w:numPr>
        <w:tabs>
          <w:tab w:val="left" w:pos="1659"/>
        </w:tabs>
        <w:spacing w:before="160" w:after="0" w:line="240" w:lineRule="auto"/>
        <w:ind w:left="1659" w:right="0" w:hanging="361"/>
        <w:jc w:val="left"/>
        <w:rPr>
          <w:sz w:val="24"/>
          <w:highlight w:val="none"/>
        </w:rPr>
      </w:pPr>
      <w:r>
        <w:rPr>
          <w:sz w:val="24"/>
          <w:highlight w:val="none"/>
        </w:rPr>
        <w:t xml:space="preserve">存在弄虚作假或提供虚假材料谋取中标的； </w:t>
      </w:r>
    </w:p>
    <w:p>
      <w:pPr>
        <w:pStyle w:val="20"/>
        <w:numPr>
          <w:ilvl w:val="0"/>
          <w:numId w:val="26"/>
        </w:numPr>
        <w:tabs>
          <w:tab w:val="left" w:pos="1659"/>
        </w:tabs>
        <w:spacing w:before="161" w:after="0" w:line="240" w:lineRule="auto"/>
        <w:ind w:left="1659" w:right="0" w:hanging="361"/>
        <w:jc w:val="left"/>
        <w:rPr>
          <w:sz w:val="24"/>
          <w:highlight w:val="none"/>
        </w:rPr>
      </w:pPr>
      <w:r>
        <w:rPr>
          <w:sz w:val="24"/>
          <w:highlight w:val="none"/>
        </w:rPr>
        <w:t xml:space="preserve">投标人其他未按招标文件规定和合同约定履行义务的行为。 </w:t>
      </w:r>
    </w:p>
    <w:p>
      <w:pPr>
        <w:pStyle w:val="7"/>
        <w:numPr>
          <w:ilvl w:val="0"/>
          <w:numId w:val="27"/>
        </w:numPr>
        <w:tabs>
          <w:tab w:val="left" w:pos="1183"/>
        </w:tabs>
        <w:spacing w:before="81" w:after="0" w:line="240" w:lineRule="auto"/>
        <w:ind w:left="1182" w:right="0" w:hanging="365"/>
        <w:jc w:val="left"/>
        <w:rPr>
          <w:highlight w:val="none"/>
        </w:rPr>
      </w:pPr>
      <w:r>
        <w:rPr>
          <w:highlight w:val="none"/>
        </w:rPr>
        <w:t>询问</w:t>
      </w:r>
      <w:r>
        <w:rPr>
          <w:w w:val="200"/>
          <w:highlight w:val="none"/>
        </w:rPr>
        <w:t xml:space="preserve"> </w:t>
      </w:r>
    </w:p>
    <w:p>
      <w:pPr>
        <w:pStyle w:val="20"/>
        <w:numPr>
          <w:ilvl w:val="1"/>
          <w:numId w:val="27"/>
        </w:numPr>
        <w:tabs>
          <w:tab w:val="left" w:pos="1779"/>
        </w:tabs>
        <w:spacing w:before="106" w:after="0" w:line="240" w:lineRule="auto"/>
        <w:ind w:left="1779" w:right="0" w:hanging="481"/>
        <w:jc w:val="left"/>
        <w:rPr>
          <w:sz w:val="24"/>
          <w:highlight w:val="none"/>
        </w:rPr>
      </w:pPr>
      <w:r>
        <w:rPr>
          <w:spacing w:val="-11"/>
          <w:sz w:val="24"/>
          <w:highlight w:val="none"/>
        </w:rPr>
        <w:t>投标人对采购事项有疑问的，可以向采购人或采购代理机构提出询问。</w:t>
      </w:r>
      <w:r>
        <w:rPr>
          <w:sz w:val="24"/>
          <w:highlight w:val="none"/>
        </w:rPr>
        <w:t xml:space="preserve"> </w:t>
      </w:r>
    </w:p>
    <w:p>
      <w:pPr>
        <w:pStyle w:val="7"/>
        <w:numPr>
          <w:ilvl w:val="0"/>
          <w:numId w:val="27"/>
        </w:numPr>
        <w:tabs>
          <w:tab w:val="left" w:pos="1183"/>
        </w:tabs>
        <w:spacing w:before="82" w:after="0" w:line="240" w:lineRule="auto"/>
        <w:ind w:left="1182" w:right="0" w:hanging="365"/>
        <w:jc w:val="left"/>
        <w:rPr>
          <w:highlight w:val="none"/>
        </w:rPr>
      </w:pPr>
      <w:r>
        <w:rPr>
          <w:highlight w:val="none"/>
        </w:rPr>
        <w:t>投标人有权就招标事宜提出质疑</w:t>
      </w:r>
      <w:r>
        <w:rPr>
          <w:w w:val="200"/>
          <w:highlight w:val="none"/>
        </w:rPr>
        <w:t xml:space="preserve"> </w:t>
      </w:r>
    </w:p>
    <w:p>
      <w:pPr>
        <w:pStyle w:val="20"/>
        <w:numPr>
          <w:ilvl w:val="1"/>
          <w:numId w:val="27"/>
        </w:numPr>
        <w:tabs>
          <w:tab w:val="left" w:pos="1779"/>
        </w:tabs>
        <w:spacing w:before="106" w:after="0" w:line="364" w:lineRule="auto"/>
        <w:ind w:left="818" w:right="1675" w:firstLine="479"/>
        <w:jc w:val="left"/>
        <w:rPr>
          <w:sz w:val="24"/>
          <w:highlight w:val="none"/>
        </w:rPr>
      </w:pPr>
      <w:r>
        <w:rPr>
          <w:spacing w:val="-10"/>
          <w:sz w:val="24"/>
          <w:highlight w:val="none"/>
        </w:rPr>
        <w:t xml:space="preserve">投标人认为招标文件、采购过程和中标结果使自已的权益受到损害的， </w:t>
      </w:r>
      <w:r>
        <w:rPr>
          <w:sz w:val="24"/>
          <w:highlight w:val="none"/>
        </w:rPr>
        <w:t xml:space="preserve">可以在知道或者应知其权益受到损害之日起 7 个工作日内，以书面形式提出质疑。 </w:t>
      </w:r>
    </w:p>
    <w:p>
      <w:pPr>
        <w:pStyle w:val="20"/>
        <w:numPr>
          <w:ilvl w:val="1"/>
          <w:numId w:val="27"/>
        </w:numPr>
        <w:tabs>
          <w:tab w:val="left" w:pos="1779"/>
        </w:tabs>
        <w:spacing w:before="1" w:after="0" w:line="364" w:lineRule="auto"/>
        <w:ind w:left="818" w:right="1791" w:firstLine="479"/>
        <w:jc w:val="both"/>
        <w:rPr>
          <w:sz w:val="24"/>
          <w:highlight w:val="none"/>
        </w:rPr>
      </w:pPr>
      <w:r>
        <w:rPr>
          <w:spacing w:val="-12"/>
          <w:sz w:val="24"/>
          <w:highlight w:val="none"/>
        </w:rPr>
        <w:t>质疑应当按照《中华人民共和国政府采购法》、《中华人民共和国政府</w:t>
      </w:r>
      <w:r>
        <w:rPr>
          <w:spacing w:val="-22"/>
          <w:sz w:val="24"/>
          <w:highlight w:val="none"/>
        </w:rPr>
        <w:t>采购法实施条例》、《政府采购质疑和投诉办法》等法律法规的相关规定，以书面</w:t>
      </w:r>
      <w:r>
        <w:rPr>
          <w:sz w:val="24"/>
          <w:highlight w:val="none"/>
        </w:rPr>
        <w:t xml:space="preserve">形式向采购代理机构提出。 </w:t>
      </w:r>
    </w:p>
    <w:p>
      <w:pPr>
        <w:pStyle w:val="10"/>
        <w:spacing w:before="79" w:line="364" w:lineRule="auto"/>
        <w:ind w:right="1798" w:firstLine="479"/>
        <w:rPr>
          <w:spacing w:val="-16"/>
          <w:sz w:val="24"/>
          <w:highlight w:val="none"/>
        </w:rPr>
      </w:pPr>
      <w:r>
        <w:rPr>
          <w:spacing w:val="-1"/>
          <w:sz w:val="24"/>
          <w:highlight w:val="none"/>
        </w:rPr>
        <w:t>质疑书应当附上相关证明材料，否则质疑将视为无有效证据支持，将被</w:t>
      </w:r>
      <w:r>
        <w:rPr>
          <w:spacing w:val="-16"/>
          <w:sz w:val="24"/>
          <w:highlight w:val="none"/>
        </w:rPr>
        <w:t>予以驳回，并不得以上述理由要求延长质疑有效期。未递交投标文件的供应商，其未参加后续采购活动，不得对递交投标文件截止后的采购过程、采购结果提出质疑。</w:t>
      </w:r>
    </w:p>
    <w:p>
      <w:pPr>
        <w:pStyle w:val="20"/>
        <w:numPr>
          <w:ilvl w:val="1"/>
          <w:numId w:val="27"/>
        </w:numPr>
        <w:tabs>
          <w:tab w:val="left" w:pos="1779"/>
        </w:tabs>
        <w:spacing w:before="2" w:after="0" w:line="364" w:lineRule="auto"/>
        <w:ind w:left="818" w:right="1792" w:firstLine="479"/>
        <w:jc w:val="both"/>
        <w:rPr>
          <w:sz w:val="24"/>
          <w:highlight w:val="none"/>
        </w:rPr>
      </w:pPr>
      <w:r>
        <w:rPr>
          <w:spacing w:val="-1"/>
          <w:sz w:val="24"/>
          <w:highlight w:val="none"/>
        </w:rPr>
        <w:t>质疑人可以采取直接送达或者邮寄方式提交质疑书。采购代理机构收</w:t>
      </w:r>
      <w:r>
        <w:rPr>
          <w:spacing w:val="-10"/>
          <w:sz w:val="24"/>
          <w:highlight w:val="none"/>
        </w:rPr>
        <w:t>到质疑书后，对质疑书进行审查，对符合质疑条件的将办理签收手续，自签收质</w:t>
      </w:r>
      <w:r>
        <w:rPr>
          <w:sz w:val="24"/>
          <w:highlight w:val="none"/>
        </w:rPr>
        <w:t xml:space="preserve">疑书之日起即为受理。 </w:t>
      </w:r>
    </w:p>
    <w:p>
      <w:pPr>
        <w:pStyle w:val="20"/>
        <w:numPr>
          <w:ilvl w:val="1"/>
          <w:numId w:val="27"/>
        </w:numPr>
        <w:tabs>
          <w:tab w:val="left" w:pos="1779"/>
        </w:tabs>
        <w:spacing w:before="2" w:after="0" w:line="364" w:lineRule="auto"/>
        <w:ind w:left="818" w:right="1792" w:firstLine="479"/>
        <w:jc w:val="both"/>
        <w:rPr>
          <w:sz w:val="24"/>
          <w:highlight w:val="none"/>
        </w:rPr>
      </w:pPr>
      <w:r>
        <w:rPr>
          <w:spacing w:val="-3"/>
          <w:sz w:val="24"/>
          <w:highlight w:val="none"/>
        </w:rPr>
        <w:t xml:space="preserve">采购代理机构将在受理书面质疑后 </w:t>
      </w:r>
      <w:r>
        <w:rPr>
          <w:sz w:val="24"/>
          <w:highlight w:val="none"/>
        </w:rPr>
        <w:t>7</w:t>
      </w:r>
      <w:r>
        <w:rPr>
          <w:spacing w:val="-8"/>
          <w:sz w:val="24"/>
          <w:highlight w:val="none"/>
        </w:rPr>
        <w:t xml:space="preserve"> 个工作日内审查质疑事项，作出答复或相关处理决定，并以书面形式通知质疑人和其他相关供应商，但答复的内</w:t>
      </w:r>
      <w:r>
        <w:rPr>
          <w:sz w:val="24"/>
          <w:highlight w:val="none"/>
        </w:rPr>
        <w:t xml:space="preserve">容不涉及商业秘密。 </w:t>
      </w:r>
    </w:p>
    <w:p>
      <w:pPr>
        <w:pStyle w:val="10"/>
        <w:spacing w:before="40"/>
        <w:ind w:right="1690" w:rightChars="768"/>
        <w:rPr>
          <w:highlight w:val="none"/>
        </w:rPr>
      </w:pPr>
      <w:r>
        <w:rPr>
          <w:spacing w:val="-1"/>
          <w:sz w:val="24"/>
          <w:highlight w:val="none"/>
        </w:rPr>
        <w:t>投标人进行虚假和恶意质疑的，采购代理机构将提请有关部门将其列</w:t>
      </w:r>
      <w:r>
        <w:rPr>
          <w:spacing w:val="-10"/>
          <w:sz w:val="24"/>
          <w:highlight w:val="none"/>
        </w:rPr>
        <w:t>入不良记录名单，在一至三年内禁止参加政府采购活动，并将处理决定在相关政</w:t>
      </w:r>
      <w:r>
        <w:rPr>
          <w:highlight w:val="none"/>
        </w:rPr>
        <w:t xml:space="preserve">府采购媒体上公布。 </w:t>
      </w:r>
    </w:p>
    <w:p>
      <w:pPr>
        <w:pStyle w:val="20"/>
        <w:numPr>
          <w:ilvl w:val="1"/>
          <w:numId w:val="27"/>
        </w:numPr>
        <w:tabs>
          <w:tab w:val="left" w:pos="1779"/>
        </w:tabs>
        <w:spacing w:before="2" w:after="0" w:line="364" w:lineRule="auto"/>
        <w:ind w:left="818" w:right="1792" w:firstLine="479"/>
        <w:jc w:val="left"/>
        <w:rPr>
          <w:sz w:val="24"/>
          <w:highlight w:val="none"/>
        </w:rPr>
      </w:pPr>
      <w:r>
        <w:rPr>
          <w:spacing w:val="5"/>
          <w:sz w:val="24"/>
          <w:highlight w:val="none"/>
        </w:rPr>
        <w:t>质疑人对答复不满意以及采购代理机构未在规定的时间内作出答复</w:t>
      </w:r>
      <w:r>
        <w:rPr>
          <w:spacing w:val="-1"/>
          <w:sz w:val="24"/>
          <w:highlight w:val="none"/>
        </w:rPr>
        <w:t xml:space="preserve">的，可以在答复期满后 </w:t>
      </w:r>
      <w:r>
        <w:rPr>
          <w:sz w:val="24"/>
          <w:highlight w:val="none"/>
        </w:rPr>
        <w:t>15</w:t>
      </w:r>
      <w:r>
        <w:rPr>
          <w:spacing w:val="-8"/>
          <w:sz w:val="24"/>
          <w:highlight w:val="none"/>
        </w:rPr>
        <w:t xml:space="preserve"> 个工作日内向财政部门投拆。</w:t>
      </w:r>
    </w:p>
    <w:p>
      <w:pPr>
        <w:pStyle w:val="7"/>
        <w:spacing w:line="254" w:lineRule="auto"/>
        <w:ind w:right="8059"/>
        <w:outlineLvl w:val="1"/>
        <w:rPr>
          <w:highlight w:val="none"/>
        </w:rPr>
      </w:pPr>
      <w:bookmarkStart w:id="31" w:name="_Toc7762"/>
      <w:r>
        <w:rPr>
          <w:highlight w:val="none"/>
        </w:rPr>
        <w:t>十二、保密和披露</w:t>
      </w:r>
      <w:r>
        <w:rPr>
          <w:w w:val="105"/>
          <w:highlight w:val="none"/>
        </w:rPr>
        <w:t>38.保密和披露</w:t>
      </w:r>
      <w:bookmarkEnd w:id="31"/>
      <w:r>
        <w:rPr>
          <w:w w:val="200"/>
          <w:highlight w:val="none"/>
        </w:rPr>
        <w:t xml:space="preserve"> </w:t>
      </w:r>
    </w:p>
    <w:p>
      <w:pPr>
        <w:pStyle w:val="20"/>
        <w:numPr>
          <w:ilvl w:val="1"/>
          <w:numId w:val="28"/>
        </w:numPr>
        <w:tabs>
          <w:tab w:val="left" w:pos="1779"/>
        </w:tabs>
        <w:spacing w:before="79" w:after="0" w:line="364" w:lineRule="auto"/>
        <w:ind w:left="818" w:right="1672" w:firstLine="479"/>
        <w:jc w:val="left"/>
        <w:rPr>
          <w:sz w:val="24"/>
          <w:highlight w:val="none"/>
        </w:rPr>
      </w:pPr>
      <w:r>
        <w:rPr>
          <w:spacing w:val="-1"/>
          <w:sz w:val="24"/>
          <w:highlight w:val="none"/>
        </w:rPr>
        <w:t>投标人自领取招标文件之日起，须承担本招标项目保密义务，不得将因</w:t>
      </w:r>
      <w:r>
        <w:rPr>
          <w:spacing w:val="-13"/>
          <w:sz w:val="24"/>
          <w:highlight w:val="none"/>
        </w:rPr>
        <w:t>本次招标获得的信息向第三人外传。由采购人向投标人提供的图纸、详细资料、样</w:t>
      </w:r>
      <w:r>
        <w:rPr>
          <w:spacing w:val="-17"/>
          <w:sz w:val="24"/>
          <w:highlight w:val="none"/>
        </w:rPr>
        <w:t xml:space="preserve">品、模型、模件和所有其它资料，被视为保密资料，仅被用于它所规定的用途。除非得到采购人的同意，不能向任何第三方透露。开标结束后，应采购人要求，投标人应归还所有从采购人处获得的保密资料。 </w:t>
      </w:r>
    </w:p>
    <w:p>
      <w:pPr>
        <w:pStyle w:val="20"/>
        <w:numPr>
          <w:ilvl w:val="1"/>
          <w:numId w:val="28"/>
        </w:numPr>
        <w:tabs>
          <w:tab w:val="left" w:pos="1779"/>
        </w:tabs>
        <w:spacing w:before="4" w:after="0" w:line="364" w:lineRule="auto"/>
        <w:ind w:left="818" w:right="1798" w:firstLine="479"/>
        <w:jc w:val="left"/>
        <w:rPr>
          <w:sz w:val="24"/>
          <w:highlight w:val="none"/>
        </w:rPr>
      </w:pPr>
      <w:r>
        <w:rPr>
          <w:spacing w:val="-2"/>
          <w:sz w:val="24"/>
          <w:highlight w:val="none"/>
        </w:rPr>
        <w:t>采购代理机构有权将投标人提供的所有资料向有关政府部门或评审标</w:t>
      </w:r>
      <w:r>
        <w:rPr>
          <w:sz w:val="24"/>
          <w:highlight w:val="none"/>
        </w:rPr>
        <w:t xml:space="preserve">书的有关人员披露。 </w:t>
      </w:r>
    </w:p>
    <w:p>
      <w:pPr>
        <w:pStyle w:val="20"/>
        <w:numPr>
          <w:ilvl w:val="1"/>
          <w:numId w:val="27"/>
        </w:numPr>
        <w:tabs>
          <w:tab w:val="left" w:pos="1779"/>
        </w:tabs>
        <w:spacing w:before="2" w:after="0" w:line="364" w:lineRule="auto"/>
        <w:ind w:left="818" w:right="1792" w:firstLine="479"/>
        <w:jc w:val="left"/>
        <w:rPr>
          <w:sz w:val="24"/>
          <w:highlight w:val="none"/>
        </w:rPr>
      </w:pPr>
      <w:r>
        <w:rPr>
          <w:spacing w:val="-1"/>
          <w:sz w:val="24"/>
          <w:highlight w:val="none"/>
        </w:rPr>
        <w:t>在采购代理机构认为适当时、国家机关调查、审查、审计时以及其他</w:t>
      </w:r>
      <w:r>
        <w:rPr>
          <w:spacing w:val="-10"/>
          <w:sz w:val="24"/>
          <w:highlight w:val="none"/>
        </w:rPr>
        <w:t>符合法律规定的情形下，采购代理机构无须事先征求投标人同意而可以披露关于采购过程、合同文本、签署情况的资料、投标人的名称及地址、投标文件的有关</w:t>
      </w:r>
      <w:r>
        <w:rPr>
          <w:spacing w:val="-8"/>
          <w:sz w:val="24"/>
          <w:highlight w:val="none"/>
        </w:rPr>
        <w:t>信息以及补充条款等，但应当在合理的必要范围内。对任何已经公布过的内容或</w:t>
      </w:r>
      <w:r>
        <w:rPr>
          <w:sz w:val="24"/>
          <w:highlight w:val="none"/>
        </w:rPr>
        <w:t>与之内容相同的资料，以及投标人已经泄露或公开的，无须再承担保密责任。</w:t>
      </w:r>
    </w:p>
    <w:p>
      <w:pPr>
        <w:pStyle w:val="10"/>
        <w:spacing w:before="79" w:line="364" w:lineRule="auto"/>
        <w:ind w:left="0" w:leftChars="0" w:right="1798" w:firstLine="0" w:firstLineChars="0"/>
        <w:rPr>
          <w:highlight w:val="none"/>
        </w:rPr>
      </w:pPr>
      <w:r>
        <w:rPr>
          <w:highlight w:val="none"/>
        </w:rPr>
        <w:t xml:space="preserve"> </w:t>
      </w:r>
    </w:p>
    <w:p>
      <w:pPr>
        <w:spacing w:after="0" w:line="364" w:lineRule="auto"/>
        <w:rPr>
          <w:highlight w:val="none"/>
        </w:rPr>
        <w:sectPr>
          <w:pgSz w:w="11910" w:h="16840"/>
          <w:pgMar w:top="1460" w:right="0" w:bottom="1180" w:left="980" w:header="0" w:footer="915" w:gutter="0"/>
          <w:cols w:space="720" w:num="1"/>
        </w:sectPr>
      </w:pPr>
    </w:p>
    <w:p>
      <w:pPr>
        <w:pStyle w:val="4"/>
        <w:outlineLvl w:val="0"/>
        <w:rPr>
          <w:highlight w:val="none"/>
        </w:rPr>
      </w:pPr>
      <w:bookmarkStart w:id="32" w:name="第三部分   项目说明"/>
      <w:bookmarkEnd w:id="32"/>
      <w:bookmarkStart w:id="33" w:name="_Toc7798"/>
      <w:r>
        <w:rPr>
          <w:highlight w:val="none"/>
        </w:rPr>
        <w:t>第三部分 项目说明</w:t>
      </w:r>
      <w:bookmarkEnd w:id="33"/>
    </w:p>
    <w:p>
      <w:pPr>
        <w:pStyle w:val="10"/>
        <w:spacing w:before="14"/>
        <w:ind w:left="0"/>
        <w:rPr>
          <w:rFonts w:ascii="Microsoft JhengHei"/>
          <w:b/>
          <w:sz w:val="20"/>
          <w:highlight w:val="none"/>
        </w:rPr>
      </w:pPr>
    </w:p>
    <w:p>
      <w:pPr>
        <w:pStyle w:val="6"/>
        <w:spacing w:line="485" w:lineRule="exact"/>
        <w:ind w:left="818"/>
        <w:outlineLvl w:val="1"/>
        <w:rPr>
          <w:rFonts w:hint="eastAsia" w:ascii="宋体" w:eastAsia="宋体"/>
          <w:b w:val="0"/>
          <w:sz w:val="24"/>
          <w:highlight w:val="none"/>
        </w:rPr>
      </w:pPr>
      <w:bookmarkStart w:id="34" w:name="_Toc21858"/>
      <w:r>
        <w:rPr>
          <w:highlight w:val="none"/>
        </w:rPr>
        <w:t>一、投标内容</w:t>
      </w:r>
      <w:r>
        <w:rPr>
          <w:rFonts w:hint="eastAsia" w:eastAsia="宋体"/>
          <w:highlight w:val="none"/>
          <w:lang w:eastAsia="zh-CN"/>
        </w:rPr>
        <w:t>：</w:t>
      </w:r>
      <w:bookmarkEnd w:id="34"/>
      <w:r>
        <w:rPr>
          <w:rFonts w:hint="eastAsia" w:ascii="宋体" w:eastAsia="宋体"/>
          <w:b w:val="0"/>
          <w:sz w:val="24"/>
          <w:highlight w:val="none"/>
        </w:rPr>
        <w:t xml:space="preserve"> </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810" w:rightChars="3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项目背景</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贯彻落实第三次中央新疆工作座谈会精神，深入推进文化润疆工程，山东日照市援疆指挥部联合麦盖提县库木库萨尔乡人民政府充分发挥文化在乡村振兴中的引领作用，通过文化熏陶、思想引导、典型带动等，有效激发群众内生动力，增强他们增收致富的信心，为巩固拓展脱贫攻坚成果同乡村振兴衔接注入精神力量。喀什的麦盖提县是知名的“刀郎文化之乡”，刀郎舞、刀郎麦西热甫、刀郎木卡姆、刀郎农民画、刀郎羊都是久负盛名，源远流长。为进一步发扬传承刀郎传统文化，让库木库萨尔乡刀郎文化走出新疆，让更多的人了解刀郎文化，结合目前刀郎文化发展现状制定本实施方案：</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一、项目概况</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（一）项目名称：麦盖提县库木库萨尔乡刀郎文化打造项目。</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工期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40天</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（三）项目总投资金额：400万元</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（四）项目建设单位：麦盖提县库木库萨尔乡人民政府</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二、建设内容</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（一）刀郎文化推广活动</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麦盖提县库木库萨尔乡举办刀郎农民画传承人评选活动，并举办刀郎农民画画展，对参展优秀作品进行采购，采购农民画200幅。活动前期宣传，调动广大农民画家积极性，提供或创作一批优质农民画，邀请评委对参赛作品进行评选，评选出库木库萨尔乡刀郎农民画传承人5名，并对传承人进行表彰，对优秀画作进行回购。整体活动达到提升本土农民画家创作水平，提高农民画家创作积极性，评选刀郎农民画传承人，保护我乡刀郎农民画非物质文化遗产。</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活动方案投标人可根据现场实际情况自行策划，并根据自己策划的方案编制预算;</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举办刀郎农民画画展暨库木库萨尔乡农副产品、手工艺品推介会。对优秀画及手工艺品、农副产品作进行展出，在画乡举办展览会，为期3天。宣传活动通过网红直播、广播、电视、网络等平台载体大力宣传报道；进一步推广刀郎农民画画展暨库木库萨尔乡农副产品、手工艺品宣传，增加知名度和美誉度。</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活动方案投标人可根据现场实际情况自行策划，并根据自己策划的方案编制预算;</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鼓励农民画家创作积极性，为当地农民画家采购一批颜料及布料（清单详见附件）；</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4、装裱一批农民画及山东日照捐赠国画，在画乡展览馆展出（清单详见附件）；</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（二）刀郎文化周边产品开发及推广</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1、开发设计一批具有纪念意义的刀郎文化周边旅游纪念品及文创产品；聘请高级设计团队设计10款刀郎画乡特色的文创产品。</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文创产品设计需求：</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内容：（1）展现刀郎文化元素；</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（2）旅游纪念品，涉及麦盖提县N39沙漠；</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思路：（1）整体设计元素统一；</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（2）以确定设计元素延展开发设计一系列产品；</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要求：（1）产品有吸引力、便携、物美价廉；</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（2）产品消费客户主要为全国各地游客；</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2、定做生产一批刀郎文化周边旅游纪念品及文创产品；</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针对以上设计产品，定制一批文创产品及旅游纪念品，用于在刀郎画乡文创产品展厅展出及销售。</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作为一项旅游业高附加值的产品，旅游纪念品及文创产品最核心的内涵应该是旅游地的形象名片，并有助于扩大该旅游品牌的影响力。</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（三）非遗文化刀郎木卡姆传承打造</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1、举办刀郎木卡姆文化艺术节；</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举办库木库萨尔乡刀郎木卡姆文化艺术节，对我乡发现和培养文艺人才、活跃人民群众的精神文化生活、推动全乡的精神文明建设、构建和谐社会起到积极作用。以繁荣社会主义先进文化、构建和谐惠城为目标，搭建文艺展示与交流平台，弘扬民族优秀文化，展示画乡文艺精品，挖掘和培养文艺人才，打造具有刀郎画乡特色的群众文艺活动品牌，丰富人民群众的文化生活，不断满足人民群众日益增长的精神文化需求，促进全乡文化事业又好又快发展。 </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活动方案投标人可根据现场实际情况自行策划，并根据自己策划的方案编制预算;</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2、采购木卡姆演艺乐器一批（清单详见附件）；</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3、采购麦西来普舞蹈演艺服装一批（清单详见附件）；</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4、采购木卡姆演艺音响设备一套（清单详见附件）；</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（四）整体乡镇刀郎文化氛围打造</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1、街道文化整体打造，因地制宜，选择乡级主干道、节点打造美陈、雕塑、广告牌等，展现刀郎画乡文化；</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2、农民画墙绘网红打卡点打造： 在库木库萨尔乡选址，设计并制作农民画墙绘，整体策划，打造一处精品网红地点。  </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3、景区智能化平台升级打造，智慧平台网络专线升级；</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4、景区基础设施改造，采购地毯560平方米一批。</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三、预期达到的效果</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通过刀郎农民画传承人评选活动、刀郎农民画画展等相关活动，对麦盖提刀郎农民画进行宣传推广，增加知名度和美誉度，走出建设和树立平坡农民画品牌的第一步。对农民画的市场接受度进行直接市场调研，为下一步的发展决策提供参考，为农民画的经营找到一条可行的产业化道路。同时通过传承人评选，回购农民画等促进农民画家创作积极性。</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通过举办刀郎木卡姆文化艺术节，发现和培养本土文艺人才、活跃人民群众的精神文化生活、推动全区的精神文明建设、构建和谐社会起到了积极作用。打造具有刀郎画乡特色的群众文艺活动品牌，丰富人民群众的文化生活，不断满足人民群众日益增长的精神文化需求，促进全乡文化事业又好又快发展。 </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3、通过采购一批画材、乐器、音响、服装等用品，为我乡文化站以后开展文艺活动等奠定良好的基础，促进我乡文艺事业良好的发展。</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4、通过各类墙绘、景区设施改造等，将我乡打造成为网红打卡点。自媒体时代，人人都是信息传播者，网红打卡地的打造将吸引更多人来我乡旅游，并带动宣传。</w:t>
      </w:r>
    </w:p>
    <w:p>
      <w:pPr>
        <w:spacing w:before="0" w:line="316" w:lineRule="exact"/>
        <w:ind w:right="0"/>
        <w:jc w:val="left"/>
        <w:rPr>
          <w:rFonts w:hint="eastAsia" w:ascii="Microsoft JhengHei" w:eastAsia="Microsoft JhengHei"/>
          <w:b/>
          <w:sz w:val="24"/>
          <w:szCs w:val="24"/>
          <w:highlight w:val="none"/>
        </w:rPr>
      </w:pPr>
    </w:p>
    <w:p>
      <w:pPr>
        <w:numPr>
          <w:ilvl w:val="0"/>
          <w:numId w:val="29"/>
        </w:numPr>
        <w:spacing w:before="0" w:line="472" w:lineRule="exact"/>
        <w:ind w:left="818" w:right="0" w:firstLine="0"/>
        <w:jc w:val="left"/>
        <w:outlineLvl w:val="1"/>
        <w:rPr>
          <w:rFonts w:hint="eastAsia" w:ascii="Microsoft JhengHei" w:eastAsia="宋体"/>
          <w:b/>
          <w:sz w:val="24"/>
          <w:szCs w:val="24"/>
          <w:highlight w:val="none"/>
          <w:lang w:eastAsia="zh-CN"/>
        </w:rPr>
      </w:pPr>
      <w:bookmarkStart w:id="35" w:name="_Toc31944"/>
      <w:r>
        <w:rPr>
          <w:rFonts w:hint="eastAsia" w:ascii="Microsoft JhengHei" w:eastAsia="Microsoft JhengHei"/>
          <w:b/>
          <w:sz w:val="24"/>
          <w:szCs w:val="24"/>
          <w:highlight w:val="none"/>
        </w:rPr>
        <w:t>技术要求</w:t>
      </w:r>
      <w:r>
        <w:rPr>
          <w:rFonts w:hint="eastAsia" w:ascii="Microsoft JhengHei" w:eastAsia="宋体"/>
          <w:b/>
          <w:sz w:val="24"/>
          <w:szCs w:val="24"/>
          <w:highlight w:val="none"/>
          <w:lang w:eastAsia="zh-CN"/>
        </w:rPr>
        <w:t>：</w:t>
      </w:r>
      <w:bookmarkEnd w:id="35"/>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（一）服务工期：合同签订后40日内安装施工完成（具体按双方合同约定执行）</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（二）服务地点：麦盖提县库木库萨尔乡库木库萨尔村</w:t>
      </w:r>
      <w:bookmarkStart w:id="101" w:name="_GoBack"/>
      <w:bookmarkEnd w:id="101"/>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付款方式：签订合同后采购方预付中标金额的30%货款，货到后支付中标金额的40%，经采购单位组织联合验收小组验收合格且提供资料齐全后，验收合格后，采购方支付中标方剩余合同总价25%的货款。中标单位按招标单位要求依法开具销售发票剩余5%的履约保证金作为质保金，质保期满后无息退还。</w:t>
      </w:r>
    </w:p>
    <w:p>
      <w:pPr>
        <w:pStyle w:val="2"/>
        <w:ind w:left="0" w:leftChars="0" w:firstLine="0" w:firstLineChars="0"/>
        <w:jc w:val="left"/>
        <w:rPr>
          <w:rFonts w:hint="eastAsia"/>
          <w:b/>
          <w:bCs/>
          <w:sz w:val="24"/>
          <w:szCs w:val="32"/>
          <w:highlight w:val="none"/>
          <w:lang w:val="en-US" w:eastAsia="zh-CN"/>
        </w:rPr>
      </w:pPr>
      <w:r>
        <w:rPr>
          <w:rFonts w:hint="eastAsia"/>
          <w:b/>
          <w:bCs/>
          <w:sz w:val="24"/>
          <w:szCs w:val="32"/>
          <w:highlight w:val="none"/>
          <w:lang w:val="en-US" w:eastAsia="zh-CN"/>
        </w:rPr>
        <w:t>附件</w:t>
      </w:r>
    </w:p>
    <w:tbl>
      <w:tblPr>
        <w:tblStyle w:val="16"/>
        <w:tblpPr w:leftFromText="180" w:rightFromText="180" w:vertAnchor="text" w:horzAnchor="page" w:tblpX="1894" w:tblpY="216"/>
        <w:tblOverlap w:val="never"/>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0"/>
        <w:gridCol w:w="1410"/>
        <w:gridCol w:w="2820"/>
        <w:gridCol w:w="14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2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规格型号</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采购颜料及耗材一批</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卷装画布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60*80画框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40*60画框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20*30画框</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移动画架</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6支装排笔</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勾线笔大中小</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6支装扇形笔</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调色板</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铅笔12支装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500ml丙烯颜料24色</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采购绘画装裱</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农民画</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国画</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采购木卡姆演艺乐器一批；</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手鼓</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纳格拉鼓</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卡龙琴</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都塔尔</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艾捷克</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热瓦普</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唢呐</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采购麦西来普舞蹈演艺服装一批</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男款演出服</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女款演出服</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采购木卡姆演艺音响设备一套；</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流动演出音响系统：15寸专业音响；功率放大器；数字音频处理器；模拟调音台；话筒；机柜；航空箱；航空插头；音频线等。</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bl>
    <w:p>
      <w:pPr>
        <w:rPr>
          <w:rFonts w:hint="default"/>
          <w:highlight w:val="none"/>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660" w:leftChars="300" w:right="1250" w:rightChars="568" w:firstLine="480" w:firstLineChars="200"/>
        <w:textAlignment w:val="auto"/>
        <w:rPr>
          <w:rFonts w:hint="eastAsia" w:ascii="宋体" w:hAnsi="宋体" w:eastAsia="宋体" w:cs="宋体"/>
          <w:sz w:val="24"/>
          <w:szCs w:val="24"/>
          <w:highlight w:val="none"/>
        </w:rPr>
      </w:pPr>
    </w:p>
    <w:p>
      <w:pPr>
        <w:pStyle w:val="2"/>
        <w:numPr>
          <w:ilvl w:val="0"/>
          <w:numId w:val="0"/>
        </w:numPr>
        <w:ind w:leftChars="200" w:right="0" w:rightChars="0"/>
        <w:rPr>
          <w:rFonts w:hint="eastAsia"/>
          <w:lang w:eastAsia="zh-CN"/>
        </w:rPr>
      </w:pPr>
    </w:p>
    <w:p>
      <w:pPr>
        <w:spacing w:before="0" w:line="472" w:lineRule="exact"/>
        <w:ind w:left="818" w:right="0" w:firstLine="0"/>
        <w:jc w:val="left"/>
        <w:rPr>
          <w:rFonts w:hint="eastAsia" w:ascii="Microsoft JhengHei" w:eastAsia="宋体"/>
          <w:b/>
          <w:sz w:val="28"/>
          <w:highlight w:val="none"/>
          <w:lang w:eastAsia="zh-CN"/>
        </w:rPr>
      </w:pPr>
    </w:p>
    <w:p>
      <w:pPr>
        <w:pStyle w:val="2"/>
        <w:rPr>
          <w:rFonts w:hint="eastAsia" w:ascii="Microsoft JhengHei" w:eastAsia="宋体"/>
          <w:b/>
          <w:sz w:val="28"/>
          <w:highlight w:val="none"/>
          <w:lang w:eastAsia="zh-CN"/>
        </w:rPr>
      </w:pPr>
    </w:p>
    <w:p>
      <w:pPr>
        <w:rPr>
          <w:rFonts w:hint="eastAsia" w:ascii="Microsoft JhengHei" w:eastAsia="宋体"/>
          <w:b/>
          <w:sz w:val="28"/>
          <w:highlight w:val="none"/>
          <w:lang w:eastAsia="zh-CN"/>
        </w:rPr>
      </w:pPr>
    </w:p>
    <w:p>
      <w:pPr>
        <w:pStyle w:val="2"/>
        <w:rPr>
          <w:rFonts w:hint="eastAsia" w:ascii="Microsoft JhengHei" w:eastAsia="宋体"/>
          <w:b/>
          <w:sz w:val="28"/>
          <w:highlight w:val="none"/>
          <w:lang w:eastAsia="zh-CN"/>
        </w:rPr>
      </w:pPr>
    </w:p>
    <w:p>
      <w:pPr>
        <w:rPr>
          <w:rFonts w:hint="eastAsia" w:ascii="Microsoft JhengHei" w:eastAsia="宋体"/>
          <w:b/>
          <w:sz w:val="28"/>
          <w:highlight w:val="none"/>
          <w:lang w:eastAsia="zh-CN"/>
        </w:rPr>
      </w:pPr>
    </w:p>
    <w:p>
      <w:pPr>
        <w:pStyle w:val="2"/>
        <w:rPr>
          <w:rFonts w:hint="eastAsia" w:ascii="Microsoft JhengHei" w:eastAsia="宋体"/>
          <w:b/>
          <w:sz w:val="28"/>
          <w:highlight w:val="none"/>
          <w:lang w:eastAsia="zh-CN"/>
        </w:rPr>
      </w:pPr>
    </w:p>
    <w:p>
      <w:pPr>
        <w:rPr>
          <w:rFonts w:hint="eastAsia" w:ascii="Microsoft JhengHei" w:eastAsia="宋体"/>
          <w:b/>
          <w:sz w:val="28"/>
          <w:highlight w:val="none"/>
          <w:lang w:eastAsia="zh-CN"/>
        </w:rPr>
      </w:pPr>
    </w:p>
    <w:p>
      <w:pPr>
        <w:pStyle w:val="2"/>
        <w:rPr>
          <w:rFonts w:hint="eastAsia" w:ascii="Microsoft JhengHei" w:eastAsia="宋体"/>
          <w:b/>
          <w:sz w:val="28"/>
          <w:highlight w:val="none"/>
          <w:lang w:eastAsia="zh-CN"/>
        </w:rPr>
      </w:pPr>
    </w:p>
    <w:p>
      <w:pPr>
        <w:rPr>
          <w:rFonts w:hint="eastAsia" w:ascii="Microsoft JhengHei" w:eastAsia="宋体"/>
          <w:b/>
          <w:sz w:val="28"/>
          <w:highlight w:val="none"/>
          <w:lang w:eastAsia="zh-CN"/>
        </w:rPr>
      </w:pPr>
    </w:p>
    <w:p>
      <w:pPr>
        <w:pStyle w:val="2"/>
        <w:rPr>
          <w:rFonts w:hint="eastAsia" w:ascii="Microsoft JhengHei" w:eastAsia="宋体"/>
          <w:b/>
          <w:sz w:val="28"/>
          <w:highlight w:val="none"/>
          <w:lang w:eastAsia="zh-CN"/>
        </w:rPr>
      </w:pPr>
    </w:p>
    <w:p>
      <w:pPr>
        <w:rPr>
          <w:rFonts w:hint="eastAsia" w:ascii="Microsoft JhengHei" w:eastAsia="宋体"/>
          <w:b/>
          <w:sz w:val="28"/>
          <w:highlight w:val="none"/>
          <w:lang w:eastAsia="zh-CN"/>
        </w:rPr>
      </w:pPr>
    </w:p>
    <w:p>
      <w:pPr>
        <w:pStyle w:val="2"/>
        <w:rPr>
          <w:rFonts w:hint="eastAsia" w:ascii="Microsoft JhengHei" w:eastAsia="宋体"/>
          <w:b/>
          <w:sz w:val="28"/>
          <w:highlight w:val="none"/>
          <w:lang w:eastAsia="zh-CN"/>
        </w:rPr>
      </w:pPr>
    </w:p>
    <w:p>
      <w:pPr>
        <w:rPr>
          <w:rFonts w:hint="eastAsia" w:ascii="Microsoft JhengHei" w:eastAsia="宋体"/>
          <w:b/>
          <w:sz w:val="28"/>
          <w:highlight w:val="none"/>
          <w:lang w:eastAsia="zh-CN"/>
        </w:rPr>
      </w:pPr>
    </w:p>
    <w:p>
      <w:pPr>
        <w:pStyle w:val="2"/>
        <w:rPr>
          <w:rFonts w:hint="eastAsia" w:ascii="Microsoft JhengHei" w:eastAsia="宋体"/>
          <w:b/>
          <w:sz w:val="28"/>
          <w:highlight w:val="none"/>
          <w:lang w:eastAsia="zh-CN"/>
        </w:rPr>
      </w:pPr>
    </w:p>
    <w:p>
      <w:pPr>
        <w:rPr>
          <w:rFonts w:hint="eastAsia" w:ascii="Microsoft JhengHei" w:eastAsia="宋体"/>
          <w:b/>
          <w:sz w:val="28"/>
          <w:highlight w:val="none"/>
          <w:lang w:eastAsia="zh-CN"/>
        </w:rPr>
      </w:pPr>
    </w:p>
    <w:p>
      <w:pPr>
        <w:pStyle w:val="2"/>
        <w:rPr>
          <w:rFonts w:hint="eastAsia" w:ascii="Microsoft JhengHei" w:eastAsia="宋体"/>
          <w:b/>
          <w:sz w:val="28"/>
          <w:highlight w:val="none"/>
          <w:lang w:eastAsia="zh-CN"/>
        </w:rPr>
      </w:pPr>
    </w:p>
    <w:p>
      <w:pPr>
        <w:rPr>
          <w:rFonts w:hint="eastAsia" w:ascii="Microsoft JhengHei" w:eastAsia="宋体"/>
          <w:b/>
          <w:sz w:val="28"/>
          <w:highlight w:val="none"/>
          <w:lang w:eastAsia="zh-CN"/>
        </w:rPr>
      </w:pPr>
    </w:p>
    <w:p>
      <w:pPr>
        <w:pStyle w:val="2"/>
        <w:rPr>
          <w:rFonts w:hint="eastAsia" w:ascii="Microsoft JhengHei" w:eastAsia="宋体"/>
          <w:b/>
          <w:sz w:val="28"/>
          <w:highlight w:val="none"/>
          <w:lang w:eastAsia="zh-CN"/>
        </w:rPr>
      </w:pPr>
    </w:p>
    <w:p>
      <w:pPr>
        <w:rPr>
          <w:rFonts w:hint="eastAsia" w:ascii="Microsoft JhengHei" w:eastAsia="宋体"/>
          <w:b/>
          <w:sz w:val="28"/>
          <w:highlight w:val="none"/>
          <w:lang w:eastAsia="zh-CN"/>
        </w:rPr>
      </w:pPr>
    </w:p>
    <w:p>
      <w:pPr>
        <w:pStyle w:val="2"/>
        <w:rPr>
          <w:rFonts w:hint="eastAsia" w:ascii="Microsoft JhengHei" w:eastAsia="宋体"/>
          <w:b/>
          <w:sz w:val="28"/>
          <w:highlight w:val="none"/>
          <w:lang w:eastAsia="zh-CN"/>
        </w:rPr>
      </w:pPr>
    </w:p>
    <w:p>
      <w:pPr>
        <w:rPr>
          <w:rFonts w:hint="eastAsia" w:ascii="Microsoft JhengHei" w:eastAsia="宋体"/>
          <w:b/>
          <w:sz w:val="28"/>
          <w:highlight w:val="none"/>
          <w:lang w:eastAsia="zh-CN"/>
        </w:rPr>
      </w:pPr>
    </w:p>
    <w:p>
      <w:pPr>
        <w:ind w:firstLine="904" w:firstLineChars="400"/>
        <w:rPr>
          <w:rFonts w:hint="default" w:ascii="宋体" w:hAnsi="宋体" w:eastAsia="宋体" w:cs="宋体"/>
          <w:spacing w:val="-7"/>
          <w:sz w:val="24"/>
          <w:szCs w:val="24"/>
          <w:highlight w:val="none"/>
          <w:lang w:val="en-US" w:eastAsia="zh-CN" w:bidi="zh-CN"/>
        </w:rPr>
        <w:sectPr>
          <w:pgSz w:w="11910" w:h="16840"/>
          <w:pgMar w:top="1480" w:right="0" w:bottom="1180" w:left="980" w:header="0" w:footer="915" w:gutter="0"/>
          <w:cols w:space="720" w:num="1"/>
        </w:sectPr>
      </w:pPr>
    </w:p>
    <w:p>
      <w:pPr>
        <w:pStyle w:val="10"/>
        <w:ind w:left="0"/>
        <w:rPr>
          <w:sz w:val="20"/>
          <w:highlight w:val="none"/>
        </w:rPr>
      </w:pPr>
    </w:p>
    <w:p>
      <w:pPr>
        <w:pStyle w:val="4"/>
        <w:spacing w:before="100" w:line="240" w:lineRule="auto"/>
        <w:ind w:left="1991"/>
        <w:outlineLvl w:val="0"/>
        <w:rPr>
          <w:highlight w:val="none"/>
        </w:rPr>
      </w:pPr>
      <w:bookmarkStart w:id="36" w:name="第四部分   评审方法（综合评分法）"/>
      <w:bookmarkEnd w:id="36"/>
      <w:bookmarkStart w:id="37" w:name="_Toc31369"/>
      <w:r>
        <w:rPr>
          <w:highlight w:val="none"/>
        </w:rPr>
        <w:t>第四部分 评审方法（综合评分法）</w:t>
      </w:r>
      <w:bookmarkEnd w:id="37"/>
      <w:r>
        <w:rPr>
          <w:w w:val="200"/>
          <w:highlight w:val="none"/>
        </w:rPr>
        <w:t xml:space="preserve"> </w:t>
      </w:r>
    </w:p>
    <w:p>
      <w:pPr>
        <w:pStyle w:val="10"/>
        <w:spacing w:before="79" w:line="364" w:lineRule="auto"/>
        <w:ind w:right="1713" w:firstLine="479"/>
        <w:rPr>
          <w:highlight w:val="none"/>
        </w:rPr>
      </w:pPr>
      <w:r>
        <w:rPr>
          <w:highlight w:val="none"/>
        </w:rPr>
        <w:t xml:space="preserve">本项目评审方法见招标文件第二部分“投标人须知前附表”中第 21 项的规定。如果采用综合评分法，评分细则如下： </w:t>
      </w:r>
    </w:p>
    <w:p>
      <w:pPr>
        <w:pStyle w:val="10"/>
        <w:spacing w:before="3"/>
        <w:ind w:left="0"/>
        <w:rPr>
          <w:sz w:val="18"/>
          <w:highlight w:val="none"/>
        </w:rPr>
      </w:pPr>
    </w:p>
    <w:tbl>
      <w:tblPr>
        <w:tblStyle w:val="16"/>
        <w:tblW w:w="0" w:type="auto"/>
        <w:tblInd w:w="7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810"/>
        <w:gridCol w:w="5260"/>
        <w:gridCol w:w="996"/>
        <w:gridCol w:w="9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28" w:type="dxa"/>
            <w:gridSpan w:val="2"/>
            <w:vMerge w:val="restart"/>
          </w:tcPr>
          <w:p>
            <w:pPr>
              <w:pStyle w:val="21"/>
              <w:jc w:val="center"/>
              <w:rPr>
                <w:rFonts w:hint="eastAsia" w:ascii="Microsoft JhengHei" w:eastAsia="Microsoft JhengHei"/>
                <w:b/>
                <w:sz w:val="21"/>
                <w:highlight w:val="none"/>
              </w:rPr>
            </w:pPr>
            <w:r>
              <w:rPr>
                <w:rFonts w:hint="eastAsia" w:ascii="Microsoft JhengHei" w:eastAsia="Microsoft JhengHei"/>
                <w:b/>
                <w:sz w:val="21"/>
                <w:highlight w:val="none"/>
              </w:rPr>
              <w:t>评</w:t>
            </w:r>
            <w:r>
              <w:rPr>
                <w:rFonts w:hint="eastAsia" w:ascii="Microsoft JhengHei" w:eastAsia="Microsoft JhengHei"/>
                <w:b/>
                <w:sz w:val="21"/>
                <w:highlight w:val="none"/>
                <w:lang w:eastAsia="zh-CN"/>
              </w:rPr>
              <w:t>审</w:t>
            </w:r>
            <w:r>
              <w:rPr>
                <w:rFonts w:hint="eastAsia" w:ascii="Microsoft JhengHei" w:eastAsia="Microsoft JhengHei"/>
                <w:b/>
                <w:sz w:val="21"/>
                <w:highlight w:val="none"/>
              </w:rPr>
              <w:t>因素</w:t>
            </w:r>
          </w:p>
        </w:tc>
        <w:tc>
          <w:tcPr>
            <w:tcW w:w="5260" w:type="dxa"/>
            <w:vMerge w:val="restart"/>
          </w:tcPr>
          <w:p>
            <w:pPr>
              <w:pStyle w:val="21"/>
              <w:jc w:val="center"/>
              <w:rPr>
                <w:rFonts w:hint="eastAsia" w:ascii="Microsoft JhengHei" w:eastAsia="Microsoft JhengHei"/>
                <w:b/>
                <w:sz w:val="21"/>
                <w:highlight w:val="none"/>
              </w:rPr>
            </w:pPr>
            <w:r>
              <w:rPr>
                <w:rFonts w:hint="eastAsia" w:ascii="Microsoft JhengHei" w:eastAsia="Microsoft JhengHei"/>
                <w:b/>
                <w:sz w:val="21"/>
                <w:highlight w:val="none"/>
              </w:rPr>
              <w:t>评</w:t>
            </w:r>
            <w:r>
              <w:rPr>
                <w:rFonts w:hint="eastAsia" w:ascii="Microsoft JhengHei" w:eastAsia="Microsoft JhengHei"/>
                <w:b/>
                <w:sz w:val="21"/>
                <w:highlight w:val="none"/>
                <w:lang w:eastAsia="zh-CN"/>
              </w:rPr>
              <w:t>审内容</w:t>
            </w:r>
            <w:r>
              <w:rPr>
                <w:rFonts w:hint="eastAsia" w:ascii="Microsoft JhengHei" w:eastAsia="Microsoft JhengHei"/>
                <w:b/>
                <w:sz w:val="21"/>
                <w:highlight w:val="none"/>
              </w:rPr>
              <w:t xml:space="preserve"> </w:t>
            </w:r>
          </w:p>
        </w:tc>
        <w:tc>
          <w:tcPr>
            <w:tcW w:w="1990" w:type="dxa"/>
            <w:gridSpan w:val="2"/>
          </w:tcPr>
          <w:p>
            <w:pPr>
              <w:pStyle w:val="21"/>
              <w:jc w:val="center"/>
              <w:rPr>
                <w:rFonts w:hint="eastAsia" w:ascii="Microsoft JhengHei" w:eastAsia="Microsoft JhengHei"/>
                <w:b/>
                <w:sz w:val="21"/>
                <w:highlight w:val="none"/>
              </w:rPr>
            </w:pPr>
            <w:r>
              <w:rPr>
                <w:rFonts w:hint="eastAsia" w:ascii="Microsoft JhengHei" w:eastAsia="Microsoft JhengHei"/>
                <w:b/>
                <w:sz w:val="21"/>
                <w:highlight w:val="no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28" w:type="dxa"/>
            <w:gridSpan w:val="2"/>
            <w:vMerge w:val="continue"/>
            <w:tcBorders>
              <w:top w:val="nil"/>
            </w:tcBorders>
          </w:tcPr>
          <w:p>
            <w:pPr>
              <w:pStyle w:val="21"/>
              <w:jc w:val="center"/>
              <w:rPr>
                <w:rFonts w:hint="eastAsia" w:ascii="Microsoft JhengHei" w:eastAsia="Microsoft JhengHei"/>
                <w:b/>
                <w:sz w:val="21"/>
                <w:highlight w:val="none"/>
              </w:rPr>
            </w:pPr>
          </w:p>
        </w:tc>
        <w:tc>
          <w:tcPr>
            <w:tcW w:w="5260" w:type="dxa"/>
            <w:vMerge w:val="continue"/>
            <w:tcBorders>
              <w:top w:val="nil"/>
            </w:tcBorders>
          </w:tcPr>
          <w:p>
            <w:pPr>
              <w:pStyle w:val="21"/>
              <w:jc w:val="center"/>
              <w:rPr>
                <w:rFonts w:hint="eastAsia" w:ascii="Microsoft JhengHei" w:eastAsia="Microsoft JhengHei"/>
                <w:b/>
                <w:sz w:val="21"/>
                <w:highlight w:val="none"/>
              </w:rPr>
            </w:pPr>
          </w:p>
        </w:tc>
        <w:tc>
          <w:tcPr>
            <w:tcW w:w="996" w:type="dxa"/>
          </w:tcPr>
          <w:p>
            <w:pPr>
              <w:pStyle w:val="21"/>
              <w:jc w:val="center"/>
              <w:rPr>
                <w:rFonts w:hint="eastAsia" w:ascii="Microsoft JhengHei" w:eastAsia="Microsoft JhengHei"/>
                <w:b/>
                <w:sz w:val="21"/>
                <w:highlight w:val="none"/>
              </w:rPr>
            </w:pPr>
            <w:r>
              <w:rPr>
                <w:rFonts w:hint="eastAsia" w:ascii="Microsoft JhengHei" w:eastAsia="Microsoft JhengHei"/>
                <w:b/>
                <w:sz w:val="21"/>
                <w:highlight w:val="none"/>
              </w:rPr>
              <w:t>是</w:t>
            </w:r>
          </w:p>
        </w:tc>
        <w:tc>
          <w:tcPr>
            <w:tcW w:w="994" w:type="dxa"/>
          </w:tcPr>
          <w:p>
            <w:pPr>
              <w:pStyle w:val="21"/>
              <w:jc w:val="center"/>
              <w:rPr>
                <w:rFonts w:hint="eastAsia" w:ascii="Microsoft JhengHei" w:eastAsia="Microsoft JhengHei"/>
                <w:b/>
                <w:sz w:val="21"/>
                <w:highlight w:val="none"/>
              </w:rPr>
            </w:pPr>
            <w:r>
              <w:rPr>
                <w:rFonts w:hint="eastAsia" w:ascii="Microsoft JhengHei" w:eastAsia="Microsoft JhengHei"/>
                <w:b/>
                <w:sz w:val="21"/>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18" w:type="dxa"/>
            <w:vMerge w:val="restart"/>
          </w:tcPr>
          <w:p>
            <w:pPr>
              <w:pStyle w:val="21"/>
              <w:rPr>
                <w:sz w:val="21"/>
                <w:highlight w:val="none"/>
              </w:rPr>
            </w:pPr>
            <w:r>
              <w:rPr>
                <w:sz w:val="21"/>
                <w:highlight w:val="none"/>
              </w:rPr>
              <w:t>初步评审</w:t>
            </w:r>
          </w:p>
        </w:tc>
        <w:tc>
          <w:tcPr>
            <w:tcW w:w="810" w:type="dxa"/>
            <w:vMerge w:val="restart"/>
          </w:tcPr>
          <w:p>
            <w:pPr>
              <w:pStyle w:val="21"/>
              <w:rPr>
                <w:sz w:val="21"/>
                <w:highlight w:val="none"/>
              </w:rPr>
            </w:pPr>
            <w:r>
              <w:rPr>
                <w:sz w:val="21"/>
                <w:highlight w:val="none"/>
              </w:rPr>
              <w:t xml:space="preserve">资格检查 </w:t>
            </w:r>
          </w:p>
        </w:tc>
        <w:tc>
          <w:tcPr>
            <w:tcW w:w="5260" w:type="dxa"/>
          </w:tcPr>
          <w:p>
            <w:pPr>
              <w:pStyle w:val="21"/>
              <w:spacing w:before="132" w:line="278" w:lineRule="auto"/>
              <w:ind w:right="136"/>
              <w:rPr>
                <w:sz w:val="21"/>
                <w:highlight w:val="none"/>
              </w:rPr>
            </w:pPr>
            <w:r>
              <w:rPr>
                <w:sz w:val="21"/>
                <w:highlight w:val="none"/>
              </w:rPr>
              <w:t xml:space="preserve">营业执照及法定代表人证明或法定代表人授权委托书原件 </w:t>
            </w:r>
          </w:p>
        </w:tc>
        <w:tc>
          <w:tcPr>
            <w:tcW w:w="996" w:type="dxa"/>
          </w:tcPr>
          <w:p>
            <w:pPr>
              <w:pStyle w:val="21"/>
              <w:ind w:left="112"/>
              <w:jc w:val="center"/>
              <w:rPr>
                <w:sz w:val="21"/>
                <w:highlight w:val="none"/>
              </w:rPr>
            </w:pPr>
          </w:p>
        </w:tc>
        <w:tc>
          <w:tcPr>
            <w:tcW w:w="994" w:type="dxa"/>
          </w:tcPr>
          <w:p>
            <w:pPr>
              <w:pStyle w:val="21"/>
              <w:ind w:left="111"/>
              <w:jc w:val="center"/>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18" w:type="dxa"/>
            <w:vMerge w:val="continue"/>
            <w:tcBorders>
              <w:top w:val="nil"/>
            </w:tcBorders>
          </w:tcPr>
          <w:p>
            <w:pPr>
              <w:rPr>
                <w:sz w:val="2"/>
                <w:szCs w:val="2"/>
                <w:highlight w:val="none"/>
              </w:rPr>
            </w:pPr>
          </w:p>
        </w:tc>
        <w:tc>
          <w:tcPr>
            <w:tcW w:w="810" w:type="dxa"/>
            <w:vMerge w:val="continue"/>
            <w:tcBorders>
              <w:top w:val="nil"/>
            </w:tcBorders>
          </w:tcPr>
          <w:p>
            <w:pPr>
              <w:rPr>
                <w:sz w:val="2"/>
                <w:szCs w:val="2"/>
                <w:highlight w:val="none"/>
              </w:rPr>
            </w:pPr>
          </w:p>
        </w:tc>
        <w:tc>
          <w:tcPr>
            <w:tcW w:w="5260" w:type="dxa"/>
          </w:tcPr>
          <w:p>
            <w:pPr>
              <w:pStyle w:val="21"/>
              <w:spacing w:before="132" w:line="278" w:lineRule="auto"/>
              <w:ind w:right="136"/>
              <w:rPr>
                <w:sz w:val="21"/>
                <w:highlight w:val="none"/>
              </w:rPr>
            </w:pPr>
            <w:r>
              <w:rPr>
                <w:sz w:val="21"/>
                <w:highlight w:val="none"/>
              </w:rPr>
              <w:t xml:space="preserve">法定代表人或被授权委托人身份证原件 </w:t>
            </w:r>
          </w:p>
        </w:tc>
        <w:tc>
          <w:tcPr>
            <w:tcW w:w="996" w:type="dxa"/>
          </w:tcPr>
          <w:p>
            <w:pPr>
              <w:pStyle w:val="21"/>
              <w:ind w:left="112"/>
              <w:jc w:val="center"/>
              <w:rPr>
                <w:sz w:val="21"/>
                <w:highlight w:val="none"/>
              </w:rPr>
            </w:pPr>
          </w:p>
        </w:tc>
        <w:tc>
          <w:tcPr>
            <w:tcW w:w="994" w:type="dxa"/>
          </w:tcPr>
          <w:p>
            <w:pPr>
              <w:pStyle w:val="21"/>
              <w:ind w:left="111"/>
              <w:jc w:val="center"/>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18" w:type="dxa"/>
            <w:vMerge w:val="continue"/>
            <w:tcBorders>
              <w:top w:val="nil"/>
            </w:tcBorders>
          </w:tcPr>
          <w:p>
            <w:pPr>
              <w:rPr>
                <w:sz w:val="2"/>
                <w:szCs w:val="2"/>
                <w:highlight w:val="none"/>
              </w:rPr>
            </w:pPr>
          </w:p>
        </w:tc>
        <w:tc>
          <w:tcPr>
            <w:tcW w:w="810" w:type="dxa"/>
            <w:vMerge w:val="continue"/>
            <w:tcBorders>
              <w:top w:val="nil"/>
            </w:tcBorders>
          </w:tcPr>
          <w:p>
            <w:pPr>
              <w:rPr>
                <w:sz w:val="2"/>
                <w:szCs w:val="2"/>
                <w:highlight w:val="none"/>
              </w:rPr>
            </w:pPr>
          </w:p>
        </w:tc>
        <w:tc>
          <w:tcPr>
            <w:tcW w:w="5260" w:type="dxa"/>
          </w:tcPr>
          <w:p>
            <w:pPr>
              <w:pStyle w:val="21"/>
              <w:spacing w:before="132" w:line="278" w:lineRule="auto"/>
              <w:ind w:right="136"/>
              <w:rPr>
                <w:sz w:val="21"/>
                <w:highlight w:val="none"/>
              </w:rPr>
            </w:pPr>
            <w:r>
              <w:rPr>
                <w:sz w:val="21"/>
                <w:highlight w:val="none"/>
              </w:rPr>
              <w:t xml:space="preserve">具有履行合同所必需的设备和专业技术能力， 提供承诺函 </w:t>
            </w:r>
          </w:p>
        </w:tc>
        <w:tc>
          <w:tcPr>
            <w:tcW w:w="996" w:type="dxa"/>
          </w:tcPr>
          <w:p>
            <w:pPr>
              <w:pStyle w:val="21"/>
              <w:ind w:left="112"/>
              <w:jc w:val="center"/>
              <w:rPr>
                <w:sz w:val="21"/>
                <w:highlight w:val="none"/>
              </w:rPr>
            </w:pPr>
          </w:p>
        </w:tc>
        <w:tc>
          <w:tcPr>
            <w:tcW w:w="994" w:type="dxa"/>
          </w:tcPr>
          <w:p>
            <w:pPr>
              <w:pStyle w:val="21"/>
              <w:ind w:left="111"/>
              <w:jc w:val="center"/>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18" w:type="dxa"/>
            <w:vMerge w:val="continue"/>
            <w:tcBorders>
              <w:top w:val="nil"/>
            </w:tcBorders>
          </w:tcPr>
          <w:p>
            <w:pPr>
              <w:rPr>
                <w:sz w:val="2"/>
                <w:szCs w:val="2"/>
                <w:highlight w:val="none"/>
              </w:rPr>
            </w:pPr>
          </w:p>
        </w:tc>
        <w:tc>
          <w:tcPr>
            <w:tcW w:w="810" w:type="dxa"/>
            <w:vMerge w:val="continue"/>
            <w:tcBorders>
              <w:top w:val="nil"/>
            </w:tcBorders>
          </w:tcPr>
          <w:p>
            <w:pPr>
              <w:rPr>
                <w:sz w:val="2"/>
                <w:szCs w:val="2"/>
                <w:highlight w:val="none"/>
              </w:rPr>
            </w:pPr>
          </w:p>
        </w:tc>
        <w:tc>
          <w:tcPr>
            <w:tcW w:w="5260" w:type="dxa"/>
          </w:tcPr>
          <w:p>
            <w:pPr>
              <w:pStyle w:val="21"/>
              <w:spacing w:before="132" w:line="278" w:lineRule="auto"/>
              <w:ind w:right="136"/>
              <w:rPr>
                <w:sz w:val="21"/>
                <w:highlight w:val="none"/>
              </w:rPr>
            </w:pPr>
            <w:r>
              <w:rPr>
                <w:rFonts w:hint="eastAsia"/>
                <w:sz w:val="21"/>
                <w:highlight w:val="none"/>
              </w:rPr>
              <w:t>投标企业缴纳近三个月内（任意一个月）的社保证明原件</w:t>
            </w:r>
          </w:p>
        </w:tc>
        <w:tc>
          <w:tcPr>
            <w:tcW w:w="996" w:type="dxa"/>
          </w:tcPr>
          <w:p>
            <w:pPr>
              <w:pStyle w:val="21"/>
              <w:ind w:left="112"/>
              <w:jc w:val="center"/>
              <w:rPr>
                <w:sz w:val="21"/>
                <w:highlight w:val="none"/>
              </w:rPr>
            </w:pPr>
          </w:p>
        </w:tc>
        <w:tc>
          <w:tcPr>
            <w:tcW w:w="994" w:type="dxa"/>
          </w:tcPr>
          <w:p>
            <w:pPr>
              <w:pStyle w:val="21"/>
              <w:ind w:left="111"/>
              <w:jc w:val="center"/>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18" w:type="dxa"/>
            <w:vMerge w:val="continue"/>
            <w:tcBorders>
              <w:top w:val="nil"/>
              <w:bottom w:val="nil"/>
            </w:tcBorders>
          </w:tcPr>
          <w:p>
            <w:pPr>
              <w:rPr>
                <w:sz w:val="2"/>
                <w:szCs w:val="2"/>
                <w:highlight w:val="none"/>
              </w:rPr>
            </w:pPr>
          </w:p>
        </w:tc>
        <w:tc>
          <w:tcPr>
            <w:tcW w:w="810" w:type="dxa"/>
            <w:vMerge w:val="continue"/>
            <w:tcBorders>
              <w:top w:val="nil"/>
              <w:bottom w:val="nil"/>
            </w:tcBorders>
          </w:tcPr>
          <w:p>
            <w:pPr>
              <w:rPr>
                <w:sz w:val="2"/>
                <w:szCs w:val="2"/>
                <w:highlight w:val="none"/>
              </w:rPr>
            </w:pPr>
          </w:p>
        </w:tc>
        <w:tc>
          <w:tcPr>
            <w:tcW w:w="5260" w:type="dxa"/>
          </w:tcPr>
          <w:p>
            <w:pPr>
              <w:pStyle w:val="21"/>
              <w:spacing w:before="132" w:line="278" w:lineRule="auto"/>
              <w:ind w:right="136"/>
              <w:rPr>
                <w:sz w:val="21"/>
                <w:highlight w:val="none"/>
              </w:rPr>
            </w:pPr>
            <w:r>
              <w:rPr>
                <w:rFonts w:hint="eastAsia"/>
                <w:sz w:val="21"/>
                <w:highlight w:val="none"/>
              </w:rPr>
              <w:t xml:space="preserve">投标企业三个月内（任意一个月）依法缴纳税收的证明原件（税务部门出具的完税凭证或缴税证明或银行出具的“银行电子缴税付款凭证”） </w:t>
            </w:r>
          </w:p>
        </w:tc>
        <w:tc>
          <w:tcPr>
            <w:tcW w:w="996" w:type="dxa"/>
          </w:tcPr>
          <w:p>
            <w:pPr>
              <w:pStyle w:val="21"/>
              <w:spacing w:before="123"/>
              <w:ind w:left="112"/>
              <w:jc w:val="center"/>
              <w:rPr>
                <w:sz w:val="21"/>
                <w:highlight w:val="none"/>
              </w:rPr>
            </w:pPr>
          </w:p>
        </w:tc>
        <w:tc>
          <w:tcPr>
            <w:tcW w:w="994" w:type="dxa"/>
          </w:tcPr>
          <w:p>
            <w:pPr>
              <w:pStyle w:val="21"/>
              <w:spacing w:before="123"/>
              <w:ind w:left="111"/>
              <w:jc w:val="center"/>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18" w:type="dxa"/>
            <w:tcBorders>
              <w:top w:val="nil"/>
              <w:bottom w:val="nil"/>
            </w:tcBorders>
          </w:tcPr>
          <w:p>
            <w:pPr>
              <w:rPr>
                <w:sz w:val="2"/>
                <w:szCs w:val="2"/>
                <w:highlight w:val="none"/>
              </w:rPr>
            </w:pPr>
          </w:p>
        </w:tc>
        <w:tc>
          <w:tcPr>
            <w:tcW w:w="810" w:type="dxa"/>
            <w:tcBorders>
              <w:top w:val="nil"/>
              <w:bottom w:val="nil"/>
            </w:tcBorders>
          </w:tcPr>
          <w:p>
            <w:pPr>
              <w:rPr>
                <w:sz w:val="2"/>
                <w:szCs w:val="2"/>
                <w:highlight w:val="none"/>
              </w:rPr>
            </w:pPr>
          </w:p>
        </w:tc>
        <w:tc>
          <w:tcPr>
            <w:tcW w:w="5260" w:type="dxa"/>
            <w:vAlign w:val="top"/>
          </w:tcPr>
          <w:p>
            <w:pPr>
              <w:pStyle w:val="21"/>
              <w:spacing w:before="132" w:line="278" w:lineRule="auto"/>
              <w:ind w:right="136"/>
              <w:rPr>
                <w:rFonts w:hint="eastAsia"/>
                <w:sz w:val="21"/>
                <w:highlight w:val="none"/>
                <w:lang w:val="zh-CN" w:eastAsia="zh-CN"/>
              </w:rPr>
            </w:pPr>
            <w:r>
              <w:rPr>
                <w:rFonts w:hint="eastAsia"/>
                <w:sz w:val="21"/>
                <w:highlight w:val="none"/>
              </w:rPr>
              <w:t>会计师事务所出具的2020年的年度财务审计报告书原件；新办企业提供银行资信证明。</w:t>
            </w:r>
          </w:p>
        </w:tc>
        <w:tc>
          <w:tcPr>
            <w:tcW w:w="996" w:type="dxa"/>
          </w:tcPr>
          <w:p>
            <w:pPr>
              <w:pStyle w:val="21"/>
              <w:spacing w:before="123"/>
              <w:ind w:left="112"/>
              <w:jc w:val="center"/>
              <w:rPr>
                <w:sz w:val="21"/>
                <w:highlight w:val="none"/>
              </w:rPr>
            </w:pPr>
          </w:p>
        </w:tc>
        <w:tc>
          <w:tcPr>
            <w:tcW w:w="994" w:type="dxa"/>
          </w:tcPr>
          <w:p>
            <w:pPr>
              <w:pStyle w:val="21"/>
              <w:spacing w:before="123"/>
              <w:ind w:left="111"/>
              <w:jc w:val="center"/>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trPr>
        <w:tc>
          <w:tcPr>
            <w:tcW w:w="818" w:type="dxa"/>
            <w:tcBorders>
              <w:top w:val="nil"/>
              <w:bottom w:val="nil"/>
            </w:tcBorders>
          </w:tcPr>
          <w:p>
            <w:pPr>
              <w:rPr>
                <w:sz w:val="2"/>
                <w:szCs w:val="2"/>
                <w:highlight w:val="none"/>
              </w:rPr>
            </w:pPr>
          </w:p>
        </w:tc>
        <w:tc>
          <w:tcPr>
            <w:tcW w:w="810" w:type="dxa"/>
            <w:tcBorders>
              <w:top w:val="nil"/>
              <w:bottom w:val="nil"/>
            </w:tcBorders>
          </w:tcPr>
          <w:p>
            <w:pPr>
              <w:rPr>
                <w:sz w:val="2"/>
                <w:szCs w:val="2"/>
                <w:highlight w:val="none"/>
              </w:rPr>
            </w:pPr>
          </w:p>
        </w:tc>
        <w:tc>
          <w:tcPr>
            <w:tcW w:w="5260" w:type="dxa"/>
            <w:vAlign w:val="top"/>
          </w:tcPr>
          <w:p>
            <w:pPr>
              <w:pStyle w:val="21"/>
              <w:spacing w:before="132" w:line="278" w:lineRule="auto"/>
              <w:ind w:right="136"/>
              <w:rPr>
                <w:sz w:val="21"/>
                <w:highlight w:val="none"/>
                <w:lang w:val="zh-CN" w:eastAsia="zh-CN"/>
              </w:rPr>
            </w:pPr>
            <w:r>
              <w:rPr>
                <w:sz w:val="21"/>
                <w:highlight w:val="none"/>
              </w:rPr>
              <w:t>在“信用中国”网站（www.creditchina.gov.cn）被列入失信被执行人、重大税收违法案件当事人名单(搜索栏输入单位全称-点击总公司-网页打印页)、中国政府采购网（http://www.ccgp.gov.cn/search/cr/）严重违法 失信行为记录名单的（尚在处罚期内的），将拒绝其参加本次招标活动。</w:t>
            </w:r>
          </w:p>
        </w:tc>
        <w:tc>
          <w:tcPr>
            <w:tcW w:w="996" w:type="dxa"/>
          </w:tcPr>
          <w:p>
            <w:pPr>
              <w:pStyle w:val="21"/>
              <w:spacing w:before="123"/>
              <w:ind w:left="112"/>
              <w:jc w:val="center"/>
              <w:rPr>
                <w:sz w:val="21"/>
                <w:highlight w:val="none"/>
              </w:rPr>
            </w:pPr>
          </w:p>
        </w:tc>
        <w:tc>
          <w:tcPr>
            <w:tcW w:w="994" w:type="dxa"/>
          </w:tcPr>
          <w:p>
            <w:pPr>
              <w:pStyle w:val="21"/>
              <w:spacing w:before="123"/>
              <w:ind w:left="111"/>
              <w:jc w:val="center"/>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18" w:type="dxa"/>
            <w:vMerge w:val="restart"/>
            <w:tcBorders>
              <w:top w:val="single" w:color="auto" w:sz="4" w:space="0"/>
            </w:tcBorders>
          </w:tcPr>
          <w:p>
            <w:pPr>
              <w:pStyle w:val="21"/>
              <w:spacing w:before="132" w:line="278" w:lineRule="auto"/>
              <w:ind w:right="136"/>
              <w:rPr>
                <w:sz w:val="21"/>
                <w:highlight w:val="none"/>
              </w:rPr>
            </w:pPr>
          </w:p>
        </w:tc>
        <w:tc>
          <w:tcPr>
            <w:tcW w:w="810" w:type="dxa"/>
            <w:vMerge w:val="restart"/>
          </w:tcPr>
          <w:p>
            <w:pPr>
              <w:pStyle w:val="21"/>
              <w:spacing w:before="132" w:line="278" w:lineRule="auto"/>
              <w:ind w:right="136"/>
              <w:rPr>
                <w:sz w:val="21"/>
                <w:highlight w:val="none"/>
              </w:rPr>
            </w:pPr>
            <w:r>
              <w:rPr>
                <w:sz w:val="21"/>
                <w:highlight w:val="none"/>
              </w:rPr>
              <w:t xml:space="preserve">符合性检查 </w:t>
            </w:r>
          </w:p>
        </w:tc>
        <w:tc>
          <w:tcPr>
            <w:tcW w:w="5260" w:type="dxa"/>
            <w:vAlign w:val="center"/>
          </w:tcPr>
          <w:p>
            <w:pPr>
              <w:widowControl/>
              <w:ind w:left="0" w:leftChars="0" w:right="0" w:rightChars="0"/>
              <w:jc w:val="left"/>
              <w:textAlignment w:val="center"/>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投标单位投标报价未高于预算金额</w:t>
            </w:r>
          </w:p>
        </w:tc>
        <w:tc>
          <w:tcPr>
            <w:tcW w:w="996" w:type="dxa"/>
          </w:tcPr>
          <w:p>
            <w:pPr>
              <w:pStyle w:val="21"/>
              <w:spacing w:before="132" w:line="278" w:lineRule="auto"/>
              <w:ind w:right="136"/>
              <w:rPr>
                <w:sz w:val="21"/>
                <w:highlight w:val="none"/>
              </w:rPr>
            </w:pPr>
          </w:p>
        </w:tc>
        <w:tc>
          <w:tcPr>
            <w:tcW w:w="994" w:type="dxa"/>
          </w:tcPr>
          <w:p>
            <w:pPr>
              <w:pStyle w:val="21"/>
              <w:spacing w:before="132" w:line="278" w:lineRule="auto"/>
              <w:ind w:right="136"/>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18" w:type="dxa"/>
            <w:vMerge w:val="continue"/>
            <w:tcBorders>
              <w:top w:val="nil"/>
            </w:tcBorders>
          </w:tcPr>
          <w:p>
            <w:pPr>
              <w:pStyle w:val="21"/>
              <w:spacing w:before="132" w:line="278" w:lineRule="auto"/>
              <w:ind w:right="136"/>
              <w:rPr>
                <w:sz w:val="21"/>
                <w:highlight w:val="none"/>
              </w:rPr>
            </w:pPr>
          </w:p>
        </w:tc>
        <w:tc>
          <w:tcPr>
            <w:tcW w:w="810" w:type="dxa"/>
            <w:vMerge w:val="continue"/>
            <w:tcBorders>
              <w:top w:val="nil"/>
            </w:tcBorders>
          </w:tcPr>
          <w:p>
            <w:pPr>
              <w:pStyle w:val="21"/>
              <w:spacing w:before="132" w:line="278" w:lineRule="auto"/>
              <w:ind w:right="136"/>
              <w:rPr>
                <w:sz w:val="21"/>
                <w:highlight w:val="none"/>
              </w:rPr>
            </w:pPr>
          </w:p>
        </w:tc>
        <w:tc>
          <w:tcPr>
            <w:tcW w:w="5260" w:type="dxa"/>
            <w:vAlign w:val="center"/>
          </w:tcPr>
          <w:p>
            <w:pPr>
              <w:widowControl/>
              <w:ind w:left="0" w:leftChars="0" w:right="0" w:rightChars="0"/>
              <w:jc w:val="left"/>
              <w:textAlignment w:val="center"/>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评标委员会认为投标人的报价无明显低于其他通过符合性审查投标人的报价的，其报价合理。</w:t>
            </w:r>
          </w:p>
        </w:tc>
        <w:tc>
          <w:tcPr>
            <w:tcW w:w="996" w:type="dxa"/>
          </w:tcPr>
          <w:p>
            <w:pPr>
              <w:pStyle w:val="21"/>
              <w:spacing w:before="132" w:line="278" w:lineRule="auto"/>
              <w:ind w:right="136"/>
              <w:rPr>
                <w:sz w:val="21"/>
                <w:highlight w:val="none"/>
              </w:rPr>
            </w:pPr>
          </w:p>
        </w:tc>
        <w:tc>
          <w:tcPr>
            <w:tcW w:w="994" w:type="dxa"/>
          </w:tcPr>
          <w:p>
            <w:pPr>
              <w:pStyle w:val="21"/>
              <w:spacing w:before="132" w:line="278" w:lineRule="auto"/>
              <w:ind w:right="136"/>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8" w:type="dxa"/>
            <w:vMerge w:val="continue"/>
            <w:tcBorders>
              <w:top w:val="nil"/>
            </w:tcBorders>
          </w:tcPr>
          <w:p>
            <w:pPr>
              <w:pStyle w:val="21"/>
              <w:spacing w:before="132" w:line="278" w:lineRule="auto"/>
              <w:ind w:right="136"/>
              <w:rPr>
                <w:sz w:val="21"/>
                <w:highlight w:val="none"/>
              </w:rPr>
            </w:pPr>
          </w:p>
        </w:tc>
        <w:tc>
          <w:tcPr>
            <w:tcW w:w="810" w:type="dxa"/>
            <w:vMerge w:val="continue"/>
            <w:tcBorders>
              <w:top w:val="nil"/>
            </w:tcBorders>
          </w:tcPr>
          <w:p>
            <w:pPr>
              <w:pStyle w:val="21"/>
              <w:spacing w:before="132" w:line="278" w:lineRule="auto"/>
              <w:ind w:right="136"/>
              <w:rPr>
                <w:sz w:val="21"/>
                <w:highlight w:val="none"/>
              </w:rPr>
            </w:pPr>
          </w:p>
        </w:tc>
        <w:tc>
          <w:tcPr>
            <w:tcW w:w="5260" w:type="dxa"/>
            <w:vAlign w:val="center"/>
          </w:tcPr>
          <w:p>
            <w:pPr>
              <w:widowControl/>
              <w:ind w:left="0" w:leftChars="0" w:right="0" w:rightChars="0"/>
              <w:jc w:val="left"/>
              <w:textAlignment w:val="center"/>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投标人按招标文件规定提交投标文件份数，正本1份；副本</w:t>
            </w:r>
            <w:r>
              <w:rPr>
                <w:rFonts w:hint="eastAsia" w:ascii="宋体" w:hAnsi="宋体" w:eastAsia="宋体" w:cs="宋体"/>
                <w:sz w:val="21"/>
                <w:szCs w:val="22"/>
                <w:highlight w:val="none"/>
                <w:lang w:val="en-US" w:eastAsia="zh-CN" w:bidi="zh-CN"/>
              </w:rPr>
              <w:t>4</w:t>
            </w:r>
            <w:r>
              <w:rPr>
                <w:rFonts w:hint="eastAsia" w:ascii="宋体" w:hAnsi="宋体" w:eastAsia="宋体" w:cs="宋体"/>
                <w:sz w:val="21"/>
                <w:szCs w:val="22"/>
                <w:highlight w:val="none"/>
                <w:lang w:val="zh-CN" w:eastAsia="zh-CN" w:bidi="zh-CN"/>
              </w:rPr>
              <w:t>份；电子版1份。</w:t>
            </w:r>
          </w:p>
        </w:tc>
        <w:tc>
          <w:tcPr>
            <w:tcW w:w="996" w:type="dxa"/>
          </w:tcPr>
          <w:p>
            <w:pPr>
              <w:pStyle w:val="21"/>
              <w:spacing w:before="132" w:line="278" w:lineRule="auto"/>
              <w:ind w:right="136"/>
              <w:rPr>
                <w:sz w:val="21"/>
                <w:highlight w:val="none"/>
              </w:rPr>
            </w:pPr>
          </w:p>
        </w:tc>
        <w:tc>
          <w:tcPr>
            <w:tcW w:w="994" w:type="dxa"/>
          </w:tcPr>
          <w:p>
            <w:pPr>
              <w:pStyle w:val="21"/>
              <w:spacing w:before="132" w:line="278" w:lineRule="auto"/>
              <w:ind w:right="136"/>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818" w:type="dxa"/>
            <w:vMerge w:val="continue"/>
            <w:tcBorders>
              <w:top w:val="nil"/>
            </w:tcBorders>
          </w:tcPr>
          <w:p>
            <w:pPr>
              <w:pStyle w:val="21"/>
              <w:spacing w:before="132" w:line="278" w:lineRule="auto"/>
              <w:ind w:right="136"/>
              <w:rPr>
                <w:sz w:val="21"/>
                <w:highlight w:val="none"/>
              </w:rPr>
            </w:pPr>
          </w:p>
        </w:tc>
        <w:tc>
          <w:tcPr>
            <w:tcW w:w="810" w:type="dxa"/>
            <w:vMerge w:val="continue"/>
            <w:tcBorders>
              <w:top w:val="nil"/>
            </w:tcBorders>
          </w:tcPr>
          <w:p>
            <w:pPr>
              <w:pStyle w:val="21"/>
              <w:spacing w:before="132" w:line="278" w:lineRule="auto"/>
              <w:ind w:right="136"/>
              <w:rPr>
                <w:sz w:val="21"/>
                <w:highlight w:val="none"/>
              </w:rPr>
            </w:pPr>
          </w:p>
        </w:tc>
        <w:tc>
          <w:tcPr>
            <w:tcW w:w="5260" w:type="dxa"/>
            <w:vAlign w:val="center"/>
          </w:tcPr>
          <w:p>
            <w:pPr>
              <w:widowControl/>
              <w:ind w:left="0" w:leftChars="0" w:right="0" w:rightChars="0"/>
              <w:jc w:val="left"/>
              <w:textAlignment w:val="center"/>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投标文件按照招标文件签署盖章的，法定代表人或其授权代表签字（章）和加盖投标单位公章的（投标文件正本的印章和签字不能为复印件）</w:t>
            </w:r>
          </w:p>
        </w:tc>
        <w:tc>
          <w:tcPr>
            <w:tcW w:w="996" w:type="dxa"/>
          </w:tcPr>
          <w:p>
            <w:pPr>
              <w:pStyle w:val="21"/>
              <w:spacing w:before="132" w:line="278" w:lineRule="auto"/>
              <w:ind w:right="136"/>
              <w:rPr>
                <w:sz w:val="21"/>
                <w:highlight w:val="none"/>
              </w:rPr>
            </w:pPr>
          </w:p>
        </w:tc>
        <w:tc>
          <w:tcPr>
            <w:tcW w:w="994" w:type="dxa"/>
          </w:tcPr>
          <w:p>
            <w:pPr>
              <w:pStyle w:val="21"/>
              <w:spacing w:before="132" w:line="278" w:lineRule="auto"/>
              <w:ind w:right="136"/>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jc w:val="center"/>
        </w:trPr>
        <w:tc>
          <w:tcPr>
            <w:tcW w:w="818" w:type="dxa"/>
            <w:vMerge w:val="restart"/>
          </w:tcPr>
          <w:p>
            <w:pPr>
              <w:pStyle w:val="21"/>
              <w:spacing w:before="132" w:line="278" w:lineRule="auto"/>
              <w:ind w:right="136"/>
              <w:rPr>
                <w:sz w:val="21"/>
                <w:highlight w:val="none"/>
              </w:rPr>
            </w:pPr>
          </w:p>
        </w:tc>
        <w:tc>
          <w:tcPr>
            <w:tcW w:w="810" w:type="dxa"/>
            <w:vMerge w:val="restart"/>
          </w:tcPr>
          <w:p>
            <w:pPr>
              <w:pStyle w:val="21"/>
              <w:spacing w:before="132" w:line="278" w:lineRule="auto"/>
              <w:ind w:right="136"/>
              <w:rPr>
                <w:sz w:val="21"/>
                <w:highlight w:val="none"/>
              </w:rPr>
            </w:pPr>
          </w:p>
        </w:tc>
        <w:tc>
          <w:tcPr>
            <w:tcW w:w="5260" w:type="dxa"/>
            <w:vAlign w:val="center"/>
          </w:tcPr>
          <w:p>
            <w:pPr>
              <w:widowControl/>
              <w:ind w:left="0" w:leftChars="0" w:right="0" w:rightChars="0"/>
              <w:jc w:val="left"/>
              <w:textAlignment w:val="center"/>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投标文件载明的技术规格、技术标准、货物包装方式、检验标准和方法等，符合招标文件要求的；  </w:t>
            </w:r>
          </w:p>
        </w:tc>
        <w:tc>
          <w:tcPr>
            <w:tcW w:w="996" w:type="dxa"/>
          </w:tcPr>
          <w:p>
            <w:pPr>
              <w:pStyle w:val="21"/>
              <w:spacing w:before="132" w:line="278" w:lineRule="auto"/>
              <w:ind w:right="136"/>
              <w:rPr>
                <w:sz w:val="21"/>
                <w:highlight w:val="none"/>
              </w:rPr>
            </w:pPr>
          </w:p>
        </w:tc>
        <w:tc>
          <w:tcPr>
            <w:tcW w:w="994" w:type="dxa"/>
          </w:tcPr>
          <w:p>
            <w:pPr>
              <w:pStyle w:val="21"/>
              <w:spacing w:before="132" w:line="278" w:lineRule="auto"/>
              <w:ind w:right="136"/>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818" w:type="dxa"/>
            <w:vMerge w:val="continue"/>
            <w:tcBorders>
              <w:top w:val="nil"/>
            </w:tcBorders>
          </w:tcPr>
          <w:p>
            <w:pPr>
              <w:pStyle w:val="21"/>
              <w:spacing w:before="132" w:line="278" w:lineRule="auto"/>
              <w:ind w:right="136"/>
              <w:rPr>
                <w:sz w:val="21"/>
                <w:highlight w:val="none"/>
              </w:rPr>
            </w:pPr>
          </w:p>
        </w:tc>
        <w:tc>
          <w:tcPr>
            <w:tcW w:w="810" w:type="dxa"/>
            <w:vMerge w:val="continue"/>
            <w:tcBorders>
              <w:top w:val="nil"/>
            </w:tcBorders>
          </w:tcPr>
          <w:p>
            <w:pPr>
              <w:pStyle w:val="21"/>
              <w:spacing w:before="132" w:line="278" w:lineRule="auto"/>
              <w:ind w:right="136"/>
              <w:rPr>
                <w:sz w:val="21"/>
                <w:highlight w:val="none"/>
              </w:rPr>
            </w:pPr>
          </w:p>
        </w:tc>
        <w:tc>
          <w:tcPr>
            <w:tcW w:w="5260" w:type="dxa"/>
            <w:vAlign w:val="center"/>
          </w:tcPr>
          <w:p>
            <w:pPr>
              <w:widowControl/>
              <w:ind w:left="0" w:leftChars="0" w:right="0" w:rightChars="0"/>
              <w:jc w:val="left"/>
              <w:textAlignment w:val="center"/>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按招标文件规定的格式填写，内容全或关键字迹清晰、数量等齐全的。</w:t>
            </w:r>
          </w:p>
        </w:tc>
        <w:tc>
          <w:tcPr>
            <w:tcW w:w="996" w:type="dxa"/>
          </w:tcPr>
          <w:p>
            <w:pPr>
              <w:pStyle w:val="21"/>
              <w:spacing w:before="132" w:line="278" w:lineRule="auto"/>
              <w:ind w:right="136"/>
              <w:rPr>
                <w:sz w:val="21"/>
                <w:highlight w:val="none"/>
              </w:rPr>
            </w:pPr>
          </w:p>
        </w:tc>
        <w:tc>
          <w:tcPr>
            <w:tcW w:w="994" w:type="dxa"/>
          </w:tcPr>
          <w:p>
            <w:pPr>
              <w:pStyle w:val="21"/>
              <w:spacing w:before="132" w:line="278" w:lineRule="auto"/>
              <w:ind w:right="136"/>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818" w:type="dxa"/>
            <w:vMerge w:val="continue"/>
            <w:tcBorders>
              <w:top w:val="nil"/>
            </w:tcBorders>
          </w:tcPr>
          <w:p>
            <w:pPr>
              <w:pStyle w:val="21"/>
              <w:spacing w:before="132" w:line="278" w:lineRule="auto"/>
              <w:ind w:right="136"/>
              <w:rPr>
                <w:sz w:val="21"/>
                <w:highlight w:val="none"/>
              </w:rPr>
            </w:pPr>
          </w:p>
        </w:tc>
        <w:tc>
          <w:tcPr>
            <w:tcW w:w="810" w:type="dxa"/>
            <w:vMerge w:val="continue"/>
            <w:tcBorders>
              <w:top w:val="nil"/>
            </w:tcBorders>
          </w:tcPr>
          <w:p>
            <w:pPr>
              <w:pStyle w:val="21"/>
              <w:spacing w:before="132" w:line="278" w:lineRule="auto"/>
              <w:ind w:right="136"/>
              <w:rPr>
                <w:sz w:val="21"/>
                <w:highlight w:val="none"/>
              </w:rPr>
            </w:pPr>
          </w:p>
        </w:tc>
        <w:tc>
          <w:tcPr>
            <w:tcW w:w="5260" w:type="dxa"/>
            <w:vAlign w:val="center"/>
          </w:tcPr>
          <w:p>
            <w:pPr>
              <w:widowControl/>
              <w:ind w:left="0" w:leftChars="0" w:right="0" w:rightChars="0"/>
              <w:jc w:val="left"/>
              <w:textAlignment w:val="center"/>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评标委员会共同确定各投标人响应招标文件要求的</w:t>
            </w:r>
          </w:p>
        </w:tc>
        <w:tc>
          <w:tcPr>
            <w:tcW w:w="996" w:type="dxa"/>
          </w:tcPr>
          <w:p>
            <w:pPr>
              <w:pStyle w:val="21"/>
              <w:spacing w:before="132" w:line="278" w:lineRule="auto"/>
              <w:ind w:right="136"/>
              <w:rPr>
                <w:sz w:val="21"/>
                <w:highlight w:val="none"/>
              </w:rPr>
            </w:pPr>
          </w:p>
        </w:tc>
        <w:tc>
          <w:tcPr>
            <w:tcW w:w="994" w:type="dxa"/>
          </w:tcPr>
          <w:p>
            <w:pPr>
              <w:pStyle w:val="21"/>
              <w:spacing w:before="132" w:line="278" w:lineRule="auto"/>
              <w:ind w:right="136"/>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818" w:type="dxa"/>
            <w:vMerge w:val="continue"/>
            <w:tcBorders>
              <w:top w:val="nil"/>
            </w:tcBorders>
          </w:tcPr>
          <w:p>
            <w:pPr>
              <w:pStyle w:val="21"/>
              <w:spacing w:before="132" w:line="278" w:lineRule="auto"/>
              <w:ind w:right="136"/>
              <w:rPr>
                <w:sz w:val="21"/>
                <w:highlight w:val="none"/>
              </w:rPr>
            </w:pPr>
          </w:p>
        </w:tc>
        <w:tc>
          <w:tcPr>
            <w:tcW w:w="810" w:type="dxa"/>
            <w:vMerge w:val="continue"/>
            <w:tcBorders>
              <w:top w:val="nil"/>
            </w:tcBorders>
          </w:tcPr>
          <w:p>
            <w:pPr>
              <w:pStyle w:val="21"/>
              <w:spacing w:before="132" w:line="278" w:lineRule="auto"/>
              <w:ind w:right="136"/>
              <w:rPr>
                <w:sz w:val="21"/>
                <w:highlight w:val="none"/>
              </w:rPr>
            </w:pPr>
          </w:p>
        </w:tc>
        <w:tc>
          <w:tcPr>
            <w:tcW w:w="5260" w:type="dxa"/>
            <w:vAlign w:val="center"/>
          </w:tcPr>
          <w:p>
            <w:pPr>
              <w:widowControl/>
              <w:ind w:left="0" w:leftChars="0" w:right="0" w:rightChars="0"/>
              <w:jc w:val="left"/>
              <w:textAlignment w:val="center"/>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 xml:space="preserve">符合招标文件中规定的其他实质性要求； </w:t>
            </w:r>
          </w:p>
        </w:tc>
        <w:tc>
          <w:tcPr>
            <w:tcW w:w="996" w:type="dxa"/>
          </w:tcPr>
          <w:p>
            <w:pPr>
              <w:pStyle w:val="21"/>
              <w:spacing w:before="132" w:line="278" w:lineRule="auto"/>
              <w:ind w:right="136"/>
              <w:rPr>
                <w:sz w:val="21"/>
                <w:highlight w:val="none"/>
              </w:rPr>
            </w:pPr>
          </w:p>
        </w:tc>
        <w:tc>
          <w:tcPr>
            <w:tcW w:w="994" w:type="dxa"/>
          </w:tcPr>
          <w:p>
            <w:pPr>
              <w:pStyle w:val="21"/>
              <w:spacing w:before="132" w:line="278" w:lineRule="auto"/>
              <w:ind w:right="136"/>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18" w:type="dxa"/>
            <w:vMerge w:val="continue"/>
            <w:tcBorders>
              <w:top w:val="nil"/>
            </w:tcBorders>
          </w:tcPr>
          <w:p>
            <w:pPr>
              <w:pStyle w:val="21"/>
              <w:spacing w:before="132" w:line="278" w:lineRule="auto"/>
              <w:ind w:right="136"/>
              <w:rPr>
                <w:sz w:val="21"/>
                <w:highlight w:val="none"/>
              </w:rPr>
            </w:pPr>
          </w:p>
        </w:tc>
        <w:tc>
          <w:tcPr>
            <w:tcW w:w="810" w:type="dxa"/>
            <w:vMerge w:val="continue"/>
            <w:tcBorders>
              <w:top w:val="nil"/>
            </w:tcBorders>
          </w:tcPr>
          <w:p>
            <w:pPr>
              <w:pStyle w:val="21"/>
              <w:spacing w:before="132" w:line="278" w:lineRule="auto"/>
              <w:ind w:right="136"/>
              <w:rPr>
                <w:sz w:val="21"/>
                <w:highlight w:val="none"/>
              </w:rPr>
            </w:pPr>
          </w:p>
        </w:tc>
        <w:tc>
          <w:tcPr>
            <w:tcW w:w="5260" w:type="dxa"/>
            <w:vAlign w:val="center"/>
          </w:tcPr>
          <w:p>
            <w:pPr>
              <w:widowControl/>
              <w:ind w:left="0" w:leftChars="0" w:right="0" w:rightChars="0"/>
              <w:jc w:val="left"/>
              <w:textAlignment w:val="center"/>
              <w:rPr>
                <w:rFonts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投标人附有详细地址、联系人、电话标明的。</w:t>
            </w:r>
          </w:p>
        </w:tc>
        <w:tc>
          <w:tcPr>
            <w:tcW w:w="996" w:type="dxa"/>
          </w:tcPr>
          <w:p>
            <w:pPr>
              <w:pStyle w:val="21"/>
              <w:spacing w:before="132" w:line="278" w:lineRule="auto"/>
              <w:ind w:right="136"/>
              <w:rPr>
                <w:sz w:val="21"/>
                <w:highlight w:val="none"/>
              </w:rPr>
            </w:pPr>
          </w:p>
        </w:tc>
        <w:tc>
          <w:tcPr>
            <w:tcW w:w="994" w:type="dxa"/>
          </w:tcPr>
          <w:p>
            <w:pPr>
              <w:pStyle w:val="21"/>
              <w:spacing w:before="132" w:line="278" w:lineRule="auto"/>
              <w:ind w:right="136"/>
              <w:rPr>
                <w:sz w:val="21"/>
                <w:highlight w:val="none"/>
              </w:rPr>
            </w:pPr>
          </w:p>
        </w:tc>
      </w:tr>
    </w:tbl>
    <w:p>
      <w:pPr>
        <w:pStyle w:val="21"/>
        <w:spacing w:before="132" w:line="278" w:lineRule="auto"/>
        <w:ind w:right="136"/>
        <w:rPr>
          <w:sz w:val="21"/>
          <w:highlight w:val="none"/>
        </w:rPr>
      </w:pPr>
      <w:r>
        <w:rPr>
          <w:sz w:val="21"/>
          <w:highlight w:val="none"/>
        </w:rPr>
        <w:br w:type="page"/>
      </w:r>
    </w:p>
    <w:tbl>
      <w:tblPr>
        <w:tblStyle w:val="16"/>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510"/>
        <w:gridCol w:w="867"/>
        <w:gridCol w:w="6366"/>
        <w:gridCol w:w="10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 w:hRule="atLeast"/>
        </w:trPr>
        <w:tc>
          <w:tcPr>
            <w:tcW w:w="1053" w:type="dxa"/>
            <w:tcBorders>
              <w:bottom w:val="single" w:color="auto" w:sz="4" w:space="0"/>
            </w:tcBorders>
          </w:tcPr>
          <w:p>
            <w:pPr>
              <w:pStyle w:val="21"/>
              <w:keepNext w:val="0"/>
              <w:keepLines w:val="0"/>
              <w:pageBreakBefore w:val="0"/>
              <w:widowControl w:val="0"/>
              <w:kinsoku/>
              <w:wordWrap/>
              <w:overflowPunct/>
              <w:topLinePunct w:val="0"/>
              <w:autoSpaceDE w:val="0"/>
              <w:autoSpaceDN w:val="0"/>
              <w:bidi w:val="0"/>
              <w:adjustRightInd/>
              <w:snapToGrid/>
              <w:spacing w:before="54"/>
              <w:ind w:firstLine="0" w:firstLineChars="0"/>
              <w:textAlignment w:val="auto"/>
              <w:rPr>
                <w:sz w:val="21"/>
                <w:highlight w:val="none"/>
              </w:rPr>
            </w:pPr>
            <w:r>
              <w:rPr>
                <w:rFonts w:hint="eastAsia" w:ascii="Microsoft JhengHei" w:eastAsia="Microsoft JhengHei"/>
                <w:b/>
                <w:sz w:val="21"/>
                <w:highlight w:val="none"/>
              </w:rPr>
              <w:t>评分因素</w:t>
            </w:r>
          </w:p>
        </w:tc>
        <w:tc>
          <w:tcPr>
            <w:tcW w:w="1377" w:type="dxa"/>
            <w:gridSpan w:val="2"/>
            <w:tcBorders>
              <w:bottom w:val="single" w:color="auto" w:sz="4" w:space="0"/>
            </w:tcBorders>
          </w:tcPr>
          <w:p>
            <w:pPr>
              <w:pStyle w:val="21"/>
              <w:keepNext w:val="0"/>
              <w:keepLines w:val="0"/>
              <w:pageBreakBefore w:val="0"/>
              <w:widowControl w:val="0"/>
              <w:kinsoku/>
              <w:wordWrap/>
              <w:overflowPunct/>
              <w:topLinePunct w:val="0"/>
              <w:autoSpaceDE w:val="0"/>
              <w:autoSpaceDN w:val="0"/>
              <w:bidi w:val="0"/>
              <w:adjustRightInd/>
              <w:snapToGrid/>
              <w:spacing w:before="54"/>
              <w:ind w:left="190" w:right="79" w:firstLine="0" w:firstLineChars="0"/>
              <w:jc w:val="both"/>
              <w:textAlignment w:val="auto"/>
              <w:rPr>
                <w:rFonts w:hint="eastAsia" w:eastAsia="宋体"/>
                <w:sz w:val="21"/>
                <w:highlight w:val="none"/>
                <w:lang w:eastAsia="zh-CN"/>
              </w:rPr>
            </w:pPr>
            <w:r>
              <w:rPr>
                <w:rFonts w:hint="eastAsia" w:ascii="Microsoft JhengHei" w:eastAsia="Microsoft JhengHei"/>
                <w:b/>
                <w:sz w:val="21"/>
                <w:highlight w:val="none"/>
              </w:rPr>
              <w:t>评分</w:t>
            </w:r>
            <w:r>
              <w:rPr>
                <w:rFonts w:hint="eastAsia" w:ascii="Microsoft JhengHei" w:eastAsia="宋体"/>
                <w:b/>
                <w:sz w:val="21"/>
                <w:highlight w:val="none"/>
                <w:lang w:eastAsia="zh-CN"/>
              </w:rPr>
              <w:t>要点</w:t>
            </w:r>
          </w:p>
        </w:tc>
        <w:tc>
          <w:tcPr>
            <w:tcW w:w="6366" w:type="dxa"/>
            <w:tcBorders>
              <w:bottom w:val="single" w:color="auto" w:sz="4" w:space="0"/>
            </w:tcBorders>
          </w:tcPr>
          <w:p>
            <w:pPr>
              <w:pStyle w:val="21"/>
              <w:keepNext w:val="0"/>
              <w:keepLines w:val="0"/>
              <w:pageBreakBefore w:val="0"/>
              <w:widowControl w:val="0"/>
              <w:kinsoku/>
              <w:wordWrap/>
              <w:overflowPunct/>
              <w:topLinePunct w:val="0"/>
              <w:autoSpaceDE w:val="0"/>
              <w:autoSpaceDN w:val="0"/>
              <w:bidi w:val="0"/>
              <w:adjustRightInd/>
              <w:snapToGrid/>
              <w:spacing w:before="54"/>
              <w:ind w:left="147" w:right="36" w:firstLine="0" w:firstLineChars="0"/>
              <w:jc w:val="center"/>
              <w:textAlignment w:val="auto"/>
              <w:rPr>
                <w:sz w:val="21"/>
                <w:highlight w:val="none"/>
              </w:rPr>
            </w:pPr>
            <w:r>
              <w:rPr>
                <w:rFonts w:hint="eastAsia" w:ascii="Microsoft JhengHei" w:eastAsia="Microsoft JhengHei"/>
                <w:b/>
                <w:sz w:val="21"/>
                <w:highlight w:val="none"/>
              </w:rPr>
              <w:t>评分标准</w:t>
            </w:r>
          </w:p>
        </w:tc>
        <w:tc>
          <w:tcPr>
            <w:tcW w:w="1072" w:type="dxa"/>
            <w:tcBorders>
              <w:bottom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54"/>
              <w:jc w:val="center"/>
              <w:textAlignment w:val="auto"/>
              <w:rPr>
                <w:sz w:val="21"/>
                <w:highlight w:val="none"/>
              </w:rPr>
            </w:pPr>
            <w:r>
              <w:rPr>
                <w:rFonts w:hint="eastAsia" w:ascii="Microsoft JhengHei" w:eastAsia="Microsoft JhengHei"/>
                <w:b/>
                <w:sz w:val="21"/>
                <w:highlight w:val="none"/>
              </w:rPr>
              <w:t>权重分配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53" w:type="dxa"/>
            <w:tcBorders>
              <w:top w:val="single" w:color="auto" w:sz="4" w:space="0"/>
              <w:bottom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177"/>
              <w:jc w:val="both"/>
              <w:textAlignment w:val="auto"/>
              <w:rPr>
                <w:spacing w:val="-1"/>
                <w:sz w:val="21"/>
                <w:highlight w:val="none"/>
              </w:rPr>
            </w:pPr>
            <w:r>
              <w:rPr>
                <w:spacing w:val="-1"/>
                <w:sz w:val="21"/>
                <w:highlight w:val="none"/>
              </w:rPr>
              <w:t>价格评审</w:t>
            </w:r>
          </w:p>
          <w:p>
            <w:pPr>
              <w:pStyle w:val="21"/>
              <w:keepNext w:val="0"/>
              <w:keepLines w:val="0"/>
              <w:pageBreakBefore w:val="0"/>
              <w:widowControl w:val="0"/>
              <w:kinsoku/>
              <w:wordWrap/>
              <w:overflowPunct/>
              <w:topLinePunct w:val="0"/>
              <w:autoSpaceDE w:val="0"/>
              <w:autoSpaceDN w:val="0"/>
              <w:bidi w:val="0"/>
              <w:adjustRightInd/>
              <w:snapToGrid/>
              <w:spacing w:before="177"/>
              <w:jc w:val="both"/>
              <w:textAlignment w:val="auto"/>
              <w:rPr>
                <w:sz w:val="21"/>
                <w:highlight w:val="none"/>
              </w:rPr>
            </w:pPr>
            <w:r>
              <w:rPr>
                <w:sz w:val="21"/>
                <w:highlight w:val="none"/>
              </w:rPr>
              <w:t>（</w:t>
            </w:r>
            <w:r>
              <w:rPr>
                <w:rFonts w:hint="eastAsia"/>
                <w:sz w:val="21"/>
                <w:highlight w:val="none"/>
                <w:lang w:val="en-US" w:eastAsia="zh-CN"/>
              </w:rPr>
              <w:t>10</w:t>
            </w:r>
            <w:r>
              <w:rPr>
                <w:sz w:val="21"/>
                <w:highlight w:val="none"/>
              </w:rPr>
              <w:t>分）</w:t>
            </w:r>
          </w:p>
        </w:tc>
        <w:tc>
          <w:tcPr>
            <w:tcW w:w="1377" w:type="dxa"/>
            <w:gridSpan w:val="2"/>
            <w:tcBorders>
              <w:top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1"/>
              <w:ind w:left="190" w:right="79" w:firstLine="0" w:firstLineChars="0"/>
              <w:jc w:val="both"/>
              <w:textAlignment w:val="auto"/>
              <w:rPr>
                <w:sz w:val="21"/>
                <w:highlight w:val="none"/>
              </w:rPr>
            </w:pPr>
            <w:r>
              <w:rPr>
                <w:sz w:val="21"/>
                <w:highlight w:val="none"/>
              </w:rPr>
              <w:t>投标报价</w:t>
            </w:r>
          </w:p>
        </w:tc>
        <w:tc>
          <w:tcPr>
            <w:tcW w:w="6366" w:type="dxa"/>
            <w:tcBorders>
              <w:top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121" w:line="278" w:lineRule="auto"/>
              <w:ind w:left="108" w:right="98" w:firstLine="0" w:firstLineChars="0"/>
              <w:jc w:val="both"/>
              <w:textAlignment w:val="auto"/>
              <w:rPr>
                <w:sz w:val="21"/>
                <w:highlight w:val="none"/>
              </w:rPr>
            </w:pPr>
            <w:r>
              <w:rPr>
                <w:spacing w:val="-3"/>
                <w:sz w:val="21"/>
                <w:highlight w:val="none"/>
              </w:rPr>
              <w:t>评标基准价=有效投标报价的最低值，有效投标报价等于基准值的得满分，投标报价得分=</w:t>
            </w:r>
            <w:r>
              <w:rPr>
                <w:sz w:val="21"/>
                <w:highlight w:val="none"/>
              </w:rPr>
              <w:t>（</w:t>
            </w:r>
            <w:r>
              <w:rPr>
                <w:spacing w:val="-3"/>
                <w:sz w:val="21"/>
                <w:highlight w:val="none"/>
              </w:rPr>
              <w:t>评标基准价</w:t>
            </w:r>
            <w:r>
              <w:rPr>
                <w:sz w:val="21"/>
                <w:highlight w:val="none"/>
              </w:rPr>
              <w:t>/投</w:t>
            </w:r>
            <w:r>
              <w:rPr>
                <w:spacing w:val="-1"/>
                <w:sz w:val="21"/>
                <w:highlight w:val="none"/>
              </w:rPr>
              <w:t>标报价</w:t>
            </w:r>
            <w:r>
              <w:rPr>
                <w:spacing w:val="-15"/>
                <w:sz w:val="21"/>
                <w:highlight w:val="none"/>
              </w:rPr>
              <w:t>）</w:t>
            </w:r>
            <w:r>
              <w:rPr>
                <w:spacing w:val="-6"/>
                <w:sz w:val="21"/>
                <w:highlight w:val="none"/>
              </w:rPr>
              <w:t>×价格权重</w:t>
            </w:r>
            <w:r>
              <w:rPr>
                <w:sz w:val="21"/>
                <w:highlight w:val="none"/>
              </w:rPr>
              <w:t>×100</w:t>
            </w:r>
            <w:r>
              <w:rPr>
                <w:spacing w:val="-4"/>
                <w:sz w:val="21"/>
                <w:highlight w:val="none"/>
              </w:rPr>
              <w:t>。有效投标</w:t>
            </w:r>
            <w:r>
              <w:rPr>
                <w:sz w:val="21"/>
                <w:highlight w:val="none"/>
              </w:rPr>
              <w:t>报价为通过初步审查的供应商报价</w:t>
            </w:r>
          </w:p>
        </w:tc>
        <w:tc>
          <w:tcPr>
            <w:tcW w:w="1072" w:type="dxa"/>
            <w:tcBorders>
              <w:top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1"/>
              <w:jc w:val="center"/>
              <w:textAlignment w:val="auto"/>
              <w:rPr>
                <w:sz w:val="21"/>
                <w:highlight w:val="none"/>
              </w:rPr>
            </w:pPr>
            <w:r>
              <w:rPr>
                <w:sz w:val="21"/>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053" w:type="dxa"/>
            <w:vMerge w:val="restart"/>
            <w:tcBorders>
              <w:top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line="278" w:lineRule="auto"/>
              <w:ind w:right="39"/>
              <w:jc w:val="both"/>
              <w:textAlignment w:val="auto"/>
              <w:rPr>
                <w:sz w:val="21"/>
                <w:highlight w:val="none"/>
              </w:rPr>
            </w:pPr>
            <w:r>
              <w:rPr>
                <w:sz w:val="21"/>
                <w:highlight w:val="none"/>
              </w:rPr>
              <w:t>商务标评</w:t>
            </w:r>
          </w:p>
          <w:p>
            <w:pPr>
              <w:pStyle w:val="21"/>
              <w:keepNext w:val="0"/>
              <w:keepLines w:val="0"/>
              <w:pageBreakBefore w:val="0"/>
              <w:widowControl w:val="0"/>
              <w:kinsoku/>
              <w:wordWrap/>
              <w:overflowPunct/>
              <w:topLinePunct w:val="0"/>
              <w:autoSpaceDE w:val="0"/>
              <w:autoSpaceDN w:val="0"/>
              <w:bidi w:val="0"/>
              <w:adjustRightInd/>
              <w:snapToGrid/>
              <w:spacing w:line="278" w:lineRule="auto"/>
              <w:ind w:right="39"/>
              <w:jc w:val="both"/>
              <w:textAlignment w:val="auto"/>
              <w:rPr>
                <w:sz w:val="21"/>
                <w:highlight w:val="none"/>
              </w:rPr>
            </w:pPr>
            <w:r>
              <w:rPr>
                <w:sz w:val="21"/>
                <w:highlight w:val="none"/>
              </w:rPr>
              <w:t>（</w:t>
            </w:r>
            <w:r>
              <w:rPr>
                <w:rFonts w:hint="eastAsia"/>
                <w:sz w:val="21"/>
                <w:highlight w:val="none"/>
                <w:lang w:val="en-US" w:eastAsia="zh-CN"/>
              </w:rPr>
              <w:t>25</w:t>
            </w:r>
            <w:r>
              <w:rPr>
                <w:sz w:val="21"/>
                <w:highlight w:val="none"/>
              </w:rPr>
              <w:t>分）</w:t>
            </w:r>
          </w:p>
        </w:tc>
        <w:tc>
          <w:tcPr>
            <w:tcW w:w="1377" w:type="dxa"/>
            <w:gridSpan w:val="2"/>
            <w:vAlign w:val="center"/>
          </w:tcPr>
          <w:p>
            <w:pPr>
              <w:pStyle w:val="21"/>
              <w:keepNext w:val="0"/>
              <w:keepLines w:val="0"/>
              <w:pageBreakBefore w:val="0"/>
              <w:widowControl w:val="0"/>
              <w:kinsoku/>
              <w:wordWrap/>
              <w:overflowPunct/>
              <w:topLinePunct w:val="0"/>
              <w:autoSpaceDE w:val="0"/>
              <w:autoSpaceDN w:val="0"/>
              <w:bidi w:val="0"/>
              <w:adjustRightInd/>
              <w:snapToGrid/>
              <w:spacing w:before="43" w:line="278" w:lineRule="auto"/>
              <w:ind w:left="108" w:right="97" w:firstLine="0" w:firstLineChars="0"/>
              <w:jc w:val="center"/>
              <w:textAlignment w:val="auto"/>
              <w:rPr>
                <w:sz w:val="21"/>
                <w:highlight w:val="none"/>
              </w:rPr>
            </w:pPr>
            <w:r>
              <w:rPr>
                <w:rFonts w:hint="eastAsia" w:ascii="宋体" w:hAnsi="宋体" w:eastAsia="宋体" w:cs="宋体"/>
                <w:sz w:val="21"/>
                <w:highlight w:val="none"/>
              </w:rPr>
              <w:t>业绩</w:t>
            </w:r>
          </w:p>
        </w:tc>
        <w:tc>
          <w:tcPr>
            <w:tcW w:w="6366" w:type="dxa"/>
            <w:vAlign w:val="center"/>
          </w:tcPr>
          <w:p>
            <w:pPr>
              <w:pStyle w:val="21"/>
              <w:keepNext w:val="0"/>
              <w:keepLines w:val="0"/>
              <w:pageBreakBefore w:val="0"/>
              <w:widowControl w:val="0"/>
              <w:kinsoku/>
              <w:wordWrap/>
              <w:overflowPunct/>
              <w:topLinePunct w:val="0"/>
              <w:autoSpaceDE w:val="0"/>
              <w:autoSpaceDN w:val="0"/>
              <w:bidi w:val="0"/>
              <w:adjustRightInd/>
              <w:snapToGrid/>
              <w:spacing w:line="278" w:lineRule="auto"/>
              <w:ind w:left="0" w:leftChars="0" w:right="98" w:firstLine="0" w:firstLineChars="0"/>
              <w:jc w:val="both"/>
              <w:textAlignment w:val="auto"/>
              <w:rPr>
                <w:rFonts w:hint="eastAsia" w:eastAsia="宋体"/>
                <w:sz w:val="21"/>
                <w:highlight w:val="none"/>
                <w:lang w:eastAsia="zh-CN"/>
              </w:rPr>
            </w:pPr>
            <w:r>
              <w:rPr>
                <w:rFonts w:hint="eastAsia" w:ascii="宋体" w:hAnsi="宋体" w:eastAsia="宋体" w:cs="宋体"/>
                <w:i w:val="0"/>
                <w:color w:val="000000"/>
                <w:kern w:val="0"/>
                <w:sz w:val="21"/>
                <w:szCs w:val="21"/>
                <w:highlight w:val="none"/>
                <w:u w:val="none"/>
                <w:lang w:val="en-US" w:eastAsia="zh-CN" w:bidi="ar"/>
              </w:rPr>
              <w:t>近三年内有类似业绩的，需提供业绩合同或中标通知书，有一项得2分，满分8分。</w:t>
            </w:r>
          </w:p>
        </w:tc>
        <w:tc>
          <w:tcPr>
            <w:tcW w:w="1072" w:type="dxa"/>
            <w:tcBorders>
              <w:right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jc w:val="center"/>
              <w:textAlignment w:val="auto"/>
              <w:rPr>
                <w:rFonts w:hint="default" w:eastAsia="宋体"/>
                <w:sz w:val="21"/>
                <w:highlight w:val="none"/>
                <w:lang w:val="en-US" w:eastAsia="zh-CN"/>
              </w:rPr>
            </w:pPr>
            <w:r>
              <w:rPr>
                <w:rFonts w:hint="eastAsia"/>
                <w:sz w:val="21"/>
                <w:highlight w:val="none"/>
                <w:lang w:val="en-US" w:eastAsia="zh-CN"/>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trPr>
        <w:tc>
          <w:tcPr>
            <w:tcW w:w="1053" w:type="dxa"/>
            <w:vMerge w:val="continue"/>
            <w:vAlign w:val="center"/>
          </w:tcPr>
          <w:p>
            <w:pPr>
              <w:pStyle w:val="21"/>
              <w:keepNext w:val="0"/>
              <w:keepLines w:val="0"/>
              <w:pageBreakBefore w:val="0"/>
              <w:widowControl w:val="0"/>
              <w:kinsoku/>
              <w:wordWrap/>
              <w:overflowPunct/>
              <w:topLinePunct w:val="0"/>
              <w:autoSpaceDE w:val="0"/>
              <w:autoSpaceDN w:val="0"/>
              <w:bidi w:val="0"/>
              <w:adjustRightInd/>
              <w:snapToGrid/>
              <w:spacing w:line="269" w:lineRule="exact"/>
              <w:ind w:firstLine="0" w:firstLineChars="0"/>
              <w:jc w:val="both"/>
              <w:textAlignment w:val="auto"/>
              <w:rPr>
                <w:sz w:val="21"/>
                <w:highlight w:val="none"/>
              </w:rPr>
            </w:pPr>
          </w:p>
        </w:tc>
        <w:tc>
          <w:tcPr>
            <w:tcW w:w="1377" w:type="dxa"/>
            <w:gridSpan w:val="2"/>
            <w:vAlign w:val="center"/>
          </w:tcPr>
          <w:p>
            <w:pPr>
              <w:pStyle w:val="21"/>
              <w:keepNext w:val="0"/>
              <w:keepLines w:val="0"/>
              <w:pageBreakBefore w:val="0"/>
              <w:widowControl w:val="0"/>
              <w:kinsoku/>
              <w:wordWrap/>
              <w:overflowPunct/>
              <w:topLinePunct w:val="0"/>
              <w:autoSpaceDE w:val="0"/>
              <w:autoSpaceDN w:val="0"/>
              <w:bidi w:val="0"/>
              <w:adjustRightInd/>
              <w:snapToGrid/>
              <w:spacing w:before="43" w:line="278" w:lineRule="auto"/>
              <w:ind w:left="108" w:leftChars="0" w:right="97" w:rightChars="0" w:firstLine="0" w:firstLineChars="0"/>
              <w:jc w:val="center"/>
              <w:textAlignment w:val="auto"/>
              <w:rPr>
                <w:rFonts w:hint="eastAsia" w:ascii="宋体" w:hAnsi="宋体" w:eastAsia="宋体" w:cs="宋体"/>
                <w:sz w:val="21"/>
                <w:szCs w:val="22"/>
                <w:highlight w:val="none"/>
                <w:lang w:val="zh-CN" w:eastAsia="zh-CN" w:bidi="zh-CN"/>
              </w:rPr>
            </w:pPr>
            <w:r>
              <w:rPr>
                <w:rFonts w:hint="eastAsia"/>
                <w:sz w:val="21"/>
                <w:highlight w:val="none"/>
              </w:rPr>
              <w:t>服务单位具有良好的运营团队</w:t>
            </w:r>
          </w:p>
        </w:tc>
        <w:tc>
          <w:tcPr>
            <w:tcW w:w="6366" w:type="dxa"/>
            <w:vAlign w:val="center"/>
          </w:tcPr>
          <w:p>
            <w:pPr>
              <w:pStyle w:val="21"/>
              <w:keepNext w:val="0"/>
              <w:keepLines w:val="0"/>
              <w:pageBreakBefore w:val="0"/>
              <w:widowControl w:val="0"/>
              <w:kinsoku/>
              <w:wordWrap/>
              <w:overflowPunct/>
              <w:topLinePunct w:val="0"/>
              <w:autoSpaceDE w:val="0"/>
              <w:autoSpaceDN w:val="0"/>
              <w:bidi w:val="0"/>
              <w:adjustRightInd/>
              <w:snapToGrid/>
              <w:spacing w:line="278" w:lineRule="auto"/>
              <w:ind w:left="0" w:leftChars="0" w:right="98" w:firstLine="0" w:firstLineChars="0"/>
              <w:jc w:val="both"/>
              <w:textAlignment w:val="auto"/>
              <w:rPr>
                <w:rFonts w:hint="eastAsia"/>
                <w:sz w:val="21"/>
                <w:highlight w:val="none"/>
              </w:rPr>
            </w:pPr>
            <w:r>
              <w:rPr>
                <w:rFonts w:hint="eastAsia"/>
                <w:sz w:val="21"/>
                <w:highlight w:val="none"/>
              </w:rPr>
              <w:t>服务单位运营团队人员</w:t>
            </w:r>
            <w:r>
              <w:rPr>
                <w:rFonts w:hint="eastAsia"/>
                <w:sz w:val="21"/>
                <w:highlight w:val="none"/>
                <w:lang w:val="en-US" w:eastAsia="zh-CN"/>
              </w:rPr>
              <w:t>10</w:t>
            </w:r>
            <w:r>
              <w:rPr>
                <w:rFonts w:hint="eastAsia"/>
                <w:sz w:val="21"/>
                <w:highlight w:val="none"/>
              </w:rPr>
              <w:t>人以上得15分。</w:t>
            </w:r>
          </w:p>
          <w:p>
            <w:pPr>
              <w:pStyle w:val="21"/>
              <w:keepNext w:val="0"/>
              <w:keepLines w:val="0"/>
              <w:pageBreakBefore w:val="0"/>
              <w:widowControl w:val="0"/>
              <w:kinsoku/>
              <w:wordWrap/>
              <w:overflowPunct/>
              <w:topLinePunct w:val="0"/>
              <w:autoSpaceDE w:val="0"/>
              <w:autoSpaceDN w:val="0"/>
              <w:bidi w:val="0"/>
              <w:adjustRightInd/>
              <w:snapToGrid/>
              <w:spacing w:line="278" w:lineRule="auto"/>
              <w:ind w:left="0" w:leftChars="0" w:right="98" w:firstLine="0" w:firstLineChars="0"/>
              <w:jc w:val="both"/>
              <w:textAlignment w:val="auto"/>
              <w:rPr>
                <w:rFonts w:hint="eastAsia"/>
                <w:sz w:val="21"/>
                <w:highlight w:val="none"/>
              </w:rPr>
            </w:pPr>
            <w:r>
              <w:rPr>
                <w:rFonts w:hint="eastAsia"/>
                <w:sz w:val="21"/>
                <w:highlight w:val="none"/>
              </w:rPr>
              <w:t>服务单位运营团队人员</w:t>
            </w:r>
            <w:r>
              <w:rPr>
                <w:rFonts w:hint="eastAsia"/>
                <w:sz w:val="21"/>
                <w:highlight w:val="none"/>
                <w:lang w:val="en-US" w:eastAsia="zh-CN"/>
              </w:rPr>
              <w:t>5</w:t>
            </w:r>
            <w:r>
              <w:rPr>
                <w:rFonts w:hint="eastAsia"/>
                <w:sz w:val="21"/>
                <w:highlight w:val="none"/>
              </w:rPr>
              <w:t>—</w:t>
            </w:r>
            <w:r>
              <w:rPr>
                <w:rFonts w:hint="eastAsia"/>
                <w:sz w:val="21"/>
                <w:highlight w:val="none"/>
                <w:lang w:val="en-US" w:eastAsia="zh-CN"/>
              </w:rPr>
              <w:t>10</w:t>
            </w:r>
            <w:r>
              <w:rPr>
                <w:rFonts w:hint="eastAsia"/>
                <w:sz w:val="21"/>
                <w:highlight w:val="none"/>
              </w:rPr>
              <w:t>人得10分。</w:t>
            </w:r>
          </w:p>
          <w:p>
            <w:pPr>
              <w:pStyle w:val="21"/>
              <w:keepNext w:val="0"/>
              <w:keepLines w:val="0"/>
              <w:pageBreakBefore w:val="0"/>
              <w:widowControl w:val="0"/>
              <w:kinsoku/>
              <w:wordWrap/>
              <w:overflowPunct/>
              <w:topLinePunct w:val="0"/>
              <w:autoSpaceDE w:val="0"/>
              <w:autoSpaceDN w:val="0"/>
              <w:bidi w:val="0"/>
              <w:adjustRightInd/>
              <w:snapToGrid/>
              <w:spacing w:line="278" w:lineRule="auto"/>
              <w:ind w:left="0" w:leftChars="0" w:right="98" w:firstLine="0" w:firstLineChars="0"/>
              <w:jc w:val="both"/>
              <w:textAlignment w:val="auto"/>
              <w:rPr>
                <w:rFonts w:hint="eastAsia"/>
                <w:sz w:val="21"/>
                <w:highlight w:val="none"/>
              </w:rPr>
            </w:pPr>
            <w:r>
              <w:rPr>
                <w:rFonts w:hint="eastAsia"/>
                <w:sz w:val="21"/>
                <w:highlight w:val="none"/>
              </w:rPr>
              <w:t>服务单位运营团队人员</w:t>
            </w:r>
            <w:r>
              <w:rPr>
                <w:rFonts w:hint="eastAsia"/>
                <w:sz w:val="21"/>
                <w:highlight w:val="none"/>
                <w:lang w:val="en-US" w:eastAsia="zh-CN"/>
              </w:rPr>
              <w:t>1</w:t>
            </w:r>
            <w:r>
              <w:rPr>
                <w:rFonts w:hint="eastAsia"/>
                <w:sz w:val="21"/>
                <w:highlight w:val="none"/>
              </w:rPr>
              <w:t>—</w:t>
            </w:r>
            <w:r>
              <w:rPr>
                <w:rFonts w:hint="eastAsia"/>
                <w:sz w:val="21"/>
                <w:highlight w:val="none"/>
                <w:lang w:val="en-US" w:eastAsia="zh-CN"/>
              </w:rPr>
              <w:t>5</w:t>
            </w:r>
            <w:r>
              <w:rPr>
                <w:rFonts w:hint="eastAsia"/>
                <w:sz w:val="21"/>
                <w:highlight w:val="none"/>
              </w:rPr>
              <w:t>人得5分。</w:t>
            </w:r>
          </w:p>
          <w:p>
            <w:pPr>
              <w:pStyle w:val="21"/>
              <w:keepNext w:val="0"/>
              <w:keepLines w:val="0"/>
              <w:pageBreakBefore w:val="0"/>
              <w:widowControl w:val="0"/>
              <w:kinsoku/>
              <w:wordWrap/>
              <w:overflowPunct/>
              <w:topLinePunct w:val="0"/>
              <w:autoSpaceDE w:val="0"/>
              <w:autoSpaceDN w:val="0"/>
              <w:bidi w:val="0"/>
              <w:adjustRightInd/>
              <w:snapToGrid/>
              <w:spacing w:line="278" w:lineRule="auto"/>
              <w:ind w:left="0" w:leftChars="0" w:right="98" w:rightChars="0" w:firstLine="0" w:firstLineChars="0"/>
              <w:jc w:val="both"/>
              <w:textAlignment w:val="auto"/>
              <w:rPr>
                <w:rFonts w:hint="eastAsia" w:ascii="宋体" w:hAnsi="宋体" w:eastAsia="宋体" w:cs="宋体"/>
                <w:sz w:val="21"/>
                <w:szCs w:val="22"/>
                <w:highlight w:val="none"/>
                <w:lang w:val="zh-CN" w:eastAsia="zh-CN" w:bidi="zh-CN"/>
              </w:rPr>
            </w:pPr>
            <w:r>
              <w:rPr>
                <w:rFonts w:hint="eastAsia"/>
                <w:sz w:val="21"/>
                <w:highlight w:val="none"/>
              </w:rPr>
              <w:t>不提供不得分。</w:t>
            </w:r>
          </w:p>
        </w:tc>
        <w:tc>
          <w:tcPr>
            <w:tcW w:w="1072" w:type="dxa"/>
            <w:tcBorders>
              <w:right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宋体" w:hAnsi="宋体" w:eastAsia="宋体" w:cs="宋体"/>
                <w:sz w:val="21"/>
                <w:szCs w:val="22"/>
                <w:highlight w:val="none"/>
                <w:lang w:val="en-US" w:eastAsia="zh-CN" w:bidi="zh-CN"/>
              </w:rPr>
            </w:pPr>
            <w:r>
              <w:rPr>
                <w:rFonts w:hint="eastAsia"/>
                <w:sz w:val="21"/>
                <w:highlight w:val="none"/>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trPr>
        <w:tc>
          <w:tcPr>
            <w:tcW w:w="1053" w:type="dxa"/>
            <w:vMerge w:val="continue"/>
            <w:vAlign w:val="center"/>
          </w:tcPr>
          <w:p>
            <w:pPr>
              <w:pStyle w:val="21"/>
              <w:keepNext w:val="0"/>
              <w:keepLines w:val="0"/>
              <w:pageBreakBefore w:val="0"/>
              <w:widowControl w:val="0"/>
              <w:kinsoku/>
              <w:wordWrap/>
              <w:overflowPunct/>
              <w:topLinePunct w:val="0"/>
              <w:autoSpaceDE w:val="0"/>
              <w:autoSpaceDN w:val="0"/>
              <w:bidi w:val="0"/>
              <w:adjustRightInd/>
              <w:snapToGrid/>
              <w:spacing w:line="269" w:lineRule="exact"/>
              <w:ind w:firstLine="0" w:firstLineChars="0"/>
              <w:jc w:val="both"/>
              <w:textAlignment w:val="auto"/>
              <w:rPr>
                <w:sz w:val="21"/>
                <w:highlight w:val="none"/>
              </w:rPr>
            </w:pPr>
          </w:p>
        </w:tc>
        <w:tc>
          <w:tcPr>
            <w:tcW w:w="1377" w:type="dxa"/>
            <w:gridSpan w:val="2"/>
            <w:vAlign w:val="center"/>
          </w:tcPr>
          <w:p>
            <w:pPr>
              <w:pStyle w:val="10"/>
              <w:spacing w:before="0" w:line="360" w:lineRule="auto"/>
              <w:ind w:left="0" w:leftChars="0" w:firstLine="0" w:firstLineChars="0"/>
              <w:jc w:val="center"/>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文件编制规范程度</w:t>
            </w:r>
          </w:p>
        </w:tc>
        <w:tc>
          <w:tcPr>
            <w:tcW w:w="6366" w:type="dxa"/>
            <w:vAlign w:val="center"/>
          </w:tcPr>
          <w:p>
            <w:pPr>
              <w:pStyle w:val="10"/>
              <w:spacing w:before="0" w:line="240" w:lineRule="auto"/>
              <w:ind w:left="0" w:leftChars="0" w:right="0" w:rightChars="0" w:firstLine="0" w:firstLineChars="0"/>
              <w:jc w:val="left"/>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投标文件应装订牢固、目录清楚、页码准确、相关资料表格清晰，符合要求的得</w:t>
            </w:r>
            <w:r>
              <w:rPr>
                <w:rFonts w:hint="eastAsia" w:cs="宋体"/>
                <w:sz w:val="21"/>
                <w:szCs w:val="22"/>
                <w:highlight w:val="none"/>
                <w:lang w:val="en-US" w:eastAsia="zh-CN" w:bidi="zh-CN"/>
              </w:rPr>
              <w:t>2</w:t>
            </w:r>
            <w:r>
              <w:rPr>
                <w:rFonts w:hint="eastAsia" w:ascii="宋体" w:hAnsi="宋体" w:eastAsia="宋体" w:cs="宋体"/>
                <w:sz w:val="21"/>
                <w:szCs w:val="22"/>
                <w:highlight w:val="none"/>
                <w:lang w:val="zh-CN" w:eastAsia="zh-CN" w:bidi="zh-CN"/>
              </w:rPr>
              <w:t>分，每有一项不符合扣 1 分，扣完为止。</w:t>
            </w:r>
          </w:p>
        </w:tc>
        <w:tc>
          <w:tcPr>
            <w:tcW w:w="1072" w:type="dxa"/>
            <w:tcBorders>
              <w:right w:val="single" w:color="auto" w:sz="4" w:space="0"/>
            </w:tcBorders>
            <w:vAlign w:val="center"/>
          </w:tcPr>
          <w:p>
            <w:pPr>
              <w:pStyle w:val="10"/>
              <w:spacing w:before="0" w:line="360" w:lineRule="auto"/>
              <w:ind w:left="0" w:leftChars="0" w:right="0" w:rightChars="0" w:firstLine="0" w:firstLineChars="0"/>
              <w:jc w:val="center"/>
              <w:rPr>
                <w:rFonts w:hint="default" w:ascii="宋体" w:hAnsi="宋体" w:eastAsia="宋体" w:cs="宋体"/>
                <w:sz w:val="21"/>
                <w:szCs w:val="22"/>
                <w:highlight w:val="none"/>
                <w:lang w:val="en-US" w:eastAsia="zh-CN" w:bidi="zh-CN"/>
              </w:rPr>
            </w:pPr>
            <w:r>
              <w:rPr>
                <w:rFonts w:hint="eastAsia" w:ascii="宋体" w:hAnsi="宋体" w:eastAsia="宋体" w:cs="宋体"/>
                <w:sz w:val="21"/>
                <w:szCs w:val="22"/>
                <w:highlight w:val="none"/>
                <w:lang w:val="en-US" w:eastAsia="zh-CN" w:bidi="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trPr>
        <w:tc>
          <w:tcPr>
            <w:tcW w:w="1053" w:type="dxa"/>
            <w:vMerge w:val="restart"/>
            <w:tcBorders>
              <w:top w:val="single" w:color="auto" w:sz="4" w:space="0"/>
              <w:bottom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line="278" w:lineRule="auto"/>
              <w:ind w:left="107" w:right="41" w:firstLine="0" w:firstLineChars="0"/>
              <w:jc w:val="center"/>
              <w:textAlignment w:val="auto"/>
              <w:rPr>
                <w:rFonts w:hint="default" w:eastAsia="宋体"/>
                <w:sz w:val="21"/>
                <w:highlight w:val="none"/>
                <w:lang w:val="en-US" w:eastAsia="zh-CN"/>
              </w:rPr>
            </w:pPr>
            <w:r>
              <w:rPr>
                <w:sz w:val="21"/>
                <w:highlight w:val="none"/>
              </w:rPr>
              <w:t>技术标评审（</w:t>
            </w:r>
            <w:r>
              <w:rPr>
                <w:rFonts w:hint="eastAsia"/>
                <w:sz w:val="21"/>
                <w:highlight w:val="none"/>
                <w:lang w:val="en-US" w:eastAsia="zh-CN"/>
              </w:rPr>
              <w:t>65</w:t>
            </w:r>
          </w:p>
          <w:p>
            <w:pPr>
              <w:pStyle w:val="21"/>
              <w:keepNext w:val="0"/>
              <w:keepLines w:val="0"/>
              <w:pageBreakBefore w:val="0"/>
              <w:widowControl w:val="0"/>
              <w:kinsoku/>
              <w:wordWrap/>
              <w:overflowPunct/>
              <w:topLinePunct w:val="0"/>
              <w:autoSpaceDE w:val="0"/>
              <w:autoSpaceDN w:val="0"/>
              <w:bidi w:val="0"/>
              <w:adjustRightInd/>
              <w:snapToGrid/>
              <w:spacing w:line="269" w:lineRule="exact"/>
              <w:ind w:left="397" w:firstLine="0" w:firstLineChars="0"/>
              <w:jc w:val="center"/>
              <w:textAlignment w:val="auto"/>
              <w:rPr>
                <w:sz w:val="21"/>
                <w:highlight w:val="none"/>
              </w:rPr>
            </w:pPr>
            <w:r>
              <w:rPr>
                <w:sz w:val="21"/>
                <w:highlight w:val="none"/>
              </w:rPr>
              <w:t>分）</w:t>
            </w:r>
          </w:p>
        </w:tc>
        <w:tc>
          <w:tcPr>
            <w:tcW w:w="1377" w:type="dxa"/>
            <w:gridSpan w:val="2"/>
            <w:tcBorders>
              <w:top w:val="single" w:color="auto" w:sz="4" w:space="0"/>
              <w:bottom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123" w:line="278" w:lineRule="auto"/>
              <w:ind w:left="0" w:leftChars="0" w:right="179" w:rightChars="0"/>
              <w:jc w:val="center"/>
              <w:textAlignment w:val="auto"/>
              <w:rPr>
                <w:rFonts w:hint="eastAsia" w:ascii="宋体" w:hAnsi="宋体" w:eastAsia="宋体" w:cs="宋体"/>
                <w:sz w:val="21"/>
                <w:szCs w:val="22"/>
                <w:highlight w:val="none"/>
                <w:lang w:val="zh-CN" w:eastAsia="zh-CN" w:bidi="zh-CN"/>
              </w:rPr>
            </w:pPr>
            <w:r>
              <w:rPr>
                <w:rFonts w:hint="eastAsia" w:ascii="宋体" w:hAnsi="宋体" w:eastAsia="宋体" w:cs="宋体"/>
                <w:sz w:val="21"/>
                <w:szCs w:val="22"/>
                <w:highlight w:val="none"/>
                <w:lang w:val="zh-CN" w:eastAsia="zh-CN" w:bidi="zh-CN"/>
              </w:rPr>
              <w:t>项目理解方案</w:t>
            </w:r>
          </w:p>
        </w:tc>
        <w:tc>
          <w:tcPr>
            <w:tcW w:w="6366" w:type="dxa"/>
            <w:tcBorders>
              <w:top w:val="single" w:color="auto" w:sz="4" w:space="0"/>
              <w:bottom w:val="single" w:color="auto" w:sz="4" w:space="0"/>
            </w:tcBorders>
            <w:vAlign w:val="center"/>
          </w:tcPr>
          <w:p>
            <w:pPr>
              <w:keepNext w:val="0"/>
              <w:keepLines w:val="0"/>
              <w:widowControl/>
              <w:numPr>
                <w:ilvl w:val="0"/>
                <w:numId w:val="0"/>
              </w:numPr>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结合项目实际情况，根据投标人对项目的方案设计、市场现状、业务功能、业务流程、重点难点等方面进行归纳、整理总结需求，形成项目理解方案，按照方案的符合性、完整性、详细程度等方面进行综合评价。</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一档(0。1~6分):投标人对项目的方案设计、市场现状、业务功能、业务流程、重点难点等方面的需求分析基本符合项目建设情况，需求分析方案简单，综合评定为一般的为一档。</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二档(7~13分):投标人对项目方案设计、市场现状、业务功能、业务流程、重点难点等方面的需求分析符合项目建设情况，需求分析方案合理、可行、较全面、较完整，综合评定为良好的为二档。</w:t>
            </w:r>
          </w:p>
          <w:p>
            <w:pPr>
              <w:pStyle w:val="21"/>
              <w:keepNext w:val="0"/>
              <w:keepLines w:val="0"/>
              <w:pageBreakBefore w:val="0"/>
              <w:widowControl w:val="0"/>
              <w:kinsoku/>
              <w:wordWrap/>
              <w:overflowPunct/>
              <w:topLinePunct w:val="0"/>
              <w:autoSpaceDE w:val="0"/>
              <w:autoSpaceDN w:val="0"/>
              <w:bidi w:val="0"/>
              <w:adjustRightInd/>
              <w:snapToGrid/>
              <w:spacing w:before="123" w:line="278" w:lineRule="auto"/>
              <w:ind w:left="108" w:leftChars="0" w:right="96" w:rightChars="0" w:firstLine="0" w:firstLineChars="0"/>
              <w:jc w:val="both"/>
              <w:textAlignment w:val="auto"/>
              <w:rPr>
                <w:rFonts w:hint="eastAsia" w:ascii="宋体" w:hAnsi="宋体" w:eastAsia="宋体" w:cs="宋体"/>
                <w:spacing w:val="-3"/>
                <w:sz w:val="21"/>
                <w:szCs w:val="22"/>
                <w:highlight w:val="none"/>
                <w:lang w:val="zh-CN" w:eastAsia="zh-CN" w:bidi="zh-CN"/>
              </w:rPr>
            </w:pPr>
            <w:r>
              <w:rPr>
                <w:rFonts w:hint="eastAsia" w:ascii="宋体" w:hAnsi="宋体" w:eastAsia="宋体" w:cs="宋体"/>
                <w:sz w:val="21"/>
                <w:szCs w:val="21"/>
                <w:highlight w:val="none"/>
                <w:lang w:val="en-US" w:eastAsia="zh-CN"/>
              </w:rPr>
              <w:t>三档(14~20分):投标人对项目的方案设计、市场现状、业务功能、业务流程、重点难点等方面的需求分析完全符合项目建设情况，需求分析方案详细全面、完全，数据详实，针对性强，综合评定为优秀的为三档。</w:t>
            </w:r>
          </w:p>
        </w:tc>
        <w:tc>
          <w:tcPr>
            <w:tcW w:w="1072" w:type="dxa"/>
            <w:tcBorders>
              <w:top w:val="single" w:color="auto" w:sz="4" w:space="0"/>
              <w:right w:val="single" w:color="auto" w:sz="4" w:space="0"/>
            </w:tcBorders>
            <w:vAlign w:val="center"/>
          </w:tcPr>
          <w:p>
            <w:pPr>
              <w:bidi w:val="0"/>
              <w:jc w:val="center"/>
              <w:rPr>
                <w:rFonts w:hint="default" w:eastAsia="宋体"/>
                <w:highlight w:val="none"/>
                <w:lang w:val="en-US" w:eastAsia="zh-CN"/>
              </w:rPr>
            </w:pPr>
            <w:r>
              <w:rPr>
                <w:rFonts w:hint="eastAsia"/>
                <w:highlight w:val="none"/>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053" w:type="dxa"/>
            <w:vMerge w:val="continue"/>
            <w:vAlign w:val="center"/>
          </w:tcPr>
          <w:p>
            <w:pPr>
              <w:pStyle w:val="21"/>
              <w:keepNext w:val="0"/>
              <w:keepLines w:val="0"/>
              <w:pageBreakBefore w:val="0"/>
              <w:widowControl w:val="0"/>
              <w:kinsoku/>
              <w:wordWrap/>
              <w:overflowPunct/>
              <w:topLinePunct w:val="0"/>
              <w:autoSpaceDE w:val="0"/>
              <w:autoSpaceDN w:val="0"/>
              <w:bidi w:val="0"/>
              <w:adjustRightInd/>
              <w:snapToGrid/>
              <w:spacing w:line="269" w:lineRule="exact"/>
              <w:ind w:left="397" w:firstLine="0" w:firstLineChars="0"/>
              <w:jc w:val="center"/>
              <w:textAlignment w:val="auto"/>
              <w:rPr>
                <w:sz w:val="21"/>
                <w:highlight w:val="none"/>
              </w:rPr>
            </w:pPr>
          </w:p>
        </w:tc>
        <w:tc>
          <w:tcPr>
            <w:tcW w:w="1377" w:type="dxa"/>
            <w:gridSpan w:val="2"/>
            <w:tcBorders>
              <w:top w:val="single" w:color="auto" w:sz="4" w:space="0"/>
              <w:bottom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123" w:line="278" w:lineRule="auto"/>
              <w:ind w:left="0" w:leftChars="0" w:right="179" w:rightChars="0"/>
              <w:jc w:val="center"/>
              <w:textAlignment w:val="auto"/>
              <w:rPr>
                <w:rFonts w:hint="eastAsia" w:ascii="宋体" w:hAnsi="宋体" w:eastAsia="宋体" w:cs="宋体"/>
                <w:sz w:val="21"/>
                <w:szCs w:val="22"/>
                <w:highlight w:val="none"/>
                <w:lang w:val="zh-CN" w:eastAsia="zh-CN" w:bidi="zh-CN"/>
              </w:rPr>
            </w:pPr>
            <w:r>
              <w:rPr>
                <w:rFonts w:hint="eastAsia" w:ascii="宋体" w:hAnsi="宋体" w:eastAsia="宋体" w:cs="宋体"/>
                <w:i w:val="0"/>
                <w:color w:val="000000"/>
                <w:kern w:val="0"/>
                <w:sz w:val="21"/>
                <w:szCs w:val="21"/>
                <w:highlight w:val="none"/>
                <w:u w:val="none"/>
                <w:lang w:val="en-US" w:eastAsia="zh-CN" w:bidi="ar"/>
              </w:rPr>
              <w:t>项目预算编制方案</w:t>
            </w:r>
          </w:p>
        </w:tc>
        <w:tc>
          <w:tcPr>
            <w:tcW w:w="6366" w:type="dxa"/>
            <w:tcBorders>
              <w:top w:val="single" w:color="auto" w:sz="4" w:space="0"/>
              <w:bottom w:val="single" w:color="auto" w:sz="4" w:space="0"/>
            </w:tcBorders>
            <w:vAlign w:val="center"/>
          </w:tcPr>
          <w:p>
            <w:pPr>
              <w:pStyle w:val="27"/>
              <w:spacing w:before="0" w:after="0" w:line="360" w:lineRule="auto"/>
              <w:ind w:firstLine="0" w:firstLineChars="0"/>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据投标人对项目需求分解及项目设计方案的理解，结合对政府投资概算编制要求，从项目预算编制方法和依据、费用构成、取费标准和方法、预算书框架编制等方面进行综合评价。</w:t>
            </w:r>
          </w:p>
          <w:p>
            <w:pPr>
              <w:pStyle w:val="27"/>
              <w:spacing w:before="0" w:after="0" w:line="360" w:lineRule="auto"/>
              <w:ind w:firstLine="0" w:firstLineChars="0"/>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一档(0。1~8分):投标人提供的项目预算编制方法和依据、费用构成、取费标准和方法、预算书框架编制等方案基本符合评审及项目要求，方案简单，基本可行的为一档;</w:t>
            </w:r>
          </w:p>
          <w:p>
            <w:pPr>
              <w:pStyle w:val="27"/>
              <w:spacing w:before="0" w:after="0" w:line="360" w:lineRule="auto"/>
              <w:ind w:firstLine="0" w:firstLineChars="0"/>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二档(9~16分):投标人提供的项目预算编制方法和依据、费用构成、取费标准和方法、预算书框架编制等方案符合评审及项目要求，方案合理、可行、较全面、较完整的为二档;</w:t>
            </w:r>
          </w:p>
          <w:p>
            <w:pPr>
              <w:pStyle w:val="21"/>
              <w:keepNext w:val="0"/>
              <w:keepLines w:val="0"/>
              <w:pageBreakBefore w:val="0"/>
              <w:widowControl w:val="0"/>
              <w:kinsoku/>
              <w:wordWrap/>
              <w:overflowPunct/>
              <w:topLinePunct w:val="0"/>
              <w:autoSpaceDE w:val="0"/>
              <w:autoSpaceDN w:val="0"/>
              <w:bidi w:val="0"/>
              <w:adjustRightInd/>
              <w:snapToGrid/>
              <w:spacing w:before="123" w:line="278" w:lineRule="auto"/>
              <w:ind w:left="108" w:leftChars="0" w:right="96" w:rightChars="0" w:firstLine="0" w:firstLineChars="0"/>
              <w:jc w:val="both"/>
              <w:textAlignment w:val="auto"/>
              <w:rPr>
                <w:rFonts w:hint="eastAsia" w:ascii="宋体" w:hAnsi="宋体" w:eastAsia="宋体" w:cs="宋体"/>
                <w:spacing w:val="-3"/>
                <w:sz w:val="21"/>
                <w:szCs w:val="22"/>
                <w:highlight w:val="none"/>
                <w:lang w:val="zh-CN" w:eastAsia="zh-CN" w:bidi="zh-CN"/>
              </w:rPr>
            </w:pPr>
            <w:r>
              <w:rPr>
                <w:rFonts w:hint="eastAsia" w:ascii="宋体" w:hAnsi="宋体" w:eastAsia="宋体" w:cs="宋体"/>
                <w:i w:val="0"/>
                <w:color w:val="000000"/>
                <w:kern w:val="0"/>
                <w:sz w:val="21"/>
                <w:szCs w:val="21"/>
                <w:highlight w:val="none"/>
                <w:u w:val="none"/>
                <w:lang w:val="en-US" w:eastAsia="zh-CN" w:bidi="ar"/>
              </w:rPr>
              <w:t>三档(17~25分):投标人提供的项目预算编制方法和依据、费用构成、取费标准和方法、预算书框架编制等方案完全符合评审及项目要求，方案详细全面、可操作性强</w:t>
            </w:r>
          </w:p>
        </w:tc>
        <w:tc>
          <w:tcPr>
            <w:tcW w:w="1072" w:type="dxa"/>
            <w:tcBorders>
              <w:right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1"/>
              <w:jc w:val="center"/>
              <w:textAlignment w:val="auto"/>
              <w:rPr>
                <w:rFonts w:hint="default"/>
                <w:sz w:val="21"/>
                <w:highlight w:val="none"/>
                <w:lang w:val="en-US" w:eastAsia="zh-CN"/>
              </w:rPr>
            </w:pPr>
            <w:r>
              <w:rPr>
                <w:rFonts w:hint="eastAsia"/>
                <w:sz w:val="21"/>
                <w:highlight w:val="none"/>
                <w:lang w:val="en-US" w:eastAsia="zh-CN"/>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053" w:type="dxa"/>
            <w:vMerge w:val="continue"/>
            <w:vAlign w:val="center"/>
          </w:tcPr>
          <w:p>
            <w:pPr>
              <w:pStyle w:val="21"/>
              <w:keepNext w:val="0"/>
              <w:keepLines w:val="0"/>
              <w:pageBreakBefore w:val="0"/>
              <w:widowControl w:val="0"/>
              <w:kinsoku/>
              <w:wordWrap/>
              <w:overflowPunct/>
              <w:topLinePunct w:val="0"/>
              <w:autoSpaceDE w:val="0"/>
              <w:autoSpaceDN w:val="0"/>
              <w:bidi w:val="0"/>
              <w:adjustRightInd/>
              <w:snapToGrid/>
              <w:spacing w:line="269" w:lineRule="exact"/>
              <w:ind w:left="397" w:firstLine="0" w:firstLineChars="0"/>
              <w:jc w:val="both"/>
              <w:textAlignment w:val="auto"/>
              <w:rPr>
                <w:sz w:val="21"/>
                <w:highlight w:val="none"/>
              </w:rPr>
            </w:pPr>
          </w:p>
        </w:tc>
        <w:tc>
          <w:tcPr>
            <w:tcW w:w="1377" w:type="dxa"/>
            <w:gridSpan w:val="2"/>
            <w:tcBorders>
              <w:top w:val="single" w:color="auto" w:sz="4" w:space="0"/>
              <w:bottom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123" w:line="278" w:lineRule="auto"/>
              <w:ind w:right="179" w:rightChars="0"/>
              <w:jc w:val="center"/>
              <w:textAlignment w:val="auto"/>
              <w:rPr>
                <w:rFonts w:hint="eastAsia" w:eastAsia="宋体"/>
                <w:sz w:val="21"/>
                <w:highlight w:val="none"/>
                <w:lang w:eastAsia="zh-CN"/>
              </w:rPr>
            </w:pPr>
            <w:r>
              <w:rPr>
                <w:rFonts w:hint="eastAsia" w:ascii="宋体" w:hAnsi="宋体" w:eastAsia="宋体" w:cs="宋体"/>
                <w:i w:val="0"/>
                <w:color w:val="000000"/>
                <w:kern w:val="0"/>
                <w:sz w:val="21"/>
                <w:szCs w:val="21"/>
                <w:highlight w:val="none"/>
                <w:u w:val="none"/>
                <w:lang w:val="en-US" w:eastAsia="zh-CN" w:bidi="ar"/>
              </w:rPr>
              <w:t>项目实施保障方案</w:t>
            </w:r>
          </w:p>
        </w:tc>
        <w:tc>
          <w:tcPr>
            <w:tcW w:w="6366" w:type="dxa"/>
            <w:tcBorders>
              <w:top w:val="single" w:color="auto" w:sz="4" w:space="0"/>
              <w:bottom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由评标委员会依据招标文件、投标人的投标文件，确定各投标人项目实施保障方案所属档次后，各评委再在相应档次内独立打分。</w:t>
            </w:r>
          </w:p>
          <w:p>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一档(1~6分);设计项目实施保障方案及措施基本满足采购要求，方案简单、基本可行的为一档。</w:t>
            </w:r>
          </w:p>
          <w:p>
            <w:pPr>
              <w:keepNext w:val="0"/>
              <w:keepLines w:val="0"/>
              <w:widowControl/>
              <w:suppressLineNumbers w:val="0"/>
              <w:spacing w:line="360"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二档(7~13分);设计项目实施保障方案及措施包含右项目组织计划、进度计划、保障措施等，措施切实可行，有明确的工程进度，方法严谨，方案合理、可行、较全面，方案内容较完整的为二档。</w:t>
            </w:r>
          </w:p>
          <w:p>
            <w:pPr>
              <w:pStyle w:val="21"/>
              <w:keepNext w:val="0"/>
              <w:keepLines w:val="0"/>
              <w:pageBreakBefore w:val="0"/>
              <w:widowControl w:val="0"/>
              <w:kinsoku/>
              <w:wordWrap/>
              <w:overflowPunct/>
              <w:topLinePunct w:val="0"/>
              <w:autoSpaceDE w:val="0"/>
              <w:autoSpaceDN w:val="0"/>
              <w:bidi w:val="0"/>
              <w:adjustRightInd/>
              <w:snapToGrid/>
              <w:spacing w:before="123" w:line="278" w:lineRule="auto"/>
              <w:ind w:left="108" w:leftChars="0" w:right="96" w:rightChars="0" w:firstLine="0" w:firstLineChars="0"/>
              <w:jc w:val="both"/>
              <w:textAlignment w:val="auto"/>
              <w:rPr>
                <w:rFonts w:hint="eastAsia"/>
                <w:spacing w:val="-3"/>
                <w:sz w:val="21"/>
                <w:highlight w:val="none"/>
              </w:rPr>
            </w:pPr>
            <w:r>
              <w:rPr>
                <w:rFonts w:hint="eastAsia" w:ascii="宋体" w:hAnsi="宋体" w:eastAsia="宋体" w:cs="宋体"/>
                <w:sz w:val="21"/>
                <w:szCs w:val="21"/>
                <w:highlight w:val="none"/>
                <w:lang w:val="en-US" w:eastAsia="zh-CN"/>
              </w:rPr>
              <w:t>三档(14~20分);设计项目实施保障方案及措施包含有项目组织计划、进度计划、保障措施、廉洁承诺等，且描述了保障措施的方法和实现方式并且考虑周全完整，有明确的工程进度和管理措施，方案详细全面、先进性及可操作性强，各项措施合理、可行，具有针对性强的为三档。</w:t>
            </w:r>
          </w:p>
        </w:tc>
        <w:tc>
          <w:tcPr>
            <w:tcW w:w="1072" w:type="dxa"/>
            <w:tcBorders>
              <w:right w:val="single" w:color="auto" w:sz="4" w:space="0"/>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1"/>
              <w:jc w:val="center"/>
              <w:textAlignment w:val="auto"/>
              <w:rPr>
                <w:rFonts w:hint="default"/>
                <w:sz w:val="21"/>
                <w:highlight w:val="none"/>
                <w:lang w:val="en-US" w:eastAsia="zh-CN"/>
              </w:rPr>
            </w:pPr>
            <w:r>
              <w:rPr>
                <w:rFonts w:hint="eastAsia"/>
                <w:sz w:val="21"/>
                <w:highlight w:val="none"/>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 w:hRule="atLeast"/>
        </w:trPr>
        <w:tc>
          <w:tcPr>
            <w:tcW w:w="8796" w:type="dxa"/>
            <w:gridSpan w:val="4"/>
            <w:tcBorders>
              <w:top w:val="single" w:color="auto" w:sz="4" w:space="0"/>
              <w:left w:val="single" w:color="auto" w:sz="4" w:space="0"/>
              <w:bottom w:val="single" w:color="auto" w:sz="4" w:space="0"/>
              <w:right w:val="single" w:color="auto" w:sz="4" w:space="0"/>
            </w:tcBorders>
            <w:vAlign w:val="center"/>
          </w:tcPr>
          <w:p>
            <w:pPr>
              <w:pStyle w:val="21"/>
              <w:numPr>
                <w:ilvl w:val="0"/>
                <w:numId w:val="0"/>
              </w:numPr>
              <w:spacing w:line="278" w:lineRule="auto"/>
              <w:ind w:right="96" w:rightChars="0"/>
              <w:jc w:val="center"/>
              <w:rPr>
                <w:spacing w:val="-19"/>
                <w:sz w:val="21"/>
                <w:highlight w:val="none"/>
              </w:rPr>
            </w:pPr>
            <w:r>
              <w:rPr>
                <w:sz w:val="21"/>
                <w:highlight w:val="none"/>
              </w:rPr>
              <w:t>合计</w:t>
            </w:r>
          </w:p>
        </w:tc>
        <w:tc>
          <w:tcPr>
            <w:tcW w:w="1072" w:type="dxa"/>
            <w:tcBorders>
              <w:bottom w:val="single" w:color="auto" w:sz="4" w:space="0"/>
              <w:right w:val="single" w:color="auto" w:sz="4" w:space="0"/>
            </w:tcBorders>
            <w:vAlign w:val="center"/>
          </w:tcPr>
          <w:p>
            <w:pPr>
              <w:bidi w:val="0"/>
              <w:jc w:val="center"/>
              <w:rPr>
                <w:rFonts w:hint="default"/>
                <w:highlight w:val="none"/>
                <w:lang w:val="en-US" w:eastAsia="zh-CN"/>
              </w:rPr>
            </w:pPr>
            <w:r>
              <w:rPr>
                <w:rFonts w:hint="eastAsia"/>
                <w:highlight w:val="none"/>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9868" w:type="dxa"/>
            <w:gridSpan w:val="5"/>
            <w:tcBorders>
              <w:top w:val="single" w:color="auto" w:sz="4" w:space="0"/>
              <w:left w:val="single" w:color="auto" w:sz="4" w:space="0"/>
              <w:bottom w:val="single" w:color="auto" w:sz="4" w:space="0"/>
              <w:right w:val="single" w:color="auto" w:sz="4" w:space="0"/>
            </w:tcBorders>
            <w:vAlign w:val="center"/>
          </w:tcPr>
          <w:p>
            <w:pPr>
              <w:pStyle w:val="21"/>
              <w:spacing w:before="123" w:line="278" w:lineRule="auto"/>
              <w:ind w:left="108" w:right="97"/>
              <w:jc w:val="both"/>
              <w:rPr>
                <w:sz w:val="21"/>
                <w:highlight w:val="none"/>
              </w:rPr>
            </w:pPr>
            <w:r>
              <w:rPr>
                <w:spacing w:val="4"/>
                <w:sz w:val="21"/>
                <w:highlight w:val="none"/>
              </w:rPr>
              <w:t xml:space="preserve">注： </w:t>
            </w:r>
            <w:r>
              <w:rPr>
                <w:spacing w:val="-3"/>
                <w:sz w:val="21"/>
                <w:highlight w:val="none"/>
              </w:rPr>
              <w:t>1</w:t>
            </w:r>
            <w:r>
              <w:rPr>
                <w:spacing w:val="-6"/>
                <w:sz w:val="21"/>
                <w:highlight w:val="none"/>
              </w:rPr>
              <w:t xml:space="preserve">、计算过程中，算术平均值保留 </w:t>
            </w:r>
            <w:r>
              <w:rPr>
                <w:sz w:val="21"/>
                <w:highlight w:val="none"/>
              </w:rPr>
              <w:t>2</w:t>
            </w:r>
            <w:r>
              <w:rPr>
                <w:spacing w:val="-20"/>
                <w:sz w:val="21"/>
                <w:highlight w:val="none"/>
              </w:rPr>
              <w:t xml:space="preserve"> 位小数</w:t>
            </w:r>
            <w:r>
              <w:rPr>
                <w:spacing w:val="-3"/>
                <w:sz w:val="21"/>
                <w:highlight w:val="none"/>
              </w:rPr>
              <w:t>（</w:t>
            </w:r>
            <w:r>
              <w:rPr>
                <w:spacing w:val="-10"/>
                <w:sz w:val="21"/>
                <w:highlight w:val="none"/>
              </w:rPr>
              <w:t xml:space="preserve">百分比亦取 </w:t>
            </w:r>
            <w:r>
              <w:rPr>
                <w:sz w:val="21"/>
                <w:highlight w:val="none"/>
              </w:rPr>
              <w:t>2</w:t>
            </w:r>
            <w:r>
              <w:rPr>
                <w:spacing w:val="-14"/>
                <w:sz w:val="21"/>
                <w:highlight w:val="none"/>
              </w:rPr>
              <w:t xml:space="preserve"> 位小数</w:t>
            </w:r>
            <w:r>
              <w:rPr>
                <w:spacing w:val="-15"/>
                <w:sz w:val="21"/>
                <w:highlight w:val="none"/>
              </w:rPr>
              <w:t>）</w:t>
            </w:r>
            <w:r>
              <w:rPr>
                <w:spacing w:val="-8"/>
                <w:sz w:val="21"/>
                <w:highlight w:val="none"/>
              </w:rPr>
              <w:t>，第</w:t>
            </w:r>
            <w:r>
              <w:rPr>
                <w:spacing w:val="-5"/>
                <w:sz w:val="21"/>
                <w:highlight w:val="none"/>
              </w:rPr>
              <w:t>三位小数四舍五入。</w:t>
            </w:r>
            <w:r>
              <w:rPr>
                <w:sz w:val="21"/>
                <w:highlight w:val="none"/>
              </w:rPr>
              <w:t xml:space="preserve"> </w:t>
            </w:r>
          </w:p>
          <w:p>
            <w:pPr>
              <w:pStyle w:val="21"/>
              <w:spacing w:line="269" w:lineRule="exact"/>
              <w:ind w:left="208" w:right="97"/>
              <w:jc w:val="both"/>
              <w:rPr>
                <w:sz w:val="21"/>
                <w:highlight w:val="none"/>
              </w:rPr>
            </w:pPr>
            <w:r>
              <w:rPr>
                <w:sz w:val="21"/>
                <w:highlight w:val="none"/>
              </w:rPr>
              <w:t xml:space="preserve">2、投标人的最终得分为：所有评委对其评分的算术平均值。 </w:t>
            </w:r>
          </w:p>
          <w:p>
            <w:pPr>
              <w:bidi w:val="0"/>
              <w:jc w:val="both"/>
              <w:rPr>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563" w:type="dxa"/>
            <w:gridSpan w:val="2"/>
            <w:tcBorders>
              <w:left w:val="single" w:color="auto" w:sz="4" w:space="0"/>
            </w:tcBorders>
            <w:vAlign w:val="center"/>
          </w:tcPr>
          <w:p>
            <w:pPr>
              <w:pStyle w:val="21"/>
              <w:spacing w:before="9"/>
              <w:jc w:val="center"/>
              <w:rPr>
                <w:sz w:val="22"/>
                <w:highlight w:val="none"/>
              </w:rPr>
            </w:pPr>
          </w:p>
          <w:p>
            <w:pPr>
              <w:pStyle w:val="21"/>
              <w:jc w:val="center"/>
              <w:rPr>
                <w:sz w:val="21"/>
                <w:highlight w:val="none"/>
              </w:rPr>
            </w:pPr>
            <w:r>
              <w:rPr>
                <w:sz w:val="21"/>
                <w:highlight w:val="none"/>
              </w:rPr>
              <w:t>废标条款</w:t>
            </w:r>
          </w:p>
        </w:tc>
        <w:tc>
          <w:tcPr>
            <w:tcW w:w="8305" w:type="dxa"/>
            <w:gridSpan w:val="3"/>
            <w:tcBorders>
              <w:right w:val="single" w:color="auto" w:sz="4" w:space="0"/>
            </w:tcBorders>
            <w:vAlign w:val="center"/>
          </w:tcPr>
          <w:p>
            <w:pPr>
              <w:pStyle w:val="21"/>
              <w:numPr>
                <w:ilvl w:val="0"/>
                <w:numId w:val="30"/>
              </w:numPr>
              <w:tabs>
                <w:tab w:val="left" w:pos="1422"/>
              </w:tabs>
              <w:spacing w:before="124" w:after="0" w:line="240" w:lineRule="auto"/>
              <w:ind w:left="107" w:leftChars="0" w:right="0" w:rightChars="0"/>
              <w:jc w:val="both"/>
              <w:rPr>
                <w:sz w:val="21"/>
                <w:highlight w:val="none"/>
              </w:rPr>
            </w:pPr>
            <w:r>
              <w:rPr>
                <w:spacing w:val="-3"/>
                <w:sz w:val="21"/>
                <w:highlight w:val="none"/>
              </w:rPr>
              <w:t>未按照招标文件的规定提交投标保证金的</w:t>
            </w:r>
            <w:r>
              <w:rPr>
                <w:sz w:val="21"/>
                <w:highlight w:val="none"/>
              </w:rPr>
              <w:t xml:space="preserve"> </w:t>
            </w:r>
          </w:p>
          <w:p>
            <w:pPr>
              <w:pStyle w:val="21"/>
              <w:numPr>
                <w:ilvl w:val="0"/>
                <w:numId w:val="30"/>
              </w:numPr>
              <w:tabs>
                <w:tab w:val="left" w:pos="1422"/>
              </w:tabs>
              <w:spacing w:before="124" w:after="0" w:line="240" w:lineRule="auto"/>
              <w:ind w:left="107" w:leftChars="0" w:right="0" w:rightChars="0"/>
              <w:jc w:val="both"/>
              <w:rPr>
                <w:sz w:val="21"/>
                <w:highlight w:val="none"/>
              </w:rPr>
            </w:pPr>
            <w:r>
              <w:rPr>
                <w:spacing w:val="-3"/>
                <w:sz w:val="21"/>
                <w:highlight w:val="none"/>
              </w:rPr>
              <w:t>投标文件未按招标文件要求签署、盖章的</w:t>
            </w:r>
            <w:r>
              <w:rPr>
                <w:sz w:val="21"/>
                <w:highlight w:val="none"/>
              </w:rPr>
              <w:t xml:space="preserve"> </w:t>
            </w:r>
          </w:p>
          <w:p>
            <w:pPr>
              <w:pStyle w:val="21"/>
              <w:numPr>
                <w:ilvl w:val="0"/>
                <w:numId w:val="30"/>
              </w:numPr>
              <w:tabs>
                <w:tab w:val="left" w:pos="1422"/>
              </w:tabs>
              <w:spacing w:before="124" w:after="0" w:line="240" w:lineRule="auto"/>
              <w:ind w:left="107" w:leftChars="0" w:right="0" w:rightChars="0"/>
              <w:jc w:val="both"/>
              <w:rPr>
                <w:sz w:val="21"/>
                <w:highlight w:val="none"/>
              </w:rPr>
            </w:pPr>
            <w:r>
              <w:rPr>
                <w:spacing w:val="-3"/>
                <w:sz w:val="21"/>
                <w:highlight w:val="none"/>
              </w:rPr>
              <w:t>不具备招标文件中规定的资格要求</w:t>
            </w:r>
            <w:r>
              <w:rPr>
                <w:sz w:val="21"/>
                <w:highlight w:val="none"/>
              </w:rPr>
              <w:t xml:space="preserve"> </w:t>
            </w:r>
          </w:p>
          <w:p>
            <w:pPr>
              <w:pStyle w:val="21"/>
              <w:numPr>
                <w:ilvl w:val="0"/>
                <w:numId w:val="30"/>
              </w:numPr>
              <w:tabs>
                <w:tab w:val="left" w:pos="1422"/>
              </w:tabs>
              <w:spacing w:before="124" w:after="0" w:line="240" w:lineRule="auto"/>
              <w:ind w:left="107" w:leftChars="0" w:right="0" w:rightChars="0"/>
              <w:jc w:val="both"/>
              <w:rPr>
                <w:sz w:val="21"/>
                <w:highlight w:val="none"/>
              </w:rPr>
            </w:pPr>
            <w:r>
              <w:rPr>
                <w:spacing w:val="-3"/>
                <w:sz w:val="21"/>
                <w:highlight w:val="none"/>
              </w:rPr>
              <w:t>报价超过招标文件中规定的预算金额或者最高限价的</w:t>
            </w:r>
            <w:r>
              <w:rPr>
                <w:sz w:val="21"/>
                <w:highlight w:val="none"/>
              </w:rPr>
              <w:t xml:space="preserve"> </w:t>
            </w:r>
          </w:p>
          <w:p>
            <w:pPr>
              <w:pStyle w:val="21"/>
              <w:numPr>
                <w:ilvl w:val="0"/>
                <w:numId w:val="30"/>
              </w:numPr>
              <w:tabs>
                <w:tab w:val="left" w:pos="1422"/>
              </w:tabs>
              <w:spacing w:before="124" w:after="0" w:line="240" w:lineRule="auto"/>
              <w:ind w:left="107" w:leftChars="0" w:right="0" w:rightChars="0"/>
              <w:jc w:val="both"/>
              <w:rPr>
                <w:sz w:val="21"/>
                <w:highlight w:val="none"/>
              </w:rPr>
            </w:pPr>
            <w:r>
              <w:rPr>
                <w:spacing w:val="-3"/>
                <w:sz w:val="21"/>
                <w:highlight w:val="none"/>
              </w:rPr>
              <w:t>投标文件含有采购人不能接受的附加条件的</w:t>
            </w:r>
            <w:r>
              <w:rPr>
                <w:sz w:val="21"/>
                <w:highlight w:val="none"/>
              </w:rPr>
              <w:t xml:space="preserve"> </w:t>
            </w:r>
          </w:p>
          <w:p>
            <w:pPr>
              <w:pStyle w:val="21"/>
              <w:numPr>
                <w:ilvl w:val="0"/>
                <w:numId w:val="30"/>
              </w:numPr>
              <w:tabs>
                <w:tab w:val="left" w:pos="1422"/>
              </w:tabs>
              <w:spacing w:before="124" w:after="0" w:line="240" w:lineRule="auto"/>
              <w:ind w:left="107" w:leftChars="0" w:right="0" w:rightChars="0"/>
              <w:jc w:val="both"/>
              <w:rPr>
                <w:sz w:val="21"/>
                <w:highlight w:val="none"/>
              </w:rPr>
            </w:pPr>
            <w:r>
              <w:rPr>
                <w:spacing w:val="-3"/>
                <w:sz w:val="21"/>
                <w:highlight w:val="none"/>
              </w:rPr>
              <w:t>法律、法规和招标文件规定的其他无效情形</w:t>
            </w:r>
            <w:r>
              <w:rPr>
                <w:sz w:val="21"/>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563" w:type="dxa"/>
            <w:gridSpan w:val="2"/>
            <w:tcBorders>
              <w:left w:val="single" w:color="auto" w:sz="4" w:space="0"/>
              <w:bottom w:val="single" w:color="auto" w:sz="4" w:space="0"/>
            </w:tcBorders>
            <w:vAlign w:val="center"/>
          </w:tcPr>
          <w:p>
            <w:pPr>
              <w:pStyle w:val="21"/>
              <w:numPr>
                <w:ilvl w:val="0"/>
                <w:numId w:val="0"/>
              </w:numPr>
              <w:tabs>
                <w:tab w:val="left" w:pos="1422"/>
              </w:tabs>
              <w:spacing w:before="124" w:after="0" w:line="240" w:lineRule="auto"/>
              <w:ind w:right="0" w:rightChars="0"/>
              <w:jc w:val="center"/>
              <w:rPr>
                <w:rFonts w:hint="eastAsia"/>
                <w:spacing w:val="-3"/>
                <w:sz w:val="21"/>
                <w:highlight w:val="none"/>
                <w:lang w:val="en-US" w:eastAsia="zh-CN"/>
              </w:rPr>
            </w:pPr>
            <w:r>
              <w:rPr>
                <w:rFonts w:hint="eastAsia"/>
                <w:spacing w:val="-3"/>
                <w:sz w:val="21"/>
                <w:highlight w:val="none"/>
                <w:lang w:val="en-US" w:eastAsia="zh-CN"/>
              </w:rPr>
              <w:t>特别说明</w:t>
            </w:r>
          </w:p>
        </w:tc>
        <w:tc>
          <w:tcPr>
            <w:tcW w:w="8305" w:type="dxa"/>
            <w:gridSpan w:val="3"/>
            <w:tcBorders>
              <w:bottom w:val="single" w:color="auto" w:sz="4" w:space="0"/>
              <w:right w:val="single" w:color="auto" w:sz="4" w:space="0"/>
            </w:tcBorders>
            <w:vAlign w:val="center"/>
          </w:tcPr>
          <w:p>
            <w:pPr>
              <w:pStyle w:val="21"/>
              <w:numPr>
                <w:ilvl w:val="0"/>
                <w:numId w:val="0"/>
              </w:numPr>
              <w:tabs>
                <w:tab w:val="left" w:pos="1422"/>
              </w:tabs>
              <w:spacing w:before="124" w:after="0" w:line="240" w:lineRule="auto"/>
              <w:ind w:right="0" w:rightChars="0"/>
              <w:jc w:val="both"/>
              <w:rPr>
                <w:spacing w:val="-3"/>
                <w:sz w:val="21"/>
                <w:highlight w:val="none"/>
              </w:rPr>
            </w:pPr>
            <w:r>
              <w:rPr>
                <w:rFonts w:hint="eastAsia"/>
                <w:spacing w:val="-3"/>
                <w:sz w:val="21"/>
                <w:highlight w:val="none"/>
                <w:lang w:val="en-US" w:eastAsia="zh-CN"/>
              </w:rPr>
              <w:t>省级包括</w:t>
            </w:r>
            <w:r>
              <w:rPr>
                <w:rFonts w:hint="eastAsia"/>
                <w:spacing w:val="-3"/>
                <w:sz w:val="21"/>
                <w:highlight w:val="none"/>
              </w:rPr>
              <w:t>省、自治区、直辖市</w:t>
            </w:r>
            <w:r>
              <w:rPr>
                <w:rFonts w:hint="eastAsia"/>
                <w:spacing w:val="-3"/>
                <w:sz w:val="21"/>
                <w:highlight w:val="none"/>
                <w:lang w:eastAsia="zh-CN"/>
              </w:rPr>
              <w:t>、</w:t>
            </w:r>
            <w:r>
              <w:rPr>
                <w:rFonts w:hint="eastAsia"/>
                <w:spacing w:val="-3"/>
                <w:sz w:val="21"/>
                <w:highlight w:val="none"/>
                <w:lang w:val="en-US" w:eastAsia="zh-CN"/>
              </w:rPr>
              <w:t>特别行政区</w:t>
            </w:r>
            <w:r>
              <w:rPr>
                <w:rFonts w:hint="eastAsia"/>
                <w:spacing w:val="-3"/>
                <w:sz w:val="21"/>
                <w:highlight w:val="none"/>
                <w:lang w:eastAsia="zh-CN"/>
              </w:rPr>
              <w:t>；</w:t>
            </w:r>
            <w:r>
              <w:rPr>
                <w:rFonts w:hint="eastAsia"/>
                <w:spacing w:val="-3"/>
                <w:sz w:val="21"/>
                <w:highlight w:val="none"/>
              </w:rPr>
              <w:t>市级</w:t>
            </w:r>
            <w:r>
              <w:rPr>
                <w:rFonts w:hint="eastAsia"/>
                <w:spacing w:val="-3"/>
                <w:sz w:val="21"/>
                <w:highlight w:val="none"/>
                <w:lang w:val="en-US" w:eastAsia="zh-CN"/>
              </w:rPr>
              <w:t>包括</w:t>
            </w:r>
            <w:r>
              <w:rPr>
                <w:rFonts w:hint="eastAsia"/>
                <w:spacing w:val="-3"/>
                <w:sz w:val="21"/>
                <w:highlight w:val="none"/>
              </w:rPr>
              <w:t>地级市、直辖市区、自治州</w:t>
            </w:r>
          </w:p>
        </w:tc>
      </w:tr>
    </w:tbl>
    <w:p>
      <w:pPr>
        <w:pStyle w:val="10"/>
        <w:spacing w:before="4"/>
        <w:ind w:left="0"/>
        <w:rPr>
          <w:sz w:val="25"/>
          <w:highlight w:val="none"/>
        </w:rPr>
      </w:pPr>
    </w:p>
    <w:p>
      <w:pPr>
        <w:pStyle w:val="10"/>
        <w:spacing w:before="67" w:line="364" w:lineRule="auto"/>
        <w:ind w:right="1800" w:firstLine="479"/>
        <w:rPr>
          <w:highlight w:val="none"/>
        </w:rPr>
      </w:pPr>
      <w:r>
        <w:rPr>
          <w:highlight w:val="none"/>
        </w:rPr>
        <w:t xml:space="preserve">1、经评标委员会认可小、微企业产品和产品报价后，投标人相应产品政策计算公式如下： </w:t>
      </w:r>
    </w:p>
    <w:p>
      <w:pPr>
        <w:pStyle w:val="10"/>
        <w:spacing w:before="1" w:line="364" w:lineRule="auto"/>
        <w:ind w:right="1787" w:firstLine="479"/>
        <w:rPr>
          <w:highlight w:val="none"/>
        </w:rPr>
      </w:pPr>
      <w:r>
        <w:rPr>
          <w:highlight w:val="none"/>
        </w:rPr>
        <w:t>中小微企业产品价格扣除后的投标人报价=投标人总报价-中小微企业产品报价*扣除幅度。（以价格扣除后的投标人报价作为评审依据</w:t>
      </w:r>
      <w:r>
        <w:rPr>
          <w:rFonts w:hint="eastAsia"/>
          <w:highlight w:val="none"/>
          <w:lang w:eastAsia="zh-CN"/>
        </w:rPr>
        <w:t>，</w:t>
      </w:r>
      <w:r>
        <w:rPr>
          <w:rFonts w:hint="eastAsia"/>
          <w:highlight w:val="none"/>
          <w:lang w:val="en-US" w:eastAsia="zh-CN"/>
        </w:rPr>
        <w:t>投标人必须提供中小微企业声明函，否则不予扣除</w:t>
      </w:r>
      <w:r>
        <w:rPr>
          <w:highlight w:val="none"/>
        </w:rPr>
        <w:t xml:space="preserve">） </w:t>
      </w:r>
    </w:p>
    <w:p>
      <w:pPr>
        <w:pStyle w:val="10"/>
        <w:spacing w:before="1" w:line="364" w:lineRule="auto"/>
        <w:ind w:right="1792" w:firstLine="479"/>
        <w:jc w:val="both"/>
        <w:rPr>
          <w:highlight w:val="none"/>
        </w:rPr>
      </w:pPr>
      <w:r>
        <w:rPr>
          <w:highlight w:val="none"/>
        </w:rPr>
        <w:t>2、评标委员会应当执行连续评标的原则完成全部评标工作。只有发生不可</w:t>
      </w:r>
      <w:r>
        <w:rPr>
          <w:spacing w:val="-7"/>
          <w:highlight w:val="none"/>
        </w:rPr>
        <w:t>抗力导致评标工作无法继续时，评标活动方可暂停。发生评标暂停情况时，评标</w:t>
      </w:r>
      <w:r>
        <w:rPr>
          <w:spacing w:val="-6"/>
          <w:highlight w:val="none"/>
        </w:rPr>
        <w:t>委员会应当封存全部投标文件和评标记录，待不可抗力的影响结束且具备继续评</w:t>
      </w:r>
      <w:r>
        <w:rPr>
          <w:highlight w:val="none"/>
        </w:rPr>
        <w:t xml:space="preserve">标的条件时，由原评标委员会继续评标。 </w:t>
      </w:r>
    </w:p>
    <w:p>
      <w:pPr>
        <w:pStyle w:val="10"/>
        <w:spacing w:before="3" w:line="364" w:lineRule="auto"/>
        <w:ind w:right="1791" w:firstLine="479"/>
        <w:jc w:val="both"/>
        <w:rPr>
          <w:highlight w:val="none"/>
        </w:rPr>
      </w:pPr>
      <w:r>
        <w:rPr>
          <w:highlight w:val="none"/>
        </w:rPr>
        <w:t>3</w:t>
      </w:r>
      <w:r>
        <w:rPr>
          <w:spacing w:val="-8"/>
          <w:highlight w:val="none"/>
        </w:rPr>
        <w:t>、除非发生下列情况之一，评标委员会成员不得在评标中途更换：</w:t>
      </w:r>
      <w:r>
        <w:rPr>
          <w:spacing w:val="-7"/>
          <w:highlight w:val="none"/>
        </w:rPr>
        <w:t>(1)</w:t>
      </w:r>
      <w:r>
        <w:rPr>
          <w:spacing w:val="-8"/>
          <w:highlight w:val="none"/>
        </w:rPr>
        <w:t>因不</w:t>
      </w:r>
      <w:r>
        <w:rPr>
          <w:highlight w:val="none"/>
        </w:rPr>
        <w:t>可抗拒的客观原因，不能到场或需在评标中途退出评标活动；(2</w:t>
      </w:r>
      <w:r>
        <w:rPr>
          <w:spacing w:val="-2"/>
          <w:highlight w:val="none"/>
        </w:rPr>
        <w:t>)根据法律法规</w:t>
      </w:r>
      <w:r>
        <w:rPr>
          <w:spacing w:val="-10"/>
          <w:highlight w:val="none"/>
        </w:rPr>
        <w:t>规定，某个或某几个评标委员会成员需要回避。退出评标的评标委员会成员，其已完成的评标行为无效。根据本招标文件规定的评标委员会成员产生方式另行确</w:t>
      </w:r>
      <w:r>
        <w:rPr>
          <w:highlight w:val="none"/>
        </w:rPr>
        <w:t xml:space="preserve">定替代者进行评标。 </w:t>
      </w:r>
    </w:p>
    <w:p>
      <w:pPr>
        <w:pStyle w:val="10"/>
        <w:spacing w:before="3" w:line="364" w:lineRule="auto"/>
        <w:ind w:right="1791" w:firstLine="479"/>
        <w:jc w:val="both"/>
        <w:rPr>
          <w:highlight w:val="none"/>
        </w:rPr>
      </w:pPr>
      <w:r>
        <w:rPr>
          <w:highlight w:val="none"/>
        </w:rPr>
        <w:t xml:space="preserve">4、在任何评标环节中，需评标委员会就某项评审结论做出表决的，由评标委员会全体成员按照少数服从多数的原则，以记名投票方式表决。 </w:t>
      </w:r>
    </w:p>
    <w:p>
      <w:pPr>
        <w:spacing w:after="0"/>
        <w:rPr>
          <w:highlight w:val="none"/>
        </w:rPr>
      </w:pPr>
    </w:p>
    <w:p>
      <w:pPr>
        <w:pStyle w:val="10"/>
        <w:rPr>
          <w:highlight w:val="none"/>
        </w:rPr>
      </w:pPr>
    </w:p>
    <w:p>
      <w:pPr>
        <w:pStyle w:val="10"/>
        <w:spacing w:before="3" w:line="364" w:lineRule="auto"/>
        <w:ind w:left="0" w:leftChars="0" w:right="1791" w:firstLine="0" w:firstLineChars="0"/>
        <w:jc w:val="both"/>
        <w:rPr>
          <w:rFonts w:hint="default"/>
          <w:highlight w:val="none"/>
          <w:lang w:val="en-US" w:eastAsia="zh-CN"/>
        </w:rPr>
        <w:sectPr>
          <w:pgSz w:w="11910" w:h="16840"/>
          <w:pgMar w:top="1420" w:right="0" w:bottom="1100" w:left="980" w:header="0" w:footer="915" w:gutter="0"/>
          <w:cols w:space="720" w:num="1"/>
        </w:sectPr>
      </w:pPr>
    </w:p>
    <w:p>
      <w:pPr>
        <w:pStyle w:val="10"/>
        <w:spacing w:before="4"/>
        <w:ind w:left="0"/>
        <w:rPr>
          <w:rFonts w:ascii="Times New Roman"/>
          <w:sz w:val="17"/>
          <w:highlight w:val="none"/>
        </w:rPr>
      </w:pPr>
    </w:p>
    <w:p>
      <w:pPr>
        <w:spacing w:before="233"/>
        <w:ind w:left="818" w:right="0" w:firstLine="0"/>
        <w:jc w:val="left"/>
        <w:rPr>
          <w:sz w:val="36"/>
          <w:highlight w:val="none"/>
        </w:rPr>
      </w:pPr>
      <w:bookmarkStart w:id="38" w:name="第五部分   政府采购合同"/>
      <w:bookmarkEnd w:id="38"/>
      <w:r>
        <w:rPr>
          <w:sz w:val="36"/>
          <w:highlight w:val="none"/>
        </w:rPr>
        <w:t xml:space="preserve"> </w:t>
      </w:r>
    </w:p>
    <w:p>
      <w:pPr>
        <w:pStyle w:val="10"/>
        <w:spacing w:before="81"/>
        <w:rPr>
          <w:highlight w:val="none"/>
        </w:rPr>
      </w:pPr>
      <w:r>
        <w:rPr>
          <w:highlight w:val="none"/>
        </w:rPr>
        <w:t xml:space="preserve">合同编号： </w:t>
      </w:r>
    </w:p>
    <w:p>
      <w:pPr>
        <w:pStyle w:val="6"/>
        <w:spacing w:before="45" w:line="240" w:lineRule="auto"/>
        <w:ind w:left="818"/>
        <w:outlineLvl w:val="9"/>
        <w:rPr>
          <w:highlight w:val="none"/>
        </w:rPr>
      </w:pPr>
      <w:r>
        <w:rPr>
          <w:w w:val="200"/>
          <w:highlight w:val="none"/>
        </w:rPr>
        <w:t xml:space="preserve"> </w:t>
      </w:r>
    </w:p>
    <w:p>
      <w:pPr>
        <w:pStyle w:val="4"/>
        <w:ind w:left="716"/>
        <w:rPr>
          <w:highlight w:val="none"/>
        </w:rPr>
      </w:pPr>
      <w:bookmarkStart w:id="39" w:name="_Toc1224"/>
      <w:r>
        <w:rPr>
          <w:b w:val="0"/>
          <w:highlight w:val="none"/>
        </w:rPr>
        <w:br w:type="column"/>
      </w:r>
      <w:r>
        <w:rPr>
          <w:highlight w:val="none"/>
        </w:rPr>
        <w:t>第五部分 政府采购合同</w:t>
      </w:r>
      <w:bookmarkEnd w:id="39"/>
      <w:r>
        <w:rPr>
          <w:w w:val="200"/>
          <w:highlight w:val="none"/>
        </w:rPr>
        <w:t xml:space="preserve"> </w:t>
      </w:r>
    </w:p>
    <w:p>
      <w:pPr>
        <w:spacing w:after="0"/>
        <w:rPr>
          <w:highlight w:val="none"/>
        </w:rPr>
        <w:sectPr>
          <w:pgSz w:w="11910" w:h="16840"/>
          <w:pgMar w:top="1480" w:right="0" w:bottom="1100" w:left="980" w:header="0" w:footer="915" w:gutter="0"/>
          <w:cols w:equalWidth="0" w:num="2">
            <w:col w:w="2139" w:space="40"/>
            <w:col w:w="8751"/>
          </w:cols>
        </w:sectPr>
      </w:pPr>
    </w:p>
    <w:p>
      <w:pPr>
        <w:pStyle w:val="10"/>
        <w:ind w:left="0"/>
        <w:rPr>
          <w:rFonts w:ascii="Microsoft JhengHei"/>
          <w:b/>
          <w:sz w:val="20"/>
          <w:highlight w:val="none"/>
        </w:rPr>
      </w:pPr>
    </w:p>
    <w:p>
      <w:pPr>
        <w:pStyle w:val="10"/>
        <w:ind w:left="0"/>
        <w:rPr>
          <w:rFonts w:ascii="Microsoft JhengHei"/>
          <w:b/>
          <w:sz w:val="20"/>
          <w:highlight w:val="none"/>
        </w:rPr>
      </w:pPr>
    </w:p>
    <w:p>
      <w:pPr>
        <w:pStyle w:val="10"/>
        <w:ind w:left="0"/>
        <w:rPr>
          <w:rFonts w:ascii="Microsoft JhengHei"/>
          <w:b/>
          <w:sz w:val="20"/>
          <w:highlight w:val="none"/>
        </w:rPr>
      </w:pPr>
    </w:p>
    <w:p>
      <w:pPr>
        <w:pStyle w:val="10"/>
        <w:spacing w:before="2"/>
        <w:ind w:left="0"/>
        <w:rPr>
          <w:rFonts w:ascii="Microsoft JhengHei"/>
          <w:b/>
          <w:sz w:val="11"/>
          <w:highlight w:val="none"/>
        </w:rPr>
      </w:pPr>
    </w:p>
    <w:p>
      <w:pPr>
        <w:spacing w:before="0" w:line="702" w:lineRule="exact"/>
        <w:ind w:left="1940" w:right="2698" w:firstLine="0"/>
        <w:jc w:val="center"/>
        <w:outlineLvl w:val="0"/>
        <w:rPr>
          <w:rFonts w:hint="eastAsia" w:ascii="Microsoft JhengHei" w:eastAsia="Microsoft JhengHei"/>
          <w:b/>
          <w:sz w:val="44"/>
          <w:highlight w:val="none"/>
        </w:rPr>
      </w:pPr>
      <w:bookmarkStart w:id="40" w:name="_Toc7156"/>
      <w:r>
        <w:rPr>
          <w:rFonts w:hint="eastAsia" w:ascii="Microsoft JhengHei" w:eastAsia="Microsoft JhengHei"/>
          <w:b/>
          <w:sz w:val="44"/>
          <w:highlight w:val="none"/>
        </w:rPr>
        <w:t>政府采购合同草案</w:t>
      </w:r>
      <w:bookmarkEnd w:id="40"/>
      <w:r>
        <w:rPr>
          <w:rFonts w:hint="eastAsia" w:ascii="Microsoft JhengHei" w:eastAsia="Microsoft JhengHei"/>
          <w:b/>
          <w:w w:val="199"/>
          <w:sz w:val="44"/>
          <w:highlight w:val="none"/>
        </w:rPr>
        <w:t xml:space="preserve"> </w:t>
      </w:r>
    </w:p>
    <w:p>
      <w:pPr>
        <w:pStyle w:val="10"/>
        <w:ind w:left="0"/>
        <w:rPr>
          <w:rFonts w:ascii="Microsoft JhengHei"/>
          <w:b/>
          <w:sz w:val="44"/>
          <w:highlight w:val="none"/>
        </w:rPr>
      </w:pPr>
    </w:p>
    <w:p>
      <w:pPr>
        <w:pStyle w:val="10"/>
        <w:spacing w:before="15"/>
        <w:ind w:left="0"/>
        <w:rPr>
          <w:rFonts w:ascii="Microsoft JhengHei"/>
          <w:b/>
          <w:sz w:val="32"/>
          <w:highlight w:val="none"/>
        </w:rPr>
      </w:pPr>
    </w:p>
    <w:p>
      <w:pPr>
        <w:pStyle w:val="7"/>
        <w:spacing w:before="1"/>
        <w:ind w:left="1843" w:right="2698"/>
        <w:jc w:val="center"/>
        <w:outlineLvl w:val="0"/>
        <w:rPr>
          <w:highlight w:val="none"/>
        </w:rPr>
      </w:pPr>
      <w:bookmarkStart w:id="41" w:name="_Toc15656"/>
      <w:r>
        <w:rPr>
          <w:highlight w:val="none"/>
        </w:rPr>
        <w:t>第一部分  合同书</w:t>
      </w:r>
      <w:bookmarkEnd w:id="41"/>
      <w:r>
        <w:rPr>
          <w:w w:val="200"/>
          <w:highlight w:val="none"/>
        </w:rPr>
        <w:t xml:space="preserve"> </w:t>
      </w:r>
    </w:p>
    <w:p>
      <w:pPr>
        <w:pStyle w:val="10"/>
        <w:ind w:left="0"/>
        <w:rPr>
          <w:rFonts w:ascii="Microsoft JhengHei"/>
          <w:b/>
          <w:highlight w:val="none"/>
        </w:rPr>
      </w:pPr>
    </w:p>
    <w:p>
      <w:pPr>
        <w:pStyle w:val="10"/>
        <w:ind w:left="0"/>
        <w:rPr>
          <w:rFonts w:ascii="Microsoft JhengHei"/>
          <w:b/>
          <w:highlight w:val="none"/>
        </w:rPr>
      </w:pPr>
    </w:p>
    <w:p>
      <w:pPr>
        <w:pStyle w:val="10"/>
        <w:spacing w:before="4"/>
        <w:ind w:left="0"/>
        <w:rPr>
          <w:rFonts w:ascii="Microsoft JhengHei"/>
          <w:b/>
          <w:sz w:val="13"/>
          <w:highlight w:val="none"/>
        </w:rPr>
      </w:pPr>
    </w:p>
    <w:p>
      <w:pPr>
        <w:pStyle w:val="10"/>
        <w:ind w:left="1778"/>
        <w:rPr>
          <w:highlight w:val="none"/>
        </w:rPr>
      </w:pPr>
      <w:r>
        <w:rPr>
          <w:highlight w:val="none"/>
        </w:rPr>
        <w:t xml:space="preserve">项目名称： </w:t>
      </w:r>
    </w:p>
    <w:p>
      <w:pPr>
        <w:pStyle w:val="10"/>
        <w:ind w:left="0"/>
        <w:rPr>
          <w:highlight w:val="none"/>
        </w:rPr>
      </w:pPr>
    </w:p>
    <w:p>
      <w:pPr>
        <w:pStyle w:val="10"/>
        <w:ind w:left="0"/>
        <w:rPr>
          <w:highlight w:val="none"/>
        </w:rPr>
      </w:pPr>
    </w:p>
    <w:p>
      <w:pPr>
        <w:pStyle w:val="10"/>
        <w:ind w:left="0"/>
        <w:rPr>
          <w:highlight w:val="none"/>
        </w:rPr>
      </w:pPr>
    </w:p>
    <w:p>
      <w:pPr>
        <w:pStyle w:val="10"/>
        <w:spacing w:before="7"/>
        <w:ind w:left="0"/>
        <w:rPr>
          <w:sz w:val="29"/>
          <w:highlight w:val="none"/>
        </w:rPr>
      </w:pPr>
    </w:p>
    <w:p>
      <w:pPr>
        <w:pStyle w:val="10"/>
        <w:spacing w:line="674" w:lineRule="auto"/>
        <w:ind w:left="1778" w:right="8066"/>
        <w:rPr>
          <w:highlight w:val="none"/>
        </w:rPr>
      </w:pPr>
      <w:r>
        <w:rPr>
          <w:highlight w:val="none"/>
        </w:rPr>
        <w:t xml:space="preserve">甲 方 ： 乙 方 ： 签订地： </w:t>
      </w:r>
    </w:p>
    <w:p>
      <w:pPr>
        <w:pStyle w:val="10"/>
        <w:ind w:left="1778"/>
        <w:rPr>
          <w:highlight w:val="none"/>
        </w:rPr>
      </w:pPr>
      <w:r>
        <w:rPr>
          <w:highlight w:val="none"/>
        </w:rPr>
        <w:t xml:space="preserve">签订日期：年月日 </w:t>
      </w:r>
    </w:p>
    <w:p>
      <w:pPr>
        <w:pStyle w:val="10"/>
        <w:spacing w:before="213" w:line="436" w:lineRule="auto"/>
        <w:ind w:right="1791" w:firstLine="479"/>
        <w:rPr>
          <w:highlight w:val="none"/>
        </w:rPr>
      </w:pPr>
      <w:r>
        <w:rPr>
          <w:spacing w:val="-15"/>
          <w:highlight w:val="none"/>
        </w:rPr>
        <w:t>根据《中华人民共和国合同法》、《中华人民共和国政府采购法》等相关法律</w:t>
      </w:r>
      <w:r>
        <w:rPr>
          <w:spacing w:val="-25"/>
          <w:highlight w:val="none"/>
        </w:rPr>
        <w:t>法规之规定，按照平等、自愿、公平和诚实信用的原则，经</w:t>
      </w:r>
      <w:r>
        <w:rPr>
          <w:spacing w:val="2"/>
          <w:highlight w:val="none"/>
          <w:u w:val="single"/>
        </w:rPr>
        <w:t xml:space="preserve">  </w:t>
      </w:r>
      <w:r>
        <w:rPr>
          <w:highlight w:val="none"/>
          <w:u w:val="single"/>
        </w:rPr>
        <w:t>（采购人名称</w:t>
      </w:r>
      <w:r>
        <w:rPr>
          <w:spacing w:val="-115"/>
          <w:highlight w:val="none"/>
          <w:u w:val="single"/>
        </w:rPr>
        <w:t xml:space="preserve">）                                                                        </w:t>
      </w:r>
      <w:r>
        <w:rPr>
          <w:spacing w:val="-7"/>
          <w:highlight w:val="none"/>
        </w:rPr>
        <w:t>(以</w:t>
      </w:r>
    </w:p>
    <w:p>
      <w:pPr>
        <w:pStyle w:val="10"/>
        <w:spacing w:before="2"/>
        <w:rPr>
          <w:highlight w:val="none"/>
        </w:rPr>
      </w:pPr>
      <w:r>
        <w:rPr>
          <w:highlight w:val="none"/>
        </w:rPr>
        <w:t>下简称：甲方)和</w:t>
      </w:r>
      <w:r>
        <w:rPr>
          <w:spacing w:val="3"/>
          <w:highlight w:val="none"/>
          <w:u w:val="single"/>
        </w:rPr>
        <w:t xml:space="preserve">   </w:t>
      </w:r>
      <w:r>
        <w:rPr>
          <w:highlight w:val="none"/>
          <w:u w:val="single"/>
        </w:rPr>
        <w:t>（中标供应商名称）</w:t>
      </w:r>
      <w:r>
        <w:rPr>
          <w:spacing w:val="4"/>
          <w:highlight w:val="none"/>
          <w:u w:val="single"/>
        </w:rPr>
        <w:t xml:space="preserve">   </w:t>
      </w:r>
      <w:r>
        <w:rPr>
          <w:highlight w:val="none"/>
        </w:rPr>
        <w:t>(以下简称：乙方)协商一致，约定</w:t>
      </w:r>
    </w:p>
    <w:p>
      <w:pPr>
        <w:pStyle w:val="10"/>
        <w:spacing w:before="6"/>
        <w:ind w:left="0"/>
        <w:rPr>
          <w:sz w:val="14"/>
          <w:highlight w:val="none"/>
        </w:rPr>
      </w:pPr>
    </w:p>
    <w:p>
      <w:pPr>
        <w:pStyle w:val="10"/>
        <w:spacing w:before="66"/>
        <w:rPr>
          <w:highlight w:val="none"/>
        </w:rPr>
      </w:pPr>
      <w:r>
        <w:rPr>
          <w:highlight w:val="none"/>
        </w:rPr>
        <w:t xml:space="preserve">以下合同条款，以兹共同遵守、全面履行。 </w:t>
      </w:r>
    </w:p>
    <w:p>
      <w:pPr>
        <w:spacing w:after="0"/>
        <w:rPr>
          <w:highlight w:val="none"/>
        </w:rPr>
        <w:sectPr>
          <w:type w:val="continuous"/>
          <w:pgSz w:w="11910" w:h="16840"/>
          <w:pgMar w:top="1580" w:right="0" w:bottom="280" w:left="980" w:header="720" w:footer="720" w:gutter="0"/>
          <w:cols w:space="720" w:num="1"/>
        </w:sectPr>
      </w:pPr>
    </w:p>
    <w:p>
      <w:pPr>
        <w:pStyle w:val="7"/>
        <w:numPr>
          <w:ilvl w:val="1"/>
          <w:numId w:val="31"/>
        </w:numPr>
        <w:tabs>
          <w:tab w:val="left" w:pos="1664"/>
        </w:tabs>
        <w:spacing w:before="0" w:after="0" w:line="413" w:lineRule="exact"/>
        <w:ind w:left="1663" w:right="0" w:hanging="364"/>
        <w:jc w:val="left"/>
        <w:outlineLvl w:val="0"/>
        <w:rPr>
          <w:highlight w:val="none"/>
        </w:rPr>
      </w:pPr>
      <w:bookmarkStart w:id="42" w:name="1.1 合同组成部分"/>
      <w:bookmarkEnd w:id="42"/>
      <w:bookmarkStart w:id="43" w:name="_bookmark19"/>
      <w:bookmarkEnd w:id="43"/>
      <w:bookmarkStart w:id="44" w:name="_Toc19471"/>
      <w:r>
        <w:rPr>
          <w:highlight w:val="none"/>
        </w:rPr>
        <w:t>合同组成部分</w:t>
      </w:r>
      <w:bookmarkEnd w:id="44"/>
      <w:r>
        <w:rPr>
          <w:w w:val="200"/>
          <w:highlight w:val="none"/>
        </w:rPr>
        <w:t xml:space="preserve"> </w:t>
      </w:r>
    </w:p>
    <w:p>
      <w:pPr>
        <w:pStyle w:val="10"/>
        <w:spacing w:before="197" w:line="436" w:lineRule="auto"/>
        <w:ind w:right="1706" w:firstLine="479"/>
        <w:rPr>
          <w:highlight w:val="none"/>
        </w:rPr>
      </w:pPr>
      <w:r>
        <w:rPr>
          <w:highlight w:val="none"/>
        </w:rPr>
        <w:t xml:space="preserve">下列文件为本合同的组成部分，并构成一个整体，需综合解释、相互补充。如果下列文件内容出现不一致的情形，那么在保证按照采购文件确定的事项的前提下，组成本合同的多个文件的优先适用顺序如下： </w:t>
      </w:r>
    </w:p>
    <w:p>
      <w:pPr>
        <w:pStyle w:val="20"/>
        <w:numPr>
          <w:ilvl w:val="2"/>
          <w:numId w:val="31"/>
        </w:numPr>
        <w:tabs>
          <w:tab w:val="left" w:pos="1899"/>
        </w:tabs>
        <w:spacing w:before="1" w:after="0" w:line="240" w:lineRule="auto"/>
        <w:ind w:left="1899" w:right="0" w:hanging="601"/>
        <w:jc w:val="left"/>
        <w:outlineLvl w:val="1"/>
        <w:rPr>
          <w:sz w:val="24"/>
          <w:highlight w:val="none"/>
        </w:rPr>
      </w:pPr>
      <w:bookmarkStart w:id="45" w:name="_Toc5060"/>
      <w:r>
        <w:rPr>
          <w:sz w:val="24"/>
          <w:highlight w:val="none"/>
        </w:rPr>
        <w:t>本合同及其补充合同、变更协议；</w:t>
      </w:r>
      <w:bookmarkEnd w:id="45"/>
      <w:r>
        <w:rPr>
          <w:sz w:val="24"/>
          <w:highlight w:val="none"/>
        </w:rPr>
        <w:t xml:space="preserve"> </w:t>
      </w:r>
    </w:p>
    <w:p>
      <w:pPr>
        <w:pStyle w:val="10"/>
        <w:spacing w:before="10"/>
        <w:ind w:left="0"/>
        <w:rPr>
          <w:sz w:val="19"/>
          <w:highlight w:val="none"/>
        </w:rPr>
      </w:pPr>
    </w:p>
    <w:p>
      <w:pPr>
        <w:pStyle w:val="20"/>
        <w:numPr>
          <w:ilvl w:val="2"/>
          <w:numId w:val="31"/>
        </w:numPr>
        <w:tabs>
          <w:tab w:val="left" w:pos="1899"/>
        </w:tabs>
        <w:spacing w:before="1" w:after="0" w:line="240" w:lineRule="auto"/>
        <w:ind w:left="1899" w:right="0" w:hanging="601"/>
        <w:jc w:val="left"/>
        <w:outlineLvl w:val="1"/>
        <w:rPr>
          <w:sz w:val="24"/>
          <w:highlight w:val="none"/>
        </w:rPr>
      </w:pPr>
      <w:bookmarkStart w:id="46" w:name="_Toc15256"/>
      <w:r>
        <w:rPr>
          <w:sz w:val="24"/>
          <w:highlight w:val="none"/>
        </w:rPr>
        <w:t>中标通知书；</w:t>
      </w:r>
      <w:bookmarkEnd w:id="46"/>
      <w:r>
        <w:rPr>
          <w:sz w:val="24"/>
          <w:highlight w:val="none"/>
        </w:rPr>
        <w:t xml:space="preserve"> </w:t>
      </w:r>
    </w:p>
    <w:p>
      <w:pPr>
        <w:pStyle w:val="10"/>
        <w:spacing w:before="8"/>
        <w:ind w:left="0"/>
        <w:rPr>
          <w:sz w:val="19"/>
          <w:highlight w:val="none"/>
        </w:rPr>
      </w:pPr>
    </w:p>
    <w:p>
      <w:pPr>
        <w:pStyle w:val="20"/>
        <w:numPr>
          <w:ilvl w:val="2"/>
          <w:numId w:val="31"/>
        </w:numPr>
        <w:tabs>
          <w:tab w:val="left" w:pos="1899"/>
        </w:tabs>
        <w:spacing w:before="0" w:after="0" w:line="240" w:lineRule="auto"/>
        <w:ind w:left="1899" w:right="0" w:hanging="601"/>
        <w:jc w:val="left"/>
        <w:outlineLvl w:val="1"/>
        <w:rPr>
          <w:sz w:val="24"/>
          <w:highlight w:val="none"/>
        </w:rPr>
      </w:pPr>
      <w:bookmarkStart w:id="47" w:name="_Toc29361"/>
      <w:r>
        <w:rPr>
          <w:sz w:val="24"/>
          <w:highlight w:val="none"/>
        </w:rPr>
        <w:t>其他相关采购文件。</w:t>
      </w:r>
      <w:bookmarkEnd w:id="47"/>
      <w:r>
        <w:rPr>
          <w:sz w:val="24"/>
          <w:highlight w:val="none"/>
        </w:rPr>
        <w:t xml:space="preserve"> </w:t>
      </w:r>
    </w:p>
    <w:p>
      <w:pPr>
        <w:pStyle w:val="10"/>
        <w:spacing w:before="8"/>
        <w:ind w:left="0"/>
        <w:rPr>
          <w:sz w:val="19"/>
          <w:highlight w:val="none"/>
        </w:rPr>
      </w:pPr>
    </w:p>
    <w:p>
      <w:pPr>
        <w:pStyle w:val="20"/>
        <w:numPr>
          <w:ilvl w:val="2"/>
          <w:numId w:val="31"/>
        </w:numPr>
        <w:tabs>
          <w:tab w:val="left" w:pos="1899"/>
        </w:tabs>
        <w:spacing w:before="1" w:after="0" w:line="240" w:lineRule="auto"/>
        <w:ind w:left="1899" w:right="0" w:hanging="601"/>
        <w:jc w:val="left"/>
        <w:outlineLvl w:val="1"/>
        <w:rPr>
          <w:sz w:val="24"/>
          <w:highlight w:val="none"/>
        </w:rPr>
      </w:pPr>
      <w:bookmarkStart w:id="48" w:name="_Toc32601"/>
      <w:r>
        <w:rPr>
          <w:sz w:val="24"/>
          <w:highlight w:val="none"/>
        </w:rPr>
        <w:t>甲乙双方职责</w:t>
      </w:r>
      <w:bookmarkEnd w:id="48"/>
      <w:r>
        <w:rPr>
          <w:sz w:val="24"/>
          <w:highlight w:val="none"/>
        </w:rPr>
        <w:t xml:space="preserve"> </w:t>
      </w:r>
    </w:p>
    <w:p>
      <w:pPr>
        <w:pStyle w:val="7"/>
        <w:numPr>
          <w:ilvl w:val="1"/>
          <w:numId w:val="31"/>
        </w:numPr>
        <w:tabs>
          <w:tab w:val="left" w:pos="1664"/>
        </w:tabs>
        <w:spacing w:before="175" w:after="0" w:line="240" w:lineRule="auto"/>
        <w:ind w:left="1663" w:right="0" w:hanging="364"/>
        <w:jc w:val="left"/>
        <w:outlineLvl w:val="0"/>
        <w:rPr>
          <w:highlight w:val="none"/>
        </w:rPr>
      </w:pPr>
      <w:bookmarkStart w:id="49" w:name="_Toc19058"/>
      <w:r>
        <w:rPr>
          <w:highlight w:val="none"/>
        </w:rPr>
        <w:t>技术服务</w:t>
      </w:r>
      <w:bookmarkEnd w:id="49"/>
      <w:r>
        <w:rPr>
          <w:w w:val="200"/>
          <w:highlight w:val="none"/>
        </w:rPr>
        <w:t xml:space="preserve"> </w:t>
      </w:r>
    </w:p>
    <w:p>
      <w:pPr>
        <w:pStyle w:val="20"/>
        <w:numPr>
          <w:ilvl w:val="2"/>
          <w:numId w:val="31"/>
        </w:numPr>
        <w:tabs>
          <w:tab w:val="left" w:pos="1899"/>
        </w:tabs>
        <w:spacing w:before="197" w:after="0" w:line="240" w:lineRule="auto"/>
        <w:ind w:left="1899" w:right="0" w:hanging="601"/>
        <w:jc w:val="left"/>
        <w:outlineLvl w:val="1"/>
        <w:rPr>
          <w:sz w:val="24"/>
          <w:highlight w:val="none"/>
        </w:rPr>
      </w:pPr>
      <w:bookmarkStart w:id="50" w:name="_Toc16677"/>
      <w:r>
        <w:rPr>
          <w:spacing w:val="-20"/>
          <w:sz w:val="24"/>
          <w:highlight w:val="none"/>
        </w:rPr>
        <w:t>服务名称：；</w:t>
      </w:r>
      <w:bookmarkEnd w:id="50"/>
      <w:r>
        <w:rPr>
          <w:spacing w:val="-20"/>
          <w:sz w:val="24"/>
          <w:highlight w:val="none"/>
        </w:rPr>
        <w:t xml:space="preserve"> </w:t>
      </w:r>
    </w:p>
    <w:p>
      <w:pPr>
        <w:pStyle w:val="10"/>
        <w:spacing w:before="8"/>
        <w:ind w:left="0"/>
        <w:rPr>
          <w:sz w:val="19"/>
          <w:highlight w:val="none"/>
        </w:rPr>
      </w:pPr>
    </w:p>
    <w:p>
      <w:pPr>
        <w:pStyle w:val="20"/>
        <w:numPr>
          <w:ilvl w:val="2"/>
          <w:numId w:val="31"/>
        </w:numPr>
        <w:tabs>
          <w:tab w:val="left" w:pos="1899"/>
        </w:tabs>
        <w:spacing w:before="0" w:after="0" w:line="240" w:lineRule="auto"/>
        <w:ind w:left="1899" w:right="0" w:hanging="601"/>
        <w:jc w:val="left"/>
        <w:outlineLvl w:val="1"/>
        <w:rPr>
          <w:sz w:val="24"/>
          <w:highlight w:val="none"/>
        </w:rPr>
      </w:pPr>
      <w:bookmarkStart w:id="51" w:name="_Toc4998"/>
      <w:r>
        <w:rPr>
          <w:spacing w:val="-20"/>
          <w:sz w:val="24"/>
          <w:highlight w:val="none"/>
        </w:rPr>
        <w:t>服务明细：；</w:t>
      </w:r>
      <w:bookmarkEnd w:id="51"/>
      <w:r>
        <w:rPr>
          <w:spacing w:val="-20"/>
          <w:sz w:val="24"/>
          <w:highlight w:val="none"/>
        </w:rPr>
        <w:t xml:space="preserve"> </w:t>
      </w:r>
    </w:p>
    <w:p>
      <w:pPr>
        <w:pStyle w:val="10"/>
        <w:spacing w:before="10"/>
        <w:ind w:left="0"/>
        <w:rPr>
          <w:sz w:val="19"/>
          <w:highlight w:val="none"/>
        </w:rPr>
      </w:pPr>
    </w:p>
    <w:p>
      <w:pPr>
        <w:pStyle w:val="10"/>
        <w:spacing w:before="1"/>
        <w:ind w:left="1298"/>
        <w:outlineLvl w:val="1"/>
        <w:rPr>
          <w:highlight w:val="none"/>
        </w:rPr>
      </w:pPr>
      <w:bookmarkStart w:id="52" w:name="_Toc32165"/>
      <w:r>
        <w:rPr>
          <w:highlight w:val="none"/>
        </w:rPr>
        <w:t>1.2.3 服 务 技 术 要 求 ：</w:t>
      </w:r>
      <w:r>
        <w:rPr>
          <w:highlight w:val="none"/>
          <w:u w:val="single"/>
        </w:rPr>
        <w:t xml:space="preserve"> </w:t>
      </w:r>
      <w:r>
        <w:rPr>
          <w:highlight w:val="none"/>
        </w:rPr>
        <w:t>。</w:t>
      </w:r>
      <w:bookmarkEnd w:id="52"/>
      <w:r>
        <w:rPr>
          <w:highlight w:val="none"/>
        </w:rPr>
        <w:t xml:space="preserve"> </w:t>
      </w:r>
    </w:p>
    <w:p>
      <w:pPr>
        <w:pStyle w:val="10"/>
        <w:spacing w:before="5"/>
        <w:ind w:left="0"/>
        <w:rPr>
          <w:sz w:val="14"/>
          <w:highlight w:val="none"/>
        </w:rPr>
      </w:pPr>
    </w:p>
    <w:p>
      <w:pPr>
        <w:spacing w:before="67" w:line="374" w:lineRule="auto"/>
        <w:ind w:left="1300" w:right="4819" w:hanging="3"/>
        <w:jc w:val="left"/>
        <w:outlineLvl w:val="1"/>
        <w:rPr>
          <w:rFonts w:hint="eastAsia" w:ascii="Microsoft JhengHei" w:eastAsia="Microsoft JhengHei"/>
          <w:b/>
          <w:sz w:val="24"/>
          <w:highlight w:val="none"/>
        </w:rPr>
      </w:pPr>
      <w:bookmarkStart w:id="53" w:name="_Toc19822"/>
      <w:r>
        <w:rPr>
          <w:sz w:val="24"/>
          <w:highlight w:val="none"/>
        </w:rPr>
        <w:t xml:space="preserve">1.2.4 项目进度推进明细：（分为三个阶段） </w:t>
      </w:r>
      <w:bookmarkStart w:id="54" w:name="1.3 价款"/>
      <w:bookmarkEnd w:id="54"/>
      <w:r>
        <w:rPr>
          <w:rFonts w:hint="eastAsia" w:ascii="Microsoft JhengHei" w:eastAsia="Microsoft JhengHei"/>
          <w:b/>
          <w:sz w:val="24"/>
          <w:highlight w:val="none"/>
        </w:rPr>
        <w:t>1.3 价款</w:t>
      </w:r>
      <w:bookmarkEnd w:id="53"/>
      <w:r>
        <w:rPr>
          <w:rFonts w:hint="eastAsia" w:ascii="Microsoft JhengHei" w:eastAsia="Microsoft JhengHei"/>
          <w:b/>
          <w:w w:val="200"/>
          <w:sz w:val="24"/>
          <w:highlight w:val="none"/>
        </w:rPr>
        <w:t xml:space="preserve"> </w:t>
      </w:r>
    </w:p>
    <w:p>
      <w:pPr>
        <w:pStyle w:val="10"/>
        <w:spacing w:line="261" w:lineRule="exact"/>
        <w:ind w:left="1298"/>
        <w:rPr>
          <w:highlight w:val="none"/>
        </w:rPr>
      </w:pPr>
      <w:r>
        <w:rPr>
          <w:highlight w:val="none"/>
        </w:rPr>
        <w:t>本合同总价为：￥元（大写：元人民币</w:t>
      </w:r>
      <w:r>
        <w:rPr>
          <w:spacing w:val="-120"/>
          <w:highlight w:val="none"/>
        </w:rPr>
        <w:t>）</w:t>
      </w:r>
      <w:r>
        <w:rPr>
          <w:highlight w:val="none"/>
        </w:rPr>
        <w:t xml:space="preserve">。 </w:t>
      </w:r>
    </w:p>
    <w:p>
      <w:pPr>
        <w:pStyle w:val="10"/>
        <w:spacing w:before="8"/>
        <w:ind w:left="0"/>
        <w:rPr>
          <w:sz w:val="19"/>
          <w:highlight w:val="none"/>
        </w:rPr>
      </w:pPr>
    </w:p>
    <w:p>
      <w:pPr>
        <w:pStyle w:val="10"/>
        <w:spacing w:after="43"/>
        <w:ind w:left="1298"/>
        <w:rPr>
          <w:highlight w:val="none"/>
        </w:rPr>
      </w:pPr>
      <w:r>
        <w:rPr>
          <w:highlight w:val="none"/>
        </w:rPr>
        <w:t xml:space="preserve">分项价格： </w:t>
      </w:r>
    </w:p>
    <w:tbl>
      <w:tblPr>
        <w:tblStyle w:val="16"/>
        <w:tblW w:w="0" w:type="auto"/>
        <w:tblInd w:w="14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340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200" w:type="dxa"/>
          </w:tcPr>
          <w:p>
            <w:pPr>
              <w:pStyle w:val="21"/>
              <w:spacing w:before="211"/>
              <w:ind w:left="359"/>
              <w:rPr>
                <w:sz w:val="24"/>
                <w:highlight w:val="none"/>
              </w:rPr>
            </w:pPr>
            <w:r>
              <w:rPr>
                <w:sz w:val="24"/>
                <w:highlight w:val="none"/>
              </w:rPr>
              <w:t xml:space="preserve">序号 </w:t>
            </w:r>
          </w:p>
        </w:tc>
        <w:tc>
          <w:tcPr>
            <w:tcW w:w="3404" w:type="dxa"/>
          </w:tcPr>
          <w:p>
            <w:pPr>
              <w:pStyle w:val="21"/>
              <w:spacing w:before="211"/>
              <w:ind w:left="1360" w:right="1034"/>
              <w:jc w:val="center"/>
              <w:rPr>
                <w:sz w:val="24"/>
                <w:highlight w:val="none"/>
              </w:rPr>
            </w:pPr>
            <w:r>
              <w:rPr>
                <w:sz w:val="24"/>
                <w:highlight w:val="none"/>
              </w:rPr>
              <w:t xml:space="preserve">分项名称 </w:t>
            </w:r>
          </w:p>
        </w:tc>
        <w:tc>
          <w:tcPr>
            <w:tcW w:w="2552" w:type="dxa"/>
          </w:tcPr>
          <w:p>
            <w:pPr>
              <w:pStyle w:val="21"/>
              <w:spacing w:before="211"/>
              <w:ind w:left="794"/>
              <w:rPr>
                <w:sz w:val="24"/>
                <w:highlight w:val="none"/>
              </w:rPr>
            </w:pPr>
            <w:r>
              <w:rPr>
                <w:sz w:val="24"/>
                <w:highlight w:val="none"/>
              </w:rPr>
              <w:t xml:space="preserve">分项价格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00" w:type="dxa"/>
          </w:tcPr>
          <w:p>
            <w:pPr>
              <w:pStyle w:val="21"/>
              <w:spacing w:before="208"/>
              <w:ind w:left="698"/>
              <w:rPr>
                <w:sz w:val="24"/>
                <w:highlight w:val="none"/>
              </w:rPr>
            </w:pPr>
            <w:r>
              <w:rPr>
                <w:sz w:val="24"/>
                <w:highlight w:val="none"/>
              </w:rPr>
              <w:t xml:space="preserve"> </w:t>
            </w:r>
          </w:p>
        </w:tc>
        <w:tc>
          <w:tcPr>
            <w:tcW w:w="3404" w:type="dxa"/>
          </w:tcPr>
          <w:p>
            <w:pPr>
              <w:pStyle w:val="21"/>
              <w:spacing w:before="208"/>
              <w:ind w:left="326"/>
              <w:jc w:val="center"/>
              <w:rPr>
                <w:sz w:val="24"/>
                <w:highlight w:val="none"/>
              </w:rPr>
            </w:pPr>
            <w:r>
              <w:rPr>
                <w:sz w:val="24"/>
                <w:highlight w:val="none"/>
              </w:rPr>
              <w:t xml:space="preserve"> </w:t>
            </w:r>
          </w:p>
        </w:tc>
        <w:tc>
          <w:tcPr>
            <w:tcW w:w="2552" w:type="dxa"/>
          </w:tcPr>
          <w:p>
            <w:pPr>
              <w:pStyle w:val="21"/>
              <w:spacing w:before="208"/>
              <w:ind w:left="328"/>
              <w:jc w:val="center"/>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200" w:type="dxa"/>
          </w:tcPr>
          <w:p>
            <w:pPr>
              <w:pStyle w:val="21"/>
              <w:spacing w:before="211"/>
              <w:ind w:left="698"/>
              <w:rPr>
                <w:sz w:val="24"/>
                <w:highlight w:val="none"/>
              </w:rPr>
            </w:pPr>
            <w:r>
              <w:rPr>
                <w:sz w:val="24"/>
                <w:highlight w:val="none"/>
              </w:rPr>
              <w:t xml:space="preserve"> </w:t>
            </w:r>
          </w:p>
        </w:tc>
        <w:tc>
          <w:tcPr>
            <w:tcW w:w="3404" w:type="dxa"/>
          </w:tcPr>
          <w:p>
            <w:pPr>
              <w:pStyle w:val="21"/>
              <w:spacing w:before="211"/>
              <w:ind w:left="326"/>
              <w:jc w:val="center"/>
              <w:rPr>
                <w:sz w:val="24"/>
                <w:highlight w:val="none"/>
              </w:rPr>
            </w:pPr>
            <w:r>
              <w:rPr>
                <w:sz w:val="24"/>
                <w:highlight w:val="none"/>
              </w:rPr>
              <w:t xml:space="preserve"> </w:t>
            </w:r>
          </w:p>
        </w:tc>
        <w:tc>
          <w:tcPr>
            <w:tcW w:w="2552" w:type="dxa"/>
          </w:tcPr>
          <w:p>
            <w:pPr>
              <w:pStyle w:val="21"/>
              <w:spacing w:before="211"/>
              <w:ind w:left="328"/>
              <w:jc w:val="center"/>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00" w:type="dxa"/>
          </w:tcPr>
          <w:p>
            <w:pPr>
              <w:pStyle w:val="21"/>
              <w:spacing w:before="209"/>
              <w:ind w:left="698"/>
              <w:rPr>
                <w:sz w:val="24"/>
                <w:highlight w:val="none"/>
              </w:rPr>
            </w:pPr>
            <w:r>
              <w:rPr>
                <w:sz w:val="24"/>
                <w:highlight w:val="none"/>
              </w:rPr>
              <w:t xml:space="preserve"> </w:t>
            </w:r>
          </w:p>
        </w:tc>
        <w:tc>
          <w:tcPr>
            <w:tcW w:w="3404" w:type="dxa"/>
          </w:tcPr>
          <w:p>
            <w:pPr>
              <w:pStyle w:val="21"/>
              <w:spacing w:before="209"/>
              <w:ind w:left="326"/>
              <w:jc w:val="center"/>
              <w:rPr>
                <w:sz w:val="24"/>
                <w:highlight w:val="none"/>
              </w:rPr>
            </w:pPr>
            <w:r>
              <w:rPr>
                <w:sz w:val="24"/>
                <w:highlight w:val="none"/>
              </w:rPr>
              <w:t xml:space="preserve"> </w:t>
            </w:r>
          </w:p>
        </w:tc>
        <w:tc>
          <w:tcPr>
            <w:tcW w:w="2552" w:type="dxa"/>
          </w:tcPr>
          <w:p>
            <w:pPr>
              <w:pStyle w:val="21"/>
              <w:spacing w:before="209"/>
              <w:ind w:left="328"/>
              <w:jc w:val="center"/>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200" w:type="dxa"/>
          </w:tcPr>
          <w:p>
            <w:pPr>
              <w:pStyle w:val="21"/>
              <w:spacing w:before="211"/>
              <w:ind w:left="698"/>
              <w:rPr>
                <w:sz w:val="24"/>
                <w:highlight w:val="none"/>
              </w:rPr>
            </w:pPr>
            <w:r>
              <w:rPr>
                <w:sz w:val="24"/>
                <w:highlight w:val="none"/>
              </w:rPr>
              <w:t xml:space="preserve"> </w:t>
            </w:r>
          </w:p>
        </w:tc>
        <w:tc>
          <w:tcPr>
            <w:tcW w:w="3404" w:type="dxa"/>
          </w:tcPr>
          <w:p>
            <w:pPr>
              <w:pStyle w:val="21"/>
              <w:spacing w:before="211"/>
              <w:ind w:left="326"/>
              <w:jc w:val="center"/>
              <w:rPr>
                <w:sz w:val="24"/>
                <w:highlight w:val="none"/>
              </w:rPr>
            </w:pPr>
            <w:r>
              <w:rPr>
                <w:sz w:val="24"/>
                <w:highlight w:val="none"/>
              </w:rPr>
              <w:t xml:space="preserve"> </w:t>
            </w:r>
          </w:p>
        </w:tc>
        <w:tc>
          <w:tcPr>
            <w:tcW w:w="2552" w:type="dxa"/>
          </w:tcPr>
          <w:p>
            <w:pPr>
              <w:pStyle w:val="21"/>
              <w:spacing w:before="211"/>
              <w:ind w:left="328"/>
              <w:jc w:val="center"/>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604" w:type="dxa"/>
            <w:gridSpan w:val="2"/>
          </w:tcPr>
          <w:p>
            <w:pPr>
              <w:pStyle w:val="21"/>
              <w:spacing w:before="208"/>
              <w:ind w:left="2200" w:right="1874"/>
              <w:jc w:val="center"/>
              <w:rPr>
                <w:sz w:val="24"/>
                <w:highlight w:val="none"/>
              </w:rPr>
            </w:pPr>
            <w:r>
              <w:rPr>
                <w:sz w:val="24"/>
                <w:highlight w:val="none"/>
              </w:rPr>
              <w:t xml:space="preserve">总价 </w:t>
            </w:r>
          </w:p>
        </w:tc>
        <w:tc>
          <w:tcPr>
            <w:tcW w:w="2552" w:type="dxa"/>
          </w:tcPr>
          <w:p>
            <w:pPr>
              <w:pStyle w:val="21"/>
              <w:spacing w:before="208"/>
              <w:ind w:left="328"/>
              <w:jc w:val="center"/>
              <w:rPr>
                <w:sz w:val="24"/>
                <w:highlight w:val="none"/>
              </w:rPr>
            </w:pPr>
            <w:r>
              <w:rPr>
                <w:sz w:val="24"/>
                <w:highlight w:val="none"/>
              </w:rPr>
              <w:t xml:space="preserve"> </w:t>
            </w:r>
          </w:p>
        </w:tc>
      </w:tr>
    </w:tbl>
    <w:p>
      <w:pPr>
        <w:pStyle w:val="10"/>
        <w:spacing w:before="129" w:line="348" w:lineRule="auto"/>
        <w:ind w:right="1711" w:firstLine="482"/>
        <w:rPr>
          <w:highlight w:val="none"/>
        </w:rPr>
      </w:pPr>
      <w:bookmarkStart w:id="55" w:name="1.4 付款方式：首付款为中标价格的30%，项目完成第一阶段建设拨付中标价格30"/>
      <w:bookmarkEnd w:id="55"/>
      <w:r>
        <w:rPr>
          <w:rFonts w:hint="eastAsia" w:ascii="Microsoft JhengHei" w:eastAsia="Microsoft JhengHei"/>
          <w:b/>
          <w:highlight w:val="none"/>
        </w:rPr>
        <w:t>1.4 付款方式：</w:t>
      </w:r>
      <w:r>
        <w:rPr>
          <w:highlight w:val="none"/>
        </w:rPr>
        <w:t>首付款为中标价格的 30%，项目完成第一阶段建设拨付中标价格 30%的次批款，完成第二阶段工作后拨付中标金额 30%的第三批款，完成第</w:t>
      </w:r>
    </w:p>
    <w:p>
      <w:pPr>
        <w:spacing w:after="0" w:line="348" w:lineRule="auto"/>
        <w:rPr>
          <w:highlight w:val="none"/>
        </w:rPr>
        <w:sectPr>
          <w:pgSz w:w="11910" w:h="16840"/>
          <w:pgMar w:top="1580" w:right="0" w:bottom="1180" w:left="980" w:header="0" w:footer="915" w:gutter="0"/>
          <w:cols w:space="720" w:num="1"/>
        </w:sectPr>
      </w:pPr>
    </w:p>
    <w:p>
      <w:pPr>
        <w:spacing w:before="50" w:line="374" w:lineRule="auto"/>
        <w:ind w:left="1300" w:right="5005" w:hanging="483"/>
        <w:jc w:val="left"/>
        <w:rPr>
          <w:rFonts w:hint="eastAsia" w:ascii="Microsoft JhengHei" w:eastAsia="Microsoft JhengHei"/>
          <w:b/>
          <w:sz w:val="24"/>
          <w:highlight w:val="none"/>
        </w:rPr>
      </w:pPr>
      <w:r>
        <w:rPr>
          <w:sz w:val="24"/>
          <w:highlight w:val="none"/>
        </w:rPr>
        <w:t>三阶段工作和验收后拨付中标价格 10%的尾款。</w:t>
      </w:r>
      <w:bookmarkStart w:id="56" w:name="1.5 服务期限、地点和方式"/>
      <w:bookmarkEnd w:id="56"/>
      <w:r>
        <w:rPr>
          <w:rFonts w:hint="eastAsia" w:ascii="Microsoft JhengHei" w:eastAsia="Microsoft JhengHei"/>
          <w:b/>
          <w:sz w:val="24"/>
          <w:highlight w:val="none"/>
        </w:rPr>
        <w:t>1.5 服务期限、地点和方式</w:t>
      </w:r>
      <w:r>
        <w:rPr>
          <w:rFonts w:hint="eastAsia" w:ascii="Microsoft JhengHei" w:eastAsia="Microsoft JhengHei"/>
          <w:b/>
          <w:w w:val="200"/>
          <w:sz w:val="24"/>
          <w:highlight w:val="none"/>
        </w:rPr>
        <w:t xml:space="preserve"> </w:t>
      </w:r>
    </w:p>
    <w:p>
      <w:pPr>
        <w:pStyle w:val="20"/>
        <w:numPr>
          <w:ilvl w:val="2"/>
          <w:numId w:val="32"/>
        </w:numPr>
        <w:tabs>
          <w:tab w:val="left" w:pos="1899"/>
        </w:tabs>
        <w:spacing w:before="0" w:after="0" w:line="260" w:lineRule="exact"/>
        <w:ind w:left="1899" w:right="0" w:hanging="601"/>
        <w:jc w:val="left"/>
        <w:outlineLvl w:val="2"/>
        <w:rPr>
          <w:sz w:val="24"/>
          <w:highlight w:val="none"/>
        </w:rPr>
      </w:pPr>
      <w:bookmarkStart w:id="57" w:name="_Toc24022"/>
      <w:r>
        <w:rPr>
          <w:sz w:val="24"/>
          <w:highlight w:val="none"/>
        </w:rPr>
        <w:t>服务期限：</w:t>
      </w:r>
      <w:bookmarkEnd w:id="57"/>
    </w:p>
    <w:p>
      <w:pPr>
        <w:pStyle w:val="10"/>
        <w:spacing w:before="9"/>
        <w:ind w:left="0"/>
        <w:rPr>
          <w:sz w:val="19"/>
          <w:highlight w:val="none"/>
        </w:rPr>
      </w:pPr>
    </w:p>
    <w:p>
      <w:pPr>
        <w:pStyle w:val="20"/>
        <w:numPr>
          <w:ilvl w:val="2"/>
          <w:numId w:val="32"/>
        </w:numPr>
        <w:tabs>
          <w:tab w:val="left" w:pos="1899"/>
        </w:tabs>
        <w:spacing w:before="0" w:after="0" w:line="240" w:lineRule="auto"/>
        <w:ind w:left="1899" w:right="0" w:hanging="601"/>
        <w:jc w:val="left"/>
        <w:outlineLvl w:val="2"/>
        <w:rPr>
          <w:sz w:val="24"/>
          <w:highlight w:val="none"/>
        </w:rPr>
      </w:pPr>
      <w:bookmarkStart w:id="58" w:name="_Toc28360"/>
      <w:r>
        <w:rPr>
          <w:sz w:val="24"/>
          <w:highlight w:val="none"/>
        </w:rPr>
        <w:t>服务地点：</w:t>
      </w:r>
      <w:bookmarkEnd w:id="58"/>
      <w:r>
        <w:rPr>
          <w:sz w:val="24"/>
          <w:highlight w:val="none"/>
        </w:rPr>
        <w:t xml:space="preserve"> </w:t>
      </w:r>
    </w:p>
    <w:p>
      <w:pPr>
        <w:pStyle w:val="10"/>
        <w:spacing w:before="8"/>
        <w:ind w:left="0"/>
        <w:rPr>
          <w:sz w:val="19"/>
          <w:highlight w:val="none"/>
        </w:rPr>
      </w:pPr>
    </w:p>
    <w:p>
      <w:pPr>
        <w:pStyle w:val="20"/>
        <w:numPr>
          <w:ilvl w:val="2"/>
          <w:numId w:val="32"/>
        </w:numPr>
        <w:tabs>
          <w:tab w:val="left" w:pos="1899"/>
        </w:tabs>
        <w:spacing w:before="0" w:after="0" w:line="240" w:lineRule="auto"/>
        <w:ind w:left="1899" w:right="0" w:hanging="601"/>
        <w:jc w:val="left"/>
        <w:outlineLvl w:val="2"/>
        <w:rPr>
          <w:sz w:val="24"/>
          <w:highlight w:val="none"/>
        </w:rPr>
      </w:pPr>
      <w:bookmarkStart w:id="59" w:name="_Toc28960"/>
      <w:r>
        <w:rPr>
          <w:sz w:val="24"/>
          <w:highlight w:val="none"/>
        </w:rPr>
        <w:t>服务方式：</w:t>
      </w:r>
      <w:r>
        <w:rPr>
          <w:sz w:val="24"/>
          <w:highlight w:val="none"/>
          <w:u w:val="single"/>
        </w:rPr>
        <w:t xml:space="preserve"> 按照合同内服务明细和工作计划执行</w:t>
      </w:r>
      <w:r>
        <w:rPr>
          <w:sz w:val="24"/>
          <w:highlight w:val="none"/>
        </w:rPr>
        <w:t xml:space="preserve"> 。</w:t>
      </w:r>
      <w:bookmarkEnd w:id="59"/>
      <w:r>
        <w:rPr>
          <w:sz w:val="24"/>
          <w:highlight w:val="none"/>
        </w:rPr>
        <w:t xml:space="preserve"> </w:t>
      </w:r>
    </w:p>
    <w:p>
      <w:pPr>
        <w:pStyle w:val="10"/>
        <w:spacing w:before="8"/>
        <w:ind w:left="0"/>
        <w:rPr>
          <w:sz w:val="14"/>
          <w:highlight w:val="none"/>
        </w:rPr>
      </w:pPr>
    </w:p>
    <w:p>
      <w:pPr>
        <w:pStyle w:val="7"/>
        <w:numPr>
          <w:ilvl w:val="1"/>
          <w:numId w:val="33"/>
        </w:numPr>
        <w:tabs>
          <w:tab w:val="left" w:pos="1664"/>
        </w:tabs>
        <w:spacing w:before="0" w:after="0" w:line="429" w:lineRule="exact"/>
        <w:ind w:left="1663" w:right="0" w:hanging="364"/>
        <w:jc w:val="left"/>
        <w:rPr>
          <w:highlight w:val="none"/>
        </w:rPr>
      </w:pPr>
      <w:bookmarkStart w:id="60" w:name="_bookmark23"/>
      <w:bookmarkEnd w:id="60"/>
      <w:bookmarkStart w:id="61" w:name="1.6 违约责任"/>
      <w:bookmarkEnd w:id="61"/>
      <w:r>
        <w:rPr>
          <w:highlight w:val="none"/>
        </w:rPr>
        <w:t>违约责任</w:t>
      </w:r>
      <w:r>
        <w:rPr>
          <w:w w:val="200"/>
          <w:highlight w:val="none"/>
        </w:rPr>
        <w:t xml:space="preserve"> </w:t>
      </w:r>
    </w:p>
    <w:p>
      <w:pPr>
        <w:pStyle w:val="20"/>
        <w:numPr>
          <w:ilvl w:val="2"/>
          <w:numId w:val="33"/>
        </w:numPr>
        <w:tabs>
          <w:tab w:val="left" w:pos="1899"/>
        </w:tabs>
        <w:spacing w:before="197" w:after="0" w:line="436" w:lineRule="auto"/>
        <w:ind w:left="818" w:right="1792" w:firstLine="479"/>
        <w:jc w:val="both"/>
        <w:rPr>
          <w:sz w:val="24"/>
          <w:highlight w:val="none"/>
        </w:rPr>
      </w:pPr>
      <w:r>
        <w:rPr>
          <w:spacing w:val="-10"/>
          <w:sz w:val="24"/>
          <w:highlight w:val="none"/>
        </w:rPr>
        <w:t>除不可抗力外，如果乙方没有按照本合同约定的期限、地点和方式达</w:t>
      </w:r>
      <w:r>
        <w:rPr>
          <w:spacing w:val="-9"/>
          <w:sz w:val="24"/>
          <w:highlight w:val="none"/>
        </w:rPr>
        <w:t>到服务成效，那么甲方可要求乙方进行整改，如整改迟迟未推进，甲方有权在要</w:t>
      </w:r>
      <w:r>
        <w:rPr>
          <w:sz w:val="24"/>
          <w:highlight w:val="none"/>
        </w:rPr>
        <w:t xml:space="preserve">求乙方支付违约金的同时，书面通知乙方解除本合同； </w:t>
      </w:r>
    </w:p>
    <w:p>
      <w:pPr>
        <w:pStyle w:val="20"/>
        <w:numPr>
          <w:ilvl w:val="2"/>
          <w:numId w:val="33"/>
        </w:numPr>
        <w:tabs>
          <w:tab w:val="left" w:pos="1899"/>
        </w:tabs>
        <w:spacing w:before="1" w:after="0" w:line="436" w:lineRule="auto"/>
        <w:ind w:left="818" w:right="1792" w:firstLine="479"/>
        <w:jc w:val="both"/>
        <w:rPr>
          <w:sz w:val="24"/>
          <w:highlight w:val="none"/>
        </w:rPr>
      </w:pPr>
      <w:r>
        <w:rPr>
          <w:spacing w:val="-10"/>
          <w:sz w:val="24"/>
          <w:highlight w:val="none"/>
        </w:rPr>
        <w:t>除不可抗力外，任何一方未能履行本合同约定的其他主要义务，经催</w:t>
      </w:r>
      <w:r>
        <w:rPr>
          <w:spacing w:val="-8"/>
          <w:sz w:val="24"/>
          <w:highlight w:val="none"/>
        </w:rPr>
        <w:t>告后在合理期限内仍未履行的，或者任何一方有其他违约行为致使不能实现合同</w:t>
      </w:r>
      <w:r>
        <w:rPr>
          <w:sz w:val="24"/>
          <w:highlight w:val="none"/>
        </w:rPr>
        <w:t xml:space="preserve">目的的，对方当事人可以书面通知违约方解除本合同； </w:t>
      </w:r>
    </w:p>
    <w:p>
      <w:pPr>
        <w:pStyle w:val="20"/>
        <w:numPr>
          <w:ilvl w:val="2"/>
          <w:numId w:val="33"/>
        </w:numPr>
        <w:tabs>
          <w:tab w:val="left" w:pos="1899"/>
        </w:tabs>
        <w:spacing w:before="1" w:after="0" w:line="436" w:lineRule="auto"/>
        <w:ind w:left="818" w:right="1792" w:firstLine="479"/>
        <w:jc w:val="both"/>
        <w:rPr>
          <w:sz w:val="24"/>
          <w:highlight w:val="none"/>
        </w:rPr>
      </w:pPr>
      <w:r>
        <w:rPr>
          <w:spacing w:val="-5"/>
          <w:sz w:val="24"/>
          <w:highlight w:val="none"/>
        </w:rPr>
        <w:t>任何一方按照前述约定要求违约方支付违约金的同时，仍有权要求违</w:t>
      </w:r>
      <w:r>
        <w:rPr>
          <w:spacing w:val="-9"/>
          <w:sz w:val="24"/>
          <w:highlight w:val="none"/>
        </w:rPr>
        <w:t>约方继续履行合同、采取补救措施，并有权按照己方实际损失情况要求违约方赔</w:t>
      </w:r>
      <w:r>
        <w:rPr>
          <w:spacing w:val="-10"/>
          <w:sz w:val="24"/>
          <w:highlight w:val="none"/>
        </w:rPr>
        <w:t>偿损失；任何一方按照前述约定要求解除本合同的同时，仍有权要求违约方支付</w:t>
      </w:r>
      <w:r>
        <w:rPr>
          <w:spacing w:val="-5"/>
          <w:sz w:val="24"/>
          <w:highlight w:val="none"/>
        </w:rPr>
        <w:t>违约金和按照己方实际损失情况要求违约方赔偿损失；且守约方行使的任何权利</w:t>
      </w:r>
      <w:r>
        <w:rPr>
          <w:sz w:val="24"/>
          <w:highlight w:val="none"/>
        </w:rPr>
        <w:t xml:space="preserve">救济方式均不视为其放弃了其他法定或者约定的权利救济方式； </w:t>
      </w:r>
    </w:p>
    <w:p>
      <w:pPr>
        <w:pStyle w:val="7"/>
        <w:numPr>
          <w:ilvl w:val="1"/>
          <w:numId w:val="33"/>
        </w:numPr>
        <w:tabs>
          <w:tab w:val="left" w:pos="1664"/>
        </w:tabs>
        <w:spacing w:before="0" w:after="0" w:line="365" w:lineRule="exact"/>
        <w:ind w:left="1663" w:right="0" w:hanging="364"/>
        <w:jc w:val="left"/>
        <w:rPr>
          <w:highlight w:val="none"/>
        </w:rPr>
      </w:pPr>
      <w:bookmarkStart w:id="62" w:name="1.7 合同争议的解决"/>
      <w:bookmarkEnd w:id="62"/>
      <w:bookmarkStart w:id="63" w:name="_bookmark24"/>
      <w:bookmarkEnd w:id="63"/>
      <w:r>
        <w:rPr>
          <w:highlight w:val="none"/>
        </w:rPr>
        <w:t>合同争议的解决</w:t>
      </w:r>
      <w:r>
        <w:rPr>
          <w:w w:val="200"/>
          <w:highlight w:val="none"/>
        </w:rPr>
        <w:t xml:space="preserve"> </w:t>
      </w:r>
    </w:p>
    <w:p>
      <w:pPr>
        <w:pStyle w:val="10"/>
        <w:spacing w:before="198" w:line="436" w:lineRule="auto"/>
        <w:ind w:right="1793" w:firstLine="479"/>
        <w:rPr>
          <w:highlight w:val="none"/>
        </w:rPr>
      </w:pPr>
      <w:r>
        <w:rPr>
          <w:highlight w:val="none"/>
        </w:rPr>
        <w:t xml:space="preserve">本合同履行过程中发生的任何争议，双方当事人均可通过和解或者调解解决；不愿和解、调解或者和解、调解不成的，可以选择下列方式解决： </w:t>
      </w:r>
    </w:p>
    <w:p>
      <w:pPr>
        <w:pStyle w:val="20"/>
        <w:numPr>
          <w:ilvl w:val="2"/>
          <w:numId w:val="33"/>
        </w:numPr>
        <w:tabs>
          <w:tab w:val="left" w:pos="1899"/>
        </w:tabs>
        <w:spacing w:before="2" w:after="0" w:line="240" w:lineRule="auto"/>
        <w:ind w:left="1899" w:right="0" w:hanging="601"/>
        <w:jc w:val="left"/>
        <w:rPr>
          <w:sz w:val="24"/>
          <w:highlight w:val="none"/>
        </w:rPr>
      </w:pPr>
      <w:r>
        <w:rPr>
          <w:sz w:val="24"/>
          <w:highlight w:val="none"/>
        </w:rPr>
        <w:t xml:space="preserve">将争议提交仲裁委员会依申请仲裁时其现行有效的仲裁规则裁决； </w:t>
      </w:r>
    </w:p>
    <w:p>
      <w:pPr>
        <w:pStyle w:val="10"/>
        <w:spacing w:before="8"/>
        <w:ind w:left="0"/>
        <w:rPr>
          <w:sz w:val="19"/>
          <w:highlight w:val="none"/>
        </w:rPr>
      </w:pPr>
    </w:p>
    <w:p>
      <w:pPr>
        <w:pStyle w:val="20"/>
        <w:numPr>
          <w:ilvl w:val="2"/>
          <w:numId w:val="33"/>
        </w:numPr>
        <w:tabs>
          <w:tab w:val="left" w:pos="1899"/>
        </w:tabs>
        <w:spacing w:before="0" w:after="0" w:line="240" w:lineRule="auto"/>
        <w:ind w:left="1899" w:right="0" w:hanging="601"/>
        <w:jc w:val="left"/>
        <w:rPr>
          <w:sz w:val="24"/>
          <w:highlight w:val="none"/>
        </w:rPr>
      </w:pPr>
      <w:r>
        <w:rPr>
          <w:sz w:val="24"/>
          <w:highlight w:val="none"/>
        </w:rPr>
        <w:t>向</w:t>
      </w:r>
      <w:r>
        <w:rPr>
          <w:spacing w:val="7"/>
          <w:sz w:val="24"/>
          <w:highlight w:val="none"/>
          <w:u w:val="single"/>
        </w:rPr>
        <w:t xml:space="preserve"> </w:t>
      </w:r>
      <w:r>
        <w:rPr>
          <w:sz w:val="24"/>
          <w:highlight w:val="none"/>
          <w:u w:val="single"/>
        </w:rPr>
        <w:t>（被告住所地、合同履行地、合同签订地、原告住所地、标的</w:t>
      </w:r>
    </w:p>
    <w:p>
      <w:pPr>
        <w:pStyle w:val="10"/>
        <w:spacing w:before="6"/>
        <w:ind w:left="0"/>
        <w:rPr>
          <w:sz w:val="14"/>
          <w:highlight w:val="none"/>
        </w:rPr>
      </w:pPr>
    </w:p>
    <w:p>
      <w:pPr>
        <w:pStyle w:val="10"/>
        <w:spacing w:before="66"/>
        <w:rPr>
          <w:highlight w:val="none"/>
        </w:rPr>
      </w:pPr>
      <w:r>
        <w:rPr>
          <w:highlight w:val="none"/>
          <w:u w:val="single"/>
        </w:rPr>
        <w:t>物所在地等与争议有实际联系的地点中选出的人民法院名称</w:t>
      </w:r>
      <w:r>
        <w:rPr>
          <w:spacing w:val="5"/>
          <w:highlight w:val="none"/>
          <w:u w:val="single"/>
        </w:rPr>
        <w:t>）</w:t>
      </w:r>
      <w:r>
        <w:rPr>
          <w:spacing w:val="128"/>
          <w:highlight w:val="none"/>
          <w:u w:val="single"/>
        </w:rPr>
        <w:t xml:space="preserve"> </w:t>
      </w:r>
      <w:r>
        <w:rPr>
          <w:spacing w:val="1"/>
          <w:highlight w:val="none"/>
        </w:rPr>
        <w:t>人民法院起</w:t>
      </w:r>
    </w:p>
    <w:p>
      <w:pPr>
        <w:pStyle w:val="10"/>
        <w:spacing w:before="9"/>
        <w:ind w:left="0"/>
        <w:rPr>
          <w:sz w:val="14"/>
          <w:highlight w:val="none"/>
        </w:rPr>
      </w:pPr>
    </w:p>
    <w:p>
      <w:pPr>
        <w:pStyle w:val="10"/>
        <w:spacing w:before="66"/>
        <w:rPr>
          <w:highlight w:val="none"/>
        </w:rPr>
      </w:pPr>
      <w:r>
        <w:rPr>
          <w:highlight w:val="none"/>
        </w:rPr>
        <w:t xml:space="preserve">诉。 </w:t>
      </w:r>
    </w:p>
    <w:p>
      <w:pPr>
        <w:spacing w:after="0"/>
        <w:rPr>
          <w:highlight w:val="none"/>
        </w:rPr>
        <w:sectPr>
          <w:pgSz w:w="11910" w:h="16840"/>
          <w:pgMar w:top="1580" w:right="0" w:bottom="1180" w:left="980" w:header="0" w:footer="915" w:gutter="0"/>
          <w:cols w:space="720" w:num="1"/>
        </w:sectPr>
      </w:pPr>
    </w:p>
    <w:p>
      <w:pPr>
        <w:pStyle w:val="7"/>
        <w:numPr>
          <w:ilvl w:val="1"/>
          <w:numId w:val="33"/>
        </w:numPr>
        <w:tabs>
          <w:tab w:val="left" w:pos="1664"/>
        </w:tabs>
        <w:spacing w:before="0" w:after="0" w:line="413" w:lineRule="exact"/>
        <w:ind w:left="1663" w:right="0" w:hanging="364"/>
        <w:jc w:val="left"/>
        <w:rPr>
          <w:highlight w:val="none"/>
        </w:rPr>
      </w:pPr>
      <w:bookmarkStart w:id="64" w:name="1.8 合同生效"/>
      <w:bookmarkEnd w:id="64"/>
      <w:bookmarkStart w:id="65" w:name="_bookmark25"/>
      <w:bookmarkEnd w:id="65"/>
      <w:r>
        <w:rPr>
          <w:highlight w:val="none"/>
        </w:rPr>
        <w:t>合同生效</w:t>
      </w:r>
      <w:r>
        <w:rPr>
          <w:w w:val="200"/>
          <w:highlight w:val="none"/>
        </w:rPr>
        <w:t xml:space="preserve"> </w:t>
      </w:r>
    </w:p>
    <w:p>
      <w:pPr>
        <w:pStyle w:val="10"/>
        <w:spacing w:before="197"/>
        <w:ind w:left="1298"/>
        <w:rPr>
          <w:rFonts w:hint="eastAsia" w:ascii="Microsoft JhengHei" w:eastAsia="Microsoft JhengHei"/>
          <w:b/>
          <w:highlight w:val="none"/>
        </w:rPr>
      </w:pPr>
      <w:r>
        <w:rPr>
          <w:highlight w:val="none"/>
        </w:rPr>
        <w:t>本合同自双方当事人盖章或者签字时生效。</w:t>
      </w:r>
      <w:r>
        <w:rPr>
          <w:rFonts w:hint="eastAsia" w:ascii="Microsoft JhengHei" w:eastAsia="Microsoft JhengHei"/>
          <w:b/>
          <w:w w:val="200"/>
          <w:highlight w:val="none"/>
        </w:rPr>
        <w:t xml:space="preserve"> </w:t>
      </w:r>
    </w:p>
    <w:p>
      <w:pPr>
        <w:pStyle w:val="10"/>
        <w:ind w:left="0"/>
        <w:rPr>
          <w:rFonts w:ascii="Microsoft JhengHei"/>
          <w:b/>
          <w:sz w:val="20"/>
          <w:highlight w:val="none"/>
        </w:rPr>
      </w:pPr>
    </w:p>
    <w:p>
      <w:pPr>
        <w:pStyle w:val="10"/>
        <w:spacing w:before="11"/>
        <w:ind w:left="0"/>
        <w:rPr>
          <w:rFonts w:ascii="Microsoft JhengHei"/>
          <w:b/>
          <w:sz w:val="20"/>
          <w:highlight w:val="none"/>
        </w:rPr>
      </w:pPr>
    </w:p>
    <w:p>
      <w:pPr>
        <w:spacing w:before="0" w:line="429" w:lineRule="exact"/>
        <w:ind w:left="818" w:right="0" w:firstLine="0"/>
        <w:jc w:val="left"/>
        <w:rPr>
          <w:sz w:val="24"/>
          <w:highlight w:val="none"/>
        </w:rPr>
      </w:pPr>
      <w:r>
        <w:rPr>
          <w:rFonts w:hint="eastAsia" w:ascii="Microsoft JhengHei" w:eastAsia="Microsoft JhengHei"/>
          <w:b/>
          <w:sz w:val="24"/>
          <w:highlight w:val="none"/>
        </w:rPr>
        <w:t xml:space="preserve">甲 方 </w:t>
      </w:r>
      <w:r>
        <w:rPr>
          <w:sz w:val="24"/>
          <w:highlight w:val="none"/>
        </w:rPr>
        <w:t xml:space="preserve">： </w:t>
      </w:r>
      <w:r>
        <w:rPr>
          <w:rFonts w:hint="eastAsia" w:ascii="Microsoft JhengHei" w:eastAsia="Microsoft JhengHei"/>
          <w:b/>
          <w:sz w:val="24"/>
          <w:highlight w:val="none"/>
        </w:rPr>
        <w:t xml:space="preserve">乙 方 </w:t>
      </w:r>
      <w:r>
        <w:rPr>
          <w:sz w:val="24"/>
          <w:highlight w:val="none"/>
        </w:rPr>
        <w:t xml:space="preserve">： </w:t>
      </w:r>
    </w:p>
    <w:p>
      <w:pPr>
        <w:pStyle w:val="10"/>
        <w:spacing w:before="197" w:line="439" w:lineRule="auto"/>
        <w:ind w:right="1796"/>
        <w:rPr>
          <w:highlight w:val="none"/>
        </w:rPr>
      </w:pPr>
      <w:r>
        <w:rPr>
          <w:highlight w:val="none"/>
        </w:rPr>
        <w:t xml:space="preserve">统一社会信用代码：                     统一社会信用代码或身份证号码： </w:t>
      </w:r>
    </w:p>
    <w:p>
      <w:pPr>
        <w:pStyle w:val="10"/>
        <w:ind w:left="0"/>
        <w:rPr>
          <w:sz w:val="20"/>
          <w:highlight w:val="none"/>
        </w:rPr>
      </w:pPr>
    </w:p>
    <w:p>
      <w:pPr>
        <w:pStyle w:val="10"/>
        <w:spacing w:before="2"/>
        <w:ind w:left="0"/>
        <w:rPr>
          <w:sz w:val="18"/>
          <w:highlight w:val="none"/>
        </w:rPr>
      </w:pPr>
    </w:p>
    <w:p>
      <w:pPr>
        <w:pStyle w:val="10"/>
        <w:spacing w:before="66"/>
        <w:rPr>
          <w:highlight w:val="none"/>
        </w:rPr>
      </w:pPr>
      <w:r>
        <w:rPr>
          <w:highlight w:val="none"/>
        </w:rPr>
        <w:t xml:space="preserve">住 所 ： 住 所 ： </w:t>
      </w:r>
    </w:p>
    <w:p>
      <w:pPr>
        <w:pStyle w:val="10"/>
        <w:spacing w:before="11"/>
        <w:ind w:left="0"/>
        <w:rPr>
          <w:sz w:val="19"/>
          <w:highlight w:val="none"/>
        </w:rPr>
      </w:pPr>
    </w:p>
    <w:p>
      <w:pPr>
        <w:pStyle w:val="10"/>
        <w:rPr>
          <w:highlight w:val="none"/>
        </w:rPr>
      </w:pPr>
      <w:r>
        <w:rPr>
          <w:highlight w:val="none"/>
        </w:rPr>
        <w:t xml:space="preserve">法 定 代 表 人 或 法 定 代 表 人 </w:t>
      </w:r>
    </w:p>
    <w:p>
      <w:pPr>
        <w:pStyle w:val="10"/>
        <w:spacing w:before="8"/>
        <w:ind w:left="0"/>
        <w:rPr>
          <w:sz w:val="19"/>
          <w:highlight w:val="none"/>
        </w:rPr>
      </w:pPr>
    </w:p>
    <w:p>
      <w:pPr>
        <w:pStyle w:val="10"/>
        <w:spacing w:line="436" w:lineRule="auto"/>
        <w:ind w:right="2784"/>
        <w:rPr>
          <w:highlight w:val="none"/>
        </w:rPr>
      </w:pPr>
      <w:r>
        <w:rPr>
          <w:highlight w:val="none"/>
        </w:rPr>
        <w:t>授权代表（签字</w:t>
      </w:r>
      <w:r>
        <w:rPr>
          <w:spacing w:val="-120"/>
          <w:highlight w:val="none"/>
        </w:rPr>
        <w:t>）</w:t>
      </w:r>
      <w:r>
        <w:rPr>
          <w:highlight w:val="none"/>
        </w:rPr>
        <w:t>：                       或授权代表（签字）</w:t>
      </w:r>
      <w:r>
        <w:rPr>
          <w:rFonts w:hint="eastAsia"/>
          <w:highlight w:val="none"/>
          <w:lang w:eastAsia="zh-CN"/>
        </w:rPr>
        <w:t>：</w:t>
      </w:r>
      <w:r>
        <w:rPr>
          <w:highlight w:val="none"/>
        </w:rPr>
        <w:t xml:space="preserve"> 联 系 人 ： 联 系 人 ： </w:t>
      </w:r>
    </w:p>
    <w:p>
      <w:pPr>
        <w:pStyle w:val="10"/>
        <w:spacing w:before="1" w:line="436" w:lineRule="auto"/>
        <w:ind w:right="3385"/>
        <w:rPr>
          <w:highlight w:val="none"/>
        </w:rPr>
      </w:pPr>
      <w:r>
        <w:rPr>
          <w:highlight w:val="none"/>
        </w:rPr>
        <w:t xml:space="preserve">约 定 送 达 地 址 ：              约 定 送 达 地 址 ： 邮 政 编 码 ： 邮 政 编 码 ： </w:t>
      </w:r>
    </w:p>
    <w:p>
      <w:pPr>
        <w:pStyle w:val="10"/>
        <w:spacing w:line="439" w:lineRule="auto"/>
        <w:ind w:right="4345"/>
        <w:rPr>
          <w:rFonts w:hint="eastAsia" w:eastAsia="宋体"/>
          <w:highlight w:val="none"/>
          <w:lang w:eastAsia="zh-CN"/>
        </w:rPr>
      </w:pPr>
      <w:r>
        <w:rPr>
          <w:highlight w:val="none"/>
        </w:rPr>
        <w:t xml:space="preserve">电 话 </w:t>
      </w:r>
      <w:r>
        <w:rPr>
          <w:rFonts w:hint="eastAsia"/>
          <w:highlight w:val="none"/>
          <w:lang w:eastAsia="zh-CN"/>
        </w:rPr>
        <w:t>：</w:t>
      </w:r>
      <w:r>
        <w:rPr>
          <w:highlight w:val="none"/>
        </w:rPr>
        <w:t xml:space="preserve">                               电 话 </w:t>
      </w:r>
      <w:r>
        <w:rPr>
          <w:rFonts w:hint="eastAsia"/>
          <w:highlight w:val="none"/>
          <w:lang w:eastAsia="zh-CN"/>
        </w:rPr>
        <w:t>：</w:t>
      </w:r>
      <w:r>
        <w:rPr>
          <w:highlight w:val="none"/>
        </w:rPr>
        <w:t xml:space="preserve">传 真 </w:t>
      </w:r>
      <w:r>
        <w:rPr>
          <w:rFonts w:hint="eastAsia"/>
          <w:highlight w:val="none"/>
          <w:lang w:eastAsia="zh-CN"/>
        </w:rPr>
        <w:t>：</w:t>
      </w:r>
      <w:r>
        <w:rPr>
          <w:highlight w:val="none"/>
        </w:rPr>
        <w:t xml:space="preserve">传 真 </w:t>
      </w:r>
      <w:r>
        <w:rPr>
          <w:rFonts w:hint="eastAsia"/>
          <w:highlight w:val="none"/>
          <w:lang w:eastAsia="zh-CN"/>
        </w:rPr>
        <w:t>：</w:t>
      </w:r>
    </w:p>
    <w:p>
      <w:pPr>
        <w:pStyle w:val="10"/>
        <w:spacing w:line="436" w:lineRule="auto"/>
        <w:ind w:right="3745"/>
        <w:rPr>
          <w:highlight w:val="none"/>
        </w:rPr>
      </w:pPr>
      <w:r>
        <w:rPr>
          <w:highlight w:val="none"/>
        </w:rPr>
        <w:t xml:space="preserve">电 子 邮 箱 ：                       电 子 邮 箱 ： 开 户 银 行 ：                       开 户 银 行 ： 开 户 名 称 ：                       开 户 名 称 ： 开 户 账 号 ： </w:t>
      </w:r>
      <w:r>
        <w:rPr>
          <w:rFonts w:hint="eastAsia"/>
          <w:highlight w:val="none"/>
          <w:lang w:val="en-US" w:eastAsia="zh-CN"/>
        </w:rPr>
        <w:t xml:space="preserve">                      </w:t>
      </w:r>
      <w:r>
        <w:rPr>
          <w:highlight w:val="none"/>
        </w:rPr>
        <w:t xml:space="preserve">开 户 账 号 ： </w:t>
      </w:r>
    </w:p>
    <w:p>
      <w:pPr>
        <w:spacing w:after="0" w:line="436" w:lineRule="auto"/>
        <w:rPr>
          <w:highlight w:val="none"/>
        </w:rPr>
        <w:sectPr>
          <w:pgSz w:w="11910" w:h="16840"/>
          <w:pgMar w:top="1580" w:right="0" w:bottom="1180" w:left="980" w:header="0" w:footer="915" w:gutter="0"/>
          <w:cols w:space="720" w:num="1"/>
        </w:sectPr>
      </w:pPr>
    </w:p>
    <w:p>
      <w:pPr>
        <w:pStyle w:val="4"/>
        <w:ind w:left="2894"/>
        <w:outlineLvl w:val="9"/>
        <w:rPr>
          <w:highlight w:val="none"/>
        </w:rPr>
      </w:pPr>
      <w:bookmarkStart w:id="66" w:name="第六部分   投标文件格式"/>
      <w:bookmarkEnd w:id="66"/>
    </w:p>
    <w:p>
      <w:pPr>
        <w:pStyle w:val="4"/>
        <w:ind w:left="2894"/>
        <w:outlineLvl w:val="0"/>
        <w:rPr>
          <w:w w:val="200"/>
          <w:highlight w:val="none"/>
        </w:rPr>
      </w:pPr>
      <w:bookmarkStart w:id="67" w:name="_Toc6013"/>
      <w:r>
        <w:rPr>
          <w:highlight w:val="none"/>
        </w:rPr>
        <w:t>第六部分 投标文件格式</w:t>
      </w:r>
      <w:bookmarkEnd w:id="67"/>
      <w:r>
        <w:rPr>
          <w:w w:val="200"/>
          <w:highlight w:val="none"/>
        </w:rPr>
        <w:t xml:space="preserve"> </w:t>
      </w:r>
    </w:p>
    <w:p>
      <w:pPr>
        <w:rPr>
          <w:highlight w:val="none"/>
        </w:rPr>
      </w:pPr>
    </w:p>
    <w:p>
      <w:pPr>
        <w:pStyle w:val="10"/>
        <w:ind w:left="0"/>
        <w:rPr>
          <w:rFonts w:ascii="Microsoft JhengHei"/>
          <w:b/>
          <w:sz w:val="20"/>
          <w:highlight w:val="none"/>
        </w:rPr>
      </w:pPr>
    </w:p>
    <w:p>
      <w:pPr>
        <w:pStyle w:val="10"/>
        <w:spacing w:before="13"/>
        <w:ind w:left="0"/>
        <w:rPr>
          <w:rFonts w:ascii="Microsoft JhengHei"/>
          <w:b/>
          <w:sz w:val="17"/>
          <w:highlight w:val="none"/>
        </w:rPr>
      </w:pPr>
    </w:p>
    <w:p>
      <w:pPr>
        <w:spacing w:before="61"/>
        <w:ind w:left="818" w:right="0" w:firstLine="0"/>
        <w:jc w:val="left"/>
        <w:rPr>
          <w:sz w:val="28"/>
          <w:highlight w:val="none"/>
        </w:rPr>
      </w:pPr>
      <w:r>
        <w:rPr>
          <w:w w:val="100"/>
          <w:sz w:val="28"/>
          <w:highlight w:val="none"/>
        </w:rPr>
        <w:t xml:space="preserve">                </w:t>
      </w:r>
      <w:r>
        <w:rPr>
          <w:w w:val="100"/>
          <w:sz w:val="28"/>
          <w:highlight w:val="none"/>
          <w:u w:val="single"/>
        </w:rPr>
        <w:t xml:space="preserve">                        </w:t>
      </w:r>
      <w:r>
        <w:rPr>
          <w:sz w:val="28"/>
          <w:highlight w:val="none"/>
        </w:rPr>
        <w:t xml:space="preserve">（项目名称） </w:t>
      </w:r>
    </w:p>
    <w:p>
      <w:pPr>
        <w:pStyle w:val="10"/>
        <w:ind w:left="0"/>
        <w:rPr>
          <w:sz w:val="20"/>
          <w:highlight w:val="none"/>
        </w:rPr>
      </w:pPr>
    </w:p>
    <w:p>
      <w:pPr>
        <w:pStyle w:val="10"/>
        <w:ind w:left="0"/>
        <w:rPr>
          <w:sz w:val="20"/>
          <w:highlight w:val="none"/>
        </w:rPr>
      </w:pPr>
    </w:p>
    <w:p>
      <w:pPr>
        <w:pStyle w:val="10"/>
        <w:spacing w:before="8"/>
        <w:ind w:left="0"/>
        <w:rPr>
          <w:highlight w:val="none"/>
        </w:rPr>
      </w:pPr>
    </w:p>
    <w:p>
      <w:pPr>
        <w:spacing w:before="61"/>
        <w:ind w:left="0" w:right="184" w:firstLine="0"/>
        <w:jc w:val="center"/>
        <w:outlineLvl w:val="0"/>
        <w:rPr>
          <w:sz w:val="28"/>
          <w:highlight w:val="none"/>
        </w:rPr>
      </w:pPr>
      <w:r>
        <w:rPr>
          <w:w w:val="100"/>
          <w:sz w:val="28"/>
          <w:highlight w:val="none"/>
        </w:rPr>
        <w:t xml:space="preserve"> </w:t>
      </w:r>
      <w:r>
        <w:rPr>
          <w:spacing w:val="-2"/>
          <w:w w:val="100"/>
          <w:sz w:val="28"/>
          <w:highlight w:val="none"/>
        </w:rPr>
        <w:t xml:space="preserve">  </w:t>
      </w:r>
      <w:r>
        <w:rPr>
          <w:w w:val="100"/>
          <w:sz w:val="28"/>
          <w:highlight w:val="none"/>
        </w:rPr>
        <w:t xml:space="preserve"> </w:t>
      </w:r>
      <w:r>
        <w:rPr>
          <w:spacing w:val="-1"/>
          <w:w w:val="100"/>
          <w:sz w:val="28"/>
          <w:highlight w:val="non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bookmarkStart w:id="68" w:name="_Toc30058"/>
      <w:r>
        <w:rPr>
          <w:spacing w:val="-1"/>
          <w:sz w:val="28"/>
          <w:highlight w:val="none"/>
        </w:rPr>
        <w:t>（</w:t>
      </w:r>
      <w:r>
        <w:rPr>
          <w:spacing w:val="-2"/>
          <w:sz w:val="28"/>
          <w:highlight w:val="none"/>
        </w:rPr>
        <w:t>项目编号</w:t>
      </w:r>
      <w:r>
        <w:rPr>
          <w:sz w:val="28"/>
          <w:highlight w:val="none"/>
        </w:rPr>
        <w:t>）</w:t>
      </w:r>
      <w:bookmarkEnd w:id="68"/>
      <w:r>
        <w:rPr>
          <w:sz w:val="28"/>
          <w:highlight w:val="none"/>
        </w:rPr>
        <w:t xml:space="preserve"> </w:t>
      </w:r>
    </w:p>
    <w:p>
      <w:pPr>
        <w:pStyle w:val="10"/>
        <w:spacing w:before="5"/>
        <w:ind w:left="0"/>
        <w:rPr>
          <w:sz w:val="11"/>
          <w:highlight w:val="none"/>
        </w:rPr>
      </w:pPr>
    </w:p>
    <w:p>
      <w:pPr>
        <w:pStyle w:val="10"/>
        <w:spacing w:before="66"/>
        <w:ind w:left="0" w:right="858"/>
        <w:jc w:val="center"/>
        <w:rPr>
          <w:highlight w:val="none"/>
        </w:rPr>
      </w:pPr>
      <w:r>
        <w:rPr>
          <w:highlight w:val="none"/>
        </w:rPr>
        <w:t xml:space="preserve"> </w:t>
      </w:r>
    </w:p>
    <w:p>
      <w:pPr>
        <w:spacing w:before="214"/>
        <w:ind w:left="533" w:right="0" w:firstLine="0"/>
        <w:jc w:val="center"/>
        <w:outlineLvl w:val="0"/>
        <w:rPr>
          <w:rFonts w:hint="eastAsia" w:ascii="Microsoft JhengHei" w:eastAsia="Microsoft JhengHei"/>
          <w:b/>
          <w:sz w:val="32"/>
          <w:highlight w:val="none"/>
        </w:rPr>
      </w:pP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spacing w:val="3"/>
          <w:w w:val="100"/>
          <w:sz w:val="28"/>
          <w:highlight w:val="none"/>
          <w:u w:val="single"/>
        </w:rPr>
        <w:t xml:space="preserve"> </w:t>
      </w:r>
      <w:bookmarkStart w:id="69" w:name="_Toc7434"/>
      <w:r>
        <w:rPr>
          <w:spacing w:val="-3"/>
          <w:sz w:val="28"/>
          <w:highlight w:val="none"/>
        </w:rPr>
        <w:t>（</w:t>
      </w:r>
      <w:r>
        <w:rPr>
          <w:spacing w:val="-2"/>
          <w:sz w:val="28"/>
          <w:highlight w:val="none"/>
        </w:rPr>
        <w:t>分包编号</w:t>
      </w:r>
      <w:r>
        <w:rPr>
          <w:sz w:val="28"/>
          <w:highlight w:val="none"/>
        </w:rPr>
        <w:t>）</w:t>
      </w:r>
      <w:bookmarkEnd w:id="69"/>
      <w:r>
        <w:rPr>
          <w:rFonts w:hint="eastAsia" w:ascii="Microsoft JhengHei" w:eastAsia="Microsoft JhengHei"/>
          <w:b/>
          <w:color w:val="0000FF"/>
          <w:w w:val="199"/>
          <w:sz w:val="32"/>
          <w:highlight w:val="none"/>
        </w:rPr>
        <w:t xml:space="preserve"> </w:t>
      </w:r>
    </w:p>
    <w:p>
      <w:pPr>
        <w:pStyle w:val="10"/>
        <w:spacing w:before="17"/>
        <w:ind w:left="0"/>
        <w:rPr>
          <w:rFonts w:ascii="Microsoft JhengHei"/>
          <w:b/>
          <w:sz w:val="7"/>
          <w:highlight w:val="none"/>
        </w:rPr>
      </w:pPr>
    </w:p>
    <w:p>
      <w:pPr>
        <w:pStyle w:val="10"/>
        <w:spacing w:before="67" w:line="232" w:lineRule="exact"/>
        <w:ind w:left="0" w:right="858"/>
        <w:jc w:val="center"/>
        <w:rPr>
          <w:highlight w:val="none"/>
        </w:rPr>
      </w:pPr>
      <w:r>
        <w:rPr>
          <w:highlight w:val="none"/>
        </w:rPr>
        <w:t xml:space="preserve"> </w:t>
      </w:r>
    </w:p>
    <w:p>
      <w:pPr>
        <w:pStyle w:val="3"/>
        <w:spacing w:line="1210" w:lineRule="exact"/>
        <w:ind w:right="2695"/>
        <w:rPr>
          <w:highlight w:val="none"/>
        </w:rPr>
      </w:pPr>
      <w:bookmarkStart w:id="70" w:name="_Toc1183"/>
      <w:r>
        <w:rPr>
          <w:highlight w:val="none"/>
        </w:rPr>
        <w:t>投标文件</w:t>
      </w:r>
      <w:bookmarkEnd w:id="70"/>
      <w:r>
        <w:rPr>
          <w:w w:val="200"/>
          <w:highlight w:val="none"/>
        </w:rPr>
        <w:t xml:space="preserve"> </w:t>
      </w:r>
    </w:p>
    <w:p>
      <w:pPr>
        <w:pStyle w:val="10"/>
        <w:spacing w:line="270" w:lineRule="exact"/>
        <w:ind w:left="0" w:right="858"/>
        <w:jc w:val="center"/>
        <w:rPr>
          <w:highlight w:val="none"/>
        </w:rPr>
      </w:pPr>
      <w:r>
        <w:rPr>
          <w:highlight w:val="none"/>
        </w:rPr>
        <w:t xml:space="preserve"> </w:t>
      </w:r>
    </w:p>
    <w:p>
      <w:pPr>
        <w:pStyle w:val="10"/>
        <w:spacing w:before="160"/>
        <w:ind w:left="0" w:right="858"/>
        <w:jc w:val="center"/>
        <w:rPr>
          <w:highlight w:val="none"/>
        </w:rPr>
      </w:pPr>
      <w:r>
        <w:rPr>
          <w:highlight w:val="none"/>
        </w:rPr>
        <w:t xml:space="preserve"> </w:t>
      </w:r>
    </w:p>
    <w:p>
      <w:pPr>
        <w:pStyle w:val="7"/>
        <w:spacing w:before="81"/>
        <w:ind w:left="0" w:right="858"/>
        <w:jc w:val="center"/>
        <w:outlineLvl w:val="9"/>
        <w:rPr>
          <w:highlight w:val="none"/>
        </w:rPr>
      </w:pPr>
      <w:r>
        <w:rPr>
          <w:w w:val="200"/>
          <w:highlight w:val="none"/>
        </w:rPr>
        <w:t xml:space="preserve"> </w:t>
      </w:r>
    </w:p>
    <w:p>
      <w:pPr>
        <w:spacing w:before="27"/>
        <w:ind w:left="0" w:right="858" w:firstLine="0"/>
        <w:jc w:val="center"/>
        <w:rPr>
          <w:rFonts w:ascii="Microsoft JhengHei"/>
          <w:b/>
          <w:sz w:val="24"/>
          <w:highlight w:val="none"/>
        </w:rPr>
      </w:pPr>
      <w:r>
        <w:rPr>
          <w:rFonts w:ascii="Microsoft JhengHei"/>
          <w:b/>
          <w:w w:val="200"/>
          <w:sz w:val="24"/>
          <w:highlight w:val="none"/>
        </w:rPr>
        <w:t xml:space="preserve"> </w:t>
      </w:r>
    </w:p>
    <w:p>
      <w:pPr>
        <w:spacing w:before="27"/>
        <w:ind w:left="0" w:right="858" w:firstLine="0"/>
        <w:jc w:val="center"/>
        <w:rPr>
          <w:rFonts w:ascii="Microsoft JhengHei"/>
          <w:b/>
          <w:sz w:val="24"/>
          <w:highlight w:val="none"/>
        </w:rPr>
      </w:pPr>
      <w:r>
        <w:rPr>
          <w:rFonts w:ascii="Microsoft JhengHei"/>
          <w:b/>
          <w:w w:val="200"/>
          <w:sz w:val="24"/>
          <w:highlight w:val="none"/>
        </w:rPr>
        <w:t xml:space="preserve"> </w:t>
      </w:r>
    </w:p>
    <w:p>
      <w:pPr>
        <w:spacing w:before="27"/>
        <w:ind w:left="0" w:right="858" w:firstLine="0"/>
        <w:jc w:val="center"/>
        <w:rPr>
          <w:rFonts w:ascii="Microsoft JhengHei"/>
          <w:b/>
          <w:sz w:val="24"/>
          <w:highlight w:val="none"/>
        </w:rPr>
      </w:pPr>
      <w:r>
        <w:rPr>
          <w:rFonts w:ascii="Microsoft JhengHei"/>
          <w:b/>
          <w:w w:val="200"/>
          <w:sz w:val="24"/>
          <w:highlight w:val="none"/>
        </w:rPr>
        <w:t xml:space="preserve"> </w:t>
      </w:r>
    </w:p>
    <w:p>
      <w:pPr>
        <w:spacing w:before="27"/>
        <w:ind w:left="0" w:right="858" w:firstLine="0"/>
        <w:jc w:val="center"/>
        <w:rPr>
          <w:rFonts w:ascii="Microsoft JhengHei"/>
          <w:b/>
          <w:sz w:val="24"/>
          <w:highlight w:val="none"/>
        </w:rPr>
      </w:pPr>
      <w:r>
        <w:rPr>
          <w:rFonts w:ascii="Microsoft JhengHei"/>
          <w:b/>
          <w:w w:val="200"/>
          <w:sz w:val="24"/>
          <w:highlight w:val="none"/>
        </w:rPr>
        <w:t xml:space="preserve"> </w:t>
      </w:r>
    </w:p>
    <w:p>
      <w:pPr>
        <w:spacing w:before="26"/>
        <w:ind w:left="0" w:right="858" w:firstLine="0"/>
        <w:jc w:val="center"/>
        <w:rPr>
          <w:rFonts w:ascii="Microsoft JhengHei"/>
          <w:b/>
          <w:sz w:val="24"/>
          <w:highlight w:val="none"/>
        </w:rPr>
      </w:pPr>
      <w:r>
        <w:rPr>
          <w:rFonts w:ascii="Microsoft JhengHei"/>
          <w:b/>
          <w:w w:val="200"/>
          <w:sz w:val="24"/>
          <w:highlight w:val="none"/>
        </w:rPr>
        <w:t xml:space="preserve"> </w:t>
      </w:r>
    </w:p>
    <w:p>
      <w:pPr>
        <w:spacing w:before="160"/>
        <w:ind w:left="1863" w:right="2698" w:firstLine="0"/>
        <w:jc w:val="center"/>
        <w:outlineLvl w:val="0"/>
        <w:rPr>
          <w:sz w:val="28"/>
          <w:highlight w:val="none"/>
        </w:rPr>
      </w:pPr>
      <w:r>
        <w:rPr>
          <w:rFonts w:hint="eastAsia"/>
          <w:sz w:val="28"/>
          <w:highlight w:val="none"/>
          <w:lang w:val="en-US" w:eastAsia="zh-CN"/>
        </w:rPr>
        <w:t xml:space="preserve"> </w:t>
      </w:r>
      <w:bookmarkStart w:id="71" w:name="_Toc2674"/>
      <w:r>
        <w:rPr>
          <w:sz w:val="28"/>
          <w:highlight w:val="none"/>
        </w:rPr>
        <w:t>投 标 人</w:t>
      </w:r>
      <w:r>
        <w:rPr>
          <w:spacing w:val="134"/>
          <w:sz w:val="28"/>
          <w:highlight w:val="none"/>
          <w:u w:val="single"/>
        </w:rPr>
        <w:t xml:space="preserve"> </w:t>
      </w:r>
      <w:r>
        <w:rPr>
          <w:sz w:val="28"/>
          <w:highlight w:val="none"/>
        </w:rPr>
        <w:t>（</w:t>
      </w:r>
      <w:r>
        <w:rPr>
          <w:spacing w:val="-3"/>
          <w:sz w:val="28"/>
          <w:highlight w:val="none"/>
        </w:rPr>
        <w:t xml:space="preserve"> 电 子 签 章 ）</w:t>
      </w:r>
      <w:bookmarkEnd w:id="71"/>
      <w:r>
        <w:rPr>
          <w:sz w:val="28"/>
          <w:highlight w:val="none"/>
        </w:rPr>
        <w:t xml:space="preserve"> </w:t>
      </w:r>
    </w:p>
    <w:p>
      <w:pPr>
        <w:pStyle w:val="10"/>
        <w:spacing w:before="11"/>
        <w:ind w:left="0"/>
        <w:rPr>
          <w:sz w:val="15"/>
          <w:highlight w:val="none"/>
        </w:rPr>
      </w:pPr>
    </w:p>
    <w:p>
      <w:pPr>
        <w:spacing w:before="62"/>
        <w:ind w:left="2102" w:right="0" w:firstLine="1104" w:firstLineChars="400"/>
        <w:jc w:val="left"/>
        <w:rPr>
          <w:sz w:val="28"/>
          <w:highlight w:val="none"/>
        </w:rPr>
      </w:pPr>
      <w:r>
        <w:rPr>
          <w:spacing w:val="-2"/>
          <w:sz w:val="28"/>
          <w:highlight w:val="none"/>
        </w:rPr>
        <w:t>法 定 代 表 人</w:t>
      </w:r>
      <w:r>
        <w:rPr>
          <w:spacing w:val="137"/>
          <w:sz w:val="28"/>
          <w:highlight w:val="none"/>
          <w:u w:val="single"/>
        </w:rPr>
        <w:t xml:space="preserve"> </w:t>
      </w:r>
      <w:r>
        <w:rPr>
          <w:spacing w:val="-3"/>
          <w:sz w:val="28"/>
          <w:highlight w:val="none"/>
        </w:rPr>
        <w:t xml:space="preserve">（ 电 子 签 名 </w:t>
      </w:r>
      <w:r>
        <w:rPr>
          <w:sz w:val="28"/>
          <w:highlight w:val="none"/>
        </w:rPr>
        <w:t xml:space="preserve">） </w:t>
      </w:r>
    </w:p>
    <w:p>
      <w:pPr>
        <w:pStyle w:val="10"/>
        <w:spacing w:before="11"/>
        <w:ind w:left="0"/>
        <w:rPr>
          <w:sz w:val="15"/>
          <w:highlight w:val="none"/>
        </w:rPr>
      </w:pPr>
    </w:p>
    <w:p>
      <w:pPr>
        <w:spacing w:before="62"/>
        <w:ind w:right="0" w:firstLine="3360" w:firstLineChars="1200"/>
        <w:jc w:val="left"/>
        <w:rPr>
          <w:sz w:val="28"/>
          <w:highlight w:val="none"/>
        </w:rPr>
      </w:pPr>
      <w:r>
        <w:rPr>
          <w:sz w:val="28"/>
          <w:highlight w:val="none"/>
        </w:rPr>
        <w:t>日 期</w:t>
      </w:r>
      <w:r>
        <w:rPr>
          <w:spacing w:val="132"/>
          <w:sz w:val="28"/>
          <w:highlight w:val="none"/>
          <w:u w:val="single"/>
        </w:rPr>
        <w:t xml:space="preserve"> </w:t>
      </w:r>
      <w:r>
        <w:rPr>
          <w:spacing w:val="-3"/>
          <w:sz w:val="28"/>
          <w:highlight w:val="none"/>
        </w:rPr>
        <w:t>（</w:t>
      </w:r>
      <w:r>
        <w:rPr>
          <w:spacing w:val="-2"/>
          <w:sz w:val="28"/>
          <w:highlight w:val="none"/>
        </w:rPr>
        <w:t xml:space="preserve"> 年 </w:t>
      </w:r>
      <w:r>
        <w:rPr>
          <w:sz w:val="28"/>
          <w:highlight w:val="none"/>
        </w:rPr>
        <w:t>/ 月 /</w:t>
      </w:r>
      <w:r>
        <w:rPr>
          <w:spacing w:val="-3"/>
          <w:sz w:val="28"/>
          <w:highlight w:val="none"/>
        </w:rPr>
        <w:t xml:space="preserve"> 日 </w:t>
      </w:r>
      <w:r>
        <w:rPr>
          <w:sz w:val="28"/>
          <w:highlight w:val="none"/>
        </w:rPr>
        <w:t xml:space="preserve">） </w:t>
      </w:r>
    </w:p>
    <w:p>
      <w:pPr>
        <w:pStyle w:val="10"/>
        <w:spacing w:before="12"/>
        <w:ind w:left="0"/>
        <w:rPr>
          <w:sz w:val="15"/>
          <w:highlight w:val="none"/>
        </w:rPr>
      </w:pPr>
    </w:p>
    <w:p>
      <w:pPr>
        <w:spacing w:before="62"/>
        <w:ind w:left="0" w:right="838" w:firstLine="0"/>
        <w:jc w:val="center"/>
        <w:rPr>
          <w:sz w:val="28"/>
          <w:highlight w:val="none"/>
        </w:rPr>
      </w:pPr>
      <w:r>
        <w:rPr>
          <w:w w:val="100"/>
          <w:sz w:val="28"/>
          <w:highlight w:val="none"/>
        </w:rPr>
        <w:t xml:space="preserve"> </w:t>
      </w:r>
    </w:p>
    <w:p>
      <w:pPr>
        <w:spacing w:after="0"/>
        <w:jc w:val="center"/>
        <w:rPr>
          <w:sz w:val="28"/>
          <w:highlight w:val="none"/>
        </w:rPr>
        <w:sectPr>
          <w:pgSz w:w="11910" w:h="16840"/>
          <w:pgMar w:top="1580" w:right="0" w:bottom="1180" w:left="980" w:header="0" w:footer="915" w:gutter="0"/>
          <w:cols w:space="720" w:num="1"/>
        </w:sectPr>
      </w:pPr>
    </w:p>
    <w:p>
      <w:pPr>
        <w:pStyle w:val="10"/>
        <w:spacing w:before="11"/>
        <w:ind w:left="0"/>
        <w:rPr>
          <w:sz w:val="12"/>
          <w:highlight w:val="none"/>
        </w:rPr>
      </w:pPr>
    </w:p>
    <w:p>
      <w:pPr>
        <w:tabs>
          <w:tab w:val="left" w:pos="1202"/>
        </w:tabs>
        <w:spacing w:before="45"/>
        <w:ind w:left="0" w:right="973" w:firstLine="0"/>
        <w:jc w:val="center"/>
        <w:outlineLvl w:val="0"/>
        <w:rPr>
          <w:sz w:val="40"/>
          <w:highlight w:val="none"/>
        </w:rPr>
      </w:pPr>
      <w:bookmarkStart w:id="72" w:name="_Toc31608"/>
      <w:r>
        <w:rPr>
          <w:sz w:val="40"/>
          <w:highlight w:val="none"/>
        </w:rPr>
        <w:t>目</w:t>
      </w:r>
      <w:r>
        <w:rPr>
          <w:sz w:val="40"/>
          <w:highlight w:val="none"/>
        </w:rPr>
        <w:tab/>
      </w:r>
      <w:r>
        <w:rPr>
          <w:sz w:val="40"/>
          <w:highlight w:val="none"/>
        </w:rPr>
        <w:t>录</w:t>
      </w:r>
      <w:bookmarkEnd w:id="72"/>
    </w:p>
    <w:p>
      <w:pPr>
        <w:pStyle w:val="10"/>
        <w:spacing w:before="8"/>
        <w:ind w:left="0"/>
        <w:rPr>
          <w:sz w:val="35"/>
          <w:highlight w:val="none"/>
        </w:rPr>
      </w:pPr>
    </w:p>
    <w:p>
      <w:pPr>
        <w:pStyle w:val="10"/>
        <w:spacing w:line="432" w:lineRule="auto"/>
        <w:ind w:right="5185"/>
        <w:rPr>
          <w:highlight w:val="none"/>
        </w:rPr>
      </w:pPr>
      <w:r>
        <w:rPr>
          <w:highlight w:val="none"/>
        </w:rPr>
        <w:t xml:space="preserve">一、营业执照、组织机构代码证、税务登记证二、法定代表人身份证明及授权委托书 </w:t>
      </w:r>
    </w:p>
    <w:p>
      <w:pPr>
        <w:pStyle w:val="10"/>
        <w:spacing w:line="305" w:lineRule="exact"/>
        <w:rPr>
          <w:highlight w:val="none"/>
        </w:rPr>
      </w:pPr>
      <w:r>
        <w:rPr>
          <w:highlight w:val="none"/>
        </w:rPr>
        <w:t xml:space="preserve">三、投标保证金 </w:t>
      </w:r>
    </w:p>
    <w:p>
      <w:pPr>
        <w:pStyle w:val="10"/>
        <w:spacing w:before="1"/>
        <w:ind w:left="0"/>
        <w:rPr>
          <w:sz w:val="19"/>
          <w:highlight w:val="none"/>
        </w:rPr>
      </w:pPr>
    </w:p>
    <w:p>
      <w:pPr>
        <w:pStyle w:val="10"/>
        <w:spacing w:line="432" w:lineRule="auto"/>
        <w:ind w:right="2304"/>
        <w:rPr>
          <w:highlight w:val="none"/>
        </w:rPr>
      </w:pPr>
      <w:r>
        <w:rPr>
          <w:highlight w:val="none"/>
        </w:rPr>
        <w:t xml:space="preserve">四、中、小微企业声明函（中、小、微型企业产品价格需扣除的须提供） 五、供应商认为有必要提供的声明及文件资料 </w:t>
      </w:r>
    </w:p>
    <w:p>
      <w:pPr>
        <w:pStyle w:val="10"/>
        <w:spacing w:line="432" w:lineRule="auto"/>
        <w:ind w:right="7105"/>
        <w:rPr>
          <w:highlight w:val="none"/>
        </w:rPr>
      </w:pPr>
      <w:r>
        <w:rPr>
          <w:highlight w:val="none"/>
        </w:rPr>
        <w:t xml:space="preserve">六、不参与围标串标承诺书七、投标函 </w:t>
      </w:r>
    </w:p>
    <w:p>
      <w:pPr>
        <w:pStyle w:val="10"/>
        <w:spacing w:line="305" w:lineRule="exact"/>
        <w:rPr>
          <w:highlight w:val="none"/>
        </w:rPr>
      </w:pPr>
      <w:r>
        <w:rPr>
          <w:spacing w:val="-1"/>
          <w:highlight w:val="none"/>
        </w:rPr>
        <w:t xml:space="preserve">八、开标一览表 </w:t>
      </w:r>
    </w:p>
    <w:p>
      <w:pPr>
        <w:pStyle w:val="10"/>
        <w:spacing w:before="11"/>
        <w:ind w:left="0"/>
        <w:rPr>
          <w:sz w:val="18"/>
          <w:highlight w:val="none"/>
        </w:rPr>
      </w:pPr>
    </w:p>
    <w:p>
      <w:pPr>
        <w:pStyle w:val="10"/>
        <w:spacing w:line="432" w:lineRule="auto"/>
        <w:ind w:right="7825"/>
        <w:rPr>
          <w:highlight w:val="none"/>
        </w:rPr>
      </w:pPr>
      <w:r>
        <w:rPr>
          <w:highlight w:val="none"/>
        </w:rPr>
        <w:t xml:space="preserve">九、投标报价明细表十、服务承诺书 </w:t>
      </w:r>
    </w:p>
    <w:p>
      <w:pPr>
        <w:pStyle w:val="10"/>
        <w:spacing w:line="305" w:lineRule="exact"/>
        <w:rPr>
          <w:highlight w:val="none"/>
        </w:rPr>
      </w:pPr>
      <w:r>
        <w:rPr>
          <w:highlight w:val="none"/>
        </w:rPr>
        <w:t xml:space="preserve">十一、商务条款偏离说明表 </w:t>
      </w:r>
    </w:p>
    <w:p>
      <w:pPr>
        <w:pStyle w:val="10"/>
        <w:spacing w:before="2"/>
        <w:ind w:left="0"/>
        <w:rPr>
          <w:sz w:val="19"/>
          <w:highlight w:val="none"/>
        </w:rPr>
      </w:pPr>
    </w:p>
    <w:p>
      <w:pPr>
        <w:pStyle w:val="10"/>
        <w:spacing w:line="432" w:lineRule="auto"/>
        <w:ind w:right="6385"/>
        <w:rPr>
          <w:highlight w:val="none"/>
        </w:rPr>
      </w:pPr>
      <w:r>
        <w:rPr>
          <w:highlight w:val="none"/>
        </w:rPr>
        <w:t xml:space="preserve">十二、投标人自行编写的技术文件十三、投标人自行编写的服务文件 </w:t>
      </w:r>
    </w:p>
    <w:p>
      <w:pPr>
        <w:spacing w:after="0" w:line="432" w:lineRule="auto"/>
        <w:rPr>
          <w:highlight w:val="none"/>
        </w:rPr>
        <w:sectPr>
          <w:pgSz w:w="11910" w:h="16840"/>
          <w:pgMar w:top="1580" w:right="0" w:bottom="1180" w:left="980" w:header="0" w:footer="915" w:gutter="0"/>
          <w:cols w:space="720" w:num="1"/>
        </w:sectPr>
      </w:pPr>
    </w:p>
    <w:p>
      <w:pPr>
        <w:spacing w:before="0" w:line="510" w:lineRule="exact"/>
        <w:ind w:left="818" w:right="0" w:firstLine="0"/>
        <w:jc w:val="left"/>
        <w:outlineLvl w:val="0"/>
        <w:rPr>
          <w:rFonts w:hint="eastAsia" w:ascii="Microsoft JhengHei" w:eastAsia="Microsoft JhengHei"/>
          <w:b/>
          <w:sz w:val="32"/>
          <w:highlight w:val="none"/>
        </w:rPr>
      </w:pPr>
      <w:bookmarkStart w:id="73" w:name="一、营业执照、组织机构代码证、税务登记证"/>
      <w:bookmarkEnd w:id="73"/>
      <w:bookmarkStart w:id="74" w:name="_Toc14424"/>
      <w:r>
        <w:rPr>
          <w:rFonts w:hint="eastAsia" w:ascii="Microsoft JhengHei" w:eastAsia="Microsoft JhengHei"/>
          <w:b/>
          <w:sz w:val="32"/>
          <w:highlight w:val="none"/>
        </w:rPr>
        <w:t>一、营业执照、组织机构代码证、税务登记证</w:t>
      </w:r>
      <w:bookmarkEnd w:id="74"/>
    </w:p>
    <w:p>
      <w:pPr>
        <w:spacing w:before="35"/>
        <w:ind w:left="818" w:right="0" w:firstLine="0"/>
        <w:jc w:val="left"/>
        <w:rPr>
          <w:rFonts w:hint="eastAsia" w:ascii="Microsoft JhengHei" w:hAnsi="Microsoft JhengHei" w:eastAsia="Microsoft JhengHei"/>
          <w:b/>
          <w:sz w:val="32"/>
          <w:highlight w:val="none"/>
        </w:rPr>
      </w:pPr>
      <w:r>
        <w:rPr>
          <w:rFonts w:hint="eastAsia" w:ascii="Microsoft JhengHei" w:hAnsi="Microsoft JhengHei" w:eastAsia="Microsoft JhengHei"/>
          <w:b/>
          <w:w w:val="105"/>
          <w:sz w:val="32"/>
          <w:highlight w:val="none"/>
        </w:rPr>
        <w:t>☆营业执照、组织机构代码证、税务登记证</w:t>
      </w:r>
    </w:p>
    <w:p>
      <w:pPr>
        <w:spacing w:before="169" w:line="417" w:lineRule="auto"/>
        <w:ind w:left="818" w:right="1793" w:firstLine="559"/>
        <w:jc w:val="left"/>
        <w:rPr>
          <w:sz w:val="28"/>
          <w:highlight w:val="none"/>
        </w:rPr>
      </w:pPr>
      <w:r>
        <w:rPr>
          <w:spacing w:val="-10"/>
          <w:sz w:val="28"/>
          <w:highlight w:val="none"/>
        </w:rPr>
        <w:t>说明：此处上传营业执照、组织机构代码证、税务登记证，如三</w:t>
      </w:r>
      <w:r>
        <w:rPr>
          <w:spacing w:val="-3"/>
          <w:sz w:val="28"/>
          <w:highlight w:val="none"/>
        </w:rPr>
        <w:t xml:space="preserve">证合一，只需要导入营业执照即可。 </w:t>
      </w:r>
    </w:p>
    <w:p>
      <w:pPr>
        <w:spacing w:after="0" w:line="417" w:lineRule="auto"/>
        <w:jc w:val="left"/>
        <w:rPr>
          <w:sz w:val="28"/>
          <w:highlight w:val="none"/>
        </w:rPr>
        <w:sectPr>
          <w:pgSz w:w="11910" w:h="16840"/>
          <w:pgMar w:top="1500" w:right="0" w:bottom="1180" w:left="980" w:header="0" w:footer="915" w:gutter="0"/>
          <w:cols w:space="720" w:num="1"/>
        </w:sectPr>
      </w:pPr>
    </w:p>
    <w:p>
      <w:pPr>
        <w:spacing w:before="0" w:line="510" w:lineRule="exact"/>
        <w:ind w:left="818" w:right="0" w:firstLine="0"/>
        <w:jc w:val="left"/>
        <w:outlineLvl w:val="0"/>
        <w:rPr>
          <w:rFonts w:hint="eastAsia" w:ascii="Microsoft JhengHei" w:eastAsia="Microsoft JhengHei"/>
          <w:b/>
          <w:sz w:val="32"/>
          <w:highlight w:val="none"/>
        </w:rPr>
      </w:pPr>
      <w:bookmarkStart w:id="75" w:name="二、法定代表人身份证明及授权委托书"/>
      <w:bookmarkEnd w:id="75"/>
      <w:bookmarkStart w:id="76" w:name="_Toc19343"/>
      <w:r>
        <w:rPr>
          <w:rFonts w:hint="eastAsia" w:ascii="Microsoft JhengHei" w:eastAsia="Microsoft JhengHei"/>
          <w:b/>
          <w:sz w:val="32"/>
          <w:highlight w:val="none"/>
        </w:rPr>
        <w:t>二、法定代表人身份证明及授权委托书</w:t>
      </w:r>
      <w:bookmarkEnd w:id="76"/>
    </w:p>
    <w:p>
      <w:pPr>
        <w:spacing w:before="35"/>
        <w:ind w:left="818" w:right="0" w:firstLine="0"/>
        <w:jc w:val="left"/>
        <w:outlineLvl w:val="1"/>
        <w:rPr>
          <w:rFonts w:hint="eastAsia" w:ascii="Microsoft JhengHei" w:hAnsi="Microsoft JhengHei" w:eastAsia="Microsoft JhengHei"/>
          <w:b/>
          <w:sz w:val="32"/>
          <w:highlight w:val="none"/>
        </w:rPr>
      </w:pPr>
      <w:bookmarkStart w:id="77" w:name="_Toc1874"/>
      <w:r>
        <w:rPr>
          <w:rFonts w:hint="eastAsia" w:ascii="Microsoft JhengHei" w:hAnsi="Microsoft JhengHei" w:eastAsia="Microsoft JhengHei"/>
          <w:b/>
          <w:w w:val="105"/>
          <w:sz w:val="32"/>
          <w:highlight w:val="none"/>
        </w:rPr>
        <w:t>☆法定代表人身份证明及授权委托书</w:t>
      </w:r>
      <w:bookmarkEnd w:id="77"/>
    </w:p>
    <w:p>
      <w:pPr>
        <w:pStyle w:val="10"/>
        <w:spacing w:before="197"/>
        <w:ind w:left="1840" w:right="2698"/>
        <w:jc w:val="center"/>
        <w:rPr>
          <w:highlight w:val="none"/>
        </w:rPr>
      </w:pPr>
      <w:r>
        <w:rPr>
          <w:highlight w:val="none"/>
        </w:rPr>
        <w:t xml:space="preserve">法定代表人资格证明文件 </w:t>
      </w:r>
    </w:p>
    <w:p>
      <w:pPr>
        <w:pStyle w:val="10"/>
        <w:spacing w:before="192"/>
        <w:rPr>
          <w:highlight w:val="none"/>
        </w:rPr>
      </w:pPr>
      <w:r>
        <w:rPr>
          <w:highlight w:val="none"/>
          <w:u w:val="single"/>
        </w:rPr>
        <w:t>（代理机构名称</w:t>
      </w:r>
      <w:r>
        <w:rPr>
          <w:spacing w:val="-121"/>
          <w:highlight w:val="none"/>
          <w:u w:val="single"/>
        </w:rPr>
        <w:t>）</w:t>
      </w:r>
      <w:r>
        <w:rPr>
          <w:highlight w:val="none"/>
        </w:rPr>
        <w:t xml:space="preserve">： </w:t>
      </w:r>
    </w:p>
    <w:p>
      <w:pPr>
        <w:pStyle w:val="10"/>
        <w:ind w:left="0"/>
        <w:rPr>
          <w:sz w:val="10"/>
          <w:highlight w:val="none"/>
        </w:rPr>
      </w:pPr>
    </w:p>
    <w:p>
      <w:pPr>
        <w:pStyle w:val="10"/>
        <w:spacing w:before="66"/>
        <w:ind w:left="1298"/>
        <w:rPr>
          <w:highlight w:val="none"/>
        </w:rPr>
      </w:pPr>
      <w:r>
        <w:rPr>
          <w:highlight w:val="none"/>
        </w:rPr>
        <w:t>兹有</w:t>
      </w:r>
      <w:r>
        <w:rPr>
          <w:highlight w:val="none"/>
          <w:u w:val="single"/>
        </w:rPr>
        <w:t xml:space="preserve"> </w:t>
      </w:r>
      <w:r>
        <w:rPr>
          <w:rFonts w:hint="eastAsia"/>
          <w:highlight w:val="none"/>
          <w:u w:val="single"/>
          <w:lang w:val="en-US" w:eastAsia="zh-CN"/>
        </w:rPr>
        <w:t xml:space="preserve">   </w:t>
      </w:r>
      <w:r>
        <w:rPr>
          <w:highlight w:val="none"/>
        </w:rPr>
        <w:t>同志为</w:t>
      </w:r>
      <w:r>
        <w:rPr>
          <w:highlight w:val="none"/>
          <w:u w:val="single"/>
        </w:rPr>
        <w:t xml:space="preserve"> </w:t>
      </w:r>
      <w:r>
        <w:rPr>
          <w:highlight w:val="none"/>
        </w:rPr>
        <w:t>公司法定代表人，代表我公司办理一</w:t>
      </w:r>
    </w:p>
    <w:p>
      <w:pPr>
        <w:pStyle w:val="10"/>
        <w:spacing w:before="10"/>
        <w:ind w:left="0"/>
        <w:rPr>
          <w:sz w:val="9"/>
          <w:highlight w:val="none"/>
        </w:rPr>
      </w:pPr>
    </w:p>
    <w:p>
      <w:pPr>
        <w:pStyle w:val="10"/>
        <w:spacing w:before="67" w:line="388" w:lineRule="auto"/>
        <w:ind w:left="1298" w:right="6265" w:hanging="480"/>
        <w:rPr>
          <w:highlight w:val="none"/>
        </w:rPr>
      </w:pPr>
      <w:r>
        <w:rPr>
          <w:highlight w:val="none"/>
        </w:rPr>
        <w:t xml:space="preserve">切社会公务事宜，具有法律效力。 附法定代表人基本情况：  </w:t>
      </w:r>
    </w:p>
    <w:p>
      <w:pPr>
        <w:pStyle w:val="10"/>
        <w:spacing w:before="5"/>
        <w:ind w:left="1298"/>
        <w:rPr>
          <w:highlight w:val="none"/>
        </w:rPr>
      </w:pPr>
      <w:r>
        <w:rPr>
          <w:highlight w:val="none"/>
        </w:rPr>
        <w:t>姓名：</w:t>
      </w:r>
      <w:r>
        <w:rPr>
          <w:highlight w:val="none"/>
          <w:u w:val="single"/>
        </w:rPr>
        <w:t xml:space="preserve"> </w:t>
      </w:r>
      <w:r>
        <w:rPr>
          <w:highlight w:val="none"/>
        </w:rPr>
        <w:t>性别：</w:t>
      </w:r>
      <w:r>
        <w:rPr>
          <w:highlight w:val="none"/>
          <w:u w:val="single"/>
        </w:rPr>
        <w:t xml:space="preserve"> </w:t>
      </w:r>
      <w:r>
        <w:rPr>
          <w:highlight w:val="none"/>
        </w:rPr>
        <w:t>年龄：</w:t>
      </w:r>
      <w:r>
        <w:rPr>
          <w:highlight w:val="none"/>
          <w:u w:val="single"/>
        </w:rPr>
        <w:t xml:space="preserve"> </w:t>
      </w:r>
      <w:r>
        <w:rPr>
          <w:highlight w:val="none"/>
        </w:rPr>
        <w:t>职务：</w:t>
      </w:r>
      <w:r>
        <w:rPr>
          <w:highlight w:val="none"/>
          <w:u w:val="single"/>
        </w:rPr>
        <w:t xml:space="preserve">         </w:t>
      </w:r>
      <w:r>
        <w:rPr>
          <w:highlight w:val="none"/>
        </w:rPr>
        <w:t xml:space="preserve"> </w:t>
      </w:r>
    </w:p>
    <w:p>
      <w:pPr>
        <w:pStyle w:val="10"/>
        <w:spacing w:before="10"/>
        <w:ind w:left="0"/>
        <w:rPr>
          <w:sz w:val="9"/>
          <w:highlight w:val="none"/>
        </w:rPr>
      </w:pPr>
    </w:p>
    <w:p>
      <w:pPr>
        <w:pStyle w:val="10"/>
        <w:spacing w:before="66"/>
        <w:ind w:left="1298"/>
        <w:rPr>
          <w:highlight w:val="none"/>
        </w:rPr>
      </w:pPr>
      <w:r>
        <w:rPr>
          <w:highlight w:val="none"/>
        </w:rPr>
        <w:t>身份证号码：</w:t>
      </w:r>
      <w:r>
        <w:rPr>
          <w:highlight w:val="none"/>
          <w:u w:val="single"/>
        </w:rPr>
        <w:t xml:space="preserve">                     </w:t>
      </w:r>
      <w:r>
        <w:rPr>
          <w:highlight w:val="none"/>
        </w:rPr>
        <w:t xml:space="preserve"> </w:t>
      </w:r>
    </w:p>
    <w:p>
      <w:pPr>
        <w:pStyle w:val="10"/>
        <w:spacing w:before="10"/>
        <w:ind w:left="0"/>
        <w:rPr>
          <w:sz w:val="9"/>
          <w:highlight w:val="none"/>
        </w:rPr>
      </w:pPr>
    </w:p>
    <w:p>
      <w:pPr>
        <w:pStyle w:val="10"/>
        <w:spacing w:before="66"/>
        <w:ind w:left="1298"/>
        <w:rPr>
          <w:highlight w:val="none"/>
        </w:rPr>
      </w:pPr>
      <w:r>
        <w:rPr>
          <w:highlight w:val="none"/>
        </w:rPr>
        <w:t>通讯地址：</w:t>
      </w:r>
      <w:r>
        <w:rPr>
          <w:highlight w:val="none"/>
          <w:u w:val="single"/>
        </w:rPr>
        <w:t xml:space="preserve">                       </w:t>
      </w:r>
      <w:r>
        <w:rPr>
          <w:highlight w:val="none"/>
        </w:rPr>
        <w:t xml:space="preserve"> </w:t>
      </w:r>
    </w:p>
    <w:p>
      <w:pPr>
        <w:pStyle w:val="10"/>
        <w:ind w:left="0"/>
        <w:rPr>
          <w:sz w:val="10"/>
          <w:highlight w:val="none"/>
        </w:rPr>
      </w:pPr>
    </w:p>
    <w:p>
      <w:pPr>
        <w:pStyle w:val="10"/>
        <w:spacing w:before="66"/>
        <w:ind w:left="1298"/>
        <w:rPr>
          <w:highlight w:val="none"/>
        </w:rPr>
      </w:pPr>
      <w:r>
        <w:rPr>
          <w:highlight w:val="none"/>
        </w:rPr>
        <w:t>电 话 号 码 ：</w:t>
      </w:r>
      <w:r>
        <w:rPr>
          <w:highlight w:val="none"/>
          <w:u w:val="single"/>
        </w:rPr>
        <w:t xml:space="preserve"> </w:t>
      </w:r>
      <w:r>
        <w:rPr>
          <w:highlight w:val="none"/>
        </w:rPr>
        <w:t>邮 政 编 码 ：</w:t>
      </w:r>
      <w:r>
        <w:rPr>
          <w:highlight w:val="none"/>
          <w:u w:val="single"/>
        </w:rPr>
        <w:t xml:space="preserve">               </w:t>
      </w:r>
      <w:r>
        <w:rPr>
          <w:highlight w:val="none"/>
        </w:rPr>
        <w:t xml:space="preserve"> </w:t>
      </w:r>
    </w:p>
    <w:p>
      <w:pPr>
        <w:pStyle w:val="10"/>
        <w:ind w:left="0"/>
        <w:rPr>
          <w:sz w:val="20"/>
          <w:highlight w:val="none"/>
        </w:rPr>
      </w:pPr>
    </w:p>
    <w:p>
      <w:pPr>
        <w:pStyle w:val="10"/>
        <w:spacing w:before="4"/>
        <w:ind w:left="0"/>
        <w:rPr>
          <w:sz w:val="18"/>
          <w:highlight w:val="none"/>
        </w:rPr>
      </w:pPr>
      <w:r>
        <w:rPr>
          <w:highlight w:val="none"/>
        </w:rPr>
        <mc:AlternateContent>
          <mc:Choice Requires="wps">
            <w:drawing>
              <wp:anchor distT="0" distB="0" distL="114300" distR="114300" simplePos="0" relativeHeight="251660288" behindDoc="1" locked="0" layoutInCell="1" allowOverlap="1">
                <wp:simplePos x="0" y="0"/>
                <wp:positionH relativeFrom="page">
                  <wp:posOffset>1951990</wp:posOffset>
                </wp:positionH>
                <wp:positionV relativeFrom="paragraph">
                  <wp:posOffset>177165</wp:posOffset>
                </wp:positionV>
                <wp:extent cx="4321810" cy="1905635"/>
                <wp:effectExtent l="5080" t="4445" r="16510" b="7620"/>
                <wp:wrapTopAndBottom/>
                <wp:docPr id="5" name="文本框 6"/>
                <wp:cNvGraphicFramePr/>
                <a:graphic xmlns:a="http://schemas.openxmlformats.org/drawingml/2006/main">
                  <a:graphicData uri="http://schemas.microsoft.com/office/word/2010/wordprocessingShape">
                    <wps:wsp>
                      <wps:cNvSpPr txBox="1"/>
                      <wps:spPr>
                        <a:xfrm>
                          <a:off x="0" y="0"/>
                          <a:ext cx="4321810" cy="1905635"/>
                        </a:xfrm>
                        <a:prstGeom prst="rect">
                          <a:avLst/>
                        </a:prstGeom>
                        <a:noFill/>
                        <a:ln w="6096" cap="flat" cmpd="sng">
                          <a:solidFill>
                            <a:srgbClr val="000000"/>
                          </a:solidFill>
                          <a:prstDash val="solid"/>
                          <a:miter/>
                          <a:headEnd type="none" w="med" len="med"/>
                          <a:tailEnd type="none" w="med" len="med"/>
                        </a:ln>
                      </wps:spPr>
                      <wps:txbx>
                        <w:txbxContent>
                          <w:p>
                            <w:pPr>
                              <w:pStyle w:val="10"/>
                              <w:spacing w:before="161"/>
                              <w:ind w:left="113"/>
                              <w:jc w:val="center"/>
                            </w:pPr>
                            <w:r>
                              <w:t xml:space="preserve"> </w:t>
                            </w:r>
                          </w:p>
                          <w:p>
                            <w:pPr>
                              <w:pStyle w:val="10"/>
                              <w:spacing w:before="194"/>
                              <w:ind w:left="113"/>
                              <w:jc w:val="center"/>
                            </w:pPr>
                            <w:r>
                              <w:t xml:space="preserve"> </w:t>
                            </w:r>
                          </w:p>
                          <w:p>
                            <w:pPr>
                              <w:pStyle w:val="10"/>
                              <w:spacing w:before="192"/>
                              <w:ind w:left="1634" w:right="1522"/>
                              <w:jc w:val="center"/>
                            </w:pPr>
                            <w:r>
                              <w:t xml:space="preserve">法定代表人《居民身份证》扫描件 </w:t>
                            </w:r>
                          </w:p>
                        </w:txbxContent>
                      </wps:txbx>
                      <wps:bodyPr lIns="0" tIns="0" rIns="0" bIns="0" upright="1"/>
                    </wps:wsp>
                  </a:graphicData>
                </a:graphic>
              </wp:anchor>
            </w:drawing>
          </mc:Choice>
          <mc:Fallback>
            <w:pict>
              <v:shape id="文本框 6" o:spid="_x0000_s1026" o:spt="202" type="#_x0000_t202" style="position:absolute;left:0pt;margin-left:153.7pt;margin-top:13.95pt;height:150.05pt;width:340.3pt;mso-position-horizontal-relative:page;mso-wrap-distance-bottom:0pt;mso-wrap-distance-top:0pt;z-index:-251656192;mso-width-relative:page;mso-height-relative:page;" filled="f" stroked="t" coordsize="21600,21600" o:gfxdata="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PR/dNcAAAAKAQAADwAAAAAA&#10;AAABACAAAAAiAAAAZHJzL2Rvd25yZXYueG1sUEsBAhQAFAAAAAgAh07iQPja8uEUAgAAMgQAAA4A&#10;AAAAAAAAAQAgAAAAJgEAAGRycy9lMm9Eb2MueG1sUEsFBgAAAAAGAAYAWQEAAKwFAAAAAA==&#10;">
                <v:fill on="f" focussize="0,0"/>
                <v:stroke weight="0.48pt" color="#000000" joinstyle="miter"/>
                <v:imagedata o:title=""/>
                <o:lock v:ext="edit" aspectratio="f"/>
                <v:textbox inset="0mm,0mm,0mm,0mm">
                  <w:txbxContent>
                    <w:p>
                      <w:pPr>
                        <w:pStyle w:val="10"/>
                        <w:spacing w:before="161"/>
                        <w:ind w:left="113"/>
                        <w:jc w:val="center"/>
                      </w:pPr>
                      <w:r>
                        <w:t xml:space="preserve"> </w:t>
                      </w:r>
                    </w:p>
                    <w:p>
                      <w:pPr>
                        <w:pStyle w:val="10"/>
                        <w:spacing w:before="194"/>
                        <w:ind w:left="113"/>
                        <w:jc w:val="center"/>
                      </w:pPr>
                      <w:r>
                        <w:t xml:space="preserve"> </w:t>
                      </w:r>
                    </w:p>
                    <w:p>
                      <w:pPr>
                        <w:pStyle w:val="10"/>
                        <w:spacing w:before="192"/>
                        <w:ind w:left="1634" w:right="1522"/>
                        <w:jc w:val="center"/>
                      </w:pPr>
                      <w:r>
                        <w:t xml:space="preserve">法定代表人《居民身份证》扫描件 </w:t>
                      </w:r>
                    </w:p>
                  </w:txbxContent>
                </v:textbox>
                <w10:wrap type="topAndBottom"/>
              </v:shape>
            </w:pict>
          </mc:Fallback>
        </mc:AlternateContent>
      </w:r>
    </w:p>
    <w:p>
      <w:pPr>
        <w:pStyle w:val="10"/>
        <w:ind w:left="0"/>
        <w:rPr>
          <w:sz w:val="20"/>
          <w:highlight w:val="none"/>
        </w:rPr>
      </w:pPr>
    </w:p>
    <w:p>
      <w:pPr>
        <w:pStyle w:val="10"/>
        <w:ind w:left="0"/>
        <w:rPr>
          <w:highlight w:val="none"/>
        </w:rPr>
      </w:pPr>
    </w:p>
    <w:p>
      <w:pPr>
        <w:pStyle w:val="10"/>
        <w:tabs>
          <w:tab w:val="left" w:pos="1569"/>
        </w:tabs>
        <w:spacing w:before="67"/>
        <w:rPr>
          <w:highlight w:val="none"/>
        </w:rPr>
      </w:pPr>
      <w:r>
        <w:rPr>
          <w:highlight w:val="none"/>
        </w:rPr>
        <w:t xml:space="preserve">  </w:t>
      </w:r>
      <w:r>
        <w:rPr>
          <w:highlight w:val="none"/>
        </w:rPr>
        <w:tab/>
      </w:r>
      <w:r>
        <w:rPr>
          <w:highlight w:val="none"/>
        </w:rPr>
        <w:t>投标人名称（签章</w:t>
      </w:r>
      <w:r>
        <w:rPr>
          <w:spacing w:val="-120"/>
          <w:highlight w:val="none"/>
        </w:rPr>
        <w:t>）</w:t>
      </w:r>
      <w:r>
        <w:rPr>
          <w:highlight w:val="none"/>
        </w:rPr>
        <w:t>：</w:t>
      </w:r>
      <w:r>
        <w:rPr>
          <w:highlight w:val="none"/>
          <w:u w:val="single"/>
        </w:rPr>
        <w:t xml:space="preserve">           </w:t>
      </w:r>
      <w:r>
        <w:rPr>
          <w:highlight w:val="none"/>
        </w:rPr>
        <w:t xml:space="preserve"> </w:t>
      </w:r>
    </w:p>
    <w:p>
      <w:pPr>
        <w:pStyle w:val="10"/>
        <w:ind w:left="0"/>
        <w:rPr>
          <w:sz w:val="20"/>
          <w:highlight w:val="none"/>
        </w:rPr>
      </w:pPr>
    </w:p>
    <w:p>
      <w:pPr>
        <w:pStyle w:val="10"/>
        <w:spacing w:before="12"/>
        <w:ind w:left="0"/>
        <w:rPr>
          <w:sz w:val="28"/>
          <w:highlight w:val="none"/>
        </w:rPr>
      </w:pPr>
    </w:p>
    <w:p>
      <w:pPr>
        <w:pStyle w:val="10"/>
        <w:spacing w:before="67"/>
        <w:ind w:left="1538"/>
        <w:rPr>
          <w:highlight w:val="none"/>
        </w:rPr>
      </w:pPr>
      <w:r>
        <w:rPr>
          <w:highlight w:val="none"/>
        </w:rPr>
        <w:t>法定代表人（签名） ：</w:t>
      </w:r>
      <w:r>
        <w:rPr>
          <w:highlight w:val="none"/>
          <w:u w:val="single"/>
        </w:rPr>
        <w:t xml:space="preserve">           </w:t>
      </w:r>
      <w:r>
        <w:rPr>
          <w:highlight w:val="none"/>
        </w:rPr>
        <w:t xml:space="preserve"> </w:t>
      </w:r>
    </w:p>
    <w:p>
      <w:pPr>
        <w:pStyle w:val="10"/>
        <w:ind w:left="0"/>
        <w:rPr>
          <w:sz w:val="20"/>
          <w:highlight w:val="none"/>
        </w:rPr>
      </w:pPr>
    </w:p>
    <w:p>
      <w:pPr>
        <w:pStyle w:val="10"/>
        <w:spacing w:before="9"/>
        <w:ind w:left="0"/>
        <w:rPr>
          <w:sz w:val="28"/>
          <w:highlight w:val="none"/>
        </w:rPr>
      </w:pPr>
    </w:p>
    <w:p>
      <w:pPr>
        <w:pStyle w:val="10"/>
        <w:spacing w:before="67"/>
        <w:ind w:left="1538"/>
        <w:rPr>
          <w:highlight w:val="none"/>
        </w:rPr>
      </w:pPr>
      <w:r>
        <w:rPr>
          <w:highlight w:val="none"/>
        </w:rPr>
        <w:t>日 期 ：</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 xml:space="preserve">日 </w:t>
      </w:r>
    </w:p>
    <w:p>
      <w:pPr>
        <w:spacing w:before="61" w:line="507" w:lineRule="exact"/>
        <w:ind w:left="4972" w:right="0" w:firstLine="0"/>
        <w:jc w:val="left"/>
        <w:rPr>
          <w:rFonts w:ascii="Microsoft JhengHei"/>
          <w:b/>
          <w:sz w:val="28"/>
          <w:highlight w:val="none"/>
        </w:rPr>
      </w:pPr>
      <w:r>
        <w:rPr>
          <w:rFonts w:ascii="Microsoft JhengHei"/>
          <w:b/>
          <w:spacing w:val="1"/>
          <w:w w:val="200"/>
          <w:sz w:val="28"/>
          <w:highlight w:val="none"/>
        </w:rPr>
        <w:t xml:space="preserve"> </w:t>
      </w:r>
      <w:r>
        <w:rPr>
          <w:rFonts w:ascii="Microsoft JhengHei"/>
          <w:b/>
          <w:w w:val="200"/>
          <w:sz w:val="28"/>
          <w:highlight w:val="none"/>
        </w:rPr>
        <w:t xml:space="preserve"> </w:t>
      </w:r>
    </w:p>
    <w:p>
      <w:pPr>
        <w:spacing w:before="0" w:line="499" w:lineRule="exact"/>
        <w:ind w:left="4972" w:right="0" w:firstLine="0"/>
        <w:jc w:val="left"/>
        <w:rPr>
          <w:rFonts w:ascii="Microsoft JhengHei"/>
          <w:b/>
          <w:sz w:val="28"/>
          <w:highlight w:val="none"/>
        </w:rPr>
      </w:pPr>
      <w:r>
        <w:rPr>
          <w:rFonts w:ascii="Microsoft JhengHei"/>
          <w:b/>
          <w:w w:val="200"/>
          <w:sz w:val="28"/>
          <w:highlight w:val="none"/>
        </w:rPr>
        <w:t xml:space="preserve"> </w:t>
      </w:r>
    </w:p>
    <w:p>
      <w:pPr>
        <w:spacing w:before="0" w:line="507" w:lineRule="exact"/>
        <w:ind w:left="4972" w:right="0" w:firstLine="0"/>
        <w:jc w:val="left"/>
        <w:rPr>
          <w:rFonts w:ascii="Microsoft JhengHei"/>
          <w:b/>
          <w:sz w:val="28"/>
          <w:highlight w:val="none"/>
        </w:rPr>
      </w:pPr>
      <w:r>
        <w:rPr>
          <w:rFonts w:ascii="Microsoft JhengHei"/>
          <w:b/>
          <w:w w:val="200"/>
          <w:sz w:val="28"/>
          <w:highlight w:val="none"/>
        </w:rPr>
        <w:t xml:space="preserve"> </w:t>
      </w:r>
    </w:p>
    <w:p>
      <w:pPr>
        <w:spacing w:after="0" w:line="507" w:lineRule="exact"/>
        <w:jc w:val="left"/>
        <w:rPr>
          <w:rFonts w:ascii="Microsoft JhengHei"/>
          <w:sz w:val="28"/>
          <w:highlight w:val="none"/>
        </w:rPr>
        <w:sectPr>
          <w:pgSz w:w="11910" w:h="16840"/>
          <w:pgMar w:top="1500" w:right="0" w:bottom="1180" w:left="980" w:header="0" w:footer="915" w:gutter="0"/>
          <w:cols w:space="720" w:num="1"/>
        </w:sectPr>
      </w:pPr>
    </w:p>
    <w:p>
      <w:pPr>
        <w:pStyle w:val="10"/>
        <w:spacing w:before="4"/>
        <w:ind w:left="0"/>
        <w:rPr>
          <w:rFonts w:ascii="Microsoft JhengHei"/>
          <w:b/>
          <w:sz w:val="29"/>
          <w:highlight w:val="none"/>
        </w:rPr>
      </w:pPr>
    </w:p>
    <w:p>
      <w:pPr>
        <w:spacing w:before="61"/>
        <w:ind w:left="818" w:right="0" w:firstLine="0"/>
        <w:jc w:val="left"/>
        <w:rPr>
          <w:sz w:val="28"/>
          <w:highlight w:val="none"/>
        </w:rPr>
      </w:pPr>
      <w:r>
        <w:rPr>
          <w:w w:val="100"/>
          <w:sz w:val="28"/>
          <w:highlight w:val="none"/>
        </w:rPr>
        <w:t xml:space="preserve"> </w:t>
      </w:r>
    </w:p>
    <w:p>
      <w:pPr>
        <w:spacing w:before="108"/>
        <w:ind w:left="818" w:right="0" w:firstLine="0"/>
        <w:jc w:val="left"/>
        <w:outlineLvl w:val="1"/>
        <w:rPr>
          <w:rFonts w:hint="eastAsia" w:ascii="Microsoft JhengHei" w:eastAsia="Microsoft JhengHei"/>
          <w:b/>
          <w:sz w:val="32"/>
          <w:highlight w:val="none"/>
        </w:rPr>
      </w:pPr>
      <w:bookmarkStart w:id="78" w:name="_Toc15107"/>
      <w:r>
        <w:rPr>
          <w:rFonts w:hint="eastAsia" w:ascii="Microsoft JhengHei" w:eastAsia="Microsoft JhengHei"/>
          <w:b/>
          <w:sz w:val="32"/>
          <w:highlight w:val="none"/>
        </w:rPr>
        <w:t>法定代表人授权书</w:t>
      </w:r>
      <w:bookmarkEnd w:id="78"/>
      <w:r>
        <w:rPr>
          <w:rFonts w:hint="eastAsia" w:ascii="Microsoft JhengHei" w:eastAsia="Microsoft JhengHei"/>
          <w:b/>
          <w:w w:val="199"/>
          <w:sz w:val="32"/>
          <w:highlight w:val="none"/>
        </w:rPr>
        <w:t xml:space="preserve"> </w:t>
      </w:r>
    </w:p>
    <w:p>
      <w:pPr>
        <w:pStyle w:val="10"/>
        <w:spacing w:before="96"/>
        <w:rPr>
          <w:highlight w:val="none"/>
        </w:rPr>
      </w:pPr>
      <w:r>
        <w:rPr>
          <w:highlight w:val="none"/>
          <w:u w:val="single"/>
        </w:rPr>
        <w:t>（代理机构名称</w:t>
      </w:r>
      <w:r>
        <w:rPr>
          <w:spacing w:val="-121"/>
          <w:highlight w:val="none"/>
          <w:u w:val="single"/>
        </w:rPr>
        <w:t>）</w:t>
      </w:r>
      <w:r>
        <w:rPr>
          <w:highlight w:val="none"/>
        </w:rPr>
        <w:t xml:space="preserve">： </w:t>
      </w:r>
    </w:p>
    <w:p>
      <w:pPr>
        <w:pStyle w:val="10"/>
        <w:ind w:left="0"/>
        <w:rPr>
          <w:sz w:val="10"/>
          <w:highlight w:val="none"/>
        </w:rPr>
      </w:pPr>
    </w:p>
    <w:p>
      <w:pPr>
        <w:pStyle w:val="10"/>
        <w:spacing w:before="66"/>
        <w:ind w:left="1298"/>
        <w:rPr>
          <w:highlight w:val="none"/>
        </w:rPr>
      </w:pPr>
      <w:r>
        <w:rPr>
          <w:highlight w:val="none"/>
        </w:rPr>
        <w:t>兹授权</w:t>
      </w:r>
      <w:r>
        <w:rPr>
          <w:spacing w:val="2"/>
          <w:highlight w:val="none"/>
          <w:u w:val="single"/>
        </w:rPr>
        <w:t xml:space="preserve">           </w:t>
      </w:r>
      <w:r>
        <w:rPr>
          <w:highlight w:val="none"/>
        </w:rPr>
        <w:t>同志为我公司参加贵单位组织的编号为</w:t>
      </w:r>
      <w:r>
        <w:rPr>
          <w:highlight w:val="none"/>
          <w:u w:val="single"/>
        </w:rPr>
        <w:t>（项目编号）</w:t>
      </w:r>
      <w:r>
        <w:rPr>
          <w:highlight w:val="none"/>
        </w:rPr>
        <w:t>的</w:t>
      </w:r>
    </w:p>
    <w:p>
      <w:pPr>
        <w:pStyle w:val="10"/>
        <w:spacing w:before="10"/>
        <w:ind w:left="0"/>
        <w:rPr>
          <w:sz w:val="9"/>
          <w:highlight w:val="none"/>
        </w:rPr>
      </w:pPr>
    </w:p>
    <w:p>
      <w:pPr>
        <w:pStyle w:val="10"/>
        <w:spacing w:before="67"/>
        <w:rPr>
          <w:highlight w:val="none"/>
        </w:rPr>
      </w:pPr>
      <w:r>
        <w:rPr>
          <w:highlight w:val="none"/>
          <w:u w:val="single"/>
        </w:rPr>
        <w:t>（</w:t>
      </w:r>
      <w:r>
        <w:rPr>
          <w:spacing w:val="2"/>
          <w:highlight w:val="none"/>
          <w:u w:val="single"/>
        </w:rPr>
        <w:t>项 目 名 称</w:t>
      </w:r>
      <w:r>
        <w:rPr>
          <w:highlight w:val="none"/>
          <w:u w:val="single"/>
        </w:rPr>
        <w:t>）</w:t>
      </w:r>
      <w:r>
        <w:rPr>
          <w:highlight w:val="none"/>
        </w:rPr>
        <w:t>采购活动的投标代表人，全权代表我公司处理在该项目采购活</w:t>
      </w:r>
    </w:p>
    <w:p>
      <w:pPr>
        <w:pStyle w:val="10"/>
        <w:spacing w:before="10"/>
        <w:ind w:left="0"/>
        <w:rPr>
          <w:sz w:val="9"/>
          <w:highlight w:val="none"/>
        </w:rPr>
      </w:pPr>
    </w:p>
    <w:p>
      <w:pPr>
        <w:pStyle w:val="10"/>
        <w:spacing w:before="66"/>
        <w:rPr>
          <w:highlight w:val="none"/>
        </w:rPr>
      </w:pPr>
      <w:r>
        <w:rPr>
          <w:spacing w:val="-10"/>
          <w:highlight w:val="none"/>
        </w:rPr>
        <w:t>动中的一切事宜。代理期限从</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日起至</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p>
      <w:pPr>
        <w:pStyle w:val="10"/>
        <w:ind w:left="0"/>
        <w:rPr>
          <w:sz w:val="10"/>
          <w:highlight w:val="none"/>
        </w:rPr>
      </w:pPr>
    </w:p>
    <w:p>
      <w:pPr>
        <w:pStyle w:val="10"/>
        <w:spacing w:before="67"/>
        <w:rPr>
          <w:highlight w:val="none"/>
        </w:rPr>
      </w:pPr>
      <w:r>
        <w:rPr>
          <w:highlight w:val="none"/>
        </w:rPr>
        <w:t xml:space="preserve">止。  </w:t>
      </w:r>
    </w:p>
    <w:p>
      <w:pPr>
        <w:pStyle w:val="10"/>
        <w:ind w:left="0"/>
        <w:rPr>
          <w:sz w:val="20"/>
          <w:highlight w:val="none"/>
        </w:rPr>
      </w:pPr>
    </w:p>
    <w:p>
      <w:pPr>
        <w:pStyle w:val="10"/>
        <w:spacing w:before="9"/>
        <w:ind w:left="0"/>
        <w:rPr>
          <w:sz w:val="28"/>
          <w:highlight w:val="none"/>
        </w:rPr>
      </w:pPr>
    </w:p>
    <w:p>
      <w:pPr>
        <w:pStyle w:val="10"/>
        <w:spacing w:before="66"/>
        <w:rPr>
          <w:highlight w:val="none"/>
        </w:rPr>
      </w:pPr>
      <w:r>
        <w:rPr>
          <w:highlight w:val="none"/>
        </w:rPr>
        <w:t>投标人（</w:t>
      </w:r>
      <w:r>
        <w:rPr>
          <w:spacing w:val="-1"/>
          <w:highlight w:val="none"/>
        </w:rPr>
        <w:t>签章</w:t>
      </w:r>
      <w:r>
        <w:rPr>
          <w:spacing w:val="-120"/>
          <w:highlight w:val="none"/>
        </w:rPr>
        <w:t>）</w:t>
      </w:r>
      <w:r>
        <w:rPr>
          <w:highlight w:val="none"/>
        </w:rPr>
        <w:t>：</w:t>
      </w:r>
      <w:r>
        <w:rPr>
          <w:highlight w:val="none"/>
          <w:u w:val="single"/>
        </w:rPr>
        <w:t xml:space="preserve">               </w:t>
      </w:r>
      <w:r>
        <w:rPr>
          <w:highlight w:val="none"/>
        </w:rPr>
        <w:t xml:space="preserve"> </w:t>
      </w:r>
    </w:p>
    <w:p>
      <w:pPr>
        <w:pStyle w:val="10"/>
        <w:ind w:left="0"/>
        <w:rPr>
          <w:sz w:val="10"/>
          <w:highlight w:val="none"/>
        </w:rPr>
      </w:pPr>
    </w:p>
    <w:p>
      <w:pPr>
        <w:pStyle w:val="10"/>
        <w:spacing w:before="66"/>
        <w:rPr>
          <w:highlight w:val="none"/>
        </w:rPr>
      </w:pPr>
      <w:r>
        <w:rPr>
          <w:highlight w:val="none"/>
        </w:rPr>
        <w:t>法定代表人（签名</w:t>
      </w:r>
      <w:r>
        <w:rPr>
          <w:spacing w:val="-120"/>
          <w:highlight w:val="none"/>
        </w:rPr>
        <w:t>）</w:t>
      </w:r>
      <w:r>
        <w:rPr>
          <w:highlight w:val="none"/>
        </w:rPr>
        <w:t>：</w:t>
      </w:r>
      <w:r>
        <w:rPr>
          <w:highlight w:val="none"/>
          <w:u w:val="single"/>
        </w:rPr>
        <w:t xml:space="preserve">       </w:t>
      </w:r>
      <w:r>
        <w:rPr>
          <w:highlight w:val="none"/>
        </w:rPr>
        <w:t xml:space="preserve"> </w:t>
      </w:r>
    </w:p>
    <w:p>
      <w:pPr>
        <w:pStyle w:val="10"/>
        <w:spacing w:before="10"/>
        <w:ind w:left="0"/>
        <w:rPr>
          <w:sz w:val="9"/>
          <w:highlight w:val="none"/>
        </w:rPr>
      </w:pPr>
    </w:p>
    <w:p>
      <w:pPr>
        <w:pStyle w:val="10"/>
        <w:spacing w:before="67"/>
        <w:rPr>
          <w:highlight w:val="none"/>
        </w:rPr>
      </w:pPr>
      <w:r>
        <w:rPr>
          <w:highlight w:val="none"/>
        </w:rPr>
        <w:t>签 发 日 期 ：</w:t>
      </w:r>
      <w:r>
        <w:rPr>
          <w:spacing w:val="119"/>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 xml:space="preserve">日 </w:t>
      </w:r>
    </w:p>
    <w:p>
      <w:pPr>
        <w:pStyle w:val="10"/>
        <w:ind w:left="0"/>
        <w:rPr>
          <w:sz w:val="20"/>
          <w:highlight w:val="none"/>
        </w:rPr>
      </w:pPr>
    </w:p>
    <w:p>
      <w:pPr>
        <w:pStyle w:val="10"/>
        <w:spacing w:before="12"/>
        <w:ind w:left="0"/>
        <w:rPr>
          <w:sz w:val="28"/>
          <w:highlight w:val="none"/>
        </w:rPr>
      </w:pPr>
    </w:p>
    <w:p>
      <w:pPr>
        <w:pStyle w:val="10"/>
        <w:spacing w:before="66"/>
        <w:rPr>
          <w:highlight w:val="none"/>
        </w:rPr>
      </w:pPr>
      <w:r>
        <w:rPr>
          <w:highlight w:val="none"/>
        </w:rPr>
        <w:t xml:space="preserve">附： </w:t>
      </w:r>
    </w:p>
    <w:p>
      <w:pPr>
        <w:pStyle w:val="10"/>
        <w:spacing w:before="192"/>
        <w:rPr>
          <w:highlight w:val="none"/>
        </w:rPr>
      </w:pPr>
      <w:r>
        <w:rPr>
          <w:highlight w:val="none"/>
        </w:rPr>
        <w:t>代理人工作单位：</w:t>
      </w:r>
      <w:r>
        <w:rPr>
          <w:highlight w:val="none"/>
          <w:u w:val="single"/>
        </w:rPr>
        <w:t xml:space="preserve">                          </w:t>
      </w:r>
      <w:r>
        <w:rPr>
          <w:highlight w:val="none"/>
        </w:rPr>
        <w:t xml:space="preserve"> </w:t>
      </w:r>
    </w:p>
    <w:p>
      <w:pPr>
        <w:pStyle w:val="10"/>
        <w:spacing w:before="10"/>
        <w:ind w:left="0"/>
        <w:rPr>
          <w:sz w:val="9"/>
          <w:highlight w:val="none"/>
        </w:rPr>
      </w:pPr>
    </w:p>
    <w:p>
      <w:pPr>
        <w:pStyle w:val="10"/>
        <w:spacing w:before="67"/>
        <w:rPr>
          <w:highlight w:val="none"/>
        </w:rPr>
      </w:pPr>
      <w:r>
        <w:rPr>
          <w:highlight w:val="none"/>
        </w:rPr>
        <w:t>职 务 ： 性 别 ：</w:t>
      </w:r>
      <w:r>
        <w:rPr>
          <w:highlight w:val="none"/>
          <w:u w:val="single"/>
        </w:rPr>
        <w:t xml:space="preserve">      </w:t>
      </w:r>
      <w:r>
        <w:rPr>
          <w:highlight w:val="none"/>
        </w:rPr>
        <w:t xml:space="preserve"> </w:t>
      </w:r>
    </w:p>
    <w:p>
      <w:pPr>
        <w:pStyle w:val="10"/>
        <w:spacing w:before="12"/>
        <w:ind w:left="0"/>
        <w:rPr>
          <w:sz w:val="9"/>
          <w:highlight w:val="none"/>
        </w:rPr>
      </w:pPr>
    </w:p>
    <w:p>
      <w:pPr>
        <w:pStyle w:val="10"/>
        <w:spacing w:before="66"/>
        <w:rPr>
          <w:highlight w:val="none"/>
        </w:rPr>
      </w:pPr>
      <w:r>
        <w:rPr>
          <w:highlight w:val="none"/>
        </w:rPr>
        <w:t>身份证号码：</w:t>
      </w:r>
      <w:r>
        <w:rPr>
          <w:highlight w:val="none"/>
          <w:u w:val="single"/>
        </w:rPr>
        <w:t xml:space="preserve">                              </w:t>
      </w:r>
      <w:r>
        <w:rPr>
          <w:highlight w:val="none"/>
        </w:rPr>
        <w:t xml:space="preserve"> </w:t>
      </w:r>
    </w:p>
    <w:p>
      <w:pPr>
        <w:pStyle w:val="10"/>
        <w:spacing w:before="10"/>
        <w:ind w:left="0"/>
        <w:rPr>
          <w:sz w:val="9"/>
          <w:highlight w:val="none"/>
        </w:rPr>
      </w:pPr>
    </w:p>
    <w:p>
      <w:pPr>
        <w:pStyle w:val="10"/>
        <w:spacing w:before="67"/>
        <w:ind w:left="1329"/>
        <w:rPr>
          <w:highlight w:val="none"/>
        </w:rPr>
      </w:pPr>
      <w:r>
        <w:rPr>
          <w:highlight w:val="none"/>
        </w:rPr>
        <mc:AlternateContent>
          <mc:Choice Requires="wps">
            <w:drawing>
              <wp:anchor distT="0" distB="0" distL="114300" distR="114300" simplePos="0" relativeHeight="251661312" behindDoc="1" locked="0" layoutInCell="1" allowOverlap="1">
                <wp:simplePos x="0" y="0"/>
                <wp:positionH relativeFrom="page">
                  <wp:posOffset>1283335</wp:posOffset>
                </wp:positionH>
                <wp:positionV relativeFrom="paragraph">
                  <wp:posOffset>260350</wp:posOffset>
                </wp:positionV>
                <wp:extent cx="4870450" cy="2460625"/>
                <wp:effectExtent l="4445" t="5080" r="14605" b="10795"/>
                <wp:wrapTopAndBottom/>
                <wp:docPr id="6" name="文本框 7"/>
                <wp:cNvGraphicFramePr/>
                <a:graphic xmlns:a="http://schemas.openxmlformats.org/drawingml/2006/main">
                  <a:graphicData uri="http://schemas.microsoft.com/office/word/2010/wordprocessingShape">
                    <wps:wsp>
                      <wps:cNvSpPr txBox="1"/>
                      <wps:spPr>
                        <a:xfrm>
                          <a:off x="0" y="0"/>
                          <a:ext cx="4870450" cy="2460625"/>
                        </a:xfrm>
                        <a:prstGeom prst="rect">
                          <a:avLst/>
                        </a:prstGeom>
                        <a:noFill/>
                        <a:ln w="6096" cap="flat" cmpd="sng">
                          <a:solidFill>
                            <a:srgbClr val="000000"/>
                          </a:solidFill>
                          <a:prstDash val="solid"/>
                          <a:miter/>
                          <a:headEnd type="none" w="med" len="med"/>
                          <a:tailEnd type="none" w="med" len="med"/>
                        </a:ln>
                      </wps:spPr>
                      <wps:txbx>
                        <w:txbxContent>
                          <w:p>
                            <w:pPr>
                              <w:pStyle w:val="10"/>
                              <w:spacing w:before="160"/>
                              <w:ind w:left="103"/>
                            </w:pPr>
                            <w:r>
                              <w:t xml:space="preserve">粘贴被授权人身份证（扫描件） </w:t>
                            </w:r>
                          </w:p>
                        </w:txbxContent>
                      </wps:txbx>
                      <wps:bodyPr lIns="0" tIns="0" rIns="0" bIns="0" upright="1"/>
                    </wps:wsp>
                  </a:graphicData>
                </a:graphic>
              </wp:anchor>
            </w:drawing>
          </mc:Choice>
          <mc:Fallback>
            <w:pict>
              <v:shape id="文本框 7" o:spid="_x0000_s1026" o:spt="202" type="#_x0000_t202" style="position:absolute;left:0pt;margin-left:101.05pt;margin-top:20.5pt;height:193.75pt;width:383.5pt;mso-position-horizontal-relative:page;mso-wrap-distance-bottom:0pt;mso-wrap-distance-top:0pt;z-index:-251655168;mso-width-relative:page;mso-height-relative:page;" filled="f" stroked="t" coordsize="21600,21600" o:gfxdata="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cuGWHWAAAACgEAAA8AAAAAAAAA&#10;AQAgAAAAIgAAAGRycy9kb3ducmV2LnhtbFBLAQIUABQAAAAIAIdO4kAKSGOUEwIAADIEAAAOAAAA&#10;AAAAAAEAIAAAACUBAABkcnMvZTJvRG9jLnhtbFBLBQYAAAAABgAGAFkBAACqBQAAAAA=&#10;">
                <v:fill on="f" focussize="0,0"/>
                <v:stroke weight="0.48pt" color="#000000" joinstyle="miter"/>
                <v:imagedata o:title=""/>
                <o:lock v:ext="edit" aspectratio="f"/>
                <v:textbox inset="0mm,0mm,0mm,0mm">
                  <w:txbxContent>
                    <w:p>
                      <w:pPr>
                        <w:pStyle w:val="10"/>
                        <w:spacing w:before="160"/>
                        <w:ind w:left="103"/>
                      </w:pPr>
                      <w:r>
                        <w:t xml:space="preserve">粘贴被授权人身份证（扫描件） </w:t>
                      </w:r>
                    </w:p>
                  </w:txbxContent>
                </v:textbox>
                <w10:wrap type="topAndBottom"/>
              </v:shape>
            </w:pict>
          </mc:Fallback>
        </mc:AlternateContent>
      </w:r>
      <w:r>
        <w:rPr>
          <w:highlight w:val="none"/>
        </w:rPr>
        <w:t xml:space="preserve"> </w:t>
      </w:r>
    </w:p>
    <w:p>
      <w:pPr>
        <w:spacing w:after="0"/>
        <w:rPr>
          <w:highlight w:val="none"/>
        </w:rPr>
        <w:sectPr>
          <w:pgSz w:w="11910" w:h="16840"/>
          <w:pgMar w:top="1580" w:right="0" w:bottom="1180" w:left="980" w:header="0" w:footer="915" w:gutter="0"/>
          <w:cols w:space="720" w:num="1"/>
        </w:sectPr>
      </w:pPr>
    </w:p>
    <w:p>
      <w:pPr>
        <w:pStyle w:val="5"/>
        <w:spacing w:before="0" w:line="510" w:lineRule="exact"/>
        <w:outlineLvl w:val="0"/>
        <w:rPr>
          <w:highlight w:val="none"/>
        </w:rPr>
      </w:pPr>
      <w:bookmarkStart w:id="79" w:name="三、投标保证金"/>
      <w:bookmarkEnd w:id="79"/>
      <w:bookmarkStart w:id="80" w:name="_Toc21880"/>
      <w:r>
        <w:rPr>
          <w:highlight w:val="none"/>
        </w:rPr>
        <w:t>三、投标保证金</w:t>
      </w:r>
      <w:bookmarkEnd w:id="80"/>
    </w:p>
    <w:p>
      <w:pPr>
        <w:spacing w:before="35"/>
        <w:ind w:left="818" w:right="0" w:firstLine="0"/>
        <w:jc w:val="left"/>
        <w:rPr>
          <w:rFonts w:hint="eastAsia" w:ascii="Microsoft JhengHei" w:hAnsi="Microsoft JhengHei" w:eastAsia="Microsoft JhengHei"/>
          <w:b/>
          <w:sz w:val="32"/>
          <w:highlight w:val="none"/>
        </w:rPr>
      </w:pPr>
      <w:r>
        <w:rPr>
          <w:rFonts w:hint="eastAsia" w:ascii="Microsoft JhengHei" w:hAnsi="Microsoft JhengHei" w:eastAsia="Microsoft JhengHei"/>
          <w:b/>
          <w:w w:val="105"/>
          <w:sz w:val="32"/>
          <w:highlight w:val="none"/>
        </w:rPr>
        <w:t>☆投标保证金</w:t>
      </w:r>
    </w:p>
    <w:p>
      <w:pPr>
        <w:pStyle w:val="10"/>
        <w:spacing w:before="116"/>
        <w:rPr>
          <w:highlight w:val="none"/>
        </w:rPr>
      </w:pPr>
      <w:r>
        <w:rPr>
          <w:rFonts w:hint="eastAsia" w:ascii="Microsoft JhengHei" w:eastAsia="Microsoft JhengHei"/>
          <w:b/>
          <w:w w:val="200"/>
          <w:highlight w:val="none"/>
        </w:rPr>
        <w:t xml:space="preserve">   </w:t>
      </w:r>
      <w:r>
        <w:rPr>
          <w:highlight w:val="none"/>
        </w:rPr>
        <w:t xml:space="preserve">说明：此处上传投标保证金缴纳证明文件； </w:t>
      </w:r>
    </w:p>
    <w:p>
      <w:pPr>
        <w:spacing w:after="0"/>
        <w:rPr>
          <w:highlight w:val="none"/>
        </w:rPr>
        <w:sectPr>
          <w:pgSz w:w="11910" w:h="16840"/>
          <w:pgMar w:top="1500" w:right="0" w:bottom="1180" w:left="980" w:header="0" w:footer="915" w:gutter="0"/>
          <w:cols w:space="720" w:num="1"/>
        </w:sectPr>
      </w:pPr>
    </w:p>
    <w:p>
      <w:pPr>
        <w:pStyle w:val="5"/>
        <w:spacing w:before="0" w:line="510" w:lineRule="exact"/>
        <w:outlineLvl w:val="0"/>
        <w:rPr>
          <w:highlight w:val="none"/>
        </w:rPr>
      </w:pPr>
      <w:bookmarkStart w:id="81" w:name="四、中、小微企业声明函（中、小、微型企业产品价格需扣除的须提供）"/>
      <w:bookmarkEnd w:id="81"/>
      <w:bookmarkStart w:id="82" w:name="_Toc26159"/>
      <w:r>
        <w:rPr>
          <w:highlight w:val="none"/>
        </w:rPr>
        <w:t>四、中、小微企业声明函（中、小、微型企业产品价格需扣</w:t>
      </w:r>
      <w:bookmarkEnd w:id="82"/>
    </w:p>
    <w:p>
      <w:pPr>
        <w:spacing w:before="35"/>
        <w:ind w:left="818" w:right="0" w:firstLine="0"/>
        <w:jc w:val="left"/>
        <w:rPr>
          <w:rFonts w:hint="eastAsia" w:ascii="Microsoft JhengHei" w:eastAsia="Microsoft JhengHei"/>
          <w:b/>
          <w:sz w:val="32"/>
          <w:highlight w:val="none"/>
        </w:rPr>
      </w:pPr>
      <w:r>
        <w:rPr>
          <w:rFonts w:hint="eastAsia" w:ascii="Microsoft JhengHei" w:eastAsia="Microsoft JhengHei"/>
          <w:b/>
          <w:sz w:val="32"/>
          <w:highlight w:val="none"/>
        </w:rPr>
        <w:t>除的须提供）</w:t>
      </w:r>
    </w:p>
    <w:p>
      <w:pPr>
        <w:spacing w:before="36" w:line="254" w:lineRule="auto"/>
        <w:ind w:left="818" w:right="1755" w:firstLine="0"/>
        <w:jc w:val="left"/>
        <w:rPr>
          <w:rFonts w:hint="eastAsia" w:ascii="Microsoft JhengHei" w:eastAsia="Microsoft JhengHei"/>
          <w:b/>
          <w:sz w:val="32"/>
          <w:highlight w:val="none"/>
        </w:rPr>
      </w:pPr>
      <w:r>
        <w:rPr>
          <w:rFonts w:hint="eastAsia" w:ascii="Microsoft JhengHei" w:eastAsia="Microsoft JhengHei"/>
          <w:b/>
          <w:sz w:val="32"/>
          <w:highlight w:val="none"/>
        </w:rPr>
        <w:t>中、小微企业声明函（中、小、微型企业产品价格需扣除的须提供）</w:t>
      </w:r>
    </w:p>
    <w:p>
      <w:pPr>
        <w:pStyle w:val="7"/>
        <w:spacing w:before="1"/>
        <w:ind w:left="1939" w:right="2698"/>
        <w:jc w:val="center"/>
        <w:rPr>
          <w:highlight w:val="none"/>
        </w:rPr>
      </w:pPr>
      <w:r>
        <w:rPr>
          <w:highlight w:val="none"/>
        </w:rPr>
        <w:t>中小企业声明函</w:t>
      </w:r>
      <w:r>
        <w:rPr>
          <w:w w:val="200"/>
          <w:highlight w:val="none"/>
        </w:rPr>
        <w:t xml:space="preserve"> </w:t>
      </w:r>
    </w:p>
    <w:p>
      <w:pPr>
        <w:pStyle w:val="10"/>
        <w:spacing w:before="106"/>
        <w:ind w:left="1029"/>
        <w:rPr>
          <w:highlight w:val="none"/>
        </w:rPr>
      </w:pPr>
      <w:r>
        <w:rPr>
          <w:highlight w:val="none"/>
        </w:rPr>
        <w:t>项目编号、包号：</w:t>
      </w:r>
      <w:r>
        <w:rPr>
          <w:highlight w:val="none"/>
          <w:u w:val="single"/>
        </w:rPr>
        <w:t xml:space="preserve">                 </w:t>
      </w:r>
      <w:r>
        <w:rPr>
          <w:highlight w:val="none"/>
        </w:rPr>
        <w:t xml:space="preserve"> </w:t>
      </w:r>
    </w:p>
    <w:p>
      <w:pPr>
        <w:pStyle w:val="10"/>
        <w:tabs>
          <w:tab w:val="left" w:leader="underscore" w:pos="5350"/>
        </w:tabs>
        <w:spacing w:before="161" w:line="364" w:lineRule="auto"/>
        <w:ind w:right="1794" w:firstLine="503"/>
        <w:rPr>
          <w:highlight w:val="none"/>
        </w:rPr>
      </w:pPr>
      <w:r>
        <w:rPr>
          <w:spacing w:val="16"/>
          <w:highlight w:val="none"/>
        </w:rPr>
        <w:t>本公司郑</w:t>
      </w:r>
      <w:r>
        <w:rPr>
          <w:spacing w:val="14"/>
          <w:highlight w:val="none"/>
        </w:rPr>
        <w:t>重</w:t>
      </w:r>
      <w:r>
        <w:rPr>
          <w:spacing w:val="16"/>
          <w:highlight w:val="none"/>
        </w:rPr>
        <w:t>声明</w:t>
      </w:r>
      <w:r>
        <w:rPr>
          <w:spacing w:val="14"/>
          <w:highlight w:val="none"/>
        </w:rPr>
        <w:t>，根</w:t>
      </w:r>
      <w:r>
        <w:rPr>
          <w:spacing w:val="16"/>
          <w:highlight w:val="none"/>
        </w:rPr>
        <w:t>据《政府</w:t>
      </w:r>
      <w:r>
        <w:rPr>
          <w:spacing w:val="14"/>
          <w:highlight w:val="none"/>
        </w:rPr>
        <w:t>采</w:t>
      </w:r>
      <w:r>
        <w:rPr>
          <w:spacing w:val="16"/>
          <w:highlight w:val="none"/>
        </w:rPr>
        <w:t>购促</w:t>
      </w:r>
      <w:r>
        <w:rPr>
          <w:spacing w:val="14"/>
          <w:highlight w:val="none"/>
        </w:rPr>
        <w:t>进中</w:t>
      </w:r>
      <w:r>
        <w:rPr>
          <w:spacing w:val="16"/>
          <w:highlight w:val="none"/>
        </w:rPr>
        <w:t>小企业发</w:t>
      </w:r>
      <w:r>
        <w:rPr>
          <w:spacing w:val="14"/>
          <w:highlight w:val="none"/>
        </w:rPr>
        <w:t>展</w:t>
      </w:r>
      <w:r>
        <w:rPr>
          <w:spacing w:val="16"/>
          <w:highlight w:val="none"/>
        </w:rPr>
        <w:t>暂行</w:t>
      </w:r>
      <w:r>
        <w:rPr>
          <w:spacing w:val="14"/>
          <w:highlight w:val="none"/>
        </w:rPr>
        <w:t>办</w:t>
      </w:r>
      <w:r>
        <w:rPr>
          <w:spacing w:val="16"/>
          <w:highlight w:val="none"/>
        </w:rPr>
        <w:t>法</w:t>
      </w:r>
      <w:r>
        <w:rPr>
          <w:spacing w:val="-111"/>
          <w:highlight w:val="none"/>
        </w:rPr>
        <w:t>》</w:t>
      </w:r>
      <w:r>
        <w:rPr>
          <w:spacing w:val="16"/>
          <w:highlight w:val="none"/>
        </w:rPr>
        <w:t>（财</w:t>
      </w:r>
      <w:r>
        <w:rPr>
          <w:highlight w:val="none"/>
        </w:rPr>
        <w:t>库</w:t>
      </w:r>
      <w:r>
        <w:rPr>
          <w:spacing w:val="4"/>
          <w:highlight w:val="none"/>
        </w:rPr>
        <w:t>[2011]181</w:t>
      </w:r>
      <w:r>
        <w:rPr>
          <w:spacing w:val="10"/>
          <w:highlight w:val="none"/>
        </w:rPr>
        <w:t xml:space="preserve"> </w:t>
      </w:r>
      <w:r>
        <w:rPr>
          <w:spacing w:val="12"/>
          <w:highlight w:val="none"/>
        </w:rPr>
        <w:t>号）的规定，本公司为</w:t>
      </w:r>
      <w:r>
        <w:rPr>
          <w:spacing w:val="12"/>
          <w:highlight w:val="none"/>
        </w:rPr>
        <w:tab/>
      </w:r>
      <w:r>
        <w:rPr>
          <w:spacing w:val="12"/>
          <w:highlight w:val="none"/>
        </w:rPr>
        <w:t>（请填写：中型、小型、微型）</w:t>
      </w:r>
      <w:r>
        <w:rPr>
          <w:spacing w:val="-6"/>
          <w:highlight w:val="none"/>
        </w:rPr>
        <w:t>企</w:t>
      </w:r>
    </w:p>
    <w:p>
      <w:pPr>
        <w:pStyle w:val="10"/>
        <w:spacing w:before="1"/>
        <w:rPr>
          <w:highlight w:val="none"/>
        </w:rPr>
      </w:pPr>
      <w:r>
        <w:rPr>
          <w:highlight w:val="none"/>
        </w:rPr>
        <w:t xml:space="preserve">业。即，本公司同时满足以下条件： </w:t>
      </w:r>
    </w:p>
    <w:p>
      <w:pPr>
        <w:pStyle w:val="20"/>
        <w:numPr>
          <w:ilvl w:val="0"/>
          <w:numId w:val="34"/>
        </w:numPr>
        <w:tabs>
          <w:tab w:val="left" w:pos="1574"/>
          <w:tab w:val="left" w:leader="underscore" w:pos="4346"/>
        </w:tabs>
        <w:spacing w:before="161" w:after="0" w:line="364" w:lineRule="auto"/>
        <w:ind w:left="818" w:right="1792" w:firstLine="503"/>
        <w:jc w:val="both"/>
        <w:rPr>
          <w:sz w:val="24"/>
          <w:highlight w:val="none"/>
        </w:rPr>
      </w:pPr>
      <w:r>
        <w:rPr>
          <w:spacing w:val="12"/>
          <w:sz w:val="24"/>
          <w:highlight w:val="none"/>
        </w:rPr>
        <w:t>根据《工业和信息化部、国家统计局</w:t>
      </w:r>
      <w:r>
        <w:rPr>
          <w:spacing w:val="9"/>
          <w:sz w:val="24"/>
          <w:highlight w:val="none"/>
        </w:rPr>
        <w:t>、</w:t>
      </w:r>
      <w:r>
        <w:rPr>
          <w:spacing w:val="12"/>
          <w:sz w:val="24"/>
          <w:highlight w:val="none"/>
        </w:rPr>
        <w:t>国家发展和改革委员会、财</w:t>
      </w:r>
      <w:r>
        <w:rPr>
          <w:spacing w:val="-3"/>
          <w:sz w:val="24"/>
          <w:highlight w:val="none"/>
        </w:rPr>
        <w:t>政</w:t>
      </w:r>
      <w:r>
        <w:rPr>
          <w:spacing w:val="12"/>
          <w:sz w:val="24"/>
          <w:highlight w:val="none"/>
        </w:rPr>
        <w:t>部关于印发中小企业划型标准规定的通</w:t>
      </w:r>
      <w:r>
        <w:rPr>
          <w:spacing w:val="14"/>
          <w:sz w:val="24"/>
          <w:highlight w:val="none"/>
        </w:rPr>
        <w:t>知</w:t>
      </w:r>
      <w:r>
        <w:rPr>
          <w:spacing w:val="-149"/>
          <w:sz w:val="24"/>
          <w:highlight w:val="none"/>
        </w:rPr>
        <w:t>》</w:t>
      </w:r>
      <w:r>
        <w:rPr>
          <w:spacing w:val="12"/>
          <w:sz w:val="24"/>
          <w:highlight w:val="none"/>
        </w:rPr>
        <w:t>（工信部联企</w:t>
      </w:r>
      <w:r>
        <w:rPr>
          <w:spacing w:val="15"/>
          <w:sz w:val="24"/>
          <w:highlight w:val="none"/>
        </w:rPr>
        <w:t>业</w:t>
      </w:r>
      <w:r>
        <w:rPr>
          <w:spacing w:val="4"/>
          <w:sz w:val="24"/>
          <w:highlight w:val="none"/>
        </w:rPr>
        <w:t>[2011]300</w:t>
      </w:r>
      <w:r>
        <w:rPr>
          <w:spacing w:val="-49"/>
          <w:sz w:val="24"/>
          <w:highlight w:val="none"/>
        </w:rPr>
        <w:t xml:space="preserve"> </w:t>
      </w:r>
      <w:r>
        <w:rPr>
          <w:spacing w:val="11"/>
          <w:sz w:val="24"/>
          <w:highlight w:val="none"/>
        </w:rPr>
        <w:t>号</w:t>
      </w:r>
      <w:r>
        <w:rPr>
          <w:spacing w:val="-22"/>
          <w:sz w:val="24"/>
          <w:highlight w:val="none"/>
        </w:rPr>
        <w:t>）</w:t>
      </w:r>
      <w:r>
        <w:rPr>
          <w:sz w:val="24"/>
          <w:highlight w:val="none"/>
        </w:rPr>
        <w:t>规</w:t>
      </w:r>
      <w:r>
        <w:rPr>
          <w:spacing w:val="12"/>
          <w:sz w:val="24"/>
          <w:highlight w:val="none"/>
        </w:rPr>
        <w:t>定的划分标准，本公司为</w:t>
      </w:r>
      <w:r>
        <w:rPr>
          <w:spacing w:val="12"/>
          <w:sz w:val="24"/>
          <w:highlight w:val="none"/>
        </w:rPr>
        <w:tab/>
      </w:r>
      <w:r>
        <w:rPr>
          <w:spacing w:val="12"/>
          <w:sz w:val="24"/>
          <w:highlight w:val="none"/>
        </w:rPr>
        <w:t>（请填写：中型、小型、微型）企业</w:t>
      </w:r>
      <w:r>
        <w:rPr>
          <w:spacing w:val="13"/>
          <w:sz w:val="24"/>
          <w:highlight w:val="none"/>
        </w:rPr>
        <w:t>。</w:t>
      </w:r>
      <w:r>
        <w:rPr>
          <w:sz w:val="24"/>
          <w:highlight w:val="none"/>
        </w:rPr>
        <w:t xml:space="preserve"> </w:t>
      </w:r>
    </w:p>
    <w:p>
      <w:pPr>
        <w:pStyle w:val="20"/>
        <w:numPr>
          <w:ilvl w:val="0"/>
          <w:numId w:val="34"/>
        </w:numPr>
        <w:tabs>
          <w:tab w:val="left" w:pos="1584"/>
          <w:tab w:val="left" w:leader="underscore" w:pos="5212"/>
        </w:tabs>
        <w:spacing w:before="2" w:after="0" w:line="240" w:lineRule="auto"/>
        <w:ind w:left="1583" w:right="0" w:hanging="262"/>
        <w:jc w:val="both"/>
        <w:rPr>
          <w:sz w:val="24"/>
          <w:highlight w:val="none"/>
        </w:rPr>
      </w:pPr>
      <w:r>
        <w:rPr>
          <w:spacing w:val="21"/>
          <w:sz w:val="24"/>
          <w:highlight w:val="none"/>
        </w:rPr>
        <w:t>本</w:t>
      </w:r>
      <w:r>
        <w:rPr>
          <w:spacing w:val="23"/>
          <w:sz w:val="24"/>
          <w:highlight w:val="none"/>
        </w:rPr>
        <w:t>公</w:t>
      </w:r>
      <w:r>
        <w:rPr>
          <w:spacing w:val="21"/>
          <w:sz w:val="24"/>
          <w:highlight w:val="none"/>
        </w:rPr>
        <w:t>司参</w:t>
      </w:r>
      <w:r>
        <w:rPr>
          <w:spacing w:val="23"/>
          <w:sz w:val="24"/>
          <w:highlight w:val="none"/>
        </w:rPr>
        <w:t>加</w:t>
      </w:r>
      <w:r>
        <w:rPr>
          <w:spacing w:val="6"/>
          <w:sz w:val="24"/>
          <w:highlight w:val="none"/>
        </w:rPr>
        <w:t>______</w:t>
      </w:r>
      <w:r>
        <w:rPr>
          <w:spacing w:val="21"/>
          <w:sz w:val="24"/>
          <w:highlight w:val="none"/>
        </w:rPr>
        <w:t>单位的</w:t>
      </w:r>
      <w:r>
        <w:rPr>
          <w:spacing w:val="21"/>
          <w:sz w:val="24"/>
          <w:highlight w:val="none"/>
        </w:rPr>
        <w:tab/>
      </w:r>
      <w:r>
        <w:rPr>
          <w:spacing w:val="21"/>
          <w:sz w:val="24"/>
          <w:highlight w:val="none"/>
        </w:rPr>
        <w:t>项目采购活</w:t>
      </w:r>
      <w:r>
        <w:rPr>
          <w:spacing w:val="23"/>
          <w:sz w:val="24"/>
          <w:highlight w:val="none"/>
        </w:rPr>
        <w:t>动</w:t>
      </w:r>
      <w:r>
        <w:rPr>
          <w:spacing w:val="21"/>
          <w:sz w:val="24"/>
          <w:highlight w:val="none"/>
        </w:rPr>
        <w:t>提供本企业制造的</w:t>
      </w:r>
      <w:r>
        <w:rPr>
          <w:sz w:val="24"/>
          <w:highlight w:val="none"/>
        </w:rPr>
        <w:t>货</w:t>
      </w:r>
    </w:p>
    <w:p>
      <w:pPr>
        <w:pStyle w:val="10"/>
        <w:tabs>
          <w:tab w:val="left" w:leader="underscore" w:pos="7118"/>
        </w:tabs>
        <w:spacing w:before="160"/>
        <w:rPr>
          <w:highlight w:val="none"/>
        </w:rPr>
      </w:pPr>
      <w:r>
        <w:rPr>
          <w:spacing w:val="12"/>
          <w:highlight w:val="none"/>
        </w:rPr>
        <w:t>物，由本企业承担工程、提供服务，或者提供其他</w:t>
      </w:r>
      <w:r>
        <w:rPr>
          <w:spacing w:val="12"/>
          <w:highlight w:val="none"/>
        </w:rPr>
        <w:tab/>
      </w:r>
      <w:r>
        <w:rPr>
          <w:spacing w:val="12"/>
          <w:highlight w:val="none"/>
        </w:rPr>
        <w:t>（请填写：中型、</w:t>
      </w:r>
    </w:p>
    <w:p>
      <w:pPr>
        <w:pStyle w:val="10"/>
        <w:spacing w:before="161" w:line="364" w:lineRule="auto"/>
        <w:ind w:right="1812"/>
        <w:rPr>
          <w:highlight w:val="none"/>
        </w:rPr>
      </w:pPr>
      <w:r>
        <w:rPr>
          <w:highlight w:val="none"/>
        </w:rPr>
        <w:t xml:space="preserve">小型、微型）企业制造的货物。本条所称货物不包括使用大型企业注册商标的货物。 </w:t>
      </w:r>
    </w:p>
    <w:p>
      <w:pPr>
        <w:pStyle w:val="10"/>
        <w:spacing w:before="1"/>
        <w:ind w:left="1322"/>
        <w:rPr>
          <w:highlight w:val="none"/>
        </w:rPr>
      </w:pPr>
      <w:r>
        <w:rPr>
          <w:highlight w:val="none"/>
        </w:rPr>
        <w:t xml:space="preserve">本公司对上述声明的真实性负责。如有虚假，将依法承担相应责任。 </w:t>
      </w:r>
    </w:p>
    <w:p>
      <w:pPr>
        <w:pStyle w:val="10"/>
        <w:spacing w:before="161"/>
        <w:ind w:left="2831"/>
        <w:jc w:val="center"/>
        <w:rPr>
          <w:highlight w:val="none"/>
        </w:rPr>
      </w:pPr>
      <w:r>
        <w:rPr>
          <w:highlight w:val="none"/>
        </w:rPr>
        <w:t xml:space="preserve"> </w:t>
      </w:r>
    </w:p>
    <w:p>
      <w:pPr>
        <w:pStyle w:val="10"/>
        <w:spacing w:before="160"/>
        <w:ind w:left="0" w:right="1673"/>
        <w:jc w:val="right"/>
        <w:rPr>
          <w:highlight w:val="none"/>
        </w:rPr>
      </w:pPr>
      <w:r>
        <w:rPr>
          <w:highlight w:val="none"/>
        </w:rPr>
        <w:t xml:space="preserve">年 月 日 </w:t>
      </w:r>
    </w:p>
    <w:p>
      <w:pPr>
        <w:spacing w:after="0"/>
        <w:jc w:val="right"/>
        <w:rPr>
          <w:highlight w:val="none"/>
        </w:rPr>
        <w:sectPr>
          <w:pgSz w:w="11910" w:h="16840"/>
          <w:pgMar w:top="1500" w:right="0" w:bottom="1180" w:left="980" w:header="0" w:footer="915" w:gutter="0"/>
          <w:cols w:space="720" w:num="1"/>
        </w:sectPr>
      </w:pPr>
    </w:p>
    <w:p>
      <w:pPr>
        <w:pStyle w:val="5"/>
        <w:spacing w:before="0" w:line="510" w:lineRule="exact"/>
        <w:outlineLvl w:val="0"/>
        <w:rPr>
          <w:highlight w:val="none"/>
        </w:rPr>
      </w:pPr>
      <w:bookmarkStart w:id="83" w:name="五、供应商认为有必要提供的声明及文件资料"/>
      <w:bookmarkEnd w:id="83"/>
      <w:bookmarkStart w:id="84" w:name="_Toc20918"/>
      <w:r>
        <w:rPr>
          <w:highlight w:val="none"/>
        </w:rPr>
        <w:t>五、供应商认为有必要提供的声明及文件资料</w:t>
      </w:r>
      <w:bookmarkEnd w:id="84"/>
    </w:p>
    <w:p>
      <w:pPr>
        <w:spacing w:before="35"/>
        <w:ind w:left="818" w:right="0" w:firstLine="0"/>
        <w:jc w:val="left"/>
        <w:rPr>
          <w:rFonts w:hint="eastAsia" w:ascii="Microsoft JhengHei" w:eastAsia="Microsoft JhengHei"/>
          <w:b/>
          <w:sz w:val="32"/>
          <w:highlight w:val="none"/>
        </w:rPr>
      </w:pPr>
      <w:r>
        <w:rPr>
          <w:rFonts w:hint="eastAsia" w:ascii="Microsoft JhengHei" w:eastAsia="Microsoft JhengHei"/>
          <w:b/>
          <w:sz w:val="32"/>
          <w:highlight w:val="none"/>
        </w:rPr>
        <w:t>供应商认为有必要提供的声明及文件资料</w:t>
      </w:r>
    </w:p>
    <w:p>
      <w:pPr>
        <w:pStyle w:val="10"/>
        <w:spacing w:before="37"/>
        <w:ind w:left="1238"/>
        <w:rPr>
          <w:highlight w:val="none"/>
        </w:rPr>
      </w:pPr>
      <w:r>
        <w:rPr>
          <w:highlight w:val="none"/>
        </w:rPr>
        <w:t xml:space="preserve">① 供应商自觉抵制政府采购领域商业贿赂行为承诺书； </w:t>
      </w:r>
    </w:p>
    <w:p>
      <w:pPr>
        <w:pStyle w:val="10"/>
        <w:spacing w:before="4"/>
        <w:ind w:left="1238"/>
        <w:rPr>
          <w:highlight w:val="none"/>
        </w:rPr>
      </w:pPr>
      <w:r>
        <w:rPr>
          <w:highlight w:val="none"/>
        </w:rPr>
        <w:t xml:space="preserve">② 节能产品、环境标志产品证明文件； </w:t>
      </w:r>
    </w:p>
    <w:p>
      <w:pPr>
        <w:pStyle w:val="10"/>
        <w:spacing w:before="5" w:line="369" w:lineRule="auto"/>
        <w:ind w:right="7225" w:firstLine="419"/>
        <w:rPr>
          <w:highlight w:val="none"/>
        </w:rPr>
      </w:pPr>
      <w:r>
        <w:rPr>
          <w:highlight w:val="none"/>
        </w:rPr>
        <w:t xml:space="preserve">③ 类似项目业绩表； 附：类似项目业绩表 </w:t>
      </w:r>
    </w:p>
    <w:p>
      <w:pPr>
        <w:pStyle w:val="10"/>
        <w:spacing w:before="25"/>
        <w:rPr>
          <w:highlight w:val="none"/>
        </w:rPr>
      </w:pPr>
      <w:r>
        <w:rPr>
          <w:rFonts w:hint="eastAsia"/>
          <w:spacing w:val="-1"/>
          <w:highlight w:val="none"/>
          <w:lang w:eastAsia="zh-CN"/>
        </w:rPr>
        <w:t>中标</w:t>
      </w:r>
      <w:r>
        <w:rPr>
          <w:spacing w:val="-1"/>
          <w:highlight w:val="none"/>
        </w:rPr>
        <w:t>项目编号：</w:t>
      </w:r>
      <w:r>
        <w:rPr>
          <w:spacing w:val="-1"/>
          <w:highlight w:val="none"/>
          <w:u w:val="single"/>
        </w:rPr>
        <w:t xml:space="preserve">                             </w:t>
      </w:r>
      <w:r>
        <w:rPr>
          <w:spacing w:val="1"/>
          <w:highlight w:val="none"/>
          <w:u w:val="single"/>
        </w:rPr>
        <w:t xml:space="preserve"> </w:t>
      </w:r>
      <w:r>
        <w:rPr>
          <w:highlight w:val="none"/>
        </w:rPr>
        <w:t xml:space="preserve">      </w:t>
      </w:r>
    </w:p>
    <w:p>
      <w:pPr>
        <w:pStyle w:val="10"/>
        <w:spacing w:before="12"/>
        <w:ind w:left="0"/>
        <w:rPr>
          <w:sz w:val="9"/>
          <w:highlight w:val="none"/>
        </w:rPr>
      </w:pPr>
    </w:p>
    <w:p>
      <w:pPr>
        <w:pStyle w:val="10"/>
        <w:spacing w:before="66" w:after="32"/>
        <w:rPr>
          <w:highlight w:val="none"/>
        </w:rPr>
      </w:pPr>
      <w:r>
        <w:rPr>
          <w:rFonts w:hint="eastAsia"/>
          <w:spacing w:val="-1"/>
          <w:highlight w:val="none"/>
          <w:lang w:eastAsia="zh-CN"/>
        </w:rPr>
        <w:t>中标</w:t>
      </w:r>
      <w:r>
        <w:rPr>
          <w:spacing w:val="-1"/>
          <w:highlight w:val="none"/>
        </w:rPr>
        <w:t>项目名称：</w:t>
      </w:r>
      <w:r>
        <w:rPr>
          <w:spacing w:val="-1"/>
          <w:highlight w:val="none"/>
          <w:u w:val="single"/>
        </w:rPr>
        <w:t xml:space="preserve">                             </w:t>
      </w:r>
      <w:r>
        <w:rPr>
          <w:spacing w:val="1"/>
          <w:highlight w:val="none"/>
          <w:u w:val="single"/>
        </w:rPr>
        <w:t xml:space="preserve"> </w:t>
      </w:r>
      <w:r>
        <w:rPr>
          <w:highlight w:val="none"/>
        </w:rPr>
        <w:t xml:space="preserve"> </w:t>
      </w:r>
    </w:p>
    <w:tbl>
      <w:tblPr>
        <w:tblStyle w:val="16"/>
        <w:tblW w:w="0" w:type="auto"/>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7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908" w:type="dxa"/>
          </w:tcPr>
          <w:p>
            <w:pPr>
              <w:pStyle w:val="21"/>
              <w:spacing w:before="89"/>
              <w:ind w:left="272" w:right="145"/>
              <w:jc w:val="center"/>
              <w:rPr>
                <w:sz w:val="24"/>
                <w:highlight w:val="none"/>
              </w:rPr>
            </w:pPr>
            <w:r>
              <w:rPr>
                <w:sz w:val="24"/>
                <w:highlight w:val="none"/>
              </w:rPr>
              <w:t xml:space="preserve">项目名称 </w:t>
            </w:r>
          </w:p>
        </w:tc>
        <w:tc>
          <w:tcPr>
            <w:tcW w:w="7202" w:type="dxa"/>
          </w:tcPr>
          <w:p>
            <w:pPr>
              <w:pStyle w:val="21"/>
              <w:tabs>
                <w:tab w:val="left" w:pos="2373"/>
              </w:tabs>
              <w:ind w:left="107"/>
              <w:rPr>
                <w:sz w:val="24"/>
                <w:highlight w:val="none"/>
              </w:rPr>
            </w:pPr>
            <w:r>
              <w:rPr>
                <w:sz w:val="24"/>
                <w:highlight w:val="none"/>
              </w:rPr>
              <w:t xml:space="preserve"> </w:t>
            </w:r>
            <w:r>
              <w:rPr>
                <w:sz w:val="24"/>
                <w:highlight w:val="none"/>
              </w:rPr>
              <w:tab/>
            </w: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8" w:type="dxa"/>
          </w:tcPr>
          <w:p>
            <w:pPr>
              <w:pStyle w:val="21"/>
              <w:spacing w:before="76"/>
              <w:ind w:left="272" w:right="145"/>
              <w:jc w:val="center"/>
              <w:rPr>
                <w:sz w:val="24"/>
                <w:highlight w:val="none"/>
              </w:rPr>
            </w:pPr>
            <w:r>
              <w:rPr>
                <w:sz w:val="24"/>
                <w:highlight w:val="none"/>
              </w:rPr>
              <w:t xml:space="preserve">项目单位名称 </w:t>
            </w:r>
          </w:p>
        </w:tc>
        <w:tc>
          <w:tcPr>
            <w:tcW w:w="7202" w:type="dxa"/>
          </w:tcPr>
          <w:p>
            <w:pPr>
              <w:pStyle w:val="21"/>
              <w:ind w:right="3469"/>
              <w:jc w:val="right"/>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08" w:type="dxa"/>
          </w:tcPr>
          <w:p>
            <w:pPr>
              <w:pStyle w:val="21"/>
              <w:ind w:left="112"/>
              <w:rPr>
                <w:sz w:val="24"/>
                <w:highlight w:val="none"/>
              </w:rPr>
            </w:pPr>
            <w:r>
              <w:rPr>
                <w:sz w:val="24"/>
                <w:highlight w:val="none"/>
              </w:rPr>
              <w:t>项目单位联系人</w:t>
            </w:r>
          </w:p>
          <w:p>
            <w:pPr>
              <w:pStyle w:val="21"/>
              <w:spacing w:before="4" w:line="292" w:lineRule="exact"/>
              <w:ind w:left="112" w:right="-29"/>
              <w:rPr>
                <w:sz w:val="24"/>
                <w:highlight w:val="none"/>
              </w:rPr>
            </w:pPr>
            <w:r>
              <w:rPr>
                <w:spacing w:val="-1"/>
                <w:sz w:val="24"/>
                <w:highlight w:val="none"/>
              </w:rPr>
              <w:t xml:space="preserve">姓名及联系方式 </w:t>
            </w:r>
          </w:p>
        </w:tc>
        <w:tc>
          <w:tcPr>
            <w:tcW w:w="7202" w:type="dxa"/>
          </w:tcPr>
          <w:p>
            <w:pPr>
              <w:pStyle w:val="21"/>
              <w:ind w:right="3469"/>
              <w:jc w:val="right"/>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08" w:type="dxa"/>
          </w:tcPr>
          <w:p>
            <w:pPr>
              <w:pStyle w:val="21"/>
              <w:spacing w:before="156"/>
              <w:ind w:left="272" w:right="145"/>
              <w:jc w:val="center"/>
              <w:rPr>
                <w:sz w:val="24"/>
                <w:highlight w:val="none"/>
              </w:rPr>
            </w:pPr>
            <w:r>
              <w:rPr>
                <w:sz w:val="24"/>
                <w:highlight w:val="none"/>
              </w:rPr>
              <w:t xml:space="preserve">合同金额 </w:t>
            </w:r>
          </w:p>
        </w:tc>
        <w:tc>
          <w:tcPr>
            <w:tcW w:w="7202" w:type="dxa"/>
          </w:tcPr>
          <w:p>
            <w:pPr>
              <w:pStyle w:val="21"/>
              <w:spacing w:line="307" w:lineRule="exact"/>
              <w:ind w:right="3469"/>
              <w:jc w:val="right"/>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908" w:type="dxa"/>
          </w:tcPr>
          <w:p>
            <w:pPr>
              <w:pStyle w:val="21"/>
              <w:ind w:left="272" w:right="145"/>
              <w:jc w:val="center"/>
              <w:rPr>
                <w:sz w:val="24"/>
                <w:highlight w:val="none"/>
              </w:rPr>
            </w:pPr>
            <w:r>
              <w:rPr>
                <w:sz w:val="24"/>
                <w:highlight w:val="none"/>
              </w:rPr>
              <w:t xml:space="preserve">项目负责人 </w:t>
            </w:r>
          </w:p>
          <w:p>
            <w:pPr>
              <w:pStyle w:val="21"/>
              <w:spacing w:before="4" w:line="292" w:lineRule="exact"/>
              <w:ind w:left="272" w:right="145"/>
              <w:jc w:val="center"/>
              <w:rPr>
                <w:sz w:val="24"/>
                <w:highlight w:val="none"/>
              </w:rPr>
            </w:pPr>
            <w:r>
              <w:rPr>
                <w:sz w:val="24"/>
                <w:highlight w:val="none"/>
              </w:rPr>
              <w:t xml:space="preserve">姓名 </w:t>
            </w:r>
          </w:p>
        </w:tc>
        <w:tc>
          <w:tcPr>
            <w:tcW w:w="7202" w:type="dxa"/>
          </w:tcPr>
          <w:p>
            <w:pPr>
              <w:pStyle w:val="21"/>
              <w:ind w:right="3469"/>
              <w:jc w:val="right"/>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8" w:type="dxa"/>
          </w:tcPr>
          <w:p>
            <w:pPr>
              <w:pStyle w:val="21"/>
              <w:spacing w:before="79"/>
              <w:ind w:left="272" w:right="145"/>
              <w:jc w:val="center"/>
              <w:rPr>
                <w:sz w:val="24"/>
                <w:highlight w:val="none"/>
              </w:rPr>
            </w:pPr>
            <w:r>
              <w:rPr>
                <w:sz w:val="24"/>
                <w:highlight w:val="none"/>
              </w:rPr>
              <w:t xml:space="preserve">项目实施时间 </w:t>
            </w:r>
          </w:p>
        </w:tc>
        <w:tc>
          <w:tcPr>
            <w:tcW w:w="7202" w:type="dxa"/>
          </w:tcPr>
          <w:p>
            <w:pPr>
              <w:pStyle w:val="21"/>
              <w:ind w:right="3469"/>
              <w:jc w:val="right"/>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1908" w:type="dxa"/>
          </w:tcPr>
          <w:p>
            <w:pPr>
              <w:pStyle w:val="21"/>
              <w:rPr>
                <w:sz w:val="24"/>
                <w:highlight w:val="none"/>
              </w:rPr>
            </w:pPr>
          </w:p>
          <w:p>
            <w:pPr>
              <w:pStyle w:val="21"/>
              <w:rPr>
                <w:sz w:val="24"/>
                <w:highlight w:val="none"/>
              </w:rPr>
            </w:pPr>
          </w:p>
          <w:p>
            <w:pPr>
              <w:pStyle w:val="21"/>
              <w:spacing w:before="11"/>
              <w:rPr>
                <w:sz w:val="35"/>
                <w:highlight w:val="none"/>
              </w:rPr>
            </w:pPr>
          </w:p>
          <w:p>
            <w:pPr>
              <w:pStyle w:val="21"/>
              <w:spacing w:before="1"/>
              <w:ind w:left="272" w:right="145"/>
              <w:jc w:val="center"/>
              <w:rPr>
                <w:sz w:val="24"/>
                <w:highlight w:val="none"/>
              </w:rPr>
            </w:pPr>
            <w:r>
              <w:rPr>
                <w:sz w:val="24"/>
                <w:highlight w:val="none"/>
              </w:rPr>
              <w:t xml:space="preserve">项目内容说明 </w:t>
            </w:r>
          </w:p>
        </w:tc>
        <w:tc>
          <w:tcPr>
            <w:tcW w:w="7202" w:type="dxa"/>
          </w:tcPr>
          <w:p>
            <w:pPr>
              <w:pStyle w:val="21"/>
              <w:ind w:right="3469"/>
              <w:jc w:val="right"/>
              <w:rPr>
                <w:sz w:val="24"/>
                <w:highlight w:val="none"/>
              </w:rPr>
            </w:pPr>
            <w:r>
              <w:rPr>
                <w:sz w:val="24"/>
                <w:highlight w:val="none"/>
              </w:rPr>
              <w:t xml:space="preserve"> </w:t>
            </w:r>
          </w:p>
        </w:tc>
      </w:tr>
    </w:tbl>
    <w:p>
      <w:pPr>
        <w:pStyle w:val="10"/>
        <w:spacing w:before="79" w:line="364" w:lineRule="auto"/>
        <w:ind w:right="1798"/>
        <w:rPr>
          <w:highlight w:val="none"/>
        </w:rPr>
      </w:pPr>
      <w:r>
        <w:rPr>
          <w:highlight w:val="none"/>
        </w:rPr>
        <w:t xml:space="preserve">说明：1．每个合同须单独附表，并附上相关证明材料，否则专家在评审时将不予采信； </w:t>
      </w:r>
    </w:p>
    <w:p>
      <w:pPr>
        <w:pStyle w:val="10"/>
        <w:spacing w:before="1" w:line="364" w:lineRule="auto"/>
        <w:ind w:right="1800" w:firstLine="719"/>
        <w:rPr>
          <w:highlight w:val="none"/>
        </w:rPr>
      </w:pPr>
      <w:r>
        <w:rPr>
          <w:highlight w:val="none"/>
        </w:rPr>
        <w:t xml:space="preserve">2．项目内容请详细说明所承担的具体工作内容，如：网络建设、系统集成、软件开发、网站建设等； </w:t>
      </w:r>
    </w:p>
    <w:p>
      <w:pPr>
        <w:pStyle w:val="10"/>
        <w:spacing w:before="84"/>
        <w:rPr>
          <w:highlight w:val="none"/>
        </w:rPr>
      </w:pPr>
      <w:r>
        <w:rPr>
          <w:spacing w:val="-1"/>
          <w:highlight w:val="none"/>
        </w:rPr>
        <w:t>投标人法定代表人</w:t>
      </w:r>
      <w:r>
        <w:rPr>
          <w:highlight w:val="none"/>
        </w:rPr>
        <w:t>（签名</w:t>
      </w:r>
      <w:r>
        <w:rPr>
          <w:spacing w:val="-120"/>
          <w:highlight w:val="none"/>
        </w:rPr>
        <w:t>）</w:t>
      </w:r>
      <w:r>
        <w:rPr>
          <w:highlight w:val="none"/>
        </w:rPr>
        <w:t>：</w:t>
      </w:r>
      <w:r>
        <w:rPr>
          <w:highlight w:val="none"/>
          <w:u w:val="single"/>
        </w:rPr>
        <w:t xml:space="preserve">                  </w:t>
      </w:r>
      <w:r>
        <w:rPr>
          <w:highlight w:val="none"/>
        </w:rPr>
        <w:t xml:space="preserve"> </w:t>
      </w:r>
    </w:p>
    <w:p>
      <w:pPr>
        <w:pStyle w:val="10"/>
        <w:spacing w:before="9"/>
        <w:ind w:left="0"/>
        <w:rPr>
          <w:sz w:val="9"/>
          <w:highlight w:val="none"/>
        </w:rPr>
      </w:pPr>
    </w:p>
    <w:p>
      <w:pPr>
        <w:pStyle w:val="10"/>
        <w:spacing w:before="67"/>
        <w:rPr>
          <w:highlight w:val="none"/>
        </w:rPr>
      </w:pPr>
      <w:r>
        <w:rPr>
          <w:highlight w:val="none"/>
        </w:rPr>
        <w:t>投标人名称（签章</w:t>
      </w:r>
      <w:r>
        <w:rPr>
          <w:spacing w:val="-120"/>
          <w:highlight w:val="none"/>
        </w:rPr>
        <w:t>）</w:t>
      </w:r>
      <w:r>
        <w:rPr>
          <w:highlight w:val="none"/>
        </w:rPr>
        <w:t>：</w:t>
      </w:r>
      <w:r>
        <w:rPr>
          <w:highlight w:val="none"/>
          <w:u w:val="single"/>
        </w:rPr>
        <w:t xml:space="preserve">                       </w:t>
      </w:r>
      <w:r>
        <w:rPr>
          <w:highlight w:val="none"/>
        </w:rPr>
        <w:t xml:space="preserve"> </w:t>
      </w:r>
    </w:p>
    <w:p>
      <w:pPr>
        <w:pStyle w:val="10"/>
        <w:spacing w:before="10"/>
        <w:ind w:left="0"/>
        <w:rPr>
          <w:sz w:val="9"/>
          <w:highlight w:val="none"/>
        </w:rPr>
      </w:pPr>
    </w:p>
    <w:p>
      <w:pPr>
        <w:pStyle w:val="10"/>
        <w:spacing w:before="66"/>
        <w:rPr>
          <w:highlight w:val="none"/>
        </w:rPr>
      </w:pPr>
      <w:r>
        <w:rPr>
          <w:highlight w:val="none"/>
        </w:rPr>
        <w:t>日 期 ：</w:t>
      </w:r>
      <w:r>
        <w:rPr>
          <w:highlight w:val="none"/>
          <w:u w:val="single"/>
        </w:rPr>
        <w:t xml:space="preserve"> </w:t>
      </w:r>
      <w:r>
        <w:rPr>
          <w:highlight w:val="none"/>
        </w:rPr>
        <w:t>年 月</w:t>
      </w:r>
      <w:r>
        <w:rPr>
          <w:spacing w:val="59"/>
          <w:highlight w:val="none"/>
        </w:rPr>
        <w:t xml:space="preserve"> 日 </w:t>
      </w:r>
    </w:p>
    <w:p>
      <w:pPr>
        <w:spacing w:after="0"/>
        <w:rPr>
          <w:highlight w:val="none"/>
        </w:rPr>
        <w:sectPr>
          <w:pgSz w:w="11910" w:h="16840"/>
          <w:pgMar w:top="1500" w:right="0" w:bottom="1180" w:left="980" w:header="0" w:footer="915" w:gutter="0"/>
          <w:cols w:space="720" w:num="1"/>
        </w:sectPr>
      </w:pPr>
    </w:p>
    <w:p>
      <w:pPr>
        <w:pStyle w:val="5"/>
        <w:spacing w:before="0" w:line="510" w:lineRule="exact"/>
        <w:outlineLvl w:val="0"/>
        <w:rPr>
          <w:highlight w:val="none"/>
        </w:rPr>
      </w:pPr>
      <w:bookmarkStart w:id="85" w:name="六、不参与围标串标承诺书"/>
      <w:bookmarkEnd w:id="85"/>
      <w:bookmarkStart w:id="86" w:name="_Toc15438"/>
      <w:r>
        <w:rPr>
          <w:highlight w:val="none"/>
        </w:rPr>
        <w:t>六、不参与围标串标承诺书</w:t>
      </w:r>
      <w:bookmarkEnd w:id="86"/>
    </w:p>
    <w:p>
      <w:pPr>
        <w:spacing w:before="35"/>
        <w:ind w:left="818" w:right="0" w:firstLine="0"/>
        <w:jc w:val="left"/>
        <w:rPr>
          <w:rFonts w:hint="eastAsia" w:ascii="Microsoft JhengHei" w:eastAsia="Microsoft JhengHei"/>
          <w:b/>
          <w:sz w:val="32"/>
          <w:highlight w:val="none"/>
        </w:rPr>
      </w:pPr>
      <w:r>
        <w:rPr>
          <w:rFonts w:hint="eastAsia" w:ascii="Microsoft JhengHei" w:eastAsia="Microsoft JhengHei"/>
          <w:b/>
          <w:sz w:val="32"/>
          <w:highlight w:val="none"/>
        </w:rPr>
        <w:t>不参与围标串标承诺书</w:t>
      </w:r>
    </w:p>
    <w:p>
      <w:pPr>
        <w:pStyle w:val="10"/>
        <w:spacing w:before="13"/>
        <w:ind w:left="0"/>
        <w:rPr>
          <w:rFonts w:ascii="Microsoft JhengHei"/>
          <w:b/>
          <w:sz w:val="16"/>
          <w:highlight w:val="none"/>
        </w:rPr>
      </w:pPr>
    </w:p>
    <w:p>
      <w:pPr>
        <w:pStyle w:val="10"/>
        <w:tabs>
          <w:tab w:val="left" w:pos="6041"/>
        </w:tabs>
        <w:spacing w:before="1"/>
        <w:ind w:left="1298"/>
        <w:rPr>
          <w:highlight w:val="none"/>
        </w:rPr>
      </w:pPr>
      <w:r>
        <w:rPr>
          <w:highlight w:val="none"/>
        </w:rPr>
        <w:t>本人作</w:t>
      </w:r>
      <w:r>
        <w:rPr>
          <w:spacing w:val="-29"/>
          <w:highlight w:val="none"/>
        </w:rPr>
        <w:t>为</w:t>
      </w:r>
      <w:r>
        <w:rPr>
          <w:highlight w:val="none"/>
          <w:u w:val="single"/>
        </w:rPr>
        <w:t>（单位名称）</w:t>
      </w:r>
      <w:r>
        <w:rPr>
          <w:highlight w:val="none"/>
          <w:u w:val="single"/>
        </w:rPr>
        <w:tab/>
      </w:r>
      <w:r>
        <w:rPr>
          <w:highlight w:val="none"/>
        </w:rPr>
        <w:t>的法</w:t>
      </w:r>
      <w:r>
        <w:rPr>
          <w:spacing w:val="-15"/>
          <w:highlight w:val="none"/>
        </w:rPr>
        <w:t>人，</w:t>
      </w:r>
      <w:r>
        <w:rPr>
          <w:highlight w:val="none"/>
        </w:rPr>
        <w:t>清楚知晓我公司本项</w:t>
      </w:r>
    </w:p>
    <w:p>
      <w:pPr>
        <w:pStyle w:val="10"/>
        <w:spacing w:before="10"/>
        <w:ind w:left="0"/>
        <w:rPr>
          <w:sz w:val="20"/>
          <w:highlight w:val="none"/>
        </w:rPr>
      </w:pPr>
    </w:p>
    <w:p>
      <w:pPr>
        <w:pStyle w:val="10"/>
        <w:spacing w:before="67"/>
        <w:rPr>
          <w:highlight w:val="none"/>
        </w:rPr>
      </w:pPr>
      <w:r>
        <w:rPr>
          <w:highlight w:val="none"/>
        </w:rPr>
        <w:t>目投标活动，对以下事项作出承诺：</w:t>
      </w:r>
    </w:p>
    <w:p>
      <w:pPr>
        <w:pStyle w:val="10"/>
        <w:spacing w:before="10"/>
        <w:ind w:left="0"/>
        <w:rPr>
          <w:sz w:val="25"/>
          <w:highlight w:val="none"/>
        </w:rPr>
      </w:pPr>
    </w:p>
    <w:p>
      <w:pPr>
        <w:pStyle w:val="10"/>
        <w:spacing w:line="499" w:lineRule="auto"/>
        <w:ind w:right="1795" w:firstLine="479"/>
        <w:rPr>
          <w:highlight w:val="none"/>
        </w:rPr>
      </w:pPr>
      <w:r>
        <w:rPr>
          <w:spacing w:val="-11"/>
          <w:highlight w:val="none"/>
        </w:rPr>
        <w:t>一、我单位遵循公开、公平、公正、诚实守信的原则，依法依规参与本项目</w:t>
      </w:r>
      <w:r>
        <w:rPr>
          <w:highlight w:val="none"/>
        </w:rPr>
        <w:t>竞标。</w:t>
      </w:r>
    </w:p>
    <w:p>
      <w:pPr>
        <w:pStyle w:val="10"/>
        <w:spacing w:before="3"/>
        <w:ind w:left="1298"/>
        <w:rPr>
          <w:highlight w:val="none"/>
        </w:rPr>
      </w:pPr>
      <w:r>
        <w:rPr>
          <w:highlight w:val="none"/>
        </w:rPr>
        <w:t>二、我单位在本项目招标投标活动中，未参与围标串标。</w:t>
      </w:r>
    </w:p>
    <w:p>
      <w:pPr>
        <w:pStyle w:val="10"/>
        <w:spacing w:before="11"/>
        <w:ind w:left="0"/>
        <w:rPr>
          <w:sz w:val="25"/>
          <w:highlight w:val="none"/>
        </w:rPr>
      </w:pPr>
    </w:p>
    <w:p>
      <w:pPr>
        <w:pStyle w:val="10"/>
        <w:spacing w:line="499" w:lineRule="auto"/>
        <w:ind w:right="1792" w:firstLine="479"/>
        <w:rPr>
          <w:highlight w:val="none"/>
        </w:rPr>
      </w:pPr>
      <w:r>
        <w:rPr>
          <w:spacing w:val="-10"/>
          <w:highlight w:val="none"/>
        </w:rPr>
        <w:t>三、我单位如被查实在本项目招标投标活动中存在围标串标的，递交投标文</w:t>
      </w:r>
      <w:r>
        <w:rPr>
          <w:highlight w:val="none"/>
        </w:rPr>
        <w:t>件行为作为实施串通投标违法行为的关键环节，本人承担直接责任人员法律责任，接受相应行政处罚和失信惩戒。</w:t>
      </w:r>
    </w:p>
    <w:p>
      <w:pPr>
        <w:pStyle w:val="10"/>
        <w:spacing w:before="1" w:line="501" w:lineRule="auto"/>
        <w:ind w:right="8906"/>
        <w:rPr>
          <w:highlight w:val="none"/>
        </w:rPr>
      </w:pPr>
      <w:r>
        <w:rPr>
          <w:highlight w:val="none"/>
        </w:rPr>
        <w:t>项目编号： 标段号：</w:t>
      </w:r>
    </w:p>
    <w:p>
      <w:pPr>
        <w:pStyle w:val="10"/>
        <w:spacing w:line="499" w:lineRule="auto"/>
        <w:ind w:right="8186"/>
        <w:rPr>
          <w:highlight w:val="none"/>
        </w:rPr>
      </w:pPr>
      <w:r>
        <w:rPr>
          <w:highlight w:val="none"/>
        </w:rPr>
        <w:t>供应商单位名称： 供应商法人签名：</w:t>
      </w:r>
    </w:p>
    <w:p>
      <w:pPr>
        <w:pStyle w:val="10"/>
        <w:ind w:left="0"/>
        <w:rPr>
          <w:highlight w:val="none"/>
        </w:rPr>
      </w:pPr>
    </w:p>
    <w:p>
      <w:pPr>
        <w:pStyle w:val="10"/>
        <w:ind w:left="0"/>
        <w:rPr>
          <w:highlight w:val="none"/>
        </w:rPr>
      </w:pPr>
    </w:p>
    <w:p>
      <w:pPr>
        <w:pStyle w:val="10"/>
        <w:ind w:left="0"/>
        <w:rPr>
          <w:highlight w:val="none"/>
        </w:rPr>
      </w:pPr>
    </w:p>
    <w:p>
      <w:pPr>
        <w:pStyle w:val="10"/>
        <w:spacing w:before="7"/>
        <w:ind w:left="0"/>
        <w:rPr>
          <w:sz w:val="27"/>
          <w:highlight w:val="none"/>
        </w:rPr>
      </w:pPr>
    </w:p>
    <w:p>
      <w:pPr>
        <w:pStyle w:val="10"/>
        <w:tabs>
          <w:tab w:val="left" w:pos="1511"/>
        </w:tabs>
        <w:ind w:left="1031"/>
        <w:jc w:val="center"/>
        <w:rPr>
          <w:highlight w:val="none"/>
        </w:rPr>
      </w:pPr>
      <w:r>
        <w:rPr>
          <w:highlight w:val="none"/>
        </w:rPr>
        <w:t>盖</w:t>
      </w:r>
      <w:r>
        <w:rPr>
          <w:highlight w:val="none"/>
        </w:rPr>
        <w:tab/>
      </w:r>
      <w:r>
        <w:rPr>
          <w:highlight w:val="none"/>
        </w:rPr>
        <w:t>章</w:t>
      </w:r>
    </w:p>
    <w:p>
      <w:pPr>
        <w:pStyle w:val="10"/>
        <w:spacing w:before="1"/>
        <w:ind w:left="0"/>
        <w:rPr>
          <w:sz w:val="26"/>
          <w:highlight w:val="none"/>
        </w:rPr>
      </w:pPr>
    </w:p>
    <w:p>
      <w:pPr>
        <w:pStyle w:val="10"/>
        <w:tabs>
          <w:tab w:val="left" w:pos="1631"/>
          <w:tab w:val="left" w:pos="2231"/>
        </w:tabs>
        <w:ind w:left="1031"/>
        <w:jc w:val="center"/>
        <w:rPr>
          <w:highlight w:val="none"/>
        </w:rPr>
      </w:pPr>
      <w:r>
        <w:rPr>
          <w:highlight w:val="none"/>
        </w:rPr>
        <w:t>年</w:t>
      </w:r>
      <w:r>
        <w:rPr>
          <w:highlight w:val="none"/>
        </w:rPr>
        <w:tab/>
      </w:r>
      <w:r>
        <w:rPr>
          <w:highlight w:val="none"/>
        </w:rPr>
        <w:t>月</w:t>
      </w:r>
      <w:r>
        <w:rPr>
          <w:highlight w:val="none"/>
        </w:rPr>
        <w:tab/>
      </w:r>
      <w:r>
        <w:rPr>
          <w:highlight w:val="none"/>
        </w:rPr>
        <w:t>日</w:t>
      </w:r>
    </w:p>
    <w:p>
      <w:pPr>
        <w:spacing w:after="0"/>
        <w:jc w:val="center"/>
        <w:rPr>
          <w:highlight w:val="none"/>
        </w:rPr>
        <w:sectPr>
          <w:pgSz w:w="11910" w:h="16840"/>
          <w:pgMar w:top="1500" w:right="0" w:bottom="1180" w:left="980" w:header="0" w:footer="915" w:gutter="0"/>
          <w:cols w:space="720" w:num="1"/>
        </w:sectPr>
      </w:pPr>
    </w:p>
    <w:p>
      <w:pPr>
        <w:pStyle w:val="5"/>
        <w:spacing w:before="0" w:line="510" w:lineRule="exact"/>
        <w:outlineLvl w:val="0"/>
        <w:rPr>
          <w:highlight w:val="none"/>
        </w:rPr>
      </w:pPr>
      <w:bookmarkStart w:id="87" w:name="七、投标函"/>
      <w:bookmarkEnd w:id="87"/>
      <w:bookmarkStart w:id="88" w:name="_Toc8815"/>
      <w:r>
        <w:rPr>
          <w:highlight w:val="none"/>
        </w:rPr>
        <w:t>七、投标函</w:t>
      </w:r>
      <w:bookmarkEnd w:id="88"/>
    </w:p>
    <w:p>
      <w:pPr>
        <w:spacing w:before="35"/>
        <w:ind w:left="818" w:right="0" w:firstLine="0"/>
        <w:jc w:val="left"/>
        <w:rPr>
          <w:rFonts w:hint="eastAsia" w:ascii="Microsoft JhengHei" w:hAnsi="Microsoft JhengHei" w:eastAsia="Microsoft JhengHei"/>
          <w:b/>
          <w:sz w:val="32"/>
          <w:highlight w:val="none"/>
        </w:rPr>
      </w:pPr>
      <w:r>
        <w:rPr>
          <w:rFonts w:hint="eastAsia" w:ascii="Microsoft JhengHei" w:hAnsi="Microsoft JhengHei" w:eastAsia="Microsoft JhengHei"/>
          <w:b/>
          <w:w w:val="105"/>
          <w:sz w:val="32"/>
          <w:highlight w:val="none"/>
        </w:rPr>
        <w:t>☆投标函</w:t>
      </w:r>
    </w:p>
    <w:p>
      <w:pPr>
        <w:pStyle w:val="10"/>
        <w:spacing w:before="116"/>
        <w:rPr>
          <w:highlight w:val="none"/>
        </w:rPr>
      </w:pPr>
      <w:r>
        <w:rPr>
          <w:highlight w:val="none"/>
        </w:rPr>
        <w:t xml:space="preserve"> </w:t>
      </w:r>
      <w:r>
        <w:rPr>
          <w:highlight w:val="none"/>
          <w:u w:val="single"/>
        </w:rPr>
        <w:t xml:space="preserve">                    </w:t>
      </w:r>
      <w:r>
        <w:rPr>
          <w:highlight w:val="none"/>
        </w:rPr>
        <w:t xml:space="preserve">： </w:t>
      </w:r>
    </w:p>
    <w:p>
      <w:pPr>
        <w:pStyle w:val="10"/>
        <w:spacing w:before="160"/>
        <w:rPr>
          <w:highlight w:val="none"/>
        </w:rPr>
      </w:pPr>
      <w:r>
        <w:rPr>
          <w:highlight w:val="none"/>
        </w:rPr>
        <w:t xml:space="preserve">     </w:t>
      </w:r>
      <w:r>
        <w:rPr>
          <w:highlight w:val="none"/>
          <w:u w:val="single"/>
        </w:rPr>
        <w:t xml:space="preserve">                </w:t>
      </w:r>
      <w:r>
        <w:rPr>
          <w:highlight w:val="none"/>
        </w:rPr>
        <w:t xml:space="preserve"> </w:t>
      </w:r>
      <w:r>
        <w:rPr>
          <w:spacing w:val="4"/>
          <w:highlight w:val="none"/>
        </w:rPr>
        <w:t>(投标人名称)授权</w:t>
      </w:r>
      <w:r>
        <w:rPr>
          <w:spacing w:val="121"/>
          <w:highlight w:val="none"/>
          <w:u w:val="single"/>
        </w:rPr>
        <w:t xml:space="preserve"> </w:t>
      </w:r>
      <w:r>
        <w:rPr>
          <w:spacing w:val="3"/>
          <w:highlight w:val="none"/>
        </w:rPr>
        <w:t>(投标人授权代理</w:t>
      </w:r>
    </w:p>
    <w:p>
      <w:pPr>
        <w:pStyle w:val="10"/>
        <w:spacing w:before="161" w:line="364" w:lineRule="auto"/>
        <w:ind w:right="-15"/>
        <w:rPr>
          <w:highlight w:val="none"/>
        </w:rPr>
      </w:pPr>
      <w:r>
        <w:rPr>
          <w:spacing w:val="5"/>
          <w:highlight w:val="none"/>
        </w:rPr>
        <w:t>人 姓 名 )</w:t>
      </w:r>
      <w:r>
        <w:rPr>
          <w:spacing w:val="3"/>
          <w:highlight w:val="none"/>
          <w:u w:val="single"/>
        </w:rPr>
        <w:t xml:space="preserve">              </w:t>
      </w:r>
      <w:r>
        <w:rPr>
          <w:spacing w:val="2"/>
          <w:highlight w:val="none"/>
        </w:rPr>
        <w:t xml:space="preserve">( 职 务 、 职 称 ) 为 我 方 代 表 ， 参 加 贵 方 组 织 的(项目名称、项目编号、包号)招标的有关活动，并对此项目进行投标。为此： </w:t>
      </w:r>
    </w:p>
    <w:p>
      <w:pPr>
        <w:pStyle w:val="10"/>
        <w:spacing w:before="1" w:line="364" w:lineRule="auto"/>
        <w:ind w:right="1800" w:firstLine="479"/>
        <w:rPr>
          <w:highlight w:val="none"/>
        </w:rPr>
      </w:pPr>
      <w:r>
        <w:rPr>
          <w:highlight w:val="none"/>
        </w:rPr>
        <w:t xml:space="preserve">1、我方同意在本项目招标文件中规定的投标有效期内遵守本投标文件中的承诺且在此期限期满之前均具有约束力。 </w:t>
      </w:r>
    </w:p>
    <w:p>
      <w:pPr>
        <w:pStyle w:val="10"/>
        <w:spacing w:before="2" w:line="364" w:lineRule="auto"/>
        <w:ind w:right="1800" w:firstLine="479"/>
        <w:rPr>
          <w:highlight w:val="none"/>
        </w:rPr>
      </w:pPr>
      <w:r>
        <w:rPr>
          <w:highlight w:val="none"/>
        </w:rPr>
        <w:t xml:space="preserve">2、我方承诺已经具备《中华人民共和国政府采购法》中规定的参加政府采购活动的供应商应当具备的条件： </w:t>
      </w:r>
    </w:p>
    <w:p>
      <w:pPr>
        <w:pStyle w:val="20"/>
        <w:numPr>
          <w:ilvl w:val="0"/>
          <w:numId w:val="35"/>
        </w:numPr>
        <w:tabs>
          <w:tab w:val="left" w:pos="1659"/>
        </w:tabs>
        <w:spacing w:before="1" w:after="0" w:line="240" w:lineRule="auto"/>
        <w:ind w:left="1659" w:right="0" w:hanging="361"/>
        <w:jc w:val="left"/>
        <w:rPr>
          <w:sz w:val="24"/>
          <w:highlight w:val="none"/>
        </w:rPr>
      </w:pPr>
      <w:r>
        <w:rPr>
          <w:sz w:val="24"/>
          <w:highlight w:val="none"/>
        </w:rPr>
        <w:t xml:space="preserve">具有独立承担民事责任的能力； </w:t>
      </w:r>
    </w:p>
    <w:p>
      <w:pPr>
        <w:pStyle w:val="20"/>
        <w:numPr>
          <w:ilvl w:val="0"/>
          <w:numId w:val="35"/>
        </w:numPr>
        <w:tabs>
          <w:tab w:val="left" w:pos="1659"/>
        </w:tabs>
        <w:spacing w:before="161" w:after="0" w:line="240" w:lineRule="auto"/>
        <w:ind w:left="1659" w:right="0" w:hanging="361"/>
        <w:jc w:val="left"/>
        <w:rPr>
          <w:sz w:val="24"/>
          <w:highlight w:val="none"/>
        </w:rPr>
      </w:pPr>
      <w:r>
        <w:rPr>
          <w:sz w:val="24"/>
          <w:highlight w:val="none"/>
        </w:rPr>
        <w:t xml:space="preserve">具有良好的商业信誉和健全的财务会计制度； </w:t>
      </w:r>
    </w:p>
    <w:p>
      <w:pPr>
        <w:pStyle w:val="20"/>
        <w:numPr>
          <w:ilvl w:val="0"/>
          <w:numId w:val="35"/>
        </w:numPr>
        <w:tabs>
          <w:tab w:val="left" w:pos="1659"/>
        </w:tabs>
        <w:spacing w:before="160" w:after="0" w:line="240" w:lineRule="auto"/>
        <w:ind w:left="1659" w:right="0" w:hanging="361"/>
        <w:jc w:val="left"/>
        <w:rPr>
          <w:sz w:val="24"/>
          <w:highlight w:val="none"/>
        </w:rPr>
      </w:pPr>
      <w:r>
        <w:rPr>
          <w:sz w:val="24"/>
          <w:highlight w:val="none"/>
        </w:rPr>
        <w:t xml:space="preserve">具有履行合同所必需的设备和专业技术能力； </w:t>
      </w:r>
    </w:p>
    <w:p>
      <w:pPr>
        <w:pStyle w:val="20"/>
        <w:numPr>
          <w:ilvl w:val="0"/>
          <w:numId w:val="35"/>
        </w:numPr>
        <w:tabs>
          <w:tab w:val="left" w:pos="1659"/>
        </w:tabs>
        <w:spacing w:before="161" w:after="0" w:line="240" w:lineRule="auto"/>
        <w:ind w:left="1659" w:right="0" w:hanging="361"/>
        <w:jc w:val="left"/>
        <w:rPr>
          <w:sz w:val="24"/>
          <w:highlight w:val="none"/>
        </w:rPr>
      </w:pPr>
      <w:r>
        <w:rPr>
          <w:sz w:val="24"/>
          <w:highlight w:val="none"/>
        </w:rPr>
        <w:t xml:space="preserve">有依法缴纳税收和社会保障资金的良好记录； </w:t>
      </w:r>
    </w:p>
    <w:p>
      <w:pPr>
        <w:pStyle w:val="20"/>
        <w:numPr>
          <w:ilvl w:val="0"/>
          <w:numId w:val="35"/>
        </w:numPr>
        <w:tabs>
          <w:tab w:val="left" w:pos="1659"/>
        </w:tabs>
        <w:spacing w:before="160" w:after="0" w:line="240" w:lineRule="auto"/>
        <w:ind w:left="1659" w:right="0" w:hanging="361"/>
        <w:jc w:val="left"/>
        <w:rPr>
          <w:sz w:val="24"/>
          <w:highlight w:val="none"/>
        </w:rPr>
      </w:pPr>
      <w:r>
        <w:rPr>
          <w:sz w:val="24"/>
          <w:highlight w:val="none"/>
        </w:rPr>
        <w:t xml:space="preserve">参加此项采购活动前三年内，在经营活动中没有重大违法记录； </w:t>
      </w:r>
    </w:p>
    <w:p>
      <w:pPr>
        <w:pStyle w:val="20"/>
        <w:numPr>
          <w:ilvl w:val="0"/>
          <w:numId w:val="35"/>
        </w:numPr>
        <w:tabs>
          <w:tab w:val="left" w:pos="1659"/>
        </w:tabs>
        <w:spacing w:before="161" w:after="0" w:line="240" w:lineRule="auto"/>
        <w:ind w:left="1659" w:right="0" w:hanging="361"/>
        <w:jc w:val="left"/>
        <w:rPr>
          <w:sz w:val="24"/>
          <w:highlight w:val="none"/>
        </w:rPr>
      </w:pPr>
      <w:r>
        <w:rPr>
          <w:sz w:val="24"/>
          <w:highlight w:val="none"/>
        </w:rPr>
        <w:t xml:space="preserve">法律、行政法规规定的其他条件。 </w:t>
      </w:r>
    </w:p>
    <w:p>
      <w:pPr>
        <w:pStyle w:val="10"/>
        <w:spacing w:before="160" w:line="364" w:lineRule="auto"/>
        <w:ind w:right="1800" w:firstLine="479"/>
        <w:rPr>
          <w:highlight w:val="none"/>
        </w:rPr>
      </w:pPr>
      <w:r>
        <w:rPr>
          <w:highlight w:val="none"/>
        </w:rPr>
        <w:t>3、提供投标人须知规定的全部投标文件</w:t>
      </w:r>
    </w:p>
    <w:p>
      <w:pPr>
        <w:pStyle w:val="10"/>
        <w:spacing w:before="2" w:line="364" w:lineRule="auto"/>
        <w:ind w:right="1800" w:firstLine="479"/>
        <w:rPr>
          <w:highlight w:val="none"/>
        </w:rPr>
      </w:pPr>
      <w:r>
        <w:rPr>
          <w:highlight w:val="none"/>
        </w:rPr>
        <w:t xml:space="preserve">4、按招标文件要求提供和交付的货物及相关服务的投标报价详见开标一览表。 </w:t>
      </w:r>
    </w:p>
    <w:p>
      <w:pPr>
        <w:pStyle w:val="10"/>
        <w:spacing w:before="1"/>
        <w:ind w:left="1298"/>
        <w:rPr>
          <w:highlight w:val="none"/>
        </w:rPr>
      </w:pPr>
      <w:r>
        <w:rPr>
          <w:highlight w:val="none"/>
        </w:rPr>
        <w:t xml:space="preserve">5、保证忠实地执行双方所签订的合同，并承担合同规定的责任和义务。 </w:t>
      </w:r>
    </w:p>
    <w:p>
      <w:pPr>
        <w:pStyle w:val="10"/>
        <w:spacing w:before="160" w:line="364" w:lineRule="auto"/>
        <w:ind w:right="1672" w:firstLine="479"/>
        <w:rPr>
          <w:highlight w:val="none"/>
        </w:rPr>
      </w:pPr>
      <w:r>
        <w:rPr>
          <w:highlight w:val="none"/>
        </w:rPr>
        <w:t>6</w:t>
      </w:r>
      <w:r>
        <w:rPr>
          <w:spacing w:val="-10"/>
          <w:highlight w:val="none"/>
        </w:rPr>
        <w:t xml:space="preserve">、我方承诺完全满足和响应招标文件中的各项技术和服务要求，若有偏差， </w:t>
      </w:r>
      <w:r>
        <w:rPr>
          <w:highlight w:val="none"/>
        </w:rPr>
        <w:t xml:space="preserve">已在投标文件偏离表中予以明确特别说明。 </w:t>
      </w:r>
    </w:p>
    <w:p>
      <w:pPr>
        <w:pStyle w:val="10"/>
        <w:spacing w:before="2"/>
        <w:ind w:left="1298"/>
        <w:rPr>
          <w:highlight w:val="none"/>
        </w:rPr>
      </w:pPr>
      <w:r>
        <w:rPr>
          <w:highlight w:val="none"/>
        </w:rPr>
        <w:t xml:space="preserve">7、我方承诺：完全理解投标报价若超过项目预算时，投标将被拒绝。 </w:t>
      </w:r>
    </w:p>
    <w:p>
      <w:pPr>
        <w:pStyle w:val="10"/>
        <w:spacing w:before="161" w:line="364" w:lineRule="auto"/>
        <w:ind w:right="1800" w:firstLine="479"/>
        <w:rPr>
          <w:highlight w:val="none"/>
        </w:rPr>
      </w:pPr>
      <w:r>
        <w:rPr>
          <w:highlight w:val="none"/>
        </w:rPr>
        <w:t xml:space="preserve">8、我方承诺：与在本项目中设计编制技术规格的机构及其附属机构无任何直接隶属关系和利益关联。 </w:t>
      </w:r>
    </w:p>
    <w:p>
      <w:pPr>
        <w:pStyle w:val="10"/>
        <w:spacing w:before="1" w:line="364" w:lineRule="auto"/>
        <w:ind w:right="1800" w:firstLine="479"/>
        <w:rPr>
          <w:highlight w:val="none"/>
        </w:rPr>
      </w:pPr>
      <w:r>
        <w:rPr>
          <w:highlight w:val="none"/>
        </w:rPr>
        <w:t xml:space="preserve">9、如果在开标后规定的投标有效期内撤回投标，我方的投标保证金可被贵方没收。 </w:t>
      </w:r>
    </w:p>
    <w:p>
      <w:pPr>
        <w:pStyle w:val="10"/>
        <w:spacing w:before="40" w:line="364" w:lineRule="auto"/>
        <w:ind w:right="1675" w:firstLine="479"/>
        <w:rPr>
          <w:highlight w:val="none"/>
        </w:rPr>
      </w:pPr>
      <w:r>
        <w:rPr>
          <w:highlight w:val="none"/>
        </w:rPr>
        <w:t>10、我方完全理解贵方不一定接受最低价的投标或收到的任何投标。</w:t>
      </w:r>
    </w:p>
    <w:p>
      <w:pPr>
        <w:pStyle w:val="10"/>
        <w:spacing w:before="40" w:line="364" w:lineRule="auto"/>
        <w:ind w:right="1675" w:firstLine="479"/>
        <w:rPr>
          <w:highlight w:val="none"/>
        </w:rPr>
      </w:pPr>
      <w:r>
        <w:rPr>
          <w:highlight w:val="none"/>
        </w:rPr>
        <w:t>11</w:t>
      </w:r>
      <w:r>
        <w:rPr>
          <w:spacing w:val="-10"/>
          <w:highlight w:val="none"/>
        </w:rPr>
        <w:t>、我方承诺：投标文件所提供的一切资料及</w:t>
      </w:r>
      <w:r>
        <w:rPr>
          <w:spacing w:val="-17"/>
          <w:highlight w:val="none"/>
        </w:rPr>
        <w:t>均真实、及时、有效。由于我方提供资料不实而造成的责任和后果由我方承担。</w:t>
      </w:r>
      <w:r>
        <w:rPr>
          <w:spacing w:val="-6"/>
          <w:highlight w:val="none"/>
        </w:rPr>
        <w:t xml:space="preserve">我方同意按照贵方提出的要求，向贵方提供任何与本项投标有关的数据、情况和技术资料。若贵方需要，我方愿意提供我方作出的一切承诺的证明材料。 </w:t>
      </w:r>
    </w:p>
    <w:p>
      <w:pPr>
        <w:pStyle w:val="10"/>
        <w:spacing w:before="3" w:line="364" w:lineRule="auto"/>
        <w:ind w:right="1800" w:firstLine="479"/>
        <w:rPr>
          <w:highlight w:val="none"/>
        </w:rPr>
      </w:pPr>
      <w:r>
        <w:rPr>
          <w:highlight w:val="none"/>
        </w:rPr>
        <w:t>12、我方已详细审核全部投标文件，包括投标文件修改书（如有的话</w:t>
      </w:r>
      <w:r>
        <w:rPr>
          <w:spacing w:val="-120"/>
          <w:highlight w:val="none"/>
        </w:rPr>
        <w:t>）</w:t>
      </w:r>
      <w:r>
        <w:rPr>
          <w:spacing w:val="-8"/>
          <w:highlight w:val="none"/>
        </w:rPr>
        <w:t>、参</w:t>
      </w:r>
      <w:r>
        <w:rPr>
          <w:highlight w:val="none"/>
        </w:rPr>
        <w:t xml:space="preserve">考资料及有关附件，确认无误。 </w:t>
      </w:r>
    </w:p>
    <w:p>
      <w:pPr>
        <w:pStyle w:val="10"/>
        <w:spacing w:before="2" w:line="364" w:lineRule="auto"/>
        <w:ind w:right="1675" w:firstLine="479"/>
        <w:rPr>
          <w:highlight w:val="none"/>
        </w:rPr>
      </w:pPr>
      <w:r>
        <w:rPr>
          <w:highlight w:val="none"/>
        </w:rPr>
        <w:t>13</w:t>
      </w:r>
      <w:r>
        <w:rPr>
          <w:spacing w:val="-16"/>
          <w:highlight w:val="none"/>
        </w:rPr>
        <w:t xml:space="preserve">、我方承诺：采购人若需追加采购本项目招标文件所列货物及相关服务的， </w:t>
      </w:r>
      <w:r>
        <w:rPr>
          <w:highlight w:val="none"/>
        </w:rPr>
        <w:t xml:space="preserve">在不改变合同其他实质性条款的前提下，按相同或更优惠的折扣率保证供货。 </w:t>
      </w:r>
    </w:p>
    <w:p>
      <w:pPr>
        <w:pStyle w:val="10"/>
        <w:spacing w:before="1" w:line="364" w:lineRule="auto"/>
        <w:ind w:right="1792" w:firstLine="479"/>
        <w:rPr>
          <w:highlight w:val="none"/>
        </w:rPr>
      </w:pPr>
      <w:r>
        <w:rPr>
          <w:highlight w:val="none"/>
        </w:rPr>
        <w:t>14</w:t>
      </w:r>
      <w:r>
        <w:rPr>
          <w:spacing w:val="-10"/>
          <w:highlight w:val="none"/>
        </w:rPr>
        <w:t>、我方承诺：如所报货物属国家强制认证产品的，均已通过认证且在有效</w:t>
      </w:r>
      <w:r>
        <w:rPr>
          <w:highlight w:val="none"/>
        </w:rPr>
        <w:t xml:space="preserve">期内，否则，由此产生的一切法律责任由我方承担。 </w:t>
      </w:r>
    </w:p>
    <w:p>
      <w:pPr>
        <w:pStyle w:val="10"/>
        <w:spacing w:before="2" w:line="364" w:lineRule="auto"/>
        <w:ind w:right="1792" w:firstLine="479"/>
        <w:rPr>
          <w:highlight w:val="none"/>
        </w:rPr>
      </w:pPr>
      <w:r>
        <w:rPr>
          <w:highlight w:val="none"/>
        </w:rPr>
        <w:t>15</w:t>
      </w:r>
      <w:r>
        <w:rPr>
          <w:spacing w:val="-10"/>
          <w:highlight w:val="none"/>
        </w:rPr>
        <w:t>、我方承诺：接受招标文件中的全部条款且无任何异议，保证遵守招标文</w:t>
      </w:r>
      <w:r>
        <w:rPr>
          <w:highlight w:val="none"/>
        </w:rPr>
        <w:t xml:space="preserve">件的规定。 </w:t>
      </w:r>
    </w:p>
    <w:p>
      <w:pPr>
        <w:pStyle w:val="10"/>
        <w:spacing w:before="1" w:line="364" w:lineRule="auto"/>
        <w:ind w:right="1792" w:firstLine="479"/>
        <w:jc w:val="both"/>
        <w:rPr>
          <w:highlight w:val="none"/>
        </w:rPr>
      </w:pPr>
      <w:r>
        <w:rPr>
          <w:highlight w:val="none"/>
        </w:rPr>
        <w:t>16</w:t>
      </w:r>
      <w:r>
        <w:rPr>
          <w:spacing w:val="-11"/>
          <w:highlight w:val="none"/>
        </w:rPr>
        <w:t>、我方将严格遵守《中华人民共和国政府采购法》的有关规定，若有下列</w:t>
      </w:r>
      <w:r>
        <w:rPr>
          <w:spacing w:val="-10"/>
          <w:highlight w:val="none"/>
        </w:rPr>
        <w:t>情形之一的，将被处以采购金额千分之五以上千分之十以下的罚款，列入不良行</w:t>
      </w:r>
      <w:r>
        <w:rPr>
          <w:spacing w:val="-9"/>
          <w:highlight w:val="none"/>
        </w:rPr>
        <w:t>为记录名单，在一至三年内禁止参加政府采购活动；有违法所得的，并处没收违</w:t>
      </w:r>
      <w:r>
        <w:rPr>
          <w:spacing w:val="-10"/>
          <w:highlight w:val="none"/>
        </w:rPr>
        <w:t>法所得；情节严重的，由工商行政管理机关吊销营业执照；构成犯罪的，依法追</w:t>
      </w:r>
      <w:r>
        <w:rPr>
          <w:highlight w:val="none"/>
        </w:rPr>
        <w:t xml:space="preserve">究刑事责任： </w:t>
      </w:r>
    </w:p>
    <w:p>
      <w:pPr>
        <w:pStyle w:val="20"/>
        <w:numPr>
          <w:ilvl w:val="0"/>
          <w:numId w:val="36"/>
        </w:numPr>
        <w:tabs>
          <w:tab w:val="left" w:pos="1659"/>
        </w:tabs>
        <w:spacing w:before="3" w:after="0" w:line="240" w:lineRule="auto"/>
        <w:ind w:left="1659" w:right="0" w:hanging="361"/>
        <w:jc w:val="left"/>
        <w:rPr>
          <w:sz w:val="24"/>
          <w:highlight w:val="none"/>
        </w:rPr>
      </w:pPr>
      <w:r>
        <w:rPr>
          <w:sz w:val="24"/>
          <w:highlight w:val="none"/>
        </w:rPr>
        <w:t xml:space="preserve">提供虚假材料谋取中标、成交的； </w:t>
      </w:r>
    </w:p>
    <w:p>
      <w:pPr>
        <w:pStyle w:val="20"/>
        <w:numPr>
          <w:ilvl w:val="0"/>
          <w:numId w:val="36"/>
        </w:numPr>
        <w:tabs>
          <w:tab w:val="left" w:pos="1659"/>
        </w:tabs>
        <w:spacing w:before="161" w:after="0" w:line="240" w:lineRule="auto"/>
        <w:ind w:left="1659" w:right="0" w:hanging="361"/>
        <w:jc w:val="left"/>
        <w:rPr>
          <w:sz w:val="24"/>
          <w:highlight w:val="none"/>
        </w:rPr>
      </w:pPr>
      <w:r>
        <w:rPr>
          <w:sz w:val="24"/>
          <w:highlight w:val="none"/>
        </w:rPr>
        <w:t xml:space="preserve">采取不正当手段诋毁、排挤其他供应商的； </w:t>
      </w:r>
    </w:p>
    <w:p>
      <w:pPr>
        <w:pStyle w:val="20"/>
        <w:numPr>
          <w:ilvl w:val="0"/>
          <w:numId w:val="36"/>
        </w:numPr>
        <w:tabs>
          <w:tab w:val="left" w:pos="1659"/>
        </w:tabs>
        <w:spacing w:before="160" w:after="0" w:line="240" w:lineRule="auto"/>
        <w:ind w:left="1659" w:right="0" w:hanging="361"/>
        <w:jc w:val="left"/>
        <w:rPr>
          <w:sz w:val="24"/>
          <w:highlight w:val="none"/>
        </w:rPr>
      </w:pPr>
      <w:r>
        <w:rPr>
          <w:sz w:val="24"/>
          <w:highlight w:val="none"/>
        </w:rPr>
        <w:t xml:space="preserve">与采购人、其他供应商或者采购代理机构工作人员恶意串通的； </w:t>
      </w:r>
    </w:p>
    <w:p>
      <w:pPr>
        <w:pStyle w:val="20"/>
        <w:numPr>
          <w:ilvl w:val="0"/>
          <w:numId w:val="36"/>
        </w:numPr>
        <w:tabs>
          <w:tab w:val="left" w:pos="1659"/>
        </w:tabs>
        <w:spacing w:before="161" w:after="0" w:line="240" w:lineRule="auto"/>
        <w:ind w:left="1659" w:right="0" w:hanging="361"/>
        <w:jc w:val="left"/>
        <w:rPr>
          <w:sz w:val="24"/>
          <w:highlight w:val="none"/>
        </w:rPr>
      </w:pPr>
      <w:r>
        <w:rPr>
          <w:sz w:val="24"/>
          <w:highlight w:val="none"/>
        </w:rPr>
        <w:t xml:space="preserve">向采购人、采购代理机构工作人员行贿或者提供其他不正当利益的； </w:t>
      </w:r>
    </w:p>
    <w:p>
      <w:pPr>
        <w:pStyle w:val="20"/>
        <w:numPr>
          <w:ilvl w:val="0"/>
          <w:numId w:val="36"/>
        </w:numPr>
        <w:tabs>
          <w:tab w:val="left" w:pos="1659"/>
        </w:tabs>
        <w:spacing w:before="160" w:after="0" w:line="240" w:lineRule="auto"/>
        <w:ind w:left="1659" w:right="0" w:hanging="361"/>
        <w:jc w:val="left"/>
        <w:rPr>
          <w:sz w:val="24"/>
          <w:highlight w:val="none"/>
        </w:rPr>
      </w:pPr>
      <w:r>
        <w:rPr>
          <w:sz w:val="24"/>
          <w:highlight w:val="none"/>
        </w:rPr>
        <w:t xml:space="preserve">在采购过程中与采购人进行协商谈判的； </w:t>
      </w:r>
    </w:p>
    <w:p>
      <w:pPr>
        <w:pStyle w:val="20"/>
        <w:numPr>
          <w:ilvl w:val="0"/>
          <w:numId w:val="36"/>
        </w:numPr>
        <w:tabs>
          <w:tab w:val="left" w:pos="1659"/>
        </w:tabs>
        <w:spacing w:before="161" w:after="0" w:line="240" w:lineRule="auto"/>
        <w:ind w:left="1659" w:right="0" w:hanging="361"/>
        <w:jc w:val="left"/>
        <w:rPr>
          <w:sz w:val="24"/>
          <w:highlight w:val="none"/>
        </w:rPr>
      </w:pPr>
      <w:r>
        <w:rPr>
          <w:sz w:val="24"/>
          <w:highlight w:val="none"/>
        </w:rPr>
        <w:t xml:space="preserve">拒绝有关部门监督检查或提供虚假情况的。 </w:t>
      </w:r>
    </w:p>
    <w:p>
      <w:pPr>
        <w:spacing w:before="104"/>
        <w:ind w:left="818" w:right="0" w:firstLine="0"/>
        <w:jc w:val="left"/>
        <w:rPr>
          <w:highlight w:val="none"/>
        </w:rPr>
      </w:pPr>
      <w:r>
        <w:rPr>
          <w:w w:val="100"/>
          <w:sz w:val="21"/>
          <w:highlight w:val="none"/>
        </w:rPr>
        <w:t xml:space="preserve">    </w:t>
      </w:r>
      <w:r>
        <w:rPr>
          <w:sz w:val="21"/>
          <w:highlight w:val="none"/>
        </w:rPr>
        <w:t>17、</w:t>
      </w:r>
      <w:r>
        <w:rPr>
          <w:highlight w:val="none"/>
        </w:rPr>
        <w:t xml:space="preserve">与本投标有关的一切往来通讯请寄： </w:t>
      </w:r>
    </w:p>
    <w:p>
      <w:pPr>
        <w:pStyle w:val="10"/>
        <w:tabs>
          <w:tab w:val="left" w:pos="3458"/>
          <w:tab w:val="left" w:pos="8259"/>
        </w:tabs>
        <w:spacing w:before="160" w:line="364" w:lineRule="auto"/>
        <w:ind w:left="1298" w:right="2544"/>
        <w:rPr>
          <w:rFonts w:ascii="Times New Roman" w:eastAsia="Times New Roman"/>
          <w:highlight w:val="none"/>
          <w:u w:val="single"/>
        </w:rPr>
      </w:pPr>
      <w:r>
        <w:rPr>
          <w:highlight w:val="none"/>
        </w:rPr>
        <w:t>地址：</w:t>
      </w:r>
      <w:r>
        <w:rPr>
          <w:rFonts w:ascii="Times New Roman" w:eastAsia="Times New Roman"/>
          <w:highlight w:val="none"/>
          <w:u w:val="single"/>
        </w:rPr>
        <w:t xml:space="preserve"> </w:t>
      </w:r>
      <w:r>
        <w:rPr>
          <w:rFonts w:ascii="Times New Roman" w:eastAsia="Times New Roman"/>
          <w:highlight w:val="none"/>
          <w:u w:val="single"/>
        </w:rPr>
        <w:tab/>
      </w:r>
    </w:p>
    <w:p>
      <w:pPr>
        <w:pStyle w:val="10"/>
        <w:tabs>
          <w:tab w:val="left" w:pos="3458"/>
          <w:tab w:val="left" w:pos="8259"/>
        </w:tabs>
        <w:spacing w:before="160" w:line="364" w:lineRule="auto"/>
        <w:ind w:left="1298" w:right="2544"/>
        <w:rPr>
          <w:highlight w:val="none"/>
        </w:rPr>
      </w:pPr>
      <w:r>
        <w:rPr>
          <w:highlight w:val="none"/>
        </w:rPr>
        <w:t>邮编：</w:t>
      </w:r>
      <w:r>
        <w:rPr>
          <w:rFonts w:ascii="Times New Roman" w:eastAsia="Times New Roman"/>
          <w:highlight w:val="none"/>
          <w:u w:val="single"/>
        </w:rPr>
        <w:t xml:space="preserve"> </w:t>
      </w:r>
      <w:r>
        <w:rPr>
          <w:rFonts w:ascii="Times New Roman" w:eastAsia="Times New Roman"/>
          <w:highlight w:val="none"/>
          <w:u w:val="single"/>
        </w:rPr>
        <w:tab/>
      </w:r>
      <w:r>
        <w:rPr>
          <w:highlight w:val="none"/>
        </w:rPr>
        <w:t xml:space="preserve">   </w:t>
      </w:r>
    </w:p>
    <w:p>
      <w:pPr>
        <w:pStyle w:val="10"/>
        <w:tabs>
          <w:tab w:val="left" w:pos="3458"/>
        </w:tabs>
        <w:spacing w:before="1" w:line="364" w:lineRule="auto"/>
        <w:ind w:left="1298" w:right="7105"/>
        <w:rPr>
          <w:highlight w:val="none"/>
        </w:rPr>
      </w:pPr>
      <w:r>
        <w:rPr>
          <w:highlight w:val="none"/>
        </w:rPr>
        <w:t>电话：</w:t>
      </w:r>
      <w:r>
        <w:rPr>
          <w:rFonts w:ascii="Times New Roman" w:eastAsia="Times New Roman"/>
          <w:highlight w:val="none"/>
          <w:u w:val="single"/>
        </w:rPr>
        <w:t xml:space="preserve"> </w:t>
      </w:r>
      <w:r>
        <w:rPr>
          <w:rFonts w:ascii="Times New Roman" w:eastAsia="Times New Roman"/>
          <w:highlight w:val="none"/>
          <w:u w:val="single"/>
        </w:rPr>
        <w:tab/>
      </w:r>
      <w:r>
        <w:rPr>
          <w:highlight w:val="none"/>
        </w:rPr>
        <w:t xml:space="preserve">   传真：</w:t>
      </w:r>
      <w:r>
        <w:rPr>
          <w:rFonts w:ascii="Times New Roman" w:eastAsia="Times New Roman"/>
          <w:highlight w:val="none"/>
          <w:u w:val="single"/>
        </w:rPr>
        <w:t xml:space="preserve"> </w:t>
      </w:r>
      <w:r>
        <w:rPr>
          <w:rFonts w:ascii="Times New Roman" w:eastAsia="Times New Roman"/>
          <w:highlight w:val="none"/>
          <w:u w:val="single"/>
        </w:rPr>
        <w:tab/>
      </w:r>
      <w:r>
        <w:rPr>
          <w:highlight w:val="none"/>
        </w:rPr>
        <w:t xml:space="preserve"> </w:t>
      </w:r>
    </w:p>
    <w:p>
      <w:pPr>
        <w:pStyle w:val="10"/>
        <w:spacing w:before="1"/>
        <w:ind w:left="1298"/>
        <w:rPr>
          <w:highlight w:val="none"/>
        </w:rPr>
      </w:pPr>
      <w:r>
        <w:rPr>
          <w:highlight w:val="none"/>
        </w:rPr>
        <w:t>投标人法定代表人或授权代理人联系电话，e-mail：</w:t>
      </w:r>
      <w:r>
        <w:rPr>
          <w:highlight w:val="none"/>
          <w:u w:val="single"/>
        </w:rPr>
        <w:t xml:space="preserve">                   </w:t>
      </w:r>
      <w:r>
        <w:rPr>
          <w:highlight w:val="none"/>
        </w:rPr>
        <w:t xml:space="preserve">               </w:t>
      </w:r>
    </w:p>
    <w:p>
      <w:pPr>
        <w:spacing w:after="0"/>
        <w:rPr>
          <w:highlight w:val="none"/>
        </w:rPr>
        <w:sectPr>
          <w:pgSz w:w="11910" w:h="16840"/>
          <w:pgMar w:top="1460" w:right="0" w:bottom="1180" w:left="980" w:header="0" w:footer="915" w:gutter="0"/>
          <w:cols w:space="720" w:num="1"/>
        </w:sectPr>
      </w:pPr>
    </w:p>
    <w:p>
      <w:pPr>
        <w:pStyle w:val="10"/>
        <w:ind w:left="0"/>
        <w:rPr>
          <w:sz w:val="20"/>
          <w:highlight w:val="none"/>
        </w:rPr>
      </w:pPr>
    </w:p>
    <w:p>
      <w:pPr>
        <w:pStyle w:val="10"/>
        <w:spacing w:before="7"/>
        <w:ind w:left="0"/>
        <w:rPr>
          <w:sz w:val="14"/>
          <w:highlight w:val="none"/>
        </w:rPr>
      </w:pPr>
    </w:p>
    <w:p>
      <w:pPr>
        <w:pStyle w:val="7"/>
        <w:spacing w:line="254" w:lineRule="auto"/>
        <w:ind w:left="1300" w:right="6390" w:hanging="20"/>
        <w:rPr>
          <w:highlight w:val="none"/>
        </w:rPr>
      </w:pPr>
      <w:r>
        <w:rPr>
          <w:highlight w:val="none"/>
        </w:rPr>
        <w:t>投标人法定代表人签名：</w:t>
      </w:r>
    </w:p>
    <w:p>
      <w:pPr>
        <w:pStyle w:val="7"/>
        <w:spacing w:line="254" w:lineRule="auto"/>
        <w:ind w:left="1300" w:right="6390" w:hanging="20"/>
        <w:rPr>
          <w:highlight w:val="none"/>
        </w:rPr>
      </w:pPr>
      <w:r>
        <w:rPr>
          <w:highlight w:val="none"/>
        </w:rPr>
        <w:t xml:space="preserve"> 投标人公章：</w:t>
      </w:r>
      <w:r>
        <w:rPr>
          <w:w w:val="200"/>
          <w:highlight w:val="none"/>
        </w:rPr>
        <w:t xml:space="preserve"> </w:t>
      </w:r>
    </w:p>
    <w:p>
      <w:pPr>
        <w:pStyle w:val="10"/>
        <w:tabs>
          <w:tab w:val="left" w:pos="1237"/>
        </w:tabs>
        <w:spacing w:before="67"/>
        <w:rPr>
          <w:highlight w:val="none"/>
        </w:rPr>
      </w:pPr>
      <w:r>
        <w:rPr>
          <w:highlight w:val="none"/>
        </w:rPr>
        <w:t xml:space="preserve"> </w:t>
      </w:r>
      <w:r>
        <w:rPr>
          <w:highlight w:val="none"/>
        </w:rPr>
        <w:tab/>
      </w:r>
      <w:r>
        <w:rPr>
          <w:highlight w:val="none"/>
        </w:rPr>
        <w:t xml:space="preserve"> 日 期 ： </w:t>
      </w:r>
    </w:p>
    <w:p>
      <w:pPr>
        <w:pStyle w:val="10"/>
        <w:spacing w:before="160"/>
        <w:rPr>
          <w:highlight w:val="none"/>
        </w:rPr>
      </w:pPr>
      <w:r>
        <w:rPr>
          <w:highlight w:val="none"/>
        </w:rPr>
        <w:t xml:space="preserve"> </w:t>
      </w:r>
    </w:p>
    <w:p>
      <w:pPr>
        <w:pStyle w:val="7"/>
        <w:spacing w:before="81" w:line="254" w:lineRule="auto"/>
        <w:ind w:right="1790"/>
        <w:rPr>
          <w:highlight w:val="none"/>
        </w:rPr>
      </w:pPr>
      <w:r>
        <w:rPr>
          <w:highlight w:val="none"/>
        </w:rPr>
        <w:t>说明：除可填报项目外，对本投标函的任何修改将被视为非实质性响应投标， 从而导致该投标被拒绝。</w:t>
      </w:r>
      <w:r>
        <w:rPr>
          <w:w w:val="200"/>
          <w:highlight w:val="none"/>
        </w:rPr>
        <w:t xml:space="preserve"> </w:t>
      </w:r>
    </w:p>
    <w:p>
      <w:pPr>
        <w:spacing w:after="0" w:line="254" w:lineRule="auto"/>
        <w:rPr>
          <w:highlight w:val="none"/>
        </w:rPr>
        <w:sectPr>
          <w:pgSz w:w="11910" w:h="16840"/>
          <w:pgMar w:top="1460" w:right="0" w:bottom="1180" w:left="980" w:header="0" w:footer="915" w:gutter="0"/>
          <w:cols w:space="720" w:num="1"/>
        </w:sectPr>
      </w:pPr>
    </w:p>
    <w:p>
      <w:pPr>
        <w:spacing w:before="0" w:line="510" w:lineRule="exact"/>
        <w:ind w:left="818" w:right="0" w:firstLine="0"/>
        <w:jc w:val="left"/>
        <w:outlineLvl w:val="0"/>
        <w:rPr>
          <w:rFonts w:hint="eastAsia" w:ascii="Microsoft JhengHei" w:eastAsia="Microsoft JhengHei"/>
          <w:b/>
          <w:sz w:val="32"/>
          <w:highlight w:val="none"/>
        </w:rPr>
      </w:pPr>
      <w:bookmarkStart w:id="89" w:name="八、开标一览表"/>
      <w:bookmarkEnd w:id="89"/>
      <w:bookmarkStart w:id="90" w:name="_Toc13821"/>
      <w:r>
        <w:rPr>
          <w:rFonts w:hint="eastAsia" w:ascii="Microsoft JhengHei" w:eastAsia="Microsoft JhengHei"/>
          <w:b/>
          <w:sz w:val="32"/>
          <w:highlight w:val="none"/>
        </w:rPr>
        <w:t>八、开标一览表</w:t>
      </w:r>
      <w:bookmarkEnd w:id="90"/>
    </w:p>
    <w:p>
      <w:pPr>
        <w:spacing w:before="35"/>
        <w:ind w:left="818" w:right="0" w:firstLine="0"/>
        <w:jc w:val="left"/>
        <w:rPr>
          <w:rFonts w:hint="eastAsia" w:ascii="Microsoft JhengHei" w:hAnsi="Microsoft JhengHei" w:eastAsia="Microsoft JhengHei"/>
          <w:b/>
          <w:sz w:val="32"/>
          <w:highlight w:val="none"/>
        </w:rPr>
      </w:pPr>
      <w:r>
        <w:rPr>
          <w:rFonts w:hint="eastAsia" w:ascii="Microsoft JhengHei" w:hAnsi="Microsoft JhengHei" w:eastAsia="Microsoft JhengHei"/>
          <w:b/>
          <w:w w:val="105"/>
          <w:sz w:val="32"/>
          <w:highlight w:val="none"/>
        </w:rPr>
        <w:t>☆开标一览表</w:t>
      </w:r>
    </w:p>
    <w:p>
      <w:pPr>
        <w:pStyle w:val="10"/>
        <w:spacing w:before="37" w:line="297" w:lineRule="auto"/>
        <w:ind w:right="4986" w:firstLine="3794"/>
        <w:rPr>
          <w:highlight w:val="none"/>
        </w:rPr>
      </w:pPr>
      <w:r>
        <w:rPr>
          <w:rFonts w:hint="eastAsia" w:ascii="Microsoft JhengHei" w:eastAsia="Microsoft JhengHei"/>
          <w:b/>
          <w:highlight w:val="none"/>
        </w:rPr>
        <w:t>开标一览表</w:t>
      </w:r>
      <w:r>
        <w:rPr>
          <w:highlight w:val="none"/>
        </w:rPr>
        <w:t>项目编号：</w:t>
      </w:r>
      <w:r>
        <w:rPr>
          <w:highlight w:val="none"/>
          <w:u w:val="single"/>
        </w:rPr>
        <w:t xml:space="preserve">                           </w:t>
      </w:r>
      <w:r>
        <w:rPr>
          <w:spacing w:val="1"/>
          <w:highlight w:val="none"/>
          <w:u w:val="single"/>
        </w:rPr>
        <w:t xml:space="preserve"> </w:t>
      </w:r>
      <w:r>
        <w:rPr>
          <w:highlight w:val="none"/>
        </w:rPr>
        <w:t xml:space="preserve"> </w:t>
      </w:r>
    </w:p>
    <w:p>
      <w:pPr>
        <w:pStyle w:val="10"/>
        <w:spacing w:before="86"/>
        <w:rPr>
          <w:sz w:val="29"/>
          <w:highlight w:val="none"/>
        </w:rPr>
      </w:pPr>
      <w:r>
        <w:rPr>
          <w:spacing w:val="-1"/>
          <w:highlight w:val="none"/>
        </w:rPr>
        <w:t>项目名称：</w:t>
      </w:r>
      <w:r>
        <w:rPr>
          <w:spacing w:val="-1"/>
          <w:highlight w:val="none"/>
          <w:u w:val="single"/>
        </w:rPr>
        <w:t xml:space="preserve">                           </w:t>
      </w:r>
      <w:r>
        <w:rPr>
          <w:spacing w:val="1"/>
          <w:highlight w:val="none"/>
          <w:u w:val="single"/>
        </w:rPr>
        <w:t xml:space="preserve"> </w:t>
      </w:r>
      <w:r>
        <w:rPr>
          <w:w w:val="96"/>
          <w:sz w:val="29"/>
          <w:highlight w:val="none"/>
        </w:rPr>
        <w:t xml:space="preserve"> </w:t>
      </w:r>
    </w:p>
    <w:p>
      <w:pPr>
        <w:pStyle w:val="10"/>
        <w:spacing w:before="5"/>
        <w:ind w:left="0"/>
        <w:rPr>
          <w:sz w:val="6"/>
          <w:highlight w:val="none"/>
        </w:rPr>
      </w:pPr>
    </w:p>
    <w:tbl>
      <w:tblPr>
        <w:tblStyle w:val="16"/>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5"/>
        <w:gridCol w:w="4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65" w:type="dxa"/>
          </w:tcPr>
          <w:p>
            <w:pPr>
              <w:pStyle w:val="21"/>
              <w:spacing w:before="79"/>
              <w:ind w:left="107"/>
              <w:rPr>
                <w:sz w:val="24"/>
                <w:highlight w:val="none"/>
              </w:rPr>
            </w:pPr>
            <w:r>
              <w:rPr>
                <w:sz w:val="24"/>
                <w:highlight w:val="none"/>
              </w:rPr>
              <w:t xml:space="preserve">标题 </w:t>
            </w:r>
          </w:p>
        </w:tc>
        <w:tc>
          <w:tcPr>
            <w:tcW w:w="4263" w:type="dxa"/>
          </w:tcPr>
          <w:p>
            <w:pPr>
              <w:pStyle w:val="21"/>
              <w:spacing w:before="79"/>
              <w:ind w:left="105"/>
              <w:rPr>
                <w:sz w:val="24"/>
                <w:highlight w:val="none"/>
              </w:rPr>
            </w:pPr>
            <w:r>
              <w:rPr>
                <w:sz w:val="24"/>
                <w:highlight w:val="none"/>
              </w:rPr>
              <w:t xml:space="preserve">内容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65" w:type="dxa"/>
          </w:tcPr>
          <w:p>
            <w:pPr>
              <w:pStyle w:val="21"/>
              <w:spacing w:before="79"/>
              <w:ind w:left="107"/>
              <w:rPr>
                <w:sz w:val="24"/>
                <w:highlight w:val="none"/>
              </w:rPr>
            </w:pPr>
            <w:r>
              <w:rPr>
                <w:sz w:val="24"/>
                <w:highlight w:val="none"/>
              </w:rPr>
              <w:t xml:space="preserve">备注 </w:t>
            </w:r>
          </w:p>
        </w:tc>
        <w:tc>
          <w:tcPr>
            <w:tcW w:w="4263" w:type="dxa"/>
          </w:tcPr>
          <w:p>
            <w:pPr>
              <w:pStyle w:val="21"/>
              <w:spacing w:before="79"/>
              <w:ind w:left="105"/>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265" w:type="dxa"/>
          </w:tcPr>
          <w:p>
            <w:pPr>
              <w:pStyle w:val="21"/>
              <w:spacing w:before="79"/>
              <w:ind w:left="107"/>
              <w:rPr>
                <w:sz w:val="24"/>
                <w:highlight w:val="none"/>
              </w:rPr>
            </w:pPr>
            <w:r>
              <w:rPr>
                <w:sz w:val="24"/>
                <w:highlight w:val="none"/>
              </w:rPr>
              <w:t xml:space="preserve">投标总价 </w:t>
            </w:r>
          </w:p>
        </w:tc>
        <w:tc>
          <w:tcPr>
            <w:tcW w:w="4263" w:type="dxa"/>
          </w:tcPr>
          <w:p>
            <w:pPr>
              <w:pStyle w:val="21"/>
              <w:spacing w:before="79"/>
              <w:ind w:left="105"/>
              <w:rPr>
                <w:sz w:val="24"/>
                <w:highlight w:val="none"/>
              </w:rPr>
            </w:pPr>
            <w:r>
              <w:rPr>
                <w:sz w:val="24"/>
                <w:highlight w:val="none"/>
              </w:rPr>
              <w:t xml:space="preserve">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265" w:type="dxa"/>
          </w:tcPr>
          <w:p>
            <w:pPr>
              <w:pStyle w:val="21"/>
              <w:spacing w:before="81"/>
              <w:ind w:left="107"/>
              <w:rPr>
                <w:sz w:val="24"/>
                <w:highlight w:val="none"/>
              </w:rPr>
            </w:pPr>
            <w:r>
              <w:rPr>
                <w:sz w:val="24"/>
                <w:highlight w:val="none"/>
              </w:rPr>
              <w:t xml:space="preserve">项目经理 </w:t>
            </w:r>
          </w:p>
        </w:tc>
        <w:tc>
          <w:tcPr>
            <w:tcW w:w="4263" w:type="dxa"/>
          </w:tcPr>
          <w:p>
            <w:pPr>
              <w:pStyle w:val="21"/>
              <w:spacing w:before="81"/>
              <w:ind w:left="105"/>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265" w:type="dxa"/>
          </w:tcPr>
          <w:p>
            <w:pPr>
              <w:pStyle w:val="21"/>
              <w:spacing w:before="79"/>
              <w:ind w:left="107"/>
              <w:rPr>
                <w:sz w:val="24"/>
                <w:highlight w:val="none"/>
              </w:rPr>
            </w:pPr>
            <w:r>
              <w:rPr>
                <w:sz w:val="24"/>
                <w:highlight w:val="none"/>
              </w:rPr>
              <w:t xml:space="preserve">服务期限 </w:t>
            </w:r>
          </w:p>
        </w:tc>
        <w:tc>
          <w:tcPr>
            <w:tcW w:w="4263" w:type="dxa"/>
          </w:tcPr>
          <w:p>
            <w:pPr>
              <w:pStyle w:val="21"/>
              <w:spacing w:before="79"/>
              <w:ind w:left="105"/>
              <w:rPr>
                <w:sz w:val="24"/>
                <w:highlight w:val="none"/>
              </w:rPr>
            </w:pPr>
            <w:r>
              <w:rPr>
                <w:sz w:val="24"/>
                <w:highlight w:val="none"/>
              </w:rPr>
              <w:t xml:space="preserve">                    年 </w:t>
            </w:r>
          </w:p>
        </w:tc>
      </w:tr>
    </w:tbl>
    <w:p>
      <w:pPr>
        <w:pStyle w:val="10"/>
        <w:spacing w:before="79"/>
        <w:rPr>
          <w:highlight w:val="none"/>
        </w:rPr>
      </w:pPr>
      <w:r>
        <w:rPr>
          <w:highlight w:val="none"/>
        </w:rPr>
        <w:t xml:space="preserve"> </w:t>
      </w:r>
    </w:p>
    <w:p>
      <w:pPr>
        <w:pStyle w:val="10"/>
        <w:spacing w:before="160" w:line="364" w:lineRule="auto"/>
        <w:ind w:right="1798"/>
        <w:rPr>
          <w:highlight w:val="none"/>
        </w:rPr>
      </w:pPr>
      <w:r>
        <w:rPr>
          <w:highlight w:val="none"/>
        </w:rPr>
        <w:t xml:space="preserve">说明：1、投标人严格按照规定的格式填写。投标总价为优惠后报价，并作为评审及定标的依据。 </w:t>
      </w:r>
    </w:p>
    <w:p>
      <w:pPr>
        <w:pStyle w:val="10"/>
        <w:spacing w:before="2" w:line="364" w:lineRule="auto"/>
        <w:ind w:left="1718" w:right="1796" w:hanging="480"/>
        <w:rPr>
          <w:highlight w:val="none"/>
        </w:rPr>
      </w:pPr>
      <w:r>
        <w:rPr>
          <w:highlight w:val="none"/>
        </w:rPr>
        <w:t>1</w:t>
      </w:r>
      <w:r>
        <w:rPr>
          <w:spacing w:val="-8"/>
          <w:highlight w:val="none"/>
        </w:rPr>
        <w:t>、 任何有选择或有条件的投标总价或表中某一包填写多个报价，均将导致</w:t>
      </w:r>
      <w:r>
        <w:rPr>
          <w:highlight w:val="none"/>
        </w:rPr>
        <w:t xml:space="preserve">投标被拒绝。 </w:t>
      </w:r>
    </w:p>
    <w:p>
      <w:pPr>
        <w:spacing w:after="0" w:line="364" w:lineRule="auto"/>
        <w:rPr>
          <w:highlight w:val="none"/>
        </w:rPr>
        <w:sectPr>
          <w:pgSz w:w="11910" w:h="16840"/>
          <w:pgMar w:top="1500" w:right="0" w:bottom="1180" w:left="980" w:header="0" w:footer="915" w:gutter="0"/>
          <w:cols w:space="720" w:num="1"/>
        </w:sectPr>
      </w:pPr>
    </w:p>
    <w:p>
      <w:pPr>
        <w:pStyle w:val="5"/>
        <w:spacing w:before="0" w:line="510" w:lineRule="exact"/>
        <w:outlineLvl w:val="0"/>
        <w:rPr>
          <w:highlight w:val="none"/>
        </w:rPr>
      </w:pPr>
      <w:bookmarkStart w:id="91" w:name="九、投标报价明细表"/>
      <w:bookmarkEnd w:id="91"/>
      <w:bookmarkStart w:id="92" w:name="_Toc17009"/>
      <w:r>
        <w:rPr>
          <w:highlight w:val="none"/>
        </w:rPr>
        <w:t>九、投标报价明细表</w:t>
      </w:r>
      <w:bookmarkEnd w:id="92"/>
    </w:p>
    <w:p>
      <w:pPr>
        <w:spacing w:before="35"/>
        <w:ind w:left="818" w:right="0" w:firstLine="0"/>
        <w:jc w:val="left"/>
        <w:rPr>
          <w:rFonts w:hint="eastAsia" w:ascii="Microsoft JhengHei" w:hAnsi="Microsoft JhengHei" w:eastAsia="Microsoft JhengHei"/>
          <w:b/>
          <w:sz w:val="32"/>
          <w:highlight w:val="none"/>
        </w:rPr>
      </w:pPr>
      <w:r>
        <w:rPr>
          <w:rFonts w:hint="eastAsia" w:ascii="Microsoft JhengHei" w:hAnsi="Microsoft JhengHei" w:eastAsia="Microsoft JhengHei"/>
          <w:b/>
          <w:w w:val="105"/>
          <w:sz w:val="32"/>
          <w:highlight w:val="none"/>
        </w:rPr>
        <w:t>☆投标报价明细表</w:t>
      </w:r>
    </w:p>
    <w:p>
      <w:pPr>
        <w:spacing w:before="136"/>
        <w:ind w:left="818" w:right="0" w:firstLine="0"/>
        <w:jc w:val="left"/>
        <w:rPr>
          <w:sz w:val="21"/>
          <w:highlight w:val="none"/>
        </w:rPr>
      </w:pPr>
      <w:r>
        <w:rPr>
          <w:sz w:val="21"/>
          <w:highlight w:val="none"/>
        </w:rPr>
        <w:t xml:space="preserve">项 目 编 号 、 包 号 ： 价 格 单 位 ： 元 </w:t>
      </w:r>
    </w:p>
    <w:p>
      <w:pPr>
        <w:pStyle w:val="10"/>
        <w:spacing w:before="2"/>
        <w:ind w:left="0"/>
        <w:rPr>
          <w:sz w:val="17"/>
          <w:highlight w:val="none"/>
        </w:rPr>
      </w:pPr>
    </w:p>
    <w:tbl>
      <w:tblPr>
        <w:tblStyle w:val="16"/>
        <w:tblW w:w="0" w:type="auto"/>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587"/>
        <w:gridCol w:w="1702"/>
        <w:gridCol w:w="1561"/>
        <w:gridCol w:w="2164"/>
        <w:gridCol w:w="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90" w:type="dxa"/>
          </w:tcPr>
          <w:p>
            <w:pPr>
              <w:pStyle w:val="21"/>
              <w:spacing w:before="6"/>
              <w:rPr>
                <w:sz w:val="24"/>
                <w:highlight w:val="none"/>
              </w:rPr>
            </w:pPr>
          </w:p>
          <w:p>
            <w:pPr>
              <w:pStyle w:val="21"/>
              <w:ind w:left="153"/>
              <w:rPr>
                <w:sz w:val="24"/>
                <w:highlight w:val="none"/>
              </w:rPr>
            </w:pPr>
            <w:r>
              <w:rPr>
                <w:sz w:val="24"/>
                <w:highlight w:val="none"/>
              </w:rPr>
              <w:t xml:space="preserve">序号 </w:t>
            </w:r>
          </w:p>
        </w:tc>
        <w:tc>
          <w:tcPr>
            <w:tcW w:w="1587" w:type="dxa"/>
          </w:tcPr>
          <w:p>
            <w:pPr>
              <w:pStyle w:val="21"/>
              <w:spacing w:before="6"/>
              <w:rPr>
                <w:sz w:val="24"/>
                <w:highlight w:val="none"/>
              </w:rPr>
            </w:pPr>
          </w:p>
          <w:p>
            <w:pPr>
              <w:pStyle w:val="21"/>
              <w:ind w:left="311"/>
              <w:rPr>
                <w:sz w:val="24"/>
                <w:highlight w:val="none"/>
              </w:rPr>
            </w:pPr>
            <w:r>
              <w:rPr>
                <w:sz w:val="24"/>
                <w:highlight w:val="none"/>
              </w:rPr>
              <w:t xml:space="preserve">报价项目 </w:t>
            </w:r>
          </w:p>
        </w:tc>
        <w:tc>
          <w:tcPr>
            <w:tcW w:w="1702" w:type="dxa"/>
          </w:tcPr>
          <w:p>
            <w:pPr>
              <w:pStyle w:val="21"/>
              <w:spacing w:before="6"/>
              <w:rPr>
                <w:sz w:val="24"/>
                <w:highlight w:val="none"/>
              </w:rPr>
            </w:pPr>
          </w:p>
          <w:p>
            <w:pPr>
              <w:pStyle w:val="21"/>
              <w:ind w:left="608"/>
              <w:rPr>
                <w:sz w:val="24"/>
                <w:highlight w:val="none"/>
              </w:rPr>
            </w:pPr>
            <w:r>
              <w:rPr>
                <w:sz w:val="24"/>
                <w:highlight w:val="none"/>
              </w:rPr>
              <w:t xml:space="preserve">内容 </w:t>
            </w:r>
          </w:p>
        </w:tc>
        <w:tc>
          <w:tcPr>
            <w:tcW w:w="1561" w:type="dxa"/>
          </w:tcPr>
          <w:p>
            <w:pPr>
              <w:pStyle w:val="21"/>
              <w:spacing w:before="6"/>
              <w:rPr>
                <w:sz w:val="24"/>
                <w:highlight w:val="none"/>
              </w:rPr>
            </w:pPr>
          </w:p>
          <w:p>
            <w:pPr>
              <w:pStyle w:val="21"/>
              <w:ind w:left="536"/>
              <w:rPr>
                <w:sz w:val="24"/>
                <w:highlight w:val="none"/>
              </w:rPr>
            </w:pPr>
            <w:r>
              <w:rPr>
                <w:sz w:val="24"/>
                <w:highlight w:val="none"/>
              </w:rPr>
              <w:t xml:space="preserve">总价 </w:t>
            </w:r>
          </w:p>
        </w:tc>
        <w:tc>
          <w:tcPr>
            <w:tcW w:w="2164" w:type="dxa"/>
          </w:tcPr>
          <w:p>
            <w:pPr>
              <w:pStyle w:val="21"/>
              <w:spacing w:before="79"/>
              <w:ind w:left="636" w:right="518"/>
              <w:jc w:val="center"/>
              <w:rPr>
                <w:sz w:val="24"/>
                <w:highlight w:val="none"/>
              </w:rPr>
            </w:pPr>
            <w:r>
              <w:rPr>
                <w:sz w:val="24"/>
                <w:highlight w:val="none"/>
              </w:rPr>
              <w:t xml:space="preserve">取费标准 </w:t>
            </w:r>
          </w:p>
          <w:p>
            <w:pPr>
              <w:pStyle w:val="21"/>
              <w:spacing w:before="160"/>
              <w:ind w:left="635" w:right="518"/>
              <w:jc w:val="center"/>
              <w:rPr>
                <w:sz w:val="24"/>
                <w:highlight w:val="none"/>
              </w:rPr>
            </w:pPr>
            <w:r>
              <w:rPr>
                <w:sz w:val="24"/>
                <w:highlight w:val="none"/>
              </w:rPr>
              <w:t xml:space="preserve">说明 </w:t>
            </w:r>
          </w:p>
        </w:tc>
        <w:tc>
          <w:tcPr>
            <w:tcW w:w="728" w:type="dxa"/>
          </w:tcPr>
          <w:p>
            <w:pPr>
              <w:pStyle w:val="21"/>
              <w:spacing w:before="6"/>
              <w:rPr>
                <w:sz w:val="24"/>
                <w:highlight w:val="none"/>
              </w:rPr>
            </w:pPr>
          </w:p>
          <w:p>
            <w:pPr>
              <w:pStyle w:val="21"/>
              <w:ind w:left="119" w:right="-15"/>
              <w:rPr>
                <w:sz w:val="24"/>
                <w:highlight w:val="none"/>
              </w:rPr>
            </w:pPr>
            <w:r>
              <w:rPr>
                <w:sz w:val="24"/>
                <w:highlight w:val="none"/>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87"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702"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61" w:type="dxa"/>
          </w:tcPr>
          <w:p>
            <w:pPr>
              <w:pStyle w:val="21"/>
              <w:spacing w:line="441" w:lineRule="exact"/>
              <w:ind w:left="104"/>
              <w:rPr>
                <w:rFonts w:ascii="Microsoft JhengHei"/>
                <w:b/>
                <w:sz w:val="24"/>
                <w:highlight w:val="none"/>
              </w:rPr>
            </w:pPr>
            <w:r>
              <w:rPr>
                <w:rFonts w:ascii="Microsoft JhengHei"/>
                <w:b/>
                <w:w w:val="200"/>
                <w:sz w:val="24"/>
                <w:highlight w:val="none"/>
              </w:rPr>
              <w:t xml:space="preserve"> </w:t>
            </w:r>
          </w:p>
        </w:tc>
        <w:tc>
          <w:tcPr>
            <w:tcW w:w="2164" w:type="dxa"/>
          </w:tcPr>
          <w:p>
            <w:pPr>
              <w:pStyle w:val="21"/>
              <w:spacing w:line="441" w:lineRule="exact"/>
              <w:ind w:left="103"/>
              <w:rPr>
                <w:rFonts w:ascii="Microsoft JhengHei"/>
                <w:b/>
                <w:sz w:val="24"/>
                <w:highlight w:val="none"/>
              </w:rPr>
            </w:pPr>
            <w:r>
              <w:rPr>
                <w:rFonts w:ascii="Microsoft JhengHei"/>
                <w:b/>
                <w:w w:val="200"/>
                <w:sz w:val="24"/>
                <w:highlight w:val="none"/>
              </w:rPr>
              <w:t xml:space="preserve"> </w:t>
            </w:r>
          </w:p>
        </w:tc>
        <w:tc>
          <w:tcPr>
            <w:tcW w:w="728" w:type="dxa"/>
          </w:tcPr>
          <w:p>
            <w:pPr>
              <w:pStyle w:val="21"/>
              <w:spacing w:line="441" w:lineRule="exact"/>
              <w:ind w:left="105"/>
              <w:rPr>
                <w:rFonts w:ascii="Microsoft JhengHei"/>
                <w:b/>
                <w:sz w:val="24"/>
                <w:highlight w:val="none"/>
              </w:rPr>
            </w:pPr>
            <w:r>
              <w:rPr>
                <w:rFonts w:ascii="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87"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702"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61" w:type="dxa"/>
          </w:tcPr>
          <w:p>
            <w:pPr>
              <w:pStyle w:val="21"/>
              <w:spacing w:line="441" w:lineRule="exact"/>
              <w:ind w:left="104"/>
              <w:rPr>
                <w:rFonts w:ascii="Microsoft JhengHei"/>
                <w:b/>
                <w:sz w:val="24"/>
                <w:highlight w:val="none"/>
              </w:rPr>
            </w:pPr>
            <w:r>
              <w:rPr>
                <w:rFonts w:ascii="Microsoft JhengHei"/>
                <w:b/>
                <w:w w:val="200"/>
                <w:sz w:val="24"/>
                <w:highlight w:val="none"/>
              </w:rPr>
              <w:t xml:space="preserve"> </w:t>
            </w:r>
          </w:p>
        </w:tc>
        <w:tc>
          <w:tcPr>
            <w:tcW w:w="2164" w:type="dxa"/>
          </w:tcPr>
          <w:p>
            <w:pPr>
              <w:pStyle w:val="21"/>
              <w:spacing w:line="441" w:lineRule="exact"/>
              <w:ind w:left="103"/>
              <w:rPr>
                <w:rFonts w:ascii="Microsoft JhengHei"/>
                <w:b/>
                <w:sz w:val="24"/>
                <w:highlight w:val="none"/>
              </w:rPr>
            </w:pPr>
            <w:r>
              <w:rPr>
                <w:rFonts w:ascii="Microsoft JhengHei"/>
                <w:b/>
                <w:w w:val="200"/>
                <w:sz w:val="24"/>
                <w:highlight w:val="none"/>
              </w:rPr>
              <w:t xml:space="preserve"> </w:t>
            </w:r>
          </w:p>
        </w:tc>
        <w:tc>
          <w:tcPr>
            <w:tcW w:w="728" w:type="dxa"/>
          </w:tcPr>
          <w:p>
            <w:pPr>
              <w:pStyle w:val="21"/>
              <w:spacing w:line="441" w:lineRule="exact"/>
              <w:ind w:left="105"/>
              <w:rPr>
                <w:rFonts w:ascii="Microsoft JhengHei"/>
                <w:b/>
                <w:sz w:val="24"/>
                <w:highlight w:val="none"/>
              </w:rPr>
            </w:pPr>
            <w:r>
              <w:rPr>
                <w:rFonts w:ascii="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90" w:type="dxa"/>
          </w:tcPr>
          <w:p>
            <w:pPr>
              <w:pStyle w:val="21"/>
              <w:spacing w:before="2"/>
              <w:ind w:left="107"/>
              <w:rPr>
                <w:rFonts w:ascii="Microsoft JhengHei"/>
                <w:b/>
                <w:sz w:val="24"/>
                <w:highlight w:val="none"/>
              </w:rPr>
            </w:pPr>
            <w:r>
              <w:rPr>
                <w:rFonts w:ascii="Microsoft JhengHei"/>
                <w:b/>
                <w:w w:val="200"/>
                <w:sz w:val="24"/>
                <w:highlight w:val="none"/>
              </w:rPr>
              <w:t xml:space="preserve"> </w:t>
            </w:r>
          </w:p>
        </w:tc>
        <w:tc>
          <w:tcPr>
            <w:tcW w:w="1587" w:type="dxa"/>
          </w:tcPr>
          <w:p>
            <w:pPr>
              <w:pStyle w:val="21"/>
              <w:spacing w:before="2"/>
              <w:ind w:left="107"/>
              <w:rPr>
                <w:rFonts w:ascii="Microsoft JhengHei"/>
                <w:b/>
                <w:sz w:val="24"/>
                <w:highlight w:val="none"/>
              </w:rPr>
            </w:pPr>
            <w:r>
              <w:rPr>
                <w:rFonts w:ascii="Microsoft JhengHei"/>
                <w:b/>
                <w:w w:val="200"/>
                <w:sz w:val="24"/>
                <w:highlight w:val="none"/>
              </w:rPr>
              <w:t xml:space="preserve"> </w:t>
            </w:r>
          </w:p>
        </w:tc>
        <w:tc>
          <w:tcPr>
            <w:tcW w:w="1702" w:type="dxa"/>
          </w:tcPr>
          <w:p>
            <w:pPr>
              <w:pStyle w:val="21"/>
              <w:spacing w:before="2"/>
              <w:ind w:left="107"/>
              <w:rPr>
                <w:rFonts w:ascii="Microsoft JhengHei"/>
                <w:b/>
                <w:sz w:val="24"/>
                <w:highlight w:val="none"/>
              </w:rPr>
            </w:pPr>
            <w:r>
              <w:rPr>
                <w:rFonts w:ascii="Microsoft JhengHei"/>
                <w:b/>
                <w:w w:val="200"/>
                <w:sz w:val="24"/>
                <w:highlight w:val="none"/>
              </w:rPr>
              <w:t xml:space="preserve"> </w:t>
            </w:r>
          </w:p>
        </w:tc>
        <w:tc>
          <w:tcPr>
            <w:tcW w:w="1561" w:type="dxa"/>
          </w:tcPr>
          <w:p>
            <w:pPr>
              <w:pStyle w:val="21"/>
              <w:spacing w:before="2"/>
              <w:ind w:left="104"/>
              <w:rPr>
                <w:rFonts w:ascii="Microsoft JhengHei"/>
                <w:b/>
                <w:sz w:val="24"/>
                <w:highlight w:val="none"/>
              </w:rPr>
            </w:pPr>
            <w:r>
              <w:rPr>
                <w:rFonts w:ascii="Microsoft JhengHei"/>
                <w:b/>
                <w:w w:val="200"/>
                <w:sz w:val="24"/>
                <w:highlight w:val="none"/>
              </w:rPr>
              <w:t xml:space="preserve"> </w:t>
            </w:r>
          </w:p>
        </w:tc>
        <w:tc>
          <w:tcPr>
            <w:tcW w:w="2164" w:type="dxa"/>
          </w:tcPr>
          <w:p>
            <w:pPr>
              <w:pStyle w:val="21"/>
              <w:spacing w:before="2"/>
              <w:ind w:left="103"/>
              <w:rPr>
                <w:rFonts w:ascii="Microsoft JhengHei"/>
                <w:b/>
                <w:sz w:val="24"/>
                <w:highlight w:val="none"/>
              </w:rPr>
            </w:pPr>
            <w:r>
              <w:rPr>
                <w:rFonts w:ascii="Microsoft JhengHei"/>
                <w:b/>
                <w:w w:val="200"/>
                <w:sz w:val="24"/>
                <w:highlight w:val="none"/>
              </w:rPr>
              <w:t xml:space="preserve"> </w:t>
            </w:r>
          </w:p>
        </w:tc>
        <w:tc>
          <w:tcPr>
            <w:tcW w:w="728" w:type="dxa"/>
          </w:tcPr>
          <w:p>
            <w:pPr>
              <w:pStyle w:val="21"/>
              <w:spacing w:before="2"/>
              <w:ind w:left="105"/>
              <w:rPr>
                <w:rFonts w:ascii="Microsoft JhengHei"/>
                <w:b/>
                <w:sz w:val="24"/>
                <w:highlight w:val="none"/>
              </w:rPr>
            </w:pPr>
            <w:r>
              <w:rPr>
                <w:rFonts w:ascii="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87"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702"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61" w:type="dxa"/>
          </w:tcPr>
          <w:p>
            <w:pPr>
              <w:pStyle w:val="21"/>
              <w:spacing w:line="441" w:lineRule="exact"/>
              <w:ind w:left="104"/>
              <w:rPr>
                <w:rFonts w:ascii="Microsoft JhengHei"/>
                <w:b/>
                <w:sz w:val="24"/>
                <w:highlight w:val="none"/>
              </w:rPr>
            </w:pPr>
            <w:r>
              <w:rPr>
                <w:rFonts w:ascii="Microsoft JhengHei"/>
                <w:b/>
                <w:w w:val="200"/>
                <w:sz w:val="24"/>
                <w:highlight w:val="none"/>
              </w:rPr>
              <w:t xml:space="preserve"> </w:t>
            </w:r>
          </w:p>
        </w:tc>
        <w:tc>
          <w:tcPr>
            <w:tcW w:w="2164" w:type="dxa"/>
          </w:tcPr>
          <w:p>
            <w:pPr>
              <w:pStyle w:val="21"/>
              <w:spacing w:line="441" w:lineRule="exact"/>
              <w:ind w:left="103"/>
              <w:rPr>
                <w:rFonts w:ascii="Microsoft JhengHei"/>
                <w:b/>
                <w:sz w:val="24"/>
                <w:highlight w:val="none"/>
              </w:rPr>
            </w:pPr>
            <w:r>
              <w:rPr>
                <w:rFonts w:ascii="Microsoft JhengHei"/>
                <w:b/>
                <w:w w:val="200"/>
                <w:sz w:val="24"/>
                <w:highlight w:val="none"/>
              </w:rPr>
              <w:t xml:space="preserve"> </w:t>
            </w:r>
          </w:p>
        </w:tc>
        <w:tc>
          <w:tcPr>
            <w:tcW w:w="728" w:type="dxa"/>
          </w:tcPr>
          <w:p>
            <w:pPr>
              <w:pStyle w:val="21"/>
              <w:spacing w:line="441" w:lineRule="exact"/>
              <w:ind w:left="105"/>
              <w:rPr>
                <w:rFonts w:ascii="Microsoft JhengHei"/>
                <w:b/>
                <w:sz w:val="24"/>
                <w:highlight w:val="none"/>
              </w:rPr>
            </w:pPr>
            <w:r>
              <w:rPr>
                <w:rFonts w:ascii="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87"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702"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61" w:type="dxa"/>
          </w:tcPr>
          <w:p>
            <w:pPr>
              <w:pStyle w:val="21"/>
              <w:spacing w:line="441" w:lineRule="exact"/>
              <w:ind w:left="104"/>
              <w:rPr>
                <w:rFonts w:ascii="Microsoft JhengHei"/>
                <w:b/>
                <w:sz w:val="24"/>
                <w:highlight w:val="none"/>
              </w:rPr>
            </w:pPr>
            <w:r>
              <w:rPr>
                <w:rFonts w:ascii="Microsoft JhengHei"/>
                <w:b/>
                <w:w w:val="200"/>
                <w:sz w:val="24"/>
                <w:highlight w:val="none"/>
              </w:rPr>
              <w:t xml:space="preserve"> </w:t>
            </w:r>
          </w:p>
        </w:tc>
        <w:tc>
          <w:tcPr>
            <w:tcW w:w="2164" w:type="dxa"/>
          </w:tcPr>
          <w:p>
            <w:pPr>
              <w:pStyle w:val="21"/>
              <w:spacing w:line="441" w:lineRule="exact"/>
              <w:ind w:left="103"/>
              <w:rPr>
                <w:rFonts w:ascii="Microsoft JhengHei"/>
                <w:b/>
                <w:sz w:val="24"/>
                <w:highlight w:val="none"/>
              </w:rPr>
            </w:pPr>
            <w:r>
              <w:rPr>
                <w:rFonts w:ascii="Microsoft JhengHei"/>
                <w:b/>
                <w:w w:val="200"/>
                <w:sz w:val="24"/>
                <w:highlight w:val="none"/>
              </w:rPr>
              <w:t xml:space="preserve"> </w:t>
            </w:r>
          </w:p>
        </w:tc>
        <w:tc>
          <w:tcPr>
            <w:tcW w:w="728" w:type="dxa"/>
          </w:tcPr>
          <w:p>
            <w:pPr>
              <w:pStyle w:val="21"/>
              <w:spacing w:line="441" w:lineRule="exact"/>
              <w:ind w:left="105"/>
              <w:rPr>
                <w:rFonts w:ascii="Microsoft JhengHei"/>
                <w:b/>
                <w:sz w:val="24"/>
                <w:highlight w:val="none"/>
              </w:rPr>
            </w:pPr>
            <w:r>
              <w:rPr>
                <w:rFonts w:ascii="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87"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702"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61" w:type="dxa"/>
          </w:tcPr>
          <w:p>
            <w:pPr>
              <w:pStyle w:val="21"/>
              <w:spacing w:line="441" w:lineRule="exact"/>
              <w:ind w:left="104"/>
              <w:rPr>
                <w:rFonts w:ascii="Microsoft JhengHei"/>
                <w:b/>
                <w:sz w:val="24"/>
                <w:highlight w:val="none"/>
              </w:rPr>
            </w:pPr>
            <w:r>
              <w:rPr>
                <w:rFonts w:ascii="Microsoft JhengHei"/>
                <w:b/>
                <w:w w:val="200"/>
                <w:sz w:val="24"/>
                <w:highlight w:val="none"/>
              </w:rPr>
              <w:t xml:space="preserve"> </w:t>
            </w:r>
          </w:p>
        </w:tc>
        <w:tc>
          <w:tcPr>
            <w:tcW w:w="2164" w:type="dxa"/>
          </w:tcPr>
          <w:p>
            <w:pPr>
              <w:pStyle w:val="21"/>
              <w:spacing w:line="441" w:lineRule="exact"/>
              <w:ind w:left="103"/>
              <w:rPr>
                <w:rFonts w:ascii="Microsoft JhengHei"/>
                <w:b/>
                <w:sz w:val="24"/>
                <w:highlight w:val="none"/>
              </w:rPr>
            </w:pPr>
            <w:r>
              <w:rPr>
                <w:rFonts w:ascii="Microsoft JhengHei"/>
                <w:b/>
                <w:w w:val="200"/>
                <w:sz w:val="24"/>
                <w:highlight w:val="none"/>
              </w:rPr>
              <w:t xml:space="preserve"> </w:t>
            </w:r>
          </w:p>
        </w:tc>
        <w:tc>
          <w:tcPr>
            <w:tcW w:w="728" w:type="dxa"/>
          </w:tcPr>
          <w:p>
            <w:pPr>
              <w:pStyle w:val="21"/>
              <w:spacing w:line="441" w:lineRule="exact"/>
              <w:ind w:left="105"/>
              <w:rPr>
                <w:rFonts w:ascii="Microsoft JhengHei"/>
                <w:b/>
                <w:sz w:val="24"/>
                <w:highlight w:val="none"/>
              </w:rPr>
            </w:pPr>
            <w:r>
              <w:rPr>
                <w:rFonts w:ascii="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87"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702"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61" w:type="dxa"/>
          </w:tcPr>
          <w:p>
            <w:pPr>
              <w:pStyle w:val="21"/>
              <w:spacing w:line="441" w:lineRule="exact"/>
              <w:ind w:left="104"/>
              <w:rPr>
                <w:rFonts w:ascii="Microsoft JhengHei"/>
                <w:b/>
                <w:sz w:val="24"/>
                <w:highlight w:val="none"/>
              </w:rPr>
            </w:pPr>
            <w:r>
              <w:rPr>
                <w:rFonts w:ascii="Microsoft JhengHei"/>
                <w:b/>
                <w:w w:val="200"/>
                <w:sz w:val="24"/>
                <w:highlight w:val="none"/>
              </w:rPr>
              <w:t xml:space="preserve"> </w:t>
            </w:r>
          </w:p>
        </w:tc>
        <w:tc>
          <w:tcPr>
            <w:tcW w:w="2164" w:type="dxa"/>
          </w:tcPr>
          <w:p>
            <w:pPr>
              <w:pStyle w:val="21"/>
              <w:spacing w:line="441" w:lineRule="exact"/>
              <w:ind w:left="103"/>
              <w:rPr>
                <w:rFonts w:ascii="Microsoft JhengHei"/>
                <w:b/>
                <w:sz w:val="24"/>
                <w:highlight w:val="none"/>
              </w:rPr>
            </w:pPr>
            <w:r>
              <w:rPr>
                <w:rFonts w:ascii="Microsoft JhengHei"/>
                <w:b/>
                <w:w w:val="200"/>
                <w:sz w:val="24"/>
                <w:highlight w:val="none"/>
              </w:rPr>
              <w:t xml:space="preserve"> </w:t>
            </w:r>
          </w:p>
        </w:tc>
        <w:tc>
          <w:tcPr>
            <w:tcW w:w="728" w:type="dxa"/>
          </w:tcPr>
          <w:p>
            <w:pPr>
              <w:pStyle w:val="21"/>
              <w:spacing w:line="441" w:lineRule="exact"/>
              <w:ind w:left="105"/>
              <w:rPr>
                <w:rFonts w:ascii="Microsoft JhengHei"/>
                <w:b/>
                <w:sz w:val="24"/>
                <w:highlight w:val="none"/>
              </w:rPr>
            </w:pPr>
            <w:r>
              <w:rPr>
                <w:rFonts w:ascii="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90"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87"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702" w:type="dxa"/>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c>
          <w:tcPr>
            <w:tcW w:w="1561" w:type="dxa"/>
          </w:tcPr>
          <w:p>
            <w:pPr>
              <w:pStyle w:val="21"/>
              <w:spacing w:line="441" w:lineRule="exact"/>
              <w:ind w:left="104"/>
              <w:rPr>
                <w:rFonts w:ascii="Microsoft JhengHei"/>
                <w:b/>
                <w:sz w:val="24"/>
                <w:highlight w:val="none"/>
              </w:rPr>
            </w:pPr>
            <w:r>
              <w:rPr>
                <w:rFonts w:ascii="Microsoft JhengHei"/>
                <w:b/>
                <w:w w:val="200"/>
                <w:sz w:val="24"/>
                <w:highlight w:val="none"/>
              </w:rPr>
              <w:t xml:space="preserve"> </w:t>
            </w:r>
          </w:p>
        </w:tc>
        <w:tc>
          <w:tcPr>
            <w:tcW w:w="2164" w:type="dxa"/>
          </w:tcPr>
          <w:p>
            <w:pPr>
              <w:pStyle w:val="21"/>
              <w:spacing w:line="441" w:lineRule="exact"/>
              <w:ind w:left="103"/>
              <w:rPr>
                <w:rFonts w:ascii="Microsoft JhengHei"/>
                <w:b/>
                <w:sz w:val="24"/>
                <w:highlight w:val="none"/>
              </w:rPr>
            </w:pPr>
            <w:r>
              <w:rPr>
                <w:rFonts w:ascii="Microsoft JhengHei"/>
                <w:b/>
                <w:w w:val="200"/>
                <w:sz w:val="24"/>
                <w:highlight w:val="none"/>
              </w:rPr>
              <w:t xml:space="preserve"> </w:t>
            </w:r>
          </w:p>
        </w:tc>
        <w:tc>
          <w:tcPr>
            <w:tcW w:w="728" w:type="dxa"/>
          </w:tcPr>
          <w:p>
            <w:pPr>
              <w:pStyle w:val="21"/>
              <w:spacing w:line="441" w:lineRule="exact"/>
              <w:ind w:left="105"/>
              <w:rPr>
                <w:rFonts w:ascii="Microsoft JhengHei"/>
                <w:b/>
                <w:sz w:val="24"/>
                <w:highlight w:val="none"/>
              </w:rPr>
            </w:pPr>
            <w:r>
              <w:rPr>
                <w:rFonts w:ascii="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377" w:type="dxa"/>
            <w:gridSpan w:val="2"/>
          </w:tcPr>
          <w:p>
            <w:pPr>
              <w:pStyle w:val="21"/>
              <w:spacing w:before="81"/>
              <w:ind w:left="107"/>
              <w:rPr>
                <w:sz w:val="24"/>
                <w:highlight w:val="none"/>
              </w:rPr>
            </w:pPr>
            <w:r>
              <w:rPr>
                <w:sz w:val="24"/>
                <w:highlight w:val="none"/>
              </w:rPr>
              <w:t xml:space="preserve">总计 </w:t>
            </w:r>
          </w:p>
        </w:tc>
        <w:tc>
          <w:tcPr>
            <w:tcW w:w="6155" w:type="dxa"/>
            <w:gridSpan w:val="4"/>
          </w:tcPr>
          <w:p>
            <w:pPr>
              <w:pStyle w:val="21"/>
              <w:spacing w:before="2"/>
              <w:ind w:left="107"/>
              <w:rPr>
                <w:rFonts w:ascii="Microsoft JhengHei"/>
                <w:b/>
                <w:sz w:val="24"/>
                <w:highlight w:val="none"/>
              </w:rPr>
            </w:pPr>
            <w:r>
              <w:rPr>
                <w:rFonts w:ascii="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377" w:type="dxa"/>
            <w:gridSpan w:val="2"/>
            <w:tcBorders>
              <w:bottom w:val="nil"/>
            </w:tcBorders>
          </w:tcPr>
          <w:p>
            <w:pPr>
              <w:pStyle w:val="21"/>
              <w:rPr>
                <w:rFonts w:ascii="Times New Roman"/>
                <w:sz w:val="24"/>
                <w:highlight w:val="none"/>
              </w:rPr>
            </w:pPr>
          </w:p>
        </w:tc>
        <w:tc>
          <w:tcPr>
            <w:tcW w:w="6155" w:type="dxa"/>
            <w:gridSpan w:val="4"/>
            <w:tcBorders>
              <w:bottom w:val="nil"/>
            </w:tcBorders>
          </w:tcPr>
          <w:p>
            <w:pPr>
              <w:pStyle w:val="21"/>
              <w:spacing w:before="79"/>
              <w:ind w:left="107"/>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77" w:type="dxa"/>
            <w:gridSpan w:val="2"/>
            <w:tcBorders>
              <w:top w:val="nil"/>
              <w:bottom w:val="nil"/>
            </w:tcBorders>
          </w:tcPr>
          <w:p>
            <w:pPr>
              <w:pStyle w:val="21"/>
              <w:rPr>
                <w:rFonts w:ascii="Times New Roman"/>
                <w:sz w:val="24"/>
                <w:highlight w:val="none"/>
              </w:rPr>
            </w:pPr>
          </w:p>
        </w:tc>
        <w:tc>
          <w:tcPr>
            <w:tcW w:w="6155" w:type="dxa"/>
            <w:gridSpan w:val="4"/>
            <w:tcBorders>
              <w:top w:val="nil"/>
              <w:bottom w:val="nil"/>
            </w:tcBorders>
          </w:tcPr>
          <w:p>
            <w:pPr>
              <w:pStyle w:val="21"/>
              <w:spacing w:before="80"/>
              <w:ind w:left="107"/>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77" w:type="dxa"/>
            <w:gridSpan w:val="2"/>
            <w:tcBorders>
              <w:top w:val="nil"/>
              <w:bottom w:val="nil"/>
            </w:tcBorders>
          </w:tcPr>
          <w:p>
            <w:pPr>
              <w:pStyle w:val="21"/>
              <w:rPr>
                <w:rFonts w:ascii="Times New Roman"/>
                <w:sz w:val="24"/>
                <w:highlight w:val="none"/>
              </w:rPr>
            </w:pPr>
          </w:p>
        </w:tc>
        <w:tc>
          <w:tcPr>
            <w:tcW w:w="6155" w:type="dxa"/>
            <w:gridSpan w:val="4"/>
            <w:tcBorders>
              <w:top w:val="nil"/>
              <w:bottom w:val="nil"/>
            </w:tcBorders>
          </w:tcPr>
          <w:p>
            <w:pPr>
              <w:pStyle w:val="21"/>
              <w:spacing w:before="80"/>
              <w:ind w:left="107"/>
              <w:rPr>
                <w:sz w:val="24"/>
                <w:highlight w:val="none"/>
              </w:rPr>
            </w:pPr>
            <w:r>
              <w:rPr>
                <w:sz w:val="24"/>
                <w:highlight w:val="none"/>
              </w:rPr>
              <w:t>（ 大 写 ）</w:t>
            </w:r>
            <w:r>
              <w:rPr>
                <w:sz w:val="24"/>
                <w:highlight w:val="none"/>
                <w:u w:val="single"/>
              </w:rPr>
              <w:t xml:space="preserve"> </w:t>
            </w:r>
            <w:r>
              <w:rPr>
                <w:rFonts w:hint="eastAsia"/>
                <w:sz w:val="24"/>
                <w:highlight w:val="none"/>
                <w:u w:val="single"/>
                <w:lang w:val="en-US" w:eastAsia="zh-CN"/>
              </w:rPr>
              <w:t xml:space="preserve">   </w:t>
            </w:r>
            <w:r>
              <w:rPr>
                <w:sz w:val="24"/>
                <w:highlight w:val="none"/>
              </w:rPr>
              <w:t xml:space="preserve">元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77" w:type="dxa"/>
            <w:gridSpan w:val="2"/>
            <w:tcBorders>
              <w:top w:val="nil"/>
              <w:bottom w:val="nil"/>
            </w:tcBorders>
          </w:tcPr>
          <w:p>
            <w:pPr>
              <w:pStyle w:val="21"/>
              <w:spacing w:before="80"/>
              <w:ind w:left="707"/>
              <w:rPr>
                <w:rFonts w:hint="eastAsia" w:ascii="Microsoft JhengHei" w:eastAsia="Microsoft JhengHei"/>
                <w:b/>
                <w:sz w:val="24"/>
                <w:highlight w:val="none"/>
              </w:rPr>
            </w:pPr>
            <w:r>
              <w:rPr>
                <w:sz w:val="24"/>
                <w:highlight w:val="none"/>
              </w:rPr>
              <w:t>投标总价</w:t>
            </w:r>
            <w:r>
              <w:rPr>
                <w:rFonts w:hint="eastAsia" w:ascii="Microsoft JhengHei" w:eastAsia="Microsoft JhengHei"/>
                <w:b/>
                <w:w w:val="200"/>
                <w:sz w:val="24"/>
                <w:highlight w:val="none"/>
              </w:rPr>
              <w:t xml:space="preserve"> </w:t>
            </w:r>
          </w:p>
        </w:tc>
        <w:tc>
          <w:tcPr>
            <w:tcW w:w="6155" w:type="dxa"/>
            <w:gridSpan w:val="4"/>
            <w:tcBorders>
              <w:top w:val="nil"/>
              <w:bottom w:val="nil"/>
            </w:tcBorders>
          </w:tcPr>
          <w:p>
            <w:pPr>
              <w:pStyle w:val="21"/>
              <w:spacing w:before="80"/>
              <w:ind w:left="107"/>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77" w:type="dxa"/>
            <w:gridSpan w:val="2"/>
            <w:tcBorders>
              <w:top w:val="nil"/>
              <w:bottom w:val="nil"/>
            </w:tcBorders>
          </w:tcPr>
          <w:p>
            <w:pPr>
              <w:pStyle w:val="21"/>
              <w:rPr>
                <w:rFonts w:ascii="Times New Roman"/>
                <w:sz w:val="24"/>
                <w:highlight w:val="none"/>
              </w:rPr>
            </w:pPr>
          </w:p>
        </w:tc>
        <w:tc>
          <w:tcPr>
            <w:tcW w:w="6155" w:type="dxa"/>
            <w:gridSpan w:val="4"/>
            <w:tcBorders>
              <w:top w:val="nil"/>
              <w:bottom w:val="nil"/>
            </w:tcBorders>
          </w:tcPr>
          <w:p>
            <w:pPr>
              <w:pStyle w:val="21"/>
              <w:spacing w:before="80"/>
              <w:ind w:left="107"/>
              <w:rPr>
                <w:sz w:val="24"/>
                <w:highlight w:val="none"/>
              </w:rPr>
            </w:pPr>
            <w:r>
              <w:rPr>
                <w:sz w:val="24"/>
                <w:highlight w:val="none"/>
              </w:rPr>
              <w:t>（ 小 写 ）</w:t>
            </w:r>
            <w:r>
              <w:rPr>
                <w:sz w:val="24"/>
                <w:highlight w:val="none"/>
                <w:u w:val="single"/>
              </w:rPr>
              <w:t xml:space="preserve"> </w:t>
            </w:r>
            <w:r>
              <w:rPr>
                <w:rFonts w:hint="eastAsia"/>
                <w:sz w:val="24"/>
                <w:highlight w:val="none"/>
                <w:u w:val="single"/>
                <w:lang w:val="en-US" w:eastAsia="zh-CN"/>
              </w:rPr>
              <w:t xml:space="preserve">   </w:t>
            </w:r>
            <w:r>
              <w:rPr>
                <w:sz w:val="24"/>
                <w:highlight w:val="none"/>
              </w:rPr>
              <w:t xml:space="preserve">元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77" w:type="dxa"/>
            <w:gridSpan w:val="2"/>
            <w:tcBorders>
              <w:top w:val="nil"/>
              <w:bottom w:val="nil"/>
            </w:tcBorders>
          </w:tcPr>
          <w:p>
            <w:pPr>
              <w:pStyle w:val="21"/>
              <w:rPr>
                <w:rFonts w:ascii="Times New Roman"/>
                <w:sz w:val="24"/>
                <w:highlight w:val="none"/>
              </w:rPr>
            </w:pPr>
          </w:p>
        </w:tc>
        <w:tc>
          <w:tcPr>
            <w:tcW w:w="6155" w:type="dxa"/>
            <w:gridSpan w:val="4"/>
            <w:tcBorders>
              <w:top w:val="nil"/>
              <w:bottom w:val="nil"/>
            </w:tcBorders>
          </w:tcPr>
          <w:p>
            <w:pPr>
              <w:pStyle w:val="21"/>
              <w:spacing w:before="80"/>
              <w:ind w:left="107"/>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377" w:type="dxa"/>
            <w:gridSpan w:val="2"/>
            <w:tcBorders>
              <w:top w:val="nil"/>
            </w:tcBorders>
          </w:tcPr>
          <w:p>
            <w:pPr>
              <w:pStyle w:val="21"/>
              <w:rPr>
                <w:rFonts w:ascii="Times New Roman"/>
                <w:sz w:val="24"/>
                <w:highlight w:val="none"/>
              </w:rPr>
            </w:pPr>
          </w:p>
        </w:tc>
        <w:tc>
          <w:tcPr>
            <w:tcW w:w="6155" w:type="dxa"/>
            <w:gridSpan w:val="4"/>
            <w:tcBorders>
              <w:top w:val="nil"/>
            </w:tcBorders>
          </w:tcPr>
          <w:p>
            <w:pPr>
              <w:pStyle w:val="21"/>
              <w:spacing w:before="80"/>
              <w:ind w:left="107"/>
              <w:rPr>
                <w:sz w:val="24"/>
                <w:highlight w:val="none"/>
              </w:rPr>
            </w:pPr>
            <w:r>
              <w:rPr>
                <w:sz w:val="24"/>
                <w:highlight w:val="none"/>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77" w:type="dxa"/>
            <w:gridSpan w:val="2"/>
          </w:tcPr>
          <w:p>
            <w:pPr>
              <w:pStyle w:val="21"/>
              <w:spacing w:before="79"/>
              <w:ind w:left="987" w:right="859"/>
              <w:jc w:val="center"/>
              <w:rPr>
                <w:sz w:val="24"/>
                <w:highlight w:val="none"/>
              </w:rPr>
            </w:pPr>
            <w:r>
              <w:rPr>
                <w:sz w:val="24"/>
                <w:highlight w:val="none"/>
              </w:rPr>
              <w:t xml:space="preserve">备注 </w:t>
            </w:r>
          </w:p>
        </w:tc>
        <w:tc>
          <w:tcPr>
            <w:tcW w:w="6155" w:type="dxa"/>
            <w:gridSpan w:val="4"/>
          </w:tcPr>
          <w:p>
            <w:pPr>
              <w:pStyle w:val="21"/>
              <w:spacing w:line="441" w:lineRule="exact"/>
              <w:ind w:left="107"/>
              <w:rPr>
                <w:rFonts w:ascii="Microsoft JhengHei"/>
                <w:b/>
                <w:sz w:val="24"/>
                <w:highlight w:val="none"/>
              </w:rPr>
            </w:pPr>
            <w:r>
              <w:rPr>
                <w:rFonts w:ascii="Microsoft JhengHei"/>
                <w:b/>
                <w:w w:val="200"/>
                <w:sz w:val="24"/>
                <w:highlight w:val="none"/>
              </w:rPr>
              <w:t xml:space="preserve"> </w:t>
            </w:r>
          </w:p>
        </w:tc>
      </w:tr>
    </w:tbl>
    <w:p>
      <w:pPr>
        <w:pStyle w:val="10"/>
        <w:spacing w:before="80"/>
        <w:ind w:right="1030" w:rightChars="468"/>
        <w:rPr>
          <w:highlight w:val="none"/>
        </w:rPr>
      </w:pPr>
      <w:r>
        <w:rPr>
          <w:highlight w:val="none"/>
        </w:rPr>
        <w:t>说明：1、投标人必须填写报价明细表</w:t>
      </w:r>
      <w:r>
        <w:rPr>
          <w:rFonts w:hint="eastAsia"/>
          <w:highlight w:val="none"/>
          <w:lang w:eastAsia="zh-CN"/>
        </w:rPr>
        <w:t>（</w:t>
      </w:r>
      <w:r>
        <w:rPr>
          <w:rFonts w:hint="eastAsia" w:cs="宋体"/>
          <w:sz w:val="24"/>
          <w:szCs w:val="24"/>
          <w:highlight w:val="none"/>
          <w:lang w:val="en-US" w:eastAsia="zh-CN" w:bidi="zh-CN"/>
        </w:rPr>
        <w:t>包含附件清单上所需设备的规格及数量进行报价）</w:t>
      </w:r>
      <w:r>
        <w:rPr>
          <w:highlight w:val="none"/>
        </w:rPr>
        <w:t xml:space="preserve">，否则将导致投标被拒绝。 </w:t>
      </w:r>
    </w:p>
    <w:p>
      <w:pPr>
        <w:pStyle w:val="10"/>
        <w:spacing w:before="160"/>
        <w:ind w:left="1538"/>
        <w:rPr>
          <w:highlight w:val="none"/>
        </w:rPr>
      </w:pPr>
      <w:r>
        <w:rPr>
          <w:highlight w:val="none"/>
        </w:rPr>
        <w:t xml:space="preserve">2、报价分析表中的“投标总价”应等于“开标一览表”中的“投标总价”。 </w:t>
      </w:r>
    </w:p>
    <w:p>
      <w:pPr>
        <w:pStyle w:val="10"/>
        <w:spacing w:before="161"/>
        <w:ind w:left="1538"/>
        <w:rPr>
          <w:highlight w:val="none"/>
        </w:rPr>
      </w:pPr>
      <w:r>
        <w:rPr>
          <w:highlight w:val="none"/>
        </w:rPr>
        <w:t xml:space="preserve">3、报价项目填报不下的，可自行扩展。 </w:t>
      </w:r>
    </w:p>
    <w:p>
      <w:pPr>
        <w:pStyle w:val="10"/>
        <w:spacing w:before="81"/>
        <w:ind w:firstLine="6960" w:firstLineChars="2900"/>
        <w:rPr>
          <w:highlight w:val="none"/>
        </w:rPr>
      </w:pPr>
      <w:r>
        <w:rPr>
          <w:highlight w:val="none"/>
        </w:rPr>
        <w:t>年</w:t>
      </w:r>
      <w:r>
        <w:rPr>
          <w:rFonts w:hint="eastAsia"/>
          <w:highlight w:val="none"/>
          <w:lang w:val="en-US" w:eastAsia="zh-CN"/>
        </w:rPr>
        <w:t xml:space="preserve">  </w:t>
      </w:r>
      <w:r>
        <w:rPr>
          <w:highlight w:val="none"/>
        </w:rPr>
        <w:t xml:space="preserve"> 月   日</w:t>
      </w:r>
    </w:p>
    <w:p>
      <w:pPr>
        <w:spacing w:after="0"/>
        <w:rPr>
          <w:highlight w:val="none"/>
        </w:rPr>
        <w:sectPr>
          <w:pgSz w:w="11910" w:h="16840"/>
          <w:pgMar w:top="1500" w:right="0" w:bottom="1180" w:left="980" w:header="0" w:footer="915" w:gutter="0"/>
          <w:cols w:space="720" w:num="1"/>
        </w:sectPr>
      </w:pPr>
    </w:p>
    <w:p>
      <w:pPr>
        <w:pStyle w:val="5"/>
        <w:spacing w:before="0" w:line="510" w:lineRule="exact"/>
        <w:outlineLvl w:val="0"/>
        <w:rPr>
          <w:highlight w:val="none"/>
        </w:rPr>
      </w:pPr>
      <w:bookmarkStart w:id="93" w:name="十、服务承诺书"/>
      <w:bookmarkEnd w:id="93"/>
      <w:bookmarkStart w:id="94" w:name="_Toc15601"/>
      <w:r>
        <w:rPr>
          <w:highlight w:val="none"/>
        </w:rPr>
        <w:t>十、服务承诺书</w:t>
      </w:r>
      <w:bookmarkEnd w:id="94"/>
    </w:p>
    <w:p>
      <w:pPr>
        <w:spacing w:before="35"/>
        <w:ind w:left="818" w:right="0" w:firstLine="0"/>
        <w:jc w:val="left"/>
        <w:rPr>
          <w:rFonts w:hint="eastAsia" w:ascii="Microsoft JhengHei" w:hAnsi="Microsoft JhengHei" w:eastAsia="Microsoft JhengHei"/>
          <w:b/>
          <w:sz w:val="32"/>
          <w:highlight w:val="none"/>
        </w:rPr>
      </w:pPr>
      <w:r>
        <w:rPr>
          <w:rFonts w:hint="eastAsia" w:ascii="Microsoft JhengHei" w:hAnsi="Microsoft JhengHei" w:eastAsia="Microsoft JhengHei"/>
          <w:b/>
          <w:w w:val="105"/>
          <w:sz w:val="32"/>
          <w:highlight w:val="none"/>
        </w:rPr>
        <w:t>☆服务承诺书</w:t>
      </w:r>
    </w:p>
    <w:p>
      <w:pPr>
        <w:pStyle w:val="10"/>
        <w:spacing w:before="116"/>
        <w:ind w:left="1058"/>
        <w:rPr>
          <w:highlight w:val="none"/>
        </w:rPr>
      </w:pPr>
      <w:r>
        <w:rPr>
          <w:highlight w:val="none"/>
        </w:rPr>
        <w:t xml:space="preserve">说明：此处上传服务承诺书； </w:t>
      </w:r>
    </w:p>
    <w:p>
      <w:pPr>
        <w:spacing w:after="0"/>
        <w:rPr>
          <w:highlight w:val="none"/>
        </w:rPr>
        <w:sectPr>
          <w:pgSz w:w="11910" w:h="16840"/>
          <w:pgMar w:top="1500" w:right="0" w:bottom="1180" w:left="980" w:header="0" w:footer="915" w:gutter="0"/>
          <w:cols w:space="720" w:num="1"/>
        </w:sectPr>
      </w:pPr>
    </w:p>
    <w:p>
      <w:pPr>
        <w:pStyle w:val="5"/>
        <w:spacing w:before="0" w:line="510" w:lineRule="exact"/>
        <w:outlineLvl w:val="0"/>
        <w:rPr>
          <w:highlight w:val="none"/>
        </w:rPr>
      </w:pPr>
      <w:bookmarkStart w:id="95" w:name="十一、商务条款偏离说明表"/>
      <w:bookmarkEnd w:id="95"/>
      <w:bookmarkStart w:id="96" w:name="_Toc20040"/>
      <w:r>
        <w:rPr>
          <w:highlight w:val="none"/>
        </w:rPr>
        <w:t>十一、商务条款偏离说明表</w:t>
      </w:r>
      <w:bookmarkEnd w:id="96"/>
    </w:p>
    <w:p>
      <w:pPr>
        <w:spacing w:before="35"/>
        <w:ind w:left="818" w:right="0" w:firstLine="0"/>
        <w:jc w:val="left"/>
        <w:rPr>
          <w:rFonts w:hint="eastAsia" w:ascii="Microsoft JhengHei" w:eastAsia="Microsoft JhengHei"/>
          <w:b/>
          <w:sz w:val="32"/>
          <w:highlight w:val="none"/>
        </w:rPr>
      </w:pPr>
      <w:r>
        <w:rPr>
          <w:rFonts w:hint="eastAsia" w:ascii="Microsoft JhengHei" w:eastAsia="Microsoft JhengHei"/>
          <w:b/>
          <w:sz w:val="32"/>
          <w:highlight w:val="none"/>
        </w:rPr>
        <w:t>商务条款偏离说明表</w:t>
      </w:r>
    </w:p>
    <w:p>
      <w:pPr>
        <w:spacing w:before="157"/>
        <w:ind w:left="3573" w:right="0" w:firstLine="0"/>
        <w:jc w:val="left"/>
        <w:rPr>
          <w:sz w:val="28"/>
          <w:highlight w:val="none"/>
        </w:rPr>
      </w:pPr>
      <w:r>
        <w:rPr>
          <w:sz w:val="28"/>
          <w:highlight w:val="none"/>
        </w:rPr>
        <w:t xml:space="preserve">商务响应、偏离说明表 </w:t>
      </w:r>
    </w:p>
    <w:p>
      <w:pPr>
        <w:spacing w:before="141" w:line="336" w:lineRule="auto"/>
        <w:ind w:left="818" w:right="3103" w:firstLine="0"/>
        <w:jc w:val="left"/>
        <w:rPr>
          <w:sz w:val="28"/>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page">
                  <wp:posOffset>1069975</wp:posOffset>
                </wp:positionH>
                <wp:positionV relativeFrom="paragraph">
                  <wp:posOffset>647700</wp:posOffset>
                </wp:positionV>
                <wp:extent cx="5425440" cy="5487670"/>
                <wp:effectExtent l="0" t="0" r="0" b="0"/>
                <wp:wrapNone/>
                <wp:docPr id="7" name="文本框 8"/>
                <wp:cNvGraphicFramePr/>
                <a:graphic xmlns:a="http://schemas.openxmlformats.org/drawingml/2006/main">
                  <a:graphicData uri="http://schemas.microsoft.com/office/word/2010/wordprocessingShape">
                    <wps:wsp>
                      <wps:cNvSpPr txBox="1"/>
                      <wps:spPr>
                        <a:xfrm>
                          <a:off x="0" y="0"/>
                          <a:ext cx="5425440" cy="5487670"/>
                        </a:xfrm>
                        <a:prstGeom prst="rect">
                          <a:avLst/>
                        </a:prstGeom>
                        <a:noFill/>
                        <a:ln>
                          <a:noFill/>
                        </a:ln>
                      </wps:spPr>
                      <wps:txbx>
                        <w:txbxContent>
                          <w:tbl>
                            <w:tblPr>
                              <w:tblStyle w:val="1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2713"/>
                              <w:gridCol w:w="2590"/>
                              <w:gridCol w:w="2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526" w:type="dxa"/>
                                </w:tcPr>
                                <w:p>
                                  <w:pPr>
                                    <w:pStyle w:val="21"/>
                                    <w:spacing w:line="500" w:lineRule="exact"/>
                                    <w:ind w:left="107" w:right="-15"/>
                                    <w:rPr>
                                      <w:sz w:val="28"/>
                                    </w:rPr>
                                  </w:pPr>
                                  <w:r>
                                    <w:rPr>
                                      <w:sz w:val="28"/>
                                    </w:rPr>
                                    <w:t xml:space="preserve">序号 </w:t>
                                  </w:r>
                                </w:p>
                              </w:tc>
                              <w:tc>
                                <w:tcPr>
                                  <w:tcW w:w="2713" w:type="dxa"/>
                                </w:tcPr>
                                <w:p>
                                  <w:pPr>
                                    <w:pStyle w:val="21"/>
                                    <w:spacing w:before="11"/>
                                    <w:rPr>
                                      <w:sz w:val="28"/>
                                    </w:rPr>
                                  </w:pPr>
                                </w:p>
                                <w:p>
                                  <w:pPr>
                                    <w:pStyle w:val="21"/>
                                    <w:ind w:left="234"/>
                                    <w:rPr>
                                      <w:sz w:val="28"/>
                                    </w:rPr>
                                  </w:pPr>
                                  <w:r>
                                    <w:rPr>
                                      <w:sz w:val="28"/>
                                    </w:rPr>
                                    <w:t xml:space="preserve">招标文件要求部分 </w:t>
                                  </w:r>
                                </w:p>
                              </w:tc>
                              <w:tc>
                                <w:tcPr>
                                  <w:tcW w:w="2590" w:type="dxa"/>
                                </w:tcPr>
                                <w:p>
                                  <w:pPr>
                                    <w:pStyle w:val="21"/>
                                    <w:spacing w:line="500" w:lineRule="exact"/>
                                    <w:ind w:left="730" w:right="585"/>
                                    <w:rPr>
                                      <w:sz w:val="28"/>
                                    </w:rPr>
                                  </w:pPr>
                                  <w:r>
                                    <w:rPr>
                                      <w:sz w:val="28"/>
                                    </w:rPr>
                                    <w:t xml:space="preserve">投标服务响应部分 </w:t>
                                  </w:r>
                                </w:p>
                              </w:tc>
                              <w:tc>
                                <w:tcPr>
                                  <w:tcW w:w="2701" w:type="dxa"/>
                                </w:tcPr>
                                <w:p>
                                  <w:pPr>
                                    <w:pStyle w:val="21"/>
                                    <w:spacing w:before="11"/>
                                    <w:rPr>
                                      <w:sz w:val="28"/>
                                    </w:rPr>
                                  </w:pPr>
                                </w:p>
                                <w:p>
                                  <w:pPr>
                                    <w:pStyle w:val="21"/>
                                    <w:ind w:left="786"/>
                                    <w:rPr>
                                      <w:sz w:val="28"/>
                                    </w:rPr>
                                  </w:pPr>
                                  <w:r>
                                    <w:rPr>
                                      <w:sz w:val="28"/>
                                    </w:rPr>
                                    <w:t xml:space="preserve">偏离说明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526" w:type="dxa"/>
                                </w:tcPr>
                                <w:p>
                                  <w:pPr>
                                    <w:pStyle w:val="21"/>
                                    <w:spacing w:before="246"/>
                                    <w:ind w:left="107"/>
                                    <w:rPr>
                                      <w:sz w:val="28"/>
                                    </w:rPr>
                                  </w:pPr>
                                  <w:r>
                                    <w:rPr>
                                      <w:sz w:val="28"/>
                                    </w:rPr>
                                    <w:t xml:space="preserve">1 </w:t>
                                  </w:r>
                                </w:p>
                              </w:tc>
                              <w:tc>
                                <w:tcPr>
                                  <w:tcW w:w="2713" w:type="dxa"/>
                                </w:tcPr>
                                <w:p>
                                  <w:pPr>
                                    <w:pStyle w:val="21"/>
                                    <w:spacing w:before="246"/>
                                    <w:ind w:left="107"/>
                                    <w:rPr>
                                      <w:sz w:val="28"/>
                                    </w:rPr>
                                  </w:pPr>
                                  <w:r>
                                    <w:rPr>
                                      <w:w w:val="100"/>
                                      <w:sz w:val="28"/>
                                    </w:rPr>
                                    <w:t xml:space="preserve"> </w:t>
                                  </w:r>
                                </w:p>
                              </w:tc>
                              <w:tc>
                                <w:tcPr>
                                  <w:tcW w:w="2590" w:type="dxa"/>
                                </w:tcPr>
                                <w:p>
                                  <w:pPr>
                                    <w:pStyle w:val="21"/>
                                    <w:spacing w:before="246"/>
                                    <w:ind w:left="104"/>
                                    <w:rPr>
                                      <w:sz w:val="28"/>
                                    </w:rPr>
                                  </w:pPr>
                                  <w:r>
                                    <w:rPr>
                                      <w:w w:val="100"/>
                                      <w:sz w:val="28"/>
                                    </w:rPr>
                                    <w:t xml:space="preserve"> </w:t>
                                  </w:r>
                                </w:p>
                              </w:tc>
                              <w:tc>
                                <w:tcPr>
                                  <w:tcW w:w="2701" w:type="dxa"/>
                                </w:tcPr>
                                <w:p>
                                  <w:pPr>
                                    <w:pStyle w:val="21"/>
                                    <w:spacing w:before="246"/>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21"/>
                                    <w:spacing w:before="247"/>
                                    <w:ind w:left="107"/>
                                    <w:rPr>
                                      <w:sz w:val="28"/>
                                    </w:rPr>
                                  </w:pPr>
                                  <w:r>
                                    <w:rPr>
                                      <w:sz w:val="28"/>
                                    </w:rPr>
                                    <w:t xml:space="preserve">2 </w:t>
                                  </w:r>
                                </w:p>
                              </w:tc>
                              <w:tc>
                                <w:tcPr>
                                  <w:tcW w:w="2713" w:type="dxa"/>
                                </w:tcPr>
                                <w:p>
                                  <w:pPr>
                                    <w:pStyle w:val="21"/>
                                    <w:spacing w:before="247"/>
                                    <w:ind w:left="107"/>
                                    <w:rPr>
                                      <w:sz w:val="28"/>
                                    </w:rPr>
                                  </w:pPr>
                                  <w:r>
                                    <w:rPr>
                                      <w:w w:val="100"/>
                                      <w:sz w:val="28"/>
                                    </w:rPr>
                                    <w:t xml:space="preserve"> </w:t>
                                  </w:r>
                                </w:p>
                              </w:tc>
                              <w:tc>
                                <w:tcPr>
                                  <w:tcW w:w="2590" w:type="dxa"/>
                                </w:tcPr>
                                <w:p>
                                  <w:pPr>
                                    <w:pStyle w:val="21"/>
                                    <w:spacing w:before="247"/>
                                    <w:ind w:left="104"/>
                                    <w:rPr>
                                      <w:sz w:val="28"/>
                                    </w:rPr>
                                  </w:pPr>
                                  <w:r>
                                    <w:rPr>
                                      <w:w w:val="100"/>
                                      <w:sz w:val="28"/>
                                    </w:rPr>
                                    <w:t xml:space="preserve"> </w:t>
                                  </w:r>
                                </w:p>
                              </w:tc>
                              <w:tc>
                                <w:tcPr>
                                  <w:tcW w:w="2701" w:type="dxa"/>
                                </w:tcPr>
                                <w:p>
                                  <w:pPr>
                                    <w:pStyle w:val="21"/>
                                    <w:spacing w:before="247"/>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21"/>
                                    <w:spacing w:before="245"/>
                                    <w:ind w:left="107"/>
                                    <w:rPr>
                                      <w:sz w:val="28"/>
                                    </w:rPr>
                                  </w:pPr>
                                  <w:r>
                                    <w:rPr>
                                      <w:sz w:val="28"/>
                                    </w:rPr>
                                    <w:t xml:space="preserve">3 </w:t>
                                  </w:r>
                                </w:p>
                              </w:tc>
                              <w:tc>
                                <w:tcPr>
                                  <w:tcW w:w="2713" w:type="dxa"/>
                                </w:tcPr>
                                <w:p>
                                  <w:pPr>
                                    <w:pStyle w:val="21"/>
                                    <w:spacing w:before="245"/>
                                    <w:ind w:left="107"/>
                                    <w:rPr>
                                      <w:sz w:val="28"/>
                                    </w:rPr>
                                  </w:pPr>
                                  <w:r>
                                    <w:rPr>
                                      <w:w w:val="100"/>
                                      <w:sz w:val="28"/>
                                    </w:rPr>
                                    <w:t xml:space="preserve"> </w:t>
                                  </w:r>
                                </w:p>
                              </w:tc>
                              <w:tc>
                                <w:tcPr>
                                  <w:tcW w:w="2590" w:type="dxa"/>
                                </w:tcPr>
                                <w:p>
                                  <w:pPr>
                                    <w:pStyle w:val="21"/>
                                    <w:spacing w:before="245"/>
                                    <w:ind w:left="104"/>
                                    <w:rPr>
                                      <w:sz w:val="28"/>
                                    </w:rPr>
                                  </w:pPr>
                                  <w:r>
                                    <w:rPr>
                                      <w:w w:val="100"/>
                                      <w:sz w:val="28"/>
                                    </w:rPr>
                                    <w:t xml:space="preserve"> </w:t>
                                  </w:r>
                                </w:p>
                              </w:tc>
                              <w:tc>
                                <w:tcPr>
                                  <w:tcW w:w="2701" w:type="dxa"/>
                                </w:tcPr>
                                <w:p>
                                  <w:pPr>
                                    <w:pStyle w:val="21"/>
                                    <w:spacing w:before="245"/>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21"/>
                                    <w:spacing w:before="248"/>
                                    <w:ind w:left="107"/>
                                    <w:rPr>
                                      <w:sz w:val="28"/>
                                    </w:rPr>
                                  </w:pPr>
                                  <w:r>
                                    <w:rPr>
                                      <w:sz w:val="28"/>
                                    </w:rPr>
                                    <w:t xml:space="preserve">4 </w:t>
                                  </w:r>
                                </w:p>
                              </w:tc>
                              <w:tc>
                                <w:tcPr>
                                  <w:tcW w:w="2713" w:type="dxa"/>
                                </w:tcPr>
                                <w:p>
                                  <w:pPr>
                                    <w:pStyle w:val="21"/>
                                    <w:spacing w:before="248"/>
                                    <w:ind w:left="107"/>
                                    <w:rPr>
                                      <w:sz w:val="28"/>
                                    </w:rPr>
                                  </w:pPr>
                                  <w:r>
                                    <w:rPr>
                                      <w:w w:val="100"/>
                                      <w:sz w:val="28"/>
                                    </w:rPr>
                                    <w:t xml:space="preserve"> </w:t>
                                  </w:r>
                                </w:p>
                              </w:tc>
                              <w:tc>
                                <w:tcPr>
                                  <w:tcW w:w="2590" w:type="dxa"/>
                                </w:tcPr>
                                <w:p>
                                  <w:pPr>
                                    <w:pStyle w:val="21"/>
                                    <w:spacing w:before="248"/>
                                    <w:ind w:left="104"/>
                                    <w:rPr>
                                      <w:sz w:val="28"/>
                                    </w:rPr>
                                  </w:pPr>
                                  <w:r>
                                    <w:rPr>
                                      <w:w w:val="100"/>
                                      <w:sz w:val="28"/>
                                    </w:rPr>
                                    <w:t xml:space="preserve"> </w:t>
                                  </w:r>
                                </w:p>
                              </w:tc>
                              <w:tc>
                                <w:tcPr>
                                  <w:tcW w:w="2701" w:type="dxa"/>
                                </w:tcPr>
                                <w:p>
                                  <w:pPr>
                                    <w:pStyle w:val="21"/>
                                    <w:spacing w:before="248"/>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526" w:type="dxa"/>
                                </w:tcPr>
                                <w:p>
                                  <w:pPr>
                                    <w:pStyle w:val="21"/>
                                    <w:spacing w:before="245"/>
                                    <w:ind w:left="107"/>
                                    <w:rPr>
                                      <w:sz w:val="28"/>
                                    </w:rPr>
                                  </w:pPr>
                                  <w:r>
                                    <w:rPr>
                                      <w:sz w:val="28"/>
                                    </w:rPr>
                                    <w:t xml:space="preserve">5 </w:t>
                                  </w:r>
                                </w:p>
                              </w:tc>
                              <w:tc>
                                <w:tcPr>
                                  <w:tcW w:w="2713" w:type="dxa"/>
                                </w:tcPr>
                                <w:p>
                                  <w:pPr>
                                    <w:pStyle w:val="21"/>
                                    <w:spacing w:before="245"/>
                                    <w:ind w:left="107"/>
                                    <w:rPr>
                                      <w:sz w:val="28"/>
                                    </w:rPr>
                                  </w:pPr>
                                  <w:r>
                                    <w:rPr>
                                      <w:w w:val="100"/>
                                      <w:sz w:val="28"/>
                                    </w:rPr>
                                    <w:t xml:space="preserve"> </w:t>
                                  </w:r>
                                </w:p>
                              </w:tc>
                              <w:tc>
                                <w:tcPr>
                                  <w:tcW w:w="2590" w:type="dxa"/>
                                </w:tcPr>
                                <w:p>
                                  <w:pPr>
                                    <w:pStyle w:val="21"/>
                                    <w:spacing w:before="245"/>
                                    <w:ind w:left="104"/>
                                    <w:rPr>
                                      <w:sz w:val="28"/>
                                    </w:rPr>
                                  </w:pPr>
                                  <w:r>
                                    <w:rPr>
                                      <w:w w:val="100"/>
                                      <w:sz w:val="28"/>
                                    </w:rPr>
                                    <w:t xml:space="preserve"> </w:t>
                                  </w:r>
                                </w:p>
                              </w:tc>
                              <w:tc>
                                <w:tcPr>
                                  <w:tcW w:w="2701" w:type="dxa"/>
                                </w:tcPr>
                                <w:p>
                                  <w:pPr>
                                    <w:pStyle w:val="21"/>
                                    <w:spacing w:before="245"/>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21"/>
                                    <w:spacing w:before="248"/>
                                    <w:ind w:left="107"/>
                                    <w:rPr>
                                      <w:sz w:val="28"/>
                                    </w:rPr>
                                  </w:pPr>
                                  <w:r>
                                    <w:rPr>
                                      <w:sz w:val="28"/>
                                    </w:rPr>
                                    <w:t xml:space="preserve">6 </w:t>
                                  </w:r>
                                </w:p>
                              </w:tc>
                              <w:tc>
                                <w:tcPr>
                                  <w:tcW w:w="2713" w:type="dxa"/>
                                </w:tcPr>
                                <w:p>
                                  <w:pPr>
                                    <w:pStyle w:val="21"/>
                                    <w:spacing w:before="248"/>
                                    <w:ind w:left="107"/>
                                    <w:rPr>
                                      <w:sz w:val="28"/>
                                    </w:rPr>
                                  </w:pPr>
                                  <w:r>
                                    <w:rPr>
                                      <w:w w:val="100"/>
                                      <w:sz w:val="28"/>
                                    </w:rPr>
                                    <w:t xml:space="preserve"> </w:t>
                                  </w:r>
                                </w:p>
                              </w:tc>
                              <w:tc>
                                <w:tcPr>
                                  <w:tcW w:w="2590" w:type="dxa"/>
                                </w:tcPr>
                                <w:p>
                                  <w:pPr>
                                    <w:pStyle w:val="21"/>
                                    <w:spacing w:before="248"/>
                                    <w:ind w:left="104"/>
                                    <w:rPr>
                                      <w:sz w:val="28"/>
                                    </w:rPr>
                                  </w:pPr>
                                  <w:r>
                                    <w:rPr>
                                      <w:w w:val="100"/>
                                      <w:sz w:val="28"/>
                                    </w:rPr>
                                    <w:t xml:space="preserve"> </w:t>
                                  </w:r>
                                </w:p>
                              </w:tc>
                              <w:tc>
                                <w:tcPr>
                                  <w:tcW w:w="2701" w:type="dxa"/>
                                </w:tcPr>
                                <w:p>
                                  <w:pPr>
                                    <w:pStyle w:val="21"/>
                                    <w:spacing w:before="248"/>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21"/>
                                    <w:spacing w:before="247"/>
                                    <w:ind w:left="107"/>
                                    <w:rPr>
                                      <w:sz w:val="28"/>
                                    </w:rPr>
                                  </w:pPr>
                                  <w:r>
                                    <w:rPr>
                                      <w:sz w:val="28"/>
                                    </w:rPr>
                                    <w:t xml:space="preserve">7 </w:t>
                                  </w:r>
                                </w:p>
                              </w:tc>
                              <w:tc>
                                <w:tcPr>
                                  <w:tcW w:w="2713" w:type="dxa"/>
                                </w:tcPr>
                                <w:p>
                                  <w:pPr>
                                    <w:pStyle w:val="21"/>
                                    <w:spacing w:before="247"/>
                                    <w:ind w:left="107"/>
                                    <w:rPr>
                                      <w:sz w:val="28"/>
                                    </w:rPr>
                                  </w:pPr>
                                  <w:r>
                                    <w:rPr>
                                      <w:w w:val="100"/>
                                      <w:sz w:val="28"/>
                                    </w:rPr>
                                    <w:t xml:space="preserve"> </w:t>
                                  </w:r>
                                </w:p>
                              </w:tc>
                              <w:tc>
                                <w:tcPr>
                                  <w:tcW w:w="2590" w:type="dxa"/>
                                </w:tcPr>
                                <w:p>
                                  <w:pPr>
                                    <w:pStyle w:val="21"/>
                                    <w:spacing w:before="247"/>
                                    <w:ind w:left="104"/>
                                    <w:rPr>
                                      <w:sz w:val="28"/>
                                    </w:rPr>
                                  </w:pPr>
                                  <w:r>
                                    <w:rPr>
                                      <w:w w:val="100"/>
                                      <w:sz w:val="28"/>
                                    </w:rPr>
                                    <w:t xml:space="preserve"> </w:t>
                                  </w:r>
                                </w:p>
                              </w:tc>
                              <w:tc>
                                <w:tcPr>
                                  <w:tcW w:w="2701" w:type="dxa"/>
                                </w:tcPr>
                                <w:p>
                                  <w:pPr>
                                    <w:pStyle w:val="21"/>
                                    <w:spacing w:before="247"/>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21"/>
                                    <w:spacing w:before="247"/>
                                    <w:ind w:left="107"/>
                                    <w:rPr>
                                      <w:sz w:val="28"/>
                                    </w:rPr>
                                  </w:pPr>
                                  <w:r>
                                    <w:rPr>
                                      <w:sz w:val="28"/>
                                    </w:rPr>
                                    <w:t xml:space="preserve">8 </w:t>
                                  </w:r>
                                </w:p>
                              </w:tc>
                              <w:tc>
                                <w:tcPr>
                                  <w:tcW w:w="2713" w:type="dxa"/>
                                </w:tcPr>
                                <w:p>
                                  <w:pPr>
                                    <w:pStyle w:val="21"/>
                                    <w:spacing w:before="247"/>
                                    <w:ind w:left="107"/>
                                    <w:rPr>
                                      <w:sz w:val="28"/>
                                    </w:rPr>
                                  </w:pPr>
                                  <w:r>
                                    <w:rPr>
                                      <w:w w:val="100"/>
                                      <w:sz w:val="28"/>
                                    </w:rPr>
                                    <w:t xml:space="preserve"> </w:t>
                                  </w:r>
                                </w:p>
                              </w:tc>
                              <w:tc>
                                <w:tcPr>
                                  <w:tcW w:w="2590" w:type="dxa"/>
                                </w:tcPr>
                                <w:p>
                                  <w:pPr>
                                    <w:pStyle w:val="21"/>
                                    <w:spacing w:before="247"/>
                                    <w:ind w:left="104"/>
                                    <w:rPr>
                                      <w:sz w:val="28"/>
                                    </w:rPr>
                                  </w:pPr>
                                  <w:r>
                                    <w:rPr>
                                      <w:w w:val="100"/>
                                      <w:sz w:val="28"/>
                                    </w:rPr>
                                    <w:t xml:space="preserve"> </w:t>
                                  </w:r>
                                </w:p>
                              </w:tc>
                              <w:tc>
                                <w:tcPr>
                                  <w:tcW w:w="2701" w:type="dxa"/>
                                </w:tcPr>
                                <w:p>
                                  <w:pPr>
                                    <w:pStyle w:val="21"/>
                                    <w:spacing w:before="247"/>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21"/>
                                    <w:spacing w:before="248"/>
                                    <w:ind w:left="107"/>
                                    <w:rPr>
                                      <w:sz w:val="28"/>
                                    </w:rPr>
                                  </w:pPr>
                                  <w:r>
                                    <w:rPr>
                                      <w:sz w:val="28"/>
                                    </w:rPr>
                                    <w:t xml:space="preserve">9 </w:t>
                                  </w:r>
                                </w:p>
                              </w:tc>
                              <w:tc>
                                <w:tcPr>
                                  <w:tcW w:w="2713" w:type="dxa"/>
                                </w:tcPr>
                                <w:p>
                                  <w:pPr>
                                    <w:pStyle w:val="21"/>
                                    <w:spacing w:before="248"/>
                                    <w:ind w:left="107"/>
                                    <w:rPr>
                                      <w:sz w:val="28"/>
                                    </w:rPr>
                                  </w:pPr>
                                  <w:r>
                                    <w:rPr>
                                      <w:w w:val="100"/>
                                      <w:sz w:val="28"/>
                                    </w:rPr>
                                    <w:t xml:space="preserve"> </w:t>
                                  </w:r>
                                </w:p>
                              </w:tc>
                              <w:tc>
                                <w:tcPr>
                                  <w:tcW w:w="2590" w:type="dxa"/>
                                </w:tcPr>
                                <w:p>
                                  <w:pPr>
                                    <w:pStyle w:val="21"/>
                                    <w:spacing w:before="248"/>
                                    <w:ind w:left="104"/>
                                    <w:rPr>
                                      <w:sz w:val="28"/>
                                    </w:rPr>
                                  </w:pPr>
                                  <w:r>
                                    <w:rPr>
                                      <w:w w:val="100"/>
                                      <w:sz w:val="28"/>
                                    </w:rPr>
                                    <w:t xml:space="preserve"> </w:t>
                                  </w:r>
                                </w:p>
                              </w:tc>
                              <w:tc>
                                <w:tcPr>
                                  <w:tcW w:w="2701" w:type="dxa"/>
                                </w:tcPr>
                                <w:p>
                                  <w:pPr>
                                    <w:pStyle w:val="21"/>
                                    <w:spacing w:before="248"/>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21"/>
                                    <w:spacing w:before="248"/>
                                    <w:ind w:left="107" w:right="-15"/>
                                    <w:rPr>
                                      <w:sz w:val="28"/>
                                    </w:rPr>
                                  </w:pPr>
                                  <w:r>
                                    <w:rPr>
                                      <w:sz w:val="28"/>
                                    </w:rPr>
                                    <w:t xml:space="preserve">… </w:t>
                                  </w:r>
                                </w:p>
                              </w:tc>
                              <w:tc>
                                <w:tcPr>
                                  <w:tcW w:w="2713" w:type="dxa"/>
                                </w:tcPr>
                                <w:p>
                                  <w:pPr>
                                    <w:pStyle w:val="21"/>
                                    <w:spacing w:before="248"/>
                                    <w:ind w:left="107"/>
                                    <w:rPr>
                                      <w:sz w:val="28"/>
                                    </w:rPr>
                                  </w:pPr>
                                  <w:r>
                                    <w:rPr>
                                      <w:w w:val="100"/>
                                      <w:sz w:val="28"/>
                                    </w:rPr>
                                    <w:t xml:space="preserve"> </w:t>
                                  </w:r>
                                </w:p>
                              </w:tc>
                              <w:tc>
                                <w:tcPr>
                                  <w:tcW w:w="2590" w:type="dxa"/>
                                </w:tcPr>
                                <w:p>
                                  <w:pPr>
                                    <w:pStyle w:val="21"/>
                                    <w:spacing w:before="248"/>
                                    <w:ind w:left="104"/>
                                    <w:rPr>
                                      <w:sz w:val="28"/>
                                    </w:rPr>
                                  </w:pPr>
                                  <w:r>
                                    <w:rPr>
                                      <w:w w:val="100"/>
                                      <w:sz w:val="28"/>
                                    </w:rPr>
                                    <w:t xml:space="preserve"> </w:t>
                                  </w:r>
                                </w:p>
                              </w:tc>
                              <w:tc>
                                <w:tcPr>
                                  <w:tcW w:w="2701" w:type="dxa"/>
                                </w:tcPr>
                                <w:p>
                                  <w:pPr>
                                    <w:pStyle w:val="21"/>
                                    <w:spacing w:before="248"/>
                                    <w:ind w:left="104"/>
                                    <w:rPr>
                                      <w:sz w:val="28"/>
                                    </w:rPr>
                                  </w:pPr>
                                  <w:r>
                                    <w:rPr>
                                      <w:w w:val="100"/>
                                      <w:sz w:val="28"/>
                                    </w:rPr>
                                    <w:t xml:space="preserve"> </w:t>
                                  </w:r>
                                </w:p>
                              </w:tc>
                            </w:tr>
                          </w:tbl>
                          <w:p>
                            <w:pPr>
                              <w:pStyle w:val="10"/>
                              <w:ind w:left="0"/>
                            </w:pPr>
                          </w:p>
                        </w:txbxContent>
                      </wps:txbx>
                      <wps:bodyPr lIns="0" tIns="0" rIns="0" bIns="0" upright="1"/>
                    </wps:wsp>
                  </a:graphicData>
                </a:graphic>
              </wp:anchor>
            </w:drawing>
          </mc:Choice>
          <mc:Fallback>
            <w:pict>
              <v:shape id="文本框 8" o:spid="_x0000_s1026" o:spt="202" type="#_x0000_t202" style="position:absolute;left:0pt;margin-left:84.25pt;margin-top:51pt;height:432.1pt;width:427.2pt;mso-position-horizontal-relative:page;z-index:251662336;mso-width-relative:page;mso-height-relative:page;" filled="f" stroked="f" coordsize="21600,21600" o:gfxdata="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FZmttgAAAAMAQAADwAAAAAAAAABACAAAAAiAAAAZHJzL2Rvd25yZXYueG1sUEsB&#10;AhQAFAAAAAgAh07iQHjrwqa8AQAAcwMAAA4AAAAAAAAAAQAgAAAAJwEAAGRycy9lMm9Eb2MueG1s&#10;UEsFBgAAAAAGAAYAWQEAAFUFAAAAAA==&#10;">
                <v:fill on="f" focussize="0,0"/>
                <v:stroke on="f"/>
                <v:imagedata o:title=""/>
                <o:lock v:ext="edit" aspectratio="f"/>
                <v:textbox inset="0mm,0mm,0mm,0mm">
                  <w:txbxContent>
                    <w:tbl>
                      <w:tblPr>
                        <w:tblStyle w:val="1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2713"/>
                        <w:gridCol w:w="2590"/>
                        <w:gridCol w:w="2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526" w:type="dxa"/>
                          </w:tcPr>
                          <w:p>
                            <w:pPr>
                              <w:pStyle w:val="21"/>
                              <w:spacing w:line="500" w:lineRule="exact"/>
                              <w:ind w:left="107" w:right="-15"/>
                              <w:rPr>
                                <w:sz w:val="28"/>
                              </w:rPr>
                            </w:pPr>
                            <w:r>
                              <w:rPr>
                                <w:sz w:val="28"/>
                              </w:rPr>
                              <w:t xml:space="preserve">序号 </w:t>
                            </w:r>
                          </w:p>
                        </w:tc>
                        <w:tc>
                          <w:tcPr>
                            <w:tcW w:w="2713" w:type="dxa"/>
                          </w:tcPr>
                          <w:p>
                            <w:pPr>
                              <w:pStyle w:val="21"/>
                              <w:spacing w:before="11"/>
                              <w:rPr>
                                <w:sz w:val="28"/>
                              </w:rPr>
                            </w:pPr>
                          </w:p>
                          <w:p>
                            <w:pPr>
                              <w:pStyle w:val="21"/>
                              <w:ind w:left="234"/>
                              <w:rPr>
                                <w:sz w:val="28"/>
                              </w:rPr>
                            </w:pPr>
                            <w:r>
                              <w:rPr>
                                <w:sz w:val="28"/>
                              </w:rPr>
                              <w:t xml:space="preserve">招标文件要求部分 </w:t>
                            </w:r>
                          </w:p>
                        </w:tc>
                        <w:tc>
                          <w:tcPr>
                            <w:tcW w:w="2590" w:type="dxa"/>
                          </w:tcPr>
                          <w:p>
                            <w:pPr>
                              <w:pStyle w:val="21"/>
                              <w:spacing w:line="500" w:lineRule="exact"/>
                              <w:ind w:left="730" w:right="585"/>
                              <w:rPr>
                                <w:sz w:val="28"/>
                              </w:rPr>
                            </w:pPr>
                            <w:r>
                              <w:rPr>
                                <w:sz w:val="28"/>
                              </w:rPr>
                              <w:t xml:space="preserve">投标服务响应部分 </w:t>
                            </w:r>
                          </w:p>
                        </w:tc>
                        <w:tc>
                          <w:tcPr>
                            <w:tcW w:w="2701" w:type="dxa"/>
                          </w:tcPr>
                          <w:p>
                            <w:pPr>
                              <w:pStyle w:val="21"/>
                              <w:spacing w:before="11"/>
                              <w:rPr>
                                <w:sz w:val="28"/>
                              </w:rPr>
                            </w:pPr>
                          </w:p>
                          <w:p>
                            <w:pPr>
                              <w:pStyle w:val="21"/>
                              <w:ind w:left="786"/>
                              <w:rPr>
                                <w:sz w:val="28"/>
                              </w:rPr>
                            </w:pPr>
                            <w:r>
                              <w:rPr>
                                <w:sz w:val="28"/>
                              </w:rPr>
                              <w:t xml:space="preserve">偏离说明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526" w:type="dxa"/>
                          </w:tcPr>
                          <w:p>
                            <w:pPr>
                              <w:pStyle w:val="21"/>
                              <w:spacing w:before="246"/>
                              <w:ind w:left="107"/>
                              <w:rPr>
                                <w:sz w:val="28"/>
                              </w:rPr>
                            </w:pPr>
                            <w:r>
                              <w:rPr>
                                <w:sz w:val="28"/>
                              </w:rPr>
                              <w:t xml:space="preserve">1 </w:t>
                            </w:r>
                          </w:p>
                        </w:tc>
                        <w:tc>
                          <w:tcPr>
                            <w:tcW w:w="2713" w:type="dxa"/>
                          </w:tcPr>
                          <w:p>
                            <w:pPr>
                              <w:pStyle w:val="21"/>
                              <w:spacing w:before="246"/>
                              <w:ind w:left="107"/>
                              <w:rPr>
                                <w:sz w:val="28"/>
                              </w:rPr>
                            </w:pPr>
                            <w:r>
                              <w:rPr>
                                <w:w w:val="100"/>
                                <w:sz w:val="28"/>
                              </w:rPr>
                              <w:t xml:space="preserve"> </w:t>
                            </w:r>
                          </w:p>
                        </w:tc>
                        <w:tc>
                          <w:tcPr>
                            <w:tcW w:w="2590" w:type="dxa"/>
                          </w:tcPr>
                          <w:p>
                            <w:pPr>
                              <w:pStyle w:val="21"/>
                              <w:spacing w:before="246"/>
                              <w:ind w:left="104"/>
                              <w:rPr>
                                <w:sz w:val="28"/>
                              </w:rPr>
                            </w:pPr>
                            <w:r>
                              <w:rPr>
                                <w:w w:val="100"/>
                                <w:sz w:val="28"/>
                              </w:rPr>
                              <w:t xml:space="preserve"> </w:t>
                            </w:r>
                          </w:p>
                        </w:tc>
                        <w:tc>
                          <w:tcPr>
                            <w:tcW w:w="2701" w:type="dxa"/>
                          </w:tcPr>
                          <w:p>
                            <w:pPr>
                              <w:pStyle w:val="21"/>
                              <w:spacing w:before="246"/>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21"/>
                              <w:spacing w:before="247"/>
                              <w:ind w:left="107"/>
                              <w:rPr>
                                <w:sz w:val="28"/>
                              </w:rPr>
                            </w:pPr>
                            <w:r>
                              <w:rPr>
                                <w:sz w:val="28"/>
                              </w:rPr>
                              <w:t xml:space="preserve">2 </w:t>
                            </w:r>
                          </w:p>
                        </w:tc>
                        <w:tc>
                          <w:tcPr>
                            <w:tcW w:w="2713" w:type="dxa"/>
                          </w:tcPr>
                          <w:p>
                            <w:pPr>
                              <w:pStyle w:val="21"/>
                              <w:spacing w:before="247"/>
                              <w:ind w:left="107"/>
                              <w:rPr>
                                <w:sz w:val="28"/>
                              </w:rPr>
                            </w:pPr>
                            <w:r>
                              <w:rPr>
                                <w:w w:val="100"/>
                                <w:sz w:val="28"/>
                              </w:rPr>
                              <w:t xml:space="preserve"> </w:t>
                            </w:r>
                          </w:p>
                        </w:tc>
                        <w:tc>
                          <w:tcPr>
                            <w:tcW w:w="2590" w:type="dxa"/>
                          </w:tcPr>
                          <w:p>
                            <w:pPr>
                              <w:pStyle w:val="21"/>
                              <w:spacing w:before="247"/>
                              <w:ind w:left="104"/>
                              <w:rPr>
                                <w:sz w:val="28"/>
                              </w:rPr>
                            </w:pPr>
                            <w:r>
                              <w:rPr>
                                <w:w w:val="100"/>
                                <w:sz w:val="28"/>
                              </w:rPr>
                              <w:t xml:space="preserve"> </w:t>
                            </w:r>
                          </w:p>
                        </w:tc>
                        <w:tc>
                          <w:tcPr>
                            <w:tcW w:w="2701" w:type="dxa"/>
                          </w:tcPr>
                          <w:p>
                            <w:pPr>
                              <w:pStyle w:val="21"/>
                              <w:spacing w:before="247"/>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21"/>
                              <w:spacing w:before="245"/>
                              <w:ind w:left="107"/>
                              <w:rPr>
                                <w:sz w:val="28"/>
                              </w:rPr>
                            </w:pPr>
                            <w:r>
                              <w:rPr>
                                <w:sz w:val="28"/>
                              </w:rPr>
                              <w:t xml:space="preserve">3 </w:t>
                            </w:r>
                          </w:p>
                        </w:tc>
                        <w:tc>
                          <w:tcPr>
                            <w:tcW w:w="2713" w:type="dxa"/>
                          </w:tcPr>
                          <w:p>
                            <w:pPr>
                              <w:pStyle w:val="21"/>
                              <w:spacing w:before="245"/>
                              <w:ind w:left="107"/>
                              <w:rPr>
                                <w:sz w:val="28"/>
                              </w:rPr>
                            </w:pPr>
                            <w:r>
                              <w:rPr>
                                <w:w w:val="100"/>
                                <w:sz w:val="28"/>
                              </w:rPr>
                              <w:t xml:space="preserve"> </w:t>
                            </w:r>
                          </w:p>
                        </w:tc>
                        <w:tc>
                          <w:tcPr>
                            <w:tcW w:w="2590" w:type="dxa"/>
                          </w:tcPr>
                          <w:p>
                            <w:pPr>
                              <w:pStyle w:val="21"/>
                              <w:spacing w:before="245"/>
                              <w:ind w:left="104"/>
                              <w:rPr>
                                <w:sz w:val="28"/>
                              </w:rPr>
                            </w:pPr>
                            <w:r>
                              <w:rPr>
                                <w:w w:val="100"/>
                                <w:sz w:val="28"/>
                              </w:rPr>
                              <w:t xml:space="preserve"> </w:t>
                            </w:r>
                          </w:p>
                        </w:tc>
                        <w:tc>
                          <w:tcPr>
                            <w:tcW w:w="2701" w:type="dxa"/>
                          </w:tcPr>
                          <w:p>
                            <w:pPr>
                              <w:pStyle w:val="21"/>
                              <w:spacing w:before="245"/>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21"/>
                              <w:spacing w:before="248"/>
                              <w:ind w:left="107"/>
                              <w:rPr>
                                <w:sz w:val="28"/>
                              </w:rPr>
                            </w:pPr>
                            <w:r>
                              <w:rPr>
                                <w:sz w:val="28"/>
                              </w:rPr>
                              <w:t xml:space="preserve">4 </w:t>
                            </w:r>
                          </w:p>
                        </w:tc>
                        <w:tc>
                          <w:tcPr>
                            <w:tcW w:w="2713" w:type="dxa"/>
                          </w:tcPr>
                          <w:p>
                            <w:pPr>
                              <w:pStyle w:val="21"/>
                              <w:spacing w:before="248"/>
                              <w:ind w:left="107"/>
                              <w:rPr>
                                <w:sz w:val="28"/>
                              </w:rPr>
                            </w:pPr>
                            <w:r>
                              <w:rPr>
                                <w:w w:val="100"/>
                                <w:sz w:val="28"/>
                              </w:rPr>
                              <w:t xml:space="preserve"> </w:t>
                            </w:r>
                          </w:p>
                        </w:tc>
                        <w:tc>
                          <w:tcPr>
                            <w:tcW w:w="2590" w:type="dxa"/>
                          </w:tcPr>
                          <w:p>
                            <w:pPr>
                              <w:pStyle w:val="21"/>
                              <w:spacing w:before="248"/>
                              <w:ind w:left="104"/>
                              <w:rPr>
                                <w:sz w:val="28"/>
                              </w:rPr>
                            </w:pPr>
                            <w:r>
                              <w:rPr>
                                <w:w w:val="100"/>
                                <w:sz w:val="28"/>
                              </w:rPr>
                              <w:t xml:space="preserve"> </w:t>
                            </w:r>
                          </w:p>
                        </w:tc>
                        <w:tc>
                          <w:tcPr>
                            <w:tcW w:w="2701" w:type="dxa"/>
                          </w:tcPr>
                          <w:p>
                            <w:pPr>
                              <w:pStyle w:val="21"/>
                              <w:spacing w:before="248"/>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526" w:type="dxa"/>
                          </w:tcPr>
                          <w:p>
                            <w:pPr>
                              <w:pStyle w:val="21"/>
                              <w:spacing w:before="245"/>
                              <w:ind w:left="107"/>
                              <w:rPr>
                                <w:sz w:val="28"/>
                              </w:rPr>
                            </w:pPr>
                            <w:r>
                              <w:rPr>
                                <w:sz w:val="28"/>
                              </w:rPr>
                              <w:t xml:space="preserve">5 </w:t>
                            </w:r>
                          </w:p>
                        </w:tc>
                        <w:tc>
                          <w:tcPr>
                            <w:tcW w:w="2713" w:type="dxa"/>
                          </w:tcPr>
                          <w:p>
                            <w:pPr>
                              <w:pStyle w:val="21"/>
                              <w:spacing w:before="245"/>
                              <w:ind w:left="107"/>
                              <w:rPr>
                                <w:sz w:val="28"/>
                              </w:rPr>
                            </w:pPr>
                            <w:r>
                              <w:rPr>
                                <w:w w:val="100"/>
                                <w:sz w:val="28"/>
                              </w:rPr>
                              <w:t xml:space="preserve"> </w:t>
                            </w:r>
                          </w:p>
                        </w:tc>
                        <w:tc>
                          <w:tcPr>
                            <w:tcW w:w="2590" w:type="dxa"/>
                          </w:tcPr>
                          <w:p>
                            <w:pPr>
                              <w:pStyle w:val="21"/>
                              <w:spacing w:before="245"/>
                              <w:ind w:left="104"/>
                              <w:rPr>
                                <w:sz w:val="28"/>
                              </w:rPr>
                            </w:pPr>
                            <w:r>
                              <w:rPr>
                                <w:w w:val="100"/>
                                <w:sz w:val="28"/>
                              </w:rPr>
                              <w:t xml:space="preserve"> </w:t>
                            </w:r>
                          </w:p>
                        </w:tc>
                        <w:tc>
                          <w:tcPr>
                            <w:tcW w:w="2701" w:type="dxa"/>
                          </w:tcPr>
                          <w:p>
                            <w:pPr>
                              <w:pStyle w:val="21"/>
                              <w:spacing w:before="245"/>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21"/>
                              <w:spacing w:before="248"/>
                              <w:ind w:left="107"/>
                              <w:rPr>
                                <w:sz w:val="28"/>
                              </w:rPr>
                            </w:pPr>
                            <w:r>
                              <w:rPr>
                                <w:sz w:val="28"/>
                              </w:rPr>
                              <w:t xml:space="preserve">6 </w:t>
                            </w:r>
                          </w:p>
                        </w:tc>
                        <w:tc>
                          <w:tcPr>
                            <w:tcW w:w="2713" w:type="dxa"/>
                          </w:tcPr>
                          <w:p>
                            <w:pPr>
                              <w:pStyle w:val="21"/>
                              <w:spacing w:before="248"/>
                              <w:ind w:left="107"/>
                              <w:rPr>
                                <w:sz w:val="28"/>
                              </w:rPr>
                            </w:pPr>
                            <w:r>
                              <w:rPr>
                                <w:w w:val="100"/>
                                <w:sz w:val="28"/>
                              </w:rPr>
                              <w:t xml:space="preserve"> </w:t>
                            </w:r>
                          </w:p>
                        </w:tc>
                        <w:tc>
                          <w:tcPr>
                            <w:tcW w:w="2590" w:type="dxa"/>
                          </w:tcPr>
                          <w:p>
                            <w:pPr>
                              <w:pStyle w:val="21"/>
                              <w:spacing w:before="248"/>
                              <w:ind w:left="104"/>
                              <w:rPr>
                                <w:sz w:val="28"/>
                              </w:rPr>
                            </w:pPr>
                            <w:r>
                              <w:rPr>
                                <w:w w:val="100"/>
                                <w:sz w:val="28"/>
                              </w:rPr>
                              <w:t xml:space="preserve"> </w:t>
                            </w:r>
                          </w:p>
                        </w:tc>
                        <w:tc>
                          <w:tcPr>
                            <w:tcW w:w="2701" w:type="dxa"/>
                          </w:tcPr>
                          <w:p>
                            <w:pPr>
                              <w:pStyle w:val="21"/>
                              <w:spacing w:before="248"/>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21"/>
                              <w:spacing w:before="247"/>
                              <w:ind w:left="107"/>
                              <w:rPr>
                                <w:sz w:val="28"/>
                              </w:rPr>
                            </w:pPr>
                            <w:r>
                              <w:rPr>
                                <w:sz w:val="28"/>
                              </w:rPr>
                              <w:t xml:space="preserve">7 </w:t>
                            </w:r>
                          </w:p>
                        </w:tc>
                        <w:tc>
                          <w:tcPr>
                            <w:tcW w:w="2713" w:type="dxa"/>
                          </w:tcPr>
                          <w:p>
                            <w:pPr>
                              <w:pStyle w:val="21"/>
                              <w:spacing w:before="247"/>
                              <w:ind w:left="107"/>
                              <w:rPr>
                                <w:sz w:val="28"/>
                              </w:rPr>
                            </w:pPr>
                            <w:r>
                              <w:rPr>
                                <w:w w:val="100"/>
                                <w:sz w:val="28"/>
                              </w:rPr>
                              <w:t xml:space="preserve"> </w:t>
                            </w:r>
                          </w:p>
                        </w:tc>
                        <w:tc>
                          <w:tcPr>
                            <w:tcW w:w="2590" w:type="dxa"/>
                          </w:tcPr>
                          <w:p>
                            <w:pPr>
                              <w:pStyle w:val="21"/>
                              <w:spacing w:before="247"/>
                              <w:ind w:left="104"/>
                              <w:rPr>
                                <w:sz w:val="28"/>
                              </w:rPr>
                            </w:pPr>
                            <w:r>
                              <w:rPr>
                                <w:w w:val="100"/>
                                <w:sz w:val="28"/>
                              </w:rPr>
                              <w:t xml:space="preserve"> </w:t>
                            </w:r>
                          </w:p>
                        </w:tc>
                        <w:tc>
                          <w:tcPr>
                            <w:tcW w:w="2701" w:type="dxa"/>
                          </w:tcPr>
                          <w:p>
                            <w:pPr>
                              <w:pStyle w:val="21"/>
                              <w:spacing w:before="247"/>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21"/>
                              <w:spacing w:before="247"/>
                              <w:ind w:left="107"/>
                              <w:rPr>
                                <w:sz w:val="28"/>
                              </w:rPr>
                            </w:pPr>
                            <w:r>
                              <w:rPr>
                                <w:sz w:val="28"/>
                              </w:rPr>
                              <w:t xml:space="preserve">8 </w:t>
                            </w:r>
                          </w:p>
                        </w:tc>
                        <w:tc>
                          <w:tcPr>
                            <w:tcW w:w="2713" w:type="dxa"/>
                          </w:tcPr>
                          <w:p>
                            <w:pPr>
                              <w:pStyle w:val="21"/>
                              <w:spacing w:before="247"/>
                              <w:ind w:left="107"/>
                              <w:rPr>
                                <w:sz w:val="28"/>
                              </w:rPr>
                            </w:pPr>
                            <w:r>
                              <w:rPr>
                                <w:w w:val="100"/>
                                <w:sz w:val="28"/>
                              </w:rPr>
                              <w:t xml:space="preserve"> </w:t>
                            </w:r>
                          </w:p>
                        </w:tc>
                        <w:tc>
                          <w:tcPr>
                            <w:tcW w:w="2590" w:type="dxa"/>
                          </w:tcPr>
                          <w:p>
                            <w:pPr>
                              <w:pStyle w:val="21"/>
                              <w:spacing w:before="247"/>
                              <w:ind w:left="104"/>
                              <w:rPr>
                                <w:sz w:val="28"/>
                              </w:rPr>
                            </w:pPr>
                            <w:r>
                              <w:rPr>
                                <w:w w:val="100"/>
                                <w:sz w:val="28"/>
                              </w:rPr>
                              <w:t xml:space="preserve"> </w:t>
                            </w:r>
                          </w:p>
                        </w:tc>
                        <w:tc>
                          <w:tcPr>
                            <w:tcW w:w="2701" w:type="dxa"/>
                          </w:tcPr>
                          <w:p>
                            <w:pPr>
                              <w:pStyle w:val="21"/>
                              <w:spacing w:before="247"/>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26" w:type="dxa"/>
                          </w:tcPr>
                          <w:p>
                            <w:pPr>
                              <w:pStyle w:val="21"/>
                              <w:spacing w:before="248"/>
                              <w:ind w:left="107"/>
                              <w:rPr>
                                <w:sz w:val="28"/>
                              </w:rPr>
                            </w:pPr>
                            <w:r>
                              <w:rPr>
                                <w:sz w:val="28"/>
                              </w:rPr>
                              <w:t xml:space="preserve">9 </w:t>
                            </w:r>
                          </w:p>
                        </w:tc>
                        <w:tc>
                          <w:tcPr>
                            <w:tcW w:w="2713" w:type="dxa"/>
                          </w:tcPr>
                          <w:p>
                            <w:pPr>
                              <w:pStyle w:val="21"/>
                              <w:spacing w:before="248"/>
                              <w:ind w:left="107"/>
                              <w:rPr>
                                <w:sz w:val="28"/>
                              </w:rPr>
                            </w:pPr>
                            <w:r>
                              <w:rPr>
                                <w:w w:val="100"/>
                                <w:sz w:val="28"/>
                              </w:rPr>
                              <w:t xml:space="preserve"> </w:t>
                            </w:r>
                          </w:p>
                        </w:tc>
                        <w:tc>
                          <w:tcPr>
                            <w:tcW w:w="2590" w:type="dxa"/>
                          </w:tcPr>
                          <w:p>
                            <w:pPr>
                              <w:pStyle w:val="21"/>
                              <w:spacing w:before="248"/>
                              <w:ind w:left="104"/>
                              <w:rPr>
                                <w:sz w:val="28"/>
                              </w:rPr>
                            </w:pPr>
                            <w:r>
                              <w:rPr>
                                <w:w w:val="100"/>
                                <w:sz w:val="28"/>
                              </w:rPr>
                              <w:t xml:space="preserve"> </w:t>
                            </w:r>
                          </w:p>
                        </w:tc>
                        <w:tc>
                          <w:tcPr>
                            <w:tcW w:w="2701" w:type="dxa"/>
                          </w:tcPr>
                          <w:p>
                            <w:pPr>
                              <w:pStyle w:val="21"/>
                              <w:spacing w:before="248"/>
                              <w:ind w:left="104"/>
                              <w:rPr>
                                <w:sz w:val="28"/>
                              </w:rPr>
                            </w:pPr>
                            <w:r>
                              <w:rPr>
                                <w:w w:val="100"/>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26" w:type="dxa"/>
                          </w:tcPr>
                          <w:p>
                            <w:pPr>
                              <w:pStyle w:val="21"/>
                              <w:spacing w:before="248"/>
                              <w:ind w:left="107" w:right="-15"/>
                              <w:rPr>
                                <w:sz w:val="28"/>
                              </w:rPr>
                            </w:pPr>
                            <w:r>
                              <w:rPr>
                                <w:sz w:val="28"/>
                              </w:rPr>
                              <w:t xml:space="preserve">… </w:t>
                            </w:r>
                          </w:p>
                        </w:tc>
                        <w:tc>
                          <w:tcPr>
                            <w:tcW w:w="2713" w:type="dxa"/>
                          </w:tcPr>
                          <w:p>
                            <w:pPr>
                              <w:pStyle w:val="21"/>
                              <w:spacing w:before="248"/>
                              <w:ind w:left="107"/>
                              <w:rPr>
                                <w:sz w:val="28"/>
                              </w:rPr>
                            </w:pPr>
                            <w:r>
                              <w:rPr>
                                <w:w w:val="100"/>
                                <w:sz w:val="28"/>
                              </w:rPr>
                              <w:t xml:space="preserve"> </w:t>
                            </w:r>
                          </w:p>
                        </w:tc>
                        <w:tc>
                          <w:tcPr>
                            <w:tcW w:w="2590" w:type="dxa"/>
                          </w:tcPr>
                          <w:p>
                            <w:pPr>
                              <w:pStyle w:val="21"/>
                              <w:spacing w:before="248"/>
                              <w:ind w:left="104"/>
                              <w:rPr>
                                <w:sz w:val="28"/>
                              </w:rPr>
                            </w:pPr>
                            <w:r>
                              <w:rPr>
                                <w:w w:val="100"/>
                                <w:sz w:val="28"/>
                              </w:rPr>
                              <w:t xml:space="preserve"> </w:t>
                            </w:r>
                          </w:p>
                        </w:tc>
                        <w:tc>
                          <w:tcPr>
                            <w:tcW w:w="2701" w:type="dxa"/>
                          </w:tcPr>
                          <w:p>
                            <w:pPr>
                              <w:pStyle w:val="21"/>
                              <w:spacing w:before="248"/>
                              <w:ind w:left="104"/>
                              <w:rPr>
                                <w:sz w:val="28"/>
                              </w:rPr>
                            </w:pPr>
                            <w:r>
                              <w:rPr>
                                <w:w w:val="100"/>
                                <w:sz w:val="28"/>
                              </w:rPr>
                              <w:t xml:space="preserve"> </w:t>
                            </w:r>
                          </w:p>
                        </w:tc>
                      </w:tr>
                    </w:tbl>
                    <w:p>
                      <w:pPr>
                        <w:pStyle w:val="10"/>
                        <w:ind w:left="0"/>
                      </w:pPr>
                    </w:p>
                  </w:txbxContent>
                </v:textbox>
              </v:shape>
            </w:pict>
          </mc:Fallback>
        </mc:AlternateContent>
      </w:r>
      <w:r>
        <w:rPr>
          <w:spacing w:val="-2"/>
          <w:sz w:val="28"/>
          <w:highlight w:val="none"/>
        </w:rPr>
        <w:t>采购项目编号：</w:t>
      </w:r>
      <w:r>
        <w:rPr>
          <w:spacing w:val="-2"/>
          <w:sz w:val="28"/>
          <w:highlight w:val="none"/>
          <w:u w:val="single"/>
        </w:rPr>
        <w:t xml:space="preserve">                             </w:t>
      </w:r>
      <w:r>
        <w:rPr>
          <w:spacing w:val="-2"/>
          <w:sz w:val="28"/>
          <w:highlight w:val="none"/>
        </w:rPr>
        <w:t xml:space="preserve">      采购项目名称：</w:t>
      </w:r>
      <w:r>
        <w:rPr>
          <w:spacing w:val="-2"/>
          <w:sz w:val="28"/>
          <w:highlight w:val="none"/>
          <w:u w:val="single"/>
        </w:rPr>
        <w:t xml:space="preserve"> </w:t>
      </w:r>
      <w:r>
        <w:rPr>
          <w:sz w:val="28"/>
          <w:highlight w:val="none"/>
          <w:u w:val="single"/>
        </w:rPr>
        <w:t xml:space="preserve"> </w:t>
      </w:r>
      <w:r>
        <w:rPr>
          <w:spacing w:val="-2"/>
          <w:sz w:val="28"/>
          <w:highlight w:val="none"/>
          <w:u w:val="single"/>
        </w:rPr>
        <w:t xml:space="preserve"> </w:t>
      </w:r>
      <w:r>
        <w:rPr>
          <w:sz w:val="28"/>
          <w:highlight w:val="none"/>
          <w:u w:val="single"/>
        </w:rPr>
        <w:t xml:space="preserve"> </w:t>
      </w:r>
      <w:r>
        <w:rPr>
          <w:spacing w:val="-2"/>
          <w:sz w:val="28"/>
          <w:highlight w:val="none"/>
          <w:u w:val="single"/>
        </w:rPr>
        <w:t xml:space="preserve">  </w:t>
      </w:r>
      <w:r>
        <w:rPr>
          <w:sz w:val="28"/>
          <w:highlight w:val="none"/>
          <w:u w:val="single"/>
        </w:rPr>
        <w:t xml:space="preserve"> </w:t>
      </w:r>
      <w:r>
        <w:rPr>
          <w:spacing w:val="-2"/>
          <w:sz w:val="28"/>
          <w:highlight w:val="none"/>
          <w:u w:val="single"/>
        </w:rPr>
        <w:t xml:space="preserve">  </w:t>
      </w:r>
      <w:r>
        <w:rPr>
          <w:sz w:val="28"/>
          <w:highlight w:val="none"/>
          <w:u w:val="single"/>
        </w:rPr>
        <w:t xml:space="preserve"> </w:t>
      </w:r>
      <w:r>
        <w:rPr>
          <w:spacing w:val="-2"/>
          <w:sz w:val="28"/>
          <w:highlight w:val="none"/>
          <w:u w:val="single"/>
        </w:rPr>
        <w:t xml:space="preserve">  </w:t>
      </w:r>
      <w:r>
        <w:rPr>
          <w:sz w:val="28"/>
          <w:highlight w:val="none"/>
          <w:u w:val="single"/>
        </w:rPr>
        <w:t xml:space="preserve"> </w:t>
      </w:r>
      <w:r>
        <w:rPr>
          <w:spacing w:val="-2"/>
          <w:sz w:val="28"/>
          <w:highlight w:val="none"/>
          <w:u w:val="single"/>
        </w:rPr>
        <w:t xml:space="preserve">  </w:t>
      </w:r>
      <w:r>
        <w:rPr>
          <w:sz w:val="28"/>
          <w:highlight w:val="none"/>
          <w:u w:val="single"/>
        </w:rPr>
        <w:t xml:space="preserve"> </w:t>
      </w:r>
      <w:r>
        <w:rPr>
          <w:spacing w:val="-2"/>
          <w:sz w:val="28"/>
          <w:highlight w:val="none"/>
          <w:u w:val="single"/>
        </w:rPr>
        <w:t xml:space="preserve">  </w:t>
      </w:r>
      <w:r>
        <w:rPr>
          <w:sz w:val="28"/>
          <w:highlight w:val="none"/>
          <w:u w:val="single"/>
        </w:rPr>
        <w:t xml:space="preserve"> </w:t>
      </w:r>
      <w:r>
        <w:rPr>
          <w:spacing w:val="-2"/>
          <w:sz w:val="28"/>
          <w:highlight w:val="none"/>
          <w:u w:val="single"/>
        </w:rPr>
        <w:t xml:space="preserve"> </w:t>
      </w:r>
      <w:r>
        <w:rPr>
          <w:sz w:val="28"/>
          <w:highlight w:val="none"/>
          <w:u w:val="single"/>
        </w:rPr>
        <w:t xml:space="preserve"> </w:t>
      </w:r>
      <w:r>
        <w:rPr>
          <w:spacing w:val="-2"/>
          <w:sz w:val="28"/>
          <w:highlight w:val="none"/>
          <w:u w:val="single"/>
        </w:rPr>
        <w:t xml:space="preserve">  </w:t>
      </w:r>
      <w:r>
        <w:rPr>
          <w:sz w:val="28"/>
          <w:highlight w:val="none"/>
          <w:u w:val="single"/>
        </w:rPr>
        <w:t xml:space="preserve"> </w:t>
      </w:r>
      <w:r>
        <w:rPr>
          <w:spacing w:val="-2"/>
          <w:sz w:val="28"/>
          <w:highlight w:val="none"/>
          <w:u w:val="single"/>
        </w:rPr>
        <w:t xml:space="preserve">  </w:t>
      </w:r>
      <w:r>
        <w:rPr>
          <w:sz w:val="28"/>
          <w:highlight w:val="none"/>
          <w:u w:val="single"/>
        </w:rPr>
        <w:t xml:space="preserve"> </w:t>
      </w:r>
      <w:r>
        <w:rPr>
          <w:spacing w:val="-2"/>
          <w:sz w:val="28"/>
          <w:highlight w:val="none"/>
          <w:u w:val="single"/>
        </w:rPr>
        <w:t xml:space="preserve">  </w:t>
      </w:r>
      <w:r>
        <w:rPr>
          <w:spacing w:val="1"/>
          <w:sz w:val="28"/>
          <w:highlight w:val="none"/>
          <w:u w:val="single"/>
        </w:rPr>
        <w:t xml:space="preserve"> </w:t>
      </w:r>
      <w:r>
        <w:rPr>
          <w:sz w:val="28"/>
          <w:highlight w:val="none"/>
        </w:rPr>
        <w:t xml:space="preserve"> </w:t>
      </w: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ind w:left="0"/>
        <w:rPr>
          <w:sz w:val="28"/>
          <w:highlight w:val="none"/>
        </w:rPr>
      </w:pPr>
    </w:p>
    <w:p>
      <w:pPr>
        <w:pStyle w:val="10"/>
        <w:spacing w:before="2"/>
        <w:ind w:left="0"/>
        <w:rPr>
          <w:sz w:val="30"/>
          <w:highlight w:val="none"/>
        </w:rPr>
      </w:pPr>
    </w:p>
    <w:p>
      <w:pPr>
        <w:spacing w:before="0" w:line="333" w:lineRule="auto"/>
        <w:ind w:left="818" w:right="3384" w:firstLine="0"/>
        <w:jc w:val="left"/>
        <w:rPr>
          <w:w w:val="100"/>
          <w:sz w:val="28"/>
          <w:highlight w:val="none"/>
        </w:rPr>
      </w:pPr>
      <w:r>
        <w:rPr>
          <w:spacing w:val="-3"/>
          <w:w w:val="100"/>
          <w:sz w:val="28"/>
          <w:highlight w:val="none"/>
        </w:rPr>
        <w:t>投标人法定代表人</w:t>
      </w:r>
      <w:r>
        <w:rPr>
          <w:w w:val="100"/>
          <w:sz w:val="28"/>
          <w:highlight w:val="none"/>
        </w:rPr>
        <w:t>（</w:t>
      </w:r>
      <w:r>
        <w:rPr>
          <w:spacing w:val="-1"/>
          <w:w w:val="100"/>
          <w:sz w:val="28"/>
          <w:highlight w:val="none"/>
        </w:rPr>
        <w:t>签名</w:t>
      </w:r>
      <w:r>
        <w:rPr>
          <w:spacing w:val="-142"/>
          <w:w w:val="100"/>
          <w:sz w:val="28"/>
          <w:highlight w:val="none"/>
        </w:rPr>
        <w:t>）</w:t>
      </w:r>
      <w:r>
        <w:rPr>
          <w:w w:val="100"/>
          <w:sz w:val="28"/>
          <w:highlight w:val="none"/>
        </w:rPr>
        <w:t>：</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w w:val="100"/>
          <w:sz w:val="28"/>
          <w:highlight w:val="none"/>
        </w:rPr>
        <w:t xml:space="preserve"> </w:t>
      </w:r>
    </w:p>
    <w:p>
      <w:pPr>
        <w:spacing w:before="0" w:line="333" w:lineRule="auto"/>
        <w:ind w:left="818" w:right="3384" w:firstLine="0"/>
        <w:jc w:val="left"/>
        <w:rPr>
          <w:w w:val="100"/>
          <w:sz w:val="28"/>
          <w:highlight w:val="none"/>
        </w:rPr>
      </w:pPr>
      <w:r>
        <w:rPr>
          <w:spacing w:val="-1"/>
          <w:w w:val="100"/>
          <w:sz w:val="28"/>
          <w:highlight w:val="none"/>
        </w:rPr>
        <w:t>投标人名称</w:t>
      </w:r>
      <w:r>
        <w:rPr>
          <w:w w:val="100"/>
          <w:sz w:val="28"/>
          <w:highlight w:val="none"/>
        </w:rPr>
        <w:t>（</w:t>
      </w:r>
      <w:r>
        <w:rPr>
          <w:spacing w:val="-2"/>
          <w:w w:val="100"/>
          <w:sz w:val="28"/>
          <w:highlight w:val="none"/>
        </w:rPr>
        <w:t>签章</w:t>
      </w:r>
      <w:r>
        <w:rPr>
          <w:spacing w:val="-142"/>
          <w:w w:val="100"/>
          <w:sz w:val="28"/>
          <w:highlight w:val="none"/>
        </w:rPr>
        <w:t>）</w:t>
      </w:r>
      <w:r>
        <w:rPr>
          <w:w w:val="100"/>
          <w:sz w:val="28"/>
          <w:highlight w:val="none"/>
        </w:rPr>
        <w:t>：</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spacing w:val="-2"/>
          <w:w w:val="100"/>
          <w:sz w:val="28"/>
          <w:highlight w:val="none"/>
          <w:u w:val="single"/>
        </w:rPr>
        <w:t xml:space="preserve">  </w:t>
      </w:r>
      <w:r>
        <w:rPr>
          <w:w w:val="100"/>
          <w:sz w:val="28"/>
          <w:highlight w:val="none"/>
          <w:u w:val="single"/>
        </w:rPr>
        <w:t xml:space="preserve"> </w:t>
      </w:r>
      <w:r>
        <w:rPr>
          <w:w w:val="100"/>
          <w:sz w:val="28"/>
          <w:highlight w:val="none"/>
        </w:rPr>
        <w:t xml:space="preserve"> </w:t>
      </w:r>
    </w:p>
    <w:p>
      <w:pPr>
        <w:spacing w:before="0" w:line="333" w:lineRule="auto"/>
        <w:ind w:left="818" w:right="3384" w:firstLine="0"/>
        <w:jc w:val="left"/>
        <w:rPr>
          <w:sz w:val="28"/>
          <w:highlight w:val="none"/>
        </w:rPr>
      </w:pPr>
      <w:r>
        <w:rPr>
          <w:spacing w:val="-1"/>
          <w:sz w:val="28"/>
          <w:highlight w:val="none"/>
        </w:rPr>
        <w:t>日 期 ：</w:t>
      </w:r>
      <w:r>
        <w:rPr>
          <w:spacing w:val="-3"/>
          <w:sz w:val="28"/>
          <w:highlight w:val="none"/>
          <w:u w:val="single"/>
        </w:rPr>
        <w:t xml:space="preserve"> </w:t>
      </w:r>
      <w:r>
        <w:rPr>
          <w:rFonts w:hint="eastAsia"/>
          <w:spacing w:val="-3"/>
          <w:sz w:val="28"/>
          <w:highlight w:val="none"/>
          <w:u w:val="single"/>
          <w:lang w:val="en-US" w:eastAsia="zh-CN"/>
        </w:rPr>
        <w:t xml:space="preserve"> </w:t>
      </w:r>
      <w:r>
        <w:rPr>
          <w:sz w:val="28"/>
          <w:highlight w:val="none"/>
        </w:rPr>
        <w:t>年</w:t>
      </w:r>
      <w:r>
        <w:rPr>
          <w:spacing w:val="-3"/>
          <w:sz w:val="28"/>
          <w:highlight w:val="none"/>
          <w:u w:val="single"/>
        </w:rPr>
        <w:t xml:space="preserve"> </w:t>
      </w:r>
      <w:r>
        <w:rPr>
          <w:rFonts w:hint="eastAsia"/>
          <w:spacing w:val="-3"/>
          <w:sz w:val="28"/>
          <w:highlight w:val="none"/>
          <w:u w:val="single"/>
          <w:lang w:val="en-US" w:eastAsia="zh-CN"/>
        </w:rPr>
        <w:t xml:space="preserve"> </w:t>
      </w:r>
      <w:r>
        <w:rPr>
          <w:sz w:val="28"/>
          <w:highlight w:val="none"/>
        </w:rPr>
        <w:t>月</w:t>
      </w:r>
      <w:r>
        <w:rPr>
          <w:spacing w:val="-3"/>
          <w:sz w:val="28"/>
          <w:highlight w:val="none"/>
          <w:u w:val="single"/>
        </w:rPr>
        <w:t xml:space="preserve"> </w:t>
      </w:r>
      <w:r>
        <w:rPr>
          <w:rFonts w:hint="eastAsia"/>
          <w:spacing w:val="-3"/>
          <w:sz w:val="28"/>
          <w:highlight w:val="none"/>
          <w:u w:val="single"/>
          <w:lang w:val="en-US" w:eastAsia="zh-CN"/>
        </w:rPr>
        <w:t xml:space="preserve"> </w:t>
      </w:r>
      <w:r>
        <w:rPr>
          <w:spacing w:val="2"/>
          <w:sz w:val="28"/>
          <w:highlight w:val="none"/>
        </w:rPr>
        <w:t>日</w:t>
      </w:r>
      <w:r>
        <w:rPr>
          <w:sz w:val="28"/>
          <w:highlight w:val="none"/>
        </w:rPr>
        <w:t xml:space="preserve"> </w:t>
      </w:r>
    </w:p>
    <w:p>
      <w:pPr>
        <w:spacing w:after="0" w:line="333" w:lineRule="auto"/>
        <w:jc w:val="left"/>
        <w:rPr>
          <w:sz w:val="28"/>
          <w:highlight w:val="none"/>
        </w:rPr>
        <w:sectPr>
          <w:pgSz w:w="11910" w:h="16840"/>
          <w:pgMar w:top="1500" w:right="0" w:bottom="1180" w:left="980" w:header="0" w:footer="915" w:gutter="0"/>
          <w:cols w:space="720" w:num="1"/>
        </w:sectPr>
      </w:pPr>
    </w:p>
    <w:p>
      <w:pPr>
        <w:pStyle w:val="5"/>
        <w:spacing w:before="0" w:line="510" w:lineRule="exact"/>
        <w:outlineLvl w:val="0"/>
        <w:rPr>
          <w:highlight w:val="none"/>
        </w:rPr>
      </w:pPr>
      <w:bookmarkStart w:id="97" w:name="十二、投标人自行编写的技术文件"/>
      <w:bookmarkEnd w:id="97"/>
      <w:bookmarkStart w:id="98" w:name="_Toc13933"/>
      <w:r>
        <w:rPr>
          <w:highlight w:val="none"/>
        </w:rPr>
        <w:t>十二、投标人自行编写的技术文件</w:t>
      </w:r>
      <w:bookmarkEnd w:id="98"/>
    </w:p>
    <w:p>
      <w:pPr>
        <w:spacing w:before="35"/>
        <w:ind w:left="818" w:right="0" w:firstLine="0"/>
        <w:jc w:val="left"/>
        <w:rPr>
          <w:rFonts w:hint="eastAsia" w:ascii="Microsoft JhengHei" w:eastAsia="Microsoft JhengHei"/>
          <w:b/>
          <w:sz w:val="32"/>
          <w:highlight w:val="none"/>
        </w:rPr>
      </w:pPr>
      <w:r>
        <w:rPr>
          <w:rFonts w:hint="eastAsia" w:ascii="Microsoft JhengHei" w:eastAsia="Microsoft JhengHei"/>
          <w:b/>
          <w:sz w:val="32"/>
          <w:highlight w:val="none"/>
        </w:rPr>
        <w:t>投标人自行编写的技术文件</w:t>
      </w:r>
    </w:p>
    <w:p>
      <w:pPr>
        <w:pStyle w:val="10"/>
        <w:spacing w:before="116"/>
        <w:rPr>
          <w:highlight w:val="none"/>
        </w:rPr>
      </w:pPr>
      <w:r>
        <w:rPr>
          <w:highlight w:val="none"/>
        </w:rPr>
        <w:t>①针对本项目的综合说明（含服务理念、工作目标、整体设想和策划</w:t>
      </w:r>
      <w:r>
        <w:rPr>
          <w:spacing w:val="-120"/>
          <w:highlight w:val="none"/>
        </w:rPr>
        <w:t>）</w:t>
      </w:r>
      <w:r>
        <w:rPr>
          <w:spacing w:val="1"/>
          <w:highlight w:val="none"/>
        </w:rPr>
        <w:t>；</w:t>
      </w:r>
      <w:r>
        <w:rPr>
          <w:highlight w:val="none"/>
        </w:rPr>
        <w:t xml:space="preserve"> </w:t>
      </w:r>
    </w:p>
    <w:p>
      <w:pPr>
        <w:pStyle w:val="10"/>
        <w:spacing w:before="160"/>
        <w:rPr>
          <w:highlight w:val="none"/>
        </w:rPr>
      </w:pPr>
      <w:r>
        <w:rPr>
          <w:highlight w:val="none"/>
        </w:rPr>
        <w:t xml:space="preserve"> </w:t>
      </w:r>
    </w:p>
    <w:p>
      <w:pPr>
        <w:pStyle w:val="10"/>
        <w:spacing w:before="161"/>
        <w:rPr>
          <w:highlight w:val="none"/>
        </w:rPr>
      </w:pPr>
      <w:r>
        <w:rPr>
          <w:highlight w:val="none"/>
        </w:rPr>
        <w:t xml:space="preserve">②简单方案说明或总体方案设计； </w:t>
      </w:r>
    </w:p>
    <w:p>
      <w:pPr>
        <w:pStyle w:val="10"/>
        <w:spacing w:before="160"/>
        <w:rPr>
          <w:highlight w:val="none"/>
        </w:rPr>
      </w:pPr>
      <w:r>
        <w:rPr>
          <w:highlight w:val="none"/>
        </w:rPr>
        <w:t xml:space="preserve"> </w:t>
      </w:r>
    </w:p>
    <w:p>
      <w:pPr>
        <w:pStyle w:val="10"/>
        <w:spacing w:before="161"/>
        <w:rPr>
          <w:highlight w:val="none"/>
        </w:rPr>
      </w:pPr>
      <w:r>
        <w:rPr>
          <w:highlight w:val="none"/>
        </w:rPr>
        <w:t xml:space="preserve">③项目组织和管理； </w:t>
      </w:r>
    </w:p>
    <w:p>
      <w:pPr>
        <w:pStyle w:val="10"/>
        <w:spacing w:before="161"/>
        <w:rPr>
          <w:highlight w:val="none"/>
        </w:rPr>
      </w:pPr>
      <w:r>
        <w:rPr>
          <w:highlight w:val="none"/>
        </w:rPr>
        <w:t xml:space="preserve"> </w:t>
      </w:r>
    </w:p>
    <w:p>
      <w:pPr>
        <w:pStyle w:val="10"/>
        <w:spacing w:before="160"/>
        <w:rPr>
          <w:highlight w:val="none"/>
        </w:rPr>
      </w:pPr>
      <w:r>
        <w:rPr>
          <w:highlight w:val="none"/>
        </w:rPr>
        <w:t xml:space="preserve">④质量、进度、安全相关保障措施； </w:t>
      </w:r>
    </w:p>
    <w:p>
      <w:pPr>
        <w:pStyle w:val="10"/>
        <w:spacing w:before="161"/>
        <w:rPr>
          <w:highlight w:val="none"/>
        </w:rPr>
      </w:pPr>
      <w:r>
        <w:rPr>
          <w:highlight w:val="none"/>
        </w:rPr>
        <w:t xml:space="preserve"> </w:t>
      </w:r>
    </w:p>
    <w:p>
      <w:pPr>
        <w:pStyle w:val="10"/>
        <w:spacing w:before="160" w:line="364" w:lineRule="auto"/>
        <w:ind w:right="1792"/>
        <w:jc w:val="both"/>
        <w:rPr>
          <w:highlight w:val="none"/>
        </w:rPr>
      </w:pPr>
      <w:r>
        <w:rPr>
          <w:spacing w:val="-9"/>
          <w:highlight w:val="none"/>
        </w:rPr>
        <w:t>⑤项目管理机构：要求提供项目管理机构框图、人员配备方案及岗位职责和职业</w:t>
      </w:r>
      <w:r>
        <w:rPr>
          <w:spacing w:val="-11"/>
          <w:highlight w:val="none"/>
        </w:rPr>
        <w:t>资格</w:t>
      </w:r>
      <w:r>
        <w:rPr>
          <w:highlight w:val="none"/>
        </w:rPr>
        <w:t>（</w:t>
      </w:r>
      <w:r>
        <w:rPr>
          <w:spacing w:val="-6"/>
          <w:highlight w:val="none"/>
        </w:rPr>
        <w:t>含管理层的设置，主要技术人员的人数和职责，各部门的设置、职责和拟</w:t>
      </w:r>
      <w:r>
        <w:rPr>
          <w:highlight w:val="none"/>
        </w:rPr>
        <w:t>安排的人数</w:t>
      </w:r>
      <w:r>
        <w:rPr>
          <w:spacing w:val="-120"/>
          <w:highlight w:val="none"/>
        </w:rPr>
        <w:t>）</w:t>
      </w:r>
      <w:r>
        <w:rPr>
          <w:spacing w:val="-1"/>
          <w:highlight w:val="none"/>
        </w:rPr>
        <w:t>；</w:t>
      </w:r>
      <w:r>
        <w:rPr>
          <w:highlight w:val="none"/>
        </w:rPr>
        <w:t xml:space="preserve"> </w:t>
      </w:r>
    </w:p>
    <w:p>
      <w:pPr>
        <w:pStyle w:val="10"/>
        <w:spacing w:before="2"/>
        <w:rPr>
          <w:highlight w:val="none"/>
        </w:rPr>
      </w:pPr>
      <w:r>
        <w:rPr>
          <w:highlight w:val="none"/>
        </w:rPr>
        <w:t xml:space="preserve"> </w:t>
      </w:r>
    </w:p>
    <w:p>
      <w:pPr>
        <w:pStyle w:val="10"/>
        <w:spacing w:before="161"/>
        <w:rPr>
          <w:highlight w:val="none"/>
        </w:rPr>
      </w:pPr>
      <w:r>
        <w:rPr>
          <w:highlight w:val="none"/>
        </w:rPr>
        <w:t xml:space="preserve">⑥完成服务所需的工具、设备等资源配置； </w:t>
      </w:r>
    </w:p>
    <w:p>
      <w:pPr>
        <w:pStyle w:val="10"/>
        <w:spacing w:before="161"/>
        <w:rPr>
          <w:highlight w:val="none"/>
        </w:rPr>
      </w:pPr>
      <w:r>
        <w:rPr>
          <w:highlight w:val="none"/>
        </w:rPr>
        <w:t xml:space="preserve"> </w:t>
      </w:r>
    </w:p>
    <w:p>
      <w:pPr>
        <w:pStyle w:val="10"/>
        <w:spacing w:before="160"/>
        <w:rPr>
          <w:highlight w:val="none"/>
        </w:rPr>
      </w:pPr>
      <w:r>
        <w:rPr>
          <w:highlight w:val="none"/>
        </w:rPr>
        <w:t xml:space="preserve">⑦技术规范偏离表； </w:t>
      </w:r>
    </w:p>
    <w:p>
      <w:pPr>
        <w:spacing w:before="181"/>
        <w:ind w:left="818" w:right="0" w:firstLine="0"/>
        <w:jc w:val="left"/>
        <w:rPr>
          <w:sz w:val="21"/>
          <w:highlight w:val="none"/>
        </w:rPr>
      </w:pPr>
      <w:r>
        <w:rPr>
          <w:sz w:val="21"/>
          <w:highlight w:val="none"/>
        </w:rPr>
        <w:t>项目编号、包号：</w:t>
      </w:r>
      <w:r>
        <w:rPr>
          <w:sz w:val="21"/>
          <w:highlight w:val="none"/>
          <w:u w:val="single"/>
        </w:rPr>
        <w:t xml:space="preserve">                     </w:t>
      </w:r>
      <w:r>
        <w:rPr>
          <w:sz w:val="21"/>
          <w:highlight w:val="none"/>
        </w:rPr>
        <w:t xml:space="preserve"> </w:t>
      </w:r>
    </w:p>
    <w:p>
      <w:pPr>
        <w:pStyle w:val="10"/>
        <w:spacing w:before="1" w:after="1"/>
        <w:ind w:left="0"/>
        <w:rPr>
          <w:sz w:val="17"/>
          <w:highlight w:val="none"/>
        </w:rPr>
      </w:pPr>
    </w:p>
    <w:tbl>
      <w:tblPr>
        <w:tblStyle w:val="16"/>
        <w:tblW w:w="0" w:type="auto"/>
        <w:tblInd w:w="27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56"/>
        <w:gridCol w:w="2101"/>
        <w:gridCol w:w="1023"/>
        <w:gridCol w:w="1707"/>
        <w:gridCol w:w="1337"/>
        <w:gridCol w:w="1338"/>
        <w:gridCol w:w="9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956" w:type="dxa"/>
            <w:tcBorders>
              <w:bottom w:val="single" w:color="000000" w:sz="4" w:space="0"/>
              <w:right w:val="single" w:color="000000" w:sz="4" w:space="0"/>
            </w:tcBorders>
          </w:tcPr>
          <w:p>
            <w:pPr>
              <w:pStyle w:val="21"/>
              <w:spacing w:before="6"/>
              <w:rPr>
                <w:sz w:val="24"/>
                <w:highlight w:val="none"/>
              </w:rPr>
            </w:pPr>
          </w:p>
          <w:p>
            <w:pPr>
              <w:pStyle w:val="21"/>
              <w:ind w:left="277" w:right="139"/>
              <w:jc w:val="center"/>
              <w:rPr>
                <w:sz w:val="24"/>
                <w:highlight w:val="none"/>
              </w:rPr>
            </w:pPr>
            <w:r>
              <w:rPr>
                <w:sz w:val="24"/>
                <w:highlight w:val="none"/>
              </w:rPr>
              <w:t xml:space="preserve">序号 </w:t>
            </w:r>
          </w:p>
        </w:tc>
        <w:tc>
          <w:tcPr>
            <w:tcW w:w="2101" w:type="dxa"/>
            <w:tcBorders>
              <w:left w:val="single" w:color="000000" w:sz="4" w:space="0"/>
              <w:bottom w:val="single" w:color="000000" w:sz="4" w:space="0"/>
              <w:right w:val="single" w:color="000000" w:sz="4" w:space="0"/>
            </w:tcBorders>
          </w:tcPr>
          <w:p>
            <w:pPr>
              <w:pStyle w:val="21"/>
              <w:spacing w:before="6"/>
              <w:rPr>
                <w:sz w:val="24"/>
                <w:highlight w:val="none"/>
              </w:rPr>
            </w:pPr>
          </w:p>
          <w:p>
            <w:pPr>
              <w:pStyle w:val="21"/>
              <w:ind w:left="255" w:right="115"/>
              <w:jc w:val="center"/>
              <w:rPr>
                <w:sz w:val="24"/>
                <w:highlight w:val="none"/>
              </w:rPr>
            </w:pPr>
            <w:r>
              <w:rPr>
                <w:sz w:val="24"/>
                <w:highlight w:val="none"/>
              </w:rPr>
              <w:t xml:space="preserve">服务名称及编号 </w:t>
            </w:r>
          </w:p>
        </w:tc>
        <w:tc>
          <w:tcPr>
            <w:tcW w:w="1023" w:type="dxa"/>
            <w:tcBorders>
              <w:left w:val="single" w:color="000000" w:sz="4" w:space="0"/>
              <w:bottom w:val="single" w:color="000000" w:sz="4" w:space="0"/>
              <w:right w:val="single" w:color="000000" w:sz="4" w:space="0"/>
            </w:tcBorders>
          </w:tcPr>
          <w:p>
            <w:pPr>
              <w:pStyle w:val="21"/>
              <w:spacing w:before="6"/>
              <w:rPr>
                <w:sz w:val="24"/>
                <w:highlight w:val="none"/>
              </w:rPr>
            </w:pPr>
          </w:p>
          <w:p>
            <w:pPr>
              <w:pStyle w:val="21"/>
              <w:ind w:left="317" w:right="176"/>
              <w:jc w:val="center"/>
              <w:rPr>
                <w:sz w:val="24"/>
                <w:highlight w:val="none"/>
              </w:rPr>
            </w:pPr>
            <w:r>
              <w:rPr>
                <w:sz w:val="24"/>
                <w:highlight w:val="none"/>
              </w:rPr>
              <w:t xml:space="preserve">数量 </w:t>
            </w:r>
          </w:p>
        </w:tc>
        <w:tc>
          <w:tcPr>
            <w:tcW w:w="1707" w:type="dxa"/>
            <w:tcBorders>
              <w:left w:val="single" w:color="000000" w:sz="4" w:space="0"/>
              <w:bottom w:val="single" w:color="000000" w:sz="4" w:space="0"/>
              <w:right w:val="single" w:color="000000" w:sz="4" w:space="0"/>
            </w:tcBorders>
          </w:tcPr>
          <w:p>
            <w:pPr>
              <w:pStyle w:val="21"/>
              <w:spacing w:before="78"/>
              <w:ind w:right="117"/>
              <w:jc w:val="right"/>
              <w:rPr>
                <w:sz w:val="24"/>
                <w:highlight w:val="none"/>
              </w:rPr>
            </w:pPr>
            <w:r>
              <w:rPr>
                <w:sz w:val="24"/>
                <w:highlight w:val="none"/>
              </w:rPr>
              <w:t>招标文件技术</w:t>
            </w:r>
          </w:p>
          <w:p>
            <w:pPr>
              <w:pStyle w:val="21"/>
              <w:spacing w:before="161"/>
              <w:ind w:right="118"/>
              <w:jc w:val="right"/>
              <w:rPr>
                <w:sz w:val="24"/>
                <w:highlight w:val="none"/>
              </w:rPr>
            </w:pPr>
            <w:r>
              <w:rPr>
                <w:sz w:val="24"/>
                <w:highlight w:val="none"/>
              </w:rPr>
              <w:t xml:space="preserve">规范、要求 </w:t>
            </w:r>
          </w:p>
        </w:tc>
        <w:tc>
          <w:tcPr>
            <w:tcW w:w="1337" w:type="dxa"/>
            <w:tcBorders>
              <w:left w:val="single" w:color="000000" w:sz="4" w:space="0"/>
              <w:bottom w:val="single" w:color="000000" w:sz="4" w:space="0"/>
              <w:right w:val="single" w:color="000000" w:sz="4" w:space="0"/>
            </w:tcBorders>
          </w:tcPr>
          <w:p>
            <w:pPr>
              <w:pStyle w:val="21"/>
              <w:spacing w:before="78"/>
              <w:ind w:left="195"/>
              <w:rPr>
                <w:sz w:val="24"/>
                <w:highlight w:val="none"/>
              </w:rPr>
            </w:pPr>
            <w:r>
              <w:rPr>
                <w:sz w:val="24"/>
                <w:highlight w:val="none"/>
              </w:rPr>
              <w:t>投标文件</w:t>
            </w:r>
          </w:p>
          <w:p>
            <w:pPr>
              <w:pStyle w:val="21"/>
              <w:spacing w:before="161"/>
              <w:ind w:left="195"/>
              <w:rPr>
                <w:sz w:val="24"/>
                <w:highlight w:val="none"/>
              </w:rPr>
            </w:pPr>
            <w:r>
              <w:rPr>
                <w:sz w:val="24"/>
                <w:highlight w:val="none"/>
              </w:rPr>
              <w:t xml:space="preserve">对应规范 </w:t>
            </w:r>
          </w:p>
        </w:tc>
        <w:tc>
          <w:tcPr>
            <w:tcW w:w="1338" w:type="dxa"/>
            <w:tcBorders>
              <w:left w:val="single" w:color="000000" w:sz="4" w:space="0"/>
              <w:bottom w:val="single" w:color="000000" w:sz="4" w:space="0"/>
              <w:right w:val="single" w:color="000000" w:sz="4" w:space="0"/>
            </w:tcBorders>
          </w:tcPr>
          <w:p>
            <w:pPr>
              <w:pStyle w:val="21"/>
              <w:spacing w:before="6"/>
              <w:rPr>
                <w:sz w:val="24"/>
                <w:highlight w:val="none"/>
              </w:rPr>
            </w:pPr>
          </w:p>
          <w:p>
            <w:pPr>
              <w:pStyle w:val="21"/>
              <w:ind w:left="475" w:right="333"/>
              <w:jc w:val="center"/>
              <w:rPr>
                <w:sz w:val="24"/>
                <w:highlight w:val="none"/>
              </w:rPr>
            </w:pPr>
            <w:r>
              <w:rPr>
                <w:sz w:val="24"/>
                <w:highlight w:val="none"/>
              </w:rPr>
              <w:t xml:space="preserve">偏差 </w:t>
            </w:r>
          </w:p>
        </w:tc>
        <w:tc>
          <w:tcPr>
            <w:tcW w:w="977" w:type="dxa"/>
            <w:tcBorders>
              <w:left w:val="single" w:color="000000" w:sz="4" w:space="0"/>
              <w:bottom w:val="single" w:color="000000" w:sz="4" w:space="0"/>
            </w:tcBorders>
          </w:tcPr>
          <w:p>
            <w:pPr>
              <w:pStyle w:val="21"/>
              <w:spacing w:before="6"/>
              <w:rPr>
                <w:sz w:val="24"/>
                <w:highlight w:val="none"/>
              </w:rPr>
            </w:pPr>
          </w:p>
          <w:p>
            <w:pPr>
              <w:pStyle w:val="21"/>
              <w:ind w:left="172" w:right="21"/>
              <w:jc w:val="center"/>
              <w:rPr>
                <w:sz w:val="24"/>
                <w:highlight w:val="none"/>
              </w:rPr>
            </w:pPr>
            <w:r>
              <w:rPr>
                <w:sz w:val="24"/>
                <w:highlight w:val="none"/>
              </w:rPr>
              <w:t xml:space="preserve">备注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956" w:type="dxa"/>
            <w:tcBorders>
              <w:top w:val="single" w:color="000000" w:sz="4" w:space="0"/>
              <w:bottom w:val="single" w:color="000000" w:sz="4" w:space="0"/>
              <w:right w:val="single" w:color="000000" w:sz="4" w:space="0"/>
            </w:tcBorders>
          </w:tcPr>
          <w:p>
            <w:pPr>
              <w:pStyle w:val="21"/>
              <w:spacing w:before="1"/>
              <w:rPr>
                <w:sz w:val="21"/>
                <w:highlight w:val="none"/>
              </w:rPr>
            </w:pPr>
          </w:p>
          <w:p>
            <w:pPr>
              <w:pStyle w:val="21"/>
              <w:spacing w:before="1"/>
              <w:ind w:left="138"/>
              <w:jc w:val="center"/>
              <w:rPr>
                <w:sz w:val="24"/>
                <w:highlight w:val="none"/>
              </w:rPr>
            </w:pPr>
            <w:r>
              <w:rPr>
                <w:sz w:val="24"/>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tcPr>
          <w:p>
            <w:pPr>
              <w:pStyle w:val="21"/>
              <w:spacing w:before="1"/>
              <w:rPr>
                <w:sz w:val="21"/>
                <w:highlight w:val="none"/>
              </w:rPr>
            </w:pPr>
          </w:p>
          <w:p>
            <w:pPr>
              <w:pStyle w:val="21"/>
              <w:spacing w:before="1"/>
              <w:ind w:left="139"/>
              <w:jc w:val="center"/>
              <w:rPr>
                <w:sz w:val="24"/>
                <w:highlight w:val="none"/>
              </w:rPr>
            </w:pPr>
            <w:r>
              <w:rPr>
                <w:sz w:val="24"/>
                <w:highlight w:val="none"/>
              </w:rPr>
              <w:t xml:space="preserve"> </w:t>
            </w:r>
          </w:p>
        </w:tc>
        <w:tc>
          <w:tcPr>
            <w:tcW w:w="1023" w:type="dxa"/>
            <w:tcBorders>
              <w:top w:val="single" w:color="000000" w:sz="4" w:space="0"/>
              <w:left w:val="single" w:color="000000" w:sz="4" w:space="0"/>
              <w:bottom w:val="single" w:color="000000" w:sz="4" w:space="0"/>
              <w:right w:val="single" w:color="000000" w:sz="4" w:space="0"/>
            </w:tcBorders>
          </w:tcPr>
          <w:p>
            <w:pPr>
              <w:pStyle w:val="21"/>
              <w:spacing w:before="1"/>
              <w:rPr>
                <w:sz w:val="21"/>
                <w:highlight w:val="none"/>
              </w:rPr>
            </w:pPr>
          </w:p>
          <w:p>
            <w:pPr>
              <w:pStyle w:val="21"/>
              <w:spacing w:before="1"/>
              <w:ind w:left="141"/>
              <w:jc w:val="center"/>
              <w:rPr>
                <w:sz w:val="24"/>
                <w:highlight w:val="none"/>
              </w:rPr>
            </w:pPr>
            <w:r>
              <w:rPr>
                <w:sz w:val="24"/>
                <w:highlight w:val="none"/>
              </w:rPr>
              <w:t xml:space="preserve"> </w:t>
            </w:r>
          </w:p>
        </w:tc>
        <w:tc>
          <w:tcPr>
            <w:tcW w:w="1707" w:type="dxa"/>
            <w:tcBorders>
              <w:top w:val="single" w:color="000000" w:sz="4" w:space="0"/>
              <w:left w:val="single" w:color="000000" w:sz="4" w:space="0"/>
              <w:bottom w:val="single" w:color="000000" w:sz="4" w:space="0"/>
              <w:right w:val="single" w:color="000000" w:sz="4" w:space="0"/>
            </w:tcBorders>
          </w:tcPr>
          <w:p>
            <w:pPr>
              <w:pStyle w:val="21"/>
              <w:spacing w:before="1"/>
              <w:rPr>
                <w:sz w:val="21"/>
                <w:highlight w:val="none"/>
              </w:rPr>
            </w:pPr>
          </w:p>
          <w:p>
            <w:pPr>
              <w:pStyle w:val="21"/>
              <w:spacing w:before="1"/>
              <w:ind w:right="717"/>
              <w:jc w:val="right"/>
              <w:rPr>
                <w:sz w:val="24"/>
                <w:highlight w:val="none"/>
              </w:rPr>
            </w:pPr>
            <w:r>
              <w:rPr>
                <w:sz w:val="24"/>
                <w:highlight w:val="none"/>
              </w:rPr>
              <w:t xml:space="preserve"> </w:t>
            </w:r>
          </w:p>
        </w:tc>
        <w:tc>
          <w:tcPr>
            <w:tcW w:w="1337" w:type="dxa"/>
            <w:tcBorders>
              <w:top w:val="single" w:color="000000" w:sz="4" w:space="0"/>
              <w:left w:val="single" w:color="000000" w:sz="4" w:space="0"/>
              <w:bottom w:val="single" w:color="000000" w:sz="4" w:space="0"/>
              <w:right w:val="single" w:color="000000" w:sz="4" w:space="0"/>
            </w:tcBorders>
          </w:tcPr>
          <w:p>
            <w:pPr>
              <w:pStyle w:val="21"/>
              <w:spacing w:before="1"/>
              <w:rPr>
                <w:sz w:val="21"/>
                <w:highlight w:val="none"/>
              </w:rPr>
            </w:pPr>
          </w:p>
          <w:p>
            <w:pPr>
              <w:pStyle w:val="21"/>
              <w:spacing w:before="1"/>
              <w:ind w:right="531"/>
              <w:jc w:val="right"/>
              <w:rPr>
                <w:sz w:val="24"/>
                <w:highlight w:val="none"/>
              </w:rPr>
            </w:pPr>
            <w:r>
              <w:rPr>
                <w:sz w:val="24"/>
                <w:highlight w:val="none"/>
              </w:rPr>
              <w:t xml:space="preserve"> </w:t>
            </w:r>
          </w:p>
        </w:tc>
        <w:tc>
          <w:tcPr>
            <w:tcW w:w="1338" w:type="dxa"/>
            <w:tcBorders>
              <w:top w:val="single" w:color="000000" w:sz="4" w:space="0"/>
              <w:left w:val="single" w:color="000000" w:sz="4" w:space="0"/>
              <w:bottom w:val="single" w:color="000000" w:sz="4" w:space="0"/>
              <w:right w:val="single" w:color="000000" w:sz="4" w:space="0"/>
            </w:tcBorders>
          </w:tcPr>
          <w:p>
            <w:pPr>
              <w:pStyle w:val="21"/>
              <w:spacing w:before="1"/>
              <w:rPr>
                <w:sz w:val="21"/>
                <w:highlight w:val="none"/>
              </w:rPr>
            </w:pPr>
          </w:p>
          <w:p>
            <w:pPr>
              <w:pStyle w:val="21"/>
              <w:spacing w:before="1"/>
              <w:ind w:left="142"/>
              <w:jc w:val="center"/>
              <w:rPr>
                <w:sz w:val="24"/>
                <w:highlight w:val="none"/>
              </w:rPr>
            </w:pPr>
            <w:r>
              <w:rPr>
                <w:sz w:val="24"/>
                <w:highlight w:val="none"/>
              </w:rPr>
              <w:t xml:space="preserve"> </w:t>
            </w:r>
          </w:p>
        </w:tc>
        <w:tc>
          <w:tcPr>
            <w:tcW w:w="977" w:type="dxa"/>
            <w:tcBorders>
              <w:top w:val="single" w:color="000000" w:sz="4" w:space="0"/>
              <w:left w:val="single" w:color="000000" w:sz="4" w:space="0"/>
              <w:bottom w:val="single" w:color="000000" w:sz="4" w:space="0"/>
            </w:tcBorders>
          </w:tcPr>
          <w:p>
            <w:pPr>
              <w:pStyle w:val="21"/>
              <w:spacing w:before="1"/>
              <w:rPr>
                <w:sz w:val="21"/>
                <w:highlight w:val="none"/>
              </w:rPr>
            </w:pPr>
          </w:p>
          <w:p>
            <w:pPr>
              <w:pStyle w:val="21"/>
              <w:spacing w:before="1"/>
              <w:ind w:left="151"/>
              <w:jc w:val="center"/>
              <w:rPr>
                <w:sz w:val="24"/>
                <w:highlight w:val="none"/>
              </w:rPr>
            </w:pPr>
            <w:r>
              <w:rPr>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2" w:hRule="atLeast"/>
        </w:trPr>
        <w:tc>
          <w:tcPr>
            <w:tcW w:w="956" w:type="dxa"/>
            <w:tcBorders>
              <w:top w:val="single" w:color="000000" w:sz="4" w:space="0"/>
              <w:bottom w:val="single" w:color="000000" w:sz="4" w:space="0"/>
              <w:right w:val="single" w:color="000000" w:sz="4" w:space="0"/>
            </w:tcBorders>
          </w:tcPr>
          <w:p>
            <w:pPr>
              <w:pStyle w:val="21"/>
              <w:spacing w:before="2"/>
              <w:rPr>
                <w:sz w:val="21"/>
                <w:highlight w:val="none"/>
              </w:rPr>
            </w:pPr>
          </w:p>
          <w:p>
            <w:pPr>
              <w:pStyle w:val="21"/>
              <w:ind w:left="138"/>
              <w:jc w:val="center"/>
              <w:rPr>
                <w:sz w:val="24"/>
                <w:highlight w:val="none"/>
              </w:rPr>
            </w:pPr>
            <w:r>
              <w:rPr>
                <w:sz w:val="24"/>
                <w:highlight w:val="none"/>
              </w:rPr>
              <w:t xml:space="preserve"> </w:t>
            </w:r>
          </w:p>
        </w:tc>
        <w:tc>
          <w:tcPr>
            <w:tcW w:w="2101" w:type="dxa"/>
            <w:tcBorders>
              <w:top w:val="single" w:color="000000" w:sz="4" w:space="0"/>
              <w:left w:val="single" w:color="000000" w:sz="4" w:space="0"/>
              <w:bottom w:val="single" w:color="000000" w:sz="4" w:space="0"/>
              <w:right w:val="single" w:color="000000" w:sz="4" w:space="0"/>
            </w:tcBorders>
          </w:tcPr>
          <w:p>
            <w:pPr>
              <w:pStyle w:val="21"/>
              <w:spacing w:before="2"/>
              <w:rPr>
                <w:sz w:val="21"/>
                <w:highlight w:val="none"/>
              </w:rPr>
            </w:pPr>
          </w:p>
          <w:p>
            <w:pPr>
              <w:pStyle w:val="21"/>
              <w:ind w:left="139"/>
              <w:jc w:val="center"/>
              <w:rPr>
                <w:sz w:val="24"/>
                <w:highlight w:val="none"/>
              </w:rPr>
            </w:pPr>
            <w:r>
              <w:rPr>
                <w:sz w:val="24"/>
                <w:highlight w:val="none"/>
              </w:rPr>
              <w:t xml:space="preserve"> </w:t>
            </w:r>
          </w:p>
        </w:tc>
        <w:tc>
          <w:tcPr>
            <w:tcW w:w="1023" w:type="dxa"/>
            <w:tcBorders>
              <w:top w:val="single" w:color="000000" w:sz="4" w:space="0"/>
              <w:left w:val="single" w:color="000000" w:sz="4" w:space="0"/>
              <w:bottom w:val="single" w:color="000000" w:sz="4" w:space="0"/>
              <w:right w:val="single" w:color="000000" w:sz="4" w:space="0"/>
            </w:tcBorders>
          </w:tcPr>
          <w:p>
            <w:pPr>
              <w:pStyle w:val="21"/>
              <w:spacing w:before="2"/>
              <w:rPr>
                <w:sz w:val="21"/>
                <w:highlight w:val="none"/>
              </w:rPr>
            </w:pPr>
          </w:p>
          <w:p>
            <w:pPr>
              <w:pStyle w:val="21"/>
              <w:ind w:left="141"/>
              <w:jc w:val="center"/>
              <w:rPr>
                <w:sz w:val="24"/>
                <w:highlight w:val="none"/>
              </w:rPr>
            </w:pPr>
            <w:r>
              <w:rPr>
                <w:sz w:val="24"/>
                <w:highlight w:val="none"/>
              </w:rPr>
              <w:t xml:space="preserve"> </w:t>
            </w:r>
          </w:p>
        </w:tc>
        <w:tc>
          <w:tcPr>
            <w:tcW w:w="1707" w:type="dxa"/>
            <w:tcBorders>
              <w:top w:val="single" w:color="000000" w:sz="4" w:space="0"/>
              <w:left w:val="single" w:color="000000" w:sz="4" w:space="0"/>
              <w:bottom w:val="single" w:color="000000" w:sz="4" w:space="0"/>
              <w:right w:val="single" w:color="000000" w:sz="4" w:space="0"/>
            </w:tcBorders>
          </w:tcPr>
          <w:p>
            <w:pPr>
              <w:pStyle w:val="21"/>
              <w:spacing w:before="2"/>
              <w:rPr>
                <w:sz w:val="21"/>
                <w:highlight w:val="none"/>
              </w:rPr>
            </w:pPr>
          </w:p>
          <w:p>
            <w:pPr>
              <w:pStyle w:val="21"/>
              <w:ind w:right="717"/>
              <w:jc w:val="right"/>
              <w:rPr>
                <w:sz w:val="24"/>
                <w:highlight w:val="none"/>
              </w:rPr>
            </w:pPr>
            <w:r>
              <w:rPr>
                <w:sz w:val="24"/>
                <w:highlight w:val="none"/>
              </w:rPr>
              <w:t xml:space="preserve"> </w:t>
            </w:r>
          </w:p>
        </w:tc>
        <w:tc>
          <w:tcPr>
            <w:tcW w:w="1337" w:type="dxa"/>
            <w:tcBorders>
              <w:top w:val="single" w:color="000000" w:sz="4" w:space="0"/>
              <w:left w:val="single" w:color="000000" w:sz="4" w:space="0"/>
              <w:bottom w:val="single" w:color="000000" w:sz="4" w:space="0"/>
              <w:right w:val="single" w:color="000000" w:sz="4" w:space="0"/>
            </w:tcBorders>
          </w:tcPr>
          <w:p>
            <w:pPr>
              <w:pStyle w:val="21"/>
              <w:spacing w:before="2"/>
              <w:rPr>
                <w:sz w:val="21"/>
                <w:highlight w:val="none"/>
              </w:rPr>
            </w:pPr>
          </w:p>
          <w:p>
            <w:pPr>
              <w:pStyle w:val="21"/>
              <w:ind w:right="531"/>
              <w:jc w:val="right"/>
              <w:rPr>
                <w:sz w:val="24"/>
                <w:highlight w:val="none"/>
              </w:rPr>
            </w:pPr>
            <w:r>
              <w:rPr>
                <w:sz w:val="24"/>
                <w:highlight w:val="none"/>
              </w:rPr>
              <w:t xml:space="preserve"> </w:t>
            </w:r>
          </w:p>
        </w:tc>
        <w:tc>
          <w:tcPr>
            <w:tcW w:w="1338" w:type="dxa"/>
            <w:tcBorders>
              <w:top w:val="single" w:color="000000" w:sz="4" w:space="0"/>
              <w:left w:val="single" w:color="000000" w:sz="4" w:space="0"/>
              <w:bottom w:val="single" w:color="000000" w:sz="4" w:space="0"/>
              <w:right w:val="single" w:color="000000" w:sz="4" w:space="0"/>
            </w:tcBorders>
          </w:tcPr>
          <w:p>
            <w:pPr>
              <w:pStyle w:val="21"/>
              <w:spacing w:before="2"/>
              <w:rPr>
                <w:sz w:val="21"/>
                <w:highlight w:val="none"/>
              </w:rPr>
            </w:pPr>
          </w:p>
          <w:p>
            <w:pPr>
              <w:pStyle w:val="21"/>
              <w:ind w:left="142"/>
              <w:jc w:val="center"/>
              <w:rPr>
                <w:sz w:val="24"/>
                <w:highlight w:val="none"/>
              </w:rPr>
            </w:pPr>
            <w:r>
              <w:rPr>
                <w:sz w:val="24"/>
                <w:highlight w:val="none"/>
              </w:rPr>
              <w:t xml:space="preserve"> </w:t>
            </w:r>
          </w:p>
        </w:tc>
        <w:tc>
          <w:tcPr>
            <w:tcW w:w="977" w:type="dxa"/>
            <w:tcBorders>
              <w:top w:val="single" w:color="000000" w:sz="4" w:space="0"/>
              <w:left w:val="single" w:color="000000" w:sz="4" w:space="0"/>
              <w:bottom w:val="single" w:color="000000" w:sz="4" w:space="0"/>
            </w:tcBorders>
          </w:tcPr>
          <w:p>
            <w:pPr>
              <w:pStyle w:val="21"/>
              <w:spacing w:before="2"/>
              <w:rPr>
                <w:sz w:val="21"/>
                <w:highlight w:val="none"/>
              </w:rPr>
            </w:pPr>
          </w:p>
          <w:p>
            <w:pPr>
              <w:pStyle w:val="21"/>
              <w:ind w:left="151"/>
              <w:jc w:val="center"/>
              <w:rPr>
                <w:sz w:val="24"/>
                <w:highlight w:val="none"/>
              </w:rPr>
            </w:pPr>
            <w:r>
              <w:rPr>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8" w:hRule="atLeast"/>
        </w:trPr>
        <w:tc>
          <w:tcPr>
            <w:tcW w:w="956" w:type="dxa"/>
            <w:tcBorders>
              <w:top w:val="single" w:color="000000" w:sz="4" w:space="0"/>
              <w:right w:val="single" w:color="000000" w:sz="4" w:space="0"/>
            </w:tcBorders>
          </w:tcPr>
          <w:p>
            <w:pPr>
              <w:pStyle w:val="21"/>
              <w:spacing w:before="1"/>
              <w:rPr>
                <w:sz w:val="21"/>
                <w:highlight w:val="none"/>
              </w:rPr>
            </w:pPr>
          </w:p>
          <w:p>
            <w:pPr>
              <w:pStyle w:val="21"/>
              <w:spacing w:before="1"/>
              <w:ind w:left="138"/>
              <w:jc w:val="center"/>
              <w:rPr>
                <w:sz w:val="24"/>
                <w:highlight w:val="none"/>
              </w:rPr>
            </w:pPr>
            <w:r>
              <w:rPr>
                <w:sz w:val="24"/>
                <w:highlight w:val="none"/>
              </w:rPr>
              <w:t xml:space="preserve"> </w:t>
            </w:r>
          </w:p>
        </w:tc>
        <w:tc>
          <w:tcPr>
            <w:tcW w:w="2101" w:type="dxa"/>
            <w:tcBorders>
              <w:top w:val="single" w:color="000000" w:sz="4" w:space="0"/>
              <w:left w:val="single" w:color="000000" w:sz="4" w:space="0"/>
              <w:right w:val="single" w:color="000000" w:sz="4" w:space="0"/>
            </w:tcBorders>
          </w:tcPr>
          <w:p>
            <w:pPr>
              <w:pStyle w:val="21"/>
              <w:spacing w:before="1"/>
              <w:rPr>
                <w:sz w:val="21"/>
                <w:highlight w:val="none"/>
              </w:rPr>
            </w:pPr>
          </w:p>
          <w:p>
            <w:pPr>
              <w:pStyle w:val="21"/>
              <w:spacing w:before="1"/>
              <w:ind w:left="139"/>
              <w:jc w:val="center"/>
              <w:rPr>
                <w:sz w:val="24"/>
                <w:highlight w:val="none"/>
              </w:rPr>
            </w:pPr>
            <w:r>
              <w:rPr>
                <w:sz w:val="24"/>
                <w:highlight w:val="none"/>
              </w:rPr>
              <w:t xml:space="preserve"> </w:t>
            </w:r>
          </w:p>
        </w:tc>
        <w:tc>
          <w:tcPr>
            <w:tcW w:w="1023" w:type="dxa"/>
            <w:tcBorders>
              <w:top w:val="single" w:color="000000" w:sz="4" w:space="0"/>
              <w:left w:val="single" w:color="000000" w:sz="4" w:space="0"/>
              <w:right w:val="single" w:color="000000" w:sz="4" w:space="0"/>
            </w:tcBorders>
          </w:tcPr>
          <w:p>
            <w:pPr>
              <w:pStyle w:val="21"/>
              <w:spacing w:before="1"/>
              <w:rPr>
                <w:sz w:val="21"/>
                <w:highlight w:val="none"/>
              </w:rPr>
            </w:pPr>
          </w:p>
          <w:p>
            <w:pPr>
              <w:pStyle w:val="21"/>
              <w:spacing w:before="1"/>
              <w:ind w:left="141"/>
              <w:jc w:val="center"/>
              <w:rPr>
                <w:sz w:val="24"/>
                <w:highlight w:val="none"/>
              </w:rPr>
            </w:pPr>
            <w:r>
              <w:rPr>
                <w:sz w:val="24"/>
                <w:highlight w:val="none"/>
              </w:rPr>
              <w:t xml:space="preserve"> </w:t>
            </w:r>
          </w:p>
        </w:tc>
        <w:tc>
          <w:tcPr>
            <w:tcW w:w="1707" w:type="dxa"/>
            <w:tcBorders>
              <w:top w:val="single" w:color="000000" w:sz="4" w:space="0"/>
              <w:left w:val="single" w:color="000000" w:sz="4" w:space="0"/>
              <w:right w:val="single" w:color="000000" w:sz="4" w:space="0"/>
            </w:tcBorders>
          </w:tcPr>
          <w:p>
            <w:pPr>
              <w:pStyle w:val="21"/>
              <w:spacing w:before="1"/>
              <w:rPr>
                <w:sz w:val="21"/>
                <w:highlight w:val="none"/>
              </w:rPr>
            </w:pPr>
          </w:p>
          <w:p>
            <w:pPr>
              <w:pStyle w:val="21"/>
              <w:spacing w:before="1"/>
              <w:ind w:right="717"/>
              <w:jc w:val="right"/>
              <w:rPr>
                <w:sz w:val="24"/>
                <w:highlight w:val="none"/>
              </w:rPr>
            </w:pPr>
            <w:r>
              <w:rPr>
                <w:sz w:val="24"/>
                <w:highlight w:val="none"/>
              </w:rPr>
              <w:t xml:space="preserve"> </w:t>
            </w:r>
          </w:p>
        </w:tc>
        <w:tc>
          <w:tcPr>
            <w:tcW w:w="1337" w:type="dxa"/>
            <w:tcBorders>
              <w:top w:val="single" w:color="000000" w:sz="4" w:space="0"/>
              <w:left w:val="single" w:color="000000" w:sz="4" w:space="0"/>
              <w:right w:val="single" w:color="000000" w:sz="4" w:space="0"/>
            </w:tcBorders>
          </w:tcPr>
          <w:p>
            <w:pPr>
              <w:pStyle w:val="21"/>
              <w:spacing w:before="1"/>
              <w:rPr>
                <w:sz w:val="21"/>
                <w:highlight w:val="none"/>
              </w:rPr>
            </w:pPr>
          </w:p>
          <w:p>
            <w:pPr>
              <w:pStyle w:val="21"/>
              <w:spacing w:before="1"/>
              <w:ind w:right="531"/>
              <w:jc w:val="right"/>
              <w:rPr>
                <w:sz w:val="24"/>
                <w:highlight w:val="none"/>
              </w:rPr>
            </w:pPr>
            <w:r>
              <w:rPr>
                <w:sz w:val="24"/>
                <w:highlight w:val="none"/>
              </w:rPr>
              <w:t xml:space="preserve"> </w:t>
            </w:r>
          </w:p>
        </w:tc>
        <w:tc>
          <w:tcPr>
            <w:tcW w:w="1338" w:type="dxa"/>
            <w:tcBorders>
              <w:top w:val="single" w:color="000000" w:sz="4" w:space="0"/>
              <w:left w:val="single" w:color="000000" w:sz="4" w:space="0"/>
              <w:right w:val="single" w:color="000000" w:sz="4" w:space="0"/>
            </w:tcBorders>
          </w:tcPr>
          <w:p>
            <w:pPr>
              <w:pStyle w:val="21"/>
              <w:spacing w:before="1"/>
              <w:rPr>
                <w:sz w:val="21"/>
                <w:highlight w:val="none"/>
              </w:rPr>
            </w:pPr>
          </w:p>
          <w:p>
            <w:pPr>
              <w:pStyle w:val="21"/>
              <w:spacing w:before="1"/>
              <w:ind w:left="142"/>
              <w:jc w:val="center"/>
              <w:rPr>
                <w:sz w:val="24"/>
                <w:highlight w:val="none"/>
              </w:rPr>
            </w:pPr>
            <w:r>
              <w:rPr>
                <w:sz w:val="24"/>
                <w:highlight w:val="none"/>
              </w:rPr>
              <w:t xml:space="preserve"> </w:t>
            </w:r>
          </w:p>
        </w:tc>
        <w:tc>
          <w:tcPr>
            <w:tcW w:w="977" w:type="dxa"/>
            <w:tcBorders>
              <w:top w:val="single" w:color="000000" w:sz="4" w:space="0"/>
              <w:left w:val="single" w:color="000000" w:sz="4" w:space="0"/>
            </w:tcBorders>
          </w:tcPr>
          <w:p>
            <w:pPr>
              <w:pStyle w:val="21"/>
              <w:spacing w:before="1"/>
              <w:rPr>
                <w:sz w:val="21"/>
                <w:highlight w:val="none"/>
              </w:rPr>
            </w:pPr>
          </w:p>
          <w:p>
            <w:pPr>
              <w:pStyle w:val="21"/>
              <w:spacing w:before="1"/>
              <w:ind w:left="151"/>
              <w:jc w:val="center"/>
              <w:rPr>
                <w:sz w:val="24"/>
                <w:highlight w:val="none"/>
              </w:rPr>
            </w:pPr>
            <w:r>
              <w:rPr>
                <w:sz w:val="24"/>
                <w:highlight w:val="none"/>
              </w:rPr>
              <w:t xml:space="preserve"> </w:t>
            </w:r>
          </w:p>
        </w:tc>
      </w:tr>
    </w:tbl>
    <w:p>
      <w:pPr>
        <w:pStyle w:val="10"/>
        <w:spacing w:before="81" w:line="364" w:lineRule="auto"/>
        <w:ind w:left="820" w:right="1795"/>
        <w:rPr>
          <w:spacing w:val="-16"/>
          <w:highlight w:val="none"/>
        </w:rPr>
      </w:pPr>
      <w:r>
        <w:rPr>
          <w:spacing w:val="-19"/>
          <w:highlight w:val="none"/>
        </w:rPr>
        <w:t>说明：如投标人提交的服务技术规范与招标文件的要求存在偏离，需逐项填写《技</w:t>
      </w:r>
      <w:r>
        <w:rPr>
          <w:spacing w:val="-16"/>
          <w:highlight w:val="none"/>
        </w:rPr>
        <w:t xml:space="preserve">术规范偏离表》。 </w:t>
      </w:r>
    </w:p>
    <w:p>
      <w:pPr>
        <w:pStyle w:val="10"/>
        <w:spacing w:before="81" w:line="364" w:lineRule="auto"/>
        <w:ind w:left="820" w:right="1795" w:firstLine="6960" w:firstLineChars="2900"/>
        <w:rPr>
          <w:highlight w:val="none"/>
        </w:rPr>
      </w:pPr>
      <w:r>
        <w:rPr>
          <w:highlight w:val="none"/>
        </w:rPr>
        <w:t xml:space="preserve">年 月 日 </w:t>
      </w:r>
    </w:p>
    <w:p>
      <w:pPr>
        <w:spacing w:after="0"/>
        <w:jc w:val="right"/>
        <w:rPr>
          <w:highlight w:val="none"/>
        </w:rPr>
        <w:sectPr>
          <w:pgSz w:w="11910" w:h="16840"/>
          <w:pgMar w:top="1460" w:right="0" w:bottom="1180" w:left="980" w:header="0" w:footer="915" w:gutter="0"/>
          <w:cols w:space="720" w:num="1"/>
        </w:sectPr>
      </w:pPr>
    </w:p>
    <w:p>
      <w:pPr>
        <w:pStyle w:val="5"/>
        <w:spacing w:before="0" w:line="510" w:lineRule="exact"/>
        <w:outlineLvl w:val="0"/>
        <w:rPr>
          <w:highlight w:val="none"/>
        </w:rPr>
      </w:pPr>
      <w:bookmarkStart w:id="99" w:name="十三、投标人自行编写的服务文件"/>
      <w:bookmarkEnd w:id="99"/>
      <w:bookmarkStart w:id="100" w:name="_Toc3443"/>
      <w:r>
        <w:rPr>
          <w:highlight w:val="none"/>
        </w:rPr>
        <w:t>十三、投标人自行编写的服务文件</w:t>
      </w:r>
      <w:bookmarkEnd w:id="100"/>
    </w:p>
    <w:p>
      <w:pPr>
        <w:spacing w:before="35"/>
        <w:ind w:left="818" w:right="0" w:firstLine="0"/>
        <w:jc w:val="left"/>
        <w:rPr>
          <w:rFonts w:hint="eastAsia" w:ascii="Microsoft JhengHei" w:eastAsia="Microsoft JhengHei"/>
          <w:b/>
          <w:sz w:val="32"/>
          <w:highlight w:val="none"/>
        </w:rPr>
      </w:pPr>
      <w:r>
        <w:rPr>
          <w:rFonts w:hint="eastAsia" w:ascii="Microsoft JhengHei" w:eastAsia="Microsoft JhengHei"/>
          <w:b/>
          <w:sz w:val="32"/>
          <w:highlight w:val="none"/>
        </w:rPr>
        <w:t>投标人自行编写的服务文件</w:t>
      </w:r>
    </w:p>
    <w:p>
      <w:pPr>
        <w:pStyle w:val="10"/>
        <w:spacing w:before="116"/>
        <w:rPr>
          <w:rFonts w:hint="eastAsia" w:eastAsia="宋体"/>
          <w:highlight w:val="none"/>
          <w:lang w:eastAsia="zh-CN"/>
        </w:rPr>
      </w:pPr>
      <w:r>
        <w:rPr>
          <w:highlight w:val="none"/>
        </w:rPr>
        <w:t>①后续服务</w:t>
      </w:r>
      <w:r>
        <w:rPr>
          <w:rFonts w:hint="eastAsia"/>
          <w:highlight w:val="none"/>
          <w:lang w:eastAsia="zh-CN"/>
        </w:rPr>
        <w:t>：</w:t>
      </w:r>
    </w:p>
    <w:p>
      <w:pPr>
        <w:pStyle w:val="10"/>
        <w:spacing w:before="160"/>
        <w:rPr>
          <w:highlight w:val="none"/>
        </w:rPr>
      </w:pPr>
      <w:r>
        <w:rPr>
          <w:highlight w:val="none"/>
        </w:rPr>
        <w:t xml:space="preserve">&lt;1&gt;后续服务的程序、内容、措施以及合理化建议； </w:t>
      </w:r>
    </w:p>
    <w:p>
      <w:pPr>
        <w:pStyle w:val="10"/>
        <w:spacing w:before="161"/>
        <w:rPr>
          <w:highlight w:val="none"/>
        </w:rPr>
      </w:pPr>
      <w:r>
        <w:rPr>
          <w:highlight w:val="none"/>
        </w:rPr>
        <w:t xml:space="preserve">&lt;2&gt;响应时间和技术支持情况； </w:t>
      </w:r>
    </w:p>
    <w:p>
      <w:pPr>
        <w:pStyle w:val="10"/>
        <w:spacing w:before="160"/>
        <w:rPr>
          <w:highlight w:val="none"/>
        </w:rPr>
      </w:pPr>
      <w:r>
        <w:rPr>
          <w:highlight w:val="none"/>
        </w:rPr>
        <w:t xml:space="preserve">&lt;3&gt;培训方案及内容； </w:t>
      </w:r>
    </w:p>
    <w:p>
      <w:pPr>
        <w:spacing w:after="0"/>
        <w:rPr>
          <w:highlight w:val="none"/>
        </w:rPr>
        <w:sectPr>
          <w:pgSz w:w="11910" w:h="16840"/>
          <w:pgMar w:top="1500" w:right="0" w:bottom="1180" w:left="980" w:header="0" w:footer="915" w:gutter="0"/>
          <w:cols w:space="720" w:num="1"/>
        </w:sectPr>
      </w:pPr>
    </w:p>
    <w:p>
      <w:pPr>
        <w:pStyle w:val="10"/>
        <w:spacing w:before="40" w:line="364" w:lineRule="auto"/>
        <w:ind w:right="1795"/>
        <w:rPr>
          <w:highlight w:val="none"/>
        </w:rPr>
      </w:pPr>
      <w:r>
        <w:rPr>
          <w:spacing w:val="-2"/>
          <w:highlight w:val="none"/>
        </w:rPr>
        <w:t>②后续服务网点明细表</w:t>
      </w:r>
      <w:r>
        <w:rPr>
          <w:highlight w:val="none"/>
        </w:rPr>
        <w:t>（</w:t>
      </w:r>
      <w:r>
        <w:rPr>
          <w:spacing w:val="-6"/>
          <w:highlight w:val="none"/>
        </w:rPr>
        <w:t>包括联系人、详细地址、电话、传真</w:t>
      </w:r>
      <w:r>
        <w:rPr>
          <w:spacing w:val="-17"/>
          <w:highlight w:val="none"/>
        </w:rPr>
        <w:t>）</w:t>
      </w:r>
      <w:r>
        <w:rPr>
          <w:spacing w:val="-4"/>
          <w:highlight w:val="none"/>
        </w:rPr>
        <w:t>及本地化服务情</w:t>
      </w:r>
      <w:r>
        <w:rPr>
          <w:highlight w:val="none"/>
        </w:rPr>
        <w:t>况一览表；</w:t>
      </w:r>
      <w:r>
        <w:rPr>
          <w:color w:val="0000FF"/>
          <w:highlight w:val="none"/>
        </w:rPr>
        <w:t xml:space="preserve"> </w:t>
      </w:r>
    </w:p>
    <w:p>
      <w:pPr>
        <w:pStyle w:val="10"/>
        <w:spacing w:before="2"/>
        <w:rPr>
          <w:highlight w:val="none"/>
        </w:rPr>
      </w:pPr>
      <w:r>
        <w:rPr>
          <w:highlight w:val="none"/>
        </w:rPr>
        <w:t xml:space="preserve"> </w:t>
      </w:r>
    </w:p>
    <w:p>
      <w:pPr>
        <w:pStyle w:val="10"/>
        <w:spacing w:before="161"/>
        <w:rPr>
          <w:highlight w:val="none"/>
        </w:rPr>
      </w:pPr>
      <w:r>
        <w:rPr>
          <w:highlight w:val="none"/>
        </w:rPr>
        <w:t xml:space="preserve">附本地化服务一览表： </w:t>
      </w:r>
    </w:p>
    <w:p>
      <w:pPr>
        <w:pStyle w:val="10"/>
        <w:spacing w:before="4"/>
        <w:ind w:left="0"/>
        <w:rPr>
          <w:sz w:val="6"/>
          <w:highlight w:val="none"/>
        </w:rPr>
      </w:pPr>
    </w:p>
    <w:tbl>
      <w:tblPr>
        <w:tblStyle w:val="16"/>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1"/>
        <w:gridCol w:w="2940"/>
        <w:gridCol w:w="2179"/>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01" w:type="dxa"/>
          </w:tcPr>
          <w:p>
            <w:pPr>
              <w:pStyle w:val="21"/>
              <w:spacing w:before="79"/>
              <w:ind w:left="146" w:right="16"/>
              <w:jc w:val="center"/>
              <w:rPr>
                <w:sz w:val="24"/>
                <w:highlight w:val="none"/>
              </w:rPr>
            </w:pPr>
            <w:r>
              <w:rPr>
                <w:sz w:val="24"/>
                <w:highlight w:val="none"/>
              </w:rPr>
              <w:t xml:space="preserve">投标人名称 </w:t>
            </w:r>
          </w:p>
        </w:tc>
        <w:tc>
          <w:tcPr>
            <w:tcW w:w="7692" w:type="dxa"/>
            <w:gridSpan w:val="3"/>
          </w:tcPr>
          <w:p>
            <w:pPr>
              <w:pStyle w:val="21"/>
              <w:spacing w:before="79"/>
              <w:ind w:left="108"/>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901" w:type="dxa"/>
          </w:tcPr>
          <w:p>
            <w:pPr>
              <w:pStyle w:val="21"/>
              <w:spacing w:before="6"/>
              <w:rPr>
                <w:sz w:val="24"/>
                <w:highlight w:val="none"/>
              </w:rPr>
            </w:pPr>
          </w:p>
          <w:p>
            <w:pPr>
              <w:pStyle w:val="21"/>
              <w:ind w:left="155" w:right="16"/>
              <w:jc w:val="center"/>
              <w:rPr>
                <w:sz w:val="24"/>
                <w:highlight w:val="none"/>
              </w:rPr>
            </w:pPr>
            <w:r>
              <w:rPr>
                <w:sz w:val="24"/>
                <w:highlight w:val="none"/>
              </w:rPr>
              <w:t xml:space="preserve">本地化服务形式 </w:t>
            </w:r>
          </w:p>
        </w:tc>
        <w:tc>
          <w:tcPr>
            <w:tcW w:w="7692" w:type="dxa"/>
            <w:gridSpan w:val="3"/>
          </w:tcPr>
          <w:p>
            <w:pPr>
              <w:pStyle w:val="21"/>
              <w:spacing w:before="79"/>
              <w:ind w:left="108"/>
              <w:rPr>
                <w:sz w:val="24"/>
                <w:highlight w:val="none"/>
              </w:rPr>
            </w:pPr>
            <w:r>
              <w:rPr>
                <w:sz w:val="24"/>
                <w:highlight w:val="none"/>
              </w:rPr>
              <w:t xml:space="preserve">□ 在本地具有固定的合作伙伴 </w:t>
            </w:r>
          </w:p>
          <w:p>
            <w:pPr>
              <w:pStyle w:val="21"/>
              <w:spacing w:before="160"/>
              <w:ind w:left="108"/>
              <w:rPr>
                <w:sz w:val="24"/>
                <w:highlight w:val="none"/>
              </w:rPr>
            </w:pPr>
            <w:r>
              <w:rPr>
                <w:sz w:val="24"/>
                <w:highlight w:val="none"/>
              </w:rPr>
              <w:t xml:space="preserve">□ 在本地注册成立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593" w:type="dxa"/>
            <w:gridSpan w:val="4"/>
          </w:tcPr>
          <w:p>
            <w:pPr>
              <w:pStyle w:val="21"/>
              <w:spacing w:line="441" w:lineRule="exact"/>
              <w:ind w:left="108"/>
              <w:rPr>
                <w:rFonts w:hint="eastAsia" w:ascii="Microsoft JhengHei" w:eastAsia="Microsoft JhengHei"/>
                <w:b/>
                <w:sz w:val="24"/>
                <w:highlight w:val="none"/>
              </w:rPr>
            </w:pPr>
            <w:r>
              <w:rPr>
                <w:rFonts w:hint="eastAsia" w:ascii="Microsoft JhengHei" w:eastAsia="Microsoft JhengHei"/>
                <w:b/>
                <w:sz w:val="24"/>
                <w:highlight w:val="none"/>
              </w:rPr>
              <w:t>以下本地注册的公司无需填写</w:t>
            </w:r>
            <w:r>
              <w:rPr>
                <w:rFonts w:hint="eastAsia" w:ascii="Microsoft JhengHei" w:eastAsia="Microsoft JhengHei"/>
                <w:b/>
                <w:w w:val="2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901" w:type="dxa"/>
          </w:tcPr>
          <w:p>
            <w:pPr>
              <w:pStyle w:val="21"/>
              <w:spacing w:before="82"/>
              <w:ind w:left="110"/>
              <w:rPr>
                <w:sz w:val="24"/>
                <w:highlight w:val="none"/>
              </w:rPr>
            </w:pPr>
            <w:r>
              <w:rPr>
                <w:sz w:val="24"/>
                <w:highlight w:val="none"/>
              </w:rPr>
              <w:t>本地化服务地点</w:t>
            </w:r>
          </w:p>
          <w:p>
            <w:pPr>
              <w:pStyle w:val="21"/>
              <w:spacing w:before="160"/>
              <w:ind w:left="350"/>
              <w:rPr>
                <w:sz w:val="24"/>
                <w:highlight w:val="none"/>
              </w:rPr>
            </w:pPr>
            <w:r>
              <w:rPr>
                <w:sz w:val="24"/>
                <w:highlight w:val="none"/>
              </w:rPr>
              <w:t xml:space="preserve">及联系方式 </w:t>
            </w:r>
          </w:p>
        </w:tc>
        <w:tc>
          <w:tcPr>
            <w:tcW w:w="2940" w:type="dxa"/>
          </w:tcPr>
          <w:p>
            <w:pPr>
              <w:pStyle w:val="21"/>
              <w:spacing w:before="7"/>
              <w:rPr>
                <w:sz w:val="24"/>
                <w:highlight w:val="none"/>
              </w:rPr>
            </w:pPr>
          </w:p>
          <w:p>
            <w:pPr>
              <w:pStyle w:val="21"/>
              <w:ind w:left="128"/>
              <w:jc w:val="center"/>
              <w:rPr>
                <w:sz w:val="24"/>
                <w:highlight w:val="none"/>
              </w:rPr>
            </w:pPr>
            <w:r>
              <w:rPr>
                <w:sz w:val="24"/>
                <w:highlight w:val="none"/>
              </w:rPr>
              <w:t xml:space="preserve"> </w:t>
            </w:r>
          </w:p>
        </w:tc>
        <w:tc>
          <w:tcPr>
            <w:tcW w:w="2179" w:type="dxa"/>
          </w:tcPr>
          <w:p>
            <w:pPr>
              <w:pStyle w:val="21"/>
              <w:spacing w:before="82"/>
              <w:ind w:left="130"/>
              <w:rPr>
                <w:sz w:val="24"/>
                <w:highlight w:val="none"/>
              </w:rPr>
            </w:pPr>
            <w:r>
              <w:rPr>
                <w:sz w:val="24"/>
                <w:highlight w:val="none"/>
              </w:rPr>
              <w:t>负责人及联系方式</w:t>
            </w:r>
          </w:p>
          <w:p>
            <w:pPr>
              <w:pStyle w:val="21"/>
              <w:spacing w:before="160"/>
              <w:ind w:left="130" w:right="-15"/>
              <w:rPr>
                <w:sz w:val="24"/>
                <w:highlight w:val="none"/>
              </w:rPr>
            </w:pPr>
            <w:r>
              <w:rPr>
                <w:sz w:val="24"/>
                <w:highlight w:val="none"/>
              </w:rPr>
              <w:t xml:space="preserve">（附身份证号码） </w:t>
            </w:r>
          </w:p>
        </w:tc>
        <w:tc>
          <w:tcPr>
            <w:tcW w:w="2573" w:type="dxa"/>
          </w:tcPr>
          <w:p>
            <w:pPr>
              <w:pStyle w:val="21"/>
              <w:spacing w:before="82"/>
              <w:ind w:left="109"/>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93" w:type="dxa"/>
            <w:gridSpan w:val="4"/>
          </w:tcPr>
          <w:p>
            <w:pPr>
              <w:pStyle w:val="21"/>
              <w:spacing w:before="79"/>
              <w:ind w:left="108"/>
              <w:rPr>
                <w:sz w:val="24"/>
                <w:highlight w:val="none"/>
              </w:rPr>
            </w:pPr>
            <w:r>
              <w:rPr>
                <w:sz w:val="24"/>
                <w:highlight w:val="none"/>
              </w:rPr>
              <w:t>服务人员名单及联系方式（附身份证号码</w:t>
            </w:r>
            <w:r>
              <w:rPr>
                <w:spacing w:val="-120"/>
                <w:sz w:val="24"/>
                <w:highlight w:val="none"/>
              </w:rPr>
              <w:t>）</w:t>
            </w:r>
            <w:r>
              <w:rPr>
                <w:sz w:val="24"/>
                <w:highlight w:val="none"/>
              </w:rPr>
              <w:t xml:space="preserve">： </w:t>
            </w:r>
          </w:p>
          <w:p>
            <w:pPr>
              <w:pStyle w:val="21"/>
              <w:spacing w:before="160"/>
              <w:ind w:left="108"/>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93" w:type="dxa"/>
            <w:gridSpan w:val="4"/>
          </w:tcPr>
          <w:p>
            <w:pPr>
              <w:pStyle w:val="21"/>
              <w:spacing w:before="79"/>
              <w:ind w:left="108"/>
              <w:rPr>
                <w:sz w:val="24"/>
                <w:highlight w:val="none"/>
              </w:rPr>
            </w:pPr>
            <w:r>
              <w:rPr>
                <w:sz w:val="24"/>
                <w:highlight w:val="none"/>
              </w:rPr>
              <w:t>其他有关证明文件说明（如营业执照等</w:t>
            </w:r>
            <w:r>
              <w:rPr>
                <w:spacing w:val="-120"/>
                <w:sz w:val="24"/>
                <w:highlight w:val="none"/>
              </w:rPr>
              <w:t>）</w:t>
            </w:r>
            <w:r>
              <w:rPr>
                <w:sz w:val="24"/>
                <w:highlight w:val="none"/>
              </w:rPr>
              <w:t xml:space="preserve">： </w:t>
            </w:r>
          </w:p>
          <w:p>
            <w:pPr>
              <w:pStyle w:val="21"/>
              <w:spacing w:before="160"/>
              <w:ind w:left="108"/>
              <w:rPr>
                <w:sz w:val="24"/>
                <w:highlight w:val="none"/>
              </w:rPr>
            </w:pPr>
            <w:r>
              <w:rPr>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9593" w:type="dxa"/>
            <w:gridSpan w:val="4"/>
          </w:tcPr>
          <w:p>
            <w:pPr>
              <w:pStyle w:val="21"/>
              <w:spacing w:before="79" w:line="364" w:lineRule="auto"/>
              <w:ind w:left="108" w:right="98"/>
              <w:rPr>
                <w:sz w:val="24"/>
                <w:highlight w:val="none"/>
              </w:rPr>
            </w:pPr>
            <w:r>
              <w:rPr>
                <w:spacing w:val="-7"/>
                <w:sz w:val="24"/>
                <w:highlight w:val="none"/>
              </w:rPr>
              <w:t>备注：</w:t>
            </w:r>
            <w:r>
              <w:rPr>
                <w:spacing w:val="-19"/>
                <w:sz w:val="24"/>
                <w:highlight w:val="none"/>
              </w:rPr>
              <w:t>1</w:t>
            </w:r>
            <w:r>
              <w:rPr>
                <w:spacing w:val="-9"/>
                <w:sz w:val="24"/>
                <w:highlight w:val="none"/>
              </w:rPr>
              <w:t>、具有合作伙伴的应填写合作伙伴的相关资料，并提供双方的合作协议以及合作伙</w:t>
            </w:r>
            <w:r>
              <w:rPr>
                <w:sz w:val="24"/>
                <w:highlight w:val="none"/>
              </w:rPr>
              <w:t xml:space="preserve">伴的营业执照等证明文件。 </w:t>
            </w:r>
          </w:p>
          <w:p>
            <w:pPr>
              <w:pStyle w:val="21"/>
              <w:spacing w:before="1"/>
              <w:ind w:left="830"/>
              <w:rPr>
                <w:sz w:val="24"/>
                <w:highlight w:val="none"/>
              </w:rPr>
            </w:pPr>
            <w:r>
              <w:rPr>
                <w:sz w:val="24"/>
                <w:highlight w:val="none"/>
              </w:rPr>
              <w:t xml:space="preserve">2、如供应商不能提供本地化服务，可不填报。 </w:t>
            </w:r>
          </w:p>
        </w:tc>
      </w:tr>
    </w:tbl>
    <w:p>
      <w:pPr>
        <w:pStyle w:val="10"/>
        <w:spacing w:before="79"/>
        <w:rPr>
          <w:highlight w:val="none"/>
        </w:rPr>
      </w:pPr>
      <w:r>
        <w:rPr>
          <w:color w:val="0000FF"/>
          <w:highlight w:val="none"/>
        </w:rPr>
        <w:t xml:space="preserve"> </w:t>
      </w:r>
    </w:p>
    <w:p>
      <w:pPr>
        <w:spacing w:after="0"/>
        <w:rPr>
          <w:highlight w:val="none"/>
        </w:rPr>
        <w:sectPr>
          <w:pgSz w:w="11910" w:h="16840"/>
          <w:pgMar w:top="1460" w:right="0" w:bottom="1180" w:left="980" w:header="0" w:footer="915" w:gutter="0"/>
          <w:cols w:space="720" w:num="1"/>
        </w:sectPr>
      </w:pPr>
    </w:p>
    <w:p>
      <w:pPr>
        <w:pStyle w:val="7"/>
        <w:spacing w:line="403" w:lineRule="exact"/>
        <w:rPr>
          <w:highlight w:val="none"/>
        </w:rPr>
      </w:pPr>
      <w:r>
        <w:rPr>
          <w:rFonts w:hint="eastAsia" w:ascii="宋体" w:hAnsi="宋体" w:eastAsia="宋体"/>
          <w:b w:val="0"/>
          <w:highlight w:val="none"/>
        </w:rPr>
        <w:t>③</w:t>
      </w:r>
      <w:r>
        <w:rPr>
          <w:highlight w:val="none"/>
        </w:rPr>
        <w:t>服务项目偏离表</w:t>
      </w:r>
      <w:r>
        <w:rPr>
          <w:w w:val="200"/>
          <w:highlight w:val="none"/>
        </w:rPr>
        <w:t xml:space="preserve"> </w:t>
      </w:r>
    </w:p>
    <w:p>
      <w:pPr>
        <w:spacing w:before="126"/>
        <w:ind w:left="818" w:right="0" w:firstLine="0"/>
        <w:jc w:val="left"/>
        <w:rPr>
          <w:sz w:val="21"/>
          <w:highlight w:val="none"/>
        </w:rPr>
      </w:pPr>
      <w:r>
        <w:rPr>
          <w:sz w:val="21"/>
          <w:highlight w:val="none"/>
        </w:rPr>
        <w:t>项目编号、包号：</w:t>
      </w:r>
      <w:r>
        <w:rPr>
          <w:sz w:val="21"/>
          <w:highlight w:val="none"/>
          <w:u w:val="single"/>
        </w:rPr>
        <w:t xml:space="preserve">                     </w:t>
      </w:r>
      <w:r>
        <w:rPr>
          <w:sz w:val="21"/>
          <w:highlight w:val="none"/>
        </w:rPr>
        <w:t xml:space="preserve"> </w:t>
      </w:r>
    </w:p>
    <w:p>
      <w:pPr>
        <w:pStyle w:val="10"/>
        <w:spacing w:before="2"/>
        <w:ind w:left="0"/>
        <w:rPr>
          <w:sz w:val="17"/>
          <w:highlight w:val="none"/>
        </w:rPr>
      </w:pPr>
    </w:p>
    <w:tbl>
      <w:tblPr>
        <w:tblStyle w:val="16"/>
        <w:tblW w:w="0" w:type="auto"/>
        <w:tblInd w:w="50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47"/>
        <w:gridCol w:w="1527"/>
        <w:gridCol w:w="2676"/>
        <w:gridCol w:w="2482"/>
        <w:gridCol w:w="114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147" w:type="dxa"/>
            <w:tcBorders>
              <w:bottom w:val="single" w:color="000000" w:sz="4" w:space="0"/>
              <w:right w:val="single" w:color="000000" w:sz="4" w:space="0"/>
            </w:tcBorders>
          </w:tcPr>
          <w:p>
            <w:pPr>
              <w:pStyle w:val="21"/>
              <w:spacing w:before="6"/>
              <w:rPr>
                <w:sz w:val="24"/>
                <w:highlight w:val="none"/>
              </w:rPr>
            </w:pPr>
          </w:p>
          <w:p>
            <w:pPr>
              <w:pStyle w:val="21"/>
              <w:ind w:left="361" w:right="223"/>
              <w:jc w:val="center"/>
              <w:rPr>
                <w:sz w:val="24"/>
                <w:highlight w:val="none"/>
              </w:rPr>
            </w:pPr>
            <w:r>
              <w:rPr>
                <w:sz w:val="24"/>
                <w:highlight w:val="none"/>
              </w:rPr>
              <w:t xml:space="preserve">序号 </w:t>
            </w:r>
          </w:p>
        </w:tc>
        <w:tc>
          <w:tcPr>
            <w:tcW w:w="1527" w:type="dxa"/>
            <w:tcBorders>
              <w:left w:val="single" w:color="000000" w:sz="4" w:space="0"/>
              <w:bottom w:val="single" w:color="000000" w:sz="4" w:space="0"/>
              <w:right w:val="single" w:color="000000" w:sz="4" w:space="0"/>
            </w:tcBorders>
          </w:tcPr>
          <w:p>
            <w:pPr>
              <w:pStyle w:val="21"/>
              <w:spacing w:before="78"/>
              <w:ind w:left="330" w:right="186"/>
              <w:jc w:val="center"/>
              <w:rPr>
                <w:sz w:val="24"/>
                <w:highlight w:val="none"/>
              </w:rPr>
            </w:pPr>
            <w:r>
              <w:rPr>
                <w:sz w:val="24"/>
                <w:highlight w:val="none"/>
              </w:rPr>
              <w:t xml:space="preserve">招标文件 </w:t>
            </w:r>
          </w:p>
          <w:p>
            <w:pPr>
              <w:pStyle w:val="21"/>
              <w:spacing w:before="161"/>
              <w:ind w:left="329" w:right="186"/>
              <w:jc w:val="center"/>
              <w:rPr>
                <w:sz w:val="24"/>
                <w:highlight w:val="none"/>
              </w:rPr>
            </w:pPr>
            <w:r>
              <w:rPr>
                <w:sz w:val="24"/>
                <w:highlight w:val="none"/>
              </w:rPr>
              <w:t xml:space="preserve">条款号 </w:t>
            </w:r>
          </w:p>
        </w:tc>
        <w:tc>
          <w:tcPr>
            <w:tcW w:w="2676" w:type="dxa"/>
            <w:tcBorders>
              <w:left w:val="single" w:color="000000" w:sz="4" w:space="0"/>
              <w:bottom w:val="single" w:color="000000" w:sz="4" w:space="0"/>
              <w:right w:val="single" w:color="000000" w:sz="4" w:space="0"/>
            </w:tcBorders>
          </w:tcPr>
          <w:p>
            <w:pPr>
              <w:pStyle w:val="21"/>
              <w:spacing w:before="6"/>
              <w:rPr>
                <w:sz w:val="24"/>
                <w:highlight w:val="none"/>
              </w:rPr>
            </w:pPr>
          </w:p>
          <w:p>
            <w:pPr>
              <w:pStyle w:val="21"/>
              <w:ind w:left="306" w:right="159"/>
              <w:jc w:val="center"/>
              <w:rPr>
                <w:sz w:val="24"/>
                <w:highlight w:val="none"/>
              </w:rPr>
            </w:pPr>
            <w:r>
              <w:rPr>
                <w:sz w:val="24"/>
                <w:highlight w:val="none"/>
              </w:rPr>
              <w:t xml:space="preserve">招标文件的服务条款 </w:t>
            </w:r>
          </w:p>
        </w:tc>
        <w:tc>
          <w:tcPr>
            <w:tcW w:w="2482" w:type="dxa"/>
            <w:tcBorders>
              <w:left w:val="single" w:color="000000" w:sz="4" w:space="0"/>
              <w:bottom w:val="single" w:color="000000" w:sz="4" w:space="0"/>
              <w:right w:val="single" w:color="000000" w:sz="4" w:space="0"/>
            </w:tcBorders>
          </w:tcPr>
          <w:p>
            <w:pPr>
              <w:pStyle w:val="21"/>
              <w:spacing w:before="6"/>
              <w:rPr>
                <w:sz w:val="24"/>
                <w:highlight w:val="none"/>
              </w:rPr>
            </w:pPr>
          </w:p>
          <w:p>
            <w:pPr>
              <w:pStyle w:val="21"/>
              <w:ind w:left="208" w:right="63"/>
              <w:jc w:val="center"/>
              <w:rPr>
                <w:sz w:val="24"/>
                <w:highlight w:val="none"/>
              </w:rPr>
            </w:pPr>
            <w:r>
              <w:rPr>
                <w:sz w:val="24"/>
                <w:highlight w:val="none"/>
              </w:rPr>
              <w:t xml:space="preserve">投标文件的服务条款 </w:t>
            </w:r>
          </w:p>
        </w:tc>
        <w:tc>
          <w:tcPr>
            <w:tcW w:w="1147" w:type="dxa"/>
            <w:tcBorders>
              <w:left w:val="single" w:color="000000" w:sz="4" w:space="0"/>
              <w:bottom w:val="single" w:color="000000" w:sz="4" w:space="0"/>
            </w:tcBorders>
          </w:tcPr>
          <w:p>
            <w:pPr>
              <w:pStyle w:val="21"/>
              <w:spacing w:before="6"/>
              <w:rPr>
                <w:sz w:val="24"/>
                <w:highlight w:val="none"/>
              </w:rPr>
            </w:pPr>
          </w:p>
          <w:p>
            <w:pPr>
              <w:pStyle w:val="21"/>
              <w:ind w:left="372" w:right="212"/>
              <w:jc w:val="center"/>
              <w:rPr>
                <w:sz w:val="24"/>
                <w:highlight w:val="none"/>
              </w:rPr>
            </w:pPr>
            <w:r>
              <w:rPr>
                <w:sz w:val="24"/>
                <w:highlight w:val="none"/>
              </w:rPr>
              <w:t xml:space="preserve">备注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0" w:hRule="atLeast"/>
        </w:trPr>
        <w:tc>
          <w:tcPr>
            <w:tcW w:w="1147" w:type="dxa"/>
            <w:tcBorders>
              <w:top w:val="single" w:color="000000" w:sz="4" w:space="0"/>
              <w:bottom w:val="single" w:color="000000" w:sz="4" w:space="0"/>
              <w:right w:val="single" w:color="000000" w:sz="4" w:space="0"/>
            </w:tcBorders>
          </w:tcPr>
          <w:p>
            <w:pPr>
              <w:pStyle w:val="21"/>
              <w:spacing w:before="1"/>
              <w:rPr>
                <w:sz w:val="18"/>
                <w:highlight w:val="none"/>
              </w:rPr>
            </w:pPr>
          </w:p>
          <w:p>
            <w:pPr>
              <w:pStyle w:val="21"/>
              <w:spacing w:before="1"/>
              <w:ind w:left="138"/>
              <w:jc w:val="center"/>
              <w:rPr>
                <w:sz w:val="24"/>
                <w:highlight w:val="none"/>
              </w:rPr>
            </w:pPr>
            <w:r>
              <w:rPr>
                <w:sz w:val="24"/>
                <w:highlight w:val="none"/>
              </w:rPr>
              <w:t xml:space="preserve"> </w:t>
            </w:r>
          </w:p>
        </w:tc>
        <w:tc>
          <w:tcPr>
            <w:tcW w:w="1527" w:type="dxa"/>
            <w:tcBorders>
              <w:top w:val="single" w:color="000000" w:sz="4" w:space="0"/>
              <w:left w:val="single" w:color="000000" w:sz="4" w:space="0"/>
              <w:bottom w:val="single" w:color="000000" w:sz="4" w:space="0"/>
              <w:right w:val="single" w:color="000000" w:sz="4" w:space="0"/>
            </w:tcBorders>
          </w:tcPr>
          <w:p>
            <w:pPr>
              <w:pStyle w:val="21"/>
              <w:spacing w:before="1"/>
              <w:rPr>
                <w:sz w:val="18"/>
                <w:highlight w:val="none"/>
              </w:rPr>
            </w:pPr>
          </w:p>
          <w:p>
            <w:pPr>
              <w:pStyle w:val="21"/>
              <w:spacing w:before="1"/>
              <w:ind w:right="624"/>
              <w:jc w:val="right"/>
              <w:rPr>
                <w:sz w:val="24"/>
                <w:highlight w:val="none"/>
              </w:rPr>
            </w:pPr>
            <w:r>
              <w:rPr>
                <w:sz w:val="24"/>
                <w:highlight w:val="none"/>
              </w:rPr>
              <w:t xml:space="preserve"> </w:t>
            </w:r>
          </w:p>
        </w:tc>
        <w:tc>
          <w:tcPr>
            <w:tcW w:w="2676" w:type="dxa"/>
            <w:tcBorders>
              <w:top w:val="single" w:color="000000" w:sz="4" w:space="0"/>
              <w:left w:val="single" w:color="000000" w:sz="4" w:space="0"/>
              <w:bottom w:val="single" w:color="000000" w:sz="4" w:space="0"/>
              <w:right w:val="single" w:color="000000" w:sz="4" w:space="0"/>
            </w:tcBorders>
          </w:tcPr>
          <w:p>
            <w:pPr>
              <w:pStyle w:val="21"/>
              <w:spacing w:before="1"/>
              <w:rPr>
                <w:sz w:val="18"/>
                <w:highlight w:val="none"/>
              </w:rPr>
            </w:pPr>
          </w:p>
          <w:p>
            <w:pPr>
              <w:pStyle w:val="21"/>
              <w:spacing w:before="1"/>
              <w:ind w:left="146"/>
              <w:jc w:val="center"/>
              <w:rPr>
                <w:sz w:val="24"/>
                <w:highlight w:val="none"/>
              </w:rPr>
            </w:pPr>
            <w:r>
              <w:rPr>
                <w:sz w:val="24"/>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tcPr>
          <w:p>
            <w:pPr>
              <w:pStyle w:val="21"/>
              <w:spacing w:before="1"/>
              <w:rPr>
                <w:sz w:val="18"/>
                <w:highlight w:val="none"/>
              </w:rPr>
            </w:pPr>
          </w:p>
          <w:p>
            <w:pPr>
              <w:pStyle w:val="21"/>
              <w:spacing w:before="1"/>
              <w:ind w:left="144"/>
              <w:jc w:val="center"/>
              <w:rPr>
                <w:sz w:val="24"/>
                <w:highlight w:val="none"/>
              </w:rPr>
            </w:pPr>
            <w:r>
              <w:rPr>
                <w:sz w:val="24"/>
                <w:highlight w:val="none"/>
              </w:rPr>
              <w:t xml:space="preserve"> </w:t>
            </w:r>
          </w:p>
        </w:tc>
        <w:tc>
          <w:tcPr>
            <w:tcW w:w="1147" w:type="dxa"/>
            <w:tcBorders>
              <w:top w:val="single" w:color="000000" w:sz="4" w:space="0"/>
              <w:left w:val="single" w:color="000000" w:sz="4" w:space="0"/>
              <w:bottom w:val="single" w:color="000000" w:sz="4" w:space="0"/>
            </w:tcBorders>
          </w:tcPr>
          <w:p>
            <w:pPr>
              <w:pStyle w:val="21"/>
              <w:spacing w:before="1"/>
              <w:rPr>
                <w:sz w:val="18"/>
                <w:highlight w:val="none"/>
              </w:rPr>
            </w:pPr>
          </w:p>
          <w:p>
            <w:pPr>
              <w:pStyle w:val="21"/>
              <w:spacing w:before="1"/>
              <w:ind w:left="160"/>
              <w:jc w:val="center"/>
              <w:rPr>
                <w:sz w:val="24"/>
                <w:highlight w:val="none"/>
              </w:rPr>
            </w:pPr>
            <w:r>
              <w:rPr>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0" w:hRule="atLeast"/>
        </w:trPr>
        <w:tc>
          <w:tcPr>
            <w:tcW w:w="1147" w:type="dxa"/>
            <w:tcBorders>
              <w:top w:val="single" w:color="000000" w:sz="4" w:space="0"/>
              <w:bottom w:val="single" w:color="000000" w:sz="4" w:space="0"/>
              <w:right w:val="single" w:color="000000" w:sz="4" w:space="0"/>
            </w:tcBorders>
          </w:tcPr>
          <w:p>
            <w:pPr>
              <w:pStyle w:val="21"/>
              <w:spacing w:before="1"/>
              <w:rPr>
                <w:sz w:val="18"/>
                <w:highlight w:val="none"/>
              </w:rPr>
            </w:pPr>
          </w:p>
          <w:p>
            <w:pPr>
              <w:pStyle w:val="21"/>
              <w:spacing w:before="1"/>
              <w:ind w:left="138"/>
              <w:jc w:val="center"/>
              <w:rPr>
                <w:sz w:val="24"/>
                <w:highlight w:val="none"/>
              </w:rPr>
            </w:pPr>
            <w:r>
              <w:rPr>
                <w:sz w:val="24"/>
                <w:highlight w:val="none"/>
              </w:rPr>
              <w:t xml:space="preserve"> </w:t>
            </w:r>
          </w:p>
        </w:tc>
        <w:tc>
          <w:tcPr>
            <w:tcW w:w="1527" w:type="dxa"/>
            <w:tcBorders>
              <w:top w:val="single" w:color="000000" w:sz="4" w:space="0"/>
              <w:left w:val="single" w:color="000000" w:sz="4" w:space="0"/>
              <w:bottom w:val="single" w:color="000000" w:sz="4" w:space="0"/>
              <w:right w:val="single" w:color="000000" w:sz="4" w:space="0"/>
            </w:tcBorders>
          </w:tcPr>
          <w:p>
            <w:pPr>
              <w:pStyle w:val="21"/>
              <w:spacing w:before="1"/>
              <w:rPr>
                <w:sz w:val="18"/>
                <w:highlight w:val="none"/>
              </w:rPr>
            </w:pPr>
          </w:p>
          <w:p>
            <w:pPr>
              <w:pStyle w:val="21"/>
              <w:spacing w:before="1"/>
              <w:ind w:right="624"/>
              <w:jc w:val="right"/>
              <w:rPr>
                <w:sz w:val="24"/>
                <w:highlight w:val="none"/>
              </w:rPr>
            </w:pPr>
            <w:r>
              <w:rPr>
                <w:sz w:val="24"/>
                <w:highlight w:val="none"/>
              </w:rPr>
              <w:t xml:space="preserve"> </w:t>
            </w:r>
          </w:p>
        </w:tc>
        <w:tc>
          <w:tcPr>
            <w:tcW w:w="2676" w:type="dxa"/>
            <w:tcBorders>
              <w:top w:val="single" w:color="000000" w:sz="4" w:space="0"/>
              <w:left w:val="single" w:color="000000" w:sz="4" w:space="0"/>
              <w:bottom w:val="single" w:color="000000" w:sz="4" w:space="0"/>
              <w:right w:val="single" w:color="000000" w:sz="4" w:space="0"/>
            </w:tcBorders>
          </w:tcPr>
          <w:p>
            <w:pPr>
              <w:pStyle w:val="21"/>
              <w:spacing w:before="1"/>
              <w:rPr>
                <w:sz w:val="18"/>
                <w:highlight w:val="none"/>
              </w:rPr>
            </w:pPr>
          </w:p>
          <w:p>
            <w:pPr>
              <w:pStyle w:val="21"/>
              <w:spacing w:before="1"/>
              <w:ind w:left="146"/>
              <w:jc w:val="center"/>
              <w:rPr>
                <w:sz w:val="24"/>
                <w:highlight w:val="none"/>
              </w:rPr>
            </w:pPr>
            <w:r>
              <w:rPr>
                <w:sz w:val="24"/>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tcPr>
          <w:p>
            <w:pPr>
              <w:pStyle w:val="21"/>
              <w:spacing w:before="1"/>
              <w:rPr>
                <w:sz w:val="18"/>
                <w:highlight w:val="none"/>
              </w:rPr>
            </w:pPr>
          </w:p>
          <w:p>
            <w:pPr>
              <w:pStyle w:val="21"/>
              <w:spacing w:before="1"/>
              <w:ind w:left="144"/>
              <w:jc w:val="center"/>
              <w:rPr>
                <w:sz w:val="24"/>
                <w:highlight w:val="none"/>
              </w:rPr>
            </w:pPr>
            <w:r>
              <w:rPr>
                <w:sz w:val="24"/>
                <w:highlight w:val="none"/>
              </w:rPr>
              <w:t xml:space="preserve"> </w:t>
            </w:r>
          </w:p>
        </w:tc>
        <w:tc>
          <w:tcPr>
            <w:tcW w:w="1147" w:type="dxa"/>
            <w:tcBorders>
              <w:top w:val="single" w:color="000000" w:sz="4" w:space="0"/>
              <w:left w:val="single" w:color="000000" w:sz="4" w:space="0"/>
              <w:bottom w:val="single" w:color="000000" w:sz="4" w:space="0"/>
            </w:tcBorders>
          </w:tcPr>
          <w:p>
            <w:pPr>
              <w:pStyle w:val="21"/>
              <w:spacing w:before="1"/>
              <w:rPr>
                <w:sz w:val="18"/>
                <w:highlight w:val="none"/>
              </w:rPr>
            </w:pPr>
          </w:p>
          <w:p>
            <w:pPr>
              <w:pStyle w:val="21"/>
              <w:spacing w:before="1"/>
              <w:ind w:left="160"/>
              <w:jc w:val="center"/>
              <w:rPr>
                <w:sz w:val="24"/>
                <w:highlight w:val="none"/>
              </w:rPr>
            </w:pPr>
            <w:r>
              <w:rPr>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0" w:hRule="atLeast"/>
        </w:trPr>
        <w:tc>
          <w:tcPr>
            <w:tcW w:w="1147" w:type="dxa"/>
            <w:tcBorders>
              <w:top w:val="single" w:color="000000" w:sz="4" w:space="0"/>
              <w:bottom w:val="single" w:color="000000" w:sz="4" w:space="0"/>
              <w:right w:val="single" w:color="000000" w:sz="4" w:space="0"/>
            </w:tcBorders>
          </w:tcPr>
          <w:p>
            <w:pPr>
              <w:pStyle w:val="21"/>
              <w:spacing w:before="2"/>
              <w:rPr>
                <w:sz w:val="18"/>
                <w:highlight w:val="none"/>
              </w:rPr>
            </w:pPr>
          </w:p>
          <w:p>
            <w:pPr>
              <w:pStyle w:val="21"/>
              <w:ind w:left="138"/>
              <w:jc w:val="center"/>
              <w:rPr>
                <w:sz w:val="24"/>
                <w:highlight w:val="none"/>
              </w:rPr>
            </w:pPr>
            <w:r>
              <w:rPr>
                <w:sz w:val="24"/>
                <w:highlight w:val="none"/>
              </w:rPr>
              <w:t xml:space="preserve"> </w:t>
            </w:r>
          </w:p>
        </w:tc>
        <w:tc>
          <w:tcPr>
            <w:tcW w:w="1527" w:type="dxa"/>
            <w:tcBorders>
              <w:top w:val="single" w:color="000000" w:sz="4" w:space="0"/>
              <w:left w:val="single" w:color="000000" w:sz="4" w:space="0"/>
              <w:bottom w:val="single" w:color="000000" w:sz="4" w:space="0"/>
              <w:right w:val="single" w:color="000000" w:sz="4" w:space="0"/>
            </w:tcBorders>
          </w:tcPr>
          <w:p>
            <w:pPr>
              <w:pStyle w:val="21"/>
              <w:spacing w:before="2"/>
              <w:rPr>
                <w:sz w:val="18"/>
                <w:highlight w:val="none"/>
              </w:rPr>
            </w:pPr>
          </w:p>
          <w:p>
            <w:pPr>
              <w:pStyle w:val="21"/>
              <w:ind w:right="624"/>
              <w:jc w:val="right"/>
              <w:rPr>
                <w:sz w:val="24"/>
                <w:highlight w:val="none"/>
              </w:rPr>
            </w:pPr>
            <w:r>
              <w:rPr>
                <w:sz w:val="24"/>
                <w:highlight w:val="none"/>
              </w:rPr>
              <w:t xml:space="preserve"> </w:t>
            </w:r>
          </w:p>
        </w:tc>
        <w:tc>
          <w:tcPr>
            <w:tcW w:w="2676" w:type="dxa"/>
            <w:tcBorders>
              <w:top w:val="single" w:color="000000" w:sz="4" w:space="0"/>
              <w:left w:val="single" w:color="000000" w:sz="4" w:space="0"/>
              <w:bottom w:val="single" w:color="000000" w:sz="4" w:space="0"/>
              <w:right w:val="single" w:color="000000" w:sz="4" w:space="0"/>
            </w:tcBorders>
          </w:tcPr>
          <w:p>
            <w:pPr>
              <w:pStyle w:val="21"/>
              <w:spacing w:before="2"/>
              <w:rPr>
                <w:sz w:val="18"/>
                <w:highlight w:val="none"/>
              </w:rPr>
            </w:pPr>
          </w:p>
          <w:p>
            <w:pPr>
              <w:pStyle w:val="21"/>
              <w:ind w:left="146"/>
              <w:jc w:val="center"/>
              <w:rPr>
                <w:sz w:val="24"/>
                <w:highlight w:val="none"/>
              </w:rPr>
            </w:pPr>
            <w:r>
              <w:rPr>
                <w:sz w:val="24"/>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tcPr>
          <w:p>
            <w:pPr>
              <w:pStyle w:val="21"/>
              <w:spacing w:before="2"/>
              <w:rPr>
                <w:sz w:val="18"/>
                <w:highlight w:val="none"/>
              </w:rPr>
            </w:pPr>
          </w:p>
          <w:p>
            <w:pPr>
              <w:pStyle w:val="21"/>
              <w:ind w:left="144"/>
              <w:jc w:val="center"/>
              <w:rPr>
                <w:sz w:val="24"/>
                <w:highlight w:val="none"/>
              </w:rPr>
            </w:pPr>
            <w:r>
              <w:rPr>
                <w:sz w:val="24"/>
                <w:highlight w:val="none"/>
              </w:rPr>
              <w:t xml:space="preserve"> </w:t>
            </w:r>
          </w:p>
        </w:tc>
        <w:tc>
          <w:tcPr>
            <w:tcW w:w="1147" w:type="dxa"/>
            <w:tcBorders>
              <w:top w:val="single" w:color="000000" w:sz="4" w:space="0"/>
              <w:left w:val="single" w:color="000000" w:sz="4" w:space="0"/>
              <w:bottom w:val="single" w:color="000000" w:sz="4" w:space="0"/>
            </w:tcBorders>
          </w:tcPr>
          <w:p>
            <w:pPr>
              <w:pStyle w:val="21"/>
              <w:spacing w:before="2"/>
              <w:rPr>
                <w:sz w:val="18"/>
                <w:highlight w:val="none"/>
              </w:rPr>
            </w:pPr>
          </w:p>
          <w:p>
            <w:pPr>
              <w:pStyle w:val="21"/>
              <w:ind w:left="160"/>
              <w:jc w:val="center"/>
              <w:rPr>
                <w:sz w:val="24"/>
                <w:highlight w:val="none"/>
              </w:rPr>
            </w:pPr>
            <w:r>
              <w:rPr>
                <w:sz w:val="24"/>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147" w:type="dxa"/>
            <w:tcBorders>
              <w:top w:val="single" w:color="000000" w:sz="4" w:space="0"/>
              <w:right w:val="single" w:color="000000" w:sz="4" w:space="0"/>
            </w:tcBorders>
          </w:tcPr>
          <w:p>
            <w:pPr>
              <w:pStyle w:val="21"/>
              <w:spacing w:before="4"/>
              <w:rPr>
                <w:sz w:val="21"/>
                <w:highlight w:val="none"/>
              </w:rPr>
            </w:pPr>
          </w:p>
          <w:p>
            <w:pPr>
              <w:pStyle w:val="21"/>
              <w:ind w:left="138"/>
              <w:jc w:val="center"/>
              <w:rPr>
                <w:sz w:val="24"/>
                <w:highlight w:val="none"/>
              </w:rPr>
            </w:pPr>
            <w:r>
              <w:rPr>
                <w:sz w:val="24"/>
                <w:highlight w:val="none"/>
              </w:rPr>
              <w:t xml:space="preserve"> </w:t>
            </w:r>
          </w:p>
        </w:tc>
        <w:tc>
          <w:tcPr>
            <w:tcW w:w="1527" w:type="dxa"/>
            <w:tcBorders>
              <w:top w:val="single" w:color="000000" w:sz="4" w:space="0"/>
              <w:left w:val="single" w:color="000000" w:sz="4" w:space="0"/>
              <w:right w:val="single" w:color="000000" w:sz="4" w:space="0"/>
            </w:tcBorders>
          </w:tcPr>
          <w:p>
            <w:pPr>
              <w:pStyle w:val="21"/>
              <w:spacing w:before="4"/>
              <w:rPr>
                <w:sz w:val="21"/>
                <w:highlight w:val="none"/>
              </w:rPr>
            </w:pPr>
          </w:p>
          <w:p>
            <w:pPr>
              <w:pStyle w:val="21"/>
              <w:ind w:right="624"/>
              <w:jc w:val="right"/>
              <w:rPr>
                <w:sz w:val="24"/>
                <w:highlight w:val="none"/>
              </w:rPr>
            </w:pPr>
            <w:r>
              <w:rPr>
                <w:sz w:val="24"/>
                <w:highlight w:val="none"/>
              </w:rPr>
              <w:t xml:space="preserve"> </w:t>
            </w:r>
          </w:p>
        </w:tc>
        <w:tc>
          <w:tcPr>
            <w:tcW w:w="2676" w:type="dxa"/>
            <w:tcBorders>
              <w:top w:val="single" w:color="000000" w:sz="4" w:space="0"/>
              <w:left w:val="single" w:color="000000" w:sz="4" w:space="0"/>
              <w:right w:val="single" w:color="000000" w:sz="4" w:space="0"/>
            </w:tcBorders>
          </w:tcPr>
          <w:p>
            <w:pPr>
              <w:pStyle w:val="21"/>
              <w:spacing w:before="4"/>
              <w:rPr>
                <w:sz w:val="21"/>
                <w:highlight w:val="none"/>
              </w:rPr>
            </w:pPr>
          </w:p>
          <w:p>
            <w:pPr>
              <w:pStyle w:val="21"/>
              <w:ind w:left="146"/>
              <w:jc w:val="center"/>
              <w:rPr>
                <w:sz w:val="24"/>
                <w:highlight w:val="none"/>
              </w:rPr>
            </w:pPr>
            <w:r>
              <w:rPr>
                <w:sz w:val="24"/>
                <w:highlight w:val="none"/>
              </w:rPr>
              <w:t xml:space="preserve"> </w:t>
            </w:r>
          </w:p>
        </w:tc>
        <w:tc>
          <w:tcPr>
            <w:tcW w:w="2482" w:type="dxa"/>
            <w:tcBorders>
              <w:top w:val="single" w:color="000000" w:sz="4" w:space="0"/>
              <w:left w:val="single" w:color="000000" w:sz="4" w:space="0"/>
              <w:right w:val="single" w:color="000000" w:sz="4" w:space="0"/>
            </w:tcBorders>
          </w:tcPr>
          <w:p>
            <w:pPr>
              <w:pStyle w:val="21"/>
              <w:spacing w:before="4"/>
              <w:rPr>
                <w:sz w:val="21"/>
                <w:highlight w:val="none"/>
              </w:rPr>
            </w:pPr>
          </w:p>
          <w:p>
            <w:pPr>
              <w:pStyle w:val="21"/>
              <w:ind w:left="144"/>
              <w:jc w:val="center"/>
              <w:rPr>
                <w:sz w:val="24"/>
                <w:highlight w:val="none"/>
              </w:rPr>
            </w:pPr>
            <w:r>
              <w:rPr>
                <w:sz w:val="24"/>
                <w:highlight w:val="none"/>
              </w:rPr>
              <w:t xml:space="preserve"> </w:t>
            </w:r>
          </w:p>
        </w:tc>
        <w:tc>
          <w:tcPr>
            <w:tcW w:w="1147" w:type="dxa"/>
            <w:tcBorders>
              <w:top w:val="single" w:color="000000" w:sz="4" w:space="0"/>
              <w:left w:val="single" w:color="000000" w:sz="4" w:space="0"/>
            </w:tcBorders>
          </w:tcPr>
          <w:p>
            <w:pPr>
              <w:pStyle w:val="21"/>
              <w:spacing w:before="4"/>
              <w:rPr>
                <w:sz w:val="21"/>
                <w:highlight w:val="none"/>
              </w:rPr>
            </w:pPr>
          </w:p>
          <w:p>
            <w:pPr>
              <w:pStyle w:val="21"/>
              <w:ind w:left="160"/>
              <w:jc w:val="center"/>
              <w:rPr>
                <w:sz w:val="24"/>
                <w:highlight w:val="none"/>
              </w:rPr>
            </w:pPr>
            <w:r>
              <w:rPr>
                <w:sz w:val="24"/>
                <w:highlight w:val="none"/>
              </w:rPr>
              <w:t xml:space="preserve"> </w:t>
            </w:r>
          </w:p>
        </w:tc>
      </w:tr>
    </w:tbl>
    <w:p>
      <w:pPr>
        <w:pStyle w:val="10"/>
        <w:spacing w:before="81" w:line="364" w:lineRule="auto"/>
        <w:ind w:left="820" w:right="1795"/>
        <w:rPr>
          <w:highlight w:val="none"/>
        </w:rPr>
      </w:pPr>
      <w:r>
        <w:rPr>
          <w:spacing w:val="-9"/>
          <w:highlight w:val="none"/>
        </w:rPr>
        <w:t>说明：如投标人提交的服务条款与招标文件的要求存在偏离，需逐项填写《服务</w:t>
      </w:r>
      <w:r>
        <w:rPr>
          <w:spacing w:val="-18"/>
          <w:highlight w:val="none"/>
        </w:rPr>
        <w:t xml:space="preserve">项目偏离表》。 </w:t>
      </w:r>
    </w:p>
    <w:p>
      <w:pPr>
        <w:pStyle w:val="10"/>
        <w:spacing w:before="2"/>
        <w:ind w:left="820"/>
        <w:rPr>
          <w:highlight w:val="none"/>
        </w:rPr>
      </w:pPr>
      <w:r>
        <w:rPr>
          <w:highlight w:val="none"/>
        </w:rPr>
        <w:t xml:space="preserve"> </w:t>
      </w:r>
    </w:p>
    <w:p>
      <w:pPr>
        <w:pStyle w:val="10"/>
        <w:spacing w:before="160"/>
        <w:ind w:left="3233"/>
        <w:rPr>
          <w:highlight w:val="none"/>
        </w:rPr>
      </w:pPr>
      <w:r>
        <w:rPr>
          <w:highlight w:val="none"/>
        </w:rPr>
        <w:t xml:space="preserve">                                       年 月 日 </w:t>
      </w:r>
    </w:p>
    <w:sectPr>
      <w:pgSz w:w="11910" w:h="16840"/>
      <w:pgMar w:top="1460" w:right="0" w:bottom="1180" w:left="980" w:header="0" w:footer="9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12"/>
      </w:rPr>
    </w:pPr>
    <w: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9920605</wp:posOffset>
              </wp:positionV>
              <wp:extent cx="168275" cy="1524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68275"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781.15pt;height:12pt;width:13.25pt;mso-position-horizontal-relative:page;mso-position-vertical-relative:page;z-index:-251657216;mso-width-relative:page;mso-height-relative:page;" filled="f" stroked="f" coordsize="21600,21600" o:gfxdata="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jZym9oAAAANAQAADwAAAAAAAAABACAAAAAiAAAAZHJzL2Rvd25yZXYueG1sUEsB&#10;AhQAFAAAAAgAh07iQG5FaNS6AQAAcQ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E101F"/>
    <w:multiLevelType w:val="singleLevel"/>
    <w:tmpl w:val="871E101F"/>
    <w:lvl w:ilvl="0" w:tentative="0">
      <w:start w:val="3"/>
      <w:numFmt w:val="decimal"/>
      <w:suff w:val="nothing"/>
      <w:lvlText w:val="%1、"/>
      <w:lvlJc w:val="left"/>
    </w:lvl>
  </w:abstractNum>
  <w:abstractNum w:abstractNumId="1">
    <w:nsid w:val="91B69C97"/>
    <w:multiLevelType w:val="multilevel"/>
    <w:tmpl w:val="91B69C97"/>
    <w:lvl w:ilvl="0" w:tentative="0">
      <w:start w:val="1"/>
      <w:numFmt w:val="decimal"/>
      <w:lvlText w:val="%1"/>
      <w:lvlJc w:val="left"/>
      <w:pPr>
        <w:ind w:left="1663" w:hanging="364"/>
        <w:jc w:val="left"/>
      </w:pPr>
      <w:rPr>
        <w:rFonts w:hint="default"/>
        <w:lang w:val="zh-CN" w:eastAsia="zh-CN" w:bidi="zh-CN"/>
      </w:rPr>
    </w:lvl>
    <w:lvl w:ilvl="1" w:tentative="0">
      <w:start w:val="1"/>
      <w:numFmt w:val="decimal"/>
      <w:lvlText w:val="%1.%2"/>
      <w:lvlJc w:val="left"/>
      <w:pPr>
        <w:ind w:left="1663" w:hanging="364"/>
        <w:jc w:val="left"/>
      </w:pPr>
      <w:rPr>
        <w:rFonts w:hint="default" w:ascii="Microsoft JhengHei" w:hAnsi="Microsoft JhengHei" w:eastAsia="Microsoft JhengHei" w:cs="Microsoft JhengHei"/>
        <w:b/>
        <w:bCs/>
        <w:spacing w:val="0"/>
        <w:w w:val="83"/>
        <w:sz w:val="22"/>
        <w:szCs w:val="22"/>
        <w:lang w:val="zh-CN" w:eastAsia="zh-CN" w:bidi="zh-CN"/>
      </w:rPr>
    </w:lvl>
    <w:lvl w:ilvl="2" w:tentative="0">
      <w:start w:val="1"/>
      <w:numFmt w:val="decimal"/>
      <w:lvlText w:val="%1.%2.%3"/>
      <w:lvlJc w:val="left"/>
      <w:pPr>
        <w:ind w:left="1899"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905" w:hanging="601"/>
      </w:pPr>
      <w:rPr>
        <w:rFonts w:hint="default"/>
        <w:lang w:val="zh-CN" w:eastAsia="zh-CN" w:bidi="zh-CN"/>
      </w:rPr>
    </w:lvl>
    <w:lvl w:ilvl="4" w:tentative="0">
      <w:start w:val="0"/>
      <w:numFmt w:val="bullet"/>
      <w:lvlText w:val="•"/>
      <w:lvlJc w:val="left"/>
      <w:pPr>
        <w:ind w:left="4908" w:hanging="601"/>
      </w:pPr>
      <w:rPr>
        <w:rFonts w:hint="default"/>
        <w:lang w:val="zh-CN" w:eastAsia="zh-CN" w:bidi="zh-CN"/>
      </w:rPr>
    </w:lvl>
    <w:lvl w:ilvl="5" w:tentative="0">
      <w:start w:val="0"/>
      <w:numFmt w:val="bullet"/>
      <w:lvlText w:val="•"/>
      <w:lvlJc w:val="left"/>
      <w:pPr>
        <w:ind w:left="5911" w:hanging="601"/>
      </w:pPr>
      <w:rPr>
        <w:rFonts w:hint="default"/>
        <w:lang w:val="zh-CN" w:eastAsia="zh-CN" w:bidi="zh-CN"/>
      </w:rPr>
    </w:lvl>
    <w:lvl w:ilvl="6" w:tentative="0">
      <w:start w:val="0"/>
      <w:numFmt w:val="bullet"/>
      <w:lvlText w:val="•"/>
      <w:lvlJc w:val="left"/>
      <w:pPr>
        <w:ind w:left="6914" w:hanging="601"/>
      </w:pPr>
      <w:rPr>
        <w:rFonts w:hint="default"/>
        <w:lang w:val="zh-CN" w:eastAsia="zh-CN" w:bidi="zh-CN"/>
      </w:rPr>
    </w:lvl>
    <w:lvl w:ilvl="7" w:tentative="0">
      <w:start w:val="0"/>
      <w:numFmt w:val="bullet"/>
      <w:lvlText w:val="•"/>
      <w:lvlJc w:val="left"/>
      <w:pPr>
        <w:ind w:left="7917" w:hanging="601"/>
      </w:pPr>
      <w:rPr>
        <w:rFonts w:hint="default"/>
        <w:lang w:val="zh-CN" w:eastAsia="zh-CN" w:bidi="zh-CN"/>
      </w:rPr>
    </w:lvl>
    <w:lvl w:ilvl="8" w:tentative="0">
      <w:start w:val="0"/>
      <w:numFmt w:val="bullet"/>
      <w:lvlText w:val="•"/>
      <w:lvlJc w:val="left"/>
      <w:pPr>
        <w:ind w:left="8920" w:hanging="601"/>
      </w:pPr>
      <w:rPr>
        <w:rFonts w:hint="default"/>
        <w:lang w:val="zh-CN" w:eastAsia="zh-CN" w:bidi="zh-CN"/>
      </w:rPr>
    </w:lvl>
  </w:abstractNum>
  <w:abstractNum w:abstractNumId="2">
    <w:nsid w:val="9ACF65A0"/>
    <w:multiLevelType w:val="multilevel"/>
    <w:tmpl w:val="9ACF65A0"/>
    <w:lvl w:ilvl="0" w:tentative="0">
      <w:start w:val="36"/>
      <w:numFmt w:val="decimal"/>
      <w:lvlText w:val="%1."/>
      <w:lvlJc w:val="left"/>
      <w:pPr>
        <w:ind w:left="1182" w:hanging="365"/>
        <w:jc w:val="left"/>
      </w:pPr>
      <w:rPr>
        <w:rFonts w:hint="default" w:ascii="Microsoft JhengHei" w:hAnsi="Microsoft JhengHei" w:eastAsia="Microsoft JhengHei" w:cs="Microsoft JhengHei"/>
        <w:b/>
        <w:bCs/>
        <w:spacing w:val="0"/>
        <w:w w:val="83"/>
        <w:sz w:val="22"/>
        <w:szCs w:val="22"/>
        <w:lang w:val="zh-CN" w:eastAsia="zh-CN" w:bidi="zh-CN"/>
      </w:rPr>
    </w:lvl>
    <w:lvl w:ilvl="1" w:tentative="0">
      <w:start w:val="1"/>
      <w:numFmt w:val="decimal"/>
      <w:lvlText w:val="%1.%2"/>
      <w:lvlJc w:val="left"/>
      <w:pPr>
        <w:ind w:left="1779" w:hanging="481"/>
        <w:jc w:val="left"/>
      </w:pPr>
      <w:rPr>
        <w:rFonts w:hint="default" w:ascii="宋体" w:hAnsi="宋体" w:eastAsia="宋体" w:cs="宋体"/>
        <w:spacing w:val="-119"/>
        <w:w w:val="100"/>
        <w:sz w:val="22"/>
        <w:szCs w:val="22"/>
        <w:lang w:val="zh-CN" w:eastAsia="zh-CN" w:bidi="zh-CN"/>
      </w:rPr>
    </w:lvl>
    <w:lvl w:ilvl="2" w:tentative="0">
      <w:start w:val="0"/>
      <w:numFmt w:val="bullet"/>
      <w:lvlText w:val="•"/>
      <w:lvlJc w:val="left"/>
      <w:pPr>
        <w:ind w:left="1780" w:hanging="481"/>
      </w:pPr>
      <w:rPr>
        <w:rFonts w:hint="default"/>
        <w:lang w:val="zh-CN" w:eastAsia="zh-CN" w:bidi="zh-CN"/>
      </w:rPr>
    </w:lvl>
    <w:lvl w:ilvl="3" w:tentative="0">
      <w:start w:val="0"/>
      <w:numFmt w:val="bullet"/>
      <w:lvlText w:val="•"/>
      <w:lvlJc w:val="left"/>
      <w:pPr>
        <w:ind w:left="2923" w:hanging="481"/>
      </w:pPr>
      <w:rPr>
        <w:rFonts w:hint="default"/>
        <w:lang w:val="zh-CN" w:eastAsia="zh-CN" w:bidi="zh-CN"/>
      </w:rPr>
    </w:lvl>
    <w:lvl w:ilvl="4" w:tentative="0">
      <w:start w:val="0"/>
      <w:numFmt w:val="bullet"/>
      <w:lvlText w:val="•"/>
      <w:lvlJc w:val="left"/>
      <w:pPr>
        <w:ind w:left="4066" w:hanging="481"/>
      </w:pPr>
      <w:rPr>
        <w:rFonts w:hint="default"/>
        <w:lang w:val="zh-CN" w:eastAsia="zh-CN" w:bidi="zh-CN"/>
      </w:rPr>
    </w:lvl>
    <w:lvl w:ilvl="5" w:tentative="0">
      <w:start w:val="0"/>
      <w:numFmt w:val="bullet"/>
      <w:lvlText w:val="•"/>
      <w:lvlJc w:val="left"/>
      <w:pPr>
        <w:ind w:left="5209" w:hanging="481"/>
      </w:pPr>
      <w:rPr>
        <w:rFonts w:hint="default"/>
        <w:lang w:val="zh-CN" w:eastAsia="zh-CN" w:bidi="zh-CN"/>
      </w:rPr>
    </w:lvl>
    <w:lvl w:ilvl="6" w:tentative="0">
      <w:start w:val="0"/>
      <w:numFmt w:val="bullet"/>
      <w:lvlText w:val="•"/>
      <w:lvlJc w:val="left"/>
      <w:pPr>
        <w:ind w:left="6353" w:hanging="481"/>
      </w:pPr>
      <w:rPr>
        <w:rFonts w:hint="default"/>
        <w:lang w:val="zh-CN" w:eastAsia="zh-CN" w:bidi="zh-CN"/>
      </w:rPr>
    </w:lvl>
    <w:lvl w:ilvl="7" w:tentative="0">
      <w:start w:val="0"/>
      <w:numFmt w:val="bullet"/>
      <w:lvlText w:val="•"/>
      <w:lvlJc w:val="left"/>
      <w:pPr>
        <w:ind w:left="7496" w:hanging="481"/>
      </w:pPr>
      <w:rPr>
        <w:rFonts w:hint="default"/>
        <w:lang w:val="zh-CN" w:eastAsia="zh-CN" w:bidi="zh-CN"/>
      </w:rPr>
    </w:lvl>
    <w:lvl w:ilvl="8" w:tentative="0">
      <w:start w:val="0"/>
      <w:numFmt w:val="bullet"/>
      <w:lvlText w:val="•"/>
      <w:lvlJc w:val="left"/>
      <w:pPr>
        <w:ind w:left="8639" w:hanging="481"/>
      </w:pPr>
      <w:rPr>
        <w:rFonts w:hint="default"/>
        <w:lang w:val="zh-CN" w:eastAsia="zh-CN" w:bidi="zh-CN"/>
      </w:rPr>
    </w:lvl>
  </w:abstractNum>
  <w:abstractNum w:abstractNumId="3">
    <w:nsid w:val="A0F05207"/>
    <w:multiLevelType w:val="multilevel"/>
    <w:tmpl w:val="A0F05207"/>
    <w:lvl w:ilvl="0" w:tentative="0">
      <w:start w:val="17"/>
      <w:numFmt w:val="decimal"/>
      <w:lvlText w:val="%1."/>
      <w:lvlJc w:val="left"/>
      <w:pPr>
        <w:ind w:left="1182" w:hanging="365"/>
        <w:jc w:val="left"/>
      </w:pPr>
      <w:rPr>
        <w:rFonts w:hint="default" w:ascii="Microsoft JhengHei" w:hAnsi="Microsoft JhengHei" w:eastAsia="Microsoft JhengHei" w:cs="Microsoft JhengHei"/>
        <w:b/>
        <w:bCs/>
        <w:spacing w:val="0"/>
        <w:w w:val="83"/>
        <w:sz w:val="22"/>
        <w:szCs w:val="22"/>
        <w:lang w:val="zh-CN" w:eastAsia="zh-CN" w:bidi="zh-CN"/>
      </w:rPr>
    </w:lvl>
    <w:lvl w:ilvl="1" w:tentative="0">
      <w:start w:val="1"/>
      <w:numFmt w:val="decimal"/>
      <w:lvlText w:val="%1.%2"/>
      <w:lvlJc w:val="left"/>
      <w:pPr>
        <w:ind w:left="818" w:hanging="481"/>
        <w:jc w:val="left"/>
      </w:pPr>
      <w:rPr>
        <w:rFonts w:hint="default" w:ascii="宋体" w:hAnsi="宋体" w:eastAsia="宋体" w:cs="宋体"/>
        <w:spacing w:val="-118"/>
        <w:w w:val="100"/>
        <w:sz w:val="22"/>
        <w:szCs w:val="22"/>
        <w:lang w:val="zh-CN" w:eastAsia="zh-CN" w:bidi="zh-CN"/>
      </w:rPr>
    </w:lvl>
    <w:lvl w:ilvl="2" w:tentative="0">
      <w:start w:val="0"/>
      <w:numFmt w:val="bullet"/>
      <w:lvlText w:val="•"/>
      <w:lvlJc w:val="left"/>
      <w:pPr>
        <w:ind w:left="2262" w:hanging="481"/>
      </w:pPr>
      <w:rPr>
        <w:rFonts w:hint="default"/>
        <w:lang w:val="zh-CN" w:eastAsia="zh-CN" w:bidi="zh-CN"/>
      </w:rPr>
    </w:lvl>
    <w:lvl w:ilvl="3" w:tentative="0">
      <w:start w:val="0"/>
      <w:numFmt w:val="bullet"/>
      <w:lvlText w:val="•"/>
      <w:lvlJc w:val="left"/>
      <w:pPr>
        <w:ind w:left="3345" w:hanging="481"/>
      </w:pPr>
      <w:rPr>
        <w:rFonts w:hint="default"/>
        <w:lang w:val="zh-CN" w:eastAsia="zh-CN" w:bidi="zh-CN"/>
      </w:rPr>
    </w:lvl>
    <w:lvl w:ilvl="4" w:tentative="0">
      <w:start w:val="0"/>
      <w:numFmt w:val="bullet"/>
      <w:lvlText w:val="•"/>
      <w:lvlJc w:val="left"/>
      <w:pPr>
        <w:ind w:left="4428" w:hanging="481"/>
      </w:pPr>
      <w:rPr>
        <w:rFonts w:hint="default"/>
        <w:lang w:val="zh-CN" w:eastAsia="zh-CN" w:bidi="zh-CN"/>
      </w:rPr>
    </w:lvl>
    <w:lvl w:ilvl="5" w:tentative="0">
      <w:start w:val="0"/>
      <w:numFmt w:val="bullet"/>
      <w:lvlText w:val="•"/>
      <w:lvlJc w:val="left"/>
      <w:pPr>
        <w:ind w:left="5511" w:hanging="481"/>
      </w:pPr>
      <w:rPr>
        <w:rFonts w:hint="default"/>
        <w:lang w:val="zh-CN" w:eastAsia="zh-CN" w:bidi="zh-CN"/>
      </w:rPr>
    </w:lvl>
    <w:lvl w:ilvl="6" w:tentative="0">
      <w:start w:val="0"/>
      <w:numFmt w:val="bullet"/>
      <w:lvlText w:val="•"/>
      <w:lvlJc w:val="left"/>
      <w:pPr>
        <w:ind w:left="6594" w:hanging="481"/>
      </w:pPr>
      <w:rPr>
        <w:rFonts w:hint="default"/>
        <w:lang w:val="zh-CN" w:eastAsia="zh-CN" w:bidi="zh-CN"/>
      </w:rPr>
    </w:lvl>
    <w:lvl w:ilvl="7" w:tentative="0">
      <w:start w:val="0"/>
      <w:numFmt w:val="bullet"/>
      <w:lvlText w:val="•"/>
      <w:lvlJc w:val="left"/>
      <w:pPr>
        <w:ind w:left="7677" w:hanging="481"/>
      </w:pPr>
      <w:rPr>
        <w:rFonts w:hint="default"/>
        <w:lang w:val="zh-CN" w:eastAsia="zh-CN" w:bidi="zh-CN"/>
      </w:rPr>
    </w:lvl>
    <w:lvl w:ilvl="8" w:tentative="0">
      <w:start w:val="0"/>
      <w:numFmt w:val="bullet"/>
      <w:lvlText w:val="•"/>
      <w:lvlJc w:val="left"/>
      <w:pPr>
        <w:ind w:left="8760" w:hanging="481"/>
      </w:pPr>
      <w:rPr>
        <w:rFonts w:hint="default"/>
        <w:lang w:val="zh-CN" w:eastAsia="zh-CN" w:bidi="zh-CN"/>
      </w:rPr>
    </w:lvl>
  </w:abstractNum>
  <w:abstractNum w:abstractNumId="4">
    <w:nsid w:val="B23A94A9"/>
    <w:multiLevelType w:val="multilevel"/>
    <w:tmpl w:val="B23A94A9"/>
    <w:lvl w:ilvl="0" w:tentative="0">
      <w:start w:val="12"/>
      <w:numFmt w:val="decimal"/>
      <w:lvlText w:val="%1"/>
      <w:lvlJc w:val="left"/>
      <w:pPr>
        <w:ind w:left="818" w:hanging="961"/>
        <w:jc w:val="left"/>
      </w:pPr>
      <w:rPr>
        <w:rFonts w:hint="default"/>
        <w:lang w:val="zh-CN" w:eastAsia="zh-CN" w:bidi="zh-CN"/>
      </w:rPr>
    </w:lvl>
    <w:lvl w:ilvl="1" w:tentative="0">
      <w:start w:val="2"/>
      <w:numFmt w:val="decimal"/>
      <w:lvlText w:val="%1.%2"/>
      <w:lvlJc w:val="left"/>
      <w:pPr>
        <w:ind w:left="818" w:hanging="961"/>
        <w:jc w:val="left"/>
      </w:pPr>
      <w:rPr>
        <w:rFonts w:hint="default"/>
        <w:lang w:val="zh-CN" w:eastAsia="zh-CN" w:bidi="zh-CN"/>
      </w:rPr>
    </w:lvl>
    <w:lvl w:ilvl="2" w:tentative="0">
      <w:start w:val="1"/>
      <w:numFmt w:val="decimal"/>
      <w:lvlText w:val="%1.%2.%3"/>
      <w:lvlJc w:val="left"/>
      <w:pPr>
        <w:ind w:left="818" w:hanging="961"/>
        <w:jc w:val="left"/>
      </w:pPr>
      <w:rPr>
        <w:rFonts w:hint="default"/>
        <w:lang w:val="zh-CN" w:eastAsia="zh-CN" w:bidi="zh-CN"/>
      </w:rPr>
    </w:lvl>
    <w:lvl w:ilvl="3" w:tentative="0">
      <w:start w:val="1"/>
      <w:numFmt w:val="decimal"/>
      <w:lvlText w:val="%1.%2.%3.%4"/>
      <w:lvlJc w:val="left"/>
      <w:pPr>
        <w:ind w:left="818" w:hanging="961"/>
        <w:jc w:val="left"/>
      </w:pPr>
      <w:rPr>
        <w:rFonts w:hint="default" w:ascii="宋体" w:hAnsi="宋体" w:eastAsia="宋体" w:cs="宋体"/>
        <w:spacing w:val="-44"/>
        <w:w w:val="100"/>
        <w:sz w:val="22"/>
        <w:szCs w:val="22"/>
        <w:lang w:val="zh-CN" w:eastAsia="zh-CN" w:bidi="zh-CN"/>
      </w:rPr>
    </w:lvl>
    <w:lvl w:ilvl="4" w:tentative="0">
      <w:start w:val="0"/>
      <w:numFmt w:val="bullet"/>
      <w:lvlText w:val="•"/>
      <w:lvlJc w:val="left"/>
      <w:pPr>
        <w:ind w:left="4862" w:hanging="961"/>
      </w:pPr>
      <w:rPr>
        <w:rFonts w:hint="default"/>
        <w:lang w:val="zh-CN" w:eastAsia="zh-CN" w:bidi="zh-CN"/>
      </w:rPr>
    </w:lvl>
    <w:lvl w:ilvl="5" w:tentative="0">
      <w:start w:val="0"/>
      <w:numFmt w:val="bullet"/>
      <w:lvlText w:val="•"/>
      <w:lvlJc w:val="left"/>
      <w:pPr>
        <w:ind w:left="5873" w:hanging="961"/>
      </w:pPr>
      <w:rPr>
        <w:rFonts w:hint="default"/>
        <w:lang w:val="zh-CN" w:eastAsia="zh-CN" w:bidi="zh-CN"/>
      </w:rPr>
    </w:lvl>
    <w:lvl w:ilvl="6" w:tentative="0">
      <w:start w:val="0"/>
      <w:numFmt w:val="bullet"/>
      <w:lvlText w:val="•"/>
      <w:lvlJc w:val="left"/>
      <w:pPr>
        <w:ind w:left="6883" w:hanging="961"/>
      </w:pPr>
      <w:rPr>
        <w:rFonts w:hint="default"/>
        <w:lang w:val="zh-CN" w:eastAsia="zh-CN" w:bidi="zh-CN"/>
      </w:rPr>
    </w:lvl>
    <w:lvl w:ilvl="7" w:tentative="0">
      <w:start w:val="0"/>
      <w:numFmt w:val="bullet"/>
      <w:lvlText w:val="•"/>
      <w:lvlJc w:val="left"/>
      <w:pPr>
        <w:ind w:left="7894" w:hanging="961"/>
      </w:pPr>
      <w:rPr>
        <w:rFonts w:hint="default"/>
        <w:lang w:val="zh-CN" w:eastAsia="zh-CN" w:bidi="zh-CN"/>
      </w:rPr>
    </w:lvl>
    <w:lvl w:ilvl="8" w:tentative="0">
      <w:start w:val="0"/>
      <w:numFmt w:val="bullet"/>
      <w:lvlText w:val="•"/>
      <w:lvlJc w:val="left"/>
      <w:pPr>
        <w:ind w:left="8905" w:hanging="961"/>
      </w:pPr>
      <w:rPr>
        <w:rFonts w:hint="default"/>
        <w:lang w:val="zh-CN" w:eastAsia="zh-CN" w:bidi="zh-CN"/>
      </w:rPr>
    </w:lvl>
  </w:abstractNum>
  <w:abstractNum w:abstractNumId="5">
    <w:nsid w:val="B53F3350"/>
    <w:multiLevelType w:val="multilevel"/>
    <w:tmpl w:val="B53F3350"/>
    <w:lvl w:ilvl="0" w:tentative="0">
      <w:start w:val="1"/>
      <w:numFmt w:val="decimal"/>
      <w:lvlText w:val="(%1)"/>
      <w:lvlJc w:val="left"/>
      <w:pPr>
        <w:ind w:left="107" w:hanging="36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721" w:hanging="361"/>
      </w:pPr>
      <w:rPr>
        <w:rFonts w:hint="default"/>
        <w:lang w:val="zh-CN" w:eastAsia="zh-CN" w:bidi="zh-CN"/>
      </w:rPr>
    </w:lvl>
    <w:lvl w:ilvl="2" w:tentative="0">
      <w:start w:val="0"/>
      <w:numFmt w:val="bullet"/>
      <w:lvlText w:val="•"/>
      <w:lvlJc w:val="left"/>
      <w:pPr>
        <w:ind w:left="1342" w:hanging="361"/>
      </w:pPr>
      <w:rPr>
        <w:rFonts w:hint="default"/>
        <w:lang w:val="zh-CN" w:eastAsia="zh-CN" w:bidi="zh-CN"/>
      </w:rPr>
    </w:lvl>
    <w:lvl w:ilvl="3" w:tentative="0">
      <w:start w:val="0"/>
      <w:numFmt w:val="bullet"/>
      <w:lvlText w:val="•"/>
      <w:lvlJc w:val="left"/>
      <w:pPr>
        <w:ind w:left="1963" w:hanging="361"/>
      </w:pPr>
      <w:rPr>
        <w:rFonts w:hint="default"/>
        <w:lang w:val="zh-CN" w:eastAsia="zh-CN" w:bidi="zh-CN"/>
      </w:rPr>
    </w:lvl>
    <w:lvl w:ilvl="4" w:tentative="0">
      <w:start w:val="0"/>
      <w:numFmt w:val="bullet"/>
      <w:lvlText w:val="•"/>
      <w:lvlJc w:val="left"/>
      <w:pPr>
        <w:ind w:left="2585" w:hanging="361"/>
      </w:pPr>
      <w:rPr>
        <w:rFonts w:hint="default"/>
        <w:lang w:val="zh-CN" w:eastAsia="zh-CN" w:bidi="zh-CN"/>
      </w:rPr>
    </w:lvl>
    <w:lvl w:ilvl="5" w:tentative="0">
      <w:start w:val="0"/>
      <w:numFmt w:val="bullet"/>
      <w:lvlText w:val="•"/>
      <w:lvlJc w:val="left"/>
      <w:pPr>
        <w:ind w:left="3206" w:hanging="361"/>
      </w:pPr>
      <w:rPr>
        <w:rFonts w:hint="default"/>
        <w:lang w:val="zh-CN" w:eastAsia="zh-CN" w:bidi="zh-CN"/>
      </w:rPr>
    </w:lvl>
    <w:lvl w:ilvl="6" w:tentative="0">
      <w:start w:val="0"/>
      <w:numFmt w:val="bullet"/>
      <w:lvlText w:val="•"/>
      <w:lvlJc w:val="left"/>
      <w:pPr>
        <w:ind w:left="3827" w:hanging="361"/>
      </w:pPr>
      <w:rPr>
        <w:rFonts w:hint="default"/>
        <w:lang w:val="zh-CN" w:eastAsia="zh-CN" w:bidi="zh-CN"/>
      </w:rPr>
    </w:lvl>
    <w:lvl w:ilvl="7" w:tentative="0">
      <w:start w:val="0"/>
      <w:numFmt w:val="bullet"/>
      <w:lvlText w:val="•"/>
      <w:lvlJc w:val="left"/>
      <w:pPr>
        <w:ind w:left="4449" w:hanging="361"/>
      </w:pPr>
      <w:rPr>
        <w:rFonts w:hint="default"/>
        <w:lang w:val="zh-CN" w:eastAsia="zh-CN" w:bidi="zh-CN"/>
      </w:rPr>
    </w:lvl>
    <w:lvl w:ilvl="8" w:tentative="0">
      <w:start w:val="0"/>
      <w:numFmt w:val="bullet"/>
      <w:lvlText w:val="•"/>
      <w:lvlJc w:val="left"/>
      <w:pPr>
        <w:ind w:left="5070" w:hanging="361"/>
      </w:pPr>
      <w:rPr>
        <w:rFonts w:hint="default"/>
        <w:lang w:val="zh-CN" w:eastAsia="zh-CN" w:bidi="zh-CN"/>
      </w:rPr>
    </w:lvl>
  </w:abstractNum>
  <w:abstractNum w:abstractNumId="6">
    <w:nsid w:val="B88D21A8"/>
    <w:multiLevelType w:val="multilevel"/>
    <w:tmpl w:val="B88D21A8"/>
    <w:lvl w:ilvl="0" w:tentative="0">
      <w:start w:val="32"/>
      <w:numFmt w:val="decimal"/>
      <w:lvlText w:val="%1"/>
      <w:lvlJc w:val="left"/>
      <w:pPr>
        <w:ind w:left="818" w:hanging="481"/>
        <w:jc w:val="left"/>
      </w:pPr>
      <w:rPr>
        <w:rFonts w:hint="default"/>
        <w:lang w:val="zh-CN" w:eastAsia="zh-CN" w:bidi="zh-CN"/>
      </w:rPr>
    </w:lvl>
    <w:lvl w:ilvl="1" w:tentative="0">
      <w:start w:val="1"/>
      <w:numFmt w:val="decimal"/>
      <w:lvlText w:val="%1.%2"/>
      <w:lvlJc w:val="left"/>
      <w:pPr>
        <w:ind w:left="818" w:hanging="48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841" w:hanging="481"/>
      </w:pPr>
      <w:rPr>
        <w:rFonts w:hint="default"/>
        <w:lang w:val="zh-CN" w:eastAsia="zh-CN" w:bidi="zh-CN"/>
      </w:rPr>
    </w:lvl>
    <w:lvl w:ilvl="3" w:tentative="0">
      <w:start w:val="0"/>
      <w:numFmt w:val="bullet"/>
      <w:lvlText w:val="•"/>
      <w:lvlJc w:val="left"/>
      <w:pPr>
        <w:ind w:left="3851" w:hanging="481"/>
      </w:pPr>
      <w:rPr>
        <w:rFonts w:hint="default"/>
        <w:lang w:val="zh-CN" w:eastAsia="zh-CN" w:bidi="zh-CN"/>
      </w:rPr>
    </w:lvl>
    <w:lvl w:ilvl="4" w:tentative="0">
      <w:start w:val="0"/>
      <w:numFmt w:val="bullet"/>
      <w:lvlText w:val="•"/>
      <w:lvlJc w:val="left"/>
      <w:pPr>
        <w:ind w:left="4862" w:hanging="481"/>
      </w:pPr>
      <w:rPr>
        <w:rFonts w:hint="default"/>
        <w:lang w:val="zh-CN" w:eastAsia="zh-CN" w:bidi="zh-CN"/>
      </w:rPr>
    </w:lvl>
    <w:lvl w:ilvl="5" w:tentative="0">
      <w:start w:val="0"/>
      <w:numFmt w:val="bullet"/>
      <w:lvlText w:val="•"/>
      <w:lvlJc w:val="left"/>
      <w:pPr>
        <w:ind w:left="5873" w:hanging="481"/>
      </w:pPr>
      <w:rPr>
        <w:rFonts w:hint="default"/>
        <w:lang w:val="zh-CN" w:eastAsia="zh-CN" w:bidi="zh-CN"/>
      </w:rPr>
    </w:lvl>
    <w:lvl w:ilvl="6" w:tentative="0">
      <w:start w:val="0"/>
      <w:numFmt w:val="bullet"/>
      <w:lvlText w:val="•"/>
      <w:lvlJc w:val="left"/>
      <w:pPr>
        <w:ind w:left="6883" w:hanging="481"/>
      </w:pPr>
      <w:rPr>
        <w:rFonts w:hint="default"/>
        <w:lang w:val="zh-CN" w:eastAsia="zh-CN" w:bidi="zh-CN"/>
      </w:rPr>
    </w:lvl>
    <w:lvl w:ilvl="7" w:tentative="0">
      <w:start w:val="0"/>
      <w:numFmt w:val="bullet"/>
      <w:lvlText w:val="•"/>
      <w:lvlJc w:val="left"/>
      <w:pPr>
        <w:ind w:left="7894" w:hanging="481"/>
      </w:pPr>
      <w:rPr>
        <w:rFonts w:hint="default"/>
        <w:lang w:val="zh-CN" w:eastAsia="zh-CN" w:bidi="zh-CN"/>
      </w:rPr>
    </w:lvl>
    <w:lvl w:ilvl="8" w:tentative="0">
      <w:start w:val="0"/>
      <w:numFmt w:val="bullet"/>
      <w:lvlText w:val="•"/>
      <w:lvlJc w:val="left"/>
      <w:pPr>
        <w:ind w:left="8905" w:hanging="481"/>
      </w:pPr>
      <w:rPr>
        <w:rFonts w:hint="default"/>
        <w:lang w:val="zh-CN" w:eastAsia="zh-CN" w:bidi="zh-CN"/>
      </w:rPr>
    </w:lvl>
  </w:abstractNum>
  <w:abstractNum w:abstractNumId="7">
    <w:nsid w:val="B970D477"/>
    <w:multiLevelType w:val="singleLevel"/>
    <w:tmpl w:val="B970D477"/>
    <w:lvl w:ilvl="0" w:tentative="0">
      <w:start w:val="2"/>
      <w:numFmt w:val="chineseCounting"/>
      <w:suff w:val="nothing"/>
      <w:lvlText w:val="%1、"/>
      <w:lvlJc w:val="left"/>
      <w:rPr>
        <w:rFonts w:hint="eastAsia"/>
      </w:rPr>
    </w:lvl>
  </w:abstractNum>
  <w:abstractNum w:abstractNumId="8">
    <w:nsid w:val="BE8A4F4C"/>
    <w:multiLevelType w:val="multilevel"/>
    <w:tmpl w:val="BE8A4F4C"/>
    <w:lvl w:ilvl="0" w:tentative="0">
      <w:start w:val="1"/>
      <w:numFmt w:val="decimal"/>
      <w:lvlText w:val="%1"/>
      <w:lvlJc w:val="left"/>
      <w:pPr>
        <w:ind w:left="1663" w:hanging="364"/>
        <w:jc w:val="left"/>
      </w:pPr>
      <w:rPr>
        <w:rFonts w:hint="default"/>
        <w:lang w:val="zh-CN" w:eastAsia="zh-CN" w:bidi="zh-CN"/>
      </w:rPr>
    </w:lvl>
    <w:lvl w:ilvl="1" w:tentative="0">
      <w:start w:val="6"/>
      <w:numFmt w:val="decimal"/>
      <w:lvlText w:val="%1.%2"/>
      <w:lvlJc w:val="left"/>
      <w:pPr>
        <w:ind w:left="1663" w:hanging="364"/>
        <w:jc w:val="left"/>
      </w:pPr>
      <w:rPr>
        <w:rFonts w:hint="default" w:ascii="Microsoft JhengHei" w:hAnsi="Microsoft JhengHei" w:eastAsia="Microsoft JhengHei" w:cs="Microsoft JhengHei"/>
        <w:b/>
        <w:bCs/>
        <w:spacing w:val="0"/>
        <w:w w:val="83"/>
        <w:sz w:val="22"/>
        <w:szCs w:val="22"/>
        <w:lang w:val="zh-CN" w:eastAsia="zh-CN" w:bidi="zh-CN"/>
      </w:rPr>
    </w:lvl>
    <w:lvl w:ilvl="2" w:tentative="0">
      <w:start w:val="1"/>
      <w:numFmt w:val="decimal"/>
      <w:lvlText w:val="%1.%2.%3"/>
      <w:lvlJc w:val="left"/>
      <w:pPr>
        <w:ind w:left="818" w:hanging="601"/>
        <w:jc w:val="left"/>
      </w:pPr>
      <w:rPr>
        <w:rFonts w:hint="default" w:ascii="宋体" w:hAnsi="宋体" w:eastAsia="宋体" w:cs="宋体"/>
        <w:spacing w:val="-44"/>
        <w:w w:val="100"/>
        <w:sz w:val="22"/>
        <w:szCs w:val="22"/>
        <w:lang w:val="zh-CN" w:eastAsia="zh-CN" w:bidi="zh-CN"/>
      </w:rPr>
    </w:lvl>
    <w:lvl w:ilvl="3" w:tentative="0">
      <w:start w:val="0"/>
      <w:numFmt w:val="bullet"/>
      <w:lvlText w:val="•"/>
      <w:lvlJc w:val="left"/>
      <w:pPr>
        <w:ind w:left="3028" w:hanging="601"/>
      </w:pPr>
      <w:rPr>
        <w:rFonts w:hint="default"/>
        <w:lang w:val="zh-CN" w:eastAsia="zh-CN" w:bidi="zh-CN"/>
      </w:rPr>
    </w:lvl>
    <w:lvl w:ilvl="4" w:tentative="0">
      <w:start w:val="0"/>
      <w:numFmt w:val="bullet"/>
      <w:lvlText w:val="•"/>
      <w:lvlJc w:val="left"/>
      <w:pPr>
        <w:ind w:left="4156" w:hanging="601"/>
      </w:pPr>
      <w:rPr>
        <w:rFonts w:hint="default"/>
        <w:lang w:val="zh-CN" w:eastAsia="zh-CN" w:bidi="zh-CN"/>
      </w:rPr>
    </w:lvl>
    <w:lvl w:ilvl="5" w:tentative="0">
      <w:start w:val="0"/>
      <w:numFmt w:val="bullet"/>
      <w:lvlText w:val="•"/>
      <w:lvlJc w:val="left"/>
      <w:pPr>
        <w:ind w:left="5284" w:hanging="601"/>
      </w:pPr>
      <w:rPr>
        <w:rFonts w:hint="default"/>
        <w:lang w:val="zh-CN" w:eastAsia="zh-CN" w:bidi="zh-CN"/>
      </w:rPr>
    </w:lvl>
    <w:lvl w:ilvl="6" w:tentative="0">
      <w:start w:val="0"/>
      <w:numFmt w:val="bullet"/>
      <w:lvlText w:val="•"/>
      <w:lvlJc w:val="left"/>
      <w:pPr>
        <w:ind w:left="6413" w:hanging="601"/>
      </w:pPr>
      <w:rPr>
        <w:rFonts w:hint="default"/>
        <w:lang w:val="zh-CN" w:eastAsia="zh-CN" w:bidi="zh-CN"/>
      </w:rPr>
    </w:lvl>
    <w:lvl w:ilvl="7" w:tentative="0">
      <w:start w:val="0"/>
      <w:numFmt w:val="bullet"/>
      <w:lvlText w:val="•"/>
      <w:lvlJc w:val="left"/>
      <w:pPr>
        <w:ind w:left="7541" w:hanging="601"/>
      </w:pPr>
      <w:rPr>
        <w:rFonts w:hint="default"/>
        <w:lang w:val="zh-CN" w:eastAsia="zh-CN" w:bidi="zh-CN"/>
      </w:rPr>
    </w:lvl>
    <w:lvl w:ilvl="8" w:tentative="0">
      <w:start w:val="0"/>
      <w:numFmt w:val="bullet"/>
      <w:lvlText w:val="•"/>
      <w:lvlJc w:val="left"/>
      <w:pPr>
        <w:ind w:left="8669" w:hanging="601"/>
      </w:pPr>
      <w:rPr>
        <w:rFonts w:hint="default"/>
        <w:lang w:val="zh-CN" w:eastAsia="zh-CN" w:bidi="zh-CN"/>
      </w:rPr>
    </w:lvl>
  </w:abstractNum>
  <w:abstractNum w:abstractNumId="9">
    <w:nsid w:val="C0915F4F"/>
    <w:multiLevelType w:val="multilevel"/>
    <w:tmpl w:val="C0915F4F"/>
    <w:lvl w:ilvl="0" w:tentative="0">
      <w:start w:val="1"/>
      <w:numFmt w:val="decimal"/>
      <w:lvlText w:val="%1）"/>
      <w:lvlJc w:val="left"/>
      <w:pPr>
        <w:ind w:left="818" w:hanging="361"/>
        <w:jc w:val="left"/>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830" w:hanging="361"/>
      </w:pPr>
      <w:rPr>
        <w:rFonts w:hint="default"/>
        <w:lang w:val="zh-CN" w:eastAsia="zh-CN" w:bidi="zh-CN"/>
      </w:rPr>
    </w:lvl>
    <w:lvl w:ilvl="2" w:tentative="0">
      <w:start w:val="0"/>
      <w:numFmt w:val="bullet"/>
      <w:lvlText w:val="•"/>
      <w:lvlJc w:val="left"/>
      <w:pPr>
        <w:ind w:left="284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862" w:hanging="361"/>
      </w:pPr>
      <w:rPr>
        <w:rFonts w:hint="default"/>
        <w:lang w:val="zh-CN" w:eastAsia="zh-CN" w:bidi="zh-CN"/>
      </w:rPr>
    </w:lvl>
    <w:lvl w:ilvl="5" w:tentative="0">
      <w:start w:val="0"/>
      <w:numFmt w:val="bullet"/>
      <w:lvlText w:val="•"/>
      <w:lvlJc w:val="left"/>
      <w:pPr>
        <w:ind w:left="5873" w:hanging="361"/>
      </w:pPr>
      <w:rPr>
        <w:rFonts w:hint="default"/>
        <w:lang w:val="zh-CN" w:eastAsia="zh-CN" w:bidi="zh-CN"/>
      </w:rPr>
    </w:lvl>
    <w:lvl w:ilvl="6" w:tentative="0">
      <w:start w:val="0"/>
      <w:numFmt w:val="bullet"/>
      <w:lvlText w:val="•"/>
      <w:lvlJc w:val="left"/>
      <w:pPr>
        <w:ind w:left="6883" w:hanging="361"/>
      </w:pPr>
      <w:rPr>
        <w:rFonts w:hint="default"/>
        <w:lang w:val="zh-CN" w:eastAsia="zh-CN" w:bidi="zh-CN"/>
      </w:rPr>
    </w:lvl>
    <w:lvl w:ilvl="7" w:tentative="0">
      <w:start w:val="0"/>
      <w:numFmt w:val="bullet"/>
      <w:lvlText w:val="•"/>
      <w:lvlJc w:val="left"/>
      <w:pPr>
        <w:ind w:left="7894" w:hanging="361"/>
      </w:pPr>
      <w:rPr>
        <w:rFonts w:hint="default"/>
        <w:lang w:val="zh-CN" w:eastAsia="zh-CN" w:bidi="zh-CN"/>
      </w:rPr>
    </w:lvl>
    <w:lvl w:ilvl="8" w:tentative="0">
      <w:start w:val="0"/>
      <w:numFmt w:val="bullet"/>
      <w:lvlText w:val="•"/>
      <w:lvlJc w:val="left"/>
      <w:pPr>
        <w:ind w:left="8905" w:hanging="361"/>
      </w:pPr>
      <w:rPr>
        <w:rFonts w:hint="default"/>
        <w:lang w:val="zh-CN" w:eastAsia="zh-CN" w:bidi="zh-CN"/>
      </w:rPr>
    </w:lvl>
  </w:abstractNum>
  <w:abstractNum w:abstractNumId="10">
    <w:nsid w:val="C4E0D24A"/>
    <w:multiLevelType w:val="multilevel"/>
    <w:tmpl w:val="C4E0D24A"/>
    <w:lvl w:ilvl="0" w:tentative="0">
      <w:start w:val="27"/>
      <w:numFmt w:val="decimal"/>
      <w:lvlText w:val="%1"/>
      <w:lvlJc w:val="left"/>
      <w:pPr>
        <w:ind w:left="818" w:hanging="721"/>
        <w:jc w:val="left"/>
      </w:pPr>
      <w:rPr>
        <w:rFonts w:hint="default"/>
        <w:lang w:val="zh-CN" w:eastAsia="zh-CN" w:bidi="zh-CN"/>
      </w:rPr>
    </w:lvl>
    <w:lvl w:ilvl="1" w:tentative="0">
      <w:start w:val="3"/>
      <w:numFmt w:val="decimal"/>
      <w:lvlText w:val="%1.%2"/>
      <w:lvlJc w:val="left"/>
      <w:pPr>
        <w:ind w:left="818" w:hanging="721"/>
        <w:jc w:val="left"/>
      </w:pPr>
      <w:rPr>
        <w:rFonts w:hint="default"/>
        <w:lang w:val="zh-CN" w:eastAsia="zh-CN" w:bidi="zh-CN"/>
      </w:rPr>
    </w:lvl>
    <w:lvl w:ilvl="2" w:tentative="0">
      <w:start w:val="1"/>
      <w:numFmt w:val="decimal"/>
      <w:lvlText w:val="%1.%2.%3"/>
      <w:lvlJc w:val="left"/>
      <w:pPr>
        <w:ind w:left="818" w:hanging="721"/>
        <w:jc w:val="left"/>
      </w:pPr>
      <w:rPr>
        <w:rFonts w:hint="default" w:ascii="宋体" w:hAnsi="宋体" w:eastAsia="宋体" w:cs="宋体"/>
        <w:spacing w:val="-15"/>
        <w:w w:val="100"/>
        <w:sz w:val="22"/>
        <w:szCs w:val="22"/>
        <w:lang w:val="zh-CN" w:eastAsia="zh-CN" w:bidi="zh-CN"/>
      </w:rPr>
    </w:lvl>
    <w:lvl w:ilvl="3" w:tentative="0">
      <w:start w:val="0"/>
      <w:numFmt w:val="bullet"/>
      <w:lvlText w:val="•"/>
      <w:lvlJc w:val="left"/>
      <w:pPr>
        <w:ind w:left="3851" w:hanging="721"/>
      </w:pPr>
      <w:rPr>
        <w:rFonts w:hint="default"/>
        <w:lang w:val="zh-CN" w:eastAsia="zh-CN" w:bidi="zh-CN"/>
      </w:rPr>
    </w:lvl>
    <w:lvl w:ilvl="4" w:tentative="0">
      <w:start w:val="0"/>
      <w:numFmt w:val="bullet"/>
      <w:lvlText w:val="•"/>
      <w:lvlJc w:val="left"/>
      <w:pPr>
        <w:ind w:left="4862" w:hanging="721"/>
      </w:pPr>
      <w:rPr>
        <w:rFonts w:hint="default"/>
        <w:lang w:val="zh-CN" w:eastAsia="zh-CN" w:bidi="zh-CN"/>
      </w:rPr>
    </w:lvl>
    <w:lvl w:ilvl="5" w:tentative="0">
      <w:start w:val="0"/>
      <w:numFmt w:val="bullet"/>
      <w:lvlText w:val="•"/>
      <w:lvlJc w:val="left"/>
      <w:pPr>
        <w:ind w:left="5873" w:hanging="721"/>
      </w:pPr>
      <w:rPr>
        <w:rFonts w:hint="default"/>
        <w:lang w:val="zh-CN" w:eastAsia="zh-CN" w:bidi="zh-CN"/>
      </w:rPr>
    </w:lvl>
    <w:lvl w:ilvl="6" w:tentative="0">
      <w:start w:val="0"/>
      <w:numFmt w:val="bullet"/>
      <w:lvlText w:val="•"/>
      <w:lvlJc w:val="left"/>
      <w:pPr>
        <w:ind w:left="6883" w:hanging="721"/>
      </w:pPr>
      <w:rPr>
        <w:rFonts w:hint="default"/>
        <w:lang w:val="zh-CN" w:eastAsia="zh-CN" w:bidi="zh-CN"/>
      </w:rPr>
    </w:lvl>
    <w:lvl w:ilvl="7" w:tentative="0">
      <w:start w:val="0"/>
      <w:numFmt w:val="bullet"/>
      <w:lvlText w:val="•"/>
      <w:lvlJc w:val="left"/>
      <w:pPr>
        <w:ind w:left="7894" w:hanging="721"/>
      </w:pPr>
      <w:rPr>
        <w:rFonts w:hint="default"/>
        <w:lang w:val="zh-CN" w:eastAsia="zh-CN" w:bidi="zh-CN"/>
      </w:rPr>
    </w:lvl>
    <w:lvl w:ilvl="8" w:tentative="0">
      <w:start w:val="0"/>
      <w:numFmt w:val="bullet"/>
      <w:lvlText w:val="•"/>
      <w:lvlJc w:val="left"/>
      <w:pPr>
        <w:ind w:left="8905" w:hanging="721"/>
      </w:pPr>
      <w:rPr>
        <w:rFonts w:hint="default"/>
        <w:lang w:val="zh-CN" w:eastAsia="zh-CN" w:bidi="zh-CN"/>
      </w:rPr>
    </w:lvl>
  </w:abstractNum>
  <w:abstractNum w:abstractNumId="11">
    <w:nsid w:val="CCA84EB2"/>
    <w:multiLevelType w:val="singleLevel"/>
    <w:tmpl w:val="CCA84EB2"/>
    <w:lvl w:ilvl="0" w:tentative="0">
      <w:start w:val="1"/>
      <w:numFmt w:val="decimal"/>
      <w:suff w:val="nothing"/>
      <w:lvlText w:val="%1、"/>
      <w:lvlJc w:val="left"/>
    </w:lvl>
  </w:abstractNum>
  <w:abstractNum w:abstractNumId="12">
    <w:nsid w:val="D1EB1714"/>
    <w:multiLevelType w:val="multilevel"/>
    <w:tmpl w:val="D1EB1714"/>
    <w:lvl w:ilvl="0" w:tentative="0">
      <w:start w:val="1"/>
      <w:numFmt w:val="decimal"/>
      <w:lvlText w:val="%1）"/>
      <w:lvlJc w:val="left"/>
      <w:pPr>
        <w:ind w:left="1659"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86" w:hanging="361"/>
      </w:pPr>
      <w:rPr>
        <w:rFonts w:hint="default"/>
        <w:lang w:val="zh-CN" w:eastAsia="zh-CN" w:bidi="zh-CN"/>
      </w:rPr>
    </w:lvl>
    <w:lvl w:ilvl="2" w:tentative="0">
      <w:start w:val="0"/>
      <w:numFmt w:val="bullet"/>
      <w:lvlText w:val="•"/>
      <w:lvlJc w:val="left"/>
      <w:pPr>
        <w:ind w:left="3513" w:hanging="361"/>
      </w:pPr>
      <w:rPr>
        <w:rFonts w:hint="default"/>
        <w:lang w:val="zh-CN" w:eastAsia="zh-CN" w:bidi="zh-CN"/>
      </w:rPr>
    </w:lvl>
    <w:lvl w:ilvl="3" w:tentative="0">
      <w:start w:val="0"/>
      <w:numFmt w:val="bullet"/>
      <w:lvlText w:val="•"/>
      <w:lvlJc w:val="left"/>
      <w:pPr>
        <w:ind w:left="4439" w:hanging="361"/>
      </w:pPr>
      <w:rPr>
        <w:rFonts w:hint="default"/>
        <w:lang w:val="zh-CN" w:eastAsia="zh-CN" w:bidi="zh-CN"/>
      </w:rPr>
    </w:lvl>
    <w:lvl w:ilvl="4" w:tentative="0">
      <w:start w:val="0"/>
      <w:numFmt w:val="bullet"/>
      <w:lvlText w:val="•"/>
      <w:lvlJc w:val="left"/>
      <w:pPr>
        <w:ind w:left="5366" w:hanging="361"/>
      </w:pPr>
      <w:rPr>
        <w:rFonts w:hint="default"/>
        <w:lang w:val="zh-CN" w:eastAsia="zh-CN" w:bidi="zh-CN"/>
      </w:rPr>
    </w:lvl>
    <w:lvl w:ilvl="5" w:tentative="0">
      <w:start w:val="0"/>
      <w:numFmt w:val="bullet"/>
      <w:lvlText w:val="•"/>
      <w:lvlJc w:val="left"/>
      <w:pPr>
        <w:ind w:left="6293" w:hanging="361"/>
      </w:pPr>
      <w:rPr>
        <w:rFonts w:hint="default"/>
        <w:lang w:val="zh-CN" w:eastAsia="zh-CN" w:bidi="zh-CN"/>
      </w:rPr>
    </w:lvl>
    <w:lvl w:ilvl="6" w:tentative="0">
      <w:start w:val="0"/>
      <w:numFmt w:val="bullet"/>
      <w:lvlText w:val="•"/>
      <w:lvlJc w:val="left"/>
      <w:pPr>
        <w:ind w:left="7219" w:hanging="361"/>
      </w:pPr>
      <w:rPr>
        <w:rFonts w:hint="default"/>
        <w:lang w:val="zh-CN" w:eastAsia="zh-CN" w:bidi="zh-CN"/>
      </w:rPr>
    </w:lvl>
    <w:lvl w:ilvl="7" w:tentative="0">
      <w:start w:val="0"/>
      <w:numFmt w:val="bullet"/>
      <w:lvlText w:val="•"/>
      <w:lvlJc w:val="left"/>
      <w:pPr>
        <w:ind w:left="8146" w:hanging="361"/>
      </w:pPr>
      <w:rPr>
        <w:rFonts w:hint="default"/>
        <w:lang w:val="zh-CN" w:eastAsia="zh-CN" w:bidi="zh-CN"/>
      </w:rPr>
    </w:lvl>
    <w:lvl w:ilvl="8" w:tentative="0">
      <w:start w:val="0"/>
      <w:numFmt w:val="bullet"/>
      <w:lvlText w:val="•"/>
      <w:lvlJc w:val="left"/>
      <w:pPr>
        <w:ind w:left="9073" w:hanging="361"/>
      </w:pPr>
      <w:rPr>
        <w:rFonts w:hint="default"/>
        <w:lang w:val="zh-CN" w:eastAsia="zh-CN" w:bidi="zh-CN"/>
      </w:rPr>
    </w:lvl>
  </w:abstractNum>
  <w:abstractNum w:abstractNumId="13">
    <w:nsid w:val="D7D140E4"/>
    <w:multiLevelType w:val="multilevel"/>
    <w:tmpl w:val="D7D140E4"/>
    <w:lvl w:ilvl="0" w:tentative="0">
      <w:start w:val="1"/>
      <w:numFmt w:val="decimal"/>
      <w:lvlText w:val="（%1）"/>
      <w:lvlJc w:val="left"/>
      <w:pPr>
        <w:ind w:left="818" w:hanging="604"/>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830" w:hanging="604"/>
      </w:pPr>
      <w:rPr>
        <w:rFonts w:hint="default"/>
        <w:lang w:val="zh-CN" w:eastAsia="zh-CN" w:bidi="zh-CN"/>
      </w:rPr>
    </w:lvl>
    <w:lvl w:ilvl="2" w:tentative="0">
      <w:start w:val="0"/>
      <w:numFmt w:val="bullet"/>
      <w:lvlText w:val="•"/>
      <w:lvlJc w:val="left"/>
      <w:pPr>
        <w:ind w:left="2841" w:hanging="604"/>
      </w:pPr>
      <w:rPr>
        <w:rFonts w:hint="default"/>
        <w:lang w:val="zh-CN" w:eastAsia="zh-CN" w:bidi="zh-CN"/>
      </w:rPr>
    </w:lvl>
    <w:lvl w:ilvl="3" w:tentative="0">
      <w:start w:val="0"/>
      <w:numFmt w:val="bullet"/>
      <w:lvlText w:val="•"/>
      <w:lvlJc w:val="left"/>
      <w:pPr>
        <w:ind w:left="3851" w:hanging="604"/>
      </w:pPr>
      <w:rPr>
        <w:rFonts w:hint="default"/>
        <w:lang w:val="zh-CN" w:eastAsia="zh-CN" w:bidi="zh-CN"/>
      </w:rPr>
    </w:lvl>
    <w:lvl w:ilvl="4" w:tentative="0">
      <w:start w:val="0"/>
      <w:numFmt w:val="bullet"/>
      <w:lvlText w:val="•"/>
      <w:lvlJc w:val="left"/>
      <w:pPr>
        <w:ind w:left="4862" w:hanging="604"/>
      </w:pPr>
      <w:rPr>
        <w:rFonts w:hint="default"/>
        <w:lang w:val="zh-CN" w:eastAsia="zh-CN" w:bidi="zh-CN"/>
      </w:rPr>
    </w:lvl>
    <w:lvl w:ilvl="5" w:tentative="0">
      <w:start w:val="0"/>
      <w:numFmt w:val="bullet"/>
      <w:lvlText w:val="•"/>
      <w:lvlJc w:val="left"/>
      <w:pPr>
        <w:ind w:left="5873" w:hanging="604"/>
      </w:pPr>
      <w:rPr>
        <w:rFonts w:hint="default"/>
        <w:lang w:val="zh-CN" w:eastAsia="zh-CN" w:bidi="zh-CN"/>
      </w:rPr>
    </w:lvl>
    <w:lvl w:ilvl="6" w:tentative="0">
      <w:start w:val="0"/>
      <w:numFmt w:val="bullet"/>
      <w:lvlText w:val="•"/>
      <w:lvlJc w:val="left"/>
      <w:pPr>
        <w:ind w:left="6883" w:hanging="604"/>
      </w:pPr>
      <w:rPr>
        <w:rFonts w:hint="default"/>
        <w:lang w:val="zh-CN" w:eastAsia="zh-CN" w:bidi="zh-CN"/>
      </w:rPr>
    </w:lvl>
    <w:lvl w:ilvl="7" w:tentative="0">
      <w:start w:val="0"/>
      <w:numFmt w:val="bullet"/>
      <w:lvlText w:val="•"/>
      <w:lvlJc w:val="left"/>
      <w:pPr>
        <w:ind w:left="7894" w:hanging="604"/>
      </w:pPr>
      <w:rPr>
        <w:rFonts w:hint="default"/>
        <w:lang w:val="zh-CN" w:eastAsia="zh-CN" w:bidi="zh-CN"/>
      </w:rPr>
    </w:lvl>
    <w:lvl w:ilvl="8" w:tentative="0">
      <w:start w:val="0"/>
      <w:numFmt w:val="bullet"/>
      <w:lvlText w:val="•"/>
      <w:lvlJc w:val="left"/>
      <w:pPr>
        <w:ind w:left="8905" w:hanging="604"/>
      </w:pPr>
      <w:rPr>
        <w:rFonts w:hint="default"/>
        <w:lang w:val="zh-CN" w:eastAsia="zh-CN" w:bidi="zh-CN"/>
      </w:rPr>
    </w:lvl>
  </w:abstractNum>
  <w:abstractNum w:abstractNumId="14">
    <w:nsid w:val="DAD3A854"/>
    <w:multiLevelType w:val="multilevel"/>
    <w:tmpl w:val="DAD3A854"/>
    <w:lvl w:ilvl="0" w:tentative="0">
      <w:start w:val="30"/>
      <w:numFmt w:val="decimal"/>
      <w:lvlText w:val="%1"/>
      <w:lvlJc w:val="left"/>
      <w:pPr>
        <w:ind w:left="818" w:hanging="481"/>
        <w:jc w:val="left"/>
      </w:pPr>
      <w:rPr>
        <w:rFonts w:hint="default"/>
        <w:lang w:val="zh-CN" w:eastAsia="zh-CN" w:bidi="zh-CN"/>
      </w:rPr>
    </w:lvl>
    <w:lvl w:ilvl="1" w:tentative="0">
      <w:start w:val="1"/>
      <w:numFmt w:val="decimal"/>
      <w:lvlText w:val="%1.%2"/>
      <w:lvlJc w:val="left"/>
      <w:pPr>
        <w:ind w:left="818" w:hanging="481"/>
        <w:jc w:val="left"/>
      </w:pPr>
      <w:rPr>
        <w:rFonts w:hint="default" w:ascii="宋体" w:hAnsi="宋体" w:eastAsia="宋体" w:cs="宋体"/>
        <w:spacing w:val="-60"/>
        <w:w w:val="100"/>
        <w:sz w:val="22"/>
        <w:szCs w:val="22"/>
        <w:lang w:val="zh-CN" w:eastAsia="zh-CN" w:bidi="zh-CN"/>
      </w:rPr>
    </w:lvl>
    <w:lvl w:ilvl="2" w:tentative="0">
      <w:start w:val="0"/>
      <w:numFmt w:val="bullet"/>
      <w:lvlText w:val="•"/>
      <w:lvlJc w:val="left"/>
      <w:pPr>
        <w:ind w:left="2841" w:hanging="481"/>
      </w:pPr>
      <w:rPr>
        <w:rFonts w:hint="default"/>
        <w:lang w:val="zh-CN" w:eastAsia="zh-CN" w:bidi="zh-CN"/>
      </w:rPr>
    </w:lvl>
    <w:lvl w:ilvl="3" w:tentative="0">
      <w:start w:val="0"/>
      <w:numFmt w:val="bullet"/>
      <w:lvlText w:val="•"/>
      <w:lvlJc w:val="left"/>
      <w:pPr>
        <w:ind w:left="3851" w:hanging="481"/>
      </w:pPr>
      <w:rPr>
        <w:rFonts w:hint="default"/>
        <w:lang w:val="zh-CN" w:eastAsia="zh-CN" w:bidi="zh-CN"/>
      </w:rPr>
    </w:lvl>
    <w:lvl w:ilvl="4" w:tentative="0">
      <w:start w:val="0"/>
      <w:numFmt w:val="bullet"/>
      <w:lvlText w:val="•"/>
      <w:lvlJc w:val="left"/>
      <w:pPr>
        <w:ind w:left="4862" w:hanging="481"/>
      </w:pPr>
      <w:rPr>
        <w:rFonts w:hint="default"/>
        <w:lang w:val="zh-CN" w:eastAsia="zh-CN" w:bidi="zh-CN"/>
      </w:rPr>
    </w:lvl>
    <w:lvl w:ilvl="5" w:tentative="0">
      <w:start w:val="0"/>
      <w:numFmt w:val="bullet"/>
      <w:lvlText w:val="•"/>
      <w:lvlJc w:val="left"/>
      <w:pPr>
        <w:ind w:left="5873" w:hanging="481"/>
      </w:pPr>
      <w:rPr>
        <w:rFonts w:hint="default"/>
        <w:lang w:val="zh-CN" w:eastAsia="zh-CN" w:bidi="zh-CN"/>
      </w:rPr>
    </w:lvl>
    <w:lvl w:ilvl="6" w:tentative="0">
      <w:start w:val="0"/>
      <w:numFmt w:val="bullet"/>
      <w:lvlText w:val="•"/>
      <w:lvlJc w:val="left"/>
      <w:pPr>
        <w:ind w:left="6883" w:hanging="481"/>
      </w:pPr>
      <w:rPr>
        <w:rFonts w:hint="default"/>
        <w:lang w:val="zh-CN" w:eastAsia="zh-CN" w:bidi="zh-CN"/>
      </w:rPr>
    </w:lvl>
    <w:lvl w:ilvl="7" w:tentative="0">
      <w:start w:val="0"/>
      <w:numFmt w:val="bullet"/>
      <w:lvlText w:val="•"/>
      <w:lvlJc w:val="left"/>
      <w:pPr>
        <w:ind w:left="7894" w:hanging="481"/>
      </w:pPr>
      <w:rPr>
        <w:rFonts w:hint="default"/>
        <w:lang w:val="zh-CN" w:eastAsia="zh-CN" w:bidi="zh-CN"/>
      </w:rPr>
    </w:lvl>
    <w:lvl w:ilvl="8" w:tentative="0">
      <w:start w:val="0"/>
      <w:numFmt w:val="bullet"/>
      <w:lvlText w:val="•"/>
      <w:lvlJc w:val="left"/>
      <w:pPr>
        <w:ind w:left="8905" w:hanging="481"/>
      </w:pPr>
      <w:rPr>
        <w:rFonts w:hint="default"/>
        <w:lang w:val="zh-CN" w:eastAsia="zh-CN" w:bidi="zh-CN"/>
      </w:rPr>
    </w:lvl>
  </w:abstractNum>
  <w:abstractNum w:abstractNumId="15">
    <w:nsid w:val="E504947C"/>
    <w:multiLevelType w:val="multilevel"/>
    <w:tmpl w:val="E504947C"/>
    <w:lvl w:ilvl="0" w:tentative="0">
      <w:start w:val="1"/>
      <w:numFmt w:val="decimal"/>
      <w:lvlText w:val="%1）"/>
      <w:lvlJc w:val="left"/>
      <w:pPr>
        <w:ind w:left="1659"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86" w:hanging="361"/>
      </w:pPr>
      <w:rPr>
        <w:rFonts w:hint="default"/>
        <w:lang w:val="zh-CN" w:eastAsia="zh-CN" w:bidi="zh-CN"/>
      </w:rPr>
    </w:lvl>
    <w:lvl w:ilvl="2" w:tentative="0">
      <w:start w:val="0"/>
      <w:numFmt w:val="bullet"/>
      <w:lvlText w:val="•"/>
      <w:lvlJc w:val="left"/>
      <w:pPr>
        <w:ind w:left="3513" w:hanging="361"/>
      </w:pPr>
      <w:rPr>
        <w:rFonts w:hint="default"/>
        <w:lang w:val="zh-CN" w:eastAsia="zh-CN" w:bidi="zh-CN"/>
      </w:rPr>
    </w:lvl>
    <w:lvl w:ilvl="3" w:tentative="0">
      <w:start w:val="0"/>
      <w:numFmt w:val="bullet"/>
      <w:lvlText w:val="•"/>
      <w:lvlJc w:val="left"/>
      <w:pPr>
        <w:ind w:left="4439" w:hanging="361"/>
      </w:pPr>
      <w:rPr>
        <w:rFonts w:hint="default"/>
        <w:lang w:val="zh-CN" w:eastAsia="zh-CN" w:bidi="zh-CN"/>
      </w:rPr>
    </w:lvl>
    <w:lvl w:ilvl="4" w:tentative="0">
      <w:start w:val="0"/>
      <w:numFmt w:val="bullet"/>
      <w:lvlText w:val="•"/>
      <w:lvlJc w:val="left"/>
      <w:pPr>
        <w:ind w:left="5366" w:hanging="361"/>
      </w:pPr>
      <w:rPr>
        <w:rFonts w:hint="default"/>
        <w:lang w:val="zh-CN" w:eastAsia="zh-CN" w:bidi="zh-CN"/>
      </w:rPr>
    </w:lvl>
    <w:lvl w:ilvl="5" w:tentative="0">
      <w:start w:val="0"/>
      <w:numFmt w:val="bullet"/>
      <w:lvlText w:val="•"/>
      <w:lvlJc w:val="left"/>
      <w:pPr>
        <w:ind w:left="6293" w:hanging="361"/>
      </w:pPr>
      <w:rPr>
        <w:rFonts w:hint="default"/>
        <w:lang w:val="zh-CN" w:eastAsia="zh-CN" w:bidi="zh-CN"/>
      </w:rPr>
    </w:lvl>
    <w:lvl w:ilvl="6" w:tentative="0">
      <w:start w:val="0"/>
      <w:numFmt w:val="bullet"/>
      <w:lvlText w:val="•"/>
      <w:lvlJc w:val="left"/>
      <w:pPr>
        <w:ind w:left="7219" w:hanging="361"/>
      </w:pPr>
      <w:rPr>
        <w:rFonts w:hint="default"/>
        <w:lang w:val="zh-CN" w:eastAsia="zh-CN" w:bidi="zh-CN"/>
      </w:rPr>
    </w:lvl>
    <w:lvl w:ilvl="7" w:tentative="0">
      <w:start w:val="0"/>
      <w:numFmt w:val="bullet"/>
      <w:lvlText w:val="•"/>
      <w:lvlJc w:val="left"/>
      <w:pPr>
        <w:ind w:left="8146" w:hanging="361"/>
      </w:pPr>
      <w:rPr>
        <w:rFonts w:hint="default"/>
        <w:lang w:val="zh-CN" w:eastAsia="zh-CN" w:bidi="zh-CN"/>
      </w:rPr>
    </w:lvl>
    <w:lvl w:ilvl="8" w:tentative="0">
      <w:start w:val="0"/>
      <w:numFmt w:val="bullet"/>
      <w:lvlText w:val="•"/>
      <w:lvlJc w:val="left"/>
      <w:pPr>
        <w:ind w:left="9073" w:hanging="361"/>
      </w:pPr>
      <w:rPr>
        <w:rFonts w:hint="default"/>
        <w:lang w:val="zh-CN" w:eastAsia="zh-CN" w:bidi="zh-CN"/>
      </w:rPr>
    </w:lvl>
  </w:abstractNum>
  <w:abstractNum w:abstractNumId="16">
    <w:nsid w:val="E7B27C5B"/>
    <w:multiLevelType w:val="multilevel"/>
    <w:tmpl w:val="E7B27C5B"/>
    <w:lvl w:ilvl="0" w:tentative="0">
      <w:start w:val="1"/>
      <w:numFmt w:val="decimal"/>
      <w:lvlText w:val="%1）"/>
      <w:lvlJc w:val="left"/>
      <w:pPr>
        <w:ind w:left="1659"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86" w:hanging="361"/>
      </w:pPr>
      <w:rPr>
        <w:rFonts w:hint="default"/>
        <w:lang w:val="zh-CN" w:eastAsia="zh-CN" w:bidi="zh-CN"/>
      </w:rPr>
    </w:lvl>
    <w:lvl w:ilvl="2" w:tentative="0">
      <w:start w:val="0"/>
      <w:numFmt w:val="bullet"/>
      <w:lvlText w:val="•"/>
      <w:lvlJc w:val="left"/>
      <w:pPr>
        <w:ind w:left="3513" w:hanging="361"/>
      </w:pPr>
      <w:rPr>
        <w:rFonts w:hint="default"/>
        <w:lang w:val="zh-CN" w:eastAsia="zh-CN" w:bidi="zh-CN"/>
      </w:rPr>
    </w:lvl>
    <w:lvl w:ilvl="3" w:tentative="0">
      <w:start w:val="0"/>
      <w:numFmt w:val="bullet"/>
      <w:lvlText w:val="•"/>
      <w:lvlJc w:val="left"/>
      <w:pPr>
        <w:ind w:left="4439" w:hanging="361"/>
      </w:pPr>
      <w:rPr>
        <w:rFonts w:hint="default"/>
        <w:lang w:val="zh-CN" w:eastAsia="zh-CN" w:bidi="zh-CN"/>
      </w:rPr>
    </w:lvl>
    <w:lvl w:ilvl="4" w:tentative="0">
      <w:start w:val="0"/>
      <w:numFmt w:val="bullet"/>
      <w:lvlText w:val="•"/>
      <w:lvlJc w:val="left"/>
      <w:pPr>
        <w:ind w:left="5366" w:hanging="361"/>
      </w:pPr>
      <w:rPr>
        <w:rFonts w:hint="default"/>
        <w:lang w:val="zh-CN" w:eastAsia="zh-CN" w:bidi="zh-CN"/>
      </w:rPr>
    </w:lvl>
    <w:lvl w:ilvl="5" w:tentative="0">
      <w:start w:val="0"/>
      <w:numFmt w:val="bullet"/>
      <w:lvlText w:val="•"/>
      <w:lvlJc w:val="left"/>
      <w:pPr>
        <w:ind w:left="6293" w:hanging="361"/>
      </w:pPr>
      <w:rPr>
        <w:rFonts w:hint="default"/>
        <w:lang w:val="zh-CN" w:eastAsia="zh-CN" w:bidi="zh-CN"/>
      </w:rPr>
    </w:lvl>
    <w:lvl w:ilvl="6" w:tentative="0">
      <w:start w:val="0"/>
      <w:numFmt w:val="bullet"/>
      <w:lvlText w:val="•"/>
      <w:lvlJc w:val="left"/>
      <w:pPr>
        <w:ind w:left="7219" w:hanging="361"/>
      </w:pPr>
      <w:rPr>
        <w:rFonts w:hint="default"/>
        <w:lang w:val="zh-CN" w:eastAsia="zh-CN" w:bidi="zh-CN"/>
      </w:rPr>
    </w:lvl>
    <w:lvl w:ilvl="7" w:tentative="0">
      <w:start w:val="0"/>
      <w:numFmt w:val="bullet"/>
      <w:lvlText w:val="•"/>
      <w:lvlJc w:val="left"/>
      <w:pPr>
        <w:ind w:left="8146" w:hanging="361"/>
      </w:pPr>
      <w:rPr>
        <w:rFonts w:hint="default"/>
        <w:lang w:val="zh-CN" w:eastAsia="zh-CN" w:bidi="zh-CN"/>
      </w:rPr>
    </w:lvl>
    <w:lvl w:ilvl="8" w:tentative="0">
      <w:start w:val="0"/>
      <w:numFmt w:val="bullet"/>
      <w:lvlText w:val="•"/>
      <w:lvlJc w:val="left"/>
      <w:pPr>
        <w:ind w:left="9073" w:hanging="361"/>
      </w:pPr>
      <w:rPr>
        <w:rFonts w:hint="default"/>
        <w:lang w:val="zh-CN" w:eastAsia="zh-CN" w:bidi="zh-CN"/>
      </w:rPr>
    </w:lvl>
  </w:abstractNum>
  <w:abstractNum w:abstractNumId="17">
    <w:nsid w:val="F0E89278"/>
    <w:multiLevelType w:val="multilevel"/>
    <w:tmpl w:val="F0E89278"/>
    <w:lvl w:ilvl="0" w:tentative="0">
      <w:start w:val="0"/>
      <w:numFmt w:val="bullet"/>
      <w:lvlText w:val="☐"/>
      <w:lvlJc w:val="left"/>
      <w:pPr>
        <w:ind w:left="108" w:hanging="241"/>
      </w:pPr>
      <w:rPr>
        <w:rFonts w:hint="default" w:ascii="MS UI Gothic" w:hAnsi="MS UI Gothic" w:eastAsia="MS UI Gothic" w:cs="MS UI Gothic"/>
        <w:w w:val="100"/>
        <w:sz w:val="22"/>
        <w:szCs w:val="22"/>
        <w:lang w:val="zh-CN" w:eastAsia="zh-CN" w:bidi="zh-CN"/>
      </w:rPr>
    </w:lvl>
    <w:lvl w:ilvl="1" w:tentative="0">
      <w:start w:val="0"/>
      <w:numFmt w:val="bullet"/>
      <w:lvlText w:val="•"/>
      <w:lvlJc w:val="left"/>
      <w:pPr>
        <w:ind w:left="721" w:hanging="241"/>
      </w:pPr>
      <w:rPr>
        <w:rFonts w:hint="default"/>
        <w:lang w:val="zh-CN" w:eastAsia="zh-CN" w:bidi="zh-CN"/>
      </w:rPr>
    </w:lvl>
    <w:lvl w:ilvl="2" w:tentative="0">
      <w:start w:val="0"/>
      <w:numFmt w:val="bullet"/>
      <w:lvlText w:val="•"/>
      <w:lvlJc w:val="left"/>
      <w:pPr>
        <w:ind w:left="1342" w:hanging="241"/>
      </w:pPr>
      <w:rPr>
        <w:rFonts w:hint="default"/>
        <w:lang w:val="zh-CN" w:eastAsia="zh-CN" w:bidi="zh-CN"/>
      </w:rPr>
    </w:lvl>
    <w:lvl w:ilvl="3" w:tentative="0">
      <w:start w:val="0"/>
      <w:numFmt w:val="bullet"/>
      <w:lvlText w:val="•"/>
      <w:lvlJc w:val="left"/>
      <w:pPr>
        <w:ind w:left="1963" w:hanging="241"/>
      </w:pPr>
      <w:rPr>
        <w:rFonts w:hint="default"/>
        <w:lang w:val="zh-CN" w:eastAsia="zh-CN" w:bidi="zh-CN"/>
      </w:rPr>
    </w:lvl>
    <w:lvl w:ilvl="4" w:tentative="0">
      <w:start w:val="0"/>
      <w:numFmt w:val="bullet"/>
      <w:lvlText w:val="•"/>
      <w:lvlJc w:val="left"/>
      <w:pPr>
        <w:ind w:left="2584" w:hanging="241"/>
      </w:pPr>
      <w:rPr>
        <w:rFonts w:hint="default"/>
        <w:lang w:val="zh-CN" w:eastAsia="zh-CN" w:bidi="zh-CN"/>
      </w:rPr>
    </w:lvl>
    <w:lvl w:ilvl="5" w:tentative="0">
      <w:start w:val="0"/>
      <w:numFmt w:val="bullet"/>
      <w:lvlText w:val="•"/>
      <w:lvlJc w:val="left"/>
      <w:pPr>
        <w:ind w:left="3206" w:hanging="241"/>
      </w:pPr>
      <w:rPr>
        <w:rFonts w:hint="default"/>
        <w:lang w:val="zh-CN" w:eastAsia="zh-CN" w:bidi="zh-CN"/>
      </w:rPr>
    </w:lvl>
    <w:lvl w:ilvl="6" w:tentative="0">
      <w:start w:val="0"/>
      <w:numFmt w:val="bullet"/>
      <w:lvlText w:val="•"/>
      <w:lvlJc w:val="left"/>
      <w:pPr>
        <w:ind w:left="3827" w:hanging="241"/>
      </w:pPr>
      <w:rPr>
        <w:rFonts w:hint="default"/>
        <w:lang w:val="zh-CN" w:eastAsia="zh-CN" w:bidi="zh-CN"/>
      </w:rPr>
    </w:lvl>
    <w:lvl w:ilvl="7" w:tentative="0">
      <w:start w:val="0"/>
      <w:numFmt w:val="bullet"/>
      <w:lvlText w:val="•"/>
      <w:lvlJc w:val="left"/>
      <w:pPr>
        <w:ind w:left="4448" w:hanging="241"/>
      </w:pPr>
      <w:rPr>
        <w:rFonts w:hint="default"/>
        <w:lang w:val="zh-CN" w:eastAsia="zh-CN" w:bidi="zh-CN"/>
      </w:rPr>
    </w:lvl>
    <w:lvl w:ilvl="8" w:tentative="0">
      <w:start w:val="0"/>
      <w:numFmt w:val="bullet"/>
      <w:lvlText w:val="•"/>
      <w:lvlJc w:val="left"/>
      <w:pPr>
        <w:ind w:left="5069" w:hanging="241"/>
      </w:pPr>
      <w:rPr>
        <w:rFonts w:hint="default"/>
        <w:lang w:val="zh-CN" w:eastAsia="zh-CN" w:bidi="zh-CN"/>
      </w:rPr>
    </w:lvl>
  </w:abstractNum>
  <w:abstractNum w:abstractNumId="18">
    <w:nsid w:val="FEC2EA36"/>
    <w:multiLevelType w:val="multilevel"/>
    <w:tmpl w:val="FEC2EA36"/>
    <w:lvl w:ilvl="0" w:tentative="0">
      <w:start w:val="21"/>
      <w:numFmt w:val="decimal"/>
      <w:lvlText w:val="%1"/>
      <w:lvlJc w:val="left"/>
      <w:pPr>
        <w:ind w:left="818" w:hanging="481"/>
        <w:jc w:val="left"/>
      </w:pPr>
      <w:rPr>
        <w:rFonts w:hint="default"/>
        <w:lang w:val="zh-CN" w:eastAsia="zh-CN" w:bidi="zh-CN"/>
      </w:rPr>
    </w:lvl>
    <w:lvl w:ilvl="1" w:tentative="0">
      <w:start w:val="1"/>
      <w:numFmt w:val="decimal"/>
      <w:lvlText w:val="%1.%2"/>
      <w:lvlJc w:val="left"/>
      <w:pPr>
        <w:ind w:left="818" w:hanging="481"/>
        <w:jc w:val="left"/>
      </w:pPr>
      <w:rPr>
        <w:rFonts w:hint="default" w:ascii="宋体" w:hAnsi="宋体" w:eastAsia="宋体" w:cs="宋体"/>
        <w:spacing w:val="-44"/>
        <w:w w:val="100"/>
        <w:sz w:val="22"/>
        <w:szCs w:val="22"/>
        <w:lang w:val="zh-CN" w:eastAsia="zh-CN" w:bidi="zh-CN"/>
      </w:rPr>
    </w:lvl>
    <w:lvl w:ilvl="2" w:tentative="0">
      <w:start w:val="0"/>
      <w:numFmt w:val="bullet"/>
      <w:lvlText w:val="•"/>
      <w:lvlJc w:val="left"/>
      <w:pPr>
        <w:ind w:left="2841" w:hanging="481"/>
      </w:pPr>
      <w:rPr>
        <w:rFonts w:hint="default"/>
        <w:lang w:val="zh-CN" w:eastAsia="zh-CN" w:bidi="zh-CN"/>
      </w:rPr>
    </w:lvl>
    <w:lvl w:ilvl="3" w:tentative="0">
      <w:start w:val="0"/>
      <w:numFmt w:val="bullet"/>
      <w:lvlText w:val="•"/>
      <w:lvlJc w:val="left"/>
      <w:pPr>
        <w:ind w:left="3851" w:hanging="481"/>
      </w:pPr>
      <w:rPr>
        <w:rFonts w:hint="default"/>
        <w:lang w:val="zh-CN" w:eastAsia="zh-CN" w:bidi="zh-CN"/>
      </w:rPr>
    </w:lvl>
    <w:lvl w:ilvl="4" w:tentative="0">
      <w:start w:val="0"/>
      <w:numFmt w:val="bullet"/>
      <w:lvlText w:val="•"/>
      <w:lvlJc w:val="left"/>
      <w:pPr>
        <w:ind w:left="4862" w:hanging="481"/>
      </w:pPr>
      <w:rPr>
        <w:rFonts w:hint="default"/>
        <w:lang w:val="zh-CN" w:eastAsia="zh-CN" w:bidi="zh-CN"/>
      </w:rPr>
    </w:lvl>
    <w:lvl w:ilvl="5" w:tentative="0">
      <w:start w:val="0"/>
      <w:numFmt w:val="bullet"/>
      <w:lvlText w:val="•"/>
      <w:lvlJc w:val="left"/>
      <w:pPr>
        <w:ind w:left="5873" w:hanging="481"/>
      </w:pPr>
      <w:rPr>
        <w:rFonts w:hint="default"/>
        <w:lang w:val="zh-CN" w:eastAsia="zh-CN" w:bidi="zh-CN"/>
      </w:rPr>
    </w:lvl>
    <w:lvl w:ilvl="6" w:tentative="0">
      <w:start w:val="0"/>
      <w:numFmt w:val="bullet"/>
      <w:lvlText w:val="•"/>
      <w:lvlJc w:val="left"/>
      <w:pPr>
        <w:ind w:left="6883" w:hanging="481"/>
      </w:pPr>
      <w:rPr>
        <w:rFonts w:hint="default"/>
        <w:lang w:val="zh-CN" w:eastAsia="zh-CN" w:bidi="zh-CN"/>
      </w:rPr>
    </w:lvl>
    <w:lvl w:ilvl="7" w:tentative="0">
      <w:start w:val="0"/>
      <w:numFmt w:val="bullet"/>
      <w:lvlText w:val="•"/>
      <w:lvlJc w:val="left"/>
      <w:pPr>
        <w:ind w:left="7894" w:hanging="481"/>
      </w:pPr>
      <w:rPr>
        <w:rFonts w:hint="default"/>
        <w:lang w:val="zh-CN" w:eastAsia="zh-CN" w:bidi="zh-CN"/>
      </w:rPr>
    </w:lvl>
    <w:lvl w:ilvl="8" w:tentative="0">
      <w:start w:val="0"/>
      <w:numFmt w:val="bullet"/>
      <w:lvlText w:val="•"/>
      <w:lvlJc w:val="left"/>
      <w:pPr>
        <w:ind w:left="8905" w:hanging="481"/>
      </w:pPr>
      <w:rPr>
        <w:rFonts w:hint="default"/>
        <w:lang w:val="zh-CN" w:eastAsia="zh-CN" w:bidi="zh-CN"/>
      </w:rPr>
    </w:lvl>
  </w:abstractNum>
  <w:abstractNum w:abstractNumId="19">
    <w:nsid w:val="03A63A41"/>
    <w:multiLevelType w:val="multilevel"/>
    <w:tmpl w:val="03A63A41"/>
    <w:lvl w:ilvl="0" w:tentative="0">
      <w:start w:val="1"/>
      <w:numFmt w:val="decimal"/>
      <w:lvlText w:val="%1)"/>
      <w:lvlJc w:val="left"/>
      <w:pPr>
        <w:ind w:left="153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478" w:hanging="241"/>
      </w:pPr>
      <w:rPr>
        <w:rFonts w:hint="default"/>
        <w:lang w:val="zh-CN" w:eastAsia="zh-CN" w:bidi="zh-CN"/>
      </w:rPr>
    </w:lvl>
    <w:lvl w:ilvl="2" w:tentative="0">
      <w:start w:val="0"/>
      <w:numFmt w:val="bullet"/>
      <w:lvlText w:val="•"/>
      <w:lvlJc w:val="left"/>
      <w:pPr>
        <w:ind w:left="3417" w:hanging="241"/>
      </w:pPr>
      <w:rPr>
        <w:rFonts w:hint="default"/>
        <w:lang w:val="zh-CN" w:eastAsia="zh-CN" w:bidi="zh-CN"/>
      </w:rPr>
    </w:lvl>
    <w:lvl w:ilvl="3" w:tentative="0">
      <w:start w:val="0"/>
      <w:numFmt w:val="bullet"/>
      <w:lvlText w:val="•"/>
      <w:lvlJc w:val="left"/>
      <w:pPr>
        <w:ind w:left="4355" w:hanging="241"/>
      </w:pPr>
      <w:rPr>
        <w:rFonts w:hint="default"/>
        <w:lang w:val="zh-CN" w:eastAsia="zh-CN" w:bidi="zh-CN"/>
      </w:rPr>
    </w:lvl>
    <w:lvl w:ilvl="4" w:tentative="0">
      <w:start w:val="0"/>
      <w:numFmt w:val="bullet"/>
      <w:lvlText w:val="•"/>
      <w:lvlJc w:val="left"/>
      <w:pPr>
        <w:ind w:left="5294" w:hanging="241"/>
      </w:pPr>
      <w:rPr>
        <w:rFonts w:hint="default"/>
        <w:lang w:val="zh-CN" w:eastAsia="zh-CN" w:bidi="zh-CN"/>
      </w:rPr>
    </w:lvl>
    <w:lvl w:ilvl="5" w:tentative="0">
      <w:start w:val="0"/>
      <w:numFmt w:val="bullet"/>
      <w:lvlText w:val="•"/>
      <w:lvlJc w:val="left"/>
      <w:pPr>
        <w:ind w:left="6233" w:hanging="241"/>
      </w:pPr>
      <w:rPr>
        <w:rFonts w:hint="default"/>
        <w:lang w:val="zh-CN" w:eastAsia="zh-CN" w:bidi="zh-CN"/>
      </w:rPr>
    </w:lvl>
    <w:lvl w:ilvl="6" w:tentative="0">
      <w:start w:val="0"/>
      <w:numFmt w:val="bullet"/>
      <w:lvlText w:val="•"/>
      <w:lvlJc w:val="left"/>
      <w:pPr>
        <w:ind w:left="7171" w:hanging="241"/>
      </w:pPr>
      <w:rPr>
        <w:rFonts w:hint="default"/>
        <w:lang w:val="zh-CN" w:eastAsia="zh-CN" w:bidi="zh-CN"/>
      </w:rPr>
    </w:lvl>
    <w:lvl w:ilvl="7" w:tentative="0">
      <w:start w:val="0"/>
      <w:numFmt w:val="bullet"/>
      <w:lvlText w:val="•"/>
      <w:lvlJc w:val="left"/>
      <w:pPr>
        <w:ind w:left="8110" w:hanging="241"/>
      </w:pPr>
      <w:rPr>
        <w:rFonts w:hint="default"/>
        <w:lang w:val="zh-CN" w:eastAsia="zh-CN" w:bidi="zh-CN"/>
      </w:rPr>
    </w:lvl>
    <w:lvl w:ilvl="8" w:tentative="0">
      <w:start w:val="0"/>
      <w:numFmt w:val="bullet"/>
      <w:lvlText w:val="•"/>
      <w:lvlJc w:val="left"/>
      <w:pPr>
        <w:ind w:left="9049" w:hanging="241"/>
      </w:pPr>
      <w:rPr>
        <w:rFonts w:hint="default"/>
        <w:lang w:val="zh-CN" w:eastAsia="zh-CN" w:bidi="zh-CN"/>
      </w:rPr>
    </w:lvl>
  </w:abstractNum>
  <w:abstractNum w:abstractNumId="20">
    <w:nsid w:val="0709FD3E"/>
    <w:multiLevelType w:val="multilevel"/>
    <w:tmpl w:val="0709FD3E"/>
    <w:lvl w:ilvl="0" w:tentative="0">
      <w:start w:val="1"/>
      <w:numFmt w:val="decimal"/>
      <w:lvlText w:val="%1."/>
      <w:lvlJc w:val="left"/>
      <w:pPr>
        <w:ind w:left="1181" w:hanging="364"/>
        <w:jc w:val="left"/>
      </w:pPr>
      <w:rPr>
        <w:rFonts w:hint="default" w:ascii="Calibri" w:hAnsi="Calibri" w:eastAsia="Calibri" w:cs="Calibri"/>
        <w:spacing w:val="-6"/>
        <w:w w:val="100"/>
        <w:sz w:val="22"/>
        <w:szCs w:val="22"/>
        <w:lang w:val="zh-CN" w:eastAsia="zh-CN" w:bidi="zh-CN"/>
      </w:rPr>
    </w:lvl>
    <w:lvl w:ilvl="1" w:tentative="0">
      <w:start w:val="0"/>
      <w:numFmt w:val="bullet"/>
      <w:lvlText w:val="•"/>
      <w:lvlJc w:val="left"/>
      <w:pPr>
        <w:ind w:left="2154" w:hanging="364"/>
      </w:pPr>
      <w:rPr>
        <w:rFonts w:hint="default"/>
        <w:lang w:val="zh-CN" w:eastAsia="zh-CN" w:bidi="zh-CN"/>
      </w:rPr>
    </w:lvl>
    <w:lvl w:ilvl="2" w:tentative="0">
      <w:start w:val="0"/>
      <w:numFmt w:val="bullet"/>
      <w:lvlText w:val="•"/>
      <w:lvlJc w:val="left"/>
      <w:pPr>
        <w:ind w:left="3129" w:hanging="364"/>
      </w:pPr>
      <w:rPr>
        <w:rFonts w:hint="default"/>
        <w:lang w:val="zh-CN" w:eastAsia="zh-CN" w:bidi="zh-CN"/>
      </w:rPr>
    </w:lvl>
    <w:lvl w:ilvl="3" w:tentative="0">
      <w:start w:val="0"/>
      <w:numFmt w:val="bullet"/>
      <w:lvlText w:val="•"/>
      <w:lvlJc w:val="left"/>
      <w:pPr>
        <w:ind w:left="4103" w:hanging="364"/>
      </w:pPr>
      <w:rPr>
        <w:rFonts w:hint="default"/>
        <w:lang w:val="zh-CN" w:eastAsia="zh-CN" w:bidi="zh-CN"/>
      </w:rPr>
    </w:lvl>
    <w:lvl w:ilvl="4" w:tentative="0">
      <w:start w:val="0"/>
      <w:numFmt w:val="bullet"/>
      <w:lvlText w:val="•"/>
      <w:lvlJc w:val="left"/>
      <w:pPr>
        <w:ind w:left="5078" w:hanging="364"/>
      </w:pPr>
      <w:rPr>
        <w:rFonts w:hint="default"/>
        <w:lang w:val="zh-CN" w:eastAsia="zh-CN" w:bidi="zh-CN"/>
      </w:rPr>
    </w:lvl>
    <w:lvl w:ilvl="5" w:tentative="0">
      <w:start w:val="0"/>
      <w:numFmt w:val="bullet"/>
      <w:lvlText w:val="•"/>
      <w:lvlJc w:val="left"/>
      <w:pPr>
        <w:ind w:left="6053" w:hanging="364"/>
      </w:pPr>
      <w:rPr>
        <w:rFonts w:hint="default"/>
        <w:lang w:val="zh-CN" w:eastAsia="zh-CN" w:bidi="zh-CN"/>
      </w:rPr>
    </w:lvl>
    <w:lvl w:ilvl="6" w:tentative="0">
      <w:start w:val="0"/>
      <w:numFmt w:val="bullet"/>
      <w:lvlText w:val="•"/>
      <w:lvlJc w:val="left"/>
      <w:pPr>
        <w:ind w:left="7027" w:hanging="364"/>
      </w:pPr>
      <w:rPr>
        <w:rFonts w:hint="default"/>
        <w:lang w:val="zh-CN" w:eastAsia="zh-CN" w:bidi="zh-CN"/>
      </w:rPr>
    </w:lvl>
    <w:lvl w:ilvl="7" w:tentative="0">
      <w:start w:val="0"/>
      <w:numFmt w:val="bullet"/>
      <w:lvlText w:val="•"/>
      <w:lvlJc w:val="left"/>
      <w:pPr>
        <w:ind w:left="8002" w:hanging="364"/>
      </w:pPr>
      <w:rPr>
        <w:rFonts w:hint="default"/>
        <w:lang w:val="zh-CN" w:eastAsia="zh-CN" w:bidi="zh-CN"/>
      </w:rPr>
    </w:lvl>
    <w:lvl w:ilvl="8" w:tentative="0">
      <w:start w:val="0"/>
      <w:numFmt w:val="bullet"/>
      <w:lvlText w:val="•"/>
      <w:lvlJc w:val="left"/>
      <w:pPr>
        <w:ind w:left="8977" w:hanging="364"/>
      </w:pPr>
      <w:rPr>
        <w:rFonts w:hint="default"/>
        <w:lang w:val="zh-CN" w:eastAsia="zh-CN" w:bidi="zh-CN"/>
      </w:rPr>
    </w:lvl>
  </w:abstractNum>
  <w:abstractNum w:abstractNumId="21">
    <w:nsid w:val="0CEF100B"/>
    <w:multiLevelType w:val="multilevel"/>
    <w:tmpl w:val="0CEF100B"/>
    <w:lvl w:ilvl="0" w:tentative="0">
      <w:start w:val="1"/>
      <w:numFmt w:val="decimal"/>
      <w:lvlText w:val="%1."/>
      <w:lvlJc w:val="left"/>
      <w:pPr>
        <w:ind w:left="1002" w:hanging="184"/>
        <w:jc w:val="left"/>
      </w:pPr>
      <w:rPr>
        <w:rFonts w:hint="default" w:ascii="Calibri" w:hAnsi="Calibri" w:eastAsia="Calibri" w:cs="Calibri"/>
        <w:spacing w:val="-1"/>
        <w:w w:val="100"/>
        <w:sz w:val="22"/>
        <w:szCs w:val="22"/>
        <w:lang w:val="zh-CN" w:eastAsia="zh-CN" w:bidi="zh-CN"/>
      </w:rPr>
    </w:lvl>
    <w:lvl w:ilvl="1" w:tentative="0">
      <w:start w:val="0"/>
      <w:numFmt w:val="bullet"/>
      <w:lvlText w:val="•"/>
      <w:lvlJc w:val="left"/>
      <w:pPr>
        <w:ind w:left="1992" w:hanging="184"/>
      </w:pPr>
      <w:rPr>
        <w:rFonts w:hint="default"/>
        <w:lang w:val="zh-CN" w:eastAsia="zh-CN" w:bidi="zh-CN"/>
      </w:rPr>
    </w:lvl>
    <w:lvl w:ilvl="2" w:tentative="0">
      <w:start w:val="0"/>
      <w:numFmt w:val="bullet"/>
      <w:lvlText w:val="•"/>
      <w:lvlJc w:val="left"/>
      <w:pPr>
        <w:ind w:left="2985" w:hanging="184"/>
      </w:pPr>
      <w:rPr>
        <w:rFonts w:hint="default"/>
        <w:lang w:val="zh-CN" w:eastAsia="zh-CN" w:bidi="zh-CN"/>
      </w:rPr>
    </w:lvl>
    <w:lvl w:ilvl="3" w:tentative="0">
      <w:start w:val="0"/>
      <w:numFmt w:val="bullet"/>
      <w:lvlText w:val="•"/>
      <w:lvlJc w:val="left"/>
      <w:pPr>
        <w:ind w:left="3977" w:hanging="184"/>
      </w:pPr>
      <w:rPr>
        <w:rFonts w:hint="default"/>
        <w:lang w:val="zh-CN" w:eastAsia="zh-CN" w:bidi="zh-CN"/>
      </w:rPr>
    </w:lvl>
    <w:lvl w:ilvl="4" w:tentative="0">
      <w:start w:val="0"/>
      <w:numFmt w:val="bullet"/>
      <w:lvlText w:val="•"/>
      <w:lvlJc w:val="left"/>
      <w:pPr>
        <w:ind w:left="4970" w:hanging="184"/>
      </w:pPr>
      <w:rPr>
        <w:rFonts w:hint="default"/>
        <w:lang w:val="zh-CN" w:eastAsia="zh-CN" w:bidi="zh-CN"/>
      </w:rPr>
    </w:lvl>
    <w:lvl w:ilvl="5" w:tentative="0">
      <w:start w:val="0"/>
      <w:numFmt w:val="bullet"/>
      <w:lvlText w:val="•"/>
      <w:lvlJc w:val="left"/>
      <w:pPr>
        <w:ind w:left="5963" w:hanging="184"/>
      </w:pPr>
      <w:rPr>
        <w:rFonts w:hint="default"/>
        <w:lang w:val="zh-CN" w:eastAsia="zh-CN" w:bidi="zh-CN"/>
      </w:rPr>
    </w:lvl>
    <w:lvl w:ilvl="6" w:tentative="0">
      <w:start w:val="0"/>
      <w:numFmt w:val="bullet"/>
      <w:lvlText w:val="•"/>
      <w:lvlJc w:val="left"/>
      <w:pPr>
        <w:ind w:left="6955" w:hanging="184"/>
      </w:pPr>
      <w:rPr>
        <w:rFonts w:hint="default"/>
        <w:lang w:val="zh-CN" w:eastAsia="zh-CN" w:bidi="zh-CN"/>
      </w:rPr>
    </w:lvl>
    <w:lvl w:ilvl="7" w:tentative="0">
      <w:start w:val="0"/>
      <w:numFmt w:val="bullet"/>
      <w:lvlText w:val="•"/>
      <w:lvlJc w:val="left"/>
      <w:pPr>
        <w:ind w:left="7948" w:hanging="184"/>
      </w:pPr>
      <w:rPr>
        <w:rFonts w:hint="default"/>
        <w:lang w:val="zh-CN" w:eastAsia="zh-CN" w:bidi="zh-CN"/>
      </w:rPr>
    </w:lvl>
    <w:lvl w:ilvl="8" w:tentative="0">
      <w:start w:val="0"/>
      <w:numFmt w:val="bullet"/>
      <w:lvlText w:val="•"/>
      <w:lvlJc w:val="left"/>
      <w:pPr>
        <w:ind w:left="8941" w:hanging="184"/>
      </w:pPr>
      <w:rPr>
        <w:rFonts w:hint="default"/>
        <w:lang w:val="zh-CN" w:eastAsia="zh-CN" w:bidi="zh-CN"/>
      </w:rPr>
    </w:lvl>
  </w:abstractNum>
  <w:abstractNum w:abstractNumId="22">
    <w:nsid w:val="12EADF99"/>
    <w:multiLevelType w:val="multilevel"/>
    <w:tmpl w:val="12EADF99"/>
    <w:lvl w:ilvl="0" w:tentative="0">
      <w:start w:val="8"/>
      <w:numFmt w:val="decimal"/>
      <w:lvlText w:val="%1."/>
      <w:lvlJc w:val="left"/>
      <w:pPr>
        <w:ind w:left="1061" w:hanging="244"/>
        <w:jc w:val="left"/>
      </w:pPr>
      <w:rPr>
        <w:rFonts w:hint="default" w:ascii="Microsoft JhengHei" w:hAnsi="Microsoft JhengHei" w:eastAsia="Microsoft JhengHei" w:cs="Microsoft JhengHei"/>
        <w:b/>
        <w:bCs/>
        <w:spacing w:val="-1"/>
        <w:w w:val="117"/>
        <w:sz w:val="22"/>
        <w:szCs w:val="22"/>
        <w:lang w:val="zh-CN" w:eastAsia="zh-CN" w:bidi="zh-CN"/>
      </w:rPr>
    </w:lvl>
    <w:lvl w:ilvl="1" w:tentative="0">
      <w:start w:val="1"/>
      <w:numFmt w:val="decimal"/>
      <w:lvlText w:val="%1.%2"/>
      <w:lvlJc w:val="left"/>
      <w:pPr>
        <w:ind w:left="818" w:hanging="361"/>
        <w:jc w:val="left"/>
      </w:pPr>
      <w:rPr>
        <w:rFonts w:hint="default" w:ascii="宋体" w:hAnsi="宋体" w:eastAsia="宋体" w:cs="宋体"/>
        <w:spacing w:val="-89"/>
        <w:w w:val="100"/>
        <w:sz w:val="22"/>
        <w:szCs w:val="22"/>
        <w:lang w:val="zh-CN" w:eastAsia="zh-CN" w:bidi="zh-CN"/>
      </w:rPr>
    </w:lvl>
    <w:lvl w:ilvl="2" w:tentative="0">
      <w:start w:val="1"/>
      <w:numFmt w:val="decimal"/>
      <w:lvlText w:val="%1.%2.%3"/>
      <w:lvlJc w:val="left"/>
      <w:pPr>
        <w:ind w:left="2019" w:hanging="721"/>
        <w:jc w:val="left"/>
      </w:pPr>
      <w:rPr>
        <w:rFonts w:hint="default" w:ascii="宋体" w:hAnsi="宋体" w:eastAsia="宋体" w:cs="宋体"/>
        <w:w w:val="100"/>
        <w:sz w:val="22"/>
        <w:szCs w:val="22"/>
        <w:lang w:val="zh-CN" w:eastAsia="zh-CN" w:bidi="zh-CN"/>
      </w:rPr>
    </w:lvl>
    <w:lvl w:ilvl="3" w:tentative="0">
      <w:start w:val="1"/>
      <w:numFmt w:val="decimal"/>
      <w:lvlText w:val="%1.%2.%3.%4"/>
      <w:lvlJc w:val="left"/>
      <w:pPr>
        <w:ind w:left="818" w:hanging="961"/>
        <w:jc w:val="left"/>
      </w:pPr>
      <w:rPr>
        <w:rFonts w:hint="default" w:ascii="宋体" w:hAnsi="宋体" w:eastAsia="宋体" w:cs="宋体"/>
        <w:spacing w:val="-120"/>
        <w:w w:val="100"/>
        <w:sz w:val="22"/>
        <w:szCs w:val="22"/>
        <w:lang w:val="zh-CN" w:eastAsia="zh-CN" w:bidi="zh-CN"/>
      </w:rPr>
    </w:lvl>
    <w:lvl w:ilvl="4" w:tentative="0">
      <w:start w:val="0"/>
      <w:numFmt w:val="bullet"/>
      <w:lvlText w:val="•"/>
      <w:lvlJc w:val="left"/>
      <w:pPr>
        <w:ind w:left="3292" w:hanging="961"/>
      </w:pPr>
      <w:rPr>
        <w:rFonts w:hint="default"/>
        <w:lang w:val="zh-CN" w:eastAsia="zh-CN" w:bidi="zh-CN"/>
      </w:rPr>
    </w:lvl>
    <w:lvl w:ilvl="5" w:tentative="0">
      <w:start w:val="0"/>
      <w:numFmt w:val="bullet"/>
      <w:lvlText w:val="•"/>
      <w:lvlJc w:val="left"/>
      <w:pPr>
        <w:ind w:left="4564" w:hanging="961"/>
      </w:pPr>
      <w:rPr>
        <w:rFonts w:hint="default"/>
        <w:lang w:val="zh-CN" w:eastAsia="zh-CN" w:bidi="zh-CN"/>
      </w:rPr>
    </w:lvl>
    <w:lvl w:ilvl="6" w:tentative="0">
      <w:start w:val="0"/>
      <w:numFmt w:val="bullet"/>
      <w:lvlText w:val="•"/>
      <w:lvlJc w:val="left"/>
      <w:pPr>
        <w:ind w:left="5837" w:hanging="961"/>
      </w:pPr>
      <w:rPr>
        <w:rFonts w:hint="default"/>
        <w:lang w:val="zh-CN" w:eastAsia="zh-CN" w:bidi="zh-CN"/>
      </w:rPr>
    </w:lvl>
    <w:lvl w:ilvl="7" w:tentative="0">
      <w:start w:val="0"/>
      <w:numFmt w:val="bullet"/>
      <w:lvlText w:val="•"/>
      <w:lvlJc w:val="left"/>
      <w:pPr>
        <w:ind w:left="7109" w:hanging="961"/>
      </w:pPr>
      <w:rPr>
        <w:rFonts w:hint="default"/>
        <w:lang w:val="zh-CN" w:eastAsia="zh-CN" w:bidi="zh-CN"/>
      </w:rPr>
    </w:lvl>
    <w:lvl w:ilvl="8" w:tentative="0">
      <w:start w:val="0"/>
      <w:numFmt w:val="bullet"/>
      <w:lvlText w:val="•"/>
      <w:lvlJc w:val="left"/>
      <w:pPr>
        <w:ind w:left="8381" w:hanging="961"/>
      </w:pPr>
      <w:rPr>
        <w:rFonts w:hint="default"/>
        <w:lang w:val="zh-CN" w:eastAsia="zh-CN" w:bidi="zh-CN"/>
      </w:rPr>
    </w:lvl>
  </w:abstractNum>
  <w:abstractNum w:abstractNumId="23">
    <w:nsid w:val="1450273B"/>
    <w:multiLevelType w:val="multilevel"/>
    <w:tmpl w:val="1450273B"/>
    <w:lvl w:ilvl="0" w:tentative="0">
      <w:start w:val="1"/>
      <w:numFmt w:val="decimal"/>
      <w:lvlText w:val="%1."/>
      <w:lvlJc w:val="left"/>
      <w:pPr>
        <w:ind w:left="818" w:hanging="252"/>
        <w:jc w:val="left"/>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1830" w:hanging="252"/>
      </w:pPr>
      <w:rPr>
        <w:rFonts w:hint="default"/>
        <w:lang w:val="zh-CN" w:eastAsia="zh-CN" w:bidi="zh-CN"/>
      </w:rPr>
    </w:lvl>
    <w:lvl w:ilvl="2" w:tentative="0">
      <w:start w:val="0"/>
      <w:numFmt w:val="bullet"/>
      <w:lvlText w:val="•"/>
      <w:lvlJc w:val="left"/>
      <w:pPr>
        <w:ind w:left="2841" w:hanging="252"/>
      </w:pPr>
      <w:rPr>
        <w:rFonts w:hint="default"/>
        <w:lang w:val="zh-CN" w:eastAsia="zh-CN" w:bidi="zh-CN"/>
      </w:rPr>
    </w:lvl>
    <w:lvl w:ilvl="3" w:tentative="0">
      <w:start w:val="0"/>
      <w:numFmt w:val="bullet"/>
      <w:lvlText w:val="•"/>
      <w:lvlJc w:val="left"/>
      <w:pPr>
        <w:ind w:left="3851" w:hanging="252"/>
      </w:pPr>
      <w:rPr>
        <w:rFonts w:hint="default"/>
        <w:lang w:val="zh-CN" w:eastAsia="zh-CN" w:bidi="zh-CN"/>
      </w:rPr>
    </w:lvl>
    <w:lvl w:ilvl="4" w:tentative="0">
      <w:start w:val="0"/>
      <w:numFmt w:val="bullet"/>
      <w:lvlText w:val="•"/>
      <w:lvlJc w:val="left"/>
      <w:pPr>
        <w:ind w:left="4862" w:hanging="252"/>
      </w:pPr>
      <w:rPr>
        <w:rFonts w:hint="default"/>
        <w:lang w:val="zh-CN" w:eastAsia="zh-CN" w:bidi="zh-CN"/>
      </w:rPr>
    </w:lvl>
    <w:lvl w:ilvl="5" w:tentative="0">
      <w:start w:val="0"/>
      <w:numFmt w:val="bullet"/>
      <w:lvlText w:val="•"/>
      <w:lvlJc w:val="left"/>
      <w:pPr>
        <w:ind w:left="5873" w:hanging="252"/>
      </w:pPr>
      <w:rPr>
        <w:rFonts w:hint="default"/>
        <w:lang w:val="zh-CN" w:eastAsia="zh-CN" w:bidi="zh-CN"/>
      </w:rPr>
    </w:lvl>
    <w:lvl w:ilvl="6" w:tentative="0">
      <w:start w:val="0"/>
      <w:numFmt w:val="bullet"/>
      <w:lvlText w:val="•"/>
      <w:lvlJc w:val="left"/>
      <w:pPr>
        <w:ind w:left="6883" w:hanging="252"/>
      </w:pPr>
      <w:rPr>
        <w:rFonts w:hint="default"/>
        <w:lang w:val="zh-CN" w:eastAsia="zh-CN" w:bidi="zh-CN"/>
      </w:rPr>
    </w:lvl>
    <w:lvl w:ilvl="7" w:tentative="0">
      <w:start w:val="0"/>
      <w:numFmt w:val="bullet"/>
      <w:lvlText w:val="•"/>
      <w:lvlJc w:val="left"/>
      <w:pPr>
        <w:ind w:left="7894" w:hanging="252"/>
      </w:pPr>
      <w:rPr>
        <w:rFonts w:hint="default"/>
        <w:lang w:val="zh-CN" w:eastAsia="zh-CN" w:bidi="zh-CN"/>
      </w:rPr>
    </w:lvl>
    <w:lvl w:ilvl="8" w:tentative="0">
      <w:start w:val="0"/>
      <w:numFmt w:val="bullet"/>
      <w:lvlText w:val="•"/>
      <w:lvlJc w:val="left"/>
      <w:pPr>
        <w:ind w:left="8905" w:hanging="252"/>
      </w:pPr>
      <w:rPr>
        <w:rFonts w:hint="default"/>
        <w:lang w:val="zh-CN" w:eastAsia="zh-CN" w:bidi="zh-CN"/>
      </w:rPr>
    </w:lvl>
  </w:abstractNum>
  <w:abstractNum w:abstractNumId="24">
    <w:nsid w:val="18F74015"/>
    <w:multiLevelType w:val="multilevel"/>
    <w:tmpl w:val="18F74015"/>
    <w:lvl w:ilvl="0" w:tentative="0">
      <w:start w:val="23"/>
      <w:numFmt w:val="decimal"/>
      <w:lvlText w:val="%1."/>
      <w:lvlJc w:val="left"/>
      <w:pPr>
        <w:ind w:left="1182" w:hanging="365"/>
        <w:jc w:val="left"/>
      </w:pPr>
      <w:rPr>
        <w:rFonts w:hint="default" w:ascii="Microsoft JhengHei" w:hAnsi="Microsoft JhengHei" w:eastAsia="Microsoft JhengHei" w:cs="Microsoft JhengHei"/>
        <w:b/>
        <w:bCs/>
        <w:spacing w:val="0"/>
        <w:w w:val="83"/>
        <w:sz w:val="22"/>
        <w:szCs w:val="22"/>
        <w:lang w:val="zh-CN" w:eastAsia="zh-CN" w:bidi="zh-CN"/>
      </w:rPr>
    </w:lvl>
    <w:lvl w:ilvl="1" w:tentative="0">
      <w:start w:val="1"/>
      <w:numFmt w:val="decimal"/>
      <w:lvlText w:val="%1.%2"/>
      <w:lvlJc w:val="left"/>
      <w:pPr>
        <w:ind w:left="818" w:hanging="481"/>
        <w:jc w:val="left"/>
      </w:pPr>
      <w:rPr>
        <w:rFonts w:hint="default" w:ascii="宋体" w:hAnsi="宋体" w:eastAsia="宋体" w:cs="宋体"/>
        <w:spacing w:val="-14"/>
        <w:w w:val="100"/>
        <w:sz w:val="22"/>
        <w:szCs w:val="22"/>
        <w:lang w:val="zh-CN" w:eastAsia="zh-CN" w:bidi="zh-CN"/>
      </w:rPr>
    </w:lvl>
    <w:lvl w:ilvl="2" w:tentative="0">
      <w:start w:val="1"/>
      <w:numFmt w:val="decimal"/>
      <w:lvlText w:val="%1.%2.%3"/>
      <w:lvlJc w:val="left"/>
      <w:pPr>
        <w:ind w:left="818" w:hanging="721"/>
        <w:jc w:val="left"/>
      </w:pPr>
      <w:rPr>
        <w:rFonts w:hint="default" w:ascii="宋体" w:hAnsi="宋体" w:eastAsia="宋体" w:cs="宋体"/>
        <w:spacing w:val="-44"/>
        <w:w w:val="100"/>
        <w:sz w:val="22"/>
        <w:szCs w:val="22"/>
        <w:lang w:val="zh-CN" w:eastAsia="zh-CN" w:bidi="zh-CN"/>
      </w:rPr>
    </w:lvl>
    <w:lvl w:ilvl="3" w:tentative="0">
      <w:start w:val="0"/>
      <w:numFmt w:val="bullet"/>
      <w:lvlText w:val="•"/>
      <w:lvlJc w:val="left"/>
      <w:pPr>
        <w:ind w:left="3345" w:hanging="721"/>
      </w:pPr>
      <w:rPr>
        <w:rFonts w:hint="default"/>
        <w:lang w:val="zh-CN" w:eastAsia="zh-CN" w:bidi="zh-CN"/>
      </w:rPr>
    </w:lvl>
    <w:lvl w:ilvl="4" w:tentative="0">
      <w:start w:val="0"/>
      <w:numFmt w:val="bullet"/>
      <w:lvlText w:val="•"/>
      <w:lvlJc w:val="left"/>
      <w:pPr>
        <w:ind w:left="4428" w:hanging="721"/>
      </w:pPr>
      <w:rPr>
        <w:rFonts w:hint="default"/>
        <w:lang w:val="zh-CN" w:eastAsia="zh-CN" w:bidi="zh-CN"/>
      </w:rPr>
    </w:lvl>
    <w:lvl w:ilvl="5" w:tentative="0">
      <w:start w:val="0"/>
      <w:numFmt w:val="bullet"/>
      <w:lvlText w:val="•"/>
      <w:lvlJc w:val="left"/>
      <w:pPr>
        <w:ind w:left="5511" w:hanging="721"/>
      </w:pPr>
      <w:rPr>
        <w:rFonts w:hint="default"/>
        <w:lang w:val="zh-CN" w:eastAsia="zh-CN" w:bidi="zh-CN"/>
      </w:rPr>
    </w:lvl>
    <w:lvl w:ilvl="6" w:tentative="0">
      <w:start w:val="0"/>
      <w:numFmt w:val="bullet"/>
      <w:lvlText w:val="•"/>
      <w:lvlJc w:val="left"/>
      <w:pPr>
        <w:ind w:left="6594" w:hanging="721"/>
      </w:pPr>
      <w:rPr>
        <w:rFonts w:hint="default"/>
        <w:lang w:val="zh-CN" w:eastAsia="zh-CN" w:bidi="zh-CN"/>
      </w:rPr>
    </w:lvl>
    <w:lvl w:ilvl="7" w:tentative="0">
      <w:start w:val="0"/>
      <w:numFmt w:val="bullet"/>
      <w:lvlText w:val="•"/>
      <w:lvlJc w:val="left"/>
      <w:pPr>
        <w:ind w:left="7677" w:hanging="721"/>
      </w:pPr>
      <w:rPr>
        <w:rFonts w:hint="default"/>
        <w:lang w:val="zh-CN" w:eastAsia="zh-CN" w:bidi="zh-CN"/>
      </w:rPr>
    </w:lvl>
    <w:lvl w:ilvl="8" w:tentative="0">
      <w:start w:val="0"/>
      <w:numFmt w:val="bullet"/>
      <w:lvlText w:val="•"/>
      <w:lvlJc w:val="left"/>
      <w:pPr>
        <w:ind w:left="8760" w:hanging="721"/>
      </w:pPr>
      <w:rPr>
        <w:rFonts w:hint="default"/>
        <w:lang w:val="zh-CN" w:eastAsia="zh-CN" w:bidi="zh-CN"/>
      </w:rPr>
    </w:lvl>
  </w:abstractNum>
  <w:abstractNum w:abstractNumId="25">
    <w:nsid w:val="1BCBBCF0"/>
    <w:multiLevelType w:val="multilevel"/>
    <w:tmpl w:val="1BCBBCF0"/>
    <w:lvl w:ilvl="0" w:tentative="0">
      <w:start w:val="1"/>
      <w:numFmt w:val="decimal"/>
      <w:lvlText w:val="%1"/>
      <w:lvlJc w:val="left"/>
      <w:pPr>
        <w:ind w:left="1899" w:hanging="601"/>
        <w:jc w:val="left"/>
      </w:pPr>
      <w:rPr>
        <w:rFonts w:hint="default"/>
        <w:lang w:val="zh-CN" w:eastAsia="zh-CN" w:bidi="zh-CN"/>
      </w:rPr>
    </w:lvl>
    <w:lvl w:ilvl="1" w:tentative="0">
      <w:start w:val="5"/>
      <w:numFmt w:val="decimal"/>
      <w:lvlText w:val="%1.%2"/>
      <w:lvlJc w:val="left"/>
      <w:pPr>
        <w:ind w:left="1899" w:hanging="601"/>
        <w:jc w:val="left"/>
      </w:pPr>
      <w:rPr>
        <w:rFonts w:hint="default"/>
        <w:lang w:val="zh-CN" w:eastAsia="zh-CN" w:bidi="zh-CN"/>
      </w:rPr>
    </w:lvl>
    <w:lvl w:ilvl="2" w:tentative="0">
      <w:start w:val="1"/>
      <w:numFmt w:val="decimal"/>
      <w:lvlText w:val="%1.%2.%3"/>
      <w:lvlJc w:val="left"/>
      <w:pPr>
        <w:ind w:left="1899" w:hanging="601"/>
        <w:jc w:val="left"/>
      </w:pPr>
      <w:rPr>
        <w:rFonts w:hint="default" w:ascii="宋体" w:hAnsi="宋体" w:eastAsia="宋体" w:cs="宋体"/>
        <w:spacing w:val="-60"/>
        <w:w w:val="100"/>
        <w:sz w:val="22"/>
        <w:szCs w:val="22"/>
        <w:lang w:val="zh-CN" w:eastAsia="zh-CN" w:bidi="zh-CN"/>
      </w:rPr>
    </w:lvl>
    <w:lvl w:ilvl="3" w:tentative="0">
      <w:start w:val="0"/>
      <w:numFmt w:val="bullet"/>
      <w:lvlText w:val="•"/>
      <w:lvlJc w:val="left"/>
      <w:pPr>
        <w:ind w:left="4607" w:hanging="601"/>
      </w:pPr>
      <w:rPr>
        <w:rFonts w:hint="default"/>
        <w:lang w:val="zh-CN" w:eastAsia="zh-CN" w:bidi="zh-CN"/>
      </w:rPr>
    </w:lvl>
    <w:lvl w:ilvl="4" w:tentative="0">
      <w:start w:val="0"/>
      <w:numFmt w:val="bullet"/>
      <w:lvlText w:val="•"/>
      <w:lvlJc w:val="left"/>
      <w:pPr>
        <w:ind w:left="5510" w:hanging="601"/>
      </w:pPr>
      <w:rPr>
        <w:rFonts w:hint="default"/>
        <w:lang w:val="zh-CN" w:eastAsia="zh-CN" w:bidi="zh-CN"/>
      </w:rPr>
    </w:lvl>
    <w:lvl w:ilvl="5" w:tentative="0">
      <w:start w:val="0"/>
      <w:numFmt w:val="bullet"/>
      <w:lvlText w:val="•"/>
      <w:lvlJc w:val="left"/>
      <w:pPr>
        <w:ind w:left="6413" w:hanging="601"/>
      </w:pPr>
      <w:rPr>
        <w:rFonts w:hint="default"/>
        <w:lang w:val="zh-CN" w:eastAsia="zh-CN" w:bidi="zh-CN"/>
      </w:rPr>
    </w:lvl>
    <w:lvl w:ilvl="6" w:tentative="0">
      <w:start w:val="0"/>
      <w:numFmt w:val="bullet"/>
      <w:lvlText w:val="•"/>
      <w:lvlJc w:val="left"/>
      <w:pPr>
        <w:ind w:left="7315" w:hanging="601"/>
      </w:pPr>
      <w:rPr>
        <w:rFonts w:hint="default"/>
        <w:lang w:val="zh-CN" w:eastAsia="zh-CN" w:bidi="zh-CN"/>
      </w:rPr>
    </w:lvl>
    <w:lvl w:ilvl="7" w:tentative="0">
      <w:start w:val="0"/>
      <w:numFmt w:val="bullet"/>
      <w:lvlText w:val="•"/>
      <w:lvlJc w:val="left"/>
      <w:pPr>
        <w:ind w:left="8218" w:hanging="601"/>
      </w:pPr>
      <w:rPr>
        <w:rFonts w:hint="default"/>
        <w:lang w:val="zh-CN" w:eastAsia="zh-CN" w:bidi="zh-CN"/>
      </w:rPr>
    </w:lvl>
    <w:lvl w:ilvl="8" w:tentative="0">
      <w:start w:val="0"/>
      <w:numFmt w:val="bullet"/>
      <w:lvlText w:val="•"/>
      <w:lvlJc w:val="left"/>
      <w:pPr>
        <w:ind w:left="9121" w:hanging="601"/>
      </w:pPr>
      <w:rPr>
        <w:rFonts w:hint="default"/>
        <w:lang w:val="zh-CN" w:eastAsia="zh-CN" w:bidi="zh-CN"/>
      </w:rPr>
    </w:lvl>
  </w:abstractNum>
  <w:abstractNum w:abstractNumId="26">
    <w:nsid w:val="1C257C7B"/>
    <w:multiLevelType w:val="multilevel"/>
    <w:tmpl w:val="1C257C7B"/>
    <w:lvl w:ilvl="0" w:tentative="0">
      <w:start w:val="1"/>
      <w:numFmt w:val="decimal"/>
      <w:lvlText w:val="（%1）"/>
      <w:lvlJc w:val="left"/>
      <w:pPr>
        <w:ind w:left="107" w:hanging="601"/>
        <w:jc w:val="left"/>
      </w:pPr>
      <w:rPr>
        <w:rFonts w:hint="default"/>
        <w:spacing w:val="-8"/>
        <w:sz w:val="22"/>
        <w:szCs w:val="22"/>
        <w:u w:val="single" w:color="393939"/>
        <w:lang w:val="zh-CN" w:eastAsia="zh-CN" w:bidi="zh-CN"/>
      </w:rPr>
    </w:lvl>
    <w:lvl w:ilvl="1" w:tentative="0">
      <w:start w:val="0"/>
      <w:numFmt w:val="bullet"/>
      <w:lvlText w:val="•"/>
      <w:lvlJc w:val="left"/>
      <w:pPr>
        <w:ind w:left="721" w:hanging="601"/>
      </w:pPr>
      <w:rPr>
        <w:rFonts w:hint="default"/>
        <w:lang w:val="zh-CN" w:eastAsia="zh-CN" w:bidi="zh-CN"/>
      </w:rPr>
    </w:lvl>
    <w:lvl w:ilvl="2" w:tentative="0">
      <w:start w:val="0"/>
      <w:numFmt w:val="bullet"/>
      <w:lvlText w:val="•"/>
      <w:lvlJc w:val="left"/>
      <w:pPr>
        <w:ind w:left="1342" w:hanging="601"/>
      </w:pPr>
      <w:rPr>
        <w:rFonts w:hint="default"/>
        <w:lang w:val="zh-CN" w:eastAsia="zh-CN" w:bidi="zh-CN"/>
      </w:rPr>
    </w:lvl>
    <w:lvl w:ilvl="3" w:tentative="0">
      <w:start w:val="0"/>
      <w:numFmt w:val="bullet"/>
      <w:lvlText w:val="•"/>
      <w:lvlJc w:val="left"/>
      <w:pPr>
        <w:ind w:left="1963" w:hanging="601"/>
      </w:pPr>
      <w:rPr>
        <w:rFonts w:hint="default"/>
        <w:lang w:val="zh-CN" w:eastAsia="zh-CN" w:bidi="zh-CN"/>
      </w:rPr>
    </w:lvl>
    <w:lvl w:ilvl="4" w:tentative="0">
      <w:start w:val="0"/>
      <w:numFmt w:val="bullet"/>
      <w:lvlText w:val="•"/>
      <w:lvlJc w:val="left"/>
      <w:pPr>
        <w:ind w:left="2585" w:hanging="601"/>
      </w:pPr>
      <w:rPr>
        <w:rFonts w:hint="default"/>
        <w:lang w:val="zh-CN" w:eastAsia="zh-CN" w:bidi="zh-CN"/>
      </w:rPr>
    </w:lvl>
    <w:lvl w:ilvl="5" w:tentative="0">
      <w:start w:val="0"/>
      <w:numFmt w:val="bullet"/>
      <w:lvlText w:val="•"/>
      <w:lvlJc w:val="left"/>
      <w:pPr>
        <w:ind w:left="3206" w:hanging="601"/>
      </w:pPr>
      <w:rPr>
        <w:rFonts w:hint="default"/>
        <w:lang w:val="zh-CN" w:eastAsia="zh-CN" w:bidi="zh-CN"/>
      </w:rPr>
    </w:lvl>
    <w:lvl w:ilvl="6" w:tentative="0">
      <w:start w:val="0"/>
      <w:numFmt w:val="bullet"/>
      <w:lvlText w:val="•"/>
      <w:lvlJc w:val="left"/>
      <w:pPr>
        <w:ind w:left="3827" w:hanging="601"/>
      </w:pPr>
      <w:rPr>
        <w:rFonts w:hint="default"/>
        <w:lang w:val="zh-CN" w:eastAsia="zh-CN" w:bidi="zh-CN"/>
      </w:rPr>
    </w:lvl>
    <w:lvl w:ilvl="7" w:tentative="0">
      <w:start w:val="0"/>
      <w:numFmt w:val="bullet"/>
      <w:lvlText w:val="•"/>
      <w:lvlJc w:val="left"/>
      <w:pPr>
        <w:ind w:left="4449" w:hanging="601"/>
      </w:pPr>
      <w:rPr>
        <w:rFonts w:hint="default"/>
        <w:lang w:val="zh-CN" w:eastAsia="zh-CN" w:bidi="zh-CN"/>
      </w:rPr>
    </w:lvl>
    <w:lvl w:ilvl="8" w:tentative="0">
      <w:start w:val="0"/>
      <w:numFmt w:val="bullet"/>
      <w:lvlText w:val="•"/>
      <w:lvlJc w:val="left"/>
      <w:pPr>
        <w:ind w:left="5070" w:hanging="601"/>
      </w:pPr>
      <w:rPr>
        <w:rFonts w:hint="default"/>
        <w:lang w:val="zh-CN" w:eastAsia="zh-CN" w:bidi="zh-CN"/>
      </w:rPr>
    </w:lvl>
  </w:abstractNum>
  <w:abstractNum w:abstractNumId="27">
    <w:nsid w:val="2F2D79CE"/>
    <w:multiLevelType w:val="multilevel"/>
    <w:tmpl w:val="2F2D79CE"/>
    <w:lvl w:ilvl="0" w:tentative="0">
      <w:start w:val="33"/>
      <w:numFmt w:val="decimal"/>
      <w:lvlText w:val="%1."/>
      <w:lvlJc w:val="left"/>
      <w:pPr>
        <w:ind w:left="1182" w:hanging="365"/>
        <w:jc w:val="left"/>
      </w:pPr>
      <w:rPr>
        <w:rFonts w:hint="default" w:ascii="Microsoft JhengHei" w:hAnsi="Microsoft JhengHei" w:eastAsia="Microsoft JhengHei" w:cs="Microsoft JhengHei"/>
        <w:b/>
        <w:bCs/>
        <w:spacing w:val="0"/>
        <w:w w:val="83"/>
        <w:sz w:val="22"/>
        <w:szCs w:val="22"/>
        <w:lang w:val="zh-CN" w:eastAsia="zh-CN" w:bidi="zh-CN"/>
      </w:rPr>
    </w:lvl>
    <w:lvl w:ilvl="1" w:tentative="0">
      <w:start w:val="1"/>
      <w:numFmt w:val="decimal"/>
      <w:lvlText w:val="%1.%2"/>
      <w:lvlJc w:val="left"/>
      <w:pPr>
        <w:ind w:left="1779" w:hanging="481"/>
        <w:jc w:val="left"/>
      </w:pPr>
      <w:rPr>
        <w:rFonts w:hint="default" w:ascii="宋体" w:hAnsi="宋体" w:eastAsia="宋体" w:cs="宋体"/>
        <w:spacing w:val="-60"/>
        <w:w w:val="100"/>
        <w:sz w:val="22"/>
        <w:szCs w:val="22"/>
        <w:lang w:val="zh-CN" w:eastAsia="zh-CN" w:bidi="zh-CN"/>
      </w:rPr>
    </w:lvl>
    <w:lvl w:ilvl="2" w:tentative="0">
      <w:start w:val="0"/>
      <w:numFmt w:val="bullet"/>
      <w:lvlText w:val="•"/>
      <w:lvlJc w:val="left"/>
      <w:pPr>
        <w:ind w:left="1780" w:hanging="481"/>
      </w:pPr>
      <w:rPr>
        <w:rFonts w:hint="default"/>
        <w:lang w:val="zh-CN" w:eastAsia="zh-CN" w:bidi="zh-CN"/>
      </w:rPr>
    </w:lvl>
    <w:lvl w:ilvl="3" w:tentative="0">
      <w:start w:val="0"/>
      <w:numFmt w:val="bullet"/>
      <w:lvlText w:val="•"/>
      <w:lvlJc w:val="left"/>
      <w:pPr>
        <w:ind w:left="2923" w:hanging="481"/>
      </w:pPr>
      <w:rPr>
        <w:rFonts w:hint="default"/>
        <w:lang w:val="zh-CN" w:eastAsia="zh-CN" w:bidi="zh-CN"/>
      </w:rPr>
    </w:lvl>
    <w:lvl w:ilvl="4" w:tentative="0">
      <w:start w:val="0"/>
      <w:numFmt w:val="bullet"/>
      <w:lvlText w:val="•"/>
      <w:lvlJc w:val="left"/>
      <w:pPr>
        <w:ind w:left="4066" w:hanging="481"/>
      </w:pPr>
      <w:rPr>
        <w:rFonts w:hint="default"/>
        <w:lang w:val="zh-CN" w:eastAsia="zh-CN" w:bidi="zh-CN"/>
      </w:rPr>
    </w:lvl>
    <w:lvl w:ilvl="5" w:tentative="0">
      <w:start w:val="0"/>
      <w:numFmt w:val="bullet"/>
      <w:lvlText w:val="•"/>
      <w:lvlJc w:val="left"/>
      <w:pPr>
        <w:ind w:left="5209" w:hanging="481"/>
      </w:pPr>
      <w:rPr>
        <w:rFonts w:hint="default"/>
        <w:lang w:val="zh-CN" w:eastAsia="zh-CN" w:bidi="zh-CN"/>
      </w:rPr>
    </w:lvl>
    <w:lvl w:ilvl="6" w:tentative="0">
      <w:start w:val="0"/>
      <w:numFmt w:val="bullet"/>
      <w:lvlText w:val="•"/>
      <w:lvlJc w:val="left"/>
      <w:pPr>
        <w:ind w:left="6353" w:hanging="481"/>
      </w:pPr>
      <w:rPr>
        <w:rFonts w:hint="default"/>
        <w:lang w:val="zh-CN" w:eastAsia="zh-CN" w:bidi="zh-CN"/>
      </w:rPr>
    </w:lvl>
    <w:lvl w:ilvl="7" w:tentative="0">
      <w:start w:val="0"/>
      <w:numFmt w:val="bullet"/>
      <w:lvlText w:val="•"/>
      <w:lvlJc w:val="left"/>
      <w:pPr>
        <w:ind w:left="7496" w:hanging="481"/>
      </w:pPr>
      <w:rPr>
        <w:rFonts w:hint="default"/>
        <w:lang w:val="zh-CN" w:eastAsia="zh-CN" w:bidi="zh-CN"/>
      </w:rPr>
    </w:lvl>
    <w:lvl w:ilvl="8" w:tentative="0">
      <w:start w:val="0"/>
      <w:numFmt w:val="bullet"/>
      <w:lvlText w:val="•"/>
      <w:lvlJc w:val="left"/>
      <w:pPr>
        <w:ind w:left="8639" w:hanging="481"/>
      </w:pPr>
      <w:rPr>
        <w:rFonts w:hint="default"/>
        <w:lang w:val="zh-CN" w:eastAsia="zh-CN" w:bidi="zh-CN"/>
      </w:rPr>
    </w:lvl>
  </w:abstractNum>
  <w:abstractNum w:abstractNumId="28">
    <w:nsid w:val="331E68C0"/>
    <w:multiLevelType w:val="singleLevel"/>
    <w:tmpl w:val="331E68C0"/>
    <w:lvl w:ilvl="0" w:tentative="0">
      <w:start w:val="1"/>
      <w:numFmt w:val="decimal"/>
      <w:suff w:val="nothing"/>
      <w:lvlText w:val="（%1）"/>
      <w:lvlJc w:val="left"/>
    </w:lvl>
  </w:abstractNum>
  <w:abstractNum w:abstractNumId="29">
    <w:nsid w:val="35E83B33"/>
    <w:multiLevelType w:val="multilevel"/>
    <w:tmpl w:val="35E83B33"/>
    <w:lvl w:ilvl="0" w:tentative="0">
      <w:start w:val="2"/>
      <w:numFmt w:val="decimal"/>
      <w:lvlText w:val="%1."/>
      <w:lvlJc w:val="left"/>
      <w:pPr>
        <w:ind w:left="1061" w:hanging="244"/>
        <w:jc w:val="left"/>
      </w:pPr>
      <w:rPr>
        <w:rFonts w:hint="default" w:ascii="Microsoft JhengHei" w:hAnsi="Microsoft JhengHei" w:eastAsia="Microsoft JhengHei" w:cs="Microsoft JhengHei"/>
        <w:b/>
        <w:bCs/>
        <w:spacing w:val="-1"/>
        <w:w w:val="117"/>
        <w:sz w:val="22"/>
        <w:szCs w:val="22"/>
        <w:lang w:val="zh-CN" w:eastAsia="zh-CN" w:bidi="zh-CN"/>
      </w:rPr>
    </w:lvl>
    <w:lvl w:ilvl="1" w:tentative="0">
      <w:start w:val="1"/>
      <w:numFmt w:val="decimal"/>
      <w:lvlText w:val="%1.%2"/>
      <w:lvlJc w:val="left"/>
      <w:pPr>
        <w:ind w:left="1659" w:hanging="361"/>
        <w:jc w:val="left"/>
      </w:pPr>
      <w:rPr>
        <w:rFonts w:hint="default" w:ascii="宋体" w:hAnsi="宋体" w:eastAsia="宋体" w:cs="宋体"/>
        <w:spacing w:val="-120"/>
        <w:w w:val="100"/>
        <w:sz w:val="22"/>
        <w:szCs w:val="22"/>
        <w:lang w:val="zh-CN" w:eastAsia="zh-CN" w:bidi="zh-CN"/>
      </w:rPr>
    </w:lvl>
    <w:lvl w:ilvl="2" w:tentative="0">
      <w:start w:val="1"/>
      <w:numFmt w:val="decimal"/>
      <w:lvlText w:val="%1.%2.%3"/>
      <w:lvlJc w:val="left"/>
      <w:pPr>
        <w:ind w:left="1899" w:hanging="601"/>
        <w:jc w:val="left"/>
      </w:pPr>
      <w:rPr>
        <w:rFonts w:hint="default" w:ascii="宋体" w:hAnsi="宋体" w:eastAsia="宋体" w:cs="宋体"/>
        <w:w w:val="100"/>
        <w:sz w:val="22"/>
        <w:szCs w:val="22"/>
        <w:lang w:val="zh-CN" w:eastAsia="zh-CN" w:bidi="zh-CN"/>
      </w:rPr>
    </w:lvl>
    <w:lvl w:ilvl="3" w:tentative="0">
      <w:start w:val="1"/>
      <w:numFmt w:val="decimal"/>
      <w:lvlText w:val="%1.%2.%3.%4"/>
      <w:lvlJc w:val="left"/>
      <w:pPr>
        <w:ind w:left="2139" w:hanging="841"/>
        <w:jc w:val="left"/>
      </w:pPr>
      <w:rPr>
        <w:rFonts w:hint="default" w:ascii="宋体" w:hAnsi="宋体" w:eastAsia="宋体" w:cs="宋体"/>
        <w:w w:val="100"/>
        <w:sz w:val="22"/>
        <w:szCs w:val="22"/>
        <w:lang w:val="zh-CN" w:eastAsia="zh-CN" w:bidi="zh-CN"/>
      </w:rPr>
    </w:lvl>
    <w:lvl w:ilvl="4" w:tentative="0">
      <w:start w:val="0"/>
      <w:numFmt w:val="bullet"/>
      <w:lvlText w:val="•"/>
      <w:lvlJc w:val="left"/>
      <w:pPr>
        <w:ind w:left="2140" w:hanging="841"/>
      </w:pPr>
      <w:rPr>
        <w:rFonts w:hint="default"/>
        <w:lang w:val="zh-CN" w:eastAsia="zh-CN" w:bidi="zh-CN"/>
      </w:rPr>
    </w:lvl>
    <w:lvl w:ilvl="5" w:tentative="0">
      <w:start w:val="0"/>
      <w:numFmt w:val="bullet"/>
      <w:lvlText w:val="•"/>
      <w:lvlJc w:val="left"/>
      <w:pPr>
        <w:ind w:left="3604" w:hanging="841"/>
      </w:pPr>
      <w:rPr>
        <w:rFonts w:hint="default"/>
        <w:lang w:val="zh-CN" w:eastAsia="zh-CN" w:bidi="zh-CN"/>
      </w:rPr>
    </w:lvl>
    <w:lvl w:ilvl="6" w:tentative="0">
      <w:start w:val="0"/>
      <w:numFmt w:val="bullet"/>
      <w:lvlText w:val="•"/>
      <w:lvlJc w:val="left"/>
      <w:pPr>
        <w:ind w:left="5068" w:hanging="841"/>
      </w:pPr>
      <w:rPr>
        <w:rFonts w:hint="default"/>
        <w:lang w:val="zh-CN" w:eastAsia="zh-CN" w:bidi="zh-CN"/>
      </w:rPr>
    </w:lvl>
    <w:lvl w:ilvl="7" w:tentative="0">
      <w:start w:val="0"/>
      <w:numFmt w:val="bullet"/>
      <w:lvlText w:val="•"/>
      <w:lvlJc w:val="left"/>
      <w:pPr>
        <w:ind w:left="6533" w:hanging="841"/>
      </w:pPr>
      <w:rPr>
        <w:rFonts w:hint="default"/>
        <w:lang w:val="zh-CN" w:eastAsia="zh-CN" w:bidi="zh-CN"/>
      </w:rPr>
    </w:lvl>
    <w:lvl w:ilvl="8" w:tentative="0">
      <w:start w:val="0"/>
      <w:numFmt w:val="bullet"/>
      <w:lvlText w:val="•"/>
      <w:lvlJc w:val="left"/>
      <w:pPr>
        <w:ind w:left="7997" w:hanging="841"/>
      </w:pPr>
      <w:rPr>
        <w:rFonts w:hint="default"/>
        <w:lang w:val="zh-CN" w:eastAsia="zh-CN" w:bidi="zh-CN"/>
      </w:rPr>
    </w:lvl>
  </w:abstractNum>
  <w:abstractNum w:abstractNumId="30">
    <w:nsid w:val="3B8127DF"/>
    <w:multiLevelType w:val="multilevel"/>
    <w:tmpl w:val="3B8127DF"/>
    <w:lvl w:ilvl="0" w:tentative="0">
      <w:start w:val="16"/>
      <w:numFmt w:val="decimal"/>
      <w:lvlText w:val="%1"/>
      <w:lvlJc w:val="left"/>
      <w:pPr>
        <w:ind w:left="818" w:hanging="481"/>
        <w:jc w:val="left"/>
      </w:pPr>
      <w:rPr>
        <w:rFonts w:hint="default"/>
        <w:lang w:val="zh-CN" w:eastAsia="zh-CN" w:bidi="zh-CN"/>
      </w:rPr>
    </w:lvl>
    <w:lvl w:ilvl="1" w:tentative="0">
      <w:start w:val="1"/>
      <w:numFmt w:val="decimal"/>
      <w:lvlText w:val="%1.%2"/>
      <w:lvlJc w:val="left"/>
      <w:pPr>
        <w:ind w:left="818" w:hanging="481"/>
        <w:jc w:val="left"/>
      </w:pPr>
      <w:rPr>
        <w:rFonts w:hint="default" w:ascii="宋体" w:hAnsi="宋体" w:eastAsia="宋体" w:cs="宋体"/>
        <w:spacing w:val="-60"/>
        <w:w w:val="100"/>
        <w:sz w:val="22"/>
        <w:szCs w:val="22"/>
        <w:lang w:val="zh-CN" w:eastAsia="zh-CN" w:bidi="zh-CN"/>
      </w:rPr>
    </w:lvl>
    <w:lvl w:ilvl="2" w:tentative="0">
      <w:start w:val="0"/>
      <w:numFmt w:val="bullet"/>
      <w:lvlText w:val="•"/>
      <w:lvlJc w:val="left"/>
      <w:pPr>
        <w:ind w:left="2841" w:hanging="481"/>
      </w:pPr>
      <w:rPr>
        <w:rFonts w:hint="default"/>
        <w:lang w:val="zh-CN" w:eastAsia="zh-CN" w:bidi="zh-CN"/>
      </w:rPr>
    </w:lvl>
    <w:lvl w:ilvl="3" w:tentative="0">
      <w:start w:val="0"/>
      <w:numFmt w:val="bullet"/>
      <w:lvlText w:val="•"/>
      <w:lvlJc w:val="left"/>
      <w:pPr>
        <w:ind w:left="3851" w:hanging="481"/>
      </w:pPr>
      <w:rPr>
        <w:rFonts w:hint="default"/>
        <w:lang w:val="zh-CN" w:eastAsia="zh-CN" w:bidi="zh-CN"/>
      </w:rPr>
    </w:lvl>
    <w:lvl w:ilvl="4" w:tentative="0">
      <w:start w:val="0"/>
      <w:numFmt w:val="bullet"/>
      <w:lvlText w:val="•"/>
      <w:lvlJc w:val="left"/>
      <w:pPr>
        <w:ind w:left="4862" w:hanging="481"/>
      </w:pPr>
      <w:rPr>
        <w:rFonts w:hint="default"/>
        <w:lang w:val="zh-CN" w:eastAsia="zh-CN" w:bidi="zh-CN"/>
      </w:rPr>
    </w:lvl>
    <w:lvl w:ilvl="5" w:tentative="0">
      <w:start w:val="0"/>
      <w:numFmt w:val="bullet"/>
      <w:lvlText w:val="•"/>
      <w:lvlJc w:val="left"/>
      <w:pPr>
        <w:ind w:left="5873" w:hanging="481"/>
      </w:pPr>
      <w:rPr>
        <w:rFonts w:hint="default"/>
        <w:lang w:val="zh-CN" w:eastAsia="zh-CN" w:bidi="zh-CN"/>
      </w:rPr>
    </w:lvl>
    <w:lvl w:ilvl="6" w:tentative="0">
      <w:start w:val="0"/>
      <w:numFmt w:val="bullet"/>
      <w:lvlText w:val="•"/>
      <w:lvlJc w:val="left"/>
      <w:pPr>
        <w:ind w:left="6883" w:hanging="481"/>
      </w:pPr>
      <w:rPr>
        <w:rFonts w:hint="default"/>
        <w:lang w:val="zh-CN" w:eastAsia="zh-CN" w:bidi="zh-CN"/>
      </w:rPr>
    </w:lvl>
    <w:lvl w:ilvl="7" w:tentative="0">
      <w:start w:val="0"/>
      <w:numFmt w:val="bullet"/>
      <w:lvlText w:val="•"/>
      <w:lvlJc w:val="left"/>
      <w:pPr>
        <w:ind w:left="7894" w:hanging="481"/>
      </w:pPr>
      <w:rPr>
        <w:rFonts w:hint="default"/>
        <w:lang w:val="zh-CN" w:eastAsia="zh-CN" w:bidi="zh-CN"/>
      </w:rPr>
    </w:lvl>
    <w:lvl w:ilvl="8" w:tentative="0">
      <w:start w:val="0"/>
      <w:numFmt w:val="bullet"/>
      <w:lvlText w:val="•"/>
      <w:lvlJc w:val="left"/>
      <w:pPr>
        <w:ind w:left="8905" w:hanging="481"/>
      </w:pPr>
      <w:rPr>
        <w:rFonts w:hint="default"/>
        <w:lang w:val="zh-CN" w:eastAsia="zh-CN" w:bidi="zh-CN"/>
      </w:rPr>
    </w:lvl>
  </w:abstractNum>
  <w:abstractNum w:abstractNumId="31">
    <w:nsid w:val="40B249F9"/>
    <w:multiLevelType w:val="multilevel"/>
    <w:tmpl w:val="40B249F9"/>
    <w:lvl w:ilvl="0" w:tentative="0">
      <w:start w:val="1"/>
      <w:numFmt w:val="decimal"/>
      <w:lvlText w:val="(%1)"/>
      <w:lvlJc w:val="left"/>
      <w:pPr>
        <w:ind w:left="107" w:hanging="370"/>
        <w:jc w:val="left"/>
      </w:pPr>
      <w:rPr>
        <w:rFonts w:hint="default"/>
        <w:sz w:val="22"/>
        <w:szCs w:val="22"/>
        <w:u w:val="single" w:color="393939"/>
        <w:lang w:val="zh-CN" w:eastAsia="zh-CN" w:bidi="zh-CN"/>
      </w:rPr>
    </w:lvl>
    <w:lvl w:ilvl="1" w:tentative="0">
      <w:start w:val="0"/>
      <w:numFmt w:val="bullet"/>
      <w:lvlText w:val="•"/>
      <w:lvlJc w:val="left"/>
      <w:pPr>
        <w:ind w:left="721" w:hanging="370"/>
      </w:pPr>
      <w:rPr>
        <w:rFonts w:hint="default"/>
        <w:lang w:val="zh-CN" w:eastAsia="zh-CN" w:bidi="zh-CN"/>
      </w:rPr>
    </w:lvl>
    <w:lvl w:ilvl="2" w:tentative="0">
      <w:start w:val="0"/>
      <w:numFmt w:val="bullet"/>
      <w:lvlText w:val="•"/>
      <w:lvlJc w:val="left"/>
      <w:pPr>
        <w:ind w:left="1342" w:hanging="370"/>
      </w:pPr>
      <w:rPr>
        <w:rFonts w:hint="default"/>
        <w:lang w:val="zh-CN" w:eastAsia="zh-CN" w:bidi="zh-CN"/>
      </w:rPr>
    </w:lvl>
    <w:lvl w:ilvl="3" w:tentative="0">
      <w:start w:val="0"/>
      <w:numFmt w:val="bullet"/>
      <w:lvlText w:val="•"/>
      <w:lvlJc w:val="left"/>
      <w:pPr>
        <w:ind w:left="1963" w:hanging="370"/>
      </w:pPr>
      <w:rPr>
        <w:rFonts w:hint="default"/>
        <w:lang w:val="zh-CN" w:eastAsia="zh-CN" w:bidi="zh-CN"/>
      </w:rPr>
    </w:lvl>
    <w:lvl w:ilvl="4" w:tentative="0">
      <w:start w:val="0"/>
      <w:numFmt w:val="bullet"/>
      <w:lvlText w:val="•"/>
      <w:lvlJc w:val="left"/>
      <w:pPr>
        <w:ind w:left="2585" w:hanging="370"/>
      </w:pPr>
      <w:rPr>
        <w:rFonts w:hint="default"/>
        <w:lang w:val="zh-CN" w:eastAsia="zh-CN" w:bidi="zh-CN"/>
      </w:rPr>
    </w:lvl>
    <w:lvl w:ilvl="5" w:tentative="0">
      <w:start w:val="0"/>
      <w:numFmt w:val="bullet"/>
      <w:lvlText w:val="•"/>
      <w:lvlJc w:val="left"/>
      <w:pPr>
        <w:ind w:left="3206" w:hanging="370"/>
      </w:pPr>
      <w:rPr>
        <w:rFonts w:hint="default"/>
        <w:lang w:val="zh-CN" w:eastAsia="zh-CN" w:bidi="zh-CN"/>
      </w:rPr>
    </w:lvl>
    <w:lvl w:ilvl="6" w:tentative="0">
      <w:start w:val="0"/>
      <w:numFmt w:val="bullet"/>
      <w:lvlText w:val="•"/>
      <w:lvlJc w:val="left"/>
      <w:pPr>
        <w:ind w:left="3827" w:hanging="370"/>
      </w:pPr>
      <w:rPr>
        <w:rFonts w:hint="default"/>
        <w:lang w:val="zh-CN" w:eastAsia="zh-CN" w:bidi="zh-CN"/>
      </w:rPr>
    </w:lvl>
    <w:lvl w:ilvl="7" w:tentative="0">
      <w:start w:val="0"/>
      <w:numFmt w:val="bullet"/>
      <w:lvlText w:val="•"/>
      <w:lvlJc w:val="left"/>
      <w:pPr>
        <w:ind w:left="4449" w:hanging="370"/>
      </w:pPr>
      <w:rPr>
        <w:rFonts w:hint="default"/>
        <w:lang w:val="zh-CN" w:eastAsia="zh-CN" w:bidi="zh-CN"/>
      </w:rPr>
    </w:lvl>
    <w:lvl w:ilvl="8" w:tentative="0">
      <w:start w:val="0"/>
      <w:numFmt w:val="bullet"/>
      <w:lvlText w:val="•"/>
      <w:lvlJc w:val="left"/>
      <w:pPr>
        <w:ind w:left="5070" w:hanging="370"/>
      </w:pPr>
      <w:rPr>
        <w:rFonts w:hint="default"/>
        <w:lang w:val="zh-CN" w:eastAsia="zh-CN" w:bidi="zh-CN"/>
      </w:rPr>
    </w:lvl>
  </w:abstractNum>
  <w:abstractNum w:abstractNumId="32">
    <w:nsid w:val="59EEFD2A"/>
    <w:multiLevelType w:val="multilevel"/>
    <w:tmpl w:val="59EEFD2A"/>
    <w:lvl w:ilvl="0" w:tentative="0">
      <w:start w:val="38"/>
      <w:numFmt w:val="decimal"/>
      <w:lvlText w:val="%1"/>
      <w:lvlJc w:val="left"/>
      <w:pPr>
        <w:ind w:left="818" w:hanging="481"/>
        <w:jc w:val="left"/>
      </w:pPr>
      <w:rPr>
        <w:rFonts w:hint="default"/>
        <w:lang w:val="zh-CN" w:eastAsia="zh-CN" w:bidi="zh-CN"/>
      </w:rPr>
    </w:lvl>
    <w:lvl w:ilvl="1" w:tentative="0">
      <w:start w:val="1"/>
      <w:numFmt w:val="decimal"/>
      <w:lvlText w:val="%1.%2"/>
      <w:lvlJc w:val="left"/>
      <w:pPr>
        <w:ind w:left="818" w:hanging="481"/>
        <w:jc w:val="left"/>
      </w:pPr>
      <w:rPr>
        <w:rFonts w:hint="default" w:ascii="宋体" w:hAnsi="宋体" w:eastAsia="宋体" w:cs="宋体"/>
        <w:spacing w:val="-104"/>
        <w:w w:val="100"/>
        <w:sz w:val="22"/>
        <w:szCs w:val="22"/>
        <w:lang w:val="zh-CN" w:eastAsia="zh-CN" w:bidi="zh-CN"/>
      </w:rPr>
    </w:lvl>
    <w:lvl w:ilvl="2" w:tentative="0">
      <w:start w:val="0"/>
      <w:numFmt w:val="bullet"/>
      <w:lvlText w:val="•"/>
      <w:lvlJc w:val="left"/>
      <w:pPr>
        <w:ind w:left="2841" w:hanging="481"/>
      </w:pPr>
      <w:rPr>
        <w:rFonts w:hint="default"/>
        <w:lang w:val="zh-CN" w:eastAsia="zh-CN" w:bidi="zh-CN"/>
      </w:rPr>
    </w:lvl>
    <w:lvl w:ilvl="3" w:tentative="0">
      <w:start w:val="0"/>
      <w:numFmt w:val="bullet"/>
      <w:lvlText w:val="•"/>
      <w:lvlJc w:val="left"/>
      <w:pPr>
        <w:ind w:left="3851" w:hanging="481"/>
      </w:pPr>
      <w:rPr>
        <w:rFonts w:hint="default"/>
        <w:lang w:val="zh-CN" w:eastAsia="zh-CN" w:bidi="zh-CN"/>
      </w:rPr>
    </w:lvl>
    <w:lvl w:ilvl="4" w:tentative="0">
      <w:start w:val="0"/>
      <w:numFmt w:val="bullet"/>
      <w:lvlText w:val="•"/>
      <w:lvlJc w:val="left"/>
      <w:pPr>
        <w:ind w:left="4862" w:hanging="481"/>
      </w:pPr>
      <w:rPr>
        <w:rFonts w:hint="default"/>
        <w:lang w:val="zh-CN" w:eastAsia="zh-CN" w:bidi="zh-CN"/>
      </w:rPr>
    </w:lvl>
    <w:lvl w:ilvl="5" w:tentative="0">
      <w:start w:val="0"/>
      <w:numFmt w:val="bullet"/>
      <w:lvlText w:val="•"/>
      <w:lvlJc w:val="left"/>
      <w:pPr>
        <w:ind w:left="5873" w:hanging="481"/>
      </w:pPr>
      <w:rPr>
        <w:rFonts w:hint="default"/>
        <w:lang w:val="zh-CN" w:eastAsia="zh-CN" w:bidi="zh-CN"/>
      </w:rPr>
    </w:lvl>
    <w:lvl w:ilvl="6" w:tentative="0">
      <w:start w:val="0"/>
      <w:numFmt w:val="bullet"/>
      <w:lvlText w:val="•"/>
      <w:lvlJc w:val="left"/>
      <w:pPr>
        <w:ind w:left="6883" w:hanging="481"/>
      </w:pPr>
      <w:rPr>
        <w:rFonts w:hint="default"/>
        <w:lang w:val="zh-CN" w:eastAsia="zh-CN" w:bidi="zh-CN"/>
      </w:rPr>
    </w:lvl>
    <w:lvl w:ilvl="7" w:tentative="0">
      <w:start w:val="0"/>
      <w:numFmt w:val="bullet"/>
      <w:lvlText w:val="•"/>
      <w:lvlJc w:val="left"/>
      <w:pPr>
        <w:ind w:left="7894" w:hanging="481"/>
      </w:pPr>
      <w:rPr>
        <w:rFonts w:hint="default"/>
        <w:lang w:val="zh-CN" w:eastAsia="zh-CN" w:bidi="zh-CN"/>
      </w:rPr>
    </w:lvl>
    <w:lvl w:ilvl="8" w:tentative="0">
      <w:start w:val="0"/>
      <w:numFmt w:val="bullet"/>
      <w:lvlText w:val="•"/>
      <w:lvlJc w:val="left"/>
      <w:pPr>
        <w:ind w:left="8905" w:hanging="481"/>
      </w:pPr>
      <w:rPr>
        <w:rFonts w:hint="default"/>
        <w:lang w:val="zh-CN" w:eastAsia="zh-CN" w:bidi="zh-CN"/>
      </w:rPr>
    </w:lvl>
  </w:abstractNum>
  <w:abstractNum w:abstractNumId="33">
    <w:nsid w:val="68B298F7"/>
    <w:multiLevelType w:val="multilevel"/>
    <w:tmpl w:val="68B298F7"/>
    <w:lvl w:ilvl="0" w:tentative="0">
      <w:start w:val="1"/>
      <w:numFmt w:val="decimal"/>
      <w:lvlText w:val="%1）"/>
      <w:lvlJc w:val="left"/>
      <w:pPr>
        <w:ind w:left="1659"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86" w:hanging="361"/>
      </w:pPr>
      <w:rPr>
        <w:rFonts w:hint="default"/>
        <w:lang w:val="zh-CN" w:eastAsia="zh-CN" w:bidi="zh-CN"/>
      </w:rPr>
    </w:lvl>
    <w:lvl w:ilvl="2" w:tentative="0">
      <w:start w:val="0"/>
      <w:numFmt w:val="bullet"/>
      <w:lvlText w:val="•"/>
      <w:lvlJc w:val="left"/>
      <w:pPr>
        <w:ind w:left="3513" w:hanging="361"/>
      </w:pPr>
      <w:rPr>
        <w:rFonts w:hint="default"/>
        <w:lang w:val="zh-CN" w:eastAsia="zh-CN" w:bidi="zh-CN"/>
      </w:rPr>
    </w:lvl>
    <w:lvl w:ilvl="3" w:tentative="0">
      <w:start w:val="0"/>
      <w:numFmt w:val="bullet"/>
      <w:lvlText w:val="•"/>
      <w:lvlJc w:val="left"/>
      <w:pPr>
        <w:ind w:left="4439" w:hanging="361"/>
      </w:pPr>
      <w:rPr>
        <w:rFonts w:hint="default"/>
        <w:lang w:val="zh-CN" w:eastAsia="zh-CN" w:bidi="zh-CN"/>
      </w:rPr>
    </w:lvl>
    <w:lvl w:ilvl="4" w:tentative="0">
      <w:start w:val="0"/>
      <w:numFmt w:val="bullet"/>
      <w:lvlText w:val="•"/>
      <w:lvlJc w:val="left"/>
      <w:pPr>
        <w:ind w:left="5366" w:hanging="361"/>
      </w:pPr>
      <w:rPr>
        <w:rFonts w:hint="default"/>
        <w:lang w:val="zh-CN" w:eastAsia="zh-CN" w:bidi="zh-CN"/>
      </w:rPr>
    </w:lvl>
    <w:lvl w:ilvl="5" w:tentative="0">
      <w:start w:val="0"/>
      <w:numFmt w:val="bullet"/>
      <w:lvlText w:val="•"/>
      <w:lvlJc w:val="left"/>
      <w:pPr>
        <w:ind w:left="6293" w:hanging="361"/>
      </w:pPr>
      <w:rPr>
        <w:rFonts w:hint="default"/>
        <w:lang w:val="zh-CN" w:eastAsia="zh-CN" w:bidi="zh-CN"/>
      </w:rPr>
    </w:lvl>
    <w:lvl w:ilvl="6" w:tentative="0">
      <w:start w:val="0"/>
      <w:numFmt w:val="bullet"/>
      <w:lvlText w:val="•"/>
      <w:lvlJc w:val="left"/>
      <w:pPr>
        <w:ind w:left="7219" w:hanging="361"/>
      </w:pPr>
      <w:rPr>
        <w:rFonts w:hint="default"/>
        <w:lang w:val="zh-CN" w:eastAsia="zh-CN" w:bidi="zh-CN"/>
      </w:rPr>
    </w:lvl>
    <w:lvl w:ilvl="7" w:tentative="0">
      <w:start w:val="0"/>
      <w:numFmt w:val="bullet"/>
      <w:lvlText w:val="•"/>
      <w:lvlJc w:val="left"/>
      <w:pPr>
        <w:ind w:left="8146" w:hanging="361"/>
      </w:pPr>
      <w:rPr>
        <w:rFonts w:hint="default"/>
        <w:lang w:val="zh-CN" w:eastAsia="zh-CN" w:bidi="zh-CN"/>
      </w:rPr>
    </w:lvl>
    <w:lvl w:ilvl="8" w:tentative="0">
      <w:start w:val="0"/>
      <w:numFmt w:val="bullet"/>
      <w:lvlText w:val="•"/>
      <w:lvlJc w:val="left"/>
      <w:pPr>
        <w:ind w:left="9073" w:hanging="361"/>
      </w:pPr>
      <w:rPr>
        <w:rFonts w:hint="default"/>
        <w:lang w:val="zh-CN" w:eastAsia="zh-CN" w:bidi="zh-CN"/>
      </w:rPr>
    </w:lvl>
  </w:abstractNum>
  <w:abstractNum w:abstractNumId="34">
    <w:nsid w:val="700FDCEF"/>
    <w:multiLevelType w:val="multilevel"/>
    <w:tmpl w:val="700FDCEF"/>
    <w:lvl w:ilvl="0" w:tentative="0">
      <w:start w:val="1"/>
      <w:numFmt w:val="decimal"/>
      <w:lvlText w:val="%1）"/>
      <w:lvlJc w:val="left"/>
      <w:pPr>
        <w:ind w:left="818"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30" w:hanging="361"/>
      </w:pPr>
      <w:rPr>
        <w:rFonts w:hint="default"/>
        <w:lang w:val="zh-CN" w:eastAsia="zh-CN" w:bidi="zh-CN"/>
      </w:rPr>
    </w:lvl>
    <w:lvl w:ilvl="2" w:tentative="0">
      <w:start w:val="0"/>
      <w:numFmt w:val="bullet"/>
      <w:lvlText w:val="•"/>
      <w:lvlJc w:val="left"/>
      <w:pPr>
        <w:ind w:left="284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862" w:hanging="361"/>
      </w:pPr>
      <w:rPr>
        <w:rFonts w:hint="default"/>
        <w:lang w:val="zh-CN" w:eastAsia="zh-CN" w:bidi="zh-CN"/>
      </w:rPr>
    </w:lvl>
    <w:lvl w:ilvl="5" w:tentative="0">
      <w:start w:val="0"/>
      <w:numFmt w:val="bullet"/>
      <w:lvlText w:val="•"/>
      <w:lvlJc w:val="left"/>
      <w:pPr>
        <w:ind w:left="5873" w:hanging="361"/>
      </w:pPr>
      <w:rPr>
        <w:rFonts w:hint="default"/>
        <w:lang w:val="zh-CN" w:eastAsia="zh-CN" w:bidi="zh-CN"/>
      </w:rPr>
    </w:lvl>
    <w:lvl w:ilvl="6" w:tentative="0">
      <w:start w:val="0"/>
      <w:numFmt w:val="bullet"/>
      <w:lvlText w:val="•"/>
      <w:lvlJc w:val="left"/>
      <w:pPr>
        <w:ind w:left="6883" w:hanging="361"/>
      </w:pPr>
      <w:rPr>
        <w:rFonts w:hint="default"/>
        <w:lang w:val="zh-CN" w:eastAsia="zh-CN" w:bidi="zh-CN"/>
      </w:rPr>
    </w:lvl>
    <w:lvl w:ilvl="7" w:tentative="0">
      <w:start w:val="0"/>
      <w:numFmt w:val="bullet"/>
      <w:lvlText w:val="•"/>
      <w:lvlJc w:val="left"/>
      <w:pPr>
        <w:ind w:left="7894" w:hanging="361"/>
      </w:pPr>
      <w:rPr>
        <w:rFonts w:hint="default"/>
        <w:lang w:val="zh-CN" w:eastAsia="zh-CN" w:bidi="zh-CN"/>
      </w:rPr>
    </w:lvl>
    <w:lvl w:ilvl="8" w:tentative="0">
      <w:start w:val="0"/>
      <w:numFmt w:val="bullet"/>
      <w:lvlText w:val="•"/>
      <w:lvlJc w:val="left"/>
      <w:pPr>
        <w:ind w:left="8905" w:hanging="361"/>
      </w:pPr>
      <w:rPr>
        <w:rFonts w:hint="default"/>
        <w:lang w:val="zh-CN" w:eastAsia="zh-CN" w:bidi="zh-CN"/>
      </w:rPr>
    </w:lvl>
  </w:abstractNum>
  <w:abstractNum w:abstractNumId="35">
    <w:nsid w:val="77633216"/>
    <w:multiLevelType w:val="multilevel"/>
    <w:tmpl w:val="77633216"/>
    <w:lvl w:ilvl="0" w:tentative="0">
      <w:start w:val="1"/>
      <w:numFmt w:val="decimal"/>
      <w:lvlText w:val="%1）"/>
      <w:lvlJc w:val="left"/>
      <w:pPr>
        <w:ind w:left="818"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30" w:hanging="361"/>
      </w:pPr>
      <w:rPr>
        <w:rFonts w:hint="default"/>
        <w:lang w:val="zh-CN" w:eastAsia="zh-CN" w:bidi="zh-CN"/>
      </w:rPr>
    </w:lvl>
    <w:lvl w:ilvl="2" w:tentative="0">
      <w:start w:val="0"/>
      <w:numFmt w:val="bullet"/>
      <w:lvlText w:val="•"/>
      <w:lvlJc w:val="left"/>
      <w:pPr>
        <w:ind w:left="284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862" w:hanging="361"/>
      </w:pPr>
      <w:rPr>
        <w:rFonts w:hint="default"/>
        <w:lang w:val="zh-CN" w:eastAsia="zh-CN" w:bidi="zh-CN"/>
      </w:rPr>
    </w:lvl>
    <w:lvl w:ilvl="5" w:tentative="0">
      <w:start w:val="0"/>
      <w:numFmt w:val="bullet"/>
      <w:lvlText w:val="•"/>
      <w:lvlJc w:val="left"/>
      <w:pPr>
        <w:ind w:left="5873" w:hanging="361"/>
      </w:pPr>
      <w:rPr>
        <w:rFonts w:hint="default"/>
        <w:lang w:val="zh-CN" w:eastAsia="zh-CN" w:bidi="zh-CN"/>
      </w:rPr>
    </w:lvl>
    <w:lvl w:ilvl="6" w:tentative="0">
      <w:start w:val="0"/>
      <w:numFmt w:val="bullet"/>
      <w:lvlText w:val="•"/>
      <w:lvlJc w:val="left"/>
      <w:pPr>
        <w:ind w:left="6883" w:hanging="361"/>
      </w:pPr>
      <w:rPr>
        <w:rFonts w:hint="default"/>
        <w:lang w:val="zh-CN" w:eastAsia="zh-CN" w:bidi="zh-CN"/>
      </w:rPr>
    </w:lvl>
    <w:lvl w:ilvl="7" w:tentative="0">
      <w:start w:val="0"/>
      <w:numFmt w:val="bullet"/>
      <w:lvlText w:val="•"/>
      <w:lvlJc w:val="left"/>
      <w:pPr>
        <w:ind w:left="7894" w:hanging="361"/>
      </w:pPr>
      <w:rPr>
        <w:rFonts w:hint="default"/>
        <w:lang w:val="zh-CN" w:eastAsia="zh-CN" w:bidi="zh-CN"/>
      </w:rPr>
    </w:lvl>
    <w:lvl w:ilvl="8" w:tentative="0">
      <w:start w:val="0"/>
      <w:numFmt w:val="bullet"/>
      <w:lvlText w:val="•"/>
      <w:lvlJc w:val="left"/>
      <w:pPr>
        <w:ind w:left="8905" w:hanging="361"/>
      </w:pPr>
      <w:rPr>
        <w:rFonts w:hint="default"/>
        <w:lang w:val="zh-CN" w:eastAsia="zh-CN" w:bidi="zh-CN"/>
      </w:rPr>
    </w:lvl>
  </w:abstractNum>
  <w:num w:numId="1">
    <w:abstractNumId w:val="20"/>
  </w:num>
  <w:num w:numId="2">
    <w:abstractNumId w:val="21"/>
  </w:num>
  <w:num w:numId="3">
    <w:abstractNumId w:val="13"/>
  </w:num>
  <w:num w:numId="4">
    <w:abstractNumId w:val="26"/>
  </w:num>
  <w:num w:numId="5">
    <w:abstractNumId w:val="17"/>
  </w:num>
  <w:num w:numId="6">
    <w:abstractNumId w:val="0"/>
  </w:num>
  <w:num w:numId="7">
    <w:abstractNumId w:val="5"/>
  </w:num>
  <w:num w:numId="8">
    <w:abstractNumId w:val="11"/>
  </w:num>
  <w:num w:numId="9">
    <w:abstractNumId w:val="31"/>
  </w:num>
  <w:num w:numId="10">
    <w:abstractNumId w:val="29"/>
  </w:num>
  <w:num w:numId="11">
    <w:abstractNumId w:val="19"/>
  </w:num>
  <w:num w:numId="12">
    <w:abstractNumId w:val="9"/>
  </w:num>
  <w:num w:numId="13">
    <w:abstractNumId w:val="22"/>
  </w:num>
  <w:num w:numId="14">
    <w:abstractNumId w:val="4"/>
  </w:num>
  <w:num w:numId="15">
    <w:abstractNumId w:val="30"/>
  </w:num>
  <w:num w:numId="16">
    <w:abstractNumId w:val="3"/>
  </w:num>
  <w:num w:numId="17">
    <w:abstractNumId w:val="18"/>
  </w:num>
  <w:num w:numId="18">
    <w:abstractNumId w:val="24"/>
  </w:num>
  <w:num w:numId="19">
    <w:abstractNumId w:val="34"/>
  </w:num>
  <w:num w:numId="20">
    <w:abstractNumId w:val="15"/>
  </w:num>
  <w:num w:numId="21">
    <w:abstractNumId w:val="10"/>
  </w:num>
  <w:num w:numId="22">
    <w:abstractNumId w:val="35"/>
  </w:num>
  <w:num w:numId="23">
    <w:abstractNumId w:val="14"/>
  </w:num>
  <w:num w:numId="24">
    <w:abstractNumId w:val="6"/>
  </w:num>
  <w:num w:numId="25">
    <w:abstractNumId w:val="27"/>
  </w:num>
  <w:num w:numId="26">
    <w:abstractNumId w:val="16"/>
  </w:num>
  <w:num w:numId="27">
    <w:abstractNumId w:val="2"/>
  </w:num>
  <w:num w:numId="28">
    <w:abstractNumId w:val="32"/>
  </w:num>
  <w:num w:numId="29">
    <w:abstractNumId w:val="7"/>
  </w:num>
  <w:num w:numId="30">
    <w:abstractNumId w:val="28"/>
  </w:num>
  <w:num w:numId="31">
    <w:abstractNumId w:val="1"/>
  </w:num>
  <w:num w:numId="32">
    <w:abstractNumId w:val="25"/>
  </w:num>
  <w:num w:numId="33">
    <w:abstractNumId w:val="8"/>
  </w:num>
  <w:num w:numId="34">
    <w:abstractNumId w:val="23"/>
  </w:num>
  <w:num w:numId="35">
    <w:abstractNumId w:val="1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F0060"/>
    <w:rsid w:val="038B08CA"/>
    <w:rsid w:val="063C7F51"/>
    <w:rsid w:val="07B318CD"/>
    <w:rsid w:val="0904231A"/>
    <w:rsid w:val="0A167FEF"/>
    <w:rsid w:val="0A400E96"/>
    <w:rsid w:val="0C174BFE"/>
    <w:rsid w:val="0E962FA4"/>
    <w:rsid w:val="1448223A"/>
    <w:rsid w:val="16FC4F74"/>
    <w:rsid w:val="19872DCB"/>
    <w:rsid w:val="1A5B6D83"/>
    <w:rsid w:val="1F873D30"/>
    <w:rsid w:val="2096194C"/>
    <w:rsid w:val="21015E9F"/>
    <w:rsid w:val="224D7E8B"/>
    <w:rsid w:val="2534382D"/>
    <w:rsid w:val="2AB85822"/>
    <w:rsid w:val="2AC96093"/>
    <w:rsid w:val="2BC5098C"/>
    <w:rsid w:val="2BD03599"/>
    <w:rsid w:val="2C616B32"/>
    <w:rsid w:val="2DB75668"/>
    <w:rsid w:val="30034DEF"/>
    <w:rsid w:val="329F3AB5"/>
    <w:rsid w:val="3524421D"/>
    <w:rsid w:val="37B55D47"/>
    <w:rsid w:val="38BC1D0E"/>
    <w:rsid w:val="39EE17A8"/>
    <w:rsid w:val="3DB4474A"/>
    <w:rsid w:val="40231FE2"/>
    <w:rsid w:val="40705F09"/>
    <w:rsid w:val="40B75154"/>
    <w:rsid w:val="4CFE6779"/>
    <w:rsid w:val="4D635C8C"/>
    <w:rsid w:val="4D874071"/>
    <w:rsid w:val="4F2F268E"/>
    <w:rsid w:val="523F0372"/>
    <w:rsid w:val="55045EF5"/>
    <w:rsid w:val="5B2408CF"/>
    <w:rsid w:val="5C5A3AAE"/>
    <w:rsid w:val="5EBB660B"/>
    <w:rsid w:val="60AC583D"/>
    <w:rsid w:val="63D56B12"/>
    <w:rsid w:val="63FB0156"/>
    <w:rsid w:val="6698629A"/>
    <w:rsid w:val="69BE6B5D"/>
    <w:rsid w:val="6A8E3401"/>
    <w:rsid w:val="6BA13C3D"/>
    <w:rsid w:val="6BA30319"/>
    <w:rsid w:val="6CAB2BA7"/>
    <w:rsid w:val="6D4D7CCC"/>
    <w:rsid w:val="6F8A6213"/>
    <w:rsid w:val="701D7202"/>
    <w:rsid w:val="710C5360"/>
    <w:rsid w:val="72592A1C"/>
    <w:rsid w:val="72A4219C"/>
    <w:rsid w:val="72A91DF8"/>
    <w:rsid w:val="73A67B94"/>
    <w:rsid w:val="73DA51BA"/>
    <w:rsid w:val="74F926A5"/>
    <w:rsid w:val="79DE73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left="2080" w:right="2698"/>
      <w:jc w:val="center"/>
      <w:outlineLvl w:val="1"/>
    </w:pPr>
    <w:rPr>
      <w:rFonts w:ascii="Microsoft JhengHei" w:hAnsi="Microsoft JhengHei" w:eastAsia="Microsoft JhengHei" w:cs="Microsoft JhengHei"/>
      <w:b/>
      <w:bCs/>
      <w:sz w:val="72"/>
      <w:szCs w:val="72"/>
      <w:lang w:val="zh-CN" w:eastAsia="zh-CN" w:bidi="zh-CN"/>
    </w:rPr>
  </w:style>
  <w:style w:type="paragraph" w:styleId="4">
    <w:name w:val="heading 2"/>
    <w:basedOn w:val="1"/>
    <w:next w:val="1"/>
    <w:qFormat/>
    <w:uiPriority w:val="1"/>
    <w:pPr>
      <w:spacing w:line="567" w:lineRule="exact"/>
      <w:ind w:left="3257"/>
      <w:outlineLvl w:val="2"/>
    </w:pPr>
    <w:rPr>
      <w:rFonts w:ascii="Microsoft JhengHei" w:hAnsi="Microsoft JhengHei" w:eastAsia="Microsoft JhengHei" w:cs="Microsoft JhengHei"/>
      <w:b/>
      <w:bCs/>
      <w:sz w:val="36"/>
      <w:szCs w:val="36"/>
      <w:lang w:val="zh-CN" w:eastAsia="zh-CN" w:bidi="zh-CN"/>
    </w:rPr>
  </w:style>
  <w:style w:type="paragraph" w:styleId="5">
    <w:name w:val="heading 3"/>
    <w:basedOn w:val="1"/>
    <w:next w:val="1"/>
    <w:qFormat/>
    <w:uiPriority w:val="1"/>
    <w:pPr>
      <w:spacing w:before="35"/>
      <w:ind w:left="818"/>
      <w:outlineLvl w:val="3"/>
    </w:pPr>
    <w:rPr>
      <w:rFonts w:ascii="Microsoft JhengHei" w:hAnsi="Microsoft JhengHei" w:eastAsia="Microsoft JhengHei" w:cs="Microsoft JhengHei"/>
      <w:b/>
      <w:bCs/>
      <w:sz w:val="32"/>
      <w:szCs w:val="32"/>
      <w:lang w:val="zh-CN" w:eastAsia="zh-CN" w:bidi="zh-CN"/>
    </w:rPr>
  </w:style>
  <w:style w:type="paragraph" w:styleId="6">
    <w:name w:val="heading 4"/>
    <w:basedOn w:val="1"/>
    <w:next w:val="1"/>
    <w:qFormat/>
    <w:uiPriority w:val="1"/>
    <w:pPr>
      <w:spacing w:line="419" w:lineRule="exact"/>
      <w:ind w:left="1379"/>
      <w:outlineLvl w:val="4"/>
    </w:pPr>
    <w:rPr>
      <w:rFonts w:ascii="Microsoft JhengHei" w:hAnsi="Microsoft JhengHei" w:eastAsia="Microsoft JhengHei" w:cs="Microsoft JhengHei"/>
      <w:b/>
      <w:bCs/>
      <w:sz w:val="28"/>
      <w:szCs w:val="28"/>
      <w:lang w:val="zh-CN" w:eastAsia="zh-CN" w:bidi="zh-CN"/>
    </w:rPr>
  </w:style>
  <w:style w:type="paragraph" w:styleId="7">
    <w:name w:val="heading 5"/>
    <w:basedOn w:val="1"/>
    <w:next w:val="1"/>
    <w:qFormat/>
    <w:uiPriority w:val="1"/>
    <w:pPr>
      <w:ind w:left="818"/>
      <w:outlineLvl w:val="5"/>
    </w:pPr>
    <w:rPr>
      <w:rFonts w:ascii="Microsoft JhengHei" w:hAnsi="Microsoft JhengHei" w:eastAsia="Microsoft JhengHei" w:cs="Microsoft JhengHei"/>
      <w:b/>
      <w:bCs/>
      <w:sz w:val="24"/>
      <w:szCs w:val="24"/>
      <w:lang w:val="zh-CN" w:eastAsia="zh-CN" w:bidi="zh-CN"/>
    </w:rPr>
  </w:style>
  <w:style w:type="character" w:default="1" w:styleId="18">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firstLine="0"/>
    </w:pPr>
  </w:style>
  <w:style w:type="paragraph" w:styleId="8">
    <w:name w:val="Normal Indent"/>
    <w:basedOn w:val="1"/>
    <w:next w:val="1"/>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qFormat/>
    <w:uiPriority w:val="1"/>
    <w:pPr>
      <w:ind w:left="818"/>
    </w:pPr>
    <w:rPr>
      <w:rFonts w:ascii="宋体" w:hAnsi="宋体" w:eastAsia="宋体" w:cs="宋体"/>
      <w:sz w:val="24"/>
      <w:szCs w:val="24"/>
      <w:lang w:val="zh-CN" w:eastAsia="zh-CN" w:bidi="zh-CN"/>
    </w:rPr>
  </w:style>
  <w:style w:type="paragraph" w:styleId="11">
    <w:name w:val="toc 3"/>
    <w:basedOn w:val="1"/>
    <w:next w:val="1"/>
    <w:qFormat/>
    <w:uiPriority w:val="1"/>
    <w:pPr>
      <w:spacing w:before="43"/>
      <w:ind w:left="1238"/>
    </w:pPr>
    <w:rPr>
      <w:rFonts w:ascii="宋体" w:hAnsi="宋体" w:eastAsia="宋体" w:cs="宋体"/>
      <w:sz w:val="21"/>
      <w:szCs w:val="21"/>
      <w:lang w:val="zh-CN" w:eastAsia="zh-CN" w:bidi="zh-CN"/>
    </w:rPr>
  </w:style>
  <w:style w:type="paragraph" w:styleId="12">
    <w:name w:val="toc 1"/>
    <w:basedOn w:val="1"/>
    <w:next w:val="1"/>
    <w:qFormat/>
    <w:uiPriority w:val="1"/>
    <w:pPr>
      <w:spacing w:before="43"/>
      <w:ind w:right="1800"/>
      <w:jc w:val="right"/>
    </w:pPr>
    <w:rPr>
      <w:rFonts w:ascii="宋体" w:hAnsi="宋体" w:eastAsia="宋体" w:cs="宋体"/>
      <w:sz w:val="21"/>
      <w:szCs w:val="21"/>
      <w:lang w:val="zh-CN" w:eastAsia="zh-CN" w:bidi="zh-CN"/>
    </w:rPr>
  </w:style>
  <w:style w:type="paragraph" w:styleId="13">
    <w:name w:val="toc 4"/>
    <w:basedOn w:val="1"/>
    <w:next w:val="1"/>
    <w:qFormat/>
    <w:uiPriority w:val="1"/>
    <w:pPr>
      <w:spacing w:before="43"/>
      <w:ind w:left="1658"/>
    </w:pPr>
    <w:rPr>
      <w:rFonts w:ascii="宋体" w:hAnsi="宋体" w:eastAsia="宋体" w:cs="宋体"/>
      <w:sz w:val="21"/>
      <w:szCs w:val="21"/>
      <w:lang w:val="zh-CN" w:eastAsia="zh-CN" w:bidi="zh-CN"/>
    </w:rPr>
  </w:style>
  <w:style w:type="paragraph" w:styleId="14">
    <w:name w:val="toc 2"/>
    <w:basedOn w:val="1"/>
    <w:next w:val="1"/>
    <w:qFormat/>
    <w:uiPriority w:val="1"/>
    <w:pPr>
      <w:spacing w:before="43"/>
      <w:ind w:left="818"/>
    </w:pPr>
    <w:rPr>
      <w:rFonts w:ascii="宋体" w:hAnsi="宋体" w:eastAsia="宋体" w:cs="宋体"/>
      <w:sz w:val="21"/>
      <w:szCs w:val="21"/>
      <w:lang w:val="zh-CN" w:eastAsia="zh-CN" w:bidi="zh-CN"/>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spacing w:before="1"/>
      <w:ind w:left="818" w:firstLine="479"/>
    </w:pPr>
    <w:rPr>
      <w:rFonts w:ascii="宋体" w:hAnsi="宋体" w:eastAsia="宋体" w:cs="宋体"/>
      <w:lang w:val="zh-CN" w:eastAsia="zh-CN" w:bidi="zh-CN"/>
    </w:rPr>
  </w:style>
  <w:style w:type="paragraph" w:customStyle="1" w:styleId="21">
    <w:name w:val="Table Paragraph"/>
    <w:basedOn w:val="1"/>
    <w:qFormat/>
    <w:uiPriority w:val="1"/>
    <w:rPr>
      <w:rFonts w:ascii="宋体" w:hAnsi="宋体" w:eastAsia="宋体" w:cs="宋体"/>
      <w:lang w:val="zh-CN" w:eastAsia="zh-CN" w:bidi="zh-CN"/>
    </w:rPr>
  </w:style>
  <w:style w:type="character" w:customStyle="1" w:styleId="22">
    <w:name w:val="font11"/>
    <w:basedOn w:val="18"/>
    <w:qFormat/>
    <w:uiPriority w:val="0"/>
    <w:rPr>
      <w:rFonts w:hint="eastAsia" w:ascii="Microsoft JhengHei" w:hAnsi="Microsoft JhengHei" w:eastAsia="Microsoft JhengHei" w:cs="Microsoft JhengHei"/>
      <w:b/>
      <w:bCs/>
      <w:color w:val="000000"/>
      <w:sz w:val="21"/>
      <w:szCs w:val="21"/>
      <w:u w:val="none"/>
    </w:rPr>
  </w:style>
  <w:style w:type="paragraph" w:customStyle="1" w:styleId="23">
    <w:name w:val="WPSOffice手动目录 2"/>
    <w:qFormat/>
    <w:uiPriority w:val="0"/>
    <w:pPr>
      <w:ind w:leftChars="200"/>
    </w:pPr>
    <w:rPr>
      <w:rFonts w:asciiTheme="minorHAnsi" w:hAnsiTheme="minorHAnsi" w:eastAsiaTheme="minorHAnsi" w:cstheme="minorBidi"/>
      <w:sz w:val="20"/>
      <w:szCs w:val="20"/>
    </w:rPr>
  </w:style>
  <w:style w:type="paragraph" w:customStyle="1" w:styleId="24">
    <w:name w:val="WPSOffice手动目录 3"/>
    <w:qFormat/>
    <w:uiPriority w:val="0"/>
    <w:pPr>
      <w:ind w:leftChars="400"/>
    </w:pPr>
    <w:rPr>
      <w:rFonts w:asciiTheme="minorHAnsi" w:hAnsiTheme="minorHAnsi" w:eastAsiaTheme="minorHAnsi" w:cstheme="minorBidi"/>
      <w:sz w:val="20"/>
      <w:szCs w:val="20"/>
    </w:rPr>
  </w:style>
  <w:style w:type="paragraph" w:customStyle="1" w:styleId="25">
    <w:name w:val="WPSOffice手动目录 1"/>
    <w:qFormat/>
    <w:uiPriority w:val="0"/>
    <w:pPr>
      <w:ind w:leftChars="0"/>
    </w:pPr>
    <w:rPr>
      <w:rFonts w:asciiTheme="minorHAnsi" w:hAnsiTheme="minorHAnsi" w:eastAsiaTheme="minorHAnsi" w:cstheme="minorBidi"/>
      <w:sz w:val="20"/>
      <w:szCs w:val="20"/>
    </w:rPr>
  </w:style>
  <w:style w:type="paragraph" w:customStyle="1" w:styleId="26">
    <w:name w:val="BodyText"/>
    <w:basedOn w:val="1"/>
    <w:next w:val="1"/>
    <w:qFormat/>
    <w:uiPriority w:val="0"/>
    <w:rPr>
      <w:rFonts w:ascii="Times New Roman" w:hAnsi="Times New Roman" w:eastAsia="宋体" w:cs="Times New Roman"/>
      <w:b/>
      <w:bCs/>
      <w:spacing w:val="-20"/>
      <w:sz w:val="84"/>
    </w:rPr>
  </w:style>
  <w:style w:type="paragraph" w:customStyle="1" w:styleId="2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36513</Words>
  <Characters>37573</Characters>
  <TotalTime>31</TotalTime>
  <ScaleCrop>false</ScaleCrop>
  <LinksUpToDate>false</LinksUpToDate>
  <CharactersWithSpaces>40479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2021-07-15T02:46:00Z</dcterms:created>
  <dc:creator>王峰</dc:creator>
  <cp:lastModifiedBy>廖怼怼</cp:lastModifiedBy>
  <dcterms:modified xsi:type="dcterms:W3CDTF">2021-10-16T07:29:58Z</dcterms:modified>
  <dc:title>滨州市政府采购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2016</vt:lpwstr>
  </property>
  <property fmtid="{D5CDD505-2E9C-101B-9397-08002B2CF9AE}" pid="4" name="LastSaved">
    <vt:filetime>2021-07-15T00:00:00Z</vt:filetime>
  </property>
  <property fmtid="{D5CDD505-2E9C-101B-9397-08002B2CF9AE}" pid="5" name="KSOProductBuildVer">
    <vt:lpwstr>2052-11.1.0.10938</vt:lpwstr>
  </property>
  <property fmtid="{D5CDD505-2E9C-101B-9397-08002B2CF9AE}" pid="6" name="ICV">
    <vt:lpwstr>4BEE709A10BC46BF935C6E6CB0AF59CE</vt:lpwstr>
  </property>
</Properties>
</file>