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黑体"/>
          <w:sz w:val="32"/>
        </w:rPr>
      </w:pPr>
      <w:r>
        <w:rPr>
          <w:rFonts w:hint="eastAsia" w:ascii="黑体" w:eastAsia="黑体"/>
          <w:spacing w:val="-9"/>
          <w:sz w:val="40"/>
          <w:lang w:eastAsia="zh-CN"/>
        </w:rPr>
        <w:t>温宿产业园区企业基础设施建设项目</w:t>
      </w:r>
    </w:p>
    <w:p>
      <w:pPr>
        <w:spacing w:before="49"/>
        <w:ind w:right="429"/>
        <w:jc w:val="center"/>
        <w:rPr>
          <w:rFonts w:hint="eastAsia" w:ascii="黑体" w:eastAsia="黑体"/>
          <w:sz w:val="32"/>
          <w:lang w:eastAsia="zh-CN"/>
        </w:rPr>
      </w:pPr>
      <w:r>
        <w:rPr>
          <w:rFonts w:hint="eastAsia" w:ascii="黑体" w:eastAsia="黑体"/>
          <w:sz w:val="32"/>
        </w:rPr>
        <w:t>项目编号：</w:t>
      </w:r>
      <w:r>
        <w:rPr>
          <w:rFonts w:hint="eastAsia" w:ascii="黑体" w:eastAsia="黑体"/>
          <w:sz w:val="32"/>
          <w:lang w:eastAsia="zh-CN"/>
        </w:rPr>
        <w:t>WSFS-2021-90</w:t>
      </w:r>
    </w:p>
    <w:p>
      <w:pPr>
        <w:pStyle w:val="8"/>
        <w:rPr>
          <w:rFonts w:ascii="黑体"/>
          <w:sz w:val="32"/>
        </w:rPr>
      </w:pPr>
    </w:p>
    <w:p>
      <w:pPr>
        <w:pStyle w:val="8"/>
        <w:rPr>
          <w:rFonts w:ascii="黑体"/>
          <w:sz w:val="32"/>
        </w:rPr>
      </w:pPr>
    </w:p>
    <w:p>
      <w:pPr>
        <w:pStyle w:val="8"/>
        <w:rPr>
          <w:rFonts w:ascii="黑体"/>
          <w:sz w:val="32"/>
        </w:rPr>
      </w:pPr>
    </w:p>
    <w:p>
      <w:pPr>
        <w:pStyle w:val="8"/>
        <w:rPr>
          <w:rFonts w:ascii="黑体"/>
          <w:sz w:val="32"/>
        </w:rPr>
      </w:pPr>
    </w:p>
    <w:p>
      <w:pPr>
        <w:pStyle w:val="8"/>
        <w:rPr>
          <w:rFonts w:ascii="黑体"/>
          <w:sz w:val="32"/>
        </w:rPr>
      </w:pPr>
    </w:p>
    <w:p>
      <w:pPr>
        <w:pStyle w:val="8"/>
        <w:rPr>
          <w:rFonts w:ascii="黑体"/>
          <w:sz w:val="37"/>
        </w:rPr>
      </w:pPr>
    </w:p>
    <w:p>
      <w:pPr>
        <w:pStyle w:val="8"/>
        <w:rPr>
          <w:rFonts w:ascii="黑体"/>
          <w:sz w:val="37"/>
        </w:rPr>
      </w:pPr>
    </w:p>
    <w:p>
      <w:pPr>
        <w:pStyle w:val="8"/>
        <w:rPr>
          <w:rFonts w:ascii="黑体"/>
          <w:sz w:val="37"/>
        </w:rPr>
      </w:pPr>
    </w:p>
    <w:p>
      <w:pPr>
        <w:pStyle w:val="3"/>
      </w:pPr>
      <w:bookmarkStart w:id="0" w:name="_bookmark0"/>
      <w:bookmarkEnd w:id="0"/>
      <w:bookmarkStart w:id="1" w:name="竞争性磋商文件"/>
      <w:bookmarkEnd w:id="1"/>
      <w:r>
        <w:t>竞争性磋商文件</w:t>
      </w:r>
    </w:p>
    <w:p>
      <w:pPr>
        <w:pStyle w:val="8"/>
        <w:rPr>
          <w:rFonts w:ascii="黑体"/>
          <w:sz w:val="70"/>
        </w:rPr>
      </w:pPr>
    </w:p>
    <w:p>
      <w:pPr>
        <w:pStyle w:val="8"/>
        <w:rPr>
          <w:rFonts w:ascii="黑体"/>
          <w:sz w:val="70"/>
        </w:rPr>
      </w:pPr>
    </w:p>
    <w:p>
      <w:pPr>
        <w:pStyle w:val="8"/>
        <w:rPr>
          <w:rFonts w:ascii="黑体"/>
          <w:sz w:val="70"/>
        </w:rPr>
      </w:pPr>
    </w:p>
    <w:p>
      <w:pPr>
        <w:pStyle w:val="8"/>
        <w:rPr>
          <w:rFonts w:ascii="黑体"/>
          <w:sz w:val="70"/>
        </w:rPr>
      </w:pPr>
    </w:p>
    <w:p>
      <w:pPr>
        <w:spacing w:before="568"/>
        <w:ind w:left="860" w:right="0" w:firstLine="0"/>
        <w:jc w:val="left"/>
        <w:rPr>
          <w:rFonts w:hint="eastAsia" w:ascii="黑体" w:eastAsia="黑体"/>
          <w:sz w:val="30"/>
          <w:lang w:eastAsia="zh-CN"/>
        </w:rPr>
      </w:pPr>
      <w:r>
        <w:rPr>
          <w:rFonts w:hint="eastAsia" w:ascii="黑体" w:eastAsia="黑体"/>
          <w:sz w:val="30"/>
        </w:rPr>
        <w:t>采 购 人：</w:t>
      </w:r>
      <w:r>
        <w:rPr>
          <w:rFonts w:hint="eastAsia" w:ascii="黑体" w:eastAsia="黑体"/>
          <w:sz w:val="30"/>
          <w:lang w:eastAsia="zh-CN"/>
        </w:rPr>
        <w:t>温宿产业园区管理委员会</w:t>
      </w:r>
    </w:p>
    <w:p>
      <w:pPr>
        <w:spacing w:before="240"/>
        <w:ind w:left="860" w:right="0" w:firstLine="0"/>
        <w:jc w:val="left"/>
        <w:rPr>
          <w:rFonts w:hint="eastAsia" w:ascii="黑体" w:eastAsia="黑体"/>
          <w:sz w:val="30"/>
          <w:lang w:eastAsia="zh-CN"/>
        </w:rPr>
      </w:pPr>
      <w:r>
        <w:rPr>
          <w:rFonts w:hint="eastAsia" w:ascii="黑体" w:eastAsia="黑体"/>
          <w:sz w:val="30"/>
        </w:rPr>
        <w:t>采购代理机构：</w:t>
      </w:r>
      <w:r>
        <w:rPr>
          <w:rFonts w:hint="eastAsia" w:ascii="黑体" w:eastAsia="黑体"/>
          <w:sz w:val="30"/>
          <w:lang w:eastAsia="zh-CN"/>
        </w:rPr>
        <w:t>新疆兴立众工程咨询有限责任公司</w:t>
      </w:r>
    </w:p>
    <w:p>
      <w:pPr>
        <w:pStyle w:val="8"/>
        <w:rPr>
          <w:rFonts w:ascii="黑体"/>
          <w:sz w:val="30"/>
        </w:rPr>
      </w:pPr>
    </w:p>
    <w:p>
      <w:pPr>
        <w:pStyle w:val="8"/>
        <w:rPr>
          <w:rFonts w:ascii="黑体"/>
          <w:sz w:val="30"/>
        </w:rPr>
      </w:pPr>
    </w:p>
    <w:p>
      <w:pPr>
        <w:spacing w:before="0"/>
        <w:ind w:left="429" w:right="429" w:firstLine="0"/>
        <w:jc w:val="center"/>
        <w:rPr>
          <w:rFonts w:hint="eastAsia" w:ascii="黑体" w:hAnsi="黑体" w:eastAsia="黑体"/>
          <w:sz w:val="28"/>
        </w:rPr>
      </w:pPr>
      <w:r>
        <w:rPr>
          <w:rFonts w:hint="eastAsia" w:ascii="黑体" w:hAnsi="黑体" w:eastAsia="黑体"/>
          <w:sz w:val="28"/>
        </w:rPr>
        <w:t>二○二一年</w:t>
      </w:r>
      <w:r>
        <w:rPr>
          <w:rFonts w:hint="eastAsia" w:ascii="黑体" w:hAnsi="黑体" w:eastAsia="黑体"/>
          <w:sz w:val="28"/>
          <w:lang w:val="en-US" w:eastAsia="zh-CN"/>
        </w:rPr>
        <w:t>十</w:t>
      </w:r>
      <w:r>
        <w:rPr>
          <w:rFonts w:hint="eastAsia" w:ascii="黑体" w:hAnsi="黑体" w:eastAsia="黑体"/>
          <w:sz w:val="28"/>
        </w:rPr>
        <w:t>月</w:t>
      </w:r>
    </w:p>
    <w:p>
      <w:pPr>
        <w:spacing w:after="0"/>
        <w:jc w:val="center"/>
        <w:rPr>
          <w:rFonts w:hint="eastAsia" w:ascii="黑体" w:hAnsi="黑体" w:eastAsia="黑体"/>
          <w:sz w:val="28"/>
        </w:rPr>
        <w:sectPr>
          <w:type w:val="continuous"/>
          <w:pgSz w:w="11910" w:h="16840"/>
          <w:pgMar w:top="1460" w:right="940" w:bottom="280" w:left="940" w:header="720" w:footer="720" w:gutter="0"/>
          <w:pgBorders>
            <w:top w:val="none" w:sz="0" w:space="0"/>
            <w:left w:val="none" w:sz="0" w:space="0"/>
            <w:bottom w:val="none" w:sz="0" w:space="0"/>
            <w:right w:val="none" w:sz="0" w:space="0"/>
          </w:pgBorders>
          <w:cols w:space="720" w:num="1"/>
        </w:sectPr>
      </w:pPr>
    </w:p>
    <w:p>
      <w:pPr>
        <w:pStyle w:val="8"/>
        <w:spacing w:before="12"/>
        <w:rPr>
          <w:rFonts w:ascii="黑体"/>
        </w:rPr>
      </w:pPr>
    </w:p>
    <w:p>
      <w:pPr>
        <w:pStyle w:val="8"/>
        <w:spacing w:before="0" w:line="480" w:lineRule="auto"/>
        <w:ind w:right="0"/>
        <w:jc w:val="left"/>
      </w:pPr>
      <w:bookmarkStart w:id="2" w:name="服务采购竞争性磋商文件"/>
      <w:bookmarkEnd w:id="2"/>
      <w:r>
        <w:rPr>
          <w:rFonts w:hint="eastAsia" w:ascii="黑体" w:eastAsia="黑体"/>
          <w:sz w:val="32"/>
        </w:rPr>
        <w:drawing>
          <wp:inline distT="0" distB="0" distL="114300" distR="114300">
            <wp:extent cx="6347460" cy="8651875"/>
            <wp:effectExtent l="0" t="0" r="15240" b="15875"/>
            <wp:docPr id="11" name="图片 11" descr="47ba9755f8600be67820c1a3e1da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7ba9755f8600be67820c1a3e1da636"/>
                    <pic:cNvPicPr>
                      <a:picLocks noChangeAspect="1"/>
                    </pic:cNvPicPr>
                  </pic:nvPicPr>
                  <pic:blipFill>
                    <a:blip r:embed="rId16"/>
                    <a:stretch>
                      <a:fillRect/>
                    </a:stretch>
                  </pic:blipFill>
                  <pic:spPr>
                    <a:xfrm>
                      <a:off x="0" y="0"/>
                      <a:ext cx="6347460" cy="8651875"/>
                    </a:xfrm>
                    <a:prstGeom prst="rect">
                      <a:avLst/>
                    </a:prstGeom>
                  </pic:spPr>
                </pic:pic>
              </a:graphicData>
            </a:graphic>
          </wp:inline>
        </w:drawing>
      </w:r>
    </w:p>
    <w:p>
      <w:pPr>
        <w:spacing w:after="0"/>
        <w:jc w:val="both"/>
        <w:sectPr>
          <w:footerReference r:id="rId5" w:type="default"/>
          <w:pgSz w:w="11910" w:h="16840"/>
          <w:pgMar w:top="1580" w:right="940" w:bottom="1180" w:left="940" w:header="0" w:footer="993" w:gutter="0"/>
          <w:pgBorders>
            <w:top w:val="none" w:sz="0" w:space="0"/>
            <w:left w:val="none" w:sz="0" w:space="0"/>
            <w:bottom w:val="none" w:sz="0" w:space="0"/>
            <w:right w:val="none" w:sz="0" w:space="0"/>
          </w:pgBorders>
          <w:cols w:space="720" w:num="1"/>
        </w:sectPr>
      </w:pPr>
    </w:p>
    <w:p>
      <w:pPr>
        <w:pStyle w:val="8"/>
        <w:spacing w:before="3"/>
        <w:rPr>
          <w:sz w:val="23"/>
        </w:rPr>
      </w:pPr>
    </w:p>
    <w:p>
      <w:pPr>
        <w:tabs>
          <w:tab w:val="left" w:pos="638"/>
        </w:tabs>
        <w:spacing w:before="54"/>
        <w:ind w:left="0" w:right="429" w:firstLine="0"/>
        <w:jc w:val="center"/>
        <w:rPr>
          <w:rFonts w:hint="eastAsia" w:ascii="黑体" w:eastAsia="黑体"/>
          <w:sz w:val="32"/>
        </w:rPr>
      </w:pPr>
      <w:bookmarkStart w:id="3" w:name="目  录"/>
      <w:bookmarkEnd w:id="3"/>
      <w:bookmarkStart w:id="4" w:name="_bookmark1"/>
      <w:bookmarkEnd w:id="4"/>
      <w:r>
        <w:rPr>
          <w:rFonts w:hint="eastAsia" w:ascii="黑体" w:eastAsia="黑体"/>
          <w:sz w:val="32"/>
        </w:rPr>
        <w:t>目</w:t>
      </w:r>
      <w:r>
        <w:rPr>
          <w:rFonts w:hint="eastAsia" w:ascii="黑体" w:eastAsia="黑体"/>
          <w:sz w:val="32"/>
        </w:rPr>
        <w:tab/>
      </w:r>
      <w:r>
        <w:rPr>
          <w:rFonts w:hint="eastAsia" w:ascii="黑体" w:eastAsia="黑体"/>
          <w:sz w:val="32"/>
        </w:rPr>
        <w:t>录</w:t>
      </w:r>
    </w:p>
    <w:p>
      <w:pPr>
        <w:spacing w:after="0"/>
        <w:jc w:val="center"/>
        <w:rPr>
          <w:rFonts w:hint="eastAsia" w:ascii="黑体" w:eastAsia="黑体"/>
          <w:sz w:val="32"/>
        </w:rPr>
        <w:sectPr>
          <w:footerReference r:id="rId6" w:type="default"/>
          <w:pgSz w:w="11910" w:h="16840"/>
          <w:pgMar w:top="1580" w:right="940" w:bottom="999" w:left="940" w:header="0" w:footer="1000" w:gutter="0"/>
          <w:pgBorders>
            <w:top w:val="none" w:sz="0" w:space="0"/>
            <w:left w:val="none" w:sz="0" w:space="0"/>
            <w:bottom w:val="none" w:sz="0" w:space="0"/>
            <w:right w:val="none" w:sz="0" w:space="0"/>
          </w:pgBorders>
          <w:cols w:space="720" w:num="1"/>
        </w:sectPr>
      </w:pPr>
    </w:p>
    <w:sdt>
      <w:sdtPr>
        <w:id w:val="1"/>
        <w:docPartObj>
          <w:docPartGallery w:val="Table of Contents"/>
          <w:docPartUnique/>
        </w:docPartObj>
      </w:sdtPr>
      <w:sdtContent>
        <w:p>
          <w:pPr>
            <w:pStyle w:val="14"/>
            <w:tabs>
              <w:tab w:val="right" w:leader="dot" w:pos="9546"/>
            </w:tabs>
            <w:spacing w:before="511"/>
            <w:rPr>
              <w:rFonts w:ascii="Times New Roman" w:eastAsia="Times New Roman"/>
            </w:rPr>
          </w:pPr>
          <w:r>
            <w:fldChar w:fldCharType="begin"/>
          </w:r>
          <w:r>
            <w:instrText xml:space="preserve"> HYPERLINK \l "_bookmark0" </w:instrText>
          </w:r>
          <w:r>
            <w:fldChar w:fldCharType="separate"/>
          </w:r>
          <w:r>
            <w:t>竞争性磋商文件</w:t>
          </w:r>
          <w:r>
            <w:tab/>
          </w:r>
          <w:r>
            <w:rPr>
              <w:rFonts w:ascii="Times New Roman" w:eastAsia="Times New Roman"/>
            </w:rPr>
            <w:t>1</w:t>
          </w:r>
          <w:r>
            <w:rPr>
              <w:rFonts w:ascii="Times New Roman" w:eastAsia="Times New Roman"/>
            </w:rPr>
            <w:fldChar w:fldCharType="end"/>
          </w:r>
        </w:p>
        <w:p>
          <w:pPr>
            <w:pStyle w:val="14"/>
            <w:tabs>
              <w:tab w:val="left" w:pos="898"/>
              <w:tab w:val="right" w:leader="dot" w:pos="9546"/>
            </w:tabs>
            <w:rPr>
              <w:rFonts w:ascii="Times New Roman" w:eastAsia="Times New Roman"/>
            </w:rPr>
          </w:pPr>
          <w:r>
            <w:fldChar w:fldCharType="begin"/>
          </w:r>
          <w:r>
            <w:instrText xml:space="preserve"> HYPERLINK \l "_bookmark1" </w:instrText>
          </w:r>
          <w:r>
            <w:fldChar w:fldCharType="separate"/>
          </w:r>
          <w:r>
            <w:t>目</w:t>
          </w:r>
          <w:r>
            <w:tab/>
          </w:r>
          <w:r>
            <w:t>录</w:t>
          </w:r>
          <w:r>
            <w:tab/>
          </w:r>
          <w:r>
            <w:rPr>
              <w:rFonts w:ascii="Times New Roman" w:eastAsia="Times New Roman"/>
            </w:rPr>
            <w:t>1</w:t>
          </w:r>
          <w:r>
            <w:rPr>
              <w:rFonts w:ascii="Times New Roman" w:eastAsia="Times New Roman"/>
            </w:rPr>
            <w:fldChar w:fldCharType="end"/>
          </w:r>
        </w:p>
        <w:p>
          <w:pPr>
            <w:pStyle w:val="15"/>
            <w:tabs>
              <w:tab w:val="left" w:pos="1738"/>
              <w:tab w:val="right" w:leader="dot" w:pos="9546"/>
            </w:tabs>
            <w:spacing w:before="113"/>
            <w:rPr>
              <w:rFonts w:ascii="Times New Roman" w:eastAsia="Times New Roman"/>
            </w:rPr>
          </w:pPr>
          <w:r>
            <w:fldChar w:fldCharType="begin"/>
          </w:r>
          <w:r>
            <w:instrText xml:space="preserve"> HYPERLINK \l "_bookmark2" </w:instrText>
          </w:r>
          <w:r>
            <w:fldChar w:fldCharType="separate"/>
          </w:r>
          <w:r>
            <w:t>第一章</w:t>
          </w:r>
          <w:r>
            <w:tab/>
          </w:r>
          <w:r>
            <w:t>磋商公告</w:t>
          </w:r>
          <w:r>
            <w:tab/>
          </w:r>
          <w:r>
            <w:rPr>
              <w:rFonts w:ascii="Times New Roman" w:eastAsia="Times New Roman"/>
            </w:rPr>
            <w:t>3</w:t>
          </w:r>
          <w:r>
            <w:rPr>
              <w:rFonts w:ascii="Times New Roman" w:eastAsia="Times New Roman"/>
            </w:rPr>
            <w:fldChar w:fldCharType="end"/>
          </w:r>
        </w:p>
        <w:p>
          <w:pPr>
            <w:pStyle w:val="15"/>
            <w:tabs>
              <w:tab w:val="left" w:pos="1738"/>
              <w:tab w:val="right" w:leader="dot" w:pos="9546"/>
            </w:tabs>
            <w:rPr>
              <w:rFonts w:ascii="Times New Roman" w:eastAsia="Times New Roman"/>
            </w:rPr>
          </w:pPr>
          <w:r>
            <w:fldChar w:fldCharType="begin"/>
          </w:r>
          <w:r>
            <w:instrText xml:space="preserve"> HYPERLINK \l "_bookmark3" </w:instrText>
          </w:r>
          <w:r>
            <w:fldChar w:fldCharType="separate"/>
          </w:r>
          <w:r>
            <w:t>第二章</w:t>
          </w:r>
          <w:r>
            <w:tab/>
          </w:r>
          <w:r>
            <w:t>供应商须知</w:t>
          </w:r>
          <w:r>
            <w:tab/>
          </w:r>
          <w:r>
            <w:rPr>
              <w:rFonts w:ascii="Times New Roman" w:eastAsia="Times New Roman"/>
            </w:rPr>
            <w:t>4</w:t>
          </w:r>
          <w:r>
            <w:rPr>
              <w:rFonts w:ascii="Times New Roman" w:eastAsia="Times New Roman"/>
            </w:rPr>
            <w:fldChar w:fldCharType="end"/>
          </w:r>
        </w:p>
        <w:p>
          <w:pPr>
            <w:pStyle w:val="15"/>
            <w:tabs>
              <w:tab w:val="right" w:leader="dot" w:pos="9546"/>
            </w:tabs>
            <w:rPr>
              <w:rFonts w:ascii="Times New Roman" w:eastAsia="Times New Roman"/>
            </w:rPr>
          </w:pPr>
          <w:r>
            <w:fldChar w:fldCharType="begin"/>
          </w:r>
          <w:r>
            <w:instrText xml:space="preserve"> HYPERLINK \l "_bookmark4" </w:instrText>
          </w:r>
          <w:r>
            <w:fldChar w:fldCharType="separate"/>
          </w:r>
          <w:r>
            <w:t>供应商须知前附表</w:t>
          </w:r>
          <w:r>
            <w:tab/>
          </w:r>
          <w:r>
            <w:rPr>
              <w:rFonts w:ascii="Times New Roman" w:eastAsia="Times New Roman"/>
            </w:rPr>
            <w:t>4</w:t>
          </w:r>
          <w:r>
            <w:rPr>
              <w:rFonts w:ascii="Times New Roman" w:eastAsia="Times New Roman"/>
            </w:rPr>
            <w:fldChar w:fldCharType="end"/>
          </w:r>
        </w:p>
        <w:p>
          <w:pPr>
            <w:pStyle w:val="11"/>
            <w:numPr>
              <w:ilvl w:val="0"/>
              <w:numId w:val="1"/>
            </w:numPr>
            <w:tabs>
              <w:tab w:val="left" w:pos="1530"/>
              <w:tab w:val="right" w:leader="dot" w:pos="9546"/>
            </w:tabs>
            <w:spacing w:before="113" w:after="0" w:line="240" w:lineRule="auto"/>
            <w:ind w:left="1529" w:right="0" w:hanging="212"/>
            <w:jc w:val="left"/>
            <w:rPr>
              <w:rFonts w:ascii="Times New Roman" w:eastAsia="Times New Roman"/>
            </w:rPr>
          </w:pPr>
          <w:r>
            <w:fldChar w:fldCharType="begin"/>
          </w:r>
          <w:r>
            <w:instrText xml:space="preserve"> HYPERLINK \l "_bookmark5" </w:instrText>
          </w:r>
          <w:r>
            <w:fldChar w:fldCharType="separate"/>
          </w:r>
          <w:r>
            <w:t>采购依据以及原则</w:t>
          </w:r>
          <w:r>
            <w:tab/>
          </w:r>
          <w:r>
            <w:rPr>
              <w:rFonts w:ascii="Times New Roman" w:eastAsia="Times New Roman"/>
            </w:rPr>
            <w:t>10</w:t>
          </w:r>
          <w:r>
            <w:rPr>
              <w:rFonts w:ascii="Times New Roman" w:eastAsia="Times New Roman"/>
            </w:rPr>
            <w:fldChar w:fldCharType="end"/>
          </w:r>
        </w:p>
        <w:p>
          <w:pPr>
            <w:pStyle w:val="11"/>
            <w:numPr>
              <w:ilvl w:val="0"/>
              <w:numId w:val="1"/>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"_bookmark6" </w:instrText>
          </w:r>
          <w:r>
            <w:fldChar w:fldCharType="separate"/>
          </w:r>
          <w:r>
            <w:t>合格的供应商</w:t>
          </w:r>
          <w:r>
            <w:tab/>
          </w:r>
          <w:r>
            <w:rPr>
              <w:rFonts w:ascii="Times New Roman" w:eastAsia="Times New Roman"/>
            </w:rPr>
            <w:t>10</w:t>
          </w:r>
          <w:r>
            <w:rPr>
              <w:rFonts w:ascii="Times New Roman" w:eastAsia="Times New Roman"/>
            </w:rPr>
            <w:fldChar w:fldCharType="end"/>
          </w:r>
        </w:p>
        <w:p>
          <w:pPr>
            <w:pStyle w:val="11"/>
            <w:tabs>
              <w:tab w:val="right" w:leader="dot" w:pos="9551"/>
            </w:tabs>
            <w:ind w:left="1318" w:firstLine="0"/>
            <w:rPr>
              <w:rFonts w:ascii="Times New Roman" w:eastAsia="Times New Roman"/>
            </w:rPr>
          </w:pPr>
          <w:r>
            <w:fldChar w:fldCharType="begin"/>
          </w:r>
          <w:r>
            <w:instrText xml:space="preserve"> HYPERLINK \l "_bookmark7" </w:instrText>
          </w:r>
          <w:r>
            <w:fldChar w:fldCharType="separate"/>
          </w:r>
          <w:r>
            <w:t>3.保密</w:t>
          </w:r>
          <w:r>
            <w:tab/>
          </w:r>
          <w:r>
            <w:rPr>
              <w:rFonts w:ascii="Times New Roman" w:eastAsia="Times New Roman"/>
            </w:rPr>
            <w:t>11</w:t>
          </w:r>
          <w:r>
            <w:rPr>
              <w:rFonts w:ascii="Times New Roman" w:eastAsia="Times New Roman"/>
            </w:rPr>
            <w:fldChar w:fldCharType="end"/>
          </w:r>
        </w:p>
        <w:p>
          <w:pPr>
            <w:pStyle w:val="11"/>
            <w:numPr>
              <w:ilvl w:val="0"/>
              <w:numId w:val="2"/>
            </w:numPr>
            <w:tabs>
              <w:tab w:val="left" w:pos="1530"/>
              <w:tab w:val="right" w:leader="dot" w:pos="9551"/>
            </w:tabs>
            <w:spacing w:before="113" w:after="0" w:line="240" w:lineRule="auto"/>
            <w:ind w:left="1529" w:right="0" w:hanging="212"/>
            <w:jc w:val="left"/>
            <w:rPr>
              <w:rFonts w:ascii="Times New Roman" w:eastAsia="Times New Roman"/>
            </w:rPr>
          </w:pPr>
          <w:r>
            <w:fldChar w:fldCharType="begin"/>
          </w:r>
          <w:r>
            <w:instrText xml:space="preserve"> HYPERLINK \l "_bookmark8" </w:instrText>
          </w:r>
          <w:r>
            <w:fldChar w:fldCharType="separate"/>
          </w:r>
          <w:r>
            <w:t>语言文字、计量单位、时间单位、报价有效期以及参与采购活动费用</w:t>
          </w:r>
          <w:r>
            <w:tab/>
          </w:r>
          <w:r>
            <w:rPr>
              <w:rFonts w:ascii="Times New Roman" w:eastAsia="Times New Roman"/>
            </w:rPr>
            <w:t>11</w:t>
          </w:r>
          <w:r>
            <w:rPr>
              <w:rFonts w:ascii="Times New Roman" w:eastAsia="Times New Roman"/>
            </w:rPr>
            <w:fldChar w:fldCharType="end"/>
          </w:r>
        </w:p>
        <w:p>
          <w:pPr>
            <w:pStyle w:val="11"/>
            <w:numPr>
              <w:ilvl w:val="0"/>
              <w:numId w:val="2"/>
            </w:numPr>
            <w:tabs>
              <w:tab w:val="left" w:pos="1530"/>
              <w:tab w:val="right" w:leader="dot" w:pos="9551"/>
            </w:tabs>
            <w:spacing w:before="110" w:after="0" w:line="240" w:lineRule="auto"/>
            <w:ind w:left="1529" w:right="0" w:hanging="212"/>
            <w:jc w:val="left"/>
            <w:rPr>
              <w:rFonts w:ascii="Times New Roman" w:eastAsia="Times New Roman"/>
            </w:rPr>
          </w:pPr>
          <w:r>
            <w:fldChar w:fldCharType="begin"/>
          </w:r>
          <w:r>
            <w:instrText xml:space="preserve"> HYPERLINK \l "_bookmark9" </w:instrText>
          </w:r>
          <w:r>
            <w:fldChar w:fldCharType="separate"/>
          </w:r>
          <w:r>
            <w:t>踏勘现场</w:t>
          </w:r>
          <w:r>
            <w:tab/>
          </w:r>
          <w:r>
            <w:rPr>
              <w:rFonts w:ascii="Times New Roman" w:eastAsia="Times New Roman"/>
            </w:rPr>
            <w:t>11</w:t>
          </w:r>
          <w:r>
            <w:rPr>
              <w:rFonts w:ascii="Times New Roman" w:eastAsia="Times New Roman"/>
            </w:rPr>
            <w:fldChar w:fldCharType="end"/>
          </w:r>
        </w:p>
        <w:p>
          <w:pPr>
            <w:pStyle w:val="11"/>
            <w:tabs>
              <w:tab w:val="right" w:leader="dot" w:pos="9546"/>
            </w:tabs>
            <w:ind w:left="1318" w:firstLine="0"/>
            <w:rPr>
              <w:rFonts w:ascii="Times New Roman" w:eastAsia="Times New Roman"/>
            </w:rPr>
          </w:pPr>
          <w:r>
            <w:fldChar w:fldCharType="begin"/>
          </w:r>
          <w:r>
            <w:instrText xml:space="preserve"> HYPERLINK \l "_bookmark10" </w:instrText>
          </w:r>
          <w:r>
            <w:fldChar w:fldCharType="separate"/>
          </w:r>
          <w:r>
            <w:t>6.询问</w:t>
          </w:r>
          <w:r>
            <w:tab/>
          </w:r>
          <w:r>
            <w:rPr>
              <w:rFonts w:ascii="Times New Roman" w:eastAsia="Times New Roman"/>
            </w:rPr>
            <w:t>12</w:t>
          </w:r>
          <w:r>
            <w:rPr>
              <w:rFonts w:ascii="Times New Roman" w:eastAsia="Times New Roman"/>
            </w:rPr>
            <w:fldChar w:fldCharType="end"/>
          </w:r>
        </w:p>
        <w:p>
          <w:pPr>
            <w:pStyle w:val="11"/>
            <w:tabs>
              <w:tab w:val="right" w:leader="dot" w:pos="9546"/>
            </w:tabs>
            <w:spacing w:before="112"/>
            <w:ind w:left="1318" w:firstLine="0"/>
            <w:rPr>
              <w:rFonts w:ascii="Times New Roman" w:eastAsia="Times New Roman"/>
            </w:rPr>
          </w:pPr>
          <w:r>
            <w:fldChar w:fldCharType="begin"/>
          </w:r>
          <w:r>
            <w:instrText xml:space="preserve"> HYPERLINK \l "_bookmark11" </w:instrText>
          </w:r>
          <w:r>
            <w:fldChar w:fldCharType="separate"/>
          </w:r>
          <w:r>
            <w:t>7.偏离</w:t>
          </w:r>
          <w:r>
            <w:tab/>
          </w:r>
          <w:r>
            <w:rPr>
              <w:rFonts w:ascii="Times New Roman" w:eastAsia="Times New Roman"/>
            </w:rPr>
            <w:t>12</w:t>
          </w:r>
          <w:r>
            <w:rPr>
              <w:rFonts w:ascii="Times New Roman" w:eastAsia="Times New Roman"/>
            </w:rPr>
            <w:fldChar w:fldCharType="end"/>
          </w:r>
        </w:p>
        <w:p>
          <w:pPr>
            <w:pStyle w:val="11"/>
            <w:numPr>
              <w:ilvl w:val="0"/>
              <w:numId w:val="3"/>
            </w:numPr>
            <w:tabs>
              <w:tab w:val="left" w:pos="1530"/>
              <w:tab w:val="right" w:leader="dot" w:pos="9546"/>
            </w:tabs>
            <w:spacing w:before="111" w:after="0" w:line="240" w:lineRule="auto"/>
            <w:ind w:left="1529" w:right="0" w:hanging="212"/>
            <w:jc w:val="left"/>
            <w:rPr>
              <w:rFonts w:ascii="Times New Roman" w:eastAsia="Times New Roman"/>
            </w:rPr>
          </w:pPr>
          <w:r>
            <w:fldChar w:fldCharType="begin"/>
          </w:r>
          <w:r>
            <w:instrText xml:space="preserve"> HYPERLINK \l "_bookmark12" </w:instrText>
          </w:r>
          <w:r>
            <w:fldChar w:fldCharType="separate"/>
          </w:r>
          <w:r>
            <w:t>履约担保</w:t>
          </w:r>
          <w:r>
            <w:tab/>
          </w:r>
          <w:r>
            <w:rPr>
              <w:rFonts w:ascii="Times New Roman" w:eastAsia="Times New Roman"/>
            </w:rPr>
            <w:t>12</w:t>
          </w:r>
          <w:r>
            <w:rPr>
              <w:rFonts w:ascii="Times New Roman" w:eastAsia="Times New Roman"/>
            </w:rPr>
            <w:fldChar w:fldCharType="end"/>
          </w:r>
        </w:p>
        <w:p>
          <w:pPr>
            <w:pStyle w:val="11"/>
            <w:numPr>
              <w:ilvl w:val="0"/>
              <w:numId w:val="3"/>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"_bookmark13" </w:instrText>
          </w:r>
          <w:r>
            <w:fldChar w:fldCharType="separate"/>
          </w:r>
          <w:r>
            <w:t>采购代理服务费</w:t>
          </w:r>
          <w:r>
            <w:tab/>
          </w:r>
          <w:r>
            <w:rPr>
              <w:rFonts w:ascii="Times New Roman" w:eastAsia="Times New Roman"/>
            </w:rPr>
            <w:t>12</w:t>
          </w:r>
          <w:r>
            <w:rPr>
              <w:rFonts w:ascii="Times New Roman" w:eastAsia="Times New Roman"/>
            </w:rPr>
            <w:fldChar w:fldCharType="end"/>
          </w:r>
        </w:p>
        <w:p>
          <w:pPr>
            <w:pStyle w:val="11"/>
            <w:tabs>
              <w:tab w:val="right" w:leader="dot" w:pos="9546"/>
            </w:tabs>
            <w:spacing w:before="112"/>
            <w:ind w:left="1318" w:firstLine="0"/>
            <w:rPr>
              <w:rFonts w:ascii="Times New Roman" w:eastAsia="Times New Roman"/>
            </w:rPr>
          </w:pPr>
          <w:r>
            <w:fldChar w:fldCharType="begin"/>
          </w:r>
          <w:r>
            <w:instrText xml:space="preserve"> HYPERLINK \l "_bookmark14" </w:instrText>
          </w:r>
          <w:r>
            <w:fldChar w:fldCharType="separate"/>
          </w:r>
          <w:r>
            <w:rPr>
              <w:rFonts w:hint="eastAsia" w:ascii="仿宋" w:eastAsia="仿宋"/>
            </w:rPr>
            <w:t>见供应商须知前附表。</w:t>
          </w:r>
          <w:r>
            <w:rPr>
              <w:rFonts w:hint="eastAsia" w:ascii="仿宋" w:eastAsia="仿宋"/>
            </w:rPr>
            <w:tab/>
          </w:r>
          <w:r>
            <w:rPr>
              <w:rFonts w:ascii="Times New Roman" w:eastAsia="Times New Roman"/>
            </w:rPr>
            <w:t>12</w:t>
          </w:r>
          <w:r>
            <w:rPr>
              <w:rFonts w:ascii="Times New Roman" w:eastAsia="Times New Roman"/>
            </w:rPr>
            <w:fldChar w:fldCharType="end"/>
          </w:r>
        </w:p>
        <w:p>
          <w:pPr>
            <w:pStyle w:val="11"/>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"_bookmark15" </w:instrText>
          </w:r>
          <w:r>
            <w:fldChar w:fldCharType="separate"/>
          </w:r>
          <w:r>
            <w:t>磋商文件</w:t>
          </w:r>
          <w:r>
            <w:tab/>
          </w:r>
          <w:r>
            <w:rPr>
              <w:rFonts w:ascii="Times New Roman" w:eastAsia="Times New Roman"/>
            </w:rPr>
            <w:t>12</w:t>
          </w:r>
          <w:r>
            <w:rPr>
              <w:rFonts w:ascii="Times New Roman" w:eastAsia="Times New Roman"/>
            </w:rPr>
            <w:fldChar w:fldCharType="end"/>
          </w:r>
        </w:p>
        <w:p>
          <w:pPr>
            <w:pStyle w:val="11"/>
            <w:numPr>
              <w:ilvl w:val="0"/>
              <w:numId w:val="3"/>
            </w:numPr>
            <w:tabs>
              <w:tab w:val="left" w:pos="1633"/>
              <w:tab w:val="right" w:leader="dot" w:pos="9546"/>
            </w:tabs>
            <w:spacing w:before="111" w:after="0" w:line="240" w:lineRule="auto"/>
            <w:ind w:left="1632" w:right="0" w:hanging="315"/>
            <w:jc w:val="left"/>
            <w:rPr>
              <w:rFonts w:ascii="Times New Roman" w:eastAsia="Times New Roman"/>
            </w:rPr>
          </w:pPr>
          <w:r>
            <w:fldChar w:fldCharType="begin"/>
          </w:r>
          <w:r>
            <w:instrText xml:space="preserve"> HYPERLINK \l "_bookmark16" </w:instrText>
          </w:r>
          <w:r>
            <w:fldChar w:fldCharType="separate"/>
          </w:r>
          <w:r>
            <w:t>响应文件的组成</w:t>
          </w:r>
          <w:r>
            <w:tab/>
          </w:r>
          <w:r>
            <w:rPr>
              <w:rFonts w:ascii="Times New Roman" w:eastAsia="Times New Roman"/>
            </w:rPr>
            <w:t>13</w:t>
          </w:r>
          <w:r>
            <w:rPr>
              <w:rFonts w:ascii="Times New Roman" w:eastAsia="Times New Roman"/>
            </w:rPr>
            <w:fldChar w:fldCharType="end"/>
          </w:r>
        </w:p>
        <w:p>
          <w:pPr>
            <w:pStyle w:val="11"/>
            <w:numPr>
              <w:ilvl w:val="0"/>
              <w:numId w:val="3"/>
            </w:numPr>
            <w:tabs>
              <w:tab w:val="left" w:pos="1633"/>
              <w:tab w:val="right" w:leader="dot" w:pos="9546"/>
            </w:tabs>
            <w:spacing w:before="112" w:after="0" w:line="240" w:lineRule="auto"/>
            <w:ind w:left="1632" w:right="0" w:hanging="315"/>
            <w:jc w:val="left"/>
            <w:rPr>
              <w:rFonts w:ascii="Times New Roman" w:eastAsia="Times New Roman"/>
            </w:rPr>
          </w:pPr>
          <w:r>
            <w:fldChar w:fldCharType="begin"/>
          </w:r>
          <w:r>
            <w:instrText xml:space="preserve"> HYPERLINK \l "_bookmark17" </w:instrText>
          </w:r>
          <w:r>
            <w:fldChar w:fldCharType="separate"/>
          </w:r>
          <w:r>
            <w:t>响应报价</w:t>
          </w:r>
          <w:r>
            <w:tab/>
          </w:r>
          <w:r>
            <w:rPr>
              <w:rFonts w:ascii="Times New Roman" w:eastAsia="Times New Roman"/>
            </w:rPr>
            <w:t>13</w:t>
          </w:r>
          <w:r>
            <w:rPr>
              <w:rFonts w:ascii="Times New Roman" w:eastAsia="Times New Roman"/>
            </w:rPr>
            <w:fldChar w:fldCharType="end"/>
          </w:r>
        </w:p>
        <w:p>
          <w:pPr>
            <w:pStyle w:val="11"/>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"_bookmark18" </w:instrText>
          </w:r>
          <w:r>
            <w:fldChar w:fldCharType="separate"/>
          </w:r>
          <w:r>
            <w:t>响应文件编制要求</w:t>
          </w:r>
          <w:r>
            <w:tab/>
          </w:r>
          <w:r>
            <w:rPr>
              <w:rFonts w:ascii="Times New Roman" w:eastAsia="Times New Roman"/>
            </w:rPr>
            <w:t>14</w:t>
          </w:r>
          <w:r>
            <w:rPr>
              <w:rFonts w:ascii="Times New Roman" w:eastAsia="Times New Roman"/>
            </w:rPr>
            <w:fldChar w:fldCharType="end"/>
          </w:r>
        </w:p>
        <w:p>
          <w:pPr>
            <w:pStyle w:val="11"/>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"_bookmark19" </w:instrText>
          </w:r>
          <w:r>
            <w:fldChar w:fldCharType="separate"/>
          </w:r>
          <w:r>
            <w:t>响应文件的密封和标记</w:t>
          </w:r>
          <w:r>
            <w:tab/>
          </w:r>
          <w:r>
            <w:rPr>
              <w:rFonts w:ascii="Times New Roman" w:eastAsia="Times New Roman"/>
            </w:rPr>
            <w:t>14</w:t>
          </w:r>
          <w:r>
            <w:rPr>
              <w:rFonts w:ascii="Times New Roman" w:eastAsia="Times New Roman"/>
            </w:rPr>
            <w:fldChar w:fldCharType="end"/>
          </w:r>
        </w:p>
        <w:p>
          <w:pPr>
            <w:pStyle w:val="11"/>
            <w:numPr>
              <w:ilvl w:val="0"/>
              <w:numId w:val="3"/>
            </w:numPr>
            <w:tabs>
              <w:tab w:val="left" w:pos="1636"/>
              <w:tab w:val="right" w:leader="dot" w:pos="9546"/>
            </w:tabs>
            <w:spacing w:before="113" w:after="0" w:line="240" w:lineRule="auto"/>
            <w:ind w:left="1635" w:right="0" w:hanging="318"/>
            <w:jc w:val="left"/>
            <w:rPr>
              <w:rFonts w:ascii="Times New Roman" w:eastAsia="Times New Roman"/>
            </w:rPr>
          </w:pPr>
          <w:r>
            <w:fldChar w:fldCharType="begin"/>
          </w:r>
          <w:r>
            <w:instrText xml:space="preserve"> HYPERLINK \l "_bookmark20" </w:instrText>
          </w:r>
          <w:r>
            <w:fldChar w:fldCharType="separate"/>
          </w:r>
          <w:r>
            <w:t>响应文件的递交</w:t>
          </w:r>
          <w:r>
            <w:tab/>
          </w:r>
          <w:r>
            <w:rPr>
              <w:rFonts w:ascii="Times New Roman" w:eastAsia="Times New Roman"/>
            </w:rPr>
            <w:t>14</w:t>
          </w:r>
          <w:r>
            <w:rPr>
              <w:rFonts w:ascii="Times New Roman" w:eastAsia="Times New Roman"/>
            </w:rPr>
            <w:fldChar w:fldCharType="end"/>
          </w:r>
        </w:p>
        <w:p>
          <w:pPr>
            <w:pStyle w:val="11"/>
            <w:numPr>
              <w:ilvl w:val="0"/>
              <w:numId w:val="3"/>
            </w:numPr>
            <w:tabs>
              <w:tab w:val="left" w:pos="1633"/>
              <w:tab w:val="right" w:leader="dot" w:pos="9546"/>
            </w:tabs>
            <w:spacing w:before="110" w:after="0" w:line="240" w:lineRule="auto"/>
            <w:ind w:left="1632" w:right="0" w:hanging="315"/>
            <w:jc w:val="left"/>
            <w:rPr>
              <w:rFonts w:ascii="Times New Roman" w:eastAsia="Times New Roman"/>
            </w:rPr>
          </w:pPr>
          <w:r>
            <w:fldChar w:fldCharType="begin"/>
          </w:r>
          <w:r>
            <w:instrText xml:space="preserve"> HYPERLINK \l "_bookmark21" </w:instrText>
          </w:r>
          <w:r>
            <w:fldChar w:fldCharType="separate"/>
          </w:r>
          <w:r>
            <w:t>响应文件的修改与撤回</w:t>
          </w:r>
          <w:r>
            <w:tab/>
          </w:r>
          <w:r>
            <w:rPr>
              <w:rFonts w:ascii="Times New Roman" w:eastAsia="Times New Roman"/>
            </w:rPr>
            <w:t>14</w:t>
          </w:r>
          <w:r>
            <w:rPr>
              <w:rFonts w:ascii="Times New Roman" w:eastAsia="Times New Roman"/>
            </w:rPr>
            <w:fldChar w:fldCharType="end"/>
          </w:r>
        </w:p>
        <w:p>
          <w:pPr>
            <w:pStyle w:val="11"/>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"_bookmark22" </w:instrText>
          </w:r>
          <w:r>
            <w:fldChar w:fldCharType="separate"/>
          </w:r>
          <w:r>
            <w:t>保证金</w:t>
          </w:r>
          <w:r>
            <w:tab/>
          </w:r>
          <w:r>
            <w:rPr>
              <w:rFonts w:ascii="Times New Roman" w:eastAsia="Times New Roman"/>
            </w:rPr>
            <w:t>15</w:t>
          </w:r>
          <w:r>
            <w:rPr>
              <w:rFonts w:ascii="Times New Roman" w:eastAsia="Times New Roman"/>
            </w:rPr>
            <w:fldChar w:fldCharType="end"/>
          </w:r>
        </w:p>
        <w:p>
          <w:pPr>
            <w:pStyle w:val="11"/>
            <w:numPr>
              <w:ilvl w:val="0"/>
              <w:numId w:val="3"/>
            </w:numPr>
            <w:tabs>
              <w:tab w:val="left" w:pos="1636"/>
              <w:tab w:val="right" w:leader="dot" w:pos="9546"/>
            </w:tabs>
            <w:spacing w:before="113" w:after="0" w:line="240" w:lineRule="auto"/>
            <w:ind w:left="1635" w:right="0" w:hanging="318"/>
            <w:jc w:val="left"/>
            <w:rPr>
              <w:rFonts w:ascii="Times New Roman" w:eastAsia="Times New Roman"/>
            </w:rPr>
          </w:pPr>
          <w:r>
            <w:fldChar w:fldCharType="begin"/>
          </w:r>
          <w:r>
            <w:instrText xml:space="preserve"> HYPERLINK \l "_bookmark23" </w:instrText>
          </w:r>
          <w:r>
            <w:fldChar w:fldCharType="separate"/>
          </w:r>
          <w:r>
            <w:t>磋商</w:t>
          </w:r>
          <w:r>
            <w:rPr>
              <w:rFonts w:hint="eastAsia"/>
              <w:lang w:val="en-US" w:eastAsia="zh-CN"/>
            </w:rPr>
            <w:t>程序</w:t>
          </w:r>
          <w:r>
            <w:t>、成交</w:t>
          </w:r>
          <w:r>
            <w:tab/>
          </w:r>
          <w:r>
            <w:rPr>
              <w:rFonts w:ascii="Times New Roman" w:eastAsia="Times New Roman"/>
            </w:rPr>
            <w:t>15</w:t>
          </w:r>
          <w:r>
            <w:rPr>
              <w:rFonts w:ascii="Times New Roman" w:eastAsia="Times New Roman"/>
            </w:rPr>
            <w:fldChar w:fldCharType="end"/>
          </w:r>
        </w:p>
        <w:p>
          <w:pPr>
            <w:pStyle w:val="11"/>
            <w:tabs>
              <w:tab w:val="right" w:leader="dot" w:pos="9546"/>
            </w:tabs>
            <w:ind w:left="1318" w:firstLine="0"/>
            <w:rPr>
              <w:rFonts w:ascii="Times New Roman" w:eastAsia="Times New Roman"/>
            </w:rPr>
          </w:pPr>
          <w:r>
            <w:fldChar w:fldCharType="begin"/>
          </w:r>
          <w:r>
            <w:instrText xml:space="preserve"> HYPERLINK \l "_bookmark24" </w:instrText>
          </w:r>
          <w:r>
            <w:fldChar w:fldCharType="separate"/>
          </w:r>
          <w:r>
            <w:t>19.质疑</w:t>
          </w:r>
          <w:r>
            <w:tab/>
          </w:r>
          <w:r>
            <w:rPr>
              <w:rFonts w:ascii="Times New Roman" w:eastAsia="Times New Roman"/>
            </w:rPr>
            <w:t>25</w:t>
          </w:r>
          <w:r>
            <w:rPr>
              <w:rFonts w:ascii="Times New Roman" w:eastAsia="Times New Roman"/>
            </w:rPr>
            <w:fldChar w:fldCharType="end"/>
          </w:r>
        </w:p>
        <w:p>
          <w:pPr>
            <w:pStyle w:val="11"/>
            <w:tabs>
              <w:tab w:val="right" w:leader="dot" w:pos="9546"/>
            </w:tabs>
            <w:ind w:left="1318" w:firstLine="0"/>
            <w:rPr>
              <w:rFonts w:ascii="Times New Roman" w:eastAsia="Times New Roman"/>
            </w:rPr>
          </w:pPr>
          <w:r>
            <w:fldChar w:fldCharType="begin"/>
          </w:r>
          <w:r>
            <w:instrText xml:space="preserve"> HYPERLINK \l "_bookmark25" </w:instrText>
          </w:r>
          <w:r>
            <w:fldChar w:fldCharType="separate"/>
          </w:r>
          <w:r>
            <w:t>20.投诉</w:t>
          </w:r>
          <w:r>
            <w:tab/>
          </w:r>
          <w:r>
            <w:rPr>
              <w:rFonts w:ascii="Times New Roman" w:eastAsia="Times New Roman"/>
            </w:rPr>
            <w:t>25</w:t>
          </w:r>
          <w:r>
            <w:rPr>
              <w:rFonts w:ascii="Times New Roman" w:eastAsia="Times New Roman"/>
            </w:rPr>
            <w:fldChar w:fldCharType="end"/>
          </w:r>
        </w:p>
        <w:p>
          <w:pPr>
            <w:pStyle w:val="11"/>
            <w:tabs>
              <w:tab w:val="right" w:leader="dot" w:pos="9546"/>
            </w:tabs>
            <w:spacing w:before="112"/>
            <w:ind w:left="1318" w:firstLine="0"/>
            <w:rPr>
              <w:rFonts w:ascii="Times New Roman" w:eastAsia="Times New Roman"/>
            </w:rPr>
          </w:pPr>
          <w:r>
            <w:fldChar w:fldCharType="begin"/>
          </w:r>
          <w:r>
            <w:instrText xml:space="preserve"> HYPERLINK \l "_bookmark26" </w:instrText>
          </w:r>
          <w:r>
            <w:fldChar w:fldCharType="separate"/>
          </w:r>
          <w:r>
            <w:t>21.其他需补充的内容</w:t>
          </w:r>
          <w:r>
            <w:tab/>
          </w:r>
          <w:r>
            <w:rPr>
              <w:rFonts w:ascii="Times New Roman" w:eastAsia="Times New Roman"/>
            </w:rPr>
            <w:t>26</w:t>
          </w:r>
          <w:r>
            <w:rPr>
              <w:rFonts w:ascii="Times New Roman" w:eastAsia="Times New Roman"/>
            </w:rPr>
            <w:fldChar w:fldCharType="end"/>
          </w:r>
        </w:p>
        <w:p>
          <w:pPr>
            <w:pStyle w:val="15"/>
            <w:tabs>
              <w:tab w:val="left" w:pos="1738"/>
              <w:tab w:val="right" w:leader="dot" w:pos="9546"/>
            </w:tabs>
            <w:spacing w:before="111"/>
            <w:rPr>
              <w:rFonts w:ascii="Times New Roman" w:eastAsia="Times New Roman"/>
            </w:rPr>
          </w:pPr>
          <w:r>
            <w:fldChar w:fldCharType="begin"/>
          </w:r>
          <w:r>
            <w:instrText xml:space="preserve"> HYPERLINK \l "_bookmark27" </w:instrText>
          </w:r>
          <w:r>
            <w:fldChar w:fldCharType="separate"/>
          </w:r>
          <w:r>
            <w:t>第三章</w:t>
          </w:r>
          <w:r>
            <w:tab/>
          </w:r>
          <w:r>
            <w:t>采购需求</w:t>
          </w:r>
          <w:r>
            <w:tab/>
          </w:r>
          <w:r>
            <w:rPr>
              <w:rFonts w:ascii="Times New Roman" w:eastAsia="Times New Roman"/>
            </w:rPr>
            <w:t>27</w:t>
          </w:r>
          <w:r>
            <w:rPr>
              <w:rFonts w:ascii="Times New Roman" w:eastAsia="Times New Roman"/>
            </w:rPr>
            <w:fldChar w:fldCharType="end"/>
          </w:r>
        </w:p>
        <w:p>
          <w:pPr>
            <w:pStyle w:val="11"/>
            <w:tabs>
              <w:tab w:val="right" w:leader="dot" w:pos="9546"/>
            </w:tabs>
            <w:ind w:left="1318" w:firstLine="0"/>
            <w:rPr>
              <w:rFonts w:ascii="Times New Roman" w:eastAsia="Times New Roman"/>
            </w:rPr>
          </w:pPr>
          <w:r>
            <w:fldChar w:fldCharType="begin"/>
          </w:r>
          <w:r>
            <w:instrText xml:space="preserve"> HYPERLINK \l "_bookmark28" </w:instrText>
          </w:r>
          <w:r>
            <w:fldChar w:fldCharType="separate"/>
          </w:r>
          <w:r>
            <w:t>1.项目说明</w:t>
          </w:r>
          <w:r>
            <w:tab/>
          </w:r>
          <w:r>
            <w:rPr>
              <w:rFonts w:ascii="Times New Roman" w:eastAsia="Times New Roman"/>
            </w:rPr>
            <w:t>27</w:t>
          </w:r>
          <w:r>
            <w:rPr>
              <w:rFonts w:ascii="Times New Roman" w:eastAsia="Times New Roman"/>
            </w:rPr>
            <w:fldChar w:fldCharType="end"/>
          </w:r>
        </w:p>
        <w:p>
          <w:pPr>
            <w:pStyle w:val="11"/>
            <w:tabs>
              <w:tab w:val="right" w:leader="dot" w:pos="9546"/>
            </w:tabs>
            <w:spacing w:before="112"/>
            <w:ind w:left="1318" w:firstLine="0"/>
            <w:rPr>
              <w:rFonts w:ascii="Times New Roman" w:eastAsia="Times New Roman"/>
            </w:rPr>
          </w:pPr>
          <w:r>
            <w:fldChar w:fldCharType="begin"/>
          </w:r>
          <w:r>
            <w:instrText xml:space="preserve"> HYPERLINK \l "_bookmark29" </w:instrText>
          </w:r>
          <w:r>
            <w:fldChar w:fldCharType="separate"/>
          </w:r>
          <w:r>
            <w:t>3.商务条件</w:t>
          </w:r>
          <w:r>
            <w:tab/>
          </w:r>
          <w:r>
            <w:rPr>
              <w:rFonts w:ascii="Times New Roman" w:eastAsia="Times New Roman"/>
            </w:rPr>
            <w:t>27</w:t>
          </w:r>
          <w:r>
            <w:rPr>
              <w:rFonts w:ascii="Times New Roman" w:eastAsia="Times New Roman"/>
            </w:rPr>
            <w:fldChar w:fldCharType="end"/>
          </w:r>
        </w:p>
        <w:p>
          <w:pPr>
            <w:pStyle w:val="15"/>
            <w:tabs>
              <w:tab w:val="left" w:pos="1738"/>
              <w:tab w:val="right" w:leader="dot" w:pos="9546"/>
            </w:tabs>
            <w:spacing w:after="240"/>
            <w:rPr>
              <w:rFonts w:ascii="Times New Roman" w:eastAsia="Times New Roman"/>
            </w:rPr>
          </w:pPr>
          <w:r>
            <w:fldChar w:fldCharType="begin"/>
          </w:r>
          <w:r>
            <w:instrText xml:space="preserve"> HYPERLINK \l "_bookmark30" </w:instrText>
          </w:r>
          <w:r>
            <w:fldChar w:fldCharType="separate"/>
          </w:r>
          <w:r>
            <w:t>第四章</w:t>
          </w:r>
          <w:r>
            <w:tab/>
          </w:r>
          <w:r>
            <w:t>评审办法</w:t>
          </w:r>
          <w:r>
            <w:tab/>
          </w:r>
          <w:r>
            <w:rPr>
              <w:rFonts w:ascii="Times New Roman" w:eastAsia="Times New Roman"/>
            </w:rPr>
            <w:t>28</w:t>
          </w:r>
          <w:r>
            <w:rPr>
              <w:rFonts w:ascii="Times New Roman" w:eastAsia="Times New Roman"/>
            </w:rPr>
            <w:fldChar w:fldCharType="end"/>
          </w:r>
        </w:p>
        <w:p>
          <w:pPr>
            <w:pStyle w:val="11"/>
            <w:numPr>
              <w:ilvl w:val="0"/>
              <w:numId w:val="4"/>
            </w:numPr>
            <w:tabs>
              <w:tab w:val="left" w:pos="1530"/>
              <w:tab w:val="right" w:leader="dot" w:pos="9546"/>
            </w:tabs>
            <w:spacing w:before="54" w:after="0" w:line="240" w:lineRule="auto"/>
            <w:ind w:left="1529" w:right="0" w:hanging="212"/>
            <w:jc w:val="left"/>
            <w:rPr>
              <w:rFonts w:ascii="Times New Roman" w:eastAsia="Times New Roman"/>
            </w:rPr>
          </w:pPr>
          <w:r>
            <w:fldChar w:fldCharType="begin"/>
          </w:r>
          <w:r>
            <w:instrText xml:space="preserve"> HYPERLINK \l "_bookmark31" </w:instrText>
          </w:r>
          <w:r>
            <w:fldChar w:fldCharType="separate"/>
          </w:r>
          <w:r>
            <w:t>相关要求</w:t>
          </w:r>
          <w:r>
            <w:tab/>
          </w:r>
          <w:r>
            <w:rPr>
              <w:rFonts w:ascii="Times New Roman" w:eastAsia="Times New Roman"/>
            </w:rPr>
            <w:t>28</w:t>
          </w:r>
          <w:r>
            <w:rPr>
              <w:rFonts w:ascii="Times New Roman" w:eastAsia="Times New Roman"/>
            </w:rPr>
            <w:fldChar w:fldCharType="end"/>
          </w:r>
        </w:p>
        <w:p>
          <w:pPr>
            <w:pStyle w:val="11"/>
            <w:numPr>
              <w:ilvl w:val="0"/>
              <w:numId w:val="4"/>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"_bookmark32" </w:instrText>
          </w:r>
          <w:r>
            <w:fldChar w:fldCharType="separate"/>
          </w:r>
          <w:r>
            <w:t>评分标准</w:t>
          </w:r>
          <w:r>
            <w:tab/>
          </w:r>
          <w:r>
            <w:rPr>
              <w:rFonts w:ascii="Times New Roman" w:eastAsia="Times New Roman"/>
            </w:rPr>
            <w:t>28</w:t>
          </w:r>
          <w:r>
            <w:rPr>
              <w:rFonts w:ascii="Times New Roman" w:eastAsia="Times New Roman"/>
            </w:rPr>
            <w:fldChar w:fldCharType="end"/>
          </w:r>
        </w:p>
        <w:p>
          <w:pPr>
            <w:pStyle w:val="11"/>
            <w:numPr>
              <w:ilvl w:val="0"/>
              <w:numId w:val="4"/>
            </w:numPr>
            <w:tabs>
              <w:tab w:val="left" w:pos="1530"/>
              <w:tab w:val="right" w:leader="dot" w:pos="9546"/>
            </w:tabs>
            <w:spacing w:before="112" w:after="0" w:line="240" w:lineRule="auto"/>
            <w:ind w:left="1529" w:right="0" w:hanging="212"/>
            <w:jc w:val="left"/>
            <w:rPr>
              <w:rFonts w:ascii="Times New Roman" w:eastAsia="Times New Roman"/>
            </w:rPr>
          </w:pPr>
          <w:r>
            <w:fldChar w:fldCharType="begin"/>
          </w:r>
          <w:r>
            <w:instrText xml:space="preserve"> HYPERLINK \l "_bookmark33" </w:instrText>
          </w:r>
          <w:r>
            <w:fldChar w:fldCharType="separate"/>
          </w:r>
          <w:r>
            <w:t>评审方法</w:t>
          </w:r>
          <w:r>
            <w:tab/>
          </w:r>
          <w:r>
            <w:rPr>
              <w:rFonts w:ascii="Times New Roman" w:eastAsia="Times New Roman"/>
            </w:rPr>
            <w:t>29</w:t>
          </w:r>
          <w:r>
            <w:rPr>
              <w:rFonts w:ascii="Times New Roman" w:eastAsia="Times New Roman"/>
            </w:rPr>
            <w:fldChar w:fldCharType="end"/>
          </w:r>
        </w:p>
        <w:p>
          <w:pPr>
            <w:pStyle w:val="11"/>
            <w:numPr>
              <w:ilvl w:val="0"/>
              <w:numId w:val="4"/>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"_bookmark34" </w:instrText>
          </w:r>
          <w:r>
            <w:fldChar w:fldCharType="separate"/>
          </w:r>
          <w:r>
            <w:t>评审标准</w:t>
          </w:r>
          <w:r>
            <w:tab/>
          </w:r>
          <w:r>
            <w:rPr>
              <w:rFonts w:ascii="Times New Roman" w:eastAsia="Times New Roman"/>
            </w:rPr>
            <w:t>30</w:t>
          </w:r>
          <w:r>
            <w:rPr>
              <w:rFonts w:ascii="Times New Roman" w:eastAsia="Times New Roman"/>
            </w:rPr>
            <w:fldChar w:fldCharType="end"/>
          </w:r>
        </w:p>
        <w:p>
          <w:pPr>
            <w:pStyle w:val="11"/>
            <w:numPr>
              <w:ilvl w:val="0"/>
              <w:numId w:val="4"/>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"_bookmark35" </w:instrText>
          </w:r>
          <w:r>
            <w:fldChar w:fldCharType="separate"/>
          </w:r>
          <w:r>
            <w:t>评审程序</w:t>
          </w:r>
          <w:r>
            <w:tab/>
          </w:r>
          <w:r>
            <w:rPr>
              <w:rFonts w:ascii="Times New Roman" w:eastAsia="Times New Roman"/>
            </w:rPr>
            <w:t>30</w:t>
          </w:r>
          <w:r>
            <w:rPr>
              <w:rFonts w:ascii="Times New Roman" w:eastAsia="Times New Roman"/>
            </w:rPr>
            <w:fldChar w:fldCharType="end"/>
          </w:r>
        </w:p>
        <w:p>
          <w:pPr>
            <w:pStyle w:val="15"/>
            <w:tabs>
              <w:tab w:val="left" w:pos="1738"/>
              <w:tab w:val="right" w:leader="dot" w:pos="9546"/>
            </w:tabs>
            <w:spacing w:before="113"/>
            <w:rPr>
              <w:rFonts w:ascii="Times New Roman" w:eastAsia="Times New Roman"/>
            </w:rPr>
          </w:pPr>
          <w:r>
            <w:fldChar w:fldCharType="begin"/>
          </w:r>
          <w:r>
            <w:instrText xml:space="preserve"> HYPERLINK \l "_bookmark36" </w:instrText>
          </w:r>
          <w:r>
            <w:fldChar w:fldCharType="separate"/>
          </w:r>
          <w:r>
            <w:t>第五章</w:t>
          </w:r>
          <w:r>
            <w:tab/>
          </w:r>
          <w:r>
            <w:t>签订合同、合同主要条款</w:t>
          </w:r>
          <w:r>
            <w:tab/>
          </w:r>
          <w:r>
            <w:rPr>
              <w:rFonts w:ascii="Times New Roman" w:eastAsia="Times New Roman"/>
            </w:rPr>
            <w:t>32</w:t>
          </w:r>
          <w:r>
            <w:rPr>
              <w:rFonts w:ascii="Times New Roman" w:eastAsia="Times New Roman"/>
            </w:rPr>
            <w:fldChar w:fldCharType="end"/>
          </w:r>
        </w:p>
        <w:p>
          <w:pPr>
            <w:pStyle w:val="15"/>
            <w:tabs>
              <w:tab w:val="left" w:pos="1738"/>
              <w:tab w:val="right" w:leader="dot" w:pos="9546"/>
            </w:tabs>
            <w:rPr>
              <w:rFonts w:ascii="Times New Roman" w:eastAsia="Times New Roman"/>
            </w:rPr>
          </w:pPr>
          <w:r>
            <w:fldChar w:fldCharType="begin"/>
          </w:r>
          <w:r>
            <w:instrText xml:space="preserve"> HYPERLINK \l "_bookmark37" </w:instrText>
          </w:r>
          <w:r>
            <w:fldChar w:fldCharType="separate"/>
          </w:r>
          <w:r>
            <w:t>第六章</w:t>
          </w:r>
          <w:r>
            <w:tab/>
          </w:r>
          <w:r>
            <w:t>响应文件格式</w:t>
          </w:r>
          <w:r>
            <w:tab/>
          </w:r>
          <w:r>
            <w:rPr>
              <w:rFonts w:ascii="Times New Roman" w:eastAsia="Times New Roman"/>
            </w:rPr>
            <w:t>37</w:t>
          </w:r>
          <w:r>
            <w:rPr>
              <w:rFonts w:ascii="Times New Roman" w:eastAsia="Times New Roman"/>
            </w:rPr>
            <w:fldChar w:fldCharType="end"/>
          </w:r>
        </w:p>
      </w:sdtContent>
    </w:sdt>
    <w:p>
      <w:pPr>
        <w:spacing w:after="0"/>
        <w:rPr>
          <w:rFonts w:ascii="Times New Roman" w:eastAsia="Times New Roman"/>
        </w:rPr>
        <w:sectPr>
          <w:type w:val="continuous"/>
          <w:pgSz w:w="11910" w:h="16840"/>
          <w:pgMar w:top="1459" w:right="940" w:bottom="999" w:left="940" w:header="720" w:footer="720" w:gutter="0"/>
          <w:pgBorders>
            <w:top w:val="none" w:sz="0" w:space="0"/>
            <w:left w:val="none" w:sz="0" w:space="0"/>
            <w:bottom w:val="none" w:sz="0" w:space="0"/>
            <w:right w:val="none" w:sz="0" w:space="0"/>
          </w:pgBorders>
          <w:cols w:space="720" w:num="1"/>
        </w:sectPr>
      </w:pPr>
    </w:p>
    <w:p>
      <w:pPr>
        <w:pStyle w:val="4"/>
        <w:tabs>
          <w:tab w:val="left" w:pos="1279"/>
        </w:tabs>
      </w:pPr>
      <w:bookmarkStart w:id="5" w:name="第一章  磋商公告"/>
      <w:bookmarkEnd w:id="5"/>
      <w:bookmarkStart w:id="6" w:name="_bookmark2"/>
      <w:bookmarkEnd w:id="6"/>
      <w:r>
        <w:t>第一章</w:t>
      </w:r>
      <w:r>
        <w:tab/>
      </w:r>
      <w:r>
        <w:rPr>
          <w:rFonts w:hint="eastAsia"/>
          <w:lang w:val="en-US" w:eastAsia="zh-CN"/>
        </w:rPr>
        <w:t>竞争性</w:t>
      </w:r>
      <w:r>
        <w:t>磋商公告</w:t>
      </w:r>
    </w:p>
    <w:p>
      <w:pPr>
        <w:spacing w:after="0"/>
      </w:pPr>
    </w:p>
    <w:p>
      <w:pPr>
        <w:pStyle w:val="13"/>
        <w:jc w:val="both"/>
        <w:sectPr>
          <w:footerReference r:id="rId7" w:type="default"/>
          <w:pgSz w:w="11910" w:h="16840"/>
          <w:pgMar w:top="1480" w:right="940" w:bottom="1100" w:left="940" w:header="0" w:footer="920" w:gutter="0"/>
          <w:pgBorders>
            <w:top w:val="none" w:sz="0" w:space="0"/>
            <w:left w:val="none" w:sz="0" w:space="0"/>
            <w:bottom w:val="none" w:sz="0" w:space="0"/>
            <w:right w:val="none" w:sz="0" w:space="0"/>
          </w:pgBorders>
          <w:pgNumType w:start="3"/>
          <w:cols w:space="720" w:num="1"/>
        </w:sectPr>
      </w:pPr>
    </w:p>
    <w:p>
      <w:pPr>
        <w:pStyle w:val="4"/>
        <w:tabs>
          <w:tab w:val="left" w:pos="1281"/>
        </w:tabs>
      </w:pPr>
      <w:bookmarkStart w:id="7" w:name="_bookmark3"/>
      <w:bookmarkEnd w:id="7"/>
      <w:bookmarkStart w:id="8" w:name="第二章  供应商须知"/>
      <w:bookmarkEnd w:id="8"/>
    </w:p>
    <w:p>
      <w:pPr>
        <w:pStyle w:val="4"/>
        <w:tabs>
          <w:tab w:val="left" w:pos="1281"/>
        </w:tabs>
      </w:pPr>
    </w:p>
    <w:p>
      <w:pPr>
        <w:pStyle w:val="4"/>
        <w:tabs>
          <w:tab w:val="left" w:pos="1281"/>
        </w:tabs>
      </w:pPr>
      <w:r>
        <w:t>第二章</w:t>
      </w:r>
      <w:r>
        <w:tab/>
      </w:r>
      <w:r>
        <w:t>供应商须知</w:t>
      </w:r>
    </w:p>
    <w:p>
      <w:pPr>
        <w:spacing w:before="394"/>
        <w:ind w:left="478" w:right="0" w:firstLine="0"/>
        <w:jc w:val="left"/>
        <w:rPr>
          <w:rFonts w:hint="eastAsia" w:ascii="黑体" w:eastAsia="黑体"/>
          <w:sz w:val="28"/>
        </w:rPr>
      </w:pPr>
      <w:bookmarkStart w:id="9" w:name="供应商须知前附表"/>
      <w:bookmarkEnd w:id="9"/>
      <w:bookmarkStart w:id="10" w:name="_bookmark4"/>
      <w:bookmarkEnd w:id="10"/>
      <w:r>
        <w:rPr>
          <w:rFonts w:hint="eastAsia" w:ascii="黑体" w:eastAsia="黑体"/>
          <w:sz w:val="28"/>
        </w:rPr>
        <w:t>供应商须知前附表</w:t>
      </w:r>
    </w:p>
    <w:p>
      <w:pPr>
        <w:pStyle w:val="8"/>
        <w:spacing w:before="5"/>
        <w:rPr>
          <w:rFonts w:ascii="黑体"/>
          <w:sz w:val="10"/>
        </w:rPr>
      </w:pPr>
    </w:p>
    <w:tbl>
      <w:tblPr>
        <w:tblStyle w:val="18"/>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spacing w:before="97"/>
              <w:ind w:left="121" w:right="112"/>
              <w:jc w:val="center"/>
              <w:rPr>
                <w:sz w:val="24"/>
              </w:rPr>
            </w:pPr>
            <w:r>
              <w:rPr>
                <w:sz w:val="24"/>
              </w:rPr>
              <w:t>序号</w:t>
            </w:r>
          </w:p>
        </w:tc>
        <w:tc>
          <w:tcPr>
            <w:tcW w:w="2587" w:type="dxa"/>
            <w:vAlign w:val="top"/>
          </w:tcPr>
          <w:p>
            <w:pPr>
              <w:pStyle w:val="22"/>
              <w:spacing w:before="97"/>
              <w:ind w:left="812"/>
              <w:rPr>
                <w:sz w:val="24"/>
              </w:rPr>
            </w:pPr>
            <w:r>
              <w:rPr>
                <w:sz w:val="24"/>
              </w:rPr>
              <w:t>条款名称</w:t>
            </w:r>
          </w:p>
        </w:tc>
        <w:tc>
          <w:tcPr>
            <w:tcW w:w="5808" w:type="dxa"/>
            <w:vAlign w:val="top"/>
          </w:tcPr>
          <w:p>
            <w:pPr>
              <w:pStyle w:val="22"/>
              <w:spacing w:before="97"/>
              <w:ind w:left="2403" w:right="2394"/>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rPr>
                <w:rFonts w:ascii="黑体"/>
                <w:sz w:val="24"/>
              </w:rPr>
            </w:pPr>
          </w:p>
          <w:p>
            <w:pPr>
              <w:pStyle w:val="22"/>
              <w:spacing w:before="6"/>
              <w:rPr>
                <w:rFonts w:ascii="黑体"/>
                <w:sz w:val="17"/>
              </w:rPr>
            </w:pPr>
          </w:p>
          <w:p>
            <w:pPr>
              <w:pStyle w:val="22"/>
              <w:ind w:left="9"/>
              <w:jc w:val="center"/>
              <w:rPr>
                <w:sz w:val="24"/>
              </w:rPr>
            </w:pPr>
            <w:r>
              <w:rPr>
                <w:sz w:val="24"/>
              </w:rPr>
              <w:t>1</w:t>
            </w:r>
          </w:p>
        </w:tc>
        <w:tc>
          <w:tcPr>
            <w:tcW w:w="2587" w:type="dxa"/>
            <w:vAlign w:val="top"/>
          </w:tcPr>
          <w:p>
            <w:pPr>
              <w:pStyle w:val="22"/>
              <w:rPr>
                <w:rFonts w:ascii="黑体"/>
                <w:sz w:val="24"/>
              </w:rPr>
            </w:pPr>
          </w:p>
          <w:p>
            <w:pPr>
              <w:pStyle w:val="22"/>
              <w:spacing w:before="6"/>
              <w:rPr>
                <w:rFonts w:ascii="黑体"/>
                <w:sz w:val="17"/>
              </w:rPr>
            </w:pPr>
          </w:p>
          <w:p>
            <w:pPr>
              <w:pStyle w:val="22"/>
              <w:ind w:left="107"/>
              <w:rPr>
                <w:sz w:val="24"/>
              </w:rPr>
            </w:pPr>
            <w:r>
              <w:rPr>
                <w:sz w:val="24"/>
              </w:rPr>
              <w:t>采购人</w:t>
            </w:r>
          </w:p>
        </w:tc>
        <w:tc>
          <w:tcPr>
            <w:tcW w:w="5808" w:type="dxa"/>
            <w:vAlign w:val="top"/>
          </w:tcPr>
          <w:p>
            <w:pPr>
              <w:pStyle w:val="22"/>
              <w:spacing w:before="95"/>
              <w:rPr>
                <w:rFonts w:hint="eastAsia" w:eastAsia="仿宋"/>
                <w:sz w:val="24"/>
                <w:lang w:eastAsia="zh-CN"/>
              </w:rPr>
            </w:pPr>
            <w:r>
              <w:rPr>
                <w:sz w:val="24"/>
              </w:rPr>
              <w:t>名称：</w:t>
            </w:r>
            <w:r>
              <w:rPr>
                <w:rFonts w:hint="eastAsia"/>
                <w:sz w:val="24"/>
                <w:lang w:eastAsia="zh-CN"/>
              </w:rPr>
              <w:t>温宿产业园区管理委员会</w:t>
            </w:r>
          </w:p>
          <w:p>
            <w:pPr>
              <w:pStyle w:val="22"/>
              <w:spacing w:before="129"/>
              <w:rPr>
                <w:sz w:val="24"/>
              </w:rPr>
            </w:pPr>
            <w:r>
              <w:rPr>
                <w:sz w:val="24"/>
              </w:rPr>
              <w:t>地址：</w:t>
            </w:r>
            <w:r>
              <w:rPr>
                <w:rFonts w:hint="eastAsia"/>
                <w:sz w:val="24"/>
              </w:rPr>
              <w:t>新疆阿克苏地区</w:t>
            </w:r>
            <w:r>
              <w:rPr>
                <w:rFonts w:hint="eastAsia"/>
                <w:sz w:val="24"/>
                <w:lang w:eastAsia="zh-CN"/>
              </w:rPr>
              <w:t>温宿县</w:t>
            </w:r>
            <w:r>
              <w:rPr>
                <w:rFonts w:hint="eastAsia"/>
                <w:sz w:val="24"/>
              </w:rPr>
              <w:t>新华北路3号</w:t>
            </w:r>
          </w:p>
          <w:p>
            <w:pPr>
              <w:pStyle w:val="22"/>
              <w:tabs>
                <w:tab w:val="left" w:pos="2147"/>
              </w:tabs>
              <w:spacing w:before="129"/>
              <w:rPr>
                <w:rFonts w:hint="default" w:eastAsia="仿宋"/>
                <w:sz w:val="24"/>
                <w:lang w:val="en-US" w:eastAsia="zh-CN"/>
              </w:rPr>
            </w:pPr>
            <w:r>
              <w:rPr>
                <w:sz w:val="24"/>
              </w:rPr>
              <w:t>联系人：</w:t>
            </w:r>
            <w:r>
              <w:rPr>
                <w:rFonts w:hint="eastAsia"/>
                <w:sz w:val="24"/>
                <w:lang w:eastAsia="zh-CN"/>
              </w:rPr>
              <w:t>宋主任</w:t>
            </w:r>
            <w:r>
              <w:rPr>
                <w:sz w:val="24"/>
              </w:rPr>
              <w:tab/>
            </w:r>
            <w:r>
              <w:rPr>
                <w:sz w:val="24"/>
              </w:rPr>
              <w:t>电话：</w:t>
            </w:r>
            <w:r>
              <w:rPr>
                <w:rFonts w:hint="eastAsia"/>
                <w:sz w:val="24"/>
                <w:lang w:val="en-US" w:eastAsia="zh-CN"/>
              </w:rPr>
              <w:t>0997-4535567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rPr>
                <w:rFonts w:ascii="黑体"/>
                <w:sz w:val="24"/>
              </w:rPr>
            </w:pPr>
          </w:p>
          <w:p>
            <w:pPr>
              <w:pStyle w:val="22"/>
              <w:spacing w:before="3"/>
              <w:rPr>
                <w:rFonts w:ascii="黑体"/>
                <w:sz w:val="30"/>
              </w:rPr>
            </w:pPr>
          </w:p>
          <w:p>
            <w:pPr>
              <w:pStyle w:val="22"/>
              <w:ind w:left="9"/>
              <w:jc w:val="center"/>
              <w:rPr>
                <w:sz w:val="24"/>
              </w:rPr>
            </w:pPr>
            <w:r>
              <w:rPr>
                <w:sz w:val="24"/>
              </w:rPr>
              <w:t>2</w:t>
            </w:r>
          </w:p>
        </w:tc>
        <w:tc>
          <w:tcPr>
            <w:tcW w:w="2587" w:type="dxa"/>
            <w:vAlign w:val="top"/>
          </w:tcPr>
          <w:p>
            <w:pPr>
              <w:pStyle w:val="22"/>
              <w:rPr>
                <w:rFonts w:ascii="黑体"/>
                <w:sz w:val="24"/>
              </w:rPr>
            </w:pPr>
          </w:p>
          <w:p>
            <w:pPr>
              <w:pStyle w:val="22"/>
              <w:spacing w:before="3"/>
              <w:rPr>
                <w:rFonts w:ascii="黑体"/>
                <w:sz w:val="30"/>
              </w:rPr>
            </w:pPr>
          </w:p>
          <w:p>
            <w:pPr>
              <w:pStyle w:val="22"/>
              <w:rPr>
                <w:sz w:val="24"/>
              </w:rPr>
            </w:pPr>
            <w:r>
              <w:rPr>
                <w:sz w:val="24"/>
              </w:rPr>
              <w:t>采购代理机构</w:t>
            </w:r>
          </w:p>
        </w:tc>
        <w:tc>
          <w:tcPr>
            <w:tcW w:w="5808" w:type="dxa"/>
            <w:vAlign w:val="top"/>
          </w:tcPr>
          <w:p>
            <w:pPr>
              <w:pStyle w:val="22"/>
              <w:spacing w:before="81" w:line="312" w:lineRule="auto"/>
              <w:ind w:right="96"/>
              <w:rPr>
                <w:sz w:val="24"/>
              </w:rPr>
            </w:pPr>
            <w:r>
              <w:rPr>
                <w:sz w:val="24"/>
              </w:rPr>
              <w:t>名称：</w:t>
            </w:r>
            <w:r>
              <w:rPr>
                <w:rFonts w:hint="eastAsia"/>
                <w:sz w:val="24"/>
                <w:lang w:eastAsia="zh-CN"/>
              </w:rPr>
              <w:t>新疆兴立众工程咨询有限责任公司</w:t>
            </w:r>
            <w:r>
              <w:rPr>
                <w:sz w:val="24"/>
              </w:rPr>
              <w:t xml:space="preserve"> 地址：新疆阿克苏地区阿克苏市英巴扎街道巴格其社</w:t>
            </w:r>
            <w:r>
              <w:rPr>
                <w:spacing w:val="-12"/>
                <w:sz w:val="24"/>
              </w:rPr>
              <w:t xml:space="preserve">区晶水路 </w:t>
            </w:r>
            <w:r>
              <w:rPr>
                <w:sz w:val="24"/>
              </w:rPr>
              <w:t>26</w:t>
            </w:r>
            <w:r>
              <w:rPr>
                <w:spacing w:val="-15"/>
                <w:sz w:val="24"/>
              </w:rPr>
              <w:t xml:space="preserve"> 号金桥</w:t>
            </w:r>
            <w:r>
              <w:rPr>
                <w:sz w:val="24"/>
              </w:rPr>
              <w:t>·</w:t>
            </w:r>
            <w:r>
              <w:rPr>
                <w:spacing w:val="-12"/>
                <w:sz w:val="24"/>
              </w:rPr>
              <w:t xml:space="preserve">天玺大厦 </w:t>
            </w:r>
            <w:r>
              <w:rPr>
                <w:sz w:val="24"/>
              </w:rPr>
              <w:t>1</w:t>
            </w:r>
            <w:r>
              <w:rPr>
                <w:spacing w:val="-40"/>
                <w:sz w:val="24"/>
              </w:rPr>
              <w:t xml:space="preserve"> 栋 </w:t>
            </w:r>
            <w:r>
              <w:rPr>
                <w:sz w:val="24"/>
              </w:rPr>
              <w:t>3</w:t>
            </w:r>
            <w:r>
              <w:rPr>
                <w:spacing w:val="-40"/>
                <w:sz w:val="24"/>
              </w:rPr>
              <w:t xml:space="preserve"> 层 </w:t>
            </w:r>
            <w:r>
              <w:rPr>
                <w:sz w:val="24"/>
              </w:rPr>
              <w:t>303</w:t>
            </w:r>
            <w:r>
              <w:rPr>
                <w:spacing w:val="-30"/>
                <w:sz w:val="24"/>
              </w:rPr>
              <w:t xml:space="preserve"> 铺</w:t>
            </w:r>
          </w:p>
          <w:p>
            <w:pPr>
              <w:pStyle w:val="22"/>
              <w:tabs>
                <w:tab w:val="left" w:pos="2147"/>
              </w:tabs>
              <w:spacing w:before="15"/>
              <w:ind w:left="107"/>
              <w:rPr>
                <w:rFonts w:hint="eastAsia" w:eastAsia="仿宋"/>
                <w:sz w:val="24"/>
                <w:lang w:eastAsia="zh-CN"/>
              </w:rPr>
            </w:pPr>
            <w:r>
              <w:rPr>
                <w:sz w:val="24"/>
              </w:rPr>
              <w:t>联系人：</w:t>
            </w:r>
            <w:r>
              <w:rPr>
                <w:rFonts w:hint="eastAsia"/>
                <w:sz w:val="24"/>
                <w:lang w:eastAsia="zh-CN"/>
              </w:rPr>
              <w:t>赵岩</w:t>
            </w:r>
            <w:r>
              <w:rPr>
                <w:sz w:val="24"/>
              </w:rPr>
              <w:tab/>
            </w:r>
            <w:r>
              <w:rPr>
                <w:sz w:val="24"/>
              </w:rPr>
              <w:t>电话：</w:t>
            </w:r>
            <w:r>
              <w:rPr>
                <w:rFonts w:hint="eastAsia"/>
                <w:sz w:val="24"/>
                <w:lang w:eastAsia="zh-CN"/>
              </w:rPr>
              <w:t>18199970018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764" w:type="dxa"/>
            <w:vAlign w:val="top"/>
          </w:tcPr>
          <w:p>
            <w:pPr>
              <w:pStyle w:val="22"/>
              <w:jc w:val="center"/>
              <w:rPr>
                <w:sz w:val="24"/>
              </w:rPr>
            </w:pPr>
            <w:r>
              <w:rPr>
                <w:sz w:val="24"/>
              </w:rPr>
              <w:t>3</w:t>
            </w:r>
          </w:p>
        </w:tc>
        <w:tc>
          <w:tcPr>
            <w:tcW w:w="2587" w:type="dxa"/>
            <w:vAlign w:val="top"/>
          </w:tcPr>
          <w:p>
            <w:pPr>
              <w:pStyle w:val="22"/>
              <w:rPr>
                <w:sz w:val="24"/>
              </w:rPr>
            </w:pPr>
            <w:r>
              <w:rPr>
                <w:sz w:val="24"/>
              </w:rPr>
              <w:t>项目名称</w:t>
            </w:r>
          </w:p>
        </w:tc>
        <w:tc>
          <w:tcPr>
            <w:tcW w:w="5808" w:type="dxa"/>
            <w:vAlign w:val="top"/>
          </w:tcPr>
          <w:p>
            <w:pPr>
              <w:pStyle w:val="22"/>
              <w:spacing w:before="33" w:line="370" w:lineRule="atLeast"/>
              <w:ind w:right="-29"/>
              <w:jc w:val="left"/>
              <w:rPr>
                <w:sz w:val="24"/>
              </w:rPr>
            </w:pPr>
            <w:r>
              <w:rPr>
                <w:rFonts w:hint="eastAsia"/>
                <w:sz w:val="24"/>
                <w:lang w:eastAsia="zh-CN"/>
              </w:rPr>
              <w:t>温宿产业园区企业基础设施建设项目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1" w:hRule="atLeast"/>
        </w:trPr>
        <w:tc>
          <w:tcPr>
            <w:tcW w:w="764" w:type="dxa"/>
            <w:vAlign w:val="top"/>
          </w:tcPr>
          <w:p>
            <w:pPr>
              <w:pStyle w:val="22"/>
              <w:spacing w:before="95"/>
              <w:ind w:left="9"/>
              <w:jc w:val="center"/>
              <w:rPr>
                <w:sz w:val="24"/>
              </w:rPr>
            </w:pPr>
            <w:r>
              <w:rPr>
                <w:sz w:val="24"/>
              </w:rPr>
              <w:t>4</w:t>
            </w:r>
          </w:p>
        </w:tc>
        <w:tc>
          <w:tcPr>
            <w:tcW w:w="2587" w:type="dxa"/>
            <w:vAlign w:val="top"/>
          </w:tcPr>
          <w:p>
            <w:pPr>
              <w:pStyle w:val="22"/>
              <w:spacing w:before="95"/>
              <w:rPr>
                <w:sz w:val="24"/>
              </w:rPr>
            </w:pPr>
            <w:r>
              <w:rPr>
                <w:sz w:val="24"/>
              </w:rPr>
              <w:t>项目编号</w:t>
            </w:r>
          </w:p>
        </w:tc>
        <w:tc>
          <w:tcPr>
            <w:tcW w:w="5808" w:type="dxa"/>
            <w:vAlign w:val="top"/>
          </w:tcPr>
          <w:p>
            <w:pPr>
              <w:pStyle w:val="22"/>
              <w:spacing w:before="95"/>
              <w:rPr>
                <w:rFonts w:hint="eastAsia" w:eastAsia="仿宋"/>
                <w:sz w:val="24"/>
                <w:lang w:eastAsia="zh-CN"/>
              </w:rPr>
            </w:pPr>
            <w:r>
              <w:rPr>
                <w:rFonts w:hint="eastAsia"/>
                <w:sz w:val="24"/>
                <w:lang w:eastAsia="zh-CN"/>
              </w:rPr>
              <w:t>WSFS-2021-90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1" w:hRule="atLeast"/>
        </w:trPr>
        <w:tc>
          <w:tcPr>
            <w:tcW w:w="764" w:type="dxa"/>
            <w:vAlign w:val="top"/>
          </w:tcPr>
          <w:p>
            <w:pPr>
              <w:pStyle w:val="22"/>
              <w:spacing w:before="95"/>
              <w:ind w:left="9"/>
              <w:jc w:val="center"/>
              <w:rPr>
                <w:sz w:val="24"/>
              </w:rPr>
            </w:pPr>
            <w:r>
              <w:rPr>
                <w:sz w:val="24"/>
              </w:rPr>
              <w:t>5</w:t>
            </w:r>
          </w:p>
        </w:tc>
        <w:tc>
          <w:tcPr>
            <w:tcW w:w="2587" w:type="dxa"/>
            <w:vAlign w:val="top"/>
          </w:tcPr>
          <w:p>
            <w:pPr>
              <w:pStyle w:val="22"/>
              <w:spacing w:before="95"/>
              <w:rPr>
                <w:sz w:val="24"/>
              </w:rPr>
            </w:pPr>
            <w:r>
              <w:rPr>
                <w:sz w:val="24"/>
              </w:rPr>
              <w:t>资金来源</w:t>
            </w:r>
          </w:p>
        </w:tc>
        <w:tc>
          <w:tcPr>
            <w:tcW w:w="5808" w:type="dxa"/>
            <w:vAlign w:val="top"/>
          </w:tcPr>
          <w:p>
            <w:pPr>
              <w:pStyle w:val="22"/>
              <w:spacing w:before="95"/>
              <w:rPr>
                <w:rFonts w:hint="default" w:eastAsia="仿宋"/>
                <w:sz w:val="24"/>
                <w:lang w:val="en-US" w:eastAsia="zh-CN"/>
              </w:rPr>
            </w:pPr>
            <w:r>
              <w:rPr>
                <w:rFonts w:hint="eastAsia"/>
                <w:sz w:val="24"/>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spacing w:before="96"/>
              <w:ind w:left="9"/>
              <w:jc w:val="center"/>
              <w:rPr>
                <w:sz w:val="24"/>
              </w:rPr>
            </w:pPr>
            <w:r>
              <w:rPr>
                <w:sz w:val="24"/>
              </w:rPr>
              <w:t>6</w:t>
            </w:r>
          </w:p>
        </w:tc>
        <w:tc>
          <w:tcPr>
            <w:tcW w:w="2587" w:type="dxa"/>
            <w:vAlign w:val="top"/>
          </w:tcPr>
          <w:p>
            <w:pPr>
              <w:pStyle w:val="22"/>
              <w:spacing w:before="96"/>
              <w:rPr>
                <w:sz w:val="24"/>
              </w:rPr>
            </w:pPr>
            <w:r>
              <w:rPr>
                <w:sz w:val="24"/>
              </w:rPr>
              <w:t>采购内容</w:t>
            </w:r>
          </w:p>
        </w:tc>
        <w:tc>
          <w:tcPr>
            <w:tcW w:w="5808" w:type="dxa"/>
            <w:vAlign w:val="top"/>
          </w:tcPr>
          <w:p>
            <w:pPr>
              <w:pStyle w:val="22"/>
              <w:spacing w:before="96"/>
              <w:rPr>
                <w:rFonts w:hint="default" w:eastAsia="仿宋"/>
                <w:sz w:val="24"/>
                <w:lang w:val="en-US" w:eastAsia="zh-CN"/>
              </w:rPr>
            </w:pPr>
            <w:r>
              <w:rPr>
                <w:rFonts w:hint="eastAsia"/>
                <w:sz w:val="24"/>
                <w:lang w:val="en-US" w:eastAsia="zh-CN"/>
              </w:rPr>
              <w:t>基础设施建设等（详见清单）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spacing w:before="95"/>
              <w:ind w:left="9"/>
              <w:jc w:val="center"/>
              <w:rPr>
                <w:sz w:val="24"/>
              </w:rPr>
            </w:pPr>
            <w:r>
              <w:rPr>
                <w:sz w:val="24"/>
              </w:rPr>
              <w:t>7</w:t>
            </w:r>
          </w:p>
        </w:tc>
        <w:tc>
          <w:tcPr>
            <w:tcW w:w="2587" w:type="dxa"/>
            <w:vAlign w:val="top"/>
          </w:tcPr>
          <w:p>
            <w:pPr>
              <w:pStyle w:val="22"/>
              <w:spacing w:before="95"/>
              <w:rPr>
                <w:sz w:val="24"/>
              </w:rPr>
            </w:pPr>
            <w:r>
              <w:rPr>
                <w:sz w:val="24"/>
              </w:rPr>
              <w:t>最高限价</w:t>
            </w:r>
          </w:p>
        </w:tc>
        <w:tc>
          <w:tcPr>
            <w:tcW w:w="5808" w:type="dxa"/>
            <w:vAlign w:val="top"/>
          </w:tcPr>
          <w:p>
            <w:pPr>
              <w:pStyle w:val="22"/>
              <w:spacing w:before="95"/>
              <w:rPr>
                <w:sz w:val="24"/>
              </w:rPr>
            </w:pPr>
            <w:r>
              <w:rPr>
                <w:sz w:val="24"/>
              </w:rPr>
              <w:t>2331881.04元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spacing w:before="95"/>
              <w:ind w:left="9"/>
              <w:jc w:val="center"/>
              <w:rPr>
                <w:sz w:val="24"/>
              </w:rPr>
            </w:pPr>
            <w:r>
              <w:rPr>
                <w:sz w:val="24"/>
              </w:rPr>
              <w:t>8</w:t>
            </w:r>
          </w:p>
        </w:tc>
        <w:tc>
          <w:tcPr>
            <w:tcW w:w="2587" w:type="dxa"/>
            <w:vAlign w:val="top"/>
          </w:tcPr>
          <w:p>
            <w:pPr>
              <w:pStyle w:val="22"/>
              <w:spacing w:before="95"/>
              <w:rPr>
                <w:sz w:val="24"/>
              </w:rPr>
            </w:pPr>
            <w:r>
              <w:rPr>
                <w:sz w:val="24"/>
              </w:rPr>
              <w:t>质量目标</w:t>
            </w:r>
          </w:p>
        </w:tc>
        <w:tc>
          <w:tcPr>
            <w:tcW w:w="5808" w:type="dxa"/>
            <w:vAlign w:val="top"/>
          </w:tcPr>
          <w:p>
            <w:pPr>
              <w:pStyle w:val="22"/>
              <w:spacing w:before="95"/>
              <w:rPr>
                <w:rFonts w:hint="eastAsia" w:eastAsia="仿宋"/>
                <w:sz w:val="24"/>
                <w:lang w:eastAsia="zh-CN"/>
              </w:rPr>
            </w:pPr>
            <w:r>
              <w:rPr>
                <w:rFonts w:hint="eastAsia"/>
                <w:sz w:val="24"/>
                <w:lang w:val="en-US"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spacing w:before="95"/>
              <w:ind w:left="9"/>
              <w:jc w:val="center"/>
              <w:rPr>
                <w:sz w:val="24"/>
              </w:rPr>
            </w:pPr>
            <w:r>
              <w:rPr>
                <w:sz w:val="24"/>
              </w:rPr>
              <w:t>9</w:t>
            </w:r>
          </w:p>
        </w:tc>
        <w:tc>
          <w:tcPr>
            <w:tcW w:w="2587" w:type="dxa"/>
            <w:vAlign w:val="top"/>
          </w:tcPr>
          <w:p>
            <w:pPr>
              <w:pStyle w:val="22"/>
              <w:spacing w:before="95"/>
              <w:rPr>
                <w:rFonts w:hint="default" w:eastAsia="仿宋"/>
                <w:sz w:val="24"/>
                <w:lang w:val="en-US" w:eastAsia="zh-CN"/>
              </w:rPr>
            </w:pPr>
            <w:r>
              <w:rPr>
                <w:rFonts w:hint="eastAsia"/>
                <w:sz w:val="24"/>
                <w:lang w:val="en-US" w:eastAsia="zh-CN"/>
              </w:rPr>
              <w:t>工期</w:t>
            </w:r>
          </w:p>
        </w:tc>
        <w:tc>
          <w:tcPr>
            <w:tcW w:w="5808" w:type="dxa"/>
            <w:vAlign w:val="top"/>
          </w:tcPr>
          <w:p>
            <w:pPr>
              <w:pStyle w:val="22"/>
              <w:spacing w:before="95"/>
              <w:rPr>
                <w:rFonts w:hint="default"/>
                <w:sz w:val="24"/>
                <w:lang w:val="en-US"/>
              </w:rPr>
            </w:pPr>
            <w:r>
              <w:rPr>
                <w:rFonts w:hint="eastAsia"/>
                <w:sz w:val="24"/>
                <w:lang w:val="en-US" w:eastAsia="zh-CN"/>
              </w:rPr>
              <w:t>签订合同后45日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22"/>
              <w:rPr>
                <w:rFonts w:ascii="黑体"/>
                <w:sz w:val="22"/>
              </w:rPr>
            </w:pPr>
          </w:p>
          <w:p>
            <w:pPr>
              <w:pStyle w:val="22"/>
              <w:spacing w:before="1"/>
              <w:ind w:left="121" w:right="112"/>
              <w:jc w:val="center"/>
              <w:rPr>
                <w:sz w:val="24"/>
              </w:rPr>
            </w:pPr>
            <w:r>
              <w:rPr>
                <w:sz w:val="24"/>
              </w:rPr>
              <w:t>10</w:t>
            </w:r>
          </w:p>
        </w:tc>
        <w:tc>
          <w:tcPr>
            <w:tcW w:w="2587" w:type="dxa"/>
            <w:vAlign w:val="top"/>
          </w:tcPr>
          <w:p>
            <w:pPr>
              <w:pStyle w:val="22"/>
              <w:spacing w:before="95"/>
              <w:rPr>
                <w:sz w:val="24"/>
              </w:rPr>
            </w:pPr>
            <w:r>
              <w:rPr>
                <w:rFonts w:hint="eastAsia"/>
                <w:sz w:val="24"/>
                <w:lang w:val="en-US" w:eastAsia="zh-CN"/>
              </w:rPr>
              <w:t>项目</w:t>
            </w:r>
            <w:r>
              <w:rPr>
                <w:sz w:val="24"/>
              </w:rPr>
              <w:t>地点</w:t>
            </w:r>
          </w:p>
        </w:tc>
        <w:tc>
          <w:tcPr>
            <w:tcW w:w="5808" w:type="dxa"/>
            <w:vAlign w:val="top"/>
          </w:tcPr>
          <w:p>
            <w:pPr>
              <w:pStyle w:val="22"/>
              <w:spacing w:before="95"/>
              <w:rPr>
                <w:rFonts w:hint="eastAsia"/>
                <w:sz w:val="24"/>
                <w:lang w:eastAsia="zh-CN"/>
              </w:rPr>
            </w:pPr>
            <w:r>
              <w:rPr>
                <w:rFonts w:hint="eastAsia"/>
                <w:sz w:val="24"/>
                <w:lang w:val="en-US" w:eastAsia="zh-CN"/>
              </w:rPr>
              <w:t>温宿县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1" w:hRule="atLeast"/>
        </w:trPr>
        <w:tc>
          <w:tcPr>
            <w:tcW w:w="764" w:type="dxa"/>
            <w:vAlign w:val="top"/>
          </w:tcPr>
          <w:p>
            <w:pPr>
              <w:pStyle w:val="22"/>
              <w:spacing w:before="3"/>
              <w:rPr>
                <w:rFonts w:ascii="黑体"/>
                <w:sz w:val="24"/>
              </w:rPr>
            </w:pPr>
          </w:p>
          <w:p>
            <w:pPr>
              <w:pStyle w:val="22"/>
              <w:spacing w:before="1"/>
              <w:ind w:left="121" w:right="112"/>
              <w:jc w:val="center"/>
              <w:rPr>
                <w:sz w:val="24"/>
              </w:rPr>
            </w:pPr>
            <w:r>
              <w:rPr>
                <w:sz w:val="24"/>
              </w:rPr>
              <w:t>11</w:t>
            </w:r>
          </w:p>
        </w:tc>
        <w:tc>
          <w:tcPr>
            <w:tcW w:w="2587" w:type="dxa"/>
            <w:vAlign w:val="top"/>
          </w:tcPr>
          <w:p>
            <w:pPr>
              <w:pStyle w:val="22"/>
              <w:spacing w:before="3"/>
              <w:rPr>
                <w:rFonts w:ascii="黑体"/>
                <w:sz w:val="24"/>
              </w:rPr>
            </w:pPr>
          </w:p>
          <w:p>
            <w:pPr>
              <w:pStyle w:val="22"/>
              <w:spacing w:before="1"/>
              <w:rPr>
                <w:sz w:val="24"/>
              </w:rPr>
            </w:pPr>
            <w:r>
              <w:rPr>
                <w:sz w:val="24"/>
              </w:rPr>
              <w:t>是否接受联合体报价</w:t>
            </w:r>
          </w:p>
        </w:tc>
        <w:tc>
          <w:tcPr>
            <w:tcW w:w="5808" w:type="dxa"/>
            <w:vAlign w:val="top"/>
          </w:tcPr>
          <w:p>
            <w:pPr>
              <w:pStyle w:val="22"/>
              <w:spacing w:before="95"/>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不接受</w:t>
            </w:r>
          </w:p>
          <w:p>
            <w:pPr>
              <w:pStyle w:val="22"/>
              <w:tabs>
                <w:tab w:val="left" w:pos="4486"/>
              </w:tabs>
              <w:spacing w:before="129"/>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6" w:hRule="atLeast"/>
        </w:trPr>
        <w:tc>
          <w:tcPr>
            <w:tcW w:w="764" w:type="dxa"/>
            <w:vAlign w:val="top"/>
          </w:tcPr>
          <w:p>
            <w:pPr>
              <w:pStyle w:val="22"/>
              <w:spacing w:before="95"/>
              <w:ind w:left="121" w:right="112"/>
              <w:jc w:val="center"/>
              <w:rPr>
                <w:sz w:val="24"/>
              </w:rPr>
            </w:pPr>
            <w:r>
              <w:rPr>
                <w:sz w:val="24"/>
              </w:rPr>
              <w:t>12</w:t>
            </w:r>
          </w:p>
        </w:tc>
        <w:tc>
          <w:tcPr>
            <w:tcW w:w="2587" w:type="dxa"/>
            <w:vAlign w:val="top"/>
          </w:tcPr>
          <w:p>
            <w:pPr>
              <w:pStyle w:val="22"/>
              <w:spacing w:before="95"/>
              <w:rPr>
                <w:sz w:val="24"/>
              </w:rPr>
            </w:pPr>
            <w:r>
              <w:rPr>
                <w:sz w:val="24"/>
              </w:rPr>
              <w:t>报价有效期</w:t>
            </w:r>
          </w:p>
        </w:tc>
        <w:tc>
          <w:tcPr>
            <w:tcW w:w="5808" w:type="dxa"/>
            <w:vAlign w:val="top"/>
          </w:tcPr>
          <w:p>
            <w:pPr>
              <w:pStyle w:val="22"/>
              <w:spacing w:before="95"/>
              <w:ind w:left="107"/>
              <w:rPr>
                <w:sz w:val="24"/>
              </w:rPr>
            </w:pPr>
            <w:r>
              <w:rPr>
                <w:sz w:val="24"/>
              </w:rPr>
              <w:t>自报价截止之日起</w:t>
            </w:r>
            <w:r>
              <w:rPr>
                <w:sz w:val="24"/>
                <w:u w:val="single"/>
              </w:rPr>
              <w:t xml:space="preserve"> 30 </w:t>
            </w:r>
            <w:r>
              <w:rPr>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64" w:hRule="atLeast"/>
        </w:trPr>
        <w:tc>
          <w:tcPr>
            <w:tcW w:w="764" w:type="dxa"/>
            <w:vAlign w:val="top"/>
          </w:tcPr>
          <w:p>
            <w:pPr>
              <w:pStyle w:val="22"/>
              <w:rPr>
                <w:rFonts w:ascii="黑体"/>
                <w:sz w:val="24"/>
              </w:rPr>
            </w:pPr>
          </w:p>
          <w:p>
            <w:pPr>
              <w:pStyle w:val="22"/>
              <w:spacing w:before="7"/>
              <w:rPr>
                <w:rFonts w:ascii="黑体"/>
                <w:sz w:val="17"/>
              </w:rPr>
            </w:pPr>
          </w:p>
          <w:p>
            <w:pPr>
              <w:pStyle w:val="22"/>
              <w:ind w:left="121" w:right="112"/>
              <w:jc w:val="center"/>
              <w:rPr>
                <w:sz w:val="24"/>
              </w:rPr>
            </w:pPr>
            <w:r>
              <w:rPr>
                <w:sz w:val="24"/>
              </w:rPr>
              <w:t>13</w:t>
            </w:r>
          </w:p>
        </w:tc>
        <w:tc>
          <w:tcPr>
            <w:tcW w:w="2587" w:type="dxa"/>
            <w:vAlign w:val="top"/>
          </w:tcPr>
          <w:p>
            <w:pPr>
              <w:pStyle w:val="22"/>
              <w:rPr>
                <w:rFonts w:ascii="黑体"/>
                <w:sz w:val="24"/>
              </w:rPr>
            </w:pPr>
          </w:p>
          <w:p>
            <w:pPr>
              <w:pStyle w:val="22"/>
              <w:spacing w:before="7"/>
              <w:rPr>
                <w:rFonts w:ascii="黑体"/>
                <w:sz w:val="17"/>
              </w:rPr>
            </w:pPr>
          </w:p>
          <w:p>
            <w:pPr>
              <w:pStyle w:val="22"/>
              <w:rPr>
                <w:sz w:val="24"/>
              </w:rPr>
            </w:pPr>
            <w:r>
              <w:rPr>
                <w:sz w:val="24"/>
              </w:rPr>
              <w:t>踏勘现场</w:t>
            </w:r>
          </w:p>
        </w:tc>
        <w:tc>
          <w:tcPr>
            <w:tcW w:w="5808" w:type="dxa"/>
            <w:vAlign w:val="top"/>
          </w:tcPr>
          <w:p>
            <w:pPr>
              <w:pStyle w:val="22"/>
              <w:spacing w:before="96"/>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不组织，自行踏勘</w:t>
            </w:r>
          </w:p>
          <w:p>
            <w:pPr>
              <w:pStyle w:val="22"/>
              <w:tabs>
                <w:tab w:val="left" w:pos="4246"/>
              </w:tabs>
              <w:spacing w:before="7" w:line="430" w:lineRule="atLeast"/>
              <w:ind w:left="1187" w:right="1549" w:hanging="1080"/>
              <w:rPr>
                <w:rFonts w:ascii="Times New Roman" w:hAnsi="Times New Roman" w:eastAsia="Times New Roman"/>
                <w:sz w:val="24"/>
              </w:rPr>
            </w:pPr>
            <w:r>
              <w:rPr>
                <w:sz w:val="24"/>
              </w:rPr>
              <w:t>□</w:t>
            </w:r>
            <w:r>
              <w:rPr>
                <w:spacing w:val="-1"/>
                <w:sz w:val="24"/>
              </w:rPr>
              <w:t xml:space="preserve"> </w:t>
            </w:r>
            <w:r>
              <w:rPr>
                <w:sz w:val="24"/>
              </w:rPr>
              <w:t>组织，踏勘时间：</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pacing w:val="-1"/>
                <w:sz w:val="24"/>
              </w:rPr>
              <w:t xml:space="preserve">             </w:t>
            </w:r>
            <w:r>
              <w:rPr>
                <w:spacing w:val="13"/>
                <w:sz w:val="24"/>
              </w:rPr>
              <w:t xml:space="preserve"> </w:t>
            </w:r>
            <w:r>
              <w:rPr>
                <w:spacing w:val="-1"/>
                <w:sz w:val="24"/>
              </w:rPr>
              <w:t>踏</w:t>
            </w:r>
            <w:r>
              <w:rPr>
                <w:sz w:val="24"/>
              </w:rPr>
              <w:t>勘地点：</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69" w:hRule="atLeast"/>
        </w:trPr>
        <w:tc>
          <w:tcPr>
            <w:tcW w:w="764" w:type="dxa"/>
            <w:vAlign w:val="top"/>
          </w:tcPr>
          <w:p>
            <w:pPr>
              <w:pStyle w:val="22"/>
              <w:rPr>
                <w:rFonts w:ascii="黑体"/>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p>
          <w:p>
            <w:pPr>
              <w:pStyle w:val="22"/>
              <w:spacing w:before="192"/>
              <w:ind w:left="121" w:right="112"/>
              <w:jc w:val="center"/>
              <w:rPr>
                <w:sz w:val="24"/>
              </w:rPr>
            </w:pPr>
            <w:r>
              <w:rPr>
                <w:sz w:val="24"/>
              </w:rPr>
              <w:t>14</w:t>
            </w:r>
          </w:p>
        </w:tc>
        <w:tc>
          <w:tcPr>
            <w:tcW w:w="2587" w:type="dxa"/>
            <w:vAlign w:val="top"/>
          </w:tcPr>
          <w:p>
            <w:pPr>
              <w:pStyle w:val="22"/>
              <w:rPr>
                <w:rFonts w:ascii="黑体"/>
                <w:sz w:val="24"/>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eastAsia"/>
                <w:sz w:val="24"/>
                <w:lang w:val="en-US" w:eastAsia="zh-CN"/>
              </w:rPr>
            </w:pPr>
          </w:p>
          <w:p>
            <w:pPr>
              <w:pStyle w:val="22"/>
              <w:spacing w:before="192"/>
              <w:ind w:left="107"/>
              <w:rPr>
                <w:rFonts w:hint="default" w:eastAsia="仿宋"/>
                <w:sz w:val="24"/>
                <w:lang w:val="en-US" w:eastAsia="zh-CN"/>
              </w:rPr>
            </w:pPr>
            <w:r>
              <w:rPr>
                <w:rFonts w:hint="eastAsia"/>
                <w:sz w:val="24"/>
                <w:lang w:val="en-US" w:eastAsia="zh-CN"/>
              </w:rPr>
              <w:t>磋商保证金</w:t>
            </w:r>
          </w:p>
        </w:tc>
        <w:tc>
          <w:tcPr>
            <w:tcW w:w="5808" w:type="dxa"/>
            <w:vAlign w:val="top"/>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rPr>
              <w:t>保证金：</w:t>
            </w:r>
            <w:r>
              <w:rPr>
                <w:rFonts w:hint="eastAsia" w:cs="仿宋"/>
                <w:b w:val="0"/>
                <w:bCs w:val="0"/>
                <w:color w:val="auto"/>
                <w:sz w:val="24"/>
                <w:szCs w:val="24"/>
                <w:lang w:val="en-US" w:eastAsia="zh-CN"/>
              </w:rPr>
              <w:t>45000.00</w:t>
            </w:r>
            <w:r>
              <w:rPr>
                <w:rFonts w:hint="eastAsia" w:ascii="仿宋" w:hAnsi="仿宋" w:eastAsia="仿宋" w:cs="仿宋"/>
                <w:b w:val="0"/>
                <w:bCs w:val="0"/>
                <w:color w:val="auto"/>
                <w:sz w:val="24"/>
                <w:szCs w:val="24"/>
              </w:rPr>
              <w:t>元（大写：</w:t>
            </w:r>
            <w:r>
              <w:rPr>
                <w:rFonts w:hint="eastAsia" w:cs="仿宋"/>
                <w:b w:val="0"/>
                <w:bCs w:val="0"/>
                <w:color w:val="auto"/>
                <w:sz w:val="24"/>
                <w:szCs w:val="24"/>
                <w:lang w:val="en-US" w:eastAsia="zh-CN"/>
              </w:rPr>
              <w:t>肆万伍仟</w:t>
            </w:r>
            <w:r>
              <w:rPr>
                <w:rFonts w:hint="eastAsia" w:ascii="仿宋" w:hAnsi="仿宋" w:eastAsia="仿宋" w:cs="仿宋"/>
                <w:b w:val="0"/>
                <w:bCs w:val="0"/>
                <w:color w:val="auto"/>
                <w:sz w:val="24"/>
                <w:szCs w:val="24"/>
                <w:u w:val="none"/>
                <w:lang w:val="en-US" w:eastAsia="zh-CN"/>
              </w:rPr>
              <w:t>元整</w:t>
            </w:r>
            <w:r>
              <w:rPr>
                <w:rFonts w:hint="eastAsia" w:ascii="仿宋" w:hAnsi="仿宋" w:eastAsia="仿宋" w:cs="仿宋"/>
                <w:b w:val="0"/>
                <w:bCs w:val="0"/>
                <w:color w:val="auto"/>
                <w:sz w:val="24"/>
                <w:szCs w:val="24"/>
                <w:u w:val="none"/>
              </w:rPr>
              <w:t>）</w:t>
            </w:r>
          </w:p>
          <w:p>
            <w:pPr>
              <w:spacing w:line="480" w:lineRule="auto"/>
              <w:rPr>
                <w:rFonts w:hint="eastAsia" w:ascii="仿宋" w:hAnsi="仿宋" w:eastAsia="仿宋" w:cs="仿宋"/>
                <w:sz w:val="24"/>
                <w:szCs w:val="24"/>
              </w:rPr>
            </w:pPr>
            <w:r>
              <w:rPr>
                <w:rFonts w:hint="eastAsia" w:ascii="仿宋" w:hAnsi="仿宋" w:eastAsia="仿宋" w:cs="仿宋"/>
                <w:sz w:val="24"/>
                <w:szCs w:val="24"/>
              </w:rPr>
              <w:t>投标保证金提交方式：支票、汇票、本票、或者金融机构、担保机构出具的保函等非现金形式提交。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投标保证金</w:t>
            </w:r>
            <w:r>
              <w:rPr>
                <w:rFonts w:hint="eastAsia" w:cs="仿宋"/>
                <w:color w:val="auto"/>
                <w:sz w:val="24"/>
                <w:szCs w:val="24"/>
                <w:lang w:val="en-US" w:eastAsia="zh-CN"/>
              </w:rPr>
              <w:t>缴纳</w:t>
            </w:r>
            <w:r>
              <w:rPr>
                <w:rFonts w:hint="eastAsia" w:ascii="仿宋" w:hAnsi="仿宋" w:eastAsia="仿宋" w:cs="仿宋"/>
                <w:color w:val="auto"/>
                <w:sz w:val="24"/>
                <w:szCs w:val="24"/>
                <w:lang w:val="zh-CN" w:eastAsia="zh-CN"/>
              </w:rPr>
              <w:t>截止时间在：</w:t>
            </w:r>
            <w:r>
              <w:rPr>
                <w:rFonts w:hint="eastAsia" w:ascii="仿宋" w:hAnsi="仿宋" w:eastAsia="仿宋" w:cs="仿宋"/>
                <w:color w:val="auto"/>
                <w:sz w:val="24"/>
                <w:szCs w:val="24"/>
                <w:lang w:val="en-US" w:eastAsia="zh-CN"/>
              </w:rPr>
              <w:t>2021年</w:t>
            </w:r>
            <w:r>
              <w:rPr>
                <w:rFonts w:hint="eastAsia" w:cs="仿宋"/>
                <w:color w:val="auto"/>
                <w:sz w:val="24"/>
                <w:szCs w:val="24"/>
                <w:lang w:val="en-US" w:eastAsia="zh-CN"/>
              </w:rPr>
              <w:t>11</w:t>
            </w:r>
            <w:r>
              <w:rPr>
                <w:rFonts w:hint="eastAsia" w:ascii="仿宋" w:hAnsi="仿宋" w:eastAsia="仿宋" w:cs="仿宋"/>
                <w:color w:val="auto"/>
                <w:sz w:val="24"/>
                <w:szCs w:val="24"/>
                <w:lang w:val="en-US" w:eastAsia="zh-CN"/>
              </w:rPr>
              <w:t>月</w:t>
            </w:r>
            <w:r>
              <w:rPr>
                <w:rFonts w:hint="eastAsia" w:cs="仿宋"/>
                <w:color w:val="auto"/>
                <w:sz w:val="24"/>
                <w:szCs w:val="24"/>
                <w:lang w:val="en-US" w:eastAsia="zh-CN"/>
              </w:rPr>
              <w:t>5</w:t>
            </w:r>
            <w:r>
              <w:rPr>
                <w:rFonts w:hint="eastAsia" w:ascii="仿宋" w:hAnsi="仿宋" w:eastAsia="仿宋" w:cs="仿宋"/>
                <w:color w:val="auto"/>
                <w:sz w:val="24"/>
                <w:szCs w:val="24"/>
                <w:lang w:val="en-US" w:eastAsia="zh-CN"/>
              </w:rPr>
              <w:t>日</w:t>
            </w:r>
            <w:r>
              <w:rPr>
                <w:rFonts w:hint="eastAsia" w:cs="仿宋"/>
                <w:color w:val="auto"/>
                <w:sz w:val="24"/>
                <w:szCs w:val="24"/>
                <w:lang w:val="en-US" w:eastAsia="zh-CN"/>
              </w:rPr>
              <w:t>18</w:t>
            </w:r>
            <w:r>
              <w:rPr>
                <w:rFonts w:hint="eastAsia" w:ascii="仿宋" w:hAnsi="仿宋" w:eastAsia="仿宋" w:cs="仿宋"/>
                <w:color w:val="auto"/>
                <w:sz w:val="24"/>
                <w:szCs w:val="24"/>
                <w:lang w:val="en-US" w:eastAsia="zh-CN"/>
              </w:rPr>
              <w:t>:</w:t>
            </w:r>
            <w:r>
              <w:rPr>
                <w:rFonts w:hint="eastAsia" w:cs="仿宋"/>
                <w:color w:val="auto"/>
                <w:sz w:val="24"/>
                <w:szCs w:val="24"/>
                <w:lang w:val="en-US" w:eastAsia="zh-CN"/>
              </w:rPr>
              <w:t>0</w:t>
            </w:r>
            <w:r>
              <w:rPr>
                <w:rFonts w:hint="eastAsia" w:ascii="仿宋" w:hAnsi="仿宋" w:eastAsia="仿宋" w:cs="仿宋"/>
                <w:color w:val="auto"/>
                <w:sz w:val="24"/>
                <w:szCs w:val="24"/>
                <w:lang w:val="en-US" w:eastAsia="zh-CN"/>
              </w:rPr>
              <w:t>0（北京时间）</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交纳保证金的账户信息如下：</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开户名：新疆兴立众工程咨询有限责任公司阿克苏分公司</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 xml:space="preserve">开户银行：中国农业银行股份有限公司阿克苏多浪河支行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帐    号：30355501040002956</w:t>
            </w:r>
          </w:p>
          <w:p>
            <w:pPr>
              <w:pStyle w:val="22"/>
              <w:spacing w:before="97" w:line="480" w:lineRule="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 xml:space="preserve">开户行行号：103891035558 </w:t>
            </w:r>
          </w:p>
          <w:p>
            <w:pPr>
              <w:pStyle w:val="22"/>
              <w:spacing w:before="97" w:line="48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履约保证金：</w:t>
            </w:r>
          </w:p>
          <w:p>
            <w:pPr>
              <w:pStyle w:val="22"/>
              <w:spacing w:before="97" w:line="480" w:lineRule="auto"/>
              <w:ind w:left="107"/>
              <w:rPr>
                <w:rFonts w:hint="eastAsia"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pacing w:val="59"/>
                <w:sz w:val="24"/>
              </w:rPr>
              <w:t xml:space="preserve"> </w:t>
            </w:r>
            <w:r>
              <w:rPr>
                <w:rFonts w:hint="eastAsia" w:ascii="仿宋" w:hAnsi="仿宋" w:eastAsia="仿宋" w:cs="仿宋"/>
                <w:sz w:val="24"/>
              </w:rPr>
              <w:t>不需要</w:t>
            </w:r>
          </w:p>
          <w:p>
            <w:pPr>
              <w:pStyle w:val="22"/>
              <w:spacing w:before="64" w:line="480" w:lineRule="auto"/>
              <w:ind w:left="107" w:right="33"/>
              <w:rPr>
                <w:sz w:val="24"/>
              </w:rPr>
            </w:pPr>
            <w:r>
              <w:rPr>
                <w:rFonts w:hint="eastAsia" w:ascii="仿宋" w:hAnsi="仿宋" w:eastAsia="仿宋" w:cs="仿宋"/>
                <w:sz w:val="24"/>
              </w:rPr>
              <w:t>□ 需要，履约保证金的金额：成交合同金额的</w:t>
            </w:r>
            <w:r>
              <w:rPr>
                <w:rFonts w:hint="eastAsia" w:ascii="仿宋" w:hAnsi="仿宋" w:eastAsia="仿宋" w:cs="仿宋"/>
                <w:sz w:val="24"/>
                <w:u w:val="single"/>
              </w:rPr>
              <w:t>/</w:t>
            </w:r>
            <w:r>
              <w:rPr>
                <w:rFonts w:hint="eastAsia" w:ascii="仿宋" w:hAnsi="仿宋" w:eastAsia="仿宋" w:cs="仿宋"/>
                <w:sz w:val="24"/>
              </w:rPr>
              <w:t>%（履约保证金须以支票、汇票、本票或者金融机构、担保</w:t>
            </w:r>
            <w:r>
              <w:rPr>
                <w:rFonts w:hint="eastAsia" w:ascii="仿宋" w:hAnsi="仿宋" w:eastAsia="仿宋" w:cs="仿宋"/>
                <w:sz w:val="24"/>
                <w:szCs w:val="24"/>
              </w:rPr>
              <w:t>机构出具的保函等非现金形式提交。</w:t>
            </w:r>
          </w:p>
        </w:tc>
      </w:tr>
    </w:tbl>
    <w:p>
      <w:pPr>
        <w:spacing w:after="0" w:line="240" w:lineRule="auto"/>
        <w:rPr>
          <w:sz w:val="24"/>
        </w:rPr>
        <w:sectPr>
          <w:pgSz w:w="11910" w:h="16840"/>
          <w:pgMar w:top="1480" w:right="940" w:bottom="1180" w:left="940" w:header="0" w:footer="920" w:gutter="0"/>
          <w:pgBorders>
            <w:top w:val="none" w:sz="0" w:space="0"/>
            <w:left w:val="none" w:sz="0" w:space="0"/>
            <w:bottom w:val="none" w:sz="0" w:space="0"/>
            <w:right w:val="none" w:sz="0" w:space="0"/>
          </w:pgBorders>
          <w:cols w:space="720" w:num="1"/>
        </w:sectPr>
      </w:pPr>
    </w:p>
    <w:tbl>
      <w:tblPr>
        <w:tblStyle w:val="18"/>
        <w:tblpPr w:leftFromText="180" w:rightFromText="180" w:vertAnchor="text" w:horzAnchor="page" w:tblpX="1310" w:tblpY="44"/>
        <w:tblOverlap w:val="never"/>
        <w:tblW w:w="91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764" w:type="dxa"/>
            <w:vAlign w:val="top"/>
          </w:tcPr>
          <w:p>
            <w:pPr>
              <w:pStyle w:val="22"/>
              <w:spacing w:before="5"/>
              <w:rPr>
                <w:sz w:val="24"/>
              </w:rPr>
            </w:pPr>
          </w:p>
          <w:p>
            <w:pPr>
              <w:pStyle w:val="22"/>
              <w:ind w:right="250"/>
              <w:jc w:val="right"/>
              <w:rPr>
                <w:sz w:val="24"/>
              </w:rPr>
            </w:pPr>
            <w:r>
              <w:rPr>
                <w:sz w:val="24"/>
              </w:rPr>
              <w:t>15</w:t>
            </w:r>
          </w:p>
        </w:tc>
        <w:tc>
          <w:tcPr>
            <w:tcW w:w="2587" w:type="dxa"/>
            <w:vAlign w:val="top"/>
          </w:tcPr>
          <w:p>
            <w:pPr>
              <w:pStyle w:val="22"/>
              <w:spacing w:before="5"/>
              <w:rPr>
                <w:sz w:val="24"/>
              </w:rPr>
            </w:pPr>
          </w:p>
          <w:p>
            <w:pPr>
              <w:pStyle w:val="22"/>
              <w:rPr>
                <w:sz w:val="24"/>
              </w:rPr>
            </w:pPr>
            <w:r>
              <w:rPr>
                <w:sz w:val="24"/>
              </w:rPr>
              <w:t>采购代理服务费支付</w:t>
            </w:r>
          </w:p>
        </w:tc>
        <w:tc>
          <w:tcPr>
            <w:tcW w:w="5808" w:type="dxa"/>
            <w:vAlign w:val="top"/>
          </w:tcPr>
          <w:p>
            <w:pPr>
              <w:pStyle w:val="22"/>
              <w:spacing w:before="97"/>
              <w:ind w:left="107"/>
              <w:rPr>
                <w:sz w:val="24"/>
              </w:rPr>
            </w:pPr>
            <w:r>
              <w:rPr>
                <w:sz w:val="24"/>
              </w:rPr>
              <w:t>□ 由采购人支付</w:t>
            </w:r>
          </w:p>
          <w:p>
            <w:pPr>
              <w:pStyle w:val="22"/>
              <w:tabs>
                <w:tab w:val="left" w:pos="561"/>
              </w:tabs>
              <w:spacing w:before="127"/>
              <w:ind w:left="107"/>
              <w:rPr>
                <w:sz w:val="24"/>
              </w:rPr>
            </w:pPr>
            <w:r>
              <w:rPr>
                <w:rFonts w:ascii="Wingdings" w:hAnsi="Wingdings" w:eastAsia="Wingdings"/>
                <w:sz w:val="24"/>
              </w:rPr>
              <w:t></w:t>
            </w:r>
            <w:r>
              <w:rPr>
                <w:rFonts w:ascii="Times New Roman" w:hAnsi="Times New Roman" w:eastAsia="Times New Roman"/>
                <w:sz w:val="24"/>
              </w:rPr>
              <w:tab/>
            </w:r>
            <w:r>
              <w:rPr>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64" w:type="dxa"/>
            <w:vAlign w:val="top"/>
          </w:tcPr>
          <w:p>
            <w:pPr>
              <w:pStyle w:val="22"/>
              <w:rPr>
                <w:sz w:val="22"/>
              </w:rPr>
            </w:pPr>
          </w:p>
          <w:p>
            <w:pPr>
              <w:pStyle w:val="22"/>
              <w:ind w:right="250"/>
              <w:jc w:val="right"/>
              <w:rPr>
                <w:sz w:val="24"/>
              </w:rPr>
            </w:pPr>
            <w:r>
              <w:rPr>
                <w:sz w:val="24"/>
              </w:rPr>
              <w:t>16</w:t>
            </w:r>
          </w:p>
        </w:tc>
        <w:tc>
          <w:tcPr>
            <w:tcW w:w="2587" w:type="dxa"/>
            <w:vAlign w:val="top"/>
          </w:tcPr>
          <w:p>
            <w:pPr>
              <w:pStyle w:val="22"/>
              <w:spacing w:before="32" w:line="370" w:lineRule="atLeast"/>
              <w:ind w:right="96"/>
              <w:rPr>
                <w:sz w:val="24"/>
              </w:rPr>
            </w:pPr>
            <w:r>
              <w:rPr>
                <w:sz w:val="24"/>
              </w:rPr>
              <w:t>构成采购文件的其他材料</w:t>
            </w:r>
          </w:p>
        </w:tc>
        <w:tc>
          <w:tcPr>
            <w:tcW w:w="5808" w:type="dxa"/>
            <w:vAlign w:val="top"/>
          </w:tcPr>
          <w:p>
            <w:pPr>
              <w:pStyle w:val="22"/>
              <w:rPr>
                <w:sz w:val="22"/>
              </w:rPr>
            </w:pPr>
          </w:p>
          <w:p>
            <w:pPr>
              <w:pStyle w:val="22"/>
              <w:ind w:left="107"/>
              <w:rPr>
                <w:sz w:val="24"/>
              </w:rPr>
            </w:pPr>
            <w:r>
              <w:rPr>
                <w:sz w:val="24"/>
              </w:rPr>
              <w:t>补充文件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vAlign w:val="top"/>
          </w:tcPr>
          <w:p>
            <w:pPr>
              <w:pStyle w:val="22"/>
              <w:rPr>
                <w:sz w:val="22"/>
              </w:rPr>
            </w:pPr>
          </w:p>
          <w:p>
            <w:pPr>
              <w:pStyle w:val="22"/>
              <w:ind w:right="250"/>
              <w:jc w:val="right"/>
              <w:rPr>
                <w:sz w:val="24"/>
              </w:rPr>
            </w:pPr>
            <w:r>
              <w:rPr>
                <w:sz w:val="24"/>
              </w:rPr>
              <w:t>17</w:t>
            </w:r>
          </w:p>
        </w:tc>
        <w:tc>
          <w:tcPr>
            <w:tcW w:w="2587" w:type="dxa"/>
            <w:vAlign w:val="top"/>
          </w:tcPr>
          <w:p>
            <w:pPr>
              <w:pStyle w:val="22"/>
              <w:spacing w:before="34" w:line="370" w:lineRule="atLeast"/>
              <w:ind w:right="96"/>
              <w:rPr>
                <w:sz w:val="24"/>
              </w:rPr>
            </w:pPr>
            <w:r>
              <w:rPr>
                <w:sz w:val="24"/>
              </w:rPr>
              <w:t>供应商要求澄清采购文件的截止时间</w:t>
            </w:r>
          </w:p>
        </w:tc>
        <w:tc>
          <w:tcPr>
            <w:tcW w:w="5808" w:type="dxa"/>
            <w:vAlign w:val="top"/>
          </w:tcPr>
          <w:p>
            <w:pPr>
              <w:pStyle w:val="22"/>
              <w:rPr>
                <w:sz w:val="22"/>
              </w:rPr>
            </w:pPr>
          </w:p>
          <w:p>
            <w:pPr>
              <w:pStyle w:val="22"/>
              <w:ind w:left="107"/>
              <w:rPr>
                <w:sz w:val="24"/>
              </w:rPr>
            </w:pPr>
            <w:r>
              <w:rPr>
                <w:sz w:val="24"/>
              </w:rPr>
              <w:t>采购文件发售截止之日 17 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4" w:type="dxa"/>
            <w:vAlign w:val="top"/>
          </w:tcPr>
          <w:p>
            <w:pPr>
              <w:pStyle w:val="22"/>
              <w:rPr>
                <w:sz w:val="24"/>
              </w:rPr>
            </w:pPr>
          </w:p>
          <w:p>
            <w:pPr>
              <w:pStyle w:val="22"/>
              <w:spacing w:before="161"/>
              <w:ind w:right="250"/>
              <w:jc w:val="right"/>
              <w:rPr>
                <w:sz w:val="24"/>
              </w:rPr>
            </w:pPr>
            <w:r>
              <w:rPr>
                <w:sz w:val="24"/>
              </w:rPr>
              <w:t>18</w:t>
            </w:r>
          </w:p>
        </w:tc>
        <w:tc>
          <w:tcPr>
            <w:tcW w:w="2587" w:type="dxa"/>
            <w:vAlign w:val="top"/>
          </w:tcPr>
          <w:p>
            <w:pPr>
              <w:pStyle w:val="22"/>
              <w:spacing w:before="32" w:line="370" w:lineRule="atLeast"/>
              <w:ind w:right="96"/>
              <w:jc w:val="both"/>
              <w:rPr>
                <w:sz w:val="24"/>
              </w:rPr>
            </w:pPr>
            <w:r>
              <w:rPr>
                <w:sz w:val="24"/>
              </w:rPr>
              <w:t>供应商确认收到采购文件澄清或修改的时间</w:t>
            </w:r>
          </w:p>
        </w:tc>
        <w:tc>
          <w:tcPr>
            <w:tcW w:w="5808" w:type="dxa"/>
            <w:vAlign w:val="top"/>
          </w:tcPr>
          <w:p>
            <w:pPr>
              <w:pStyle w:val="22"/>
              <w:rPr>
                <w:sz w:val="24"/>
              </w:rPr>
            </w:pPr>
          </w:p>
          <w:p>
            <w:pPr>
              <w:pStyle w:val="22"/>
              <w:spacing w:before="161"/>
              <w:ind w:left="107"/>
              <w:rPr>
                <w:sz w:val="24"/>
              </w:rPr>
            </w:pPr>
            <w:r>
              <w:rPr>
                <w:sz w:val="24"/>
              </w:rPr>
              <w:t>从补充文件发布时间开始 48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1" w:hRule="atLeast"/>
        </w:trPr>
        <w:tc>
          <w:tcPr>
            <w:tcW w:w="764" w:type="dxa"/>
            <w:tcFitText/>
            <w:vAlign w:val="top"/>
          </w:tcPr>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spacing w:before="4"/>
              <w:ind w:left="0" w:leftChars="0"/>
              <w:rPr>
                <w:sz w:val="29"/>
              </w:rPr>
            </w:pPr>
          </w:p>
          <w:p>
            <w:pPr>
              <w:pStyle w:val="22"/>
              <w:ind w:left="0" w:leftChars="0" w:right="250"/>
              <w:jc w:val="right"/>
              <w:rPr>
                <w:sz w:val="24"/>
              </w:rPr>
            </w:pPr>
            <w:r>
              <w:rPr>
                <w:sz w:val="24"/>
              </w:rPr>
              <w:t>19</w:t>
            </w:r>
          </w:p>
        </w:tc>
        <w:tc>
          <w:tcPr>
            <w:tcW w:w="2587" w:type="dxa"/>
            <w:tcFitText/>
            <w:vAlign w:val="top"/>
          </w:tcPr>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ind w:left="0" w:leftChars="0"/>
              <w:rPr>
                <w:sz w:val="24"/>
              </w:rPr>
            </w:pPr>
          </w:p>
          <w:p>
            <w:pPr>
              <w:pStyle w:val="22"/>
              <w:spacing w:before="4"/>
              <w:ind w:left="0" w:leftChars="0"/>
              <w:rPr>
                <w:sz w:val="29"/>
              </w:rPr>
            </w:pPr>
          </w:p>
          <w:p>
            <w:pPr>
              <w:pStyle w:val="22"/>
              <w:ind w:left="107" w:leftChars="0"/>
              <w:rPr>
                <w:sz w:val="24"/>
              </w:rPr>
            </w:pPr>
          </w:p>
          <w:p>
            <w:pPr>
              <w:pStyle w:val="22"/>
              <w:ind w:left="107" w:leftChars="0"/>
              <w:rPr>
                <w:sz w:val="24"/>
              </w:rPr>
            </w:pPr>
          </w:p>
          <w:p>
            <w:pPr>
              <w:pStyle w:val="22"/>
              <w:ind w:left="107" w:leftChars="0"/>
              <w:rPr>
                <w:sz w:val="24"/>
              </w:rPr>
            </w:pPr>
          </w:p>
          <w:p>
            <w:pPr>
              <w:pStyle w:val="22"/>
              <w:ind w:left="107" w:leftChars="0"/>
              <w:rPr>
                <w:sz w:val="24"/>
              </w:rPr>
            </w:pPr>
          </w:p>
          <w:p>
            <w:pPr>
              <w:pStyle w:val="22"/>
              <w:ind w:left="107" w:leftChars="0"/>
              <w:rPr>
                <w:sz w:val="24"/>
              </w:rPr>
            </w:pPr>
            <w:r>
              <w:rPr>
                <w:sz w:val="24"/>
              </w:rPr>
              <w:t>供应商资格条件</w:t>
            </w:r>
          </w:p>
        </w:tc>
        <w:tc>
          <w:tcPr>
            <w:tcW w:w="5808" w:type="dxa"/>
            <w:tcFitText/>
            <w:vAlign w:val="top"/>
          </w:tcPr>
          <w:p>
            <w:pPr>
              <w:pStyle w:val="22"/>
              <w:numPr>
                <w:ilvl w:val="0"/>
                <w:numId w:val="0"/>
              </w:numPr>
              <w:spacing w:line="240" w:lineRule="auto"/>
              <w:ind w:left="107" w:leftChars="0" w:right="0" w:rightChars="0"/>
              <w:rPr>
                <w:rFonts w:hint="eastAsia" w:eastAsia="仿宋"/>
                <w:spacing w:val="0"/>
                <w:sz w:val="24"/>
                <w:lang w:val="en-US" w:eastAsia="zh-CN"/>
              </w:rPr>
            </w:pPr>
          </w:p>
          <w:p>
            <w:pPr>
              <w:pStyle w:val="22"/>
              <w:numPr>
                <w:ilvl w:val="0"/>
                <w:numId w:val="0"/>
              </w:numPr>
              <w:spacing w:line="480" w:lineRule="auto"/>
              <w:ind w:left="107" w:leftChars="0" w:right="0" w:rightChars="0"/>
              <w:rPr>
                <w:rFonts w:hint="default" w:eastAsia="仿宋"/>
                <w:spacing w:val="0"/>
                <w:sz w:val="24"/>
                <w:lang w:val="en-US" w:eastAsia="zh-CN"/>
              </w:rPr>
            </w:pPr>
            <w:r>
              <w:rPr>
                <w:rFonts w:hint="eastAsia"/>
                <w:spacing w:val="0"/>
                <w:sz w:val="24"/>
                <w:lang w:val="en-US" w:eastAsia="zh-CN"/>
              </w:rPr>
              <w:t>供应商资格要求：</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spacing w:val="0"/>
                <w:sz w:val="24"/>
                <w:lang w:val="en-US" w:eastAsia="zh-CN"/>
              </w:rPr>
              <w:t>1</w:t>
            </w:r>
            <w:r>
              <w:rPr>
                <w:rFonts w:hint="eastAsia" w:eastAsia="仿宋"/>
                <w:spacing w:val="0"/>
                <w:sz w:val="24"/>
                <w:lang w:val="en-US" w:eastAsia="zh-CN"/>
              </w:rPr>
              <w:t xml:space="preserve">满足《中华人民共和国政府采购法》第二十二条规定； </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spacing w:val="0"/>
                <w:sz w:val="24"/>
                <w:lang w:val="en-US" w:eastAsia="zh-CN"/>
              </w:rPr>
              <w:t>2</w:t>
            </w:r>
            <w:r>
              <w:rPr>
                <w:rFonts w:hint="eastAsia" w:eastAsia="仿宋"/>
                <w:spacing w:val="0"/>
                <w:sz w:val="24"/>
                <w:lang w:val="en-US" w:eastAsia="zh-CN"/>
              </w:rPr>
              <w:t>.落实政府采购政策需满足的资格要求：</w:t>
            </w:r>
          </w:p>
          <w:p>
            <w:pPr>
              <w:pStyle w:val="22"/>
              <w:numPr>
                <w:ilvl w:val="0"/>
                <w:numId w:val="5"/>
              </w:numPr>
              <w:spacing w:line="480" w:lineRule="auto"/>
              <w:ind w:left="0" w:leftChars="0" w:right="0" w:rightChars="0" w:firstLine="0" w:firstLineChars="0"/>
              <w:rPr>
                <w:rFonts w:hint="eastAsia" w:eastAsia="仿宋"/>
                <w:spacing w:val="0"/>
                <w:sz w:val="24"/>
                <w:lang w:val="en-US" w:eastAsia="zh-CN"/>
              </w:rPr>
            </w:pPr>
            <w:r>
              <w:rPr>
                <w:rFonts w:hint="eastAsia" w:eastAsia="仿宋"/>
                <w:spacing w:val="0"/>
                <w:sz w:val="24"/>
                <w:lang w:val="en-US" w:eastAsia="zh-CN"/>
              </w:rPr>
              <w:t>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w:t>
            </w:r>
            <w:r>
              <w:rPr>
                <w:rFonts w:hint="eastAsia" w:eastAsia="仿宋"/>
                <w:spacing w:val="0"/>
                <w:sz w:val="24"/>
                <w:lang w:val="en-US" w:eastAsia="zh-CN"/>
              </w:rPr>
              <w:br w:type="textWrapping"/>
            </w:r>
            <w:r>
              <w:rPr>
                <w:rFonts w:hint="eastAsia" w:eastAsia="仿宋"/>
                <w:spacing w:val="0"/>
                <w:sz w:val="24"/>
                <w:lang w:val="en-US" w:eastAsia="zh-CN"/>
              </w:rPr>
              <w:t> （5）财政部、工业和信息化部《关于印发《政府采购促进中小企业发展管理办法》的通知》（财库[2020]46号文）； （6）财政部、民政部、中国残疾人联合会《关于促进残疾人就业政府采购政策的通知》（财库[2017]141号）； （7）财政部、司法部《关于政府采购支持监狱企业发展有关问题的通知》（财库[2015]68号文） </w:t>
            </w:r>
          </w:p>
          <w:p>
            <w:pPr>
              <w:pStyle w:val="22"/>
              <w:numPr>
                <w:ilvl w:val="0"/>
                <w:numId w:val="0"/>
              </w:numPr>
              <w:spacing w:line="480" w:lineRule="auto"/>
              <w:ind w:right="0" w:rightChars="0"/>
              <w:rPr>
                <w:rFonts w:hint="eastAsia" w:eastAsia="仿宋"/>
                <w:spacing w:val="0"/>
                <w:sz w:val="24"/>
                <w:lang w:val="en-US" w:eastAsia="zh-CN"/>
              </w:rPr>
            </w:pPr>
            <w:r>
              <w:rPr>
                <w:rFonts w:hint="eastAsia" w:eastAsia="仿宋"/>
                <w:spacing w:val="0"/>
                <w:sz w:val="24"/>
                <w:lang w:val="en-US" w:eastAsia="zh-CN"/>
              </w:rPr>
              <w:t>3.本项目的特定资格要求：</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1、营业执照；</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2</w:t>
            </w:r>
            <w:r>
              <w:rPr>
                <w:rFonts w:hint="eastAsia"/>
                <w:spacing w:val="0"/>
                <w:sz w:val="24"/>
                <w:lang w:val="en-US" w:eastAsia="zh-CN"/>
              </w:rPr>
              <w:t>、法定代表人身份证明、法定代表人授权委托书</w:t>
            </w:r>
            <w:r>
              <w:rPr>
                <w:rFonts w:hint="eastAsia" w:eastAsia="仿宋"/>
                <w:spacing w:val="0"/>
                <w:sz w:val="24"/>
                <w:lang w:val="en-US" w:eastAsia="zh-CN"/>
              </w:rPr>
              <w:t>；</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3、近三个月的社保（含委托人，退休人员提供退休证）；</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4、近三个月完税证明；</w:t>
            </w:r>
          </w:p>
          <w:p>
            <w:pPr>
              <w:pStyle w:val="22"/>
              <w:numPr>
                <w:ilvl w:val="0"/>
                <w:numId w:val="0"/>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5、近一年财务审计报告或财务报表（成立不足一年提供成立至今的财务报表）</w:t>
            </w:r>
            <w:r>
              <w:rPr>
                <w:rFonts w:hint="eastAsia"/>
                <w:spacing w:val="0"/>
                <w:sz w:val="24"/>
                <w:lang w:val="en-US" w:eastAsia="zh-CN"/>
              </w:rPr>
              <w:t> </w:t>
            </w:r>
            <w:r>
              <w:rPr>
                <w:rFonts w:hint="eastAsia" w:eastAsia="仿宋"/>
                <w:spacing w:val="0"/>
                <w:sz w:val="24"/>
                <w:lang w:val="en-US" w:eastAsia="zh-CN"/>
              </w:rPr>
              <w:t>；</w:t>
            </w:r>
          </w:p>
          <w:p>
            <w:pPr>
              <w:pStyle w:val="22"/>
              <w:numPr>
                <w:ilvl w:val="0"/>
                <w:numId w:val="6"/>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具备市政公用工程施工总承包三级及以上（含三级）资质且具备有效的安全生产许可证，外地企业需提供进疆备案册 ；</w:t>
            </w:r>
          </w:p>
          <w:p>
            <w:pPr>
              <w:pStyle w:val="22"/>
              <w:numPr>
                <w:ilvl w:val="0"/>
                <w:numId w:val="6"/>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拟派项目负责人：具有二级建造师证（市政公用工程专业）及以上具备有效的安全生产考核合格证书；</w:t>
            </w:r>
          </w:p>
          <w:p>
            <w:pPr>
              <w:pStyle w:val="22"/>
              <w:numPr>
                <w:ilvl w:val="0"/>
                <w:numId w:val="6"/>
              </w:numPr>
              <w:spacing w:line="480" w:lineRule="auto"/>
              <w:ind w:left="107" w:leftChars="0" w:right="0" w:rightChars="0"/>
              <w:rPr>
                <w:rFonts w:hint="eastAsia" w:eastAsia="仿宋"/>
                <w:spacing w:val="0"/>
                <w:sz w:val="24"/>
                <w:lang w:val="en-US" w:eastAsia="zh-CN"/>
              </w:rPr>
            </w:pPr>
            <w:r>
              <w:rPr>
                <w:rFonts w:hint="eastAsia" w:eastAsia="仿宋"/>
                <w:spacing w:val="0"/>
                <w:sz w:val="24"/>
                <w:lang w:val="en-US" w:eastAsia="zh-CN"/>
              </w:rPr>
              <w:t>信用中国及中国政府采购网查询结果截图</w:t>
            </w:r>
          </w:p>
          <w:p>
            <w:pPr>
              <w:pStyle w:val="22"/>
              <w:numPr>
                <w:ilvl w:val="0"/>
                <w:numId w:val="0"/>
              </w:numPr>
              <w:spacing w:line="480" w:lineRule="auto"/>
              <w:ind w:right="0" w:rightChars="0"/>
              <w:rPr>
                <w:rFonts w:hint="eastAsia" w:eastAsia="仿宋"/>
                <w:spacing w:val="0"/>
                <w:sz w:val="24"/>
                <w:lang w:val="en-US" w:eastAsia="zh-CN"/>
              </w:rPr>
            </w:pPr>
            <w:r>
              <w:rPr>
                <w:rFonts w:hint="eastAsia"/>
                <w:spacing w:val="0"/>
                <w:sz w:val="24"/>
                <w:lang w:val="en-US" w:eastAsia="zh-CN"/>
              </w:rPr>
              <w:t>注：</w:t>
            </w:r>
            <w:r>
              <w:rPr>
                <w:rFonts w:hint="eastAsia" w:eastAsia="仿宋"/>
                <w:spacing w:val="0"/>
                <w:sz w:val="24"/>
                <w:lang w:val="en-US" w:eastAsia="zh-CN"/>
              </w:rPr>
              <w:t>本项目不接受联合体。</w:t>
            </w:r>
          </w:p>
          <w:p>
            <w:pPr>
              <w:pStyle w:val="22"/>
              <w:numPr>
                <w:ilvl w:val="0"/>
                <w:numId w:val="0"/>
              </w:numPr>
              <w:spacing w:line="480" w:lineRule="auto"/>
              <w:ind w:left="107" w:leftChars="0" w:right="0" w:rightChars="0"/>
              <w:rPr>
                <w:rFonts w:hint="eastAsia" w:eastAsia="仿宋"/>
                <w:spacing w:val="0"/>
                <w:sz w:val="24"/>
                <w:lang w:val="en-US" w:eastAsia="zh-CN"/>
              </w:rPr>
            </w:pPr>
          </w:p>
        </w:tc>
      </w:tr>
    </w:tbl>
    <w:p>
      <w:pPr>
        <w:pStyle w:val="8"/>
        <w:rPr>
          <w:rFonts w:ascii="黑体"/>
          <w:sz w:val="20"/>
        </w:rPr>
      </w:pPr>
    </w:p>
    <w:p>
      <w:pPr>
        <w:pStyle w:val="8"/>
        <w:rPr>
          <w:rFonts w:ascii="黑体"/>
          <w:sz w:val="20"/>
        </w:rPr>
      </w:pPr>
    </w:p>
    <w:p>
      <w:pPr>
        <w:pStyle w:val="8"/>
        <w:rPr>
          <w:rFonts w:ascii="黑体"/>
          <w:sz w:val="20"/>
        </w:rPr>
      </w:pPr>
    </w:p>
    <w:p>
      <w:pPr>
        <w:spacing w:after="0"/>
        <w:jc w:val="right"/>
        <w:sectPr>
          <w:pgSz w:w="11910" w:h="16840"/>
          <w:pgMar w:top="1400" w:right="940" w:bottom="1180" w:left="940" w:header="0" w:footer="920" w:gutter="0"/>
          <w:pgBorders>
            <w:top w:val="none" w:sz="0" w:space="0"/>
            <w:left w:val="none" w:sz="0" w:space="0"/>
            <w:bottom w:val="none" w:sz="0" w:space="0"/>
            <w:right w:val="none" w:sz="0" w:space="0"/>
          </w:pgBorders>
          <w:cols w:space="720" w:num="1"/>
        </w:sectPr>
      </w:pPr>
    </w:p>
    <w:tbl>
      <w:tblPr>
        <w:tblStyle w:val="18"/>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764" w:type="dxa"/>
          </w:tcPr>
          <w:p>
            <w:pPr>
              <w:pStyle w:val="22"/>
              <w:rPr>
                <w:sz w:val="24"/>
              </w:rPr>
            </w:pPr>
          </w:p>
          <w:p>
            <w:pPr>
              <w:pStyle w:val="22"/>
              <w:rPr>
                <w:sz w:val="24"/>
              </w:rPr>
            </w:pPr>
          </w:p>
          <w:p>
            <w:pPr>
              <w:pStyle w:val="22"/>
              <w:spacing w:before="3"/>
              <w:rPr>
                <w:sz w:val="20"/>
              </w:rPr>
            </w:pPr>
          </w:p>
          <w:p>
            <w:pPr>
              <w:pStyle w:val="22"/>
              <w:spacing w:before="1"/>
              <w:ind w:right="250"/>
              <w:jc w:val="right"/>
              <w:rPr>
                <w:sz w:val="24"/>
              </w:rPr>
            </w:pPr>
            <w:r>
              <w:rPr>
                <w:sz w:val="24"/>
              </w:rPr>
              <w:t>20</w:t>
            </w:r>
          </w:p>
        </w:tc>
        <w:tc>
          <w:tcPr>
            <w:tcW w:w="2587" w:type="dxa"/>
          </w:tcPr>
          <w:p>
            <w:pPr>
              <w:pStyle w:val="22"/>
              <w:rPr>
                <w:sz w:val="24"/>
              </w:rPr>
            </w:pPr>
          </w:p>
          <w:p>
            <w:pPr>
              <w:pStyle w:val="22"/>
              <w:spacing w:before="8"/>
              <w:rPr>
                <w:sz w:val="29"/>
              </w:rPr>
            </w:pPr>
          </w:p>
          <w:p>
            <w:pPr>
              <w:pStyle w:val="22"/>
              <w:spacing w:before="1" w:line="290" w:lineRule="auto"/>
              <w:ind w:right="96"/>
              <w:rPr>
                <w:sz w:val="24"/>
              </w:rPr>
            </w:pPr>
            <w:r>
              <w:rPr>
                <w:sz w:val="24"/>
              </w:rPr>
              <w:t>是否允许递交备选报价方案</w:t>
            </w:r>
          </w:p>
        </w:tc>
        <w:tc>
          <w:tcPr>
            <w:tcW w:w="5808" w:type="dxa"/>
          </w:tcPr>
          <w:p>
            <w:pPr>
              <w:pStyle w:val="22"/>
              <w:spacing w:before="95"/>
              <w:ind w:left="107"/>
              <w:jc w:val="both"/>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不允许</w:t>
            </w:r>
          </w:p>
          <w:p>
            <w:pPr>
              <w:pStyle w:val="22"/>
              <w:spacing w:before="129" w:line="292" w:lineRule="auto"/>
              <w:ind w:left="467" w:right="96" w:hanging="360"/>
              <w:jc w:val="both"/>
              <w:rPr>
                <w:sz w:val="24"/>
              </w:rPr>
            </w:pPr>
            <w:r>
              <w:rPr>
                <w:spacing w:val="-9"/>
                <w:sz w:val="24"/>
              </w:rPr>
              <w:t>□ 允许。要求：只有成交供应商所递交的备选报价方</w:t>
            </w:r>
            <w:r>
              <w:rPr>
                <w:spacing w:val="-7"/>
                <w:sz w:val="24"/>
              </w:rPr>
              <w:t>案方可予以考虑。磋商小组认为成交供应商的备选</w:t>
            </w:r>
            <w:r>
              <w:rPr>
                <w:spacing w:val="-4"/>
                <w:sz w:val="24"/>
              </w:rPr>
              <w:t>报价方案优于其按照采购文件要求的报价方案，采</w:t>
            </w:r>
          </w:p>
          <w:p>
            <w:pPr>
              <w:pStyle w:val="22"/>
              <w:spacing w:line="305" w:lineRule="exact"/>
              <w:ind w:left="467"/>
              <w:rPr>
                <w:sz w:val="24"/>
              </w:rPr>
            </w:pPr>
            <w:r>
              <w:rPr>
                <w:sz w:val="24"/>
              </w:rPr>
              <w:t>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22"/>
              <w:rPr>
                <w:sz w:val="24"/>
              </w:rPr>
            </w:pPr>
          </w:p>
          <w:p>
            <w:pPr>
              <w:pStyle w:val="22"/>
              <w:spacing w:before="162"/>
              <w:ind w:right="250"/>
              <w:jc w:val="right"/>
              <w:rPr>
                <w:sz w:val="24"/>
              </w:rPr>
            </w:pPr>
            <w:r>
              <w:rPr>
                <w:sz w:val="24"/>
              </w:rPr>
              <w:t>21</w:t>
            </w:r>
          </w:p>
        </w:tc>
        <w:tc>
          <w:tcPr>
            <w:tcW w:w="2587" w:type="dxa"/>
          </w:tcPr>
          <w:p>
            <w:pPr>
              <w:pStyle w:val="22"/>
              <w:rPr>
                <w:sz w:val="24"/>
              </w:rPr>
            </w:pPr>
          </w:p>
          <w:p>
            <w:pPr>
              <w:pStyle w:val="22"/>
              <w:spacing w:before="162"/>
              <w:rPr>
                <w:sz w:val="24"/>
              </w:rPr>
            </w:pPr>
            <w:r>
              <w:rPr>
                <w:sz w:val="24"/>
              </w:rPr>
              <w:t>响应报价的范围</w:t>
            </w:r>
          </w:p>
        </w:tc>
        <w:tc>
          <w:tcPr>
            <w:tcW w:w="5808" w:type="dxa"/>
          </w:tcPr>
          <w:p>
            <w:pPr>
              <w:pStyle w:val="22"/>
              <w:spacing w:before="95"/>
              <w:ind w:left="107"/>
              <w:rPr>
                <w:sz w:val="24"/>
              </w:rPr>
            </w:pPr>
            <w:r>
              <w:rPr>
                <w:sz w:val="24"/>
              </w:rPr>
              <w:t>含税全包价，包括产品的设计、制作、包装、保险、</w:t>
            </w:r>
          </w:p>
          <w:p>
            <w:pPr>
              <w:pStyle w:val="22"/>
              <w:spacing w:before="5" w:line="370" w:lineRule="atLeast"/>
              <w:ind w:left="107" w:right="96"/>
              <w:rPr>
                <w:sz w:val="24"/>
              </w:rPr>
            </w:pPr>
            <w:r>
              <w:rPr>
                <w:sz w:val="24"/>
              </w:rPr>
              <w:t>运输、装卸、</w:t>
            </w:r>
            <w:r>
              <w:rPr>
                <w:sz w:val="24"/>
                <w:u w:val="single"/>
              </w:rPr>
              <w:t>安装、调试</w:t>
            </w:r>
            <w:r>
              <w:rPr>
                <w:sz w:val="24"/>
              </w:rPr>
              <w:t>、培训、验收、保修等一切费用（即交钥匙工程）。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tcPr>
          <w:p>
            <w:pPr>
              <w:pStyle w:val="22"/>
              <w:spacing w:before="11"/>
              <w:rPr>
                <w:sz w:val="21"/>
              </w:rPr>
            </w:pPr>
          </w:p>
          <w:p>
            <w:pPr>
              <w:pStyle w:val="22"/>
              <w:ind w:right="250"/>
              <w:jc w:val="right"/>
              <w:rPr>
                <w:sz w:val="24"/>
              </w:rPr>
            </w:pPr>
            <w:r>
              <w:rPr>
                <w:sz w:val="24"/>
              </w:rPr>
              <w:t>22</w:t>
            </w:r>
          </w:p>
        </w:tc>
        <w:tc>
          <w:tcPr>
            <w:tcW w:w="2587" w:type="dxa"/>
          </w:tcPr>
          <w:p>
            <w:pPr>
              <w:pStyle w:val="22"/>
              <w:spacing w:before="11"/>
              <w:rPr>
                <w:sz w:val="21"/>
              </w:rPr>
            </w:pPr>
          </w:p>
          <w:p>
            <w:pPr>
              <w:pStyle w:val="22"/>
              <w:rPr>
                <w:sz w:val="24"/>
              </w:rPr>
            </w:pPr>
            <w:r>
              <w:rPr>
                <w:sz w:val="24"/>
              </w:rPr>
              <w:t>响应报价的次数</w:t>
            </w:r>
          </w:p>
        </w:tc>
        <w:tc>
          <w:tcPr>
            <w:tcW w:w="5808" w:type="dxa"/>
          </w:tcPr>
          <w:p>
            <w:pPr>
              <w:pStyle w:val="22"/>
              <w:spacing w:before="33" w:line="370" w:lineRule="atLeast"/>
              <w:ind w:left="107" w:right="98"/>
              <w:rPr>
                <w:sz w:val="24"/>
              </w:rPr>
            </w:pPr>
            <w:r>
              <w:rPr>
                <w:sz w:val="24"/>
              </w:rPr>
              <w:t>本次响应报价实行多轮报价，原则上第三轮报价为最终报价。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764" w:type="dxa"/>
          </w:tcPr>
          <w:p>
            <w:pPr>
              <w:pStyle w:val="22"/>
              <w:spacing w:before="4"/>
              <w:rPr>
                <w:sz w:val="24"/>
              </w:rPr>
            </w:pPr>
          </w:p>
          <w:p>
            <w:pPr>
              <w:pStyle w:val="22"/>
              <w:ind w:right="250"/>
              <w:jc w:val="right"/>
              <w:rPr>
                <w:sz w:val="24"/>
              </w:rPr>
            </w:pPr>
            <w:r>
              <w:rPr>
                <w:sz w:val="24"/>
              </w:rPr>
              <w:t>23</w:t>
            </w:r>
          </w:p>
        </w:tc>
        <w:tc>
          <w:tcPr>
            <w:tcW w:w="2587" w:type="dxa"/>
          </w:tcPr>
          <w:p>
            <w:pPr>
              <w:pStyle w:val="22"/>
              <w:spacing w:before="4"/>
              <w:rPr>
                <w:sz w:val="24"/>
              </w:rPr>
            </w:pPr>
          </w:p>
          <w:p>
            <w:pPr>
              <w:pStyle w:val="22"/>
              <w:rPr>
                <w:sz w:val="24"/>
              </w:rPr>
            </w:pPr>
            <w:r>
              <w:rPr>
                <w:sz w:val="24"/>
              </w:rPr>
              <w:t>进口产品投标</w:t>
            </w:r>
          </w:p>
        </w:tc>
        <w:tc>
          <w:tcPr>
            <w:tcW w:w="5808" w:type="dxa"/>
          </w:tcPr>
          <w:p>
            <w:pPr>
              <w:pStyle w:val="22"/>
              <w:tabs>
                <w:tab w:val="left" w:pos="561"/>
              </w:tabs>
              <w:spacing w:before="95"/>
              <w:ind w:left="107"/>
              <w:rPr>
                <w:sz w:val="24"/>
              </w:rPr>
            </w:pPr>
            <w:r>
              <w:rPr>
                <w:rFonts w:ascii="Wingdings" w:hAnsi="Wingdings" w:eastAsia="Wingdings"/>
                <w:sz w:val="24"/>
              </w:rPr>
              <w:t></w:t>
            </w:r>
            <w:r>
              <w:rPr>
                <w:rFonts w:ascii="Times New Roman" w:hAnsi="Times New Roman" w:eastAsia="Times New Roman"/>
                <w:sz w:val="24"/>
              </w:rPr>
              <w:tab/>
            </w:r>
            <w:r>
              <w:rPr>
                <w:sz w:val="24"/>
              </w:rPr>
              <w:t>不允许</w:t>
            </w:r>
          </w:p>
          <w:p>
            <w:pPr>
              <w:pStyle w:val="22"/>
              <w:tabs>
                <w:tab w:val="left" w:pos="4246"/>
              </w:tabs>
              <w:spacing w:before="127"/>
              <w:ind w:left="107"/>
              <w:rPr>
                <w:rFonts w:ascii="Times New Roman" w:hAnsi="Times New Roman" w:eastAsia="Times New Roman"/>
                <w:sz w:val="24"/>
              </w:rPr>
            </w:pPr>
            <w:r>
              <w:rPr>
                <w:sz w:val="24"/>
              </w:rPr>
              <w:t>□</w:t>
            </w:r>
            <w:r>
              <w:rPr>
                <w:spacing w:val="-1"/>
                <w:sz w:val="24"/>
              </w:rPr>
              <w:t xml:space="preserve"> </w:t>
            </w:r>
            <w:r>
              <w:rPr>
                <w:sz w:val="24"/>
              </w:rPr>
              <w:t>允许，产品名目清单：</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2" w:hRule="atLeast"/>
        </w:trPr>
        <w:tc>
          <w:tcPr>
            <w:tcW w:w="764" w:type="dxa"/>
          </w:tcPr>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spacing w:before="9"/>
              <w:rPr>
                <w:sz w:val="31"/>
              </w:rPr>
            </w:pPr>
          </w:p>
          <w:p>
            <w:pPr>
              <w:pStyle w:val="22"/>
              <w:ind w:right="250"/>
              <w:jc w:val="right"/>
              <w:rPr>
                <w:sz w:val="24"/>
              </w:rPr>
            </w:pPr>
            <w:r>
              <w:rPr>
                <w:sz w:val="24"/>
              </w:rPr>
              <w:t>24</w:t>
            </w:r>
          </w:p>
        </w:tc>
        <w:tc>
          <w:tcPr>
            <w:tcW w:w="2587" w:type="dxa"/>
          </w:tcPr>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spacing w:before="9"/>
              <w:rPr>
                <w:sz w:val="31"/>
              </w:rPr>
            </w:pPr>
          </w:p>
          <w:p>
            <w:pPr>
              <w:pStyle w:val="22"/>
              <w:rPr>
                <w:sz w:val="24"/>
              </w:rPr>
            </w:pPr>
            <w:r>
              <w:rPr>
                <w:sz w:val="24"/>
              </w:rPr>
              <w:t>样品</w:t>
            </w:r>
          </w:p>
        </w:tc>
        <w:tc>
          <w:tcPr>
            <w:tcW w:w="5808" w:type="dxa"/>
          </w:tcPr>
          <w:p>
            <w:pPr>
              <w:pStyle w:val="22"/>
              <w:spacing w:before="96"/>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不需要</w:t>
            </w:r>
          </w:p>
          <w:p>
            <w:pPr>
              <w:pStyle w:val="22"/>
              <w:numPr>
                <w:ilvl w:val="0"/>
                <w:numId w:val="7"/>
              </w:numPr>
              <w:tabs>
                <w:tab w:val="left" w:pos="468"/>
              </w:tabs>
              <w:spacing w:before="127" w:after="0" w:line="240" w:lineRule="auto"/>
              <w:ind w:left="467" w:right="0" w:hanging="361"/>
              <w:jc w:val="left"/>
              <w:rPr>
                <w:sz w:val="24"/>
              </w:rPr>
            </w:pPr>
            <w:r>
              <w:rPr>
                <w:sz w:val="24"/>
              </w:rPr>
              <w:t>需要，样品要求如下：</w:t>
            </w:r>
          </w:p>
          <w:p>
            <w:pPr>
              <w:pStyle w:val="22"/>
              <w:numPr>
                <w:ilvl w:val="1"/>
                <w:numId w:val="7"/>
              </w:numPr>
              <w:tabs>
                <w:tab w:val="left" w:pos="709"/>
              </w:tabs>
              <w:spacing w:before="130" w:after="0" w:line="292" w:lineRule="auto"/>
              <w:ind w:left="107" w:right="96" w:firstLine="360"/>
              <w:jc w:val="left"/>
              <w:rPr>
                <w:sz w:val="24"/>
              </w:rPr>
            </w:pPr>
            <w:r>
              <w:rPr>
                <w:spacing w:val="-7"/>
                <w:sz w:val="24"/>
              </w:rPr>
              <w:t>样品：采购文件中带“※”标注的货物为供应商</w:t>
            </w:r>
            <w:r>
              <w:rPr>
                <w:sz w:val="24"/>
              </w:rPr>
              <w:t>开标时应提供的样品。</w:t>
            </w:r>
          </w:p>
          <w:p>
            <w:pPr>
              <w:pStyle w:val="22"/>
              <w:numPr>
                <w:ilvl w:val="1"/>
                <w:numId w:val="7"/>
              </w:numPr>
              <w:tabs>
                <w:tab w:val="left" w:pos="709"/>
              </w:tabs>
              <w:spacing w:before="61" w:after="0" w:line="292" w:lineRule="auto"/>
              <w:ind w:left="107" w:right="96" w:firstLine="360"/>
              <w:jc w:val="left"/>
              <w:rPr>
                <w:sz w:val="24"/>
              </w:rPr>
            </w:pPr>
            <w:r>
              <w:rPr>
                <w:spacing w:val="-7"/>
                <w:sz w:val="24"/>
              </w:rPr>
              <w:t>样品的生产、安装、运输费、保全费等一切费用</w:t>
            </w:r>
            <w:r>
              <w:rPr>
                <w:sz w:val="24"/>
              </w:rPr>
              <w:t>由供应商自理。</w:t>
            </w:r>
          </w:p>
          <w:p>
            <w:pPr>
              <w:pStyle w:val="22"/>
              <w:numPr>
                <w:ilvl w:val="1"/>
                <w:numId w:val="7"/>
              </w:numPr>
              <w:tabs>
                <w:tab w:val="left" w:pos="709"/>
              </w:tabs>
              <w:spacing w:before="60" w:after="0" w:line="240" w:lineRule="auto"/>
              <w:ind w:left="708" w:right="0" w:hanging="242"/>
              <w:jc w:val="left"/>
              <w:rPr>
                <w:sz w:val="24"/>
              </w:rPr>
            </w:pPr>
            <w:r>
              <w:rPr>
                <w:sz w:val="24"/>
              </w:rPr>
              <w:t>送样截止时间：</w:t>
            </w:r>
            <w:r>
              <w:rPr>
                <w:rFonts w:hint="eastAsia"/>
                <w:sz w:val="24"/>
                <w:lang w:val="en-US" w:eastAsia="zh-CN"/>
              </w:rPr>
              <w:t xml:space="preserve">  </w:t>
            </w:r>
            <w:r>
              <w:rPr>
                <w:spacing w:val="59"/>
                <w:sz w:val="24"/>
              </w:rPr>
              <w:t>年 月 日</w:t>
            </w:r>
            <w:r>
              <w:rPr>
                <w:rFonts w:hint="eastAsia"/>
                <w:spacing w:val="59"/>
                <w:sz w:val="24"/>
                <w:lang w:val="en-US" w:eastAsia="zh-CN"/>
              </w:rPr>
              <w:t xml:space="preserve"> </w:t>
            </w:r>
            <w:r>
              <w:rPr>
                <w:sz w:val="24"/>
              </w:rPr>
              <w:t>时</w:t>
            </w:r>
            <w:r>
              <w:rPr>
                <w:spacing w:val="39"/>
                <w:sz w:val="24"/>
              </w:rPr>
              <w:t xml:space="preserve"> 分，</w:t>
            </w:r>
          </w:p>
          <w:p>
            <w:pPr>
              <w:pStyle w:val="22"/>
              <w:numPr>
                <w:ilvl w:val="1"/>
                <w:numId w:val="7"/>
              </w:numPr>
              <w:tabs>
                <w:tab w:val="left" w:pos="709"/>
                <w:tab w:val="left" w:pos="4283"/>
              </w:tabs>
              <w:spacing w:before="130" w:after="0" w:line="292" w:lineRule="auto"/>
              <w:ind w:left="107" w:right="96" w:firstLine="360"/>
              <w:jc w:val="left"/>
              <w:rPr>
                <w:sz w:val="24"/>
              </w:rPr>
            </w:pPr>
            <w:r>
              <w:rPr>
                <w:sz w:val="24"/>
              </w:rPr>
              <w:t>送样送达地点</w:t>
            </w:r>
            <w:r>
              <w:rPr>
                <w:spacing w:val="-25"/>
                <w:sz w:val="24"/>
              </w:rPr>
              <w:t>：</w:t>
            </w:r>
            <w:r>
              <w:rPr>
                <w:spacing w:val="-25"/>
                <w:sz w:val="24"/>
                <w:u w:val="single"/>
              </w:rPr>
              <w:t xml:space="preserve"> </w:t>
            </w:r>
            <w:r>
              <w:rPr>
                <w:spacing w:val="-25"/>
                <w:sz w:val="24"/>
                <w:u w:val="single"/>
              </w:rPr>
              <w:tab/>
            </w:r>
            <w:r>
              <w:rPr>
                <w:spacing w:val="-24"/>
                <w:sz w:val="24"/>
              </w:rPr>
              <w:t>。</w:t>
            </w:r>
            <w:r>
              <w:rPr>
                <w:sz w:val="24"/>
              </w:rPr>
              <w:t>逾期送达</w:t>
            </w:r>
            <w:r>
              <w:rPr>
                <w:spacing w:val="-17"/>
                <w:sz w:val="24"/>
              </w:rPr>
              <w:t>或</w:t>
            </w:r>
            <w:r>
              <w:rPr>
                <w:sz w:val="24"/>
              </w:rPr>
              <w:t>未送达到指定地点的拒绝接收。</w:t>
            </w:r>
          </w:p>
          <w:p>
            <w:pPr>
              <w:pStyle w:val="22"/>
              <w:numPr>
                <w:ilvl w:val="1"/>
                <w:numId w:val="7"/>
              </w:numPr>
              <w:tabs>
                <w:tab w:val="left" w:pos="718"/>
              </w:tabs>
              <w:spacing w:before="58" w:after="0" w:line="292" w:lineRule="auto"/>
              <w:ind w:left="107" w:right="96" w:firstLine="360"/>
              <w:jc w:val="both"/>
              <w:rPr>
                <w:sz w:val="24"/>
              </w:rPr>
            </w:pPr>
            <w:r>
              <w:rPr>
                <w:spacing w:val="8"/>
                <w:sz w:val="24"/>
              </w:rPr>
              <w:t>供应商应按照采购代理机构的要求摆放样品并</w:t>
            </w:r>
            <w:r>
              <w:rPr>
                <w:sz w:val="24"/>
              </w:rPr>
              <w:t>做好展示，样品不能有供应商的标识及品牌，样品将进行统一编号。</w:t>
            </w:r>
          </w:p>
          <w:p>
            <w:pPr>
              <w:pStyle w:val="22"/>
              <w:numPr>
                <w:ilvl w:val="1"/>
                <w:numId w:val="7"/>
              </w:numPr>
              <w:tabs>
                <w:tab w:val="left" w:pos="709"/>
              </w:tabs>
              <w:spacing w:before="60" w:after="0" w:line="240" w:lineRule="auto"/>
              <w:ind w:left="708" w:right="0" w:hanging="242"/>
              <w:jc w:val="left"/>
              <w:rPr>
                <w:sz w:val="24"/>
              </w:rPr>
            </w:pPr>
            <w:r>
              <w:rPr>
                <w:spacing w:val="-6"/>
                <w:sz w:val="24"/>
              </w:rPr>
              <w:t>若需要现场演示的，供应商应提前做好演示准备</w:t>
            </w:r>
          </w:p>
        </w:tc>
      </w:tr>
    </w:tbl>
    <w:p>
      <w:pPr>
        <w:spacing w:after="0" w:line="240" w:lineRule="auto"/>
        <w:jc w:val="left"/>
        <w:rPr>
          <w:sz w:val="24"/>
        </w:rPr>
        <w:sectPr>
          <w:pgSz w:w="11910" w:h="16840"/>
          <w:pgMar w:top="1400" w:right="940" w:bottom="1100" w:left="940" w:header="0" w:footer="920" w:gutter="0"/>
          <w:pgBorders>
            <w:top w:val="none" w:sz="0" w:space="0"/>
            <w:left w:val="none" w:sz="0" w:space="0"/>
            <w:bottom w:val="none" w:sz="0" w:space="0"/>
            <w:right w:val="none" w:sz="0" w:space="0"/>
          </w:pgBorders>
          <w:cols w:space="720" w:num="1"/>
        </w:sectPr>
      </w:pPr>
    </w:p>
    <w:tbl>
      <w:tblPr>
        <w:tblStyle w:val="18"/>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7" w:hRule="atLeast"/>
        </w:trPr>
        <w:tc>
          <w:tcPr>
            <w:tcW w:w="764" w:type="dxa"/>
          </w:tcPr>
          <w:p>
            <w:pPr>
              <w:pStyle w:val="22"/>
              <w:rPr>
                <w:rFonts w:ascii="Times New Roman"/>
                <w:sz w:val="24"/>
              </w:rPr>
            </w:pPr>
          </w:p>
        </w:tc>
        <w:tc>
          <w:tcPr>
            <w:tcW w:w="2587" w:type="dxa"/>
          </w:tcPr>
          <w:p>
            <w:pPr>
              <w:pStyle w:val="22"/>
              <w:rPr>
                <w:rFonts w:ascii="Times New Roman"/>
                <w:sz w:val="24"/>
              </w:rPr>
            </w:pPr>
          </w:p>
        </w:tc>
        <w:tc>
          <w:tcPr>
            <w:tcW w:w="5808" w:type="dxa"/>
          </w:tcPr>
          <w:p>
            <w:pPr>
              <w:pStyle w:val="22"/>
              <w:spacing w:before="34" w:line="338" w:lineRule="auto"/>
              <w:ind w:left="467" w:right="96" w:hanging="360"/>
              <w:rPr>
                <w:sz w:val="24"/>
              </w:rPr>
            </w:pPr>
            <w:r>
              <w:rPr>
                <w:sz w:val="24"/>
              </w:rPr>
              <w:t>（包括电源线等），届时未能演示的，后果自负。 7.</w:t>
            </w:r>
            <w:r>
              <w:rPr>
                <w:spacing w:val="-6"/>
                <w:sz w:val="24"/>
              </w:rPr>
              <w:t>宣布评审结果前，供应商不得将样品整理、装箱</w:t>
            </w:r>
          </w:p>
          <w:p>
            <w:pPr>
              <w:pStyle w:val="22"/>
              <w:spacing w:line="249" w:lineRule="exact"/>
              <w:ind w:left="107" w:right="-29"/>
              <w:rPr>
                <w:sz w:val="24"/>
              </w:rPr>
            </w:pPr>
            <w:r>
              <w:rPr>
                <w:spacing w:val="-7"/>
                <w:sz w:val="24"/>
              </w:rPr>
              <w:t>或者撤离展示区；遇到特殊情况需要对样品进行整理、</w:t>
            </w:r>
          </w:p>
          <w:p>
            <w:pPr>
              <w:pStyle w:val="22"/>
              <w:spacing w:before="67" w:line="292" w:lineRule="auto"/>
              <w:ind w:left="107" w:right="96"/>
              <w:jc w:val="both"/>
              <w:rPr>
                <w:sz w:val="24"/>
              </w:rPr>
            </w:pPr>
            <w:r>
              <w:rPr>
                <w:sz w:val="24"/>
              </w:rPr>
              <w:t>装箱或者移动样品的，供应商必须书面提出申请，采购代理机构同意后方可移动样品。磋商小组已经确定供应商响应无效或者废标的，供应商签字确认后可以进行样品整理、装箱或者撤离展示区，但不得影响或者损害其他供应商的样品，否则将承担相应的法律责任。</w:t>
            </w:r>
          </w:p>
          <w:p>
            <w:pPr>
              <w:pStyle w:val="22"/>
              <w:spacing w:before="58"/>
              <w:ind w:left="107" w:firstLine="360"/>
              <w:rPr>
                <w:sz w:val="24"/>
              </w:rPr>
            </w:pPr>
            <w:r>
              <w:rPr>
                <w:sz w:val="24"/>
              </w:rPr>
              <w:t>8.宣布评审结果后，成交供应商与采购人、采购代</w:t>
            </w:r>
          </w:p>
          <w:p>
            <w:pPr>
              <w:pStyle w:val="22"/>
              <w:spacing w:before="5" w:line="370" w:lineRule="atLeast"/>
              <w:ind w:left="107" w:right="96"/>
              <w:rPr>
                <w:sz w:val="24"/>
              </w:rPr>
            </w:pPr>
            <w:r>
              <w:rPr>
                <w:sz w:val="24"/>
              </w:rPr>
              <w:t>理机构共同清点、检查和密封样品，由成交供应商送至采购人指定地点封存。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9" w:hRule="atLeast"/>
        </w:trPr>
        <w:tc>
          <w:tcPr>
            <w:tcW w:w="764" w:type="dxa"/>
          </w:tcPr>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spacing w:before="162"/>
              <w:ind w:right="250"/>
              <w:jc w:val="right"/>
              <w:rPr>
                <w:sz w:val="24"/>
              </w:rPr>
            </w:pPr>
            <w:r>
              <w:rPr>
                <w:sz w:val="24"/>
              </w:rPr>
              <w:t>25</w:t>
            </w:r>
          </w:p>
        </w:tc>
        <w:tc>
          <w:tcPr>
            <w:tcW w:w="2587" w:type="dxa"/>
          </w:tcPr>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spacing w:before="162"/>
              <w:rPr>
                <w:sz w:val="24"/>
              </w:rPr>
            </w:pPr>
            <w:r>
              <w:rPr>
                <w:sz w:val="24"/>
              </w:rPr>
              <w:t>响应文件编制装订</w:t>
            </w:r>
          </w:p>
        </w:tc>
        <w:tc>
          <w:tcPr>
            <w:tcW w:w="5808" w:type="dxa"/>
          </w:tcPr>
          <w:p>
            <w:pPr>
              <w:pStyle w:val="22"/>
              <w:numPr>
                <w:ilvl w:val="0"/>
                <w:numId w:val="8"/>
              </w:numPr>
              <w:tabs>
                <w:tab w:val="left" w:pos="829"/>
              </w:tabs>
              <w:spacing w:before="95" w:after="0" w:line="240" w:lineRule="auto"/>
              <w:ind w:left="828" w:right="0" w:hanging="242"/>
              <w:jc w:val="left"/>
              <w:rPr>
                <w:sz w:val="24"/>
              </w:rPr>
            </w:pPr>
            <w:r>
              <w:rPr>
                <w:sz w:val="24"/>
              </w:rPr>
              <w:t>响应文件装订成一册。</w:t>
            </w:r>
          </w:p>
          <w:p>
            <w:pPr>
              <w:pStyle w:val="22"/>
              <w:numPr>
                <w:ilvl w:val="0"/>
                <w:numId w:val="8"/>
              </w:numPr>
              <w:tabs>
                <w:tab w:val="left" w:pos="829"/>
              </w:tabs>
              <w:spacing w:before="129" w:after="0" w:line="292" w:lineRule="auto"/>
              <w:ind w:left="107" w:right="-29" w:firstLine="480"/>
              <w:jc w:val="left"/>
              <w:rPr>
                <w:sz w:val="24"/>
              </w:rPr>
            </w:pPr>
            <w:r>
              <w:rPr>
                <w:spacing w:val="-8"/>
                <w:sz w:val="24"/>
              </w:rPr>
              <w:t>封面设置。响应文件封面设置包括：响应文件、</w:t>
            </w:r>
            <w:r>
              <w:rPr>
                <w:sz w:val="24"/>
              </w:rPr>
              <w:t>项目名称、项目编号、供应商全称和响应文件完成时间。供应商全称填写“×××公司”。</w:t>
            </w:r>
          </w:p>
          <w:p>
            <w:pPr>
              <w:pStyle w:val="22"/>
              <w:numPr>
                <w:ilvl w:val="0"/>
                <w:numId w:val="8"/>
              </w:numPr>
              <w:tabs>
                <w:tab w:val="left" w:pos="830"/>
              </w:tabs>
              <w:spacing w:before="58" w:after="0" w:line="292" w:lineRule="auto"/>
              <w:ind w:left="107" w:right="96" w:firstLine="480"/>
              <w:jc w:val="both"/>
              <w:rPr>
                <w:sz w:val="24"/>
              </w:rPr>
            </w:pPr>
            <w:r>
              <w:rPr>
                <w:sz w:val="24"/>
              </w:rPr>
              <w:t>响应文件内容。供应商应按照采购文件的要求编写响应文件；对采购文件要求填写的表格或者资料不得缺少或者留空，响应文件不得加行、涂改、插字或者删除。</w:t>
            </w:r>
          </w:p>
          <w:p>
            <w:pPr>
              <w:pStyle w:val="22"/>
              <w:numPr>
                <w:ilvl w:val="0"/>
                <w:numId w:val="8"/>
              </w:numPr>
              <w:tabs>
                <w:tab w:val="left" w:pos="829"/>
              </w:tabs>
              <w:spacing w:before="59" w:after="0" w:line="292" w:lineRule="auto"/>
              <w:ind w:left="107" w:right="96" w:firstLine="480"/>
              <w:jc w:val="both"/>
              <w:rPr>
                <w:sz w:val="24"/>
              </w:rPr>
            </w:pPr>
            <w:r>
              <w:rPr>
                <w:spacing w:val="-6"/>
                <w:sz w:val="24"/>
              </w:rPr>
              <w:t xml:space="preserve">响应文件正文用白色 </w:t>
            </w:r>
            <w:r>
              <w:rPr>
                <w:sz w:val="24"/>
              </w:rPr>
              <w:t>A4</w:t>
            </w:r>
            <w:r>
              <w:rPr>
                <w:spacing w:val="-13"/>
                <w:sz w:val="24"/>
              </w:rPr>
              <w:t xml:space="preserve"> 复印纸打印，并编制目</w:t>
            </w:r>
            <w:r>
              <w:rPr>
                <w:sz w:val="24"/>
              </w:rPr>
              <w:t>录，目录、内容标注连续页码，页码从目录编起，标注于页面底部居中位置；产品授权书、产品说明书、产品彩页、图纸、图片等非文本形式的内容，可以不标注页码，应将这些材料放置在技术文件中，折叠成</w:t>
            </w:r>
          </w:p>
          <w:p>
            <w:pPr>
              <w:pStyle w:val="22"/>
              <w:spacing w:line="304" w:lineRule="exact"/>
              <w:ind w:left="107"/>
              <w:jc w:val="both"/>
              <w:rPr>
                <w:sz w:val="24"/>
              </w:rPr>
            </w:pPr>
            <w:r>
              <w:rPr>
                <w:sz w:val="24"/>
              </w:rPr>
              <w:t>A4 纸面大小，左、下侧对齐，左侧胶装成册。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764" w:type="dxa"/>
          </w:tcPr>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spacing w:before="155"/>
              <w:ind w:right="250"/>
              <w:jc w:val="right"/>
              <w:rPr>
                <w:sz w:val="24"/>
              </w:rPr>
            </w:pPr>
            <w:r>
              <w:rPr>
                <w:sz w:val="24"/>
              </w:rPr>
              <w:t>26</w:t>
            </w:r>
          </w:p>
        </w:tc>
        <w:tc>
          <w:tcPr>
            <w:tcW w:w="2587" w:type="dxa"/>
          </w:tcPr>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spacing w:before="155"/>
              <w:rPr>
                <w:sz w:val="24"/>
              </w:rPr>
            </w:pPr>
            <w:r>
              <w:rPr>
                <w:sz w:val="24"/>
              </w:rPr>
              <w:t>响应文件签署和盖章</w:t>
            </w:r>
          </w:p>
        </w:tc>
        <w:tc>
          <w:tcPr>
            <w:tcW w:w="5808" w:type="dxa"/>
          </w:tcPr>
          <w:p>
            <w:pPr>
              <w:pStyle w:val="22"/>
              <w:spacing w:before="80" w:line="316" w:lineRule="auto"/>
              <w:ind w:left="107" w:right="96" w:firstLine="480"/>
              <w:jc w:val="right"/>
              <w:rPr>
                <w:sz w:val="24"/>
              </w:rPr>
            </w:pPr>
            <w:r>
              <w:rPr>
                <w:sz w:val="24"/>
              </w:rPr>
              <w:t>1.竞争性磋商文件要求供应商法定代表人或者被授权代表签字处，均须本人用黑色签字笔签署（包括姓和名），不得由他人代签，并逐页加盖单位公章。 2.被授权代表人签字的，响应文件应附法人授权</w:t>
            </w:r>
          </w:p>
          <w:p>
            <w:pPr>
              <w:pStyle w:val="22"/>
              <w:spacing w:line="275" w:lineRule="exact"/>
              <w:ind w:left="107"/>
              <w:rPr>
                <w:sz w:val="24"/>
              </w:rPr>
            </w:pPr>
            <w:r>
              <w:rPr>
                <w:sz w:val="24"/>
              </w:rPr>
              <w:t>委托书。</w:t>
            </w:r>
          </w:p>
          <w:p>
            <w:pPr>
              <w:pStyle w:val="22"/>
              <w:numPr>
                <w:ilvl w:val="0"/>
                <w:numId w:val="9"/>
              </w:numPr>
              <w:tabs>
                <w:tab w:val="left" w:pos="830"/>
              </w:tabs>
              <w:spacing w:before="127" w:after="0" w:line="292" w:lineRule="auto"/>
              <w:ind w:left="107" w:right="96" w:firstLine="480"/>
              <w:jc w:val="left"/>
              <w:rPr>
                <w:sz w:val="24"/>
              </w:rPr>
            </w:pPr>
            <w:r>
              <w:rPr>
                <w:sz w:val="24"/>
              </w:rPr>
              <w:t>“报价函”、“法人授权委托书”和“政府采购诚信承诺书”必须由法定代表人签署。</w:t>
            </w:r>
          </w:p>
          <w:p>
            <w:pPr>
              <w:pStyle w:val="22"/>
              <w:numPr>
                <w:ilvl w:val="0"/>
                <w:numId w:val="9"/>
              </w:numPr>
              <w:tabs>
                <w:tab w:val="left" w:pos="958"/>
              </w:tabs>
              <w:spacing w:before="1" w:after="0" w:line="374" w:lineRule="exact"/>
              <w:ind w:left="107" w:right="96" w:firstLine="480"/>
              <w:jc w:val="left"/>
              <w:rPr>
                <w:sz w:val="24"/>
              </w:rPr>
            </w:pPr>
            <w:r>
              <w:rPr>
                <w:spacing w:val="8"/>
                <w:sz w:val="24"/>
              </w:rPr>
              <w:t>供应商在响应文件以及相关书面文件中的单</w:t>
            </w:r>
            <w:r>
              <w:rPr>
                <w:spacing w:val="4"/>
                <w:sz w:val="24"/>
              </w:rPr>
              <w:t>位盖章</w:t>
            </w:r>
            <w:r>
              <w:rPr>
                <w:sz w:val="24"/>
              </w:rPr>
              <w:t>（包括印章、公章等</w:t>
            </w:r>
            <w:r>
              <w:rPr>
                <w:spacing w:val="4"/>
                <w:sz w:val="24"/>
              </w:rPr>
              <w:t>）</w:t>
            </w:r>
            <w:r>
              <w:rPr>
                <w:sz w:val="24"/>
              </w:rPr>
              <w:t>均指与供应商名称全称</w:t>
            </w:r>
          </w:p>
        </w:tc>
      </w:tr>
    </w:tbl>
    <w:p>
      <w:pPr>
        <w:spacing w:after="0" w:line="374" w:lineRule="exact"/>
        <w:jc w:val="left"/>
        <w:rPr>
          <w:sz w:val="24"/>
        </w:rPr>
        <w:sectPr>
          <w:pgSz w:w="11910" w:h="16840"/>
          <w:pgMar w:top="1400" w:right="940" w:bottom="1100" w:left="940" w:header="0" w:footer="920" w:gutter="0"/>
          <w:pgBorders>
            <w:top w:val="none" w:sz="0" w:space="0"/>
            <w:left w:val="none" w:sz="0" w:space="0"/>
            <w:bottom w:val="none" w:sz="0" w:space="0"/>
            <w:right w:val="none" w:sz="0" w:space="0"/>
          </w:pgBorders>
          <w:cols w:space="720" w:num="1"/>
        </w:sectPr>
      </w:pPr>
    </w:p>
    <w:tbl>
      <w:tblPr>
        <w:tblStyle w:val="18"/>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64" w:type="dxa"/>
          </w:tcPr>
          <w:p>
            <w:pPr>
              <w:pStyle w:val="22"/>
              <w:rPr>
                <w:rFonts w:ascii="Times New Roman"/>
                <w:sz w:val="24"/>
              </w:rPr>
            </w:pPr>
          </w:p>
        </w:tc>
        <w:tc>
          <w:tcPr>
            <w:tcW w:w="2587" w:type="dxa"/>
          </w:tcPr>
          <w:p>
            <w:pPr>
              <w:pStyle w:val="22"/>
              <w:rPr>
                <w:rFonts w:ascii="Times New Roman"/>
                <w:sz w:val="24"/>
              </w:rPr>
            </w:pPr>
          </w:p>
        </w:tc>
        <w:tc>
          <w:tcPr>
            <w:tcW w:w="5808" w:type="dxa"/>
          </w:tcPr>
          <w:p>
            <w:pPr>
              <w:pStyle w:val="22"/>
              <w:spacing w:before="34"/>
              <w:ind w:left="107"/>
              <w:rPr>
                <w:sz w:val="24"/>
              </w:rPr>
            </w:pPr>
            <w:r>
              <w:rPr>
                <w:sz w:val="24"/>
              </w:rPr>
              <w:t>相一致的标准公章，不得使用其他形式（如带有“专</w:t>
            </w:r>
          </w:p>
          <w:p>
            <w:pPr>
              <w:pStyle w:val="22"/>
              <w:spacing w:before="5" w:line="370" w:lineRule="atLeast"/>
              <w:ind w:left="107" w:right="98"/>
              <w:rPr>
                <w:sz w:val="24"/>
              </w:rPr>
            </w:pPr>
            <w:r>
              <w:rPr>
                <w:sz w:val="24"/>
              </w:rPr>
              <w:t>用章”、“合同章”、“财务章”、“业务章”等） 的印章。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764" w:type="dxa"/>
          </w:tcPr>
          <w:p>
            <w:pPr>
              <w:pStyle w:val="22"/>
              <w:rPr>
                <w:sz w:val="24"/>
              </w:rPr>
            </w:pPr>
          </w:p>
          <w:p>
            <w:pPr>
              <w:pStyle w:val="22"/>
              <w:spacing w:before="8"/>
              <w:rPr>
                <w:sz w:val="29"/>
              </w:rPr>
            </w:pPr>
          </w:p>
          <w:p>
            <w:pPr>
              <w:pStyle w:val="22"/>
              <w:ind w:right="250"/>
              <w:jc w:val="right"/>
              <w:rPr>
                <w:sz w:val="24"/>
              </w:rPr>
            </w:pPr>
            <w:r>
              <w:rPr>
                <w:sz w:val="24"/>
              </w:rPr>
              <w:t>27</w:t>
            </w:r>
          </w:p>
        </w:tc>
        <w:tc>
          <w:tcPr>
            <w:tcW w:w="2587" w:type="dxa"/>
          </w:tcPr>
          <w:p>
            <w:pPr>
              <w:pStyle w:val="22"/>
              <w:rPr>
                <w:sz w:val="24"/>
              </w:rPr>
            </w:pPr>
          </w:p>
          <w:p>
            <w:pPr>
              <w:pStyle w:val="22"/>
              <w:spacing w:before="8"/>
              <w:rPr>
                <w:sz w:val="29"/>
              </w:rPr>
            </w:pPr>
          </w:p>
          <w:p>
            <w:pPr>
              <w:pStyle w:val="22"/>
              <w:rPr>
                <w:sz w:val="24"/>
              </w:rPr>
            </w:pPr>
            <w:r>
              <w:rPr>
                <w:sz w:val="24"/>
              </w:rPr>
              <w:t>响应文件份数及要求</w:t>
            </w:r>
          </w:p>
        </w:tc>
        <w:tc>
          <w:tcPr>
            <w:tcW w:w="5808" w:type="dxa"/>
          </w:tcPr>
          <w:p>
            <w:pPr>
              <w:pStyle w:val="22"/>
              <w:spacing w:before="97"/>
              <w:rPr>
                <w:sz w:val="24"/>
              </w:rPr>
            </w:pPr>
            <w:r>
              <w:rPr>
                <w:sz w:val="24"/>
              </w:rPr>
              <w:t>响应文件应按包分别进行编制：</w:t>
            </w:r>
          </w:p>
          <w:p>
            <w:pPr>
              <w:pStyle w:val="22"/>
              <w:spacing w:before="64" w:line="370" w:lineRule="atLeast"/>
              <w:ind w:right="96"/>
              <w:jc w:val="both"/>
              <w:rPr>
                <w:sz w:val="24"/>
              </w:rPr>
            </w:pPr>
            <w:r>
              <w:rPr>
                <w:sz w:val="24"/>
              </w:rPr>
              <w:t>响应文件正本</w:t>
            </w:r>
            <w:r>
              <w:rPr>
                <w:spacing w:val="4"/>
                <w:sz w:val="24"/>
                <w:u w:val="single"/>
              </w:rPr>
              <w:t>壹</w:t>
            </w:r>
            <w:r>
              <w:rPr>
                <w:sz w:val="24"/>
              </w:rPr>
              <w:t>份，副本</w:t>
            </w:r>
            <w:r>
              <w:rPr>
                <w:spacing w:val="10"/>
                <w:sz w:val="24"/>
                <w:u w:val="single"/>
              </w:rPr>
              <w:t xml:space="preserve"> 叁 </w:t>
            </w:r>
            <w:r>
              <w:rPr>
                <w:sz w:val="24"/>
              </w:rPr>
              <w:t>份。正本和副本的封面上应当清楚地标记“正本”或者“副本”字样； 正本和副本不一致时，以正本为准。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764" w:type="dxa"/>
          </w:tcPr>
          <w:p>
            <w:pPr>
              <w:pStyle w:val="22"/>
              <w:rPr>
                <w:sz w:val="24"/>
              </w:rPr>
            </w:pPr>
          </w:p>
          <w:p>
            <w:pPr>
              <w:pStyle w:val="22"/>
              <w:rPr>
                <w:sz w:val="24"/>
              </w:rPr>
            </w:pPr>
          </w:p>
          <w:p>
            <w:pPr>
              <w:pStyle w:val="22"/>
              <w:rPr>
                <w:sz w:val="24"/>
              </w:rPr>
            </w:pPr>
          </w:p>
          <w:p>
            <w:pPr>
              <w:pStyle w:val="22"/>
              <w:spacing w:before="11"/>
              <w:rPr>
                <w:sz w:val="27"/>
              </w:rPr>
            </w:pPr>
          </w:p>
          <w:p>
            <w:pPr>
              <w:pStyle w:val="22"/>
              <w:ind w:right="250"/>
              <w:jc w:val="right"/>
              <w:rPr>
                <w:sz w:val="24"/>
              </w:rPr>
            </w:pPr>
            <w:r>
              <w:rPr>
                <w:sz w:val="24"/>
              </w:rPr>
              <w:t>28</w:t>
            </w:r>
          </w:p>
        </w:tc>
        <w:tc>
          <w:tcPr>
            <w:tcW w:w="2587" w:type="dxa"/>
          </w:tcPr>
          <w:p>
            <w:pPr>
              <w:pStyle w:val="22"/>
              <w:rPr>
                <w:sz w:val="24"/>
              </w:rPr>
            </w:pPr>
          </w:p>
          <w:p>
            <w:pPr>
              <w:pStyle w:val="22"/>
              <w:rPr>
                <w:sz w:val="24"/>
              </w:rPr>
            </w:pPr>
          </w:p>
          <w:p>
            <w:pPr>
              <w:pStyle w:val="22"/>
              <w:rPr>
                <w:sz w:val="24"/>
              </w:rPr>
            </w:pPr>
          </w:p>
          <w:p>
            <w:pPr>
              <w:pStyle w:val="22"/>
              <w:spacing w:before="11"/>
              <w:rPr>
                <w:sz w:val="27"/>
              </w:rPr>
            </w:pPr>
          </w:p>
          <w:p>
            <w:pPr>
              <w:pStyle w:val="22"/>
              <w:rPr>
                <w:sz w:val="24"/>
              </w:rPr>
            </w:pPr>
            <w:r>
              <w:rPr>
                <w:sz w:val="24"/>
              </w:rPr>
              <w:t>响应文件密封和标记</w:t>
            </w:r>
          </w:p>
        </w:tc>
        <w:tc>
          <w:tcPr>
            <w:tcW w:w="5808" w:type="dxa"/>
          </w:tcPr>
          <w:p>
            <w:pPr>
              <w:pStyle w:val="22"/>
              <w:spacing w:before="0" w:line="240" w:lineRule="auto"/>
              <w:ind w:left="0" w:leftChars="0" w:right="0" w:firstLine="0" w:firstLineChars="0"/>
              <w:rPr>
                <w:sz w:val="24"/>
              </w:rPr>
            </w:pPr>
            <w:r>
              <w:rPr>
                <w:sz w:val="24"/>
              </w:rPr>
              <w:t>1.一个包</w:t>
            </w:r>
            <w:r>
              <w:rPr>
                <w:spacing w:val="4"/>
                <w:sz w:val="24"/>
              </w:rPr>
              <w:t>（</w:t>
            </w:r>
            <w:r>
              <w:rPr>
                <w:sz w:val="24"/>
              </w:rPr>
              <w:t>或者未分包项目</w:t>
            </w:r>
            <w:r>
              <w:rPr>
                <w:spacing w:val="4"/>
                <w:sz w:val="24"/>
              </w:rPr>
              <w:t>）</w:t>
            </w:r>
            <w:r>
              <w:rPr>
                <w:sz w:val="24"/>
              </w:rPr>
              <w:t>一个密封件为：</w:t>
            </w:r>
            <w:r>
              <w:rPr>
                <w:rFonts w:hint="eastAsia"/>
                <w:sz w:val="24"/>
                <w:u w:val="single"/>
                <w:lang w:val="en-US" w:eastAsia="zh-CN"/>
              </w:rPr>
              <w:t>响应</w:t>
            </w:r>
            <w:r>
              <w:rPr>
                <w:sz w:val="24"/>
                <w:u w:val="single"/>
              </w:rPr>
              <w:t>文件密封件</w:t>
            </w:r>
            <w:r>
              <w:rPr>
                <w:sz w:val="24"/>
              </w:rPr>
              <w:t xml:space="preserve">； </w:t>
            </w:r>
          </w:p>
          <w:p>
            <w:pPr>
              <w:pStyle w:val="22"/>
              <w:spacing w:before="61" w:line="340" w:lineRule="auto"/>
              <w:ind w:right="96"/>
              <w:jc w:val="both"/>
              <w:rPr>
                <w:sz w:val="24"/>
              </w:rPr>
            </w:pPr>
            <w:r>
              <w:rPr>
                <w:spacing w:val="3"/>
                <w:sz w:val="24"/>
              </w:rPr>
              <w:t>2</w:t>
            </w:r>
            <w:r>
              <w:rPr>
                <w:sz w:val="24"/>
              </w:rPr>
              <w:t>.密封件封套上标明采购项目编号、项目名称以</w:t>
            </w:r>
            <w:r>
              <w:rPr>
                <w:spacing w:val="-7"/>
                <w:sz w:val="24"/>
              </w:rPr>
              <w:t>及包、供应商名称等，在所有封签处标注“请勿在</w:t>
            </w:r>
            <w:r>
              <w:rPr>
                <w:spacing w:val="-1"/>
                <w:sz w:val="24"/>
                <w:u w:val="single"/>
              </w:rPr>
              <w:t xml:space="preserve"> </w:t>
            </w:r>
            <w:r>
              <w:rPr>
                <w:rFonts w:ascii="Times New Roman" w:hAnsi="Times New Roman" w:eastAsia="Times New Roman"/>
                <w:sz w:val="24"/>
                <w:u w:val="single"/>
              </w:rPr>
              <w:t xml:space="preserve">    </w:t>
            </w:r>
            <w:r>
              <w:rPr>
                <w:sz w:val="24"/>
              </w:rPr>
              <w:t>年</w:t>
            </w:r>
            <w:r>
              <w:rPr>
                <w:spacing w:val="11"/>
                <w:sz w:val="24"/>
                <w:u w:val="single"/>
              </w:rPr>
              <w:t xml:space="preserve"> </w:t>
            </w:r>
            <w:r>
              <w:rPr>
                <w:spacing w:val="4"/>
                <w:sz w:val="24"/>
              </w:rPr>
              <w:t>月</w:t>
            </w:r>
            <w:r>
              <w:rPr>
                <w:spacing w:val="5"/>
                <w:sz w:val="24"/>
                <w:u w:val="single"/>
              </w:rPr>
              <w:t xml:space="preserve">  </w:t>
            </w:r>
            <w:r>
              <w:rPr>
                <w:sz w:val="24"/>
              </w:rPr>
              <w:t>日</w:t>
            </w:r>
            <w:r>
              <w:rPr>
                <w:spacing w:val="5"/>
                <w:sz w:val="24"/>
                <w:u w:val="single"/>
              </w:rPr>
              <w:t xml:space="preserve">  </w:t>
            </w:r>
            <w:r>
              <w:rPr>
                <w:sz w:val="24"/>
              </w:rPr>
              <w:t>时</w:t>
            </w:r>
            <w:r>
              <w:rPr>
                <w:spacing w:val="8"/>
                <w:sz w:val="24"/>
                <w:u w:val="single"/>
              </w:rPr>
              <w:t xml:space="preserve"> </w:t>
            </w:r>
            <w:r>
              <w:rPr>
                <w:spacing w:val="11"/>
                <w:sz w:val="24"/>
                <w:u w:val="single"/>
              </w:rPr>
              <w:t xml:space="preserve"> </w:t>
            </w:r>
            <w:r>
              <w:rPr>
                <w:sz w:val="24"/>
              </w:rPr>
              <w:t>分之前启封”字样，并加盖供应商单位公章以及法定代表人或者被授权代表签字。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64" w:type="dxa"/>
          </w:tcPr>
          <w:p>
            <w:pPr>
              <w:pStyle w:val="22"/>
              <w:rPr>
                <w:sz w:val="24"/>
              </w:rPr>
            </w:pPr>
          </w:p>
          <w:p>
            <w:pPr>
              <w:pStyle w:val="22"/>
              <w:spacing w:before="193"/>
              <w:ind w:right="250"/>
              <w:jc w:val="right"/>
              <w:rPr>
                <w:sz w:val="24"/>
              </w:rPr>
            </w:pPr>
            <w:r>
              <w:rPr>
                <w:sz w:val="24"/>
              </w:rPr>
              <w:t>29</w:t>
            </w:r>
          </w:p>
        </w:tc>
        <w:tc>
          <w:tcPr>
            <w:tcW w:w="2587" w:type="dxa"/>
          </w:tcPr>
          <w:p>
            <w:pPr>
              <w:pStyle w:val="22"/>
              <w:spacing w:before="6"/>
              <w:rPr>
                <w:sz w:val="24"/>
              </w:rPr>
            </w:pPr>
          </w:p>
          <w:p>
            <w:pPr>
              <w:pStyle w:val="22"/>
              <w:spacing w:line="292" w:lineRule="auto"/>
              <w:ind w:right="96"/>
              <w:rPr>
                <w:sz w:val="24"/>
              </w:rPr>
            </w:pPr>
            <w:r>
              <w:rPr>
                <w:sz w:val="24"/>
              </w:rPr>
              <w:t>递交响应文件截止时间</w:t>
            </w:r>
          </w:p>
        </w:tc>
        <w:tc>
          <w:tcPr>
            <w:tcW w:w="5808" w:type="dxa"/>
          </w:tcPr>
          <w:p>
            <w:pPr>
              <w:pStyle w:val="22"/>
              <w:spacing w:before="95"/>
              <w:ind w:left="107"/>
              <w:rPr>
                <w:color w:val="FF0000"/>
                <w:sz w:val="24"/>
              </w:rPr>
            </w:pPr>
            <w:r>
              <w:rPr>
                <w:sz w:val="24"/>
              </w:rPr>
              <w:t>时间：</w:t>
            </w:r>
            <w:r>
              <w:rPr>
                <w:color w:val="FF0000"/>
                <w:sz w:val="24"/>
                <w:u w:val="single"/>
              </w:rPr>
              <w:t>202</w:t>
            </w:r>
            <w:r>
              <w:rPr>
                <w:rFonts w:hint="eastAsia"/>
                <w:color w:val="FF0000"/>
                <w:sz w:val="24"/>
                <w:u w:val="single"/>
                <w:lang w:val="en-US" w:eastAsia="zh-CN"/>
              </w:rPr>
              <w:t>1</w:t>
            </w:r>
            <w:r>
              <w:rPr>
                <w:color w:val="FF0000"/>
                <w:sz w:val="24"/>
                <w:u w:val="single"/>
              </w:rPr>
              <w:t xml:space="preserve"> 年1</w:t>
            </w:r>
            <w:r>
              <w:rPr>
                <w:rFonts w:hint="eastAsia"/>
                <w:color w:val="FF0000"/>
                <w:sz w:val="24"/>
                <w:u w:val="single"/>
                <w:lang w:val="en-US" w:eastAsia="zh-CN"/>
              </w:rPr>
              <w:t>1</w:t>
            </w:r>
            <w:r>
              <w:rPr>
                <w:color w:val="FF0000"/>
                <w:sz w:val="24"/>
                <w:u w:val="single"/>
              </w:rPr>
              <w:t>月</w:t>
            </w:r>
            <w:r>
              <w:rPr>
                <w:rFonts w:hint="eastAsia"/>
                <w:color w:val="FF0000"/>
                <w:sz w:val="24"/>
                <w:u w:val="single"/>
                <w:lang w:val="en-US" w:eastAsia="zh-CN"/>
              </w:rPr>
              <w:t xml:space="preserve"> 8</w:t>
            </w:r>
            <w:r>
              <w:rPr>
                <w:color w:val="FF0000"/>
                <w:sz w:val="24"/>
                <w:u w:val="single"/>
              </w:rPr>
              <w:t>日 1</w:t>
            </w:r>
            <w:r>
              <w:rPr>
                <w:rFonts w:hint="eastAsia"/>
                <w:color w:val="FF0000"/>
                <w:sz w:val="24"/>
                <w:u w:val="single"/>
                <w:lang w:val="en-US" w:eastAsia="zh-CN"/>
              </w:rPr>
              <w:t>0</w:t>
            </w:r>
            <w:r>
              <w:rPr>
                <w:color w:val="FF0000"/>
                <w:sz w:val="24"/>
                <w:u w:val="single"/>
              </w:rPr>
              <w:t xml:space="preserve"> 点 </w:t>
            </w:r>
            <w:r>
              <w:rPr>
                <w:rFonts w:hint="eastAsia"/>
                <w:color w:val="FF0000"/>
                <w:sz w:val="24"/>
                <w:u w:val="single"/>
                <w:lang w:val="en-US" w:eastAsia="zh-CN"/>
              </w:rPr>
              <w:t>3</w:t>
            </w:r>
            <w:r>
              <w:rPr>
                <w:color w:val="FF0000"/>
                <w:sz w:val="24"/>
                <w:u w:val="single"/>
              </w:rPr>
              <w:t>0 分</w:t>
            </w:r>
            <w:r>
              <w:rPr>
                <w:color w:val="FF0000"/>
                <w:sz w:val="24"/>
              </w:rPr>
              <w:t>。</w:t>
            </w:r>
          </w:p>
          <w:p>
            <w:pPr>
              <w:pStyle w:val="22"/>
              <w:spacing w:before="67" w:line="370" w:lineRule="atLeast"/>
              <w:ind w:left="333" w:right="96" w:hanging="226"/>
              <w:rPr>
                <w:sz w:val="24"/>
              </w:rPr>
            </w:pPr>
            <w:r>
              <w:rPr>
                <w:spacing w:val="-10"/>
                <w:sz w:val="24"/>
              </w:rPr>
              <w:t>地点：温宿县政务服务和公共资源交易中心一楼开标</w:t>
            </w:r>
            <w:r>
              <w:rPr>
                <w:rFonts w:hint="eastAsia"/>
                <w:spacing w:val="-10"/>
                <w:sz w:val="24"/>
                <w:lang w:val="en-US" w:eastAsia="zh-CN"/>
              </w:rPr>
              <w:t>二</w:t>
            </w:r>
            <w:r>
              <w:rPr>
                <w:spacing w:val="-10"/>
                <w:sz w:val="24"/>
              </w:rPr>
              <w:t>室</w:t>
            </w:r>
            <w:r>
              <w:rPr>
                <w:spacing w:val="-8"/>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22"/>
              <w:rPr>
                <w:sz w:val="24"/>
              </w:rPr>
            </w:pPr>
          </w:p>
          <w:p>
            <w:pPr>
              <w:pStyle w:val="22"/>
              <w:spacing w:before="191"/>
              <w:ind w:right="250"/>
              <w:jc w:val="right"/>
              <w:rPr>
                <w:sz w:val="24"/>
              </w:rPr>
            </w:pPr>
            <w:r>
              <w:rPr>
                <w:sz w:val="24"/>
              </w:rPr>
              <w:t>30</w:t>
            </w:r>
          </w:p>
        </w:tc>
        <w:tc>
          <w:tcPr>
            <w:tcW w:w="2587" w:type="dxa"/>
          </w:tcPr>
          <w:p>
            <w:pPr>
              <w:pStyle w:val="22"/>
              <w:rPr>
                <w:sz w:val="24"/>
              </w:rPr>
            </w:pPr>
          </w:p>
          <w:p>
            <w:pPr>
              <w:pStyle w:val="22"/>
              <w:spacing w:before="191"/>
              <w:rPr>
                <w:sz w:val="24"/>
              </w:rPr>
            </w:pPr>
            <w:r>
              <w:rPr>
                <w:rFonts w:hint="eastAsia"/>
                <w:sz w:val="24"/>
                <w:lang w:val="en-US" w:eastAsia="zh-CN"/>
              </w:rPr>
              <w:t>磋商</w:t>
            </w:r>
            <w:r>
              <w:rPr>
                <w:sz w:val="24"/>
              </w:rPr>
              <w:t>时间及地点</w:t>
            </w:r>
          </w:p>
        </w:tc>
        <w:tc>
          <w:tcPr>
            <w:tcW w:w="5808" w:type="dxa"/>
          </w:tcPr>
          <w:p>
            <w:pPr>
              <w:pStyle w:val="22"/>
              <w:spacing w:before="96"/>
              <w:ind w:left="107"/>
              <w:rPr>
                <w:sz w:val="24"/>
              </w:rPr>
            </w:pPr>
            <w:r>
              <w:rPr>
                <w:sz w:val="24"/>
              </w:rPr>
              <w:t>时间：</w:t>
            </w:r>
            <w:r>
              <w:rPr>
                <w:color w:val="FF0000"/>
                <w:sz w:val="24"/>
                <w:u w:val="single"/>
              </w:rPr>
              <w:t>2021 年1</w:t>
            </w:r>
            <w:r>
              <w:rPr>
                <w:rFonts w:hint="eastAsia"/>
                <w:color w:val="FF0000"/>
                <w:sz w:val="24"/>
                <w:u w:val="single"/>
                <w:lang w:val="en-US" w:eastAsia="zh-CN"/>
              </w:rPr>
              <w:t>1</w:t>
            </w:r>
            <w:r>
              <w:rPr>
                <w:color w:val="FF0000"/>
                <w:sz w:val="24"/>
                <w:u w:val="single"/>
              </w:rPr>
              <w:t>月</w:t>
            </w:r>
            <w:r>
              <w:rPr>
                <w:rFonts w:hint="eastAsia"/>
                <w:color w:val="FF0000"/>
                <w:sz w:val="24"/>
                <w:u w:val="single"/>
                <w:lang w:val="en-US" w:eastAsia="zh-CN"/>
              </w:rPr>
              <w:t xml:space="preserve"> 8</w:t>
            </w:r>
            <w:r>
              <w:rPr>
                <w:color w:val="FF0000"/>
                <w:sz w:val="24"/>
                <w:u w:val="single"/>
              </w:rPr>
              <w:t xml:space="preserve">日 </w:t>
            </w:r>
            <w:r>
              <w:rPr>
                <w:rFonts w:hint="eastAsia"/>
                <w:color w:val="FF0000"/>
                <w:sz w:val="24"/>
                <w:u w:val="single"/>
                <w:lang w:val="en-US" w:eastAsia="zh-CN"/>
              </w:rPr>
              <w:t>10</w:t>
            </w:r>
            <w:r>
              <w:rPr>
                <w:color w:val="FF0000"/>
                <w:sz w:val="24"/>
                <w:u w:val="single"/>
              </w:rPr>
              <w:t xml:space="preserve">点 </w:t>
            </w:r>
            <w:r>
              <w:rPr>
                <w:rFonts w:hint="eastAsia"/>
                <w:color w:val="FF0000"/>
                <w:sz w:val="24"/>
                <w:u w:val="single"/>
                <w:lang w:val="en-US" w:eastAsia="zh-CN"/>
              </w:rPr>
              <w:t>3</w:t>
            </w:r>
            <w:r>
              <w:rPr>
                <w:color w:val="FF0000"/>
                <w:sz w:val="24"/>
                <w:u w:val="single"/>
              </w:rPr>
              <w:t>0 分</w:t>
            </w:r>
            <w:r>
              <w:rPr>
                <w:color w:val="FF0000"/>
                <w:sz w:val="24"/>
              </w:rPr>
              <w:t>。</w:t>
            </w:r>
          </w:p>
          <w:p>
            <w:pPr>
              <w:pStyle w:val="22"/>
              <w:spacing w:before="64" w:line="370" w:lineRule="atLeast"/>
              <w:ind w:left="333" w:right="96" w:hanging="226"/>
              <w:rPr>
                <w:sz w:val="24"/>
              </w:rPr>
            </w:pPr>
            <w:r>
              <w:rPr>
                <w:spacing w:val="-10"/>
                <w:sz w:val="24"/>
              </w:rPr>
              <w:t>地点：温宿县政务服务和公共资源交易中心一楼开标</w:t>
            </w:r>
            <w:r>
              <w:rPr>
                <w:rFonts w:hint="eastAsia"/>
                <w:spacing w:val="-10"/>
                <w:sz w:val="24"/>
                <w:lang w:val="en-US" w:eastAsia="zh-CN"/>
              </w:rPr>
              <w:t>二</w:t>
            </w:r>
            <w:r>
              <w:rPr>
                <w:spacing w:val="-10"/>
                <w:sz w:val="24"/>
              </w:rPr>
              <w:t>室</w:t>
            </w:r>
            <w:r>
              <w:rPr>
                <w:rFonts w:hint="eastAsia"/>
                <w:spacing w:val="-10"/>
                <w:sz w:val="24"/>
                <w:lang w:eastAsia="zh-CN"/>
              </w:rPr>
              <w:t xml:space="preserve"> </w:t>
            </w:r>
            <w:r>
              <w:rPr>
                <w:spacing w:val="-8"/>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64" w:type="dxa"/>
          </w:tcPr>
          <w:p>
            <w:pPr>
              <w:pStyle w:val="22"/>
              <w:spacing w:before="4"/>
              <w:rPr>
                <w:sz w:val="24"/>
              </w:rPr>
            </w:pPr>
          </w:p>
          <w:p>
            <w:pPr>
              <w:pStyle w:val="22"/>
              <w:spacing w:before="1"/>
              <w:ind w:right="250"/>
              <w:jc w:val="right"/>
              <w:rPr>
                <w:sz w:val="24"/>
              </w:rPr>
            </w:pPr>
            <w:r>
              <w:rPr>
                <w:sz w:val="24"/>
              </w:rPr>
              <w:t>31</w:t>
            </w:r>
          </w:p>
        </w:tc>
        <w:tc>
          <w:tcPr>
            <w:tcW w:w="2587" w:type="dxa"/>
          </w:tcPr>
          <w:p>
            <w:pPr>
              <w:pStyle w:val="22"/>
              <w:spacing w:before="4"/>
              <w:rPr>
                <w:sz w:val="24"/>
              </w:rPr>
            </w:pPr>
          </w:p>
          <w:p>
            <w:pPr>
              <w:pStyle w:val="22"/>
              <w:spacing w:before="1"/>
              <w:rPr>
                <w:rFonts w:hint="eastAsia" w:eastAsia="仿宋"/>
                <w:sz w:val="24"/>
                <w:lang w:val="en-US" w:eastAsia="zh-CN"/>
              </w:rPr>
            </w:pPr>
            <w:r>
              <w:rPr>
                <w:rFonts w:hint="eastAsia"/>
                <w:sz w:val="24"/>
                <w:lang w:val="en-US" w:eastAsia="zh-CN"/>
              </w:rPr>
              <w:t>场地服务费</w:t>
            </w:r>
          </w:p>
        </w:tc>
        <w:tc>
          <w:tcPr>
            <w:tcW w:w="5808" w:type="dxa"/>
          </w:tcPr>
          <w:p>
            <w:pPr>
              <w:pStyle w:val="22"/>
              <w:spacing w:before="129"/>
              <w:rPr>
                <w:rFonts w:hint="default" w:eastAsia="仿宋"/>
                <w:sz w:val="24"/>
                <w:lang w:val="en-US" w:eastAsia="zh-CN"/>
              </w:rPr>
            </w:pPr>
            <w:r>
              <w:rPr>
                <w:rFonts w:hint="eastAsia"/>
                <w:sz w:val="24"/>
                <w:lang w:val="en-US" w:eastAsia="zh-CN"/>
              </w:rPr>
              <w:t>参加本项目的供应商按照规定在开启磋商前缴纳场地服务费。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2"/>
              <w:spacing w:before="94"/>
              <w:ind w:right="250"/>
              <w:jc w:val="right"/>
              <w:rPr>
                <w:sz w:val="24"/>
              </w:rPr>
            </w:pPr>
            <w:r>
              <w:rPr>
                <w:sz w:val="24"/>
              </w:rPr>
              <w:t>32</w:t>
            </w:r>
          </w:p>
        </w:tc>
        <w:tc>
          <w:tcPr>
            <w:tcW w:w="2587" w:type="dxa"/>
          </w:tcPr>
          <w:p>
            <w:pPr>
              <w:pStyle w:val="22"/>
              <w:spacing w:before="94"/>
              <w:rPr>
                <w:sz w:val="24"/>
              </w:rPr>
            </w:pPr>
            <w:r>
              <w:rPr>
                <w:sz w:val="24"/>
              </w:rPr>
              <w:t>评审办法</w:t>
            </w:r>
          </w:p>
        </w:tc>
        <w:tc>
          <w:tcPr>
            <w:tcW w:w="5808" w:type="dxa"/>
          </w:tcPr>
          <w:p>
            <w:pPr>
              <w:pStyle w:val="22"/>
              <w:spacing w:before="94"/>
              <w:ind w:left="107"/>
              <w:rPr>
                <w:sz w:val="24"/>
              </w:rPr>
            </w:pPr>
            <w:r>
              <w:rPr>
                <w:sz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22"/>
              <w:rPr>
                <w:sz w:val="24"/>
              </w:rPr>
            </w:pPr>
          </w:p>
          <w:p>
            <w:pPr>
              <w:pStyle w:val="22"/>
              <w:spacing w:before="192"/>
              <w:ind w:right="250"/>
              <w:jc w:val="right"/>
              <w:rPr>
                <w:sz w:val="24"/>
              </w:rPr>
            </w:pPr>
            <w:r>
              <w:rPr>
                <w:sz w:val="24"/>
              </w:rPr>
              <w:t>33</w:t>
            </w:r>
          </w:p>
        </w:tc>
        <w:tc>
          <w:tcPr>
            <w:tcW w:w="2587" w:type="dxa"/>
          </w:tcPr>
          <w:p>
            <w:pPr>
              <w:pStyle w:val="22"/>
              <w:spacing w:before="5"/>
              <w:rPr>
                <w:sz w:val="24"/>
              </w:rPr>
            </w:pPr>
          </w:p>
          <w:p>
            <w:pPr>
              <w:pStyle w:val="22"/>
              <w:spacing w:line="292" w:lineRule="auto"/>
              <w:ind w:right="96"/>
              <w:rPr>
                <w:sz w:val="24"/>
              </w:rPr>
            </w:pPr>
            <w:r>
              <w:rPr>
                <w:sz w:val="24"/>
              </w:rPr>
              <w:t>是否授权磋商小组确定成交供应商</w:t>
            </w:r>
          </w:p>
        </w:tc>
        <w:tc>
          <w:tcPr>
            <w:tcW w:w="5808" w:type="dxa"/>
          </w:tcPr>
          <w:p>
            <w:pPr>
              <w:pStyle w:val="22"/>
              <w:spacing w:before="97" w:line="290" w:lineRule="auto"/>
              <w:ind w:left="467" w:right="33" w:hanging="360"/>
              <w:rPr>
                <w:sz w:val="24"/>
              </w:rPr>
            </w:pPr>
            <w:r>
              <w:rPr>
                <w:sz w:val="24"/>
              </w:rPr>
              <w:t>□ 是，每包确定一个成交供应商，成交结果在相关媒介发布，公告期限为 1 个工作日。</w:t>
            </w:r>
          </w:p>
          <w:p>
            <w:pPr>
              <w:pStyle w:val="22"/>
              <w:tabs>
                <w:tab w:val="left" w:pos="4640"/>
              </w:tabs>
              <w:spacing w:before="64"/>
              <w:ind w:left="107"/>
              <w:rPr>
                <w:sz w:val="24"/>
              </w:rPr>
            </w:pPr>
            <w:r>
              <w:rPr>
                <w:rFonts w:ascii="Wingdings" w:hAnsi="Wingdings" w:eastAsia="Wingdings"/>
                <w:sz w:val="24"/>
              </w:rPr>
              <w:t></w:t>
            </w:r>
            <w:r>
              <w:rPr>
                <w:rFonts w:ascii="Times New Roman" w:hAnsi="Times New Roman" w:eastAsia="Times New Roman"/>
                <w:spacing w:val="58"/>
                <w:sz w:val="24"/>
              </w:rPr>
              <w:t xml:space="preserve"> </w:t>
            </w:r>
            <w:r>
              <w:rPr>
                <w:sz w:val="24"/>
              </w:rPr>
              <w:t>否，推荐的成交候选供应商个数：</w:t>
            </w:r>
            <w:r>
              <w:rPr>
                <w:sz w:val="24"/>
                <w:u w:val="single"/>
              </w:rPr>
              <w:t xml:space="preserve"> 3</w:t>
            </w:r>
            <w:r>
              <w:rPr>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22"/>
              <w:rPr>
                <w:sz w:val="24"/>
              </w:rPr>
            </w:pPr>
          </w:p>
          <w:p>
            <w:pPr>
              <w:pStyle w:val="22"/>
              <w:spacing w:before="162"/>
              <w:ind w:right="250"/>
              <w:jc w:val="right"/>
              <w:rPr>
                <w:sz w:val="24"/>
              </w:rPr>
            </w:pPr>
            <w:r>
              <w:rPr>
                <w:sz w:val="24"/>
              </w:rPr>
              <w:t>34</w:t>
            </w:r>
          </w:p>
        </w:tc>
        <w:tc>
          <w:tcPr>
            <w:tcW w:w="2587" w:type="dxa"/>
          </w:tcPr>
          <w:p>
            <w:pPr>
              <w:pStyle w:val="22"/>
              <w:rPr>
                <w:sz w:val="24"/>
              </w:rPr>
            </w:pPr>
          </w:p>
          <w:p>
            <w:pPr>
              <w:pStyle w:val="22"/>
              <w:spacing w:before="162"/>
              <w:ind w:left="107"/>
              <w:rPr>
                <w:sz w:val="24"/>
              </w:rPr>
            </w:pPr>
            <w:r>
              <w:rPr>
                <w:sz w:val="24"/>
              </w:rPr>
              <w:t>是否退还响应文件</w:t>
            </w:r>
          </w:p>
        </w:tc>
        <w:tc>
          <w:tcPr>
            <w:tcW w:w="5808" w:type="dxa"/>
          </w:tcPr>
          <w:p>
            <w:pPr>
              <w:pStyle w:val="22"/>
              <w:spacing w:before="32" w:line="370" w:lineRule="atLeast"/>
              <w:ind w:left="107" w:right="96"/>
              <w:jc w:val="both"/>
              <w:rPr>
                <w:sz w:val="24"/>
              </w:rPr>
            </w:pPr>
            <w:r>
              <w:rPr>
                <w:sz w:val="24"/>
              </w:rPr>
              <w:t>除供应商需收回的资格、资信等证明文件中的证明材料原件（如营业执照、合同、相关资质证书等）外， 其他文件概不退还。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2"/>
              <w:spacing w:before="94"/>
              <w:ind w:right="250"/>
              <w:jc w:val="right"/>
              <w:rPr>
                <w:sz w:val="24"/>
              </w:rPr>
            </w:pPr>
            <w:r>
              <w:rPr>
                <w:sz w:val="24"/>
              </w:rPr>
              <w:t>35</w:t>
            </w:r>
          </w:p>
        </w:tc>
        <w:tc>
          <w:tcPr>
            <w:tcW w:w="8395" w:type="dxa"/>
            <w:gridSpan w:val="2"/>
          </w:tcPr>
          <w:p>
            <w:pPr>
              <w:pStyle w:val="22"/>
              <w:spacing w:before="94"/>
              <w:rPr>
                <w:sz w:val="24"/>
              </w:rPr>
            </w:pPr>
            <w:r>
              <w:rPr>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764" w:type="dxa"/>
          </w:tcPr>
          <w:p>
            <w:pPr>
              <w:pStyle w:val="22"/>
              <w:rPr>
                <w:sz w:val="24"/>
              </w:rPr>
            </w:pPr>
          </w:p>
          <w:p>
            <w:pPr>
              <w:pStyle w:val="22"/>
              <w:spacing w:before="193"/>
              <w:ind w:right="250"/>
              <w:jc w:val="right"/>
              <w:rPr>
                <w:sz w:val="24"/>
              </w:rPr>
            </w:pPr>
            <w:r>
              <w:rPr>
                <w:sz w:val="24"/>
              </w:rPr>
              <w:t>36</w:t>
            </w:r>
          </w:p>
        </w:tc>
        <w:tc>
          <w:tcPr>
            <w:tcW w:w="2587" w:type="dxa"/>
          </w:tcPr>
          <w:p>
            <w:pPr>
              <w:pStyle w:val="22"/>
              <w:spacing w:line="292" w:lineRule="auto"/>
              <w:ind w:right="96"/>
              <w:rPr>
                <w:sz w:val="24"/>
              </w:rPr>
            </w:pPr>
          </w:p>
          <w:p>
            <w:pPr>
              <w:pStyle w:val="22"/>
              <w:spacing w:line="292" w:lineRule="auto"/>
              <w:ind w:right="96"/>
              <w:rPr>
                <w:sz w:val="24"/>
              </w:rPr>
            </w:pPr>
            <w:r>
              <w:rPr>
                <w:sz w:val="24"/>
              </w:rPr>
              <w:t>供应商在</w:t>
            </w:r>
            <w:r>
              <w:rPr>
                <w:rFonts w:hint="eastAsia"/>
                <w:sz w:val="24"/>
                <w:lang w:val="en-US" w:eastAsia="zh-CN"/>
              </w:rPr>
              <w:t>磋商</w:t>
            </w:r>
            <w:r>
              <w:rPr>
                <w:sz w:val="24"/>
              </w:rPr>
              <w:t>时需携带的验资文件</w:t>
            </w:r>
          </w:p>
        </w:tc>
        <w:tc>
          <w:tcPr>
            <w:tcW w:w="5808" w:type="dxa"/>
          </w:tcPr>
          <w:p>
            <w:pPr>
              <w:pStyle w:val="22"/>
              <w:spacing w:before="97" w:line="290" w:lineRule="auto"/>
              <w:ind w:left="107" w:right="96"/>
              <w:rPr>
                <w:sz w:val="24"/>
              </w:rPr>
            </w:pPr>
            <w:r>
              <w:rPr>
                <w:sz w:val="24"/>
              </w:rPr>
              <w:t>本次采购活动邀请各供应商的法定代表人或委托代理人参加，到场的供应商代表需携带以下文件：</w:t>
            </w:r>
          </w:p>
        </w:tc>
      </w:tr>
    </w:tbl>
    <w:p>
      <w:pPr>
        <w:spacing w:after="0"/>
        <w:rPr>
          <w:sz w:val="24"/>
        </w:rPr>
        <w:sectPr>
          <w:pgSz w:w="11910" w:h="16840"/>
          <w:pgMar w:top="1400" w:right="940" w:bottom="1100" w:left="940" w:header="0" w:footer="920" w:gutter="0"/>
          <w:pgBorders>
            <w:top w:val="none" w:sz="0" w:space="0"/>
            <w:left w:val="none" w:sz="0" w:space="0"/>
            <w:bottom w:val="none" w:sz="0" w:space="0"/>
            <w:right w:val="none" w:sz="0" w:space="0"/>
          </w:pgBorders>
          <w:cols w:space="720" w:num="1"/>
        </w:sectPr>
      </w:pPr>
    </w:p>
    <w:tbl>
      <w:tblPr>
        <w:tblStyle w:val="18"/>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4" w:hRule="atLeast"/>
        </w:trPr>
        <w:tc>
          <w:tcPr>
            <w:tcW w:w="764" w:type="dxa"/>
          </w:tcPr>
          <w:p>
            <w:pPr>
              <w:pStyle w:val="22"/>
              <w:rPr>
                <w:rFonts w:ascii="Times New Roman"/>
                <w:sz w:val="24"/>
              </w:rPr>
            </w:pPr>
          </w:p>
        </w:tc>
        <w:tc>
          <w:tcPr>
            <w:tcW w:w="2587" w:type="dxa"/>
          </w:tcPr>
          <w:p>
            <w:pPr>
              <w:pStyle w:val="22"/>
              <w:rPr>
                <w:rFonts w:ascii="Times New Roman"/>
                <w:sz w:val="24"/>
              </w:rPr>
            </w:pPr>
          </w:p>
        </w:tc>
        <w:tc>
          <w:tcPr>
            <w:tcW w:w="5808" w:type="dxa"/>
          </w:tcPr>
          <w:p>
            <w:pPr>
              <w:pStyle w:val="22"/>
              <w:numPr>
                <w:ilvl w:val="0"/>
                <w:numId w:val="0"/>
              </w:numPr>
              <w:tabs>
                <w:tab w:val="left" w:pos="709"/>
              </w:tabs>
              <w:spacing w:before="129" w:after="0" w:line="240" w:lineRule="auto"/>
              <w:ind w:left="106" w:leftChars="0" w:right="0" w:rightChars="0"/>
              <w:jc w:val="left"/>
              <w:rPr>
                <w:rFonts w:hint="eastAsia"/>
                <w:sz w:val="24"/>
              </w:rPr>
            </w:pPr>
            <w:r>
              <w:rPr>
                <w:rFonts w:hint="eastAsia"/>
                <w:sz w:val="24"/>
                <w:lang w:val="en-US" w:eastAsia="zh-CN"/>
              </w:rPr>
              <w:t>（1）营业执照；（2）法定代表人身份证明、法定代表人授权委托书；（3）近三个月的社保（含委托人，退休人员提供退休证）；（4）近三个月完税证明；(5）近一年财务审计报告或财务报表（成立不足一年提供成立至今的财务报表）；(6)具备市政公用工程施工总承包三级及以上（含三级）资质且具备有效的安全生产许可证，外地企业需提供进疆备案册 ；(7)拟派项目负责人：具有二级建造师证（市政公用工程专业）及以上具备有效的安全生产考核合格证书；(8)信用中国及中国政府采购网查询结果截图；</w:t>
            </w:r>
          </w:p>
          <w:p>
            <w:pPr>
              <w:pStyle w:val="22"/>
              <w:numPr>
                <w:ilvl w:val="0"/>
                <w:numId w:val="0"/>
              </w:numPr>
              <w:tabs>
                <w:tab w:val="left" w:pos="709"/>
              </w:tabs>
              <w:spacing w:before="60" w:after="0" w:line="240" w:lineRule="auto"/>
              <w:ind w:left="106" w:leftChars="0" w:right="0" w:rightChars="0"/>
              <w:jc w:val="both"/>
              <w:rPr>
                <w:sz w:val="24"/>
              </w:rPr>
            </w:pPr>
            <w:r>
              <w:rPr>
                <w:rFonts w:hint="eastAsia"/>
                <w:sz w:val="24"/>
                <w:lang w:val="en-US" w:eastAsia="zh-CN"/>
              </w:rPr>
              <w:t>注：</w:t>
            </w:r>
            <w:r>
              <w:rPr>
                <w:sz w:val="24"/>
              </w:rPr>
              <w:t>以上证明材料的公证件</w:t>
            </w:r>
            <w:r>
              <w:rPr>
                <w:spacing w:val="-1"/>
                <w:sz w:val="24"/>
                <w:u w:val="single"/>
              </w:rPr>
              <w:t xml:space="preserve"> 不予</w:t>
            </w:r>
            <w:r>
              <w:rPr>
                <w:spacing w:val="-1"/>
                <w:sz w:val="24"/>
              </w:rPr>
              <w:t xml:space="preserve"> 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vMerge w:val="restart"/>
          </w:tcPr>
          <w:p>
            <w:pPr>
              <w:pStyle w:val="22"/>
              <w:rPr>
                <w:sz w:val="24"/>
              </w:rPr>
            </w:pPr>
          </w:p>
          <w:p>
            <w:pPr>
              <w:pStyle w:val="22"/>
              <w:rPr>
                <w:sz w:val="24"/>
              </w:rPr>
            </w:pPr>
          </w:p>
          <w:p>
            <w:pPr>
              <w:pStyle w:val="22"/>
              <w:spacing w:before="8"/>
              <w:rPr>
                <w:sz w:val="20"/>
              </w:rPr>
            </w:pPr>
          </w:p>
          <w:p>
            <w:pPr>
              <w:pStyle w:val="22"/>
              <w:ind w:left="141"/>
              <w:rPr>
                <w:sz w:val="24"/>
              </w:rPr>
            </w:pPr>
            <w:r>
              <w:rPr>
                <w:sz w:val="24"/>
              </w:rPr>
              <w:t>36.1</w:t>
            </w:r>
          </w:p>
        </w:tc>
        <w:tc>
          <w:tcPr>
            <w:tcW w:w="2587" w:type="dxa"/>
            <w:vMerge w:val="restart"/>
          </w:tcPr>
          <w:p>
            <w:pPr>
              <w:pStyle w:val="22"/>
              <w:rPr>
                <w:sz w:val="24"/>
              </w:rPr>
            </w:pPr>
          </w:p>
          <w:p>
            <w:pPr>
              <w:pStyle w:val="22"/>
              <w:rPr>
                <w:sz w:val="24"/>
              </w:rPr>
            </w:pPr>
          </w:p>
          <w:p>
            <w:pPr>
              <w:pStyle w:val="22"/>
              <w:spacing w:before="8"/>
              <w:rPr>
                <w:sz w:val="20"/>
              </w:rPr>
            </w:pPr>
          </w:p>
          <w:p>
            <w:pPr>
              <w:pStyle w:val="22"/>
              <w:rPr>
                <w:sz w:val="24"/>
              </w:rPr>
            </w:pPr>
            <w:r>
              <w:rPr>
                <w:sz w:val="24"/>
              </w:rPr>
              <w:t>定义</w:t>
            </w:r>
          </w:p>
        </w:tc>
        <w:tc>
          <w:tcPr>
            <w:tcW w:w="5808" w:type="dxa"/>
          </w:tcPr>
          <w:p>
            <w:pPr>
              <w:pStyle w:val="22"/>
              <w:spacing w:before="32" w:line="370" w:lineRule="atLeast"/>
              <w:ind w:left="107" w:right="96"/>
              <w:rPr>
                <w:sz w:val="24"/>
              </w:rPr>
            </w:pPr>
            <w:r>
              <w:rPr>
                <w:sz w:val="24"/>
              </w:rPr>
              <w:t>原件：最初产生的区别于复制件的原始文件或文件的原本。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vMerge w:val="continue"/>
            <w:tcBorders>
              <w:top w:val="nil"/>
            </w:tcBorders>
          </w:tcPr>
          <w:p>
            <w:pPr>
              <w:rPr>
                <w:sz w:val="2"/>
                <w:szCs w:val="2"/>
              </w:rPr>
            </w:pPr>
          </w:p>
        </w:tc>
        <w:tc>
          <w:tcPr>
            <w:tcW w:w="2587" w:type="dxa"/>
            <w:vMerge w:val="continue"/>
            <w:tcBorders>
              <w:top w:val="nil"/>
            </w:tcBorders>
          </w:tcPr>
          <w:p>
            <w:pPr>
              <w:rPr>
                <w:sz w:val="2"/>
                <w:szCs w:val="2"/>
              </w:rPr>
            </w:pPr>
          </w:p>
        </w:tc>
        <w:tc>
          <w:tcPr>
            <w:tcW w:w="5808" w:type="dxa"/>
          </w:tcPr>
          <w:p>
            <w:pPr>
              <w:pStyle w:val="22"/>
              <w:spacing w:before="32" w:line="370" w:lineRule="atLeast"/>
              <w:ind w:left="107" w:right="96"/>
              <w:jc w:val="both"/>
              <w:rPr>
                <w:sz w:val="24"/>
              </w:rPr>
            </w:pPr>
            <w:r>
              <w:rPr>
                <w:sz w:val="24"/>
              </w:rPr>
              <w:t>书面形式：包括文字的打印或复印件、传真、信函、电传、电报、电子邮件、相关网站发布的公告等可以有形地表现所载内容的形式。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764" w:type="dxa"/>
          </w:tcPr>
          <w:p>
            <w:pPr>
              <w:pStyle w:val="22"/>
              <w:rPr>
                <w:sz w:val="24"/>
              </w:rPr>
            </w:pPr>
          </w:p>
          <w:p>
            <w:pPr>
              <w:pStyle w:val="22"/>
              <w:spacing w:before="8"/>
              <w:rPr>
                <w:sz w:val="29"/>
              </w:rPr>
            </w:pPr>
          </w:p>
          <w:p>
            <w:pPr>
              <w:pStyle w:val="22"/>
              <w:ind w:left="121" w:right="112"/>
              <w:jc w:val="center"/>
              <w:rPr>
                <w:sz w:val="24"/>
              </w:rPr>
            </w:pPr>
            <w:r>
              <w:rPr>
                <w:sz w:val="24"/>
              </w:rPr>
              <w:t>36.2</w:t>
            </w:r>
          </w:p>
        </w:tc>
        <w:tc>
          <w:tcPr>
            <w:tcW w:w="2587" w:type="dxa"/>
          </w:tcPr>
          <w:p>
            <w:pPr>
              <w:pStyle w:val="22"/>
              <w:rPr>
                <w:sz w:val="24"/>
              </w:rPr>
            </w:pPr>
          </w:p>
          <w:p>
            <w:pPr>
              <w:pStyle w:val="22"/>
              <w:spacing w:before="193" w:line="292" w:lineRule="auto"/>
              <w:ind w:right="43"/>
              <w:rPr>
                <w:sz w:val="24"/>
              </w:rPr>
            </w:pPr>
            <w:r>
              <w:rPr>
                <w:sz w:val="24"/>
              </w:rPr>
              <w:t>分包和非主体、非关键性工作</w:t>
            </w:r>
          </w:p>
        </w:tc>
        <w:tc>
          <w:tcPr>
            <w:tcW w:w="5808" w:type="dxa"/>
          </w:tcPr>
          <w:p>
            <w:pPr>
              <w:pStyle w:val="22"/>
              <w:spacing w:before="95"/>
              <w:ind w:left="107"/>
              <w:jc w:val="both"/>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不允许</w:t>
            </w:r>
          </w:p>
          <w:p>
            <w:pPr>
              <w:pStyle w:val="22"/>
              <w:spacing w:before="67" w:line="370" w:lineRule="atLeast"/>
              <w:ind w:left="107" w:right="96"/>
              <w:jc w:val="both"/>
              <w:rPr>
                <w:sz w:val="24"/>
              </w:rPr>
            </w:pPr>
            <w:r>
              <w:rPr>
                <w:spacing w:val="-8"/>
                <w:sz w:val="24"/>
              </w:rPr>
              <w:t>□ 允许，供应商根据采购文件载明的标的采购项目实</w:t>
            </w:r>
            <w:r>
              <w:rPr>
                <w:sz w:val="24"/>
              </w:rPr>
              <w:t>际情况，拟在成交后将成交项目的非主体、非关键性工作交由他人完成的，应当在响应文件中载明。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trPr>
        <w:tc>
          <w:tcPr>
            <w:tcW w:w="764" w:type="dxa"/>
          </w:tcPr>
          <w:p>
            <w:pPr>
              <w:pStyle w:val="22"/>
              <w:rPr>
                <w:sz w:val="24"/>
              </w:rPr>
            </w:pPr>
          </w:p>
          <w:p>
            <w:pPr>
              <w:pStyle w:val="22"/>
              <w:rPr>
                <w:sz w:val="24"/>
              </w:rPr>
            </w:pPr>
          </w:p>
          <w:p>
            <w:pPr>
              <w:pStyle w:val="22"/>
              <w:spacing w:before="11"/>
              <w:rPr>
                <w:sz w:val="34"/>
              </w:rPr>
            </w:pPr>
          </w:p>
          <w:p>
            <w:pPr>
              <w:pStyle w:val="22"/>
              <w:ind w:left="121" w:right="112"/>
              <w:jc w:val="center"/>
              <w:rPr>
                <w:sz w:val="24"/>
              </w:rPr>
            </w:pPr>
            <w:r>
              <w:rPr>
                <w:sz w:val="24"/>
              </w:rPr>
              <w:t>36.3</w:t>
            </w:r>
          </w:p>
        </w:tc>
        <w:tc>
          <w:tcPr>
            <w:tcW w:w="2587" w:type="dxa"/>
          </w:tcPr>
          <w:p>
            <w:pPr>
              <w:pStyle w:val="22"/>
              <w:rPr>
                <w:sz w:val="24"/>
              </w:rPr>
            </w:pPr>
          </w:p>
          <w:p>
            <w:pPr>
              <w:pStyle w:val="22"/>
              <w:rPr>
                <w:sz w:val="24"/>
              </w:rPr>
            </w:pPr>
          </w:p>
          <w:p>
            <w:pPr>
              <w:pStyle w:val="22"/>
              <w:spacing w:before="11"/>
              <w:rPr>
                <w:sz w:val="34"/>
              </w:rPr>
            </w:pPr>
          </w:p>
          <w:p>
            <w:pPr>
              <w:pStyle w:val="22"/>
              <w:rPr>
                <w:sz w:val="24"/>
              </w:rPr>
            </w:pPr>
            <w:r>
              <w:rPr>
                <w:sz w:val="24"/>
              </w:rPr>
              <w:t>多包成交规则</w:t>
            </w:r>
          </w:p>
        </w:tc>
        <w:tc>
          <w:tcPr>
            <w:tcW w:w="5808" w:type="dxa"/>
          </w:tcPr>
          <w:p>
            <w:pPr>
              <w:pStyle w:val="22"/>
              <w:spacing w:before="95" w:line="292" w:lineRule="auto"/>
              <w:ind w:left="107" w:right="33"/>
              <w:rPr>
                <w:sz w:val="24"/>
              </w:rPr>
            </w:pPr>
            <w:r>
              <w:rPr>
                <w:sz w:val="24"/>
              </w:rPr>
              <w:t>分包采购的项目，供应商可以选择</w:t>
            </w:r>
            <w:r>
              <w:rPr>
                <w:sz w:val="24"/>
                <w:u w:val="single"/>
              </w:rPr>
              <w:t xml:space="preserve"> / </w:t>
            </w:r>
            <w:r>
              <w:rPr>
                <w:sz w:val="24"/>
              </w:rPr>
              <w:t>个包报价，但只能成交</w:t>
            </w:r>
            <w:r>
              <w:rPr>
                <w:sz w:val="24"/>
                <w:u w:val="single"/>
              </w:rPr>
              <w:t xml:space="preserve">/ </w:t>
            </w:r>
            <w:r>
              <w:rPr>
                <w:sz w:val="24"/>
              </w:rPr>
              <w:t>个包。</w:t>
            </w:r>
          </w:p>
          <w:p>
            <w:pPr>
              <w:pStyle w:val="22"/>
              <w:spacing w:before="1" w:line="374" w:lineRule="exact"/>
              <w:ind w:left="107" w:right="-29"/>
              <w:rPr>
                <w:sz w:val="24"/>
              </w:rPr>
            </w:pPr>
            <w:r>
              <w:rPr>
                <w:sz w:val="24"/>
              </w:rPr>
              <w:t>供应商可依照采购文件要求进行多个包报价。若所投</w:t>
            </w:r>
            <w:r>
              <w:rPr>
                <w:spacing w:val="13"/>
                <w:sz w:val="24"/>
              </w:rPr>
              <w:t>多个包的报价排位均第一，由供应商自行选择其中</w:t>
            </w:r>
            <w:r>
              <w:rPr>
                <w:spacing w:val="-3"/>
                <w:sz w:val="24"/>
              </w:rPr>
              <w:t xml:space="preserve">个包成交；其他包参与报价排序，排序第一也不成交， </w:t>
            </w:r>
            <w:r>
              <w:rPr>
                <w:sz w:val="24"/>
              </w:rPr>
              <w:t>成交顺延排序第二的供应商，以此类推。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tcPr>
          <w:p>
            <w:pPr>
              <w:pStyle w:val="22"/>
              <w:spacing w:before="1"/>
              <w:rPr>
                <w:sz w:val="22"/>
              </w:rPr>
            </w:pPr>
          </w:p>
          <w:p>
            <w:pPr>
              <w:pStyle w:val="22"/>
              <w:ind w:left="121" w:right="112"/>
              <w:jc w:val="center"/>
              <w:rPr>
                <w:sz w:val="24"/>
              </w:rPr>
            </w:pPr>
            <w:r>
              <w:rPr>
                <w:sz w:val="24"/>
              </w:rPr>
              <w:t>36.4</w:t>
            </w:r>
          </w:p>
        </w:tc>
        <w:tc>
          <w:tcPr>
            <w:tcW w:w="2587" w:type="dxa"/>
          </w:tcPr>
          <w:p>
            <w:pPr>
              <w:pStyle w:val="22"/>
              <w:spacing w:before="1"/>
              <w:rPr>
                <w:sz w:val="22"/>
              </w:rPr>
            </w:pPr>
          </w:p>
          <w:p>
            <w:pPr>
              <w:pStyle w:val="22"/>
              <w:rPr>
                <w:sz w:val="24"/>
              </w:rPr>
            </w:pPr>
            <w:r>
              <w:rPr>
                <w:sz w:val="24"/>
              </w:rPr>
              <w:t>监督</w:t>
            </w:r>
          </w:p>
        </w:tc>
        <w:tc>
          <w:tcPr>
            <w:tcW w:w="5808" w:type="dxa"/>
          </w:tcPr>
          <w:p>
            <w:pPr>
              <w:pStyle w:val="22"/>
              <w:spacing w:before="33" w:line="370" w:lineRule="atLeast"/>
              <w:ind w:left="107" w:right="96"/>
              <w:rPr>
                <w:sz w:val="24"/>
              </w:rPr>
            </w:pPr>
            <w:r>
              <w:rPr>
                <w:sz w:val="24"/>
              </w:rPr>
              <w:t>本次采购活动以及相关当事人应当接受当地监督管理部门依法实施的监督。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4" w:type="dxa"/>
          </w:tcPr>
          <w:p>
            <w:pPr>
              <w:pStyle w:val="22"/>
              <w:spacing w:before="33"/>
              <w:ind w:left="121" w:right="112"/>
              <w:jc w:val="center"/>
              <w:rPr>
                <w:sz w:val="24"/>
              </w:rPr>
            </w:pPr>
            <w:r>
              <w:rPr>
                <w:sz w:val="24"/>
              </w:rPr>
              <w:t>36.5</w:t>
            </w:r>
          </w:p>
        </w:tc>
        <w:tc>
          <w:tcPr>
            <w:tcW w:w="2587" w:type="dxa"/>
          </w:tcPr>
          <w:p>
            <w:pPr>
              <w:pStyle w:val="22"/>
              <w:spacing w:before="47" w:line="306" w:lineRule="exact"/>
              <w:rPr>
                <w:sz w:val="24"/>
              </w:rPr>
            </w:pPr>
            <w:r>
              <w:rPr>
                <w:sz w:val="24"/>
              </w:rPr>
              <w:t>场地费</w:t>
            </w:r>
          </w:p>
        </w:tc>
        <w:tc>
          <w:tcPr>
            <w:tcW w:w="5808" w:type="dxa"/>
          </w:tcPr>
          <w:p>
            <w:pPr>
              <w:pStyle w:val="22"/>
              <w:spacing w:before="47" w:line="306" w:lineRule="exact"/>
              <w:ind w:left="107"/>
              <w:rPr>
                <w:sz w:val="24"/>
              </w:rPr>
            </w:pPr>
            <w:r>
              <w:rPr>
                <w:sz w:val="24"/>
              </w:rPr>
              <w:t>供应商在提交响应文件时，需按规定缴纳场地服务费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4" w:type="dxa"/>
          </w:tcPr>
          <w:p>
            <w:pPr>
              <w:pStyle w:val="22"/>
              <w:spacing w:before="33"/>
              <w:ind w:left="121" w:right="112"/>
              <w:jc w:val="center"/>
              <w:rPr>
                <w:rFonts w:hint="default" w:eastAsia="仿宋"/>
                <w:sz w:val="24"/>
                <w:lang w:val="en-US" w:eastAsia="zh-CN"/>
              </w:rPr>
            </w:pPr>
            <w:r>
              <w:rPr>
                <w:rFonts w:hint="eastAsia"/>
                <w:sz w:val="24"/>
                <w:lang w:val="en-US" w:eastAsia="zh-CN"/>
              </w:rPr>
              <w:t>37</w:t>
            </w:r>
          </w:p>
        </w:tc>
        <w:tc>
          <w:tcPr>
            <w:tcW w:w="2587" w:type="dxa"/>
          </w:tcPr>
          <w:p>
            <w:pPr>
              <w:pStyle w:val="22"/>
              <w:spacing w:before="47" w:line="306" w:lineRule="exact"/>
              <w:rPr>
                <w:rFonts w:hint="default" w:eastAsia="仿宋"/>
                <w:sz w:val="24"/>
                <w:lang w:val="en-US" w:eastAsia="zh-CN"/>
              </w:rPr>
            </w:pPr>
            <w:r>
              <w:rPr>
                <w:rFonts w:hint="eastAsia"/>
                <w:sz w:val="24"/>
                <w:lang w:val="en-US" w:eastAsia="zh-CN"/>
              </w:rPr>
              <w:t>澄清、补充文件</w:t>
            </w:r>
          </w:p>
        </w:tc>
        <w:tc>
          <w:tcPr>
            <w:tcW w:w="5808" w:type="dxa"/>
          </w:tcPr>
          <w:p>
            <w:pPr>
              <w:pStyle w:val="22"/>
              <w:spacing w:before="47" w:line="306" w:lineRule="exact"/>
              <w:ind w:left="107"/>
              <w:rPr>
                <w:rFonts w:hint="default"/>
                <w:sz w:val="24"/>
                <w:lang w:val="en-US"/>
              </w:rPr>
            </w:pPr>
            <w:r>
              <w:rPr>
                <w:rFonts w:hint="eastAsia"/>
                <w:sz w:val="24"/>
                <w:lang w:val="en-US" w:eastAsia="zh-CN"/>
              </w:rPr>
              <w:t>澄清、补充文件等将会以书面形式发送给供应商。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4" w:type="dxa"/>
          </w:tcPr>
          <w:p>
            <w:pPr>
              <w:pStyle w:val="22"/>
              <w:spacing w:before="33"/>
              <w:ind w:left="121" w:right="112"/>
              <w:jc w:val="center"/>
              <w:rPr>
                <w:rFonts w:hint="default"/>
                <w:sz w:val="24"/>
                <w:lang w:val="en-US" w:eastAsia="zh-CN"/>
              </w:rPr>
            </w:pPr>
            <w:r>
              <w:rPr>
                <w:rFonts w:hint="eastAsia"/>
                <w:sz w:val="24"/>
                <w:lang w:val="en-US" w:eastAsia="zh-CN"/>
              </w:rPr>
              <w:t>38</w:t>
            </w:r>
          </w:p>
        </w:tc>
        <w:tc>
          <w:tcPr>
            <w:tcW w:w="2587" w:type="dxa"/>
          </w:tcPr>
          <w:p>
            <w:pPr>
              <w:pStyle w:val="22"/>
              <w:spacing w:before="47" w:line="306" w:lineRule="exact"/>
              <w:rPr>
                <w:rFonts w:hint="eastAsia"/>
                <w:sz w:val="24"/>
                <w:lang w:val="en-US" w:eastAsia="zh-CN"/>
              </w:rPr>
            </w:pPr>
            <w:r>
              <w:rPr>
                <w:rFonts w:hint="eastAsia"/>
                <w:sz w:val="24"/>
                <w:lang w:val="en-US" w:eastAsia="zh-CN"/>
              </w:rPr>
              <w:t>中标服务费</w:t>
            </w:r>
          </w:p>
        </w:tc>
        <w:tc>
          <w:tcPr>
            <w:tcW w:w="5808" w:type="dxa"/>
          </w:tcPr>
          <w:p>
            <w:pPr>
              <w:pStyle w:val="22"/>
              <w:spacing w:before="47" w:line="306" w:lineRule="exact"/>
              <w:ind w:left="107"/>
              <w:rPr>
                <w:rFonts w:hint="eastAsia"/>
                <w:sz w:val="24"/>
                <w:lang w:val="en-US" w:eastAsia="zh-CN"/>
              </w:rPr>
            </w:pPr>
            <w:r>
              <w:rPr>
                <w:rFonts w:hint="eastAsia"/>
                <w:sz w:val="24"/>
                <w:lang w:val="en-US" w:eastAsia="zh-CN"/>
              </w:rPr>
              <w:t>由成交供应商支付代理费</w:t>
            </w:r>
          </w:p>
        </w:tc>
      </w:tr>
    </w:tbl>
    <w:p>
      <w:pPr>
        <w:spacing w:after="0" w:line="306" w:lineRule="exact"/>
        <w:rPr>
          <w:sz w:val="24"/>
        </w:rPr>
        <w:sectPr>
          <w:pgSz w:w="11910" w:h="16840"/>
          <w:pgMar w:top="1400" w:right="940" w:bottom="1100" w:left="940" w:header="0" w:footer="920" w:gutter="0"/>
          <w:pgBorders>
            <w:top w:val="none" w:sz="0" w:space="0"/>
            <w:left w:val="none" w:sz="0" w:space="0"/>
            <w:bottom w:val="none" w:sz="0" w:space="0"/>
            <w:right w:val="none" w:sz="0" w:space="0"/>
          </w:pgBorders>
          <w:cols w:space="720" w:num="1"/>
        </w:sectPr>
      </w:pPr>
    </w:p>
    <w:p>
      <w:pPr>
        <w:spacing w:before="32"/>
        <w:ind w:left="429" w:right="429" w:firstLine="0"/>
        <w:jc w:val="center"/>
        <w:rPr>
          <w:rFonts w:hint="eastAsia" w:ascii="黑体" w:eastAsia="黑体"/>
          <w:sz w:val="28"/>
        </w:rPr>
      </w:pPr>
      <w:r>
        <w:rPr>
          <w:rFonts w:hint="eastAsia" w:ascii="黑体" w:eastAsia="黑体"/>
          <w:sz w:val="28"/>
        </w:rPr>
        <w:t>供应商须知正文</w:t>
      </w:r>
    </w:p>
    <w:p>
      <w:pPr>
        <w:pStyle w:val="8"/>
        <w:spacing w:before="11"/>
        <w:rPr>
          <w:rFonts w:ascii="黑体"/>
          <w:sz w:val="15"/>
        </w:rPr>
      </w:pPr>
    </w:p>
    <w:p>
      <w:pPr>
        <w:pStyle w:val="5"/>
        <w:numPr>
          <w:ilvl w:val="0"/>
          <w:numId w:val="10"/>
        </w:numPr>
        <w:tabs>
          <w:tab w:val="left" w:pos="1319"/>
        </w:tabs>
        <w:spacing w:before="62" w:after="0" w:line="240" w:lineRule="auto"/>
        <w:ind w:left="1318" w:right="0" w:hanging="282"/>
        <w:jc w:val="left"/>
        <w:rPr>
          <w:rFonts w:hint="eastAsia" w:ascii="楷体" w:eastAsia="楷体"/>
        </w:rPr>
      </w:pPr>
      <w:bookmarkStart w:id="11" w:name="_bookmark5"/>
      <w:bookmarkEnd w:id="11"/>
      <w:bookmarkStart w:id="12" w:name="_bookmark5"/>
      <w:bookmarkEnd w:id="12"/>
      <w:bookmarkStart w:id="13" w:name="1.采购依据以及原则"/>
      <w:bookmarkEnd w:id="13"/>
      <w:r>
        <w:rPr>
          <w:rFonts w:hint="eastAsia" w:ascii="楷体" w:eastAsia="楷体"/>
          <w:spacing w:val="-3"/>
        </w:rPr>
        <w:t>采购依据以及原则</w:t>
      </w:r>
    </w:p>
    <w:p>
      <w:pPr>
        <w:pStyle w:val="21"/>
        <w:numPr>
          <w:ilvl w:val="1"/>
          <w:numId w:val="10"/>
        </w:numPr>
        <w:tabs>
          <w:tab w:val="left" w:pos="1320"/>
        </w:tabs>
        <w:spacing w:before="214" w:after="0" w:line="240" w:lineRule="auto"/>
        <w:ind w:left="1319" w:right="0" w:hanging="362"/>
        <w:jc w:val="left"/>
        <w:rPr>
          <w:sz w:val="24"/>
        </w:rPr>
      </w:pPr>
      <w:r>
        <w:rPr>
          <w:sz w:val="24"/>
        </w:rPr>
        <w:t>《中华人民共和国政府采购法》；</w:t>
      </w:r>
    </w:p>
    <w:p>
      <w:pPr>
        <w:pStyle w:val="21"/>
        <w:numPr>
          <w:ilvl w:val="1"/>
          <w:numId w:val="10"/>
        </w:numPr>
        <w:tabs>
          <w:tab w:val="left" w:pos="1320"/>
        </w:tabs>
        <w:spacing w:before="160" w:after="0" w:line="240" w:lineRule="auto"/>
        <w:ind w:left="1319" w:right="0" w:hanging="362"/>
        <w:jc w:val="left"/>
        <w:rPr>
          <w:sz w:val="24"/>
        </w:rPr>
      </w:pPr>
      <w:r>
        <w:rPr>
          <w:sz w:val="24"/>
        </w:rPr>
        <w:t>《中华人民共和国合同法》；</w:t>
      </w:r>
    </w:p>
    <w:p>
      <w:pPr>
        <w:pStyle w:val="21"/>
        <w:numPr>
          <w:ilvl w:val="1"/>
          <w:numId w:val="10"/>
        </w:numPr>
        <w:tabs>
          <w:tab w:val="left" w:pos="1320"/>
        </w:tabs>
        <w:spacing w:before="161" w:after="0" w:line="240" w:lineRule="auto"/>
        <w:ind w:left="1319" w:right="0" w:hanging="362"/>
        <w:jc w:val="left"/>
        <w:rPr>
          <w:sz w:val="24"/>
        </w:rPr>
      </w:pPr>
      <w:r>
        <w:rPr>
          <w:sz w:val="24"/>
        </w:rPr>
        <w:t>《中华人民共和国政府采购法实施条例》；</w:t>
      </w:r>
    </w:p>
    <w:p>
      <w:pPr>
        <w:pStyle w:val="21"/>
        <w:numPr>
          <w:ilvl w:val="1"/>
          <w:numId w:val="10"/>
        </w:numPr>
        <w:tabs>
          <w:tab w:val="left" w:pos="1320"/>
        </w:tabs>
        <w:spacing w:before="160" w:after="0" w:line="240" w:lineRule="auto"/>
        <w:ind w:left="1319" w:right="0" w:hanging="362"/>
        <w:jc w:val="left"/>
        <w:rPr>
          <w:sz w:val="24"/>
        </w:rPr>
      </w:pPr>
      <w:r>
        <w:rPr>
          <w:sz w:val="24"/>
        </w:rPr>
        <w:t>《政府采购非招标采购方式管理办法》；</w:t>
      </w:r>
    </w:p>
    <w:p>
      <w:pPr>
        <w:pStyle w:val="21"/>
        <w:numPr>
          <w:ilvl w:val="1"/>
          <w:numId w:val="10"/>
        </w:numPr>
        <w:tabs>
          <w:tab w:val="left" w:pos="1320"/>
        </w:tabs>
        <w:spacing w:before="161" w:after="0" w:line="240" w:lineRule="auto"/>
        <w:ind w:left="1319" w:right="0" w:hanging="362"/>
        <w:jc w:val="left"/>
        <w:rPr>
          <w:sz w:val="24"/>
        </w:rPr>
      </w:pPr>
      <w:r>
        <w:rPr>
          <w:sz w:val="24"/>
        </w:rPr>
        <w:t>《政府采购质疑和投诉办法》；</w:t>
      </w:r>
    </w:p>
    <w:p>
      <w:pPr>
        <w:pStyle w:val="21"/>
        <w:numPr>
          <w:ilvl w:val="1"/>
          <w:numId w:val="10"/>
        </w:numPr>
        <w:tabs>
          <w:tab w:val="left" w:pos="1379"/>
        </w:tabs>
        <w:spacing w:before="160" w:after="0" w:line="240" w:lineRule="auto"/>
        <w:ind w:left="1378" w:right="0" w:hanging="421"/>
        <w:jc w:val="left"/>
        <w:rPr>
          <w:sz w:val="24"/>
        </w:rPr>
      </w:pPr>
      <w:r>
        <w:rPr>
          <w:sz w:val="24"/>
        </w:rPr>
        <w:t>其他有关法律、行政法规以及省市规范性文件规定。</w:t>
      </w:r>
    </w:p>
    <w:p>
      <w:pPr>
        <w:pStyle w:val="5"/>
        <w:numPr>
          <w:ilvl w:val="0"/>
          <w:numId w:val="10"/>
        </w:numPr>
        <w:tabs>
          <w:tab w:val="left" w:pos="1319"/>
        </w:tabs>
        <w:spacing w:before="212" w:after="0" w:line="240" w:lineRule="auto"/>
        <w:ind w:left="1318" w:right="0" w:hanging="282"/>
        <w:jc w:val="left"/>
        <w:rPr>
          <w:rFonts w:hint="eastAsia" w:ascii="楷体" w:eastAsia="楷体"/>
        </w:rPr>
      </w:pPr>
      <w:bookmarkStart w:id="14" w:name="_bookmark6"/>
      <w:bookmarkEnd w:id="14"/>
      <w:bookmarkStart w:id="15" w:name="_bookmark6"/>
      <w:bookmarkEnd w:id="15"/>
      <w:bookmarkStart w:id="16" w:name="2.合格的供应商"/>
      <w:bookmarkEnd w:id="16"/>
      <w:r>
        <w:rPr>
          <w:rFonts w:hint="eastAsia" w:ascii="楷体" w:eastAsia="楷体"/>
          <w:spacing w:val="-3"/>
        </w:rPr>
        <w:t>合格的供应商</w:t>
      </w:r>
    </w:p>
    <w:p>
      <w:pPr>
        <w:pStyle w:val="21"/>
        <w:numPr>
          <w:ilvl w:val="1"/>
          <w:numId w:val="10"/>
        </w:numPr>
        <w:tabs>
          <w:tab w:val="left" w:pos="1379"/>
        </w:tabs>
        <w:spacing w:before="214" w:after="0" w:line="240" w:lineRule="auto"/>
        <w:ind w:left="1378" w:right="0" w:hanging="421"/>
        <w:jc w:val="left"/>
        <w:rPr>
          <w:sz w:val="24"/>
        </w:rPr>
      </w:pPr>
      <w:r>
        <w:rPr>
          <w:sz w:val="24"/>
        </w:rPr>
        <w:t>符合《中华人民共和国政府采购法》第二十二条第一款规定的条件；</w:t>
      </w:r>
    </w:p>
    <w:p>
      <w:pPr>
        <w:pStyle w:val="21"/>
        <w:numPr>
          <w:ilvl w:val="1"/>
          <w:numId w:val="10"/>
        </w:numPr>
        <w:tabs>
          <w:tab w:val="left" w:pos="1379"/>
        </w:tabs>
        <w:spacing w:before="160" w:after="0" w:line="240" w:lineRule="auto"/>
        <w:ind w:left="1378" w:right="0" w:hanging="421"/>
        <w:jc w:val="left"/>
        <w:rPr>
          <w:sz w:val="24"/>
        </w:rPr>
      </w:pPr>
      <w:r>
        <w:rPr>
          <w:sz w:val="24"/>
        </w:rPr>
        <w:t>符合本磋商文件规定的资格要求，且按照要求提供相关证明材料；</w:t>
      </w:r>
    </w:p>
    <w:p>
      <w:pPr>
        <w:pStyle w:val="21"/>
        <w:numPr>
          <w:ilvl w:val="1"/>
          <w:numId w:val="10"/>
        </w:numPr>
        <w:tabs>
          <w:tab w:val="left" w:pos="1379"/>
        </w:tabs>
        <w:spacing w:before="161" w:after="0" w:line="364" w:lineRule="auto"/>
        <w:ind w:left="478" w:right="476" w:firstLine="480"/>
        <w:jc w:val="left"/>
        <w:rPr>
          <w:sz w:val="24"/>
        </w:rPr>
      </w:pPr>
      <w:r>
        <w:rPr>
          <w:spacing w:val="-1"/>
          <w:sz w:val="24"/>
        </w:rPr>
        <w:t>单位负责人为同一人或者存在直接控股、管理关系的不同供应商，不得参加同</w:t>
      </w:r>
      <w:r>
        <w:rPr>
          <w:sz w:val="24"/>
        </w:rPr>
        <w:t>一合同项下的政府采购活动。</w:t>
      </w:r>
    </w:p>
    <w:p>
      <w:pPr>
        <w:pStyle w:val="21"/>
        <w:numPr>
          <w:ilvl w:val="1"/>
          <w:numId w:val="10"/>
        </w:numPr>
        <w:tabs>
          <w:tab w:val="left" w:pos="1379"/>
        </w:tabs>
        <w:spacing w:before="1" w:after="0" w:line="240" w:lineRule="auto"/>
        <w:ind w:left="1378" w:right="0" w:hanging="421"/>
        <w:jc w:val="left"/>
        <w:rPr>
          <w:sz w:val="24"/>
        </w:rPr>
      </w:pPr>
      <w:r>
        <w:rPr>
          <w:sz w:val="24"/>
        </w:rPr>
        <w:t>供应商须知前附表规定接受联合体报价的，应符合以下规定：</w:t>
      </w:r>
    </w:p>
    <w:p>
      <w:pPr>
        <w:pStyle w:val="21"/>
        <w:numPr>
          <w:ilvl w:val="2"/>
          <w:numId w:val="10"/>
        </w:numPr>
        <w:tabs>
          <w:tab w:val="left" w:pos="1619"/>
        </w:tabs>
        <w:spacing w:before="161" w:after="0" w:line="364" w:lineRule="auto"/>
        <w:ind w:left="478" w:right="476" w:firstLine="480"/>
        <w:jc w:val="left"/>
        <w:rPr>
          <w:sz w:val="24"/>
        </w:rPr>
      </w:pPr>
      <w:r>
        <w:rPr>
          <w:spacing w:val="-1"/>
          <w:sz w:val="24"/>
        </w:rPr>
        <w:t>联合体各方应按照磋商文件提供的格式签订联合体协议书，明确联合体牵头</w:t>
      </w:r>
      <w:r>
        <w:rPr>
          <w:sz w:val="24"/>
        </w:rPr>
        <w:t>人和各方权利义务；</w:t>
      </w:r>
    </w:p>
    <w:p>
      <w:pPr>
        <w:pStyle w:val="21"/>
        <w:numPr>
          <w:ilvl w:val="2"/>
          <w:numId w:val="10"/>
        </w:numPr>
        <w:tabs>
          <w:tab w:val="left" w:pos="1619"/>
        </w:tabs>
        <w:spacing w:before="1" w:after="0" w:line="240" w:lineRule="auto"/>
        <w:ind w:left="1618" w:right="0" w:hanging="661"/>
        <w:jc w:val="left"/>
        <w:rPr>
          <w:sz w:val="24"/>
        </w:rPr>
      </w:pPr>
      <w:r>
        <w:rPr>
          <w:sz w:val="24"/>
        </w:rPr>
        <w:t>联合体各方均应当符合《政府采购法》第二十二条第一款规定的条件；</w:t>
      </w:r>
    </w:p>
    <w:p>
      <w:pPr>
        <w:pStyle w:val="21"/>
        <w:numPr>
          <w:ilvl w:val="2"/>
          <w:numId w:val="10"/>
        </w:numPr>
        <w:tabs>
          <w:tab w:val="left" w:pos="1619"/>
        </w:tabs>
        <w:spacing w:before="160" w:after="0" w:line="364" w:lineRule="auto"/>
        <w:ind w:left="478" w:right="476" w:firstLine="480"/>
        <w:jc w:val="left"/>
        <w:rPr>
          <w:sz w:val="24"/>
        </w:rPr>
      </w:pPr>
      <w:r>
        <w:rPr>
          <w:spacing w:val="-1"/>
          <w:sz w:val="24"/>
        </w:rPr>
        <w:t>联合体中有同类资质的供应商按照联合体分工承担相同工作的，应当按照资</w:t>
      </w:r>
      <w:r>
        <w:rPr>
          <w:sz w:val="24"/>
        </w:rPr>
        <w:t>质等级较低的供应商确定资质等级。</w:t>
      </w:r>
    </w:p>
    <w:p>
      <w:pPr>
        <w:pStyle w:val="21"/>
        <w:numPr>
          <w:ilvl w:val="2"/>
          <w:numId w:val="10"/>
        </w:numPr>
        <w:tabs>
          <w:tab w:val="left" w:pos="1619"/>
        </w:tabs>
        <w:spacing w:before="1" w:after="0" w:line="364" w:lineRule="auto"/>
        <w:ind w:left="478" w:right="476" w:firstLine="480"/>
        <w:jc w:val="left"/>
        <w:rPr>
          <w:sz w:val="24"/>
        </w:rPr>
      </w:pPr>
      <w:r>
        <w:rPr>
          <w:spacing w:val="-1"/>
          <w:sz w:val="24"/>
        </w:rPr>
        <w:t>以联合体形式参加政府采购活动的，联合体各方不得再单独参加或者与其他</w:t>
      </w:r>
      <w:r>
        <w:rPr>
          <w:sz w:val="24"/>
        </w:rPr>
        <w:t>供应商另外组成联合体参加同一合同项下的政府采购活动。</w:t>
      </w:r>
    </w:p>
    <w:p>
      <w:pPr>
        <w:pStyle w:val="21"/>
        <w:numPr>
          <w:ilvl w:val="2"/>
          <w:numId w:val="10"/>
        </w:numPr>
        <w:tabs>
          <w:tab w:val="left" w:pos="1619"/>
        </w:tabs>
        <w:spacing w:before="2" w:after="0" w:line="364" w:lineRule="auto"/>
        <w:ind w:left="478" w:right="476" w:firstLine="480"/>
        <w:jc w:val="left"/>
        <w:rPr>
          <w:sz w:val="24"/>
        </w:rPr>
      </w:pPr>
      <w:r>
        <w:rPr>
          <w:spacing w:val="-1"/>
          <w:sz w:val="24"/>
        </w:rPr>
        <w:t>联合体各方应当共同与采购人签订采购合同，就合同约定的事项对采购人承</w:t>
      </w:r>
      <w:r>
        <w:rPr>
          <w:sz w:val="24"/>
        </w:rPr>
        <w:t>担连带责任。</w:t>
      </w:r>
    </w:p>
    <w:p>
      <w:pPr>
        <w:pStyle w:val="21"/>
        <w:numPr>
          <w:ilvl w:val="2"/>
          <w:numId w:val="10"/>
        </w:numPr>
        <w:tabs>
          <w:tab w:val="left" w:pos="1619"/>
        </w:tabs>
        <w:spacing w:before="1" w:after="0" w:line="364" w:lineRule="auto"/>
        <w:ind w:left="478" w:right="476" w:firstLine="480"/>
        <w:jc w:val="left"/>
        <w:rPr>
          <w:sz w:val="24"/>
        </w:rPr>
      </w:pPr>
      <w:r>
        <w:rPr>
          <w:spacing w:val="-1"/>
          <w:sz w:val="24"/>
        </w:rPr>
        <w:t>鼓励大中型企业和其他自然人、法人或者其他组织与小型、微型企业组成联</w:t>
      </w:r>
      <w:r>
        <w:rPr>
          <w:sz w:val="24"/>
        </w:rPr>
        <w:t>合体报价，但联合体各方均应符合上述规定。</w:t>
      </w:r>
    </w:p>
    <w:p>
      <w:pPr>
        <w:pStyle w:val="21"/>
        <w:numPr>
          <w:ilvl w:val="1"/>
          <w:numId w:val="10"/>
        </w:numPr>
        <w:tabs>
          <w:tab w:val="left" w:pos="1379"/>
        </w:tabs>
        <w:spacing w:before="1" w:after="0" w:line="364" w:lineRule="auto"/>
        <w:ind w:left="478" w:right="476" w:firstLine="480"/>
        <w:jc w:val="left"/>
        <w:rPr>
          <w:sz w:val="24"/>
        </w:rPr>
      </w:pPr>
      <w:r>
        <w:rPr>
          <w:spacing w:val="-1"/>
          <w:sz w:val="24"/>
        </w:rPr>
        <w:t>除采购人拟采购进口产品通过财政部门审核外，供应商不得提供直接进口或者</w:t>
      </w:r>
      <w:r>
        <w:rPr>
          <w:sz w:val="24"/>
        </w:rPr>
        <w:t>委托进口产品（包括已进入中国境内的进口产品）。</w:t>
      </w:r>
    </w:p>
    <w:p>
      <w:pPr>
        <w:pStyle w:val="21"/>
        <w:numPr>
          <w:ilvl w:val="1"/>
          <w:numId w:val="10"/>
        </w:numPr>
        <w:tabs>
          <w:tab w:val="left" w:pos="1379"/>
        </w:tabs>
        <w:spacing w:before="1" w:after="0" w:line="364" w:lineRule="auto"/>
        <w:ind w:left="478" w:right="476" w:firstLine="480"/>
        <w:jc w:val="left"/>
        <w:rPr>
          <w:sz w:val="24"/>
        </w:rPr>
      </w:pPr>
      <w:r>
        <w:rPr>
          <w:spacing w:val="-1"/>
          <w:sz w:val="24"/>
        </w:rPr>
        <w:t>为采购项目提供整体设计、规范编制或者项目管理、监理、检测等服务的供应</w:t>
      </w:r>
      <w:r>
        <w:rPr>
          <w:sz w:val="24"/>
        </w:rPr>
        <w:t>商，不得再参加该采购项目的其他采购活动。</w:t>
      </w:r>
    </w:p>
    <w:p>
      <w:pPr>
        <w:spacing w:after="0" w:line="364" w:lineRule="auto"/>
        <w:jc w:val="left"/>
        <w:rPr>
          <w:sz w:val="24"/>
        </w:rPr>
        <w:sectPr>
          <w:footerReference r:id="rId8" w:type="default"/>
          <w:pgSz w:w="11910" w:h="16840"/>
          <w:pgMar w:top="1500" w:right="940" w:bottom="1100" w:left="940" w:header="0" w:footer="920" w:gutter="0"/>
          <w:pgBorders>
            <w:top w:val="none" w:sz="0" w:space="0"/>
            <w:left w:val="none" w:sz="0" w:space="0"/>
            <w:bottom w:val="none" w:sz="0" w:space="0"/>
            <w:right w:val="none" w:sz="0" w:space="0"/>
          </w:pgBorders>
          <w:pgNumType w:start="10"/>
          <w:cols w:space="720" w:num="1"/>
        </w:sectPr>
      </w:pPr>
    </w:p>
    <w:p>
      <w:pPr>
        <w:pStyle w:val="21"/>
        <w:numPr>
          <w:ilvl w:val="1"/>
          <w:numId w:val="10"/>
        </w:numPr>
        <w:tabs>
          <w:tab w:val="left" w:pos="1379"/>
        </w:tabs>
        <w:spacing w:before="40" w:after="0" w:line="240" w:lineRule="auto"/>
        <w:ind w:left="1378" w:right="0" w:hanging="421"/>
        <w:jc w:val="both"/>
        <w:rPr>
          <w:sz w:val="24"/>
        </w:rPr>
      </w:pPr>
      <w:r>
        <w:rPr>
          <w:sz w:val="24"/>
        </w:rPr>
        <w:t>供应商提供的证明材料内容必须真实可靠。</w:t>
      </w:r>
    </w:p>
    <w:p>
      <w:pPr>
        <w:pStyle w:val="8"/>
        <w:spacing w:before="161"/>
        <w:ind w:left="958"/>
      </w:pPr>
      <w:r>
        <w:t>符合上述条件的供应商即为合格供应商，具有参与竞争性磋商的资格。</w:t>
      </w:r>
    </w:p>
    <w:p>
      <w:pPr>
        <w:pStyle w:val="5"/>
        <w:numPr>
          <w:ilvl w:val="0"/>
          <w:numId w:val="10"/>
        </w:numPr>
        <w:tabs>
          <w:tab w:val="left" w:pos="1319"/>
        </w:tabs>
        <w:spacing w:before="212" w:after="0" w:line="240" w:lineRule="auto"/>
        <w:ind w:left="1318" w:right="0" w:hanging="282"/>
        <w:jc w:val="left"/>
        <w:rPr>
          <w:rFonts w:hint="eastAsia" w:ascii="楷体" w:eastAsia="楷体"/>
        </w:rPr>
      </w:pPr>
      <w:bookmarkStart w:id="17" w:name="_bookmark7"/>
      <w:bookmarkEnd w:id="17"/>
      <w:bookmarkStart w:id="18" w:name="3.保密"/>
      <w:bookmarkEnd w:id="18"/>
      <w:bookmarkStart w:id="19" w:name="_bookmark7"/>
      <w:bookmarkEnd w:id="19"/>
      <w:r>
        <w:rPr>
          <w:rFonts w:hint="eastAsia" w:ascii="楷体" w:eastAsia="楷体"/>
        </w:rPr>
        <w:t>保密</w:t>
      </w:r>
    </w:p>
    <w:p>
      <w:pPr>
        <w:pStyle w:val="8"/>
        <w:spacing w:before="214" w:line="364" w:lineRule="auto"/>
        <w:ind w:left="478" w:right="476" w:firstLine="480"/>
      </w:pPr>
      <w:r>
        <w:t>参与竞争性磋商活动的当事人应对磋商文件和响应文件中的商业和技术等秘密保密，违者应对由此造成的后果承担法律责任。</w:t>
      </w:r>
    </w:p>
    <w:p>
      <w:pPr>
        <w:pStyle w:val="21"/>
        <w:numPr>
          <w:ilvl w:val="0"/>
          <w:numId w:val="10"/>
        </w:numPr>
        <w:tabs>
          <w:tab w:val="left" w:pos="1321"/>
        </w:tabs>
        <w:spacing w:before="52" w:after="0" w:line="240" w:lineRule="auto"/>
        <w:ind w:left="1320" w:right="0" w:hanging="284"/>
        <w:jc w:val="left"/>
        <w:rPr>
          <w:rFonts w:hint="eastAsia" w:ascii="楷体" w:eastAsia="楷体"/>
          <w:sz w:val="28"/>
        </w:rPr>
      </w:pPr>
      <w:bookmarkStart w:id="20" w:name="_bookmark8"/>
      <w:bookmarkEnd w:id="20"/>
      <w:bookmarkStart w:id="21" w:name="4.语言文字、计量单位、时间单位、报价有效期以及参与采购活动费用"/>
      <w:bookmarkEnd w:id="21"/>
      <w:bookmarkStart w:id="22" w:name="_bookmark8"/>
      <w:bookmarkEnd w:id="22"/>
      <w:r>
        <w:rPr>
          <w:rFonts w:hint="eastAsia" w:ascii="楷体" w:eastAsia="楷体"/>
          <w:sz w:val="28"/>
        </w:rPr>
        <w:t>语言文字、计量单位、时间单位、报价有效期以及参与采购活动费</w:t>
      </w:r>
    </w:p>
    <w:p>
      <w:pPr>
        <w:pStyle w:val="8"/>
        <w:spacing w:before="9"/>
        <w:rPr>
          <w:rFonts w:ascii="楷体"/>
          <w:sz w:val="20"/>
        </w:rPr>
      </w:pPr>
    </w:p>
    <w:p>
      <w:pPr>
        <w:spacing w:before="0"/>
        <w:ind w:left="478" w:right="0" w:firstLine="0"/>
        <w:jc w:val="left"/>
        <w:rPr>
          <w:rFonts w:hint="eastAsia" w:ascii="楷体" w:eastAsia="楷体"/>
          <w:sz w:val="28"/>
        </w:rPr>
      </w:pPr>
      <w:r>
        <w:rPr>
          <w:rFonts w:hint="eastAsia" w:ascii="楷体" w:eastAsia="楷体"/>
          <w:w w:val="100"/>
          <w:sz w:val="28"/>
        </w:rPr>
        <w:t>用</w:t>
      </w:r>
    </w:p>
    <w:p>
      <w:pPr>
        <w:pStyle w:val="21"/>
        <w:numPr>
          <w:ilvl w:val="1"/>
          <w:numId w:val="10"/>
        </w:numPr>
        <w:tabs>
          <w:tab w:val="left" w:pos="1379"/>
        </w:tabs>
        <w:spacing w:before="214" w:after="0" w:line="240" w:lineRule="auto"/>
        <w:ind w:left="1378" w:right="0" w:hanging="421"/>
        <w:jc w:val="both"/>
        <w:rPr>
          <w:sz w:val="24"/>
        </w:rPr>
      </w:pPr>
      <w:r>
        <w:rPr>
          <w:sz w:val="24"/>
        </w:rPr>
        <w:t>语言文字</w:t>
      </w:r>
    </w:p>
    <w:p>
      <w:pPr>
        <w:pStyle w:val="8"/>
        <w:spacing w:before="161" w:line="364" w:lineRule="auto"/>
        <w:ind w:left="478" w:right="477" w:firstLine="480"/>
        <w:jc w:val="both"/>
      </w:pPr>
      <w:r>
        <w:rPr>
          <w:spacing w:val="-6"/>
        </w:rPr>
        <w:t>除专用术语外，与竞争性磋商活动有关的语言均使用简体中文。必要时专用术语应附有中文注释。如供应商提交的支持文件和印刷的文献使用另一种语言，应附有相应内</w:t>
      </w:r>
      <w:r>
        <w:t>容的中文翻译本，在解释响应文件时以中文翻译本为准。</w:t>
      </w:r>
    </w:p>
    <w:p>
      <w:pPr>
        <w:pStyle w:val="21"/>
        <w:numPr>
          <w:ilvl w:val="1"/>
          <w:numId w:val="10"/>
        </w:numPr>
        <w:tabs>
          <w:tab w:val="left" w:pos="1379"/>
        </w:tabs>
        <w:spacing w:before="1" w:after="0" w:line="240" w:lineRule="auto"/>
        <w:ind w:left="1378" w:right="0" w:hanging="421"/>
        <w:jc w:val="both"/>
        <w:rPr>
          <w:sz w:val="24"/>
        </w:rPr>
      </w:pPr>
      <w:r>
        <w:rPr>
          <w:sz w:val="24"/>
        </w:rPr>
        <w:t>计量单位</w:t>
      </w:r>
    </w:p>
    <w:p>
      <w:pPr>
        <w:pStyle w:val="8"/>
        <w:spacing w:before="161" w:line="364" w:lineRule="auto"/>
        <w:ind w:left="478" w:right="414" w:firstLine="480"/>
      </w:pPr>
      <w:r>
        <w:t>除磋商文件另有规定外，计量均应采用中华人民共和国法定计量单位；所有报价一律使用人民币，货币单位为“元”。</w:t>
      </w:r>
    </w:p>
    <w:p>
      <w:pPr>
        <w:pStyle w:val="21"/>
        <w:numPr>
          <w:ilvl w:val="1"/>
          <w:numId w:val="10"/>
        </w:numPr>
        <w:tabs>
          <w:tab w:val="left" w:pos="1379"/>
        </w:tabs>
        <w:spacing w:before="1" w:after="0" w:line="240" w:lineRule="auto"/>
        <w:ind w:left="1378" w:right="0" w:hanging="421"/>
        <w:jc w:val="left"/>
        <w:rPr>
          <w:sz w:val="24"/>
        </w:rPr>
      </w:pPr>
      <w:r>
        <w:rPr>
          <w:sz w:val="24"/>
        </w:rPr>
        <w:t>时间单位</w:t>
      </w:r>
    </w:p>
    <w:p>
      <w:pPr>
        <w:pStyle w:val="8"/>
        <w:spacing w:before="160" w:line="364" w:lineRule="auto"/>
        <w:ind w:left="478" w:right="351" w:firstLine="480"/>
      </w:pPr>
      <w:r>
        <w:rPr>
          <w:spacing w:val="-10"/>
        </w:rPr>
        <w:t xml:space="preserve">除磋商文件中另有规定外，磋商文件所使用的时间单位“天”、“日”均指日历天， </w:t>
      </w:r>
      <w:r>
        <w:t>时、分均为北京时间。</w:t>
      </w:r>
    </w:p>
    <w:p>
      <w:pPr>
        <w:pStyle w:val="21"/>
        <w:numPr>
          <w:ilvl w:val="1"/>
          <w:numId w:val="10"/>
        </w:numPr>
        <w:tabs>
          <w:tab w:val="left" w:pos="1379"/>
        </w:tabs>
        <w:spacing w:before="2" w:after="0" w:line="240" w:lineRule="auto"/>
        <w:ind w:left="1378" w:right="0" w:hanging="421"/>
        <w:jc w:val="both"/>
        <w:rPr>
          <w:sz w:val="24"/>
        </w:rPr>
      </w:pPr>
      <w:r>
        <w:rPr>
          <w:sz w:val="24"/>
        </w:rPr>
        <w:t>报价有效期</w:t>
      </w:r>
    </w:p>
    <w:p>
      <w:pPr>
        <w:pStyle w:val="21"/>
        <w:numPr>
          <w:ilvl w:val="2"/>
          <w:numId w:val="10"/>
        </w:numPr>
        <w:tabs>
          <w:tab w:val="left" w:pos="1619"/>
        </w:tabs>
        <w:spacing w:before="160" w:after="0" w:line="364" w:lineRule="auto"/>
        <w:ind w:left="478" w:right="476" w:firstLine="480"/>
        <w:jc w:val="both"/>
        <w:rPr>
          <w:sz w:val="24"/>
        </w:rPr>
      </w:pPr>
      <w:r>
        <w:rPr>
          <w:spacing w:val="-1"/>
          <w:sz w:val="24"/>
        </w:rPr>
        <w:t>在供应商须知前附表规定的报价有效期内，响应文件以及其补充、承诺等部</w:t>
      </w:r>
      <w:r>
        <w:rPr>
          <w:sz w:val="24"/>
        </w:rPr>
        <w:t>分均保持有效。</w:t>
      </w:r>
    </w:p>
    <w:p>
      <w:pPr>
        <w:pStyle w:val="21"/>
        <w:numPr>
          <w:ilvl w:val="2"/>
          <w:numId w:val="10"/>
        </w:numPr>
        <w:tabs>
          <w:tab w:val="left" w:pos="1619"/>
        </w:tabs>
        <w:spacing w:before="1" w:after="0" w:line="364" w:lineRule="auto"/>
        <w:ind w:left="478" w:right="477" w:firstLine="480"/>
        <w:jc w:val="both"/>
        <w:rPr>
          <w:sz w:val="24"/>
        </w:rPr>
      </w:pPr>
      <w:r>
        <w:rPr>
          <w:spacing w:val="-1"/>
          <w:sz w:val="24"/>
        </w:rPr>
        <w:t>在磋商文件规定的响应文件有效期满之前，如果出现特殊情况，采购人或者</w:t>
      </w:r>
      <w:r>
        <w:rPr>
          <w:spacing w:val="-4"/>
          <w:sz w:val="24"/>
        </w:rPr>
        <w:t>采购代理机构可在报价有效期内要求供应商延长有效期，要求与答复均以书面通知为准并作为磋商文件和响应文件的组成部分；供应商可以拒绝上述要求，拒绝延长响应文件</w:t>
      </w:r>
      <w:r>
        <w:rPr>
          <w:sz w:val="24"/>
        </w:rPr>
        <w:t>有效期的，其响应失效；同意上述要求的，既不能要求也不允许其修改响应文件。</w:t>
      </w:r>
    </w:p>
    <w:p>
      <w:pPr>
        <w:pStyle w:val="21"/>
        <w:numPr>
          <w:ilvl w:val="1"/>
          <w:numId w:val="10"/>
        </w:numPr>
        <w:tabs>
          <w:tab w:val="left" w:pos="1379"/>
        </w:tabs>
        <w:spacing w:before="3" w:after="0" w:line="240" w:lineRule="auto"/>
        <w:ind w:left="1378" w:right="0" w:hanging="421"/>
        <w:jc w:val="both"/>
        <w:rPr>
          <w:sz w:val="24"/>
        </w:rPr>
      </w:pPr>
      <w:r>
        <w:rPr>
          <w:sz w:val="24"/>
        </w:rPr>
        <w:t>参与采购活动费用</w:t>
      </w:r>
    </w:p>
    <w:p>
      <w:pPr>
        <w:pStyle w:val="8"/>
        <w:spacing w:before="160"/>
        <w:ind w:left="958"/>
      </w:pPr>
      <w:r>
        <w:t>供应商应自行承担其准备和参加采购活动发生的所有费用。</w:t>
      </w:r>
    </w:p>
    <w:p>
      <w:pPr>
        <w:pStyle w:val="5"/>
        <w:numPr>
          <w:ilvl w:val="0"/>
          <w:numId w:val="10"/>
        </w:numPr>
        <w:tabs>
          <w:tab w:val="left" w:pos="1321"/>
        </w:tabs>
        <w:spacing w:before="212" w:after="0" w:line="240" w:lineRule="auto"/>
        <w:ind w:left="1320" w:right="0" w:hanging="284"/>
        <w:jc w:val="left"/>
        <w:rPr>
          <w:rFonts w:hint="eastAsia" w:ascii="楷体" w:eastAsia="楷体"/>
        </w:rPr>
      </w:pPr>
      <w:bookmarkStart w:id="23" w:name="5.踏勘现场"/>
      <w:bookmarkEnd w:id="23"/>
      <w:bookmarkStart w:id="24" w:name="_bookmark9"/>
      <w:bookmarkEnd w:id="24"/>
      <w:bookmarkStart w:id="25" w:name="_bookmark9"/>
      <w:bookmarkEnd w:id="25"/>
      <w:r>
        <w:rPr>
          <w:rFonts w:hint="eastAsia" w:ascii="楷体" w:eastAsia="楷体"/>
          <w:spacing w:val="-2"/>
        </w:rPr>
        <w:t>踏勘现场</w:t>
      </w:r>
    </w:p>
    <w:p>
      <w:pPr>
        <w:pStyle w:val="21"/>
        <w:numPr>
          <w:ilvl w:val="1"/>
          <w:numId w:val="10"/>
        </w:numPr>
        <w:tabs>
          <w:tab w:val="left" w:pos="1379"/>
        </w:tabs>
        <w:spacing w:before="214" w:after="0" w:line="240" w:lineRule="auto"/>
        <w:ind w:left="1378" w:right="0" w:hanging="421"/>
        <w:jc w:val="left"/>
        <w:rPr>
          <w:sz w:val="24"/>
        </w:rPr>
      </w:pPr>
      <w:r>
        <w:rPr>
          <w:sz w:val="24"/>
        </w:rPr>
        <w:t>供应商须知前附表规定组织踏勘现场的，采购人必须按照规定时间、地点组织</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8"/>
        <w:spacing w:before="40" w:line="364" w:lineRule="auto"/>
        <w:ind w:left="478" w:right="476"/>
      </w:pPr>
      <w:r>
        <w:t>供应商踏勘项目现场，以便供应商获取有关编制响应文件和签署合同所涉及现场的资料。供应商承担踏勘现场所发生的自身费用。</w:t>
      </w:r>
    </w:p>
    <w:p>
      <w:pPr>
        <w:pStyle w:val="21"/>
        <w:numPr>
          <w:ilvl w:val="1"/>
          <w:numId w:val="10"/>
        </w:numPr>
        <w:tabs>
          <w:tab w:val="left" w:pos="1379"/>
        </w:tabs>
        <w:spacing w:before="2" w:after="0" w:line="364" w:lineRule="auto"/>
        <w:ind w:left="478" w:right="476" w:firstLine="480"/>
        <w:jc w:val="both"/>
        <w:rPr>
          <w:sz w:val="24"/>
        </w:rPr>
      </w:pPr>
      <w:r>
        <w:rPr>
          <w:spacing w:val="-1"/>
          <w:sz w:val="24"/>
        </w:rPr>
        <w:t>采购人向供应商提供的有关现场的资料和数据，是采购人现有的能使供应商利</w:t>
      </w:r>
      <w:r>
        <w:rPr>
          <w:sz w:val="24"/>
        </w:rPr>
        <w:t>用的资料，采购人对供应商由此而做出的推论、理解和结论不负责任。</w:t>
      </w:r>
    </w:p>
    <w:p>
      <w:pPr>
        <w:pStyle w:val="21"/>
        <w:numPr>
          <w:ilvl w:val="1"/>
          <w:numId w:val="10"/>
        </w:numPr>
        <w:tabs>
          <w:tab w:val="left" w:pos="1379"/>
        </w:tabs>
        <w:spacing w:before="1" w:after="0" w:line="364" w:lineRule="auto"/>
        <w:ind w:left="478" w:right="425" w:firstLine="480"/>
        <w:jc w:val="both"/>
        <w:rPr>
          <w:sz w:val="24"/>
        </w:rPr>
      </w:pPr>
      <w:r>
        <w:rPr>
          <w:sz w:val="24"/>
        </w:rPr>
        <w:t>供应商经过采购人允许，可以进入项目现场踏勘，但不得因此使采购人承担有</w:t>
      </w:r>
      <w:r>
        <w:rPr>
          <w:spacing w:val="-1"/>
          <w:sz w:val="24"/>
        </w:rPr>
        <w:t>关责任和蒙受损失。除采购人原因外，供应商应对踏勘现场而造成的死亡、人身伤害、</w:t>
      </w:r>
      <w:r>
        <w:rPr>
          <w:sz w:val="24"/>
        </w:rPr>
        <w:t>财产损失、损害以及其它任何损失、损害和引起的费用和开支承担责任。</w:t>
      </w:r>
    </w:p>
    <w:p>
      <w:pPr>
        <w:pStyle w:val="5"/>
        <w:numPr>
          <w:ilvl w:val="0"/>
          <w:numId w:val="10"/>
        </w:numPr>
        <w:tabs>
          <w:tab w:val="left" w:pos="1319"/>
        </w:tabs>
        <w:spacing w:before="53" w:after="0" w:line="240" w:lineRule="auto"/>
        <w:ind w:left="1318" w:right="0" w:hanging="282"/>
        <w:jc w:val="left"/>
        <w:rPr>
          <w:rFonts w:hint="eastAsia" w:ascii="楷体" w:eastAsia="楷体"/>
        </w:rPr>
      </w:pPr>
      <w:bookmarkStart w:id="26" w:name="6.询问"/>
      <w:bookmarkEnd w:id="26"/>
      <w:bookmarkStart w:id="27" w:name="_bookmark10"/>
      <w:bookmarkEnd w:id="27"/>
      <w:bookmarkStart w:id="28" w:name="_bookmark10"/>
      <w:bookmarkEnd w:id="28"/>
      <w:r>
        <w:rPr>
          <w:rFonts w:hint="eastAsia" w:ascii="楷体" w:eastAsia="楷体"/>
        </w:rPr>
        <w:t>询问</w:t>
      </w:r>
    </w:p>
    <w:p>
      <w:pPr>
        <w:pStyle w:val="21"/>
        <w:numPr>
          <w:ilvl w:val="1"/>
          <w:numId w:val="10"/>
        </w:numPr>
        <w:tabs>
          <w:tab w:val="left" w:pos="1379"/>
        </w:tabs>
        <w:spacing w:before="214" w:after="0" w:line="364" w:lineRule="auto"/>
        <w:ind w:left="478" w:right="476" w:firstLine="480"/>
        <w:jc w:val="both"/>
        <w:rPr>
          <w:sz w:val="24"/>
        </w:rPr>
      </w:pPr>
      <w:r>
        <w:rPr>
          <w:spacing w:val="-1"/>
          <w:sz w:val="24"/>
        </w:rPr>
        <w:t>供应商对竞争性磋商活动事项有疑问的，可以向采购代理机构提出询问；采购</w:t>
      </w:r>
      <w:r>
        <w:rPr>
          <w:sz w:val="24"/>
        </w:rPr>
        <w:t>代理机构应当及时作出答复，但答复的内容不得涉及商业秘密。</w:t>
      </w:r>
    </w:p>
    <w:p>
      <w:pPr>
        <w:pStyle w:val="21"/>
        <w:numPr>
          <w:ilvl w:val="1"/>
          <w:numId w:val="10"/>
        </w:numPr>
        <w:tabs>
          <w:tab w:val="left" w:pos="1379"/>
        </w:tabs>
        <w:spacing w:before="1" w:after="0" w:line="240" w:lineRule="auto"/>
        <w:ind w:left="1378" w:right="0" w:hanging="421"/>
        <w:jc w:val="left"/>
        <w:rPr>
          <w:sz w:val="24"/>
        </w:rPr>
      </w:pPr>
      <w:r>
        <w:rPr>
          <w:sz w:val="24"/>
        </w:rPr>
        <w:t>询问及答复应当采取书面形式。</w:t>
      </w:r>
    </w:p>
    <w:p>
      <w:pPr>
        <w:pStyle w:val="5"/>
        <w:numPr>
          <w:ilvl w:val="0"/>
          <w:numId w:val="10"/>
        </w:numPr>
        <w:tabs>
          <w:tab w:val="left" w:pos="1321"/>
        </w:tabs>
        <w:spacing w:before="212" w:after="0" w:line="240" w:lineRule="auto"/>
        <w:ind w:left="1320" w:right="0" w:hanging="284"/>
        <w:jc w:val="left"/>
        <w:rPr>
          <w:rFonts w:hint="eastAsia" w:ascii="楷体" w:eastAsia="楷体"/>
        </w:rPr>
      </w:pPr>
      <w:bookmarkStart w:id="29" w:name="7.偏离"/>
      <w:bookmarkEnd w:id="29"/>
      <w:bookmarkStart w:id="30" w:name="_bookmark11"/>
      <w:bookmarkEnd w:id="30"/>
      <w:bookmarkStart w:id="31" w:name="_bookmark11"/>
      <w:bookmarkEnd w:id="31"/>
      <w:r>
        <w:rPr>
          <w:rFonts w:hint="eastAsia" w:ascii="楷体" w:eastAsia="楷体"/>
        </w:rPr>
        <w:t>偏离</w:t>
      </w:r>
    </w:p>
    <w:p>
      <w:pPr>
        <w:pStyle w:val="8"/>
        <w:spacing w:before="214" w:line="364" w:lineRule="auto"/>
        <w:ind w:left="478" w:right="414" w:firstLine="480"/>
      </w:pPr>
      <w:r>
        <w:t>采购人允许响应文件偏离磋商文件某些非实质性要求的，偏离应当符合磋商文件规定的偏离范围和幅度。</w:t>
      </w:r>
    </w:p>
    <w:p>
      <w:pPr>
        <w:pStyle w:val="5"/>
        <w:numPr>
          <w:ilvl w:val="0"/>
          <w:numId w:val="10"/>
        </w:numPr>
        <w:tabs>
          <w:tab w:val="left" w:pos="1319"/>
        </w:tabs>
        <w:spacing w:before="52" w:after="0" w:line="240" w:lineRule="auto"/>
        <w:ind w:left="1318" w:right="0" w:hanging="282"/>
        <w:jc w:val="left"/>
        <w:rPr>
          <w:rFonts w:hint="eastAsia" w:ascii="楷体" w:eastAsia="楷体"/>
        </w:rPr>
      </w:pPr>
      <w:bookmarkStart w:id="32" w:name="_bookmark12"/>
      <w:bookmarkEnd w:id="32"/>
      <w:bookmarkStart w:id="33" w:name="8.履约担保"/>
      <w:bookmarkEnd w:id="33"/>
      <w:bookmarkStart w:id="34" w:name="_bookmark12"/>
      <w:bookmarkEnd w:id="34"/>
      <w:r>
        <w:rPr>
          <w:rFonts w:hint="eastAsia" w:ascii="楷体" w:eastAsia="楷体"/>
          <w:spacing w:val="-2"/>
        </w:rPr>
        <w:t>履约担保</w:t>
      </w:r>
    </w:p>
    <w:p>
      <w:pPr>
        <w:pStyle w:val="21"/>
        <w:numPr>
          <w:ilvl w:val="1"/>
          <w:numId w:val="10"/>
        </w:numPr>
        <w:tabs>
          <w:tab w:val="left" w:pos="1379"/>
        </w:tabs>
        <w:spacing w:before="214" w:after="0" w:line="364" w:lineRule="auto"/>
        <w:ind w:left="478" w:right="477" w:firstLine="480"/>
        <w:jc w:val="both"/>
        <w:rPr>
          <w:sz w:val="24"/>
        </w:rPr>
      </w:pPr>
      <w:r>
        <w:rPr>
          <w:spacing w:val="-1"/>
          <w:sz w:val="24"/>
        </w:rPr>
        <w:t>在签订合同前，成交供应商应按照有关规定或者事先经过采购人书面认可的履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21"/>
        <w:numPr>
          <w:ilvl w:val="1"/>
          <w:numId w:val="10"/>
        </w:numPr>
        <w:tabs>
          <w:tab w:val="left" w:pos="1379"/>
        </w:tabs>
        <w:spacing w:before="2" w:after="0" w:line="364" w:lineRule="auto"/>
        <w:ind w:left="478" w:right="476" w:firstLine="480"/>
        <w:jc w:val="both"/>
        <w:rPr>
          <w:sz w:val="24"/>
        </w:rPr>
      </w:pPr>
      <w:r>
        <w:rPr>
          <w:spacing w:val="-1"/>
          <w:sz w:val="24"/>
        </w:rPr>
        <w:t>成交供应商未按照要求提交履约担保的，视为放弃成交资格，成交供应商应当</w:t>
      </w:r>
      <w:r>
        <w:rPr>
          <w:sz w:val="24"/>
        </w:rPr>
        <w:t>对采购人造成的损失给予赔偿。</w:t>
      </w:r>
    </w:p>
    <w:p>
      <w:pPr>
        <w:pStyle w:val="21"/>
        <w:numPr>
          <w:ilvl w:val="0"/>
          <w:numId w:val="10"/>
        </w:numPr>
        <w:tabs>
          <w:tab w:val="left" w:pos="1319"/>
        </w:tabs>
        <w:spacing w:before="52" w:after="0" w:line="393" w:lineRule="auto"/>
        <w:ind w:left="958" w:right="6665" w:firstLine="79"/>
        <w:jc w:val="left"/>
        <w:rPr>
          <w:rFonts w:hint="eastAsia" w:ascii="楷体" w:eastAsia="楷体"/>
          <w:sz w:val="28"/>
        </w:rPr>
      </w:pPr>
      <w:bookmarkStart w:id="35" w:name="_bookmark13"/>
      <w:bookmarkEnd w:id="35"/>
      <w:bookmarkStart w:id="36" w:name="_bookmark13"/>
      <w:bookmarkEnd w:id="36"/>
      <w:bookmarkStart w:id="37" w:name="9.采购代理服务费"/>
      <w:bookmarkEnd w:id="37"/>
      <w:r>
        <w:rPr>
          <w:rFonts w:hint="eastAsia" w:ascii="楷体" w:eastAsia="楷体"/>
          <w:spacing w:val="-3"/>
          <w:sz w:val="28"/>
        </w:rPr>
        <w:t>采购代理服务费</w:t>
      </w:r>
      <w:bookmarkStart w:id="38" w:name="_bookmark14"/>
      <w:bookmarkEnd w:id="38"/>
      <w:bookmarkStart w:id="39" w:name="见供应商须知前附表。"/>
      <w:bookmarkEnd w:id="39"/>
      <w:r>
        <w:rPr>
          <w:spacing w:val="-5"/>
          <w:sz w:val="24"/>
        </w:rPr>
        <w:t>见供应商须知前附表。</w:t>
      </w:r>
      <w:bookmarkStart w:id="40" w:name="_bookmark15"/>
      <w:bookmarkEnd w:id="40"/>
      <w:bookmarkStart w:id="41" w:name="10.磋商文件"/>
      <w:bookmarkEnd w:id="41"/>
      <w:r>
        <w:rPr>
          <w:rFonts w:hint="eastAsia" w:ascii="楷体" w:eastAsia="楷体"/>
          <w:sz w:val="28"/>
        </w:rPr>
        <w:t>10</w:t>
      </w:r>
      <w:r>
        <w:rPr>
          <w:rFonts w:hint="eastAsia" w:ascii="楷体" w:eastAsia="楷体"/>
          <w:spacing w:val="-1"/>
          <w:sz w:val="28"/>
        </w:rPr>
        <w:t>.磋商文件</w:t>
      </w:r>
    </w:p>
    <w:p>
      <w:pPr>
        <w:pStyle w:val="21"/>
        <w:numPr>
          <w:ilvl w:val="1"/>
          <w:numId w:val="11"/>
        </w:numPr>
        <w:tabs>
          <w:tab w:val="left" w:pos="1499"/>
        </w:tabs>
        <w:spacing w:before="0" w:after="0" w:line="291" w:lineRule="exact"/>
        <w:ind w:left="1498" w:right="0" w:hanging="541"/>
        <w:jc w:val="left"/>
        <w:rPr>
          <w:sz w:val="24"/>
        </w:rPr>
      </w:pPr>
      <w:r>
        <w:rPr>
          <w:sz w:val="24"/>
        </w:rPr>
        <w:t>磋商文件的组成</w:t>
      </w:r>
    </w:p>
    <w:p>
      <w:pPr>
        <w:pStyle w:val="21"/>
        <w:numPr>
          <w:ilvl w:val="2"/>
          <w:numId w:val="11"/>
        </w:numPr>
        <w:tabs>
          <w:tab w:val="left" w:pos="1741"/>
        </w:tabs>
        <w:spacing w:before="161" w:after="0" w:line="364" w:lineRule="auto"/>
        <w:ind w:left="478" w:right="478" w:firstLine="480"/>
        <w:jc w:val="left"/>
        <w:rPr>
          <w:sz w:val="24"/>
        </w:rPr>
      </w:pPr>
      <w:r>
        <w:rPr>
          <w:sz w:val="24"/>
        </w:rPr>
        <w:t>磋商文件是用以阐明所需货物以及服务、磋商程序和合同格式的规范性文件。磋商文件主要由以下部分组成：</w:t>
      </w:r>
    </w:p>
    <w:p>
      <w:pPr>
        <w:pStyle w:val="8"/>
        <w:spacing w:before="1" w:line="364" w:lineRule="auto"/>
        <w:ind w:left="958" w:right="7025"/>
      </w:pPr>
      <w:r>
        <w:t>第一章 采购公告第二章 供应商须知</w:t>
      </w:r>
    </w:p>
    <w:p>
      <w:pPr>
        <w:spacing w:after="0" w:line="364" w:lineRule="auto"/>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8"/>
        <w:spacing w:before="40" w:line="364" w:lineRule="auto"/>
        <w:ind w:left="958" w:right="7265"/>
      </w:pPr>
      <w:r>
        <w:t>第三章 采购需求第四章 评审办法</w:t>
      </w:r>
    </w:p>
    <w:p>
      <w:pPr>
        <w:pStyle w:val="8"/>
        <w:spacing w:before="2" w:line="364" w:lineRule="auto"/>
        <w:ind w:left="958" w:right="5585"/>
      </w:pPr>
      <w:r>
        <w:t>第五章 签订合同、合同主要条款第六章 响应文件格式</w:t>
      </w:r>
    </w:p>
    <w:p>
      <w:pPr>
        <w:pStyle w:val="21"/>
        <w:numPr>
          <w:ilvl w:val="2"/>
          <w:numId w:val="11"/>
        </w:numPr>
        <w:tabs>
          <w:tab w:val="left" w:pos="1739"/>
        </w:tabs>
        <w:spacing w:before="1" w:after="0" w:line="364" w:lineRule="auto"/>
        <w:ind w:left="478" w:right="476" w:firstLine="480"/>
        <w:jc w:val="left"/>
        <w:rPr>
          <w:sz w:val="24"/>
        </w:rPr>
      </w:pPr>
      <w:r>
        <w:rPr>
          <w:spacing w:val="-10"/>
          <w:sz w:val="24"/>
        </w:rPr>
        <w:t xml:space="preserve">根据本章第 </w:t>
      </w:r>
      <w:r>
        <w:rPr>
          <w:sz w:val="24"/>
        </w:rPr>
        <w:t>10.2</w:t>
      </w:r>
      <w:r>
        <w:rPr>
          <w:spacing w:val="-9"/>
          <w:sz w:val="24"/>
        </w:rPr>
        <w:t xml:space="preserve"> 款对磋商文件所作的澄清和修改，构成磋商文件的组成部</w:t>
      </w:r>
      <w:r>
        <w:rPr>
          <w:sz w:val="24"/>
        </w:rPr>
        <w:t>分。</w:t>
      </w:r>
    </w:p>
    <w:p>
      <w:pPr>
        <w:pStyle w:val="21"/>
        <w:numPr>
          <w:ilvl w:val="2"/>
          <w:numId w:val="11"/>
        </w:numPr>
        <w:tabs>
          <w:tab w:val="left" w:pos="1739"/>
        </w:tabs>
        <w:spacing w:before="1" w:after="0" w:line="364" w:lineRule="auto"/>
        <w:ind w:left="478" w:right="365" w:firstLine="480"/>
        <w:jc w:val="left"/>
        <w:rPr>
          <w:sz w:val="24"/>
        </w:rPr>
      </w:pPr>
      <w:r>
        <w:rPr>
          <w:spacing w:val="-1"/>
          <w:sz w:val="24"/>
        </w:rPr>
        <w:t>除非有特殊要求，磋商文件不单独提供项目所在地的自然环境、气候条件、</w:t>
      </w:r>
      <w:r>
        <w:rPr>
          <w:sz w:val="24"/>
        </w:rPr>
        <w:t>公用设施等情况，供应商被视为熟悉上述与履行合同有关的一切情况。</w:t>
      </w:r>
    </w:p>
    <w:p>
      <w:pPr>
        <w:pStyle w:val="21"/>
        <w:numPr>
          <w:ilvl w:val="1"/>
          <w:numId w:val="11"/>
        </w:numPr>
        <w:tabs>
          <w:tab w:val="left" w:pos="1499"/>
        </w:tabs>
        <w:spacing w:before="1" w:after="0" w:line="240" w:lineRule="auto"/>
        <w:ind w:left="1498" w:right="0" w:hanging="541"/>
        <w:jc w:val="left"/>
        <w:rPr>
          <w:sz w:val="24"/>
        </w:rPr>
      </w:pPr>
      <w:r>
        <w:rPr>
          <w:sz w:val="24"/>
        </w:rPr>
        <w:t>磋商文件的澄清和修改</w:t>
      </w:r>
    </w:p>
    <w:p>
      <w:pPr>
        <w:pStyle w:val="8"/>
        <w:spacing w:before="161"/>
        <w:ind w:left="958"/>
      </w:pPr>
      <w:r>
        <w:t>磋商文件的澄清和修改及确认，详见供应商须知前附表。</w:t>
      </w:r>
    </w:p>
    <w:p>
      <w:pPr>
        <w:pStyle w:val="8"/>
        <w:spacing w:before="93"/>
        <w:ind w:left="958"/>
      </w:pPr>
      <w:r>
        <w:t>磋商文件的澄清或者修改在同一内容的表述上不一致时，以最后发出的公告为准。</w:t>
      </w:r>
    </w:p>
    <w:p>
      <w:pPr>
        <w:pStyle w:val="5"/>
        <w:numPr>
          <w:ilvl w:val="0"/>
          <w:numId w:val="12"/>
        </w:numPr>
        <w:tabs>
          <w:tab w:val="left" w:pos="1460"/>
        </w:tabs>
        <w:spacing w:before="212" w:after="0" w:line="240" w:lineRule="auto"/>
        <w:ind w:left="1459" w:right="0" w:hanging="423"/>
        <w:jc w:val="left"/>
        <w:rPr>
          <w:rFonts w:hint="eastAsia" w:ascii="楷体" w:eastAsia="楷体"/>
        </w:rPr>
      </w:pPr>
      <w:bookmarkStart w:id="42" w:name="11.响应文件的组成"/>
      <w:bookmarkEnd w:id="42"/>
      <w:bookmarkStart w:id="43" w:name="_bookmark16"/>
      <w:bookmarkEnd w:id="43"/>
      <w:bookmarkStart w:id="44" w:name="_bookmark16"/>
      <w:bookmarkEnd w:id="44"/>
      <w:r>
        <w:rPr>
          <w:rFonts w:hint="eastAsia" w:ascii="楷体" w:eastAsia="楷体"/>
          <w:spacing w:val="-3"/>
        </w:rPr>
        <w:t>响应文件的组成</w:t>
      </w:r>
    </w:p>
    <w:p>
      <w:pPr>
        <w:pStyle w:val="21"/>
        <w:numPr>
          <w:ilvl w:val="1"/>
          <w:numId w:val="12"/>
        </w:numPr>
        <w:tabs>
          <w:tab w:val="left" w:pos="1499"/>
        </w:tabs>
        <w:spacing w:before="214" w:after="0" w:line="364" w:lineRule="auto"/>
        <w:ind w:left="478" w:right="477" w:firstLine="480"/>
        <w:jc w:val="left"/>
        <w:rPr>
          <w:sz w:val="24"/>
        </w:rPr>
      </w:pPr>
      <w:r>
        <w:rPr>
          <w:spacing w:val="-6"/>
          <w:sz w:val="24"/>
        </w:rPr>
        <w:t>供应商应按照磋商文件的要求以及格式编制响应文件，并保证其真实性、准确</w:t>
      </w:r>
      <w:r>
        <w:rPr>
          <w:sz w:val="24"/>
        </w:rPr>
        <w:t>性以及完整性，并按照磋商文件要求提交全部资料并做出实质性响应。</w:t>
      </w:r>
    </w:p>
    <w:p>
      <w:pPr>
        <w:pStyle w:val="21"/>
        <w:numPr>
          <w:ilvl w:val="1"/>
          <w:numId w:val="12"/>
        </w:numPr>
        <w:tabs>
          <w:tab w:val="left" w:pos="1499"/>
        </w:tabs>
        <w:spacing w:before="1" w:after="0" w:line="240" w:lineRule="auto"/>
        <w:ind w:left="1498" w:right="0" w:hanging="541"/>
        <w:jc w:val="left"/>
        <w:rPr>
          <w:sz w:val="24"/>
        </w:rPr>
      </w:pPr>
      <w:r>
        <w:rPr>
          <w:sz w:val="24"/>
        </w:rPr>
        <w:t>响应文件的组成：详见第六章 响应文件格式。</w:t>
      </w:r>
    </w:p>
    <w:p>
      <w:pPr>
        <w:pStyle w:val="5"/>
        <w:numPr>
          <w:ilvl w:val="0"/>
          <w:numId w:val="12"/>
        </w:numPr>
        <w:tabs>
          <w:tab w:val="left" w:pos="1460"/>
        </w:tabs>
        <w:spacing w:before="212" w:after="0" w:line="240" w:lineRule="auto"/>
        <w:ind w:left="1459" w:right="0" w:hanging="423"/>
        <w:jc w:val="left"/>
        <w:rPr>
          <w:rFonts w:hint="eastAsia" w:ascii="楷体" w:eastAsia="楷体"/>
        </w:rPr>
      </w:pPr>
      <w:bookmarkStart w:id="45" w:name="_bookmark17"/>
      <w:bookmarkEnd w:id="45"/>
      <w:bookmarkStart w:id="46" w:name="12.响应报价"/>
      <w:bookmarkEnd w:id="46"/>
      <w:bookmarkStart w:id="47" w:name="_bookmark17"/>
      <w:bookmarkEnd w:id="47"/>
      <w:r>
        <w:rPr>
          <w:rFonts w:hint="eastAsia" w:ascii="楷体" w:eastAsia="楷体"/>
          <w:spacing w:val="-2"/>
        </w:rPr>
        <w:t>响应报价</w:t>
      </w:r>
    </w:p>
    <w:p>
      <w:pPr>
        <w:pStyle w:val="21"/>
        <w:numPr>
          <w:ilvl w:val="1"/>
          <w:numId w:val="12"/>
        </w:numPr>
        <w:tabs>
          <w:tab w:val="left" w:pos="1499"/>
        </w:tabs>
        <w:spacing w:before="214" w:after="0" w:line="240" w:lineRule="auto"/>
        <w:ind w:left="1498" w:right="0" w:hanging="541"/>
        <w:jc w:val="left"/>
        <w:rPr>
          <w:sz w:val="24"/>
        </w:rPr>
      </w:pPr>
      <w:r>
        <w:rPr>
          <w:sz w:val="24"/>
        </w:rPr>
        <w:t>响应报价的范围：见供应商须知前附表。</w:t>
      </w:r>
    </w:p>
    <w:p>
      <w:pPr>
        <w:pStyle w:val="21"/>
        <w:numPr>
          <w:ilvl w:val="1"/>
          <w:numId w:val="12"/>
        </w:numPr>
        <w:tabs>
          <w:tab w:val="left" w:pos="1499"/>
        </w:tabs>
        <w:spacing w:before="160" w:after="0" w:line="240" w:lineRule="auto"/>
        <w:ind w:left="1498" w:right="0" w:hanging="541"/>
        <w:jc w:val="left"/>
        <w:rPr>
          <w:sz w:val="24"/>
        </w:rPr>
      </w:pPr>
      <w:r>
        <w:rPr>
          <w:sz w:val="24"/>
        </w:rPr>
        <w:t>供应商应对所投包中的货物进行报价，对每一包货物的报价必须全部报齐。</w:t>
      </w:r>
    </w:p>
    <w:p>
      <w:pPr>
        <w:pStyle w:val="21"/>
        <w:numPr>
          <w:ilvl w:val="1"/>
          <w:numId w:val="12"/>
        </w:numPr>
        <w:tabs>
          <w:tab w:val="left" w:pos="1499"/>
        </w:tabs>
        <w:spacing w:before="161" w:after="0" w:line="240" w:lineRule="auto"/>
        <w:ind w:left="1498" w:right="0" w:hanging="541"/>
        <w:jc w:val="left"/>
        <w:rPr>
          <w:sz w:val="24"/>
        </w:rPr>
      </w:pPr>
      <w:r>
        <w:rPr>
          <w:sz w:val="24"/>
        </w:rPr>
        <w:t>响应报价的次数：见供应商须知前附表。</w:t>
      </w:r>
    </w:p>
    <w:p>
      <w:pPr>
        <w:pStyle w:val="21"/>
        <w:numPr>
          <w:ilvl w:val="1"/>
          <w:numId w:val="12"/>
        </w:numPr>
        <w:tabs>
          <w:tab w:val="left" w:pos="1499"/>
        </w:tabs>
        <w:spacing w:before="160" w:after="0" w:line="240" w:lineRule="auto"/>
        <w:ind w:left="1498" w:right="0" w:hanging="541"/>
        <w:jc w:val="both"/>
        <w:rPr>
          <w:sz w:val="24"/>
        </w:rPr>
      </w:pPr>
      <w:r>
        <w:rPr>
          <w:sz w:val="24"/>
        </w:rPr>
        <w:t>供应商不得以任何方式或者方法提供报价以外的任何附赠条款。</w:t>
      </w:r>
    </w:p>
    <w:p>
      <w:pPr>
        <w:pStyle w:val="21"/>
        <w:numPr>
          <w:ilvl w:val="1"/>
          <w:numId w:val="12"/>
        </w:numPr>
        <w:tabs>
          <w:tab w:val="left" w:pos="1499"/>
        </w:tabs>
        <w:spacing w:before="161" w:after="0" w:line="364" w:lineRule="auto"/>
        <w:ind w:left="478" w:right="477" w:firstLine="480"/>
        <w:jc w:val="both"/>
        <w:rPr>
          <w:sz w:val="24"/>
        </w:rPr>
      </w:pPr>
      <w:r>
        <w:rPr>
          <w:spacing w:val="-7"/>
          <w:sz w:val="24"/>
        </w:rPr>
        <w:t>供应商应按照磋商文件中要求的内容填写报价，并由法定代表人或者被授权代</w:t>
      </w:r>
      <w:r>
        <w:rPr>
          <w:sz w:val="24"/>
        </w:rPr>
        <w:t>表签署。</w:t>
      </w:r>
    </w:p>
    <w:p>
      <w:pPr>
        <w:pStyle w:val="21"/>
        <w:numPr>
          <w:ilvl w:val="1"/>
          <w:numId w:val="12"/>
        </w:numPr>
        <w:tabs>
          <w:tab w:val="left" w:pos="1499"/>
        </w:tabs>
        <w:spacing w:before="1" w:after="0" w:line="364" w:lineRule="auto"/>
        <w:ind w:left="478" w:right="477" w:firstLine="480"/>
        <w:jc w:val="both"/>
        <w:rPr>
          <w:sz w:val="24"/>
        </w:rPr>
      </w:pPr>
      <w:r>
        <w:rPr>
          <w:spacing w:val="-6"/>
          <w:sz w:val="24"/>
        </w:rPr>
        <w:t>供应商须按照附件格式表中的各单项明细逐项填写，以方便磋商小组对各响应</w:t>
      </w:r>
      <w:r>
        <w:rPr>
          <w:sz w:val="24"/>
        </w:rPr>
        <w:t>文件进行比较。</w:t>
      </w:r>
    </w:p>
    <w:p>
      <w:pPr>
        <w:pStyle w:val="21"/>
        <w:numPr>
          <w:ilvl w:val="1"/>
          <w:numId w:val="12"/>
        </w:numPr>
        <w:tabs>
          <w:tab w:val="left" w:pos="1499"/>
        </w:tabs>
        <w:spacing w:before="1" w:after="0" w:line="364" w:lineRule="auto"/>
        <w:ind w:left="478" w:right="357" w:firstLine="480"/>
        <w:jc w:val="both"/>
        <w:rPr>
          <w:sz w:val="24"/>
        </w:rPr>
      </w:pPr>
      <w:r>
        <w:rPr>
          <w:spacing w:val="-8"/>
          <w:sz w:val="24"/>
        </w:rPr>
        <w:t xml:space="preserve">开启响应文件时，响应文件中《报价一览表》内容与《分项报价明细表》内容不一致的，以《报价一览表》为准。大写金额和小写金额不一致的，以大写金额为准； </w:t>
      </w:r>
      <w:r>
        <w:rPr>
          <w:spacing w:val="-11"/>
          <w:sz w:val="24"/>
        </w:rPr>
        <w:t>总价金额与按照单价汇总金额不一致的，以单价金额计算结果为准；单价金额小数点有</w:t>
      </w:r>
      <w:r>
        <w:rPr>
          <w:spacing w:val="-17"/>
          <w:sz w:val="24"/>
        </w:rPr>
        <w:t xml:space="preserve">明显错位的，应以总价为准，并修改单价；对不同文字文本响应文件的解释发生异议的， </w:t>
      </w:r>
      <w:r>
        <w:rPr>
          <w:sz w:val="24"/>
        </w:rPr>
        <w:t>以中文文本为准。按照以上原则对错误报价的修正，供应商应书面确认。</w:t>
      </w:r>
    </w:p>
    <w:p>
      <w:pPr>
        <w:spacing w:after="0" w:line="364" w:lineRule="auto"/>
        <w:jc w:val="both"/>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21"/>
        <w:numPr>
          <w:ilvl w:val="1"/>
          <w:numId w:val="12"/>
        </w:numPr>
        <w:tabs>
          <w:tab w:val="left" w:pos="1499"/>
        </w:tabs>
        <w:spacing w:before="40" w:after="0" w:line="240" w:lineRule="auto"/>
        <w:ind w:left="1498" w:right="0" w:hanging="541"/>
        <w:jc w:val="left"/>
        <w:rPr>
          <w:sz w:val="24"/>
        </w:rPr>
      </w:pPr>
      <w:r>
        <w:rPr>
          <w:sz w:val="24"/>
        </w:rPr>
        <w:t>唱价时，采购代理机构只对按照磋商文件要求编制的响应报价进行唱价。</w:t>
      </w:r>
    </w:p>
    <w:p>
      <w:pPr>
        <w:pStyle w:val="21"/>
        <w:numPr>
          <w:ilvl w:val="1"/>
          <w:numId w:val="12"/>
        </w:numPr>
        <w:tabs>
          <w:tab w:val="left" w:pos="1499"/>
        </w:tabs>
        <w:spacing w:before="161" w:after="0" w:line="364" w:lineRule="auto"/>
        <w:ind w:left="478" w:right="477" w:firstLine="480"/>
        <w:jc w:val="left"/>
        <w:rPr>
          <w:sz w:val="24"/>
        </w:rPr>
      </w:pPr>
      <w:r>
        <w:rPr>
          <w:spacing w:val="-6"/>
          <w:sz w:val="24"/>
        </w:rPr>
        <w:t>供应商的成交价格在合同执行中是固定不变的，不得以任何理由予以变更，不</w:t>
      </w:r>
      <w:r>
        <w:rPr>
          <w:sz w:val="24"/>
        </w:rPr>
        <w:t>得出现任何包含价格调整的要求。</w:t>
      </w:r>
    </w:p>
    <w:p>
      <w:pPr>
        <w:pStyle w:val="21"/>
        <w:numPr>
          <w:ilvl w:val="1"/>
          <w:numId w:val="12"/>
        </w:numPr>
        <w:tabs>
          <w:tab w:val="left" w:pos="1619"/>
        </w:tabs>
        <w:spacing w:before="1" w:after="0" w:line="240" w:lineRule="auto"/>
        <w:ind w:left="1618" w:right="0" w:hanging="661"/>
        <w:jc w:val="left"/>
        <w:rPr>
          <w:sz w:val="24"/>
        </w:rPr>
      </w:pPr>
      <w:r>
        <w:rPr>
          <w:sz w:val="24"/>
        </w:rPr>
        <w:t>采购人不接受未经中国海关报验放进入中国境内且产自关境外的货物报价。</w:t>
      </w:r>
    </w:p>
    <w:p>
      <w:pPr>
        <w:pStyle w:val="21"/>
        <w:numPr>
          <w:ilvl w:val="1"/>
          <w:numId w:val="12"/>
        </w:numPr>
        <w:tabs>
          <w:tab w:val="left" w:pos="1619"/>
        </w:tabs>
        <w:spacing w:before="161" w:after="0" w:line="240" w:lineRule="auto"/>
        <w:ind w:left="1618" w:right="0" w:hanging="661"/>
        <w:jc w:val="left"/>
        <w:rPr>
          <w:sz w:val="24"/>
        </w:rPr>
      </w:pPr>
      <w:r>
        <w:rPr>
          <w:sz w:val="24"/>
        </w:rPr>
        <w:t>供应商须知前附表未规定可以采购进口产品的，不允许进口产品参加报价。</w:t>
      </w:r>
    </w:p>
    <w:p>
      <w:pPr>
        <w:pStyle w:val="5"/>
        <w:numPr>
          <w:ilvl w:val="0"/>
          <w:numId w:val="12"/>
        </w:numPr>
        <w:tabs>
          <w:tab w:val="left" w:pos="1460"/>
        </w:tabs>
        <w:spacing w:before="211" w:after="0" w:line="240" w:lineRule="auto"/>
        <w:ind w:left="1459" w:right="0" w:hanging="423"/>
        <w:jc w:val="left"/>
        <w:rPr>
          <w:rFonts w:hint="eastAsia" w:ascii="楷体" w:eastAsia="楷体"/>
        </w:rPr>
      </w:pPr>
      <w:bookmarkStart w:id="48" w:name="13.响应文件编制要求"/>
      <w:bookmarkEnd w:id="48"/>
      <w:bookmarkStart w:id="49" w:name="_bookmark18"/>
      <w:bookmarkEnd w:id="49"/>
      <w:bookmarkStart w:id="50" w:name="_bookmark18"/>
      <w:bookmarkEnd w:id="50"/>
      <w:r>
        <w:rPr>
          <w:rFonts w:hint="eastAsia" w:ascii="楷体" w:eastAsia="楷体"/>
          <w:spacing w:val="-3"/>
        </w:rPr>
        <w:t>响应文件编制要求</w:t>
      </w:r>
    </w:p>
    <w:p>
      <w:pPr>
        <w:pStyle w:val="21"/>
        <w:numPr>
          <w:ilvl w:val="1"/>
          <w:numId w:val="12"/>
        </w:numPr>
        <w:tabs>
          <w:tab w:val="left" w:pos="1499"/>
        </w:tabs>
        <w:spacing w:before="214" w:after="0" w:line="240" w:lineRule="auto"/>
        <w:ind w:left="1498" w:right="0" w:hanging="541"/>
        <w:jc w:val="left"/>
        <w:rPr>
          <w:sz w:val="24"/>
        </w:rPr>
      </w:pPr>
      <w:r>
        <w:rPr>
          <w:sz w:val="24"/>
        </w:rPr>
        <w:t>响应文件应按所投包分别进行编制。</w:t>
      </w:r>
    </w:p>
    <w:p>
      <w:pPr>
        <w:pStyle w:val="21"/>
        <w:numPr>
          <w:ilvl w:val="1"/>
          <w:numId w:val="12"/>
        </w:numPr>
        <w:tabs>
          <w:tab w:val="left" w:pos="1499"/>
        </w:tabs>
        <w:spacing w:before="161" w:after="0" w:line="240" w:lineRule="auto"/>
        <w:ind w:left="1498" w:right="0" w:hanging="541"/>
        <w:jc w:val="left"/>
        <w:rPr>
          <w:sz w:val="24"/>
        </w:rPr>
      </w:pPr>
      <w:r>
        <w:rPr>
          <w:sz w:val="24"/>
        </w:rPr>
        <w:t>响应文件编制：见供应商须知前附表。</w:t>
      </w:r>
    </w:p>
    <w:p>
      <w:pPr>
        <w:pStyle w:val="21"/>
        <w:numPr>
          <w:ilvl w:val="1"/>
          <w:numId w:val="12"/>
        </w:numPr>
        <w:tabs>
          <w:tab w:val="left" w:pos="1499"/>
        </w:tabs>
        <w:spacing w:before="160" w:after="0" w:line="240" w:lineRule="auto"/>
        <w:ind w:left="1498" w:right="0" w:hanging="541"/>
        <w:jc w:val="left"/>
        <w:rPr>
          <w:sz w:val="24"/>
        </w:rPr>
      </w:pPr>
      <w:r>
        <w:rPr>
          <w:sz w:val="24"/>
        </w:rPr>
        <w:t>响应文件签章：见供应商须知前附表。</w:t>
      </w:r>
    </w:p>
    <w:p>
      <w:pPr>
        <w:pStyle w:val="21"/>
        <w:numPr>
          <w:ilvl w:val="1"/>
          <w:numId w:val="12"/>
        </w:numPr>
        <w:tabs>
          <w:tab w:val="left" w:pos="1499"/>
        </w:tabs>
        <w:spacing w:before="161" w:after="0" w:line="364" w:lineRule="auto"/>
        <w:ind w:left="478" w:right="477" w:firstLine="480"/>
        <w:jc w:val="left"/>
        <w:rPr>
          <w:sz w:val="24"/>
        </w:rPr>
      </w:pPr>
      <w:r>
        <w:rPr>
          <w:spacing w:val="-7"/>
          <w:sz w:val="24"/>
        </w:rPr>
        <w:t>供应商可对供货现场以及其范围环境进行考察，以获取有关编制响应文件和签</w:t>
      </w:r>
      <w:r>
        <w:rPr>
          <w:sz w:val="24"/>
        </w:rPr>
        <w:t>署实施合同所需的各项资料，供应商应承担现场考察的费用、责任和风险。</w:t>
      </w:r>
    </w:p>
    <w:p>
      <w:pPr>
        <w:pStyle w:val="21"/>
        <w:numPr>
          <w:ilvl w:val="1"/>
          <w:numId w:val="12"/>
        </w:numPr>
        <w:tabs>
          <w:tab w:val="left" w:pos="1501"/>
        </w:tabs>
        <w:spacing w:before="1" w:after="0" w:line="364" w:lineRule="auto"/>
        <w:ind w:left="478" w:right="476" w:firstLine="480"/>
        <w:jc w:val="left"/>
        <w:rPr>
          <w:sz w:val="24"/>
        </w:rPr>
      </w:pPr>
      <w:r>
        <w:rPr>
          <w:sz w:val="24"/>
        </w:rPr>
        <w:t>供应商编制响应文件时，应当如实在技术响应表和商务响应表中填写响应情况。</w:t>
      </w:r>
    </w:p>
    <w:p>
      <w:pPr>
        <w:pStyle w:val="5"/>
        <w:numPr>
          <w:ilvl w:val="0"/>
          <w:numId w:val="12"/>
        </w:numPr>
        <w:tabs>
          <w:tab w:val="left" w:pos="1460"/>
        </w:tabs>
        <w:spacing w:before="52" w:after="0" w:line="240" w:lineRule="auto"/>
        <w:ind w:left="1459" w:right="0" w:hanging="423"/>
        <w:jc w:val="left"/>
        <w:rPr>
          <w:rFonts w:hint="eastAsia" w:ascii="楷体" w:eastAsia="楷体"/>
        </w:rPr>
      </w:pPr>
      <w:bookmarkStart w:id="51" w:name="_bookmark19"/>
      <w:bookmarkEnd w:id="51"/>
      <w:bookmarkStart w:id="52" w:name="_bookmark19"/>
      <w:bookmarkEnd w:id="52"/>
      <w:bookmarkStart w:id="53" w:name="14.响应文件的密封和标记"/>
      <w:bookmarkEnd w:id="53"/>
      <w:r>
        <w:rPr>
          <w:rFonts w:hint="eastAsia" w:ascii="楷体" w:eastAsia="楷体"/>
          <w:spacing w:val="-3"/>
        </w:rPr>
        <w:t>响应文件的密封和标记</w:t>
      </w:r>
    </w:p>
    <w:p>
      <w:pPr>
        <w:pStyle w:val="8"/>
        <w:spacing w:before="214"/>
        <w:ind w:left="958"/>
      </w:pPr>
      <w:r>
        <w:t>见供应商须知前附表。</w:t>
      </w:r>
    </w:p>
    <w:p>
      <w:pPr>
        <w:pStyle w:val="5"/>
        <w:numPr>
          <w:ilvl w:val="0"/>
          <w:numId w:val="12"/>
        </w:numPr>
        <w:tabs>
          <w:tab w:val="left" w:pos="1460"/>
        </w:tabs>
        <w:spacing w:before="212" w:after="0" w:line="240" w:lineRule="auto"/>
        <w:ind w:left="1459" w:right="0" w:hanging="423"/>
        <w:jc w:val="left"/>
        <w:rPr>
          <w:rFonts w:hint="eastAsia" w:ascii="楷体" w:eastAsia="楷体"/>
        </w:rPr>
      </w:pPr>
      <w:bookmarkStart w:id="54" w:name="15.响应文件的递交"/>
      <w:bookmarkEnd w:id="54"/>
      <w:bookmarkStart w:id="55" w:name="_bookmark20"/>
      <w:bookmarkEnd w:id="55"/>
      <w:bookmarkStart w:id="56" w:name="_bookmark20"/>
      <w:bookmarkEnd w:id="56"/>
      <w:r>
        <w:rPr>
          <w:rFonts w:hint="eastAsia" w:ascii="楷体" w:eastAsia="楷体"/>
          <w:spacing w:val="-3"/>
        </w:rPr>
        <w:t>响应文件的递交</w:t>
      </w:r>
    </w:p>
    <w:p>
      <w:pPr>
        <w:pStyle w:val="21"/>
        <w:numPr>
          <w:ilvl w:val="1"/>
          <w:numId w:val="12"/>
        </w:numPr>
        <w:tabs>
          <w:tab w:val="left" w:pos="1499"/>
        </w:tabs>
        <w:spacing w:before="214" w:after="0" w:line="240" w:lineRule="auto"/>
        <w:ind w:left="1498" w:right="0" w:hanging="541"/>
        <w:jc w:val="left"/>
        <w:rPr>
          <w:sz w:val="24"/>
        </w:rPr>
      </w:pPr>
      <w:r>
        <w:rPr>
          <w:sz w:val="24"/>
        </w:rPr>
        <w:t>供应商应在报价截止时间前递交响应文件。</w:t>
      </w:r>
    </w:p>
    <w:p>
      <w:pPr>
        <w:pStyle w:val="21"/>
        <w:numPr>
          <w:ilvl w:val="1"/>
          <w:numId w:val="12"/>
        </w:numPr>
        <w:tabs>
          <w:tab w:val="left" w:pos="1499"/>
        </w:tabs>
        <w:spacing w:before="161" w:after="0" w:line="240" w:lineRule="auto"/>
        <w:ind w:left="1498" w:right="0" w:hanging="541"/>
        <w:jc w:val="left"/>
        <w:rPr>
          <w:sz w:val="24"/>
        </w:rPr>
      </w:pPr>
      <w:r>
        <w:rPr>
          <w:sz w:val="24"/>
        </w:rPr>
        <w:t>供应商递交响应文件的时间、地点和要求：见供应商须知前附表。</w:t>
      </w:r>
    </w:p>
    <w:p>
      <w:pPr>
        <w:pStyle w:val="21"/>
        <w:numPr>
          <w:ilvl w:val="1"/>
          <w:numId w:val="12"/>
        </w:numPr>
        <w:tabs>
          <w:tab w:val="left" w:pos="1499"/>
        </w:tabs>
        <w:spacing w:before="160" w:after="0" w:line="364" w:lineRule="auto"/>
        <w:ind w:left="478" w:right="477" w:firstLine="480"/>
        <w:jc w:val="left"/>
        <w:rPr>
          <w:sz w:val="24"/>
        </w:rPr>
      </w:pPr>
      <w:r>
        <w:rPr>
          <w:spacing w:val="-12"/>
          <w:sz w:val="24"/>
        </w:rPr>
        <w:t>供应商有下列情况之一，采购人或者采购代理机构应当拒绝接收供应商的响应</w:t>
      </w:r>
      <w:r>
        <w:rPr>
          <w:sz w:val="24"/>
        </w:rPr>
        <w:t>文件：</w:t>
      </w:r>
    </w:p>
    <w:p>
      <w:pPr>
        <w:pStyle w:val="21"/>
        <w:numPr>
          <w:ilvl w:val="2"/>
          <w:numId w:val="12"/>
        </w:numPr>
        <w:tabs>
          <w:tab w:val="left" w:pos="1739"/>
        </w:tabs>
        <w:spacing w:before="1" w:after="0" w:line="240" w:lineRule="auto"/>
        <w:ind w:left="1738" w:right="0" w:hanging="781"/>
        <w:jc w:val="left"/>
        <w:rPr>
          <w:sz w:val="24"/>
        </w:rPr>
      </w:pPr>
      <w:r>
        <w:rPr>
          <w:sz w:val="24"/>
        </w:rPr>
        <w:t>逾期送达的或者未送达指定地点的。</w:t>
      </w:r>
    </w:p>
    <w:p>
      <w:pPr>
        <w:pStyle w:val="21"/>
        <w:numPr>
          <w:ilvl w:val="2"/>
          <w:numId w:val="12"/>
        </w:numPr>
        <w:tabs>
          <w:tab w:val="left" w:pos="1739"/>
        </w:tabs>
        <w:spacing w:before="161" w:after="0" w:line="240" w:lineRule="auto"/>
        <w:ind w:left="1738" w:right="0" w:hanging="781"/>
        <w:jc w:val="left"/>
        <w:rPr>
          <w:sz w:val="24"/>
        </w:rPr>
      </w:pPr>
      <w:r>
        <w:rPr>
          <w:sz w:val="24"/>
        </w:rPr>
        <w:t>响应文件未按采购文件要求密封的。</w:t>
      </w:r>
    </w:p>
    <w:p>
      <w:pPr>
        <w:pStyle w:val="21"/>
        <w:numPr>
          <w:ilvl w:val="2"/>
          <w:numId w:val="12"/>
        </w:numPr>
        <w:tabs>
          <w:tab w:val="left" w:pos="1741"/>
        </w:tabs>
        <w:spacing w:before="160" w:after="0" w:line="364" w:lineRule="auto"/>
        <w:ind w:left="478" w:right="478" w:firstLine="480"/>
        <w:jc w:val="left"/>
        <w:rPr>
          <w:sz w:val="24"/>
        </w:rPr>
      </w:pPr>
      <w:r>
        <w:rPr>
          <w:sz w:val="24"/>
        </w:rPr>
        <w:t>递交响应文件时法定代表人未出示法定代表人身份证明原件和身份证原件的；被授权代表未出示授权委托书原件和身份证原件的。</w:t>
      </w:r>
    </w:p>
    <w:p>
      <w:pPr>
        <w:pStyle w:val="21"/>
        <w:numPr>
          <w:ilvl w:val="1"/>
          <w:numId w:val="12"/>
        </w:numPr>
        <w:tabs>
          <w:tab w:val="left" w:pos="1499"/>
        </w:tabs>
        <w:spacing w:before="2" w:after="0" w:line="364" w:lineRule="auto"/>
        <w:ind w:left="478" w:right="477" w:firstLine="480"/>
        <w:jc w:val="left"/>
        <w:rPr>
          <w:sz w:val="24"/>
        </w:rPr>
      </w:pPr>
      <w:r>
        <w:rPr>
          <w:spacing w:val="-7"/>
          <w:sz w:val="24"/>
        </w:rPr>
        <w:t>除供应商须知前附表另有规定外，不论采购过程和结果如何，供应商的响应文</w:t>
      </w:r>
      <w:r>
        <w:rPr>
          <w:sz w:val="24"/>
        </w:rPr>
        <w:t>件均不退还。</w:t>
      </w:r>
    </w:p>
    <w:p>
      <w:pPr>
        <w:pStyle w:val="5"/>
        <w:numPr>
          <w:ilvl w:val="0"/>
          <w:numId w:val="12"/>
        </w:numPr>
        <w:tabs>
          <w:tab w:val="left" w:pos="1460"/>
        </w:tabs>
        <w:spacing w:before="52" w:after="0" w:line="240" w:lineRule="auto"/>
        <w:ind w:left="1459" w:right="0" w:hanging="423"/>
        <w:jc w:val="left"/>
        <w:rPr>
          <w:rFonts w:hint="eastAsia" w:ascii="楷体" w:eastAsia="楷体"/>
        </w:rPr>
      </w:pPr>
      <w:bookmarkStart w:id="57" w:name="_bookmark21"/>
      <w:bookmarkEnd w:id="57"/>
      <w:bookmarkStart w:id="58" w:name="16.响应文件的修改与撤回"/>
      <w:bookmarkEnd w:id="58"/>
      <w:bookmarkStart w:id="59" w:name="_bookmark21"/>
      <w:bookmarkEnd w:id="59"/>
      <w:r>
        <w:rPr>
          <w:rFonts w:hint="eastAsia" w:ascii="楷体" w:eastAsia="楷体"/>
          <w:spacing w:val="-3"/>
        </w:rPr>
        <w:t>响应文件的修改与撤回</w:t>
      </w:r>
    </w:p>
    <w:p>
      <w:pPr>
        <w:pStyle w:val="21"/>
        <w:numPr>
          <w:ilvl w:val="1"/>
          <w:numId w:val="12"/>
        </w:numPr>
        <w:tabs>
          <w:tab w:val="left" w:pos="1499"/>
        </w:tabs>
        <w:spacing w:before="214" w:after="0" w:line="240" w:lineRule="auto"/>
        <w:ind w:left="1498" w:right="0" w:hanging="541"/>
        <w:jc w:val="left"/>
        <w:rPr>
          <w:sz w:val="24"/>
        </w:rPr>
      </w:pPr>
      <w:r>
        <w:rPr>
          <w:spacing w:val="-6"/>
          <w:sz w:val="24"/>
        </w:rPr>
        <w:t>供应商在磋商文件要求提交响应文件截止时间前，可以补充、修改、替代或者</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8"/>
        <w:spacing w:before="40"/>
        <w:ind w:left="478"/>
      </w:pPr>
      <w:r>
        <w:t>撤回已提交的响应文件。补充、修改的内容为响应文件的组成部分。</w:t>
      </w:r>
    </w:p>
    <w:p>
      <w:pPr>
        <w:pStyle w:val="21"/>
        <w:numPr>
          <w:ilvl w:val="1"/>
          <w:numId w:val="12"/>
        </w:numPr>
        <w:tabs>
          <w:tab w:val="left" w:pos="1499"/>
        </w:tabs>
        <w:spacing w:before="161" w:after="0" w:line="364" w:lineRule="auto"/>
        <w:ind w:left="478" w:right="477" w:firstLine="480"/>
        <w:jc w:val="left"/>
        <w:rPr>
          <w:sz w:val="24"/>
        </w:rPr>
      </w:pPr>
      <w:r>
        <w:rPr>
          <w:spacing w:val="-5"/>
          <w:sz w:val="24"/>
        </w:rPr>
        <w:t>在提交响应文件截止时间后到磋商文件规定的报价有效期终止之前，在磋商文</w:t>
      </w:r>
      <w:r>
        <w:rPr>
          <w:sz w:val="24"/>
        </w:rPr>
        <w:t>件没有变动的情况下，供应商不得补充、修改、替代或者撤销其响应文件。</w:t>
      </w:r>
    </w:p>
    <w:p>
      <w:pPr>
        <w:pStyle w:val="5"/>
        <w:numPr>
          <w:ilvl w:val="0"/>
          <w:numId w:val="12"/>
        </w:numPr>
        <w:tabs>
          <w:tab w:val="left" w:pos="1460"/>
        </w:tabs>
        <w:spacing w:before="52" w:after="0" w:line="240" w:lineRule="auto"/>
        <w:ind w:left="1459" w:right="0" w:hanging="423"/>
        <w:jc w:val="left"/>
        <w:rPr>
          <w:rFonts w:hint="eastAsia" w:ascii="楷体" w:eastAsia="楷体"/>
        </w:rPr>
      </w:pPr>
      <w:bookmarkStart w:id="60" w:name="_bookmark22"/>
      <w:bookmarkEnd w:id="60"/>
      <w:bookmarkStart w:id="61" w:name="17.保证金"/>
      <w:bookmarkEnd w:id="61"/>
      <w:bookmarkStart w:id="62" w:name="_bookmark22"/>
      <w:bookmarkEnd w:id="62"/>
      <w:r>
        <w:rPr>
          <w:rFonts w:hint="eastAsia" w:ascii="楷体" w:eastAsia="楷体"/>
          <w:spacing w:val="-2"/>
        </w:rPr>
        <w:t>保证金</w:t>
      </w:r>
    </w:p>
    <w:p>
      <w:pPr>
        <w:pStyle w:val="21"/>
        <w:numPr>
          <w:ilvl w:val="1"/>
          <w:numId w:val="12"/>
        </w:numPr>
        <w:tabs>
          <w:tab w:val="left" w:pos="1499"/>
        </w:tabs>
        <w:spacing w:before="214" w:after="0" w:line="240" w:lineRule="auto"/>
        <w:ind w:left="1498" w:right="0" w:hanging="541"/>
        <w:jc w:val="left"/>
        <w:rPr>
          <w:sz w:val="24"/>
        </w:rPr>
      </w:pPr>
      <w:r>
        <w:rPr>
          <w:sz w:val="24"/>
        </w:rPr>
        <w:t>保证金的交纳</w:t>
      </w:r>
    </w:p>
    <w:p>
      <w:pPr>
        <w:pStyle w:val="21"/>
        <w:numPr>
          <w:ilvl w:val="2"/>
          <w:numId w:val="12"/>
        </w:numPr>
        <w:tabs>
          <w:tab w:val="left" w:pos="1739"/>
        </w:tabs>
        <w:spacing w:before="161" w:after="0" w:line="240" w:lineRule="auto"/>
        <w:ind w:left="1738" w:right="0" w:hanging="781"/>
        <w:jc w:val="left"/>
        <w:rPr>
          <w:sz w:val="24"/>
        </w:rPr>
      </w:pPr>
      <w:r>
        <w:rPr>
          <w:sz w:val="24"/>
        </w:rPr>
        <w:t>保证金的交纳金额和形式：见供应商须知前附表。</w:t>
      </w:r>
    </w:p>
    <w:p>
      <w:pPr>
        <w:pStyle w:val="21"/>
        <w:numPr>
          <w:ilvl w:val="2"/>
          <w:numId w:val="12"/>
        </w:numPr>
        <w:tabs>
          <w:tab w:val="left" w:pos="1739"/>
        </w:tabs>
        <w:spacing w:before="160" w:after="0" w:line="240" w:lineRule="auto"/>
        <w:ind w:left="1738" w:right="0" w:hanging="781"/>
        <w:jc w:val="left"/>
        <w:rPr>
          <w:sz w:val="24"/>
        </w:rPr>
      </w:pPr>
      <w:r>
        <w:rPr>
          <w:sz w:val="24"/>
        </w:rPr>
        <w:t>保证金以到账时间为准。</w:t>
      </w:r>
    </w:p>
    <w:p>
      <w:pPr>
        <w:pStyle w:val="21"/>
        <w:numPr>
          <w:ilvl w:val="2"/>
          <w:numId w:val="12"/>
        </w:numPr>
        <w:tabs>
          <w:tab w:val="left" w:pos="1741"/>
        </w:tabs>
        <w:spacing w:before="161" w:after="0" w:line="364" w:lineRule="auto"/>
        <w:ind w:left="478" w:right="478" w:firstLine="480"/>
        <w:jc w:val="left"/>
        <w:rPr>
          <w:sz w:val="24"/>
        </w:rPr>
      </w:pPr>
      <w:r>
        <w:rPr>
          <w:sz w:val="24"/>
        </w:rPr>
        <w:t>供应商为联合体的，联合体牵头人交纳的保证金对联合体各方均具有约束力。</w:t>
      </w:r>
    </w:p>
    <w:p>
      <w:pPr>
        <w:pStyle w:val="21"/>
        <w:numPr>
          <w:ilvl w:val="1"/>
          <w:numId w:val="12"/>
        </w:numPr>
        <w:tabs>
          <w:tab w:val="left" w:pos="1499"/>
        </w:tabs>
        <w:spacing w:before="1" w:after="0" w:line="240" w:lineRule="auto"/>
        <w:ind w:left="1498" w:right="0" w:hanging="541"/>
        <w:jc w:val="left"/>
        <w:rPr>
          <w:sz w:val="24"/>
        </w:rPr>
      </w:pPr>
      <w:r>
        <w:rPr>
          <w:sz w:val="24"/>
        </w:rPr>
        <w:t>保证金的退还</w:t>
      </w:r>
    </w:p>
    <w:p>
      <w:pPr>
        <w:pStyle w:val="21"/>
        <w:numPr>
          <w:ilvl w:val="2"/>
          <w:numId w:val="12"/>
        </w:numPr>
        <w:tabs>
          <w:tab w:val="left" w:pos="1739"/>
        </w:tabs>
        <w:spacing w:before="160" w:after="0" w:line="364" w:lineRule="auto"/>
        <w:ind w:left="478" w:right="365" w:firstLine="480"/>
        <w:jc w:val="left"/>
        <w:rPr>
          <w:sz w:val="24"/>
        </w:rPr>
      </w:pPr>
      <w:r>
        <w:rPr>
          <w:spacing w:val="-1"/>
          <w:sz w:val="24"/>
        </w:rPr>
        <w:t xml:space="preserve">供应商在采购文件要求提交响应文件截止时间前书面要求撤回响应文件的， </w:t>
      </w:r>
      <w:r>
        <w:rPr>
          <w:sz w:val="24"/>
        </w:rPr>
        <w:t>采购人或者采购代理机构自收到供应商书面撤回文件之日起 5</w:t>
      </w:r>
      <w:r>
        <w:rPr>
          <w:spacing w:val="-3"/>
          <w:sz w:val="24"/>
        </w:rPr>
        <w:t xml:space="preserve"> 日内退还已收取的保证金。</w:t>
      </w:r>
    </w:p>
    <w:p>
      <w:pPr>
        <w:pStyle w:val="21"/>
        <w:numPr>
          <w:ilvl w:val="2"/>
          <w:numId w:val="12"/>
        </w:numPr>
        <w:tabs>
          <w:tab w:val="left" w:pos="1739"/>
        </w:tabs>
        <w:spacing w:before="2" w:after="0" w:line="364" w:lineRule="auto"/>
        <w:ind w:left="478" w:right="365" w:firstLine="480"/>
        <w:jc w:val="left"/>
        <w:rPr>
          <w:sz w:val="24"/>
        </w:rPr>
      </w:pPr>
      <w:r>
        <w:rPr>
          <w:spacing w:val="-5"/>
          <w:sz w:val="24"/>
        </w:rPr>
        <w:t xml:space="preserve">采购代理机构在成交通知发出后 </w:t>
      </w:r>
      <w:r>
        <w:rPr>
          <w:sz w:val="24"/>
        </w:rPr>
        <w:t>5</w:t>
      </w:r>
      <w:r>
        <w:rPr>
          <w:spacing w:val="-9"/>
          <w:sz w:val="24"/>
        </w:rPr>
        <w:t xml:space="preserve"> 个工作日内退还未成交供应商的保证金， </w:t>
      </w:r>
      <w:r>
        <w:rPr>
          <w:spacing w:val="-5"/>
          <w:sz w:val="24"/>
        </w:rPr>
        <w:t xml:space="preserve">在采购合同签订并备案后 </w:t>
      </w:r>
      <w:r>
        <w:rPr>
          <w:sz w:val="24"/>
        </w:rPr>
        <w:t>5</w:t>
      </w:r>
      <w:r>
        <w:rPr>
          <w:spacing w:val="-8"/>
          <w:sz w:val="24"/>
        </w:rPr>
        <w:t xml:space="preserve"> 个工作日内退还成交供应商的保证金。</w:t>
      </w:r>
    </w:p>
    <w:p>
      <w:pPr>
        <w:pStyle w:val="21"/>
        <w:numPr>
          <w:ilvl w:val="1"/>
          <w:numId w:val="12"/>
        </w:numPr>
        <w:tabs>
          <w:tab w:val="left" w:pos="1499"/>
        </w:tabs>
        <w:spacing w:before="1" w:after="0" w:line="240" w:lineRule="auto"/>
        <w:ind w:left="1498" w:right="0" w:hanging="541"/>
        <w:jc w:val="left"/>
        <w:rPr>
          <w:sz w:val="24"/>
        </w:rPr>
      </w:pPr>
      <w:r>
        <w:rPr>
          <w:sz w:val="24"/>
        </w:rPr>
        <w:t>保证金的不予退还</w:t>
      </w:r>
    </w:p>
    <w:p>
      <w:pPr>
        <w:pStyle w:val="21"/>
        <w:numPr>
          <w:ilvl w:val="2"/>
          <w:numId w:val="12"/>
        </w:numPr>
        <w:tabs>
          <w:tab w:val="left" w:pos="1739"/>
        </w:tabs>
        <w:spacing w:before="161" w:after="0" w:line="240" w:lineRule="auto"/>
        <w:ind w:left="1738" w:right="0" w:hanging="781"/>
        <w:jc w:val="left"/>
        <w:rPr>
          <w:sz w:val="24"/>
        </w:rPr>
      </w:pPr>
      <w:r>
        <w:rPr>
          <w:sz w:val="24"/>
        </w:rPr>
        <w:t>供应商有下列情形之一的，保证金将不予退还：</w:t>
      </w:r>
    </w:p>
    <w:p>
      <w:pPr>
        <w:pStyle w:val="21"/>
        <w:numPr>
          <w:ilvl w:val="0"/>
          <w:numId w:val="13"/>
        </w:numPr>
        <w:tabs>
          <w:tab w:val="left" w:pos="1560"/>
        </w:tabs>
        <w:spacing w:before="160" w:after="0" w:line="240" w:lineRule="auto"/>
        <w:ind w:left="1559" w:right="0" w:hanging="602"/>
        <w:jc w:val="left"/>
        <w:rPr>
          <w:sz w:val="24"/>
        </w:rPr>
      </w:pPr>
      <w:r>
        <w:rPr>
          <w:sz w:val="24"/>
        </w:rPr>
        <w:t>提供的有关资料不真实或者提供虚假材料的；</w:t>
      </w:r>
    </w:p>
    <w:p>
      <w:pPr>
        <w:pStyle w:val="21"/>
        <w:numPr>
          <w:ilvl w:val="0"/>
          <w:numId w:val="13"/>
        </w:numPr>
        <w:tabs>
          <w:tab w:val="left" w:pos="1560"/>
        </w:tabs>
        <w:spacing w:before="161" w:after="0" w:line="240" w:lineRule="auto"/>
        <w:ind w:left="1559" w:right="0" w:hanging="602"/>
        <w:jc w:val="left"/>
        <w:rPr>
          <w:sz w:val="24"/>
        </w:rPr>
      </w:pPr>
      <w:r>
        <w:rPr>
          <w:sz w:val="24"/>
        </w:rPr>
        <w:t>报价截止时间后供应商撤回全部或者部分响应文件的；</w:t>
      </w:r>
    </w:p>
    <w:p>
      <w:pPr>
        <w:pStyle w:val="21"/>
        <w:numPr>
          <w:ilvl w:val="0"/>
          <w:numId w:val="13"/>
        </w:numPr>
        <w:tabs>
          <w:tab w:val="left" w:pos="1560"/>
        </w:tabs>
        <w:spacing w:before="160" w:after="0" w:line="240" w:lineRule="auto"/>
        <w:ind w:left="1559" w:right="0" w:hanging="602"/>
        <w:jc w:val="left"/>
        <w:rPr>
          <w:sz w:val="24"/>
        </w:rPr>
      </w:pPr>
      <w:r>
        <w:rPr>
          <w:sz w:val="24"/>
        </w:rPr>
        <w:t>损害采购人或者采购代理机构合法权益的；</w:t>
      </w:r>
    </w:p>
    <w:p>
      <w:pPr>
        <w:pStyle w:val="21"/>
        <w:numPr>
          <w:ilvl w:val="0"/>
          <w:numId w:val="13"/>
        </w:numPr>
        <w:tabs>
          <w:tab w:val="left" w:pos="1560"/>
        </w:tabs>
        <w:spacing w:before="161" w:after="0" w:line="240" w:lineRule="auto"/>
        <w:ind w:left="1559" w:right="0" w:hanging="602"/>
        <w:jc w:val="left"/>
        <w:rPr>
          <w:sz w:val="24"/>
        </w:rPr>
      </w:pPr>
      <w:r>
        <w:rPr>
          <w:sz w:val="24"/>
        </w:rPr>
        <w:t>供应商向采购代理机构、采购人、专家提供不正当利益的；</w:t>
      </w:r>
    </w:p>
    <w:p>
      <w:pPr>
        <w:pStyle w:val="21"/>
        <w:numPr>
          <w:ilvl w:val="0"/>
          <w:numId w:val="13"/>
        </w:numPr>
        <w:tabs>
          <w:tab w:val="left" w:pos="1560"/>
        </w:tabs>
        <w:spacing w:before="160" w:after="0" w:line="240" w:lineRule="auto"/>
        <w:ind w:left="1559" w:right="0" w:hanging="602"/>
        <w:jc w:val="left"/>
        <w:rPr>
          <w:sz w:val="24"/>
        </w:rPr>
      </w:pPr>
      <w:r>
        <w:rPr>
          <w:spacing w:val="-1"/>
          <w:sz w:val="24"/>
        </w:rPr>
        <w:t>经磋商小组认定有故意哄抬报价、串标或者其它违法行为的;</w:t>
      </w:r>
    </w:p>
    <w:p>
      <w:pPr>
        <w:pStyle w:val="21"/>
        <w:numPr>
          <w:ilvl w:val="0"/>
          <w:numId w:val="13"/>
        </w:numPr>
        <w:tabs>
          <w:tab w:val="left" w:pos="1564"/>
        </w:tabs>
        <w:spacing w:before="161" w:after="0" w:line="364" w:lineRule="auto"/>
        <w:ind w:left="478" w:right="478" w:firstLine="480"/>
        <w:jc w:val="left"/>
        <w:rPr>
          <w:sz w:val="24"/>
        </w:rPr>
      </w:pPr>
      <w:r>
        <w:rPr>
          <w:sz w:val="24"/>
        </w:rPr>
        <w:t>成交供应商未按照采购文件规定签订合同或者未按照采购文件规定提供履约保证金的；</w:t>
      </w:r>
    </w:p>
    <w:p>
      <w:pPr>
        <w:pStyle w:val="21"/>
        <w:numPr>
          <w:ilvl w:val="0"/>
          <w:numId w:val="13"/>
        </w:numPr>
        <w:tabs>
          <w:tab w:val="left" w:pos="1560"/>
        </w:tabs>
        <w:spacing w:before="1" w:after="0" w:line="240" w:lineRule="auto"/>
        <w:ind w:left="1559" w:right="0" w:hanging="602"/>
        <w:jc w:val="left"/>
        <w:rPr>
          <w:sz w:val="24"/>
        </w:rPr>
      </w:pPr>
      <w:r>
        <w:rPr>
          <w:sz w:val="24"/>
        </w:rPr>
        <w:t>法律、行政法规以及有关规定的其它情形。</w:t>
      </w:r>
    </w:p>
    <w:p>
      <w:pPr>
        <w:pStyle w:val="21"/>
        <w:numPr>
          <w:ilvl w:val="2"/>
          <w:numId w:val="12"/>
        </w:numPr>
        <w:tabs>
          <w:tab w:val="left" w:pos="1739"/>
        </w:tabs>
        <w:spacing w:before="161" w:after="0" w:line="240" w:lineRule="auto"/>
        <w:ind w:left="1738" w:right="0" w:hanging="781"/>
        <w:jc w:val="left"/>
        <w:rPr>
          <w:sz w:val="24"/>
        </w:rPr>
      </w:pPr>
      <w:r>
        <w:rPr>
          <w:sz w:val="24"/>
        </w:rPr>
        <w:t>不予退还的保证金应在规定时间内上缴国库。</w:t>
      </w:r>
    </w:p>
    <w:p>
      <w:pPr>
        <w:pStyle w:val="5"/>
        <w:numPr>
          <w:ilvl w:val="0"/>
          <w:numId w:val="12"/>
        </w:numPr>
        <w:tabs>
          <w:tab w:val="left" w:pos="1460"/>
        </w:tabs>
        <w:spacing w:before="211" w:after="0" w:line="240" w:lineRule="auto"/>
        <w:ind w:left="1459" w:right="0" w:hanging="423"/>
        <w:jc w:val="left"/>
        <w:rPr>
          <w:rFonts w:hint="eastAsia" w:ascii="楷体" w:eastAsia="楷体"/>
        </w:rPr>
      </w:pPr>
      <w:bookmarkStart w:id="63" w:name="_bookmark23"/>
      <w:bookmarkEnd w:id="63"/>
      <w:bookmarkStart w:id="64" w:name="18.开标、磋商、成交"/>
      <w:bookmarkEnd w:id="64"/>
      <w:bookmarkStart w:id="65" w:name="_bookmark23"/>
      <w:bookmarkEnd w:id="65"/>
      <w:r>
        <w:rPr>
          <w:rFonts w:hint="eastAsia" w:ascii="楷体" w:eastAsia="楷体"/>
          <w:spacing w:val="-3"/>
        </w:rPr>
        <w:t>磋商</w:t>
      </w:r>
      <w:r>
        <w:rPr>
          <w:rFonts w:hint="eastAsia" w:ascii="楷体" w:eastAsia="楷体"/>
          <w:spacing w:val="-3"/>
          <w:lang w:val="en-US" w:eastAsia="zh-CN"/>
        </w:rPr>
        <w:t>程序</w:t>
      </w:r>
      <w:r>
        <w:rPr>
          <w:rFonts w:hint="eastAsia" w:ascii="楷体" w:eastAsia="楷体"/>
          <w:spacing w:val="-3"/>
        </w:rPr>
        <w:t>、成交</w:t>
      </w:r>
    </w:p>
    <w:p>
      <w:pPr>
        <w:pStyle w:val="21"/>
        <w:numPr>
          <w:ilvl w:val="1"/>
          <w:numId w:val="14"/>
        </w:numPr>
        <w:tabs>
          <w:tab w:val="left" w:pos="1560"/>
        </w:tabs>
        <w:spacing w:before="214" w:after="0" w:line="240" w:lineRule="auto"/>
        <w:ind w:left="1559" w:right="0" w:hanging="602"/>
        <w:jc w:val="left"/>
        <w:rPr>
          <w:sz w:val="24"/>
        </w:rPr>
      </w:pPr>
      <w:r>
        <w:rPr>
          <w:rFonts w:hint="eastAsia"/>
          <w:sz w:val="24"/>
          <w:lang w:val="en-US" w:eastAsia="zh-CN"/>
        </w:rPr>
        <w:t>磋商</w:t>
      </w:r>
      <w:r>
        <w:rPr>
          <w:sz w:val="24"/>
        </w:rPr>
        <w:t>程序</w:t>
      </w:r>
    </w:p>
    <w:p>
      <w:pPr>
        <w:pStyle w:val="21"/>
        <w:numPr>
          <w:ilvl w:val="2"/>
          <w:numId w:val="14"/>
        </w:numPr>
        <w:tabs>
          <w:tab w:val="left" w:pos="1739"/>
        </w:tabs>
        <w:spacing w:before="161" w:after="0" w:line="240" w:lineRule="auto"/>
        <w:ind w:left="1738" w:right="0" w:hanging="781"/>
        <w:jc w:val="left"/>
        <w:rPr>
          <w:sz w:val="24"/>
        </w:rPr>
      </w:pPr>
      <w:r>
        <w:rPr>
          <w:sz w:val="24"/>
        </w:rPr>
        <w:t>宣布</w:t>
      </w:r>
      <w:r>
        <w:rPr>
          <w:rFonts w:hint="eastAsia"/>
          <w:sz w:val="24"/>
          <w:lang w:val="en-US" w:eastAsia="zh-CN"/>
        </w:rPr>
        <w:t>会场</w:t>
      </w:r>
      <w:r>
        <w:rPr>
          <w:sz w:val="24"/>
        </w:rPr>
        <w:t>纪律；</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21"/>
        <w:numPr>
          <w:ilvl w:val="2"/>
          <w:numId w:val="14"/>
        </w:numPr>
        <w:tabs>
          <w:tab w:val="left" w:pos="1739"/>
        </w:tabs>
        <w:spacing w:before="40" w:after="0" w:line="240" w:lineRule="auto"/>
        <w:ind w:left="1738" w:right="0" w:hanging="781"/>
        <w:jc w:val="left"/>
        <w:rPr>
          <w:sz w:val="24"/>
        </w:rPr>
      </w:pPr>
      <w:r>
        <w:rPr>
          <w:sz w:val="24"/>
        </w:rPr>
        <w:t>宣布主持人、唱价人、记录人等有关人员姓名；</w:t>
      </w:r>
    </w:p>
    <w:p>
      <w:pPr>
        <w:pStyle w:val="21"/>
        <w:numPr>
          <w:ilvl w:val="2"/>
          <w:numId w:val="14"/>
        </w:numPr>
        <w:tabs>
          <w:tab w:val="left" w:pos="1739"/>
        </w:tabs>
        <w:spacing w:before="161" w:after="0" w:line="240" w:lineRule="auto"/>
        <w:ind w:left="1738" w:right="0" w:hanging="781"/>
        <w:jc w:val="left"/>
        <w:rPr>
          <w:sz w:val="24"/>
        </w:rPr>
      </w:pPr>
      <w:r>
        <w:rPr>
          <w:sz w:val="24"/>
        </w:rPr>
        <w:t>公布在报价截止时间前递交响应文件的供应商名称及签到顺序；</w:t>
      </w:r>
    </w:p>
    <w:p>
      <w:pPr>
        <w:pStyle w:val="21"/>
        <w:numPr>
          <w:ilvl w:val="2"/>
          <w:numId w:val="14"/>
        </w:numPr>
        <w:tabs>
          <w:tab w:val="left" w:pos="1739"/>
        </w:tabs>
        <w:spacing w:before="160" w:after="0" w:line="240" w:lineRule="auto"/>
        <w:ind w:left="1738" w:right="0" w:hanging="781"/>
        <w:jc w:val="left"/>
        <w:rPr>
          <w:sz w:val="24"/>
        </w:rPr>
      </w:pPr>
      <w:r>
        <w:rPr>
          <w:sz w:val="24"/>
        </w:rPr>
        <w:t>供应商相互检查响应文件密封情况，并签字确认；</w:t>
      </w:r>
    </w:p>
    <w:p>
      <w:pPr>
        <w:pStyle w:val="21"/>
        <w:numPr>
          <w:ilvl w:val="2"/>
          <w:numId w:val="14"/>
        </w:numPr>
        <w:tabs>
          <w:tab w:val="left" w:pos="1739"/>
        </w:tabs>
        <w:spacing w:before="161" w:after="0" w:line="240" w:lineRule="auto"/>
        <w:ind w:left="1738" w:right="0" w:hanging="781"/>
        <w:jc w:val="both"/>
        <w:rPr>
          <w:sz w:val="24"/>
        </w:rPr>
      </w:pPr>
      <w:r>
        <w:rPr>
          <w:sz w:val="24"/>
        </w:rPr>
        <w:t>开启响应文件，按照签到顺序公布供应商名称、报价等内容，并记录在案；</w:t>
      </w:r>
    </w:p>
    <w:p>
      <w:pPr>
        <w:pStyle w:val="21"/>
        <w:numPr>
          <w:ilvl w:val="2"/>
          <w:numId w:val="14"/>
        </w:numPr>
        <w:tabs>
          <w:tab w:val="left" w:pos="1739"/>
        </w:tabs>
        <w:spacing w:before="160" w:after="0" w:line="364" w:lineRule="auto"/>
        <w:ind w:left="478" w:right="477" w:firstLine="480"/>
        <w:jc w:val="both"/>
        <w:rPr>
          <w:sz w:val="24"/>
        </w:rPr>
      </w:pPr>
      <w:r>
        <w:rPr>
          <w:spacing w:val="-4"/>
          <w:sz w:val="24"/>
        </w:rPr>
        <w:t>供应商法定代表人</w:t>
      </w:r>
      <w:r>
        <w:rPr>
          <w:sz w:val="24"/>
        </w:rPr>
        <w:t>（或者被授权代表</w:t>
      </w:r>
      <w:r>
        <w:rPr>
          <w:spacing w:val="-29"/>
          <w:sz w:val="24"/>
        </w:rPr>
        <w:t>）</w:t>
      </w:r>
      <w:r>
        <w:rPr>
          <w:spacing w:val="-9"/>
          <w:sz w:val="24"/>
        </w:rPr>
        <w:t>、采购人代表、记录人等有关人员在</w:t>
      </w:r>
      <w:r>
        <w:rPr>
          <w:sz w:val="24"/>
        </w:rPr>
        <w:t>开标记录上签字确认；</w:t>
      </w:r>
    </w:p>
    <w:p>
      <w:pPr>
        <w:pStyle w:val="21"/>
        <w:numPr>
          <w:ilvl w:val="2"/>
          <w:numId w:val="14"/>
        </w:numPr>
        <w:tabs>
          <w:tab w:val="left" w:pos="1739"/>
        </w:tabs>
        <w:spacing w:before="1" w:after="0" w:line="364" w:lineRule="auto"/>
        <w:ind w:left="958" w:right="7085" w:firstLine="0"/>
        <w:jc w:val="both"/>
        <w:rPr>
          <w:sz w:val="24"/>
        </w:rPr>
      </w:pPr>
      <w:r>
        <w:rPr>
          <w:spacing w:val="-4"/>
          <w:sz w:val="24"/>
        </w:rPr>
        <w:t>开标结束。</w:t>
      </w:r>
      <w:r>
        <w:rPr>
          <w:sz w:val="24"/>
        </w:rPr>
        <w:t>18.2.开标</w:t>
      </w:r>
    </w:p>
    <w:p>
      <w:pPr>
        <w:pStyle w:val="21"/>
        <w:numPr>
          <w:ilvl w:val="2"/>
          <w:numId w:val="15"/>
        </w:numPr>
        <w:tabs>
          <w:tab w:val="left" w:pos="1739"/>
        </w:tabs>
        <w:spacing w:before="2" w:after="0" w:line="364" w:lineRule="auto"/>
        <w:ind w:left="478" w:right="477" w:firstLine="480"/>
        <w:jc w:val="both"/>
        <w:rPr>
          <w:sz w:val="24"/>
        </w:rPr>
      </w:pPr>
      <w:r>
        <w:rPr>
          <w:spacing w:val="-5"/>
          <w:sz w:val="24"/>
        </w:rPr>
        <w:t>开标应当在采购文件确定的提交响应文件截止时间的同一时间公开进行；采</w:t>
      </w:r>
      <w:r>
        <w:rPr>
          <w:spacing w:val="-3"/>
          <w:sz w:val="24"/>
        </w:rPr>
        <w:t>购代理机构按照本采购文件规定的时间和地点组织召开开标会议。届时请供应商法定代</w:t>
      </w:r>
      <w:r>
        <w:rPr>
          <w:sz w:val="24"/>
        </w:rPr>
        <w:t>表人或者被授权代表参加，参加开标会议的代表应签名报到。</w:t>
      </w:r>
    </w:p>
    <w:p>
      <w:pPr>
        <w:pStyle w:val="6"/>
        <w:spacing w:line="364" w:lineRule="auto"/>
        <w:ind w:firstLine="480"/>
        <w:jc w:val="both"/>
      </w:pPr>
      <w:r>
        <w:rPr>
          <w:spacing w:val="-8"/>
        </w:rPr>
        <w:t>递交响应文件时：法定代表人出示法定代表人身份证明原件和身份证原件、被授权</w:t>
      </w:r>
      <w:r>
        <w:rPr>
          <w:spacing w:val="-12"/>
        </w:rPr>
        <w:t>代表出示授权委托书原件和身份证原件以证明其出席。否则，代理机构对递交的响应文件将不予接收。</w:t>
      </w:r>
    </w:p>
    <w:p>
      <w:pPr>
        <w:pStyle w:val="21"/>
        <w:numPr>
          <w:ilvl w:val="2"/>
          <w:numId w:val="15"/>
        </w:numPr>
        <w:tabs>
          <w:tab w:val="left" w:pos="1739"/>
        </w:tabs>
        <w:spacing w:before="2" w:after="0" w:line="364" w:lineRule="auto"/>
        <w:ind w:left="478" w:right="477" w:firstLine="480"/>
        <w:jc w:val="both"/>
        <w:rPr>
          <w:sz w:val="24"/>
        </w:rPr>
      </w:pPr>
      <w:r>
        <w:rPr>
          <w:spacing w:val="-12"/>
          <w:sz w:val="24"/>
        </w:rPr>
        <w:t>检查响应文件密封情况，由供应商法定代表人或者被授权代表互相检查各供</w:t>
      </w:r>
      <w:r>
        <w:rPr>
          <w:spacing w:val="-6"/>
          <w:sz w:val="24"/>
        </w:rPr>
        <w:t>应商响应文件的密封情况，也可以由采购人或者采购代理机构委托的公证机构检查并公</w:t>
      </w:r>
      <w:r>
        <w:rPr>
          <w:spacing w:val="-8"/>
          <w:sz w:val="24"/>
        </w:rPr>
        <w:t>证，并请各供应商法定代表人或者被授权代表签字确认。供应商法定代表人或者被授权</w:t>
      </w:r>
      <w:r>
        <w:rPr>
          <w:spacing w:val="-3"/>
          <w:sz w:val="24"/>
        </w:rPr>
        <w:t>代表认为某个或者某些供应商的响应文件密封不符合规定的，应当面提出，采购代理机</w:t>
      </w:r>
      <w:r>
        <w:rPr>
          <w:spacing w:val="-7"/>
          <w:sz w:val="24"/>
        </w:rPr>
        <w:t>构现场记录，相关各方供应商法定代表人或者被授权代表签字确认无异议后，由采购代</w:t>
      </w:r>
      <w:r>
        <w:rPr>
          <w:sz w:val="24"/>
        </w:rPr>
        <w:t>理机构工作人员当众拆封，开启符合密封规定的响应文件。</w:t>
      </w:r>
    </w:p>
    <w:p>
      <w:pPr>
        <w:pStyle w:val="8"/>
        <w:spacing w:before="4" w:line="364" w:lineRule="auto"/>
        <w:ind w:left="478" w:right="425" w:firstLine="480"/>
        <w:jc w:val="both"/>
      </w:pPr>
      <w:r>
        <w:rPr>
          <w:spacing w:val="-2"/>
        </w:rPr>
        <w:t>若相关各方供应商法定代表人或者被授权代表签字确认有异议的，报现场监督人员</w:t>
      </w:r>
      <w:r>
        <w:rPr>
          <w:spacing w:val="-7"/>
        </w:rPr>
        <w:t>和磋商小组处理，在处理决定未作出之前有异议各方的响应文件均不得开启；处理决定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8"/>
        <w:spacing w:before="3" w:line="364" w:lineRule="auto"/>
        <w:ind w:left="478" w:right="414" w:firstLine="480"/>
      </w:pPr>
      <w:r>
        <w:t>按照上述规定开启响应文件后，供应商再对响应文件的密封情况提出异议的，采购人或者采购代理机构不予受理。</w:t>
      </w:r>
    </w:p>
    <w:p>
      <w:pPr>
        <w:pStyle w:val="21"/>
        <w:numPr>
          <w:ilvl w:val="2"/>
          <w:numId w:val="15"/>
        </w:numPr>
        <w:tabs>
          <w:tab w:val="left" w:pos="1739"/>
        </w:tabs>
        <w:spacing w:before="1" w:after="0" w:line="240" w:lineRule="auto"/>
        <w:ind w:left="1738" w:right="0" w:hanging="781"/>
        <w:jc w:val="left"/>
        <w:rPr>
          <w:sz w:val="24"/>
        </w:rPr>
      </w:pPr>
      <w:r>
        <w:rPr>
          <w:sz w:val="24"/>
        </w:rPr>
        <w:t>由采购代理机构工作人员唱标。</w:t>
      </w:r>
    </w:p>
    <w:p>
      <w:pPr>
        <w:pStyle w:val="8"/>
        <w:spacing w:before="161" w:line="364" w:lineRule="auto"/>
        <w:ind w:left="478" w:right="422" w:firstLine="480"/>
      </w:pPr>
      <w:r>
        <w:t>唱标人当众宣读供应商名称、响应报价、采购文件允许提供的备选报价方案和响应文件的其他主要内容，并不得拒绝任何符合要求的响应报价。供应商若有报价和优惠未</w:t>
      </w:r>
    </w:p>
    <w:p>
      <w:pPr>
        <w:spacing w:after="0" w:line="364" w:lineRule="auto"/>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8"/>
        <w:spacing w:before="40"/>
        <w:ind w:left="478"/>
      </w:pPr>
      <w:r>
        <w:t>被唱出，应在开标时及时声明或者提出，否则采购代理机构对此不承担任何责任。</w:t>
      </w:r>
    </w:p>
    <w:p>
      <w:pPr>
        <w:pStyle w:val="21"/>
        <w:numPr>
          <w:ilvl w:val="2"/>
          <w:numId w:val="15"/>
        </w:numPr>
        <w:tabs>
          <w:tab w:val="left" w:pos="1739"/>
        </w:tabs>
        <w:spacing w:before="161" w:after="0" w:line="364" w:lineRule="auto"/>
        <w:ind w:left="478" w:right="357" w:firstLine="480"/>
        <w:jc w:val="both"/>
        <w:rPr>
          <w:sz w:val="24"/>
        </w:rPr>
      </w:pPr>
      <w:r>
        <w:rPr>
          <w:spacing w:val="-6"/>
          <w:sz w:val="24"/>
        </w:rPr>
        <w:t>开标和唱标由采购代理机构指定专人负责，开标记录由供应商法定代表人或</w:t>
      </w:r>
      <w:r>
        <w:rPr>
          <w:spacing w:val="-16"/>
          <w:sz w:val="24"/>
        </w:rPr>
        <w:t>者被授权代表、采购人代表、记录人等有关人员签字确认，采购代理机构负责存档备查。</w:t>
      </w:r>
    </w:p>
    <w:p>
      <w:pPr>
        <w:pStyle w:val="21"/>
        <w:numPr>
          <w:ilvl w:val="2"/>
          <w:numId w:val="15"/>
        </w:numPr>
        <w:tabs>
          <w:tab w:val="left" w:pos="1739"/>
        </w:tabs>
        <w:spacing w:before="1" w:after="0" w:line="364" w:lineRule="auto"/>
        <w:ind w:left="478" w:right="477" w:firstLine="480"/>
        <w:jc w:val="both"/>
        <w:rPr>
          <w:sz w:val="24"/>
        </w:rPr>
      </w:pPr>
      <w:r>
        <w:rPr>
          <w:spacing w:val="-9"/>
          <w:sz w:val="24"/>
        </w:rPr>
        <w:t>供应商对开标有异议的，应当在开标现场以书面形式提出，采购人或者采购</w:t>
      </w:r>
      <w:r>
        <w:rPr>
          <w:spacing w:val="-5"/>
          <w:sz w:val="24"/>
        </w:rPr>
        <w:t>代理机构应当场给予答复，并制作记录，供应商法定代表人或者被授权代表、采购人代</w:t>
      </w:r>
      <w:r>
        <w:rPr>
          <w:sz w:val="24"/>
        </w:rPr>
        <w:t>表、采购代理机构（包括公证机构人员）签字确认。</w:t>
      </w:r>
    </w:p>
    <w:p>
      <w:pPr>
        <w:pStyle w:val="21"/>
        <w:numPr>
          <w:ilvl w:val="1"/>
          <w:numId w:val="16"/>
        </w:numPr>
        <w:tabs>
          <w:tab w:val="left" w:pos="1499"/>
        </w:tabs>
        <w:spacing w:before="2" w:after="0" w:line="240" w:lineRule="auto"/>
        <w:ind w:left="1498" w:right="0" w:hanging="541"/>
        <w:jc w:val="both"/>
        <w:rPr>
          <w:sz w:val="24"/>
        </w:rPr>
      </w:pPr>
      <w:r>
        <w:rPr>
          <w:sz w:val="24"/>
        </w:rPr>
        <w:t>磋商小组</w:t>
      </w:r>
    </w:p>
    <w:p>
      <w:pPr>
        <w:pStyle w:val="21"/>
        <w:numPr>
          <w:ilvl w:val="2"/>
          <w:numId w:val="16"/>
        </w:numPr>
        <w:tabs>
          <w:tab w:val="left" w:pos="1739"/>
        </w:tabs>
        <w:spacing w:before="160" w:after="0" w:line="240" w:lineRule="auto"/>
        <w:ind w:left="1738" w:right="0" w:hanging="781"/>
        <w:jc w:val="both"/>
        <w:rPr>
          <w:sz w:val="24"/>
        </w:rPr>
      </w:pPr>
      <w:r>
        <w:rPr>
          <w:sz w:val="24"/>
        </w:rPr>
        <w:t>磋商小组的组成</w:t>
      </w:r>
    </w:p>
    <w:p>
      <w:pPr>
        <w:pStyle w:val="8"/>
        <w:spacing w:before="161" w:line="364" w:lineRule="auto"/>
        <w:ind w:left="478" w:right="477" w:firstLine="480"/>
        <w:jc w:val="both"/>
      </w:pPr>
      <w:r>
        <w:rPr>
          <w:spacing w:val="-7"/>
        </w:rPr>
        <w:t>采购人按照《中华人民共和国政府采购法》以及有关规定组建磋商小组。磋商由依</w:t>
      </w:r>
      <w:r>
        <w:rPr>
          <w:spacing w:val="-5"/>
        </w:rPr>
        <w:t>法组建的磋商小组负责。磋商小组由采购人代表和评审专家共同组成，成员人数为三人</w:t>
      </w:r>
      <w:r>
        <w:rPr>
          <w:spacing w:val="-6"/>
        </w:rPr>
        <w:t>以及以上单数，其中采购人代表只限一人，技术、经济等方面的评审专家不得少于成员</w:t>
      </w:r>
      <w:r>
        <w:t>总数的三分之二。</w:t>
      </w:r>
    </w:p>
    <w:p>
      <w:pPr>
        <w:pStyle w:val="21"/>
        <w:numPr>
          <w:ilvl w:val="2"/>
          <w:numId w:val="16"/>
        </w:numPr>
        <w:tabs>
          <w:tab w:val="left" w:pos="1739"/>
        </w:tabs>
        <w:spacing w:before="2" w:after="0" w:line="240" w:lineRule="auto"/>
        <w:ind w:left="1738" w:right="0" w:hanging="781"/>
        <w:jc w:val="both"/>
        <w:rPr>
          <w:sz w:val="24"/>
        </w:rPr>
      </w:pPr>
      <w:r>
        <w:rPr>
          <w:sz w:val="24"/>
        </w:rPr>
        <w:t>评审专家的抽取</w:t>
      </w:r>
    </w:p>
    <w:p>
      <w:pPr>
        <w:pStyle w:val="21"/>
        <w:numPr>
          <w:ilvl w:val="3"/>
          <w:numId w:val="16"/>
        </w:numPr>
        <w:tabs>
          <w:tab w:val="left" w:pos="1981"/>
        </w:tabs>
        <w:spacing w:before="161" w:after="0" w:line="364" w:lineRule="auto"/>
        <w:ind w:left="478" w:right="477" w:firstLine="480"/>
        <w:jc w:val="both"/>
        <w:rPr>
          <w:sz w:val="24"/>
        </w:rPr>
      </w:pPr>
      <w:r>
        <w:rPr>
          <w:sz w:val="24"/>
        </w:rPr>
        <w:t>采用随机抽取方式从政府采购监管部门依法设立的专家库中确定磋商小组成员。任何单位和个人都不得指定评审专家或干预评审专家的抽取工作。</w:t>
      </w:r>
    </w:p>
    <w:p>
      <w:pPr>
        <w:pStyle w:val="21"/>
        <w:numPr>
          <w:ilvl w:val="3"/>
          <w:numId w:val="16"/>
        </w:numPr>
        <w:tabs>
          <w:tab w:val="left" w:pos="1979"/>
        </w:tabs>
        <w:spacing w:before="1" w:after="0" w:line="364" w:lineRule="auto"/>
        <w:ind w:left="478" w:right="477" w:firstLine="480"/>
        <w:jc w:val="both"/>
        <w:rPr>
          <w:sz w:val="24"/>
        </w:rPr>
      </w:pPr>
      <w:r>
        <w:rPr>
          <w:spacing w:val="-6"/>
          <w:sz w:val="24"/>
        </w:rPr>
        <w:t>参加评审专家抽取的有关人员对被抽取的专家的姓名、单位和联系方式等</w:t>
      </w:r>
      <w:r>
        <w:rPr>
          <w:sz w:val="24"/>
        </w:rPr>
        <w:t>内容负有保密的义务。磋商小组成员的名单在评审结果确定前必须严格保密。</w:t>
      </w:r>
    </w:p>
    <w:p>
      <w:pPr>
        <w:pStyle w:val="21"/>
        <w:numPr>
          <w:ilvl w:val="2"/>
          <w:numId w:val="16"/>
        </w:numPr>
        <w:tabs>
          <w:tab w:val="left" w:pos="1739"/>
        </w:tabs>
        <w:spacing w:before="1" w:after="0" w:line="364" w:lineRule="auto"/>
        <w:ind w:left="478" w:right="477" w:firstLine="480"/>
        <w:jc w:val="both"/>
        <w:rPr>
          <w:sz w:val="24"/>
        </w:rPr>
      </w:pPr>
      <w:r>
        <w:rPr>
          <w:spacing w:val="-6"/>
          <w:sz w:val="24"/>
        </w:rPr>
        <w:t>磋商小组成员不得参加与自己有利害关系的评审活动，与自己有利害关系的</w:t>
      </w:r>
      <w:r>
        <w:rPr>
          <w:sz w:val="24"/>
        </w:rPr>
        <w:t>应当回避，已经进入的必须更换。</w:t>
      </w:r>
    </w:p>
    <w:p>
      <w:pPr>
        <w:pStyle w:val="21"/>
        <w:numPr>
          <w:ilvl w:val="2"/>
          <w:numId w:val="16"/>
        </w:numPr>
        <w:tabs>
          <w:tab w:val="left" w:pos="1739"/>
        </w:tabs>
        <w:spacing w:before="1" w:after="0" w:line="364" w:lineRule="auto"/>
        <w:ind w:left="478" w:right="477" w:firstLine="480"/>
        <w:jc w:val="both"/>
        <w:rPr>
          <w:sz w:val="24"/>
        </w:rPr>
      </w:pPr>
      <w:r>
        <w:rPr>
          <w:spacing w:val="-8"/>
          <w:sz w:val="24"/>
        </w:rPr>
        <w:t>磋商小组负责对各响应文件进行评审、比较、评定，并按本采购文件的规定</w:t>
      </w:r>
      <w:r>
        <w:rPr>
          <w:sz w:val="24"/>
        </w:rPr>
        <w:t>确定成交供应商或者推荐中标候选人。</w:t>
      </w:r>
    </w:p>
    <w:p>
      <w:pPr>
        <w:pStyle w:val="21"/>
        <w:numPr>
          <w:ilvl w:val="2"/>
          <w:numId w:val="16"/>
        </w:numPr>
        <w:tabs>
          <w:tab w:val="left" w:pos="1739"/>
        </w:tabs>
        <w:spacing w:before="1" w:after="0" w:line="364" w:lineRule="auto"/>
        <w:ind w:left="478" w:right="477" w:firstLine="480"/>
        <w:jc w:val="both"/>
        <w:rPr>
          <w:sz w:val="24"/>
        </w:rPr>
      </w:pPr>
      <w:r>
        <w:rPr>
          <w:spacing w:val="-7"/>
          <w:sz w:val="24"/>
        </w:rPr>
        <w:t>磋商小组具有依据采购文件进行独立评审的权力，且不受外界任何因素的干</w:t>
      </w:r>
      <w:r>
        <w:rPr>
          <w:spacing w:val="-8"/>
          <w:sz w:val="24"/>
        </w:rPr>
        <w:t>扰。磋商小组成员必须独立、负责地提出评审意见，并对自己的评审意见承担责任。对</w:t>
      </w:r>
      <w:r>
        <w:rPr>
          <w:spacing w:val="-3"/>
          <w:sz w:val="24"/>
        </w:rPr>
        <w:t>评审结果有不同意见的磋商小组成员应当以书面形式说明其不同意见和理由，评审报告</w:t>
      </w:r>
      <w:r>
        <w:rPr>
          <w:spacing w:val="-7"/>
          <w:sz w:val="24"/>
        </w:rPr>
        <w:t>应当注明不同意见。评审委员会成员拒绝评审或者拒绝在评审报告上签字并且又不书面</w:t>
      </w:r>
      <w:r>
        <w:rPr>
          <w:sz w:val="24"/>
        </w:rPr>
        <w:t>说明其不同意见和理由的，视为同意评审结果。</w:t>
      </w:r>
    </w:p>
    <w:p>
      <w:pPr>
        <w:pStyle w:val="21"/>
        <w:numPr>
          <w:ilvl w:val="2"/>
          <w:numId w:val="16"/>
        </w:numPr>
        <w:tabs>
          <w:tab w:val="left" w:pos="1739"/>
        </w:tabs>
        <w:spacing w:before="3" w:after="0" w:line="240" w:lineRule="auto"/>
        <w:ind w:left="1738" w:right="0" w:hanging="781"/>
        <w:jc w:val="both"/>
        <w:rPr>
          <w:sz w:val="24"/>
        </w:rPr>
      </w:pPr>
      <w:r>
        <w:rPr>
          <w:sz w:val="24"/>
        </w:rPr>
        <w:t>磋商小组的职责：</w:t>
      </w:r>
    </w:p>
    <w:p>
      <w:pPr>
        <w:pStyle w:val="21"/>
        <w:numPr>
          <w:ilvl w:val="3"/>
          <w:numId w:val="16"/>
        </w:numPr>
        <w:tabs>
          <w:tab w:val="left" w:pos="1979"/>
        </w:tabs>
        <w:spacing w:before="161" w:after="0" w:line="364" w:lineRule="auto"/>
        <w:ind w:left="478" w:right="477" w:firstLine="480"/>
        <w:jc w:val="both"/>
        <w:rPr>
          <w:sz w:val="24"/>
        </w:rPr>
      </w:pPr>
      <w:r>
        <w:rPr>
          <w:spacing w:val="-7"/>
          <w:sz w:val="24"/>
        </w:rPr>
        <w:t>审查响应文件是否符合采购文件要求，进行资格性审查和符合性审查，并</w:t>
      </w:r>
      <w:r>
        <w:rPr>
          <w:sz w:val="24"/>
        </w:rPr>
        <w:t>做出评价；</w:t>
      </w:r>
    </w:p>
    <w:p>
      <w:pPr>
        <w:pStyle w:val="21"/>
        <w:numPr>
          <w:ilvl w:val="3"/>
          <w:numId w:val="16"/>
        </w:numPr>
        <w:tabs>
          <w:tab w:val="left" w:pos="1979"/>
        </w:tabs>
        <w:spacing w:before="1" w:after="0" w:line="240" w:lineRule="auto"/>
        <w:ind w:left="1978" w:right="0" w:hanging="1021"/>
        <w:jc w:val="both"/>
        <w:rPr>
          <w:sz w:val="24"/>
        </w:rPr>
      </w:pPr>
      <w:r>
        <w:rPr>
          <w:sz w:val="24"/>
        </w:rPr>
        <w:t>要求供应商对响应文件有关事项做出解释或者澄清；</w:t>
      </w:r>
    </w:p>
    <w:p>
      <w:pPr>
        <w:spacing w:after="0" w:line="240" w:lineRule="auto"/>
        <w:jc w:val="both"/>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21"/>
        <w:numPr>
          <w:ilvl w:val="3"/>
          <w:numId w:val="16"/>
        </w:numPr>
        <w:tabs>
          <w:tab w:val="left" w:pos="1979"/>
        </w:tabs>
        <w:spacing w:before="40" w:after="0" w:line="364" w:lineRule="auto"/>
        <w:ind w:left="478" w:right="477" w:firstLine="480"/>
        <w:jc w:val="left"/>
        <w:rPr>
          <w:sz w:val="24"/>
        </w:rPr>
      </w:pPr>
      <w:r>
        <w:rPr>
          <w:spacing w:val="-12"/>
          <w:sz w:val="24"/>
        </w:rPr>
        <w:t>推荐中标候选人名单，或者受采购人委托按照事先确定的办法直接确定成</w:t>
      </w:r>
      <w:r>
        <w:rPr>
          <w:sz w:val="24"/>
        </w:rPr>
        <w:t>交供应商；</w:t>
      </w:r>
    </w:p>
    <w:p>
      <w:pPr>
        <w:pStyle w:val="21"/>
        <w:numPr>
          <w:ilvl w:val="3"/>
          <w:numId w:val="16"/>
        </w:numPr>
        <w:tabs>
          <w:tab w:val="left" w:pos="1979"/>
        </w:tabs>
        <w:spacing w:before="2" w:after="0" w:line="240" w:lineRule="auto"/>
        <w:ind w:left="1978" w:right="0" w:hanging="1021"/>
        <w:jc w:val="left"/>
        <w:rPr>
          <w:sz w:val="24"/>
        </w:rPr>
      </w:pPr>
      <w:r>
        <w:rPr>
          <w:sz w:val="24"/>
        </w:rPr>
        <w:t>向采购人、采购代理机构或者有关部门报告非法干预评审工作的行为。</w:t>
      </w:r>
    </w:p>
    <w:p>
      <w:pPr>
        <w:pStyle w:val="21"/>
        <w:numPr>
          <w:ilvl w:val="3"/>
          <w:numId w:val="16"/>
        </w:numPr>
        <w:tabs>
          <w:tab w:val="left" w:pos="1979"/>
        </w:tabs>
        <w:spacing w:before="160" w:after="0" w:line="240" w:lineRule="auto"/>
        <w:ind w:left="1978" w:right="0" w:hanging="1021"/>
        <w:jc w:val="left"/>
        <w:rPr>
          <w:sz w:val="24"/>
        </w:rPr>
      </w:pPr>
      <w:r>
        <w:rPr>
          <w:sz w:val="24"/>
        </w:rPr>
        <w:t>对围、串标等违法违规行为作出认定。</w:t>
      </w:r>
    </w:p>
    <w:p>
      <w:pPr>
        <w:pStyle w:val="21"/>
        <w:numPr>
          <w:ilvl w:val="2"/>
          <w:numId w:val="16"/>
        </w:numPr>
        <w:tabs>
          <w:tab w:val="left" w:pos="1739"/>
        </w:tabs>
        <w:spacing w:before="161" w:after="0" w:line="240" w:lineRule="auto"/>
        <w:ind w:left="1738" w:right="0" w:hanging="781"/>
        <w:jc w:val="left"/>
        <w:rPr>
          <w:sz w:val="24"/>
        </w:rPr>
      </w:pPr>
      <w:r>
        <w:rPr>
          <w:sz w:val="24"/>
        </w:rPr>
        <w:t>磋商小组的义务：</w:t>
      </w:r>
    </w:p>
    <w:p>
      <w:pPr>
        <w:pStyle w:val="21"/>
        <w:numPr>
          <w:ilvl w:val="3"/>
          <w:numId w:val="16"/>
        </w:numPr>
        <w:tabs>
          <w:tab w:val="left" w:pos="1979"/>
        </w:tabs>
        <w:spacing w:before="160" w:after="0" w:line="240" w:lineRule="auto"/>
        <w:ind w:left="1978" w:right="0" w:hanging="1021"/>
        <w:jc w:val="left"/>
        <w:rPr>
          <w:sz w:val="24"/>
        </w:rPr>
      </w:pPr>
      <w:r>
        <w:rPr>
          <w:sz w:val="24"/>
        </w:rPr>
        <w:t>遵纪守法，客观、公正、廉洁地履行职责；</w:t>
      </w:r>
    </w:p>
    <w:p>
      <w:pPr>
        <w:pStyle w:val="21"/>
        <w:numPr>
          <w:ilvl w:val="3"/>
          <w:numId w:val="16"/>
        </w:numPr>
        <w:tabs>
          <w:tab w:val="left" w:pos="1979"/>
        </w:tabs>
        <w:spacing w:before="160" w:after="0" w:line="240" w:lineRule="auto"/>
        <w:ind w:left="1978" w:right="0" w:hanging="1021"/>
        <w:jc w:val="left"/>
        <w:rPr>
          <w:sz w:val="24"/>
        </w:rPr>
      </w:pPr>
      <w:r>
        <w:rPr>
          <w:sz w:val="24"/>
        </w:rPr>
        <w:t>提出真实、可靠的评审意见；</w:t>
      </w:r>
    </w:p>
    <w:p>
      <w:pPr>
        <w:pStyle w:val="21"/>
        <w:numPr>
          <w:ilvl w:val="3"/>
          <w:numId w:val="16"/>
        </w:numPr>
        <w:tabs>
          <w:tab w:val="left" w:pos="1979"/>
        </w:tabs>
        <w:spacing w:before="161" w:after="0" w:line="240" w:lineRule="auto"/>
        <w:ind w:left="1978" w:right="0" w:hanging="1021"/>
        <w:jc w:val="left"/>
        <w:rPr>
          <w:sz w:val="24"/>
        </w:rPr>
      </w:pPr>
      <w:r>
        <w:rPr>
          <w:sz w:val="24"/>
        </w:rPr>
        <w:t>严格遵守评审纪律，不得向外界泄露评审情况；</w:t>
      </w:r>
    </w:p>
    <w:p>
      <w:pPr>
        <w:pStyle w:val="21"/>
        <w:numPr>
          <w:ilvl w:val="3"/>
          <w:numId w:val="16"/>
        </w:numPr>
        <w:tabs>
          <w:tab w:val="left" w:pos="1979"/>
        </w:tabs>
        <w:spacing w:before="160" w:after="0" w:line="364" w:lineRule="auto"/>
        <w:ind w:left="478" w:right="477" w:firstLine="480"/>
        <w:jc w:val="left"/>
        <w:rPr>
          <w:sz w:val="24"/>
        </w:rPr>
      </w:pPr>
      <w:r>
        <w:rPr>
          <w:spacing w:val="-5"/>
          <w:sz w:val="24"/>
        </w:rPr>
        <w:t>发现供应商在招报价活动中有不正当竞争或者恶意串通等违规行为，应及</w:t>
      </w:r>
      <w:r>
        <w:rPr>
          <w:sz w:val="24"/>
        </w:rPr>
        <w:t>时向监督部门报告并加以制止；</w:t>
      </w:r>
    </w:p>
    <w:p>
      <w:pPr>
        <w:pStyle w:val="21"/>
        <w:numPr>
          <w:ilvl w:val="3"/>
          <w:numId w:val="16"/>
        </w:numPr>
        <w:tabs>
          <w:tab w:val="left" w:pos="1979"/>
        </w:tabs>
        <w:spacing w:before="2" w:after="0" w:line="364" w:lineRule="auto"/>
        <w:ind w:left="478" w:right="477" w:firstLine="480"/>
        <w:jc w:val="left"/>
        <w:rPr>
          <w:sz w:val="24"/>
        </w:rPr>
      </w:pPr>
      <w:r>
        <w:rPr>
          <w:spacing w:val="-6"/>
          <w:sz w:val="24"/>
        </w:rPr>
        <w:t>按照采购文件规定的评审方法和评审标准进行评审，对评审意见承担个人</w:t>
      </w:r>
      <w:r>
        <w:rPr>
          <w:sz w:val="24"/>
        </w:rPr>
        <w:t>责任；</w:t>
      </w:r>
    </w:p>
    <w:p>
      <w:pPr>
        <w:pStyle w:val="21"/>
        <w:numPr>
          <w:ilvl w:val="3"/>
          <w:numId w:val="16"/>
        </w:numPr>
        <w:tabs>
          <w:tab w:val="left" w:pos="1979"/>
        </w:tabs>
        <w:spacing w:before="1" w:after="0" w:line="240" w:lineRule="auto"/>
        <w:ind w:left="1978" w:right="0" w:hanging="1021"/>
        <w:jc w:val="left"/>
        <w:rPr>
          <w:sz w:val="24"/>
        </w:rPr>
      </w:pPr>
      <w:r>
        <w:rPr>
          <w:sz w:val="24"/>
        </w:rPr>
        <w:t>编写评审报告；</w:t>
      </w:r>
    </w:p>
    <w:p>
      <w:pPr>
        <w:pStyle w:val="21"/>
        <w:numPr>
          <w:ilvl w:val="3"/>
          <w:numId w:val="16"/>
        </w:numPr>
        <w:tabs>
          <w:tab w:val="left" w:pos="1979"/>
        </w:tabs>
        <w:spacing w:before="160" w:after="0" w:line="240" w:lineRule="auto"/>
        <w:ind w:left="1978" w:right="0" w:hanging="1021"/>
        <w:jc w:val="left"/>
        <w:rPr>
          <w:sz w:val="24"/>
        </w:rPr>
      </w:pPr>
      <w:r>
        <w:rPr>
          <w:sz w:val="24"/>
        </w:rPr>
        <w:t>配合采购人或者采购代理机构答复供应商提出的质疑；</w:t>
      </w:r>
    </w:p>
    <w:p>
      <w:pPr>
        <w:pStyle w:val="21"/>
        <w:numPr>
          <w:ilvl w:val="3"/>
          <w:numId w:val="16"/>
        </w:numPr>
        <w:tabs>
          <w:tab w:val="left" w:pos="1979"/>
        </w:tabs>
        <w:spacing w:before="161" w:after="0" w:line="240" w:lineRule="auto"/>
        <w:ind w:left="1978" w:right="0" w:hanging="1021"/>
        <w:jc w:val="left"/>
        <w:rPr>
          <w:sz w:val="24"/>
        </w:rPr>
      </w:pPr>
      <w:r>
        <w:rPr>
          <w:sz w:val="24"/>
        </w:rPr>
        <w:t>对评审过程和结果，以及采购人、供应商的商业秘密保密；</w:t>
      </w:r>
    </w:p>
    <w:p>
      <w:pPr>
        <w:pStyle w:val="21"/>
        <w:numPr>
          <w:ilvl w:val="3"/>
          <w:numId w:val="16"/>
        </w:numPr>
        <w:tabs>
          <w:tab w:val="left" w:pos="1979"/>
        </w:tabs>
        <w:spacing w:before="160" w:after="0" w:line="240" w:lineRule="auto"/>
        <w:ind w:left="1978" w:right="0" w:hanging="1021"/>
        <w:jc w:val="left"/>
        <w:rPr>
          <w:sz w:val="24"/>
        </w:rPr>
      </w:pPr>
      <w:r>
        <w:rPr>
          <w:sz w:val="24"/>
        </w:rPr>
        <w:t>配合监管部门处理投诉；</w:t>
      </w:r>
    </w:p>
    <w:p>
      <w:pPr>
        <w:pStyle w:val="21"/>
        <w:numPr>
          <w:ilvl w:val="2"/>
          <w:numId w:val="16"/>
        </w:numPr>
        <w:tabs>
          <w:tab w:val="left" w:pos="1739"/>
        </w:tabs>
        <w:spacing w:before="161" w:after="0" w:line="240" w:lineRule="auto"/>
        <w:ind w:left="1738" w:right="0" w:hanging="781"/>
        <w:jc w:val="left"/>
        <w:rPr>
          <w:sz w:val="24"/>
        </w:rPr>
      </w:pPr>
      <w:r>
        <w:rPr>
          <w:sz w:val="24"/>
        </w:rPr>
        <w:t>磋商小组成员有下列情形之一的，应当回避：</w:t>
      </w:r>
    </w:p>
    <w:p>
      <w:pPr>
        <w:pStyle w:val="21"/>
        <w:numPr>
          <w:ilvl w:val="3"/>
          <w:numId w:val="16"/>
        </w:numPr>
        <w:tabs>
          <w:tab w:val="left" w:pos="1979"/>
        </w:tabs>
        <w:spacing w:before="160" w:after="0" w:line="240" w:lineRule="auto"/>
        <w:ind w:left="1978" w:right="0" w:hanging="1021"/>
        <w:jc w:val="left"/>
        <w:rPr>
          <w:sz w:val="24"/>
        </w:rPr>
      </w:pPr>
      <w:r>
        <w:rPr>
          <w:sz w:val="24"/>
        </w:rPr>
        <w:t>供应商或者供应商主要负责人的近亲属；</w:t>
      </w:r>
    </w:p>
    <w:p>
      <w:pPr>
        <w:pStyle w:val="21"/>
        <w:numPr>
          <w:ilvl w:val="3"/>
          <w:numId w:val="16"/>
        </w:numPr>
        <w:tabs>
          <w:tab w:val="left" w:pos="1979"/>
        </w:tabs>
        <w:spacing w:before="161" w:after="0" w:line="240" w:lineRule="auto"/>
        <w:ind w:left="1978" w:right="0" w:hanging="1021"/>
        <w:jc w:val="left"/>
        <w:rPr>
          <w:sz w:val="24"/>
        </w:rPr>
      </w:pPr>
      <w:r>
        <w:rPr>
          <w:sz w:val="24"/>
        </w:rPr>
        <w:t>项目主管部门或者行政监督部门的人员；</w:t>
      </w:r>
    </w:p>
    <w:p>
      <w:pPr>
        <w:pStyle w:val="21"/>
        <w:numPr>
          <w:ilvl w:val="3"/>
          <w:numId w:val="16"/>
        </w:numPr>
        <w:tabs>
          <w:tab w:val="left" w:pos="1979"/>
        </w:tabs>
        <w:spacing w:before="160" w:after="0" w:line="240" w:lineRule="auto"/>
        <w:ind w:left="1978" w:right="0" w:hanging="1021"/>
        <w:jc w:val="left"/>
        <w:rPr>
          <w:sz w:val="24"/>
        </w:rPr>
      </w:pPr>
      <w:r>
        <w:rPr>
          <w:sz w:val="24"/>
        </w:rPr>
        <w:t>与供应商有经济利益关系；</w:t>
      </w:r>
    </w:p>
    <w:p>
      <w:pPr>
        <w:pStyle w:val="21"/>
        <w:numPr>
          <w:ilvl w:val="3"/>
          <w:numId w:val="16"/>
        </w:numPr>
        <w:tabs>
          <w:tab w:val="left" w:pos="1979"/>
        </w:tabs>
        <w:spacing w:before="161" w:after="0" w:line="364" w:lineRule="auto"/>
        <w:ind w:left="478" w:right="47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21"/>
        <w:numPr>
          <w:ilvl w:val="3"/>
          <w:numId w:val="16"/>
        </w:numPr>
        <w:tabs>
          <w:tab w:val="left" w:pos="1979"/>
        </w:tabs>
        <w:spacing w:before="1" w:after="0" w:line="240" w:lineRule="auto"/>
        <w:ind w:left="1978" w:right="0" w:hanging="1021"/>
        <w:jc w:val="left"/>
        <w:rPr>
          <w:sz w:val="24"/>
        </w:rPr>
      </w:pPr>
      <w:r>
        <w:rPr>
          <w:sz w:val="24"/>
        </w:rPr>
        <w:t>与供应商有其他利害关系。</w:t>
      </w:r>
    </w:p>
    <w:p>
      <w:pPr>
        <w:pStyle w:val="21"/>
        <w:numPr>
          <w:ilvl w:val="1"/>
          <w:numId w:val="16"/>
        </w:numPr>
        <w:tabs>
          <w:tab w:val="left" w:pos="1499"/>
        </w:tabs>
        <w:spacing w:before="161" w:after="0" w:line="240" w:lineRule="auto"/>
        <w:ind w:left="1498" w:right="0" w:hanging="541"/>
        <w:jc w:val="left"/>
        <w:rPr>
          <w:sz w:val="24"/>
        </w:rPr>
      </w:pPr>
      <w:r>
        <w:rPr>
          <w:sz w:val="24"/>
        </w:rPr>
        <w:t>评审程序</w:t>
      </w:r>
    </w:p>
    <w:p>
      <w:pPr>
        <w:pStyle w:val="21"/>
        <w:numPr>
          <w:ilvl w:val="2"/>
          <w:numId w:val="16"/>
        </w:numPr>
        <w:tabs>
          <w:tab w:val="left" w:pos="1739"/>
        </w:tabs>
        <w:spacing w:before="160" w:after="0" w:line="240" w:lineRule="auto"/>
        <w:ind w:left="1738" w:right="0" w:hanging="781"/>
        <w:jc w:val="left"/>
        <w:rPr>
          <w:sz w:val="24"/>
        </w:rPr>
      </w:pPr>
      <w:r>
        <w:rPr>
          <w:sz w:val="24"/>
        </w:rPr>
        <w:t>宣布评审纪律以及回避提示；</w:t>
      </w:r>
    </w:p>
    <w:p>
      <w:pPr>
        <w:pStyle w:val="21"/>
        <w:numPr>
          <w:ilvl w:val="2"/>
          <w:numId w:val="16"/>
        </w:numPr>
        <w:tabs>
          <w:tab w:val="left" w:pos="1739"/>
        </w:tabs>
        <w:spacing w:before="161" w:after="0" w:line="240" w:lineRule="auto"/>
        <w:ind w:left="1738" w:right="0" w:hanging="781"/>
        <w:jc w:val="left"/>
        <w:rPr>
          <w:sz w:val="24"/>
        </w:rPr>
      </w:pPr>
      <w:r>
        <w:rPr>
          <w:sz w:val="24"/>
        </w:rPr>
        <w:t>组织推荐磋商小组组长；</w:t>
      </w:r>
    </w:p>
    <w:p>
      <w:pPr>
        <w:pStyle w:val="21"/>
        <w:numPr>
          <w:ilvl w:val="2"/>
          <w:numId w:val="16"/>
        </w:numPr>
        <w:tabs>
          <w:tab w:val="left" w:pos="1739"/>
        </w:tabs>
        <w:spacing w:before="160" w:after="0" w:line="240" w:lineRule="auto"/>
        <w:ind w:left="1738" w:right="0" w:hanging="781"/>
        <w:jc w:val="left"/>
        <w:rPr>
          <w:sz w:val="24"/>
        </w:rPr>
      </w:pPr>
      <w:r>
        <w:rPr>
          <w:sz w:val="24"/>
        </w:rPr>
        <w:t>资格性审查；</w:t>
      </w:r>
    </w:p>
    <w:p>
      <w:pPr>
        <w:pStyle w:val="21"/>
        <w:numPr>
          <w:ilvl w:val="2"/>
          <w:numId w:val="16"/>
        </w:numPr>
        <w:tabs>
          <w:tab w:val="left" w:pos="1739"/>
        </w:tabs>
        <w:spacing w:before="161" w:after="0" w:line="240" w:lineRule="auto"/>
        <w:ind w:left="1738" w:right="0" w:hanging="781"/>
        <w:jc w:val="left"/>
        <w:rPr>
          <w:sz w:val="24"/>
        </w:rPr>
      </w:pPr>
      <w:r>
        <w:rPr>
          <w:sz w:val="24"/>
        </w:rPr>
        <w:t>符合性审查；</w:t>
      </w:r>
    </w:p>
    <w:p>
      <w:pPr>
        <w:pStyle w:val="21"/>
        <w:numPr>
          <w:ilvl w:val="2"/>
          <w:numId w:val="16"/>
        </w:numPr>
        <w:tabs>
          <w:tab w:val="left" w:pos="1739"/>
        </w:tabs>
        <w:spacing w:before="160" w:after="0" w:line="240" w:lineRule="auto"/>
        <w:ind w:left="1738" w:right="0" w:hanging="781"/>
        <w:jc w:val="left"/>
        <w:rPr>
          <w:sz w:val="24"/>
        </w:rPr>
      </w:pPr>
      <w:r>
        <w:rPr>
          <w:sz w:val="24"/>
        </w:rPr>
        <w:t>技术评审；</w:t>
      </w:r>
    </w:p>
    <w:p>
      <w:pPr>
        <w:pStyle w:val="21"/>
        <w:numPr>
          <w:ilvl w:val="2"/>
          <w:numId w:val="16"/>
        </w:numPr>
        <w:tabs>
          <w:tab w:val="left" w:pos="1739"/>
        </w:tabs>
        <w:spacing w:before="161" w:after="0" w:line="240" w:lineRule="auto"/>
        <w:ind w:left="1738" w:right="0" w:hanging="781"/>
        <w:jc w:val="left"/>
        <w:rPr>
          <w:sz w:val="24"/>
        </w:rPr>
      </w:pPr>
      <w:r>
        <w:rPr>
          <w:sz w:val="24"/>
        </w:rPr>
        <w:t>澄清有关问题；</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21"/>
        <w:numPr>
          <w:ilvl w:val="2"/>
          <w:numId w:val="16"/>
        </w:numPr>
        <w:tabs>
          <w:tab w:val="left" w:pos="1739"/>
        </w:tabs>
        <w:spacing w:before="40" w:after="0" w:line="240" w:lineRule="auto"/>
        <w:ind w:left="1738" w:right="0" w:hanging="781"/>
        <w:jc w:val="left"/>
        <w:rPr>
          <w:sz w:val="24"/>
        </w:rPr>
      </w:pPr>
      <w:r>
        <w:rPr>
          <w:sz w:val="24"/>
        </w:rPr>
        <w:t>磋商</w:t>
      </w:r>
    </w:p>
    <w:p>
      <w:pPr>
        <w:pStyle w:val="21"/>
        <w:numPr>
          <w:ilvl w:val="2"/>
          <w:numId w:val="16"/>
        </w:numPr>
        <w:tabs>
          <w:tab w:val="left" w:pos="1739"/>
        </w:tabs>
        <w:spacing w:before="161" w:after="0" w:line="240" w:lineRule="auto"/>
        <w:ind w:left="1738" w:right="0" w:hanging="781"/>
        <w:jc w:val="left"/>
        <w:rPr>
          <w:sz w:val="24"/>
        </w:rPr>
      </w:pPr>
      <w:r>
        <w:rPr>
          <w:sz w:val="24"/>
        </w:rPr>
        <w:t>确定成交供应商或者推荐成交候选人名单；</w:t>
      </w:r>
    </w:p>
    <w:p>
      <w:pPr>
        <w:pStyle w:val="21"/>
        <w:numPr>
          <w:ilvl w:val="2"/>
          <w:numId w:val="16"/>
        </w:numPr>
        <w:tabs>
          <w:tab w:val="left" w:pos="1739"/>
        </w:tabs>
        <w:spacing w:before="160" w:after="0" w:line="240" w:lineRule="auto"/>
        <w:ind w:left="1738" w:right="0" w:hanging="781"/>
        <w:jc w:val="left"/>
        <w:rPr>
          <w:sz w:val="24"/>
        </w:rPr>
      </w:pPr>
      <w:r>
        <w:rPr>
          <w:sz w:val="24"/>
        </w:rPr>
        <w:t>编写评审报告；</w:t>
      </w:r>
    </w:p>
    <w:p>
      <w:pPr>
        <w:pStyle w:val="21"/>
        <w:numPr>
          <w:ilvl w:val="2"/>
          <w:numId w:val="16"/>
        </w:numPr>
        <w:tabs>
          <w:tab w:val="left" w:pos="1859"/>
        </w:tabs>
        <w:spacing w:before="161" w:after="0" w:line="240" w:lineRule="auto"/>
        <w:ind w:left="1858" w:right="0" w:hanging="901"/>
        <w:jc w:val="left"/>
        <w:rPr>
          <w:sz w:val="24"/>
        </w:rPr>
      </w:pPr>
      <w:r>
        <w:rPr>
          <w:sz w:val="24"/>
        </w:rPr>
        <w:t>宣布评审。</w:t>
      </w:r>
    </w:p>
    <w:p>
      <w:pPr>
        <w:pStyle w:val="21"/>
        <w:numPr>
          <w:ilvl w:val="1"/>
          <w:numId w:val="16"/>
        </w:numPr>
        <w:tabs>
          <w:tab w:val="left" w:pos="1499"/>
        </w:tabs>
        <w:spacing w:before="160" w:after="0" w:line="240" w:lineRule="auto"/>
        <w:ind w:left="1498" w:right="0" w:hanging="541"/>
        <w:jc w:val="left"/>
        <w:rPr>
          <w:sz w:val="24"/>
        </w:rPr>
      </w:pPr>
      <w:r>
        <w:rPr>
          <w:sz w:val="24"/>
        </w:rPr>
        <w:t>评审</w:t>
      </w:r>
    </w:p>
    <w:p>
      <w:pPr>
        <w:pStyle w:val="21"/>
        <w:numPr>
          <w:ilvl w:val="2"/>
          <w:numId w:val="16"/>
        </w:numPr>
        <w:tabs>
          <w:tab w:val="left" w:pos="1739"/>
        </w:tabs>
        <w:spacing w:before="161" w:after="0" w:line="240" w:lineRule="auto"/>
        <w:ind w:left="1738" w:right="0" w:hanging="781"/>
        <w:jc w:val="left"/>
        <w:rPr>
          <w:sz w:val="24"/>
        </w:rPr>
      </w:pPr>
      <w:r>
        <w:rPr>
          <w:sz w:val="24"/>
        </w:rPr>
        <w:t>资格性审查</w:t>
      </w:r>
    </w:p>
    <w:p>
      <w:pPr>
        <w:pStyle w:val="21"/>
        <w:numPr>
          <w:ilvl w:val="3"/>
          <w:numId w:val="16"/>
        </w:numPr>
        <w:tabs>
          <w:tab w:val="left" w:pos="1979"/>
        </w:tabs>
        <w:spacing w:before="160" w:after="0" w:line="364" w:lineRule="auto"/>
        <w:ind w:left="478" w:right="477" w:firstLine="480"/>
        <w:jc w:val="left"/>
        <w:rPr>
          <w:sz w:val="24"/>
        </w:rPr>
      </w:pPr>
      <w:r>
        <w:rPr>
          <w:spacing w:val="-6"/>
          <w:sz w:val="24"/>
        </w:rPr>
        <w:t>磋商小组依据法律法规和采购文件的规定，对响应文件中的资格证明、保</w:t>
      </w:r>
      <w:r>
        <w:rPr>
          <w:sz w:val="24"/>
        </w:rPr>
        <w:t>证金等进行审查，以确定供应商是否具备报价资格。</w:t>
      </w:r>
    </w:p>
    <w:p>
      <w:pPr>
        <w:pStyle w:val="21"/>
        <w:numPr>
          <w:ilvl w:val="3"/>
          <w:numId w:val="16"/>
        </w:numPr>
        <w:tabs>
          <w:tab w:val="left" w:pos="1979"/>
        </w:tabs>
        <w:spacing w:before="1" w:after="0" w:line="364" w:lineRule="auto"/>
        <w:ind w:left="478" w:right="357" w:firstLine="480"/>
        <w:jc w:val="left"/>
        <w:rPr>
          <w:sz w:val="24"/>
        </w:rPr>
      </w:pPr>
      <w:r>
        <w:rPr>
          <w:sz w:val="24"/>
        </w:rPr>
        <w:t>采购人、采购代理机构通过中国政府</w:t>
      </w:r>
      <w:r>
        <w:fldChar w:fldCharType="begin"/>
      </w:r>
      <w:r>
        <w:instrText xml:space="preserve"> HYPERLINK "http://www.ccgp.gov.cn/" \h </w:instrText>
      </w:r>
      <w:r>
        <w:fldChar w:fldCharType="separate"/>
      </w:r>
      <w:r>
        <w:rPr>
          <w:sz w:val="24"/>
        </w:rPr>
        <w:t>采购网（www.ccgp.gov.cn</w:t>
      </w:r>
      <w:r>
        <w:rPr>
          <w:sz w:val="24"/>
        </w:rPr>
        <w:fldChar w:fldCharType="end"/>
      </w:r>
      <w:r>
        <w:rPr>
          <w:sz w:val="24"/>
        </w:rPr>
        <w:t>）查询供</w:t>
      </w:r>
      <w:r>
        <w:rPr>
          <w:spacing w:val="-6"/>
          <w:sz w:val="24"/>
        </w:rPr>
        <w:t>应商信用记录，查询时要将查询网页、内容进行截图或拍照，以作证据留存，截图或拍</w:t>
      </w:r>
      <w:r>
        <w:rPr>
          <w:spacing w:val="-10"/>
          <w:sz w:val="24"/>
        </w:rPr>
        <w:t>照内容要完整清晰，应包括网站网址、查询内容、电脑截屏时间。采购人或者采购代理</w:t>
      </w:r>
      <w:r>
        <w:rPr>
          <w:spacing w:val="-12"/>
          <w:sz w:val="24"/>
        </w:rPr>
        <w:t>机构应当对供应商信用记录进行甄别，对列入失信被执行人、重大税收违法案件当事人</w:t>
      </w:r>
      <w:r>
        <w:rPr>
          <w:spacing w:val="-16"/>
          <w:sz w:val="24"/>
        </w:rPr>
        <w:t>名单、政府采购严重违法失信行为记录名单及其他不符合《中华人民共和国政府采购法》</w:t>
      </w:r>
      <w:r>
        <w:rPr>
          <w:spacing w:val="-4"/>
          <w:sz w:val="24"/>
        </w:rPr>
        <w:t>第二十二条规定条件的供应商，应当拒绝其参加政府采购活动，其响应无效；两个以上</w:t>
      </w:r>
      <w:r>
        <w:rPr>
          <w:spacing w:val="-8"/>
          <w:sz w:val="24"/>
        </w:rPr>
        <w:t>的自然人、法人或者其他组织组成一个联合体，以一个供应商的身份共同参加政府采购活动的，应当对所有联合体成员进行信用记录查询，联合体成员存在不良信用记录的， 视同联合体存在不良信用记录，其响应无效。</w:t>
      </w:r>
    </w:p>
    <w:p>
      <w:pPr>
        <w:pStyle w:val="8"/>
        <w:spacing w:before="6"/>
        <w:ind w:left="958"/>
      </w:pPr>
      <w:r>
        <w:t>信用信息查询记录及相关证据应当与其他采购文件一并保存。</w:t>
      </w:r>
    </w:p>
    <w:p>
      <w:pPr>
        <w:pStyle w:val="21"/>
        <w:numPr>
          <w:ilvl w:val="3"/>
          <w:numId w:val="16"/>
        </w:numPr>
        <w:tabs>
          <w:tab w:val="left" w:pos="1979"/>
        </w:tabs>
        <w:spacing w:before="160" w:after="0" w:line="364" w:lineRule="auto"/>
        <w:ind w:left="478" w:right="365" w:firstLine="480"/>
        <w:jc w:val="left"/>
        <w:rPr>
          <w:sz w:val="24"/>
        </w:rPr>
      </w:pPr>
      <w:r>
        <w:rPr>
          <w:spacing w:val="-1"/>
          <w:sz w:val="24"/>
        </w:rPr>
        <w:t xml:space="preserve">供应商资格要求中，代理商须提供产品制造商针对本项目的唯一授权的， </w:t>
      </w:r>
      <w:r>
        <w:rPr>
          <w:spacing w:val="-3"/>
          <w:sz w:val="24"/>
        </w:rPr>
        <w:t>同一品牌同品目产品只允许一个供应商参加报价，产品制造商和代理商同时报价的，制</w:t>
      </w:r>
      <w:r>
        <w:rPr>
          <w:spacing w:val="-7"/>
          <w:sz w:val="24"/>
        </w:rPr>
        <w:t>造商响应有效，代理商响应无效；不同代理商代理同一品牌同品目产品报价的，按照各代理商提供《产品授权书》的时间先后顺序认定，先获得《产品授权书》的响应有效， 后获得《产品授权书》的响应无效，时间相同时由磋商小组现场抽签决定。</w:t>
      </w:r>
    </w:p>
    <w:p>
      <w:pPr>
        <w:pStyle w:val="21"/>
        <w:numPr>
          <w:ilvl w:val="2"/>
          <w:numId w:val="16"/>
        </w:numPr>
        <w:tabs>
          <w:tab w:val="left" w:pos="1739"/>
        </w:tabs>
        <w:spacing w:before="3" w:after="0" w:line="240" w:lineRule="auto"/>
        <w:ind w:left="1738" w:right="0" w:hanging="781"/>
        <w:jc w:val="left"/>
        <w:rPr>
          <w:sz w:val="24"/>
        </w:rPr>
      </w:pPr>
      <w:r>
        <w:rPr>
          <w:sz w:val="24"/>
        </w:rPr>
        <w:t>符合性审查</w:t>
      </w:r>
    </w:p>
    <w:p>
      <w:pPr>
        <w:pStyle w:val="8"/>
        <w:spacing w:before="161" w:line="364" w:lineRule="auto"/>
        <w:ind w:left="478" w:right="414" w:firstLine="480"/>
      </w:pPr>
      <w:r>
        <w:t>磋商小组依据采购文件的规定，从响应文件的有效性、完整性和对采购文件的响应程度进行审查，以确定是否对采购文件的实质性要求作出响应。</w:t>
      </w:r>
    </w:p>
    <w:p>
      <w:pPr>
        <w:pStyle w:val="21"/>
        <w:numPr>
          <w:ilvl w:val="2"/>
          <w:numId w:val="16"/>
        </w:numPr>
        <w:tabs>
          <w:tab w:val="left" w:pos="1739"/>
        </w:tabs>
        <w:spacing w:before="1" w:after="0" w:line="364" w:lineRule="auto"/>
        <w:ind w:left="478" w:right="477" w:firstLine="480"/>
        <w:jc w:val="both"/>
        <w:rPr>
          <w:sz w:val="24"/>
        </w:rPr>
      </w:pPr>
      <w:r>
        <w:rPr>
          <w:spacing w:val="-10"/>
          <w:sz w:val="24"/>
        </w:rPr>
        <w:t>在资格性和符合性审查同时，对属于不合格供应商或者采购人或者其委托公</w:t>
      </w:r>
      <w:r>
        <w:rPr>
          <w:spacing w:val="-4"/>
          <w:sz w:val="24"/>
        </w:rPr>
        <w:t>证人员依据法律法规和采购文件的规定，分别与供应商共同对其商务部分响应文件中的</w:t>
      </w:r>
      <w:r>
        <w:rPr>
          <w:spacing w:val="-7"/>
          <w:sz w:val="24"/>
        </w:rPr>
        <w:t>资格证明、保证金等进行审查，以确定供应商是否具备报价资格，填写资格审查表并签</w:t>
      </w:r>
      <w:r>
        <w:rPr>
          <w:spacing w:val="-8"/>
          <w:sz w:val="24"/>
        </w:rPr>
        <w:t>字确认后，提交磋商小组审核的供应商，磋商小组必须提出不合格或者响应无效的事实</w:t>
      </w:r>
    </w:p>
    <w:p>
      <w:pPr>
        <w:spacing w:after="0" w:line="364" w:lineRule="auto"/>
        <w:jc w:val="both"/>
        <w:rPr>
          <w:sz w:val="24"/>
        </w:rPr>
        <w:sectPr>
          <w:pgSz w:w="11910" w:h="16840"/>
          <w:pgMar w:top="1440" w:right="940" w:bottom="1180" w:left="940" w:header="0" w:footer="920" w:gutter="0"/>
          <w:pgBorders>
            <w:top w:val="none" w:sz="0" w:space="0"/>
            <w:left w:val="none" w:sz="0" w:space="0"/>
            <w:bottom w:val="none" w:sz="0" w:space="0"/>
            <w:right w:val="none" w:sz="0" w:space="0"/>
          </w:pgBorders>
          <w:cols w:space="720" w:num="1"/>
        </w:sectPr>
      </w:pPr>
    </w:p>
    <w:p>
      <w:pPr>
        <w:pStyle w:val="8"/>
        <w:spacing w:before="40" w:line="364" w:lineRule="auto"/>
        <w:ind w:left="478" w:right="477"/>
      </w:pPr>
      <w:r>
        <w:rPr>
          <w:spacing w:val="-7"/>
        </w:rPr>
        <w:t>依据，并出具不合格或者响应无效说明，供应商签字确认。供应商签字确认后磋商小组</w:t>
      </w:r>
      <w:r>
        <w:t>全体成员签字。供应商拒绝签字确认的不影响磋商小组做出的不合格或无效裁定。</w:t>
      </w:r>
    </w:p>
    <w:p>
      <w:pPr>
        <w:pStyle w:val="21"/>
        <w:numPr>
          <w:ilvl w:val="2"/>
          <w:numId w:val="16"/>
        </w:numPr>
        <w:tabs>
          <w:tab w:val="left" w:pos="1739"/>
        </w:tabs>
        <w:spacing w:before="2" w:after="0" w:line="240" w:lineRule="auto"/>
        <w:ind w:left="1738" w:right="0" w:hanging="781"/>
        <w:jc w:val="both"/>
        <w:rPr>
          <w:sz w:val="24"/>
        </w:rPr>
      </w:pPr>
      <w:r>
        <w:rPr>
          <w:sz w:val="24"/>
        </w:rPr>
        <w:t>技术评审</w:t>
      </w:r>
    </w:p>
    <w:p>
      <w:pPr>
        <w:pStyle w:val="21"/>
        <w:numPr>
          <w:ilvl w:val="3"/>
          <w:numId w:val="16"/>
        </w:numPr>
        <w:tabs>
          <w:tab w:val="left" w:pos="1979"/>
        </w:tabs>
        <w:spacing w:before="160" w:after="0" w:line="364" w:lineRule="auto"/>
        <w:ind w:left="478" w:right="477" w:firstLine="480"/>
        <w:jc w:val="both"/>
        <w:rPr>
          <w:sz w:val="24"/>
        </w:rPr>
      </w:pPr>
      <w:r>
        <w:rPr>
          <w:spacing w:val="-9"/>
          <w:sz w:val="24"/>
        </w:rPr>
        <w:t>按照采购文件要求，审查报价供应商所投货物和服务的规格、质量、数量</w:t>
      </w:r>
      <w:r>
        <w:rPr>
          <w:spacing w:val="-5"/>
          <w:sz w:val="24"/>
        </w:rPr>
        <w:t>及服务要求等技术要求和参数，并记录实质性响应、技术偏离等事项，进行技术部分的</w:t>
      </w:r>
      <w:r>
        <w:rPr>
          <w:sz w:val="24"/>
        </w:rPr>
        <w:t>符合性审查。</w:t>
      </w:r>
    </w:p>
    <w:p>
      <w:pPr>
        <w:pStyle w:val="21"/>
        <w:numPr>
          <w:ilvl w:val="3"/>
          <w:numId w:val="16"/>
        </w:numPr>
        <w:tabs>
          <w:tab w:val="left" w:pos="1979"/>
        </w:tabs>
        <w:spacing w:before="2" w:after="0" w:line="364" w:lineRule="auto"/>
        <w:ind w:left="478" w:right="425" w:firstLine="480"/>
        <w:jc w:val="both"/>
        <w:rPr>
          <w:sz w:val="24"/>
        </w:rPr>
      </w:pPr>
      <w:r>
        <w:rPr>
          <w:spacing w:val="-8"/>
          <w:sz w:val="24"/>
        </w:rPr>
        <w:t>对技术复杂或性质特殊、响应文件技术或指标不一致的，磋商小组应根据</w:t>
      </w:r>
      <w:r>
        <w:rPr>
          <w:spacing w:val="-11"/>
          <w:sz w:val="24"/>
        </w:rPr>
        <w:t>采购文件以及各响应文件情况，在确保采购需求、质量和服务相等的前提下，按同等或</w:t>
      </w:r>
      <w:r>
        <w:rPr>
          <w:spacing w:val="-12"/>
          <w:sz w:val="24"/>
        </w:rPr>
        <w:t>者略高于采购文件标准确定统一磋商技术指标</w:t>
      </w:r>
      <w:r>
        <w:rPr>
          <w:sz w:val="24"/>
        </w:rPr>
        <w:t>（包括强制性标准和行业标准</w:t>
      </w:r>
      <w:r>
        <w:rPr>
          <w:spacing w:val="-17"/>
          <w:sz w:val="24"/>
        </w:rPr>
        <w:t>）</w:t>
      </w:r>
      <w:r>
        <w:rPr>
          <w:spacing w:val="-5"/>
          <w:sz w:val="24"/>
        </w:rPr>
        <w:t>，磋商现</w:t>
      </w:r>
      <w:r>
        <w:rPr>
          <w:spacing w:val="-6"/>
          <w:sz w:val="24"/>
        </w:rPr>
        <w:t xml:space="preserve">场形成书面技术要求并经磋商小组全体成员签字确认，该标准是评审报告的组成部分， </w:t>
      </w:r>
      <w:r>
        <w:rPr>
          <w:sz w:val="24"/>
        </w:rPr>
        <w:t>磋商技术指标经所有参与磋商供应商书面承诺后方可进行磋商。</w:t>
      </w:r>
    </w:p>
    <w:p>
      <w:pPr>
        <w:pStyle w:val="21"/>
        <w:numPr>
          <w:ilvl w:val="3"/>
          <w:numId w:val="16"/>
        </w:numPr>
        <w:tabs>
          <w:tab w:val="left" w:pos="1979"/>
        </w:tabs>
        <w:spacing w:before="3" w:after="0" w:line="364" w:lineRule="auto"/>
        <w:ind w:left="478" w:right="477" w:firstLine="480"/>
        <w:jc w:val="both"/>
        <w:rPr>
          <w:sz w:val="24"/>
        </w:rPr>
      </w:pPr>
      <w:r>
        <w:rPr>
          <w:spacing w:val="-5"/>
          <w:sz w:val="24"/>
        </w:rPr>
        <w:t>对不能事先计算出价格总额、响应报价</w:t>
      </w:r>
      <w:r>
        <w:rPr>
          <w:sz w:val="24"/>
        </w:rPr>
        <w:t>（含单项报价</w:t>
      </w:r>
      <w:r>
        <w:rPr>
          <w:spacing w:val="-36"/>
          <w:sz w:val="24"/>
        </w:rPr>
        <w:t>）</w:t>
      </w:r>
      <w:r>
        <w:rPr>
          <w:spacing w:val="-3"/>
          <w:sz w:val="24"/>
        </w:rPr>
        <w:t>超出市场价格但总</w:t>
      </w:r>
      <w:r>
        <w:rPr>
          <w:spacing w:val="-5"/>
          <w:sz w:val="24"/>
        </w:rPr>
        <w:t>价不高于本次采购预算金额，以及市场价格波动较大的，磋商小组应根据本次采购预算</w:t>
      </w:r>
      <w:r>
        <w:rPr>
          <w:spacing w:val="-8"/>
          <w:sz w:val="24"/>
        </w:rPr>
        <w:t>金额、市场价格以及供应商响应报价，在确保采购需求、质量和服务相等的前提下，磋</w:t>
      </w:r>
      <w:r>
        <w:rPr>
          <w:spacing w:val="-4"/>
          <w:sz w:val="24"/>
        </w:rPr>
        <w:t>商小组必须集体讨论确定磋商标底和报价轮次，该标底必须低于本次开标报价的最低报</w:t>
      </w:r>
      <w:r>
        <w:rPr>
          <w:spacing w:val="-7"/>
          <w:sz w:val="24"/>
        </w:rPr>
        <w:t>价并低于市场价格。标底和磋商轮次经磋商小组全体成员签字确认后用单独信封密封方</w:t>
      </w:r>
      <w:r>
        <w:rPr>
          <w:sz w:val="24"/>
        </w:rPr>
        <w:t>可进行磋商。磋商轮次应告知参与磋商的供应商，但标底必须保密。</w:t>
      </w:r>
    </w:p>
    <w:p>
      <w:pPr>
        <w:pStyle w:val="21"/>
        <w:numPr>
          <w:ilvl w:val="1"/>
          <w:numId w:val="16"/>
        </w:numPr>
        <w:tabs>
          <w:tab w:val="left" w:pos="1499"/>
        </w:tabs>
        <w:spacing w:before="3" w:after="0" w:line="240" w:lineRule="auto"/>
        <w:ind w:left="1498" w:right="0" w:hanging="541"/>
        <w:jc w:val="both"/>
        <w:rPr>
          <w:sz w:val="24"/>
        </w:rPr>
      </w:pPr>
      <w:r>
        <w:rPr>
          <w:sz w:val="24"/>
        </w:rPr>
        <w:t>澄清有关问题</w:t>
      </w:r>
    </w:p>
    <w:p>
      <w:pPr>
        <w:pStyle w:val="21"/>
        <w:numPr>
          <w:ilvl w:val="2"/>
          <w:numId w:val="16"/>
        </w:numPr>
        <w:tabs>
          <w:tab w:val="left" w:pos="1739"/>
        </w:tabs>
        <w:spacing w:before="161" w:after="0" w:line="364" w:lineRule="auto"/>
        <w:ind w:left="478" w:right="357" w:firstLine="480"/>
        <w:jc w:val="left"/>
        <w:rPr>
          <w:sz w:val="24"/>
        </w:rPr>
      </w:pPr>
      <w:r>
        <w:rPr>
          <w:spacing w:val="-10"/>
          <w:sz w:val="24"/>
        </w:rPr>
        <w:t>对响应文件中含义不明确、同类问题表述不一致或者有明显文字和计算错误的内容，磋商小组应以书面形式要求供应商做出必要的澄清、承诺、说明或者纠正。供</w:t>
      </w:r>
      <w:r>
        <w:rPr>
          <w:spacing w:val="-17"/>
          <w:sz w:val="24"/>
        </w:rPr>
        <w:t xml:space="preserve">应商的澄清、承诺、说明或者纠正应采取书面形式，由法定代表人或者被授权代表签字， </w:t>
      </w:r>
      <w:r>
        <w:rPr>
          <w:sz w:val="24"/>
        </w:rPr>
        <w:t>并不得超出响应文件的范围或者改变响应文件的实质性内容。</w:t>
      </w:r>
    </w:p>
    <w:p>
      <w:pPr>
        <w:pStyle w:val="21"/>
        <w:numPr>
          <w:ilvl w:val="2"/>
          <w:numId w:val="16"/>
        </w:numPr>
        <w:tabs>
          <w:tab w:val="left" w:pos="1739"/>
        </w:tabs>
        <w:spacing w:before="2" w:after="0" w:line="364" w:lineRule="auto"/>
        <w:ind w:left="478" w:right="477" w:firstLine="480"/>
        <w:jc w:val="both"/>
        <w:rPr>
          <w:sz w:val="24"/>
        </w:rPr>
      </w:pPr>
      <w:r>
        <w:rPr>
          <w:spacing w:val="-5"/>
          <w:sz w:val="24"/>
        </w:rPr>
        <w:t>磋商小组判断响应文件的响应性仅基于响应文件本身而不靠外部因素。未响</w:t>
      </w:r>
      <w:r>
        <w:rPr>
          <w:spacing w:val="-6"/>
          <w:sz w:val="24"/>
        </w:rPr>
        <w:t>应实质性条款的，磋商小组有权确定其响应无效，供应商不能通过修正、撤销或者澄清</w:t>
      </w:r>
      <w:r>
        <w:rPr>
          <w:sz w:val="24"/>
        </w:rPr>
        <w:t>不符之处而使其报价成为实质性响应的报价。</w:t>
      </w:r>
    </w:p>
    <w:p>
      <w:pPr>
        <w:pStyle w:val="21"/>
        <w:numPr>
          <w:ilvl w:val="2"/>
          <w:numId w:val="16"/>
        </w:numPr>
        <w:tabs>
          <w:tab w:val="left" w:pos="1739"/>
        </w:tabs>
        <w:spacing w:before="2" w:after="0" w:line="364" w:lineRule="auto"/>
        <w:ind w:left="478" w:right="477" w:firstLine="480"/>
        <w:jc w:val="both"/>
        <w:rPr>
          <w:sz w:val="24"/>
        </w:rPr>
      </w:pPr>
      <w:r>
        <w:rPr>
          <w:spacing w:val="-5"/>
          <w:sz w:val="24"/>
        </w:rPr>
        <w:t>磋商小组可以允许供应商修改或者澄清其响应文件中不构成实质偏离的、微</w:t>
      </w:r>
      <w:r>
        <w:rPr>
          <w:sz w:val="24"/>
        </w:rPr>
        <w:t>小的、非正规的不一致或者不规则的地方。</w:t>
      </w:r>
    </w:p>
    <w:p>
      <w:pPr>
        <w:pStyle w:val="21"/>
        <w:numPr>
          <w:ilvl w:val="1"/>
          <w:numId w:val="16"/>
        </w:numPr>
        <w:tabs>
          <w:tab w:val="left" w:pos="1499"/>
        </w:tabs>
        <w:spacing w:before="1" w:after="0" w:line="240" w:lineRule="auto"/>
        <w:ind w:left="1498" w:right="0" w:hanging="541"/>
        <w:jc w:val="both"/>
        <w:rPr>
          <w:sz w:val="24"/>
        </w:rPr>
      </w:pPr>
      <w:r>
        <w:rPr>
          <w:sz w:val="24"/>
        </w:rPr>
        <w:t>磋商</w:t>
      </w:r>
    </w:p>
    <w:p>
      <w:pPr>
        <w:pStyle w:val="21"/>
        <w:numPr>
          <w:ilvl w:val="2"/>
          <w:numId w:val="16"/>
        </w:numPr>
        <w:tabs>
          <w:tab w:val="left" w:pos="1739"/>
        </w:tabs>
        <w:spacing w:before="161" w:after="0" w:line="364" w:lineRule="auto"/>
        <w:ind w:left="478" w:right="477" w:firstLine="480"/>
        <w:jc w:val="both"/>
        <w:rPr>
          <w:sz w:val="24"/>
        </w:rPr>
      </w:pPr>
      <w:r>
        <w:rPr>
          <w:spacing w:val="-11"/>
          <w:sz w:val="24"/>
        </w:rPr>
        <w:t>磋商前，磋商小组应核实供应商对统一磋商技术标准</w:t>
      </w:r>
      <w:r>
        <w:rPr>
          <w:sz w:val="24"/>
        </w:rPr>
        <w:t>（</w:t>
      </w:r>
      <w:r>
        <w:rPr>
          <w:spacing w:val="-2"/>
          <w:sz w:val="24"/>
        </w:rPr>
        <w:t>包括强制性标准和行</w:t>
      </w:r>
      <w:r>
        <w:rPr>
          <w:sz w:val="24"/>
        </w:rPr>
        <w:t>业标准）等是否全部承诺或者确认。</w:t>
      </w:r>
    </w:p>
    <w:p>
      <w:pPr>
        <w:spacing w:after="0" w:line="364" w:lineRule="auto"/>
        <w:jc w:val="both"/>
        <w:rPr>
          <w:sz w:val="24"/>
        </w:rPr>
        <w:sectPr>
          <w:footerReference r:id="rId9" w:type="default"/>
          <w:pgSz w:w="11910" w:h="16840"/>
          <w:pgMar w:top="1440" w:right="940" w:bottom="1180" w:left="940" w:header="0" w:footer="1000" w:gutter="0"/>
          <w:pgBorders>
            <w:top w:val="none" w:sz="0" w:space="0"/>
            <w:left w:val="none" w:sz="0" w:space="0"/>
            <w:bottom w:val="none" w:sz="0" w:space="0"/>
            <w:right w:val="none" w:sz="0" w:space="0"/>
          </w:pgBorders>
          <w:pgNumType w:start="20"/>
          <w:cols w:space="720" w:num="1"/>
        </w:sectPr>
      </w:pPr>
    </w:p>
    <w:p>
      <w:pPr>
        <w:pStyle w:val="21"/>
        <w:numPr>
          <w:ilvl w:val="2"/>
          <w:numId w:val="16"/>
        </w:numPr>
        <w:tabs>
          <w:tab w:val="left" w:pos="1739"/>
        </w:tabs>
        <w:spacing w:before="40" w:after="0" w:line="364" w:lineRule="auto"/>
        <w:ind w:left="478" w:right="477" w:firstLine="480"/>
        <w:jc w:val="both"/>
        <w:rPr>
          <w:sz w:val="24"/>
        </w:rPr>
      </w:pPr>
      <w:r>
        <w:rPr>
          <w:spacing w:val="-7"/>
          <w:sz w:val="24"/>
        </w:rPr>
        <w:t>磋商小组所有成员集中与单一供应商进行磋商。在磋商中，磋商的任何一方</w:t>
      </w:r>
      <w:r>
        <w:rPr>
          <w:sz w:val="24"/>
        </w:rPr>
        <w:t>不得透露与磋商有关的其他供应商的技术资料、价格和其他信息。</w:t>
      </w:r>
    </w:p>
    <w:p>
      <w:pPr>
        <w:pStyle w:val="21"/>
        <w:numPr>
          <w:ilvl w:val="2"/>
          <w:numId w:val="16"/>
        </w:numPr>
        <w:tabs>
          <w:tab w:val="left" w:pos="1739"/>
        </w:tabs>
        <w:spacing w:before="2" w:after="0" w:line="364" w:lineRule="auto"/>
        <w:ind w:left="478" w:right="477" w:firstLine="480"/>
        <w:jc w:val="both"/>
        <w:rPr>
          <w:sz w:val="24"/>
        </w:rPr>
      </w:pPr>
      <w:r>
        <w:rPr>
          <w:spacing w:val="-11"/>
          <w:sz w:val="24"/>
        </w:rPr>
        <w:t>磋商实行多轮报价，原则上第三轮报价为最终报价。超过三轮报价的由磋商</w:t>
      </w:r>
      <w:r>
        <w:rPr>
          <w:spacing w:val="-6"/>
          <w:sz w:val="24"/>
        </w:rPr>
        <w:t>小组现场集体决定，但最后一轮报价前必须告知所有参加磋商的供应商，并以最后一轮报价为最终报价；供应商后一轮报价不得高于其前一轮报价；否则磋商小组有权据此确</w:t>
      </w:r>
      <w:r>
        <w:rPr>
          <w:sz w:val="24"/>
        </w:rPr>
        <w:t>定为无效报价，参与磋商的供应商少于三家的予以废标。</w:t>
      </w:r>
    </w:p>
    <w:p>
      <w:pPr>
        <w:pStyle w:val="8"/>
        <w:spacing w:before="2" w:line="364" w:lineRule="auto"/>
        <w:ind w:left="478" w:right="412" w:firstLine="480"/>
      </w:pPr>
      <w:r>
        <w:t>特殊情况及处置：（1）采购范围变化且总价不超过预算价的；（2）采购货物的市场价格明显降价的；（3）报价明细中个别报价明显高于市场价且无明确报价依据的；</w:t>
      </w:r>
    </w:p>
    <w:p>
      <w:pPr>
        <w:pStyle w:val="8"/>
        <w:spacing w:before="1" w:line="364" w:lineRule="auto"/>
        <w:ind w:left="478" w:right="476"/>
      </w:pPr>
      <w:r>
        <w:t>（4）最后一轮报价中最低报价相同的。发生上述情形之一的，磋商小组有权予以废标或者与供应商进行磋商后继续报价。</w:t>
      </w:r>
    </w:p>
    <w:p>
      <w:pPr>
        <w:pStyle w:val="21"/>
        <w:numPr>
          <w:ilvl w:val="1"/>
          <w:numId w:val="16"/>
        </w:numPr>
        <w:tabs>
          <w:tab w:val="left" w:pos="1499"/>
        </w:tabs>
        <w:spacing w:before="1" w:after="0" w:line="240" w:lineRule="auto"/>
        <w:ind w:left="1498" w:right="0" w:hanging="541"/>
        <w:jc w:val="both"/>
        <w:rPr>
          <w:sz w:val="24"/>
        </w:rPr>
      </w:pPr>
      <w:r>
        <w:rPr>
          <w:sz w:val="24"/>
        </w:rPr>
        <w:t>成交</w:t>
      </w:r>
    </w:p>
    <w:p>
      <w:pPr>
        <w:pStyle w:val="21"/>
        <w:numPr>
          <w:ilvl w:val="2"/>
          <w:numId w:val="16"/>
        </w:numPr>
        <w:tabs>
          <w:tab w:val="left" w:pos="1739"/>
        </w:tabs>
        <w:spacing w:before="161" w:after="0" w:line="312" w:lineRule="auto"/>
        <w:ind w:left="478" w:right="477" w:firstLine="480"/>
        <w:jc w:val="both"/>
        <w:rPr>
          <w:sz w:val="24"/>
        </w:rPr>
      </w:pPr>
      <w:r>
        <w:rPr>
          <w:spacing w:val="-9"/>
          <w:sz w:val="24"/>
        </w:rPr>
        <w:t>本项目评审办法为综合评分法。磋商小组对满足磋商文件实质性要求的响应</w:t>
      </w:r>
      <w:r>
        <w:rPr>
          <w:spacing w:val="-4"/>
          <w:sz w:val="24"/>
        </w:rPr>
        <w:t xml:space="preserve">文件，按照本章第 </w:t>
      </w:r>
      <w:r>
        <w:rPr>
          <w:sz w:val="24"/>
        </w:rPr>
        <w:t>2.3、2.4</w:t>
      </w:r>
      <w:r>
        <w:rPr>
          <w:spacing w:val="-6"/>
          <w:sz w:val="24"/>
        </w:rPr>
        <w:t xml:space="preserve"> 款规定的评分标准进行打分，并按综合得分由高到低顺序</w:t>
      </w:r>
      <w:r>
        <w:rPr>
          <w:spacing w:val="-11"/>
          <w:sz w:val="24"/>
        </w:rPr>
        <w:t>推荐中标候选人，或根据采购人授权直接确定中标人。综合评分相等时，以报价低的优</w:t>
      </w:r>
      <w:r>
        <w:rPr>
          <w:sz w:val="24"/>
        </w:rPr>
        <w:t>先；报价也相等的，由采购人自行确定。</w:t>
      </w:r>
    </w:p>
    <w:p>
      <w:pPr>
        <w:pStyle w:val="21"/>
        <w:numPr>
          <w:ilvl w:val="2"/>
          <w:numId w:val="16"/>
        </w:numPr>
        <w:tabs>
          <w:tab w:val="left" w:pos="1739"/>
        </w:tabs>
        <w:spacing w:before="2" w:after="0" w:line="364" w:lineRule="auto"/>
        <w:ind w:left="478" w:right="477" w:firstLine="480"/>
        <w:jc w:val="both"/>
        <w:rPr>
          <w:sz w:val="24"/>
        </w:rPr>
      </w:pPr>
      <w:r>
        <w:rPr>
          <w:spacing w:val="-7"/>
          <w:sz w:val="24"/>
        </w:rPr>
        <w:t>采购人授权磋商小组确定成交供应商的，最终报价结束后，磋商小组按照上</w:t>
      </w:r>
      <w:r>
        <w:rPr>
          <w:sz w:val="24"/>
        </w:rPr>
        <w:t>述的规定，对供应商进行排序并确定排序第一的为成交供应商；</w:t>
      </w:r>
    </w:p>
    <w:p>
      <w:pPr>
        <w:pStyle w:val="21"/>
        <w:numPr>
          <w:ilvl w:val="2"/>
          <w:numId w:val="16"/>
        </w:numPr>
        <w:tabs>
          <w:tab w:val="left" w:pos="1739"/>
        </w:tabs>
        <w:spacing w:before="1" w:after="0" w:line="364" w:lineRule="auto"/>
        <w:ind w:left="478" w:right="477" w:firstLine="480"/>
        <w:jc w:val="both"/>
        <w:rPr>
          <w:sz w:val="24"/>
        </w:rPr>
      </w:pPr>
      <w:r>
        <w:rPr>
          <w:spacing w:val="-8"/>
          <w:sz w:val="24"/>
        </w:rPr>
        <w:t>采购文件规定推荐成交候选供应商的，成交候选供应商数量应当根据采购需</w:t>
      </w:r>
      <w:r>
        <w:rPr>
          <w:spacing w:val="-5"/>
          <w:sz w:val="24"/>
        </w:rPr>
        <w:t>要并在采购活动开始前确定，由磋商小组按照上述规定的评审办法确定各供应商排列顺</w:t>
      </w:r>
      <w:r>
        <w:rPr>
          <w:spacing w:val="-2"/>
          <w:sz w:val="24"/>
        </w:rPr>
        <w:t xml:space="preserve">序，依照顺序推荐成交候选供应商，并出具评审报告，采购人应当在收到评审报告后 </w:t>
      </w:r>
      <w:r>
        <w:rPr>
          <w:sz w:val="24"/>
        </w:rPr>
        <w:t xml:space="preserve">5 </w:t>
      </w:r>
      <w:r>
        <w:rPr>
          <w:spacing w:val="-7"/>
          <w:sz w:val="24"/>
        </w:rPr>
        <w:t>个工作日内，从评审报告提出的成交候选人中，根据质量和服务均能满足采购文件实质</w:t>
      </w:r>
      <w:r>
        <w:rPr>
          <w:sz w:val="24"/>
        </w:rPr>
        <w:t>性响应要求且最后综合得分最高的原则确定成交供应商。</w:t>
      </w:r>
    </w:p>
    <w:p>
      <w:pPr>
        <w:pStyle w:val="21"/>
        <w:numPr>
          <w:ilvl w:val="2"/>
          <w:numId w:val="16"/>
        </w:numPr>
        <w:tabs>
          <w:tab w:val="left" w:pos="1744"/>
        </w:tabs>
        <w:spacing w:before="3" w:after="0" w:line="364" w:lineRule="auto"/>
        <w:ind w:left="478" w:right="477" w:firstLine="482"/>
        <w:jc w:val="both"/>
        <w:rPr>
          <w:sz w:val="24"/>
        </w:rPr>
      </w:pPr>
      <w:r>
        <w:rPr>
          <w:sz w:val="24"/>
        </w:rPr>
        <w:t>按照有关规定成交供应商因不可抗力或者自身原因不能履行政府采购合同</w:t>
      </w:r>
      <w:r>
        <w:rPr>
          <w:spacing w:val="-4"/>
          <w:sz w:val="24"/>
        </w:rPr>
        <w:t>的须顺延排序第二的供应商成交的，或者采购人推荐排序第二的供应商成交的，其原响应报价不得超过原成交供应商响应报价与保证金之和，报经监督部门核准后可以确定排</w:t>
      </w:r>
      <w:r>
        <w:rPr>
          <w:sz w:val="24"/>
        </w:rPr>
        <w:t>序第二的供应商成交。否则应予废标，由采购人依法重新组织采购。</w:t>
      </w:r>
    </w:p>
    <w:p>
      <w:pPr>
        <w:pStyle w:val="21"/>
        <w:numPr>
          <w:ilvl w:val="2"/>
          <w:numId w:val="16"/>
        </w:numPr>
        <w:tabs>
          <w:tab w:val="left" w:pos="1739"/>
        </w:tabs>
        <w:spacing w:before="2" w:after="0" w:line="240" w:lineRule="auto"/>
        <w:ind w:left="1738" w:right="0" w:hanging="781"/>
        <w:jc w:val="both"/>
        <w:rPr>
          <w:sz w:val="24"/>
        </w:rPr>
      </w:pPr>
      <w:r>
        <w:rPr>
          <w:sz w:val="24"/>
        </w:rPr>
        <w:t>磋商结果应通知所有参加磋商的供应商。</w:t>
      </w:r>
    </w:p>
    <w:p>
      <w:pPr>
        <w:pStyle w:val="21"/>
        <w:numPr>
          <w:ilvl w:val="2"/>
          <w:numId w:val="16"/>
        </w:numPr>
        <w:tabs>
          <w:tab w:val="left" w:pos="1739"/>
        </w:tabs>
        <w:spacing w:before="161" w:after="0" w:line="240" w:lineRule="auto"/>
        <w:ind w:left="1738" w:right="0" w:hanging="781"/>
        <w:jc w:val="both"/>
        <w:rPr>
          <w:sz w:val="24"/>
        </w:rPr>
      </w:pPr>
      <w:r>
        <w:rPr>
          <w:sz w:val="24"/>
        </w:rPr>
        <w:t>优先成交</w:t>
      </w:r>
    </w:p>
    <w:p>
      <w:pPr>
        <w:pStyle w:val="8"/>
        <w:spacing w:before="160"/>
        <w:ind w:left="958"/>
      </w:pPr>
      <w:r>
        <w:t>有下列情况之一的，磋商小组必须给予优先成交：</w:t>
      </w:r>
    </w:p>
    <w:p>
      <w:pPr>
        <w:pStyle w:val="21"/>
        <w:numPr>
          <w:ilvl w:val="3"/>
          <w:numId w:val="16"/>
        </w:numPr>
        <w:tabs>
          <w:tab w:val="left" w:pos="1979"/>
        </w:tabs>
        <w:spacing w:before="161" w:after="0" w:line="240" w:lineRule="auto"/>
        <w:ind w:left="1978" w:right="0" w:hanging="1021"/>
        <w:jc w:val="left"/>
        <w:rPr>
          <w:sz w:val="24"/>
        </w:rPr>
      </w:pPr>
      <w:r>
        <w:rPr>
          <w:spacing w:val="-3"/>
          <w:sz w:val="24"/>
        </w:rPr>
        <w:t>根据财政部、工业和信息化部</w:t>
      </w:r>
      <w:r>
        <w:rPr>
          <w:sz w:val="24"/>
        </w:rPr>
        <w:t>（</w:t>
      </w:r>
      <w:r>
        <w:rPr>
          <w:spacing w:val="-4"/>
          <w:sz w:val="24"/>
        </w:rPr>
        <w:t>财库〔</w:t>
      </w:r>
      <w:r>
        <w:rPr>
          <w:sz w:val="24"/>
        </w:rPr>
        <w:t>2011</w:t>
      </w:r>
      <w:r>
        <w:rPr>
          <w:spacing w:val="-8"/>
          <w:sz w:val="24"/>
        </w:rPr>
        <w:t>〕</w:t>
      </w:r>
      <w:r>
        <w:rPr>
          <w:sz w:val="24"/>
        </w:rPr>
        <w:t>181</w:t>
      </w:r>
      <w:r>
        <w:rPr>
          <w:spacing w:val="-30"/>
          <w:sz w:val="24"/>
        </w:rPr>
        <w:t xml:space="preserve"> 号</w:t>
      </w:r>
      <w:r>
        <w:rPr>
          <w:spacing w:val="-8"/>
          <w:sz w:val="24"/>
        </w:rPr>
        <w:t>）</w:t>
      </w:r>
      <w:r>
        <w:rPr>
          <w:spacing w:val="-2"/>
          <w:sz w:val="24"/>
        </w:rPr>
        <w:t>文件规定，供应商</w:t>
      </w:r>
    </w:p>
    <w:p>
      <w:pPr>
        <w:spacing w:after="0" w:line="240" w:lineRule="auto"/>
        <w:jc w:val="left"/>
        <w:rPr>
          <w:sz w:val="24"/>
        </w:rPr>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line="364" w:lineRule="auto"/>
        <w:ind w:left="478" w:right="477"/>
        <w:jc w:val="both"/>
      </w:pPr>
      <w:r>
        <w:rPr>
          <w:spacing w:val="-4"/>
        </w:rPr>
        <w:t>属小型或微型企业并以其自身产品和服务报价，或者提供其他小微企业制造的货物，在</w:t>
      </w:r>
      <w:r>
        <w:rPr>
          <w:spacing w:val="-2"/>
        </w:rPr>
        <w:t xml:space="preserve">满足采购需求且质量和服务相等的情况下，其最终报价再给予 </w:t>
      </w:r>
      <w:r>
        <w:t>10%</w:t>
      </w:r>
      <w:r>
        <w:rPr>
          <w:spacing w:val="-2"/>
        </w:rPr>
        <w:t>的价格扣除后价格最</w:t>
      </w:r>
      <w:r>
        <w:rPr>
          <w:spacing w:val="-6"/>
        </w:rPr>
        <w:t>低或与最低价相同的，须提供《中小企业声明函》并对声明函的真实性负责，否则不予</w:t>
      </w:r>
      <w:r>
        <w:t>价格扣除。</w:t>
      </w:r>
    </w:p>
    <w:p>
      <w:pPr>
        <w:pStyle w:val="21"/>
        <w:numPr>
          <w:ilvl w:val="3"/>
          <w:numId w:val="16"/>
        </w:numPr>
        <w:tabs>
          <w:tab w:val="left" w:pos="1979"/>
        </w:tabs>
        <w:spacing w:before="3" w:after="0" w:line="364" w:lineRule="auto"/>
        <w:ind w:left="478" w:right="425" w:firstLine="480"/>
        <w:jc w:val="both"/>
        <w:rPr>
          <w:sz w:val="24"/>
        </w:rPr>
      </w:pPr>
      <w:r>
        <w:rPr>
          <w:spacing w:val="-11"/>
          <w:sz w:val="24"/>
        </w:rPr>
        <w:t>根据财政部、国家发展改革委、省财政厅有关规定，报价供应商所投产品</w:t>
      </w:r>
      <w:r>
        <w:rPr>
          <w:spacing w:val="-12"/>
          <w:sz w:val="24"/>
        </w:rPr>
        <w:t xml:space="preserve">为政府优先采购节能产品、环保产品的，须提供最新发布的“节能产品政府采购清单” </w:t>
      </w:r>
      <w:r>
        <w:rPr>
          <w:spacing w:val="-7"/>
          <w:sz w:val="24"/>
        </w:rPr>
        <w:t>或“环境标志产品政府采购清单”，在满足采购需求且质量和服务相等的情况下，其最</w:t>
      </w:r>
      <w:r>
        <w:rPr>
          <w:spacing w:val="-10"/>
          <w:sz w:val="24"/>
        </w:rPr>
        <w:t xml:space="preserve">终报价中的节能产品、环保产品价格再给予 </w:t>
      </w:r>
      <w:r>
        <w:rPr>
          <w:sz w:val="24"/>
        </w:rPr>
        <w:t>10%的价格扣除后价格最低或与最低价相同的。</w:t>
      </w:r>
    </w:p>
    <w:p>
      <w:pPr>
        <w:pStyle w:val="8"/>
        <w:spacing w:before="3"/>
        <w:ind w:left="958"/>
        <w:jc w:val="both"/>
      </w:pPr>
      <w:r>
        <w:t>以上两项政策价格扣除不超过 10%。</w:t>
      </w:r>
    </w:p>
    <w:p>
      <w:pPr>
        <w:pStyle w:val="21"/>
        <w:numPr>
          <w:ilvl w:val="1"/>
          <w:numId w:val="16"/>
        </w:numPr>
        <w:tabs>
          <w:tab w:val="left" w:pos="1499"/>
        </w:tabs>
        <w:spacing w:before="160" w:after="0" w:line="240" w:lineRule="auto"/>
        <w:ind w:left="1498" w:right="0" w:hanging="541"/>
        <w:jc w:val="both"/>
        <w:rPr>
          <w:sz w:val="24"/>
        </w:rPr>
      </w:pPr>
      <w:r>
        <w:rPr>
          <w:sz w:val="24"/>
        </w:rPr>
        <w:t>成交结果公告以及成交通知书</w:t>
      </w:r>
    </w:p>
    <w:p>
      <w:pPr>
        <w:pStyle w:val="21"/>
        <w:numPr>
          <w:ilvl w:val="2"/>
          <w:numId w:val="16"/>
        </w:numPr>
        <w:tabs>
          <w:tab w:val="left" w:pos="1739"/>
        </w:tabs>
        <w:spacing w:before="161" w:after="0" w:line="364" w:lineRule="auto"/>
        <w:ind w:left="478" w:right="477" w:firstLine="480"/>
        <w:jc w:val="both"/>
        <w:rPr>
          <w:sz w:val="24"/>
        </w:rPr>
      </w:pPr>
      <w:r>
        <w:rPr>
          <w:spacing w:val="-3"/>
          <w:sz w:val="24"/>
        </w:rPr>
        <w:t xml:space="preserve">采购人或者采购代理机构应当自成交供应商确定之日起 </w:t>
      </w:r>
      <w:r>
        <w:rPr>
          <w:sz w:val="24"/>
        </w:rPr>
        <w:t>2</w:t>
      </w:r>
      <w:r>
        <w:rPr>
          <w:spacing w:val="-22"/>
          <w:sz w:val="24"/>
        </w:rPr>
        <w:t xml:space="preserve"> 个工作日内，发出</w:t>
      </w:r>
      <w:r>
        <w:rPr>
          <w:spacing w:val="-4"/>
          <w:sz w:val="24"/>
        </w:rPr>
        <w:t>成交通知书，并在相关媒介公告成交结果</w:t>
      </w:r>
      <w:r>
        <w:rPr>
          <w:sz w:val="24"/>
        </w:rPr>
        <w:t>（</w:t>
      </w:r>
      <w:r>
        <w:rPr>
          <w:spacing w:val="-10"/>
          <w:sz w:val="24"/>
        </w:rPr>
        <w:t xml:space="preserve">公告期限为 </w:t>
      </w:r>
      <w:r>
        <w:rPr>
          <w:sz w:val="24"/>
        </w:rPr>
        <w:t>1</w:t>
      </w:r>
      <w:r>
        <w:rPr>
          <w:spacing w:val="-12"/>
          <w:sz w:val="24"/>
        </w:rPr>
        <w:t xml:space="preserve"> 个工作日</w:t>
      </w:r>
      <w:r>
        <w:rPr>
          <w:spacing w:val="-14"/>
          <w:sz w:val="24"/>
        </w:rPr>
        <w:t>）</w:t>
      </w:r>
      <w:r>
        <w:rPr>
          <w:spacing w:val="-6"/>
          <w:sz w:val="24"/>
        </w:rPr>
        <w:t>，采购文件随成交</w:t>
      </w:r>
      <w:r>
        <w:rPr>
          <w:sz w:val="24"/>
        </w:rPr>
        <w:t>结果同时公告。</w:t>
      </w:r>
    </w:p>
    <w:p>
      <w:pPr>
        <w:pStyle w:val="21"/>
        <w:numPr>
          <w:ilvl w:val="2"/>
          <w:numId w:val="16"/>
        </w:numPr>
        <w:tabs>
          <w:tab w:val="left" w:pos="1741"/>
        </w:tabs>
        <w:spacing w:before="2" w:after="0" w:line="364" w:lineRule="auto"/>
        <w:ind w:left="478" w:right="477" w:firstLine="480"/>
        <w:jc w:val="both"/>
        <w:rPr>
          <w:sz w:val="24"/>
        </w:rPr>
      </w:pPr>
      <w:r>
        <w:rPr>
          <w:sz w:val="24"/>
        </w:rPr>
        <w:t>采购人或采购代理机构不按照规定发布成交结果公告或者发布成交结果公</w:t>
      </w:r>
      <w:r>
        <w:rPr>
          <w:spacing w:val="-5"/>
          <w:sz w:val="24"/>
        </w:rPr>
        <w:t>告后不签发成交通知书的，应当承担法律责任，给成交供应商造成经济损失的应承担赔</w:t>
      </w:r>
      <w:r>
        <w:rPr>
          <w:sz w:val="24"/>
        </w:rPr>
        <w:t>偿责任。</w:t>
      </w:r>
    </w:p>
    <w:p>
      <w:pPr>
        <w:pStyle w:val="21"/>
        <w:numPr>
          <w:ilvl w:val="2"/>
          <w:numId w:val="16"/>
        </w:numPr>
        <w:tabs>
          <w:tab w:val="left" w:pos="1739"/>
        </w:tabs>
        <w:spacing w:before="1" w:after="0" w:line="364" w:lineRule="auto"/>
        <w:ind w:left="478" w:right="477" w:firstLine="480"/>
        <w:jc w:val="both"/>
        <w:rPr>
          <w:sz w:val="24"/>
        </w:rPr>
      </w:pPr>
      <w:r>
        <w:rPr>
          <w:spacing w:val="-6"/>
          <w:sz w:val="24"/>
        </w:rPr>
        <w:t>成交通知书对采购人和成交供应商都具有法律效力。成交通知书发出后，采</w:t>
      </w:r>
      <w:r>
        <w:rPr>
          <w:sz w:val="24"/>
        </w:rPr>
        <w:t>购人改变成交结果的，或者成交供应商放弃成交，应当依法承担法律责任。</w:t>
      </w:r>
    </w:p>
    <w:p>
      <w:pPr>
        <w:pStyle w:val="21"/>
        <w:numPr>
          <w:ilvl w:val="1"/>
          <w:numId w:val="16"/>
        </w:numPr>
        <w:tabs>
          <w:tab w:val="left" w:pos="1619"/>
        </w:tabs>
        <w:spacing w:before="2" w:after="0" w:line="240" w:lineRule="auto"/>
        <w:ind w:left="1618" w:right="0" w:hanging="661"/>
        <w:jc w:val="both"/>
        <w:rPr>
          <w:sz w:val="24"/>
        </w:rPr>
      </w:pPr>
      <w:r>
        <w:rPr>
          <w:sz w:val="24"/>
        </w:rPr>
        <w:t>响应无效</w:t>
      </w:r>
    </w:p>
    <w:p>
      <w:pPr>
        <w:pStyle w:val="8"/>
        <w:spacing w:before="160"/>
        <w:ind w:left="958"/>
      </w:pPr>
      <w:r>
        <w:t>出现下列情形之一的，响应无效：</w:t>
      </w:r>
    </w:p>
    <w:p>
      <w:pPr>
        <w:pStyle w:val="21"/>
        <w:numPr>
          <w:ilvl w:val="2"/>
          <w:numId w:val="16"/>
        </w:numPr>
        <w:tabs>
          <w:tab w:val="left" w:pos="1859"/>
        </w:tabs>
        <w:spacing w:before="160" w:after="0" w:line="240" w:lineRule="auto"/>
        <w:ind w:left="1858" w:right="0" w:hanging="901"/>
        <w:jc w:val="both"/>
        <w:rPr>
          <w:sz w:val="24"/>
        </w:rPr>
      </w:pPr>
      <w:r>
        <w:rPr>
          <w:sz w:val="24"/>
        </w:rPr>
        <w:t>响应报价高于采购预算的；</w:t>
      </w:r>
    </w:p>
    <w:p>
      <w:pPr>
        <w:pStyle w:val="21"/>
        <w:numPr>
          <w:ilvl w:val="2"/>
          <w:numId w:val="16"/>
        </w:numPr>
        <w:tabs>
          <w:tab w:val="left" w:pos="1859"/>
        </w:tabs>
        <w:spacing w:before="161" w:after="0" w:line="240" w:lineRule="auto"/>
        <w:ind w:left="1858" w:right="0" w:hanging="901"/>
        <w:jc w:val="left"/>
        <w:rPr>
          <w:sz w:val="24"/>
        </w:rPr>
      </w:pPr>
      <w:r>
        <w:rPr>
          <w:sz w:val="24"/>
        </w:rPr>
        <w:t>对“★”条款未做出实质性响应或者发生负偏离的；</w:t>
      </w:r>
    </w:p>
    <w:p>
      <w:pPr>
        <w:pStyle w:val="21"/>
        <w:numPr>
          <w:ilvl w:val="2"/>
          <w:numId w:val="16"/>
        </w:numPr>
        <w:tabs>
          <w:tab w:val="left" w:pos="1859"/>
        </w:tabs>
        <w:spacing w:before="160" w:after="0" w:line="240" w:lineRule="auto"/>
        <w:ind w:left="1858" w:right="0" w:hanging="901"/>
        <w:jc w:val="left"/>
        <w:rPr>
          <w:sz w:val="24"/>
        </w:rPr>
      </w:pPr>
      <w:r>
        <w:rPr>
          <w:sz w:val="24"/>
        </w:rPr>
        <w:t>应提供而未提供带“▲”标注的政府强制采购节能产品的；</w:t>
      </w:r>
    </w:p>
    <w:p>
      <w:pPr>
        <w:pStyle w:val="21"/>
        <w:numPr>
          <w:ilvl w:val="2"/>
          <w:numId w:val="16"/>
        </w:numPr>
        <w:tabs>
          <w:tab w:val="left" w:pos="1859"/>
        </w:tabs>
        <w:spacing w:before="161" w:after="0" w:line="240" w:lineRule="auto"/>
        <w:ind w:left="1858" w:right="0" w:hanging="901"/>
        <w:jc w:val="left"/>
        <w:rPr>
          <w:sz w:val="24"/>
        </w:rPr>
      </w:pPr>
      <w:r>
        <w:rPr>
          <w:sz w:val="24"/>
        </w:rPr>
        <w:t>对允许偏离的非实质性条款，偏离采购文件规定的偏离范围和幅度的；</w:t>
      </w:r>
    </w:p>
    <w:p>
      <w:pPr>
        <w:pStyle w:val="21"/>
        <w:numPr>
          <w:ilvl w:val="2"/>
          <w:numId w:val="16"/>
        </w:numPr>
        <w:tabs>
          <w:tab w:val="left" w:pos="1859"/>
        </w:tabs>
        <w:spacing w:before="160" w:after="0" w:line="364" w:lineRule="auto"/>
        <w:ind w:left="478" w:right="476" w:firstLine="480"/>
        <w:jc w:val="left"/>
        <w:rPr>
          <w:sz w:val="24"/>
        </w:rPr>
      </w:pPr>
      <w:r>
        <w:rPr>
          <w:sz w:val="24"/>
        </w:rPr>
        <w:t>不按照采购文件规定报价、没有分项报价、拒绝报价、有多个报价（</w:t>
      </w:r>
      <w:r>
        <w:rPr>
          <w:spacing w:val="-8"/>
          <w:sz w:val="24"/>
        </w:rPr>
        <w:t>采购</w:t>
      </w:r>
      <w:r>
        <w:rPr>
          <w:sz w:val="24"/>
        </w:rPr>
        <w:t>文件另有规定的除外）、有选择性报价、附有条件的报价或者拒绝修正报价的；</w:t>
      </w:r>
    </w:p>
    <w:p>
      <w:pPr>
        <w:pStyle w:val="21"/>
        <w:numPr>
          <w:ilvl w:val="2"/>
          <w:numId w:val="16"/>
        </w:numPr>
        <w:tabs>
          <w:tab w:val="left" w:pos="1859"/>
        </w:tabs>
        <w:spacing w:before="2" w:after="0" w:line="240" w:lineRule="auto"/>
        <w:ind w:left="1858" w:right="0" w:hanging="901"/>
        <w:jc w:val="left"/>
        <w:rPr>
          <w:sz w:val="24"/>
        </w:rPr>
      </w:pPr>
      <w:r>
        <w:rPr>
          <w:sz w:val="24"/>
        </w:rPr>
        <w:t>响应文件正副本未区分或者内容严重不一致的；</w:t>
      </w:r>
    </w:p>
    <w:p>
      <w:pPr>
        <w:pStyle w:val="21"/>
        <w:numPr>
          <w:ilvl w:val="2"/>
          <w:numId w:val="16"/>
        </w:numPr>
        <w:tabs>
          <w:tab w:val="left" w:pos="1859"/>
        </w:tabs>
        <w:spacing w:before="160" w:after="0" w:line="240" w:lineRule="auto"/>
        <w:ind w:left="1858" w:right="0" w:hanging="901"/>
        <w:jc w:val="left"/>
        <w:rPr>
          <w:sz w:val="24"/>
        </w:rPr>
      </w:pPr>
      <w:r>
        <w:rPr>
          <w:sz w:val="24"/>
        </w:rPr>
        <w:t>供应商未按采购文件要求交纳保证金的；</w:t>
      </w:r>
    </w:p>
    <w:p>
      <w:pPr>
        <w:pStyle w:val="21"/>
        <w:numPr>
          <w:ilvl w:val="2"/>
          <w:numId w:val="16"/>
        </w:numPr>
        <w:tabs>
          <w:tab w:val="left" w:pos="1859"/>
        </w:tabs>
        <w:spacing w:before="161" w:after="0" w:line="240" w:lineRule="auto"/>
        <w:ind w:left="1858" w:right="0" w:hanging="901"/>
        <w:jc w:val="left"/>
        <w:rPr>
          <w:sz w:val="24"/>
        </w:rPr>
      </w:pPr>
      <w:r>
        <w:rPr>
          <w:sz w:val="24"/>
        </w:rPr>
        <w:t>报价有效期不满足采购文件要求的；</w:t>
      </w:r>
    </w:p>
    <w:p>
      <w:pPr>
        <w:spacing w:after="0" w:line="240" w:lineRule="auto"/>
        <w:jc w:val="left"/>
        <w:rPr>
          <w:sz w:val="24"/>
        </w:rPr>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21"/>
        <w:numPr>
          <w:ilvl w:val="2"/>
          <w:numId w:val="16"/>
        </w:numPr>
        <w:tabs>
          <w:tab w:val="left" w:pos="1859"/>
        </w:tabs>
        <w:spacing w:before="40" w:after="0" w:line="240" w:lineRule="auto"/>
        <w:ind w:left="1858" w:right="0" w:hanging="901"/>
        <w:jc w:val="left"/>
        <w:rPr>
          <w:sz w:val="24"/>
        </w:rPr>
      </w:pPr>
      <w:r>
        <w:rPr>
          <w:sz w:val="24"/>
        </w:rPr>
        <w:t>报价超出最高限价的；</w:t>
      </w:r>
    </w:p>
    <w:p>
      <w:pPr>
        <w:pStyle w:val="21"/>
        <w:numPr>
          <w:ilvl w:val="2"/>
          <w:numId w:val="16"/>
        </w:numPr>
        <w:tabs>
          <w:tab w:val="left" w:pos="1979"/>
        </w:tabs>
        <w:spacing w:before="161" w:after="0" w:line="364" w:lineRule="auto"/>
        <w:ind w:left="478" w:right="477" w:firstLine="480"/>
        <w:jc w:val="left"/>
        <w:rPr>
          <w:sz w:val="24"/>
        </w:rPr>
      </w:pPr>
      <w:r>
        <w:rPr>
          <w:spacing w:val="-13"/>
          <w:sz w:val="24"/>
        </w:rPr>
        <w:t xml:space="preserve">磋商小组 </w:t>
      </w:r>
      <w:r>
        <w:rPr>
          <w:sz w:val="24"/>
        </w:rPr>
        <w:t>2/3</w:t>
      </w:r>
      <w:r>
        <w:rPr>
          <w:spacing w:val="-15"/>
          <w:sz w:val="24"/>
        </w:rPr>
        <w:t xml:space="preserve"> 及以上成员认定报价方案技术含量低、偏离范围超出允许幅</w:t>
      </w:r>
      <w:r>
        <w:rPr>
          <w:sz w:val="24"/>
        </w:rPr>
        <w:t>度、不符合采购文件要求的；</w:t>
      </w:r>
    </w:p>
    <w:p>
      <w:pPr>
        <w:pStyle w:val="21"/>
        <w:numPr>
          <w:ilvl w:val="2"/>
          <w:numId w:val="16"/>
        </w:numPr>
        <w:tabs>
          <w:tab w:val="left" w:pos="1979"/>
        </w:tabs>
        <w:spacing w:before="1" w:after="0" w:line="240" w:lineRule="auto"/>
        <w:ind w:left="1978" w:right="0" w:hanging="1021"/>
        <w:jc w:val="left"/>
        <w:rPr>
          <w:sz w:val="24"/>
        </w:rPr>
      </w:pPr>
      <w:r>
        <w:rPr>
          <w:sz w:val="24"/>
        </w:rPr>
        <w:t>磋商小组判定供应商涂改证明材料或者提供虚假材料和承诺的；</w:t>
      </w:r>
    </w:p>
    <w:p>
      <w:pPr>
        <w:pStyle w:val="21"/>
        <w:numPr>
          <w:ilvl w:val="2"/>
          <w:numId w:val="16"/>
        </w:numPr>
        <w:tabs>
          <w:tab w:val="left" w:pos="1979"/>
        </w:tabs>
        <w:spacing w:before="161" w:after="0" w:line="240" w:lineRule="auto"/>
        <w:ind w:left="1978" w:right="0" w:hanging="1021"/>
        <w:jc w:val="left"/>
        <w:rPr>
          <w:sz w:val="24"/>
        </w:rPr>
      </w:pPr>
      <w:r>
        <w:rPr>
          <w:sz w:val="24"/>
        </w:rPr>
        <w:t>未按采购文件规定编制、签署、盖章、装订和密封响应文件的；</w:t>
      </w:r>
    </w:p>
    <w:p>
      <w:pPr>
        <w:pStyle w:val="21"/>
        <w:numPr>
          <w:ilvl w:val="2"/>
          <w:numId w:val="16"/>
        </w:numPr>
        <w:tabs>
          <w:tab w:val="left" w:pos="1979"/>
        </w:tabs>
        <w:spacing w:before="160" w:after="0" w:line="240" w:lineRule="auto"/>
        <w:ind w:left="1978" w:right="0" w:hanging="1021"/>
        <w:jc w:val="left"/>
        <w:rPr>
          <w:sz w:val="24"/>
        </w:rPr>
      </w:pPr>
      <w:r>
        <w:rPr>
          <w:sz w:val="24"/>
        </w:rPr>
        <w:t>代理商未按采购文件要求提供产品制造商针对本项目的唯一授权的；</w:t>
      </w:r>
    </w:p>
    <w:p>
      <w:pPr>
        <w:pStyle w:val="21"/>
        <w:numPr>
          <w:ilvl w:val="2"/>
          <w:numId w:val="16"/>
        </w:numPr>
        <w:tabs>
          <w:tab w:val="left" w:pos="1979"/>
        </w:tabs>
        <w:spacing w:before="160" w:after="0" w:line="364" w:lineRule="auto"/>
        <w:ind w:left="478" w:right="477" w:firstLine="480"/>
        <w:jc w:val="left"/>
        <w:rPr>
          <w:sz w:val="24"/>
        </w:rPr>
      </w:pPr>
      <w:r>
        <w:rPr>
          <w:spacing w:val="-7"/>
          <w:sz w:val="24"/>
        </w:rPr>
        <w:t xml:space="preserve">采购文件第三章第 </w:t>
      </w:r>
      <w:r>
        <w:rPr>
          <w:sz w:val="24"/>
        </w:rPr>
        <w:t>1</w:t>
      </w:r>
      <w:r>
        <w:rPr>
          <w:spacing w:val="-16"/>
          <w:sz w:val="24"/>
        </w:rPr>
        <w:t xml:space="preserve"> 条规定供应商应当提交的资格、资信等证明文件未提</w:t>
      </w:r>
      <w:r>
        <w:rPr>
          <w:sz w:val="24"/>
        </w:rPr>
        <w:t>供、提供不齐全或者复印件未装订于响应文件中的；</w:t>
      </w:r>
    </w:p>
    <w:p>
      <w:pPr>
        <w:pStyle w:val="21"/>
        <w:numPr>
          <w:ilvl w:val="2"/>
          <w:numId w:val="16"/>
        </w:numPr>
        <w:tabs>
          <w:tab w:val="left" w:pos="1979"/>
        </w:tabs>
        <w:spacing w:before="2" w:after="0" w:line="240" w:lineRule="auto"/>
        <w:ind w:left="1978" w:right="0" w:hanging="1021"/>
        <w:jc w:val="left"/>
        <w:rPr>
          <w:sz w:val="24"/>
        </w:rPr>
      </w:pPr>
      <w:r>
        <w:rPr>
          <w:sz w:val="24"/>
        </w:rPr>
        <w:t>资格、资信等证明文件可以为复印件的，复印件未加盖单位公章的；</w:t>
      </w:r>
    </w:p>
    <w:p>
      <w:pPr>
        <w:pStyle w:val="21"/>
        <w:numPr>
          <w:ilvl w:val="2"/>
          <w:numId w:val="16"/>
        </w:numPr>
        <w:tabs>
          <w:tab w:val="left" w:pos="1979"/>
        </w:tabs>
        <w:spacing w:before="160" w:after="0" w:line="240" w:lineRule="auto"/>
        <w:ind w:left="1978" w:right="0" w:hanging="1021"/>
        <w:jc w:val="left"/>
        <w:rPr>
          <w:sz w:val="24"/>
        </w:rPr>
      </w:pPr>
      <w:r>
        <w:rPr>
          <w:sz w:val="24"/>
        </w:rPr>
        <w:t>不符合法律、法规和采购文件中规定的其他要求的。</w:t>
      </w:r>
    </w:p>
    <w:p>
      <w:pPr>
        <w:pStyle w:val="8"/>
        <w:spacing w:before="161" w:line="364" w:lineRule="auto"/>
        <w:ind w:left="478" w:right="357" w:firstLine="480"/>
      </w:pPr>
      <w:r>
        <w:rPr>
          <w:spacing w:val="-5"/>
        </w:rPr>
        <w:t>对响应无效的认定，必须经磋商小组集体做出决定并出具响应无效的事实依据，由</w:t>
      </w:r>
      <w:r>
        <w:rPr>
          <w:spacing w:val="-14"/>
        </w:rPr>
        <w:t>供应商法定代表人或者被授权代表签字确认，拒绝签字的，不影响磋商小组做出的决定。</w:t>
      </w:r>
    </w:p>
    <w:p>
      <w:pPr>
        <w:pStyle w:val="21"/>
        <w:numPr>
          <w:ilvl w:val="1"/>
          <w:numId w:val="16"/>
        </w:numPr>
        <w:tabs>
          <w:tab w:val="left" w:pos="1619"/>
        </w:tabs>
        <w:spacing w:before="1" w:after="0" w:line="240" w:lineRule="auto"/>
        <w:ind w:left="1618" w:right="0" w:hanging="661"/>
        <w:jc w:val="left"/>
        <w:rPr>
          <w:sz w:val="24"/>
        </w:rPr>
      </w:pPr>
      <w:r>
        <w:rPr>
          <w:sz w:val="24"/>
        </w:rPr>
        <w:t>废标</w:t>
      </w:r>
    </w:p>
    <w:p>
      <w:pPr>
        <w:pStyle w:val="21"/>
        <w:numPr>
          <w:ilvl w:val="2"/>
          <w:numId w:val="16"/>
        </w:numPr>
        <w:tabs>
          <w:tab w:val="left" w:pos="1859"/>
        </w:tabs>
        <w:spacing w:before="160" w:after="0" w:line="240" w:lineRule="auto"/>
        <w:ind w:left="1858" w:right="0" w:hanging="901"/>
        <w:jc w:val="left"/>
        <w:rPr>
          <w:sz w:val="24"/>
        </w:rPr>
      </w:pPr>
      <w:r>
        <w:rPr>
          <w:sz w:val="24"/>
        </w:rPr>
        <w:t>出现下列情形之一的，应予废标：</w:t>
      </w:r>
    </w:p>
    <w:p>
      <w:pPr>
        <w:pStyle w:val="21"/>
        <w:numPr>
          <w:ilvl w:val="3"/>
          <w:numId w:val="16"/>
        </w:numPr>
        <w:tabs>
          <w:tab w:val="left" w:pos="2099"/>
        </w:tabs>
        <w:spacing w:before="161" w:after="0" w:line="364" w:lineRule="auto"/>
        <w:ind w:left="478" w:right="476" w:firstLine="480"/>
        <w:jc w:val="left"/>
        <w:rPr>
          <w:sz w:val="24"/>
        </w:rPr>
      </w:pPr>
      <w:r>
        <w:rPr>
          <w:spacing w:val="-3"/>
          <w:sz w:val="24"/>
        </w:rPr>
        <w:t xml:space="preserve">在报价截止时间结束后参加报价的供应商不足 </w:t>
      </w:r>
      <w:r>
        <w:rPr>
          <w:sz w:val="24"/>
        </w:rPr>
        <w:t>3</w:t>
      </w:r>
      <w:r>
        <w:rPr>
          <w:spacing w:val="-9"/>
          <w:sz w:val="24"/>
        </w:rPr>
        <w:t xml:space="preserve"> 家，符合采购文件规定</w:t>
      </w:r>
      <w:r>
        <w:rPr>
          <w:spacing w:val="-7"/>
          <w:sz w:val="24"/>
        </w:rPr>
        <w:t xml:space="preserve">条件的供应商不足 </w:t>
      </w:r>
      <w:r>
        <w:rPr>
          <w:sz w:val="24"/>
        </w:rPr>
        <w:t>3</w:t>
      </w:r>
      <w:r>
        <w:rPr>
          <w:spacing w:val="-11"/>
          <w:sz w:val="24"/>
        </w:rPr>
        <w:t xml:space="preserve"> 家或者对采购文件作实质性响应的供应商不足 </w:t>
      </w:r>
      <w:r>
        <w:rPr>
          <w:sz w:val="24"/>
        </w:rPr>
        <w:t>3</w:t>
      </w:r>
      <w:r>
        <w:rPr>
          <w:spacing w:val="-15"/>
          <w:sz w:val="24"/>
        </w:rPr>
        <w:t xml:space="preserve"> 家的；</w:t>
      </w:r>
    </w:p>
    <w:p>
      <w:pPr>
        <w:pStyle w:val="21"/>
        <w:numPr>
          <w:ilvl w:val="3"/>
          <w:numId w:val="16"/>
        </w:numPr>
        <w:tabs>
          <w:tab w:val="left" w:pos="2099"/>
        </w:tabs>
        <w:spacing w:before="1" w:after="0" w:line="240" w:lineRule="auto"/>
        <w:ind w:left="2098" w:right="0" w:hanging="1141"/>
        <w:jc w:val="left"/>
        <w:rPr>
          <w:sz w:val="24"/>
        </w:rPr>
      </w:pPr>
      <w:r>
        <w:rPr>
          <w:sz w:val="24"/>
        </w:rPr>
        <w:t>出现影响采购公正的违法违规行为的；</w:t>
      </w:r>
    </w:p>
    <w:p>
      <w:pPr>
        <w:pStyle w:val="21"/>
        <w:numPr>
          <w:ilvl w:val="3"/>
          <w:numId w:val="16"/>
        </w:numPr>
        <w:tabs>
          <w:tab w:val="left" w:pos="2099"/>
        </w:tabs>
        <w:spacing w:before="161" w:after="0" w:line="240" w:lineRule="auto"/>
        <w:ind w:left="2098" w:right="0" w:hanging="1141"/>
        <w:jc w:val="left"/>
        <w:rPr>
          <w:sz w:val="24"/>
        </w:rPr>
      </w:pPr>
      <w:r>
        <w:rPr>
          <w:sz w:val="24"/>
        </w:rPr>
        <w:t>供应商的报价均超过采购预算的；</w:t>
      </w:r>
    </w:p>
    <w:p>
      <w:pPr>
        <w:pStyle w:val="21"/>
        <w:numPr>
          <w:ilvl w:val="3"/>
          <w:numId w:val="16"/>
        </w:numPr>
        <w:tabs>
          <w:tab w:val="left" w:pos="2099"/>
        </w:tabs>
        <w:spacing w:before="160" w:after="0" w:line="240" w:lineRule="auto"/>
        <w:ind w:left="2098" w:right="0" w:hanging="1141"/>
        <w:jc w:val="left"/>
        <w:rPr>
          <w:sz w:val="24"/>
        </w:rPr>
      </w:pPr>
      <w:r>
        <w:rPr>
          <w:sz w:val="24"/>
        </w:rPr>
        <w:t>因重大变故，采购任务取消的；</w:t>
      </w:r>
    </w:p>
    <w:p>
      <w:pPr>
        <w:pStyle w:val="21"/>
        <w:numPr>
          <w:ilvl w:val="3"/>
          <w:numId w:val="16"/>
        </w:numPr>
        <w:tabs>
          <w:tab w:val="left" w:pos="2099"/>
        </w:tabs>
        <w:spacing w:before="161" w:after="0" w:line="240" w:lineRule="auto"/>
        <w:ind w:left="2098" w:right="0" w:hanging="1141"/>
        <w:jc w:val="left"/>
        <w:rPr>
          <w:sz w:val="24"/>
        </w:rPr>
      </w:pPr>
      <w:r>
        <w:rPr>
          <w:sz w:val="24"/>
        </w:rPr>
        <w:t>法律、法规以及采购文件规定的其他废标情形。</w:t>
      </w:r>
    </w:p>
    <w:p>
      <w:pPr>
        <w:pStyle w:val="21"/>
        <w:numPr>
          <w:ilvl w:val="2"/>
          <w:numId w:val="16"/>
        </w:numPr>
        <w:tabs>
          <w:tab w:val="left" w:pos="1859"/>
        </w:tabs>
        <w:spacing w:before="160" w:after="0" w:line="240" w:lineRule="auto"/>
        <w:ind w:left="1858" w:right="0" w:hanging="901"/>
        <w:jc w:val="left"/>
        <w:rPr>
          <w:sz w:val="24"/>
        </w:rPr>
      </w:pPr>
      <w:r>
        <w:rPr>
          <w:sz w:val="24"/>
        </w:rPr>
        <w:t>废标后，采购人或者采购代理机构应当将废标理由通知所有供应商。</w:t>
      </w:r>
    </w:p>
    <w:p>
      <w:pPr>
        <w:pStyle w:val="21"/>
        <w:numPr>
          <w:ilvl w:val="1"/>
          <w:numId w:val="16"/>
        </w:numPr>
        <w:tabs>
          <w:tab w:val="left" w:pos="1619"/>
        </w:tabs>
        <w:spacing w:before="161" w:after="0" w:line="240" w:lineRule="auto"/>
        <w:ind w:left="1618" w:right="0" w:hanging="661"/>
        <w:jc w:val="left"/>
        <w:rPr>
          <w:sz w:val="24"/>
        </w:rPr>
      </w:pPr>
      <w:r>
        <w:rPr>
          <w:sz w:val="24"/>
        </w:rPr>
        <w:t>特殊情况处置程序</w:t>
      </w:r>
    </w:p>
    <w:p>
      <w:pPr>
        <w:pStyle w:val="21"/>
        <w:numPr>
          <w:ilvl w:val="2"/>
          <w:numId w:val="16"/>
        </w:numPr>
        <w:tabs>
          <w:tab w:val="left" w:pos="1859"/>
        </w:tabs>
        <w:spacing w:before="160" w:after="0" w:line="240" w:lineRule="auto"/>
        <w:ind w:left="1858" w:right="0" w:hanging="901"/>
        <w:jc w:val="both"/>
        <w:rPr>
          <w:sz w:val="24"/>
        </w:rPr>
      </w:pPr>
      <w:r>
        <w:rPr>
          <w:sz w:val="24"/>
        </w:rPr>
        <w:t>磋商小组成员的更换</w:t>
      </w:r>
    </w:p>
    <w:p>
      <w:pPr>
        <w:pStyle w:val="21"/>
        <w:numPr>
          <w:ilvl w:val="3"/>
          <w:numId w:val="16"/>
        </w:numPr>
        <w:tabs>
          <w:tab w:val="left" w:pos="2099"/>
        </w:tabs>
        <w:spacing w:before="161" w:after="0" w:line="364" w:lineRule="auto"/>
        <w:ind w:left="478" w:right="477" w:firstLine="480"/>
        <w:jc w:val="both"/>
        <w:rPr>
          <w:sz w:val="24"/>
        </w:rPr>
      </w:pPr>
      <w:r>
        <w:rPr>
          <w:spacing w:val="-1"/>
          <w:sz w:val="24"/>
        </w:rPr>
        <w:t>磋商小组应当执行连续评审的原则，按照采购文件规定的程序、内容、</w:t>
      </w:r>
      <w:r>
        <w:rPr>
          <w:spacing w:val="-7"/>
          <w:sz w:val="24"/>
        </w:rPr>
        <w:t>方法、标准完成全部评审工作。出现评审专家临时缺席、回避等情形导致评审现场专家</w:t>
      </w:r>
      <w:r>
        <w:rPr>
          <w:spacing w:val="-5"/>
          <w:sz w:val="24"/>
        </w:rPr>
        <w:t>数量不符合法定标准的，采购人或者采购代理机构要按照有关程序及时补抽专家，继续</w:t>
      </w:r>
      <w:r>
        <w:rPr>
          <w:spacing w:val="-7"/>
          <w:sz w:val="24"/>
        </w:rPr>
        <w:t>组织评审。如无法及时补齐专家，则要立即停止评审工作，封存采购文件和所有响应文</w:t>
      </w:r>
      <w:r>
        <w:rPr>
          <w:sz w:val="24"/>
        </w:rPr>
        <w:t>件，择期重新组建磋商小组进行评审。</w:t>
      </w:r>
    </w:p>
    <w:p>
      <w:pPr>
        <w:pStyle w:val="21"/>
        <w:numPr>
          <w:ilvl w:val="3"/>
          <w:numId w:val="16"/>
        </w:numPr>
        <w:tabs>
          <w:tab w:val="left" w:pos="2099"/>
        </w:tabs>
        <w:spacing w:before="3" w:after="0" w:line="364" w:lineRule="auto"/>
        <w:ind w:left="478" w:right="477" w:firstLine="480"/>
        <w:jc w:val="both"/>
        <w:rPr>
          <w:sz w:val="24"/>
        </w:rPr>
      </w:pPr>
      <w:r>
        <w:rPr>
          <w:spacing w:val="-1"/>
          <w:sz w:val="24"/>
        </w:rPr>
        <w:t>退出磋商小组的成员，其已完成的评审行为无效。由采购人向监督人员</w:t>
      </w:r>
      <w:r>
        <w:rPr>
          <w:spacing w:val="-4"/>
          <w:sz w:val="24"/>
        </w:rPr>
        <w:t>提出更换磋商小组成员意见并获准后，根据本采购文件规定的磋商小组成员产生方式另</w:t>
      </w:r>
    </w:p>
    <w:p>
      <w:pPr>
        <w:spacing w:after="0" w:line="364" w:lineRule="auto"/>
        <w:jc w:val="both"/>
        <w:rPr>
          <w:sz w:val="24"/>
        </w:rPr>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ind w:left="478"/>
      </w:pPr>
      <w:r>
        <w:t>行确定替代者进行评审。</w:t>
      </w:r>
    </w:p>
    <w:p>
      <w:pPr>
        <w:pStyle w:val="21"/>
        <w:numPr>
          <w:ilvl w:val="2"/>
          <w:numId w:val="16"/>
        </w:numPr>
        <w:tabs>
          <w:tab w:val="left" w:pos="1859"/>
        </w:tabs>
        <w:spacing w:before="161" w:after="0" w:line="240" w:lineRule="auto"/>
        <w:ind w:left="1858" w:right="0" w:hanging="901"/>
        <w:jc w:val="left"/>
        <w:rPr>
          <w:sz w:val="24"/>
        </w:rPr>
      </w:pPr>
      <w:r>
        <w:rPr>
          <w:sz w:val="24"/>
        </w:rPr>
        <w:t>记名投票</w:t>
      </w:r>
    </w:p>
    <w:p>
      <w:pPr>
        <w:pStyle w:val="8"/>
        <w:spacing w:before="160" w:line="364" w:lineRule="auto"/>
        <w:ind w:left="478" w:right="420" w:firstLine="480"/>
      </w:pPr>
      <w:r>
        <w:t>在评审过程中，磋商小组发生分歧或者评审结论有异议需表决的，按照少数服从多数的原则，由磋商小组全体成员以记名投票方式表决。</w:t>
      </w:r>
    </w:p>
    <w:p>
      <w:pPr>
        <w:pStyle w:val="21"/>
        <w:numPr>
          <w:ilvl w:val="2"/>
          <w:numId w:val="16"/>
        </w:numPr>
        <w:tabs>
          <w:tab w:val="left" w:pos="1859"/>
        </w:tabs>
        <w:spacing w:before="2" w:after="0" w:line="240" w:lineRule="auto"/>
        <w:ind w:left="1858" w:right="0" w:hanging="901"/>
        <w:jc w:val="left"/>
        <w:rPr>
          <w:sz w:val="24"/>
        </w:rPr>
      </w:pPr>
      <w:r>
        <w:rPr>
          <w:sz w:val="24"/>
        </w:rPr>
        <w:t>延期开标</w:t>
      </w:r>
    </w:p>
    <w:p>
      <w:pPr>
        <w:pStyle w:val="8"/>
        <w:spacing w:before="160" w:line="364" w:lineRule="auto"/>
        <w:ind w:left="478" w:right="414" w:firstLine="480"/>
      </w:pPr>
      <w:r>
        <w:t>因特殊情况需要推迟开标时间的，采购人或者采购代理机构必须提前报监督部门审批，经批准后按规定提前告知所有参加报价的供应商，否则必须按时开标。</w:t>
      </w:r>
    </w:p>
    <w:p>
      <w:pPr>
        <w:pStyle w:val="21"/>
        <w:numPr>
          <w:ilvl w:val="1"/>
          <w:numId w:val="16"/>
        </w:numPr>
        <w:tabs>
          <w:tab w:val="left" w:pos="1619"/>
        </w:tabs>
        <w:spacing w:before="1" w:after="0" w:line="240" w:lineRule="auto"/>
        <w:ind w:left="1618" w:right="0" w:hanging="661"/>
        <w:jc w:val="left"/>
        <w:rPr>
          <w:sz w:val="24"/>
        </w:rPr>
      </w:pPr>
      <w:r>
        <w:rPr>
          <w:sz w:val="24"/>
        </w:rPr>
        <w:t>违法违规情形</w:t>
      </w:r>
    </w:p>
    <w:p>
      <w:pPr>
        <w:pStyle w:val="21"/>
        <w:numPr>
          <w:ilvl w:val="2"/>
          <w:numId w:val="16"/>
        </w:numPr>
        <w:tabs>
          <w:tab w:val="left" w:pos="1859"/>
        </w:tabs>
        <w:spacing w:before="161" w:after="0" w:line="240" w:lineRule="auto"/>
        <w:ind w:left="1858" w:right="0" w:hanging="901"/>
        <w:jc w:val="left"/>
        <w:rPr>
          <w:sz w:val="24"/>
        </w:rPr>
      </w:pPr>
      <w:r>
        <w:rPr>
          <w:sz w:val="24"/>
        </w:rPr>
        <w:t>有下列情形之一的，属于供应商相互串通报价：</w:t>
      </w:r>
    </w:p>
    <w:p>
      <w:pPr>
        <w:pStyle w:val="21"/>
        <w:numPr>
          <w:ilvl w:val="3"/>
          <w:numId w:val="16"/>
        </w:numPr>
        <w:tabs>
          <w:tab w:val="left" w:pos="2099"/>
        </w:tabs>
        <w:spacing w:before="160" w:after="0" w:line="240" w:lineRule="auto"/>
        <w:ind w:left="2098" w:right="0" w:hanging="1141"/>
        <w:jc w:val="left"/>
        <w:rPr>
          <w:sz w:val="24"/>
        </w:rPr>
      </w:pPr>
      <w:r>
        <w:rPr>
          <w:sz w:val="24"/>
        </w:rPr>
        <w:t>供应商之间协商响应报价等响应文件的实质性内容；</w:t>
      </w:r>
    </w:p>
    <w:p>
      <w:pPr>
        <w:pStyle w:val="21"/>
        <w:numPr>
          <w:ilvl w:val="3"/>
          <w:numId w:val="16"/>
        </w:numPr>
        <w:tabs>
          <w:tab w:val="left" w:pos="2099"/>
        </w:tabs>
        <w:spacing w:before="161" w:after="0" w:line="240" w:lineRule="auto"/>
        <w:ind w:left="2098" w:right="0" w:hanging="1141"/>
        <w:jc w:val="left"/>
        <w:rPr>
          <w:sz w:val="24"/>
        </w:rPr>
      </w:pPr>
      <w:r>
        <w:rPr>
          <w:sz w:val="24"/>
        </w:rPr>
        <w:t>供应商之间约定成交供应商；</w:t>
      </w:r>
    </w:p>
    <w:p>
      <w:pPr>
        <w:pStyle w:val="21"/>
        <w:numPr>
          <w:ilvl w:val="3"/>
          <w:numId w:val="16"/>
        </w:numPr>
        <w:tabs>
          <w:tab w:val="left" w:pos="2099"/>
        </w:tabs>
        <w:spacing w:before="160" w:after="0" w:line="240" w:lineRule="auto"/>
        <w:ind w:left="2098" w:right="0" w:hanging="1141"/>
        <w:jc w:val="left"/>
        <w:rPr>
          <w:sz w:val="24"/>
        </w:rPr>
      </w:pPr>
      <w:r>
        <w:rPr>
          <w:sz w:val="24"/>
        </w:rPr>
        <w:t>供应商之间约定部分供应商放弃报价或者成交；</w:t>
      </w:r>
    </w:p>
    <w:p>
      <w:pPr>
        <w:pStyle w:val="21"/>
        <w:numPr>
          <w:ilvl w:val="3"/>
          <w:numId w:val="16"/>
        </w:numPr>
        <w:tabs>
          <w:tab w:val="left" w:pos="2099"/>
        </w:tabs>
        <w:spacing w:before="161" w:after="0" w:line="364" w:lineRule="auto"/>
        <w:ind w:left="478" w:right="476" w:firstLine="480"/>
        <w:jc w:val="left"/>
        <w:rPr>
          <w:sz w:val="24"/>
        </w:rPr>
      </w:pPr>
      <w:r>
        <w:rPr>
          <w:spacing w:val="-1"/>
          <w:sz w:val="24"/>
        </w:rPr>
        <w:t>属于同一集团、协会、商会等组织成员的供应商按照该组织要求协同报</w:t>
      </w:r>
      <w:r>
        <w:rPr>
          <w:sz w:val="24"/>
        </w:rPr>
        <w:t>价；</w:t>
      </w:r>
    </w:p>
    <w:p>
      <w:pPr>
        <w:pStyle w:val="21"/>
        <w:numPr>
          <w:ilvl w:val="3"/>
          <w:numId w:val="16"/>
        </w:numPr>
        <w:tabs>
          <w:tab w:val="left" w:pos="2099"/>
        </w:tabs>
        <w:spacing w:before="1" w:after="0" w:line="240" w:lineRule="auto"/>
        <w:ind w:left="2098" w:right="0" w:hanging="1141"/>
        <w:jc w:val="left"/>
        <w:rPr>
          <w:sz w:val="24"/>
        </w:rPr>
      </w:pPr>
      <w:r>
        <w:rPr>
          <w:sz w:val="24"/>
        </w:rPr>
        <w:t>供应商之间为谋取中标或者排斥特定供应商而采取的其他联合行动。</w:t>
      </w:r>
    </w:p>
    <w:p>
      <w:pPr>
        <w:pStyle w:val="21"/>
        <w:numPr>
          <w:ilvl w:val="2"/>
          <w:numId w:val="16"/>
        </w:numPr>
        <w:tabs>
          <w:tab w:val="left" w:pos="1859"/>
        </w:tabs>
        <w:spacing w:before="160" w:after="0" w:line="364" w:lineRule="auto"/>
        <w:ind w:left="478" w:right="476" w:firstLine="480"/>
        <w:jc w:val="left"/>
        <w:rPr>
          <w:sz w:val="24"/>
        </w:rPr>
      </w:pPr>
      <w:r>
        <w:rPr>
          <w:spacing w:val="-2"/>
          <w:sz w:val="24"/>
        </w:rPr>
        <w:t>有下列情形之一的，视为供应商相互串通报价，磋商小组应当出具违法违</w:t>
      </w:r>
      <w:r>
        <w:rPr>
          <w:sz w:val="24"/>
        </w:rPr>
        <w:t>规认定意见并作响应无效处理：</w:t>
      </w:r>
    </w:p>
    <w:p>
      <w:pPr>
        <w:pStyle w:val="21"/>
        <w:numPr>
          <w:ilvl w:val="3"/>
          <w:numId w:val="16"/>
        </w:numPr>
        <w:tabs>
          <w:tab w:val="left" w:pos="2099"/>
        </w:tabs>
        <w:spacing w:before="2" w:after="0" w:line="240" w:lineRule="auto"/>
        <w:ind w:left="2098" w:right="0" w:hanging="1141"/>
        <w:jc w:val="left"/>
        <w:rPr>
          <w:sz w:val="24"/>
        </w:rPr>
      </w:pPr>
      <w:r>
        <w:rPr>
          <w:sz w:val="24"/>
        </w:rPr>
        <w:t>不同供应商的响应文件由同一单位或者个人编制；</w:t>
      </w:r>
    </w:p>
    <w:p>
      <w:pPr>
        <w:pStyle w:val="21"/>
        <w:numPr>
          <w:ilvl w:val="3"/>
          <w:numId w:val="16"/>
        </w:numPr>
        <w:tabs>
          <w:tab w:val="left" w:pos="2099"/>
        </w:tabs>
        <w:spacing w:before="160" w:after="0" w:line="240" w:lineRule="auto"/>
        <w:ind w:left="2098" w:right="0" w:hanging="1141"/>
        <w:jc w:val="left"/>
        <w:rPr>
          <w:sz w:val="24"/>
        </w:rPr>
      </w:pPr>
      <w:r>
        <w:rPr>
          <w:sz w:val="24"/>
        </w:rPr>
        <w:t>不同供应商委托同一单位或者个人办理报价事宜；</w:t>
      </w:r>
    </w:p>
    <w:p>
      <w:pPr>
        <w:pStyle w:val="21"/>
        <w:numPr>
          <w:ilvl w:val="3"/>
          <w:numId w:val="16"/>
        </w:numPr>
        <w:tabs>
          <w:tab w:val="left" w:pos="2099"/>
        </w:tabs>
        <w:spacing w:before="161" w:after="0" w:line="240" w:lineRule="auto"/>
        <w:ind w:left="2098" w:right="0" w:hanging="1141"/>
        <w:jc w:val="left"/>
        <w:rPr>
          <w:sz w:val="24"/>
        </w:rPr>
      </w:pPr>
      <w:r>
        <w:rPr>
          <w:sz w:val="24"/>
        </w:rPr>
        <w:t>不同供应商的响应文件载明的项目管理成员为同一人；</w:t>
      </w:r>
    </w:p>
    <w:p>
      <w:pPr>
        <w:pStyle w:val="21"/>
        <w:numPr>
          <w:ilvl w:val="3"/>
          <w:numId w:val="16"/>
        </w:numPr>
        <w:tabs>
          <w:tab w:val="left" w:pos="2099"/>
        </w:tabs>
        <w:spacing w:before="160" w:after="0" w:line="240" w:lineRule="auto"/>
        <w:ind w:left="2098" w:right="0" w:hanging="1141"/>
        <w:jc w:val="left"/>
        <w:rPr>
          <w:sz w:val="24"/>
        </w:rPr>
      </w:pPr>
      <w:r>
        <w:rPr>
          <w:sz w:val="24"/>
        </w:rPr>
        <w:t>不同供应商的响应文件异常一致或者响应报价呈规律性差异；</w:t>
      </w:r>
    </w:p>
    <w:p>
      <w:pPr>
        <w:pStyle w:val="21"/>
        <w:numPr>
          <w:ilvl w:val="3"/>
          <w:numId w:val="16"/>
        </w:numPr>
        <w:tabs>
          <w:tab w:val="left" w:pos="2099"/>
        </w:tabs>
        <w:spacing w:before="161" w:after="0" w:line="240" w:lineRule="auto"/>
        <w:ind w:left="2098" w:right="0" w:hanging="1141"/>
        <w:jc w:val="left"/>
        <w:rPr>
          <w:sz w:val="24"/>
        </w:rPr>
      </w:pPr>
      <w:r>
        <w:rPr>
          <w:sz w:val="24"/>
        </w:rPr>
        <w:t>不同供应商的响应文件相互混装；</w:t>
      </w:r>
    </w:p>
    <w:p>
      <w:pPr>
        <w:pStyle w:val="21"/>
        <w:numPr>
          <w:ilvl w:val="3"/>
          <w:numId w:val="16"/>
        </w:numPr>
        <w:tabs>
          <w:tab w:val="left" w:pos="2099"/>
        </w:tabs>
        <w:spacing w:before="160" w:after="0" w:line="240" w:lineRule="auto"/>
        <w:ind w:left="2098" w:right="0" w:hanging="1141"/>
        <w:jc w:val="left"/>
        <w:rPr>
          <w:sz w:val="24"/>
        </w:rPr>
      </w:pPr>
      <w:r>
        <w:rPr>
          <w:sz w:val="24"/>
        </w:rPr>
        <w:t>不同供应商的保证金从同一单位或者个人的账户转出。</w:t>
      </w:r>
    </w:p>
    <w:p>
      <w:pPr>
        <w:pStyle w:val="21"/>
        <w:numPr>
          <w:ilvl w:val="2"/>
          <w:numId w:val="16"/>
        </w:numPr>
        <w:tabs>
          <w:tab w:val="left" w:pos="1859"/>
        </w:tabs>
        <w:spacing w:before="161" w:after="0" w:line="240" w:lineRule="auto"/>
        <w:ind w:left="1858" w:right="0" w:hanging="901"/>
        <w:jc w:val="left"/>
        <w:rPr>
          <w:sz w:val="24"/>
        </w:rPr>
      </w:pPr>
      <w:r>
        <w:rPr>
          <w:sz w:val="24"/>
        </w:rPr>
        <w:t>有下列情形之一的，属于采购人与供应商串通报价：</w:t>
      </w:r>
    </w:p>
    <w:p>
      <w:pPr>
        <w:pStyle w:val="21"/>
        <w:numPr>
          <w:ilvl w:val="3"/>
          <w:numId w:val="16"/>
        </w:numPr>
        <w:tabs>
          <w:tab w:val="left" w:pos="2099"/>
        </w:tabs>
        <w:spacing w:before="160" w:after="0" w:line="240" w:lineRule="auto"/>
        <w:ind w:left="2098" w:right="0" w:hanging="1141"/>
        <w:jc w:val="left"/>
        <w:rPr>
          <w:sz w:val="24"/>
        </w:rPr>
      </w:pPr>
      <w:r>
        <w:rPr>
          <w:spacing w:val="-1"/>
          <w:sz w:val="24"/>
        </w:rPr>
        <w:t>采购人在开标前开启响应文件并将有关信息泄露给其他供应商；</w:t>
      </w:r>
    </w:p>
    <w:p>
      <w:pPr>
        <w:pStyle w:val="21"/>
        <w:numPr>
          <w:ilvl w:val="3"/>
          <w:numId w:val="16"/>
        </w:numPr>
        <w:tabs>
          <w:tab w:val="left" w:pos="2099"/>
        </w:tabs>
        <w:spacing w:before="161" w:after="0" w:line="240" w:lineRule="auto"/>
        <w:ind w:left="2098" w:right="0" w:hanging="1141"/>
        <w:jc w:val="left"/>
        <w:rPr>
          <w:sz w:val="24"/>
        </w:rPr>
      </w:pPr>
      <w:r>
        <w:rPr>
          <w:spacing w:val="-1"/>
          <w:sz w:val="24"/>
        </w:rPr>
        <w:t>采购人直接或者间接向供应商泄露标底、磋商小组成员等信息；</w:t>
      </w:r>
    </w:p>
    <w:p>
      <w:pPr>
        <w:pStyle w:val="21"/>
        <w:numPr>
          <w:ilvl w:val="3"/>
          <w:numId w:val="16"/>
        </w:numPr>
        <w:tabs>
          <w:tab w:val="left" w:pos="2099"/>
        </w:tabs>
        <w:spacing w:before="160" w:after="0" w:line="240" w:lineRule="auto"/>
        <w:ind w:left="2098" w:right="0" w:hanging="1141"/>
        <w:jc w:val="left"/>
        <w:rPr>
          <w:sz w:val="24"/>
        </w:rPr>
      </w:pPr>
      <w:r>
        <w:rPr>
          <w:sz w:val="24"/>
        </w:rPr>
        <w:t>采购人明示或者暗示供应商压低或者抬高响应报价；</w:t>
      </w:r>
    </w:p>
    <w:p>
      <w:pPr>
        <w:pStyle w:val="21"/>
        <w:numPr>
          <w:ilvl w:val="3"/>
          <w:numId w:val="16"/>
        </w:numPr>
        <w:tabs>
          <w:tab w:val="left" w:pos="2099"/>
        </w:tabs>
        <w:spacing w:before="161" w:after="0" w:line="240" w:lineRule="auto"/>
        <w:ind w:left="2098" w:right="0" w:hanging="1141"/>
        <w:jc w:val="left"/>
        <w:rPr>
          <w:sz w:val="24"/>
        </w:rPr>
      </w:pPr>
      <w:r>
        <w:rPr>
          <w:sz w:val="24"/>
        </w:rPr>
        <w:t>采购人授意供应商撤换、修改响应文件；</w:t>
      </w:r>
    </w:p>
    <w:p>
      <w:pPr>
        <w:pStyle w:val="21"/>
        <w:numPr>
          <w:ilvl w:val="3"/>
          <w:numId w:val="16"/>
        </w:numPr>
        <w:tabs>
          <w:tab w:val="left" w:pos="2099"/>
        </w:tabs>
        <w:spacing w:before="160" w:after="0" w:line="240" w:lineRule="auto"/>
        <w:ind w:left="2098" w:right="0" w:hanging="1141"/>
        <w:jc w:val="left"/>
        <w:rPr>
          <w:sz w:val="24"/>
        </w:rPr>
      </w:pPr>
      <w:r>
        <w:rPr>
          <w:sz w:val="24"/>
        </w:rPr>
        <w:t>采购人明示或者暗示供应商为特定供应商中标提供方便；</w:t>
      </w:r>
    </w:p>
    <w:p>
      <w:pPr>
        <w:pStyle w:val="21"/>
        <w:numPr>
          <w:ilvl w:val="3"/>
          <w:numId w:val="16"/>
        </w:numPr>
        <w:tabs>
          <w:tab w:val="left" w:pos="2099"/>
        </w:tabs>
        <w:spacing w:before="161" w:after="0" w:line="240" w:lineRule="auto"/>
        <w:ind w:left="2098" w:right="0" w:hanging="1141"/>
        <w:jc w:val="left"/>
        <w:rPr>
          <w:sz w:val="24"/>
        </w:rPr>
      </w:pPr>
      <w:r>
        <w:rPr>
          <w:sz w:val="24"/>
        </w:rPr>
        <w:t>采购人与供应商为谋求特定供应商中标而采取的其他串通行为。</w:t>
      </w:r>
    </w:p>
    <w:p>
      <w:pPr>
        <w:spacing w:after="0" w:line="240" w:lineRule="auto"/>
        <w:jc w:val="left"/>
        <w:rPr>
          <w:sz w:val="24"/>
        </w:rPr>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line="364" w:lineRule="auto"/>
        <w:ind w:left="478" w:right="477" w:firstLine="480"/>
      </w:pPr>
      <w:r>
        <w:rPr>
          <w:spacing w:val="-7"/>
        </w:rPr>
        <w:t>在开标、评审过程中发现以上违法违规情形的，首先由磋商小组作出认定，对认定</w:t>
      </w:r>
      <w:r>
        <w:t>确有以上违法违规情形的供应商，按无效报价处理，再进入正常评审程序。</w:t>
      </w:r>
    </w:p>
    <w:p>
      <w:pPr>
        <w:pStyle w:val="21"/>
        <w:numPr>
          <w:ilvl w:val="1"/>
          <w:numId w:val="16"/>
        </w:numPr>
        <w:tabs>
          <w:tab w:val="left" w:pos="1619"/>
        </w:tabs>
        <w:spacing w:before="2" w:after="0" w:line="240" w:lineRule="auto"/>
        <w:ind w:left="1618" w:right="0" w:hanging="661"/>
        <w:jc w:val="left"/>
        <w:rPr>
          <w:sz w:val="24"/>
        </w:rPr>
      </w:pPr>
      <w:r>
        <w:rPr>
          <w:sz w:val="24"/>
        </w:rPr>
        <w:t>违规处理</w:t>
      </w:r>
    </w:p>
    <w:p>
      <w:pPr>
        <w:pStyle w:val="8"/>
        <w:spacing w:before="160" w:line="364" w:lineRule="auto"/>
        <w:ind w:left="478" w:right="414" w:firstLine="480"/>
      </w:pPr>
      <w:r>
        <w:t>供应商有下列情形之一的，列入不良行为记录名单，在一至三年内禁止参加当地政府采购活动：</w:t>
      </w:r>
    </w:p>
    <w:p>
      <w:pPr>
        <w:pStyle w:val="21"/>
        <w:numPr>
          <w:ilvl w:val="2"/>
          <w:numId w:val="16"/>
        </w:numPr>
        <w:tabs>
          <w:tab w:val="left" w:pos="1859"/>
        </w:tabs>
        <w:spacing w:before="1" w:after="0" w:line="240" w:lineRule="auto"/>
        <w:ind w:left="1858" w:right="0" w:hanging="901"/>
        <w:jc w:val="left"/>
        <w:rPr>
          <w:sz w:val="24"/>
        </w:rPr>
      </w:pPr>
      <w:r>
        <w:rPr>
          <w:sz w:val="24"/>
        </w:rPr>
        <w:t>提供虚假报价材料谋取中标、成交的；</w:t>
      </w:r>
    </w:p>
    <w:p>
      <w:pPr>
        <w:pStyle w:val="21"/>
        <w:numPr>
          <w:ilvl w:val="2"/>
          <w:numId w:val="16"/>
        </w:numPr>
        <w:tabs>
          <w:tab w:val="left" w:pos="1859"/>
        </w:tabs>
        <w:spacing w:before="161" w:after="0" w:line="240" w:lineRule="auto"/>
        <w:ind w:left="1858" w:right="0" w:hanging="901"/>
        <w:jc w:val="left"/>
        <w:rPr>
          <w:sz w:val="24"/>
        </w:rPr>
      </w:pPr>
      <w:r>
        <w:rPr>
          <w:sz w:val="24"/>
        </w:rPr>
        <w:t>采取不正当手段诋毁、排挤其他供应商的；</w:t>
      </w:r>
    </w:p>
    <w:p>
      <w:pPr>
        <w:pStyle w:val="21"/>
        <w:numPr>
          <w:ilvl w:val="2"/>
          <w:numId w:val="16"/>
        </w:numPr>
        <w:tabs>
          <w:tab w:val="left" w:pos="1859"/>
        </w:tabs>
        <w:spacing w:before="83" w:after="0" w:line="240" w:lineRule="auto"/>
        <w:ind w:left="1858" w:right="0" w:hanging="901"/>
        <w:jc w:val="left"/>
        <w:rPr>
          <w:sz w:val="24"/>
        </w:rPr>
      </w:pPr>
      <w:r>
        <w:rPr>
          <w:sz w:val="24"/>
        </w:rPr>
        <w:t>与采购人、其他供应商或者采购代理机构恶意串通的；</w:t>
      </w:r>
    </w:p>
    <w:p>
      <w:pPr>
        <w:pStyle w:val="5"/>
        <w:numPr>
          <w:ilvl w:val="0"/>
          <w:numId w:val="12"/>
        </w:numPr>
        <w:tabs>
          <w:tab w:val="left" w:pos="1460"/>
        </w:tabs>
        <w:spacing w:before="133" w:after="0" w:line="240" w:lineRule="auto"/>
        <w:ind w:left="1459" w:right="0" w:hanging="423"/>
        <w:jc w:val="left"/>
        <w:rPr>
          <w:rFonts w:hint="eastAsia" w:ascii="楷体" w:eastAsia="楷体"/>
        </w:rPr>
      </w:pPr>
      <w:bookmarkStart w:id="66" w:name="_bookmark24"/>
      <w:bookmarkEnd w:id="66"/>
      <w:bookmarkStart w:id="67" w:name="19.质疑"/>
      <w:bookmarkEnd w:id="67"/>
      <w:bookmarkStart w:id="68" w:name="_bookmark24"/>
      <w:bookmarkEnd w:id="68"/>
      <w:r>
        <w:rPr>
          <w:rFonts w:hint="eastAsia" w:ascii="楷体" w:eastAsia="楷体"/>
        </w:rPr>
        <w:t>质疑</w:t>
      </w:r>
    </w:p>
    <w:p>
      <w:pPr>
        <w:pStyle w:val="21"/>
        <w:numPr>
          <w:ilvl w:val="1"/>
          <w:numId w:val="12"/>
        </w:numPr>
        <w:tabs>
          <w:tab w:val="left" w:pos="1499"/>
        </w:tabs>
        <w:spacing w:before="214" w:after="0" w:line="364" w:lineRule="auto"/>
        <w:ind w:left="478" w:right="477" w:firstLine="480"/>
        <w:jc w:val="both"/>
        <w:rPr>
          <w:sz w:val="24"/>
        </w:rPr>
      </w:pPr>
      <w:r>
        <w:rPr>
          <w:spacing w:val="-7"/>
          <w:sz w:val="24"/>
        </w:rPr>
        <w:t>参加本次政府采购活动的供应商认为采购文件、采购过程和成交结果使自己的</w:t>
      </w:r>
      <w:r>
        <w:rPr>
          <w:spacing w:val="-6"/>
          <w:sz w:val="24"/>
        </w:rPr>
        <w:t xml:space="preserve">权益受到损害的，可以在知道或者应知道其权益受到损害之日起 </w:t>
      </w:r>
      <w:r>
        <w:rPr>
          <w:sz w:val="24"/>
        </w:rPr>
        <w:t>7</w:t>
      </w:r>
      <w:r>
        <w:rPr>
          <w:spacing w:val="-11"/>
          <w:sz w:val="24"/>
        </w:rPr>
        <w:t xml:space="preserve"> 个工作日内，以书面</w:t>
      </w:r>
      <w:r>
        <w:rPr>
          <w:sz w:val="24"/>
        </w:rPr>
        <w:t>形式向采购人或者采购代理机构提出质疑。</w:t>
      </w:r>
    </w:p>
    <w:p>
      <w:pPr>
        <w:pStyle w:val="21"/>
        <w:numPr>
          <w:ilvl w:val="1"/>
          <w:numId w:val="12"/>
        </w:numPr>
        <w:tabs>
          <w:tab w:val="left" w:pos="1499"/>
        </w:tabs>
        <w:spacing w:before="2" w:after="0" w:line="240" w:lineRule="auto"/>
        <w:ind w:left="1498" w:right="0" w:hanging="541"/>
        <w:jc w:val="both"/>
        <w:rPr>
          <w:sz w:val="24"/>
        </w:rPr>
      </w:pPr>
      <w:r>
        <w:rPr>
          <w:sz w:val="24"/>
        </w:rPr>
        <w:t>质疑书内容应包括以下主要内容：</w:t>
      </w:r>
    </w:p>
    <w:p>
      <w:pPr>
        <w:pStyle w:val="21"/>
        <w:numPr>
          <w:ilvl w:val="2"/>
          <w:numId w:val="12"/>
        </w:numPr>
        <w:tabs>
          <w:tab w:val="left" w:pos="1739"/>
        </w:tabs>
        <w:spacing w:before="160" w:after="0" w:line="240" w:lineRule="auto"/>
        <w:ind w:left="1738" w:right="0" w:hanging="781"/>
        <w:jc w:val="both"/>
        <w:rPr>
          <w:sz w:val="24"/>
        </w:rPr>
      </w:pPr>
      <w:r>
        <w:rPr>
          <w:sz w:val="24"/>
        </w:rPr>
        <w:t>质疑人的名称、地址、电话等；</w:t>
      </w:r>
    </w:p>
    <w:p>
      <w:pPr>
        <w:pStyle w:val="21"/>
        <w:numPr>
          <w:ilvl w:val="2"/>
          <w:numId w:val="12"/>
        </w:numPr>
        <w:tabs>
          <w:tab w:val="left" w:pos="1739"/>
        </w:tabs>
        <w:spacing w:before="161" w:after="0" w:line="240" w:lineRule="auto"/>
        <w:ind w:left="1738" w:right="0" w:hanging="781"/>
        <w:jc w:val="left"/>
        <w:rPr>
          <w:sz w:val="24"/>
        </w:rPr>
      </w:pPr>
      <w:r>
        <w:rPr>
          <w:sz w:val="24"/>
        </w:rPr>
        <w:t>具体的质疑事项、证据以及法律、法规依据；</w:t>
      </w:r>
    </w:p>
    <w:p>
      <w:pPr>
        <w:pStyle w:val="21"/>
        <w:numPr>
          <w:ilvl w:val="2"/>
          <w:numId w:val="12"/>
        </w:numPr>
        <w:tabs>
          <w:tab w:val="left" w:pos="1739"/>
        </w:tabs>
        <w:spacing w:before="160" w:after="0" w:line="240" w:lineRule="auto"/>
        <w:ind w:left="1738" w:right="0" w:hanging="781"/>
        <w:jc w:val="both"/>
        <w:rPr>
          <w:sz w:val="24"/>
        </w:rPr>
      </w:pPr>
      <w:r>
        <w:rPr>
          <w:sz w:val="24"/>
        </w:rPr>
        <w:t>提出质疑的日期。</w:t>
      </w:r>
    </w:p>
    <w:p>
      <w:pPr>
        <w:pStyle w:val="21"/>
        <w:numPr>
          <w:ilvl w:val="1"/>
          <w:numId w:val="12"/>
        </w:numPr>
        <w:tabs>
          <w:tab w:val="left" w:pos="1499"/>
        </w:tabs>
        <w:spacing w:before="161" w:after="0" w:line="364" w:lineRule="auto"/>
        <w:ind w:left="478" w:right="477" w:firstLine="480"/>
        <w:jc w:val="both"/>
        <w:rPr>
          <w:sz w:val="24"/>
        </w:rPr>
      </w:pPr>
      <w:r>
        <w:rPr>
          <w:spacing w:val="-12"/>
          <w:sz w:val="24"/>
        </w:rPr>
        <w:t>质疑书应当署名，一式叁份。由法定代表人或者主要负责人签字并加盖公章后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21"/>
        <w:numPr>
          <w:ilvl w:val="1"/>
          <w:numId w:val="12"/>
        </w:numPr>
        <w:tabs>
          <w:tab w:val="left" w:pos="1499"/>
        </w:tabs>
        <w:spacing w:before="2" w:after="0" w:line="364" w:lineRule="auto"/>
        <w:ind w:left="478" w:right="477" w:firstLine="480"/>
        <w:jc w:val="both"/>
        <w:rPr>
          <w:sz w:val="24"/>
        </w:rPr>
      </w:pPr>
      <w:r>
        <w:rPr>
          <w:spacing w:val="-11"/>
          <w:sz w:val="24"/>
        </w:rPr>
        <w:t>除书面形式外，其他任何方式的质疑，采购人或者采购代理机构均不予接受和</w:t>
      </w:r>
      <w:r>
        <w:rPr>
          <w:sz w:val="24"/>
        </w:rPr>
        <w:t>回复。</w:t>
      </w:r>
    </w:p>
    <w:p>
      <w:pPr>
        <w:pStyle w:val="21"/>
        <w:numPr>
          <w:ilvl w:val="1"/>
          <w:numId w:val="12"/>
        </w:numPr>
        <w:tabs>
          <w:tab w:val="left" w:pos="1499"/>
        </w:tabs>
        <w:spacing w:before="1" w:after="0" w:line="364" w:lineRule="auto"/>
        <w:ind w:left="478" w:right="477" w:firstLine="480"/>
        <w:jc w:val="both"/>
        <w:rPr>
          <w:sz w:val="24"/>
        </w:rPr>
      </w:pPr>
      <w:r>
        <w:rPr>
          <w:spacing w:val="-4"/>
          <w:sz w:val="24"/>
        </w:rPr>
        <w:t xml:space="preserve">采购人或者采购代理机构在收到质疑书后 </w:t>
      </w:r>
      <w:r>
        <w:rPr>
          <w:sz w:val="24"/>
        </w:rPr>
        <w:t>7</w:t>
      </w:r>
      <w:r>
        <w:rPr>
          <w:spacing w:val="-15"/>
          <w:sz w:val="24"/>
        </w:rPr>
        <w:t xml:space="preserve"> 个工作日内做出书面答复，并以书</w:t>
      </w:r>
      <w:r>
        <w:rPr>
          <w:sz w:val="24"/>
        </w:rPr>
        <w:t>面形式通知质疑人和其他有关供应商，但答复不得涉及商业秘密。</w:t>
      </w:r>
    </w:p>
    <w:p>
      <w:pPr>
        <w:pStyle w:val="21"/>
        <w:numPr>
          <w:ilvl w:val="1"/>
          <w:numId w:val="12"/>
        </w:numPr>
        <w:tabs>
          <w:tab w:val="left" w:pos="1499"/>
        </w:tabs>
        <w:spacing w:before="1" w:after="0" w:line="364" w:lineRule="auto"/>
        <w:ind w:left="478" w:right="477" w:firstLine="480"/>
        <w:jc w:val="both"/>
        <w:rPr>
          <w:sz w:val="24"/>
        </w:rPr>
      </w:pPr>
      <w:r>
        <w:rPr>
          <w:spacing w:val="-10"/>
          <w:sz w:val="24"/>
        </w:rPr>
        <w:t>质疑人对采购人、采购代理机构的答复不满意或者采购人、采购代理机构未在</w:t>
      </w:r>
      <w:r>
        <w:rPr>
          <w:spacing w:val="-3"/>
          <w:sz w:val="24"/>
        </w:rPr>
        <w:t xml:space="preserve">规定的时间内做出答复的，可以在答复期满后 </w:t>
      </w:r>
      <w:r>
        <w:rPr>
          <w:sz w:val="24"/>
        </w:rPr>
        <w:t>15</w:t>
      </w:r>
      <w:r>
        <w:rPr>
          <w:spacing w:val="-8"/>
          <w:sz w:val="24"/>
        </w:rPr>
        <w:t xml:space="preserve"> 个工作日内向同级监管部门投诉。</w:t>
      </w:r>
    </w:p>
    <w:p>
      <w:pPr>
        <w:pStyle w:val="5"/>
        <w:numPr>
          <w:ilvl w:val="0"/>
          <w:numId w:val="12"/>
        </w:numPr>
        <w:tabs>
          <w:tab w:val="left" w:pos="1460"/>
        </w:tabs>
        <w:spacing w:before="52" w:after="0" w:line="240" w:lineRule="auto"/>
        <w:ind w:left="1459" w:right="0" w:hanging="423"/>
        <w:jc w:val="left"/>
        <w:rPr>
          <w:rFonts w:hint="eastAsia" w:ascii="楷体" w:eastAsia="楷体"/>
        </w:rPr>
      </w:pPr>
      <w:bookmarkStart w:id="69" w:name="_bookmark25"/>
      <w:bookmarkEnd w:id="69"/>
      <w:bookmarkStart w:id="70" w:name="_bookmark25"/>
      <w:bookmarkEnd w:id="70"/>
      <w:bookmarkStart w:id="71" w:name="20.投诉"/>
      <w:bookmarkEnd w:id="71"/>
      <w:r>
        <w:rPr>
          <w:rFonts w:hint="eastAsia" w:ascii="楷体" w:eastAsia="楷体"/>
        </w:rPr>
        <w:t>投诉</w:t>
      </w:r>
    </w:p>
    <w:p>
      <w:pPr>
        <w:pStyle w:val="21"/>
        <w:numPr>
          <w:ilvl w:val="1"/>
          <w:numId w:val="12"/>
        </w:numPr>
        <w:tabs>
          <w:tab w:val="left" w:pos="1499"/>
        </w:tabs>
        <w:spacing w:before="214" w:after="0" w:line="240" w:lineRule="auto"/>
        <w:ind w:left="1498" w:right="0" w:hanging="541"/>
        <w:jc w:val="left"/>
        <w:rPr>
          <w:sz w:val="24"/>
        </w:rPr>
      </w:pPr>
      <w:r>
        <w:rPr>
          <w:spacing w:val="-18"/>
          <w:sz w:val="24"/>
        </w:rPr>
        <w:t>按照《中华人民共和国政府采购法》、财政部《政府采购供应商投诉处理办法》</w:t>
      </w:r>
    </w:p>
    <w:p>
      <w:pPr>
        <w:pStyle w:val="8"/>
        <w:spacing w:before="161"/>
        <w:ind w:left="478"/>
      </w:pPr>
      <w:r>
        <w:t>（</w:t>
      </w:r>
      <w:r>
        <w:rPr>
          <w:spacing w:val="-17"/>
        </w:rPr>
        <w:t xml:space="preserve">第 </w:t>
      </w:r>
      <w:r>
        <w:t>20</w:t>
      </w:r>
      <w:r>
        <w:rPr>
          <w:spacing w:val="-10"/>
        </w:rPr>
        <w:t xml:space="preserve"> 号令</w:t>
      </w:r>
      <w:r>
        <w:t>）和财政部《关于加强政府采购供应商投诉受理审查工作的通知》（财库</w:t>
      </w:r>
    </w:p>
    <w:p>
      <w:pPr>
        <w:pStyle w:val="8"/>
        <w:spacing w:before="160"/>
        <w:ind w:left="478"/>
      </w:pPr>
      <w:r>
        <w:t>〔2007〕1</w:t>
      </w:r>
      <w:r>
        <w:rPr>
          <w:spacing w:val="-26"/>
        </w:rPr>
        <w:t xml:space="preserve"> 号</w:t>
      </w:r>
      <w:r>
        <w:t>）文件以及相关的法律、法规及规定，质疑人对采购人、采购代理机构的</w:t>
      </w:r>
    </w:p>
    <w:p>
      <w:pPr>
        <w:spacing w:after="0"/>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line="364" w:lineRule="auto"/>
        <w:ind w:left="478" w:right="422"/>
      </w:pPr>
      <w:r>
        <w:t>答复不满意或者采购人、采购代理机构未在规定的时间内做出答复的，可以在答复期满后 15 个工作日内向同级监管部门投诉。</w:t>
      </w:r>
    </w:p>
    <w:p>
      <w:pPr>
        <w:pStyle w:val="21"/>
        <w:numPr>
          <w:ilvl w:val="1"/>
          <w:numId w:val="12"/>
        </w:numPr>
        <w:tabs>
          <w:tab w:val="left" w:pos="1499"/>
        </w:tabs>
        <w:spacing w:before="2" w:after="0" w:line="240" w:lineRule="auto"/>
        <w:ind w:left="1498" w:right="0" w:hanging="541"/>
        <w:jc w:val="left"/>
        <w:rPr>
          <w:sz w:val="24"/>
        </w:rPr>
      </w:pPr>
      <w:r>
        <w:rPr>
          <w:sz w:val="24"/>
        </w:rPr>
        <w:t>投诉人提起投诉应符合下列条件：</w:t>
      </w:r>
    </w:p>
    <w:p>
      <w:pPr>
        <w:pStyle w:val="21"/>
        <w:numPr>
          <w:ilvl w:val="2"/>
          <w:numId w:val="12"/>
        </w:numPr>
        <w:tabs>
          <w:tab w:val="left" w:pos="1739"/>
        </w:tabs>
        <w:spacing w:before="160" w:after="0" w:line="240" w:lineRule="auto"/>
        <w:ind w:left="1738" w:right="0" w:hanging="781"/>
        <w:jc w:val="left"/>
        <w:rPr>
          <w:sz w:val="24"/>
        </w:rPr>
      </w:pPr>
      <w:r>
        <w:rPr>
          <w:sz w:val="24"/>
        </w:rPr>
        <w:t>投诉人是参与所投诉政府采购活动的供应商；</w:t>
      </w:r>
    </w:p>
    <w:p>
      <w:pPr>
        <w:pStyle w:val="21"/>
        <w:numPr>
          <w:ilvl w:val="2"/>
          <w:numId w:val="12"/>
        </w:numPr>
        <w:tabs>
          <w:tab w:val="left" w:pos="1739"/>
        </w:tabs>
        <w:spacing w:before="161" w:after="0" w:line="240" w:lineRule="auto"/>
        <w:ind w:left="1738" w:right="0" w:hanging="781"/>
        <w:jc w:val="left"/>
        <w:rPr>
          <w:sz w:val="24"/>
        </w:rPr>
      </w:pPr>
      <w:r>
        <w:rPr>
          <w:sz w:val="24"/>
        </w:rPr>
        <w:t>提起投诉前已依法进行质疑；</w:t>
      </w:r>
    </w:p>
    <w:p>
      <w:pPr>
        <w:pStyle w:val="21"/>
        <w:numPr>
          <w:ilvl w:val="2"/>
          <w:numId w:val="12"/>
        </w:numPr>
        <w:tabs>
          <w:tab w:val="left" w:pos="1739"/>
        </w:tabs>
        <w:spacing w:before="160" w:after="0" w:line="364" w:lineRule="auto"/>
        <w:ind w:left="478" w:right="477" w:firstLine="480"/>
        <w:jc w:val="left"/>
        <w:rPr>
          <w:sz w:val="24"/>
        </w:rPr>
      </w:pPr>
      <w:r>
        <w:rPr>
          <w:sz w:val="24"/>
        </w:rPr>
        <w:t>投诉书内容符合财政部《政府采购供应商投诉处理办法》（</w:t>
      </w:r>
      <w:r>
        <w:rPr>
          <w:spacing w:val="-29"/>
          <w:sz w:val="24"/>
        </w:rPr>
        <w:t xml:space="preserve">第 </w:t>
      </w:r>
      <w:r>
        <w:rPr>
          <w:sz w:val="24"/>
        </w:rPr>
        <w:t>20</w:t>
      </w:r>
      <w:r>
        <w:rPr>
          <w:spacing w:val="-19"/>
          <w:sz w:val="24"/>
        </w:rPr>
        <w:t xml:space="preserve"> 号令</w:t>
      </w:r>
      <w:r>
        <w:rPr>
          <w:sz w:val="24"/>
        </w:rPr>
        <w:t>）</w:t>
      </w:r>
      <w:r>
        <w:rPr>
          <w:spacing w:val="-17"/>
          <w:sz w:val="24"/>
        </w:rPr>
        <w:t>规</w:t>
      </w:r>
      <w:r>
        <w:rPr>
          <w:sz w:val="24"/>
        </w:rPr>
        <w:t>定；</w:t>
      </w:r>
    </w:p>
    <w:p>
      <w:pPr>
        <w:pStyle w:val="21"/>
        <w:numPr>
          <w:ilvl w:val="2"/>
          <w:numId w:val="12"/>
        </w:numPr>
        <w:tabs>
          <w:tab w:val="left" w:pos="1739"/>
        </w:tabs>
        <w:spacing w:before="1" w:after="0" w:line="240" w:lineRule="auto"/>
        <w:ind w:left="1738" w:right="0" w:hanging="781"/>
        <w:jc w:val="left"/>
        <w:rPr>
          <w:sz w:val="24"/>
        </w:rPr>
      </w:pPr>
      <w:r>
        <w:rPr>
          <w:sz w:val="24"/>
        </w:rPr>
        <w:t>在投诉有效期限内提起投诉；</w:t>
      </w:r>
    </w:p>
    <w:p>
      <w:pPr>
        <w:pStyle w:val="21"/>
        <w:numPr>
          <w:ilvl w:val="2"/>
          <w:numId w:val="12"/>
        </w:numPr>
        <w:tabs>
          <w:tab w:val="left" w:pos="1739"/>
        </w:tabs>
        <w:spacing w:before="161" w:after="0" w:line="240" w:lineRule="auto"/>
        <w:ind w:left="1738" w:right="0" w:hanging="781"/>
        <w:jc w:val="left"/>
        <w:rPr>
          <w:sz w:val="24"/>
        </w:rPr>
      </w:pPr>
      <w:r>
        <w:rPr>
          <w:sz w:val="24"/>
        </w:rPr>
        <w:t>属于本级财政部门管辖；</w:t>
      </w:r>
    </w:p>
    <w:p>
      <w:pPr>
        <w:pStyle w:val="21"/>
        <w:numPr>
          <w:ilvl w:val="2"/>
          <w:numId w:val="12"/>
        </w:numPr>
        <w:tabs>
          <w:tab w:val="left" w:pos="1739"/>
        </w:tabs>
        <w:spacing w:before="160" w:after="0" w:line="240" w:lineRule="auto"/>
        <w:ind w:left="1738" w:right="0" w:hanging="781"/>
        <w:jc w:val="left"/>
        <w:rPr>
          <w:sz w:val="24"/>
        </w:rPr>
      </w:pPr>
      <w:r>
        <w:rPr>
          <w:sz w:val="24"/>
        </w:rPr>
        <w:t>同一投诉事项未经财政部门投诉处理；</w:t>
      </w:r>
    </w:p>
    <w:p>
      <w:pPr>
        <w:pStyle w:val="21"/>
        <w:numPr>
          <w:ilvl w:val="2"/>
          <w:numId w:val="12"/>
        </w:numPr>
        <w:tabs>
          <w:tab w:val="left" w:pos="1739"/>
        </w:tabs>
        <w:spacing w:before="161" w:after="0" w:line="240" w:lineRule="auto"/>
        <w:ind w:left="1738" w:right="0" w:hanging="781"/>
        <w:jc w:val="left"/>
        <w:rPr>
          <w:sz w:val="24"/>
        </w:rPr>
      </w:pPr>
      <w:r>
        <w:rPr>
          <w:sz w:val="24"/>
        </w:rPr>
        <w:t>法律法规规定的其他条件。</w:t>
      </w:r>
    </w:p>
    <w:p>
      <w:pPr>
        <w:pStyle w:val="21"/>
        <w:numPr>
          <w:ilvl w:val="1"/>
          <w:numId w:val="12"/>
        </w:numPr>
        <w:tabs>
          <w:tab w:val="left" w:pos="1499"/>
        </w:tabs>
        <w:spacing w:before="160" w:after="0" w:line="364" w:lineRule="auto"/>
        <w:ind w:left="478" w:right="477" w:firstLine="480"/>
        <w:jc w:val="left"/>
        <w:rPr>
          <w:sz w:val="24"/>
        </w:rPr>
      </w:pPr>
      <w:r>
        <w:rPr>
          <w:spacing w:val="-11"/>
          <w:sz w:val="24"/>
        </w:rPr>
        <w:t>投诉人投诉时，应当提交投诉书，并按照被投诉采购人、采购代理机构和与投</w:t>
      </w:r>
      <w:r>
        <w:rPr>
          <w:sz w:val="24"/>
        </w:rPr>
        <w:t>诉事项有关的供应商数量提供投诉书的副本。</w:t>
      </w:r>
    </w:p>
    <w:p>
      <w:pPr>
        <w:pStyle w:val="21"/>
        <w:numPr>
          <w:ilvl w:val="1"/>
          <w:numId w:val="12"/>
        </w:numPr>
        <w:tabs>
          <w:tab w:val="left" w:pos="1499"/>
        </w:tabs>
        <w:spacing w:before="1" w:after="0" w:line="240" w:lineRule="auto"/>
        <w:ind w:left="1498" w:right="0" w:hanging="541"/>
        <w:jc w:val="left"/>
        <w:rPr>
          <w:sz w:val="24"/>
        </w:rPr>
      </w:pPr>
      <w:r>
        <w:rPr>
          <w:sz w:val="24"/>
        </w:rPr>
        <w:t>投诉书应当包括以下主要内容：</w:t>
      </w:r>
    </w:p>
    <w:p>
      <w:pPr>
        <w:pStyle w:val="21"/>
        <w:numPr>
          <w:ilvl w:val="2"/>
          <w:numId w:val="12"/>
        </w:numPr>
        <w:tabs>
          <w:tab w:val="left" w:pos="1739"/>
        </w:tabs>
        <w:spacing w:before="161" w:after="0" w:line="240" w:lineRule="auto"/>
        <w:ind w:left="1738" w:right="0" w:hanging="781"/>
        <w:jc w:val="left"/>
        <w:rPr>
          <w:sz w:val="24"/>
        </w:rPr>
      </w:pPr>
      <w:r>
        <w:rPr>
          <w:sz w:val="24"/>
        </w:rPr>
        <w:t>投诉人和被投诉人的名称、地址、电话等；</w:t>
      </w:r>
    </w:p>
    <w:p>
      <w:pPr>
        <w:pStyle w:val="21"/>
        <w:numPr>
          <w:ilvl w:val="2"/>
          <w:numId w:val="12"/>
        </w:numPr>
        <w:tabs>
          <w:tab w:val="left" w:pos="1739"/>
        </w:tabs>
        <w:spacing w:before="160" w:after="0" w:line="240" w:lineRule="auto"/>
        <w:ind w:left="1738" w:right="0" w:hanging="781"/>
        <w:jc w:val="left"/>
        <w:rPr>
          <w:sz w:val="24"/>
        </w:rPr>
      </w:pPr>
      <w:r>
        <w:rPr>
          <w:sz w:val="24"/>
        </w:rPr>
        <w:t>具体的投诉事宜以及事实依据；</w:t>
      </w:r>
    </w:p>
    <w:p>
      <w:pPr>
        <w:pStyle w:val="21"/>
        <w:numPr>
          <w:ilvl w:val="2"/>
          <w:numId w:val="12"/>
        </w:numPr>
        <w:tabs>
          <w:tab w:val="left" w:pos="1739"/>
        </w:tabs>
        <w:spacing w:before="161" w:after="0" w:line="240" w:lineRule="auto"/>
        <w:ind w:left="1738" w:right="0" w:hanging="781"/>
        <w:jc w:val="left"/>
        <w:rPr>
          <w:sz w:val="24"/>
        </w:rPr>
      </w:pPr>
      <w:r>
        <w:rPr>
          <w:sz w:val="24"/>
        </w:rPr>
        <w:t>质疑书和质疑答复情况以及相关证明材料；</w:t>
      </w:r>
    </w:p>
    <w:p>
      <w:pPr>
        <w:pStyle w:val="21"/>
        <w:numPr>
          <w:ilvl w:val="2"/>
          <w:numId w:val="12"/>
        </w:numPr>
        <w:tabs>
          <w:tab w:val="left" w:pos="1739"/>
        </w:tabs>
        <w:spacing w:before="160" w:after="0" w:line="240" w:lineRule="auto"/>
        <w:ind w:left="1738" w:right="0" w:hanging="781"/>
        <w:jc w:val="both"/>
        <w:rPr>
          <w:sz w:val="24"/>
        </w:rPr>
      </w:pPr>
      <w:r>
        <w:rPr>
          <w:sz w:val="24"/>
        </w:rPr>
        <w:t>提起投诉的日期。</w:t>
      </w:r>
    </w:p>
    <w:p>
      <w:pPr>
        <w:pStyle w:val="21"/>
        <w:numPr>
          <w:ilvl w:val="1"/>
          <w:numId w:val="12"/>
        </w:numPr>
        <w:tabs>
          <w:tab w:val="left" w:pos="1499"/>
        </w:tabs>
        <w:spacing w:before="161" w:after="0" w:line="364" w:lineRule="auto"/>
        <w:ind w:left="478" w:right="477" w:firstLine="480"/>
        <w:jc w:val="both"/>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21"/>
        <w:numPr>
          <w:ilvl w:val="1"/>
          <w:numId w:val="12"/>
        </w:numPr>
        <w:tabs>
          <w:tab w:val="left" w:pos="1499"/>
        </w:tabs>
        <w:spacing w:before="1" w:after="0" w:line="364" w:lineRule="auto"/>
        <w:ind w:left="478" w:right="477" w:firstLine="480"/>
        <w:jc w:val="both"/>
        <w:rPr>
          <w:sz w:val="24"/>
        </w:rPr>
      </w:pPr>
      <w:r>
        <w:rPr>
          <w:spacing w:val="-7"/>
          <w:sz w:val="24"/>
        </w:rPr>
        <w:t>投诉人可以委托代理人办理投诉事务。代理人办理投诉事务时，除提交投诉书</w:t>
      </w:r>
      <w:r>
        <w:rPr>
          <w:spacing w:val="-8"/>
          <w:sz w:val="24"/>
        </w:rPr>
        <w:t>外，还应当向同级监管部门提交投诉人的授权委托书，授权委托书应当载明委托代理的</w:t>
      </w:r>
      <w:r>
        <w:rPr>
          <w:sz w:val="24"/>
        </w:rPr>
        <w:t>具体权限和事项。</w:t>
      </w:r>
    </w:p>
    <w:p>
      <w:pPr>
        <w:pStyle w:val="21"/>
        <w:numPr>
          <w:ilvl w:val="1"/>
          <w:numId w:val="12"/>
        </w:numPr>
        <w:tabs>
          <w:tab w:val="left" w:pos="1499"/>
        </w:tabs>
        <w:spacing w:before="2" w:after="0" w:line="240" w:lineRule="auto"/>
        <w:ind w:left="1498" w:right="0" w:hanging="541"/>
        <w:jc w:val="both"/>
        <w:rPr>
          <w:sz w:val="24"/>
        </w:rPr>
      </w:pPr>
      <w:r>
        <w:rPr>
          <w:sz w:val="24"/>
        </w:rPr>
        <w:t>投诉人不符合上述规定提起的投诉，监管部门不予受理。</w:t>
      </w:r>
    </w:p>
    <w:p>
      <w:pPr>
        <w:pStyle w:val="5"/>
        <w:numPr>
          <w:ilvl w:val="0"/>
          <w:numId w:val="12"/>
        </w:numPr>
        <w:tabs>
          <w:tab w:val="left" w:pos="1460"/>
        </w:tabs>
        <w:spacing w:before="212" w:after="0" w:line="240" w:lineRule="auto"/>
        <w:ind w:left="1459" w:right="0" w:hanging="423"/>
        <w:jc w:val="left"/>
        <w:rPr>
          <w:rFonts w:hint="eastAsia" w:ascii="楷体" w:eastAsia="楷体"/>
        </w:rPr>
      </w:pPr>
      <w:bookmarkStart w:id="72" w:name="21.其他需补充的内容"/>
      <w:bookmarkEnd w:id="72"/>
      <w:bookmarkStart w:id="73" w:name="_bookmark26"/>
      <w:bookmarkEnd w:id="73"/>
      <w:bookmarkStart w:id="74" w:name="_bookmark26"/>
      <w:bookmarkEnd w:id="74"/>
      <w:r>
        <w:rPr>
          <w:rFonts w:hint="eastAsia" w:ascii="楷体" w:eastAsia="楷体"/>
          <w:spacing w:val="-3"/>
        </w:rPr>
        <w:t>其他需补充的内容</w:t>
      </w:r>
    </w:p>
    <w:p>
      <w:pPr>
        <w:pStyle w:val="8"/>
        <w:spacing w:before="137"/>
        <w:ind w:left="478"/>
      </w:pPr>
      <w:r>
        <w:t>其他需补充的内容：见供应商须知前附表。</w:t>
      </w:r>
    </w:p>
    <w:p>
      <w:pPr>
        <w:spacing w:after="0"/>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4"/>
        <w:tabs>
          <w:tab w:val="left" w:pos="1279"/>
        </w:tabs>
      </w:pPr>
      <w:bookmarkStart w:id="75" w:name="第四章  评审办法"/>
      <w:bookmarkEnd w:id="75"/>
      <w:bookmarkStart w:id="76" w:name="第三章  采购需求"/>
      <w:bookmarkEnd w:id="76"/>
      <w:bookmarkStart w:id="77" w:name="_bookmark27"/>
      <w:bookmarkEnd w:id="77"/>
      <w:r>
        <w:t>第三章</w:t>
      </w:r>
      <w:r>
        <w:tab/>
      </w:r>
      <w:r>
        <w:t>采购需求</w:t>
      </w:r>
    </w:p>
    <w:p>
      <w:pPr>
        <w:pStyle w:val="8"/>
        <w:rPr>
          <w:rFonts w:ascii="黑体"/>
          <w:sz w:val="20"/>
        </w:rPr>
      </w:pPr>
    </w:p>
    <w:p>
      <w:pPr>
        <w:pStyle w:val="8"/>
        <w:spacing w:before="1"/>
        <w:rPr>
          <w:rFonts w:ascii="黑体"/>
          <w:sz w:val="18"/>
        </w:rPr>
      </w:pPr>
    </w:p>
    <w:p>
      <w:pPr>
        <w:pStyle w:val="21"/>
        <w:numPr>
          <w:ilvl w:val="0"/>
          <w:numId w:val="17"/>
        </w:numPr>
        <w:tabs>
          <w:tab w:val="left" w:pos="1321"/>
        </w:tabs>
        <w:spacing w:before="62" w:after="0" w:line="240" w:lineRule="auto"/>
        <w:ind w:left="1320" w:right="0" w:hanging="284"/>
        <w:jc w:val="left"/>
        <w:rPr>
          <w:rFonts w:hint="eastAsia" w:ascii="楷体" w:eastAsia="楷体"/>
          <w:sz w:val="28"/>
        </w:rPr>
      </w:pPr>
      <w:bookmarkStart w:id="78" w:name="1.项目概况"/>
      <w:bookmarkEnd w:id="78"/>
      <w:bookmarkStart w:id="79" w:name="_bookmark28"/>
      <w:bookmarkEnd w:id="79"/>
      <w:bookmarkStart w:id="80" w:name="_bookmark28"/>
      <w:bookmarkEnd w:id="80"/>
      <w:r>
        <w:rPr>
          <w:rFonts w:hint="eastAsia" w:ascii="楷体" w:eastAsia="楷体"/>
          <w:spacing w:val="-2"/>
          <w:sz w:val="28"/>
        </w:rPr>
        <w:t>项目概况</w:t>
      </w:r>
    </w:p>
    <w:p>
      <w:pPr>
        <w:pStyle w:val="21"/>
        <w:numPr>
          <w:ilvl w:val="1"/>
          <w:numId w:val="17"/>
        </w:numPr>
        <w:tabs>
          <w:tab w:val="left" w:pos="1379"/>
        </w:tabs>
        <w:spacing w:before="214" w:after="0" w:line="240" w:lineRule="auto"/>
        <w:ind w:left="1378" w:right="0" w:hanging="421"/>
        <w:jc w:val="left"/>
        <w:rPr>
          <w:sz w:val="24"/>
        </w:rPr>
      </w:pPr>
      <w:r>
        <w:rPr>
          <w:sz w:val="24"/>
        </w:rPr>
        <w:t>本章内容是根据采购项目的实际需求制定的。</w:t>
      </w:r>
    </w:p>
    <w:p>
      <w:pPr>
        <w:pStyle w:val="21"/>
        <w:numPr>
          <w:ilvl w:val="1"/>
          <w:numId w:val="17"/>
        </w:numPr>
        <w:tabs>
          <w:tab w:val="left" w:pos="1379"/>
        </w:tabs>
        <w:spacing w:before="93" w:after="0" w:line="312" w:lineRule="auto"/>
        <w:ind w:left="478" w:right="476" w:firstLine="480"/>
        <w:jc w:val="left"/>
        <w:rPr>
          <w:sz w:val="24"/>
        </w:rPr>
      </w:pPr>
      <w:r>
        <w:rPr>
          <w:spacing w:val="-1"/>
          <w:sz w:val="24"/>
        </w:rPr>
        <w:t>投标人所报价格应为含税全包价，包含提供相关服务的所有费用，合同存续期</w:t>
      </w:r>
      <w:r>
        <w:rPr>
          <w:sz w:val="24"/>
        </w:rPr>
        <w:t>间采购人不额外支付任何费用。</w:t>
      </w:r>
    </w:p>
    <w:p>
      <w:pPr>
        <w:pStyle w:val="21"/>
        <w:numPr>
          <w:ilvl w:val="0"/>
          <w:numId w:val="17"/>
        </w:numPr>
        <w:tabs>
          <w:tab w:val="left" w:pos="1321"/>
        </w:tabs>
        <w:spacing w:before="207" w:after="0" w:line="240" w:lineRule="auto"/>
        <w:ind w:left="1320" w:right="0" w:hanging="284"/>
        <w:jc w:val="left"/>
        <w:rPr>
          <w:rFonts w:hint="eastAsia" w:ascii="楷体" w:eastAsia="楷体"/>
          <w:sz w:val="28"/>
        </w:rPr>
      </w:pPr>
      <w:bookmarkStart w:id="81" w:name="2.采购内容"/>
      <w:bookmarkEnd w:id="81"/>
      <w:bookmarkStart w:id="82" w:name="2.采购内容"/>
      <w:bookmarkEnd w:id="82"/>
      <w:r>
        <w:rPr>
          <w:rFonts w:hint="eastAsia" w:ascii="楷体" w:eastAsia="楷体"/>
          <w:spacing w:val="-2"/>
          <w:sz w:val="28"/>
        </w:rPr>
        <w:t>采购内容</w:t>
      </w:r>
      <w:r>
        <w:rPr>
          <w:rFonts w:hint="eastAsia" w:ascii="楷体" w:eastAsia="楷体"/>
          <w:spacing w:val="-2"/>
          <w:sz w:val="28"/>
          <w:lang w:eastAsia="zh-CN"/>
        </w:rPr>
        <w:t>（</w:t>
      </w:r>
      <w:r>
        <w:rPr>
          <w:rFonts w:hint="eastAsia" w:ascii="楷体" w:eastAsia="楷体"/>
          <w:spacing w:val="-2"/>
          <w:sz w:val="28"/>
          <w:lang w:val="en-US" w:eastAsia="zh-CN"/>
        </w:rPr>
        <w:t>工程量清单</w:t>
      </w:r>
      <w:r>
        <w:rPr>
          <w:rFonts w:hint="eastAsia" w:ascii="楷体" w:eastAsia="楷体"/>
          <w:spacing w:val="-2"/>
          <w:sz w:val="28"/>
          <w:lang w:eastAsia="zh-CN"/>
        </w:rPr>
        <w:t>）</w:t>
      </w:r>
    </w:p>
    <w:p>
      <w:pPr>
        <w:pStyle w:val="4"/>
        <w:spacing w:before="35"/>
        <w:ind w:left="3137"/>
        <w:jc w:val="both"/>
        <w:rPr>
          <w:rFonts w:ascii="宋体" w:hAnsi="宋体" w:eastAsia="宋体" w:cs="宋体"/>
          <w:sz w:val="36"/>
          <w:szCs w:val="36"/>
          <w:lang w:val="en-US" w:bidi="ar-SA"/>
        </w:rPr>
      </w:pPr>
    </w:p>
    <w:p>
      <w:pPr>
        <w:pStyle w:val="8"/>
        <w:spacing w:before="6"/>
        <w:jc w:val="center"/>
        <w:rPr>
          <w:rFonts w:ascii="宋体" w:hAnsi="宋体" w:eastAsia="宋体" w:cs="宋体"/>
          <w:sz w:val="36"/>
          <w:szCs w:val="36"/>
          <w:lang w:val="en-US" w:bidi="ar-SA"/>
        </w:rPr>
      </w:pPr>
      <w:r>
        <w:rPr>
          <w:rFonts w:ascii="宋体" w:hAnsi="宋体" w:eastAsia="宋体" w:cs="宋体"/>
          <w:sz w:val="36"/>
          <w:szCs w:val="36"/>
          <w:lang w:val="en-US" w:bidi="ar-SA"/>
        </w:rPr>
        <w:drawing>
          <wp:inline distT="0" distB="0" distL="114300" distR="114300">
            <wp:extent cx="6061710" cy="7654925"/>
            <wp:effectExtent l="0" t="0" r="15240" b="3175"/>
            <wp:docPr id="56" name="图片 56" descr="1ed6989a04032897d83b7cfbf8c17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ed6989a04032897d83b7cfbf8c173a"/>
                    <pic:cNvPicPr>
                      <a:picLocks noChangeAspect="1"/>
                    </pic:cNvPicPr>
                  </pic:nvPicPr>
                  <pic:blipFill>
                    <a:blip r:embed="rId17"/>
                    <a:stretch>
                      <a:fillRect/>
                    </a:stretch>
                  </pic:blipFill>
                  <pic:spPr>
                    <a:xfrm>
                      <a:off x="0" y="0"/>
                      <a:ext cx="6061710" cy="7654925"/>
                    </a:xfrm>
                    <a:prstGeom prst="rect">
                      <a:avLst/>
                    </a:prstGeom>
                  </pic:spPr>
                </pic:pic>
              </a:graphicData>
            </a:graphic>
          </wp:inline>
        </w:drawing>
      </w:r>
    </w:p>
    <w:p>
      <w:pPr>
        <w:pStyle w:val="8"/>
        <w:spacing w:before="6"/>
        <w:jc w:val="center"/>
        <w:rPr>
          <w:rFonts w:hint="default" w:ascii="宋体" w:hAnsi="宋体" w:eastAsia="宋体" w:cs="宋体"/>
          <w:sz w:val="36"/>
          <w:szCs w:val="36"/>
          <w:lang w:val="en-US" w:eastAsia="zh-CN" w:bidi="ar-SA"/>
        </w:rPr>
      </w:pPr>
      <w:r>
        <w:drawing>
          <wp:inline distT="0" distB="0" distL="114300" distR="114300">
            <wp:extent cx="6362700" cy="5209540"/>
            <wp:effectExtent l="0" t="0" r="0" b="1016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8"/>
                    <a:stretch>
                      <a:fillRect/>
                    </a:stretch>
                  </pic:blipFill>
                  <pic:spPr>
                    <a:xfrm>
                      <a:off x="0" y="0"/>
                      <a:ext cx="6362700" cy="5209540"/>
                    </a:xfrm>
                    <a:prstGeom prst="rect">
                      <a:avLst/>
                    </a:prstGeom>
                    <a:noFill/>
                    <a:ln>
                      <a:noFill/>
                    </a:ln>
                  </pic:spPr>
                </pic:pic>
              </a:graphicData>
            </a:graphic>
          </wp:inline>
        </w:drawing>
      </w:r>
      <w:r>
        <w:rPr>
          <w:rFonts w:hint="default" w:ascii="宋体" w:hAnsi="宋体" w:eastAsia="宋体" w:cs="宋体"/>
          <w:sz w:val="36"/>
          <w:szCs w:val="36"/>
          <w:lang w:val="en-US" w:eastAsia="zh-CN" w:bidi="ar-SA"/>
        </w:rPr>
        <w:drawing>
          <wp:inline distT="0" distB="0" distL="114300" distR="114300">
            <wp:extent cx="5562600" cy="7896225"/>
            <wp:effectExtent l="0" t="0" r="0" b="9525"/>
            <wp:docPr id="58" name="图片 58" descr="da1f1dc686e37bdbd2d34612c1fb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da1f1dc686e37bdbd2d34612c1fb4fc"/>
                    <pic:cNvPicPr>
                      <a:picLocks noChangeAspect="1"/>
                    </pic:cNvPicPr>
                  </pic:nvPicPr>
                  <pic:blipFill>
                    <a:blip r:embed="rId19"/>
                    <a:stretch>
                      <a:fillRect/>
                    </a:stretch>
                  </pic:blipFill>
                  <pic:spPr>
                    <a:xfrm>
                      <a:off x="0" y="0"/>
                      <a:ext cx="5562600" cy="7896225"/>
                    </a:xfrm>
                    <a:prstGeom prst="rect">
                      <a:avLst/>
                    </a:prstGeom>
                  </pic:spPr>
                </pic:pic>
              </a:graphicData>
            </a:graphic>
          </wp:inline>
        </w:drawing>
      </w:r>
    </w:p>
    <w:p>
      <w:pPr>
        <w:pStyle w:val="8"/>
        <w:spacing w:before="6"/>
        <w:jc w:val="center"/>
        <w:rPr>
          <w:rFonts w:hint="default" w:ascii="宋体" w:hAnsi="宋体" w:eastAsia="宋体" w:cs="宋体"/>
          <w:sz w:val="36"/>
          <w:szCs w:val="36"/>
          <w:lang w:val="en-US" w:eastAsia="zh-CN" w:bidi="ar-SA"/>
        </w:rPr>
      </w:pPr>
      <w:r>
        <w:rPr>
          <w:rFonts w:hint="default" w:ascii="宋体" w:hAnsi="宋体" w:eastAsia="宋体" w:cs="宋体"/>
          <w:sz w:val="36"/>
          <w:szCs w:val="36"/>
          <w:lang w:val="en-US" w:eastAsia="zh-CN" w:bidi="ar-SA"/>
        </w:rPr>
        <w:drawing>
          <wp:inline distT="0" distB="0" distL="114300" distR="114300">
            <wp:extent cx="5467350" cy="7829550"/>
            <wp:effectExtent l="0" t="0" r="0" b="0"/>
            <wp:docPr id="59" name="图片 59" descr="a04c77510b72dacfe5992355ff1f7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a04c77510b72dacfe5992355ff1f7d5"/>
                    <pic:cNvPicPr>
                      <a:picLocks noChangeAspect="1"/>
                    </pic:cNvPicPr>
                  </pic:nvPicPr>
                  <pic:blipFill>
                    <a:blip r:embed="rId20"/>
                    <a:stretch>
                      <a:fillRect/>
                    </a:stretch>
                  </pic:blipFill>
                  <pic:spPr>
                    <a:xfrm>
                      <a:off x="0" y="0"/>
                      <a:ext cx="5467350" cy="7829550"/>
                    </a:xfrm>
                    <a:prstGeom prst="rect">
                      <a:avLst/>
                    </a:prstGeom>
                  </pic:spPr>
                </pic:pic>
              </a:graphicData>
            </a:graphic>
          </wp:inline>
        </w:drawing>
      </w:r>
    </w:p>
    <w:p>
      <w:pPr>
        <w:pStyle w:val="8"/>
        <w:spacing w:before="6"/>
        <w:jc w:val="center"/>
        <w:rPr>
          <w:rFonts w:hint="default" w:ascii="宋体" w:hAnsi="宋体" w:eastAsia="宋体" w:cs="宋体"/>
          <w:sz w:val="36"/>
          <w:szCs w:val="36"/>
          <w:lang w:val="en-US" w:eastAsia="zh-CN" w:bidi="ar-SA"/>
        </w:rPr>
      </w:pPr>
    </w:p>
    <w:p>
      <w:pPr>
        <w:pStyle w:val="8"/>
        <w:spacing w:before="6"/>
        <w:jc w:val="center"/>
        <w:rPr>
          <w:rFonts w:hint="default" w:ascii="宋体" w:hAnsi="宋体" w:eastAsia="宋体" w:cs="宋体"/>
          <w:sz w:val="36"/>
          <w:szCs w:val="36"/>
          <w:lang w:val="en-US" w:eastAsia="zh-CN" w:bidi="ar-SA"/>
        </w:rPr>
      </w:pPr>
      <w:r>
        <w:rPr>
          <w:rFonts w:hint="default" w:ascii="宋体" w:hAnsi="宋体" w:eastAsia="宋体" w:cs="宋体"/>
          <w:sz w:val="36"/>
          <w:szCs w:val="36"/>
          <w:lang w:val="en-US" w:eastAsia="zh-CN" w:bidi="ar-SA"/>
        </w:rPr>
        <w:drawing>
          <wp:inline distT="0" distB="0" distL="114300" distR="114300">
            <wp:extent cx="5581650" cy="7753350"/>
            <wp:effectExtent l="0" t="0" r="0" b="0"/>
            <wp:docPr id="60" name="图片 60" descr="e67f48c4c88289c977cabbd3c90c8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e67f48c4c88289c977cabbd3c90c82b"/>
                    <pic:cNvPicPr>
                      <a:picLocks noChangeAspect="1"/>
                    </pic:cNvPicPr>
                  </pic:nvPicPr>
                  <pic:blipFill>
                    <a:blip r:embed="rId21"/>
                    <a:stretch>
                      <a:fillRect/>
                    </a:stretch>
                  </pic:blipFill>
                  <pic:spPr>
                    <a:xfrm>
                      <a:off x="0" y="0"/>
                      <a:ext cx="5581650" cy="7753350"/>
                    </a:xfrm>
                    <a:prstGeom prst="rect">
                      <a:avLst/>
                    </a:prstGeom>
                  </pic:spPr>
                </pic:pic>
              </a:graphicData>
            </a:graphic>
          </wp:inline>
        </w:drawing>
      </w:r>
    </w:p>
    <w:p>
      <w:pPr>
        <w:pStyle w:val="8"/>
        <w:spacing w:before="6"/>
        <w:jc w:val="center"/>
        <w:rPr>
          <w:rFonts w:hint="default" w:ascii="宋体" w:hAnsi="宋体" w:eastAsia="宋体" w:cs="宋体"/>
          <w:sz w:val="36"/>
          <w:szCs w:val="36"/>
          <w:lang w:val="en-US" w:eastAsia="zh-CN" w:bidi="ar-SA"/>
        </w:rPr>
      </w:pPr>
      <w:r>
        <w:rPr>
          <w:rFonts w:hint="default" w:ascii="宋体" w:hAnsi="宋体" w:eastAsia="宋体" w:cs="宋体"/>
          <w:sz w:val="36"/>
          <w:szCs w:val="36"/>
          <w:lang w:val="en-US" w:eastAsia="zh-CN" w:bidi="ar-SA"/>
        </w:rPr>
        <w:drawing>
          <wp:inline distT="0" distB="0" distL="114300" distR="114300">
            <wp:extent cx="5505450" cy="7715250"/>
            <wp:effectExtent l="0" t="0" r="0" b="0"/>
            <wp:docPr id="61" name="图片 61" descr="3e3620ccdd51c473c4eea522d39b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3e3620ccdd51c473c4eea522d39b56f"/>
                    <pic:cNvPicPr>
                      <a:picLocks noChangeAspect="1"/>
                    </pic:cNvPicPr>
                  </pic:nvPicPr>
                  <pic:blipFill>
                    <a:blip r:embed="rId22"/>
                    <a:stretch>
                      <a:fillRect/>
                    </a:stretch>
                  </pic:blipFill>
                  <pic:spPr>
                    <a:xfrm>
                      <a:off x="0" y="0"/>
                      <a:ext cx="5505450" cy="7715250"/>
                    </a:xfrm>
                    <a:prstGeom prst="rect">
                      <a:avLst/>
                    </a:prstGeom>
                  </pic:spPr>
                </pic:pic>
              </a:graphicData>
            </a:graphic>
          </wp:inline>
        </w:drawing>
      </w:r>
    </w:p>
    <w:p>
      <w:pPr>
        <w:pStyle w:val="8"/>
        <w:spacing w:before="6"/>
        <w:jc w:val="center"/>
      </w:pPr>
      <w:r>
        <w:drawing>
          <wp:inline distT="0" distB="0" distL="114300" distR="114300">
            <wp:extent cx="5505450" cy="7839075"/>
            <wp:effectExtent l="0" t="0" r="0" b="9525"/>
            <wp:docPr id="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
                    <pic:cNvPicPr>
                      <a:picLocks noChangeAspect="1"/>
                    </pic:cNvPicPr>
                  </pic:nvPicPr>
                  <pic:blipFill>
                    <a:blip r:embed="rId23"/>
                    <a:stretch>
                      <a:fillRect/>
                    </a:stretch>
                  </pic:blipFill>
                  <pic:spPr>
                    <a:xfrm>
                      <a:off x="0" y="0"/>
                      <a:ext cx="5505450" cy="7839075"/>
                    </a:xfrm>
                    <a:prstGeom prst="rect">
                      <a:avLst/>
                    </a:prstGeom>
                    <a:noFill/>
                    <a:ln>
                      <a:noFill/>
                    </a:ln>
                  </pic:spPr>
                </pic:pic>
              </a:graphicData>
            </a:graphic>
          </wp:inline>
        </w:drawing>
      </w:r>
      <w:r>
        <w:drawing>
          <wp:inline distT="0" distB="0" distL="114300" distR="114300">
            <wp:extent cx="5534025" cy="8035290"/>
            <wp:effectExtent l="0" t="0" r="9525" b="3810"/>
            <wp:docPr id="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
                    <pic:cNvPicPr>
                      <a:picLocks noChangeAspect="1"/>
                    </pic:cNvPicPr>
                  </pic:nvPicPr>
                  <pic:blipFill>
                    <a:blip r:embed="rId24"/>
                    <a:stretch>
                      <a:fillRect/>
                    </a:stretch>
                  </pic:blipFill>
                  <pic:spPr>
                    <a:xfrm>
                      <a:off x="0" y="0"/>
                      <a:ext cx="5534025" cy="8035290"/>
                    </a:xfrm>
                    <a:prstGeom prst="rect">
                      <a:avLst/>
                    </a:prstGeom>
                    <a:noFill/>
                    <a:ln>
                      <a:noFill/>
                    </a:ln>
                  </pic:spPr>
                </pic:pic>
              </a:graphicData>
            </a:graphic>
          </wp:inline>
        </w:drawing>
      </w:r>
    </w:p>
    <w:p>
      <w:pPr>
        <w:pStyle w:val="8"/>
        <w:spacing w:before="6"/>
        <w:jc w:val="center"/>
      </w:pPr>
    </w:p>
    <w:p>
      <w:pPr>
        <w:pStyle w:val="8"/>
        <w:spacing w:before="6"/>
        <w:jc w:val="center"/>
      </w:pPr>
    </w:p>
    <w:p>
      <w:pPr>
        <w:pStyle w:val="8"/>
        <w:spacing w:before="6"/>
        <w:jc w:val="center"/>
      </w:pPr>
    </w:p>
    <w:p>
      <w:pPr>
        <w:pStyle w:val="8"/>
        <w:spacing w:before="6"/>
        <w:jc w:val="center"/>
        <w:rPr>
          <w:rFonts w:hint="default"/>
          <w:lang w:val="en-US" w:eastAsia="zh-CN"/>
        </w:rPr>
      </w:pPr>
    </w:p>
    <w:p>
      <w:pPr>
        <w:pStyle w:val="5"/>
        <w:numPr>
          <w:ilvl w:val="0"/>
          <w:numId w:val="17"/>
        </w:numPr>
        <w:tabs>
          <w:tab w:val="left" w:pos="1321"/>
        </w:tabs>
        <w:spacing w:before="0" w:after="0" w:line="240" w:lineRule="auto"/>
        <w:ind w:left="1320" w:right="0" w:hanging="284"/>
        <w:jc w:val="left"/>
        <w:rPr>
          <w:rFonts w:hint="eastAsia" w:ascii="楷体" w:eastAsia="楷体"/>
        </w:rPr>
      </w:pPr>
      <w:bookmarkStart w:id="83" w:name="3.商务条件"/>
      <w:bookmarkEnd w:id="83"/>
      <w:bookmarkStart w:id="84" w:name="3.商务条件"/>
      <w:bookmarkEnd w:id="84"/>
      <w:r>
        <w:rPr>
          <w:rFonts w:hint="eastAsia" w:ascii="楷体" w:eastAsia="楷体"/>
          <w:spacing w:val="-2"/>
        </w:rPr>
        <w:t>商务条件</w:t>
      </w:r>
    </w:p>
    <w:p>
      <w:pPr>
        <w:pStyle w:val="21"/>
        <w:numPr>
          <w:ilvl w:val="1"/>
          <w:numId w:val="17"/>
        </w:numPr>
        <w:tabs>
          <w:tab w:val="left" w:pos="1379"/>
        </w:tabs>
        <w:spacing w:before="214" w:after="0" w:line="480" w:lineRule="auto"/>
        <w:ind w:left="1378" w:right="0" w:hanging="421"/>
        <w:jc w:val="left"/>
        <w:rPr>
          <w:sz w:val="24"/>
        </w:rPr>
      </w:pPr>
      <w:r>
        <w:rPr>
          <w:rFonts w:hint="eastAsia"/>
          <w:sz w:val="24"/>
          <w:lang w:val="en-US" w:eastAsia="zh-CN"/>
        </w:rPr>
        <w:t>工期</w:t>
      </w:r>
    </w:p>
    <w:p>
      <w:pPr>
        <w:pStyle w:val="8"/>
        <w:spacing w:before="161" w:line="480" w:lineRule="auto"/>
        <w:ind w:left="958"/>
      </w:pPr>
      <w:r>
        <w:rPr>
          <w:rFonts w:hint="eastAsia"/>
          <w:lang w:val="en-US" w:eastAsia="zh-CN"/>
        </w:rPr>
        <w:t xml:space="preserve"> 签订合同后45日内</w:t>
      </w:r>
      <w:r>
        <w:t>。</w:t>
      </w:r>
    </w:p>
    <w:p>
      <w:pPr>
        <w:pStyle w:val="21"/>
        <w:numPr>
          <w:ilvl w:val="1"/>
          <w:numId w:val="17"/>
        </w:numPr>
        <w:tabs>
          <w:tab w:val="left" w:pos="1379"/>
        </w:tabs>
        <w:spacing w:before="160" w:after="0" w:line="480" w:lineRule="auto"/>
        <w:ind w:left="1378" w:right="0" w:hanging="421"/>
        <w:jc w:val="left"/>
        <w:rPr>
          <w:rFonts w:hint="eastAsia"/>
          <w:lang w:eastAsia="zh-CN"/>
        </w:rPr>
      </w:pPr>
      <w:r>
        <w:rPr>
          <w:rFonts w:hint="eastAsia"/>
          <w:sz w:val="24"/>
          <w:lang w:val="en-US" w:eastAsia="zh-CN"/>
        </w:rPr>
        <w:t>项目</w:t>
      </w:r>
      <w:r>
        <w:rPr>
          <w:sz w:val="24"/>
        </w:rPr>
        <w:t>地点</w:t>
      </w:r>
      <w:r>
        <w:rPr>
          <w:rFonts w:hint="eastAsia"/>
          <w:sz w:val="24"/>
          <w:lang w:eastAsia="zh-CN"/>
        </w:rPr>
        <w:t>：</w:t>
      </w:r>
      <w:r>
        <w:rPr>
          <w:rFonts w:hint="eastAsia"/>
          <w:lang w:eastAsia="zh-CN"/>
        </w:rPr>
        <w:t>温宿县</w:t>
      </w:r>
    </w:p>
    <w:p>
      <w:pPr>
        <w:pStyle w:val="21"/>
        <w:numPr>
          <w:ilvl w:val="0"/>
          <w:numId w:val="0"/>
        </w:numPr>
        <w:tabs>
          <w:tab w:val="left" w:pos="1379"/>
        </w:tabs>
        <w:spacing w:before="0" w:after="0" w:line="480" w:lineRule="auto"/>
        <w:ind w:right="0" w:rightChars="0" w:firstLine="960" w:firstLineChars="400"/>
        <w:jc w:val="left"/>
        <w:rPr>
          <w:sz w:val="24"/>
        </w:rPr>
      </w:pPr>
      <w:r>
        <w:rPr>
          <w:rFonts w:hint="eastAsia"/>
          <w:sz w:val="24"/>
          <w:lang w:val="en-US" w:eastAsia="zh-CN"/>
        </w:rPr>
        <w:t>3.3付</w:t>
      </w:r>
      <w:r>
        <w:rPr>
          <w:sz w:val="24"/>
        </w:rPr>
        <w:t>款方式</w:t>
      </w:r>
      <w:r>
        <w:rPr>
          <w:spacing w:val="-3"/>
          <w:sz w:val="24"/>
        </w:rPr>
        <w:t>合同中约定。</w:t>
      </w:r>
    </w:p>
    <w:p>
      <w:pPr>
        <w:pStyle w:val="21"/>
        <w:numPr>
          <w:ilvl w:val="0"/>
          <w:numId w:val="0"/>
        </w:numPr>
        <w:tabs>
          <w:tab w:val="left" w:pos="1408"/>
        </w:tabs>
        <w:spacing w:before="0" w:after="0" w:line="480" w:lineRule="auto"/>
        <w:ind w:left="926" w:leftChars="0" w:right="0" w:rightChars="0"/>
        <w:jc w:val="both"/>
        <w:rPr>
          <w:rFonts w:hint="eastAsia" w:eastAsia="仿宋"/>
          <w:lang w:val="en-US" w:eastAsia="zh-CN"/>
        </w:rPr>
        <w:sectPr>
          <w:footerReference r:id="rId10" w:type="default"/>
          <w:pgSz w:w="11910" w:h="16840"/>
          <w:pgMar w:top="1480" w:right="940" w:bottom="1180" w:left="940" w:header="0" w:footer="1000" w:gutter="0"/>
          <w:pgBorders>
            <w:top w:val="none" w:sz="0" w:space="0"/>
            <w:left w:val="none" w:sz="0" w:space="0"/>
            <w:bottom w:val="none" w:sz="0" w:space="0"/>
            <w:right w:val="none" w:sz="0" w:space="0"/>
          </w:pgBorders>
          <w:cols w:space="720" w:num="1"/>
        </w:sectPr>
      </w:pPr>
      <w:r>
        <w:rPr>
          <w:rFonts w:hint="eastAsia"/>
          <w:sz w:val="24"/>
          <w:lang w:val="en-US" w:eastAsia="zh-CN"/>
        </w:rPr>
        <w:t>3.4</w:t>
      </w:r>
      <w:r>
        <w:rPr>
          <w:sz w:val="24"/>
        </w:rPr>
        <w:t>质量目标</w:t>
      </w:r>
      <w:r>
        <w:rPr>
          <w:rFonts w:hint="eastAsia"/>
          <w:sz w:val="24"/>
          <w:lang w:eastAsia="zh-CN"/>
        </w:rPr>
        <w:t>：</w:t>
      </w:r>
      <w:r>
        <w:rPr>
          <w:rFonts w:hint="eastAsia"/>
          <w:lang w:val="en-US" w:eastAsia="zh-CN"/>
        </w:rPr>
        <w:t>合格</w:t>
      </w:r>
    </w:p>
    <w:p>
      <w:pPr>
        <w:pStyle w:val="4"/>
        <w:tabs>
          <w:tab w:val="left" w:pos="1279"/>
        </w:tabs>
      </w:pPr>
      <w:bookmarkStart w:id="85" w:name="_bookmark30"/>
      <w:bookmarkEnd w:id="85"/>
      <w:r>
        <w:t>第四章</w:t>
      </w:r>
      <w:r>
        <w:tab/>
      </w:r>
      <w:r>
        <w:t>评审办法</w:t>
      </w:r>
    </w:p>
    <w:p>
      <w:pPr>
        <w:pStyle w:val="8"/>
        <w:spacing w:before="1"/>
        <w:rPr>
          <w:rFonts w:ascii="黑体"/>
          <w:sz w:val="18"/>
        </w:rPr>
      </w:pPr>
    </w:p>
    <w:p>
      <w:pPr>
        <w:pStyle w:val="5"/>
        <w:numPr>
          <w:ilvl w:val="2"/>
          <w:numId w:val="17"/>
        </w:numPr>
        <w:tabs>
          <w:tab w:val="left" w:pos="1321"/>
        </w:tabs>
        <w:spacing w:before="62" w:after="0" w:line="240" w:lineRule="auto"/>
        <w:ind w:left="1320" w:right="0" w:hanging="284"/>
        <w:jc w:val="left"/>
        <w:rPr>
          <w:rFonts w:hint="eastAsia" w:ascii="楷体" w:eastAsia="楷体"/>
        </w:rPr>
      </w:pPr>
      <w:bookmarkStart w:id="86" w:name="1.相关要求"/>
      <w:bookmarkEnd w:id="86"/>
      <w:bookmarkStart w:id="87" w:name="_bookmark31"/>
      <w:bookmarkEnd w:id="87"/>
      <w:bookmarkStart w:id="88" w:name="_bookmark31"/>
      <w:bookmarkEnd w:id="88"/>
      <w:r>
        <w:rPr>
          <w:rFonts w:hint="eastAsia" w:ascii="楷体" w:eastAsia="楷体"/>
          <w:spacing w:val="-2"/>
        </w:rPr>
        <w:t>相关要求</w:t>
      </w:r>
    </w:p>
    <w:p>
      <w:pPr>
        <w:pStyle w:val="8"/>
        <w:spacing w:before="11"/>
        <w:rPr>
          <w:rFonts w:ascii="楷体"/>
          <w:sz w:val="28"/>
        </w:rPr>
      </w:pPr>
    </w:p>
    <w:p>
      <w:pPr>
        <w:pStyle w:val="21"/>
        <w:numPr>
          <w:ilvl w:val="3"/>
          <w:numId w:val="17"/>
        </w:numPr>
        <w:tabs>
          <w:tab w:val="left" w:pos="1379"/>
        </w:tabs>
        <w:spacing w:before="0" w:after="0" w:line="240" w:lineRule="auto"/>
        <w:ind w:left="1378" w:right="0" w:hanging="421"/>
        <w:jc w:val="left"/>
        <w:rPr>
          <w:sz w:val="24"/>
        </w:rPr>
      </w:pPr>
      <w:r>
        <w:rPr>
          <w:sz w:val="24"/>
        </w:rPr>
        <w:t>技术汇总得分的计算方法：磋商小组成员技术评分的算术平均值。</w:t>
      </w:r>
    </w:p>
    <w:p>
      <w:pPr>
        <w:pStyle w:val="21"/>
        <w:numPr>
          <w:ilvl w:val="3"/>
          <w:numId w:val="17"/>
        </w:numPr>
        <w:tabs>
          <w:tab w:val="left" w:pos="1320"/>
        </w:tabs>
        <w:spacing w:before="93" w:after="0" w:line="312" w:lineRule="auto"/>
        <w:ind w:left="478" w:right="425" w:firstLine="480"/>
        <w:jc w:val="left"/>
        <w:rPr>
          <w:sz w:val="22"/>
        </w:rPr>
      </w:pPr>
      <w:r>
        <w:rPr>
          <w:sz w:val="24"/>
        </w:rPr>
        <w:t>“</w:t>
      </w:r>
      <w:r>
        <w:rPr>
          <w:rFonts w:hint="eastAsia"/>
          <w:sz w:val="24"/>
          <w:lang w:eastAsia="zh-CN"/>
        </w:rPr>
        <w:t>类似</w:t>
      </w:r>
      <w:r>
        <w:rPr>
          <w:sz w:val="24"/>
        </w:rPr>
        <w:t>项目”是指供应商已经完成的与本次采购要求相同或者类同的</w:t>
      </w:r>
      <w:r>
        <w:rPr>
          <w:rFonts w:hint="eastAsia"/>
          <w:sz w:val="24"/>
          <w:lang w:val="en-US" w:eastAsia="zh-CN"/>
        </w:rPr>
        <w:t>货物或服务</w:t>
      </w:r>
      <w:r>
        <w:rPr>
          <w:sz w:val="24"/>
        </w:rPr>
        <w:t>，并</w:t>
      </w:r>
      <w:r>
        <w:rPr>
          <w:spacing w:val="-1"/>
          <w:sz w:val="24"/>
        </w:rPr>
        <w:t>且签订合同一方必须是参与磋商报价的供应商，以相同或者类同部分的合同金额为准。</w:t>
      </w:r>
    </w:p>
    <w:p>
      <w:pPr>
        <w:pStyle w:val="21"/>
        <w:numPr>
          <w:ilvl w:val="3"/>
          <w:numId w:val="17"/>
        </w:numPr>
        <w:tabs>
          <w:tab w:val="left" w:pos="1379"/>
        </w:tabs>
        <w:spacing w:before="0" w:after="0" w:line="307" w:lineRule="exact"/>
        <w:ind w:left="1378" w:right="0" w:hanging="421"/>
        <w:jc w:val="left"/>
        <w:rPr>
          <w:sz w:val="24"/>
        </w:rPr>
      </w:pPr>
      <w:r>
        <w:rPr>
          <w:sz w:val="24"/>
        </w:rPr>
        <w:t>执行国家统一定价标准和采用固定价格采购的项目，其价格不列为评审因素。</w:t>
      </w:r>
    </w:p>
    <w:p>
      <w:pPr>
        <w:pStyle w:val="21"/>
        <w:numPr>
          <w:ilvl w:val="3"/>
          <w:numId w:val="17"/>
        </w:numPr>
        <w:tabs>
          <w:tab w:val="left" w:pos="1379"/>
        </w:tabs>
        <w:spacing w:before="94" w:after="0" w:line="240" w:lineRule="auto"/>
        <w:ind w:left="1378" w:right="0" w:hanging="421"/>
        <w:jc w:val="left"/>
        <w:rPr>
          <w:sz w:val="24"/>
        </w:rPr>
      </w:pPr>
      <w:r>
        <w:rPr>
          <w:sz w:val="24"/>
        </w:rPr>
        <w:t>评分得分非整数的保留小数点后两位（小数点后第三位数四舍五入）。</w:t>
      </w:r>
    </w:p>
    <w:p>
      <w:pPr>
        <w:pStyle w:val="5"/>
        <w:numPr>
          <w:ilvl w:val="2"/>
          <w:numId w:val="17"/>
        </w:numPr>
        <w:tabs>
          <w:tab w:val="left" w:pos="1321"/>
        </w:tabs>
        <w:spacing w:before="144" w:after="0" w:line="240" w:lineRule="auto"/>
        <w:ind w:left="1320" w:right="0" w:hanging="284"/>
        <w:jc w:val="left"/>
        <w:rPr>
          <w:rFonts w:hint="eastAsia" w:ascii="楷体" w:eastAsia="楷体"/>
        </w:rPr>
      </w:pPr>
      <w:bookmarkStart w:id="89" w:name="_bookmark32"/>
      <w:bookmarkEnd w:id="89"/>
      <w:bookmarkStart w:id="90" w:name="2.评分标准"/>
      <w:bookmarkEnd w:id="90"/>
      <w:bookmarkStart w:id="91" w:name="_bookmark32"/>
      <w:bookmarkEnd w:id="91"/>
      <w:r>
        <w:rPr>
          <w:rFonts w:hint="eastAsia" w:ascii="楷体" w:eastAsia="楷体"/>
          <w:spacing w:val="-2"/>
        </w:rPr>
        <w:t>评分标准</w:t>
      </w:r>
    </w:p>
    <w:p>
      <w:pPr>
        <w:pStyle w:val="8"/>
        <w:spacing w:before="9"/>
        <w:rPr>
          <w:rFonts w:ascii="楷体"/>
          <w:sz w:val="22"/>
        </w:rPr>
      </w:pPr>
    </w:p>
    <w:p>
      <w:pPr>
        <w:pStyle w:val="21"/>
        <w:numPr>
          <w:ilvl w:val="3"/>
          <w:numId w:val="17"/>
        </w:numPr>
        <w:tabs>
          <w:tab w:val="left" w:pos="1379"/>
        </w:tabs>
        <w:spacing w:before="0" w:after="0" w:line="240" w:lineRule="auto"/>
        <w:ind w:left="1378" w:right="0" w:hanging="421"/>
        <w:jc w:val="left"/>
        <w:rPr>
          <w:rFonts w:hint="eastAsia" w:ascii="楷体" w:eastAsia="楷体"/>
          <w:sz w:val="24"/>
        </w:rPr>
      </w:pPr>
      <w:r>
        <w:rPr>
          <w:rFonts w:hint="eastAsia" w:ascii="楷体" w:eastAsia="楷体"/>
          <w:sz w:val="24"/>
        </w:rPr>
        <w:t>评分因素以及分值</w:t>
      </w:r>
    </w:p>
    <w:p>
      <w:pPr>
        <w:pStyle w:val="8"/>
        <w:spacing w:before="4"/>
        <w:rPr>
          <w:rFonts w:ascii="楷体"/>
          <w:sz w:val="12"/>
        </w:rPr>
      </w:pPr>
    </w:p>
    <w:p>
      <w:pPr>
        <w:pStyle w:val="8"/>
        <w:spacing w:before="4"/>
        <w:ind w:firstLine="500" w:firstLineChars="200"/>
        <w:rPr>
          <w:rFonts w:hint="default" w:ascii="楷体" w:eastAsia="仿宋"/>
          <w:sz w:val="25"/>
          <w:lang w:val="en-US" w:eastAsia="zh-CN"/>
        </w:rPr>
      </w:pPr>
      <w:r>
        <w:rPr>
          <w:rFonts w:hint="eastAsia" w:ascii="楷体"/>
          <w:sz w:val="25"/>
          <w:lang w:val="en-US" w:eastAsia="zh-CN"/>
        </w:rPr>
        <w:t xml:space="preserve">    总分值：100分，其中报价40分，商务技术60分</w:t>
      </w:r>
    </w:p>
    <w:tbl>
      <w:tblPr>
        <w:tblStyle w:val="18"/>
        <w:tblpPr w:leftFromText="180" w:rightFromText="180" w:vertAnchor="text" w:horzAnchor="page" w:tblpXSpec="center" w:tblpY="300"/>
        <w:tblOverlap w:val="never"/>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483"/>
        <w:gridCol w:w="1483"/>
        <w:gridCol w:w="708"/>
        <w:gridCol w:w="53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690" w:type="dxa"/>
            <w:noWrap w:val="0"/>
            <w:vAlign w:val="center"/>
          </w:tcPr>
          <w:p>
            <w:pPr>
              <w:pStyle w:val="23"/>
              <w:spacing w:before="0" w:after="0" w:line="300" w:lineRule="exact"/>
              <w:ind w:firstLine="0"/>
              <w:jc w:val="center"/>
              <w:rPr>
                <w:rFonts w:ascii="宋体" w:hAnsi="宋体"/>
                <w:b/>
              </w:rPr>
            </w:pPr>
            <w:r>
              <w:rPr>
                <w:rFonts w:ascii="宋体" w:hAnsi="宋体"/>
                <w:b/>
              </w:rPr>
              <w:t>序号</w:t>
            </w:r>
          </w:p>
        </w:tc>
        <w:tc>
          <w:tcPr>
            <w:tcW w:w="1642" w:type="dxa"/>
            <w:noWrap w:val="0"/>
            <w:vAlign w:val="center"/>
          </w:tcPr>
          <w:p>
            <w:pPr>
              <w:pStyle w:val="23"/>
              <w:spacing w:before="0" w:after="0" w:line="300" w:lineRule="exact"/>
              <w:ind w:firstLine="0"/>
              <w:jc w:val="center"/>
              <w:rPr>
                <w:rFonts w:hint="eastAsia" w:ascii="宋体" w:hAnsi="宋体"/>
                <w:b/>
                <w:lang w:val="en-US" w:eastAsia="zh-CN"/>
              </w:rPr>
            </w:pPr>
          </w:p>
        </w:tc>
        <w:tc>
          <w:tcPr>
            <w:tcW w:w="1642" w:type="dxa"/>
            <w:noWrap w:val="0"/>
            <w:vAlign w:val="center"/>
          </w:tcPr>
          <w:p>
            <w:pPr>
              <w:pStyle w:val="23"/>
              <w:spacing w:before="0" w:after="0" w:line="300" w:lineRule="exact"/>
              <w:ind w:firstLine="0"/>
              <w:jc w:val="center"/>
              <w:rPr>
                <w:rFonts w:hint="eastAsia" w:ascii="宋体" w:hAnsi="宋体" w:eastAsia="仿宋"/>
                <w:b/>
                <w:lang w:eastAsia="zh-CN"/>
              </w:rPr>
            </w:pPr>
            <w:r>
              <w:rPr>
                <w:rFonts w:hint="eastAsia" w:ascii="宋体" w:hAnsi="宋体"/>
                <w:b/>
                <w:lang w:val="en-US" w:eastAsia="zh-CN"/>
              </w:rPr>
              <w:t>评审因素</w:t>
            </w:r>
          </w:p>
        </w:tc>
        <w:tc>
          <w:tcPr>
            <w:tcW w:w="769" w:type="dxa"/>
            <w:noWrap w:val="0"/>
            <w:vAlign w:val="center"/>
          </w:tcPr>
          <w:p>
            <w:pPr>
              <w:pStyle w:val="23"/>
              <w:spacing w:before="0" w:after="0" w:line="300" w:lineRule="exact"/>
              <w:ind w:firstLine="0"/>
              <w:jc w:val="center"/>
              <w:rPr>
                <w:rFonts w:ascii="宋体" w:hAnsi="宋体"/>
                <w:b/>
              </w:rPr>
            </w:pPr>
            <w:r>
              <w:rPr>
                <w:rFonts w:ascii="宋体" w:hAnsi="宋体"/>
                <w:b/>
              </w:rPr>
              <w:t>分数</w:t>
            </w:r>
          </w:p>
        </w:tc>
        <w:tc>
          <w:tcPr>
            <w:tcW w:w="5970" w:type="dxa"/>
            <w:noWrap w:val="0"/>
            <w:vAlign w:val="center"/>
          </w:tcPr>
          <w:p>
            <w:pPr>
              <w:pStyle w:val="23"/>
              <w:spacing w:before="0" w:after="0" w:line="300" w:lineRule="exact"/>
              <w:ind w:firstLine="2486" w:firstLineChars="1032"/>
              <w:rPr>
                <w:rFonts w:ascii="宋体" w:hAnsi="宋体"/>
                <w:b/>
              </w:rPr>
            </w:pPr>
            <w:r>
              <w:rPr>
                <w:rFonts w:ascii="宋体" w:hAnsi="宋体"/>
                <w:b/>
              </w:rPr>
              <w:t>评</w:t>
            </w:r>
            <w:r>
              <w:rPr>
                <w:rFonts w:hint="eastAsia" w:ascii="宋体" w:hAnsi="宋体"/>
                <w:b/>
                <w:lang w:val="en-US" w:eastAsia="zh-CN"/>
              </w:rPr>
              <w:t>审</w:t>
            </w:r>
            <w:r>
              <w:rPr>
                <w:rFonts w:ascii="宋体" w:hAnsi="宋体"/>
                <w:b/>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690" w:type="dxa"/>
            <w:noWrap w:val="0"/>
            <w:vAlign w:val="center"/>
          </w:tcPr>
          <w:p>
            <w:pPr>
              <w:pStyle w:val="23"/>
              <w:spacing w:before="0" w:after="0" w:line="300" w:lineRule="exact"/>
              <w:ind w:firstLine="0"/>
              <w:jc w:val="center"/>
              <w:rPr>
                <w:rFonts w:hint="eastAsia" w:ascii="宋体" w:hAnsi="宋体" w:eastAsia="仿宋"/>
                <w:b/>
                <w:lang w:val="en-US" w:eastAsia="zh-CN"/>
              </w:rPr>
            </w:pPr>
            <w:r>
              <w:rPr>
                <w:rFonts w:hint="eastAsia" w:ascii="宋体" w:hAnsi="宋体"/>
                <w:b/>
                <w:lang w:val="en-US" w:eastAsia="zh-CN"/>
              </w:rPr>
              <w:t>1</w:t>
            </w:r>
          </w:p>
        </w:tc>
        <w:tc>
          <w:tcPr>
            <w:tcW w:w="3284" w:type="dxa"/>
            <w:gridSpan w:val="2"/>
            <w:noWrap w:val="0"/>
            <w:vAlign w:val="center"/>
          </w:tcPr>
          <w:p>
            <w:pPr>
              <w:pStyle w:val="23"/>
              <w:spacing w:before="0" w:after="0" w:line="300" w:lineRule="exact"/>
              <w:ind w:firstLine="0"/>
              <w:jc w:val="center"/>
              <w:rPr>
                <w:rFonts w:hint="eastAsia" w:ascii="宋体" w:hAnsi="宋体" w:eastAsia="宋体"/>
                <w:b/>
                <w:lang w:eastAsia="zh-CN"/>
              </w:rPr>
            </w:pPr>
            <w:r>
              <w:rPr>
                <w:rFonts w:hint="eastAsia" w:ascii="宋体" w:hAnsi="宋体" w:eastAsia="宋体" w:cs="Times New Roman"/>
                <w:kern w:val="2"/>
                <w:sz w:val="24"/>
                <w:szCs w:val="24"/>
                <w:lang w:val="en-US" w:eastAsia="zh-CN" w:bidi="ar-SA"/>
              </w:rPr>
              <w:t>报价</w:t>
            </w:r>
          </w:p>
        </w:tc>
        <w:tc>
          <w:tcPr>
            <w:tcW w:w="769" w:type="dxa"/>
            <w:noWrap w:val="0"/>
            <w:vAlign w:val="center"/>
          </w:tcPr>
          <w:p>
            <w:pPr>
              <w:pStyle w:val="23"/>
              <w:spacing w:before="0" w:after="0" w:line="300" w:lineRule="exact"/>
              <w:ind w:firstLine="0"/>
              <w:jc w:val="center"/>
              <w:rPr>
                <w:rFonts w:ascii="宋体" w:hAnsi="宋体"/>
                <w:b/>
              </w:rPr>
            </w:pPr>
            <w:r>
              <w:rPr>
                <w:rFonts w:hint="eastAsia" w:ascii="宋体" w:hAnsi="宋体" w:eastAsia="宋体" w:cs="Times New Roman"/>
                <w:kern w:val="2"/>
                <w:sz w:val="24"/>
                <w:szCs w:val="24"/>
                <w:lang w:val="en-US" w:eastAsia="zh-CN" w:bidi="ar-SA"/>
              </w:rPr>
              <w:t>40分</w:t>
            </w:r>
          </w:p>
        </w:tc>
        <w:tc>
          <w:tcPr>
            <w:tcW w:w="5970" w:type="dxa"/>
            <w:noWrap w:val="0"/>
            <w:vAlign w:val="center"/>
          </w:tcPr>
          <w:p>
            <w:pPr>
              <w:pStyle w:val="23"/>
              <w:spacing w:before="0" w:after="0" w:line="300" w:lineRule="exact"/>
              <w:ind w:firstLine="0"/>
              <w:jc w:val="left"/>
              <w:rPr>
                <w:rFonts w:ascii="宋体" w:hAnsi="宋体"/>
                <w:bCs/>
                <w:color w:val="auto"/>
              </w:rPr>
            </w:pPr>
            <w:r>
              <w:rPr>
                <w:rFonts w:ascii="宋体" w:hAnsi="宋体"/>
                <w:bCs/>
                <w:color w:val="auto"/>
              </w:rPr>
              <w:t>价格得分计</w:t>
            </w:r>
            <w:r>
              <w:rPr>
                <w:rFonts w:hint="eastAsia" w:ascii="宋体" w:hAnsi="宋体"/>
                <w:bCs/>
                <w:color w:val="auto"/>
                <w:lang w:val="en-US" w:eastAsia="zh-CN"/>
              </w:rPr>
              <w:t>30</w:t>
            </w:r>
            <w:r>
              <w:rPr>
                <w:rFonts w:ascii="宋体" w:hAnsi="宋体"/>
                <w:bCs/>
                <w:color w:val="auto"/>
              </w:rPr>
              <w:t>分。</w:t>
            </w:r>
          </w:p>
          <w:p>
            <w:pPr>
              <w:pStyle w:val="23"/>
              <w:spacing w:before="0" w:after="0" w:line="300" w:lineRule="exact"/>
              <w:ind w:firstLine="0"/>
              <w:jc w:val="left"/>
              <w:rPr>
                <w:rFonts w:ascii="宋体" w:hAnsi="宋体"/>
                <w:bCs/>
              </w:rPr>
            </w:pPr>
            <w:r>
              <w:rPr>
                <w:rFonts w:ascii="宋体" w:hAnsi="宋体"/>
                <w:bCs/>
                <w:color w:val="auto"/>
              </w:rPr>
              <w:t>价格分采用低价优先法计算，即满足</w:t>
            </w:r>
            <w:r>
              <w:rPr>
                <w:rFonts w:hint="eastAsia" w:ascii="宋体" w:hAnsi="宋体"/>
                <w:bCs/>
                <w:color w:val="auto"/>
                <w:lang w:eastAsia="zh-CN"/>
              </w:rPr>
              <w:t>采购</w:t>
            </w:r>
            <w:r>
              <w:rPr>
                <w:rFonts w:ascii="宋体" w:hAnsi="宋体"/>
                <w:bCs/>
                <w:color w:val="auto"/>
              </w:rPr>
              <w:t>文件要求且</w:t>
            </w:r>
            <w:r>
              <w:rPr>
                <w:rFonts w:hint="eastAsia" w:ascii="宋体" w:hAnsi="宋体"/>
                <w:bCs/>
                <w:color w:val="auto"/>
                <w:lang w:eastAsia="zh-CN"/>
              </w:rPr>
              <w:t>报价</w:t>
            </w:r>
            <w:r>
              <w:rPr>
                <w:rFonts w:ascii="宋体" w:hAnsi="宋体"/>
                <w:bCs/>
                <w:color w:val="auto"/>
              </w:rPr>
              <w:t>最低的报价为</w:t>
            </w:r>
            <w:r>
              <w:rPr>
                <w:rFonts w:hint="eastAsia" w:ascii="宋体" w:hAnsi="宋体"/>
                <w:bCs/>
                <w:color w:val="auto"/>
                <w:lang w:eastAsia="zh-CN"/>
              </w:rPr>
              <w:t>评标</w:t>
            </w:r>
            <w:r>
              <w:rPr>
                <w:rFonts w:ascii="宋体" w:hAnsi="宋体"/>
                <w:bCs/>
                <w:color w:val="auto"/>
              </w:rPr>
              <w:t>基准价，其价格分为满分。投标报价得分=（评标基准价/投标报价）*价格权重*100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3" w:hRule="atLeast"/>
          <w:jc w:val="center"/>
        </w:trPr>
        <w:tc>
          <w:tcPr>
            <w:tcW w:w="690" w:type="dxa"/>
            <w:vMerge w:val="restart"/>
            <w:tcBorders>
              <w:top w:val="single" w:color="auto" w:sz="4" w:space="0"/>
            </w:tcBorders>
            <w:noWrap w:val="0"/>
            <w:vAlign w:val="center"/>
          </w:tcPr>
          <w:p>
            <w:pPr>
              <w:pStyle w:val="23"/>
              <w:spacing w:line="300" w:lineRule="exact"/>
              <w:ind w:firstLine="240" w:firstLineChars="100"/>
              <w:rPr>
                <w:rFonts w:hint="default" w:ascii="宋体" w:hAnsi="宋体" w:eastAsia="仿宋"/>
                <w:lang w:val="en-US" w:eastAsia="zh-CN"/>
              </w:rPr>
            </w:pPr>
            <w:r>
              <w:rPr>
                <w:rFonts w:hint="eastAsia" w:ascii="宋体" w:hAnsi="宋体"/>
                <w:lang w:val="en-US" w:eastAsia="zh-CN"/>
              </w:rPr>
              <w:t>2</w:t>
            </w:r>
          </w:p>
        </w:tc>
        <w:tc>
          <w:tcPr>
            <w:tcW w:w="1642" w:type="dxa"/>
            <w:vMerge w:val="restart"/>
            <w:tcBorders>
              <w:top w:val="single" w:color="auto" w:sz="4" w:space="0"/>
            </w:tcBorders>
            <w:noWrap w:val="0"/>
            <w:vAlign w:val="center"/>
          </w:tcPr>
          <w:p>
            <w:pPr>
              <w:spacing w:line="300" w:lineRule="exact"/>
              <w:jc w:val="center"/>
              <w:rPr>
                <w:rFonts w:hint="default" w:ascii="宋体" w:hAnsi="宋体"/>
                <w:sz w:val="24"/>
                <w:lang w:val="en-US" w:eastAsia="zh-CN"/>
              </w:rPr>
            </w:pPr>
            <w:r>
              <w:rPr>
                <w:rFonts w:hint="eastAsia" w:ascii="宋体" w:hAnsi="宋体"/>
                <w:sz w:val="24"/>
                <w:lang w:val="en-US" w:eastAsia="zh-CN"/>
              </w:rPr>
              <w:t>商务部分</w:t>
            </w:r>
          </w:p>
        </w:tc>
        <w:tc>
          <w:tcPr>
            <w:tcW w:w="1642" w:type="dxa"/>
            <w:tcBorders>
              <w:top w:val="single" w:color="auto" w:sz="4" w:space="0"/>
            </w:tcBorders>
            <w:noWrap w:val="0"/>
            <w:vAlign w:val="center"/>
          </w:tcPr>
          <w:p>
            <w:pPr>
              <w:spacing w:line="300" w:lineRule="exact"/>
              <w:jc w:val="center"/>
              <w:rPr>
                <w:rFonts w:hint="eastAsia" w:ascii="宋体" w:hAnsi="宋体" w:eastAsia="宋体"/>
                <w:sz w:val="24"/>
                <w:lang w:eastAsia="zh-CN"/>
              </w:rPr>
            </w:pPr>
            <w:r>
              <w:rPr>
                <w:rFonts w:hint="eastAsia" w:ascii="宋体" w:hAnsi="宋体"/>
                <w:lang w:val="en-US" w:eastAsia="zh-CN"/>
              </w:rPr>
              <w:t>响应文件制作情况</w:t>
            </w:r>
          </w:p>
        </w:tc>
        <w:tc>
          <w:tcPr>
            <w:tcW w:w="769" w:type="dxa"/>
            <w:tcBorders>
              <w:top w:val="single" w:color="auto" w:sz="4" w:space="0"/>
              <w:bottom w:val="single" w:color="auto" w:sz="4" w:space="0"/>
            </w:tcBorders>
            <w:noWrap w:val="0"/>
            <w:vAlign w:val="center"/>
          </w:tcPr>
          <w:p>
            <w:pPr>
              <w:spacing w:line="300" w:lineRule="exact"/>
              <w:jc w:val="center"/>
              <w:rPr>
                <w:rFonts w:hint="default" w:ascii="宋体" w:hAnsi="宋体" w:eastAsia="仿宋"/>
                <w:sz w:val="24"/>
                <w:lang w:val="en-US" w:eastAsia="zh-CN"/>
              </w:rPr>
            </w:pPr>
            <w:r>
              <w:rPr>
                <w:rFonts w:hint="eastAsia" w:ascii="宋体" w:hAnsi="宋体"/>
                <w:sz w:val="24"/>
                <w:lang w:val="en-US" w:eastAsia="zh-CN"/>
              </w:rPr>
              <w:t>5分</w:t>
            </w:r>
          </w:p>
        </w:tc>
        <w:tc>
          <w:tcPr>
            <w:tcW w:w="5970" w:type="dxa"/>
            <w:tcBorders>
              <w:top w:val="single" w:color="auto" w:sz="4" w:space="0"/>
              <w:bottom w:val="single" w:color="auto" w:sz="4" w:space="0"/>
            </w:tcBorders>
            <w:noWrap w:val="0"/>
            <w:vAlign w:val="center"/>
          </w:tcPr>
          <w:p>
            <w:pPr>
              <w:spacing w:line="300" w:lineRule="exact"/>
              <w:rPr>
                <w:rFonts w:ascii="宋体" w:hAnsi="宋体"/>
                <w:sz w:val="24"/>
              </w:rPr>
            </w:pPr>
            <w:r>
              <w:rPr>
                <w:rFonts w:hint="eastAsia" w:ascii="宋体" w:hAnsi="宋体"/>
                <w:sz w:val="24"/>
              </w:rPr>
              <w:t>根据</w:t>
            </w:r>
            <w:r>
              <w:rPr>
                <w:rFonts w:hint="eastAsia" w:ascii="宋体" w:hAnsi="宋体"/>
                <w:color w:val="auto"/>
                <w:sz w:val="24"/>
              </w:rPr>
              <w:t>以下内容进</w:t>
            </w:r>
            <w:r>
              <w:rPr>
                <w:rFonts w:hint="eastAsia" w:ascii="宋体" w:hAnsi="宋体"/>
                <w:sz w:val="24"/>
              </w:rPr>
              <w:t>行比较评价：投标文件制作是否规范，内容是否完整，文字是否清晰，标书中对技术部分的描述是否准确，招标过程对评委提出需澄清确认的问题答复是否完整、准确。分三个等级：优</w:t>
            </w:r>
            <w:r>
              <w:rPr>
                <w:rFonts w:hint="eastAsia" w:ascii="宋体" w:hAnsi="宋体"/>
                <w:sz w:val="24"/>
                <w:lang w:val="en-US" w:eastAsia="zh-CN"/>
              </w:rPr>
              <w:t>5</w:t>
            </w:r>
            <w:r>
              <w:rPr>
                <w:rFonts w:hint="eastAsia" w:ascii="宋体" w:hAnsi="宋体"/>
                <w:sz w:val="24"/>
              </w:rPr>
              <w:t>分，良</w:t>
            </w:r>
            <w:r>
              <w:rPr>
                <w:rFonts w:hint="eastAsia" w:ascii="宋体" w:hAnsi="宋体"/>
                <w:sz w:val="24"/>
                <w:lang w:val="en-US" w:eastAsia="zh-CN"/>
              </w:rPr>
              <w:t>3</w:t>
            </w:r>
            <w:r>
              <w:rPr>
                <w:rFonts w:hint="eastAsia" w:ascii="宋体" w:hAnsi="宋体"/>
                <w:sz w:val="24"/>
              </w:rPr>
              <w:t>分，差0分。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3" w:hRule="atLeast"/>
          <w:jc w:val="center"/>
        </w:trPr>
        <w:tc>
          <w:tcPr>
            <w:tcW w:w="690" w:type="dxa"/>
            <w:vMerge w:val="continue"/>
            <w:noWrap w:val="0"/>
            <w:vAlign w:val="center"/>
          </w:tcPr>
          <w:p>
            <w:pPr>
              <w:pStyle w:val="23"/>
              <w:spacing w:line="300" w:lineRule="exact"/>
              <w:ind w:firstLine="240" w:firstLineChars="100"/>
              <w:rPr>
                <w:rFonts w:hint="eastAsia" w:ascii="宋体" w:hAnsi="宋体"/>
                <w:lang w:val="en-US" w:eastAsia="zh-CN"/>
              </w:rPr>
            </w:pPr>
          </w:p>
        </w:tc>
        <w:tc>
          <w:tcPr>
            <w:tcW w:w="1642" w:type="dxa"/>
            <w:vMerge w:val="continue"/>
            <w:noWrap w:val="0"/>
            <w:vAlign w:val="center"/>
          </w:tcPr>
          <w:p>
            <w:pPr>
              <w:spacing w:line="300" w:lineRule="exact"/>
              <w:jc w:val="center"/>
              <w:rPr>
                <w:rFonts w:hint="eastAsia" w:ascii="宋体" w:hAnsi="宋体"/>
                <w:sz w:val="24"/>
                <w:lang w:val="en-US" w:eastAsia="zh-CN"/>
              </w:rPr>
            </w:pPr>
          </w:p>
        </w:tc>
        <w:tc>
          <w:tcPr>
            <w:tcW w:w="1642" w:type="dxa"/>
            <w:tcBorders>
              <w:top w:val="single" w:color="auto" w:sz="4" w:space="0"/>
            </w:tcBorders>
            <w:noWrap w:val="0"/>
            <w:vAlign w:val="center"/>
          </w:tcPr>
          <w:p>
            <w:pPr>
              <w:spacing w:line="300" w:lineRule="exact"/>
              <w:jc w:val="center"/>
              <w:rPr>
                <w:rFonts w:hint="default" w:ascii="宋体" w:hAnsi="宋体"/>
                <w:lang w:val="en-US" w:eastAsia="zh-CN"/>
              </w:rPr>
            </w:pPr>
            <w:r>
              <w:rPr>
                <w:rFonts w:hint="eastAsia" w:ascii="宋体" w:hAnsi="宋体"/>
                <w:lang w:val="en-US" w:eastAsia="zh-CN"/>
              </w:rPr>
              <w:t>企业业绩</w:t>
            </w:r>
          </w:p>
        </w:tc>
        <w:tc>
          <w:tcPr>
            <w:tcW w:w="769" w:type="dxa"/>
            <w:tcBorders>
              <w:top w:val="single" w:color="auto" w:sz="4" w:space="0"/>
              <w:bottom w:val="single" w:color="auto" w:sz="4" w:space="0"/>
            </w:tcBorders>
            <w:noWrap w:val="0"/>
            <w:vAlign w:val="center"/>
          </w:tcPr>
          <w:p>
            <w:pPr>
              <w:spacing w:line="300" w:lineRule="exact"/>
              <w:jc w:val="center"/>
              <w:rPr>
                <w:rFonts w:hint="default" w:ascii="宋体" w:hAnsi="宋体"/>
                <w:sz w:val="24"/>
                <w:lang w:val="en-US" w:eastAsia="zh-CN"/>
              </w:rPr>
            </w:pPr>
            <w:r>
              <w:rPr>
                <w:rFonts w:hint="eastAsia" w:ascii="宋体" w:hAnsi="宋体"/>
                <w:sz w:val="24"/>
                <w:lang w:val="en-US" w:eastAsia="zh-CN"/>
              </w:rPr>
              <w:t>5分</w:t>
            </w:r>
          </w:p>
        </w:tc>
        <w:tc>
          <w:tcPr>
            <w:tcW w:w="5970" w:type="dxa"/>
            <w:tcBorders>
              <w:top w:val="single" w:color="auto" w:sz="4" w:space="0"/>
              <w:bottom w:val="single" w:color="auto" w:sz="4" w:space="0"/>
            </w:tcBorders>
            <w:noWrap w:val="0"/>
            <w:vAlign w:val="center"/>
          </w:tcPr>
          <w:p>
            <w:pPr>
              <w:spacing w:line="300" w:lineRule="exact"/>
              <w:rPr>
                <w:rFonts w:hint="default" w:ascii="宋体" w:hAnsi="宋体" w:eastAsia="仿宋"/>
                <w:sz w:val="24"/>
                <w:lang w:val="en-US" w:eastAsia="zh-CN"/>
              </w:rPr>
            </w:pPr>
            <w:r>
              <w:rPr>
                <w:rFonts w:hint="eastAsia" w:ascii="宋体" w:hAnsi="宋体"/>
                <w:sz w:val="24"/>
                <w:lang w:val="en-US" w:eastAsia="zh-CN"/>
              </w:rPr>
              <w:t>提供2018年10月1日-2020年10月1日期间类似项目业绩，每提供一个得2.5分，满分5分。（须提供中标通知书、合同或验收资料等有关证明材料的复印件，未提供的或提供的资料中未注明规模的，均不予认可）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5" w:hRule="atLeast"/>
          <w:jc w:val="center"/>
        </w:trPr>
        <w:tc>
          <w:tcPr>
            <w:tcW w:w="690" w:type="dxa"/>
            <w:vMerge w:val="restart"/>
            <w:noWrap w:val="0"/>
            <w:vAlign w:val="center"/>
          </w:tcPr>
          <w:p>
            <w:pPr>
              <w:pStyle w:val="23"/>
              <w:spacing w:line="300" w:lineRule="exact"/>
              <w:ind w:firstLine="240" w:firstLineChars="100"/>
              <w:rPr>
                <w:rFonts w:hint="eastAsia" w:ascii="宋体" w:hAnsi="宋体" w:eastAsia="仿宋"/>
                <w:lang w:val="en-US" w:eastAsia="zh-CN"/>
              </w:rPr>
            </w:pPr>
            <w:r>
              <w:rPr>
                <w:rFonts w:hint="eastAsia" w:ascii="宋体" w:hAnsi="宋体"/>
                <w:lang w:val="en-US" w:eastAsia="zh-CN"/>
              </w:rPr>
              <w:t>3</w:t>
            </w:r>
          </w:p>
        </w:tc>
        <w:tc>
          <w:tcPr>
            <w:tcW w:w="1642" w:type="dxa"/>
            <w:vMerge w:val="restart"/>
            <w:noWrap w:val="0"/>
            <w:vAlign w:val="center"/>
          </w:tcPr>
          <w:p>
            <w:pPr>
              <w:spacing w:line="300" w:lineRule="exact"/>
              <w:jc w:val="center"/>
              <w:rPr>
                <w:rFonts w:hint="eastAsia" w:ascii="宋体" w:hAnsi="宋体" w:eastAsia="仿宋"/>
                <w:sz w:val="24"/>
                <w:lang w:val="en-US" w:eastAsia="zh-CN"/>
              </w:rPr>
            </w:pPr>
            <w:r>
              <w:rPr>
                <w:rFonts w:hint="eastAsia" w:ascii="宋体" w:hAnsi="宋体"/>
                <w:sz w:val="24"/>
                <w:lang w:val="en-US" w:eastAsia="zh-CN"/>
              </w:rPr>
              <w:t>技术部分</w:t>
            </w:r>
          </w:p>
        </w:tc>
        <w:tc>
          <w:tcPr>
            <w:tcW w:w="1642" w:type="dxa"/>
            <w:vMerge w:val="restart"/>
            <w:noWrap w:val="0"/>
            <w:vAlign w:val="center"/>
          </w:tcPr>
          <w:p>
            <w:pPr>
              <w:spacing w:line="300" w:lineRule="exact"/>
              <w:jc w:val="center"/>
              <w:rPr>
                <w:rFonts w:hint="default" w:ascii="宋体" w:hAnsi="宋体" w:eastAsia="仿宋"/>
                <w:sz w:val="24"/>
                <w:lang w:val="en-US" w:eastAsia="zh-CN"/>
              </w:rPr>
            </w:pPr>
            <w:r>
              <w:rPr>
                <w:rFonts w:hint="eastAsia" w:ascii="宋体" w:hAnsi="宋体"/>
                <w:sz w:val="24"/>
                <w:lang w:val="en-US" w:eastAsia="zh-CN"/>
              </w:rPr>
              <w:t>措施方案</w:t>
            </w:r>
          </w:p>
        </w:tc>
        <w:tc>
          <w:tcPr>
            <w:tcW w:w="769" w:type="dxa"/>
            <w:tcBorders>
              <w:top w:val="single" w:color="auto" w:sz="4" w:space="0"/>
              <w:bottom w:val="single" w:color="auto" w:sz="4" w:space="0"/>
            </w:tcBorders>
            <w:noWrap w:val="0"/>
            <w:vAlign w:val="center"/>
          </w:tcPr>
          <w:p>
            <w:pPr>
              <w:spacing w:line="300" w:lineRule="exact"/>
              <w:jc w:val="center"/>
              <w:rPr>
                <w:rFonts w:hint="default" w:ascii="宋体" w:hAnsi="宋体" w:eastAsia="仿宋"/>
                <w:sz w:val="24"/>
                <w:lang w:val="en-US" w:eastAsia="zh-CN"/>
              </w:rPr>
            </w:pPr>
            <w:r>
              <w:rPr>
                <w:rFonts w:hint="eastAsia" w:ascii="宋体" w:hAnsi="宋体"/>
                <w:sz w:val="24"/>
                <w:lang w:val="en-US" w:eastAsia="zh-CN"/>
              </w:rPr>
              <w:t>15分</w:t>
            </w:r>
          </w:p>
        </w:tc>
        <w:tc>
          <w:tcPr>
            <w:tcW w:w="5970" w:type="dxa"/>
            <w:tcBorders>
              <w:top w:val="single" w:color="auto" w:sz="4" w:space="0"/>
              <w:bottom w:val="single" w:color="auto" w:sz="4" w:space="0"/>
            </w:tcBorders>
            <w:noWrap w:val="0"/>
            <w:vAlign w:val="top"/>
          </w:tcPr>
          <w:p>
            <w:pPr>
              <w:spacing w:line="300" w:lineRule="exact"/>
              <w:rPr>
                <w:rFonts w:hint="default" w:ascii="宋体" w:hAnsi="宋体" w:eastAsia="仿宋" w:cs="仿宋"/>
                <w:sz w:val="24"/>
                <w:szCs w:val="22"/>
                <w:lang w:val="en-US" w:eastAsia="zh-CN" w:bidi="zh-CN"/>
              </w:rPr>
            </w:pPr>
            <w:r>
              <w:rPr>
                <w:rFonts w:hint="eastAsia" w:ascii="宋体" w:hAnsi="宋体" w:eastAsia="仿宋" w:cs="仿宋"/>
                <w:sz w:val="24"/>
                <w:szCs w:val="22"/>
                <w:lang w:val="en-US" w:eastAsia="zh-CN" w:bidi="zh-CN"/>
              </w:rPr>
              <w:t>从</w:t>
            </w:r>
            <w:r>
              <w:rPr>
                <w:rFonts w:hint="eastAsia" w:ascii="宋体" w:hAnsi="宋体" w:eastAsia="仿宋" w:cs="仿宋"/>
                <w:sz w:val="24"/>
                <w:szCs w:val="22"/>
                <w:lang w:val="zh-CN" w:eastAsia="zh-CN" w:bidi="zh-CN"/>
              </w:rPr>
              <w:t>施工方法、施工设备、劳动力计划合理，</w:t>
            </w:r>
            <w:r>
              <w:rPr>
                <w:rFonts w:hint="eastAsia" w:ascii="宋体" w:hAnsi="宋体" w:eastAsia="仿宋" w:cs="仿宋"/>
                <w:sz w:val="24"/>
                <w:szCs w:val="22"/>
                <w:lang w:val="en-US" w:eastAsia="zh-CN" w:bidi="zh-CN"/>
              </w:rPr>
              <w:t>详细的</w:t>
            </w:r>
            <w:r>
              <w:rPr>
                <w:rFonts w:hint="eastAsia" w:ascii="宋体" w:hAnsi="宋体" w:eastAsia="仿宋" w:cs="仿宋"/>
                <w:sz w:val="24"/>
                <w:szCs w:val="22"/>
                <w:lang w:val="zh-CN" w:eastAsia="zh-CN" w:bidi="zh-CN"/>
              </w:rPr>
              <w:t>施工总进度计划合理</w:t>
            </w:r>
            <w:r>
              <w:rPr>
                <w:rFonts w:hint="eastAsia" w:ascii="宋体" w:hAnsi="宋体" w:eastAsia="仿宋" w:cs="仿宋"/>
                <w:sz w:val="24"/>
                <w:szCs w:val="22"/>
                <w:lang w:val="en-US" w:eastAsia="zh-CN" w:bidi="zh-CN"/>
              </w:rPr>
              <w:t>方面进行打分，较好得15-10</w:t>
            </w:r>
            <w:r>
              <w:rPr>
                <w:rFonts w:hint="eastAsia" w:ascii="宋体" w:hAnsi="宋体" w:cs="仿宋"/>
                <w:sz w:val="24"/>
                <w:szCs w:val="22"/>
                <w:lang w:val="en-US" w:eastAsia="zh-CN" w:bidi="zh-CN"/>
              </w:rPr>
              <w:t>，</w:t>
            </w:r>
            <w:r>
              <w:rPr>
                <w:rFonts w:hint="eastAsia" w:ascii="宋体" w:hAnsi="宋体" w:eastAsia="仿宋" w:cs="仿宋"/>
                <w:sz w:val="24"/>
                <w:szCs w:val="22"/>
                <w:lang w:val="en-US" w:eastAsia="zh-CN" w:bidi="zh-CN"/>
              </w:rPr>
              <w:t>一般9-5，较差4-0。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690" w:type="dxa"/>
            <w:vMerge w:val="continue"/>
            <w:noWrap w:val="0"/>
            <w:vAlign w:val="center"/>
          </w:tcPr>
          <w:p>
            <w:pPr>
              <w:pStyle w:val="23"/>
              <w:spacing w:line="300" w:lineRule="exact"/>
              <w:ind w:firstLine="240" w:firstLineChars="100"/>
              <w:rPr>
                <w:rFonts w:hint="default" w:ascii="宋体" w:hAnsi="宋体"/>
              </w:rPr>
            </w:pPr>
          </w:p>
        </w:tc>
        <w:tc>
          <w:tcPr>
            <w:tcW w:w="1642" w:type="dxa"/>
            <w:vMerge w:val="continue"/>
            <w:noWrap w:val="0"/>
            <w:vAlign w:val="center"/>
          </w:tcPr>
          <w:p>
            <w:pPr>
              <w:pStyle w:val="23"/>
              <w:spacing w:line="300" w:lineRule="exact"/>
              <w:ind w:firstLine="0"/>
              <w:jc w:val="center"/>
              <w:rPr>
                <w:rFonts w:hint="eastAsia" w:ascii="宋体" w:hAnsi="宋体"/>
                <w:lang w:val="en-US" w:eastAsia="zh-CN"/>
              </w:rPr>
            </w:pPr>
          </w:p>
        </w:tc>
        <w:tc>
          <w:tcPr>
            <w:tcW w:w="1642" w:type="dxa"/>
            <w:vMerge w:val="continue"/>
            <w:tcBorders>
              <w:bottom w:val="single" w:color="auto" w:sz="4" w:space="0"/>
            </w:tcBorders>
            <w:noWrap w:val="0"/>
            <w:vAlign w:val="center"/>
          </w:tcPr>
          <w:p>
            <w:pPr>
              <w:pStyle w:val="23"/>
              <w:spacing w:line="300" w:lineRule="exact"/>
              <w:ind w:firstLine="0"/>
              <w:jc w:val="center"/>
              <w:rPr>
                <w:rFonts w:ascii="宋体" w:hAnsi="宋体"/>
              </w:rPr>
            </w:pPr>
          </w:p>
        </w:tc>
        <w:tc>
          <w:tcPr>
            <w:tcW w:w="769" w:type="dxa"/>
            <w:tcBorders>
              <w:top w:val="single" w:color="auto" w:sz="4" w:space="0"/>
            </w:tcBorders>
            <w:noWrap w:val="0"/>
            <w:vAlign w:val="center"/>
          </w:tcPr>
          <w:p>
            <w:pPr>
              <w:spacing w:line="300" w:lineRule="exact"/>
              <w:jc w:val="center"/>
              <w:rPr>
                <w:rFonts w:hint="default" w:ascii="宋体" w:hAnsi="宋体" w:eastAsia="仿宋"/>
                <w:sz w:val="24"/>
                <w:lang w:val="en-US" w:eastAsia="zh-CN"/>
              </w:rPr>
            </w:pPr>
          </w:p>
        </w:tc>
        <w:tc>
          <w:tcPr>
            <w:tcW w:w="5970" w:type="dxa"/>
            <w:tcBorders>
              <w:top w:val="single" w:color="auto" w:sz="4" w:space="0"/>
              <w:bottom w:val="single" w:color="auto" w:sz="4" w:space="0"/>
            </w:tcBorders>
            <w:noWrap w:val="0"/>
            <w:vAlign w:val="center"/>
          </w:tcPr>
          <w:p>
            <w:pPr>
              <w:pStyle w:val="23"/>
              <w:spacing w:line="300" w:lineRule="exact"/>
              <w:ind w:firstLine="0"/>
              <w:rPr>
                <w:rFonts w:hint="default" w:ascii="宋体" w:hAnsi="宋体" w:eastAsia="仿宋" w:cs="仿宋"/>
                <w:sz w:val="24"/>
                <w:szCs w:val="22"/>
                <w:lang w:val="en-US" w:eastAsia="zh-CN" w:bidi="zh-CN"/>
              </w:rPr>
            </w:pPr>
            <w:r>
              <w:rPr>
                <w:rFonts w:hint="eastAsia" w:ascii="宋体" w:hAnsi="宋体" w:eastAsia="仿宋" w:cs="仿宋"/>
                <w:sz w:val="24"/>
                <w:szCs w:val="22"/>
                <w:lang w:val="zh-CN" w:eastAsia="zh-CN" w:bidi="zh-CN"/>
              </w:rPr>
              <w:t>涉及主要内容齐全措施计划详尽、流水段的划分合理</w:t>
            </w:r>
            <w:r>
              <w:rPr>
                <w:rFonts w:hint="eastAsia" w:ascii="宋体" w:hAnsi="宋体" w:eastAsia="仿宋" w:cs="仿宋"/>
                <w:sz w:val="24"/>
                <w:szCs w:val="22"/>
                <w:lang w:val="en-US" w:eastAsia="zh-CN" w:bidi="zh-CN"/>
              </w:rPr>
              <w:t>及流水作业合理、</w:t>
            </w:r>
            <w:r>
              <w:rPr>
                <w:rFonts w:hint="eastAsia" w:ascii="宋体" w:hAnsi="宋体" w:eastAsia="仿宋" w:cs="仿宋"/>
                <w:sz w:val="24"/>
                <w:szCs w:val="22"/>
                <w:lang w:val="zh-CN" w:eastAsia="zh-CN" w:bidi="zh-CN"/>
              </w:rPr>
              <w:t>各项交叉作业切合实际、机具合理可行</w:t>
            </w:r>
            <w:r>
              <w:rPr>
                <w:rFonts w:hint="eastAsia" w:ascii="宋体" w:hAnsi="宋体" w:eastAsia="仿宋" w:cs="仿宋"/>
                <w:sz w:val="24"/>
                <w:szCs w:val="22"/>
                <w:lang w:val="en-US" w:eastAsia="zh-CN" w:bidi="zh-CN"/>
              </w:rPr>
              <w:t>性方面进行打分，较好得15-10</w:t>
            </w:r>
            <w:r>
              <w:rPr>
                <w:rFonts w:hint="eastAsia" w:ascii="宋体" w:hAnsi="宋体" w:cs="仿宋"/>
                <w:sz w:val="24"/>
                <w:szCs w:val="22"/>
                <w:lang w:val="en-US" w:eastAsia="zh-CN" w:bidi="zh-CN"/>
              </w:rPr>
              <w:t>，</w:t>
            </w:r>
            <w:r>
              <w:rPr>
                <w:rFonts w:hint="eastAsia" w:ascii="宋体" w:hAnsi="宋体" w:eastAsia="仿宋" w:cs="仿宋"/>
                <w:sz w:val="24"/>
                <w:szCs w:val="22"/>
                <w:lang w:val="en-US" w:eastAsia="zh-CN" w:bidi="zh-CN"/>
              </w:rPr>
              <w:t>一般9-5，较差4-0。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0" w:hRule="atLeast"/>
          <w:jc w:val="center"/>
        </w:trPr>
        <w:tc>
          <w:tcPr>
            <w:tcW w:w="690" w:type="dxa"/>
            <w:vMerge w:val="continue"/>
            <w:noWrap w:val="0"/>
            <w:vAlign w:val="center"/>
          </w:tcPr>
          <w:p>
            <w:pPr>
              <w:pStyle w:val="23"/>
              <w:spacing w:line="300" w:lineRule="exact"/>
              <w:ind w:firstLine="240" w:firstLineChars="100"/>
              <w:rPr>
                <w:rFonts w:hint="eastAsia" w:ascii="宋体" w:hAnsi="宋体" w:eastAsia="宋体"/>
                <w:lang w:val="en-US" w:eastAsia="zh-CN"/>
              </w:rPr>
            </w:pPr>
          </w:p>
        </w:tc>
        <w:tc>
          <w:tcPr>
            <w:tcW w:w="1642" w:type="dxa"/>
            <w:vMerge w:val="continue"/>
            <w:noWrap w:val="0"/>
            <w:vAlign w:val="center"/>
          </w:tcPr>
          <w:p>
            <w:pPr>
              <w:pStyle w:val="23"/>
              <w:spacing w:line="300" w:lineRule="exact"/>
              <w:ind w:firstLine="0"/>
              <w:jc w:val="center"/>
              <w:rPr>
                <w:rFonts w:ascii="宋体" w:hAnsi="宋体"/>
              </w:rPr>
            </w:pPr>
          </w:p>
        </w:tc>
        <w:tc>
          <w:tcPr>
            <w:tcW w:w="1642" w:type="dxa"/>
            <w:vMerge w:val="restart"/>
            <w:tcBorders>
              <w:top w:val="single" w:color="auto" w:sz="4" w:space="0"/>
            </w:tcBorders>
            <w:noWrap w:val="0"/>
            <w:vAlign w:val="center"/>
          </w:tcPr>
          <w:p>
            <w:pPr>
              <w:spacing w:line="300" w:lineRule="exact"/>
              <w:jc w:val="center"/>
              <w:rPr>
                <w:rFonts w:hint="default" w:ascii="宋体" w:hAnsi="宋体"/>
                <w:sz w:val="24"/>
                <w:lang w:val="en-US" w:eastAsia="zh-CN"/>
              </w:rPr>
            </w:pPr>
            <w:r>
              <w:rPr>
                <w:rFonts w:hint="eastAsia" w:ascii="宋体" w:hAnsi="宋体"/>
                <w:sz w:val="24"/>
                <w:lang w:val="en-US" w:eastAsia="zh-CN"/>
              </w:rPr>
              <w:t>质量管理</w:t>
            </w:r>
          </w:p>
        </w:tc>
        <w:tc>
          <w:tcPr>
            <w:tcW w:w="769" w:type="dxa"/>
            <w:tcBorders>
              <w:top w:val="single" w:color="auto" w:sz="4" w:space="0"/>
            </w:tcBorders>
            <w:noWrap w:val="0"/>
            <w:vAlign w:val="center"/>
          </w:tcPr>
          <w:p>
            <w:pPr>
              <w:spacing w:line="300" w:lineRule="exact"/>
              <w:rPr>
                <w:rFonts w:hint="default" w:ascii="宋体" w:hAnsi="宋体"/>
                <w:sz w:val="24"/>
                <w:lang w:val="en-US" w:eastAsia="zh-CN"/>
              </w:rPr>
            </w:pPr>
            <w:r>
              <w:rPr>
                <w:rFonts w:hint="eastAsia" w:ascii="宋体" w:hAnsi="宋体"/>
                <w:sz w:val="24"/>
                <w:lang w:val="en-US" w:eastAsia="zh-CN"/>
              </w:rPr>
              <w:t>15分</w:t>
            </w:r>
          </w:p>
        </w:tc>
        <w:tc>
          <w:tcPr>
            <w:tcW w:w="5970" w:type="dxa"/>
            <w:tcBorders>
              <w:top w:val="single" w:color="auto" w:sz="4" w:space="0"/>
            </w:tcBorders>
            <w:noWrap w:val="0"/>
            <w:vAlign w:val="center"/>
          </w:tcPr>
          <w:p>
            <w:pPr>
              <w:spacing w:line="300" w:lineRule="exact"/>
              <w:rPr>
                <w:rFonts w:hint="default" w:ascii="宋体" w:hAnsi="宋体"/>
                <w:sz w:val="24"/>
                <w:lang w:val="en-US" w:eastAsia="zh-CN"/>
              </w:rPr>
            </w:pPr>
            <w:r>
              <w:rPr>
                <w:rFonts w:hint="eastAsia" w:ascii="宋体" w:hAnsi="宋体"/>
                <w:sz w:val="24"/>
                <w:lang w:val="en-US" w:eastAsia="zh-CN"/>
              </w:rPr>
              <w:t>从</w:t>
            </w:r>
            <w:r>
              <w:rPr>
                <w:rFonts w:hint="eastAsia" w:ascii="宋体" w:hAnsi="宋体"/>
                <w:sz w:val="24"/>
              </w:rPr>
              <w:t>工程项目的质保体系</w:t>
            </w:r>
            <w:r>
              <w:rPr>
                <w:rFonts w:hint="eastAsia" w:ascii="宋体" w:hAnsi="宋体"/>
                <w:sz w:val="24"/>
                <w:lang w:eastAsia="zh-CN"/>
              </w:rPr>
              <w:t>、</w:t>
            </w:r>
            <w:r>
              <w:rPr>
                <w:rFonts w:hint="eastAsia" w:ascii="宋体" w:hAnsi="宋体"/>
                <w:sz w:val="24"/>
                <w:lang w:val="en-US" w:eastAsia="zh-CN"/>
              </w:rPr>
              <w:t>工程</w:t>
            </w:r>
            <w:r>
              <w:rPr>
                <w:rFonts w:hint="eastAsia" w:ascii="宋体" w:hAnsi="宋体"/>
                <w:sz w:val="24"/>
              </w:rPr>
              <w:t>安保体系</w:t>
            </w:r>
            <w:r>
              <w:rPr>
                <w:rFonts w:hint="eastAsia" w:ascii="宋体" w:hAnsi="宋体"/>
                <w:sz w:val="24"/>
                <w:lang w:eastAsia="zh-CN"/>
              </w:rPr>
              <w:t>、</w:t>
            </w:r>
            <w:r>
              <w:rPr>
                <w:rFonts w:hint="eastAsia" w:ascii="宋体" w:hAnsi="宋体"/>
                <w:sz w:val="24"/>
              </w:rPr>
              <w:t>创优措施切实可行</w:t>
            </w:r>
            <w:r>
              <w:rPr>
                <w:rFonts w:hint="eastAsia" w:ascii="宋体" w:hAnsi="宋体"/>
                <w:sz w:val="24"/>
                <w:lang w:eastAsia="zh-CN"/>
              </w:rPr>
              <w:t>、</w:t>
            </w:r>
            <w:r>
              <w:rPr>
                <w:rFonts w:hint="eastAsia" w:ascii="宋体" w:hAnsi="宋体"/>
                <w:sz w:val="24"/>
              </w:rPr>
              <w:t>工程的安全措施</w:t>
            </w:r>
            <w:r>
              <w:rPr>
                <w:rFonts w:hint="eastAsia" w:ascii="宋体" w:hAnsi="宋体"/>
                <w:sz w:val="24"/>
                <w:lang w:eastAsia="zh-CN"/>
              </w:rPr>
              <w:t>、</w:t>
            </w:r>
            <w:r>
              <w:rPr>
                <w:rFonts w:hint="eastAsia" w:ascii="宋体" w:hAnsi="宋体"/>
                <w:sz w:val="24"/>
              </w:rPr>
              <w:t>文明施工措施</w:t>
            </w:r>
            <w:r>
              <w:rPr>
                <w:rFonts w:hint="eastAsia" w:ascii="宋体" w:hAnsi="宋体"/>
                <w:sz w:val="24"/>
                <w:lang w:val="en-US" w:eastAsia="zh-CN"/>
              </w:rPr>
              <w:t>等方面经行打分，较好得15-10，一般9-5，较差4-0。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09" w:hRule="atLeast"/>
          <w:jc w:val="center"/>
        </w:trPr>
        <w:tc>
          <w:tcPr>
            <w:tcW w:w="690" w:type="dxa"/>
            <w:vMerge w:val="continue"/>
            <w:noWrap w:val="0"/>
            <w:vAlign w:val="center"/>
          </w:tcPr>
          <w:p>
            <w:pPr>
              <w:pStyle w:val="23"/>
              <w:spacing w:line="300" w:lineRule="exact"/>
              <w:ind w:firstLine="240" w:firstLineChars="100"/>
              <w:rPr>
                <w:rFonts w:hint="eastAsia" w:ascii="宋体" w:hAnsi="宋体" w:eastAsia="宋体"/>
                <w:lang w:val="en-US" w:eastAsia="zh-CN"/>
              </w:rPr>
            </w:pPr>
          </w:p>
        </w:tc>
        <w:tc>
          <w:tcPr>
            <w:tcW w:w="1642" w:type="dxa"/>
            <w:vMerge w:val="continue"/>
            <w:noWrap w:val="0"/>
            <w:vAlign w:val="center"/>
          </w:tcPr>
          <w:p>
            <w:pPr>
              <w:spacing w:line="300" w:lineRule="exact"/>
              <w:jc w:val="center"/>
              <w:rPr>
                <w:rFonts w:hint="eastAsia" w:ascii="宋体" w:hAnsi="宋体"/>
                <w:lang w:val="en-US" w:eastAsia="zh-CN"/>
              </w:rPr>
            </w:pPr>
          </w:p>
        </w:tc>
        <w:tc>
          <w:tcPr>
            <w:tcW w:w="1642" w:type="dxa"/>
            <w:vMerge w:val="continue"/>
            <w:tcBorders>
              <w:bottom w:val="single" w:color="auto" w:sz="4" w:space="0"/>
            </w:tcBorders>
            <w:noWrap w:val="0"/>
            <w:vAlign w:val="center"/>
          </w:tcPr>
          <w:p>
            <w:pPr>
              <w:spacing w:line="300" w:lineRule="exact"/>
              <w:jc w:val="center"/>
              <w:rPr>
                <w:rFonts w:hint="default" w:ascii="宋体" w:hAnsi="宋体"/>
                <w:sz w:val="24"/>
                <w:lang w:val="en-US" w:eastAsia="zh-CN"/>
              </w:rPr>
            </w:pPr>
          </w:p>
        </w:tc>
        <w:tc>
          <w:tcPr>
            <w:tcW w:w="769" w:type="dxa"/>
            <w:tcBorders>
              <w:top w:val="single" w:color="auto" w:sz="4" w:space="0"/>
              <w:bottom w:val="single" w:color="auto" w:sz="4" w:space="0"/>
            </w:tcBorders>
            <w:noWrap w:val="0"/>
            <w:vAlign w:val="center"/>
          </w:tcPr>
          <w:p>
            <w:pPr>
              <w:spacing w:line="300" w:lineRule="exact"/>
              <w:rPr>
                <w:rFonts w:hint="default" w:ascii="宋体" w:hAnsi="宋体"/>
                <w:sz w:val="24"/>
                <w:lang w:val="en-US"/>
              </w:rPr>
            </w:pPr>
            <w:r>
              <w:rPr>
                <w:rFonts w:hint="eastAsia" w:ascii="宋体" w:hAnsi="宋体"/>
                <w:sz w:val="24"/>
                <w:lang w:val="en-US" w:eastAsia="zh-CN"/>
              </w:rPr>
              <w:t>10分</w:t>
            </w:r>
          </w:p>
          <w:p>
            <w:pPr>
              <w:spacing w:line="300" w:lineRule="exact"/>
              <w:rPr>
                <w:rFonts w:hint="eastAsia" w:ascii="宋体" w:hAnsi="宋体"/>
                <w:sz w:val="24"/>
                <w:lang w:eastAsia="zh-CN"/>
              </w:rPr>
            </w:pPr>
          </w:p>
        </w:tc>
        <w:tc>
          <w:tcPr>
            <w:tcW w:w="5970" w:type="dxa"/>
            <w:tcBorders>
              <w:top w:val="single" w:color="auto" w:sz="4" w:space="0"/>
              <w:bottom w:val="single" w:color="auto" w:sz="4" w:space="0"/>
            </w:tcBorders>
            <w:noWrap w:val="0"/>
            <w:vAlign w:val="center"/>
          </w:tcPr>
          <w:p>
            <w:pPr>
              <w:spacing w:line="300" w:lineRule="exact"/>
              <w:rPr>
                <w:rFonts w:hint="eastAsia" w:ascii="宋体" w:hAnsi="宋体"/>
                <w:sz w:val="24"/>
                <w:lang w:eastAsia="zh-CN"/>
              </w:rPr>
            </w:pPr>
            <w:r>
              <w:rPr>
                <w:rFonts w:hint="eastAsia" w:ascii="宋体" w:hAnsi="宋体"/>
                <w:sz w:val="24"/>
              </w:rPr>
              <w:t>制定了质量通病的防治措施、措施</w:t>
            </w:r>
            <w:r>
              <w:rPr>
                <w:rFonts w:hint="eastAsia" w:ascii="宋体" w:hAnsi="宋体"/>
                <w:sz w:val="24"/>
                <w:lang w:val="en-US" w:eastAsia="zh-CN"/>
              </w:rPr>
              <w:t>切实</w:t>
            </w:r>
            <w:r>
              <w:rPr>
                <w:rFonts w:hint="eastAsia" w:ascii="宋体" w:hAnsi="宋体"/>
                <w:sz w:val="24"/>
              </w:rPr>
              <w:t>可行</w:t>
            </w:r>
            <w:r>
              <w:rPr>
                <w:rFonts w:hint="eastAsia" w:ascii="宋体" w:hAnsi="宋体"/>
                <w:sz w:val="24"/>
                <w:lang w:eastAsia="zh-CN"/>
              </w:rPr>
              <w:t>、</w:t>
            </w:r>
          </w:p>
          <w:p>
            <w:pPr>
              <w:spacing w:line="300" w:lineRule="exact"/>
              <w:rPr>
                <w:rFonts w:hint="default" w:ascii="宋体" w:hAnsi="宋体"/>
                <w:sz w:val="24"/>
                <w:lang w:val="en-US" w:eastAsia="zh-CN"/>
              </w:rPr>
            </w:pPr>
            <w:r>
              <w:rPr>
                <w:rFonts w:hint="eastAsia" w:ascii="宋体" w:hAnsi="宋体"/>
                <w:sz w:val="24"/>
              </w:rPr>
              <w:t>执行国家强制性条文、有切实可行的保证措施</w:t>
            </w:r>
            <w:r>
              <w:rPr>
                <w:rFonts w:hint="eastAsia" w:ascii="宋体" w:hAnsi="宋体"/>
                <w:sz w:val="24"/>
                <w:lang w:val="en-US" w:eastAsia="zh-CN"/>
              </w:rPr>
              <w:t>等两方面打分，较好得10-5，一般4-3，较差2-0。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9" w:hRule="atLeast"/>
          <w:jc w:val="center"/>
        </w:trPr>
        <w:tc>
          <w:tcPr>
            <w:tcW w:w="690" w:type="dxa"/>
            <w:vMerge w:val="continue"/>
            <w:noWrap w:val="0"/>
            <w:vAlign w:val="center"/>
          </w:tcPr>
          <w:p>
            <w:pPr>
              <w:pStyle w:val="23"/>
              <w:spacing w:line="300" w:lineRule="exact"/>
              <w:ind w:firstLine="240" w:firstLineChars="100"/>
              <w:rPr>
                <w:rFonts w:hint="eastAsia" w:ascii="宋体" w:hAnsi="宋体"/>
                <w:lang w:val="en-US" w:eastAsia="zh-CN"/>
              </w:rPr>
            </w:pPr>
          </w:p>
        </w:tc>
        <w:tc>
          <w:tcPr>
            <w:tcW w:w="1642" w:type="dxa"/>
            <w:vMerge w:val="continue"/>
            <w:noWrap w:val="0"/>
            <w:vAlign w:val="center"/>
          </w:tcPr>
          <w:p>
            <w:pPr>
              <w:spacing w:line="300" w:lineRule="exact"/>
              <w:jc w:val="center"/>
              <w:rPr>
                <w:rFonts w:hint="eastAsia" w:ascii="宋体" w:hAnsi="宋体"/>
                <w:lang w:val="en-US" w:eastAsia="zh-CN"/>
              </w:rPr>
            </w:pPr>
          </w:p>
        </w:tc>
        <w:tc>
          <w:tcPr>
            <w:tcW w:w="1642" w:type="dxa"/>
            <w:tcBorders>
              <w:top w:val="single" w:color="auto" w:sz="4" w:space="0"/>
              <w:bottom w:val="single" w:color="auto" w:sz="4" w:space="0"/>
            </w:tcBorders>
            <w:noWrap w:val="0"/>
            <w:vAlign w:val="center"/>
          </w:tcPr>
          <w:p>
            <w:pPr>
              <w:spacing w:line="300" w:lineRule="exact"/>
              <w:jc w:val="center"/>
              <w:rPr>
                <w:rFonts w:hint="default" w:ascii="宋体" w:hAnsi="宋体"/>
                <w:sz w:val="24"/>
                <w:lang w:val="en-US" w:eastAsia="zh-CN"/>
              </w:rPr>
            </w:pPr>
            <w:r>
              <w:rPr>
                <w:rFonts w:hint="eastAsia" w:ascii="宋体" w:hAnsi="宋体"/>
                <w:sz w:val="21"/>
                <w:szCs w:val="21"/>
                <w:lang w:val="en-US" w:eastAsia="zh-CN"/>
              </w:rPr>
              <w:t>先进方案</w:t>
            </w:r>
          </w:p>
        </w:tc>
        <w:tc>
          <w:tcPr>
            <w:tcW w:w="769" w:type="dxa"/>
            <w:tcBorders>
              <w:top w:val="single" w:color="auto" w:sz="4" w:space="0"/>
              <w:bottom w:val="single" w:color="auto" w:sz="4" w:space="0"/>
            </w:tcBorders>
            <w:noWrap w:val="0"/>
            <w:vAlign w:val="center"/>
          </w:tcPr>
          <w:p>
            <w:pPr>
              <w:spacing w:line="300" w:lineRule="exact"/>
              <w:rPr>
                <w:rFonts w:hint="default" w:ascii="宋体" w:hAnsi="宋体"/>
                <w:sz w:val="24"/>
                <w:lang w:val="en-US" w:eastAsia="zh-CN"/>
              </w:rPr>
            </w:pPr>
            <w:r>
              <w:rPr>
                <w:rFonts w:hint="eastAsia" w:ascii="宋体" w:hAnsi="宋体"/>
                <w:sz w:val="24"/>
                <w:lang w:val="en-US" w:eastAsia="zh-CN"/>
              </w:rPr>
              <w:t>10分</w:t>
            </w:r>
          </w:p>
        </w:tc>
        <w:tc>
          <w:tcPr>
            <w:tcW w:w="5970" w:type="dxa"/>
            <w:tcBorders>
              <w:top w:val="single" w:color="auto" w:sz="4" w:space="0"/>
              <w:bottom w:val="single" w:color="auto" w:sz="4" w:space="0"/>
            </w:tcBorders>
            <w:noWrap w:val="0"/>
            <w:vAlign w:val="center"/>
          </w:tcPr>
          <w:p>
            <w:pPr>
              <w:spacing w:line="300" w:lineRule="exact"/>
              <w:rPr>
                <w:rFonts w:hint="eastAsia" w:ascii="宋体" w:hAnsi="宋体"/>
                <w:sz w:val="24"/>
              </w:rPr>
            </w:pPr>
            <w:bookmarkStart w:id="116" w:name="_GoBack"/>
            <w:bookmarkEnd w:id="116"/>
          </w:p>
          <w:p>
            <w:pPr>
              <w:spacing w:line="300" w:lineRule="exact"/>
              <w:rPr>
                <w:rFonts w:hint="default" w:ascii="宋体" w:hAnsi="宋体"/>
                <w:sz w:val="24"/>
                <w:lang w:val="en-US" w:eastAsia="zh-CN"/>
              </w:rPr>
            </w:pPr>
            <w:r>
              <w:rPr>
                <w:rFonts w:hint="eastAsia" w:ascii="宋体" w:hAnsi="宋体"/>
                <w:sz w:val="24"/>
              </w:rPr>
              <w:t>确保工程质量前提下，有降低成本、缩短工期、减轻劳动强度提高进度</w:t>
            </w:r>
            <w:r>
              <w:rPr>
                <w:rFonts w:hint="eastAsia" w:ascii="宋体" w:hAnsi="宋体"/>
                <w:sz w:val="24"/>
                <w:lang w:val="en-US" w:eastAsia="zh-CN"/>
              </w:rPr>
              <w:t>方案可行得10-0分，没有不得分。</w:t>
            </w:r>
          </w:p>
          <w:p>
            <w:pPr>
              <w:spacing w:line="300" w:lineRule="exact"/>
              <w:rPr>
                <w:rFonts w:hint="default" w:ascii="宋体" w:hAnsi="宋体"/>
                <w:sz w:val="24"/>
                <w:lang w:val="en-US" w:eastAsia="zh-CN"/>
              </w:rPr>
            </w:pPr>
          </w:p>
        </w:tc>
      </w:tr>
    </w:tbl>
    <w:p>
      <w:pPr>
        <w:pStyle w:val="8"/>
        <w:spacing w:before="4"/>
        <w:rPr>
          <w:rFonts w:hint="eastAsia" w:ascii="楷体"/>
          <w:sz w:val="25"/>
          <w:lang w:val="en-US" w:eastAsia="zh-CN"/>
        </w:rPr>
      </w:pPr>
    </w:p>
    <w:p>
      <w:pPr>
        <w:pStyle w:val="8"/>
        <w:spacing w:before="4"/>
        <w:ind w:firstLine="500" w:firstLineChars="200"/>
        <w:rPr>
          <w:rFonts w:hint="eastAsia" w:ascii="楷体"/>
          <w:sz w:val="25"/>
          <w:lang w:val="en-US" w:eastAsia="zh-CN"/>
        </w:rPr>
      </w:pPr>
    </w:p>
    <w:p>
      <w:pPr>
        <w:pStyle w:val="8"/>
        <w:spacing w:before="4"/>
        <w:ind w:firstLine="500" w:firstLineChars="200"/>
        <w:rPr>
          <w:rFonts w:hint="default" w:ascii="楷体"/>
          <w:sz w:val="25"/>
          <w:lang w:val="en-US" w:eastAsia="zh-CN"/>
        </w:rPr>
      </w:pPr>
    </w:p>
    <w:p>
      <w:pPr>
        <w:pStyle w:val="21"/>
        <w:numPr>
          <w:ilvl w:val="3"/>
          <w:numId w:val="17"/>
        </w:numPr>
        <w:tabs>
          <w:tab w:val="left" w:pos="1139"/>
        </w:tabs>
        <w:spacing w:before="0" w:after="0" w:line="240" w:lineRule="auto"/>
        <w:ind w:left="1138" w:right="0" w:hanging="421"/>
        <w:jc w:val="left"/>
        <w:rPr>
          <w:rFonts w:ascii="楷体"/>
          <w:sz w:val="20"/>
        </w:rPr>
      </w:pPr>
      <w:r>
        <w:rPr>
          <w:rFonts w:hint="eastAsia" w:ascii="楷体" w:eastAsia="楷体"/>
          <w:sz w:val="24"/>
        </w:rPr>
        <w:t>初步评审表</w:t>
      </w:r>
    </w:p>
    <w:p>
      <w:pPr>
        <w:pStyle w:val="8"/>
        <w:rPr>
          <w:rFonts w:ascii="楷体"/>
          <w:sz w:val="26"/>
        </w:rPr>
      </w:pPr>
    </w:p>
    <w:tbl>
      <w:tblPr>
        <w:tblStyle w:val="18"/>
        <w:tblW w:w="0" w:type="auto"/>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2048"/>
        <w:gridCol w:w="5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434" w:type="dxa"/>
            <w:gridSpan w:val="2"/>
          </w:tcPr>
          <w:p>
            <w:pPr>
              <w:pStyle w:val="22"/>
              <w:spacing w:before="166"/>
              <w:ind w:left="1335" w:right="1326"/>
              <w:jc w:val="center"/>
              <w:rPr>
                <w:b/>
                <w:sz w:val="24"/>
              </w:rPr>
            </w:pPr>
            <w:r>
              <w:rPr>
                <w:b/>
                <w:sz w:val="24"/>
              </w:rPr>
              <w:t>条款号</w:t>
            </w:r>
          </w:p>
        </w:tc>
        <w:tc>
          <w:tcPr>
            <w:tcW w:w="5782" w:type="dxa"/>
          </w:tcPr>
          <w:p>
            <w:pPr>
              <w:pStyle w:val="22"/>
              <w:spacing w:before="166"/>
              <w:ind w:left="2388" w:right="2379"/>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86" w:type="dxa"/>
            <w:vMerge w:val="restart"/>
            <w:tcBorders>
              <w:left w:val="single" w:color="auto" w:sz="4" w:space="0"/>
            </w:tcBorders>
          </w:tcPr>
          <w:p>
            <w:pPr>
              <w:pStyle w:val="22"/>
              <w:rPr>
                <w:rFonts w:ascii="楷体"/>
                <w:sz w:val="24"/>
              </w:rPr>
            </w:pPr>
          </w:p>
          <w:p>
            <w:pPr>
              <w:pStyle w:val="22"/>
              <w:rPr>
                <w:rFonts w:ascii="楷体"/>
                <w:sz w:val="24"/>
              </w:rPr>
            </w:pPr>
          </w:p>
          <w:p>
            <w:pPr>
              <w:pStyle w:val="22"/>
              <w:rPr>
                <w:rFonts w:ascii="楷体"/>
                <w:sz w:val="24"/>
              </w:rPr>
            </w:pPr>
          </w:p>
          <w:p>
            <w:pPr>
              <w:pStyle w:val="22"/>
              <w:rPr>
                <w:rFonts w:ascii="楷体"/>
                <w:sz w:val="24"/>
              </w:rPr>
            </w:pPr>
          </w:p>
          <w:p>
            <w:pPr>
              <w:pStyle w:val="22"/>
              <w:rPr>
                <w:rFonts w:ascii="楷体"/>
                <w:sz w:val="24"/>
              </w:rPr>
            </w:pPr>
          </w:p>
          <w:p>
            <w:pPr>
              <w:pStyle w:val="22"/>
              <w:spacing w:before="1"/>
              <w:rPr>
                <w:rFonts w:ascii="楷体"/>
                <w:sz w:val="17"/>
              </w:rPr>
            </w:pPr>
          </w:p>
          <w:p>
            <w:pPr>
              <w:pStyle w:val="22"/>
              <w:spacing w:before="1"/>
              <w:ind w:left="393"/>
              <w:rPr>
                <w:sz w:val="24"/>
              </w:rPr>
            </w:pPr>
          </w:p>
          <w:p>
            <w:pPr>
              <w:pStyle w:val="22"/>
              <w:spacing w:before="1"/>
              <w:ind w:left="393"/>
              <w:rPr>
                <w:sz w:val="24"/>
              </w:rPr>
            </w:pPr>
          </w:p>
          <w:p>
            <w:pPr>
              <w:pStyle w:val="22"/>
              <w:spacing w:before="1"/>
              <w:ind w:left="393"/>
              <w:rPr>
                <w:sz w:val="24"/>
              </w:rPr>
            </w:pPr>
          </w:p>
          <w:p>
            <w:pPr>
              <w:pStyle w:val="22"/>
              <w:spacing w:before="1"/>
              <w:ind w:left="393"/>
              <w:rPr>
                <w:sz w:val="24"/>
              </w:rPr>
            </w:pPr>
          </w:p>
          <w:p>
            <w:pPr>
              <w:pStyle w:val="22"/>
              <w:spacing w:before="1"/>
              <w:ind w:left="393"/>
              <w:rPr>
                <w:sz w:val="24"/>
              </w:rPr>
            </w:pPr>
            <w:r>
              <w:rPr>
                <w:sz w:val="24"/>
              </w:rPr>
              <w:t>2.2.1</w:t>
            </w:r>
          </w:p>
        </w:tc>
        <w:tc>
          <w:tcPr>
            <w:tcW w:w="2048" w:type="dxa"/>
            <w:vMerge w:val="restart"/>
          </w:tcPr>
          <w:p>
            <w:pPr>
              <w:pStyle w:val="22"/>
              <w:rPr>
                <w:rFonts w:ascii="楷体"/>
                <w:sz w:val="24"/>
              </w:rPr>
            </w:pPr>
          </w:p>
          <w:p>
            <w:pPr>
              <w:pStyle w:val="22"/>
              <w:rPr>
                <w:rFonts w:ascii="楷体"/>
                <w:sz w:val="24"/>
              </w:rPr>
            </w:pPr>
          </w:p>
          <w:p>
            <w:pPr>
              <w:pStyle w:val="22"/>
              <w:rPr>
                <w:rFonts w:ascii="楷体"/>
                <w:sz w:val="24"/>
              </w:rPr>
            </w:pPr>
          </w:p>
          <w:p>
            <w:pPr>
              <w:pStyle w:val="22"/>
              <w:rPr>
                <w:rFonts w:ascii="楷体"/>
                <w:sz w:val="24"/>
              </w:rPr>
            </w:pPr>
          </w:p>
          <w:p>
            <w:pPr>
              <w:pStyle w:val="22"/>
              <w:rPr>
                <w:rFonts w:ascii="楷体"/>
                <w:sz w:val="24"/>
              </w:rPr>
            </w:pPr>
          </w:p>
          <w:p>
            <w:pPr>
              <w:pStyle w:val="22"/>
              <w:spacing w:before="1"/>
              <w:rPr>
                <w:rFonts w:ascii="楷体"/>
                <w:sz w:val="17"/>
              </w:rPr>
            </w:pPr>
          </w:p>
          <w:p>
            <w:pPr>
              <w:pStyle w:val="22"/>
              <w:spacing w:before="1"/>
              <w:ind w:left="423"/>
              <w:rPr>
                <w:sz w:val="24"/>
              </w:rPr>
            </w:pPr>
          </w:p>
          <w:p>
            <w:pPr>
              <w:pStyle w:val="22"/>
              <w:spacing w:before="1"/>
              <w:ind w:left="423"/>
              <w:rPr>
                <w:sz w:val="24"/>
              </w:rPr>
            </w:pPr>
          </w:p>
          <w:p>
            <w:pPr>
              <w:pStyle w:val="22"/>
              <w:spacing w:before="1"/>
              <w:ind w:left="423"/>
              <w:rPr>
                <w:sz w:val="24"/>
              </w:rPr>
            </w:pPr>
          </w:p>
          <w:p>
            <w:pPr>
              <w:pStyle w:val="22"/>
              <w:spacing w:before="1"/>
              <w:ind w:left="423"/>
              <w:rPr>
                <w:sz w:val="24"/>
              </w:rPr>
            </w:pPr>
          </w:p>
          <w:p>
            <w:pPr>
              <w:pStyle w:val="22"/>
              <w:spacing w:before="1"/>
              <w:ind w:left="423"/>
              <w:rPr>
                <w:sz w:val="24"/>
              </w:rPr>
            </w:pPr>
            <w:r>
              <w:rPr>
                <w:sz w:val="24"/>
              </w:rPr>
              <w:t>资格性审查</w:t>
            </w:r>
          </w:p>
        </w:tc>
        <w:tc>
          <w:tcPr>
            <w:tcW w:w="5782" w:type="dxa"/>
          </w:tcPr>
          <w:p>
            <w:pPr>
              <w:pStyle w:val="22"/>
              <w:spacing w:before="173"/>
              <w:rPr>
                <w:sz w:val="24"/>
              </w:rPr>
            </w:pPr>
            <w:r>
              <w:rPr>
                <w:sz w:val="24"/>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6" w:type="dxa"/>
            <w:vMerge w:val="continue"/>
            <w:tcBorders>
              <w:left w:val="single" w:color="auto" w:sz="4" w:space="0"/>
            </w:tcBorders>
          </w:tcPr>
          <w:p>
            <w:pPr>
              <w:rPr>
                <w:sz w:val="2"/>
                <w:szCs w:val="2"/>
              </w:rPr>
            </w:pPr>
          </w:p>
        </w:tc>
        <w:tc>
          <w:tcPr>
            <w:tcW w:w="2048" w:type="dxa"/>
            <w:vMerge w:val="continue"/>
          </w:tcPr>
          <w:p>
            <w:pPr>
              <w:rPr>
                <w:sz w:val="2"/>
                <w:szCs w:val="2"/>
              </w:rPr>
            </w:pPr>
          </w:p>
        </w:tc>
        <w:tc>
          <w:tcPr>
            <w:tcW w:w="5782" w:type="dxa"/>
          </w:tcPr>
          <w:p>
            <w:pPr>
              <w:pStyle w:val="22"/>
              <w:spacing w:before="167"/>
              <w:rPr>
                <w:sz w:val="24"/>
              </w:rPr>
            </w:pPr>
            <w:r>
              <w:rPr>
                <w:sz w:val="24"/>
              </w:rPr>
              <w:t>近三个月内社保缴纳明细（需有委托人明细）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386" w:type="dxa"/>
            <w:vMerge w:val="continue"/>
            <w:tcBorders>
              <w:left w:val="single" w:color="auto" w:sz="4" w:space="0"/>
            </w:tcBorders>
          </w:tcPr>
          <w:p>
            <w:pPr>
              <w:rPr>
                <w:sz w:val="2"/>
                <w:szCs w:val="2"/>
              </w:rPr>
            </w:pPr>
          </w:p>
        </w:tc>
        <w:tc>
          <w:tcPr>
            <w:tcW w:w="2048" w:type="dxa"/>
            <w:vMerge w:val="continue"/>
          </w:tcPr>
          <w:p>
            <w:pPr>
              <w:rPr>
                <w:sz w:val="2"/>
                <w:szCs w:val="2"/>
              </w:rPr>
            </w:pPr>
          </w:p>
        </w:tc>
        <w:tc>
          <w:tcPr>
            <w:tcW w:w="5782" w:type="dxa"/>
          </w:tcPr>
          <w:p>
            <w:pPr>
              <w:pStyle w:val="22"/>
              <w:numPr>
                <w:ilvl w:val="0"/>
                <w:numId w:val="0"/>
              </w:numPr>
              <w:tabs>
                <w:tab w:val="left" w:pos="709"/>
              </w:tabs>
              <w:spacing w:before="59" w:after="0" w:line="240" w:lineRule="auto"/>
              <w:ind w:right="0" w:rightChars="0"/>
              <w:jc w:val="left"/>
              <w:rPr>
                <w:sz w:val="24"/>
              </w:rPr>
            </w:pPr>
            <w:r>
              <w:rPr>
                <w:rFonts w:hint="eastAsia" w:ascii="仿宋" w:hAnsi="仿宋" w:eastAsia="仿宋" w:cs="仿宋"/>
                <w:b w:val="0"/>
                <w:i w:val="0"/>
                <w:caps w:val="0"/>
                <w:color w:val="000000"/>
                <w:spacing w:val="0"/>
                <w:w w:val="100"/>
                <w:sz w:val="24"/>
                <w:szCs w:val="24"/>
                <w:lang w:val="en-US" w:eastAsia="zh-CN"/>
              </w:rPr>
              <w:t>近一年财务审计报告或财务报表（成立不足一年提供成立至今的财务报表）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386" w:type="dxa"/>
            <w:vMerge w:val="continue"/>
            <w:tcBorders>
              <w:left w:val="single" w:color="auto" w:sz="4" w:space="0"/>
            </w:tcBorders>
          </w:tcPr>
          <w:p>
            <w:pPr>
              <w:rPr>
                <w:sz w:val="2"/>
                <w:szCs w:val="2"/>
              </w:rPr>
            </w:pPr>
          </w:p>
        </w:tc>
        <w:tc>
          <w:tcPr>
            <w:tcW w:w="2048" w:type="dxa"/>
            <w:vMerge w:val="continue"/>
          </w:tcPr>
          <w:p>
            <w:pPr>
              <w:rPr>
                <w:sz w:val="2"/>
                <w:szCs w:val="2"/>
              </w:rPr>
            </w:pPr>
          </w:p>
        </w:tc>
        <w:tc>
          <w:tcPr>
            <w:tcW w:w="5782" w:type="dxa"/>
          </w:tcPr>
          <w:p>
            <w:pPr>
              <w:pStyle w:val="22"/>
              <w:spacing w:before="164"/>
              <w:ind w:left="108"/>
              <w:rPr>
                <w:sz w:val="24"/>
              </w:rPr>
            </w:pPr>
            <w:r>
              <w:rPr>
                <w:sz w:val="24"/>
              </w:rPr>
              <w:t>提供法定代表人身份证明或法定代表人授权委托书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386" w:type="dxa"/>
            <w:vMerge w:val="continue"/>
            <w:tcBorders>
              <w:left w:val="single" w:color="auto" w:sz="4" w:space="0"/>
            </w:tcBorders>
          </w:tcPr>
          <w:p>
            <w:pPr>
              <w:rPr>
                <w:sz w:val="2"/>
                <w:szCs w:val="2"/>
              </w:rPr>
            </w:pPr>
          </w:p>
        </w:tc>
        <w:tc>
          <w:tcPr>
            <w:tcW w:w="2048" w:type="dxa"/>
            <w:vMerge w:val="continue"/>
          </w:tcPr>
          <w:p>
            <w:pPr>
              <w:rPr>
                <w:sz w:val="2"/>
                <w:szCs w:val="2"/>
              </w:rPr>
            </w:pPr>
          </w:p>
        </w:tc>
        <w:tc>
          <w:tcPr>
            <w:tcW w:w="5782" w:type="dxa"/>
          </w:tcPr>
          <w:p>
            <w:pPr>
              <w:pStyle w:val="22"/>
              <w:spacing w:before="168"/>
              <w:ind w:left="108"/>
              <w:rPr>
                <w:sz w:val="24"/>
              </w:rPr>
            </w:pPr>
            <w:r>
              <w:rPr>
                <w:sz w:val="24"/>
              </w:rPr>
              <w:t>近三个月完税证明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86" w:type="dxa"/>
            <w:vMerge w:val="continue"/>
            <w:tcBorders>
              <w:left w:val="single" w:color="auto" w:sz="4" w:space="0"/>
            </w:tcBorders>
          </w:tcPr>
          <w:p>
            <w:pPr>
              <w:rPr>
                <w:sz w:val="2"/>
                <w:szCs w:val="2"/>
              </w:rPr>
            </w:pPr>
          </w:p>
        </w:tc>
        <w:tc>
          <w:tcPr>
            <w:tcW w:w="2048" w:type="dxa"/>
            <w:vMerge w:val="continue"/>
          </w:tcPr>
          <w:p>
            <w:pPr>
              <w:rPr>
                <w:sz w:val="2"/>
                <w:szCs w:val="2"/>
              </w:rPr>
            </w:pPr>
          </w:p>
        </w:tc>
        <w:tc>
          <w:tcPr>
            <w:tcW w:w="5782" w:type="dxa"/>
          </w:tcPr>
          <w:p>
            <w:pPr>
              <w:pStyle w:val="22"/>
              <w:spacing w:before="182"/>
              <w:ind w:left="108"/>
              <w:rPr>
                <w:sz w:val="24"/>
              </w:rPr>
            </w:pPr>
            <w:r>
              <w:rPr>
                <w:sz w:val="24"/>
              </w:rPr>
              <w:t>供应商无不良信用记录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86" w:type="dxa"/>
            <w:vMerge w:val="continue"/>
            <w:tcBorders>
              <w:left w:val="single" w:color="auto" w:sz="4" w:space="0"/>
            </w:tcBorders>
          </w:tcPr>
          <w:p>
            <w:pPr>
              <w:rPr>
                <w:sz w:val="2"/>
                <w:szCs w:val="2"/>
              </w:rPr>
            </w:pPr>
          </w:p>
        </w:tc>
        <w:tc>
          <w:tcPr>
            <w:tcW w:w="2048" w:type="dxa"/>
            <w:vMerge w:val="continue"/>
          </w:tcPr>
          <w:p>
            <w:pPr>
              <w:rPr>
                <w:sz w:val="2"/>
                <w:szCs w:val="2"/>
              </w:rPr>
            </w:pPr>
          </w:p>
        </w:tc>
        <w:tc>
          <w:tcPr>
            <w:tcW w:w="5782" w:type="dxa"/>
          </w:tcPr>
          <w:p>
            <w:pPr>
              <w:pStyle w:val="22"/>
              <w:spacing w:before="168"/>
              <w:ind w:left="108"/>
              <w:rPr>
                <w:sz w:val="24"/>
              </w:rPr>
            </w:pPr>
            <w:r>
              <w:rPr>
                <w:rFonts w:hint="eastAsia"/>
                <w:sz w:val="24"/>
                <w:lang w:val="en-US" w:eastAsia="zh-CN"/>
              </w:rPr>
              <w:t>具备市政公用工程施工总承包三级及以上（含三级）资质且具备有效的安全生产许可证，外地企业需提供进疆备案册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86" w:type="dxa"/>
            <w:vMerge w:val="continue"/>
            <w:tcBorders>
              <w:left w:val="single" w:color="auto" w:sz="4" w:space="0"/>
              <w:bottom w:val="single" w:color="auto" w:sz="4" w:space="0"/>
            </w:tcBorders>
          </w:tcPr>
          <w:p>
            <w:pPr>
              <w:rPr>
                <w:sz w:val="2"/>
                <w:szCs w:val="2"/>
              </w:rPr>
            </w:pPr>
          </w:p>
        </w:tc>
        <w:tc>
          <w:tcPr>
            <w:tcW w:w="2048" w:type="dxa"/>
            <w:vMerge w:val="continue"/>
            <w:tcBorders>
              <w:bottom w:val="single" w:color="auto" w:sz="4" w:space="0"/>
            </w:tcBorders>
          </w:tcPr>
          <w:p>
            <w:pPr>
              <w:rPr>
                <w:sz w:val="2"/>
                <w:szCs w:val="2"/>
              </w:rPr>
            </w:pPr>
          </w:p>
        </w:tc>
        <w:tc>
          <w:tcPr>
            <w:tcW w:w="5782" w:type="dxa"/>
            <w:tcBorders>
              <w:bottom w:val="single" w:color="auto" w:sz="4" w:space="0"/>
            </w:tcBorders>
          </w:tcPr>
          <w:p>
            <w:pPr>
              <w:pStyle w:val="22"/>
              <w:spacing w:before="168"/>
              <w:ind w:left="108"/>
              <w:rPr>
                <w:sz w:val="24"/>
              </w:rPr>
            </w:pPr>
            <w:r>
              <w:rPr>
                <w:rFonts w:hint="eastAsia"/>
                <w:sz w:val="24"/>
                <w:lang w:val="en-US" w:eastAsia="zh-CN"/>
              </w:rPr>
              <w:t>拟派项目负责人：具有二级建造师证（市政公用工程专业）及以上具备有效的安全生产考核合格证书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8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04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5782" w:type="dxa"/>
            <w:tcBorders>
              <w:top w:val="single" w:color="auto" w:sz="4" w:space="0"/>
              <w:left w:val="single" w:color="auto" w:sz="4" w:space="0"/>
              <w:bottom w:val="single" w:color="auto" w:sz="4" w:space="0"/>
              <w:right w:val="single" w:color="auto" w:sz="4" w:space="0"/>
            </w:tcBorders>
          </w:tcPr>
          <w:p>
            <w:pPr>
              <w:pStyle w:val="22"/>
              <w:spacing w:before="182"/>
              <w:ind w:left="108"/>
              <w:rPr>
                <w:sz w:val="24"/>
              </w:rPr>
            </w:pPr>
            <w:r>
              <w:rPr>
                <w:sz w:val="24"/>
              </w:rPr>
              <w:t>其他不符合磋商文件的</w:t>
            </w:r>
            <w:r>
              <w:rPr>
                <w:rFonts w:hint="eastAsia"/>
                <w:sz w:val="24"/>
                <w:lang w:val="en-US" w:eastAsia="zh-CN"/>
              </w:rPr>
              <w:t>资格</w:t>
            </w:r>
            <w:r>
              <w:rPr>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386" w:type="dxa"/>
            <w:vMerge w:val="restart"/>
            <w:tcBorders>
              <w:top w:val="single" w:color="auto" w:sz="4" w:space="0"/>
              <w:left w:val="single" w:color="auto" w:sz="4" w:space="0"/>
              <w:bottom w:val="single" w:color="auto" w:sz="4" w:space="0"/>
              <w:right w:val="single" w:color="auto" w:sz="4" w:space="0"/>
            </w:tcBorders>
          </w:tcPr>
          <w:p>
            <w:pPr>
              <w:pStyle w:val="22"/>
              <w:rPr>
                <w:rFonts w:ascii="楷体"/>
                <w:sz w:val="24"/>
              </w:rPr>
            </w:pPr>
          </w:p>
          <w:p>
            <w:pPr>
              <w:pStyle w:val="22"/>
              <w:spacing w:before="7"/>
              <w:rPr>
                <w:rFonts w:ascii="楷体"/>
                <w:sz w:val="32"/>
              </w:rPr>
            </w:pPr>
          </w:p>
          <w:p>
            <w:pPr>
              <w:pStyle w:val="22"/>
              <w:ind w:left="393"/>
              <w:rPr>
                <w:sz w:val="24"/>
              </w:rPr>
            </w:pPr>
          </w:p>
          <w:p>
            <w:pPr>
              <w:pStyle w:val="22"/>
              <w:ind w:left="393"/>
              <w:rPr>
                <w:sz w:val="24"/>
              </w:rPr>
            </w:pPr>
          </w:p>
          <w:p>
            <w:pPr>
              <w:pStyle w:val="22"/>
              <w:ind w:left="393"/>
              <w:rPr>
                <w:sz w:val="24"/>
              </w:rPr>
            </w:pPr>
            <w:r>
              <w:rPr>
                <w:sz w:val="24"/>
              </w:rPr>
              <w:t>2.2.2</w:t>
            </w:r>
          </w:p>
        </w:tc>
        <w:tc>
          <w:tcPr>
            <w:tcW w:w="2048" w:type="dxa"/>
            <w:vMerge w:val="restart"/>
            <w:tcBorders>
              <w:top w:val="single" w:color="auto" w:sz="4" w:space="0"/>
              <w:left w:val="single" w:color="auto" w:sz="4" w:space="0"/>
              <w:bottom w:val="single" w:color="auto" w:sz="4" w:space="0"/>
              <w:right w:val="single" w:color="auto" w:sz="4" w:space="0"/>
            </w:tcBorders>
          </w:tcPr>
          <w:p>
            <w:pPr>
              <w:pStyle w:val="22"/>
              <w:rPr>
                <w:rFonts w:ascii="楷体"/>
                <w:sz w:val="24"/>
              </w:rPr>
            </w:pPr>
          </w:p>
          <w:p>
            <w:pPr>
              <w:pStyle w:val="22"/>
              <w:spacing w:before="7"/>
              <w:rPr>
                <w:rFonts w:ascii="楷体"/>
                <w:sz w:val="32"/>
              </w:rPr>
            </w:pPr>
          </w:p>
          <w:p>
            <w:pPr>
              <w:pStyle w:val="22"/>
              <w:ind w:left="423"/>
              <w:rPr>
                <w:sz w:val="24"/>
              </w:rPr>
            </w:pPr>
          </w:p>
          <w:p>
            <w:pPr>
              <w:pStyle w:val="22"/>
              <w:ind w:left="423"/>
              <w:rPr>
                <w:sz w:val="24"/>
              </w:rPr>
            </w:pPr>
          </w:p>
          <w:p>
            <w:pPr>
              <w:pStyle w:val="22"/>
              <w:ind w:left="423"/>
              <w:rPr>
                <w:sz w:val="24"/>
              </w:rPr>
            </w:pPr>
            <w:r>
              <w:rPr>
                <w:sz w:val="24"/>
              </w:rPr>
              <w:t>符合性审查</w:t>
            </w:r>
          </w:p>
        </w:tc>
        <w:tc>
          <w:tcPr>
            <w:tcW w:w="5782" w:type="dxa"/>
            <w:tcBorders>
              <w:top w:val="single" w:color="auto" w:sz="4" w:space="0"/>
              <w:left w:val="single" w:color="auto" w:sz="4" w:space="0"/>
              <w:bottom w:val="single" w:color="auto" w:sz="4" w:space="0"/>
              <w:right w:val="single" w:color="auto" w:sz="4" w:space="0"/>
            </w:tcBorders>
          </w:tcPr>
          <w:p>
            <w:pPr>
              <w:pStyle w:val="22"/>
              <w:spacing w:before="167"/>
              <w:ind w:left="108"/>
              <w:rPr>
                <w:sz w:val="24"/>
              </w:rPr>
            </w:pPr>
            <w:r>
              <w:rPr>
                <w:sz w:val="24"/>
              </w:rPr>
              <w:t>响应文件格式符合磋商文件要求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04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5782" w:type="dxa"/>
            <w:tcBorders>
              <w:top w:val="single" w:color="auto" w:sz="4" w:space="0"/>
              <w:left w:val="single" w:color="auto" w:sz="4" w:space="0"/>
              <w:bottom w:val="single" w:color="auto" w:sz="4" w:space="0"/>
              <w:right w:val="single" w:color="auto" w:sz="4" w:space="0"/>
            </w:tcBorders>
          </w:tcPr>
          <w:p>
            <w:pPr>
              <w:pStyle w:val="22"/>
              <w:spacing w:before="167"/>
              <w:ind w:left="108"/>
              <w:rPr>
                <w:sz w:val="24"/>
              </w:rPr>
            </w:pPr>
            <w:r>
              <w:rPr>
                <w:sz w:val="24"/>
              </w:rPr>
              <w:t>响应文件的签名盖章符合磋商文件要求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04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5782" w:type="dxa"/>
            <w:tcBorders>
              <w:top w:val="single" w:color="auto" w:sz="4" w:space="0"/>
              <w:left w:val="single" w:color="auto" w:sz="4" w:space="0"/>
              <w:bottom w:val="single" w:color="auto" w:sz="4" w:space="0"/>
              <w:right w:val="single" w:color="auto" w:sz="4" w:space="0"/>
            </w:tcBorders>
          </w:tcPr>
          <w:p>
            <w:pPr>
              <w:pStyle w:val="22"/>
              <w:spacing w:before="167"/>
              <w:ind w:left="108"/>
              <w:rPr>
                <w:sz w:val="24"/>
              </w:rPr>
            </w:pPr>
            <w:r>
              <w:rPr>
                <w:sz w:val="24"/>
              </w:rPr>
              <w:t>服务期符合磋商文件要求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04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5782" w:type="dxa"/>
            <w:tcBorders>
              <w:top w:val="single" w:color="auto" w:sz="4" w:space="0"/>
              <w:left w:val="single" w:color="auto" w:sz="4" w:space="0"/>
              <w:bottom w:val="single" w:color="auto" w:sz="4" w:space="0"/>
              <w:right w:val="single" w:color="auto" w:sz="4" w:space="0"/>
            </w:tcBorders>
          </w:tcPr>
          <w:p>
            <w:pPr>
              <w:pStyle w:val="22"/>
              <w:spacing w:before="167"/>
              <w:ind w:left="108"/>
              <w:rPr>
                <w:sz w:val="24"/>
              </w:rPr>
            </w:pPr>
            <w:r>
              <w:rPr>
                <w:sz w:val="24"/>
              </w:rPr>
              <w:t>按磋商文件要求编制了目录及页码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04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5782" w:type="dxa"/>
            <w:tcBorders>
              <w:top w:val="single" w:color="auto" w:sz="4" w:space="0"/>
              <w:left w:val="single" w:color="auto" w:sz="4" w:space="0"/>
              <w:bottom w:val="single" w:color="auto" w:sz="4" w:space="0"/>
              <w:right w:val="single" w:color="auto" w:sz="4" w:space="0"/>
            </w:tcBorders>
            <w:vAlign w:val="top"/>
          </w:tcPr>
          <w:p>
            <w:pPr>
              <w:pStyle w:val="22"/>
              <w:spacing w:before="166"/>
              <w:ind w:left="108" w:leftChars="0" w:right="0" w:rightChars="0"/>
              <w:rPr>
                <w:rFonts w:ascii="仿宋" w:hAnsi="仿宋" w:eastAsia="仿宋" w:cs="仿宋"/>
                <w:sz w:val="24"/>
                <w:szCs w:val="22"/>
                <w:lang w:val="zh-CN" w:eastAsia="zh-CN" w:bidi="zh-CN"/>
              </w:rPr>
            </w:pPr>
            <w:r>
              <w:rPr>
                <w:rFonts w:hint="eastAsia"/>
                <w:sz w:val="24"/>
                <w:lang w:val="en-US" w:eastAsia="zh-CN"/>
              </w:rPr>
              <w:t>是否存在法律、法规和磋商文件规定的其他无效情形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04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5782" w:type="dxa"/>
            <w:tcBorders>
              <w:top w:val="single" w:color="auto" w:sz="4" w:space="0"/>
              <w:left w:val="single" w:color="auto" w:sz="4" w:space="0"/>
              <w:bottom w:val="single" w:color="auto" w:sz="4" w:space="0"/>
              <w:right w:val="single" w:color="auto" w:sz="4" w:space="0"/>
            </w:tcBorders>
          </w:tcPr>
          <w:p>
            <w:pPr>
              <w:pStyle w:val="22"/>
              <w:spacing w:before="167"/>
              <w:ind w:left="108"/>
              <w:rPr>
                <w:sz w:val="24"/>
              </w:rPr>
            </w:pPr>
            <w:r>
              <w:rPr>
                <w:sz w:val="24"/>
              </w:rPr>
              <w:t>其他不符合磋商文件的实质性要求</w:t>
            </w:r>
          </w:p>
        </w:tc>
      </w:tr>
    </w:tbl>
    <w:p>
      <w:pPr>
        <w:spacing w:after="0"/>
        <w:rPr>
          <w:sz w:val="24"/>
        </w:rPr>
        <w:sectPr>
          <w:pgSz w:w="11910" w:h="16840"/>
          <w:pgMar w:top="1480" w:right="940" w:bottom="1180" w:left="940" w:header="0" w:footer="1000" w:gutter="0"/>
          <w:pgBorders>
            <w:top w:val="none" w:sz="0" w:space="0"/>
            <w:left w:val="none" w:sz="0" w:space="0"/>
            <w:bottom w:val="none" w:sz="0" w:space="0"/>
            <w:right w:val="none" w:sz="0" w:space="0"/>
          </w:pgBorders>
          <w:cols w:space="720" w:num="1"/>
        </w:sectPr>
      </w:pPr>
    </w:p>
    <w:tbl>
      <w:tblPr>
        <w:tblStyle w:val="18"/>
        <w:tblW w:w="0" w:type="auto"/>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2048"/>
        <w:gridCol w:w="5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1386" w:type="dxa"/>
            <w:vMerge w:val="restart"/>
          </w:tcPr>
          <w:p>
            <w:pPr>
              <w:pStyle w:val="22"/>
              <w:rPr>
                <w:rFonts w:ascii="Times New Roman"/>
                <w:sz w:val="22"/>
              </w:rPr>
            </w:pPr>
          </w:p>
        </w:tc>
        <w:tc>
          <w:tcPr>
            <w:tcW w:w="2048" w:type="dxa"/>
            <w:vMerge w:val="restart"/>
          </w:tcPr>
          <w:p>
            <w:pPr>
              <w:pStyle w:val="22"/>
              <w:rPr>
                <w:rFonts w:ascii="Times New Roman"/>
                <w:sz w:val="22"/>
              </w:rPr>
            </w:pPr>
          </w:p>
        </w:tc>
        <w:tc>
          <w:tcPr>
            <w:tcW w:w="5782" w:type="dxa"/>
          </w:tcPr>
          <w:p>
            <w:pPr>
              <w:pStyle w:val="22"/>
              <w:spacing w:before="167"/>
              <w:ind w:left="108"/>
              <w:rPr>
                <w:sz w:val="24"/>
              </w:rPr>
            </w:pPr>
            <w:r>
              <w:rPr>
                <w:sz w:val="24"/>
              </w:rPr>
              <w:t>按磋商文件要求编制了目录及页码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1386" w:type="dxa"/>
            <w:vMerge w:val="continue"/>
            <w:tcBorders>
              <w:top w:val="nil"/>
              <w:bottom w:val="nil"/>
            </w:tcBorders>
          </w:tcPr>
          <w:p>
            <w:pPr>
              <w:rPr>
                <w:sz w:val="2"/>
                <w:szCs w:val="2"/>
              </w:rPr>
            </w:pPr>
          </w:p>
        </w:tc>
        <w:tc>
          <w:tcPr>
            <w:tcW w:w="2048" w:type="dxa"/>
            <w:vMerge w:val="continue"/>
            <w:tcBorders>
              <w:top w:val="nil"/>
              <w:bottom w:val="nil"/>
            </w:tcBorders>
          </w:tcPr>
          <w:p>
            <w:pPr>
              <w:rPr>
                <w:sz w:val="2"/>
                <w:szCs w:val="2"/>
              </w:rPr>
            </w:pPr>
          </w:p>
        </w:tc>
        <w:tc>
          <w:tcPr>
            <w:tcW w:w="5782" w:type="dxa"/>
          </w:tcPr>
          <w:p>
            <w:pPr>
              <w:pStyle w:val="22"/>
              <w:spacing w:before="166"/>
              <w:ind w:left="108"/>
              <w:rPr>
                <w:sz w:val="24"/>
              </w:rPr>
            </w:pPr>
            <w:r>
              <w:rPr>
                <w:rFonts w:hint="eastAsia"/>
                <w:sz w:val="24"/>
                <w:lang w:val="en-US" w:eastAsia="zh-CN"/>
              </w:rPr>
              <w:t>是否存在法律、法规和磋商文件规定的其他无效情形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6" w:type="dxa"/>
            <w:tcBorders>
              <w:top w:val="nil"/>
            </w:tcBorders>
          </w:tcPr>
          <w:p>
            <w:pPr>
              <w:rPr>
                <w:sz w:val="2"/>
                <w:szCs w:val="2"/>
              </w:rPr>
            </w:pPr>
          </w:p>
        </w:tc>
        <w:tc>
          <w:tcPr>
            <w:tcW w:w="2048" w:type="dxa"/>
            <w:tcBorders>
              <w:top w:val="nil"/>
            </w:tcBorders>
          </w:tcPr>
          <w:p>
            <w:pPr>
              <w:rPr>
                <w:sz w:val="2"/>
                <w:szCs w:val="2"/>
              </w:rPr>
            </w:pPr>
          </w:p>
        </w:tc>
        <w:tc>
          <w:tcPr>
            <w:tcW w:w="5782" w:type="dxa"/>
          </w:tcPr>
          <w:p>
            <w:pPr>
              <w:pStyle w:val="22"/>
              <w:spacing w:before="166"/>
              <w:ind w:left="108"/>
              <w:rPr>
                <w:sz w:val="24"/>
              </w:rPr>
            </w:pPr>
            <w:r>
              <w:rPr>
                <w:sz w:val="24"/>
              </w:rPr>
              <w:t>其他不符合磋商文件的实质性要求</w:t>
            </w:r>
          </w:p>
        </w:tc>
      </w:tr>
    </w:tbl>
    <w:p>
      <w:pPr>
        <w:pStyle w:val="8"/>
        <w:rPr>
          <w:rFonts w:ascii="楷体"/>
          <w:sz w:val="20"/>
        </w:rPr>
      </w:pPr>
    </w:p>
    <w:p>
      <w:pPr>
        <w:pStyle w:val="8"/>
        <w:spacing w:before="9"/>
        <w:rPr>
          <w:rFonts w:ascii="楷体"/>
          <w:sz w:val="22"/>
        </w:rPr>
      </w:pPr>
      <w:bookmarkStart w:id="92" w:name="_bookmark33"/>
      <w:bookmarkEnd w:id="92"/>
      <w:bookmarkStart w:id="93" w:name="_bookmark33"/>
      <w:bookmarkEnd w:id="93"/>
    </w:p>
    <w:p>
      <w:pPr>
        <w:pStyle w:val="5"/>
        <w:numPr>
          <w:ilvl w:val="2"/>
          <w:numId w:val="17"/>
        </w:numPr>
        <w:tabs>
          <w:tab w:val="left" w:pos="1319"/>
        </w:tabs>
        <w:spacing w:before="62" w:after="0" w:line="240" w:lineRule="auto"/>
        <w:ind w:left="1318" w:right="0" w:hanging="282"/>
        <w:jc w:val="left"/>
        <w:rPr>
          <w:rFonts w:hint="eastAsia" w:ascii="楷体" w:eastAsia="楷体"/>
        </w:rPr>
      </w:pPr>
      <w:bookmarkStart w:id="94" w:name="3.评审方法"/>
      <w:bookmarkEnd w:id="94"/>
      <w:bookmarkStart w:id="95" w:name="3.评审方法"/>
      <w:bookmarkEnd w:id="95"/>
      <w:r>
        <w:rPr>
          <w:rFonts w:hint="eastAsia" w:ascii="楷体" w:eastAsia="楷体"/>
          <w:spacing w:val="-2"/>
        </w:rPr>
        <w:t>评审方法</w:t>
      </w:r>
    </w:p>
    <w:p>
      <w:pPr>
        <w:pStyle w:val="8"/>
        <w:spacing w:before="236" w:line="312" w:lineRule="auto"/>
        <w:ind w:left="478" w:right="425" w:firstLine="480"/>
        <w:jc w:val="both"/>
      </w:pPr>
      <w:r>
        <w:rPr>
          <w:spacing w:val="-1"/>
        </w:rPr>
        <w:t xml:space="preserve">本项目评审办法为综合评分法。磋商小组对满足磋商文件实质性要求的响应文件， </w:t>
      </w:r>
      <w:r>
        <w:rPr>
          <w:spacing w:val="-7"/>
        </w:rPr>
        <w:t xml:space="preserve">按照本章第 </w:t>
      </w:r>
      <w:r>
        <w:t>2</w:t>
      </w:r>
      <w:r>
        <w:rPr>
          <w:rFonts w:hint="eastAsia"/>
          <w:lang w:val="en-US" w:eastAsia="zh-CN"/>
        </w:rPr>
        <w:t>.1</w:t>
      </w:r>
      <w:r>
        <w:rPr>
          <w:spacing w:val="-7"/>
        </w:rPr>
        <w:t xml:space="preserve"> 款规定的评分标准进行打分，并按综合得分由高到低顺序推荐中</w:t>
      </w:r>
      <w:r>
        <w:rPr>
          <w:spacing w:val="-10"/>
        </w:rPr>
        <w:t>标候选人，或根据采购人授权直接确定中标人。综合评分相等时，以报价低的优先；报价也相等的，由采购人自行确定。</w:t>
      </w:r>
    </w:p>
    <w:p>
      <w:pPr>
        <w:pStyle w:val="8"/>
        <w:spacing w:before="4"/>
        <w:rPr>
          <w:sz w:val="21"/>
        </w:rPr>
      </w:pPr>
    </w:p>
    <w:p>
      <w:pPr>
        <w:pStyle w:val="8"/>
        <w:spacing w:before="4"/>
        <w:rPr>
          <w:sz w:val="21"/>
        </w:rPr>
      </w:pPr>
    </w:p>
    <w:p>
      <w:pPr>
        <w:pStyle w:val="8"/>
        <w:spacing w:before="4"/>
        <w:rPr>
          <w:sz w:val="21"/>
        </w:rPr>
      </w:pPr>
    </w:p>
    <w:p>
      <w:pPr>
        <w:pStyle w:val="5"/>
        <w:numPr>
          <w:ilvl w:val="2"/>
          <w:numId w:val="17"/>
        </w:numPr>
        <w:tabs>
          <w:tab w:val="left" w:pos="1319"/>
        </w:tabs>
        <w:spacing w:before="0" w:after="0" w:line="240" w:lineRule="auto"/>
        <w:ind w:left="1318" w:right="0" w:hanging="282"/>
        <w:jc w:val="left"/>
        <w:rPr>
          <w:rFonts w:hint="eastAsia" w:ascii="楷体" w:eastAsia="楷体"/>
        </w:rPr>
      </w:pPr>
      <w:bookmarkStart w:id="96" w:name="_bookmark34"/>
      <w:bookmarkEnd w:id="96"/>
      <w:bookmarkStart w:id="97" w:name="_bookmark34"/>
      <w:bookmarkEnd w:id="97"/>
      <w:bookmarkStart w:id="98" w:name="4.评审标准"/>
      <w:bookmarkEnd w:id="98"/>
      <w:r>
        <w:rPr>
          <w:rFonts w:hint="eastAsia" w:ascii="楷体" w:eastAsia="楷体"/>
          <w:spacing w:val="-2"/>
        </w:rPr>
        <w:t>评审标准</w:t>
      </w:r>
    </w:p>
    <w:p>
      <w:pPr>
        <w:pStyle w:val="21"/>
        <w:numPr>
          <w:ilvl w:val="3"/>
          <w:numId w:val="17"/>
        </w:numPr>
        <w:tabs>
          <w:tab w:val="left" w:pos="1379"/>
        </w:tabs>
        <w:spacing w:before="159" w:after="0" w:line="240" w:lineRule="auto"/>
        <w:ind w:left="1378" w:right="0" w:hanging="421"/>
        <w:jc w:val="left"/>
        <w:rPr>
          <w:sz w:val="24"/>
        </w:rPr>
      </w:pPr>
      <w:r>
        <w:rPr>
          <w:sz w:val="24"/>
        </w:rPr>
        <w:t>初步评审标准</w:t>
      </w:r>
    </w:p>
    <w:p>
      <w:pPr>
        <w:pStyle w:val="21"/>
        <w:numPr>
          <w:ilvl w:val="4"/>
          <w:numId w:val="17"/>
        </w:numPr>
        <w:tabs>
          <w:tab w:val="left" w:pos="1619"/>
        </w:tabs>
        <w:spacing w:before="5" w:after="0" w:line="240" w:lineRule="auto"/>
        <w:ind w:left="1618" w:right="0" w:hanging="661"/>
        <w:jc w:val="left"/>
        <w:rPr>
          <w:sz w:val="24"/>
        </w:rPr>
      </w:pPr>
      <w:r>
        <w:rPr>
          <w:sz w:val="24"/>
        </w:rPr>
        <w:t>资格性审查：详见评审办法前附表；</w:t>
      </w:r>
    </w:p>
    <w:p>
      <w:pPr>
        <w:pStyle w:val="21"/>
        <w:numPr>
          <w:ilvl w:val="4"/>
          <w:numId w:val="17"/>
        </w:numPr>
        <w:tabs>
          <w:tab w:val="left" w:pos="1619"/>
        </w:tabs>
        <w:spacing w:before="4" w:after="0" w:line="240" w:lineRule="auto"/>
        <w:ind w:left="1618" w:right="0" w:hanging="661"/>
        <w:jc w:val="left"/>
        <w:rPr>
          <w:sz w:val="24"/>
        </w:rPr>
      </w:pPr>
      <w:r>
        <w:rPr>
          <w:sz w:val="24"/>
        </w:rPr>
        <w:t>符合性审查：详见评审办法前附表。</w:t>
      </w:r>
    </w:p>
    <w:p>
      <w:pPr>
        <w:pStyle w:val="21"/>
        <w:numPr>
          <w:ilvl w:val="3"/>
          <w:numId w:val="17"/>
        </w:numPr>
        <w:tabs>
          <w:tab w:val="left" w:pos="1379"/>
        </w:tabs>
        <w:spacing w:before="5" w:after="0" w:line="240" w:lineRule="auto"/>
        <w:ind w:left="1378" w:right="0" w:hanging="421"/>
        <w:jc w:val="left"/>
        <w:rPr>
          <w:sz w:val="24"/>
        </w:rPr>
      </w:pPr>
      <w:r>
        <w:rPr>
          <w:sz w:val="24"/>
        </w:rPr>
        <w:t>分值构成与评分标准</w:t>
      </w:r>
    </w:p>
    <w:p>
      <w:pPr>
        <w:pStyle w:val="21"/>
        <w:numPr>
          <w:ilvl w:val="4"/>
          <w:numId w:val="17"/>
        </w:numPr>
        <w:tabs>
          <w:tab w:val="left" w:pos="1619"/>
        </w:tabs>
        <w:spacing w:before="4" w:after="0" w:line="240" w:lineRule="auto"/>
        <w:ind w:left="1618" w:right="0" w:hanging="661"/>
        <w:jc w:val="left"/>
        <w:rPr>
          <w:sz w:val="24"/>
        </w:rPr>
      </w:pPr>
      <w:r>
        <w:rPr>
          <w:sz w:val="24"/>
        </w:rPr>
        <w:t>分值构成：详见评审办法前附表。</w:t>
      </w:r>
    </w:p>
    <w:p>
      <w:pPr>
        <w:pStyle w:val="21"/>
        <w:numPr>
          <w:ilvl w:val="4"/>
          <w:numId w:val="17"/>
        </w:numPr>
        <w:tabs>
          <w:tab w:val="left" w:pos="1619"/>
        </w:tabs>
        <w:spacing w:before="5" w:after="0" w:line="240" w:lineRule="auto"/>
        <w:ind w:left="1618" w:right="0" w:hanging="661"/>
        <w:jc w:val="left"/>
        <w:rPr>
          <w:sz w:val="24"/>
        </w:rPr>
      </w:pPr>
      <w:r>
        <w:rPr>
          <w:sz w:val="24"/>
        </w:rPr>
        <w:t>评分标准：详见评审附表。</w:t>
      </w:r>
    </w:p>
    <w:p>
      <w:pPr>
        <w:pStyle w:val="8"/>
        <w:spacing w:before="9"/>
        <w:rPr>
          <w:sz w:val="27"/>
        </w:rPr>
      </w:pPr>
    </w:p>
    <w:p>
      <w:pPr>
        <w:pStyle w:val="8"/>
        <w:spacing w:before="9"/>
        <w:rPr>
          <w:sz w:val="27"/>
        </w:rPr>
      </w:pPr>
    </w:p>
    <w:p>
      <w:pPr>
        <w:pStyle w:val="5"/>
        <w:numPr>
          <w:ilvl w:val="2"/>
          <w:numId w:val="17"/>
        </w:numPr>
        <w:tabs>
          <w:tab w:val="left" w:pos="1319"/>
        </w:tabs>
        <w:spacing w:before="1" w:after="0" w:line="240" w:lineRule="auto"/>
        <w:ind w:left="1318" w:right="0" w:hanging="282"/>
        <w:jc w:val="left"/>
        <w:rPr>
          <w:rFonts w:hint="eastAsia" w:ascii="楷体" w:eastAsia="楷体"/>
        </w:rPr>
      </w:pPr>
      <w:bookmarkStart w:id="99" w:name="5.评审程序"/>
      <w:bookmarkEnd w:id="99"/>
      <w:bookmarkStart w:id="100" w:name="_bookmark35"/>
      <w:bookmarkEnd w:id="100"/>
      <w:bookmarkStart w:id="101" w:name="_bookmark35"/>
      <w:bookmarkEnd w:id="101"/>
      <w:r>
        <w:rPr>
          <w:rFonts w:hint="eastAsia" w:ascii="楷体" w:eastAsia="楷体"/>
          <w:spacing w:val="-2"/>
        </w:rPr>
        <w:t>评审程序</w:t>
      </w:r>
    </w:p>
    <w:p>
      <w:pPr>
        <w:pStyle w:val="21"/>
        <w:numPr>
          <w:ilvl w:val="3"/>
          <w:numId w:val="17"/>
        </w:numPr>
        <w:tabs>
          <w:tab w:val="left" w:pos="1379"/>
        </w:tabs>
        <w:spacing w:before="235" w:after="0" w:line="240" w:lineRule="auto"/>
        <w:ind w:left="1378" w:right="0" w:hanging="421"/>
        <w:jc w:val="both"/>
        <w:rPr>
          <w:sz w:val="24"/>
        </w:rPr>
      </w:pPr>
      <w:r>
        <w:rPr>
          <w:sz w:val="24"/>
        </w:rPr>
        <w:t>初步评审</w:t>
      </w:r>
    </w:p>
    <w:p>
      <w:pPr>
        <w:pStyle w:val="21"/>
        <w:numPr>
          <w:ilvl w:val="4"/>
          <w:numId w:val="17"/>
        </w:numPr>
        <w:tabs>
          <w:tab w:val="left" w:pos="1619"/>
        </w:tabs>
        <w:spacing w:before="93" w:after="0" w:line="312" w:lineRule="auto"/>
        <w:ind w:left="478" w:right="477" w:firstLine="480"/>
        <w:jc w:val="both"/>
        <w:rPr>
          <w:sz w:val="24"/>
        </w:rPr>
      </w:pPr>
      <w:r>
        <w:rPr>
          <w:spacing w:val="-10"/>
          <w:sz w:val="24"/>
        </w:rPr>
        <w:t xml:space="preserve">磋商小组可以要求供应商提交第二章“供应商须知”第 </w:t>
      </w:r>
      <w:r>
        <w:rPr>
          <w:sz w:val="24"/>
        </w:rPr>
        <w:t>35.1</w:t>
      </w:r>
      <w:r>
        <w:rPr>
          <w:spacing w:val="-10"/>
          <w:sz w:val="24"/>
        </w:rPr>
        <w:t xml:space="preserve"> 项规定的有关证</w:t>
      </w:r>
      <w:r>
        <w:rPr>
          <w:spacing w:val="-9"/>
          <w:sz w:val="24"/>
        </w:rPr>
        <w:t xml:space="preserve">明和证件的原件，以便核验。磋商小组依据本章第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21"/>
        <w:numPr>
          <w:ilvl w:val="4"/>
          <w:numId w:val="17"/>
        </w:numPr>
        <w:tabs>
          <w:tab w:val="left" w:pos="1619"/>
        </w:tabs>
        <w:spacing w:before="1" w:after="0" w:line="240" w:lineRule="auto"/>
        <w:ind w:left="1618" w:right="0" w:hanging="661"/>
        <w:jc w:val="both"/>
        <w:rPr>
          <w:sz w:val="24"/>
        </w:rPr>
      </w:pPr>
      <w:r>
        <w:rPr>
          <w:sz w:val="24"/>
        </w:rPr>
        <w:t>供应商有以下情形之一的，其投标作废标处理：</w:t>
      </w:r>
    </w:p>
    <w:p>
      <w:pPr>
        <w:pStyle w:val="21"/>
        <w:numPr>
          <w:ilvl w:val="0"/>
          <w:numId w:val="18"/>
        </w:numPr>
        <w:tabs>
          <w:tab w:val="left" w:pos="1560"/>
        </w:tabs>
        <w:spacing w:before="94" w:after="0" w:line="240" w:lineRule="auto"/>
        <w:ind w:left="1559" w:right="0" w:hanging="602"/>
        <w:jc w:val="left"/>
        <w:rPr>
          <w:sz w:val="24"/>
        </w:rPr>
      </w:pPr>
      <w:r>
        <w:rPr>
          <w:sz w:val="24"/>
        </w:rPr>
        <w:t>串通投标或弄虚作假或有其他违法行为的；</w:t>
      </w:r>
    </w:p>
    <w:p>
      <w:pPr>
        <w:pStyle w:val="21"/>
        <w:numPr>
          <w:ilvl w:val="0"/>
          <w:numId w:val="18"/>
        </w:numPr>
        <w:tabs>
          <w:tab w:val="left" w:pos="1560"/>
        </w:tabs>
        <w:spacing w:before="90" w:after="0" w:line="240" w:lineRule="auto"/>
        <w:ind w:left="1559" w:right="0" w:hanging="602"/>
        <w:jc w:val="left"/>
        <w:rPr>
          <w:sz w:val="24"/>
        </w:rPr>
      </w:pPr>
      <w:r>
        <w:rPr>
          <w:sz w:val="24"/>
        </w:rPr>
        <w:t>不按磋商小组要求澄清、说明或补正的。</w:t>
      </w:r>
    </w:p>
    <w:p>
      <w:pPr>
        <w:pStyle w:val="21"/>
        <w:numPr>
          <w:ilvl w:val="0"/>
          <w:numId w:val="18"/>
        </w:numPr>
        <w:tabs>
          <w:tab w:val="left" w:pos="1560"/>
        </w:tabs>
        <w:spacing w:before="94" w:after="0" w:line="240" w:lineRule="auto"/>
        <w:ind w:left="1559" w:right="0" w:hanging="602"/>
        <w:jc w:val="left"/>
        <w:rPr>
          <w:sz w:val="24"/>
        </w:rPr>
      </w:pPr>
      <w:r>
        <w:rPr>
          <w:sz w:val="24"/>
        </w:rPr>
        <w:t>报价函中报价与采购清单汇总价不一致时响应文件作废标处理。</w:t>
      </w:r>
    </w:p>
    <w:p>
      <w:pPr>
        <w:pStyle w:val="21"/>
        <w:numPr>
          <w:ilvl w:val="0"/>
          <w:numId w:val="18"/>
        </w:numPr>
        <w:tabs>
          <w:tab w:val="left" w:pos="1560"/>
        </w:tabs>
        <w:spacing w:before="93" w:after="0" w:line="240" w:lineRule="auto"/>
        <w:ind w:left="1559" w:right="0" w:hanging="602"/>
        <w:jc w:val="left"/>
        <w:rPr>
          <w:sz w:val="24"/>
        </w:rPr>
      </w:pPr>
      <w:r>
        <w:rPr>
          <w:sz w:val="24"/>
        </w:rPr>
        <w:t>提供虚假资料的其响应文件作废标处理。</w:t>
      </w:r>
    </w:p>
    <w:p>
      <w:pPr>
        <w:pStyle w:val="21"/>
        <w:numPr>
          <w:ilvl w:val="0"/>
          <w:numId w:val="18"/>
        </w:numPr>
        <w:tabs>
          <w:tab w:val="left" w:pos="1564"/>
        </w:tabs>
        <w:spacing w:before="91" w:after="0" w:line="312" w:lineRule="auto"/>
        <w:ind w:left="478" w:right="476" w:firstLine="480"/>
        <w:jc w:val="left"/>
        <w:rPr>
          <w:sz w:val="24"/>
        </w:rPr>
      </w:pPr>
      <w:r>
        <w:rPr>
          <w:sz w:val="24"/>
        </w:rPr>
        <w:t>供应商在开标时资格审查时递交的法人授权委托书公证件原件，其内容应与资格预审、响应文件的内容一致，其中委托代理人均为同一人，不一致作废标处理。</w:t>
      </w:r>
    </w:p>
    <w:p>
      <w:pPr>
        <w:pStyle w:val="21"/>
        <w:numPr>
          <w:ilvl w:val="0"/>
          <w:numId w:val="18"/>
        </w:numPr>
        <w:tabs>
          <w:tab w:val="left" w:pos="1560"/>
        </w:tabs>
        <w:spacing w:before="2" w:after="0" w:line="240" w:lineRule="auto"/>
        <w:ind w:left="1559" w:right="0" w:hanging="602"/>
        <w:jc w:val="left"/>
        <w:rPr>
          <w:sz w:val="24"/>
        </w:rPr>
      </w:pPr>
      <w:r>
        <w:rPr>
          <w:sz w:val="24"/>
        </w:rPr>
        <w:t>磋商小组认定供应商以低于成本报价竞标的。</w:t>
      </w:r>
    </w:p>
    <w:p>
      <w:pPr>
        <w:pStyle w:val="21"/>
        <w:numPr>
          <w:ilvl w:val="0"/>
          <w:numId w:val="18"/>
        </w:numPr>
        <w:tabs>
          <w:tab w:val="left" w:pos="1560"/>
        </w:tabs>
        <w:spacing w:before="91" w:after="0" w:line="240" w:lineRule="auto"/>
        <w:ind w:left="1559" w:right="0" w:hanging="602"/>
        <w:jc w:val="left"/>
        <w:rPr>
          <w:sz w:val="24"/>
        </w:rPr>
      </w:pPr>
      <w:r>
        <w:rPr>
          <w:sz w:val="24"/>
        </w:rPr>
        <w:t>供应商附有采购人不能接受的条件。</w:t>
      </w:r>
    </w:p>
    <w:p>
      <w:pPr>
        <w:pStyle w:val="21"/>
        <w:numPr>
          <w:ilvl w:val="0"/>
          <w:numId w:val="18"/>
        </w:numPr>
        <w:tabs>
          <w:tab w:val="left" w:pos="1560"/>
        </w:tabs>
        <w:spacing w:before="93" w:after="0" w:line="240" w:lineRule="auto"/>
        <w:ind w:left="1559" w:right="0" w:hanging="602"/>
        <w:jc w:val="left"/>
        <w:rPr>
          <w:sz w:val="24"/>
        </w:rPr>
      </w:pPr>
      <w:r>
        <w:rPr>
          <w:sz w:val="24"/>
        </w:rPr>
        <w:t>响应文件偏离磋商文件实质性要求和条件的。</w:t>
      </w:r>
    </w:p>
    <w:p>
      <w:pPr>
        <w:pStyle w:val="21"/>
        <w:numPr>
          <w:ilvl w:val="0"/>
          <w:numId w:val="18"/>
        </w:numPr>
        <w:tabs>
          <w:tab w:val="left" w:pos="1564"/>
        </w:tabs>
        <w:spacing w:before="94" w:after="0" w:line="312" w:lineRule="auto"/>
        <w:ind w:left="478" w:right="476" w:firstLine="480"/>
        <w:jc w:val="left"/>
        <w:rPr>
          <w:sz w:val="24"/>
        </w:rPr>
      </w:pPr>
      <w:r>
        <w:rPr>
          <w:sz w:val="24"/>
        </w:rPr>
        <w:t>一个供应商递交两份或多分内容不同的响应文件，或在一份响应文件中对同一招标项目有两个或多个报价，且未声明哪一个报价有效的。</w:t>
      </w:r>
    </w:p>
    <w:p>
      <w:pPr>
        <w:spacing w:after="0" w:line="312" w:lineRule="auto"/>
        <w:jc w:val="left"/>
        <w:rPr>
          <w:sz w:val="24"/>
        </w:rPr>
        <w:sectPr>
          <w:footerReference r:id="rId11" w:type="default"/>
          <w:pgSz w:w="11910" w:h="16840"/>
          <w:pgMar w:top="1400" w:right="940" w:bottom="1180" w:left="940" w:header="0" w:footer="1000" w:gutter="0"/>
          <w:pgBorders>
            <w:top w:val="none" w:sz="0" w:space="0"/>
            <w:left w:val="none" w:sz="0" w:space="0"/>
            <w:bottom w:val="none" w:sz="0" w:space="0"/>
            <w:right w:val="none" w:sz="0" w:space="0"/>
          </w:pgBorders>
          <w:pgNumType w:start="30"/>
          <w:cols w:space="720" w:num="1"/>
        </w:sectPr>
      </w:pPr>
    </w:p>
    <w:p>
      <w:pPr>
        <w:pStyle w:val="21"/>
        <w:numPr>
          <w:ilvl w:val="4"/>
          <w:numId w:val="17"/>
        </w:numPr>
        <w:tabs>
          <w:tab w:val="left" w:pos="1619"/>
        </w:tabs>
        <w:spacing w:before="40" w:after="0" w:line="312" w:lineRule="auto"/>
        <w:ind w:left="478" w:right="477" w:firstLine="480"/>
        <w:jc w:val="left"/>
        <w:rPr>
          <w:sz w:val="24"/>
        </w:rPr>
      </w:pPr>
      <w:bookmarkStart w:id="102" w:name="第五章  签订合同、合同主要条款"/>
      <w:bookmarkEnd w:id="102"/>
      <w:bookmarkStart w:id="103" w:name="第五章  签订合同、合同主要条款"/>
      <w:bookmarkEnd w:id="103"/>
      <w:r>
        <w:rPr>
          <w:spacing w:val="-1"/>
          <w:sz w:val="24"/>
        </w:rPr>
        <w:t>报价有算术错误的，磋商小组按以下原则对报价进行修正，修正的价格经供</w:t>
      </w:r>
      <w:r>
        <w:rPr>
          <w:sz w:val="24"/>
        </w:rPr>
        <w:t>应商书面确认后具有约束力。供应商不接受修正价格的，其投标作废标处理。</w:t>
      </w:r>
    </w:p>
    <w:p>
      <w:pPr>
        <w:pStyle w:val="21"/>
        <w:numPr>
          <w:ilvl w:val="0"/>
          <w:numId w:val="19"/>
        </w:numPr>
        <w:tabs>
          <w:tab w:val="left" w:pos="1560"/>
        </w:tabs>
        <w:spacing w:before="0" w:after="0" w:line="307" w:lineRule="exact"/>
        <w:ind w:left="1559" w:right="0" w:hanging="602"/>
        <w:jc w:val="left"/>
        <w:rPr>
          <w:sz w:val="24"/>
        </w:rPr>
      </w:pPr>
      <w:r>
        <w:rPr>
          <w:sz w:val="24"/>
        </w:rPr>
        <w:t>响应文件中的大写金额与小写金额不一致的，以大写金额为准；</w:t>
      </w:r>
    </w:p>
    <w:p>
      <w:pPr>
        <w:pStyle w:val="21"/>
        <w:numPr>
          <w:ilvl w:val="0"/>
          <w:numId w:val="19"/>
        </w:numPr>
        <w:tabs>
          <w:tab w:val="left" w:pos="1564"/>
        </w:tabs>
        <w:spacing w:before="94" w:after="0" w:line="312" w:lineRule="auto"/>
        <w:ind w:left="478" w:right="478" w:firstLine="480"/>
        <w:jc w:val="left"/>
        <w:rPr>
          <w:sz w:val="24"/>
        </w:rPr>
      </w:pPr>
      <w:r>
        <w:rPr>
          <w:sz w:val="24"/>
        </w:rPr>
        <w:t>总价金额与依据单价计算出的结果不一致的，以单价金额为准修正总价，但单价金额小数点有明显错误的除外。</w:t>
      </w:r>
    </w:p>
    <w:p>
      <w:pPr>
        <w:pStyle w:val="21"/>
        <w:numPr>
          <w:ilvl w:val="3"/>
          <w:numId w:val="17"/>
        </w:numPr>
        <w:tabs>
          <w:tab w:val="left" w:pos="1379"/>
        </w:tabs>
        <w:spacing w:before="0" w:after="0" w:line="307" w:lineRule="exact"/>
        <w:ind w:left="1378" w:right="0" w:hanging="421"/>
        <w:jc w:val="left"/>
        <w:rPr>
          <w:sz w:val="24"/>
        </w:rPr>
      </w:pPr>
      <w:r>
        <w:rPr>
          <w:sz w:val="24"/>
        </w:rPr>
        <w:t>详细评审</w:t>
      </w:r>
    </w:p>
    <w:p>
      <w:pPr>
        <w:pStyle w:val="8"/>
        <w:spacing w:before="93" w:line="312" w:lineRule="auto"/>
        <w:ind w:left="478" w:right="414" w:firstLine="480"/>
      </w:pPr>
      <w:r>
        <w:t>磋商小组分别进行技术评审、商务评审和信用与业绩评审，在技术组评委技术评分表提交后，在进行商务评分汇总。</w:t>
      </w:r>
    </w:p>
    <w:p>
      <w:pPr>
        <w:pStyle w:val="8"/>
        <w:spacing w:line="312" w:lineRule="auto"/>
        <w:ind w:left="478" w:right="425" w:firstLine="480"/>
        <w:jc w:val="both"/>
      </w:pPr>
      <w:r>
        <w:rPr>
          <w:spacing w:val="-3"/>
        </w:rPr>
        <w:t>报价部分由磋商小组与供应商进行磋商，供应商进行二轮报价。第一轮报价为响应</w:t>
      </w:r>
      <w:r>
        <w:rPr>
          <w:spacing w:val="-8"/>
        </w:rPr>
        <w:t>文件内报价，第二轮报价由磋商小组与供应商单独磋商后</w:t>
      </w:r>
      <w:r>
        <w:rPr>
          <w:rFonts w:hint="eastAsia"/>
          <w:spacing w:val="-8"/>
          <w:lang w:val="en-US" w:eastAsia="zh-CN"/>
        </w:rPr>
        <w:t>最终</w:t>
      </w:r>
      <w:r>
        <w:rPr>
          <w:spacing w:val="-8"/>
        </w:rPr>
        <w:t>报价。</w:t>
      </w:r>
    </w:p>
    <w:p>
      <w:pPr>
        <w:pStyle w:val="21"/>
        <w:numPr>
          <w:ilvl w:val="4"/>
          <w:numId w:val="17"/>
        </w:numPr>
        <w:tabs>
          <w:tab w:val="left" w:pos="1621"/>
        </w:tabs>
        <w:spacing w:before="1" w:after="0" w:line="312" w:lineRule="auto"/>
        <w:ind w:left="478" w:right="478" w:firstLine="480"/>
        <w:jc w:val="both"/>
        <w:rPr>
          <w:sz w:val="24"/>
        </w:rPr>
      </w:pPr>
      <w:r>
        <w:rPr>
          <w:spacing w:val="-6"/>
          <w:sz w:val="24"/>
        </w:rPr>
        <w:t xml:space="preserve">磋商小组按照本章第 </w:t>
      </w:r>
      <w:r>
        <w:rPr>
          <w:sz w:val="24"/>
        </w:rPr>
        <w:t>2.2</w:t>
      </w:r>
      <w:r>
        <w:rPr>
          <w:spacing w:val="-4"/>
          <w:sz w:val="24"/>
        </w:rPr>
        <w:t xml:space="preserve"> 款规定的量化因素和分值进行打分,计算出综合评分得分,供应商的总得分等于评委评分的算术和的平均值。</w:t>
      </w:r>
    </w:p>
    <w:p>
      <w:pPr>
        <w:pStyle w:val="21"/>
        <w:numPr>
          <w:ilvl w:val="0"/>
          <w:numId w:val="20"/>
        </w:numPr>
        <w:tabs>
          <w:tab w:val="left" w:pos="1560"/>
        </w:tabs>
        <w:spacing w:before="0" w:after="0" w:line="307" w:lineRule="exact"/>
        <w:ind w:left="1559" w:right="0" w:hanging="602"/>
        <w:jc w:val="left"/>
        <w:rPr>
          <w:sz w:val="24"/>
        </w:rPr>
      </w:pPr>
      <w:r>
        <w:rPr>
          <w:sz w:val="24"/>
        </w:rPr>
        <w:t>按本章规定的评审项目及内容对技术因素部分计算出得分∑1；</w:t>
      </w:r>
    </w:p>
    <w:p>
      <w:pPr>
        <w:pStyle w:val="21"/>
        <w:numPr>
          <w:ilvl w:val="0"/>
          <w:numId w:val="20"/>
        </w:numPr>
        <w:tabs>
          <w:tab w:val="left" w:pos="1560"/>
        </w:tabs>
        <w:spacing w:before="94" w:after="0" w:line="240" w:lineRule="auto"/>
        <w:ind w:left="1559" w:right="0" w:hanging="602"/>
        <w:jc w:val="left"/>
        <w:rPr>
          <w:sz w:val="24"/>
        </w:rPr>
      </w:pPr>
      <w:r>
        <w:rPr>
          <w:sz w:val="24"/>
        </w:rPr>
        <w:t>按本章规定的评审项目及内容对商务因素部分计算出∑2；</w:t>
      </w:r>
    </w:p>
    <w:p>
      <w:pPr>
        <w:pStyle w:val="21"/>
        <w:numPr>
          <w:ilvl w:val="4"/>
          <w:numId w:val="17"/>
        </w:numPr>
        <w:tabs>
          <w:tab w:val="left" w:pos="1619"/>
        </w:tabs>
        <w:spacing w:before="93" w:after="0" w:line="240" w:lineRule="auto"/>
        <w:ind w:left="1618" w:right="0" w:hanging="661"/>
        <w:jc w:val="left"/>
        <w:rPr>
          <w:sz w:val="24"/>
        </w:rPr>
      </w:pPr>
      <w:r>
        <w:rPr>
          <w:sz w:val="24"/>
        </w:rPr>
        <w:t>评分分值计算保留小数点后两位，小数点后第三位按“四舍五入”;</w:t>
      </w:r>
    </w:p>
    <w:p>
      <w:pPr>
        <w:pStyle w:val="8"/>
        <w:spacing w:before="91"/>
        <w:ind w:left="958"/>
      </w:pPr>
      <w:r>
        <w:t>5.2.3 供应商得分：∑1+∑2</w:t>
      </w:r>
    </w:p>
    <w:p>
      <w:pPr>
        <w:pStyle w:val="21"/>
        <w:numPr>
          <w:ilvl w:val="3"/>
          <w:numId w:val="17"/>
        </w:numPr>
        <w:tabs>
          <w:tab w:val="left" w:pos="1379"/>
        </w:tabs>
        <w:spacing w:before="93" w:after="0" w:line="240" w:lineRule="auto"/>
        <w:ind w:left="1378" w:right="0" w:hanging="421"/>
        <w:jc w:val="left"/>
        <w:rPr>
          <w:sz w:val="24"/>
        </w:rPr>
      </w:pPr>
      <w:r>
        <w:rPr>
          <w:sz w:val="24"/>
        </w:rPr>
        <w:t>响应文件的澄清和补正</w:t>
      </w:r>
    </w:p>
    <w:p>
      <w:pPr>
        <w:pStyle w:val="21"/>
        <w:numPr>
          <w:ilvl w:val="4"/>
          <w:numId w:val="17"/>
        </w:numPr>
        <w:tabs>
          <w:tab w:val="left" w:pos="1619"/>
        </w:tabs>
        <w:spacing w:before="93" w:after="0" w:line="312" w:lineRule="auto"/>
        <w:ind w:left="478" w:right="477" w:firstLine="480"/>
        <w:jc w:val="both"/>
        <w:rPr>
          <w:sz w:val="24"/>
        </w:rPr>
      </w:pPr>
      <w:r>
        <w:rPr>
          <w:spacing w:val="-1"/>
          <w:sz w:val="24"/>
        </w:rPr>
        <w:t>在评审过程中，磋商小组可以书面形式要求供应商对所提交响应文件中不明</w:t>
      </w:r>
      <w:r>
        <w:rPr>
          <w:spacing w:val="-4"/>
          <w:sz w:val="24"/>
        </w:rPr>
        <w:t>确的内容进行书面澄清或说明，或者对细微偏差进行补正。磋商小组不接受供应商主动</w:t>
      </w:r>
      <w:r>
        <w:rPr>
          <w:sz w:val="24"/>
        </w:rPr>
        <w:t>提出的澄清、说明或补正。</w:t>
      </w:r>
    </w:p>
    <w:p>
      <w:pPr>
        <w:pStyle w:val="21"/>
        <w:numPr>
          <w:ilvl w:val="4"/>
          <w:numId w:val="17"/>
        </w:numPr>
        <w:tabs>
          <w:tab w:val="left" w:pos="1619"/>
        </w:tabs>
        <w:spacing w:before="1" w:after="0" w:line="312" w:lineRule="auto"/>
        <w:ind w:left="478" w:right="357" w:firstLine="480"/>
        <w:jc w:val="both"/>
        <w:rPr>
          <w:sz w:val="24"/>
        </w:rPr>
      </w:pPr>
      <w:r>
        <w:rPr>
          <w:spacing w:val="-17"/>
          <w:sz w:val="24"/>
        </w:rPr>
        <w:t>澄清、说明和补正不得改变响应文件的实质性内容</w:t>
      </w:r>
      <w:r>
        <w:rPr>
          <w:sz w:val="24"/>
        </w:rPr>
        <w:t>（算术性错误修正的除外</w:t>
      </w:r>
      <w:r>
        <w:rPr>
          <w:spacing w:val="-120"/>
          <w:sz w:val="24"/>
        </w:rPr>
        <w:t>）</w:t>
      </w:r>
      <w:r>
        <w:rPr>
          <w:spacing w:val="-17"/>
          <w:sz w:val="24"/>
        </w:rPr>
        <w:t>。</w:t>
      </w:r>
      <w:r>
        <w:rPr>
          <w:sz w:val="24"/>
        </w:rPr>
        <w:t>供应商的书面澄清、说明和补正属于响应文件的组成部分。</w:t>
      </w:r>
    </w:p>
    <w:p>
      <w:pPr>
        <w:pStyle w:val="21"/>
        <w:numPr>
          <w:ilvl w:val="4"/>
          <w:numId w:val="17"/>
        </w:numPr>
        <w:tabs>
          <w:tab w:val="left" w:pos="1619"/>
        </w:tabs>
        <w:spacing w:before="0" w:after="0" w:line="312" w:lineRule="auto"/>
        <w:ind w:left="478" w:right="477" w:firstLine="480"/>
        <w:jc w:val="both"/>
        <w:rPr>
          <w:sz w:val="24"/>
        </w:rPr>
      </w:pPr>
      <w:r>
        <w:rPr>
          <w:spacing w:val="-1"/>
          <w:sz w:val="24"/>
        </w:rPr>
        <w:t>磋商小组对供应商提交的澄清、说明或补正有疑问的，可以要求供应商进一</w:t>
      </w:r>
      <w:r>
        <w:rPr>
          <w:sz w:val="24"/>
        </w:rPr>
        <w:t>步澄清、说明或补正，直至满足磋商小组的要求。</w:t>
      </w:r>
    </w:p>
    <w:p>
      <w:pPr>
        <w:pStyle w:val="21"/>
        <w:numPr>
          <w:ilvl w:val="3"/>
          <w:numId w:val="17"/>
        </w:numPr>
        <w:tabs>
          <w:tab w:val="left" w:pos="1379"/>
        </w:tabs>
        <w:spacing w:before="0" w:after="0" w:line="307" w:lineRule="exact"/>
        <w:ind w:left="1378" w:right="0" w:hanging="421"/>
        <w:jc w:val="both"/>
        <w:rPr>
          <w:sz w:val="24"/>
        </w:rPr>
      </w:pPr>
      <w:r>
        <w:rPr>
          <w:sz w:val="24"/>
        </w:rPr>
        <w:t>评审结果</w:t>
      </w:r>
    </w:p>
    <w:p>
      <w:pPr>
        <w:pStyle w:val="21"/>
        <w:numPr>
          <w:ilvl w:val="4"/>
          <w:numId w:val="17"/>
        </w:numPr>
        <w:tabs>
          <w:tab w:val="left" w:pos="1619"/>
        </w:tabs>
        <w:spacing w:before="93" w:after="0" w:line="312" w:lineRule="auto"/>
        <w:ind w:left="478" w:right="477" w:firstLine="480"/>
        <w:jc w:val="both"/>
        <w:rPr>
          <w:sz w:val="24"/>
        </w:rPr>
      </w:pPr>
      <w:r>
        <w:rPr>
          <w:spacing w:val="-1"/>
          <w:sz w:val="24"/>
        </w:rPr>
        <w:t>磋商小组依据本章第评分标准进行评分，按评审办法前附表的约定计算供应</w:t>
      </w:r>
      <w:r>
        <w:rPr>
          <w:spacing w:val="-3"/>
          <w:sz w:val="24"/>
        </w:rPr>
        <w:t xml:space="preserve">商最终得分，根据得分由高到低的顺序推荐 </w:t>
      </w:r>
      <w:r>
        <w:rPr>
          <w:sz w:val="24"/>
        </w:rPr>
        <w:t>3</w:t>
      </w:r>
      <w:r>
        <w:rPr>
          <w:spacing w:val="-8"/>
          <w:sz w:val="24"/>
        </w:rPr>
        <w:t xml:space="preserve"> 名中标候选人，并标明推荐顺序。</w:t>
      </w:r>
    </w:p>
    <w:p>
      <w:pPr>
        <w:pStyle w:val="21"/>
        <w:numPr>
          <w:ilvl w:val="4"/>
          <w:numId w:val="17"/>
        </w:numPr>
        <w:tabs>
          <w:tab w:val="left" w:pos="1619"/>
        </w:tabs>
        <w:spacing w:before="17" w:after="0" w:line="240" w:lineRule="auto"/>
        <w:ind w:left="1618" w:right="0" w:hanging="661"/>
        <w:jc w:val="both"/>
        <w:rPr>
          <w:sz w:val="24"/>
        </w:rPr>
      </w:pPr>
      <w:r>
        <w:rPr>
          <w:sz w:val="24"/>
        </w:rPr>
        <w:t>磋商小组完成评审后，应当向采购人提交书面评审报告。</w:t>
      </w:r>
    </w:p>
    <w:p>
      <w:pPr>
        <w:spacing w:after="0" w:line="240" w:lineRule="auto"/>
        <w:jc w:val="both"/>
        <w:rPr>
          <w:sz w:val="24"/>
        </w:rPr>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4"/>
        <w:tabs>
          <w:tab w:val="left" w:pos="1281"/>
        </w:tabs>
      </w:pPr>
      <w:bookmarkStart w:id="104" w:name="_bookmark36"/>
      <w:bookmarkEnd w:id="104"/>
      <w:r>
        <w:t>第五章</w:t>
      </w:r>
      <w:r>
        <w:tab/>
      </w:r>
      <w:r>
        <w:t>签订合同、合同主要条款</w:t>
      </w:r>
    </w:p>
    <w:p>
      <w:pPr>
        <w:pStyle w:val="8"/>
        <w:spacing w:before="7"/>
        <w:rPr>
          <w:rFonts w:ascii="黑体"/>
          <w:sz w:val="23"/>
        </w:rPr>
      </w:pPr>
    </w:p>
    <w:p>
      <w:pPr>
        <w:pStyle w:val="21"/>
        <w:numPr>
          <w:ilvl w:val="0"/>
          <w:numId w:val="21"/>
        </w:numPr>
        <w:tabs>
          <w:tab w:val="left" w:pos="1321"/>
        </w:tabs>
        <w:spacing w:before="1" w:after="0" w:line="240" w:lineRule="auto"/>
        <w:ind w:left="1320" w:right="0" w:hanging="284"/>
        <w:jc w:val="left"/>
        <w:rPr>
          <w:rFonts w:hint="eastAsia" w:ascii="楷体" w:eastAsia="楷体"/>
          <w:sz w:val="28"/>
        </w:rPr>
      </w:pPr>
      <w:bookmarkStart w:id="105" w:name="1.签订合同"/>
      <w:bookmarkEnd w:id="105"/>
      <w:bookmarkStart w:id="106" w:name="1.签订合同"/>
      <w:bookmarkEnd w:id="106"/>
      <w:r>
        <w:rPr>
          <w:rFonts w:hint="eastAsia" w:ascii="楷体" w:eastAsia="楷体"/>
          <w:spacing w:val="-2"/>
          <w:sz w:val="28"/>
        </w:rPr>
        <w:t>签订合同</w:t>
      </w:r>
    </w:p>
    <w:p>
      <w:pPr>
        <w:pStyle w:val="21"/>
        <w:numPr>
          <w:ilvl w:val="1"/>
          <w:numId w:val="21"/>
        </w:numPr>
        <w:tabs>
          <w:tab w:val="left" w:pos="1379"/>
        </w:tabs>
        <w:spacing w:before="82" w:after="0" w:line="312" w:lineRule="auto"/>
        <w:ind w:left="478" w:right="477" w:firstLine="480"/>
        <w:jc w:val="both"/>
        <w:rPr>
          <w:sz w:val="24"/>
        </w:rPr>
      </w:pPr>
      <w:r>
        <w:rPr>
          <w:spacing w:val="-1"/>
          <w:sz w:val="24"/>
        </w:rPr>
        <w:t>采购人应当自中标通知书发出之日起三十日内，按照竞争性磋商文件和中标人</w:t>
      </w:r>
      <w:r>
        <w:rPr>
          <w:spacing w:val="-7"/>
          <w:sz w:val="24"/>
        </w:rPr>
        <w:t>响应文件的约定，与中标人签订书面合同。所签订合同不得对竞争性磋商文件和中标人</w:t>
      </w:r>
      <w:r>
        <w:rPr>
          <w:sz w:val="24"/>
        </w:rPr>
        <w:t>响应文件作实质性修改。</w:t>
      </w:r>
    </w:p>
    <w:p>
      <w:pPr>
        <w:pStyle w:val="21"/>
        <w:numPr>
          <w:ilvl w:val="1"/>
          <w:numId w:val="21"/>
        </w:numPr>
        <w:tabs>
          <w:tab w:val="left" w:pos="1379"/>
        </w:tabs>
        <w:spacing w:before="0" w:after="0" w:line="312" w:lineRule="auto"/>
        <w:ind w:left="478" w:right="477" w:firstLine="480"/>
        <w:jc w:val="both"/>
        <w:rPr>
          <w:sz w:val="24"/>
        </w:rPr>
      </w:pPr>
      <w:r>
        <w:rPr>
          <w:spacing w:val="-5"/>
          <w:sz w:val="24"/>
        </w:rPr>
        <w:t xml:space="preserve">签订的合同原则以本章第 </w:t>
      </w:r>
      <w:r>
        <w:rPr>
          <w:sz w:val="24"/>
        </w:rPr>
        <w:t>4</w:t>
      </w:r>
      <w:r>
        <w:rPr>
          <w:spacing w:val="-9"/>
          <w:sz w:val="24"/>
        </w:rPr>
        <w:t xml:space="preserve"> 条的规定为基础，并根据评标、答疑情况进行修改</w:t>
      </w:r>
      <w:r>
        <w:rPr>
          <w:spacing w:val="-7"/>
          <w:sz w:val="24"/>
        </w:rPr>
        <w:t>补充，但该款并不限制采购人以其他方式签订合同的权利。采购人不得向中标人提出任何不合理的要求，作为签订合同的条件，不得与中标人私下订立背离合同实质性内容的</w:t>
      </w:r>
      <w:r>
        <w:rPr>
          <w:sz w:val="24"/>
        </w:rPr>
        <w:t>协议。</w:t>
      </w:r>
    </w:p>
    <w:p>
      <w:pPr>
        <w:pStyle w:val="21"/>
        <w:numPr>
          <w:ilvl w:val="1"/>
          <w:numId w:val="21"/>
        </w:numPr>
        <w:tabs>
          <w:tab w:val="left" w:pos="1379"/>
        </w:tabs>
        <w:spacing w:before="0" w:after="0" w:line="312" w:lineRule="auto"/>
        <w:ind w:left="478" w:right="357" w:firstLine="480"/>
        <w:jc w:val="left"/>
        <w:rPr>
          <w:sz w:val="24"/>
        </w:rPr>
      </w:pPr>
      <w:r>
        <w:rPr>
          <w:spacing w:val="-12"/>
          <w:sz w:val="24"/>
        </w:rPr>
        <w:t xml:space="preserve">竞争性磋商文件、响应文件、书面承诺和中标通知书均作为经济合同的一部分， </w:t>
      </w:r>
      <w:r>
        <w:rPr>
          <w:spacing w:val="-5"/>
          <w:sz w:val="24"/>
        </w:rPr>
        <w:t>且具有法律效力。中标人应严格履行经济合同所规定的各项义务和责任，否则将依法处理。</w:t>
      </w:r>
    </w:p>
    <w:p>
      <w:pPr>
        <w:pStyle w:val="21"/>
        <w:numPr>
          <w:ilvl w:val="1"/>
          <w:numId w:val="21"/>
        </w:numPr>
        <w:tabs>
          <w:tab w:val="left" w:pos="1379"/>
        </w:tabs>
        <w:spacing w:before="1" w:after="0" w:line="312" w:lineRule="auto"/>
        <w:ind w:left="478" w:right="357" w:firstLine="480"/>
        <w:jc w:val="left"/>
        <w:rPr>
          <w:sz w:val="24"/>
        </w:rPr>
      </w:pPr>
      <w:r>
        <w:rPr>
          <w:spacing w:val="-1"/>
          <w:sz w:val="24"/>
        </w:rPr>
        <w:t>有关法规或者竞争性磋商文件明确不允许分包方式履行合同的，中标人不得分</w:t>
      </w:r>
      <w:r>
        <w:rPr>
          <w:spacing w:val="-16"/>
          <w:sz w:val="24"/>
        </w:rPr>
        <w:t xml:space="preserve">包履行合同，否则将依法承担法律责任。竞争性磋商文件明确允许分包方式履行合同的， </w:t>
      </w:r>
      <w:r>
        <w:rPr>
          <w:sz w:val="24"/>
        </w:rPr>
        <w:t>按照竞争性磋商文件相关规定执行。</w:t>
      </w:r>
    </w:p>
    <w:p>
      <w:pPr>
        <w:pStyle w:val="8"/>
        <w:spacing w:line="312" w:lineRule="auto"/>
        <w:ind w:left="478" w:right="357" w:firstLine="480"/>
      </w:pPr>
      <w:r>
        <w:rPr>
          <w:spacing w:val="-4"/>
        </w:rPr>
        <w:t>当中标人放弃中标结果或者因被质疑、投诉，经查属实或者因不可抗力而不能履行</w:t>
      </w:r>
      <w:r>
        <w:rPr>
          <w:spacing w:val="-15"/>
        </w:rPr>
        <w:t xml:space="preserve">合同的，采购人可从推荐中标候选人名单中按顺序重新确定中标人，但应符合相关规定； </w:t>
      </w:r>
      <w:r>
        <w:t>否则采购人应重新组织招标。</w:t>
      </w:r>
    </w:p>
    <w:p>
      <w:pPr>
        <w:pStyle w:val="21"/>
        <w:numPr>
          <w:ilvl w:val="1"/>
          <w:numId w:val="21"/>
        </w:numPr>
        <w:tabs>
          <w:tab w:val="left" w:pos="1379"/>
        </w:tabs>
        <w:spacing w:before="1" w:after="0" w:line="312" w:lineRule="auto"/>
        <w:ind w:left="478" w:right="478" w:firstLine="480"/>
        <w:jc w:val="left"/>
        <w:rPr>
          <w:sz w:val="24"/>
        </w:rPr>
      </w:pPr>
      <w:r>
        <w:rPr>
          <w:spacing w:val="-4"/>
          <w:sz w:val="24"/>
        </w:rPr>
        <w:t xml:space="preserve">采购人应当自采购合同签订之日起 </w:t>
      </w:r>
      <w:r>
        <w:rPr>
          <w:sz w:val="24"/>
        </w:rPr>
        <w:t>7</w:t>
      </w:r>
      <w:r>
        <w:rPr>
          <w:spacing w:val="-9"/>
          <w:sz w:val="24"/>
        </w:rPr>
        <w:t xml:space="preserve"> 个工作日内，将采购合同副本报同级财政</w:t>
      </w:r>
      <w:r>
        <w:rPr>
          <w:sz w:val="24"/>
        </w:rPr>
        <w:t>部门和有关部门备案。</w:t>
      </w:r>
    </w:p>
    <w:p>
      <w:pPr>
        <w:pStyle w:val="21"/>
        <w:numPr>
          <w:ilvl w:val="1"/>
          <w:numId w:val="21"/>
        </w:numPr>
        <w:tabs>
          <w:tab w:val="left" w:pos="1379"/>
        </w:tabs>
        <w:spacing w:before="2" w:after="0" w:line="240" w:lineRule="auto"/>
        <w:ind w:left="1378" w:right="0" w:hanging="421"/>
        <w:jc w:val="left"/>
        <w:rPr>
          <w:sz w:val="24"/>
        </w:rPr>
      </w:pPr>
      <w:r>
        <w:rPr>
          <w:sz w:val="24"/>
        </w:rPr>
        <w:t>法律、行政法规规定应当办理批准、登记等手续后生效的合同，依照其规定。</w:t>
      </w:r>
    </w:p>
    <w:p>
      <w:pPr>
        <w:pStyle w:val="21"/>
        <w:numPr>
          <w:ilvl w:val="0"/>
          <w:numId w:val="21"/>
        </w:numPr>
        <w:tabs>
          <w:tab w:val="left" w:pos="1321"/>
        </w:tabs>
        <w:spacing w:before="51" w:after="0" w:line="240" w:lineRule="auto"/>
        <w:ind w:left="1320" w:right="0" w:hanging="284"/>
        <w:jc w:val="left"/>
        <w:rPr>
          <w:rFonts w:hint="eastAsia" w:ascii="楷体" w:eastAsia="楷体"/>
          <w:sz w:val="28"/>
        </w:rPr>
      </w:pPr>
      <w:bookmarkStart w:id="107" w:name="2.追加合同金额"/>
      <w:bookmarkEnd w:id="107"/>
      <w:bookmarkStart w:id="108" w:name="2.追加合同金额"/>
      <w:bookmarkEnd w:id="108"/>
      <w:r>
        <w:rPr>
          <w:rFonts w:hint="eastAsia" w:ascii="楷体" w:eastAsia="楷体"/>
          <w:spacing w:val="-3"/>
          <w:sz w:val="28"/>
        </w:rPr>
        <w:t>追加合同金额</w:t>
      </w:r>
    </w:p>
    <w:p>
      <w:pPr>
        <w:pStyle w:val="8"/>
        <w:spacing w:before="82" w:line="312" w:lineRule="auto"/>
        <w:ind w:left="478" w:right="477" w:firstLine="480"/>
        <w:jc w:val="both"/>
      </w:pPr>
      <w:r>
        <w:rPr>
          <w:spacing w:val="-5"/>
        </w:rPr>
        <w:t>政府采购合同履行中，采购人需要追加与合同标的相同服务的，在不改变合同其他</w:t>
      </w:r>
      <w:r>
        <w:t>条款的前提下并且在签订合同后1年内，经采购人报同级财政部门批准后，可以与中标人协商签订补充合同，但所有补充合同的采购金额不得超过原合同采购金额的10%，否则采购人应重新组织招标。</w:t>
      </w:r>
    </w:p>
    <w:p>
      <w:pPr>
        <w:pStyle w:val="8"/>
        <w:spacing w:before="2" w:line="312" w:lineRule="auto"/>
        <w:ind w:left="478" w:right="477" w:firstLine="480"/>
        <w:jc w:val="both"/>
      </w:pPr>
      <w:r>
        <w:rPr>
          <w:spacing w:val="-4"/>
        </w:rPr>
        <w:t>采购合同双方当事人不得擅自变更、中止或者终止合同。采购合同继续履行将损害</w:t>
      </w:r>
      <w:r>
        <w:rPr>
          <w:spacing w:val="-5"/>
        </w:rPr>
        <w:t>国家利益和社会公共利益的，双方当事人应当变更、中止或者终止合同。有过错的一方</w:t>
      </w:r>
      <w:r>
        <w:t>应当承担赔偿责任，双方都有过错的，各自承担责任。</w:t>
      </w:r>
    </w:p>
    <w:p>
      <w:pPr>
        <w:pStyle w:val="21"/>
        <w:numPr>
          <w:ilvl w:val="0"/>
          <w:numId w:val="21"/>
        </w:numPr>
        <w:tabs>
          <w:tab w:val="left" w:pos="1321"/>
        </w:tabs>
        <w:spacing w:before="0" w:after="0" w:line="319" w:lineRule="exact"/>
        <w:ind w:left="1320" w:right="0" w:hanging="284"/>
        <w:jc w:val="left"/>
        <w:rPr>
          <w:rFonts w:hint="eastAsia" w:ascii="楷体" w:eastAsia="楷体"/>
          <w:sz w:val="28"/>
        </w:rPr>
      </w:pPr>
      <w:bookmarkStart w:id="109" w:name="3.服务质量与验收"/>
      <w:bookmarkEnd w:id="109"/>
      <w:bookmarkStart w:id="110" w:name="3.服务质量与验收"/>
      <w:bookmarkEnd w:id="110"/>
      <w:r>
        <w:rPr>
          <w:rFonts w:hint="eastAsia" w:ascii="楷体" w:eastAsia="楷体"/>
          <w:spacing w:val="-3"/>
          <w:sz w:val="28"/>
        </w:rPr>
        <w:t>服务质量与验收</w:t>
      </w:r>
    </w:p>
    <w:p>
      <w:pPr>
        <w:pStyle w:val="8"/>
        <w:spacing w:before="80" w:line="312" w:lineRule="auto"/>
        <w:ind w:left="478" w:right="425" w:firstLine="482"/>
        <w:jc w:val="both"/>
      </w:pPr>
      <w:r>
        <w:rPr>
          <w:spacing w:val="-4"/>
        </w:rPr>
        <w:t>竞争性磋商文件中的服务按照国标、部标、行业标准或者双方技术协议或者竞争性</w:t>
      </w:r>
      <w:r>
        <w:rPr>
          <w:spacing w:val="-9"/>
        </w:rPr>
        <w:t>磋商文件、响应文件、书面承诺提供服务。如对服务以及质量有争议，采购人组织相关</w:t>
      </w:r>
      <w:r>
        <w:rPr>
          <w:spacing w:val="-10"/>
        </w:rPr>
        <w:t>部门对服务和质量进行检验或者验收，未达到服务要求的，由成中标人承担全部责任。</w:t>
      </w:r>
    </w:p>
    <w:p>
      <w:pPr>
        <w:pStyle w:val="21"/>
        <w:numPr>
          <w:ilvl w:val="0"/>
          <w:numId w:val="21"/>
        </w:numPr>
        <w:tabs>
          <w:tab w:val="left" w:pos="1321"/>
        </w:tabs>
        <w:spacing w:before="0" w:after="0" w:line="319" w:lineRule="exact"/>
        <w:ind w:left="1320" w:right="0" w:hanging="284"/>
        <w:jc w:val="left"/>
        <w:rPr>
          <w:rFonts w:hint="eastAsia" w:ascii="楷体" w:eastAsia="楷体"/>
          <w:sz w:val="28"/>
        </w:rPr>
      </w:pPr>
      <w:bookmarkStart w:id="111" w:name="4.合同主要条款"/>
      <w:bookmarkEnd w:id="111"/>
      <w:bookmarkStart w:id="112" w:name="4.合同主要条款"/>
      <w:bookmarkEnd w:id="112"/>
      <w:r>
        <w:rPr>
          <w:rFonts w:hint="eastAsia" w:ascii="楷体" w:eastAsia="楷体"/>
          <w:spacing w:val="-3"/>
          <w:sz w:val="28"/>
        </w:rPr>
        <w:t>合同主要条款</w:t>
      </w:r>
    </w:p>
    <w:p>
      <w:pPr>
        <w:spacing w:after="0" w:line="319" w:lineRule="exact"/>
        <w:jc w:val="left"/>
        <w:rPr>
          <w:rFonts w:hint="eastAsia" w:ascii="楷体" w:eastAsia="楷体"/>
          <w:sz w:val="28"/>
        </w:rPr>
        <w:sectPr>
          <w:pgSz w:w="11910" w:h="16840"/>
          <w:pgMar w:top="1480" w:right="940" w:bottom="1180" w:left="940" w:header="0" w:footer="1000" w:gutter="0"/>
          <w:pgBorders>
            <w:top w:val="none" w:sz="0" w:space="0"/>
            <w:left w:val="none" w:sz="0" w:space="0"/>
            <w:bottom w:val="none" w:sz="0" w:space="0"/>
            <w:right w:val="none" w:sz="0" w:space="0"/>
          </w:pgBorders>
          <w:cols w:space="720" w:num="1"/>
        </w:sectPr>
      </w:pPr>
    </w:p>
    <w:p>
      <w:pPr>
        <w:pStyle w:val="8"/>
        <w:tabs>
          <w:tab w:val="left" w:pos="5097"/>
          <w:tab w:val="left" w:pos="5217"/>
          <w:tab w:val="left" w:pos="5337"/>
        </w:tabs>
        <w:spacing w:before="40" w:line="312" w:lineRule="auto"/>
        <w:ind w:left="958" w:right="4686"/>
        <w:rPr>
          <w:rFonts w:ascii="Times New Roman" w:eastAsia="Times New Roman"/>
        </w:rPr>
      </w:pPr>
      <w:r>
        <w:rPr>
          <w:spacing w:val="-1"/>
        </w:rPr>
        <w:t>合</w:t>
      </w:r>
      <w:r>
        <w:t>同编号：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3"/>
          <w:u w:val="single"/>
        </w:rPr>
        <w:t xml:space="preserve"> </w:t>
      </w:r>
      <w:r>
        <w:rPr>
          <w:spacing w:val="-1"/>
        </w:rPr>
        <w:t>甲</w:t>
      </w:r>
      <w:r>
        <w:t>方（采购人）：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8"/>
          <w:u w:val="single"/>
        </w:rPr>
        <w:t xml:space="preserve"> </w:t>
      </w:r>
      <w:r>
        <w:rPr>
          <w:spacing w:val="-1"/>
        </w:rPr>
        <w:t>住</w:t>
      </w:r>
      <w:r>
        <w:t>所地：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5"/>
          <w:u w:val="single"/>
        </w:rPr>
        <w:t xml:space="preserve"> </w:t>
      </w:r>
      <w:r>
        <w:rPr>
          <w:spacing w:val="-1"/>
        </w:rPr>
        <w:t>乙</w:t>
      </w:r>
      <w:r>
        <w:t>方（中标人）：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8"/>
          <w:u w:val="single"/>
        </w:rPr>
        <w:t xml:space="preserve"> </w:t>
      </w:r>
      <w:r>
        <w:rPr>
          <w:spacing w:val="-1"/>
        </w:rPr>
        <w:t>住</w:t>
      </w:r>
      <w:r>
        <w:t>所地：</w:t>
      </w:r>
      <w:r>
        <w:rPr>
          <w:rFonts w:ascii="Times New Roman" w:eastAsia="Times New Roman"/>
          <w:u w:val="single"/>
        </w:rPr>
        <w:t xml:space="preserve"> </w:t>
      </w:r>
      <w:r>
        <w:rPr>
          <w:rFonts w:ascii="Times New Roman" w:eastAsia="Times New Roman"/>
          <w:u w:val="single"/>
        </w:rPr>
        <w:tab/>
      </w:r>
    </w:p>
    <w:p>
      <w:pPr>
        <w:pStyle w:val="8"/>
        <w:spacing w:before="1" w:line="312" w:lineRule="auto"/>
        <w:ind w:left="478" w:right="473" w:firstLine="482"/>
        <w:jc w:val="both"/>
      </w:pPr>
      <w:r>
        <w:t>乙方于</w:t>
      </w:r>
      <w:r>
        <w:rPr>
          <w:spacing w:val="5"/>
          <w:u w:val="single"/>
        </w:rPr>
        <w:t xml:space="preserve">   </w:t>
      </w:r>
      <w:r>
        <w:t>年</w:t>
      </w:r>
      <w:r>
        <w:rPr>
          <w:spacing w:val="4"/>
          <w:u w:val="single"/>
        </w:rPr>
        <w:t xml:space="preserve">  </w:t>
      </w:r>
      <w:r>
        <w:t>月</w:t>
      </w:r>
      <w:r>
        <w:rPr>
          <w:spacing w:val="4"/>
          <w:u w:val="single"/>
        </w:rPr>
        <w:t xml:space="preserve">   </w:t>
      </w:r>
      <w:r>
        <w:t>日参加了</w:t>
      </w:r>
      <w:r>
        <w:rPr>
          <w:u w:val="single"/>
        </w:rPr>
        <w:t xml:space="preserve"> （采购人或者代理机构） </w:t>
      </w:r>
      <w:r>
        <w:t>组织的“</w:t>
      </w:r>
      <w:r>
        <w:rPr>
          <w:spacing w:val="4"/>
          <w:u w:val="single"/>
        </w:rPr>
        <w:t xml:space="preserve">  </w:t>
      </w:r>
      <w:r>
        <w:rPr>
          <w:u w:val="single"/>
        </w:rPr>
        <w:t xml:space="preserve">（项目名称及项目编号） </w:t>
      </w:r>
      <w:r>
        <w:t>”政府采购活动，经谈判小组评审确定乙方为</w:t>
      </w:r>
      <w:r>
        <w:rPr>
          <w:u w:val="single"/>
        </w:rPr>
        <w:t xml:space="preserve"> （包及包名称） </w:t>
      </w:r>
      <w:r>
        <w:rPr>
          <w:spacing w:val="7"/>
        </w:rPr>
        <w:t xml:space="preserve"> 中标</w:t>
      </w:r>
      <w:r>
        <w:rPr>
          <w:spacing w:val="-8"/>
        </w:rPr>
        <w:t>人，按照《中华人民共和国合同法》、《中华人民共和国政府采购法》和相关的法律法</w:t>
      </w:r>
      <w:r>
        <w:t>规规定，以及竞争性磋商文件要求，经甲乙双方协商一致，签订本政府采购合同。</w:t>
      </w:r>
    </w:p>
    <w:p>
      <w:pPr>
        <w:pStyle w:val="8"/>
        <w:spacing w:before="2" w:line="312" w:lineRule="auto"/>
        <w:ind w:left="960" w:right="7263"/>
      </w:pPr>
      <w:r>
        <w:rPr>
          <w:spacing w:val="-3"/>
        </w:rPr>
        <w:t>第一条 合同标的</w:t>
      </w:r>
      <w:r>
        <w:t>服务名称：</w:t>
      </w:r>
    </w:p>
    <w:p>
      <w:pPr>
        <w:pStyle w:val="8"/>
        <w:spacing w:line="307" w:lineRule="exact"/>
        <w:ind w:left="960"/>
      </w:pPr>
      <w:r>
        <w:t>服务内容：</w:t>
      </w:r>
    </w:p>
    <w:p>
      <w:pPr>
        <w:pStyle w:val="8"/>
        <w:spacing w:before="93" w:line="312" w:lineRule="auto"/>
        <w:ind w:left="960" w:right="7863"/>
      </w:pPr>
      <w:r>
        <w:t xml:space="preserve">………… </w:t>
      </w:r>
      <w:r>
        <w:rPr>
          <w:spacing w:val="-4"/>
        </w:rPr>
        <w:t>技术标准：</w:t>
      </w:r>
    </w:p>
    <w:p>
      <w:pPr>
        <w:pStyle w:val="8"/>
        <w:spacing w:line="307" w:lineRule="exact"/>
        <w:ind w:left="960"/>
      </w:pPr>
      <w:r>
        <w:t>……</w:t>
      </w:r>
    </w:p>
    <w:p>
      <w:pPr>
        <w:pStyle w:val="8"/>
        <w:tabs>
          <w:tab w:val="left" w:pos="1920"/>
        </w:tabs>
        <w:spacing w:before="93"/>
        <w:ind w:left="960"/>
      </w:pPr>
      <w:r>
        <w:t>第二条</w:t>
      </w:r>
      <w:r>
        <w:tab/>
      </w:r>
      <w:r>
        <w:t>合同总金额</w:t>
      </w:r>
    </w:p>
    <w:p>
      <w:pPr>
        <w:pStyle w:val="8"/>
        <w:tabs>
          <w:tab w:val="left" w:pos="5880"/>
          <w:tab w:val="left" w:pos="7320"/>
        </w:tabs>
        <w:spacing w:before="93"/>
        <w:ind w:left="960"/>
      </w:pPr>
      <w:r>
        <w:t>合同总金额为人民币（大写）：</w:t>
      </w:r>
      <w:r>
        <w:rPr>
          <w:u w:val="single"/>
        </w:rPr>
        <w:t xml:space="preserve"> </w:t>
      </w:r>
      <w:r>
        <w:rPr>
          <w:u w:val="single"/>
        </w:rPr>
        <w:tab/>
      </w:r>
      <w:r>
        <w:t>（￥</w:t>
      </w:r>
      <w:r>
        <w:rPr>
          <w:u w:val="single"/>
        </w:rPr>
        <w:t xml:space="preserve"> </w:t>
      </w:r>
      <w:r>
        <w:rPr>
          <w:u w:val="single"/>
        </w:rPr>
        <w:tab/>
      </w:r>
      <w:r>
        <w:t>）</w:t>
      </w:r>
    </w:p>
    <w:p>
      <w:pPr>
        <w:pStyle w:val="8"/>
        <w:spacing w:before="91" w:line="312" w:lineRule="auto"/>
        <w:ind w:left="478" w:right="351" w:firstLine="482"/>
      </w:pPr>
      <w:r>
        <w:rPr>
          <w:spacing w:val="-4"/>
        </w:rPr>
        <w:t>此价格为合同执行不变价，不因国家政策变化而变化，该价款包括了服务价格及与</w:t>
      </w:r>
      <w:r>
        <w:rPr>
          <w:spacing w:val="-15"/>
        </w:rPr>
        <w:t>之配套的设计、制造、正版软件、检验、包装、运输、保险、税费以及安装、组织验收、</w:t>
      </w:r>
      <w:r>
        <w:t>培训、技术服务（包括技术资料、图纸提供等）、质保期服务等全部价款，除此之外， 甲方不再向乙方支付其他任何费用。</w:t>
      </w:r>
    </w:p>
    <w:p>
      <w:pPr>
        <w:pStyle w:val="8"/>
        <w:spacing w:before="2"/>
        <w:ind w:left="960"/>
      </w:pPr>
      <w:r>
        <w:t>……</w:t>
      </w:r>
    </w:p>
    <w:p>
      <w:pPr>
        <w:pStyle w:val="8"/>
        <w:tabs>
          <w:tab w:val="left" w:pos="1920"/>
        </w:tabs>
        <w:spacing w:before="93" w:line="312" w:lineRule="auto"/>
        <w:ind w:left="960" w:right="7143"/>
      </w:pPr>
      <w:r>
        <w:t>第三条</w:t>
      </w:r>
      <w:r>
        <w:tab/>
      </w:r>
      <w:r>
        <w:t>服务交</w:t>
      </w:r>
      <w:r>
        <w:rPr>
          <w:spacing w:val="-17"/>
        </w:rPr>
        <w:t>付</w:t>
      </w:r>
      <w:r>
        <w:t>1、交付日期：</w:t>
      </w:r>
    </w:p>
    <w:p>
      <w:pPr>
        <w:pStyle w:val="8"/>
        <w:spacing w:line="307" w:lineRule="exact"/>
        <w:ind w:left="960"/>
      </w:pPr>
      <w:r>
        <w:t>2、交付地点：</w:t>
      </w:r>
    </w:p>
    <w:p>
      <w:pPr>
        <w:pStyle w:val="8"/>
        <w:spacing w:before="94"/>
        <w:ind w:left="960"/>
      </w:pPr>
      <w:r>
        <w:t>……</w:t>
      </w:r>
    </w:p>
    <w:p>
      <w:pPr>
        <w:pStyle w:val="8"/>
        <w:tabs>
          <w:tab w:val="left" w:pos="1920"/>
        </w:tabs>
        <w:spacing w:before="91"/>
        <w:ind w:left="960"/>
      </w:pPr>
      <w:r>
        <w:t>第四条</w:t>
      </w:r>
      <w:r>
        <w:tab/>
      </w:r>
      <w:r>
        <w:t>交付验收</w:t>
      </w:r>
    </w:p>
    <w:p>
      <w:pPr>
        <w:pStyle w:val="8"/>
        <w:spacing w:before="93" w:line="312" w:lineRule="auto"/>
        <w:ind w:left="478" w:right="476" w:firstLine="482"/>
      </w:pPr>
      <w:r>
        <w:t>1、乙方应对提交的服务成果作出全面检查和整理，并列出清单，作为甲方验收和使用技术条件依据，清单应随提交的服务成果交给甲方。</w:t>
      </w:r>
    </w:p>
    <w:p>
      <w:pPr>
        <w:pStyle w:val="8"/>
        <w:spacing w:line="312" w:lineRule="auto"/>
        <w:ind w:left="478" w:right="476" w:firstLine="482"/>
      </w:pPr>
      <w:r>
        <w:t>2、乙方在指定地点提交服务成果后，甲乙双方应依据竞争性磋商文件、响应文件等文件材料的要求共同验收，并且出具书面验收报告。</w:t>
      </w:r>
    </w:p>
    <w:p>
      <w:pPr>
        <w:pStyle w:val="8"/>
        <w:spacing w:before="2" w:line="312" w:lineRule="auto"/>
        <w:ind w:left="478" w:right="476" w:firstLine="482"/>
      </w:pPr>
      <w:r>
        <w:t>3、对复杂的服务，甲方可邀请国家认可的专业机构参与验收，并出具验收报告， 相关费用负担由甲乙双方约定。</w:t>
      </w:r>
    </w:p>
    <w:p>
      <w:pPr>
        <w:pStyle w:val="8"/>
        <w:spacing w:line="307" w:lineRule="exact"/>
        <w:ind w:left="960"/>
      </w:pPr>
      <w:r>
        <w:t>……</w:t>
      </w:r>
    </w:p>
    <w:p>
      <w:pPr>
        <w:pStyle w:val="8"/>
        <w:tabs>
          <w:tab w:val="left" w:pos="1920"/>
        </w:tabs>
        <w:spacing w:before="93"/>
        <w:ind w:left="960"/>
      </w:pPr>
      <w:r>
        <w:t>第五条</w:t>
      </w:r>
      <w:r>
        <w:tab/>
      </w:r>
      <w:r>
        <w:t>所有权归属</w:t>
      </w:r>
    </w:p>
    <w:p>
      <w:pPr>
        <w:spacing w:after="0"/>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line="312" w:lineRule="auto"/>
        <w:ind w:left="478" w:right="477" w:firstLine="482"/>
        <w:jc w:val="both"/>
      </w:pPr>
      <w:r>
        <w:rPr>
          <w:spacing w:val="-5"/>
        </w:rPr>
        <w:t>乙方将服务成果交付甲方，并且经甲乙双方共同验收合格后所有权转移给甲方，在</w:t>
      </w:r>
      <w:r>
        <w:rPr>
          <w:spacing w:val="-6"/>
        </w:rPr>
        <w:t>所有权转移之前，标的物损毁、灭失的风险归乙方，乙方保证所交付的服务成果的所有</w:t>
      </w:r>
      <w:r>
        <w:t>权完全属于乙方且无任何抵押、查封等产权瑕疵。</w:t>
      </w:r>
    </w:p>
    <w:p>
      <w:pPr>
        <w:pStyle w:val="8"/>
        <w:spacing w:before="1" w:line="312" w:lineRule="auto"/>
        <w:ind w:left="478" w:right="476" w:firstLine="482"/>
        <w:jc w:val="both"/>
      </w:pPr>
      <w: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pPr>
        <w:pStyle w:val="8"/>
        <w:spacing w:before="1"/>
        <w:ind w:left="960"/>
        <w:jc w:val="both"/>
      </w:pPr>
      <w:r>
        <w:t>第六条 包装、装运及运输</w:t>
      </w:r>
    </w:p>
    <w:p>
      <w:pPr>
        <w:pStyle w:val="8"/>
        <w:spacing w:before="93" w:line="312" w:lineRule="auto"/>
        <w:ind w:left="478" w:right="476" w:firstLine="482"/>
      </w:pPr>
      <w:r>
        <w:t>1、乙方负责包装、装运和运输，由于不适当的包装、装运和运输造成任何损坏均由乙方负责。</w:t>
      </w:r>
    </w:p>
    <w:p>
      <w:pPr>
        <w:pStyle w:val="8"/>
        <w:spacing w:line="307" w:lineRule="exact"/>
        <w:ind w:left="960"/>
      </w:pPr>
      <w:r>
        <w:t>2、包装费、运费及相关费用已包含在合同总金额内。</w:t>
      </w:r>
    </w:p>
    <w:p>
      <w:pPr>
        <w:pStyle w:val="8"/>
        <w:spacing w:before="93"/>
        <w:ind w:left="960"/>
      </w:pPr>
      <w:r>
        <w:t>……</w:t>
      </w:r>
    </w:p>
    <w:p>
      <w:pPr>
        <w:pStyle w:val="8"/>
        <w:tabs>
          <w:tab w:val="left" w:pos="1920"/>
        </w:tabs>
        <w:spacing w:before="91"/>
        <w:ind w:left="960"/>
      </w:pPr>
      <w:r>
        <w:t>第七条</w:t>
      </w:r>
      <w:r>
        <w:tab/>
      </w:r>
      <w:r>
        <w:t>款项支付</w:t>
      </w:r>
    </w:p>
    <w:p>
      <w:pPr>
        <w:pStyle w:val="8"/>
        <w:spacing w:before="94"/>
        <w:ind w:left="960"/>
      </w:pPr>
      <w:r>
        <w:t>1、服务成果交付甲方，经甲乙双方共同验收合格后由甲方负责办理支付手续。</w:t>
      </w:r>
    </w:p>
    <w:p>
      <w:pPr>
        <w:pStyle w:val="8"/>
        <w:spacing w:before="93" w:line="312" w:lineRule="auto"/>
        <w:ind w:left="478" w:right="476" w:firstLine="482"/>
      </w:pPr>
      <w:r>
        <w:t>2、属国库集中支付资金，甲方应按照双方约定的付款期限，及时向财政部门报送资金支付申请，财政部门对支付申请审核无误后，将款项直接支付至乙方账户。</w:t>
      </w:r>
    </w:p>
    <w:p>
      <w:pPr>
        <w:pStyle w:val="8"/>
        <w:spacing w:line="307" w:lineRule="exact"/>
        <w:ind w:left="960"/>
      </w:pPr>
      <w:r>
        <w:t>3、付款方式</w:t>
      </w:r>
    </w:p>
    <w:p>
      <w:pPr>
        <w:pStyle w:val="8"/>
        <w:spacing w:before="93" w:line="312" w:lineRule="auto"/>
        <w:ind w:left="478" w:right="423" w:firstLine="482"/>
        <w:jc w:val="both"/>
      </w:pPr>
      <w:r>
        <w:t>（</w:t>
      </w:r>
      <w:r>
        <w:rPr>
          <w:spacing w:val="-1"/>
        </w:rPr>
        <w:t>可采用分期付款方式，也可以采用一次性付款方式，具体由甲乙双方协商约定。</w:t>
      </w:r>
      <w:r>
        <w:rPr>
          <w:spacing w:val="-5"/>
        </w:rPr>
        <w:t>采用分期付款方式的，应约定首付、各分期支付的时间、条件及支付资金的比率；采用</w:t>
      </w:r>
      <w:r>
        <w:rPr>
          <w:spacing w:val="-9"/>
        </w:rPr>
        <w:t>一次性付款方式的，应约定支付的时间；甲方根据采购服务的具体情况确定是否预留质保金）。</w:t>
      </w:r>
    </w:p>
    <w:p>
      <w:pPr>
        <w:pStyle w:val="8"/>
        <w:spacing w:line="307" w:lineRule="exact"/>
        <w:ind w:left="960"/>
      </w:pPr>
      <w:r>
        <w:t>……</w:t>
      </w:r>
    </w:p>
    <w:p>
      <w:pPr>
        <w:pStyle w:val="8"/>
        <w:tabs>
          <w:tab w:val="left" w:pos="1920"/>
        </w:tabs>
        <w:spacing w:before="93"/>
        <w:ind w:left="960"/>
      </w:pPr>
      <w:r>
        <w:t>第八条</w:t>
      </w:r>
      <w:r>
        <w:tab/>
      </w:r>
      <w:r>
        <w:t>履约保证金</w:t>
      </w:r>
    </w:p>
    <w:p>
      <w:pPr>
        <w:pStyle w:val="8"/>
        <w:tabs>
          <w:tab w:val="left" w:pos="6403"/>
          <w:tab w:val="left" w:pos="7858"/>
        </w:tabs>
        <w:spacing w:before="94" w:line="312" w:lineRule="auto"/>
        <w:ind w:left="478" w:right="476" w:firstLine="482"/>
      </w:pPr>
      <w:r>
        <w:t>1、乙方须向甲方交纳人民币（大写）</w:t>
      </w:r>
      <w:r>
        <w:rPr>
          <w:u w:val="single"/>
        </w:rPr>
        <w:t xml:space="preserve"> </w:t>
      </w:r>
      <w:r>
        <w:rPr>
          <w:u w:val="single"/>
        </w:rPr>
        <w:tab/>
      </w:r>
      <w:r>
        <w:t>（￥</w:t>
      </w:r>
      <w:r>
        <w:rPr>
          <w:u w:val="single"/>
        </w:rPr>
        <w:t xml:space="preserve"> </w:t>
      </w:r>
      <w:r>
        <w:rPr>
          <w:u w:val="single"/>
        </w:rPr>
        <w:tab/>
      </w:r>
      <w:r>
        <w:t>）元作为本合</w:t>
      </w:r>
      <w:r>
        <w:rPr>
          <w:spacing w:val="-16"/>
        </w:rPr>
        <w:t>同</w:t>
      </w:r>
      <w:r>
        <w:t>的履约保证金。</w:t>
      </w:r>
    </w:p>
    <w:p>
      <w:pPr>
        <w:pStyle w:val="8"/>
        <w:spacing w:line="307" w:lineRule="exact"/>
        <w:ind w:left="960"/>
      </w:pPr>
      <w:r>
        <w:t>2、履约保证金用于补偿甲方因乙方不能履行或不能完全履行合同义务而蒙受的损</w:t>
      </w:r>
    </w:p>
    <w:p>
      <w:pPr>
        <w:pStyle w:val="8"/>
        <w:spacing w:before="93"/>
        <w:ind w:left="478"/>
      </w:pPr>
      <w:r>
        <w:t>失。</w:t>
      </w:r>
    </w:p>
    <w:p>
      <w:pPr>
        <w:pStyle w:val="8"/>
        <w:spacing w:before="91" w:line="312" w:lineRule="auto"/>
        <w:ind w:left="478" w:right="477" w:firstLine="480"/>
        <w:jc w:val="both"/>
      </w:pPr>
      <w:r>
        <w:t>3、履约保证金在服务交付验收合格</w:t>
      </w:r>
      <w:r>
        <w:rPr>
          <w:spacing w:val="18"/>
          <w:u w:val="single"/>
        </w:rPr>
        <w:t xml:space="preserve">   </w:t>
      </w:r>
      <w:r>
        <w:t>月无质量问题后，填写《政府采购项目履</w:t>
      </w:r>
      <w:r>
        <w:rPr>
          <w:spacing w:val="-6"/>
        </w:rPr>
        <w:t>约保证金退付表》、《政府采购项目验收单》和资金往来收款收据交监督部门后</w:t>
      </w:r>
      <w:r>
        <w:t>20</w:t>
      </w:r>
      <w:r>
        <w:rPr>
          <w:spacing w:val="-9"/>
        </w:rPr>
        <w:t>个工</w:t>
      </w:r>
      <w:r>
        <w:t>作日内退还。</w:t>
      </w:r>
    </w:p>
    <w:p>
      <w:pPr>
        <w:pStyle w:val="8"/>
        <w:spacing w:before="1"/>
        <w:ind w:left="960"/>
      </w:pPr>
      <w:r>
        <w:t>……</w:t>
      </w:r>
    </w:p>
    <w:p>
      <w:pPr>
        <w:pStyle w:val="8"/>
        <w:tabs>
          <w:tab w:val="left" w:pos="1920"/>
        </w:tabs>
        <w:spacing w:before="93"/>
        <w:ind w:left="960"/>
      </w:pPr>
      <w:r>
        <w:t>第九条</w:t>
      </w:r>
      <w:r>
        <w:tab/>
      </w:r>
      <w:r>
        <w:t>售后服务及承诺</w:t>
      </w:r>
    </w:p>
    <w:p>
      <w:pPr>
        <w:pStyle w:val="8"/>
        <w:tabs>
          <w:tab w:val="left" w:pos="6703"/>
        </w:tabs>
        <w:spacing w:before="93" w:line="312" w:lineRule="auto"/>
        <w:ind w:left="478" w:right="477" w:firstLine="482"/>
      </w:pPr>
      <w:r>
        <w:t>1</w:t>
      </w:r>
      <w:r>
        <w:rPr>
          <w:spacing w:val="-20"/>
        </w:rPr>
        <w:t>、</w:t>
      </w:r>
      <w:r>
        <w:t>服务质量保证期限自提交服务验收合格之日起</w:t>
      </w:r>
      <w:r>
        <w:rPr>
          <w:u w:val="single"/>
        </w:rPr>
        <w:t xml:space="preserve"> </w:t>
      </w:r>
      <w:r>
        <w:rPr>
          <w:u w:val="single"/>
        </w:rPr>
        <w:tab/>
      </w:r>
      <w:r>
        <w:t>年</w:t>
      </w:r>
      <w:r>
        <w:rPr>
          <w:spacing w:val="-20"/>
        </w:rPr>
        <w:t>，</w:t>
      </w:r>
      <w:r>
        <w:t>在质量保证期内</w:t>
      </w:r>
      <w:r>
        <w:rPr>
          <w:spacing w:val="-20"/>
        </w:rPr>
        <w:t>，</w:t>
      </w:r>
      <w:r>
        <w:t>乙</w:t>
      </w:r>
      <w:r>
        <w:rPr>
          <w:spacing w:val="-16"/>
        </w:rPr>
        <w:t>方</w:t>
      </w:r>
      <w:r>
        <w:t>应对服务出现的问题负责处理并承担一切费用，并且赔偿甲方的损失。</w:t>
      </w:r>
    </w:p>
    <w:p>
      <w:pPr>
        <w:pStyle w:val="8"/>
        <w:spacing w:line="307" w:lineRule="exact"/>
        <w:ind w:left="960"/>
      </w:pPr>
      <w:r>
        <w:t>2、乙方有完善的服务体系，有能力提供持续的、本地化售后服务。</w:t>
      </w:r>
    </w:p>
    <w:p>
      <w:pPr>
        <w:pStyle w:val="8"/>
        <w:spacing w:before="94"/>
        <w:ind w:left="960"/>
      </w:pPr>
      <w:r>
        <w:t>3、乙方负责系统安装和调试以及操作人员培训，并制定详细的培训计划，使操作</w:t>
      </w:r>
    </w:p>
    <w:p>
      <w:pPr>
        <w:spacing w:after="0"/>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line="312" w:lineRule="auto"/>
        <w:ind w:left="478" w:right="426"/>
      </w:pPr>
      <w:r>
        <w:t>人员能独立进行管理、操作、维护和故障处理等工作，做好相关记录及技术文档收集整理，待验收后移交。</w:t>
      </w:r>
    </w:p>
    <w:p>
      <w:pPr>
        <w:pStyle w:val="8"/>
        <w:spacing w:line="307" w:lineRule="exact"/>
        <w:ind w:left="960"/>
      </w:pPr>
      <w:r>
        <w:t>4、服务范围：负责竞争性磋商文件所涉及到的所有服务。</w:t>
      </w:r>
    </w:p>
    <w:p>
      <w:pPr>
        <w:pStyle w:val="8"/>
        <w:spacing w:before="94"/>
        <w:ind w:left="960"/>
      </w:pPr>
      <w:r>
        <w:t>……</w:t>
      </w:r>
    </w:p>
    <w:p>
      <w:pPr>
        <w:pStyle w:val="8"/>
        <w:tabs>
          <w:tab w:val="left" w:pos="1920"/>
        </w:tabs>
        <w:spacing w:before="93"/>
        <w:ind w:left="960"/>
      </w:pPr>
      <w:r>
        <w:t>第十条</w:t>
      </w:r>
      <w:r>
        <w:tab/>
      </w:r>
      <w:r>
        <w:t>知识产权</w:t>
      </w:r>
    </w:p>
    <w:p>
      <w:pPr>
        <w:pStyle w:val="8"/>
        <w:spacing w:before="91" w:line="312" w:lineRule="auto"/>
        <w:ind w:left="478" w:right="477" w:firstLine="482"/>
        <w:jc w:val="both"/>
      </w:pPr>
      <w:r>
        <w:t>1、乙方保证，甲方在享受服务或者服务的任何一部分时，免受第三方提出的侵犯</w:t>
      </w:r>
      <w:r>
        <w:rPr>
          <w:spacing w:val="-7"/>
        </w:rPr>
        <w:t>其专利权、商标权或其他知识产权的起诉。如发生此类纠纷，由乙方承担一切责任；如</w:t>
      </w:r>
      <w:r>
        <w:t>因此给甲方造成损失的，乙方负责全额赔偿。</w:t>
      </w:r>
    </w:p>
    <w:p>
      <w:pPr>
        <w:pStyle w:val="8"/>
        <w:spacing w:before="1" w:line="312" w:lineRule="auto"/>
        <w:ind w:left="478" w:right="476" w:firstLine="482"/>
      </w:pPr>
      <w:r>
        <w:t>2、乙方为执行本合同而提供的技术资料或者其他相关资料、软件等由甲方永久免费使用。</w:t>
      </w:r>
    </w:p>
    <w:p>
      <w:pPr>
        <w:pStyle w:val="8"/>
        <w:spacing w:before="2"/>
        <w:ind w:left="960"/>
      </w:pPr>
      <w:r>
        <w:t>……</w:t>
      </w:r>
    </w:p>
    <w:p>
      <w:pPr>
        <w:pStyle w:val="8"/>
        <w:tabs>
          <w:tab w:val="left" w:pos="2160"/>
        </w:tabs>
        <w:spacing w:before="91"/>
        <w:ind w:left="960"/>
      </w:pPr>
      <w:r>
        <w:t>第十一条</w:t>
      </w:r>
      <w:r>
        <w:tab/>
      </w:r>
      <w:r>
        <w:t>甲方责任</w:t>
      </w:r>
    </w:p>
    <w:p>
      <w:pPr>
        <w:pStyle w:val="8"/>
        <w:spacing w:before="93"/>
        <w:ind w:left="960"/>
      </w:pPr>
      <w:r>
        <w:t>1、及时办理付款手续。</w:t>
      </w:r>
    </w:p>
    <w:p>
      <w:pPr>
        <w:pStyle w:val="8"/>
        <w:spacing w:before="93"/>
        <w:ind w:left="960"/>
      </w:pPr>
      <w:r>
        <w:t>2、负责提供工作场地，协助乙方办理有关事宜。</w:t>
      </w:r>
    </w:p>
    <w:p>
      <w:pPr>
        <w:pStyle w:val="8"/>
        <w:spacing w:before="91"/>
        <w:ind w:left="960"/>
      </w:pPr>
      <w:r>
        <w:t>3、对合同条款及所知悉的乙方商业秘密负有保密义务。</w:t>
      </w:r>
    </w:p>
    <w:p>
      <w:pPr>
        <w:pStyle w:val="8"/>
        <w:spacing w:before="93"/>
        <w:ind w:left="960"/>
      </w:pPr>
      <w:r>
        <w:t>……</w:t>
      </w:r>
    </w:p>
    <w:p>
      <w:pPr>
        <w:pStyle w:val="8"/>
        <w:tabs>
          <w:tab w:val="left" w:pos="2160"/>
        </w:tabs>
        <w:spacing w:before="94"/>
        <w:ind w:left="960"/>
      </w:pPr>
      <w:r>
        <w:t>第十二条</w:t>
      </w:r>
      <w:r>
        <w:tab/>
      </w:r>
      <w:r>
        <w:t>乙方责任</w:t>
      </w:r>
    </w:p>
    <w:p>
      <w:pPr>
        <w:pStyle w:val="8"/>
        <w:spacing w:before="91" w:line="312" w:lineRule="auto"/>
        <w:ind w:left="478" w:right="476" w:firstLine="482"/>
      </w:pPr>
      <w:r>
        <w:t>1、保证所提供服务为响应文件承诺服务，符合相关法律法规规定并且满足甲方的需求，保证其配套项目部件为全新的未使用的且符合相关的质量要求。</w:t>
      </w:r>
    </w:p>
    <w:p>
      <w:pPr>
        <w:pStyle w:val="8"/>
        <w:spacing w:before="2" w:line="312" w:lineRule="auto"/>
        <w:ind w:left="478" w:right="476" w:firstLine="482"/>
      </w:pPr>
      <w:r>
        <w:t>2、保证所提供服务的售后服务，严格依据响应文件及相关承诺，对服务以及与之配套的项目进行保修、维护等服务。</w:t>
      </w:r>
    </w:p>
    <w:p>
      <w:pPr>
        <w:pStyle w:val="8"/>
        <w:spacing w:line="312" w:lineRule="auto"/>
        <w:ind w:left="478" w:right="476" w:firstLine="482"/>
      </w:pPr>
      <w:r>
        <w:t>3、保证其所供服务不存在侵犯第三方知识产权的行为，否则由此产生的损失由乙方承担。</w:t>
      </w:r>
    </w:p>
    <w:p>
      <w:pPr>
        <w:pStyle w:val="8"/>
        <w:spacing w:line="307" w:lineRule="exact"/>
        <w:ind w:left="960"/>
      </w:pPr>
      <w:r>
        <w:t>……</w:t>
      </w:r>
    </w:p>
    <w:p>
      <w:pPr>
        <w:pStyle w:val="8"/>
        <w:tabs>
          <w:tab w:val="left" w:pos="2160"/>
        </w:tabs>
        <w:spacing w:before="93"/>
        <w:ind w:left="960"/>
      </w:pPr>
      <w:r>
        <w:t>第十三条</w:t>
      </w:r>
      <w:r>
        <w:tab/>
      </w:r>
      <w:r>
        <w:t>违约责任</w:t>
      </w:r>
    </w:p>
    <w:p>
      <w:pPr>
        <w:pStyle w:val="8"/>
        <w:spacing w:before="93" w:line="312" w:lineRule="auto"/>
        <w:ind w:left="478" w:right="476" w:firstLine="482"/>
      </w:pPr>
      <w:r>
        <w:t>1、乙方所供服务成果及与之配套项目等不符合合同约定标准，甲方有权拒收。同时，乙方向甲方支付合同总金额20%的违约金。</w:t>
      </w:r>
    </w:p>
    <w:p>
      <w:pPr>
        <w:pStyle w:val="8"/>
        <w:spacing w:line="307" w:lineRule="exact"/>
        <w:ind w:left="960"/>
      </w:pPr>
      <w:r>
        <w:t>2、乙方不能交付服务成果时，乙方向甲方支付合同总金额20%的违约金。</w:t>
      </w:r>
    </w:p>
    <w:p>
      <w:pPr>
        <w:pStyle w:val="8"/>
        <w:spacing w:before="93" w:line="312" w:lineRule="auto"/>
        <w:ind w:left="478" w:right="477" w:firstLine="482"/>
        <w:jc w:val="both"/>
      </w:pPr>
      <w:r>
        <w:t>3、乙方逾期交付服务成果时，每逾1日乙方向甲方支付合同总金额3‰的滞纳金。逾期交付超过30</w:t>
      </w:r>
      <w:r>
        <w:rPr>
          <w:spacing w:val="-7"/>
        </w:rPr>
        <w:t>日，甲方有权决定是否继续履行合同，如甲方决定终止履行合同的，乙</w:t>
      </w:r>
      <w:r>
        <w:t>方向甲方支付合同总金额20%的违约金，并且赔偿甲方因此所遭受的损失。</w:t>
      </w:r>
    </w:p>
    <w:p>
      <w:pPr>
        <w:pStyle w:val="8"/>
        <w:spacing w:before="1"/>
        <w:ind w:left="960"/>
      </w:pPr>
      <w:r>
        <w:t>4、因甲方过错而给乙方造成的损失，由甲方负担。</w:t>
      </w:r>
    </w:p>
    <w:p>
      <w:pPr>
        <w:pStyle w:val="8"/>
        <w:spacing w:before="91"/>
        <w:ind w:left="960"/>
      </w:pPr>
      <w:r>
        <w:t>……</w:t>
      </w:r>
    </w:p>
    <w:p>
      <w:pPr>
        <w:pStyle w:val="8"/>
        <w:tabs>
          <w:tab w:val="left" w:pos="2160"/>
        </w:tabs>
        <w:spacing w:before="93"/>
        <w:ind w:left="960"/>
      </w:pPr>
      <w:r>
        <w:t>第十四条</w:t>
      </w:r>
      <w:r>
        <w:tab/>
      </w:r>
      <w:r>
        <w:t>不可抗力</w:t>
      </w:r>
    </w:p>
    <w:p>
      <w:pPr>
        <w:pStyle w:val="8"/>
        <w:spacing w:before="93"/>
        <w:ind w:left="960"/>
      </w:pPr>
      <w:r>
        <w:t>甲乙双方的任何一方由于不可抗力不能履行合同时，应当及时通知对方不能履行或</w:t>
      </w:r>
    </w:p>
    <w:p>
      <w:pPr>
        <w:spacing w:after="0"/>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8"/>
        <w:spacing w:before="40" w:line="312" w:lineRule="auto"/>
        <w:ind w:left="478" w:right="414"/>
      </w:pPr>
      <w:r>
        <w:t>不能完全履行的情况和理由；在取得有关主管机关证明以后，允许延期履行、部分履行或者终止履行合同的，根据情况可部分或全部免予承担违约责任。</w:t>
      </w:r>
    </w:p>
    <w:p>
      <w:pPr>
        <w:pStyle w:val="8"/>
        <w:spacing w:line="307" w:lineRule="exact"/>
        <w:ind w:left="960"/>
      </w:pPr>
      <w:r>
        <w:t>……</w:t>
      </w:r>
    </w:p>
    <w:p>
      <w:pPr>
        <w:pStyle w:val="8"/>
        <w:tabs>
          <w:tab w:val="left" w:pos="2160"/>
        </w:tabs>
        <w:spacing w:before="94"/>
        <w:ind w:left="960"/>
      </w:pPr>
      <w:r>
        <w:t>第十五条</w:t>
      </w:r>
      <w:r>
        <w:tab/>
      </w:r>
      <w:r>
        <w:t>保密</w:t>
      </w:r>
    </w:p>
    <w:p>
      <w:pPr>
        <w:pStyle w:val="8"/>
        <w:spacing w:before="93" w:line="312" w:lineRule="auto"/>
        <w:ind w:left="478" w:right="477" w:firstLine="482"/>
        <w:jc w:val="both"/>
      </w:pPr>
      <w:r>
        <w:rPr>
          <w:spacing w:val="-1"/>
        </w:rPr>
        <w:t>乙方在合同履行期间知悉甲方的工作秘密</w:t>
      </w:r>
      <w:r>
        <w:t>（包括相关业务信息</w:t>
      </w:r>
      <w:r>
        <w:rPr>
          <w:spacing w:val="-19"/>
        </w:rPr>
        <w:t>）</w:t>
      </w:r>
      <w:r>
        <w:rPr>
          <w:spacing w:val="-7"/>
        </w:rPr>
        <w:t>，不得透露或以其</w:t>
      </w:r>
      <w:r>
        <w:rPr>
          <w:spacing w:val="-2"/>
        </w:rPr>
        <w:t>他方式提供给合同双方以外的其他方</w:t>
      </w:r>
      <w:r>
        <w:t>（包括乙方内部与本合同无关的任何人员</w:t>
      </w:r>
      <w:r>
        <w:rPr>
          <w:spacing w:val="-17"/>
        </w:rPr>
        <w:t>），</w:t>
      </w:r>
      <w:r>
        <w:rPr>
          <w:spacing w:val="-9"/>
        </w:rPr>
        <w:t>乙方</w:t>
      </w:r>
      <w:r>
        <w:t>的保密责任不因本合同的终止而终止。</w:t>
      </w:r>
    </w:p>
    <w:p>
      <w:pPr>
        <w:pStyle w:val="8"/>
        <w:spacing w:before="1"/>
        <w:ind w:left="960"/>
      </w:pPr>
      <w:r>
        <w:t>乙方违反本合同所规定的保密义务，应按照本合同总金额的10%支付违约金。</w:t>
      </w:r>
    </w:p>
    <w:p>
      <w:pPr>
        <w:pStyle w:val="8"/>
        <w:spacing w:before="91"/>
        <w:ind w:left="960"/>
      </w:pPr>
      <w:r>
        <w:t>……</w:t>
      </w:r>
    </w:p>
    <w:p>
      <w:pPr>
        <w:pStyle w:val="8"/>
        <w:tabs>
          <w:tab w:val="left" w:pos="2160"/>
        </w:tabs>
        <w:spacing w:before="93"/>
        <w:ind w:left="960"/>
      </w:pPr>
      <w:r>
        <w:t>第十六条</w:t>
      </w:r>
      <w:r>
        <w:tab/>
      </w:r>
      <w:r>
        <w:t>争议解决</w:t>
      </w:r>
    </w:p>
    <w:p>
      <w:pPr>
        <w:pStyle w:val="8"/>
        <w:spacing w:before="93" w:line="312" w:lineRule="auto"/>
        <w:ind w:left="478" w:right="413" w:firstLine="482"/>
      </w:pPr>
      <w:r>
        <w:t>甲乙双方在合同履行中发生争议，应通过协商解决。如协商不成，可以向合同签订地法院提起诉讼。</w:t>
      </w:r>
    </w:p>
    <w:p>
      <w:pPr>
        <w:pStyle w:val="8"/>
        <w:spacing w:line="307" w:lineRule="exact"/>
        <w:ind w:left="960"/>
      </w:pPr>
      <w:r>
        <w:t>……</w:t>
      </w:r>
    </w:p>
    <w:p>
      <w:pPr>
        <w:pStyle w:val="8"/>
        <w:tabs>
          <w:tab w:val="left" w:pos="2160"/>
        </w:tabs>
        <w:spacing w:before="93"/>
        <w:ind w:left="960"/>
      </w:pPr>
      <w:r>
        <w:t>第十七条</w:t>
      </w:r>
      <w:r>
        <w:tab/>
      </w:r>
      <w:r>
        <w:t>合同生效及其他</w:t>
      </w:r>
    </w:p>
    <w:p>
      <w:pPr>
        <w:pStyle w:val="8"/>
        <w:spacing w:before="91" w:line="312" w:lineRule="auto"/>
        <w:ind w:left="478" w:right="476" w:firstLine="482"/>
      </w:pPr>
      <w:r>
        <w:t>1、除竞争性磋商文件规定且甲方事先书面同意外，乙方不得部分或者全部转让、分包履行其应履行的合同项下的义务。</w:t>
      </w:r>
    </w:p>
    <w:p>
      <w:pPr>
        <w:pStyle w:val="8"/>
        <w:spacing w:before="2"/>
        <w:ind w:left="960"/>
      </w:pPr>
      <w:r>
        <w:t>2、合同由甲、乙双方法定代表人（或者被授权代表）签字并加盖单位公章。</w:t>
      </w:r>
    </w:p>
    <w:p>
      <w:pPr>
        <w:pStyle w:val="8"/>
        <w:spacing w:before="91" w:line="312" w:lineRule="auto"/>
        <w:ind w:left="478" w:right="476" w:firstLine="482"/>
      </w:pPr>
      <w:r>
        <w:t>3、本合同一式六份，甲方一份，乙方一份，采购代理机构二份，同级财政部门一份，市公共资源交易管理办公室一份。</w:t>
      </w:r>
    </w:p>
    <w:p>
      <w:pPr>
        <w:pStyle w:val="8"/>
        <w:spacing w:before="2"/>
        <w:ind w:left="960"/>
      </w:pPr>
      <w:r>
        <w:t>……</w:t>
      </w:r>
    </w:p>
    <w:p>
      <w:pPr>
        <w:pStyle w:val="8"/>
        <w:tabs>
          <w:tab w:val="left" w:pos="2280"/>
        </w:tabs>
        <w:spacing w:before="91"/>
        <w:ind w:left="960"/>
      </w:pPr>
      <w:r>
        <w:t>第十八条</w:t>
      </w:r>
      <w:r>
        <w:tab/>
      </w:r>
      <w:r>
        <w:t>服务期限</w:t>
      </w:r>
    </w:p>
    <w:p>
      <w:pPr>
        <w:pStyle w:val="8"/>
        <w:tabs>
          <w:tab w:val="left" w:pos="5347"/>
          <w:tab w:val="left" w:pos="6067"/>
          <w:tab w:val="left" w:pos="6667"/>
          <w:tab w:val="left" w:pos="7747"/>
          <w:tab w:val="left" w:pos="8347"/>
          <w:tab w:val="left" w:pos="8947"/>
        </w:tabs>
        <w:spacing w:before="94" w:line="312" w:lineRule="auto"/>
        <w:ind w:left="478" w:right="357" w:firstLine="482"/>
      </w:pPr>
      <w:r>
        <w:t>本合同服务期限为</w:t>
      </w:r>
      <w:r>
        <w:rPr>
          <w:spacing w:val="119"/>
          <w:u w:val="single"/>
        </w:rPr>
        <w:t xml:space="preserve"> </w:t>
      </w:r>
      <w:r>
        <w:t>年</w:t>
      </w:r>
      <w:r>
        <w:rPr>
          <w:spacing w:val="-53"/>
        </w:rPr>
        <w:t>；</w:t>
      </w:r>
      <w:r>
        <w:t>服务期限自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r>
        <w:rPr>
          <w:spacing w:val="-18"/>
        </w:rPr>
        <w:t>。</w:t>
      </w:r>
      <w:r>
        <w:t>本合同期限届满</w:t>
      </w:r>
      <w:r>
        <w:rPr>
          <w:spacing w:val="-10"/>
        </w:rPr>
        <w:t>，</w:t>
      </w:r>
      <w:r>
        <w:t>如需续签</w:t>
      </w:r>
      <w:r>
        <w:rPr>
          <w:spacing w:val="-8"/>
        </w:rPr>
        <w:t>，</w:t>
      </w:r>
      <w:r>
        <w:t>根</w:t>
      </w:r>
      <w:r>
        <w:rPr>
          <w:spacing w:val="-8"/>
        </w:rPr>
        <w:t>据</w:t>
      </w:r>
      <w:r>
        <w:t>《政府采购目录</w:t>
      </w:r>
      <w:r>
        <w:rPr>
          <w:spacing w:val="-8"/>
        </w:rPr>
        <w:t>》</w:t>
      </w:r>
      <w:r>
        <w:t>有关规定</w:t>
      </w:r>
      <w:r>
        <w:rPr>
          <w:spacing w:val="-8"/>
        </w:rPr>
        <w:t>，</w:t>
      </w:r>
      <w:r>
        <w:t>经财政部门批准</w:t>
      </w:r>
      <w:r>
        <w:rPr>
          <w:spacing w:val="-10"/>
        </w:rPr>
        <w:t>，</w:t>
      </w:r>
      <w:r>
        <w:t>双方可以根据法律及各项规定另行签订书面合同。</w:t>
      </w:r>
    </w:p>
    <w:p>
      <w:pPr>
        <w:pStyle w:val="8"/>
        <w:tabs>
          <w:tab w:val="left" w:pos="2160"/>
        </w:tabs>
        <w:ind w:left="960"/>
      </w:pPr>
      <w:r>
        <w:t>第十九条</w:t>
      </w:r>
      <w:r>
        <w:tab/>
      </w:r>
      <w:r>
        <w:t>下列文件为本合同不可分割部分</w:t>
      </w:r>
    </w:p>
    <w:p>
      <w:pPr>
        <w:pStyle w:val="8"/>
        <w:spacing w:before="94"/>
        <w:ind w:left="960"/>
      </w:pPr>
      <w:r>
        <w:t>1、政府采购竞争性磋商文件（包括澄清、修改）；</w:t>
      </w:r>
    </w:p>
    <w:p>
      <w:pPr>
        <w:pStyle w:val="8"/>
        <w:spacing w:before="91"/>
        <w:ind w:left="960"/>
      </w:pPr>
      <w:r>
        <w:t>2、乙方响应文件；</w:t>
      </w:r>
    </w:p>
    <w:p>
      <w:pPr>
        <w:pStyle w:val="8"/>
        <w:spacing w:before="93"/>
        <w:ind w:left="960"/>
      </w:pPr>
      <w:r>
        <w:t>3、中标（成交）通知书；</w:t>
      </w:r>
    </w:p>
    <w:p>
      <w:pPr>
        <w:pStyle w:val="8"/>
        <w:spacing w:before="93"/>
        <w:ind w:left="960"/>
      </w:pPr>
      <w:r>
        <w:t>4、中标人在评标过程中做出的有关澄清、说明、承诺或者补正文件；</w:t>
      </w:r>
    </w:p>
    <w:p>
      <w:pPr>
        <w:pStyle w:val="8"/>
        <w:spacing w:before="91"/>
        <w:ind w:left="960"/>
      </w:pPr>
      <w:r>
        <w:t>5、政府采购委托协议书；</w:t>
      </w:r>
    </w:p>
    <w:p>
      <w:pPr>
        <w:pStyle w:val="8"/>
        <w:tabs>
          <w:tab w:val="left" w:pos="1680"/>
          <w:tab w:val="left" w:pos="5640"/>
          <w:tab w:val="left" w:pos="6360"/>
        </w:tabs>
        <w:spacing w:before="93"/>
        <w:ind w:left="960"/>
      </w:pPr>
      <w:r>
        <w:t>甲</w:t>
      </w:r>
      <w:r>
        <w:tab/>
      </w:r>
      <w:r>
        <w:t>方：</w:t>
      </w:r>
      <w:r>
        <w:tab/>
      </w:r>
      <w:r>
        <w:t>乙</w:t>
      </w:r>
      <w:r>
        <w:tab/>
      </w:r>
      <w:r>
        <w:t>方：</w:t>
      </w:r>
    </w:p>
    <w:p>
      <w:pPr>
        <w:pStyle w:val="8"/>
        <w:tabs>
          <w:tab w:val="left" w:pos="5640"/>
        </w:tabs>
        <w:spacing w:before="94"/>
        <w:ind w:left="960"/>
      </w:pPr>
      <w:r>
        <w:t>单位名称(公章)：</w:t>
      </w:r>
      <w:r>
        <w:tab/>
      </w:r>
      <w:r>
        <w:t>单位名称(公章)：</w:t>
      </w:r>
    </w:p>
    <w:p>
      <w:pPr>
        <w:pStyle w:val="8"/>
        <w:tabs>
          <w:tab w:val="left" w:pos="1680"/>
          <w:tab w:val="left" w:pos="5640"/>
          <w:tab w:val="left" w:pos="6360"/>
        </w:tabs>
        <w:spacing w:before="91" w:line="312" w:lineRule="auto"/>
        <w:ind w:left="960" w:right="783"/>
      </w:pPr>
      <w:r>
        <w:t>法定代表人（被授权代表）签字：</w:t>
      </w:r>
      <w:r>
        <w:tab/>
      </w:r>
      <w:r>
        <w:t>法定代表人（被授权代表）签字</w:t>
      </w:r>
      <w:r>
        <w:rPr>
          <w:spacing w:val="-17"/>
        </w:rPr>
        <w:t xml:space="preserve">： </w:t>
      </w:r>
      <w:r>
        <w:t>电</w:t>
      </w:r>
      <w:r>
        <w:tab/>
      </w:r>
      <w:r>
        <w:t>话：</w:t>
      </w:r>
      <w:r>
        <w:tab/>
      </w:r>
      <w:r>
        <w:t>电</w:t>
      </w:r>
      <w:r>
        <w:tab/>
      </w:r>
      <w:r>
        <w:t>话：</w:t>
      </w:r>
    </w:p>
    <w:p>
      <w:pPr>
        <w:pStyle w:val="8"/>
        <w:tabs>
          <w:tab w:val="left" w:pos="1560"/>
          <w:tab w:val="left" w:pos="2160"/>
          <w:tab w:val="left" w:pos="5640"/>
          <w:tab w:val="left" w:pos="6240"/>
          <w:tab w:val="left" w:pos="6840"/>
        </w:tabs>
        <w:spacing w:before="2"/>
        <w:ind w:left="960"/>
      </w:pPr>
      <w:r>
        <w:t>年</w:t>
      </w:r>
      <w:r>
        <w:tab/>
      </w:r>
      <w:r>
        <w:t>月</w:t>
      </w:r>
      <w:r>
        <w:tab/>
      </w:r>
      <w:r>
        <w:t>日</w:t>
      </w:r>
      <w:r>
        <w:tab/>
      </w:r>
      <w:r>
        <w:t>年</w:t>
      </w:r>
      <w:r>
        <w:tab/>
      </w:r>
      <w:r>
        <w:t>月</w:t>
      </w:r>
      <w:r>
        <w:tab/>
      </w:r>
      <w:r>
        <w:t>日</w:t>
      </w:r>
    </w:p>
    <w:p>
      <w:pPr>
        <w:spacing w:after="0"/>
        <w:sectPr>
          <w:pgSz w:w="11910" w:h="16840"/>
          <w:pgMar w:top="1440" w:right="940" w:bottom="1180" w:left="940" w:header="0" w:footer="1000" w:gutter="0"/>
          <w:pgBorders>
            <w:top w:val="none" w:sz="0" w:space="0"/>
            <w:left w:val="none" w:sz="0" w:space="0"/>
            <w:bottom w:val="none" w:sz="0" w:space="0"/>
            <w:right w:val="none" w:sz="0" w:space="0"/>
          </w:pgBorders>
          <w:cols w:space="720" w:num="1"/>
        </w:sectPr>
      </w:pPr>
    </w:p>
    <w:p>
      <w:pPr>
        <w:pStyle w:val="4"/>
        <w:tabs>
          <w:tab w:val="left" w:pos="1279"/>
        </w:tabs>
      </w:pPr>
      <w:bookmarkStart w:id="113" w:name="第六章  响应文件格式"/>
      <w:bookmarkEnd w:id="113"/>
      <w:bookmarkStart w:id="114" w:name="_bookmark37"/>
      <w:bookmarkEnd w:id="114"/>
      <w:r>
        <w:t>第六章</w:t>
      </w:r>
      <w:r>
        <w:tab/>
      </w:r>
      <w:r>
        <w:t>响应文件格式</w:t>
      </w:r>
    </w:p>
    <w:p>
      <w:pPr>
        <w:spacing w:after="0"/>
        <w:sectPr>
          <w:pgSz w:w="11910" w:h="16840"/>
          <w:pgMar w:top="1480" w:right="940" w:bottom="1180" w:left="940" w:header="0" w:footer="1000" w:gutter="0"/>
          <w:pgBorders>
            <w:top w:val="none" w:sz="0" w:space="0"/>
            <w:left w:val="none" w:sz="0" w:space="0"/>
            <w:bottom w:val="none" w:sz="0" w:space="0"/>
            <w:right w:val="none" w:sz="0" w:space="0"/>
          </w:pgBorders>
          <w:cols w:space="720" w:num="1"/>
        </w:sectPr>
      </w:pPr>
    </w:p>
    <w:p>
      <w:pPr>
        <w:pStyle w:val="5"/>
        <w:spacing w:before="40"/>
        <w:ind w:left="909" w:right="429"/>
        <w:jc w:val="center"/>
        <w:rPr>
          <w:rFonts w:hint="eastAsia" w:ascii="宋体" w:eastAsia="宋体"/>
        </w:rPr>
      </w:pPr>
      <w:r>
        <w:rPr>
          <w:rFonts w:hint="eastAsia" w:ascii="宋体" w:eastAsia="宋体"/>
        </w:rPr>
        <w:t>密封档案袋封面格式：</w:t>
      </w:r>
    </w:p>
    <w:p>
      <w:pPr>
        <w:pStyle w:val="8"/>
        <w:spacing w:before="11"/>
        <w:rPr>
          <w:rFonts w:ascii="宋体"/>
          <w:sz w:val="21"/>
        </w:rPr>
      </w:pPr>
    </w:p>
    <w:p>
      <w:pPr>
        <w:tabs>
          <w:tab w:val="left" w:pos="3638"/>
        </w:tabs>
        <w:spacing w:before="0"/>
        <w:ind w:left="0" w:right="0" w:firstLine="0"/>
        <w:jc w:val="center"/>
        <w:rPr>
          <w:rFonts w:hint="eastAsia" w:ascii="宋体" w:eastAsia="宋体"/>
          <w:b/>
          <w:sz w:val="52"/>
        </w:rPr>
      </w:pPr>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p>
    <w:p>
      <w:pPr>
        <w:spacing w:before="266"/>
        <w:ind w:left="429" w:right="429" w:firstLine="0"/>
        <w:jc w:val="center"/>
        <w:rPr>
          <w:rFonts w:hint="eastAsia" w:ascii="宋体" w:eastAsia="宋体"/>
          <w:sz w:val="30"/>
        </w:rPr>
      </w:pPr>
      <w:r>
        <w:rPr>
          <w:rFonts w:hint="eastAsia" w:ascii="宋体" w:eastAsia="宋体"/>
          <w:sz w:val="30"/>
        </w:rPr>
        <w:t>项目编号：</w:t>
      </w:r>
    </w:p>
    <w:p>
      <w:pPr>
        <w:pStyle w:val="8"/>
        <w:rPr>
          <w:rFonts w:ascii="宋体"/>
          <w:sz w:val="30"/>
        </w:rPr>
      </w:pPr>
    </w:p>
    <w:p>
      <w:pPr>
        <w:pStyle w:val="8"/>
        <w:rPr>
          <w:rFonts w:ascii="宋体"/>
          <w:sz w:val="30"/>
        </w:rPr>
      </w:pPr>
    </w:p>
    <w:p>
      <w:pPr>
        <w:pStyle w:val="8"/>
        <w:rPr>
          <w:rFonts w:ascii="宋体"/>
          <w:sz w:val="30"/>
        </w:rPr>
      </w:pPr>
    </w:p>
    <w:p>
      <w:pPr>
        <w:pStyle w:val="8"/>
        <w:rPr>
          <w:rFonts w:ascii="宋体"/>
          <w:sz w:val="30"/>
        </w:rPr>
      </w:pPr>
    </w:p>
    <w:p>
      <w:pPr>
        <w:pStyle w:val="8"/>
        <w:rPr>
          <w:rFonts w:ascii="宋体"/>
          <w:sz w:val="30"/>
        </w:rPr>
      </w:pPr>
    </w:p>
    <w:p>
      <w:pPr>
        <w:pStyle w:val="8"/>
        <w:rPr>
          <w:rFonts w:ascii="宋体"/>
          <w:sz w:val="30"/>
        </w:rPr>
      </w:pPr>
    </w:p>
    <w:p>
      <w:pPr>
        <w:spacing w:before="211"/>
        <w:ind w:left="429" w:right="429" w:firstLine="0"/>
        <w:jc w:val="center"/>
        <w:rPr>
          <w:rFonts w:hint="eastAsia" w:ascii="宋体" w:eastAsia="宋体"/>
          <w:b/>
          <w:sz w:val="72"/>
        </w:rPr>
      </w:pPr>
      <w:r>
        <w:rPr>
          <w:rFonts w:hint="eastAsia" w:ascii="宋体" w:eastAsia="宋体"/>
          <w:b/>
          <w:sz w:val="72"/>
        </w:rPr>
        <w:t>响 应 文 件</w:t>
      </w:r>
    </w:p>
    <w:p>
      <w:pPr>
        <w:pStyle w:val="8"/>
        <w:rPr>
          <w:rFonts w:ascii="宋体"/>
          <w:b/>
          <w:sz w:val="72"/>
        </w:rPr>
      </w:pPr>
    </w:p>
    <w:p>
      <w:pPr>
        <w:pStyle w:val="8"/>
        <w:rPr>
          <w:rFonts w:ascii="宋体"/>
          <w:b/>
          <w:sz w:val="72"/>
        </w:rPr>
      </w:pPr>
    </w:p>
    <w:p>
      <w:pPr>
        <w:pStyle w:val="8"/>
        <w:spacing w:before="10"/>
        <w:rPr>
          <w:rFonts w:ascii="宋体"/>
          <w:b/>
          <w:sz w:val="65"/>
        </w:rPr>
      </w:pPr>
    </w:p>
    <w:p>
      <w:pPr>
        <w:tabs>
          <w:tab w:val="left" w:pos="4560"/>
        </w:tabs>
        <w:spacing w:before="1"/>
        <w:ind w:left="500" w:right="0" w:firstLine="0"/>
        <w:jc w:val="left"/>
        <w:rPr>
          <w:rFonts w:hint="eastAsia" w:ascii="宋体" w:eastAsia="宋体"/>
          <w:sz w:val="28"/>
        </w:rPr>
      </w:pPr>
      <w:r>
        <w:rPr>
          <w:rFonts w:hint="eastAsia" w:ascii="宋体" w:eastAsia="宋体"/>
          <w:sz w:val="28"/>
        </w:rPr>
        <w:t>供</w:t>
      </w:r>
      <w:r>
        <w:rPr>
          <w:rFonts w:hint="eastAsia" w:ascii="宋体" w:eastAsia="宋体"/>
          <w:spacing w:val="-3"/>
          <w:sz w:val="28"/>
        </w:rPr>
        <w:t>应</w:t>
      </w:r>
      <w:r>
        <w:rPr>
          <w:rFonts w:hint="eastAsia" w:ascii="宋体" w:eastAsia="宋体"/>
          <w:sz w:val="28"/>
        </w:rPr>
        <w:t>商名</w:t>
      </w:r>
      <w:r>
        <w:rPr>
          <w:rFonts w:hint="eastAsia" w:ascii="宋体" w:eastAsia="宋体"/>
          <w:spacing w:val="-3"/>
          <w:sz w:val="28"/>
        </w:rPr>
        <w:t>称</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p>
    <w:p>
      <w:pPr>
        <w:pStyle w:val="8"/>
        <w:spacing w:before="5"/>
        <w:rPr>
          <w:rFonts w:ascii="宋体"/>
          <w:sz w:val="21"/>
        </w:rPr>
      </w:pPr>
    </w:p>
    <w:p>
      <w:pPr>
        <w:tabs>
          <w:tab w:val="left" w:pos="4560"/>
          <w:tab w:val="left" w:pos="4908"/>
        </w:tabs>
        <w:spacing w:before="0" w:line="424" w:lineRule="auto"/>
        <w:ind w:left="500" w:right="3502" w:firstLine="0"/>
        <w:jc w:val="left"/>
        <w:rPr>
          <w:rFonts w:ascii="Times New Roman" w:eastAsia="Times New Roman"/>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r>
        <w:rPr>
          <w:rFonts w:hint="eastAsia" w:ascii="宋体" w:eastAsia="宋体"/>
          <w:spacing w:val="-13"/>
          <w:sz w:val="28"/>
        </w:rPr>
        <w:t xml:space="preserve">） </w:t>
      </w:r>
      <w:r>
        <w:rPr>
          <w:rFonts w:hint="eastAsia" w:ascii="宋体" w:eastAsia="宋体"/>
          <w:spacing w:val="-1"/>
          <w:sz w:val="28"/>
        </w:rPr>
        <w:t>供</w:t>
      </w:r>
      <w:r>
        <w:rPr>
          <w:rFonts w:hint="eastAsia" w:ascii="宋体" w:eastAsia="宋体"/>
          <w:spacing w:val="-3"/>
          <w:sz w:val="28"/>
        </w:rPr>
        <w:t>应</w:t>
      </w:r>
      <w:r>
        <w:rPr>
          <w:rFonts w:hint="eastAsia" w:ascii="宋体" w:eastAsia="宋体"/>
          <w:spacing w:val="-1"/>
          <w:sz w:val="28"/>
        </w:rPr>
        <w:t>商地</w:t>
      </w:r>
      <w:r>
        <w:rPr>
          <w:rFonts w:hint="eastAsia" w:ascii="宋体" w:eastAsia="宋体"/>
          <w:spacing w:val="-3"/>
          <w:sz w:val="28"/>
        </w:rPr>
        <w:t>址</w:t>
      </w:r>
      <w:r>
        <w:rPr>
          <w:rFonts w:hint="eastAsia" w:ascii="宋体" w:eastAsia="宋体"/>
          <w:spacing w:val="-1"/>
          <w:sz w:val="28"/>
        </w:rPr>
        <w:t>：</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p>
    <w:p>
      <w:pPr>
        <w:tabs>
          <w:tab w:val="left" w:pos="1059"/>
          <w:tab w:val="left" w:pos="1620"/>
          <w:tab w:val="left" w:pos="3648"/>
          <w:tab w:val="left" w:pos="3999"/>
          <w:tab w:val="left" w:pos="7008"/>
        </w:tabs>
        <w:spacing w:before="0" w:line="357" w:lineRule="exact"/>
        <w:ind w:left="500" w:right="0" w:firstLine="0"/>
        <w:jc w:val="left"/>
        <w:rPr>
          <w:rFonts w:ascii="Times New Roman" w:eastAsia="Times New Roman"/>
          <w:sz w:val="28"/>
        </w:rPr>
      </w:pPr>
      <w:r>
        <w:rPr>
          <w:rFonts w:hint="eastAsia" w:ascii="宋体" w:eastAsia="宋体"/>
          <w:sz w:val="28"/>
        </w:rPr>
        <w:t>联</w:t>
      </w:r>
      <w:r>
        <w:rPr>
          <w:rFonts w:hint="eastAsia" w:ascii="宋体" w:eastAsia="宋体"/>
          <w:sz w:val="28"/>
        </w:rPr>
        <w:tab/>
      </w:r>
      <w:r>
        <w:rPr>
          <w:rFonts w:hint="eastAsia" w:ascii="宋体" w:eastAsia="宋体"/>
          <w:sz w:val="28"/>
        </w:rPr>
        <w:t>系</w:t>
      </w:r>
      <w:r>
        <w:rPr>
          <w:rFonts w:hint="eastAsia" w:ascii="宋体" w:eastAsia="宋体"/>
          <w:sz w:val="28"/>
        </w:rPr>
        <w:tab/>
      </w:r>
      <w:r>
        <w:rPr>
          <w:rFonts w:hint="eastAsia" w:ascii="宋体" w:eastAsia="宋体"/>
          <w:sz w:val="28"/>
        </w:rPr>
        <w:t>人</w:t>
      </w:r>
      <w:r>
        <w:rPr>
          <w:rFonts w:hint="eastAsia" w:ascii="宋体" w:eastAsia="宋体"/>
          <w:spacing w:val="-3"/>
          <w:sz w:val="28"/>
        </w:rPr>
        <w:t>：</w:t>
      </w:r>
      <w:r>
        <w:rPr>
          <w:rFonts w:hint="eastAsia" w:ascii="宋体" w:eastAsia="宋体"/>
          <w:spacing w:val="-3"/>
          <w:sz w:val="28"/>
          <w:u w:val="single"/>
        </w:rPr>
        <w:t xml:space="preserve"> </w:t>
      </w:r>
      <w:r>
        <w:rPr>
          <w:rFonts w:hint="eastAsia" w:ascii="宋体" w:eastAsia="宋体"/>
          <w:spacing w:val="-3"/>
          <w:sz w:val="28"/>
          <w:u w:val="single"/>
        </w:rPr>
        <w:tab/>
      </w:r>
      <w:r>
        <w:rPr>
          <w:rFonts w:hint="eastAsia" w:ascii="宋体" w:eastAsia="宋体"/>
          <w:spacing w:val="-3"/>
          <w:sz w:val="28"/>
        </w:rPr>
        <w:tab/>
      </w:r>
      <w:r>
        <w:rPr>
          <w:rFonts w:hint="eastAsia" w:ascii="宋体" w:eastAsia="宋体"/>
          <w:spacing w:val="-1"/>
          <w:sz w:val="28"/>
        </w:rPr>
        <w:t>联</w:t>
      </w:r>
      <w:r>
        <w:rPr>
          <w:rFonts w:hint="eastAsia" w:ascii="宋体" w:eastAsia="宋体"/>
          <w:spacing w:val="-3"/>
          <w:sz w:val="28"/>
        </w:rPr>
        <w:t>系</w:t>
      </w:r>
      <w:r>
        <w:rPr>
          <w:rFonts w:hint="eastAsia" w:ascii="宋体" w:eastAsia="宋体"/>
          <w:spacing w:val="-1"/>
          <w:sz w:val="28"/>
        </w:rPr>
        <w:t>电话：</w:t>
      </w:r>
      <w:r>
        <w:rPr>
          <w:rFonts w:ascii="Times New Roman" w:eastAsia="Times New Roman"/>
          <w:sz w:val="28"/>
          <w:u w:val="single"/>
        </w:rPr>
        <w:t xml:space="preserve"> </w:t>
      </w:r>
      <w:r>
        <w:rPr>
          <w:rFonts w:ascii="Times New Roman" w:eastAsia="Times New Roman"/>
          <w:sz w:val="28"/>
          <w:u w:val="single"/>
        </w:rPr>
        <w:tab/>
      </w:r>
    </w:p>
    <w:p>
      <w:pPr>
        <w:pStyle w:val="8"/>
        <w:spacing w:before="6"/>
        <w:rPr>
          <w:rFonts w:ascii="Times New Roman"/>
          <w:sz w:val="18"/>
        </w:rPr>
      </w:pPr>
    </w:p>
    <w:p>
      <w:pPr>
        <w:tabs>
          <w:tab w:val="left" w:pos="1200"/>
          <w:tab w:val="left" w:pos="2040"/>
        </w:tabs>
        <w:spacing w:before="62"/>
        <w:ind w:left="500"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pStyle w:val="8"/>
        <w:rPr>
          <w:rFonts w:ascii="宋体"/>
          <w:sz w:val="20"/>
        </w:rPr>
      </w:pPr>
    </w:p>
    <w:p>
      <w:pPr>
        <w:pStyle w:val="8"/>
        <w:rPr>
          <w:rFonts w:ascii="宋体"/>
          <w:sz w:val="20"/>
        </w:rPr>
      </w:pPr>
    </w:p>
    <w:p>
      <w:pPr>
        <w:pStyle w:val="8"/>
        <w:spacing w:before="3"/>
        <w:rPr>
          <w:rFonts w:ascii="宋体"/>
          <w:sz w:val="26"/>
        </w:rPr>
      </w:pPr>
    </w:p>
    <w:p>
      <w:pPr>
        <w:tabs>
          <w:tab w:val="left" w:pos="559"/>
          <w:tab w:val="left" w:pos="1118"/>
          <w:tab w:val="left" w:pos="1680"/>
          <w:tab w:val="left" w:pos="2239"/>
          <w:tab w:val="left" w:pos="2798"/>
        </w:tabs>
        <w:spacing w:before="62"/>
        <w:ind w:left="0" w:right="0" w:firstLine="0"/>
        <w:jc w:val="center"/>
        <w:rPr>
          <w:rFonts w:hint="eastAsia" w:ascii="宋体" w:eastAsia="宋体"/>
          <w:sz w:val="28"/>
        </w:rPr>
      </w:pPr>
      <w:r>
        <w:rPr>
          <w:rFonts w:hint="eastAsia" w:ascii="宋体" w:eastAsia="宋体"/>
          <w:sz w:val="28"/>
        </w:rPr>
        <w:t>在</w:t>
      </w:r>
      <w:r>
        <w:rPr>
          <w:rFonts w:hint="eastAsia" w:ascii="宋体" w:eastAsia="宋体"/>
          <w:sz w:val="28"/>
        </w:rPr>
        <w:tab/>
      </w: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r>
        <w:rPr>
          <w:rFonts w:hint="eastAsia" w:ascii="宋体" w:eastAsia="宋体"/>
          <w:sz w:val="28"/>
        </w:rPr>
        <w:tab/>
      </w:r>
      <w:r>
        <w:rPr>
          <w:rFonts w:hint="eastAsia" w:ascii="宋体" w:eastAsia="宋体"/>
          <w:sz w:val="28"/>
        </w:rPr>
        <w:t>时</w:t>
      </w:r>
      <w:r>
        <w:rPr>
          <w:rFonts w:hint="eastAsia" w:ascii="宋体" w:eastAsia="宋体"/>
          <w:sz w:val="28"/>
        </w:rPr>
        <w:tab/>
      </w:r>
      <w:r>
        <w:rPr>
          <w:rFonts w:hint="eastAsia" w:ascii="宋体" w:eastAsia="宋体"/>
          <w:sz w:val="28"/>
        </w:rPr>
        <w:t>分</w:t>
      </w:r>
      <w:r>
        <w:rPr>
          <w:rFonts w:hint="eastAsia" w:ascii="宋体" w:eastAsia="宋体"/>
          <w:spacing w:val="-3"/>
          <w:sz w:val="28"/>
        </w:rPr>
        <w:t>之</w:t>
      </w:r>
      <w:r>
        <w:rPr>
          <w:rFonts w:hint="eastAsia" w:ascii="宋体" w:eastAsia="宋体"/>
          <w:sz w:val="28"/>
        </w:rPr>
        <w:t>前不</w:t>
      </w:r>
      <w:r>
        <w:rPr>
          <w:rFonts w:hint="eastAsia" w:ascii="宋体" w:eastAsia="宋体"/>
          <w:spacing w:val="-3"/>
          <w:sz w:val="28"/>
        </w:rPr>
        <w:t>得</w:t>
      </w:r>
      <w:r>
        <w:rPr>
          <w:rFonts w:hint="eastAsia" w:ascii="宋体" w:eastAsia="宋体"/>
          <w:sz w:val="28"/>
        </w:rPr>
        <w:t>启封</w:t>
      </w:r>
    </w:p>
    <w:p>
      <w:pPr>
        <w:spacing w:after="0"/>
        <w:jc w:val="center"/>
        <w:rPr>
          <w:rFonts w:hint="eastAsia" w:ascii="宋体" w:eastAsia="宋体"/>
          <w:sz w:val="28"/>
        </w:rPr>
        <w:sectPr>
          <w:pgSz w:w="11910" w:h="16840"/>
          <w:pgMar w:top="1520" w:right="940" w:bottom="1180" w:left="940" w:header="0" w:footer="1000" w:gutter="0"/>
          <w:pgBorders>
            <w:top w:val="none" w:sz="0" w:space="0"/>
            <w:left w:val="none" w:sz="0" w:space="0"/>
            <w:bottom w:val="none" w:sz="0" w:space="0"/>
            <w:right w:val="none" w:sz="0" w:space="0"/>
          </w:pgBorders>
          <w:cols w:space="720" w:num="1"/>
        </w:sectPr>
      </w:pPr>
    </w:p>
    <w:p>
      <w:pPr>
        <w:spacing w:before="35"/>
        <w:ind w:left="3408" w:right="0" w:firstLine="0"/>
        <w:jc w:val="left"/>
        <w:rPr>
          <w:rFonts w:hint="eastAsia" w:ascii="宋体" w:eastAsia="宋体"/>
          <w:b/>
          <w:sz w:val="32"/>
        </w:rPr>
      </w:pPr>
      <w:r>
        <w:rPr>
          <w:rFonts w:hint="eastAsia" w:ascii="宋体" w:eastAsia="宋体"/>
          <w:b/>
          <w:sz w:val="32"/>
        </w:rPr>
        <w:t>（响应文件标书封皮</w:t>
      </w:r>
      <w:r>
        <w:rPr>
          <w:rFonts w:hint="eastAsia" w:ascii="宋体" w:eastAsia="宋体"/>
          <w:b/>
          <w:spacing w:val="-15"/>
          <w:sz w:val="32"/>
        </w:rPr>
        <w:t>）</w:t>
      </w:r>
    </w:p>
    <w:p>
      <w:pPr>
        <w:pStyle w:val="8"/>
        <w:spacing w:before="2"/>
        <w:rPr>
          <w:rFonts w:ascii="宋体"/>
          <w:b/>
          <w:sz w:val="50"/>
        </w:rPr>
      </w:pPr>
      <w:r>
        <w:br w:type="column"/>
      </w:r>
    </w:p>
    <w:p>
      <w:pPr>
        <w:spacing w:before="0"/>
        <w:ind w:left="1064" w:right="0" w:firstLine="0"/>
        <w:jc w:val="left"/>
        <w:rPr>
          <w:rFonts w:hint="eastAsia" w:ascii="宋体" w:eastAsia="宋体"/>
          <w:b/>
          <w:sz w:val="36"/>
        </w:rPr>
      </w:pPr>
      <w:r>
        <w:rPr>
          <w:rFonts w:hint="eastAsia" w:ascii="宋体" w:eastAsia="宋体"/>
          <w:b/>
          <w:sz w:val="36"/>
        </w:rPr>
        <w:t>正（副）本</w:t>
      </w:r>
    </w:p>
    <w:p>
      <w:pPr>
        <w:spacing w:after="0"/>
        <w:jc w:val="left"/>
        <w:rPr>
          <w:rFonts w:hint="eastAsia" w:ascii="宋体" w:eastAsia="宋体"/>
          <w:sz w:val="36"/>
        </w:rPr>
        <w:sectPr>
          <w:pgSz w:w="11910" w:h="16840"/>
          <w:pgMar w:top="1500" w:right="940" w:bottom="1180" w:left="940" w:header="0" w:footer="1000" w:gutter="0"/>
          <w:pgBorders>
            <w:top w:val="none" w:sz="0" w:space="0"/>
            <w:left w:val="none" w:sz="0" w:space="0"/>
            <w:bottom w:val="none" w:sz="0" w:space="0"/>
            <w:right w:val="none" w:sz="0" w:space="0"/>
          </w:pgBorders>
          <w:cols w:equalWidth="0" w:num="2">
            <w:col w:w="6618" w:space="40"/>
            <w:col w:w="3372"/>
          </w:cols>
        </w:sectPr>
      </w:pPr>
    </w:p>
    <w:p>
      <w:pPr>
        <w:pStyle w:val="8"/>
        <w:rPr>
          <w:rFonts w:ascii="宋体"/>
          <w:b/>
          <w:sz w:val="20"/>
        </w:rPr>
      </w:pPr>
    </w:p>
    <w:p>
      <w:pPr>
        <w:pStyle w:val="8"/>
        <w:rPr>
          <w:rFonts w:ascii="宋体"/>
          <w:b/>
          <w:sz w:val="20"/>
        </w:rPr>
      </w:pPr>
    </w:p>
    <w:p>
      <w:pPr>
        <w:tabs>
          <w:tab w:val="left" w:pos="3638"/>
        </w:tabs>
        <w:spacing w:before="191"/>
        <w:ind w:left="0" w:right="0" w:firstLine="0"/>
        <w:jc w:val="center"/>
        <w:rPr>
          <w:rFonts w:hint="eastAsia" w:ascii="宋体" w:eastAsia="宋体"/>
          <w:b/>
          <w:sz w:val="52"/>
        </w:rPr>
      </w:pPr>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p>
    <w:p>
      <w:pPr>
        <w:pStyle w:val="8"/>
        <w:spacing w:before="226"/>
        <w:ind w:left="4412"/>
        <w:rPr>
          <w:rFonts w:hint="eastAsia" w:ascii="宋体" w:eastAsia="宋体"/>
        </w:rPr>
      </w:pPr>
      <w:r>
        <w:rPr>
          <w:rFonts w:hint="eastAsia" w:ascii="宋体" w:eastAsia="宋体"/>
        </w:rPr>
        <w:t>项目编号：</w:t>
      </w: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8"/>
        <w:rPr>
          <w:rFonts w:ascii="宋体"/>
        </w:rPr>
      </w:pPr>
    </w:p>
    <w:p>
      <w:pPr>
        <w:pStyle w:val="8"/>
        <w:spacing w:before="6"/>
        <w:rPr>
          <w:rFonts w:ascii="宋体"/>
          <w:sz w:val="27"/>
        </w:rPr>
      </w:pPr>
    </w:p>
    <w:p>
      <w:pPr>
        <w:spacing w:before="0"/>
        <w:ind w:left="429" w:right="429" w:firstLine="0"/>
        <w:jc w:val="center"/>
        <w:rPr>
          <w:rFonts w:hint="eastAsia" w:ascii="宋体" w:eastAsia="宋体"/>
          <w:b/>
          <w:sz w:val="72"/>
        </w:rPr>
      </w:pPr>
      <w:r>
        <w:rPr>
          <w:rFonts w:hint="eastAsia" w:ascii="宋体" w:eastAsia="宋体"/>
          <w:b/>
          <w:sz w:val="72"/>
        </w:rPr>
        <w:t>响 应 文 件</w:t>
      </w:r>
    </w:p>
    <w:p>
      <w:pPr>
        <w:pStyle w:val="8"/>
        <w:rPr>
          <w:rFonts w:ascii="宋体"/>
          <w:b/>
          <w:sz w:val="72"/>
        </w:rPr>
      </w:pPr>
    </w:p>
    <w:p>
      <w:pPr>
        <w:pStyle w:val="8"/>
        <w:rPr>
          <w:rFonts w:ascii="宋体"/>
          <w:b/>
          <w:sz w:val="72"/>
        </w:rPr>
      </w:pPr>
    </w:p>
    <w:p>
      <w:pPr>
        <w:pStyle w:val="8"/>
        <w:rPr>
          <w:rFonts w:ascii="宋体"/>
          <w:b/>
          <w:sz w:val="72"/>
        </w:rPr>
      </w:pPr>
    </w:p>
    <w:p>
      <w:pPr>
        <w:tabs>
          <w:tab w:val="left" w:pos="4279"/>
        </w:tabs>
        <w:spacing w:before="554"/>
        <w:ind w:left="500" w:right="0" w:firstLine="0"/>
        <w:jc w:val="left"/>
        <w:rPr>
          <w:rFonts w:hint="eastAsia" w:ascii="宋体" w:eastAsia="宋体"/>
          <w:sz w:val="28"/>
        </w:rPr>
      </w:pPr>
      <w:r>
        <w:rPr>
          <w:rFonts w:hint="eastAsia" w:ascii="宋体" w:eastAsia="宋体"/>
          <w:sz w:val="28"/>
        </w:rPr>
        <w:t>供</w:t>
      </w:r>
      <w:r>
        <w:rPr>
          <w:rFonts w:hint="eastAsia" w:ascii="宋体" w:eastAsia="宋体"/>
          <w:spacing w:val="-3"/>
          <w:sz w:val="28"/>
        </w:rPr>
        <w:t>应</w:t>
      </w:r>
      <w:r>
        <w:rPr>
          <w:rFonts w:hint="eastAsia" w:ascii="宋体" w:eastAsia="宋体"/>
          <w:sz w:val="28"/>
        </w:rPr>
        <w:t>商名</w:t>
      </w:r>
      <w:r>
        <w:rPr>
          <w:rFonts w:hint="eastAsia" w:ascii="宋体" w:eastAsia="宋体"/>
          <w:spacing w:val="-3"/>
          <w:sz w:val="28"/>
        </w:rPr>
        <w:t>称</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p>
    <w:p>
      <w:pPr>
        <w:pStyle w:val="8"/>
        <w:spacing w:before="5"/>
        <w:rPr>
          <w:rFonts w:ascii="宋体"/>
          <w:sz w:val="21"/>
        </w:rPr>
      </w:pPr>
    </w:p>
    <w:p>
      <w:pPr>
        <w:tabs>
          <w:tab w:val="left" w:pos="4279"/>
        </w:tabs>
        <w:spacing w:before="1"/>
        <w:ind w:left="500" w:right="0" w:firstLine="0"/>
        <w:jc w:val="left"/>
        <w:rPr>
          <w:rFonts w:hint="eastAsia" w:ascii="宋体" w:eastAsia="宋体"/>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p>
    <w:p>
      <w:pPr>
        <w:pStyle w:val="8"/>
        <w:spacing w:before="8"/>
        <w:rPr>
          <w:rFonts w:ascii="宋体"/>
          <w:sz w:val="21"/>
        </w:rPr>
      </w:pPr>
    </w:p>
    <w:p>
      <w:pPr>
        <w:tabs>
          <w:tab w:val="left" w:pos="5431"/>
          <w:tab w:val="left" w:pos="6413"/>
        </w:tabs>
        <w:spacing w:before="0"/>
        <w:ind w:left="4452"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spacing w:after="0"/>
        <w:jc w:val="left"/>
        <w:rPr>
          <w:rFonts w:hint="eastAsia" w:ascii="宋体" w:eastAsia="宋体"/>
          <w:sz w:val="28"/>
        </w:rPr>
        <w:sectPr>
          <w:type w:val="continuous"/>
          <w:pgSz w:w="11910" w:h="16840"/>
          <w:pgMar w:top="1460" w:right="940" w:bottom="280" w:left="940" w:header="720" w:footer="720" w:gutter="0"/>
          <w:pgBorders>
            <w:top w:val="none" w:sz="0" w:space="0"/>
            <w:left w:val="none" w:sz="0" w:space="0"/>
            <w:bottom w:val="none" w:sz="0" w:space="0"/>
            <w:right w:val="none" w:sz="0" w:space="0"/>
          </w:pgBorders>
          <w:cols w:space="720" w:num="1"/>
        </w:sectPr>
      </w:pPr>
    </w:p>
    <w:p>
      <w:pPr>
        <w:pStyle w:val="8"/>
        <w:spacing w:before="2"/>
        <w:rPr>
          <w:rFonts w:ascii="宋体"/>
          <w:sz w:val="13"/>
        </w:rPr>
      </w:pPr>
    </w:p>
    <w:p>
      <w:pPr>
        <w:spacing w:before="58"/>
        <w:ind w:left="911" w:right="429" w:firstLine="0"/>
        <w:jc w:val="center"/>
        <w:rPr>
          <w:rFonts w:hint="eastAsia" w:ascii="宋体" w:eastAsia="宋体"/>
          <w:sz w:val="30"/>
        </w:rPr>
      </w:pPr>
      <w:r>
        <w:rPr>
          <w:rFonts w:hint="eastAsia" w:ascii="宋体" w:eastAsia="宋体"/>
          <w:sz w:val="30"/>
        </w:rPr>
        <w:t>目 录</w:t>
      </w:r>
    </w:p>
    <w:p>
      <w:pPr>
        <w:pStyle w:val="8"/>
        <w:rPr>
          <w:rFonts w:ascii="宋体"/>
          <w:sz w:val="30"/>
        </w:rPr>
      </w:pPr>
    </w:p>
    <w:p>
      <w:pPr>
        <w:pStyle w:val="8"/>
        <w:spacing w:before="0" w:line="480" w:lineRule="auto"/>
        <w:ind w:left="0" w:right="0" w:firstLine="1680" w:firstLineChars="700"/>
        <w:jc w:val="left"/>
      </w:pPr>
      <w:r>
        <w:t>一、报价函</w:t>
      </w:r>
    </w:p>
    <w:p>
      <w:pPr>
        <w:pStyle w:val="8"/>
        <w:spacing w:before="0" w:line="480" w:lineRule="auto"/>
        <w:ind w:left="0" w:right="0" w:firstLine="1680" w:firstLineChars="700"/>
        <w:jc w:val="left"/>
      </w:pPr>
      <w:r>
        <w:t>二、报价一览表</w:t>
      </w:r>
    </w:p>
    <w:p>
      <w:pPr>
        <w:pStyle w:val="8"/>
        <w:spacing w:before="0" w:line="480" w:lineRule="auto"/>
        <w:ind w:left="0" w:right="0" w:firstLine="1680" w:firstLineChars="700"/>
        <w:jc w:val="left"/>
      </w:pPr>
      <w:r>
        <w:t>三、联合投标协议书</w:t>
      </w:r>
    </w:p>
    <w:p>
      <w:pPr>
        <w:pStyle w:val="8"/>
        <w:spacing w:before="0" w:line="480" w:lineRule="auto"/>
        <w:ind w:left="0" w:right="0" w:firstLine="1680" w:firstLineChars="700"/>
        <w:jc w:val="left"/>
      </w:pPr>
      <w:r>
        <w:t>四、法定代表人身份证明或法定代表人授权委托书</w:t>
      </w:r>
    </w:p>
    <w:p>
      <w:pPr>
        <w:pStyle w:val="8"/>
        <w:spacing w:before="0" w:line="480" w:lineRule="auto"/>
        <w:ind w:left="0" w:right="0" w:firstLine="1680" w:firstLineChars="700"/>
        <w:jc w:val="left"/>
      </w:pPr>
      <w:r>
        <w:t>五、商务偏离表</w:t>
      </w:r>
    </w:p>
    <w:p>
      <w:pPr>
        <w:pStyle w:val="8"/>
        <w:spacing w:before="0" w:line="480" w:lineRule="auto"/>
        <w:ind w:left="0" w:right="0" w:firstLine="1680" w:firstLineChars="700"/>
        <w:jc w:val="left"/>
        <w:rPr>
          <w:rFonts w:hint="eastAsia"/>
          <w:lang w:val="en-US" w:eastAsia="zh-CN"/>
        </w:rPr>
      </w:pPr>
      <w:r>
        <w:t>六、供应商</w:t>
      </w:r>
      <w:r>
        <w:rPr>
          <w:rFonts w:hint="eastAsia"/>
          <w:lang w:val="en-US" w:eastAsia="zh-CN"/>
        </w:rPr>
        <w:t>基本情况表</w:t>
      </w:r>
    </w:p>
    <w:p>
      <w:pPr>
        <w:pStyle w:val="8"/>
        <w:spacing w:before="0" w:line="480" w:lineRule="auto"/>
        <w:ind w:left="0" w:right="0" w:firstLine="1680" w:firstLineChars="700"/>
        <w:jc w:val="left"/>
      </w:pPr>
      <w:r>
        <w:t>七、在经营活动中没有重大违法记录的书面声明</w:t>
      </w:r>
    </w:p>
    <w:p>
      <w:pPr>
        <w:pStyle w:val="8"/>
        <w:spacing w:before="0" w:line="480" w:lineRule="auto"/>
        <w:ind w:left="0" w:right="0" w:firstLine="1680" w:firstLineChars="700"/>
        <w:jc w:val="left"/>
      </w:pPr>
      <w:r>
        <w:t xml:space="preserve">八、政府采购诚信承诺书 </w:t>
      </w:r>
    </w:p>
    <w:p>
      <w:pPr>
        <w:pStyle w:val="8"/>
        <w:spacing w:before="0" w:line="480" w:lineRule="auto"/>
        <w:ind w:left="0" w:right="0" w:firstLine="1680" w:firstLineChars="700"/>
        <w:jc w:val="left"/>
        <w:rPr>
          <w:rFonts w:hint="default" w:eastAsia="仿宋"/>
          <w:lang w:val="en-US" w:eastAsia="zh-CN"/>
        </w:rPr>
      </w:pPr>
      <w:r>
        <w:rPr>
          <w:rFonts w:hint="eastAsia"/>
          <w:lang w:val="en-US" w:eastAsia="zh-CN"/>
        </w:rPr>
        <w:t>九、</w:t>
      </w:r>
      <w:r>
        <w:t>技术偏离表</w:t>
      </w:r>
    </w:p>
    <w:p>
      <w:pPr>
        <w:pStyle w:val="8"/>
        <w:spacing w:before="0" w:line="480" w:lineRule="auto"/>
        <w:ind w:left="0" w:right="0" w:firstLine="1680" w:firstLineChars="700"/>
        <w:jc w:val="left"/>
      </w:pPr>
      <w:r>
        <w:t>十、</w:t>
      </w:r>
      <w:r>
        <w:rPr>
          <w:rFonts w:hint="eastAsia"/>
          <w:lang w:val="en-US" w:eastAsia="zh-CN"/>
        </w:rPr>
        <w:t>工程量清单</w:t>
      </w:r>
    </w:p>
    <w:p>
      <w:pPr>
        <w:pStyle w:val="8"/>
        <w:spacing w:before="0" w:line="480" w:lineRule="auto"/>
        <w:ind w:left="0" w:right="0" w:firstLine="1680" w:firstLineChars="700"/>
        <w:jc w:val="left"/>
        <w:rPr>
          <w:rFonts w:hint="default"/>
          <w:lang w:val="en-US"/>
        </w:rPr>
      </w:pPr>
      <w:r>
        <w:t>十一、</w:t>
      </w:r>
      <w:r>
        <w:rPr>
          <w:rFonts w:hint="eastAsia"/>
        </w:rPr>
        <w:t>项目管理机构</w:t>
      </w:r>
    </w:p>
    <w:p>
      <w:pPr>
        <w:pStyle w:val="8"/>
        <w:spacing w:before="0" w:line="480" w:lineRule="auto"/>
        <w:ind w:left="0" w:right="0" w:firstLine="1680" w:firstLineChars="700"/>
        <w:jc w:val="left"/>
      </w:pPr>
      <w:r>
        <w:t>十二、</w:t>
      </w:r>
      <w:r>
        <w:rPr>
          <w:rFonts w:hint="eastAsia" w:ascii="宋体" w:hAnsi="宋体"/>
          <w:sz w:val="24"/>
        </w:rPr>
        <w:t>企业</w:t>
      </w:r>
      <w:r>
        <w:rPr>
          <w:rFonts w:ascii="宋体" w:hAnsi="宋体"/>
          <w:sz w:val="24"/>
        </w:rPr>
        <w:t>业绩</w:t>
      </w:r>
    </w:p>
    <w:p>
      <w:pPr>
        <w:pStyle w:val="8"/>
        <w:spacing w:before="0" w:line="480" w:lineRule="auto"/>
        <w:ind w:left="0" w:right="0" w:firstLine="1680" w:firstLineChars="700"/>
        <w:jc w:val="left"/>
      </w:pPr>
      <w:r>
        <w:t>十三、</w:t>
      </w:r>
      <w:r>
        <w:rPr>
          <w:rFonts w:hint="eastAsia" w:ascii="宋体" w:hAnsi="宋体"/>
          <w:sz w:val="24"/>
          <w:lang w:val="en-US" w:eastAsia="zh-CN"/>
        </w:rPr>
        <w:t>措施方案</w:t>
      </w:r>
    </w:p>
    <w:p>
      <w:pPr>
        <w:pStyle w:val="8"/>
        <w:spacing w:before="0" w:line="480" w:lineRule="auto"/>
        <w:ind w:left="0" w:right="0" w:firstLine="1680" w:firstLineChars="700"/>
        <w:jc w:val="left"/>
      </w:pPr>
      <w:r>
        <w:t>十四、</w:t>
      </w:r>
      <w:r>
        <w:rPr>
          <w:rFonts w:hint="eastAsia" w:ascii="宋体" w:hAnsi="宋体"/>
          <w:sz w:val="24"/>
          <w:lang w:val="en-US" w:eastAsia="zh-CN"/>
        </w:rPr>
        <w:t>质量管理</w:t>
      </w:r>
    </w:p>
    <w:p>
      <w:pPr>
        <w:pStyle w:val="8"/>
        <w:spacing w:before="0" w:line="480" w:lineRule="auto"/>
        <w:ind w:left="0" w:right="0" w:firstLine="1680" w:firstLineChars="700"/>
        <w:jc w:val="left"/>
      </w:pPr>
      <w:r>
        <w:rPr>
          <w:rFonts w:hint="eastAsia"/>
          <w:lang w:val="en-US" w:eastAsia="zh-CN"/>
        </w:rPr>
        <w:t>十五</w:t>
      </w:r>
      <w:r>
        <w:t>、</w:t>
      </w:r>
      <w:r>
        <w:rPr>
          <w:rFonts w:hint="eastAsia" w:ascii="宋体" w:hAnsi="宋体"/>
          <w:sz w:val="24"/>
          <w:lang w:val="en-US" w:eastAsia="zh-CN"/>
        </w:rPr>
        <w:t>先进方案</w:t>
      </w:r>
    </w:p>
    <w:p>
      <w:pPr>
        <w:pStyle w:val="8"/>
        <w:spacing w:before="0" w:line="480" w:lineRule="auto"/>
        <w:ind w:left="0" w:right="0" w:firstLine="1680" w:firstLineChars="700"/>
        <w:jc w:val="left"/>
        <w:rPr>
          <w:rFonts w:hint="eastAsia" w:eastAsia="仿宋"/>
          <w:lang w:val="en-US" w:eastAsia="zh-CN"/>
        </w:rPr>
      </w:pPr>
      <w:r>
        <w:rPr>
          <w:rFonts w:hint="eastAsia"/>
          <w:lang w:val="en-US" w:eastAsia="zh-CN"/>
        </w:rPr>
        <w:t>十六、磋商保证金</w:t>
      </w:r>
    </w:p>
    <w:p>
      <w:pPr>
        <w:pStyle w:val="8"/>
        <w:spacing w:before="0" w:line="480" w:lineRule="auto"/>
        <w:ind w:left="0" w:right="0" w:firstLine="1680" w:firstLineChars="700"/>
        <w:jc w:val="left"/>
        <w:rPr>
          <w:rFonts w:hint="eastAsia"/>
          <w:lang w:val="en-US" w:eastAsia="zh-CN"/>
        </w:rPr>
      </w:pPr>
      <w:r>
        <w:rPr>
          <w:rFonts w:hint="eastAsia"/>
          <w:lang w:val="en-US" w:eastAsia="zh-CN"/>
        </w:rPr>
        <w:t>十七、供应商需要说明的其他文件和说明（格式自拟）</w:t>
      </w:r>
    </w:p>
    <w:p>
      <w:pPr>
        <w:pStyle w:val="8"/>
        <w:spacing w:before="0" w:line="480" w:lineRule="auto"/>
        <w:ind w:left="0" w:right="0" w:firstLine="1680" w:firstLineChars="700"/>
        <w:jc w:val="left"/>
        <w:rPr>
          <w:rFonts w:hint="eastAsia"/>
          <w:lang w:val="en-US" w:eastAsia="zh-CN"/>
        </w:rPr>
      </w:pPr>
      <w:r>
        <w:rPr>
          <w:rFonts w:hint="eastAsia"/>
          <w:lang w:val="en-US" w:eastAsia="zh-CN"/>
        </w:rPr>
        <w:t>十八、中小微企业声明函</w:t>
      </w:r>
    </w:p>
    <w:p>
      <w:pPr>
        <w:pStyle w:val="8"/>
        <w:spacing w:before="0" w:line="480" w:lineRule="auto"/>
        <w:ind w:left="0" w:right="0" w:firstLine="1680" w:firstLineChars="700"/>
        <w:jc w:val="left"/>
        <w:rPr>
          <w:rFonts w:hint="eastAsia"/>
          <w:lang w:val="en-US" w:eastAsia="zh-CN"/>
        </w:rPr>
      </w:pPr>
      <w:r>
        <w:rPr>
          <w:rFonts w:hint="eastAsia"/>
          <w:lang w:val="en-US" w:eastAsia="zh-CN"/>
        </w:rPr>
        <w:t>十九、残疾人福利性单位声明函</w:t>
      </w:r>
    </w:p>
    <w:p>
      <w:pPr>
        <w:pStyle w:val="8"/>
        <w:spacing w:before="0" w:line="480" w:lineRule="auto"/>
        <w:ind w:left="0" w:right="0" w:firstLine="1680" w:firstLineChars="700"/>
        <w:jc w:val="left"/>
        <w:rPr>
          <w:rFonts w:hint="eastAsia"/>
          <w:lang w:val="zh-CN" w:eastAsia="zh-CN"/>
        </w:rPr>
      </w:pPr>
      <w:r>
        <w:rPr>
          <w:rFonts w:hint="eastAsia"/>
          <w:lang w:val="en-US" w:eastAsia="zh-CN"/>
        </w:rPr>
        <w:t>二十</w:t>
      </w:r>
      <w:r>
        <w:rPr>
          <w:rFonts w:hint="eastAsia"/>
          <w:lang w:val="zh-CN" w:eastAsia="zh-CN"/>
        </w:rPr>
        <w:t>、投标单位（供应商）反商业贿赂承诺书</w:t>
      </w:r>
    </w:p>
    <w:p>
      <w:pPr>
        <w:spacing w:before="218"/>
        <w:ind w:right="429"/>
        <w:jc w:val="both"/>
        <w:rPr>
          <w:sz w:val="28"/>
        </w:rPr>
      </w:pPr>
    </w:p>
    <w:p>
      <w:pPr>
        <w:spacing w:before="218"/>
        <w:ind w:left="909" w:right="429" w:firstLine="0"/>
        <w:jc w:val="center"/>
        <w:rPr>
          <w:sz w:val="28"/>
        </w:rPr>
      </w:pPr>
      <w:r>
        <w:rPr>
          <w:sz w:val="28"/>
        </w:rPr>
        <w:t>一、报价函</w:t>
      </w:r>
    </w:p>
    <w:p>
      <w:pPr>
        <w:pStyle w:val="8"/>
        <w:rPr>
          <w:sz w:val="20"/>
        </w:rPr>
      </w:pPr>
    </w:p>
    <w:p>
      <w:pPr>
        <w:pStyle w:val="8"/>
        <w:spacing w:before="4"/>
      </w:pPr>
    </w:p>
    <w:p>
      <w:pPr>
        <w:pStyle w:val="8"/>
        <w:spacing w:before="67"/>
        <w:ind w:left="500"/>
      </w:pPr>
      <w:r>
        <w:rPr>
          <w:u w:val="single"/>
        </w:rPr>
        <w:t>（采购人）</w:t>
      </w:r>
      <w:r>
        <w:t>：</w:t>
      </w:r>
    </w:p>
    <w:p>
      <w:pPr>
        <w:pStyle w:val="8"/>
      </w:pPr>
    </w:p>
    <w:p>
      <w:pPr>
        <w:pStyle w:val="8"/>
        <w:spacing w:before="1"/>
      </w:pPr>
    </w:p>
    <w:p>
      <w:pPr>
        <w:pStyle w:val="8"/>
        <w:tabs>
          <w:tab w:val="left" w:pos="7939"/>
        </w:tabs>
        <w:ind w:left="980"/>
      </w:pPr>
      <w:r>
        <w:rPr>
          <w:u w:val="single"/>
        </w:rPr>
        <w:t>（供应商名称）</w:t>
      </w:r>
      <w:r>
        <w:t>系中华人民共和国合法企业，经营地址</w:t>
      </w:r>
      <w:r>
        <w:rPr>
          <w:u w:val="single"/>
        </w:rPr>
        <w:t xml:space="preserve"> </w:t>
      </w:r>
      <w:r>
        <w:rPr>
          <w:u w:val="single"/>
        </w:rPr>
        <w:tab/>
      </w:r>
      <w:r>
        <w:t>。</w:t>
      </w:r>
    </w:p>
    <w:p>
      <w:pPr>
        <w:pStyle w:val="8"/>
        <w:spacing w:before="151"/>
        <w:ind w:left="980"/>
      </w:pPr>
      <w:r>
        <w:t>我</w:t>
      </w:r>
      <w:r>
        <w:rPr>
          <w:u w:val="single"/>
        </w:rPr>
        <w:t>（姓名）</w:t>
      </w:r>
      <w:r>
        <w:t>系</w:t>
      </w:r>
      <w:r>
        <w:rPr>
          <w:u w:val="single"/>
        </w:rPr>
        <w:t>（供应商名称）</w:t>
      </w:r>
      <w:r>
        <w:t>的法定代表人，我方愿意参加贵方组织的</w:t>
      </w:r>
      <w:r>
        <w:rPr>
          <w:u w:val="single"/>
        </w:rPr>
        <w:t>（项目名称）</w:t>
      </w:r>
    </w:p>
    <w:p>
      <w:pPr>
        <w:pStyle w:val="8"/>
        <w:tabs>
          <w:tab w:val="left" w:pos="3139"/>
        </w:tabs>
        <w:spacing w:before="153" w:line="360" w:lineRule="auto"/>
        <w:ind w:left="980" w:right="645" w:hanging="480"/>
      </w:pPr>
      <w:r>
        <w:rPr>
          <w:u w:val="single"/>
        </w:rPr>
        <w:t>（编号为</w:t>
      </w:r>
      <w:r>
        <w:rPr>
          <w:u w:val="single"/>
        </w:rPr>
        <w:tab/>
      </w:r>
      <w:r>
        <w:rPr>
          <w:u w:val="single"/>
        </w:rPr>
        <w:t>）</w:t>
      </w:r>
      <w:r>
        <w:t>的报价，为此，我方就本次报价有关事项郑重声明如下</w:t>
      </w:r>
      <w:r>
        <w:rPr>
          <w:spacing w:val="-18"/>
        </w:rPr>
        <w:t xml:space="preserve">： </w:t>
      </w:r>
      <w:r>
        <w:t>1、我方已详细审查全部磋商文件，同意磋商文件的各项要求。</w:t>
      </w:r>
    </w:p>
    <w:p>
      <w:pPr>
        <w:pStyle w:val="8"/>
        <w:spacing w:line="304" w:lineRule="exact"/>
        <w:ind w:left="980"/>
      </w:pPr>
      <w:r>
        <w:t>2、我方向贵方提交的所有响应文件、资料都是准确的和真实的。</w:t>
      </w:r>
    </w:p>
    <w:p>
      <w:pPr>
        <w:pStyle w:val="8"/>
        <w:spacing w:before="154"/>
        <w:ind w:left="980"/>
      </w:pPr>
      <w:r>
        <w:t>3、若中标，我方将按照磋商文件规定履行合同责任和义务。</w:t>
      </w:r>
    </w:p>
    <w:p>
      <w:pPr>
        <w:pStyle w:val="8"/>
        <w:spacing w:before="153" w:line="357" w:lineRule="auto"/>
        <w:ind w:left="500" w:right="497" w:firstLine="480"/>
      </w:pPr>
      <w:r>
        <w:t>4、我方不是采购人的附属机构；在获知本项目采购信息后，与采购人聘请的为此项目提供咨询服务的公司以及其附属机构没有任何联系。</w:t>
      </w:r>
    </w:p>
    <w:p>
      <w:pPr>
        <w:pStyle w:val="8"/>
        <w:spacing w:before="3"/>
        <w:ind w:left="980"/>
      </w:pPr>
      <w:r>
        <w:t>5、响应文件自开启响应文件日起有效期为</w:t>
      </w:r>
      <w:r>
        <w:rPr>
          <w:u w:val="single"/>
        </w:rPr>
        <w:t xml:space="preserve"> 30 </w:t>
      </w:r>
      <w:r>
        <w:t>日历日。</w:t>
      </w:r>
    </w:p>
    <w:p>
      <w:pPr>
        <w:pStyle w:val="8"/>
        <w:spacing w:before="153"/>
        <w:ind w:left="980"/>
      </w:pPr>
      <w:r>
        <w:t>6、以上事项如有虚假或者隐瞒，我方愿意承担一切后果。</w:t>
      </w:r>
    </w:p>
    <w:p>
      <w:pPr>
        <w:pStyle w:val="8"/>
      </w:pPr>
    </w:p>
    <w:p>
      <w:pPr>
        <w:pStyle w:val="8"/>
      </w:pPr>
    </w:p>
    <w:p>
      <w:pPr>
        <w:pStyle w:val="8"/>
      </w:pPr>
    </w:p>
    <w:p>
      <w:pPr>
        <w:pStyle w:val="8"/>
      </w:pPr>
    </w:p>
    <w:p>
      <w:pPr>
        <w:pStyle w:val="8"/>
      </w:pPr>
    </w:p>
    <w:p>
      <w:pPr>
        <w:pStyle w:val="8"/>
      </w:pPr>
    </w:p>
    <w:p>
      <w:pPr>
        <w:pStyle w:val="8"/>
      </w:pPr>
    </w:p>
    <w:p>
      <w:pPr>
        <w:pStyle w:val="8"/>
        <w:spacing w:before="5"/>
        <w:rPr>
          <w:sz w:val="17"/>
        </w:rPr>
      </w:pPr>
    </w:p>
    <w:p>
      <w:pPr>
        <w:pStyle w:val="8"/>
        <w:tabs>
          <w:tab w:val="left" w:pos="7966"/>
        </w:tabs>
        <w:spacing w:before="1"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8"/>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2" w:type="default"/>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pStyle w:val="8"/>
        <w:numPr>
          <w:ilvl w:val="0"/>
          <w:numId w:val="0"/>
        </w:numPr>
        <w:ind w:right="0" w:rightChars="0"/>
        <w:jc w:val="center"/>
        <w:rPr>
          <w:rFonts w:hint="eastAsia"/>
          <w:sz w:val="28"/>
        </w:rPr>
      </w:pPr>
      <w:r>
        <w:rPr>
          <w:rFonts w:hint="eastAsia"/>
          <w:sz w:val="28"/>
          <w:lang w:val="en-US" w:eastAsia="zh-CN"/>
        </w:rPr>
        <w:t>二、</w:t>
      </w:r>
      <w:r>
        <w:rPr>
          <w:rFonts w:hint="eastAsia"/>
          <w:sz w:val="28"/>
        </w:rPr>
        <w:t>报价</w:t>
      </w:r>
      <w:r>
        <w:rPr>
          <w:rFonts w:hint="eastAsia"/>
          <w:sz w:val="28"/>
          <w:lang w:val="en-US" w:eastAsia="zh-CN"/>
        </w:rPr>
        <w:t>一览</w:t>
      </w:r>
      <w:r>
        <w:rPr>
          <w:rFonts w:hint="eastAsia"/>
          <w:sz w:val="28"/>
        </w:rPr>
        <w:t>表</w:t>
      </w:r>
    </w:p>
    <w:p>
      <w:pPr>
        <w:pStyle w:val="8"/>
        <w:numPr>
          <w:ilvl w:val="0"/>
          <w:numId w:val="0"/>
        </w:numPr>
        <w:ind w:right="0" w:rightChars="0"/>
        <w:jc w:val="both"/>
        <w:rPr>
          <w:rFonts w:hint="eastAsia"/>
          <w:sz w:val="28"/>
        </w:rPr>
      </w:pPr>
    </w:p>
    <w:p>
      <w:pPr>
        <w:pStyle w:val="8"/>
        <w:rPr>
          <w:rFonts w:hint="eastAsia"/>
          <w:sz w:val="2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7"/>
        <w:gridCol w:w="1814"/>
        <w:gridCol w:w="1050"/>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277" w:type="dxa"/>
            <w:noWrap w:val="0"/>
            <w:vAlign w:val="center"/>
          </w:tcPr>
          <w:p>
            <w:pPr>
              <w:pStyle w:val="8"/>
              <w:jc w:val="center"/>
              <w:rPr>
                <w:rFonts w:hint="eastAsia"/>
                <w:sz w:val="28"/>
              </w:rPr>
            </w:pPr>
            <w:r>
              <w:rPr>
                <w:rFonts w:hint="eastAsia"/>
                <w:sz w:val="28"/>
              </w:rPr>
              <w:t>项目及包段名称</w:t>
            </w:r>
          </w:p>
        </w:tc>
        <w:tc>
          <w:tcPr>
            <w:tcW w:w="1814" w:type="dxa"/>
            <w:noWrap w:val="0"/>
            <w:vAlign w:val="center"/>
          </w:tcPr>
          <w:p>
            <w:pPr>
              <w:pStyle w:val="8"/>
              <w:jc w:val="center"/>
              <w:rPr>
                <w:rFonts w:hint="eastAsia"/>
                <w:sz w:val="28"/>
              </w:rPr>
            </w:pPr>
            <w:r>
              <w:rPr>
                <w:rFonts w:hint="eastAsia"/>
                <w:sz w:val="28"/>
              </w:rPr>
              <w:t>总</w:t>
            </w:r>
            <w:r>
              <w:rPr>
                <w:rFonts w:hint="eastAsia"/>
                <w:sz w:val="28"/>
                <w:lang w:val="en-US" w:eastAsia="zh-CN"/>
              </w:rPr>
              <w:t>价</w:t>
            </w:r>
            <w:r>
              <w:rPr>
                <w:rFonts w:hint="eastAsia"/>
                <w:sz w:val="28"/>
              </w:rPr>
              <w:t>（元）</w:t>
            </w:r>
          </w:p>
        </w:tc>
        <w:tc>
          <w:tcPr>
            <w:tcW w:w="1050" w:type="dxa"/>
            <w:noWrap w:val="0"/>
            <w:vAlign w:val="center"/>
          </w:tcPr>
          <w:p>
            <w:pPr>
              <w:pStyle w:val="8"/>
              <w:jc w:val="center"/>
              <w:rPr>
                <w:rFonts w:hint="eastAsia"/>
                <w:sz w:val="28"/>
              </w:rPr>
            </w:pPr>
            <w:r>
              <w:rPr>
                <w:rFonts w:hint="eastAsia"/>
                <w:sz w:val="28"/>
              </w:rPr>
              <w:t>工程质量</w:t>
            </w:r>
          </w:p>
        </w:tc>
        <w:tc>
          <w:tcPr>
            <w:tcW w:w="1488" w:type="dxa"/>
            <w:noWrap w:val="0"/>
            <w:vAlign w:val="center"/>
          </w:tcPr>
          <w:p>
            <w:pPr>
              <w:pStyle w:val="8"/>
              <w:jc w:val="center"/>
              <w:rPr>
                <w:rFonts w:hint="eastAsia"/>
                <w:sz w:val="28"/>
              </w:rPr>
            </w:pPr>
            <w:r>
              <w:rPr>
                <w:rFonts w:hint="eastAsia"/>
                <w:sz w:val="28"/>
              </w:rPr>
              <w:t>工期</w:t>
            </w:r>
          </w:p>
        </w:tc>
        <w:tc>
          <w:tcPr>
            <w:tcW w:w="1488" w:type="dxa"/>
            <w:noWrap w:val="0"/>
            <w:vAlign w:val="center"/>
          </w:tcPr>
          <w:p>
            <w:pPr>
              <w:pStyle w:val="8"/>
              <w:jc w:val="center"/>
              <w:rPr>
                <w:rFonts w:hint="eastAsia" w:eastAsia="仿宋"/>
                <w:sz w:val="28"/>
                <w:lang w:val="en-US" w:eastAsia="zh-CN"/>
              </w:rPr>
            </w:pPr>
            <w:r>
              <w:rPr>
                <w:rFonts w:hint="eastAsia"/>
                <w:sz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3277" w:type="dxa"/>
            <w:noWrap w:val="0"/>
            <w:vAlign w:val="top"/>
          </w:tcPr>
          <w:p>
            <w:pPr>
              <w:pStyle w:val="8"/>
              <w:jc w:val="center"/>
              <w:rPr>
                <w:rFonts w:hint="eastAsia"/>
                <w:sz w:val="28"/>
              </w:rPr>
            </w:pPr>
          </w:p>
        </w:tc>
        <w:tc>
          <w:tcPr>
            <w:tcW w:w="1814" w:type="dxa"/>
            <w:noWrap w:val="0"/>
            <w:vAlign w:val="top"/>
          </w:tcPr>
          <w:p>
            <w:pPr>
              <w:pStyle w:val="8"/>
              <w:jc w:val="center"/>
              <w:rPr>
                <w:rFonts w:hint="eastAsia"/>
                <w:sz w:val="28"/>
              </w:rPr>
            </w:pPr>
          </w:p>
        </w:tc>
        <w:tc>
          <w:tcPr>
            <w:tcW w:w="1050" w:type="dxa"/>
            <w:noWrap w:val="0"/>
            <w:vAlign w:val="top"/>
          </w:tcPr>
          <w:p>
            <w:pPr>
              <w:pStyle w:val="8"/>
              <w:jc w:val="center"/>
              <w:rPr>
                <w:rFonts w:hint="eastAsia"/>
                <w:sz w:val="28"/>
              </w:rPr>
            </w:pPr>
          </w:p>
        </w:tc>
        <w:tc>
          <w:tcPr>
            <w:tcW w:w="1488" w:type="dxa"/>
            <w:noWrap w:val="0"/>
            <w:vAlign w:val="top"/>
          </w:tcPr>
          <w:p>
            <w:pPr>
              <w:pStyle w:val="8"/>
              <w:jc w:val="center"/>
              <w:rPr>
                <w:rFonts w:hint="eastAsia"/>
                <w:sz w:val="28"/>
              </w:rPr>
            </w:pPr>
          </w:p>
        </w:tc>
        <w:tc>
          <w:tcPr>
            <w:tcW w:w="1488" w:type="dxa"/>
            <w:noWrap w:val="0"/>
            <w:vAlign w:val="top"/>
          </w:tcPr>
          <w:p>
            <w:pPr>
              <w:pStyle w:val="8"/>
              <w:jc w:val="center"/>
              <w:rPr>
                <w:rFonts w:hint="eastAsia"/>
                <w:sz w:val="28"/>
              </w:rPr>
            </w:pPr>
          </w:p>
        </w:tc>
      </w:tr>
    </w:tbl>
    <w:p>
      <w:pPr>
        <w:pStyle w:val="8"/>
        <w:ind w:firstLine="1120" w:firstLineChars="400"/>
        <w:rPr>
          <w:rFonts w:hint="eastAsia"/>
          <w:sz w:val="28"/>
        </w:rPr>
      </w:pPr>
      <w:r>
        <w:rPr>
          <w:rFonts w:hint="eastAsia"/>
          <w:sz w:val="28"/>
        </w:rPr>
        <w:t>注：总</w:t>
      </w:r>
      <w:r>
        <w:rPr>
          <w:rFonts w:hint="eastAsia"/>
          <w:sz w:val="28"/>
          <w:lang w:val="en-US" w:eastAsia="zh-CN"/>
        </w:rPr>
        <w:t>报</w:t>
      </w:r>
      <w:r>
        <w:rPr>
          <w:rFonts w:hint="eastAsia"/>
          <w:sz w:val="28"/>
        </w:rPr>
        <w:t>价应与已标价工程清单中“总报价”的金额一致。</w:t>
      </w:r>
    </w:p>
    <w:p>
      <w:pPr>
        <w:pStyle w:val="8"/>
        <w:rPr>
          <w:rFonts w:hint="eastAsia"/>
          <w:sz w:val="28"/>
        </w:rPr>
      </w:pPr>
    </w:p>
    <w:p>
      <w:pPr>
        <w:pStyle w:val="8"/>
        <w:rPr>
          <w:sz w:val="36"/>
        </w:rPr>
      </w:pPr>
    </w:p>
    <w:p>
      <w:pPr>
        <w:pStyle w:val="8"/>
        <w:tabs>
          <w:tab w:val="left" w:pos="7966"/>
        </w:tabs>
        <w:spacing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8"/>
        <w:tabs>
          <w:tab w:val="left" w:pos="5568"/>
          <w:tab w:val="left" w:pos="6768"/>
          <w:tab w:val="left" w:pos="7368"/>
          <w:tab w:val="left" w:pos="7968"/>
        </w:tabs>
        <w:spacing w:line="303" w:lineRule="exact"/>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03" w:lineRule="exact"/>
        <w:sectPr>
          <w:pgSz w:w="11910" w:h="16840"/>
          <w:pgMar w:top="1460" w:right="940" w:bottom="1180" w:left="940" w:header="0" w:footer="1000" w:gutter="0"/>
          <w:pgBorders>
            <w:top w:val="none" w:sz="0" w:space="0"/>
            <w:left w:val="none" w:sz="0" w:space="0"/>
            <w:bottom w:val="none" w:sz="0" w:space="0"/>
            <w:right w:val="none" w:sz="0" w:space="0"/>
          </w:pgBorders>
          <w:cols w:space="720" w:num="1"/>
        </w:sectPr>
      </w:pPr>
    </w:p>
    <w:p>
      <w:pPr>
        <w:pStyle w:val="8"/>
        <w:spacing w:before="4"/>
        <w:rPr>
          <w:sz w:val="10"/>
        </w:rPr>
      </w:pPr>
    </w:p>
    <w:p>
      <w:pPr>
        <w:spacing w:before="62"/>
        <w:ind w:left="429" w:right="429" w:firstLine="0"/>
        <w:jc w:val="center"/>
        <w:rPr>
          <w:sz w:val="28"/>
        </w:rPr>
      </w:pPr>
      <w:r>
        <w:rPr>
          <w:sz w:val="28"/>
        </w:rPr>
        <w:t>三、联合投标协议书（本次不接受联合体投标）</w:t>
      </w:r>
    </w:p>
    <w:p>
      <w:pPr>
        <w:pStyle w:val="8"/>
        <w:spacing w:before="4"/>
        <w:rPr>
          <w:sz w:val="31"/>
        </w:rPr>
      </w:pPr>
    </w:p>
    <w:p>
      <w:pPr>
        <w:pStyle w:val="8"/>
        <w:spacing w:line="345" w:lineRule="auto"/>
        <w:ind w:left="1013" w:right="8290"/>
      </w:pPr>
      <w:r>
        <w:t>甲方： 乙方：</w:t>
      </w:r>
    </w:p>
    <w:p>
      <w:pPr>
        <w:pStyle w:val="8"/>
        <w:spacing w:line="303" w:lineRule="exact"/>
        <w:ind w:left="1013"/>
      </w:pPr>
      <w:r>
        <w:t>（如果有的话，可按照甲、乙、丙、丁…序列增加）</w:t>
      </w:r>
    </w:p>
    <w:p>
      <w:pPr>
        <w:pStyle w:val="8"/>
        <w:tabs>
          <w:tab w:val="left" w:pos="5513"/>
          <w:tab w:val="left" w:pos="8801"/>
        </w:tabs>
        <w:spacing w:before="131" w:line="345" w:lineRule="auto"/>
        <w:ind w:left="500" w:right="497" w:firstLine="513"/>
        <w:jc w:val="both"/>
      </w:pPr>
      <w:r>
        <w:t>联合体各方经协商，就响应</w:t>
      </w:r>
      <w:r>
        <w:rPr>
          <w:u w:val="single"/>
        </w:rPr>
        <w:t xml:space="preserve"> </w:t>
      </w:r>
      <w:r>
        <w:rPr>
          <w:u w:val="single"/>
        </w:rPr>
        <w:tab/>
      </w:r>
      <w:r>
        <w:t>组织实施的编号为</w:t>
      </w:r>
      <w:r>
        <w:rPr>
          <w:u w:val="single"/>
        </w:rPr>
        <w:t xml:space="preserve"> </w:t>
      </w:r>
      <w:r>
        <w:rPr>
          <w:u w:val="single"/>
        </w:rPr>
        <w:tab/>
      </w:r>
      <w:r>
        <w:t>号的</w:t>
      </w:r>
      <w:r>
        <w:rPr>
          <w:spacing w:val="-16"/>
        </w:rPr>
        <w:t>招</w:t>
      </w:r>
      <w:r>
        <w:t>标活动联合进行投标之事宜，达成如下协议：</w:t>
      </w:r>
    </w:p>
    <w:p>
      <w:pPr>
        <w:pStyle w:val="8"/>
        <w:tabs>
          <w:tab w:val="left" w:pos="5387"/>
        </w:tabs>
        <w:spacing w:line="343" w:lineRule="auto"/>
        <w:ind w:left="500" w:right="497" w:firstLine="513"/>
        <w:jc w:val="both"/>
      </w:pPr>
      <w:r>
        <w:t>一</w:t>
      </w:r>
      <w:r>
        <w:rPr>
          <w:spacing w:val="-3"/>
        </w:rPr>
        <w:t>、</w:t>
      </w:r>
      <w:r>
        <w:t>联合体各方一致决定</w:t>
      </w:r>
      <w:r>
        <w:rPr>
          <w:spacing w:val="-3"/>
        </w:rPr>
        <w:t>，</w:t>
      </w:r>
      <w:r>
        <w:t>以</w:t>
      </w:r>
      <w:r>
        <w:rPr>
          <w:u w:val="single"/>
        </w:rPr>
        <w:t xml:space="preserve"> </w:t>
      </w:r>
      <w:r>
        <w:rPr>
          <w:u w:val="single"/>
        </w:rPr>
        <w:tab/>
      </w:r>
      <w:r>
        <w:t>为主办人进行投标</w:t>
      </w:r>
      <w:r>
        <w:rPr>
          <w:spacing w:val="-3"/>
        </w:rPr>
        <w:t>，</w:t>
      </w:r>
      <w:r>
        <w:t>并按照磋商文件</w:t>
      </w:r>
      <w:r>
        <w:rPr>
          <w:spacing w:val="-15"/>
        </w:rPr>
        <w:t>的</w:t>
      </w:r>
      <w:r>
        <w:t>规定分别提交资格文件。</w:t>
      </w:r>
    </w:p>
    <w:p>
      <w:pPr>
        <w:pStyle w:val="8"/>
        <w:spacing w:line="343" w:lineRule="auto"/>
        <w:ind w:left="500" w:right="497" w:firstLine="513"/>
        <w:jc w:val="both"/>
      </w:pPr>
      <w:r>
        <w:t>二、在本次投标过程中，主办人的法定代表人或者授权代理人根据磋商文件规定</w:t>
      </w:r>
      <w:r>
        <w:rPr>
          <w:spacing w:val="-6"/>
        </w:rPr>
        <w:t>以及投标内容对采购人所作的任何合法承诺，包括书面澄清以及响应等对联合体各方均</w:t>
      </w:r>
      <w:r>
        <w:rPr>
          <w:spacing w:val="-11"/>
        </w:rPr>
        <w:t>有约束力。如果中标并签订合同，则联合体各方将共同履行对采购人或者采购代理机构</w:t>
      </w:r>
      <w:r>
        <w:t>所负有的全部义务，并就采购合同约定的事项对采购人承担连带责任。</w:t>
      </w:r>
    </w:p>
    <w:p>
      <w:pPr>
        <w:pStyle w:val="8"/>
        <w:spacing w:line="343" w:lineRule="auto"/>
        <w:ind w:left="500" w:right="497" w:firstLine="513"/>
      </w:pPr>
      <w:r>
        <w:t>三、联合体各方保证对主办人为响应本次招标而提供的产品和服务提供全部质量保证以及售后服务支持。</w:t>
      </w:r>
    </w:p>
    <w:p>
      <w:pPr>
        <w:pStyle w:val="8"/>
        <w:spacing w:line="343" w:lineRule="auto"/>
        <w:ind w:left="1013" w:right="3250"/>
      </w:pPr>
      <w:r>
        <w:rPr>
          <w:spacing w:val="-1"/>
        </w:rPr>
        <w:t xml:space="preserve">四、本次联合投标中，联合体各方承担的工作和义务： </w:t>
      </w:r>
      <w:r>
        <w:t>甲方承担的工作和义务为：</w:t>
      </w:r>
    </w:p>
    <w:p>
      <w:pPr>
        <w:pStyle w:val="8"/>
        <w:spacing w:line="306" w:lineRule="exact"/>
        <w:ind w:left="1013"/>
      </w:pPr>
      <w:r>
        <w:t>乙方承担的工作和义务为：</w:t>
      </w:r>
    </w:p>
    <w:p>
      <w:pPr>
        <w:pStyle w:val="8"/>
        <w:spacing w:before="133"/>
        <w:ind w:left="1013"/>
      </w:pPr>
      <w:r>
        <w:t>五、有关本次联合投标的其他事宜：</w:t>
      </w:r>
    </w:p>
    <w:p>
      <w:pPr>
        <w:pStyle w:val="8"/>
        <w:spacing w:before="132" w:line="343" w:lineRule="auto"/>
        <w:ind w:left="500" w:right="497" w:firstLine="513"/>
      </w:pPr>
      <w:r>
        <w:t>六、本协议提交采购人或者采购代理机构后，联合体各方不得以任何形式对上述实质内容进行修改或者撤销。</w:t>
      </w:r>
    </w:p>
    <w:p>
      <w:pPr>
        <w:pStyle w:val="8"/>
        <w:spacing w:before="1"/>
        <w:ind w:left="1013"/>
      </w:pPr>
      <w:r>
        <w:t>七、本协议共</w:t>
      </w:r>
      <w:r>
        <w:rPr>
          <w:spacing w:val="119"/>
          <w:u w:val="single"/>
        </w:rPr>
        <w:t xml:space="preserve"> </w:t>
      </w:r>
      <w:r>
        <w:t>份，联合体各方各持一份，并作为响应文件的一部分。</w:t>
      </w:r>
    </w:p>
    <w:p>
      <w:pPr>
        <w:pStyle w:val="8"/>
        <w:rPr>
          <w:sz w:val="20"/>
        </w:rPr>
      </w:pPr>
    </w:p>
    <w:p>
      <w:pPr>
        <w:pStyle w:val="8"/>
        <w:spacing w:before="2"/>
        <w:rPr>
          <w:sz w:val="27"/>
        </w:rPr>
      </w:pPr>
    </w:p>
    <w:tbl>
      <w:tblPr>
        <w:tblStyle w:val="18"/>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0"/>
        <w:gridCol w:w="2460"/>
        <w:gridCol w:w="294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90" w:type="dxa"/>
          </w:tcPr>
          <w:p>
            <w:pPr>
              <w:pStyle w:val="22"/>
              <w:spacing w:line="274" w:lineRule="exact"/>
              <w:ind w:left="50"/>
              <w:rPr>
                <w:sz w:val="24"/>
              </w:rPr>
            </w:pPr>
            <w:r>
              <w:rPr>
                <w:sz w:val="24"/>
              </w:rPr>
              <w:t>甲方单位：</w:t>
            </w:r>
          </w:p>
        </w:tc>
        <w:tc>
          <w:tcPr>
            <w:tcW w:w="2460" w:type="dxa"/>
          </w:tcPr>
          <w:p>
            <w:pPr>
              <w:pStyle w:val="22"/>
              <w:spacing w:line="274" w:lineRule="exact"/>
              <w:ind w:left="300"/>
              <w:rPr>
                <w:sz w:val="24"/>
              </w:rPr>
            </w:pPr>
            <w:r>
              <w:rPr>
                <w:sz w:val="24"/>
              </w:rPr>
              <w:t>（公章）</w:t>
            </w:r>
          </w:p>
        </w:tc>
        <w:tc>
          <w:tcPr>
            <w:tcW w:w="2940" w:type="dxa"/>
          </w:tcPr>
          <w:p>
            <w:pPr>
              <w:pStyle w:val="22"/>
              <w:spacing w:line="274" w:lineRule="exact"/>
              <w:ind w:left="1200"/>
              <w:rPr>
                <w:sz w:val="24"/>
              </w:rPr>
            </w:pPr>
            <w:r>
              <w:rPr>
                <w:sz w:val="24"/>
              </w:rPr>
              <w:t>乙方单位：</w:t>
            </w:r>
          </w:p>
        </w:tc>
        <w:tc>
          <w:tcPr>
            <w:tcW w:w="1310" w:type="dxa"/>
          </w:tcPr>
          <w:p>
            <w:pPr>
              <w:pStyle w:val="22"/>
              <w:spacing w:line="274" w:lineRule="exact"/>
              <w:ind w:right="49"/>
              <w:jc w:val="right"/>
              <w:rPr>
                <w:sz w:val="24"/>
              </w:rPr>
            </w:pPr>
            <w:r>
              <w:rPr>
                <w:sz w:val="24"/>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90" w:type="dxa"/>
          </w:tcPr>
          <w:p>
            <w:pPr>
              <w:pStyle w:val="22"/>
              <w:spacing w:before="67" w:line="254" w:lineRule="exact"/>
              <w:ind w:left="50"/>
              <w:rPr>
                <w:sz w:val="24"/>
              </w:rPr>
            </w:pPr>
            <w:r>
              <w:rPr>
                <w:sz w:val="24"/>
              </w:rPr>
              <w:t>法定代表人：</w:t>
            </w:r>
          </w:p>
        </w:tc>
        <w:tc>
          <w:tcPr>
            <w:tcW w:w="2460" w:type="dxa"/>
          </w:tcPr>
          <w:p>
            <w:pPr>
              <w:pStyle w:val="22"/>
              <w:spacing w:before="67" w:line="254" w:lineRule="exact"/>
              <w:ind w:left="300"/>
              <w:rPr>
                <w:sz w:val="24"/>
              </w:rPr>
            </w:pPr>
            <w:r>
              <w:rPr>
                <w:sz w:val="24"/>
              </w:rPr>
              <w:t>（签章）</w:t>
            </w:r>
          </w:p>
        </w:tc>
        <w:tc>
          <w:tcPr>
            <w:tcW w:w="2940" w:type="dxa"/>
          </w:tcPr>
          <w:p>
            <w:pPr>
              <w:pStyle w:val="22"/>
              <w:spacing w:before="67" w:line="254" w:lineRule="exact"/>
              <w:ind w:left="1200"/>
              <w:rPr>
                <w:sz w:val="24"/>
              </w:rPr>
            </w:pPr>
            <w:r>
              <w:rPr>
                <w:sz w:val="24"/>
              </w:rPr>
              <w:t>法定代表人：</w:t>
            </w:r>
          </w:p>
        </w:tc>
        <w:tc>
          <w:tcPr>
            <w:tcW w:w="1310" w:type="dxa"/>
          </w:tcPr>
          <w:p>
            <w:pPr>
              <w:pStyle w:val="22"/>
              <w:spacing w:before="67" w:line="254" w:lineRule="exact"/>
              <w:ind w:right="49"/>
              <w:jc w:val="right"/>
              <w:rPr>
                <w:sz w:val="24"/>
              </w:rPr>
            </w:pPr>
            <w:r>
              <w:rPr>
                <w:sz w:val="24"/>
              </w:rPr>
              <w:t>（签章）</w:t>
            </w:r>
          </w:p>
        </w:tc>
      </w:tr>
    </w:tbl>
    <w:p>
      <w:pPr>
        <w:pStyle w:val="8"/>
        <w:rPr>
          <w:sz w:val="20"/>
        </w:rPr>
      </w:pPr>
    </w:p>
    <w:p>
      <w:pPr>
        <w:pStyle w:val="8"/>
        <w:rPr>
          <w:sz w:val="22"/>
        </w:rPr>
      </w:pPr>
    </w:p>
    <w:p>
      <w:pPr>
        <w:pStyle w:val="8"/>
        <w:tabs>
          <w:tab w:val="left" w:pos="1973"/>
          <w:tab w:val="left" w:pos="2453"/>
          <w:tab w:val="left" w:pos="3053"/>
          <w:tab w:val="left" w:pos="6413"/>
          <w:tab w:val="left" w:pos="7373"/>
          <w:tab w:val="left" w:pos="7853"/>
          <w:tab w:val="left" w:pos="8453"/>
        </w:tabs>
        <w:spacing w:before="66"/>
        <w:ind w:left="1013"/>
      </w:pPr>
      <w:r>
        <w:t>日期：</w:t>
      </w:r>
      <w:r>
        <w:tab/>
      </w:r>
      <w:r>
        <w:t>年</w:t>
      </w:r>
      <w:r>
        <w:tab/>
      </w:r>
      <w:r>
        <w:t>月</w:t>
      </w:r>
      <w:r>
        <w:tab/>
      </w:r>
      <w:r>
        <w:t>日</w:t>
      </w:r>
      <w:r>
        <w:tab/>
      </w:r>
      <w:r>
        <w:t>日期：</w:t>
      </w:r>
      <w:r>
        <w:tab/>
      </w:r>
      <w:r>
        <w:t>年</w:t>
      </w:r>
      <w:r>
        <w:tab/>
      </w:r>
      <w:r>
        <w:t>月</w:t>
      </w:r>
      <w:r>
        <w:tab/>
      </w:r>
      <w:r>
        <w:t>日</w:t>
      </w:r>
    </w:p>
    <w:p>
      <w:pPr>
        <w:spacing w:after="0"/>
        <w:sectPr>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pStyle w:val="8"/>
        <w:rPr>
          <w:sz w:val="20"/>
        </w:rPr>
      </w:pPr>
    </w:p>
    <w:p>
      <w:pPr>
        <w:pStyle w:val="8"/>
        <w:rPr>
          <w:sz w:val="20"/>
        </w:rPr>
      </w:pPr>
    </w:p>
    <w:p>
      <w:pPr>
        <w:pStyle w:val="8"/>
        <w:spacing w:before="7"/>
        <w:rPr>
          <w:sz w:val="26"/>
        </w:rPr>
      </w:pPr>
    </w:p>
    <w:p>
      <w:pPr>
        <w:spacing w:before="61"/>
        <w:ind w:left="429" w:right="429" w:firstLine="0"/>
        <w:jc w:val="center"/>
        <w:rPr>
          <w:sz w:val="28"/>
        </w:rPr>
      </w:pPr>
      <w:r>
        <w:rPr>
          <w:sz w:val="28"/>
        </w:rPr>
        <w:t>四、法定代表人身份证明</w:t>
      </w:r>
    </w:p>
    <w:p>
      <w:pPr>
        <w:pStyle w:val="8"/>
        <w:spacing w:before="4"/>
        <w:rPr>
          <w:sz w:val="31"/>
        </w:rPr>
      </w:pPr>
    </w:p>
    <w:p>
      <w:pPr>
        <w:pStyle w:val="8"/>
        <w:tabs>
          <w:tab w:val="left" w:pos="2779"/>
          <w:tab w:val="left" w:pos="3859"/>
          <w:tab w:val="left" w:pos="4939"/>
          <w:tab w:val="left" w:pos="5359"/>
          <w:tab w:val="left" w:pos="5479"/>
        </w:tabs>
        <w:spacing w:line="343" w:lineRule="auto"/>
        <w:ind w:left="500" w:right="4544"/>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单位性质：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 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8"/>
        <w:rPr>
          <w:rFonts w:ascii="Times New Roman"/>
          <w:sz w:val="20"/>
        </w:rPr>
      </w:pPr>
    </w:p>
    <w:p>
      <w:pPr>
        <w:pStyle w:val="8"/>
        <w:tabs>
          <w:tab w:val="left" w:pos="2719"/>
          <w:tab w:val="left" w:pos="4279"/>
          <w:tab w:val="left" w:pos="4639"/>
          <w:tab w:val="left" w:pos="6379"/>
          <w:tab w:val="left" w:pos="8119"/>
        </w:tabs>
        <w:spacing w:before="212" w:line="345" w:lineRule="auto"/>
        <w:ind w:left="500" w:right="1904"/>
      </w:pPr>
      <w:r>
        <w:t>姓名：</w:t>
      </w:r>
      <w:r>
        <w:rPr>
          <w:u w:val="single"/>
        </w:rPr>
        <w:t xml:space="preserve"> </w:t>
      </w:r>
      <w:r>
        <w:rPr>
          <w:u w:val="single"/>
        </w:rPr>
        <w:tab/>
      </w:r>
      <w:r>
        <w:t>性别：</w:t>
      </w:r>
      <w:r>
        <w:rPr>
          <w:u w:val="single"/>
        </w:rPr>
        <w:t xml:space="preserve"> </w:t>
      </w:r>
      <w:r>
        <w:rPr>
          <w:u w:val="single"/>
        </w:rPr>
        <w:tab/>
      </w:r>
      <w:r>
        <w:rPr>
          <w:u w:val="single"/>
        </w:rPr>
        <w:tab/>
      </w:r>
      <w:r>
        <w:t>年龄：</w:t>
      </w:r>
      <w:r>
        <w:rPr>
          <w:u w:val="single"/>
        </w:rPr>
        <w:t xml:space="preserve"> </w:t>
      </w:r>
      <w:r>
        <w:rPr>
          <w:u w:val="single"/>
        </w:rPr>
        <w:tab/>
      </w:r>
      <w:r>
        <w:t>职务：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t>（供应商名称）的法定代表人。</w:t>
      </w:r>
    </w:p>
    <w:p>
      <w:pPr>
        <w:pStyle w:val="8"/>
        <w:spacing w:line="303" w:lineRule="exact"/>
        <w:ind w:left="980"/>
      </w:pPr>
      <w:r>
        <w:t>特此证明。</w:t>
      </w:r>
    </w:p>
    <w:p>
      <w:pPr>
        <w:pStyle w:val="8"/>
      </w:pPr>
    </w:p>
    <w:p>
      <w:pPr>
        <w:pStyle w:val="8"/>
        <w:spacing w:before="9"/>
        <w:rPr>
          <w:sz w:val="20"/>
        </w:rPr>
      </w:pPr>
    </w:p>
    <w:p>
      <w:pPr>
        <w:pStyle w:val="8"/>
        <w:ind w:left="500"/>
      </w:pPr>
      <w:r>
        <w:t>附：法定代表人身份证复印件。</w:t>
      </w:r>
    </w:p>
    <w:p>
      <w:pPr>
        <w:pStyle w:val="8"/>
      </w:pPr>
    </w:p>
    <w:p>
      <w:pPr>
        <w:pStyle w:val="8"/>
      </w:pPr>
    </w:p>
    <w:p>
      <w:pPr>
        <w:pStyle w:val="8"/>
      </w:pPr>
    </w:p>
    <w:p>
      <w:pPr>
        <w:pStyle w:val="8"/>
      </w:pPr>
    </w:p>
    <w:p>
      <w:pPr>
        <w:pStyle w:val="8"/>
      </w:pPr>
    </w:p>
    <w:p>
      <w:pPr>
        <w:pStyle w:val="8"/>
      </w:pPr>
    </w:p>
    <w:p>
      <w:pPr>
        <w:pStyle w:val="8"/>
      </w:pPr>
    </w:p>
    <w:p>
      <w:pPr>
        <w:pStyle w:val="8"/>
      </w:pPr>
    </w:p>
    <w:p>
      <w:pPr>
        <w:pStyle w:val="8"/>
        <w:spacing w:before="4"/>
      </w:pPr>
    </w:p>
    <w:p>
      <w:pPr>
        <w:pStyle w:val="8"/>
        <w:tabs>
          <w:tab w:val="left" w:pos="7219"/>
          <w:tab w:val="left" w:pos="7459"/>
        </w:tabs>
        <w:spacing w:line="343" w:lineRule="auto"/>
        <w:ind w:left="4100" w:right="1605" w:firstLine="120"/>
      </w:pPr>
      <w:r>
        <w:t>供应商：</w:t>
      </w:r>
      <w:r>
        <w:rPr>
          <w:u w:val="single"/>
        </w:rPr>
        <w:t xml:space="preserve"> </w:t>
      </w:r>
      <w:r>
        <w:rPr>
          <w:u w:val="single"/>
        </w:rPr>
        <w:tab/>
      </w:r>
      <w:r>
        <w:t>（公章） 法定代表人：</w:t>
      </w:r>
      <w:r>
        <w:rPr>
          <w:u w:val="single"/>
        </w:rPr>
        <w:t xml:space="preserve"> </w:t>
      </w:r>
      <w:r>
        <w:rPr>
          <w:u w:val="single"/>
        </w:rPr>
        <w:tab/>
      </w:r>
      <w:r>
        <w:rPr>
          <w:u w:val="single"/>
        </w:rPr>
        <w:tab/>
      </w:r>
      <w:r>
        <w:t>（签字</w:t>
      </w:r>
      <w:r>
        <w:rPr>
          <w:spacing w:val="-18"/>
        </w:rPr>
        <w:t>）</w:t>
      </w:r>
    </w:p>
    <w:p>
      <w:pPr>
        <w:pStyle w:val="8"/>
        <w:spacing w:before="8"/>
        <w:rPr>
          <w:sz w:val="28"/>
        </w:rPr>
      </w:pPr>
    </w:p>
    <w:p>
      <w:pPr>
        <w:pStyle w:val="8"/>
        <w:tabs>
          <w:tab w:val="left" w:pos="5419"/>
          <w:tab w:val="left" w:pos="6379"/>
          <w:tab w:val="left" w:pos="7039"/>
        </w:tabs>
        <w:spacing w:before="74"/>
        <w:ind w:left="434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8"/>
        <w:rPr>
          <w:sz w:val="26"/>
        </w:rPr>
      </w:pPr>
    </w:p>
    <w:p>
      <w:pPr>
        <w:pStyle w:val="8"/>
        <w:rPr>
          <w:sz w:val="26"/>
        </w:rPr>
      </w:pPr>
    </w:p>
    <w:p>
      <w:pPr>
        <w:pStyle w:val="8"/>
        <w:spacing w:before="7"/>
        <w:rPr>
          <w:sz w:val="35"/>
        </w:rPr>
      </w:pPr>
    </w:p>
    <w:p>
      <w:pPr>
        <w:spacing w:before="0" w:line="424" w:lineRule="auto"/>
        <w:ind w:left="920" w:right="2465" w:hanging="420"/>
        <w:jc w:val="left"/>
        <w:rPr>
          <w:rFonts w:hint="eastAsia" w:ascii="宋体" w:eastAsia="宋体"/>
          <w:b/>
          <w:sz w:val="21"/>
        </w:rPr>
      </w:pPr>
      <w:r>
        <w:rPr>
          <w:rFonts w:hint="eastAsia" w:ascii="宋体" w:eastAsia="宋体"/>
          <w:b/>
          <w:sz w:val="21"/>
        </w:rPr>
        <w:t xml:space="preserve">注：1、法定代表人参加本次投标的应签署本文件并附本人身份证复印件；  </w:t>
      </w:r>
      <w:r>
        <w:rPr>
          <w:rFonts w:hint="eastAsia" w:ascii="宋体" w:eastAsia="宋体"/>
          <w:b/>
          <w:w w:val="95"/>
          <w:sz w:val="21"/>
        </w:rPr>
        <w:t>2、如法定代表人不参加本次投标，应签署《法定代表人授权委托书》。</w:t>
      </w:r>
    </w:p>
    <w:p>
      <w:pPr>
        <w:spacing w:after="0" w:line="424" w:lineRule="auto"/>
        <w:jc w:val="left"/>
        <w:rPr>
          <w:rFonts w:hint="eastAsia" w:ascii="宋体" w:eastAsia="宋体"/>
          <w:sz w:val="21"/>
        </w:rPr>
        <w:sectPr>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pStyle w:val="8"/>
        <w:spacing w:before="11"/>
        <w:rPr>
          <w:rFonts w:ascii="宋体"/>
          <w:b/>
          <w:sz w:val="22"/>
        </w:rPr>
      </w:pPr>
    </w:p>
    <w:p>
      <w:pPr>
        <w:spacing w:before="62"/>
        <w:ind w:left="429" w:right="429" w:firstLine="0"/>
        <w:jc w:val="center"/>
        <w:rPr>
          <w:sz w:val="28"/>
        </w:rPr>
      </w:pPr>
      <w:r>
        <w:rPr>
          <w:sz w:val="28"/>
        </w:rPr>
        <w:t>法定代表人授权委托书</w:t>
      </w:r>
    </w:p>
    <w:p>
      <w:pPr>
        <w:pStyle w:val="8"/>
        <w:rPr>
          <w:sz w:val="28"/>
        </w:rPr>
      </w:pPr>
    </w:p>
    <w:p>
      <w:pPr>
        <w:pStyle w:val="8"/>
        <w:spacing w:before="203"/>
        <w:ind w:left="500"/>
        <w:jc w:val="both"/>
      </w:pPr>
      <w:r>
        <w:rPr>
          <w:rFonts w:ascii="Times New Roman" w:eastAsia="Times New Roman"/>
          <w:u w:val="single"/>
        </w:rPr>
        <w:t xml:space="preserve">      </w:t>
      </w:r>
      <w:r>
        <w:rPr>
          <w:u w:val="single"/>
        </w:rPr>
        <w:t xml:space="preserve">（采购人） </w:t>
      </w:r>
      <w:r>
        <w:t>：</w:t>
      </w:r>
    </w:p>
    <w:p>
      <w:pPr>
        <w:pStyle w:val="8"/>
        <w:tabs>
          <w:tab w:val="left" w:pos="5131"/>
        </w:tabs>
        <w:spacing w:before="132" w:line="343" w:lineRule="auto"/>
        <w:ind w:left="500" w:right="375" w:firstLine="480"/>
        <w:jc w:val="both"/>
      </w:pPr>
      <w:r>
        <w:t>我</w:t>
      </w:r>
      <w:r>
        <w:rPr>
          <w:u w:val="single"/>
        </w:rPr>
        <w:t xml:space="preserve"> </w:t>
      </w:r>
      <w:r>
        <w:rPr>
          <w:spacing w:val="84"/>
          <w:u w:val="single"/>
        </w:rPr>
        <w:t xml:space="preserve"> </w:t>
      </w:r>
      <w:r>
        <w:rPr>
          <w:u w:val="single"/>
        </w:rPr>
        <w:t>（姓名）</w:t>
      </w:r>
      <w:r>
        <w:rPr>
          <w:spacing w:val="-36"/>
        </w:rPr>
        <w:t xml:space="preserve"> </w:t>
      </w:r>
      <w:r>
        <w:t>系</w:t>
      </w:r>
      <w:r>
        <w:rPr>
          <w:u w:val="single"/>
        </w:rPr>
        <w:t xml:space="preserve"> </w:t>
      </w:r>
      <w:r>
        <w:rPr>
          <w:spacing w:val="86"/>
          <w:u w:val="single"/>
        </w:rPr>
        <w:t xml:space="preserve"> </w:t>
      </w:r>
      <w:r>
        <w:rPr>
          <w:spacing w:val="-3"/>
          <w:u w:val="single"/>
        </w:rPr>
        <w:t>（</w:t>
      </w:r>
      <w:r>
        <w:rPr>
          <w:u w:val="single"/>
        </w:rPr>
        <w:t>供应商名称</w:t>
      </w:r>
      <w:r>
        <w:rPr>
          <w:spacing w:val="-34"/>
          <w:u w:val="single"/>
        </w:rPr>
        <w:t>）</w:t>
      </w:r>
      <w:r>
        <w:t>法定代表人</w:t>
      </w:r>
      <w:r>
        <w:rPr>
          <w:spacing w:val="-36"/>
        </w:rPr>
        <w:t>，</w:t>
      </w:r>
      <w:r>
        <w:t>现授权委托我公司的</w:t>
      </w:r>
      <w:r>
        <w:rPr>
          <w:spacing w:val="87"/>
          <w:u w:val="single"/>
        </w:rPr>
        <w:t xml:space="preserve"> </w:t>
      </w:r>
      <w:r>
        <w:rPr>
          <w:spacing w:val="-3"/>
          <w:u w:val="single"/>
        </w:rPr>
        <w:t>（</w:t>
      </w:r>
      <w:r>
        <w:rPr>
          <w:u w:val="single"/>
        </w:rPr>
        <w:t>姓名</w:t>
      </w:r>
      <w:r>
        <w:rPr>
          <w:spacing w:val="-14"/>
          <w:u w:val="single"/>
        </w:rPr>
        <w:t>、</w:t>
      </w:r>
      <w:r>
        <w:rPr>
          <w:spacing w:val="-220"/>
          <w:u w:val="single"/>
        </w:rPr>
        <w:t>职</w:t>
      </w:r>
      <w:r>
        <w:rPr>
          <w:u w:val="single"/>
        </w:rPr>
        <w:t>务或者职称</w:t>
      </w:r>
      <w:r>
        <w:rPr>
          <w:spacing w:val="-48"/>
          <w:u w:val="single"/>
        </w:rPr>
        <w:t>）</w:t>
      </w:r>
      <w:r>
        <w:t>为我公司本次</w:t>
      </w:r>
      <w:r>
        <w:rPr>
          <w:u w:val="single"/>
        </w:rPr>
        <w:t xml:space="preserve"> </w:t>
      </w:r>
      <w:r>
        <w:rPr>
          <w:u w:val="single"/>
        </w:rPr>
        <w:tab/>
      </w:r>
      <w:r>
        <w:t>项目的授权代表</w:t>
      </w:r>
      <w:r>
        <w:rPr>
          <w:spacing w:val="-46"/>
        </w:rPr>
        <w:t>，</w:t>
      </w:r>
      <w:r>
        <w:t>代表我方办理本次投标、签约等相关事宜，签署全部有关的文件、协议、合同并具有法律效力。</w:t>
      </w:r>
    </w:p>
    <w:p>
      <w:pPr>
        <w:pStyle w:val="8"/>
        <w:spacing w:before="1" w:line="343" w:lineRule="auto"/>
        <w:ind w:left="500" w:right="497" w:firstLine="480"/>
      </w:pPr>
      <w:r>
        <w:rPr>
          <w:spacing w:val="-6"/>
        </w:rPr>
        <w:t>在我方未发出撤销授权委托书的书面通知以前，本授权委托书一直有效。被授权人</w:t>
      </w:r>
      <w:r>
        <w:t>签署的所有文件（在授权书有效期内签署的）不因授权撤销而失效。</w:t>
      </w:r>
    </w:p>
    <w:p>
      <w:pPr>
        <w:pStyle w:val="8"/>
        <w:spacing w:before="1"/>
        <w:ind w:left="980"/>
      </w:pPr>
      <w:r>
        <w:t>被授权代表无权转让委托权。特此授权。</w:t>
      </w:r>
    </w:p>
    <w:p>
      <w:pPr>
        <w:pStyle w:val="8"/>
        <w:tabs>
          <w:tab w:val="left" w:pos="3619"/>
          <w:tab w:val="left" w:pos="4819"/>
          <w:tab w:val="left" w:pos="6019"/>
        </w:tabs>
        <w:spacing w:before="132" w:line="686" w:lineRule="auto"/>
        <w:ind w:left="2612" w:right="1485" w:hanging="1632"/>
      </w:pPr>
      <w:r>
        <w:t>本授权委托书于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r>
        <w:rPr>
          <w:spacing w:val="-18"/>
        </w:rPr>
        <w:t>。</w:t>
      </w:r>
      <w:r>
        <w:t>(附法人代表身份证以及被授权代表身份证复印件)</w:t>
      </w:r>
    </w:p>
    <w:p>
      <w:pPr>
        <w:pStyle w:val="8"/>
        <w:rPr>
          <w:sz w:val="20"/>
        </w:rPr>
      </w:pPr>
    </w:p>
    <w:p>
      <w:pPr>
        <w:pStyle w:val="8"/>
        <w:spacing w:before="1"/>
        <w:rPr>
          <w:sz w:val="17"/>
        </w:rPr>
      </w:pPr>
    </w:p>
    <w:tbl>
      <w:tblPr>
        <w:tblStyle w:val="18"/>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750" w:type="dxa"/>
          </w:tcPr>
          <w:p>
            <w:pPr>
              <w:pStyle w:val="22"/>
              <w:spacing w:line="274" w:lineRule="exact"/>
              <w:ind w:left="50"/>
              <w:rPr>
                <w:sz w:val="24"/>
              </w:rPr>
            </w:pPr>
            <w:r>
              <w:rPr>
                <w:sz w:val="24"/>
              </w:rPr>
              <w:t>被授权代表姓名：</w:t>
            </w:r>
          </w:p>
        </w:tc>
        <w:tc>
          <w:tcPr>
            <w:tcW w:w="2460" w:type="dxa"/>
          </w:tcPr>
          <w:p>
            <w:pPr>
              <w:pStyle w:val="22"/>
              <w:spacing w:line="274" w:lineRule="exact"/>
              <w:ind w:left="780"/>
              <w:rPr>
                <w:sz w:val="24"/>
              </w:rPr>
            </w:pPr>
            <w:r>
              <w:rPr>
                <w:sz w:val="24"/>
              </w:rPr>
              <w:t>性 别：</w:t>
            </w:r>
          </w:p>
        </w:tc>
        <w:tc>
          <w:tcPr>
            <w:tcW w:w="1730" w:type="dxa"/>
          </w:tcPr>
          <w:p>
            <w:pPr>
              <w:pStyle w:val="22"/>
              <w:spacing w:line="274" w:lineRule="exact"/>
              <w:ind w:right="49"/>
              <w:jc w:val="right"/>
              <w:rPr>
                <w:sz w:val="24"/>
              </w:rPr>
            </w:pPr>
            <w:r>
              <w:rPr>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2"/>
              <w:tabs>
                <w:tab w:val="left" w:pos="529"/>
              </w:tabs>
              <w:spacing w:before="66" w:line="254" w:lineRule="exact"/>
              <w:ind w:left="50"/>
              <w:rPr>
                <w:sz w:val="24"/>
              </w:rPr>
            </w:pPr>
            <w:r>
              <w:rPr>
                <w:sz w:val="24"/>
              </w:rPr>
              <w:t>单</w:t>
            </w:r>
            <w:r>
              <w:rPr>
                <w:sz w:val="24"/>
              </w:rPr>
              <w:tab/>
            </w:r>
            <w:r>
              <w:rPr>
                <w:sz w:val="24"/>
              </w:rPr>
              <w:t>位：</w:t>
            </w:r>
          </w:p>
        </w:tc>
        <w:tc>
          <w:tcPr>
            <w:tcW w:w="2460" w:type="dxa"/>
          </w:tcPr>
          <w:p>
            <w:pPr>
              <w:pStyle w:val="22"/>
              <w:spacing w:before="66" w:line="254" w:lineRule="exact"/>
              <w:ind w:left="780"/>
              <w:rPr>
                <w:sz w:val="24"/>
              </w:rPr>
            </w:pPr>
            <w:r>
              <w:rPr>
                <w:sz w:val="24"/>
              </w:rPr>
              <w:t>部 门：</w:t>
            </w:r>
          </w:p>
        </w:tc>
        <w:tc>
          <w:tcPr>
            <w:tcW w:w="1730" w:type="dxa"/>
          </w:tcPr>
          <w:p>
            <w:pPr>
              <w:pStyle w:val="22"/>
              <w:spacing w:before="66" w:line="254" w:lineRule="exact"/>
              <w:ind w:right="49"/>
              <w:jc w:val="right"/>
              <w:rPr>
                <w:sz w:val="24"/>
              </w:rPr>
            </w:pPr>
            <w:r>
              <w:rPr>
                <w:sz w:val="24"/>
              </w:rPr>
              <w:t>职 务：</w:t>
            </w:r>
          </w:p>
        </w:tc>
      </w:tr>
    </w:tbl>
    <w:p>
      <w:pPr>
        <w:pStyle w:val="8"/>
        <w:rPr>
          <w:sz w:val="20"/>
        </w:rPr>
      </w:pPr>
    </w:p>
    <w:p>
      <w:pPr>
        <w:pStyle w:val="8"/>
        <w:spacing w:before="7"/>
        <w:rPr>
          <w:sz w:val="21"/>
        </w:rPr>
      </w:pPr>
    </w:p>
    <w:p>
      <w:pPr>
        <w:pStyle w:val="8"/>
        <w:tabs>
          <w:tab w:val="left" w:pos="7966"/>
        </w:tabs>
        <w:spacing w:before="74"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8"/>
        <w:spacing w:before="11"/>
        <w:rPr>
          <w:sz w:val="21"/>
        </w:rPr>
      </w:pPr>
    </w:p>
    <w:p>
      <w:pPr>
        <w:pStyle w:val="8"/>
        <w:tabs>
          <w:tab w:val="left" w:pos="5539"/>
          <w:tab w:val="left" w:pos="6739"/>
          <w:tab w:val="left" w:pos="7339"/>
          <w:tab w:val="left" w:pos="7939"/>
        </w:tabs>
        <w:ind w:left="4580"/>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pStyle w:val="8"/>
        <w:rPr>
          <w:sz w:val="20"/>
        </w:rPr>
      </w:pPr>
    </w:p>
    <w:p>
      <w:pPr>
        <w:pStyle w:val="8"/>
        <w:spacing w:before="11"/>
        <w:rPr>
          <w:sz w:val="29"/>
        </w:rPr>
      </w:pPr>
    </w:p>
    <w:p>
      <w:pPr>
        <w:spacing w:before="61"/>
        <w:ind w:left="429" w:right="429" w:firstLine="0"/>
        <w:jc w:val="center"/>
        <w:rPr>
          <w:sz w:val="28"/>
        </w:rPr>
      </w:pPr>
      <w:r>
        <w:rPr>
          <w:sz w:val="28"/>
        </w:rPr>
        <w:t>五、商务偏离表</w:t>
      </w:r>
    </w:p>
    <w:p>
      <w:pPr>
        <w:pStyle w:val="8"/>
        <w:rPr>
          <w:sz w:val="20"/>
        </w:rPr>
      </w:pPr>
    </w:p>
    <w:p>
      <w:pPr>
        <w:pStyle w:val="8"/>
        <w:spacing w:before="6"/>
        <w:rPr>
          <w:sz w:val="15"/>
        </w:rPr>
      </w:pPr>
    </w:p>
    <w:tbl>
      <w:tblPr>
        <w:tblStyle w:val="18"/>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3248"/>
        <w:gridCol w:w="308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89"/>
              <w:ind w:left="475"/>
              <w:rPr>
                <w:sz w:val="24"/>
              </w:rPr>
            </w:pPr>
            <w:r>
              <w:rPr>
                <w:sz w:val="24"/>
              </w:rPr>
              <w:t>序号</w:t>
            </w:r>
          </w:p>
        </w:tc>
        <w:tc>
          <w:tcPr>
            <w:tcW w:w="3248" w:type="dxa"/>
          </w:tcPr>
          <w:p>
            <w:pPr>
              <w:pStyle w:val="22"/>
              <w:spacing w:before="89"/>
              <w:ind w:left="423"/>
              <w:rPr>
                <w:sz w:val="24"/>
              </w:rPr>
            </w:pPr>
            <w:r>
              <w:rPr>
                <w:sz w:val="24"/>
              </w:rPr>
              <w:t>磋商文件章节及条款号</w:t>
            </w:r>
          </w:p>
        </w:tc>
        <w:tc>
          <w:tcPr>
            <w:tcW w:w="3087" w:type="dxa"/>
          </w:tcPr>
          <w:p>
            <w:pPr>
              <w:pStyle w:val="22"/>
              <w:spacing w:before="89"/>
              <w:ind w:left="343"/>
              <w:rPr>
                <w:sz w:val="24"/>
              </w:rPr>
            </w:pPr>
            <w:r>
              <w:rPr>
                <w:sz w:val="24"/>
              </w:rPr>
              <w:t>响应文件章节及条款号</w:t>
            </w:r>
          </w:p>
        </w:tc>
        <w:tc>
          <w:tcPr>
            <w:tcW w:w="2013" w:type="dxa"/>
          </w:tcPr>
          <w:p>
            <w:pPr>
              <w:pStyle w:val="22"/>
              <w:spacing w:before="89"/>
              <w:ind w:left="524"/>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bl>
    <w:p>
      <w:pPr>
        <w:pStyle w:val="8"/>
        <w:spacing w:before="7"/>
        <w:rPr>
          <w:sz w:val="25"/>
        </w:rPr>
      </w:pPr>
    </w:p>
    <w:p>
      <w:pPr>
        <w:pStyle w:val="8"/>
        <w:spacing w:before="66"/>
        <w:ind w:left="500"/>
      </w:pPr>
      <w:r>
        <w:t>注：偏离情况填写为正偏离、负偏离、无偏离。</w:t>
      </w:r>
    </w:p>
    <w:p>
      <w:pPr>
        <w:pStyle w:val="8"/>
        <w:spacing w:before="2"/>
        <w:rPr>
          <w:sz w:val="32"/>
        </w:rPr>
      </w:pPr>
    </w:p>
    <w:p>
      <w:pPr>
        <w:pStyle w:val="8"/>
        <w:spacing w:line="343" w:lineRule="auto"/>
        <w:ind w:left="500" w:right="375" w:firstLine="480"/>
      </w:pPr>
      <w:r>
        <w:t>1</w:t>
      </w:r>
      <w:r>
        <w:rPr>
          <w:spacing w:val="-1"/>
        </w:rPr>
        <w:t>、投标人应根据自身的商务指标，对照竞争性磋商文件中“第三章 采购需求</w:t>
      </w:r>
      <w:r>
        <w:t xml:space="preserve">-3. </w:t>
      </w:r>
      <w:r>
        <w:rPr>
          <w:spacing w:val="-16"/>
        </w:rPr>
        <w:t xml:space="preserve">商务要求”中的各项商务要求，如实逐条一一对应填写响应情况，如有未响应商务要求， </w:t>
      </w:r>
      <w:r>
        <w:t>评标委员会有权视其为负偏离；</w:t>
      </w:r>
    </w:p>
    <w:p>
      <w:pPr>
        <w:pStyle w:val="8"/>
        <w:spacing w:before="1" w:line="343" w:lineRule="auto"/>
        <w:ind w:left="500" w:right="497" w:firstLine="480"/>
      </w:pPr>
      <w:r>
        <w:t>2、请投标人在“偏离情况”一栏详细描述存在正偏离或负偏离商务指标，并标明偏离情况；</w:t>
      </w:r>
    </w:p>
    <w:p>
      <w:pPr>
        <w:pStyle w:val="8"/>
        <w:spacing w:before="2"/>
        <w:ind w:left="980"/>
      </w:pPr>
      <w:r>
        <w:t>3、竞争性磋商文件商务指标未做要求的，不视为正偏离。</w:t>
      </w:r>
    </w:p>
    <w:p>
      <w:pPr>
        <w:pStyle w:val="8"/>
        <w:spacing w:before="131"/>
        <w:ind w:left="980"/>
      </w:pPr>
      <w:r>
        <w:t>4、商务指标不允许负偏离，负偏离视为不响应竞争性磋商文件。</w:t>
      </w:r>
    </w:p>
    <w:p>
      <w:pPr>
        <w:pStyle w:val="8"/>
      </w:pPr>
    </w:p>
    <w:p>
      <w:pPr>
        <w:pStyle w:val="8"/>
      </w:pPr>
    </w:p>
    <w:p>
      <w:pPr>
        <w:pStyle w:val="8"/>
        <w:rPr>
          <w:sz w:val="31"/>
        </w:rPr>
      </w:pPr>
    </w:p>
    <w:p>
      <w:pPr>
        <w:pStyle w:val="8"/>
        <w:tabs>
          <w:tab w:val="left" w:pos="7846"/>
          <w:tab w:val="left" w:pos="7968"/>
        </w:tabs>
        <w:spacing w:before="1" w:line="343" w:lineRule="auto"/>
        <w:ind w:left="4608" w:right="497" w:hanging="3"/>
      </w:pPr>
      <w:r>
        <w:t>供应商名称：</w:t>
      </w:r>
      <w:r>
        <w:rPr>
          <w:u w:val="single"/>
        </w:rPr>
        <w:t xml:space="preserve"> </w:t>
      </w:r>
      <w:r>
        <w:rPr>
          <w:u w:val="single"/>
        </w:rPr>
        <w:tab/>
      </w:r>
      <w:r>
        <w:t>（盖单位公章</w:t>
      </w:r>
      <w:r>
        <w:rPr>
          <w:spacing w:val="-17"/>
        </w:rPr>
        <w:t xml:space="preserve">） </w:t>
      </w:r>
      <w:r>
        <w:t>法定代表人：</w:t>
      </w:r>
      <w:r>
        <w:rPr>
          <w:u w:val="single"/>
        </w:rPr>
        <w:t xml:space="preserve"> </w:t>
      </w:r>
      <w:r>
        <w:rPr>
          <w:u w:val="single"/>
        </w:rPr>
        <w:tab/>
      </w:r>
      <w:r>
        <w:rPr>
          <w:u w:val="single"/>
        </w:rPr>
        <w:tab/>
      </w:r>
      <w:r>
        <w:t>（签字）</w:t>
      </w:r>
    </w:p>
    <w:p>
      <w:pPr>
        <w:pStyle w:val="8"/>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spacing w:before="40"/>
        <w:ind w:left="571" w:right="429" w:firstLine="0"/>
        <w:jc w:val="center"/>
        <w:rPr>
          <w:sz w:val="28"/>
        </w:rPr>
      </w:pPr>
      <w:r>
        <w:rPr>
          <w:sz w:val="28"/>
        </w:rPr>
        <w:t>六、供应商基本情况表</w:t>
      </w:r>
    </w:p>
    <w:p>
      <w:pPr>
        <w:pStyle w:val="8"/>
        <w:rPr>
          <w:sz w:val="20"/>
        </w:rPr>
      </w:pPr>
    </w:p>
    <w:p>
      <w:pPr>
        <w:pStyle w:val="8"/>
        <w:spacing w:before="5" w:after="1"/>
        <w:rPr>
          <w:sz w:val="15"/>
        </w:rPr>
      </w:pPr>
    </w:p>
    <w:tbl>
      <w:tblPr>
        <w:tblStyle w:val="18"/>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350"/>
        <w:gridCol w:w="1138"/>
        <w:gridCol w:w="1406"/>
        <w:gridCol w:w="1426"/>
        <w:gridCol w:w="105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2"/>
              <w:spacing w:before="180"/>
              <w:ind w:left="10"/>
              <w:jc w:val="center"/>
              <w:rPr>
                <w:sz w:val="24"/>
              </w:rPr>
            </w:pPr>
            <w:r>
              <w:rPr>
                <w:sz w:val="24"/>
              </w:rPr>
              <w:t>供应商名称</w:t>
            </w:r>
          </w:p>
        </w:tc>
        <w:tc>
          <w:tcPr>
            <w:tcW w:w="7947" w:type="dxa"/>
            <w:gridSpan w:val="6"/>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2"/>
              <w:spacing w:before="179"/>
              <w:ind w:left="10"/>
              <w:jc w:val="center"/>
              <w:rPr>
                <w:sz w:val="24"/>
              </w:rPr>
            </w:pPr>
            <w:r>
              <w:rPr>
                <w:sz w:val="24"/>
              </w:rPr>
              <w:t>注册地址</w:t>
            </w:r>
          </w:p>
        </w:tc>
        <w:tc>
          <w:tcPr>
            <w:tcW w:w="3894" w:type="dxa"/>
            <w:gridSpan w:val="3"/>
          </w:tcPr>
          <w:p>
            <w:pPr>
              <w:pStyle w:val="22"/>
              <w:rPr>
                <w:rFonts w:ascii="Times New Roman"/>
                <w:sz w:val="24"/>
              </w:rPr>
            </w:pPr>
          </w:p>
        </w:tc>
        <w:tc>
          <w:tcPr>
            <w:tcW w:w="1426" w:type="dxa"/>
          </w:tcPr>
          <w:p>
            <w:pPr>
              <w:pStyle w:val="22"/>
              <w:spacing w:before="179"/>
              <w:ind w:left="10"/>
              <w:jc w:val="center"/>
              <w:rPr>
                <w:sz w:val="24"/>
              </w:rPr>
            </w:pPr>
            <w:r>
              <w:rPr>
                <w:sz w:val="24"/>
              </w:rPr>
              <w:t>邮政编码</w:t>
            </w: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restart"/>
          </w:tcPr>
          <w:p>
            <w:pPr>
              <w:pStyle w:val="22"/>
              <w:rPr>
                <w:sz w:val="24"/>
              </w:rPr>
            </w:pPr>
          </w:p>
          <w:p>
            <w:pPr>
              <w:pStyle w:val="22"/>
              <w:spacing w:before="211"/>
              <w:ind w:left="406"/>
              <w:rPr>
                <w:sz w:val="24"/>
              </w:rPr>
            </w:pPr>
            <w:r>
              <w:rPr>
                <w:sz w:val="24"/>
              </w:rPr>
              <w:t>联系方式</w:t>
            </w:r>
          </w:p>
        </w:tc>
        <w:tc>
          <w:tcPr>
            <w:tcW w:w="1350" w:type="dxa"/>
          </w:tcPr>
          <w:p>
            <w:pPr>
              <w:pStyle w:val="22"/>
              <w:spacing w:before="180"/>
              <w:ind w:left="7"/>
              <w:jc w:val="center"/>
              <w:rPr>
                <w:sz w:val="24"/>
              </w:rPr>
            </w:pPr>
            <w:r>
              <w:rPr>
                <w:sz w:val="24"/>
              </w:rPr>
              <w:t>联系人</w:t>
            </w:r>
          </w:p>
        </w:tc>
        <w:tc>
          <w:tcPr>
            <w:tcW w:w="2544" w:type="dxa"/>
            <w:gridSpan w:val="2"/>
          </w:tcPr>
          <w:p>
            <w:pPr>
              <w:pStyle w:val="22"/>
              <w:rPr>
                <w:rFonts w:ascii="Times New Roman"/>
                <w:sz w:val="24"/>
              </w:rPr>
            </w:pPr>
          </w:p>
        </w:tc>
        <w:tc>
          <w:tcPr>
            <w:tcW w:w="1426" w:type="dxa"/>
          </w:tcPr>
          <w:p>
            <w:pPr>
              <w:pStyle w:val="22"/>
              <w:tabs>
                <w:tab w:val="left" w:pos="490"/>
              </w:tabs>
              <w:spacing w:before="180"/>
              <w:ind w:left="10"/>
              <w:jc w:val="center"/>
              <w:rPr>
                <w:sz w:val="24"/>
              </w:rPr>
            </w:pPr>
            <w:r>
              <w:rPr>
                <w:sz w:val="24"/>
              </w:rPr>
              <w:t>电</w:t>
            </w:r>
            <w:r>
              <w:rPr>
                <w:sz w:val="24"/>
              </w:rPr>
              <w:tab/>
            </w:r>
            <w:r>
              <w:rPr>
                <w:sz w:val="24"/>
              </w:rPr>
              <w:t>话</w:t>
            </w: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continue"/>
            <w:tcBorders>
              <w:top w:val="nil"/>
            </w:tcBorders>
          </w:tcPr>
          <w:p>
            <w:pPr>
              <w:rPr>
                <w:sz w:val="2"/>
                <w:szCs w:val="2"/>
              </w:rPr>
            </w:pPr>
          </w:p>
        </w:tc>
        <w:tc>
          <w:tcPr>
            <w:tcW w:w="1350" w:type="dxa"/>
          </w:tcPr>
          <w:p>
            <w:pPr>
              <w:pStyle w:val="22"/>
              <w:tabs>
                <w:tab w:val="left" w:pos="487"/>
              </w:tabs>
              <w:spacing w:before="179"/>
              <w:ind w:left="7"/>
              <w:jc w:val="center"/>
              <w:rPr>
                <w:sz w:val="24"/>
              </w:rPr>
            </w:pPr>
            <w:r>
              <w:rPr>
                <w:sz w:val="24"/>
              </w:rPr>
              <w:t>传</w:t>
            </w:r>
            <w:r>
              <w:rPr>
                <w:sz w:val="24"/>
              </w:rPr>
              <w:tab/>
            </w:r>
            <w:r>
              <w:rPr>
                <w:sz w:val="24"/>
              </w:rPr>
              <w:t>真</w:t>
            </w:r>
          </w:p>
        </w:tc>
        <w:tc>
          <w:tcPr>
            <w:tcW w:w="2544" w:type="dxa"/>
            <w:gridSpan w:val="2"/>
          </w:tcPr>
          <w:p>
            <w:pPr>
              <w:pStyle w:val="22"/>
              <w:rPr>
                <w:rFonts w:ascii="Times New Roman"/>
                <w:sz w:val="24"/>
              </w:rPr>
            </w:pPr>
          </w:p>
        </w:tc>
        <w:tc>
          <w:tcPr>
            <w:tcW w:w="1426" w:type="dxa"/>
          </w:tcPr>
          <w:p>
            <w:pPr>
              <w:pStyle w:val="22"/>
              <w:tabs>
                <w:tab w:val="left" w:pos="490"/>
              </w:tabs>
              <w:spacing w:before="179"/>
              <w:ind w:left="10"/>
              <w:jc w:val="center"/>
              <w:rPr>
                <w:sz w:val="24"/>
              </w:rPr>
            </w:pPr>
            <w:r>
              <w:rPr>
                <w:sz w:val="24"/>
              </w:rPr>
              <w:t>网</w:t>
            </w:r>
            <w:r>
              <w:rPr>
                <w:sz w:val="24"/>
              </w:rPr>
              <w:tab/>
            </w:r>
            <w:r>
              <w:rPr>
                <w:sz w:val="24"/>
              </w:rPr>
              <w:t>址</w:t>
            </w: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2"/>
              <w:spacing w:before="180"/>
              <w:ind w:left="10"/>
              <w:jc w:val="center"/>
              <w:rPr>
                <w:sz w:val="24"/>
              </w:rPr>
            </w:pPr>
            <w:r>
              <w:rPr>
                <w:sz w:val="24"/>
              </w:rPr>
              <w:t>法定代表人</w:t>
            </w:r>
          </w:p>
        </w:tc>
        <w:tc>
          <w:tcPr>
            <w:tcW w:w="1350" w:type="dxa"/>
          </w:tcPr>
          <w:p>
            <w:pPr>
              <w:pStyle w:val="22"/>
              <w:spacing w:before="180"/>
              <w:ind w:left="7"/>
              <w:jc w:val="center"/>
              <w:rPr>
                <w:sz w:val="24"/>
              </w:rPr>
            </w:pPr>
            <w:r>
              <w:rPr>
                <w:sz w:val="24"/>
              </w:rPr>
              <w:t>姓名</w:t>
            </w:r>
          </w:p>
        </w:tc>
        <w:tc>
          <w:tcPr>
            <w:tcW w:w="1138" w:type="dxa"/>
          </w:tcPr>
          <w:p>
            <w:pPr>
              <w:pStyle w:val="22"/>
              <w:rPr>
                <w:rFonts w:ascii="Times New Roman"/>
                <w:sz w:val="24"/>
              </w:rPr>
            </w:pPr>
          </w:p>
        </w:tc>
        <w:tc>
          <w:tcPr>
            <w:tcW w:w="1406" w:type="dxa"/>
          </w:tcPr>
          <w:p>
            <w:pPr>
              <w:pStyle w:val="22"/>
              <w:spacing w:before="180"/>
              <w:ind w:left="223"/>
              <w:rPr>
                <w:sz w:val="24"/>
              </w:rPr>
            </w:pPr>
            <w:r>
              <w:rPr>
                <w:sz w:val="24"/>
              </w:rPr>
              <w:t>技术职称</w:t>
            </w:r>
          </w:p>
        </w:tc>
        <w:tc>
          <w:tcPr>
            <w:tcW w:w="1426" w:type="dxa"/>
          </w:tcPr>
          <w:p>
            <w:pPr>
              <w:pStyle w:val="22"/>
              <w:rPr>
                <w:rFonts w:ascii="Times New Roman"/>
                <w:sz w:val="24"/>
              </w:rPr>
            </w:pPr>
          </w:p>
        </w:tc>
        <w:tc>
          <w:tcPr>
            <w:tcW w:w="1059" w:type="dxa"/>
          </w:tcPr>
          <w:p>
            <w:pPr>
              <w:pStyle w:val="22"/>
              <w:spacing w:before="180"/>
              <w:ind w:left="288"/>
              <w:rPr>
                <w:sz w:val="24"/>
              </w:rPr>
            </w:pPr>
            <w:r>
              <w:rPr>
                <w:sz w:val="24"/>
              </w:rPr>
              <w:t>电话</w:t>
            </w:r>
          </w:p>
        </w:tc>
        <w:tc>
          <w:tcPr>
            <w:tcW w:w="1568"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2"/>
              <w:spacing w:before="179"/>
              <w:ind w:left="10"/>
              <w:jc w:val="center"/>
              <w:rPr>
                <w:sz w:val="24"/>
              </w:rPr>
            </w:pPr>
            <w:r>
              <w:rPr>
                <w:sz w:val="24"/>
              </w:rPr>
              <w:t>成立时间</w:t>
            </w:r>
          </w:p>
        </w:tc>
        <w:tc>
          <w:tcPr>
            <w:tcW w:w="7947" w:type="dxa"/>
            <w:gridSpan w:val="6"/>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2"/>
              <w:spacing w:before="180"/>
              <w:ind w:left="10"/>
              <w:jc w:val="center"/>
              <w:rPr>
                <w:sz w:val="24"/>
              </w:rPr>
            </w:pPr>
            <w:r>
              <w:rPr>
                <w:sz w:val="24"/>
              </w:rPr>
              <w:t>营业执照号</w:t>
            </w:r>
          </w:p>
        </w:tc>
        <w:tc>
          <w:tcPr>
            <w:tcW w:w="2488" w:type="dxa"/>
            <w:gridSpan w:val="2"/>
          </w:tcPr>
          <w:p>
            <w:pPr>
              <w:pStyle w:val="22"/>
              <w:rPr>
                <w:rFonts w:ascii="Times New Roman"/>
                <w:sz w:val="24"/>
              </w:rPr>
            </w:pPr>
          </w:p>
        </w:tc>
        <w:tc>
          <w:tcPr>
            <w:tcW w:w="1406" w:type="dxa"/>
            <w:vMerge w:val="restart"/>
          </w:tcPr>
          <w:p>
            <w:pPr>
              <w:pStyle w:val="22"/>
              <w:rPr>
                <w:sz w:val="24"/>
              </w:rPr>
            </w:pPr>
          </w:p>
          <w:p>
            <w:pPr>
              <w:pStyle w:val="22"/>
              <w:rPr>
                <w:sz w:val="24"/>
              </w:rPr>
            </w:pPr>
          </w:p>
          <w:p>
            <w:pPr>
              <w:pStyle w:val="22"/>
              <w:rPr>
                <w:sz w:val="24"/>
              </w:rPr>
            </w:pPr>
          </w:p>
          <w:p>
            <w:pPr>
              <w:pStyle w:val="22"/>
              <w:spacing w:before="6"/>
              <w:rPr>
                <w:sz w:val="21"/>
              </w:rPr>
            </w:pPr>
          </w:p>
          <w:p>
            <w:pPr>
              <w:pStyle w:val="22"/>
              <w:ind w:left="223"/>
              <w:rPr>
                <w:sz w:val="24"/>
              </w:rPr>
            </w:pPr>
            <w:r>
              <w:rPr>
                <w:sz w:val="24"/>
              </w:rPr>
              <w:t>企业人员</w:t>
            </w:r>
          </w:p>
        </w:tc>
        <w:tc>
          <w:tcPr>
            <w:tcW w:w="1426" w:type="dxa"/>
          </w:tcPr>
          <w:p>
            <w:pPr>
              <w:pStyle w:val="22"/>
              <w:rPr>
                <w:rFonts w:ascii="Times New Roman"/>
                <w:sz w:val="24"/>
              </w:rPr>
            </w:pP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2"/>
              <w:spacing w:before="179"/>
              <w:ind w:left="10"/>
              <w:jc w:val="center"/>
              <w:rPr>
                <w:sz w:val="24"/>
              </w:rPr>
            </w:pPr>
            <w:r>
              <w:rPr>
                <w:sz w:val="24"/>
              </w:rPr>
              <w:t>注册资金</w:t>
            </w:r>
          </w:p>
        </w:tc>
        <w:tc>
          <w:tcPr>
            <w:tcW w:w="2488" w:type="dxa"/>
            <w:gridSpan w:val="2"/>
          </w:tcPr>
          <w:p>
            <w:pPr>
              <w:pStyle w:val="22"/>
              <w:rPr>
                <w:rFonts w:ascii="Times New Roman"/>
                <w:sz w:val="24"/>
              </w:rPr>
            </w:pPr>
          </w:p>
        </w:tc>
        <w:tc>
          <w:tcPr>
            <w:tcW w:w="1406" w:type="dxa"/>
            <w:vMerge w:val="continue"/>
            <w:tcBorders>
              <w:top w:val="nil"/>
            </w:tcBorders>
          </w:tcPr>
          <w:p>
            <w:pPr>
              <w:rPr>
                <w:sz w:val="2"/>
                <w:szCs w:val="2"/>
              </w:rPr>
            </w:pPr>
          </w:p>
        </w:tc>
        <w:tc>
          <w:tcPr>
            <w:tcW w:w="1426" w:type="dxa"/>
          </w:tcPr>
          <w:p>
            <w:pPr>
              <w:pStyle w:val="22"/>
              <w:rPr>
                <w:rFonts w:ascii="Times New Roman"/>
                <w:sz w:val="24"/>
              </w:rPr>
            </w:pP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2"/>
              <w:spacing w:before="180"/>
              <w:ind w:left="10"/>
              <w:jc w:val="center"/>
              <w:rPr>
                <w:sz w:val="24"/>
              </w:rPr>
            </w:pPr>
            <w:r>
              <w:rPr>
                <w:sz w:val="24"/>
              </w:rPr>
              <w:t>开户银行</w:t>
            </w:r>
          </w:p>
        </w:tc>
        <w:tc>
          <w:tcPr>
            <w:tcW w:w="2488" w:type="dxa"/>
            <w:gridSpan w:val="2"/>
          </w:tcPr>
          <w:p>
            <w:pPr>
              <w:pStyle w:val="22"/>
              <w:rPr>
                <w:rFonts w:ascii="Times New Roman"/>
                <w:sz w:val="24"/>
              </w:rPr>
            </w:pPr>
          </w:p>
        </w:tc>
        <w:tc>
          <w:tcPr>
            <w:tcW w:w="1406" w:type="dxa"/>
            <w:vMerge w:val="continue"/>
            <w:tcBorders>
              <w:top w:val="nil"/>
            </w:tcBorders>
          </w:tcPr>
          <w:p>
            <w:pPr>
              <w:rPr>
                <w:sz w:val="2"/>
                <w:szCs w:val="2"/>
              </w:rPr>
            </w:pPr>
          </w:p>
        </w:tc>
        <w:tc>
          <w:tcPr>
            <w:tcW w:w="1426" w:type="dxa"/>
          </w:tcPr>
          <w:p>
            <w:pPr>
              <w:pStyle w:val="22"/>
              <w:rPr>
                <w:rFonts w:ascii="Times New Roman"/>
                <w:sz w:val="24"/>
              </w:rPr>
            </w:pP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2"/>
              <w:tabs>
                <w:tab w:val="left" w:pos="610"/>
              </w:tabs>
              <w:spacing w:before="179"/>
              <w:ind w:left="10"/>
              <w:jc w:val="center"/>
              <w:rPr>
                <w:sz w:val="24"/>
              </w:rPr>
            </w:pPr>
            <w:r>
              <w:rPr>
                <w:sz w:val="24"/>
              </w:rPr>
              <w:t>账</w:t>
            </w:r>
            <w:r>
              <w:rPr>
                <w:sz w:val="24"/>
              </w:rPr>
              <w:tab/>
            </w:r>
            <w:r>
              <w:rPr>
                <w:sz w:val="24"/>
              </w:rPr>
              <w:t>号</w:t>
            </w:r>
          </w:p>
        </w:tc>
        <w:tc>
          <w:tcPr>
            <w:tcW w:w="2488" w:type="dxa"/>
            <w:gridSpan w:val="2"/>
          </w:tcPr>
          <w:p>
            <w:pPr>
              <w:pStyle w:val="22"/>
              <w:rPr>
                <w:rFonts w:ascii="Times New Roman"/>
                <w:sz w:val="24"/>
              </w:rPr>
            </w:pPr>
          </w:p>
        </w:tc>
        <w:tc>
          <w:tcPr>
            <w:tcW w:w="1406" w:type="dxa"/>
            <w:vMerge w:val="continue"/>
            <w:tcBorders>
              <w:top w:val="nil"/>
            </w:tcBorders>
          </w:tcPr>
          <w:p>
            <w:pPr>
              <w:rPr>
                <w:sz w:val="2"/>
                <w:szCs w:val="2"/>
              </w:rPr>
            </w:pPr>
          </w:p>
        </w:tc>
        <w:tc>
          <w:tcPr>
            <w:tcW w:w="1426" w:type="dxa"/>
          </w:tcPr>
          <w:p>
            <w:pPr>
              <w:pStyle w:val="22"/>
              <w:rPr>
                <w:rFonts w:ascii="Times New Roman"/>
                <w:sz w:val="24"/>
              </w:rPr>
            </w:pPr>
          </w:p>
        </w:tc>
        <w:tc>
          <w:tcPr>
            <w:tcW w:w="2627" w:type="dxa"/>
            <w:gridSpan w:val="2"/>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1773" w:type="dxa"/>
          </w:tcPr>
          <w:p>
            <w:pPr>
              <w:pStyle w:val="22"/>
              <w:rPr>
                <w:sz w:val="24"/>
              </w:rPr>
            </w:pPr>
          </w:p>
          <w:p>
            <w:pPr>
              <w:pStyle w:val="22"/>
              <w:rPr>
                <w:sz w:val="24"/>
              </w:rPr>
            </w:pPr>
          </w:p>
          <w:p>
            <w:pPr>
              <w:pStyle w:val="22"/>
              <w:rPr>
                <w:sz w:val="24"/>
              </w:rPr>
            </w:pPr>
          </w:p>
          <w:p>
            <w:pPr>
              <w:pStyle w:val="22"/>
              <w:rPr>
                <w:sz w:val="25"/>
              </w:rPr>
            </w:pPr>
          </w:p>
          <w:p>
            <w:pPr>
              <w:pStyle w:val="22"/>
              <w:ind w:left="10"/>
              <w:jc w:val="center"/>
              <w:rPr>
                <w:sz w:val="24"/>
              </w:rPr>
            </w:pPr>
            <w:r>
              <w:rPr>
                <w:sz w:val="24"/>
              </w:rPr>
              <w:t>经营范围</w:t>
            </w:r>
          </w:p>
        </w:tc>
        <w:tc>
          <w:tcPr>
            <w:tcW w:w="7947" w:type="dxa"/>
            <w:gridSpan w:val="6"/>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73" w:type="dxa"/>
          </w:tcPr>
          <w:p>
            <w:pPr>
              <w:pStyle w:val="22"/>
              <w:tabs>
                <w:tab w:val="left" w:pos="610"/>
              </w:tabs>
              <w:spacing w:before="210"/>
              <w:ind w:left="10"/>
              <w:jc w:val="center"/>
              <w:rPr>
                <w:sz w:val="24"/>
              </w:rPr>
            </w:pPr>
            <w:r>
              <w:rPr>
                <w:sz w:val="24"/>
              </w:rPr>
              <w:t>备</w:t>
            </w:r>
            <w:r>
              <w:rPr>
                <w:sz w:val="24"/>
              </w:rPr>
              <w:tab/>
            </w:r>
            <w:r>
              <w:rPr>
                <w:sz w:val="24"/>
              </w:rPr>
              <w:t>注</w:t>
            </w:r>
          </w:p>
        </w:tc>
        <w:tc>
          <w:tcPr>
            <w:tcW w:w="7947" w:type="dxa"/>
            <w:gridSpan w:val="6"/>
          </w:tcPr>
          <w:p>
            <w:pPr>
              <w:pStyle w:val="22"/>
              <w:rPr>
                <w:rFonts w:ascii="Times New Roman"/>
                <w:sz w:val="24"/>
              </w:rPr>
            </w:pPr>
          </w:p>
        </w:tc>
      </w:tr>
    </w:tbl>
    <w:p>
      <w:pPr>
        <w:pStyle w:val="8"/>
        <w:spacing w:before="8"/>
        <w:rPr>
          <w:sz w:val="7"/>
        </w:rPr>
      </w:pPr>
    </w:p>
    <w:p>
      <w:pPr>
        <w:pStyle w:val="6"/>
        <w:spacing w:before="66" w:line="247" w:lineRule="auto"/>
        <w:ind w:left="500" w:right="464"/>
      </w:pPr>
      <w:r>
        <w:rPr>
          <w:w w:val="95"/>
        </w:rPr>
        <w:t xml:space="preserve">注：本表后应附企业法人营业执照、开户许可证、社保、审计报告等相关材料的复印  </w:t>
      </w:r>
      <w:r>
        <w:t>件。（供应商可根据本表自行编制）</w:t>
      </w:r>
    </w:p>
    <w:p>
      <w:pPr>
        <w:spacing w:after="0" w:line="247" w:lineRule="auto"/>
        <w:sectPr>
          <w:pgSz w:w="11910" w:h="16840"/>
          <w:pgMar w:top="1520" w:right="940" w:bottom="1180" w:left="940" w:header="0" w:footer="1000" w:gutter="0"/>
          <w:pgBorders>
            <w:top w:val="none" w:sz="0" w:space="0"/>
            <w:left w:val="none" w:sz="0" w:space="0"/>
            <w:bottom w:val="none" w:sz="0" w:space="0"/>
            <w:right w:val="none" w:sz="0" w:space="0"/>
          </w:pgBorders>
          <w:cols w:space="720" w:num="1"/>
        </w:sectPr>
      </w:pPr>
    </w:p>
    <w:p>
      <w:pPr>
        <w:pStyle w:val="8"/>
        <w:spacing w:before="4"/>
        <w:rPr>
          <w:b/>
          <w:sz w:val="10"/>
        </w:rPr>
      </w:pPr>
    </w:p>
    <w:p>
      <w:pPr>
        <w:spacing w:before="35"/>
        <w:ind w:left="429" w:right="429" w:firstLine="0"/>
        <w:jc w:val="center"/>
        <w:rPr>
          <w:sz w:val="28"/>
        </w:rPr>
      </w:pPr>
      <w:r>
        <w:rPr>
          <w:sz w:val="28"/>
        </w:rPr>
        <w:t>七、在经营活动中没有重大违法记录的书面声明</w:t>
      </w:r>
    </w:p>
    <w:p>
      <w:pPr>
        <w:pStyle w:val="8"/>
        <w:rPr>
          <w:sz w:val="28"/>
        </w:rPr>
      </w:pPr>
    </w:p>
    <w:p>
      <w:pPr>
        <w:pStyle w:val="8"/>
        <w:spacing w:before="8"/>
        <w:rPr>
          <w:sz w:val="37"/>
        </w:rPr>
      </w:pPr>
    </w:p>
    <w:p>
      <w:pPr>
        <w:pStyle w:val="8"/>
        <w:tabs>
          <w:tab w:val="left" w:pos="3828"/>
          <w:tab w:val="left" w:pos="6451"/>
        </w:tabs>
        <w:spacing w:line="343" w:lineRule="auto"/>
        <w:ind w:left="500" w:right="497" w:firstLine="480"/>
        <w:jc w:val="both"/>
      </w:pPr>
      <w:r>
        <w:t>我方在参加</w:t>
      </w:r>
      <w:r>
        <w:rPr>
          <w:u w:val="single"/>
        </w:rPr>
        <w:t xml:space="preserve"> </w:t>
      </w:r>
      <w:r>
        <w:rPr>
          <w:u w:val="single"/>
        </w:rPr>
        <w:tab/>
      </w:r>
      <w:r>
        <w:t>（项目名称</w:t>
      </w:r>
      <w:r>
        <w:rPr>
          <w:spacing w:val="-32"/>
        </w:rPr>
        <w:t>）</w:t>
      </w:r>
      <w:r>
        <w:t>政府采购活动前</w:t>
      </w:r>
      <w:r>
        <w:rPr>
          <w:spacing w:val="-60"/>
        </w:rPr>
        <w:t xml:space="preserve"> </w:t>
      </w:r>
      <w:r>
        <w:t>3</w:t>
      </w:r>
      <w:r>
        <w:rPr>
          <w:spacing w:val="-59"/>
        </w:rPr>
        <w:t xml:space="preserve"> </w:t>
      </w:r>
      <w:r>
        <w:t>年内</w:t>
      </w:r>
      <w:r>
        <w:rPr>
          <w:spacing w:val="-34"/>
        </w:rPr>
        <w:t>，</w:t>
      </w:r>
      <w:r>
        <w:t>我方被公开披</w:t>
      </w:r>
      <w:r>
        <w:rPr>
          <w:spacing w:val="-15"/>
        </w:rPr>
        <w:t>露</w:t>
      </w:r>
      <w:r>
        <w:t>或查处的违法违规行为有：</w:t>
      </w:r>
      <w:r>
        <w:tab/>
      </w:r>
      <w:r>
        <w:tab/>
      </w:r>
      <w:r>
        <w:rPr>
          <w:spacing w:val="-46"/>
        </w:rPr>
        <w:t>，</w:t>
      </w:r>
      <w:r>
        <w:t>但在经营活动中没有重大</w:t>
      </w:r>
      <w:r>
        <w:rPr>
          <w:spacing w:val="-16"/>
        </w:rPr>
        <w:t>违</w:t>
      </w:r>
      <w:r>
        <w:t>法记</w:t>
      </w:r>
      <w:r>
        <w:rPr>
          <w:spacing w:val="-48"/>
        </w:rPr>
        <w:t>录</w:t>
      </w:r>
      <w:r>
        <w:t>（重大违法记录指供应商因违法经营受到刑事处罚或者责令停产停业</w:t>
      </w:r>
      <w:r>
        <w:rPr>
          <w:spacing w:val="-46"/>
        </w:rPr>
        <w:t>、</w:t>
      </w:r>
      <w:r>
        <w:t>吊销许</w:t>
      </w:r>
      <w:r>
        <w:rPr>
          <w:spacing w:val="-17"/>
        </w:rPr>
        <w:t>可</w:t>
      </w:r>
      <w:r>
        <w:t>证或者执照、较大数额罚款等行政处罚）。</w:t>
      </w:r>
    </w:p>
    <w:p>
      <w:pPr>
        <w:pStyle w:val="8"/>
      </w:pPr>
    </w:p>
    <w:p>
      <w:pPr>
        <w:pStyle w:val="8"/>
      </w:pPr>
    </w:p>
    <w:p>
      <w:pPr>
        <w:pStyle w:val="8"/>
        <w:spacing w:before="10"/>
        <w:rPr>
          <w:sz w:val="20"/>
        </w:rPr>
      </w:pPr>
    </w:p>
    <w:p>
      <w:pPr>
        <w:pStyle w:val="8"/>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8"/>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8"/>
        <w:rPr>
          <w:sz w:val="26"/>
        </w:rPr>
      </w:pPr>
    </w:p>
    <w:p>
      <w:pPr>
        <w:pStyle w:val="8"/>
        <w:rPr>
          <w:sz w:val="26"/>
        </w:rPr>
      </w:pPr>
    </w:p>
    <w:p>
      <w:pPr>
        <w:pStyle w:val="8"/>
        <w:rPr>
          <w:sz w:val="26"/>
        </w:rPr>
      </w:pPr>
    </w:p>
    <w:p>
      <w:pPr>
        <w:pStyle w:val="8"/>
        <w:spacing w:before="4"/>
        <w:rPr>
          <w:sz w:val="35"/>
        </w:rPr>
      </w:pPr>
    </w:p>
    <w:p>
      <w:pPr>
        <w:spacing w:before="0" w:line="343" w:lineRule="auto"/>
        <w:ind w:left="980" w:right="1365" w:firstLine="0"/>
        <w:jc w:val="left"/>
        <w:rPr>
          <w:b/>
          <w:sz w:val="24"/>
        </w:rPr>
      </w:pPr>
      <w:r>
        <w:rPr>
          <w:sz w:val="24"/>
        </w:rPr>
        <w:t>备注：供应商没有被公开披露或查处违法违规行为的，注明“无”即可。</w:t>
      </w:r>
      <w:r>
        <w:rPr>
          <w:b/>
          <w:sz w:val="24"/>
        </w:rPr>
        <w:t>附：信用中国网站及中国政府采购网查询结果报告。</w:t>
      </w: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r>
        <w:rPr>
          <w:rFonts w:hint="eastAsia"/>
          <w:sz w:val="28"/>
          <w:lang w:val="en-US" w:eastAsia="zh-CN"/>
        </w:rPr>
        <w:t>八、</w:t>
      </w:r>
      <w:r>
        <w:rPr>
          <w:sz w:val="28"/>
        </w:rPr>
        <w:t>政府采购诚信承诺书</w:t>
      </w:r>
    </w:p>
    <w:p>
      <w:pPr>
        <w:pStyle w:val="8"/>
        <w:rPr>
          <w:sz w:val="28"/>
        </w:rPr>
      </w:pPr>
    </w:p>
    <w:p>
      <w:pPr>
        <w:pStyle w:val="8"/>
        <w:spacing w:before="203"/>
        <w:ind w:left="500"/>
      </w:pPr>
      <w:r>
        <w:rPr>
          <w:rFonts w:ascii="Times New Roman" w:eastAsia="Times New Roman"/>
          <w:u w:val="single"/>
        </w:rPr>
        <w:t xml:space="preserve">  </w:t>
      </w:r>
      <w:r>
        <w:rPr>
          <w:u w:val="single"/>
        </w:rPr>
        <w:t xml:space="preserve">（采购人） </w:t>
      </w:r>
      <w:r>
        <w:t>：</w:t>
      </w:r>
    </w:p>
    <w:p>
      <w:pPr>
        <w:pStyle w:val="8"/>
        <w:tabs>
          <w:tab w:val="left" w:pos="2179"/>
          <w:tab w:val="left" w:pos="3468"/>
          <w:tab w:val="left" w:pos="8119"/>
        </w:tabs>
        <w:spacing w:before="132" w:line="343" w:lineRule="auto"/>
        <w:ind w:left="500" w:right="497" w:firstLine="480"/>
      </w:pPr>
      <w:r>
        <w:t>我公司</w:t>
      </w:r>
      <w:r>
        <w:rPr>
          <w:u w:val="single"/>
        </w:rPr>
        <w:t xml:space="preserve"> </w:t>
      </w:r>
      <w:r>
        <w:rPr>
          <w:u w:val="single"/>
        </w:rPr>
        <w:tab/>
      </w:r>
      <w:r>
        <w:rPr>
          <w:u w:val="single"/>
        </w:rPr>
        <w:tab/>
      </w:r>
      <w:r>
        <w:t>（供应商名称</w:t>
      </w:r>
      <w:r>
        <w:rPr>
          <w:spacing w:val="-32"/>
        </w:rPr>
        <w:t>）</w:t>
      </w:r>
      <w:r>
        <w:t>已详细阅读了</w:t>
      </w:r>
      <w:r>
        <w:rPr>
          <w:u w:val="single"/>
        </w:rPr>
        <w:t xml:space="preserve"> </w:t>
      </w:r>
      <w:r>
        <w:rPr>
          <w:u w:val="single"/>
        </w:rPr>
        <w:tab/>
      </w:r>
      <w:r>
        <w:t>项</w:t>
      </w:r>
      <w:r>
        <w:rPr>
          <w:spacing w:val="-32"/>
        </w:rPr>
        <w:t>目</w:t>
      </w:r>
      <w:r>
        <w:rPr>
          <w:spacing w:val="-3"/>
        </w:rPr>
        <w:t>（</w:t>
      </w:r>
      <w:r>
        <w:t>项目</w:t>
      </w:r>
      <w:r>
        <w:rPr>
          <w:spacing w:val="-15"/>
        </w:rPr>
        <w:t>编</w:t>
      </w:r>
      <w:r>
        <w:t>号：</w:t>
      </w:r>
      <w:r>
        <w:rPr>
          <w:u w:val="single"/>
        </w:rPr>
        <w:t xml:space="preserve"> </w:t>
      </w:r>
      <w:r>
        <w:rPr>
          <w:u w:val="single"/>
        </w:rPr>
        <w:tab/>
      </w:r>
      <w:r>
        <w:t>）磋商文件，自愿参加本次投标，现就有关事项做出郑重承诺如下：</w:t>
      </w:r>
    </w:p>
    <w:p>
      <w:pPr>
        <w:pStyle w:val="8"/>
        <w:spacing w:before="1" w:line="343" w:lineRule="auto"/>
        <w:ind w:left="500" w:right="377" w:firstLine="480"/>
      </w:pPr>
      <w:r>
        <w:rPr>
          <w:spacing w:val="-15"/>
        </w:rPr>
        <w:t>一、诚信投标，材料真实。我公司保证所提供的全部材料、投标内容均真实、合法、</w:t>
      </w:r>
      <w:r>
        <w:t>有效，保证不出借或者借用其他企业资质，不以他人名义投标，不弄虚作假；</w:t>
      </w:r>
    </w:p>
    <w:p>
      <w:pPr>
        <w:pStyle w:val="8"/>
        <w:spacing w:line="345" w:lineRule="auto"/>
        <w:ind w:left="500" w:right="497" w:firstLine="480"/>
      </w:pPr>
      <w:r>
        <w:rPr>
          <w:spacing w:val="-12"/>
        </w:rPr>
        <w:t>二、遵纪守法，公平竞争。不与其他供应商相互串通、哄抬价格，不排挤其他供应</w:t>
      </w:r>
      <w:r>
        <w:t>商，不损害采购人的合法权益；不向评标委员会、采购人提供利益以牟取中标。</w:t>
      </w:r>
    </w:p>
    <w:p>
      <w:pPr>
        <w:pStyle w:val="8"/>
        <w:spacing w:line="343" w:lineRule="auto"/>
        <w:ind w:left="500" w:right="377" w:firstLine="480"/>
      </w:pPr>
      <w:r>
        <w:rPr>
          <w:spacing w:val="-10"/>
        </w:rPr>
        <w:t>三、若中标后，将按照规定及时与采购人签订政府采购合同，不与采购人订立有悖</w:t>
      </w:r>
      <w:r>
        <w:rPr>
          <w:spacing w:val="-19"/>
        </w:rPr>
        <w:t xml:space="preserve">于采购结果的合同或协议；严格履行政府采购合同，不降低合同约定的产品质量和服务， </w:t>
      </w:r>
      <w:r>
        <w:t>不擅自变更、中止、终止合同，或者拒绝履行合同义务；</w:t>
      </w:r>
    </w:p>
    <w:p>
      <w:pPr>
        <w:pStyle w:val="8"/>
        <w:spacing w:line="343" w:lineRule="auto"/>
        <w:ind w:left="500" w:right="495" w:firstLine="480"/>
        <w:jc w:val="both"/>
      </w:pPr>
      <w:r>
        <w:rPr>
          <w:spacing w:val="-7"/>
        </w:rPr>
        <w:t>若有违反以上承诺内容的行为，我公司自愿接受取消投标资格、记入信用档案、没</w:t>
      </w:r>
      <w:r>
        <w:t>收投标保证金、媒体通报、1-3</w:t>
      </w:r>
      <w:r>
        <w:rPr>
          <w:spacing w:val="-1"/>
        </w:rPr>
        <w:t>年内禁止参与政府采购等处罚；如已中标的，自动放弃</w:t>
      </w:r>
      <w:r>
        <w:t>中标资格，并承担全部法律责任；给采购人造成损失的，依法承担赔偿责任。</w:t>
      </w:r>
    </w:p>
    <w:p>
      <w:pPr>
        <w:pStyle w:val="8"/>
      </w:pPr>
    </w:p>
    <w:p>
      <w:pPr>
        <w:pStyle w:val="8"/>
      </w:pPr>
    </w:p>
    <w:p>
      <w:pPr>
        <w:pStyle w:val="8"/>
      </w:pPr>
    </w:p>
    <w:p>
      <w:pPr>
        <w:pStyle w:val="8"/>
        <w:spacing w:before="9"/>
        <w:rPr>
          <w:sz w:val="30"/>
        </w:rPr>
      </w:pPr>
    </w:p>
    <w:p>
      <w:pPr>
        <w:pStyle w:val="8"/>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8"/>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3" w:type="default"/>
          <w:pgSz w:w="11910" w:h="16840"/>
          <w:pgMar w:top="1580" w:right="940" w:bottom="1180" w:left="940" w:header="0" w:footer="1000" w:gutter="0"/>
          <w:pgBorders>
            <w:top w:val="none" w:sz="0" w:space="0"/>
            <w:left w:val="none" w:sz="0" w:space="0"/>
            <w:bottom w:val="none" w:sz="0" w:space="0"/>
            <w:right w:val="none" w:sz="0" w:space="0"/>
          </w:pgBorders>
          <w:pgNumType w:start="50"/>
          <w:cols w:space="720" w:num="1"/>
        </w:sectPr>
      </w:pPr>
    </w:p>
    <w:p>
      <w:pPr>
        <w:pStyle w:val="8"/>
        <w:spacing w:before="11"/>
        <w:rPr>
          <w:b/>
          <w:sz w:val="22"/>
        </w:rPr>
      </w:pPr>
    </w:p>
    <w:p>
      <w:pPr>
        <w:pStyle w:val="8"/>
        <w:tabs>
          <w:tab w:val="left" w:pos="5568"/>
          <w:tab w:val="left" w:pos="6768"/>
          <w:tab w:val="left" w:pos="7368"/>
          <w:tab w:val="left" w:pos="7968"/>
        </w:tabs>
        <w:spacing w:before="1"/>
        <w:ind w:left="4608"/>
        <w:rPr>
          <w:sz w:val="28"/>
        </w:rPr>
      </w:pPr>
      <w:r>
        <w:rPr>
          <w:sz w:val="28"/>
        </w:rPr>
        <w:t>九、技术偏离表</w:t>
      </w:r>
    </w:p>
    <w:p>
      <w:pPr>
        <w:pStyle w:val="8"/>
        <w:spacing w:before="4"/>
        <w:rPr>
          <w:sz w:val="25"/>
        </w:rPr>
      </w:pPr>
    </w:p>
    <w:tbl>
      <w:tblPr>
        <w:tblStyle w:val="18"/>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3248"/>
        <w:gridCol w:w="308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88"/>
              <w:ind w:left="455" w:right="447"/>
              <w:jc w:val="center"/>
              <w:rPr>
                <w:sz w:val="24"/>
              </w:rPr>
            </w:pPr>
            <w:r>
              <w:rPr>
                <w:sz w:val="24"/>
              </w:rPr>
              <w:t>序号</w:t>
            </w:r>
          </w:p>
        </w:tc>
        <w:tc>
          <w:tcPr>
            <w:tcW w:w="3248" w:type="dxa"/>
          </w:tcPr>
          <w:p>
            <w:pPr>
              <w:pStyle w:val="22"/>
              <w:spacing w:before="88"/>
              <w:ind w:left="423"/>
              <w:rPr>
                <w:sz w:val="24"/>
              </w:rPr>
            </w:pPr>
            <w:r>
              <w:rPr>
                <w:sz w:val="24"/>
              </w:rPr>
              <w:t>磋商文件章节及条款号</w:t>
            </w:r>
          </w:p>
        </w:tc>
        <w:tc>
          <w:tcPr>
            <w:tcW w:w="3087" w:type="dxa"/>
          </w:tcPr>
          <w:p>
            <w:pPr>
              <w:pStyle w:val="22"/>
              <w:spacing w:before="88"/>
              <w:ind w:left="343"/>
              <w:rPr>
                <w:sz w:val="24"/>
              </w:rPr>
            </w:pPr>
            <w:r>
              <w:rPr>
                <w:sz w:val="24"/>
              </w:rPr>
              <w:t>响应文件章节及条款号</w:t>
            </w:r>
          </w:p>
        </w:tc>
        <w:tc>
          <w:tcPr>
            <w:tcW w:w="2013" w:type="dxa"/>
          </w:tcPr>
          <w:p>
            <w:pPr>
              <w:pStyle w:val="22"/>
              <w:spacing w:before="88"/>
              <w:ind w:left="524"/>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90"/>
              <w:ind w:left="8"/>
              <w:jc w:val="center"/>
              <w:rPr>
                <w:sz w:val="24"/>
              </w:rPr>
            </w:pPr>
            <w:r>
              <w:rPr>
                <w:sz w:val="24"/>
              </w:rPr>
              <w:t>1</w:t>
            </w: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89"/>
              <w:ind w:left="128"/>
              <w:jc w:val="center"/>
              <w:rPr>
                <w:sz w:val="24"/>
              </w:rPr>
            </w:pPr>
            <w:r>
              <w:rPr>
                <w:sz w:val="24"/>
              </w:rPr>
              <w:t>2</w:t>
            </w: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89"/>
              <w:ind w:left="8"/>
              <w:jc w:val="center"/>
              <w:rPr>
                <w:sz w:val="24"/>
              </w:rPr>
            </w:pPr>
            <w:r>
              <w:rPr>
                <w:sz w:val="24"/>
              </w:rPr>
              <w:t>3</w:t>
            </w: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88"/>
              <w:ind w:left="8"/>
              <w:jc w:val="center"/>
              <w:rPr>
                <w:sz w:val="24"/>
              </w:rPr>
            </w:pPr>
            <w:r>
              <w:rPr>
                <w:sz w:val="24"/>
              </w:rPr>
              <w:t>4</w:t>
            </w: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2"/>
              <w:spacing w:before="90"/>
              <w:ind w:left="8"/>
              <w:jc w:val="center"/>
              <w:rPr>
                <w:sz w:val="24"/>
              </w:rPr>
            </w:pPr>
            <w:r>
              <w:rPr>
                <w:sz w:val="24"/>
              </w:rPr>
              <w:t>5</w:t>
            </w: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spacing w:before="85"/>
              <w:ind w:left="455" w:right="447"/>
              <w:jc w:val="center"/>
              <w:rPr>
                <w:sz w:val="24"/>
              </w:rPr>
            </w:pPr>
            <w:r>
              <w:rPr>
                <w:sz w:val="24"/>
              </w:rPr>
              <w:t>……</w:t>
            </w: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2"/>
              <w:rPr>
                <w:rFonts w:ascii="Times New Roman"/>
                <w:sz w:val="24"/>
              </w:rPr>
            </w:pPr>
          </w:p>
        </w:tc>
        <w:tc>
          <w:tcPr>
            <w:tcW w:w="3248" w:type="dxa"/>
          </w:tcPr>
          <w:p>
            <w:pPr>
              <w:pStyle w:val="22"/>
              <w:rPr>
                <w:rFonts w:ascii="Times New Roman"/>
                <w:sz w:val="24"/>
              </w:rPr>
            </w:pPr>
          </w:p>
        </w:tc>
        <w:tc>
          <w:tcPr>
            <w:tcW w:w="3087" w:type="dxa"/>
          </w:tcPr>
          <w:p>
            <w:pPr>
              <w:pStyle w:val="22"/>
              <w:rPr>
                <w:rFonts w:ascii="Times New Roman"/>
                <w:sz w:val="24"/>
              </w:rPr>
            </w:pPr>
          </w:p>
        </w:tc>
        <w:tc>
          <w:tcPr>
            <w:tcW w:w="2013" w:type="dxa"/>
          </w:tcPr>
          <w:p>
            <w:pPr>
              <w:pStyle w:val="22"/>
              <w:rPr>
                <w:rFonts w:ascii="Times New Roman"/>
                <w:sz w:val="24"/>
              </w:rPr>
            </w:pPr>
          </w:p>
        </w:tc>
      </w:tr>
    </w:tbl>
    <w:p>
      <w:pPr>
        <w:pStyle w:val="8"/>
        <w:spacing w:before="112"/>
        <w:ind w:left="500"/>
      </w:pPr>
      <w:r>
        <w:t>注：偏离情况填写为正偏离、负偏离、无偏离。</w:t>
      </w:r>
    </w:p>
    <w:p>
      <w:pPr>
        <w:pStyle w:val="8"/>
        <w:spacing w:before="134" w:line="343" w:lineRule="auto"/>
        <w:ind w:left="500" w:right="497" w:firstLine="480"/>
        <w:jc w:val="both"/>
      </w:pPr>
      <w:r>
        <w:t>1、供应商应根据投标设备的性能指标、对照磋商文件中“第三章 采购需求</w:t>
      </w:r>
      <w:r>
        <w:rPr>
          <w:spacing w:val="-3"/>
        </w:rPr>
        <w:t xml:space="preserve">---2. </w:t>
      </w:r>
      <w:r>
        <w:rPr>
          <w:spacing w:val="-10"/>
        </w:rPr>
        <w:t>采购内容”中的各项技术参数要求，如实逐条一一对应填写响应情况，如有未响应技术</w:t>
      </w:r>
      <w:r>
        <w:t>指标，评标委员会有权视其为负偏离；</w:t>
      </w:r>
    </w:p>
    <w:p>
      <w:pPr>
        <w:pStyle w:val="8"/>
        <w:spacing w:before="1" w:line="343" w:lineRule="auto"/>
        <w:ind w:left="500" w:right="497" w:firstLine="480"/>
      </w:pPr>
      <w:r>
        <w:t>2、请供应商在“偏离情况”一栏详细描述存在正偏离或负偏离技术指标，并标明偏离情况；</w:t>
      </w:r>
    </w:p>
    <w:p>
      <w:pPr>
        <w:pStyle w:val="8"/>
        <w:spacing w:line="306" w:lineRule="exact"/>
        <w:ind w:left="980"/>
      </w:pPr>
      <w:r>
        <w:t>3、磋商文件技术指标未做要求的，不视为正偏离。</w:t>
      </w:r>
    </w:p>
    <w:p>
      <w:pPr>
        <w:pStyle w:val="8"/>
      </w:pPr>
    </w:p>
    <w:p>
      <w:pPr>
        <w:pStyle w:val="8"/>
      </w:pPr>
    </w:p>
    <w:p>
      <w:pPr>
        <w:pStyle w:val="8"/>
        <w:rPr>
          <w:sz w:val="31"/>
        </w:rPr>
      </w:pPr>
    </w:p>
    <w:p>
      <w:pPr>
        <w:pStyle w:val="8"/>
        <w:tabs>
          <w:tab w:val="left" w:pos="7966"/>
        </w:tabs>
        <w:spacing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8"/>
        <w:tabs>
          <w:tab w:val="left" w:pos="5539"/>
          <w:tab w:val="left" w:pos="6739"/>
          <w:tab w:val="left" w:pos="7339"/>
          <w:tab w:val="left" w:pos="7939"/>
        </w:tabs>
        <w:spacing w:line="303" w:lineRule="exact"/>
        <w:ind w:left="4580"/>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03" w:lineRule="exact"/>
        <w:sectPr>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numPr>
          <w:ilvl w:val="0"/>
          <w:numId w:val="22"/>
        </w:numPr>
        <w:spacing w:before="218"/>
        <w:ind w:left="909" w:right="429" w:firstLine="0"/>
        <w:jc w:val="center"/>
        <w:rPr>
          <w:rFonts w:hint="eastAsia"/>
          <w:sz w:val="28"/>
          <w:lang w:val="en-US" w:eastAsia="zh-CN"/>
        </w:rPr>
      </w:pPr>
      <w:r>
        <w:rPr>
          <w:rFonts w:hint="eastAsia"/>
          <w:sz w:val="28"/>
          <w:lang w:val="en-US" w:eastAsia="zh-CN"/>
        </w:rPr>
        <w:t>工程量清单</w:t>
      </w: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rPr>
          <w:rFonts w:hint="eastAsia"/>
          <w:sz w:val="28"/>
          <w:lang w:val="en-US" w:eastAsia="zh-CN"/>
        </w:rPr>
      </w:pPr>
    </w:p>
    <w:p>
      <w:pPr>
        <w:pStyle w:val="2"/>
        <w:numPr>
          <w:ilvl w:val="0"/>
          <w:numId w:val="22"/>
        </w:numPr>
        <w:ind w:left="909" w:leftChars="0" w:firstLine="0" w:firstLineChars="0"/>
        <w:jc w:val="center"/>
        <w:rPr>
          <w:rFonts w:hint="eastAsia"/>
          <w:sz w:val="28"/>
          <w:lang w:val="en-US" w:eastAsia="zh-CN"/>
        </w:rPr>
      </w:pPr>
      <w:r>
        <w:rPr>
          <w:rFonts w:hint="eastAsia"/>
          <w:sz w:val="28"/>
          <w:lang w:val="en-US" w:eastAsia="zh-CN"/>
        </w:rPr>
        <w:t>项目管理机构</w:t>
      </w:r>
    </w:p>
    <w:p>
      <w:pPr>
        <w:pStyle w:val="2"/>
        <w:numPr>
          <w:ilvl w:val="0"/>
          <w:numId w:val="0"/>
        </w:numPr>
        <w:ind w:left="909" w:leftChars="0" w:right="0" w:rightChars="0"/>
        <w:jc w:val="both"/>
        <w:rPr>
          <w:rFonts w:hint="eastAsia"/>
          <w:sz w:val="28"/>
          <w:lang w:val="en-US" w:eastAsia="zh-CN"/>
        </w:rPr>
      </w:pPr>
    </w:p>
    <w:p>
      <w:pPr>
        <w:topLinePunct/>
        <w:jc w:val="cente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项目管理机构组成表</w:t>
      </w:r>
    </w:p>
    <w:p>
      <w:pPr>
        <w:jc w:val="center"/>
        <w:rPr>
          <w:rFonts w:hint="eastAsia" w:ascii="宋体" w:hAnsi="宋体"/>
          <w:b/>
          <w:sz w:val="28"/>
          <w:szCs w:val="2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jc w:val="center"/>
              <w:rPr>
                <w:rFonts w:hint="eastAsia" w:ascii="宋体" w:hAnsi="宋体"/>
                <w:szCs w:val="21"/>
              </w:rPr>
            </w:pPr>
            <w:r>
              <w:rPr>
                <w:rFonts w:hint="eastAsia" w:ascii="宋体" w:hAnsi="宋体"/>
                <w:szCs w:val="21"/>
              </w:rPr>
              <w:t>职务</w:t>
            </w:r>
          </w:p>
        </w:tc>
        <w:tc>
          <w:tcPr>
            <w:tcW w:w="1153" w:type="dxa"/>
            <w:vMerge w:val="restart"/>
            <w:noWrap w:val="0"/>
            <w:vAlign w:val="center"/>
          </w:tcPr>
          <w:p>
            <w:pPr>
              <w:jc w:val="center"/>
              <w:rPr>
                <w:rFonts w:hint="eastAsia" w:ascii="宋体" w:hAnsi="宋体"/>
                <w:szCs w:val="21"/>
              </w:rPr>
            </w:pPr>
            <w:r>
              <w:rPr>
                <w:rFonts w:hint="eastAsia" w:ascii="宋体" w:hAnsi="宋体"/>
                <w:szCs w:val="21"/>
              </w:rPr>
              <w:t>姓名</w:t>
            </w:r>
          </w:p>
        </w:tc>
        <w:tc>
          <w:tcPr>
            <w:tcW w:w="929" w:type="dxa"/>
            <w:vMerge w:val="restart"/>
            <w:noWrap w:val="0"/>
            <w:vAlign w:val="center"/>
          </w:tcPr>
          <w:p>
            <w:pPr>
              <w:jc w:val="center"/>
              <w:rPr>
                <w:rFonts w:hint="eastAsia" w:ascii="宋体" w:hAnsi="宋体"/>
                <w:szCs w:val="21"/>
              </w:rPr>
            </w:pPr>
            <w:r>
              <w:rPr>
                <w:rFonts w:hint="eastAsia" w:ascii="宋体" w:hAnsi="宋体"/>
                <w:szCs w:val="21"/>
              </w:rPr>
              <w:t>职称</w:t>
            </w:r>
          </w:p>
        </w:tc>
        <w:tc>
          <w:tcPr>
            <w:tcW w:w="5244" w:type="dxa"/>
            <w:gridSpan w:val="5"/>
            <w:noWrap w:val="0"/>
            <w:vAlign w:val="center"/>
          </w:tcPr>
          <w:p>
            <w:pPr>
              <w:jc w:val="center"/>
              <w:rPr>
                <w:rFonts w:hint="eastAsia" w:ascii="宋体" w:hAnsi="宋体"/>
                <w:szCs w:val="21"/>
              </w:rPr>
            </w:pPr>
            <w:r>
              <w:rPr>
                <w:rFonts w:hint="eastAsia" w:ascii="宋体" w:hAnsi="宋体"/>
                <w:szCs w:val="21"/>
              </w:rPr>
              <w:t>执业或职业资格证明</w:t>
            </w:r>
          </w:p>
        </w:tc>
        <w:tc>
          <w:tcPr>
            <w:tcW w:w="742"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jc w:val="center"/>
              <w:rPr>
                <w:rFonts w:hint="eastAsia" w:ascii="宋体" w:hAnsi="宋体"/>
                <w:szCs w:val="21"/>
              </w:rPr>
            </w:pPr>
          </w:p>
        </w:tc>
        <w:tc>
          <w:tcPr>
            <w:tcW w:w="1153" w:type="dxa"/>
            <w:vMerge w:val="continue"/>
            <w:noWrap w:val="0"/>
            <w:vAlign w:val="center"/>
          </w:tcPr>
          <w:p>
            <w:pPr>
              <w:jc w:val="center"/>
              <w:rPr>
                <w:rFonts w:hint="eastAsia" w:ascii="宋体" w:hAnsi="宋体"/>
                <w:szCs w:val="21"/>
              </w:rPr>
            </w:pPr>
          </w:p>
        </w:tc>
        <w:tc>
          <w:tcPr>
            <w:tcW w:w="929" w:type="dxa"/>
            <w:vMerge w:val="continue"/>
            <w:noWrap w:val="0"/>
            <w:vAlign w:val="center"/>
          </w:tcPr>
          <w:p>
            <w:pPr>
              <w:jc w:val="center"/>
              <w:rPr>
                <w:rFonts w:hint="eastAsia" w:ascii="宋体" w:hAnsi="宋体"/>
                <w:szCs w:val="21"/>
              </w:rPr>
            </w:pPr>
          </w:p>
        </w:tc>
        <w:tc>
          <w:tcPr>
            <w:tcW w:w="1157" w:type="dxa"/>
            <w:noWrap w:val="0"/>
            <w:vAlign w:val="center"/>
          </w:tcPr>
          <w:p>
            <w:pPr>
              <w:jc w:val="center"/>
              <w:rPr>
                <w:rFonts w:hint="eastAsia" w:ascii="宋体" w:hAnsi="宋体"/>
                <w:szCs w:val="21"/>
              </w:rPr>
            </w:pPr>
            <w:r>
              <w:rPr>
                <w:rFonts w:hint="eastAsia" w:ascii="宋体" w:hAnsi="宋体"/>
                <w:szCs w:val="21"/>
              </w:rPr>
              <w:t>证书名称</w:t>
            </w:r>
          </w:p>
        </w:tc>
        <w:tc>
          <w:tcPr>
            <w:tcW w:w="803" w:type="dxa"/>
            <w:noWrap w:val="0"/>
            <w:vAlign w:val="center"/>
          </w:tcPr>
          <w:p>
            <w:pPr>
              <w:jc w:val="center"/>
              <w:rPr>
                <w:rFonts w:hint="eastAsia" w:ascii="宋体" w:hAnsi="宋体"/>
                <w:szCs w:val="21"/>
              </w:rPr>
            </w:pPr>
            <w:r>
              <w:rPr>
                <w:rFonts w:hint="eastAsia" w:ascii="宋体" w:hAnsi="宋体"/>
                <w:szCs w:val="21"/>
              </w:rPr>
              <w:t>级别</w:t>
            </w:r>
          </w:p>
        </w:tc>
        <w:tc>
          <w:tcPr>
            <w:tcW w:w="1317" w:type="dxa"/>
            <w:noWrap w:val="0"/>
            <w:vAlign w:val="center"/>
          </w:tcPr>
          <w:p>
            <w:pPr>
              <w:jc w:val="center"/>
              <w:rPr>
                <w:rFonts w:hint="eastAsia" w:ascii="宋体" w:hAnsi="宋体"/>
                <w:szCs w:val="21"/>
              </w:rPr>
            </w:pPr>
            <w:r>
              <w:rPr>
                <w:rFonts w:hint="eastAsia" w:ascii="宋体" w:hAnsi="宋体"/>
                <w:szCs w:val="21"/>
              </w:rPr>
              <w:t>证号</w:t>
            </w:r>
          </w:p>
        </w:tc>
        <w:tc>
          <w:tcPr>
            <w:tcW w:w="801" w:type="dxa"/>
            <w:noWrap w:val="0"/>
            <w:vAlign w:val="center"/>
          </w:tcPr>
          <w:p>
            <w:pPr>
              <w:jc w:val="center"/>
              <w:rPr>
                <w:rFonts w:hint="eastAsia" w:ascii="宋体" w:hAnsi="宋体"/>
                <w:szCs w:val="21"/>
              </w:rPr>
            </w:pPr>
            <w:r>
              <w:rPr>
                <w:rFonts w:hint="eastAsia" w:ascii="宋体" w:hAnsi="宋体"/>
                <w:szCs w:val="21"/>
              </w:rPr>
              <w:t>专业</w:t>
            </w:r>
          </w:p>
        </w:tc>
        <w:tc>
          <w:tcPr>
            <w:tcW w:w="1166" w:type="dxa"/>
            <w:noWrap w:val="0"/>
            <w:vAlign w:val="center"/>
          </w:tcPr>
          <w:p>
            <w:pPr>
              <w:ind w:right="114" w:rightChars="52"/>
              <w:jc w:val="center"/>
              <w:rPr>
                <w:rFonts w:hint="eastAsia" w:ascii="宋体" w:hAnsi="宋体"/>
                <w:szCs w:val="21"/>
              </w:rPr>
            </w:pPr>
            <w:r>
              <w:rPr>
                <w:rFonts w:hint="eastAsia" w:ascii="宋体" w:hAnsi="宋体"/>
                <w:szCs w:val="21"/>
              </w:rPr>
              <w:t>养老保险</w:t>
            </w:r>
          </w:p>
        </w:tc>
        <w:tc>
          <w:tcPr>
            <w:tcW w:w="742"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szCs w:val="21"/>
              </w:rPr>
            </w:pPr>
            <w:r>
              <w:rPr>
                <w:rFonts w:hint="eastAsia" w:ascii="宋体" w:hAnsi="宋体"/>
                <w:szCs w:val="21"/>
              </w:rPr>
              <w:t>项目负责人</w:t>
            </w:r>
          </w:p>
        </w:tc>
        <w:tc>
          <w:tcPr>
            <w:tcW w:w="1153" w:type="dxa"/>
            <w:noWrap w:val="0"/>
            <w:vAlign w:val="center"/>
          </w:tcPr>
          <w:p>
            <w:pPr>
              <w:jc w:val="center"/>
              <w:rPr>
                <w:rFonts w:hint="eastAsia" w:ascii="宋体" w:hAnsi="宋体"/>
                <w:szCs w:val="21"/>
              </w:rPr>
            </w:pPr>
          </w:p>
        </w:tc>
        <w:tc>
          <w:tcPr>
            <w:tcW w:w="929" w:type="dxa"/>
            <w:noWrap w:val="0"/>
            <w:vAlign w:val="center"/>
          </w:tcPr>
          <w:p>
            <w:pPr>
              <w:jc w:val="center"/>
              <w:rPr>
                <w:rFonts w:hint="eastAsia" w:ascii="宋体" w:hAnsi="宋体"/>
                <w:szCs w:val="21"/>
              </w:rPr>
            </w:pPr>
          </w:p>
        </w:tc>
        <w:tc>
          <w:tcPr>
            <w:tcW w:w="1157" w:type="dxa"/>
            <w:noWrap w:val="0"/>
            <w:vAlign w:val="center"/>
          </w:tcPr>
          <w:p>
            <w:pPr>
              <w:jc w:val="center"/>
              <w:rPr>
                <w:rFonts w:hint="eastAsia" w:ascii="宋体" w:hAnsi="宋体"/>
                <w:szCs w:val="21"/>
              </w:rPr>
            </w:pPr>
          </w:p>
        </w:tc>
        <w:tc>
          <w:tcPr>
            <w:tcW w:w="803" w:type="dxa"/>
            <w:noWrap w:val="0"/>
            <w:vAlign w:val="center"/>
          </w:tcPr>
          <w:p>
            <w:pPr>
              <w:jc w:val="center"/>
              <w:rPr>
                <w:rFonts w:hint="eastAsia" w:ascii="宋体" w:hAnsi="宋体"/>
                <w:szCs w:val="21"/>
              </w:rPr>
            </w:pPr>
          </w:p>
        </w:tc>
        <w:tc>
          <w:tcPr>
            <w:tcW w:w="1317" w:type="dxa"/>
            <w:noWrap w:val="0"/>
            <w:vAlign w:val="center"/>
          </w:tcPr>
          <w:p>
            <w:pPr>
              <w:jc w:val="center"/>
              <w:rPr>
                <w:rFonts w:hint="eastAsia" w:ascii="宋体" w:hAnsi="宋体"/>
                <w:szCs w:val="21"/>
              </w:rPr>
            </w:pPr>
          </w:p>
        </w:tc>
        <w:tc>
          <w:tcPr>
            <w:tcW w:w="801" w:type="dxa"/>
            <w:noWrap w:val="0"/>
            <w:vAlign w:val="center"/>
          </w:tcPr>
          <w:p>
            <w:pPr>
              <w:jc w:val="center"/>
              <w:rPr>
                <w:rFonts w:hint="eastAsia" w:ascii="宋体" w:hAnsi="宋体"/>
                <w:szCs w:val="21"/>
              </w:rPr>
            </w:pPr>
          </w:p>
        </w:tc>
        <w:tc>
          <w:tcPr>
            <w:tcW w:w="1166" w:type="dxa"/>
            <w:noWrap w:val="0"/>
            <w:vAlign w:val="center"/>
          </w:tcPr>
          <w:p>
            <w:pPr>
              <w:jc w:val="center"/>
              <w:rPr>
                <w:rFonts w:hint="eastAsia" w:ascii="宋体" w:hAnsi="宋体"/>
                <w:szCs w:val="21"/>
              </w:rPr>
            </w:pPr>
          </w:p>
        </w:tc>
        <w:tc>
          <w:tcPr>
            <w:tcW w:w="742"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Cs w:val="21"/>
              </w:rPr>
            </w:pPr>
            <w:r>
              <w:rPr>
                <w:rFonts w:hint="eastAsia" w:ascii="宋体" w:hAnsi="宋体"/>
                <w:bCs/>
                <w:szCs w:val="21"/>
              </w:rPr>
              <w:t>项目技术负责人</w:t>
            </w:r>
          </w:p>
        </w:tc>
        <w:tc>
          <w:tcPr>
            <w:tcW w:w="1153" w:type="dxa"/>
            <w:noWrap w:val="0"/>
            <w:vAlign w:val="center"/>
          </w:tcPr>
          <w:p>
            <w:pPr>
              <w:jc w:val="center"/>
              <w:rPr>
                <w:rFonts w:hint="eastAsia" w:ascii="宋体" w:hAnsi="宋体"/>
                <w:szCs w:val="21"/>
              </w:rPr>
            </w:pPr>
          </w:p>
        </w:tc>
        <w:tc>
          <w:tcPr>
            <w:tcW w:w="929" w:type="dxa"/>
            <w:noWrap w:val="0"/>
            <w:vAlign w:val="center"/>
          </w:tcPr>
          <w:p>
            <w:pPr>
              <w:jc w:val="center"/>
              <w:rPr>
                <w:rFonts w:hint="eastAsia" w:ascii="宋体" w:hAnsi="宋体"/>
                <w:szCs w:val="21"/>
              </w:rPr>
            </w:pPr>
          </w:p>
        </w:tc>
        <w:tc>
          <w:tcPr>
            <w:tcW w:w="1157" w:type="dxa"/>
            <w:noWrap w:val="0"/>
            <w:vAlign w:val="center"/>
          </w:tcPr>
          <w:p>
            <w:pPr>
              <w:jc w:val="center"/>
              <w:rPr>
                <w:rFonts w:hint="eastAsia" w:ascii="宋体" w:hAnsi="宋体"/>
                <w:szCs w:val="21"/>
              </w:rPr>
            </w:pPr>
          </w:p>
        </w:tc>
        <w:tc>
          <w:tcPr>
            <w:tcW w:w="803" w:type="dxa"/>
            <w:noWrap w:val="0"/>
            <w:vAlign w:val="center"/>
          </w:tcPr>
          <w:p>
            <w:pPr>
              <w:jc w:val="center"/>
              <w:rPr>
                <w:rFonts w:hint="eastAsia" w:ascii="宋体" w:hAnsi="宋体"/>
                <w:szCs w:val="21"/>
              </w:rPr>
            </w:pPr>
          </w:p>
        </w:tc>
        <w:tc>
          <w:tcPr>
            <w:tcW w:w="1317" w:type="dxa"/>
            <w:noWrap w:val="0"/>
            <w:vAlign w:val="center"/>
          </w:tcPr>
          <w:p>
            <w:pPr>
              <w:jc w:val="center"/>
              <w:rPr>
                <w:rFonts w:hint="eastAsia" w:ascii="宋体" w:hAnsi="宋体"/>
                <w:szCs w:val="21"/>
              </w:rPr>
            </w:pPr>
          </w:p>
        </w:tc>
        <w:tc>
          <w:tcPr>
            <w:tcW w:w="801" w:type="dxa"/>
            <w:noWrap w:val="0"/>
            <w:vAlign w:val="center"/>
          </w:tcPr>
          <w:p>
            <w:pPr>
              <w:jc w:val="center"/>
              <w:rPr>
                <w:rFonts w:hint="eastAsia" w:ascii="宋体" w:hAnsi="宋体"/>
                <w:szCs w:val="21"/>
              </w:rPr>
            </w:pPr>
          </w:p>
        </w:tc>
        <w:tc>
          <w:tcPr>
            <w:tcW w:w="1166" w:type="dxa"/>
            <w:noWrap w:val="0"/>
            <w:vAlign w:val="center"/>
          </w:tcPr>
          <w:p>
            <w:pPr>
              <w:jc w:val="center"/>
              <w:rPr>
                <w:rFonts w:hint="eastAsia" w:ascii="宋体" w:hAnsi="宋体"/>
                <w:szCs w:val="21"/>
              </w:rPr>
            </w:pPr>
          </w:p>
        </w:tc>
        <w:tc>
          <w:tcPr>
            <w:tcW w:w="742"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r>
              <w:rPr>
                <w:rFonts w:hint="eastAsia" w:ascii="宋体" w:hAnsi="宋体"/>
                <w:bCs/>
                <w:szCs w:val="21"/>
              </w:rPr>
              <w:t>专职质检员</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r>
              <w:rPr>
                <w:rFonts w:hint="eastAsia" w:ascii="宋体" w:hAnsi="宋体"/>
                <w:bCs/>
                <w:szCs w:val="21"/>
              </w:rPr>
              <w:t>专职安全员</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r>
              <w:rPr>
                <w:rFonts w:hint="eastAsia" w:ascii="宋体" w:hAnsi="宋体"/>
                <w:bCs/>
                <w:szCs w:val="21"/>
              </w:rPr>
              <w:t>试验员</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r>
              <w:rPr>
                <w:rFonts w:hint="eastAsia" w:ascii="宋体" w:hAnsi="宋体"/>
                <w:bCs/>
                <w:szCs w:val="21"/>
              </w:rPr>
              <w:t>材料员</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r>
              <w:rPr>
                <w:rFonts w:hint="eastAsia" w:ascii="宋体" w:hAnsi="宋体"/>
                <w:bCs/>
                <w:szCs w:val="21"/>
                <w:lang w:val="en-US" w:eastAsia="zh-CN"/>
              </w:rPr>
              <w:t>施工</w:t>
            </w:r>
            <w:r>
              <w:rPr>
                <w:rFonts w:hint="eastAsia" w:ascii="宋体" w:hAnsi="宋体"/>
                <w:bCs/>
                <w:szCs w:val="21"/>
              </w:rPr>
              <w:t>员</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r>
              <w:rPr>
                <w:rFonts w:hint="eastAsia" w:ascii="宋体" w:hAnsi="宋体"/>
                <w:szCs w:val="21"/>
              </w:rPr>
              <w:t>其他人员</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ascii="宋体" w:hAnsi="宋体"/>
                <w:szCs w:val="21"/>
              </w:rPr>
            </w:pPr>
            <w:r>
              <w:rPr>
                <w:rFonts w:hint="eastAsia" w:ascii="宋体" w:hAnsi="宋体"/>
                <w:szCs w:val="21"/>
              </w:rPr>
              <w:t>······</w:t>
            </w: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宋体" w:hAnsi="宋体"/>
                <w:szCs w:val="21"/>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宋体" w:hAnsi="宋体"/>
                <w:szCs w:val="21"/>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bl>
    <w:p>
      <w:pPr>
        <w:rPr>
          <w:rFonts w:hint="eastAsia" w:ascii="宋体" w:hAnsi="宋体"/>
          <w:sz w:val="24"/>
          <w:szCs w:val="21"/>
        </w:rPr>
      </w:pPr>
    </w:p>
    <w:p>
      <w:pPr>
        <w:rPr>
          <w:rFonts w:hint="eastAsia" w:ascii="宋体" w:hAnsi="宋体"/>
          <w:sz w:val="24"/>
          <w:szCs w:val="21"/>
        </w:rPr>
      </w:pPr>
      <w:r>
        <w:rPr>
          <w:rFonts w:hint="eastAsia" w:ascii="宋体" w:hAnsi="宋体"/>
          <w:sz w:val="24"/>
          <w:szCs w:val="21"/>
        </w:rPr>
        <w:t>注：本工程一旦我单位中标，将配备上述项目管理人员。上述填报内容真实，如不真实，将按照有关规定接受处理。</w:t>
      </w:r>
    </w:p>
    <w:p>
      <w:pPr>
        <w:rPr>
          <w:rFonts w:hint="eastAsia" w:ascii="宋体" w:hAnsi="宋体"/>
          <w:kern w:val="0"/>
          <w:sz w:val="24"/>
          <w:szCs w:val="21"/>
        </w:rPr>
      </w:pPr>
      <w:r>
        <w:rPr>
          <w:rFonts w:hint="eastAsia" w:ascii="宋体" w:hAnsi="宋体"/>
          <w:kern w:val="0"/>
          <w:sz w:val="24"/>
          <w:szCs w:val="21"/>
        </w:rPr>
        <w:t xml:space="preserve">    </w:t>
      </w:r>
    </w:p>
    <w:p>
      <w:pPr>
        <w:pStyle w:val="2"/>
        <w:numPr>
          <w:ilvl w:val="0"/>
          <w:numId w:val="0"/>
        </w:numPr>
        <w:ind w:right="0" w:rightChars="0"/>
        <w:jc w:val="both"/>
        <w:rPr>
          <w:rFonts w:hint="default"/>
          <w:sz w:val="28"/>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pStyle w:val="17"/>
        <w:rPr>
          <w:rFonts w:hint="eastAsia"/>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项目负责人简历表</w:t>
      </w:r>
    </w:p>
    <w:p>
      <w:pPr>
        <w:jc w:val="center"/>
        <w:rPr>
          <w:rFonts w:hint="eastAsia" w:ascii="宋体" w:hAnsi="宋体"/>
          <w:sz w:val="28"/>
          <w:szCs w:val="28"/>
        </w:rPr>
      </w:pPr>
    </w:p>
    <w:p>
      <w:pPr>
        <w:ind w:firstLine="480" w:firstLineChars="200"/>
        <w:rPr>
          <w:rFonts w:hint="eastAsia" w:ascii="宋体" w:hAnsi="宋体"/>
          <w:sz w:val="24"/>
          <w:szCs w:val="21"/>
        </w:rPr>
      </w:pPr>
      <w:r>
        <w:rPr>
          <w:rFonts w:hint="eastAsia" w:ascii="宋体" w:hAnsi="宋体"/>
          <w:sz w:val="24"/>
          <w:szCs w:val="21"/>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类似项目限于以项目负责人身份参与的项目。</w:t>
      </w:r>
    </w:p>
    <w:p>
      <w:pPr>
        <w:ind w:firstLine="960" w:firstLineChars="400"/>
        <w:rPr>
          <w:rFonts w:hint="eastAsia" w:ascii="宋体" w:hAnsi="宋体"/>
          <w:sz w:val="24"/>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Cs w:val="21"/>
              </w:rPr>
            </w:pPr>
            <w:r>
              <w:rPr>
                <w:rFonts w:hint="eastAsia" w:ascii="宋体" w:hAnsi="宋体"/>
                <w:szCs w:val="21"/>
              </w:rPr>
              <w:t>姓  名</w:t>
            </w: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r>
              <w:rPr>
                <w:rFonts w:hint="eastAsia" w:ascii="宋体" w:hAnsi="宋体"/>
                <w:szCs w:val="21"/>
              </w:rPr>
              <w:t>年  龄</w:t>
            </w: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r>
              <w:rPr>
                <w:rFonts w:hint="eastAsia" w:ascii="宋体" w:hAnsi="宋体"/>
                <w:szCs w:val="21"/>
              </w:rPr>
              <w:t>学历</w:t>
            </w:r>
          </w:p>
        </w:tc>
        <w:tc>
          <w:tcPr>
            <w:tcW w:w="2126"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Cs w:val="21"/>
              </w:rPr>
            </w:pPr>
            <w:r>
              <w:rPr>
                <w:rFonts w:hint="eastAsia" w:ascii="宋体" w:hAnsi="宋体"/>
                <w:szCs w:val="21"/>
              </w:rPr>
              <w:t>职  称</w:t>
            </w: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r>
              <w:rPr>
                <w:rFonts w:hint="eastAsia" w:ascii="宋体" w:hAnsi="宋体"/>
                <w:szCs w:val="21"/>
              </w:rPr>
              <w:t>职  务</w:t>
            </w: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r>
              <w:rPr>
                <w:rFonts w:hint="eastAsia" w:ascii="宋体" w:hAnsi="宋体"/>
                <w:szCs w:val="21"/>
              </w:rPr>
              <w:t>拟在本工程任职</w:t>
            </w:r>
          </w:p>
        </w:tc>
        <w:tc>
          <w:tcPr>
            <w:tcW w:w="2126" w:type="dxa"/>
            <w:noWrap w:val="0"/>
            <w:vAlign w:val="center"/>
          </w:tcPr>
          <w:p>
            <w:pPr>
              <w:jc w:val="center"/>
              <w:rPr>
                <w:rFonts w:hint="eastAsia" w:ascii="宋体" w:hAnsi="宋体"/>
                <w:szCs w:val="21"/>
              </w:rPr>
            </w:pPr>
            <w:r>
              <w:rPr>
                <w:rFonts w:hint="eastAsia" w:ascii="宋体" w:hAns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szCs w:val="21"/>
              </w:rPr>
            </w:pPr>
            <w:r>
              <w:rPr>
                <w:rFonts w:hint="eastAsia" w:ascii="宋体" w:hAnsi="宋体"/>
                <w:szCs w:val="21"/>
              </w:rPr>
              <w:t>注册建造师执业资格等级</w:t>
            </w:r>
          </w:p>
        </w:tc>
        <w:tc>
          <w:tcPr>
            <w:tcW w:w="1275" w:type="dxa"/>
            <w:gridSpan w:val="2"/>
            <w:noWrap w:val="0"/>
            <w:vAlign w:val="center"/>
          </w:tcPr>
          <w:p>
            <w:pPr>
              <w:jc w:val="center"/>
              <w:rPr>
                <w:rFonts w:hint="eastAsia" w:ascii="宋体" w:hAnsi="宋体"/>
                <w:szCs w:val="21"/>
              </w:rPr>
            </w:pPr>
            <w:r>
              <w:rPr>
                <w:rFonts w:hint="eastAsia" w:ascii="宋体" w:hAnsi="宋体"/>
                <w:szCs w:val="21"/>
              </w:rPr>
              <w:t>级</w:t>
            </w:r>
          </w:p>
        </w:tc>
        <w:tc>
          <w:tcPr>
            <w:tcW w:w="1843" w:type="dxa"/>
            <w:gridSpan w:val="2"/>
            <w:noWrap w:val="0"/>
            <w:vAlign w:val="center"/>
          </w:tcPr>
          <w:p>
            <w:pPr>
              <w:jc w:val="center"/>
              <w:rPr>
                <w:rFonts w:hint="eastAsia" w:ascii="宋体" w:hAnsi="宋体"/>
                <w:szCs w:val="21"/>
              </w:rPr>
            </w:pPr>
            <w:r>
              <w:rPr>
                <w:rFonts w:hint="eastAsia" w:ascii="宋体" w:hAnsi="宋体"/>
                <w:szCs w:val="21"/>
              </w:rPr>
              <w:t>建造师专业</w:t>
            </w: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szCs w:val="21"/>
              </w:rPr>
            </w:pPr>
            <w:r>
              <w:rPr>
                <w:rFonts w:hint="eastAsia" w:ascii="宋体" w:hAnsi="宋体"/>
                <w:szCs w:val="21"/>
              </w:rPr>
              <w:t>安全生产考核合格证书</w:t>
            </w:r>
          </w:p>
        </w:tc>
        <w:tc>
          <w:tcPr>
            <w:tcW w:w="5751" w:type="dxa"/>
            <w:gridSpan w:val="6"/>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Cs w:val="21"/>
              </w:rPr>
            </w:pPr>
            <w:r>
              <w:rPr>
                <w:rFonts w:hint="eastAsia" w:ascii="宋体" w:hAnsi="宋体"/>
                <w:szCs w:val="21"/>
              </w:rPr>
              <w:t>毕业学校</w:t>
            </w:r>
          </w:p>
        </w:tc>
        <w:tc>
          <w:tcPr>
            <w:tcW w:w="7920" w:type="dxa"/>
            <w:gridSpan w:val="10"/>
            <w:noWrap w:val="0"/>
            <w:vAlign w:val="center"/>
          </w:tcPr>
          <w:p>
            <w:pPr>
              <w:jc w:val="center"/>
              <w:rPr>
                <w:rFonts w:hint="eastAsia"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pPr>
              <w:jc w:val="center"/>
              <w:rPr>
                <w:rFonts w:hint="eastAsia"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Cs w:val="21"/>
              </w:rPr>
            </w:pPr>
            <w:r>
              <w:rPr>
                <w:rFonts w:hint="eastAsia" w:ascii="宋体" w:hAnsi="宋体"/>
                <w:szCs w:val="21"/>
              </w:rPr>
              <w:t>时  间</w:t>
            </w:r>
          </w:p>
        </w:tc>
        <w:tc>
          <w:tcPr>
            <w:tcW w:w="3444" w:type="dxa"/>
            <w:gridSpan w:val="6"/>
            <w:noWrap w:val="0"/>
            <w:vAlign w:val="center"/>
          </w:tcPr>
          <w:p>
            <w:pPr>
              <w:jc w:val="center"/>
              <w:rPr>
                <w:rFonts w:hint="eastAsia" w:ascii="宋体" w:hAnsi="宋体"/>
                <w:szCs w:val="21"/>
              </w:rPr>
            </w:pPr>
            <w:r>
              <w:rPr>
                <w:rFonts w:hint="eastAsia" w:ascii="宋体" w:hAnsi="宋体"/>
                <w:szCs w:val="21"/>
              </w:rPr>
              <w:t>参加过的类似项目名称</w:t>
            </w:r>
          </w:p>
        </w:tc>
        <w:tc>
          <w:tcPr>
            <w:tcW w:w="1843" w:type="dxa"/>
            <w:gridSpan w:val="2"/>
            <w:noWrap w:val="0"/>
            <w:vAlign w:val="center"/>
          </w:tcPr>
          <w:p>
            <w:pPr>
              <w:jc w:val="center"/>
              <w:rPr>
                <w:rFonts w:hint="eastAsia" w:ascii="宋体" w:hAnsi="宋体"/>
                <w:szCs w:val="21"/>
              </w:rPr>
            </w:pPr>
            <w:r>
              <w:rPr>
                <w:rFonts w:hint="eastAsia" w:ascii="宋体" w:hAnsi="宋体"/>
                <w:szCs w:val="21"/>
              </w:rPr>
              <w:t>工程概况说明</w:t>
            </w:r>
          </w:p>
        </w:tc>
        <w:tc>
          <w:tcPr>
            <w:tcW w:w="2633" w:type="dxa"/>
            <w:gridSpan w:val="2"/>
            <w:noWrap w:val="0"/>
            <w:vAlign w:val="center"/>
          </w:tcPr>
          <w:p>
            <w:pPr>
              <w:jc w:val="center"/>
              <w:rPr>
                <w:rFonts w:hint="eastAsia"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bl>
    <w:p>
      <w:pPr>
        <w:ind w:left="-2" w:leftChars="-28" w:hanging="60"/>
        <w:rPr>
          <w:rFonts w:hint="eastAsia" w:ascii="宋体" w:hAnsi="宋体"/>
          <w:iCs/>
          <w:szCs w:val="21"/>
        </w:rPr>
      </w:pPr>
    </w:p>
    <w:p>
      <w:pPr>
        <w:ind w:left="-2" w:leftChars="-28" w:hanging="60"/>
        <w:rPr>
          <w:rFonts w:hint="eastAsia" w:ascii="宋体" w:hAnsi="宋体"/>
          <w:iCs/>
          <w:szCs w:val="21"/>
        </w:rPr>
      </w:pPr>
      <w:r>
        <w:rPr>
          <w:rFonts w:hint="eastAsia" w:ascii="宋体" w:hAnsi="宋体"/>
          <w:iCs/>
          <w:sz w:val="24"/>
          <w:szCs w:val="21"/>
        </w:rPr>
        <w:t>注：本</w:t>
      </w:r>
      <w:r>
        <w:rPr>
          <w:rFonts w:hint="eastAsia" w:ascii="宋体" w:hAnsi="宋体"/>
          <w:iCs/>
          <w:sz w:val="24"/>
          <w:szCs w:val="21"/>
          <w:lang w:val="en-US" w:eastAsia="zh-CN"/>
        </w:rPr>
        <w:t>项目</w:t>
      </w:r>
      <w:r>
        <w:rPr>
          <w:rFonts w:hint="eastAsia" w:ascii="宋体" w:hAnsi="宋体"/>
          <w:iCs/>
          <w:sz w:val="24"/>
          <w:szCs w:val="21"/>
        </w:rPr>
        <w:t>一旦我单位中标，将配备上述项目管理人员。上述填报内容真实， 如不真实，将按照有关规定接受处理。</w:t>
      </w: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jc w:val="center"/>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主要项目管理人员简历表</w:t>
      </w:r>
    </w:p>
    <w:p>
      <w:pPr>
        <w:rPr>
          <w:rFonts w:hint="eastAsia" w:ascii="宋体" w:hAnsi="宋体"/>
          <w:szCs w:val="21"/>
        </w:rPr>
      </w:pPr>
      <w:r>
        <w:rPr>
          <w:rFonts w:hint="eastAsia" w:ascii="宋体" w:hAnsi="宋体"/>
          <w:szCs w:val="21"/>
        </w:rPr>
        <w:t xml:space="preserve">    </w:t>
      </w:r>
    </w:p>
    <w:p>
      <w:pPr>
        <w:rPr>
          <w:rFonts w:hint="eastAsia" w:ascii="宋体" w:hAnsi="宋体"/>
          <w:sz w:val="24"/>
          <w:szCs w:val="21"/>
        </w:rPr>
      </w:pPr>
      <w:r>
        <w:rPr>
          <w:rFonts w:hint="eastAsia" w:ascii="宋体" w:hAnsi="宋体"/>
          <w:sz w:val="24"/>
          <w:szCs w:val="21"/>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p>
      <w:pPr>
        <w:topLinePunct/>
        <w:jc w:val="center"/>
        <w:rPr>
          <w:rFonts w:hint="eastAsia" w:ascii="宋体" w:hAnsi="宋体"/>
          <w:sz w:val="23"/>
          <w:szCs w:val="23"/>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rPr>
                <w:rFonts w:hint="eastAsia" w:ascii="宋体" w:hAnsi="宋体"/>
                <w:sz w:val="24"/>
                <w:szCs w:val="21"/>
              </w:rPr>
            </w:pPr>
            <w:r>
              <w:rPr>
                <w:rFonts w:hint="eastAsia" w:ascii="宋体" w:hAnsi="宋体"/>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宋体" w:hAnsi="宋体"/>
                <w:sz w:val="24"/>
                <w:szCs w:val="21"/>
              </w:rPr>
            </w:pPr>
            <w:r>
              <w:rPr>
                <w:rFonts w:hint="eastAsia" w:ascii="宋体" w:hAnsi="宋体"/>
                <w:sz w:val="24"/>
                <w:szCs w:val="21"/>
              </w:rPr>
              <w:t>姓名</w:t>
            </w:r>
          </w:p>
        </w:tc>
        <w:tc>
          <w:tcPr>
            <w:tcW w:w="3420" w:type="dxa"/>
            <w:noWrap w:val="0"/>
            <w:vAlign w:val="center"/>
          </w:tcPr>
          <w:p>
            <w:pPr>
              <w:rPr>
                <w:rFonts w:hint="eastAsia" w:ascii="宋体" w:hAnsi="宋体"/>
                <w:sz w:val="24"/>
                <w:szCs w:val="21"/>
              </w:rPr>
            </w:pPr>
          </w:p>
        </w:tc>
        <w:tc>
          <w:tcPr>
            <w:tcW w:w="1261" w:type="dxa"/>
            <w:noWrap w:val="0"/>
            <w:vAlign w:val="center"/>
          </w:tcPr>
          <w:p>
            <w:pPr>
              <w:rPr>
                <w:rFonts w:hint="eastAsia" w:ascii="宋体" w:hAnsi="宋体"/>
                <w:sz w:val="24"/>
                <w:szCs w:val="21"/>
              </w:rPr>
            </w:pPr>
            <w:r>
              <w:rPr>
                <w:rFonts w:hint="eastAsia" w:ascii="宋体" w:hAnsi="宋体"/>
                <w:sz w:val="24"/>
                <w:szCs w:val="21"/>
              </w:rPr>
              <w:t>年龄</w:t>
            </w:r>
          </w:p>
        </w:tc>
        <w:tc>
          <w:tcPr>
            <w:tcW w:w="2296" w:type="dxa"/>
            <w:noWrap w:val="0"/>
            <w:vAlign w:val="center"/>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宋体" w:hAnsi="宋体"/>
                <w:sz w:val="24"/>
                <w:szCs w:val="21"/>
              </w:rPr>
            </w:pPr>
            <w:r>
              <w:rPr>
                <w:rFonts w:hint="eastAsia" w:ascii="宋体" w:hAnsi="宋体"/>
                <w:sz w:val="24"/>
                <w:szCs w:val="21"/>
              </w:rPr>
              <w:t>性别</w:t>
            </w:r>
          </w:p>
        </w:tc>
        <w:tc>
          <w:tcPr>
            <w:tcW w:w="3420" w:type="dxa"/>
            <w:noWrap w:val="0"/>
            <w:vAlign w:val="top"/>
          </w:tcPr>
          <w:p>
            <w:pPr>
              <w:rPr>
                <w:rFonts w:hint="eastAsia" w:ascii="宋体" w:hAnsi="宋体"/>
                <w:sz w:val="24"/>
                <w:szCs w:val="21"/>
              </w:rPr>
            </w:pPr>
          </w:p>
        </w:tc>
        <w:tc>
          <w:tcPr>
            <w:tcW w:w="1261" w:type="dxa"/>
            <w:noWrap w:val="0"/>
            <w:vAlign w:val="top"/>
          </w:tcPr>
          <w:p>
            <w:pPr>
              <w:rPr>
                <w:rFonts w:hint="eastAsia" w:ascii="宋体" w:hAnsi="宋体"/>
                <w:sz w:val="24"/>
                <w:szCs w:val="21"/>
              </w:rPr>
            </w:pPr>
            <w:r>
              <w:rPr>
                <w:rFonts w:hint="eastAsia" w:ascii="宋体" w:hAnsi="宋体"/>
                <w:sz w:val="24"/>
                <w:szCs w:val="21"/>
              </w:rPr>
              <w:t>毕业学校</w:t>
            </w:r>
          </w:p>
        </w:tc>
        <w:tc>
          <w:tcPr>
            <w:tcW w:w="2296" w:type="dxa"/>
            <w:noWrap w:val="0"/>
            <w:vAlign w:val="top"/>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宋体" w:hAnsi="宋体"/>
                <w:sz w:val="24"/>
                <w:szCs w:val="21"/>
              </w:rPr>
            </w:pPr>
            <w:r>
              <w:rPr>
                <w:rFonts w:hint="eastAsia" w:ascii="宋体" w:hAnsi="宋体"/>
                <w:sz w:val="24"/>
                <w:szCs w:val="21"/>
              </w:rPr>
              <w:t>学历和专业</w:t>
            </w:r>
          </w:p>
        </w:tc>
        <w:tc>
          <w:tcPr>
            <w:tcW w:w="3420" w:type="dxa"/>
            <w:noWrap w:val="0"/>
            <w:vAlign w:val="top"/>
          </w:tcPr>
          <w:p>
            <w:pPr>
              <w:rPr>
                <w:rFonts w:hint="eastAsia" w:ascii="宋体" w:hAnsi="宋体"/>
                <w:sz w:val="24"/>
                <w:szCs w:val="21"/>
              </w:rPr>
            </w:pPr>
          </w:p>
        </w:tc>
        <w:tc>
          <w:tcPr>
            <w:tcW w:w="1261" w:type="dxa"/>
            <w:noWrap w:val="0"/>
            <w:vAlign w:val="top"/>
          </w:tcPr>
          <w:p>
            <w:pPr>
              <w:rPr>
                <w:rFonts w:hint="eastAsia" w:ascii="宋体" w:hAnsi="宋体"/>
                <w:sz w:val="24"/>
                <w:szCs w:val="21"/>
              </w:rPr>
            </w:pPr>
            <w:r>
              <w:rPr>
                <w:rFonts w:hint="eastAsia" w:ascii="宋体" w:hAnsi="宋体"/>
                <w:sz w:val="24"/>
                <w:szCs w:val="21"/>
              </w:rPr>
              <w:t>毕业时间</w:t>
            </w:r>
          </w:p>
        </w:tc>
        <w:tc>
          <w:tcPr>
            <w:tcW w:w="2296" w:type="dxa"/>
            <w:noWrap w:val="0"/>
            <w:vAlign w:val="top"/>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宋体" w:hAnsi="宋体"/>
                <w:sz w:val="24"/>
                <w:szCs w:val="21"/>
              </w:rPr>
            </w:pPr>
            <w:r>
              <w:rPr>
                <w:rFonts w:hint="eastAsia" w:ascii="宋体" w:hAnsi="宋体"/>
                <w:sz w:val="24"/>
                <w:szCs w:val="21"/>
              </w:rPr>
              <w:t>拥有的执业资格</w:t>
            </w:r>
          </w:p>
        </w:tc>
        <w:tc>
          <w:tcPr>
            <w:tcW w:w="3420" w:type="dxa"/>
            <w:noWrap w:val="0"/>
            <w:vAlign w:val="top"/>
          </w:tcPr>
          <w:p>
            <w:pPr>
              <w:rPr>
                <w:rFonts w:hint="eastAsia" w:ascii="宋体" w:hAnsi="宋体"/>
                <w:sz w:val="24"/>
                <w:szCs w:val="21"/>
              </w:rPr>
            </w:pPr>
          </w:p>
        </w:tc>
        <w:tc>
          <w:tcPr>
            <w:tcW w:w="1261" w:type="dxa"/>
            <w:noWrap w:val="0"/>
            <w:vAlign w:val="top"/>
          </w:tcPr>
          <w:p>
            <w:pPr>
              <w:rPr>
                <w:rFonts w:hint="eastAsia" w:ascii="宋体" w:hAnsi="宋体"/>
                <w:sz w:val="24"/>
                <w:szCs w:val="21"/>
              </w:rPr>
            </w:pPr>
            <w:r>
              <w:rPr>
                <w:rFonts w:hint="eastAsia" w:ascii="宋体" w:hAnsi="宋体"/>
                <w:sz w:val="24"/>
                <w:szCs w:val="21"/>
              </w:rPr>
              <w:t>专业职称</w:t>
            </w:r>
          </w:p>
        </w:tc>
        <w:tc>
          <w:tcPr>
            <w:tcW w:w="2296" w:type="dxa"/>
            <w:noWrap w:val="0"/>
            <w:vAlign w:val="top"/>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宋体" w:hAnsi="宋体"/>
                <w:sz w:val="24"/>
                <w:szCs w:val="21"/>
              </w:rPr>
            </w:pPr>
            <w:r>
              <w:rPr>
                <w:rFonts w:hint="eastAsia" w:ascii="宋体" w:hAnsi="宋体"/>
                <w:sz w:val="24"/>
                <w:szCs w:val="21"/>
              </w:rPr>
              <w:t>执业资格证书编号</w:t>
            </w:r>
          </w:p>
        </w:tc>
        <w:tc>
          <w:tcPr>
            <w:tcW w:w="3420" w:type="dxa"/>
            <w:noWrap w:val="0"/>
            <w:vAlign w:val="center"/>
          </w:tcPr>
          <w:p>
            <w:pPr>
              <w:rPr>
                <w:rFonts w:hint="eastAsia" w:ascii="宋体" w:hAnsi="宋体"/>
                <w:sz w:val="24"/>
                <w:szCs w:val="21"/>
              </w:rPr>
            </w:pPr>
          </w:p>
        </w:tc>
        <w:tc>
          <w:tcPr>
            <w:tcW w:w="1261" w:type="dxa"/>
            <w:noWrap w:val="0"/>
            <w:vAlign w:val="center"/>
          </w:tcPr>
          <w:p>
            <w:pPr>
              <w:rPr>
                <w:rFonts w:hint="eastAsia" w:ascii="宋体" w:hAnsi="宋体"/>
                <w:sz w:val="24"/>
                <w:szCs w:val="21"/>
              </w:rPr>
            </w:pPr>
            <w:r>
              <w:rPr>
                <w:rFonts w:hint="eastAsia" w:ascii="宋体" w:hAnsi="宋体"/>
                <w:sz w:val="24"/>
                <w:szCs w:val="21"/>
              </w:rPr>
              <w:t>工作年限</w:t>
            </w:r>
          </w:p>
        </w:tc>
        <w:tc>
          <w:tcPr>
            <w:tcW w:w="2296" w:type="dxa"/>
            <w:noWrap w:val="0"/>
            <w:vAlign w:val="center"/>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rPr>
                <w:rFonts w:hint="eastAsia" w:ascii="宋体" w:hAnsi="宋体"/>
                <w:sz w:val="24"/>
                <w:szCs w:val="21"/>
              </w:rPr>
            </w:pPr>
          </w:p>
          <w:p>
            <w:pPr>
              <w:rPr>
                <w:rFonts w:hint="eastAsia" w:ascii="宋体" w:hAnsi="宋体"/>
                <w:sz w:val="24"/>
                <w:szCs w:val="21"/>
              </w:rPr>
            </w:pPr>
            <w:r>
              <w:rPr>
                <w:rFonts w:hint="eastAsia" w:ascii="宋体" w:hAnsi="宋体"/>
                <w:sz w:val="24"/>
                <w:szCs w:val="21"/>
              </w:rPr>
              <w:t>主要工作业绩及担任的主要工作</w:t>
            </w:r>
          </w:p>
          <w:p>
            <w:pPr>
              <w:rPr>
                <w:rFonts w:hint="eastAsia" w:ascii="宋体" w:hAnsi="宋体"/>
                <w:sz w:val="24"/>
                <w:szCs w:val="21"/>
              </w:rPr>
            </w:pPr>
          </w:p>
        </w:tc>
        <w:tc>
          <w:tcPr>
            <w:tcW w:w="8300" w:type="dxa"/>
            <w:gridSpan w:val="4"/>
            <w:noWrap w:val="0"/>
            <w:vAlign w:val="center"/>
          </w:tcPr>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tc>
      </w:tr>
    </w:tbl>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spacing w:before="218"/>
        <w:ind w:left="911" w:right="429" w:firstLine="0"/>
        <w:jc w:val="center"/>
        <w:rPr>
          <w:sz w:val="28"/>
        </w:rPr>
      </w:pPr>
    </w:p>
    <w:p>
      <w:pPr>
        <w:spacing w:before="218"/>
        <w:ind w:left="911" w:right="429" w:firstLine="0"/>
        <w:jc w:val="center"/>
        <w:rPr>
          <w:sz w:val="28"/>
        </w:rPr>
      </w:pPr>
      <w:r>
        <w:rPr>
          <w:sz w:val="28"/>
        </w:rPr>
        <w:t>十二、</w:t>
      </w:r>
      <w:r>
        <w:rPr>
          <w:rFonts w:hint="eastAsia"/>
          <w:sz w:val="28"/>
          <w:lang w:val="en-US" w:eastAsia="zh-CN"/>
        </w:rPr>
        <w:t>企业业绩</w:t>
      </w:r>
    </w:p>
    <w:p>
      <w:pPr>
        <w:spacing w:before="120" w:beforeLines="50" w:after="120" w:afterLines="50" w:line="440" w:lineRule="exact"/>
        <w:ind w:left="720" w:hanging="720" w:hangingChars="300"/>
        <w:jc w:val="center"/>
        <w:rPr>
          <w:rFonts w:hint="eastAsia" w:ascii="宋体" w:hAnsi="宋体"/>
          <w:sz w:val="24"/>
          <w:szCs w:val="24"/>
        </w:rPr>
      </w:pPr>
      <w:r>
        <w:rPr>
          <w:rFonts w:hint="eastAsia" w:ascii="宋体" w:hAnsi="宋体"/>
          <w:sz w:val="24"/>
          <w:szCs w:val="24"/>
        </w:rPr>
        <w:t>完成的类似项目情况表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项目名称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项目所在地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发包人名称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发包人地址</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合同价格</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开工日期</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竣工日期</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承担的工作</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工程质量</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项目负责人</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技术负责人</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项目描述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备注</w:t>
            </w:r>
          </w:p>
        </w:tc>
        <w:tc>
          <w:tcPr>
            <w:tcW w:w="6094" w:type="dxa"/>
            <w:noWrap w:val="0"/>
            <w:vAlign w:val="center"/>
          </w:tcPr>
          <w:p>
            <w:pPr>
              <w:jc w:val="center"/>
              <w:rPr>
                <w:rFonts w:hint="eastAsia" w:ascii="宋体" w:hAnsi="宋体"/>
                <w:szCs w:val="21"/>
              </w:rPr>
            </w:pPr>
          </w:p>
        </w:tc>
      </w:tr>
    </w:tbl>
    <w:p>
      <w:pPr>
        <w:spacing w:line="440" w:lineRule="exact"/>
        <w:rPr>
          <w:rFonts w:hint="eastAsia" w:ascii="宋体" w:hAnsi="宋体"/>
          <w:sz w:val="24"/>
          <w:szCs w:val="21"/>
        </w:rPr>
      </w:pPr>
      <w:r>
        <w:rPr>
          <w:rFonts w:hint="eastAsia" w:ascii="宋体" w:hAnsi="宋体"/>
          <w:sz w:val="24"/>
          <w:szCs w:val="21"/>
        </w:rPr>
        <w:t>备注：1、类似项目指</w:t>
      </w:r>
      <w:r>
        <w:rPr>
          <w:rFonts w:hint="eastAsia" w:ascii="宋体" w:hAnsi="宋体"/>
          <w:sz w:val="24"/>
          <w:szCs w:val="21"/>
          <w:u w:val="single"/>
        </w:rPr>
        <w:t xml:space="preserve"> 工程性质、规模、中标金额类似</w:t>
      </w:r>
      <w:r>
        <w:rPr>
          <w:rFonts w:hint="eastAsia" w:ascii="宋体" w:hAnsi="宋体"/>
          <w:sz w:val="24"/>
          <w:szCs w:val="21"/>
        </w:rPr>
        <w:t>工程。</w:t>
      </w:r>
    </w:p>
    <w:p>
      <w:pPr>
        <w:spacing w:line="440" w:lineRule="exact"/>
        <w:rPr>
          <w:rFonts w:hint="eastAsia" w:ascii="宋体" w:hAnsi="宋体"/>
          <w:sz w:val="24"/>
          <w:szCs w:val="21"/>
        </w:rPr>
      </w:pPr>
      <w:r>
        <w:rPr>
          <w:rFonts w:hint="eastAsia" w:ascii="宋体" w:hAnsi="宋体"/>
          <w:sz w:val="24"/>
          <w:szCs w:val="21"/>
        </w:rPr>
        <w:t xml:space="preserve">      2、本表后附中标通知书和（或）合同协议书、工程接收证书（工程竣工验收证书）的复印件。每张表格只填写一个项目，并标明序号。</w:t>
      </w:r>
    </w:p>
    <w:p>
      <w:pPr>
        <w:pStyle w:val="8"/>
        <w:spacing w:before="11"/>
        <w:rPr>
          <w:sz w:val="22"/>
        </w:rPr>
      </w:pPr>
    </w:p>
    <w:p>
      <w:pPr>
        <w:numPr>
          <w:ilvl w:val="0"/>
          <w:numId w:val="0"/>
        </w:numPr>
        <w:spacing w:before="62"/>
        <w:ind w:right="429" w:rightChars="0"/>
        <w:jc w:val="center"/>
        <w:rPr>
          <w:rFonts w:hint="eastAsia"/>
          <w:sz w:val="28"/>
          <w:lang w:val="en-US" w:eastAsia="zh-CN"/>
        </w:rPr>
      </w:pPr>
    </w:p>
    <w:p>
      <w:pPr>
        <w:numPr>
          <w:ilvl w:val="0"/>
          <w:numId w:val="0"/>
        </w:numPr>
        <w:spacing w:before="62"/>
        <w:ind w:right="429" w:rightChars="0"/>
        <w:jc w:val="center"/>
        <w:rPr>
          <w:rFonts w:hint="eastAsia"/>
          <w:lang w:val="en-US" w:eastAsia="zh-CN"/>
        </w:rPr>
      </w:pPr>
      <w:r>
        <w:rPr>
          <w:rFonts w:hint="eastAsia"/>
          <w:sz w:val="28"/>
          <w:lang w:val="en-US" w:eastAsia="zh-CN"/>
        </w:rPr>
        <w:t>十三、措施方案</w:t>
      </w:r>
    </w:p>
    <w:p>
      <w:pPr>
        <w:pStyle w:val="8"/>
        <w:spacing w:before="5"/>
        <w:ind w:firstLine="500" w:firstLineChars="200"/>
        <w:rPr>
          <w:rFonts w:hint="eastAsia" w:eastAsia="仿宋"/>
          <w:sz w:val="25"/>
          <w:lang w:val="en-US" w:eastAsia="zh-CN"/>
        </w:rPr>
      </w:pPr>
      <w:r>
        <w:rPr>
          <w:rFonts w:hint="eastAsia"/>
          <w:sz w:val="25"/>
          <w:lang w:val="en-US" w:eastAsia="zh-CN"/>
        </w:rPr>
        <w:t>（内容自拟）</w:t>
      </w:r>
    </w:p>
    <w:p>
      <w:pPr>
        <w:spacing w:after="0"/>
        <w:jc w:val="center"/>
        <w:rPr>
          <w:sz w:val="28"/>
        </w:rPr>
      </w:pPr>
    </w:p>
    <w:p>
      <w:pPr>
        <w:pStyle w:val="13"/>
        <w:sectPr>
          <w:footerReference r:id="rId14" w:type="default"/>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pStyle w:val="8"/>
        <w:spacing w:before="11"/>
        <w:rPr>
          <w:sz w:val="22"/>
        </w:rPr>
      </w:pPr>
    </w:p>
    <w:p>
      <w:pPr>
        <w:numPr>
          <w:ilvl w:val="0"/>
          <w:numId w:val="23"/>
        </w:numPr>
        <w:spacing w:before="62"/>
        <w:ind w:right="429" w:rightChars="0"/>
        <w:jc w:val="center"/>
        <w:rPr>
          <w:rFonts w:hint="eastAsia"/>
          <w:sz w:val="28"/>
          <w:lang w:val="en-US" w:eastAsia="zh-CN"/>
        </w:rPr>
      </w:pPr>
      <w:r>
        <w:rPr>
          <w:rFonts w:hint="eastAsia"/>
          <w:sz w:val="28"/>
          <w:lang w:val="en-US" w:eastAsia="zh-CN"/>
        </w:rPr>
        <w:t>质量管理</w:t>
      </w:r>
    </w:p>
    <w:p>
      <w:pPr>
        <w:pStyle w:val="24"/>
        <w:numPr>
          <w:ilvl w:val="0"/>
          <w:numId w:val="0"/>
        </w:numPr>
        <w:autoSpaceDE w:val="0"/>
        <w:autoSpaceDN w:val="0"/>
        <w:adjustRightInd w:val="0"/>
        <w:snapToGrid w:val="0"/>
        <w:spacing w:line="360" w:lineRule="auto"/>
        <w:jc w:val="both"/>
        <w:rPr>
          <w:rFonts w:hint="default"/>
          <w:lang w:val="en-US" w:eastAsia="zh-CN"/>
        </w:rPr>
      </w:pPr>
    </w:p>
    <w:p>
      <w:pPr>
        <w:pStyle w:val="24"/>
        <w:ind w:left="0" w:leftChars="0" w:firstLine="0" w:firstLineChars="0"/>
        <w:rPr>
          <w:rFonts w:hint="eastAsia"/>
          <w:lang w:val="en-US" w:eastAsia="zh-CN"/>
        </w:rPr>
      </w:pPr>
      <w:r>
        <w:rPr>
          <w:rFonts w:hint="eastAsia"/>
          <w:lang w:val="en-US" w:eastAsia="zh-CN"/>
        </w:rPr>
        <w:t>（内容自拟）</w:t>
      </w: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numPr>
          <w:ilvl w:val="0"/>
          <w:numId w:val="23"/>
        </w:numPr>
        <w:ind w:left="0" w:leftChars="0" w:firstLine="0" w:firstLineChars="0"/>
        <w:jc w:val="center"/>
        <w:rPr>
          <w:rFonts w:hint="eastAsia" w:ascii="宋体" w:hAnsi="宋体"/>
          <w:sz w:val="24"/>
          <w:lang w:val="en-US" w:eastAsia="zh-CN"/>
        </w:rPr>
      </w:pPr>
      <w:r>
        <w:rPr>
          <w:rFonts w:hint="eastAsia" w:ascii="宋体" w:hAnsi="宋体"/>
          <w:sz w:val="24"/>
          <w:lang w:val="en-US" w:eastAsia="zh-CN"/>
        </w:rPr>
        <w:t>先进方案</w:t>
      </w: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rPr>
          <w:rFonts w:hint="eastAsia" w:ascii="宋体" w:hAnsi="宋体"/>
          <w:sz w:val="24"/>
          <w:lang w:val="en-US" w:eastAsia="zh-CN"/>
        </w:rPr>
      </w:pPr>
    </w:p>
    <w:p>
      <w:pPr>
        <w:rPr>
          <w:rFonts w:hint="eastAsia" w:ascii="宋体" w:hAnsi="宋体"/>
          <w:sz w:val="24"/>
          <w:lang w:val="en-US" w:eastAsia="zh-CN"/>
        </w:rPr>
      </w:pPr>
    </w:p>
    <w:p>
      <w:pPr>
        <w:pStyle w:val="24"/>
        <w:numPr>
          <w:ilvl w:val="0"/>
          <w:numId w:val="23"/>
        </w:numPr>
        <w:ind w:left="0" w:leftChars="0" w:firstLine="0" w:firstLineChars="0"/>
        <w:jc w:val="center"/>
        <w:rPr>
          <w:rFonts w:hint="eastAsia"/>
          <w:lang w:val="en-US" w:eastAsia="zh-CN"/>
        </w:rPr>
      </w:pPr>
      <w:r>
        <w:rPr>
          <w:rFonts w:hint="eastAsia"/>
          <w:lang w:val="en-US" w:eastAsia="zh-CN"/>
        </w:rPr>
        <w:t>磋商保证金</w:t>
      </w:r>
    </w:p>
    <w:p>
      <w:pPr>
        <w:numPr>
          <w:ilvl w:val="0"/>
          <w:numId w:val="0"/>
        </w:numPr>
        <w:ind w:leftChars="0" w:right="0" w:rightChars="0"/>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rPr>
          <w:rFonts w:hint="default"/>
          <w:lang w:val="en-US" w:eastAsia="zh-CN"/>
        </w:rPr>
      </w:pPr>
    </w:p>
    <w:p>
      <w:pPr>
        <w:rPr>
          <w:rFonts w:hint="default"/>
          <w:lang w:val="en-US" w:eastAsia="zh-CN"/>
        </w:rPr>
      </w:pPr>
    </w:p>
    <w:p>
      <w:pPr>
        <w:pStyle w:val="24"/>
        <w:ind w:left="0" w:leftChars="0" w:firstLine="0" w:firstLineChars="0"/>
        <w:jc w:val="center"/>
        <w:rPr>
          <w:rFonts w:hint="default"/>
          <w:lang w:val="en-US" w:eastAsia="zh-CN"/>
        </w:rPr>
      </w:pPr>
      <w:r>
        <w:rPr>
          <w:rFonts w:hint="eastAsia"/>
          <w:lang w:val="en-US" w:eastAsia="zh-CN"/>
        </w:rPr>
        <w:t>十七、</w:t>
      </w:r>
      <w:r>
        <w:t>供应商需要说明的其他文件和说明（格式自拟）</w:t>
      </w:r>
    </w:p>
    <w:p>
      <w:pPr>
        <w:pStyle w:val="24"/>
        <w:rPr>
          <w:rFonts w:hint="default"/>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default"/>
          <w:lang w:val="en-US" w:eastAsia="zh-CN"/>
        </w:rPr>
        <w:sectPr>
          <w:pgSz w:w="11910" w:h="16840"/>
          <w:pgMar w:top="1580" w:right="940" w:bottom="1180" w:left="940" w:header="0" w:footer="1000" w:gutter="0"/>
          <w:pgBorders>
            <w:top w:val="none" w:sz="0" w:space="0"/>
            <w:left w:val="none" w:sz="0" w:space="0"/>
            <w:bottom w:val="none" w:sz="0" w:space="0"/>
            <w:right w:val="none" w:sz="0" w:space="0"/>
          </w:pgBorders>
          <w:cols w:space="720" w:num="1"/>
        </w:sectPr>
      </w:pPr>
    </w:p>
    <w:p>
      <w:pPr>
        <w:numPr>
          <w:ilvl w:val="0"/>
          <w:numId w:val="0"/>
        </w:numPr>
        <w:spacing w:before="0"/>
        <w:ind w:left="0" w:leftChars="0" w:right="0" w:rightChars="0"/>
        <w:jc w:val="both"/>
        <w:rPr>
          <w:rFonts w:hint="eastAsia" w:eastAsia="仿宋"/>
          <w:lang w:eastAsia="zh-CN"/>
        </w:rPr>
        <w:sectPr>
          <w:type w:val="continuous"/>
          <w:pgSz w:w="11910" w:h="16840"/>
          <w:pgMar w:top="1460" w:right="940" w:bottom="280" w:left="940" w:header="720" w:footer="720" w:gutter="0"/>
          <w:pgBorders>
            <w:top w:val="none" w:sz="0" w:space="0"/>
            <w:left w:val="none" w:sz="0" w:space="0"/>
            <w:bottom w:val="none" w:sz="0" w:space="0"/>
            <w:right w:val="none" w:sz="0" w:space="0"/>
          </w:pgBorders>
          <w:cols w:equalWidth="0" w:num="2">
            <w:col w:w="2190" w:space="364"/>
            <w:col w:w="7476"/>
          </w:cols>
        </w:sectPr>
      </w:pPr>
      <w:r>
        <w:rPr>
          <w:rFonts w:hint="eastAsia" w:cs="仿宋"/>
          <w:sz w:val="28"/>
          <w:szCs w:val="22"/>
          <w:lang w:val="en-US" w:eastAsia="zh-CN" w:bidi="zh-CN"/>
        </w:rPr>
        <w:t xml:space="preserve">                                </w:t>
      </w:r>
    </w:p>
    <w:p>
      <w:pPr>
        <w:spacing w:line="360" w:lineRule="auto"/>
        <w:jc w:val="center"/>
        <w:rPr>
          <w:rFonts w:hint="eastAsia" w:ascii="宋体" w:hAnsi="Times New Roman" w:eastAsia="宋体" w:cs="Times New Roman"/>
          <w:sz w:val="24"/>
          <w:szCs w:val="22"/>
          <w:lang w:val="en-US" w:eastAsia="zh-CN" w:bidi="ar-SA"/>
        </w:rPr>
      </w:pPr>
      <w:r>
        <w:rPr>
          <w:rFonts w:hint="eastAsia" w:ascii="宋体" w:hAnsi="Times New Roman" w:eastAsia="宋体" w:cs="Times New Roman"/>
          <w:sz w:val="24"/>
          <w:szCs w:val="22"/>
          <w:lang w:val="en-US" w:eastAsia="zh-CN" w:bidi="ar-SA"/>
        </w:rPr>
        <w:t>十八、中小微企业声明函</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(请填写：小型、微型)企业。</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2、本公司参加______单位的</w:t>
      </w:r>
      <w:r>
        <w:rPr>
          <w:rFonts w:hint="eastAsia" w:ascii="宋体" w:hAnsi="宋体" w:eastAsia="宋体" w:cs="宋体"/>
          <w:color w:val="auto"/>
          <w:sz w:val="24"/>
          <w:lang w:eastAsia="zh-CN"/>
        </w:rPr>
        <w:t>项目</w:t>
      </w:r>
      <w:r>
        <w:rPr>
          <w:rFonts w:hint="eastAsia" w:ascii="宋体" w:hAnsi="宋体" w:eastAsia="宋体" w:cs="宋体"/>
          <w:color w:val="auto"/>
          <w:sz w:val="24"/>
        </w:rPr>
        <w:t>编号为______的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项目政府采购活动提供本企业制造的服务或产品，由本企业承担工程、提供服务，或者提供其他</w:t>
      </w:r>
      <w:r>
        <w:rPr>
          <w:rFonts w:hint="eastAsia" w:ascii="宋体" w:hAnsi="宋体" w:eastAsia="宋体" w:cs="宋体"/>
          <w:color w:val="auto"/>
          <w:sz w:val="24"/>
          <w:u w:val="single"/>
        </w:rPr>
        <w:t xml:space="preserve">    </w:t>
      </w:r>
      <w:r>
        <w:rPr>
          <w:rFonts w:hint="eastAsia" w:ascii="宋体" w:hAnsi="宋体" w:eastAsia="宋体" w:cs="宋体"/>
          <w:color w:val="auto"/>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3、本公司在本次政府采购活动中提供的小微型企业产品报价合计为人民币（大写）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圆整（￥：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本公司对上述声明的真实性负责。如有虚假，将依法承担相应责任。</w:t>
      </w:r>
    </w:p>
    <w:p>
      <w:pPr>
        <w:pStyle w:val="17"/>
        <w:rPr>
          <w:rFonts w:hint="eastAsia"/>
          <w:color w:val="auto"/>
        </w:rPr>
      </w:pPr>
    </w:p>
    <w:p>
      <w:pPr>
        <w:spacing w:before="145" w:beforeLines="50" w:after="145" w:afterLines="50" w:line="300" w:lineRule="auto"/>
        <w:ind w:firstLine="360" w:firstLineChars="150"/>
        <w:jc w:val="center"/>
        <w:rPr>
          <w:rFonts w:hint="eastAsia" w:ascii="宋体" w:hAnsi="宋体" w:eastAsia="宋体" w:cs="宋体"/>
          <w:color w:val="auto"/>
          <w:sz w:val="24"/>
          <w:u w:val="single"/>
          <w:lang w:val="en-US" w:eastAsia="zh-CN"/>
        </w:rPr>
      </w:pP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r>
        <w:rPr>
          <w:rFonts w:hint="eastAsia" w:ascii="宋体" w:hAnsi="宋体" w:eastAsia="宋体" w:cs="宋体"/>
          <w:color w:val="auto"/>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color w:val="auto"/>
          <w:sz w:val="24"/>
          <w:lang w:val="en-US" w:eastAsia="zh-CN"/>
        </w:rPr>
      </w:pPr>
      <w:r>
        <w:rPr>
          <w:rFonts w:hint="eastAsia" w:ascii="宋体" w:hAnsi="宋体" w:eastAsia="宋体" w:cs="宋体"/>
          <w:color w:val="auto"/>
          <w:sz w:val="24"/>
        </w:rPr>
        <w:t>日  期：</w:t>
      </w:r>
      <w:r>
        <w:rPr>
          <w:rFonts w:hint="eastAsia" w:ascii="宋体" w:hAnsi="宋体" w:eastAsia="宋体" w:cs="宋体"/>
          <w:color w:val="auto"/>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（备注：</w:t>
      </w:r>
      <w:r>
        <w:rPr>
          <w:rFonts w:hint="eastAsia" w:ascii="宋体" w:hAnsi="宋体" w:cs="宋体"/>
          <w:color w:val="auto"/>
          <w:sz w:val="24"/>
          <w:lang w:eastAsia="zh-CN"/>
        </w:rPr>
        <w:t>若非中小微企业则</w:t>
      </w:r>
      <w:r>
        <w:rPr>
          <w:rFonts w:hint="eastAsia" w:ascii="宋体" w:hAnsi="宋体" w:cs="宋体"/>
          <w:color w:val="auto"/>
          <w:sz w:val="24"/>
          <w:lang w:val="en-US" w:eastAsia="zh-CN"/>
        </w:rPr>
        <w:t>/填入</w:t>
      </w:r>
      <w:r>
        <w:rPr>
          <w:rFonts w:hint="eastAsia" w:ascii="宋体" w:hAnsi="宋体" w:eastAsia="宋体" w:cs="宋体"/>
          <w:color w:val="auto"/>
          <w:sz w:val="24"/>
        </w:rPr>
        <w:t>，价格将不做相应扣除）</w:t>
      </w:r>
    </w:p>
    <w:p>
      <w:pPr>
        <w:spacing w:before="145" w:beforeLines="50" w:after="145" w:afterLines="50" w:line="300" w:lineRule="auto"/>
        <w:rPr>
          <w:rFonts w:hint="eastAsia" w:ascii="宋体" w:hAnsi="宋体" w:eastAsia="宋体" w:cs="宋体"/>
          <w:bCs/>
          <w:color w:val="auto"/>
          <w:sz w:val="24"/>
        </w:rPr>
      </w:pPr>
    </w:p>
    <w:p>
      <w:pPr>
        <w:spacing w:before="145" w:beforeLines="50" w:after="145" w:afterLines="50" w:line="300" w:lineRule="auto"/>
        <w:rPr>
          <w:rFonts w:hint="eastAsia" w:ascii="宋体" w:hAnsi="宋体" w:eastAsia="宋体" w:cs="宋体"/>
          <w:bCs/>
          <w:color w:val="auto"/>
          <w:sz w:val="24"/>
        </w:rPr>
      </w:pPr>
    </w:p>
    <w:p>
      <w:pPr>
        <w:spacing w:before="145" w:beforeLines="50" w:after="145" w:afterLines="50" w:line="300" w:lineRule="auto"/>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pStyle w:val="25"/>
        <w:rPr>
          <w:rFonts w:hint="eastAsia" w:ascii="宋体" w:hAnsi="宋体" w:eastAsia="宋体" w:cs="宋体"/>
          <w:bCs/>
          <w:color w:val="auto"/>
          <w:sz w:val="24"/>
        </w:rPr>
      </w:pPr>
    </w:p>
    <w:p>
      <w:pPr>
        <w:spacing w:line="360" w:lineRule="auto"/>
        <w:jc w:val="center"/>
        <w:rPr>
          <w:rFonts w:hint="eastAsia" w:ascii="宋体" w:hAnsi="Times New Roman" w:eastAsia="宋体" w:cs="Times New Roman"/>
          <w:sz w:val="24"/>
          <w:szCs w:val="22"/>
          <w:lang w:val="en-US" w:eastAsia="zh-CN" w:bidi="ar-SA"/>
        </w:rPr>
      </w:pPr>
      <w:bookmarkStart w:id="115" w:name="_Toc26894"/>
      <w:r>
        <w:rPr>
          <w:rFonts w:hint="eastAsia" w:ascii="宋体" w:hAnsi="Times New Roman" w:eastAsia="宋体" w:cs="Times New Roman"/>
          <w:sz w:val="24"/>
          <w:szCs w:val="22"/>
          <w:lang w:val="en-US" w:eastAsia="zh-CN" w:bidi="ar-SA"/>
        </w:rPr>
        <w:t>十九、残疾人福利性单位声明函</w:t>
      </w:r>
      <w:bookmarkEnd w:id="115"/>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宋体" w:hAnsi="宋体" w:eastAsia="宋体" w:cs="宋体"/>
          <w:color w:val="auto"/>
          <w:sz w:val="24"/>
          <w:lang w:eastAsia="zh-CN"/>
        </w:rPr>
        <w:t>项目</w:t>
      </w:r>
      <w:r>
        <w:rPr>
          <w:rFonts w:hint="eastAsia" w:ascii="宋体" w:hAnsi="宋体" w:eastAsia="宋体" w:cs="宋体"/>
          <w:color w:val="auto"/>
          <w:sz w:val="24"/>
        </w:rPr>
        <w:t>编号为______的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本单位在本次政府采购活动中提供的残疾人福利单位产品报价合计为人民币（大写）圆整（￥：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color w:val="auto"/>
          <w:sz w:val="24"/>
        </w:rPr>
      </w:pPr>
    </w:p>
    <w:p>
      <w:pPr>
        <w:spacing w:before="145" w:beforeLines="50" w:after="145" w:afterLines="50" w:line="30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（备注：1、（备注：</w:t>
      </w:r>
      <w:r>
        <w:rPr>
          <w:rFonts w:hint="eastAsia" w:ascii="宋体" w:hAnsi="宋体" w:cs="宋体"/>
          <w:color w:val="auto"/>
          <w:sz w:val="24"/>
          <w:lang w:eastAsia="zh-CN"/>
        </w:rPr>
        <w:t>若非中小微企业则</w:t>
      </w:r>
      <w:r>
        <w:rPr>
          <w:rFonts w:hint="eastAsia" w:ascii="宋体" w:hAnsi="宋体" w:cs="宋体"/>
          <w:color w:val="auto"/>
          <w:sz w:val="24"/>
          <w:lang w:val="en-US" w:eastAsia="zh-CN"/>
        </w:rPr>
        <w:t>/填入</w:t>
      </w:r>
      <w:r>
        <w:rPr>
          <w:rFonts w:hint="eastAsia" w:ascii="宋体" w:hAnsi="宋体" w:eastAsia="宋体" w:cs="宋体"/>
          <w:color w:val="auto"/>
          <w:sz w:val="24"/>
        </w:rPr>
        <w:t>，价格将不做相应扣除）。2、中标供应商为残疾人福利单位的，此声明函将随中标结果同时公告，接受社会监督）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color w:val="auto"/>
          <w:spacing w:val="6"/>
          <w:sz w:val="30"/>
          <w:szCs w:val="30"/>
        </w:rPr>
      </w:pPr>
    </w:p>
    <w:p>
      <w:pPr>
        <w:spacing w:before="145" w:beforeLines="50" w:after="145" w:afterLines="50" w:line="300" w:lineRule="auto"/>
        <w:ind w:firstLine="468" w:firstLineChars="150"/>
        <w:jc w:val="center"/>
        <w:rPr>
          <w:rFonts w:hint="eastAsia" w:ascii="宋体" w:hAnsi="宋体" w:eastAsia="宋体" w:cs="宋体"/>
          <w:color w:val="auto"/>
          <w:sz w:val="24"/>
          <w:lang w:val="en-US" w:eastAsia="zh-CN"/>
        </w:rPr>
      </w:pPr>
      <w:r>
        <w:rPr>
          <w:rFonts w:hint="eastAsia" w:ascii="宋体" w:hAnsi="宋体" w:eastAsia="宋体" w:cs="宋体"/>
          <w:color w:val="auto"/>
          <w:spacing w:val="6"/>
          <w:sz w:val="30"/>
          <w:szCs w:val="30"/>
        </w:rPr>
        <w:t xml:space="preserve">             </w:t>
      </w:r>
      <w:r>
        <w:rPr>
          <w:rFonts w:hint="eastAsia" w:ascii="宋体" w:hAnsi="宋体" w:eastAsia="宋体" w:cs="宋体"/>
          <w:color w:val="auto"/>
          <w:sz w:val="24"/>
        </w:rPr>
        <w:t xml:space="preserve">            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  期：</w:t>
      </w:r>
      <w:r>
        <w:rPr>
          <w:rFonts w:hint="eastAsia" w:ascii="宋体" w:hAnsi="宋体" w:eastAsia="宋体" w:cs="宋体"/>
          <w:color w:val="auto"/>
          <w:sz w:val="24"/>
          <w:u w:val="singl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7"/>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spacing w:line="360" w:lineRule="auto"/>
        <w:jc w:val="center"/>
        <w:rPr>
          <w:rFonts w:hint="eastAsia" w:cs="Times New Roman"/>
          <w:b/>
          <w:sz w:val="32"/>
          <w:szCs w:val="32"/>
          <w:lang w:val="zh-CN" w:eastAsia="zh-CN"/>
        </w:rPr>
      </w:pPr>
      <w:r>
        <w:rPr>
          <w:rFonts w:hint="eastAsia" w:ascii="宋体" w:hAnsi="Times New Roman" w:eastAsia="宋体" w:cs="Times New Roman"/>
          <w:sz w:val="24"/>
          <w:szCs w:val="22"/>
          <w:lang w:val="en-US" w:eastAsia="zh-CN" w:bidi="ar-SA"/>
        </w:rPr>
        <w:t>二十</w:t>
      </w:r>
      <w:r>
        <w:rPr>
          <w:rFonts w:hint="eastAsia" w:ascii="宋体" w:hAnsi="Times New Roman" w:eastAsia="宋体" w:cs="Times New Roman"/>
          <w:sz w:val="24"/>
          <w:szCs w:val="22"/>
          <w:lang w:val="zh-CN" w:eastAsia="zh-CN" w:bidi="ar-SA"/>
        </w:rPr>
        <w:t>、投标单位（供应商）反商业贿赂承诺书</w:t>
      </w:r>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          号（             项目）招标活动中，我公司承诺如下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1、不给予国家工作人员及其亲属各种形式的商业贿赂（包括送礼金礼品、有价证券、购物券、回扣、佣金、咨询费、劳务费、赞助费、宣传费、支付旅游费用、报销各种消费凭证、宴请、娱乐等）；</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2、不与投标人相互勾结私下协议，弄虚作假，搞假招标、陪标、串通投标，明招暗定，暗箱操作。</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3、我公司法人及项目参与人员有亲戚担任业主方副科级以上领导职务时，自愿放弃此次投标权。</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如有上述行为，一经发现，我公司及项目参与人员愿意按照《政府采购法》、《招投标法》、《反不正当竞争法》的有关规定接受处罚。</w:t>
      </w:r>
    </w:p>
    <w:p>
      <w:pPr>
        <w:spacing w:before="145" w:beforeLines="50" w:after="145" w:afterLines="50" w:line="300" w:lineRule="auto"/>
        <w:ind w:firstLine="480" w:firstLineChars="200"/>
        <w:rPr>
          <w:rFonts w:hint="eastAsia" w:ascii="宋体" w:hAnsi="宋体" w:eastAsia="宋体" w:cs="宋体"/>
          <w:color w:val="auto"/>
          <w:sz w:val="24"/>
        </w:rPr>
      </w:pP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公司法人代表：（签字）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法人授权代表：（签字）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 目 经 理： （签字）                   .</w:t>
      </w:r>
    </w:p>
    <w:p>
      <w:pPr>
        <w:spacing w:before="145" w:beforeLines="50" w:after="145" w:afterLines="50" w:line="300" w:lineRule="auto"/>
        <w:ind w:firstLine="480" w:firstLineChars="200"/>
        <w:jc w:val="right"/>
        <w:rPr>
          <w:rFonts w:hint="eastAsia" w:ascii="宋体" w:hAnsi="宋体" w:eastAsia="宋体" w:cs="宋体"/>
          <w:color w:val="auto"/>
          <w:sz w:val="24"/>
        </w:rPr>
      </w:pPr>
    </w:p>
    <w:p>
      <w:pPr>
        <w:spacing w:before="145" w:beforeLines="50" w:after="145" w:afterLines="50" w:line="30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 xml:space="preserve">       公司签章       .</w:t>
      </w:r>
    </w:p>
    <w:p>
      <w:pPr>
        <w:spacing w:before="145" w:beforeLines="50" w:after="145" w:afterLines="50" w:line="30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年      月     日</w:t>
      </w:r>
    </w:p>
    <w:p>
      <w:pPr>
        <w:pStyle w:val="8"/>
        <w:tabs>
          <w:tab w:val="left" w:pos="5871"/>
          <w:tab w:val="left" w:pos="7071"/>
          <w:tab w:val="left" w:pos="7671"/>
          <w:tab w:val="left" w:pos="8271"/>
        </w:tabs>
        <w:spacing w:before="134"/>
      </w:pPr>
    </w:p>
    <w:sectPr>
      <w:pgSz w:w="11910" w:h="16840"/>
      <w:pgMar w:top="1580" w:right="940" w:bottom="1180" w:left="940" w:header="0" w:footer="100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9921240</wp:posOffset>
              </wp:positionV>
              <wp:extent cx="82550"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2</w:t>
                          </w:r>
                        </w:p>
                      </w:txbxContent>
                    </wps:txbx>
                    <wps:bodyPr lIns="0" tIns="0" rIns="0" bIns="0" upright="1"/>
                  </wps:wsp>
                </a:graphicData>
              </a:graphic>
            </wp:anchor>
          </w:drawing>
        </mc:Choice>
        <mc:Fallback>
          <w:pict>
            <v:shape id="文本框 1" o:spid="_x0000_s1026" o:spt="202" type="#_x0000_t202" style="position:absolute;left:0pt;margin-left:294.4pt;margin-top:781.2pt;height:12pt;width:6.5pt;mso-position-horizontal-relative:page;mso-position-vertical-relative:page;z-index:-251657216;mso-width-relative:page;mso-height-relative:page;" filled="f" stroked="f" coordsize="21600,21600" o:gfxdata="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EdaT2gAAAA0BAAAPAAAAAAAAAAEAIAAAACIAAABkcnMvZG93bnJldi54bWxQSwEC&#10;FAAUAAAACACHTuJA/2j9J7kBAABwAwAADgAAAAAAAAABACAAAAAp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2</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1.15pt;margin-top:780.9pt;height:11pt;width:13.1pt;mso-position-horizontal-relative:page;mso-position-vertical-relative:page;z-index:-251650048;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KXbt2gAAAA0BAAAPAAAAAAAAAAEAIAAAACIAAABkcnMvZG93bnJldi54bWxQSwEC&#10;FAAUAAAACACHTuJADZblcr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3738880</wp:posOffset>
              </wp:positionH>
              <wp:positionV relativeFrom="page">
                <wp:posOffset>9917430</wp:posOffset>
              </wp:positionV>
              <wp:extent cx="82550"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spacing w:before="0" w:line="220" w:lineRule="exact"/>
                            <w:ind w:left="20" w:right="0" w:firstLine="0"/>
                            <w:jc w:val="left"/>
                            <w:rPr>
                              <w:rFonts w:ascii="宋体"/>
                              <w:sz w:val="18"/>
                            </w:rPr>
                          </w:pPr>
                          <w:r>
                            <w:rPr>
                              <w:rFonts w:ascii="宋体"/>
                              <w:sz w:val="18"/>
                            </w:rPr>
                            <w:t>1</w:t>
                          </w:r>
                        </w:p>
                      </w:txbxContent>
                    </wps:txbx>
                    <wps:bodyPr lIns="0" tIns="0" rIns="0" bIns="0" upright="1"/>
                  </wps:wsp>
                </a:graphicData>
              </a:graphic>
            </wp:anchor>
          </w:drawing>
        </mc:Choice>
        <mc:Fallback>
          <w:pict>
            <v:shape id="文本框 2" o:spid="_x0000_s1026" o:spt="202" type="#_x0000_t202" style="position:absolute;left:0pt;margin-left:294.4pt;margin-top:780.9pt;height:11pt;width:6.5pt;mso-position-horizontal-relative:page;mso-position-vertical-relative:page;z-index:-251656192;mso-width-relative:page;mso-height-relative:page;" filled="f" stroked="f" coordsize="21600,21600" o:gfxdata="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crfZ9gAAAANAQAADwAAAAAAAAABACAAAAAiAAAAZHJzL2Rvd25yZXYueG1sUEsBAhQA&#10;FAAAAAgAh07iQI+qkw25AQAAcAMAAA4AAAAAAAAAAQAgAAAAJwEAAGRycy9lMm9Eb2MueG1sUEsF&#10;BgAAAAAGAAYAWQEAAFIFAAAAAA==&#10;">
              <v:fill on="f" focussize="0,0"/>
              <v:stroke on="f"/>
              <v:imagedata o:title=""/>
              <o:lock v:ext="edit" aspectratio="f"/>
              <v:textbox inset="0mm,0mm,0mm,0mm">
                <w:txbxContent>
                  <w:p>
                    <w:pPr>
                      <w:spacing w:before="0" w:line="220" w:lineRule="exact"/>
                      <w:ind w:left="20" w:right="0" w:firstLine="0"/>
                      <w:jc w:val="left"/>
                      <w:rPr>
                        <w:rFonts w:ascii="宋体"/>
                        <w:sz w:val="18"/>
                      </w:rPr>
                    </w:pPr>
                    <w:r>
                      <w:rPr>
                        <w:rFonts w:ascii="宋体"/>
                        <w:sz w:val="18"/>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3726180</wp:posOffset>
              </wp:positionH>
              <wp:positionV relativeFrom="page">
                <wp:posOffset>9917430</wp:posOffset>
              </wp:positionV>
              <wp:extent cx="107950"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3.4pt;margin-top:780.9pt;height:11pt;width:8.5pt;mso-position-horizontal-relative:page;mso-position-vertical-relative:page;z-index:-251655168;mso-width-relative:page;mso-height-relative:page;" filled="f" stroked="f" coordsize="21600,21600" o:gfxdata="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OPyyvYAAAADQEAAA8AAAAAAAAAAQAgAAAAIgAAAGRycy9kb3ducmV2LnhtbFBLAQIU&#10;ABQAAAAIAIdO4kCwdJkuugEAAHEDAAAOAAAAAAAAAAEAIAAAACcBAABkcnMvZTJvRG9jLnhtbFBL&#10;BQYAAAAABgAGAFkBAABTBQ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15pt;margin-top:780.9pt;height:11pt;width:13.1pt;mso-position-horizontal-relative:page;mso-position-vertical-relative:page;z-index:-251654144;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yl27doAAAANAQAADwAAAAAAAAABACAAAAAiAAAAZHJzL2Rvd25yZXYueG1sUEsB&#10;AhQAFAAAAAgAh07iQHXHyYq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0.9pt;height:11pt;width:13.1pt;mso-position-horizontal-relative:page;mso-position-vertical-relative:page;z-index:-251653120;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KXbt2gAAAA0BAAAPAAAAAAAAAAEAIAAAACIAAABkcnMvZG93bnJldi54bWxQSwEC&#10;FAAUAAAACACHTuJA976WEb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220" w:lineRule="exact"/>
      <w:ind w:left="9020" w:leftChars="9" w:right="0" w:hanging="9000" w:hangingChars="5000"/>
      <w:jc w:val="left"/>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 xml:space="preserve">                                          </w:t>
    </w:r>
  </w:p>
  <w:p>
    <w:pPr>
      <w:pStyle w:val="2"/>
      <w:ind w:left="0" w:leftChars="0" w:firstLine="0" w:firstLineChars="0"/>
      <w:rPr>
        <w:rFonts w:hint="default" w:ascii="宋体" w:hAnsi="宋体" w:eastAsia="宋体" w:cs="宋体"/>
        <w:sz w:val="18"/>
        <w:szCs w:val="18"/>
        <w:lang w:val="en-US" w:eastAsia="zh-CN" w:bidi="ar-SA"/>
      </w:rPr>
    </w:pPr>
  </w:p>
  <w:p>
    <w:pPr>
      <w:widowControl w:val="0"/>
      <w:autoSpaceDE w:val="0"/>
      <w:autoSpaceDN w:val="0"/>
      <w:spacing w:before="0" w:after="0" w:line="220" w:lineRule="exact"/>
      <w:ind w:left="20" w:right="0"/>
      <w:jc w:val="left"/>
      <w:rPr>
        <w:rFonts w:hint="default" w:ascii="宋体" w:hAnsi="宋体" w:eastAsia="宋体" w:cs="宋体"/>
        <w:sz w:val="18"/>
        <w:szCs w:val="18"/>
        <w:lang w:val="en-US" w:eastAsia="zh-CN" w:bidi="ar-SA"/>
      </w:rPr>
    </w:pPr>
  </w:p>
  <w:p>
    <w:pPr>
      <w:pStyle w:val="8"/>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548005</wp:posOffset>
              </wp:positionH>
              <wp:positionV relativeFrom="page">
                <wp:posOffset>9141460</wp:posOffset>
              </wp:positionV>
              <wp:extent cx="1166495" cy="1397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166495" cy="139700"/>
                      </a:xfrm>
                      <a:prstGeom prst="rect">
                        <a:avLst/>
                      </a:prstGeom>
                      <a:noFill/>
                      <a:ln>
                        <a:noFill/>
                      </a:ln>
                    </wps:spPr>
                    <wps:txbx>
                      <w:txbxContent>
                        <w:p>
                          <w:pPr>
                            <w:pStyle w:val="8"/>
                            <w:spacing w:line="220" w:lineRule="exact"/>
                            <w:ind w:left="20"/>
                          </w:pPr>
                        </w:p>
                      </w:txbxContent>
                    </wps:txbx>
                    <wps:bodyPr lIns="0" tIns="0" rIns="0" bIns="0" upright="1"/>
                  </wps:wsp>
                </a:graphicData>
              </a:graphic>
            </wp:anchor>
          </w:drawing>
        </mc:Choice>
        <mc:Fallback>
          <w:pict>
            <v:shape id="_x0000_s1026" o:spid="_x0000_s1026" o:spt="202" type="#_x0000_t202" style="position:absolute;left:0pt;margin-left:43.15pt;margin-top:719.8pt;height:11pt;width:91.85pt;mso-position-horizontal-relative:page;mso-position-vertical-relative:page;z-index:-251648000;mso-width-relative:page;mso-height-relative:page;" filled="f" stroked="f" coordsize="21600,21600" o:gfxdata="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jScu82QAAAAwBAAAPAAAAAAAAAAEAIAAAACIAAABkcnMvZG93bnJldi54bWxQ&#10;SwECFAAUAAAACACHTuJA6TlEtb0BAAB0AwAADgAAAAAAAAABACAAAAAoAQAAZHJzL2Uyb0RvYy54&#10;bWxQSwUGAAAAAAYABgBZAQAAVwUAAAAA&#10;">
              <v:fill on="f" focussize="0,0"/>
              <v:stroke on="f"/>
              <v:imagedata o:title=""/>
              <o:lock v:ext="edit" aspectratio="f"/>
              <v:textbox inset="0mm,0mm,0mm,0mm">
                <w:txbxContent>
                  <w:p>
                    <w:pPr>
                      <w:pStyle w:val="8"/>
                      <w:spacing w:line="220" w:lineRule="exact"/>
                      <w:ind w:left="20"/>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5509895</wp:posOffset>
              </wp:positionH>
              <wp:positionV relativeFrom="page">
                <wp:posOffset>9141460</wp:posOffset>
              </wp:positionV>
              <wp:extent cx="1280795" cy="1397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280795" cy="139700"/>
                      </a:xfrm>
                      <a:prstGeom prst="rect">
                        <a:avLst/>
                      </a:prstGeom>
                      <a:noFill/>
                      <a:ln>
                        <a:noFill/>
                      </a:ln>
                    </wps:spPr>
                    <wps:txbx>
                      <w:txbxContent>
                        <w:p>
                          <w:pPr>
                            <w:pStyle w:val="8"/>
                            <w:spacing w:line="220" w:lineRule="exact"/>
                            <w:ind w:left="20"/>
                          </w:pPr>
                        </w:p>
                      </w:txbxContent>
                    </wps:txbx>
                    <wps:bodyPr lIns="0" tIns="0" rIns="0" bIns="0" upright="1"/>
                  </wps:wsp>
                </a:graphicData>
              </a:graphic>
            </wp:anchor>
          </w:drawing>
        </mc:Choice>
        <mc:Fallback>
          <w:pict>
            <v:shape id="_x0000_s1026" o:spid="_x0000_s1026" o:spt="202" type="#_x0000_t202" style="position:absolute;left:0pt;margin-left:433.85pt;margin-top:719.8pt;height:11pt;width:100.85pt;mso-position-horizontal-relative:page;mso-position-vertical-relative:page;z-index:-251646976;mso-width-relative:page;mso-height-relative:page;" filled="f" stroked="f" coordsize="21600,21600" o:gfxdata="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J6m3/bAAAADgEAAA8AAAAAAAAAAQAgAAAAIgAAAGRycy9kb3ducmV2Lnht&#10;bFBLAQIUABQAAAAIAIdO4kBs7m93vQEAAHQDAAAOAAAAAAAAAAEAIAAAACoBAABkcnMvZTJvRG9j&#10;LnhtbFBLBQYAAAAABgAGAFkBAABZBQAAAAA=&#10;">
              <v:fill on="f" focussize="0,0"/>
              <v:stroke on="f"/>
              <v:imagedata o:title=""/>
              <o:lock v:ext="edit" aspectratio="f"/>
              <v:textbox inset="0mm,0mm,0mm,0mm">
                <w:txbxContent>
                  <w:p>
                    <w:pPr>
                      <w:pStyle w:val="8"/>
                      <w:spacing w:line="220" w:lineRule="exact"/>
                      <w:ind w:left="20"/>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548005</wp:posOffset>
              </wp:positionH>
              <wp:positionV relativeFrom="page">
                <wp:posOffset>9436100</wp:posOffset>
              </wp:positionV>
              <wp:extent cx="6442710" cy="65405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6442710" cy="654050"/>
                      </a:xfrm>
                      <a:prstGeom prst="rect">
                        <a:avLst/>
                      </a:prstGeom>
                      <a:noFill/>
                      <a:ln>
                        <a:noFill/>
                      </a:ln>
                    </wps:spPr>
                    <wps:txbx>
                      <w:txbxContent>
                        <w:p>
                          <w:pPr>
                            <w:pStyle w:val="8"/>
                            <w:spacing w:before="34" w:line="187" w:lineRule="auto"/>
                            <w:ind w:right="152"/>
                          </w:pPr>
                        </w:p>
                        <w:p>
                          <w:pPr>
                            <w:pStyle w:val="8"/>
                            <w:spacing w:before="50" w:line="225" w:lineRule="exact"/>
                            <w:rPr>
                              <w:rFonts w:hint="default" w:eastAsia="仿宋"/>
                              <w:lang w:val="en-US" w:eastAsia="zh-CN"/>
                            </w:rPr>
                          </w:pPr>
                          <w:r>
                            <w:rPr>
                              <w:rFonts w:hint="eastAsia"/>
                              <w:lang w:val="en-US" w:eastAsia="zh-CN"/>
                            </w:rPr>
                            <w:t xml:space="preserve">      </w:t>
                          </w:r>
                        </w:p>
                      </w:txbxContent>
                    </wps:txbx>
                    <wps:bodyPr lIns="0" tIns="0" rIns="0" bIns="0" upright="1"/>
                  </wps:wsp>
                </a:graphicData>
              </a:graphic>
            </wp:anchor>
          </w:drawing>
        </mc:Choice>
        <mc:Fallback>
          <w:pict>
            <v:shape id="_x0000_s1026" o:spid="_x0000_s1026" o:spt="202" type="#_x0000_t202" style="position:absolute;left:0pt;margin-left:43.15pt;margin-top:743pt;height:51.5pt;width:507.3pt;mso-position-horizontal-relative:page;mso-position-vertical-relative:page;z-index:-251646976;mso-width-relative:page;mso-height-relative:page;" filled="f" stroked="f" coordsize="21600,21600" o:gfxdata="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JJNx2gAAAA0BAAAPAAAAAAAAAAEAIAAAACIAAABkcnMvZG93bnJldi54bWxQ&#10;SwECFAAUAAAACACHTuJAr19SWrwBAAB0AwAADgAAAAAAAAABACAAAAApAQAAZHJzL2Uyb0RvYy54&#10;bWxQSwUGAAAAAAYABgBZAQAAVwUAAAAA&#10;">
              <v:fill on="f" focussize="0,0"/>
              <v:stroke on="f"/>
              <v:imagedata o:title=""/>
              <o:lock v:ext="edit" aspectratio="f"/>
              <v:textbox inset="0mm,0mm,0mm,0mm">
                <w:txbxContent>
                  <w:p>
                    <w:pPr>
                      <w:pStyle w:val="8"/>
                      <w:spacing w:before="34" w:line="187" w:lineRule="auto"/>
                      <w:ind w:right="152"/>
                    </w:pPr>
                  </w:p>
                  <w:p>
                    <w:pPr>
                      <w:pStyle w:val="8"/>
                      <w:spacing w:before="50" w:line="225" w:lineRule="exact"/>
                      <w:rPr>
                        <w:rFonts w:hint="default" w:eastAsia="仿宋"/>
                        <w:lang w:val="en-US" w:eastAsia="zh-CN"/>
                      </w:rPr>
                    </w:pPr>
                    <w:r>
                      <w:rPr>
                        <w:rFonts w:hint="eastAsia"/>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1.15pt;margin-top:780.9pt;height:11pt;width:13.1pt;mso-position-horizontal-relative:page;mso-position-vertical-relative:page;z-index:-251652096;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KXbt2gAAAA0BAAAPAAAAAAAAAAEAIAAAACIAAABkcnMvZG93bnJldi54bWxQSwEC&#10;FAAUAAAACACHTuJA3iLrF7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80.9pt;height:11pt;width:13.1pt;mso-position-horizontal-relative:page;mso-position-vertical-relative:page;z-index:-251651072;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KXbt2gAAAA0BAAAPAAAAAAAAAAEAIAAAACIAAABkcnMvZG93bnJldi54bWxQSwEC&#10;FAAUAAAACACHTuJAbmqDHb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1.15pt;margin-top:780.9pt;height:11pt;width:13.1pt;mso-position-horizontal-relative:page;mso-position-vertical-relative:page;z-index:-251649024;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KXbt2gAAAA0BAAAPAAAAAAAAAAEAIAAAACIAAABkcnMvZG93bnJldi54bWxQSwEC&#10;FAAUAAAACACHTuJAu5O6bLkBAABy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107" w:hanging="243"/>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669" w:hanging="243"/>
      </w:pPr>
      <w:rPr>
        <w:rFonts w:hint="default"/>
        <w:lang w:val="zh-CN" w:eastAsia="zh-CN" w:bidi="zh-CN"/>
      </w:rPr>
    </w:lvl>
    <w:lvl w:ilvl="2" w:tentative="0">
      <w:start w:val="0"/>
      <w:numFmt w:val="bullet"/>
      <w:lvlText w:val="•"/>
      <w:lvlJc w:val="left"/>
      <w:pPr>
        <w:ind w:left="1239" w:hanging="243"/>
      </w:pPr>
      <w:rPr>
        <w:rFonts w:hint="default"/>
        <w:lang w:val="zh-CN" w:eastAsia="zh-CN" w:bidi="zh-CN"/>
      </w:rPr>
    </w:lvl>
    <w:lvl w:ilvl="3" w:tentative="0">
      <w:start w:val="0"/>
      <w:numFmt w:val="bullet"/>
      <w:lvlText w:val="•"/>
      <w:lvlJc w:val="left"/>
      <w:pPr>
        <w:ind w:left="1809" w:hanging="243"/>
      </w:pPr>
      <w:rPr>
        <w:rFonts w:hint="default"/>
        <w:lang w:val="zh-CN" w:eastAsia="zh-CN" w:bidi="zh-CN"/>
      </w:rPr>
    </w:lvl>
    <w:lvl w:ilvl="4" w:tentative="0">
      <w:start w:val="0"/>
      <w:numFmt w:val="bullet"/>
      <w:lvlText w:val="•"/>
      <w:lvlJc w:val="left"/>
      <w:pPr>
        <w:ind w:left="2379" w:hanging="243"/>
      </w:pPr>
      <w:rPr>
        <w:rFonts w:hint="default"/>
        <w:lang w:val="zh-CN" w:eastAsia="zh-CN" w:bidi="zh-CN"/>
      </w:rPr>
    </w:lvl>
    <w:lvl w:ilvl="5" w:tentative="0">
      <w:start w:val="0"/>
      <w:numFmt w:val="bullet"/>
      <w:lvlText w:val="•"/>
      <w:lvlJc w:val="left"/>
      <w:pPr>
        <w:ind w:left="2949" w:hanging="243"/>
      </w:pPr>
      <w:rPr>
        <w:rFonts w:hint="default"/>
        <w:lang w:val="zh-CN" w:eastAsia="zh-CN" w:bidi="zh-CN"/>
      </w:rPr>
    </w:lvl>
    <w:lvl w:ilvl="6" w:tentative="0">
      <w:start w:val="0"/>
      <w:numFmt w:val="bullet"/>
      <w:lvlText w:val="•"/>
      <w:lvlJc w:val="left"/>
      <w:pPr>
        <w:ind w:left="3518" w:hanging="243"/>
      </w:pPr>
      <w:rPr>
        <w:rFonts w:hint="default"/>
        <w:lang w:val="zh-CN" w:eastAsia="zh-CN" w:bidi="zh-CN"/>
      </w:rPr>
    </w:lvl>
    <w:lvl w:ilvl="7" w:tentative="0">
      <w:start w:val="0"/>
      <w:numFmt w:val="bullet"/>
      <w:lvlText w:val="•"/>
      <w:lvlJc w:val="left"/>
      <w:pPr>
        <w:ind w:left="4088" w:hanging="243"/>
      </w:pPr>
      <w:rPr>
        <w:rFonts w:hint="default"/>
        <w:lang w:val="zh-CN" w:eastAsia="zh-CN" w:bidi="zh-CN"/>
      </w:rPr>
    </w:lvl>
    <w:lvl w:ilvl="8" w:tentative="0">
      <w:start w:val="0"/>
      <w:numFmt w:val="bullet"/>
      <w:lvlText w:val="•"/>
      <w:lvlJc w:val="left"/>
      <w:pPr>
        <w:ind w:left="4658" w:hanging="243"/>
      </w:pPr>
      <w:rPr>
        <w:rFonts w:hint="default"/>
        <w:lang w:val="zh-CN" w:eastAsia="zh-CN" w:bidi="zh-CN"/>
      </w:rPr>
    </w:lvl>
  </w:abstractNum>
  <w:abstractNum w:abstractNumId="1">
    <w:nsid w:val="9975C7EF"/>
    <w:multiLevelType w:val="singleLevel"/>
    <w:tmpl w:val="9975C7EF"/>
    <w:lvl w:ilvl="0" w:tentative="0">
      <w:start w:val="10"/>
      <w:numFmt w:val="chineseCounting"/>
      <w:suff w:val="nothing"/>
      <w:lvlText w:val="%1、"/>
      <w:lvlJc w:val="left"/>
      <w:rPr>
        <w:rFonts w:hint="eastAsia"/>
      </w:rPr>
    </w:lvl>
  </w:abstractNum>
  <w:abstractNum w:abstractNumId="2">
    <w:nsid w:val="9C8AC8EF"/>
    <w:multiLevelType w:val="multilevel"/>
    <w:tmpl w:val="9C8AC8EF"/>
    <w:lvl w:ilvl="0" w:tentative="0">
      <w:start w:val="18"/>
      <w:numFmt w:val="decimal"/>
      <w:lvlText w:val="%1"/>
      <w:lvlJc w:val="left"/>
      <w:pPr>
        <w:ind w:left="1498" w:hanging="540"/>
        <w:jc w:val="left"/>
      </w:pPr>
      <w:rPr>
        <w:rFonts w:hint="default"/>
        <w:lang w:val="zh-CN" w:eastAsia="zh-CN" w:bidi="zh-CN"/>
      </w:rPr>
    </w:lvl>
    <w:lvl w:ilvl="1" w:tentative="0">
      <w:start w:val="3"/>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7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1980" w:hanging="1023"/>
      </w:pPr>
      <w:rPr>
        <w:rFonts w:hint="default"/>
        <w:lang w:val="zh-CN" w:eastAsia="zh-CN" w:bidi="zh-CN"/>
      </w:rPr>
    </w:lvl>
    <w:lvl w:ilvl="5" w:tentative="0">
      <w:start w:val="0"/>
      <w:numFmt w:val="bullet"/>
      <w:lvlText w:val="•"/>
      <w:lvlJc w:val="left"/>
      <w:pPr>
        <w:ind w:left="2100" w:hanging="1023"/>
      </w:pPr>
      <w:rPr>
        <w:rFonts w:hint="default"/>
        <w:lang w:val="zh-CN" w:eastAsia="zh-CN" w:bidi="zh-CN"/>
      </w:rPr>
    </w:lvl>
    <w:lvl w:ilvl="6" w:tentative="0">
      <w:start w:val="0"/>
      <w:numFmt w:val="bullet"/>
      <w:lvlText w:val="•"/>
      <w:lvlJc w:val="left"/>
      <w:pPr>
        <w:ind w:left="3685" w:hanging="1023"/>
      </w:pPr>
      <w:rPr>
        <w:rFonts w:hint="default"/>
        <w:lang w:val="zh-CN" w:eastAsia="zh-CN" w:bidi="zh-CN"/>
      </w:rPr>
    </w:lvl>
    <w:lvl w:ilvl="7" w:tentative="0">
      <w:start w:val="0"/>
      <w:numFmt w:val="bullet"/>
      <w:lvlText w:val="•"/>
      <w:lvlJc w:val="left"/>
      <w:pPr>
        <w:ind w:left="5270" w:hanging="1023"/>
      </w:pPr>
      <w:rPr>
        <w:rFonts w:hint="default"/>
        <w:lang w:val="zh-CN" w:eastAsia="zh-CN" w:bidi="zh-CN"/>
      </w:rPr>
    </w:lvl>
    <w:lvl w:ilvl="8" w:tentative="0">
      <w:start w:val="0"/>
      <w:numFmt w:val="bullet"/>
      <w:lvlText w:val="•"/>
      <w:lvlJc w:val="left"/>
      <w:pPr>
        <w:ind w:left="6855" w:hanging="1023"/>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132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42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2287" w:hanging="420"/>
      </w:pPr>
      <w:rPr>
        <w:rFonts w:hint="default"/>
        <w:lang w:val="zh-CN" w:eastAsia="zh-CN" w:bidi="zh-CN"/>
      </w:rPr>
    </w:lvl>
    <w:lvl w:ilvl="3" w:tentative="0">
      <w:start w:val="0"/>
      <w:numFmt w:val="bullet"/>
      <w:lvlText w:val="•"/>
      <w:lvlJc w:val="left"/>
      <w:pPr>
        <w:ind w:left="3254" w:hanging="420"/>
      </w:pPr>
      <w:rPr>
        <w:rFonts w:hint="default"/>
        <w:lang w:val="zh-CN" w:eastAsia="zh-CN" w:bidi="zh-CN"/>
      </w:rPr>
    </w:lvl>
    <w:lvl w:ilvl="4" w:tentative="0">
      <w:start w:val="0"/>
      <w:numFmt w:val="bullet"/>
      <w:lvlText w:val="•"/>
      <w:lvlJc w:val="left"/>
      <w:pPr>
        <w:ind w:left="4222" w:hanging="420"/>
      </w:pPr>
      <w:rPr>
        <w:rFonts w:hint="default"/>
        <w:lang w:val="zh-CN" w:eastAsia="zh-CN" w:bidi="zh-CN"/>
      </w:rPr>
    </w:lvl>
    <w:lvl w:ilvl="5" w:tentative="0">
      <w:start w:val="0"/>
      <w:numFmt w:val="bullet"/>
      <w:lvlText w:val="•"/>
      <w:lvlJc w:val="left"/>
      <w:pPr>
        <w:ind w:left="5189" w:hanging="420"/>
      </w:pPr>
      <w:rPr>
        <w:rFonts w:hint="default"/>
        <w:lang w:val="zh-CN" w:eastAsia="zh-CN" w:bidi="zh-CN"/>
      </w:rPr>
    </w:lvl>
    <w:lvl w:ilvl="6" w:tentative="0">
      <w:start w:val="0"/>
      <w:numFmt w:val="bullet"/>
      <w:lvlText w:val="•"/>
      <w:lvlJc w:val="left"/>
      <w:pPr>
        <w:ind w:left="6156" w:hanging="420"/>
      </w:pPr>
      <w:rPr>
        <w:rFonts w:hint="default"/>
        <w:lang w:val="zh-CN" w:eastAsia="zh-CN" w:bidi="zh-CN"/>
      </w:rPr>
    </w:lvl>
    <w:lvl w:ilvl="7" w:tentative="0">
      <w:start w:val="0"/>
      <w:numFmt w:val="bullet"/>
      <w:lvlText w:val="•"/>
      <w:lvlJc w:val="left"/>
      <w:pPr>
        <w:ind w:left="7124" w:hanging="420"/>
      </w:pPr>
      <w:rPr>
        <w:rFonts w:hint="default"/>
        <w:lang w:val="zh-CN" w:eastAsia="zh-CN" w:bidi="zh-CN"/>
      </w:rPr>
    </w:lvl>
    <w:lvl w:ilvl="8" w:tentative="0">
      <w:start w:val="0"/>
      <w:numFmt w:val="bullet"/>
      <w:lvlText w:val="•"/>
      <w:lvlJc w:val="left"/>
      <w:pPr>
        <w:ind w:left="8091" w:hanging="420"/>
      </w:pPr>
      <w:rPr>
        <w:rFonts w:hint="default"/>
        <w:lang w:val="zh-CN" w:eastAsia="zh-CN" w:bidi="zh-CN"/>
      </w:rPr>
    </w:lvl>
  </w:abstractNum>
  <w:abstractNum w:abstractNumId="4">
    <w:nsid w:val="B4D103BA"/>
    <w:multiLevelType w:val="singleLevel"/>
    <w:tmpl w:val="B4D103BA"/>
    <w:lvl w:ilvl="0" w:tentative="0">
      <w:start w:val="6"/>
      <w:numFmt w:val="decimal"/>
      <w:suff w:val="nothing"/>
      <w:lvlText w:val="%1、"/>
      <w:lvlJc w:val="left"/>
    </w:lvl>
  </w:abstractNum>
  <w:abstractNum w:abstractNumId="5">
    <w:nsid w:val="BF205925"/>
    <w:multiLevelType w:val="multilevel"/>
    <w:tmpl w:val="BF205925"/>
    <w:lvl w:ilvl="0" w:tentative="0">
      <w:start w:val="1"/>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6">
    <w:nsid w:val="C8879AEF"/>
    <w:multiLevelType w:val="multilevel"/>
    <w:tmpl w:val="C8879AEF"/>
    <w:lvl w:ilvl="0" w:tentative="0">
      <w:start w:val="1"/>
      <w:numFmt w:val="decimal"/>
      <w:lvlText w:val="%1."/>
      <w:lvlJc w:val="left"/>
      <w:pPr>
        <w:ind w:left="1318" w:hanging="281"/>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19" w:hanging="36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47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3"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7">
    <w:nsid w:val="CF092B84"/>
    <w:multiLevelType w:val="multilevel"/>
    <w:tmpl w:val="CF092B84"/>
    <w:lvl w:ilvl="0" w:tentative="0">
      <w:start w:val="4"/>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8">
    <w:nsid w:val="D7F9FE59"/>
    <w:multiLevelType w:val="multilevel"/>
    <w:tmpl w:val="D7F9FE59"/>
    <w:lvl w:ilvl="0" w:tentative="0">
      <w:start w:val="18"/>
      <w:numFmt w:val="decimal"/>
      <w:lvlText w:val="%1"/>
      <w:lvlJc w:val="left"/>
      <w:pPr>
        <w:ind w:left="478" w:hanging="780"/>
        <w:jc w:val="left"/>
      </w:pPr>
      <w:rPr>
        <w:rFonts w:hint="default"/>
        <w:lang w:val="zh-CN" w:eastAsia="zh-CN" w:bidi="zh-CN"/>
      </w:rPr>
    </w:lvl>
    <w:lvl w:ilvl="1" w:tentative="0">
      <w:start w:val="2"/>
      <w:numFmt w:val="decimal"/>
      <w:lvlText w:val="%1.%2"/>
      <w:lvlJc w:val="left"/>
      <w:pPr>
        <w:ind w:left="478" w:hanging="780"/>
        <w:jc w:val="left"/>
      </w:pPr>
      <w:rPr>
        <w:rFonts w:hint="default"/>
        <w:lang w:val="zh-CN" w:eastAsia="zh-CN" w:bidi="zh-CN"/>
      </w:rPr>
    </w:lvl>
    <w:lvl w:ilvl="2" w:tentative="0">
      <w:start w:val="1"/>
      <w:numFmt w:val="decimal"/>
      <w:lvlText w:val="%1.%2.%3"/>
      <w:lvlJc w:val="left"/>
      <w:pPr>
        <w:ind w:left="47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43" w:hanging="780"/>
      </w:pPr>
      <w:rPr>
        <w:rFonts w:hint="default"/>
        <w:lang w:val="zh-CN" w:eastAsia="zh-CN" w:bidi="zh-CN"/>
      </w:rPr>
    </w:lvl>
    <w:lvl w:ilvl="4" w:tentative="0">
      <w:start w:val="0"/>
      <w:numFmt w:val="bullet"/>
      <w:lvlText w:val="•"/>
      <w:lvlJc w:val="left"/>
      <w:pPr>
        <w:ind w:left="4298" w:hanging="780"/>
      </w:pPr>
      <w:rPr>
        <w:rFonts w:hint="default"/>
        <w:lang w:val="zh-CN" w:eastAsia="zh-CN" w:bidi="zh-CN"/>
      </w:rPr>
    </w:lvl>
    <w:lvl w:ilvl="5" w:tentative="0">
      <w:start w:val="0"/>
      <w:numFmt w:val="bullet"/>
      <w:lvlText w:val="•"/>
      <w:lvlJc w:val="left"/>
      <w:pPr>
        <w:ind w:left="5253" w:hanging="780"/>
      </w:pPr>
      <w:rPr>
        <w:rFonts w:hint="default"/>
        <w:lang w:val="zh-CN" w:eastAsia="zh-CN" w:bidi="zh-CN"/>
      </w:rPr>
    </w:lvl>
    <w:lvl w:ilvl="6" w:tentative="0">
      <w:start w:val="0"/>
      <w:numFmt w:val="bullet"/>
      <w:lvlText w:val="•"/>
      <w:lvlJc w:val="left"/>
      <w:pPr>
        <w:ind w:left="6207" w:hanging="780"/>
      </w:pPr>
      <w:rPr>
        <w:rFonts w:hint="default"/>
        <w:lang w:val="zh-CN" w:eastAsia="zh-CN" w:bidi="zh-CN"/>
      </w:rPr>
    </w:lvl>
    <w:lvl w:ilvl="7" w:tentative="0">
      <w:start w:val="0"/>
      <w:numFmt w:val="bullet"/>
      <w:lvlText w:val="•"/>
      <w:lvlJc w:val="left"/>
      <w:pPr>
        <w:ind w:left="7162" w:hanging="780"/>
      </w:pPr>
      <w:rPr>
        <w:rFonts w:hint="default"/>
        <w:lang w:val="zh-CN" w:eastAsia="zh-CN" w:bidi="zh-CN"/>
      </w:rPr>
    </w:lvl>
    <w:lvl w:ilvl="8" w:tentative="0">
      <w:start w:val="0"/>
      <w:numFmt w:val="bullet"/>
      <w:lvlText w:val="•"/>
      <w:lvlJc w:val="left"/>
      <w:pPr>
        <w:ind w:left="8116" w:hanging="780"/>
      </w:pPr>
      <w:rPr>
        <w:rFonts w:hint="default"/>
        <w:lang w:val="zh-CN" w:eastAsia="zh-CN" w:bidi="zh-CN"/>
      </w:rPr>
    </w:lvl>
  </w:abstractNum>
  <w:abstractNum w:abstractNumId="9">
    <w:nsid w:val="DCBA6B53"/>
    <w:multiLevelType w:val="multilevel"/>
    <w:tmpl w:val="DCBA6B53"/>
    <w:lvl w:ilvl="0" w:tentative="0">
      <w:start w:val="18"/>
      <w:numFmt w:val="decimal"/>
      <w:lvlText w:val="%1"/>
      <w:lvlJc w:val="left"/>
      <w:pPr>
        <w:ind w:left="1559" w:hanging="601"/>
        <w:jc w:val="left"/>
      </w:pPr>
      <w:rPr>
        <w:rFonts w:hint="default"/>
        <w:lang w:val="zh-CN" w:eastAsia="zh-CN" w:bidi="zh-CN"/>
      </w:rPr>
    </w:lvl>
    <w:lvl w:ilvl="1" w:tentative="0">
      <w:start w:val="1"/>
      <w:numFmt w:val="decimal"/>
      <w:lvlText w:val="%1.%2."/>
      <w:lvlJc w:val="left"/>
      <w:pPr>
        <w:ind w:left="155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581" w:hanging="780"/>
      </w:pPr>
      <w:rPr>
        <w:rFonts w:hint="default"/>
        <w:lang w:val="zh-CN" w:eastAsia="zh-CN" w:bidi="zh-CN"/>
      </w:rPr>
    </w:lvl>
    <w:lvl w:ilvl="4" w:tentative="0">
      <w:start w:val="0"/>
      <w:numFmt w:val="bullet"/>
      <w:lvlText w:val="•"/>
      <w:lvlJc w:val="left"/>
      <w:pPr>
        <w:ind w:left="4502" w:hanging="780"/>
      </w:pPr>
      <w:rPr>
        <w:rFonts w:hint="default"/>
        <w:lang w:val="zh-CN" w:eastAsia="zh-CN" w:bidi="zh-CN"/>
      </w:rPr>
    </w:lvl>
    <w:lvl w:ilvl="5" w:tentative="0">
      <w:start w:val="0"/>
      <w:numFmt w:val="bullet"/>
      <w:lvlText w:val="•"/>
      <w:lvlJc w:val="left"/>
      <w:pPr>
        <w:ind w:left="5422" w:hanging="780"/>
      </w:pPr>
      <w:rPr>
        <w:rFonts w:hint="default"/>
        <w:lang w:val="zh-CN" w:eastAsia="zh-CN" w:bidi="zh-CN"/>
      </w:rPr>
    </w:lvl>
    <w:lvl w:ilvl="6" w:tentative="0">
      <w:start w:val="0"/>
      <w:numFmt w:val="bullet"/>
      <w:lvlText w:val="•"/>
      <w:lvlJc w:val="left"/>
      <w:pPr>
        <w:ind w:left="6343"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84" w:hanging="780"/>
      </w:pPr>
      <w:rPr>
        <w:rFonts w:hint="default"/>
        <w:lang w:val="zh-CN" w:eastAsia="zh-CN" w:bidi="zh-CN"/>
      </w:rPr>
    </w:lvl>
  </w:abstractNum>
  <w:abstractNum w:abstractNumId="10">
    <w:nsid w:val="F4B5D9F5"/>
    <w:multiLevelType w:val="multilevel"/>
    <w:tmpl w:val="F4B5D9F5"/>
    <w:lvl w:ilvl="0" w:tentative="0">
      <w:start w:val="11"/>
      <w:numFmt w:val="decimal"/>
      <w:lvlText w:val="%1."/>
      <w:lvlJc w:val="left"/>
      <w:pPr>
        <w:ind w:left="1459" w:hanging="423"/>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40" w:hanging="780"/>
      </w:pPr>
      <w:rPr>
        <w:rFonts w:hint="default"/>
        <w:lang w:val="zh-CN" w:eastAsia="zh-CN" w:bidi="zh-CN"/>
      </w:rPr>
    </w:lvl>
    <w:lvl w:ilvl="4" w:tentative="0">
      <w:start w:val="0"/>
      <w:numFmt w:val="bullet"/>
      <w:lvlText w:val="•"/>
      <w:lvlJc w:val="left"/>
      <w:pPr>
        <w:ind w:left="2923" w:hanging="780"/>
      </w:pPr>
      <w:rPr>
        <w:rFonts w:hint="default"/>
        <w:lang w:val="zh-CN" w:eastAsia="zh-CN" w:bidi="zh-CN"/>
      </w:rPr>
    </w:lvl>
    <w:lvl w:ilvl="5" w:tentative="0">
      <w:start w:val="0"/>
      <w:numFmt w:val="bullet"/>
      <w:lvlText w:val="•"/>
      <w:lvlJc w:val="left"/>
      <w:pPr>
        <w:ind w:left="4107" w:hanging="780"/>
      </w:pPr>
      <w:rPr>
        <w:rFonts w:hint="default"/>
        <w:lang w:val="zh-CN" w:eastAsia="zh-CN" w:bidi="zh-CN"/>
      </w:rPr>
    </w:lvl>
    <w:lvl w:ilvl="6" w:tentative="0">
      <w:start w:val="0"/>
      <w:numFmt w:val="bullet"/>
      <w:lvlText w:val="•"/>
      <w:lvlJc w:val="left"/>
      <w:pPr>
        <w:ind w:left="5291" w:hanging="780"/>
      </w:pPr>
      <w:rPr>
        <w:rFonts w:hint="default"/>
        <w:lang w:val="zh-CN" w:eastAsia="zh-CN" w:bidi="zh-CN"/>
      </w:rPr>
    </w:lvl>
    <w:lvl w:ilvl="7" w:tentative="0">
      <w:start w:val="0"/>
      <w:numFmt w:val="bullet"/>
      <w:lvlText w:val="•"/>
      <w:lvlJc w:val="left"/>
      <w:pPr>
        <w:ind w:left="6474" w:hanging="780"/>
      </w:pPr>
      <w:rPr>
        <w:rFonts w:hint="default"/>
        <w:lang w:val="zh-CN" w:eastAsia="zh-CN" w:bidi="zh-CN"/>
      </w:rPr>
    </w:lvl>
    <w:lvl w:ilvl="8" w:tentative="0">
      <w:start w:val="0"/>
      <w:numFmt w:val="bullet"/>
      <w:lvlText w:val="•"/>
      <w:lvlJc w:val="left"/>
      <w:pPr>
        <w:ind w:left="7658" w:hanging="780"/>
      </w:pPr>
      <w:rPr>
        <w:rFonts w:hint="default"/>
        <w:lang w:val="zh-CN" w:eastAsia="zh-CN" w:bidi="zh-CN"/>
      </w:rPr>
    </w:lvl>
  </w:abstractNum>
  <w:abstractNum w:abstractNumId="11">
    <w:nsid w:val="F9971CF5"/>
    <w:multiLevelType w:val="singleLevel"/>
    <w:tmpl w:val="F9971CF5"/>
    <w:lvl w:ilvl="0" w:tentative="0">
      <w:start w:val="14"/>
      <w:numFmt w:val="chineseCounting"/>
      <w:suff w:val="nothing"/>
      <w:lvlText w:val="%1、"/>
      <w:lvlJc w:val="left"/>
      <w:rPr>
        <w:rFonts w:hint="eastAsia"/>
      </w:rPr>
    </w:lvl>
  </w:abstractNum>
  <w:abstractNum w:abstractNumId="12">
    <w:nsid w:val="0053208E"/>
    <w:multiLevelType w:val="multilevel"/>
    <w:tmpl w:val="0053208E"/>
    <w:lvl w:ilvl="0" w:tentative="0">
      <w:start w:val="1"/>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13">
    <w:nsid w:val="0248C179"/>
    <w:multiLevelType w:val="multilevel"/>
    <w:tmpl w:val="0248C179"/>
    <w:lvl w:ilvl="0" w:tentative="0">
      <w:start w:val="1"/>
      <w:numFmt w:val="decimal"/>
      <w:lvlText w:val="%1."/>
      <w:lvlJc w:val="left"/>
      <w:pPr>
        <w:ind w:left="828"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17" w:hanging="241"/>
      </w:pPr>
      <w:rPr>
        <w:rFonts w:hint="default"/>
        <w:lang w:val="zh-CN" w:eastAsia="zh-CN" w:bidi="zh-CN"/>
      </w:rPr>
    </w:lvl>
    <w:lvl w:ilvl="2" w:tentative="0">
      <w:start w:val="0"/>
      <w:numFmt w:val="bullet"/>
      <w:lvlText w:val="•"/>
      <w:lvlJc w:val="left"/>
      <w:pPr>
        <w:ind w:left="1815" w:hanging="241"/>
      </w:pPr>
      <w:rPr>
        <w:rFonts w:hint="default"/>
        <w:lang w:val="zh-CN" w:eastAsia="zh-CN" w:bidi="zh-CN"/>
      </w:rPr>
    </w:lvl>
    <w:lvl w:ilvl="3" w:tentative="0">
      <w:start w:val="0"/>
      <w:numFmt w:val="bullet"/>
      <w:lvlText w:val="•"/>
      <w:lvlJc w:val="left"/>
      <w:pPr>
        <w:ind w:left="2313" w:hanging="241"/>
      </w:pPr>
      <w:rPr>
        <w:rFonts w:hint="default"/>
        <w:lang w:val="zh-CN" w:eastAsia="zh-CN" w:bidi="zh-CN"/>
      </w:rPr>
    </w:lvl>
    <w:lvl w:ilvl="4" w:tentative="0">
      <w:start w:val="0"/>
      <w:numFmt w:val="bullet"/>
      <w:lvlText w:val="•"/>
      <w:lvlJc w:val="left"/>
      <w:pPr>
        <w:ind w:left="2811" w:hanging="241"/>
      </w:pPr>
      <w:rPr>
        <w:rFonts w:hint="default"/>
        <w:lang w:val="zh-CN" w:eastAsia="zh-CN" w:bidi="zh-CN"/>
      </w:rPr>
    </w:lvl>
    <w:lvl w:ilvl="5" w:tentative="0">
      <w:start w:val="0"/>
      <w:numFmt w:val="bullet"/>
      <w:lvlText w:val="•"/>
      <w:lvlJc w:val="left"/>
      <w:pPr>
        <w:ind w:left="3309" w:hanging="241"/>
      </w:pPr>
      <w:rPr>
        <w:rFonts w:hint="default"/>
        <w:lang w:val="zh-CN" w:eastAsia="zh-CN" w:bidi="zh-CN"/>
      </w:rPr>
    </w:lvl>
    <w:lvl w:ilvl="6" w:tentative="0">
      <w:start w:val="0"/>
      <w:numFmt w:val="bullet"/>
      <w:lvlText w:val="•"/>
      <w:lvlJc w:val="left"/>
      <w:pPr>
        <w:ind w:left="3806" w:hanging="241"/>
      </w:pPr>
      <w:rPr>
        <w:rFonts w:hint="default"/>
        <w:lang w:val="zh-CN" w:eastAsia="zh-CN" w:bidi="zh-CN"/>
      </w:rPr>
    </w:lvl>
    <w:lvl w:ilvl="7" w:tentative="0">
      <w:start w:val="0"/>
      <w:numFmt w:val="bullet"/>
      <w:lvlText w:val="•"/>
      <w:lvlJc w:val="left"/>
      <w:pPr>
        <w:ind w:left="4304" w:hanging="241"/>
      </w:pPr>
      <w:rPr>
        <w:rFonts w:hint="default"/>
        <w:lang w:val="zh-CN" w:eastAsia="zh-CN" w:bidi="zh-CN"/>
      </w:rPr>
    </w:lvl>
    <w:lvl w:ilvl="8" w:tentative="0">
      <w:start w:val="0"/>
      <w:numFmt w:val="bullet"/>
      <w:lvlText w:val="•"/>
      <w:lvlJc w:val="left"/>
      <w:pPr>
        <w:ind w:left="4802" w:hanging="241"/>
      </w:pPr>
      <w:rPr>
        <w:rFonts w:hint="default"/>
        <w:lang w:val="zh-CN" w:eastAsia="zh-CN" w:bidi="zh-CN"/>
      </w:rPr>
    </w:lvl>
  </w:abstractNum>
  <w:abstractNum w:abstractNumId="14">
    <w:nsid w:val="0E640482"/>
    <w:multiLevelType w:val="multilevel"/>
    <w:tmpl w:val="0E640482"/>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5">
    <w:nsid w:val="18FDC66E"/>
    <w:multiLevelType w:val="singleLevel"/>
    <w:tmpl w:val="18FDC66E"/>
    <w:lvl w:ilvl="0" w:tentative="0">
      <w:start w:val="1"/>
      <w:numFmt w:val="decimal"/>
      <w:suff w:val="nothing"/>
      <w:lvlText w:val="（%1）"/>
      <w:lvlJc w:val="left"/>
      <w:pPr>
        <w:ind w:left="0" w:leftChars="0" w:firstLine="0" w:firstLineChars="0"/>
      </w:pPr>
    </w:lvl>
  </w:abstractNum>
  <w:abstractNum w:abstractNumId="16">
    <w:nsid w:val="2470EC97"/>
    <w:multiLevelType w:val="multilevel"/>
    <w:tmpl w:val="2470EC97"/>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7">
    <w:nsid w:val="46A08BB8"/>
    <w:multiLevelType w:val="multilevel"/>
    <w:tmpl w:val="46A08BB8"/>
    <w:lvl w:ilvl="0" w:tentative="0">
      <w:start w:val="1"/>
      <w:numFmt w:val="decimal"/>
      <w:lvlText w:val="（%1）"/>
      <w:lvlJc w:val="left"/>
      <w:pPr>
        <w:ind w:left="1559" w:hanging="601"/>
        <w:jc w:val="left"/>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8">
    <w:nsid w:val="4C1BAE26"/>
    <w:multiLevelType w:val="multilevel"/>
    <w:tmpl w:val="4C1BAE26"/>
    <w:lvl w:ilvl="0" w:tentative="0">
      <w:start w:val="1"/>
      <w:numFmt w:val="decimal"/>
      <w:lvlText w:val="%1."/>
      <w:lvlJc w:val="left"/>
      <w:pPr>
        <w:ind w:left="132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78" w:hanging="420"/>
        <w:jc w:val="left"/>
      </w:pPr>
      <w:rPr>
        <w:rFonts w:hint="default" w:ascii="仿宋" w:hAnsi="仿宋" w:eastAsia="仿宋" w:cs="仿宋"/>
        <w:w w:val="100"/>
        <w:sz w:val="24"/>
        <w:szCs w:val="24"/>
        <w:lang w:val="zh-CN" w:eastAsia="zh-CN" w:bidi="zh-CN"/>
      </w:rPr>
    </w:lvl>
    <w:lvl w:ilvl="2" w:tentative="0">
      <w:start w:val="1"/>
      <w:numFmt w:val="decimal"/>
      <w:lvlText w:val="%3."/>
      <w:lvlJc w:val="left"/>
      <w:pPr>
        <w:ind w:left="1320" w:hanging="284"/>
        <w:jc w:val="left"/>
      </w:pPr>
      <w:rPr>
        <w:rFonts w:hint="default" w:ascii="楷体" w:hAnsi="楷体" w:eastAsia="楷体" w:cs="楷体"/>
        <w:spacing w:val="-2"/>
        <w:w w:val="100"/>
        <w:sz w:val="26"/>
        <w:szCs w:val="26"/>
        <w:lang w:val="zh-CN" w:eastAsia="zh-CN" w:bidi="zh-CN"/>
      </w:rPr>
    </w:lvl>
    <w:lvl w:ilvl="3" w:tentative="0">
      <w:start w:val="1"/>
      <w:numFmt w:val="decimal"/>
      <w:lvlText w:val="%3.%4"/>
      <w:lvlJc w:val="left"/>
      <w:pPr>
        <w:ind w:left="1378" w:hanging="420"/>
        <w:jc w:val="left"/>
      </w:pPr>
      <w:rPr>
        <w:rFonts w:hint="default"/>
        <w:w w:val="100"/>
        <w:lang w:val="zh-CN" w:eastAsia="zh-CN" w:bidi="zh-CN"/>
      </w:rPr>
    </w:lvl>
    <w:lvl w:ilvl="4" w:tentative="0">
      <w:start w:val="1"/>
      <w:numFmt w:val="decimal"/>
      <w:lvlText w:val="%3.%4.%5"/>
      <w:lvlJc w:val="left"/>
      <w:pPr>
        <w:ind w:left="1618" w:hanging="420"/>
        <w:jc w:val="left"/>
      </w:pPr>
      <w:rPr>
        <w:rFonts w:hint="default" w:ascii="仿宋" w:hAnsi="仿宋" w:eastAsia="仿宋" w:cs="仿宋"/>
        <w:w w:val="100"/>
        <w:sz w:val="24"/>
        <w:szCs w:val="24"/>
        <w:lang w:val="zh-CN" w:eastAsia="zh-CN" w:bidi="zh-CN"/>
      </w:rPr>
    </w:lvl>
    <w:lvl w:ilvl="5" w:tentative="0">
      <w:start w:val="0"/>
      <w:numFmt w:val="bullet"/>
      <w:lvlText w:val="•"/>
      <w:lvlJc w:val="left"/>
      <w:pPr>
        <w:ind w:left="4021" w:hanging="420"/>
      </w:pPr>
      <w:rPr>
        <w:rFonts w:hint="default"/>
        <w:lang w:val="zh-CN" w:eastAsia="zh-CN" w:bidi="zh-CN"/>
      </w:rPr>
    </w:lvl>
    <w:lvl w:ilvl="6" w:tentative="0">
      <w:start w:val="0"/>
      <w:numFmt w:val="bullet"/>
      <w:lvlText w:val="•"/>
      <w:lvlJc w:val="left"/>
      <w:pPr>
        <w:ind w:left="5222" w:hanging="420"/>
      </w:pPr>
      <w:rPr>
        <w:rFonts w:hint="default"/>
        <w:lang w:val="zh-CN" w:eastAsia="zh-CN" w:bidi="zh-CN"/>
      </w:rPr>
    </w:lvl>
    <w:lvl w:ilvl="7" w:tentative="0">
      <w:start w:val="0"/>
      <w:numFmt w:val="bullet"/>
      <w:lvlText w:val="•"/>
      <w:lvlJc w:val="left"/>
      <w:pPr>
        <w:ind w:left="6423" w:hanging="420"/>
      </w:pPr>
      <w:rPr>
        <w:rFonts w:hint="default"/>
        <w:lang w:val="zh-CN" w:eastAsia="zh-CN" w:bidi="zh-CN"/>
      </w:rPr>
    </w:lvl>
    <w:lvl w:ilvl="8" w:tentative="0">
      <w:start w:val="0"/>
      <w:numFmt w:val="bullet"/>
      <w:lvlText w:val="•"/>
      <w:lvlJc w:val="left"/>
      <w:pPr>
        <w:ind w:left="7624" w:hanging="420"/>
      </w:pPr>
      <w:rPr>
        <w:rFonts w:hint="default"/>
        <w:lang w:val="zh-CN" w:eastAsia="zh-CN" w:bidi="zh-CN"/>
      </w:rPr>
    </w:lvl>
  </w:abstractNum>
  <w:abstractNum w:abstractNumId="19">
    <w:nsid w:val="4D4DC07F"/>
    <w:multiLevelType w:val="multilevel"/>
    <w:tmpl w:val="4D4DC07F"/>
    <w:lvl w:ilvl="0" w:tentative="0">
      <w:start w:val="10"/>
      <w:numFmt w:val="decimal"/>
      <w:lvlText w:val="%1"/>
      <w:lvlJc w:val="left"/>
      <w:pPr>
        <w:ind w:left="1498" w:hanging="540"/>
        <w:jc w:val="left"/>
      </w:pPr>
      <w:rPr>
        <w:rFonts w:hint="default"/>
        <w:lang w:val="zh-CN" w:eastAsia="zh-CN" w:bidi="zh-CN"/>
      </w:rPr>
    </w:lvl>
    <w:lvl w:ilvl="1" w:tentative="0">
      <w:start w:val="1"/>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478" w:hanging="78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4" w:hanging="783"/>
      </w:pPr>
      <w:rPr>
        <w:rFonts w:hint="default"/>
        <w:lang w:val="zh-CN" w:eastAsia="zh-CN" w:bidi="zh-CN"/>
      </w:rPr>
    </w:lvl>
    <w:lvl w:ilvl="4" w:tentative="0">
      <w:start w:val="0"/>
      <w:numFmt w:val="bullet"/>
      <w:lvlText w:val="•"/>
      <w:lvlJc w:val="left"/>
      <w:pPr>
        <w:ind w:left="4342" w:hanging="783"/>
      </w:pPr>
      <w:rPr>
        <w:rFonts w:hint="default"/>
        <w:lang w:val="zh-CN" w:eastAsia="zh-CN" w:bidi="zh-CN"/>
      </w:rPr>
    </w:lvl>
    <w:lvl w:ilvl="5" w:tentative="0">
      <w:start w:val="0"/>
      <w:numFmt w:val="bullet"/>
      <w:lvlText w:val="•"/>
      <w:lvlJc w:val="left"/>
      <w:pPr>
        <w:ind w:left="5289" w:hanging="783"/>
      </w:pPr>
      <w:rPr>
        <w:rFonts w:hint="default"/>
        <w:lang w:val="zh-CN" w:eastAsia="zh-CN" w:bidi="zh-CN"/>
      </w:rPr>
    </w:lvl>
    <w:lvl w:ilvl="6" w:tentative="0">
      <w:start w:val="0"/>
      <w:numFmt w:val="bullet"/>
      <w:lvlText w:val="•"/>
      <w:lvlJc w:val="left"/>
      <w:pPr>
        <w:ind w:left="6236" w:hanging="783"/>
      </w:pPr>
      <w:rPr>
        <w:rFonts w:hint="default"/>
        <w:lang w:val="zh-CN" w:eastAsia="zh-CN" w:bidi="zh-CN"/>
      </w:rPr>
    </w:lvl>
    <w:lvl w:ilvl="7" w:tentative="0">
      <w:start w:val="0"/>
      <w:numFmt w:val="bullet"/>
      <w:lvlText w:val="•"/>
      <w:lvlJc w:val="left"/>
      <w:pPr>
        <w:ind w:left="7184" w:hanging="783"/>
      </w:pPr>
      <w:rPr>
        <w:rFonts w:hint="default"/>
        <w:lang w:val="zh-CN" w:eastAsia="zh-CN" w:bidi="zh-CN"/>
      </w:rPr>
    </w:lvl>
    <w:lvl w:ilvl="8" w:tentative="0">
      <w:start w:val="0"/>
      <w:numFmt w:val="bullet"/>
      <w:lvlText w:val="•"/>
      <w:lvlJc w:val="left"/>
      <w:pPr>
        <w:ind w:left="8131" w:hanging="783"/>
      </w:pPr>
      <w:rPr>
        <w:rFonts w:hint="default"/>
        <w:lang w:val="zh-CN" w:eastAsia="zh-CN" w:bidi="zh-CN"/>
      </w:rPr>
    </w:lvl>
  </w:abstractNum>
  <w:abstractNum w:abstractNumId="20">
    <w:nsid w:val="59ADCABA"/>
    <w:multiLevelType w:val="multilevel"/>
    <w:tmpl w:val="59ADCABA"/>
    <w:lvl w:ilvl="0" w:tentative="0">
      <w:start w:val="8"/>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21">
    <w:nsid w:val="60382F6E"/>
    <w:multiLevelType w:val="multilevel"/>
    <w:tmpl w:val="60382F6E"/>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22">
    <w:nsid w:val="72183CF9"/>
    <w:multiLevelType w:val="multilevel"/>
    <w:tmpl w:val="72183CF9"/>
    <w:lvl w:ilvl="0" w:tentative="0">
      <w:start w:val="0"/>
      <w:numFmt w:val="bullet"/>
      <w:lvlText w:val="□"/>
      <w:lvlJc w:val="left"/>
      <w:pPr>
        <w:ind w:left="467" w:hanging="360"/>
      </w:pPr>
      <w:rPr>
        <w:rFonts w:hint="default" w:ascii="仿宋" w:hAnsi="仿宋" w:eastAsia="仿宋" w:cs="仿宋"/>
        <w:w w:val="100"/>
        <w:sz w:val="24"/>
        <w:szCs w:val="24"/>
        <w:lang w:val="zh-CN" w:eastAsia="zh-CN" w:bidi="zh-CN"/>
      </w:rPr>
    </w:lvl>
    <w:lvl w:ilvl="1" w:tentative="0">
      <w:start w:val="1"/>
      <w:numFmt w:val="decimal"/>
      <w:lvlText w:val="%2."/>
      <w:lvlJc w:val="left"/>
      <w:pPr>
        <w:ind w:left="107" w:hanging="241"/>
        <w:jc w:val="left"/>
      </w:pPr>
      <w:rPr>
        <w:rFonts w:hint="default" w:ascii="仿宋" w:hAnsi="仿宋" w:eastAsia="仿宋" w:cs="仿宋"/>
        <w:spacing w:val="-17"/>
        <w:w w:val="100"/>
        <w:sz w:val="22"/>
        <w:szCs w:val="22"/>
        <w:lang w:val="zh-CN" w:eastAsia="zh-CN" w:bidi="zh-CN"/>
      </w:rPr>
    </w:lvl>
    <w:lvl w:ilvl="2" w:tentative="0">
      <w:start w:val="0"/>
      <w:numFmt w:val="bullet"/>
      <w:lvlText w:val="•"/>
      <w:lvlJc w:val="left"/>
      <w:pPr>
        <w:ind w:left="1053" w:hanging="241"/>
      </w:pPr>
      <w:rPr>
        <w:rFonts w:hint="default"/>
        <w:lang w:val="zh-CN" w:eastAsia="zh-CN" w:bidi="zh-CN"/>
      </w:rPr>
    </w:lvl>
    <w:lvl w:ilvl="3" w:tentative="0">
      <w:start w:val="0"/>
      <w:numFmt w:val="bullet"/>
      <w:lvlText w:val="•"/>
      <w:lvlJc w:val="left"/>
      <w:pPr>
        <w:ind w:left="1646" w:hanging="241"/>
      </w:pPr>
      <w:rPr>
        <w:rFonts w:hint="default"/>
        <w:lang w:val="zh-CN" w:eastAsia="zh-CN" w:bidi="zh-CN"/>
      </w:rPr>
    </w:lvl>
    <w:lvl w:ilvl="4" w:tentative="0">
      <w:start w:val="0"/>
      <w:numFmt w:val="bullet"/>
      <w:lvlText w:val="•"/>
      <w:lvlJc w:val="left"/>
      <w:pPr>
        <w:ind w:left="2239" w:hanging="241"/>
      </w:pPr>
      <w:rPr>
        <w:rFonts w:hint="default"/>
        <w:lang w:val="zh-CN" w:eastAsia="zh-CN" w:bidi="zh-CN"/>
      </w:rPr>
    </w:lvl>
    <w:lvl w:ilvl="5" w:tentative="0">
      <w:start w:val="0"/>
      <w:numFmt w:val="bullet"/>
      <w:lvlText w:val="•"/>
      <w:lvlJc w:val="left"/>
      <w:pPr>
        <w:ind w:left="2832" w:hanging="241"/>
      </w:pPr>
      <w:rPr>
        <w:rFonts w:hint="default"/>
        <w:lang w:val="zh-CN" w:eastAsia="zh-CN" w:bidi="zh-CN"/>
      </w:rPr>
    </w:lvl>
    <w:lvl w:ilvl="6" w:tentative="0">
      <w:start w:val="0"/>
      <w:numFmt w:val="bullet"/>
      <w:lvlText w:val="•"/>
      <w:lvlJc w:val="left"/>
      <w:pPr>
        <w:ind w:left="3425" w:hanging="241"/>
      </w:pPr>
      <w:rPr>
        <w:rFonts w:hint="default"/>
        <w:lang w:val="zh-CN" w:eastAsia="zh-CN" w:bidi="zh-CN"/>
      </w:rPr>
    </w:lvl>
    <w:lvl w:ilvl="7" w:tentative="0">
      <w:start w:val="0"/>
      <w:numFmt w:val="bullet"/>
      <w:lvlText w:val="•"/>
      <w:lvlJc w:val="left"/>
      <w:pPr>
        <w:ind w:left="4018" w:hanging="241"/>
      </w:pPr>
      <w:rPr>
        <w:rFonts w:hint="default"/>
        <w:lang w:val="zh-CN" w:eastAsia="zh-CN" w:bidi="zh-CN"/>
      </w:rPr>
    </w:lvl>
    <w:lvl w:ilvl="8" w:tentative="0">
      <w:start w:val="0"/>
      <w:numFmt w:val="bullet"/>
      <w:lvlText w:val="•"/>
      <w:lvlJc w:val="left"/>
      <w:pPr>
        <w:ind w:left="4611" w:hanging="241"/>
      </w:pPr>
      <w:rPr>
        <w:rFonts w:hint="default"/>
        <w:lang w:val="zh-CN" w:eastAsia="zh-CN" w:bidi="zh-CN"/>
      </w:rPr>
    </w:lvl>
  </w:abstractNum>
  <w:num w:numId="1">
    <w:abstractNumId w:val="12"/>
  </w:num>
  <w:num w:numId="2">
    <w:abstractNumId w:val="7"/>
  </w:num>
  <w:num w:numId="3">
    <w:abstractNumId w:val="20"/>
  </w:num>
  <w:num w:numId="4">
    <w:abstractNumId w:val="5"/>
  </w:num>
  <w:num w:numId="5">
    <w:abstractNumId w:val="15"/>
  </w:num>
  <w:num w:numId="6">
    <w:abstractNumId w:val="4"/>
  </w:num>
  <w:num w:numId="7">
    <w:abstractNumId w:val="22"/>
  </w:num>
  <w:num w:numId="8">
    <w:abstractNumId w:val="13"/>
  </w:num>
  <w:num w:numId="9">
    <w:abstractNumId w:val="0"/>
  </w:num>
  <w:num w:numId="10">
    <w:abstractNumId w:val="6"/>
  </w:num>
  <w:num w:numId="11">
    <w:abstractNumId w:val="19"/>
  </w:num>
  <w:num w:numId="12">
    <w:abstractNumId w:val="10"/>
  </w:num>
  <w:num w:numId="13">
    <w:abstractNumId w:val="16"/>
  </w:num>
  <w:num w:numId="14">
    <w:abstractNumId w:val="9"/>
  </w:num>
  <w:num w:numId="15">
    <w:abstractNumId w:val="8"/>
  </w:num>
  <w:num w:numId="16">
    <w:abstractNumId w:val="2"/>
  </w:num>
  <w:num w:numId="17">
    <w:abstractNumId w:val="18"/>
  </w:num>
  <w:num w:numId="18">
    <w:abstractNumId w:val="21"/>
  </w:num>
  <w:num w:numId="19">
    <w:abstractNumId w:val="14"/>
  </w:num>
  <w:num w:numId="20">
    <w:abstractNumId w:val="17"/>
  </w:num>
  <w:num w:numId="21">
    <w:abstractNumId w:val="3"/>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287C"/>
    <w:rsid w:val="001F6C73"/>
    <w:rsid w:val="0060249C"/>
    <w:rsid w:val="00861EFB"/>
    <w:rsid w:val="008913DB"/>
    <w:rsid w:val="00E537D2"/>
    <w:rsid w:val="01BC24F6"/>
    <w:rsid w:val="025A23D4"/>
    <w:rsid w:val="0286224B"/>
    <w:rsid w:val="039857AC"/>
    <w:rsid w:val="052A0696"/>
    <w:rsid w:val="055D38B2"/>
    <w:rsid w:val="05AA2BBD"/>
    <w:rsid w:val="05C42308"/>
    <w:rsid w:val="05E53B52"/>
    <w:rsid w:val="06493676"/>
    <w:rsid w:val="06573DA7"/>
    <w:rsid w:val="06994A87"/>
    <w:rsid w:val="06A304A9"/>
    <w:rsid w:val="06E9003D"/>
    <w:rsid w:val="078C35D8"/>
    <w:rsid w:val="07D12550"/>
    <w:rsid w:val="086A577A"/>
    <w:rsid w:val="088459E9"/>
    <w:rsid w:val="0912365F"/>
    <w:rsid w:val="093E18BE"/>
    <w:rsid w:val="094F019D"/>
    <w:rsid w:val="097F1913"/>
    <w:rsid w:val="09EB0FFC"/>
    <w:rsid w:val="0A297A6D"/>
    <w:rsid w:val="0A596A76"/>
    <w:rsid w:val="0A6C1D69"/>
    <w:rsid w:val="0AD713F0"/>
    <w:rsid w:val="0B16053C"/>
    <w:rsid w:val="0C280EA3"/>
    <w:rsid w:val="0C560573"/>
    <w:rsid w:val="0C630232"/>
    <w:rsid w:val="0CA3211A"/>
    <w:rsid w:val="0D55214C"/>
    <w:rsid w:val="0D5E66ED"/>
    <w:rsid w:val="0D9F74FE"/>
    <w:rsid w:val="0DAE4EC1"/>
    <w:rsid w:val="0DDD2DC7"/>
    <w:rsid w:val="0E96629E"/>
    <w:rsid w:val="0F1F65F6"/>
    <w:rsid w:val="0FC61F08"/>
    <w:rsid w:val="101153A2"/>
    <w:rsid w:val="10705C31"/>
    <w:rsid w:val="1085336A"/>
    <w:rsid w:val="12182DE9"/>
    <w:rsid w:val="1237395F"/>
    <w:rsid w:val="1253125E"/>
    <w:rsid w:val="12574F77"/>
    <w:rsid w:val="12F40E79"/>
    <w:rsid w:val="136467D5"/>
    <w:rsid w:val="13D22D30"/>
    <w:rsid w:val="13DC0A55"/>
    <w:rsid w:val="13E05441"/>
    <w:rsid w:val="142C23A5"/>
    <w:rsid w:val="14752551"/>
    <w:rsid w:val="147A4DA0"/>
    <w:rsid w:val="147A677F"/>
    <w:rsid w:val="14A917F5"/>
    <w:rsid w:val="151A784F"/>
    <w:rsid w:val="151B1CAC"/>
    <w:rsid w:val="15444CA7"/>
    <w:rsid w:val="15A83257"/>
    <w:rsid w:val="16066A1B"/>
    <w:rsid w:val="16F52060"/>
    <w:rsid w:val="17386B00"/>
    <w:rsid w:val="176C453B"/>
    <w:rsid w:val="186E1244"/>
    <w:rsid w:val="189E588D"/>
    <w:rsid w:val="18AA48E5"/>
    <w:rsid w:val="19A72D9E"/>
    <w:rsid w:val="19A8655A"/>
    <w:rsid w:val="19BD29C3"/>
    <w:rsid w:val="19CD0478"/>
    <w:rsid w:val="1A047158"/>
    <w:rsid w:val="1AB73AE3"/>
    <w:rsid w:val="1BE71EF4"/>
    <w:rsid w:val="1C0E196D"/>
    <w:rsid w:val="1C4D3480"/>
    <w:rsid w:val="1C697F1A"/>
    <w:rsid w:val="1CAB4E14"/>
    <w:rsid w:val="1D171A8B"/>
    <w:rsid w:val="1DB6234A"/>
    <w:rsid w:val="1DC91BFF"/>
    <w:rsid w:val="1DDE09EA"/>
    <w:rsid w:val="1E1B1120"/>
    <w:rsid w:val="1E2C288E"/>
    <w:rsid w:val="1F376E7A"/>
    <w:rsid w:val="20170666"/>
    <w:rsid w:val="205F0B33"/>
    <w:rsid w:val="21E34163"/>
    <w:rsid w:val="21F51EAF"/>
    <w:rsid w:val="22F64690"/>
    <w:rsid w:val="23243EF0"/>
    <w:rsid w:val="23587280"/>
    <w:rsid w:val="23FE56AA"/>
    <w:rsid w:val="244F5155"/>
    <w:rsid w:val="24C55A12"/>
    <w:rsid w:val="24F21B94"/>
    <w:rsid w:val="25097BC2"/>
    <w:rsid w:val="25BE7793"/>
    <w:rsid w:val="25EC60DD"/>
    <w:rsid w:val="2674147A"/>
    <w:rsid w:val="270C1A00"/>
    <w:rsid w:val="27DB0E62"/>
    <w:rsid w:val="28192A99"/>
    <w:rsid w:val="282039AE"/>
    <w:rsid w:val="285E23E9"/>
    <w:rsid w:val="29182E05"/>
    <w:rsid w:val="292930E0"/>
    <w:rsid w:val="292F039C"/>
    <w:rsid w:val="296B64C2"/>
    <w:rsid w:val="2B175ADE"/>
    <w:rsid w:val="2B4236C5"/>
    <w:rsid w:val="2B840620"/>
    <w:rsid w:val="2BC26591"/>
    <w:rsid w:val="2BEA02F7"/>
    <w:rsid w:val="2C4F4EEE"/>
    <w:rsid w:val="2C7E70CA"/>
    <w:rsid w:val="2D2520DA"/>
    <w:rsid w:val="2D7323A6"/>
    <w:rsid w:val="2D7A5AC4"/>
    <w:rsid w:val="2ED1142B"/>
    <w:rsid w:val="2EFF3447"/>
    <w:rsid w:val="2FDE17A4"/>
    <w:rsid w:val="3059093C"/>
    <w:rsid w:val="30C505E2"/>
    <w:rsid w:val="314B2999"/>
    <w:rsid w:val="31B94209"/>
    <w:rsid w:val="32F90352"/>
    <w:rsid w:val="336D5341"/>
    <w:rsid w:val="34351807"/>
    <w:rsid w:val="34690F59"/>
    <w:rsid w:val="34CD274D"/>
    <w:rsid w:val="34DA2B3D"/>
    <w:rsid w:val="34F144AE"/>
    <w:rsid w:val="351A3769"/>
    <w:rsid w:val="35377F77"/>
    <w:rsid w:val="35685D12"/>
    <w:rsid w:val="35867DC0"/>
    <w:rsid w:val="37D94B8F"/>
    <w:rsid w:val="381D13B1"/>
    <w:rsid w:val="391B3701"/>
    <w:rsid w:val="396D4144"/>
    <w:rsid w:val="39AA1EA5"/>
    <w:rsid w:val="3A747B8A"/>
    <w:rsid w:val="3AB24CBD"/>
    <w:rsid w:val="3AD46983"/>
    <w:rsid w:val="3AF305E5"/>
    <w:rsid w:val="3B0C3BD8"/>
    <w:rsid w:val="3B537DE4"/>
    <w:rsid w:val="3C2A03B9"/>
    <w:rsid w:val="3D974BD1"/>
    <w:rsid w:val="3E794F64"/>
    <w:rsid w:val="3E936742"/>
    <w:rsid w:val="3FA00BF0"/>
    <w:rsid w:val="3FA72D2A"/>
    <w:rsid w:val="3FD02C9E"/>
    <w:rsid w:val="3FD41D67"/>
    <w:rsid w:val="4099688A"/>
    <w:rsid w:val="41B642C2"/>
    <w:rsid w:val="421E36B7"/>
    <w:rsid w:val="425C1804"/>
    <w:rsid w:val="42D61E33"/>
    <w:rsid w:val="432A4D6B"/>
    <w:rsid w:val="439E365C"/>
    <w:rsid w:val="43D25E8C"/>
    <w:rsid w:val="43D43068"/>
    <w:rsid w:val="43EF03C3"/>
    <w:rsid w:val="44114659"/>
    <w:rsid w:val="44150A7B"/>
    <w:rsid w:val="443B42DA"/>
    <w:rsid w:val="443E20F5"/>
    <w:rsid w:val="44436393"/>
    <w:rsid w:val="44664DEF"/>
    <w:rsid w:val="44AC5CF0"/>
    <w:rsid w:val="45085FA3"/>
    <w:rsid w:val="4533421C"/>
    <w:rsid w:val="462D47F6"/>
    <w:rsid w:val="467639A4"/>
    <w:rsid w:val="46783983"/>
    <w:rsid w:val="46E50381"/>
    <w:rsid w:val="475100CB"/>
    <w:rsid w:val="475E3A53"/>
    <w:rsid w:val="47A81519"/>
    <w:rsid w:val="495C2A9A"/>
    <w:rsid w:val="49A457AF"/>
    <w:rsid w:val="49F75DDD"/>
    <w:rsid w:val="4A132DDE"/>
    <w:rsid w:val="4A27726D"/>
    <w:rsid w:val="4A8F397A"/>
    <w:rsid w:val="4B1C4574"/>
    <w:rsid w:val="4B6C5BC8"/>
    <w:rsid w:val="4BE76167"/>
    <w:rsid w:val="4C4A7DB2"/>
    <w:rsid w:val="4C9D50D4"/>
    <w:rsid w:val="4D0870FA"/>
    <w:rsid w:val="4D1E16D7"/>
    <w:rsid w:val="4D3A61C4"/>
    <w:rsid w:val="4D3E4EC9"/>
    <w:rsid w:val="4E377EEF"/>
    <w:rsid w:val="4EA613CC"/>
    <w:rsid w:val="4EED7C20"/>
    <w:rsid w:val="4F5B0C0F"/>
    <w:rsid w:val="4F9E6952"/>
    <w:rsid w:val="50BC51E3"/>
    <w:rsid w:val="50C96801"/>
    <w:rsid w:val="50D80658"/>
    <w:rsid w:val="51924411"/>
    <w:rsid w:val="51E542A0"/>
    <w:rsid w:val="51FE6A20"/>
    <w:rsid w:val="522F2F93"/>
    <w:rsid w:val="52F46A67"/>
    <w:rsid w:val="5315693C"/>
    <w:rsid w:val="53CC52E0"/>
    <w:rsid w:val="53D5199E"/>
    <w:rsid w:val="53DD3535"/>
    <w:rsid w:val="54C05D1E"/>
    <w:rsid w:val="54CF2535"/>
    <w:rsid w:val="55D20806"/>
    <w:rsid w:val="55E62944"/>
    <w:rsid w:val="565439AC"/>
    <w:rsid w:val="565E0272"/>
    <w:rsid w:val="573C463C"/>
    <w:rsid w:val="58F86849"/>
    <w:rsid w:val="58FF131E"/>
    <w:rsid w:val="5A2732FD"/>
    <w:rsid w:val="5A3606BD"/>
    <w:rsid w:val="5AD34936"/>
    <w:rsid w:val="5B785CA1"/>
    <w:rsid w:val="5C0A2523"/>
    <w:rsid w:val="5CF5267B"/>
    <w:rsid w:val="5CFE5B62"/>
    <w:rsid w:val="5D18088A"/>
    <w:rsid w:val="5D315701"/>
    <w:rsid w:val="5DEB7A66"/>
    <w:rsid w:val="5E2556E9"/>
    <w:rsid w:val="5E5554FB"/>
    <w:rsid w:val="5EEB72EE"/>
    <w:rsid w:val="604B4867"/>
    <w:rsid w:val="608B3CC1"/>
    <w:rsid w:val="609A54CA"/>
    <w:rsid w:val="60DD1A0B"/>
    <w:rsid w:val="60F9058A"/>
    <w:rsid w:val="617225FD"/>
    <w:rsid w:val="619061C1"/>
    <w:rsid w:val="62037856"/>
    <w:rsid w:val="63142A83"/>
    <w:rsid w:val="63CB65D6"/>
    <w:rsid w:val="64D43238"/>
    <w:rsid w:val="64F152B6"/>
    <w:rsid w:val="651B5B71"/>
    <w:rsid w:val="660F5591"/>
    <w:rsid w:val="66F81601"/>
    <w:rsid w:val="671C251F"/>
    <w:rsid w:val="674335AA"/>
    <w:rsid w:val="67D21ADF"/>
    <w:rsid w:val="680575DB"/>
    <w:rsid w:val="683F2F11"/>
    <w:rsid w:val="68730694"/>
    <w:rsid w:val="68AC429F"/>
    <w:rsid w:val="695E41AD"/>
    <w:rsid w:val="6A1257C7"/>
    <w:rsid w:val="6AA52968"/>
    <w:rsid w:val="6ACB72D7"/>
    <w:rsid w:val="6B2C5AA5"/>
    <w:rsid w:val="6B7B4032"/>
    <w:rsid w:val="6BD4761B"/>
    <w:rsid w:val="6BD82154"/>
    <w:rsid w:val="6BFE09D7"/>
    <w:rsid w:val="6C6A5ECF"/>
    <w:rsid w:val="6C8E0F0A"/>
    <w:rsid w:val="6CBB235A"/>
    <w:rsid w:val="6DB17F76"/>
    <w:rsid w:val="6DD6058E"/>
    <w:rsid w:val="6DFD531E"/>
    <w:rsid w:val="6E4A56B7"/>
    <w:rsid w:val="6EF6451B"/>
    <w:rsid w:val="6F037FCD"/>
    <w:rsid w:val="6F3C4132"/>
    <w:rsid w:val="6F8A3ABE"/>
    <w:rsid w:val="6FF77227"/>
    <w:rsid w:val="6FF91690"/>
    <w:rsid w:val="7176543B"/>
    <w:rsid w:val="71B01C92"/>
    <w:rsid w:val="71D848A5"/>
    <w:rsid w:val="71EA36CF"/>
    <w:rsid w:val="72563B1B"/>
    <w:rsid w:val="730D2493"/>
    <w:rsid w:val="741C0B04"/>
    <w:rsid w:val="74382EF0"/>
    <w:rsid w:val="746D43B8"/>
    <w:rsid w:val="74803C62"/>
    <w:rsid w:val="74897085"/>
    <w:rsid w:val="74987D80"/>
    <w:rsid w:val="75095D71"/>
    <w:rsid w:val="75265EB8"/>
    <w:rsid w:val="75E41B95"/>
    <w:rsid w:val="76514FF8"/>
    <w:rsid w:val="76E03DD8"/>
    <w:rsid w:val="77265FBF"/>
    <w:rsid w:val="7729712E"/>
    <w:rsid w:val="77FF64BE"/>
    <w:rsid w:val="78005643"/>
    <w:rsid w:val="78202DB6"/>
    <w:rsid w:val="785C5777"/>
    <w:rsid w:val="794A3F56"/>
    <w:rsid w:val="79562EAC"/>
    <w:rsid w:val="79AD1F1B"/>
    <w:rsid w:val="7A1940C6"/>
    <w:rsid w:val="7AB660E9"/>
    <w:rsid w:val="7B471569"/>
    <w:rsid w:val="7DBF74D1"/>
    <w:rsid w:val="7ECD0914"/>
    <w:rsid w:val="7FA93A2C"/>
    <w:rsid w:val="7FCD1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1"/>
      <w:ind w:left="431" w:right="429"/>
      <w:jc w:val="center"/>
      <w:outlineLvl w:val="1"/>
    </w:pPr>
    <w:rPr>
      <w:rFonts w:ascii="黑体" w:hAnsi="黑体" w:eastAsia="黑体" w:cs="黑体"/>
      <w:sz w:val="70"/>
      <w:szCs w:val="70"/>
      <w:lang w:val="zh-CN" w:eastAsia="zh-CN" w:bidi="zh-CN"/>
    </w:rPr>
  </w:style>
  <w:style w:type="paragraph" w:styleId="4">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paragraph" w:styleId="5">
    <w:name w:val="heading 3"/>
    <w:basedOn w:val="1"/>
    <w:next w:val="1"/>
    <w:qFormat/>
    <w:uiPriority w:val="1"/>
    <w:pPr>
      <w:ind w:left="429"/>
      <w:outlineLvl w:val="3"/>
    </w:pPr>
    <w:rPr>
      <w:rFonts w:ascii="仿宋" w:hAnsi="仿宋" w:eastAsia="仿宋" w:cs="仿宋"/>
      <w:sz w:val="28"/>
      <w:szCs w:val="28"/>
      <w:lang w:val="zh-CN" w:eastAsia="zh-CN" w:bidi="zh-CN"/>
    </w:rPr>
  </w:style>
  <w:style w:type="paragraph" w:styleId="6">
    <w:name w:val="heading 4"/>
    <w:basedOn w:val="1"/>
    <w:next w:val="1"/>
    <w:qFormat/>
    <w:uiPriority w:val="1"/>
    <w:pPr>
      <w:spacing w:before="1"/>
      <w:ind w:left="478" w:right="442"/>
      <w:outlineLvl w:val="4"/>
    </w:pPr>
    <w:rPr>
      <w:rFonts w:ascii="仿宋" w:hAnsi="仿宋" w:eastAsia="仿宋" w:cs="仿宋"/>
      <w:b/>
      <w:bCs/>
      <w:sz w:val="24"/>
      <w:szCs w:val="24"/>
      <w:lang w:val="zh-CN" w:eastAsia="zh-CN" w:bidi="zh-CN"/>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styleId="7">
    <w:name w:val="Normal Indent"/>
    <w:basedOn w:val="1"/>
    <w:qFormat/>
    <w:uiPriority w:val="0"/>
    <w:pPr>
      <w:ind w:firstLine="420" w:firstLineChars="200"/>
    </w:pPr>
    <w:rPr>
      <w:rFonts w:ascii="Calibri" w:hAnsi="Calibri" w:eastAsia="宋体" w:cs="Times New Roman"/>
    </w:rPr>
  </w:style>
  <w:style w:type="paragraph" w:styleId="8">
    <w:name w:val="Body Text"/>
    <w:basedOn w:val="1"/>
    <w:qFormat/>
    <w:uiPriority w:val="1"/>
    <w:rPr>
      <w:rFonts w:ascii="仿宋" w:hAnsi="仿宋" w:eastAsia="仿宋" w:cs="仿宋"/>
      <w:sz w:val="24"/>
      <w:szCs w:val="24"/>
      <w:lang w:val="zh-CN" w:eastAsia="zh-CN" w:bidi="zh-CN"/>
    </w:rPr>
  </w:style>
  <w:style w:type="paragraph" w:styleId="9">
    <w:name w:val="Body Text Indent"/>
    <w:basedOn w:val="1"/>
    <w:next w:val="10"/>
    <w:unhideWhenUsed/>
    <w:qFormat/>
    <w:uiPriority w:val="0"/>
    <w:pPr>
      <w:ind w:firstLine="630"/>
    </w:pPr>
    <w:rPr>
      <w:rFonts w:ascii="Times New Roman"/>
      <w:kern w:val="2"/>
      <w:sz w:val="32"/>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toc 3"/>
    <w:basedOn w:val="1"/>
    <w:next w:val="1"/>
    <w:qFormat/>
    <w:uiPriority w:val="1"/>
    <w:pPr>
      <w:spacing w:before="110"/>
      <w:ind w:left="1529" w:hanging="212"/>
    </w:pPr>
    <w:rPr>
      <w:rFonts w:ascii="楷体" w:hAnsi="楷体" w:eastAsia="楷体" w:cs="楷体"/>
      <w:sz w:val="21"/>
      <w:szCs w:val="21"/>
      <w:lang w:val="zh-CN" w:eastAsia="zh-CN" w:bidi="zh-C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1"/>
    <w:pPr>
      <w:spacing w:before="110"/>
      <w:ind w:left="478"/>
    </w:pPr>
    <w:rPr>
      <w:rFonts w:ascii="黑体" w:hAnsi="黑体" w:eastAsia="黑体" w:cs="黑体"/>
      <w:sz w:val="21"/>
      <w:szCs w:val="21"/>
      <w:lang w:val="zh-CN" w:eastAsia="zh-CN" w:bidi="zh-CN"/>
    </w:rPr>
  </w:style>
  <w:style w:type="paragraph" w:styleId="15">
    <w:name w:val="toc 2"/>
    <w:basedOn w:val="1"/>
    <w:next w:val="1"/>
    <w:qFormat/>
    <w:uiPriority w:val="1"/>
    <w:pPr>
      <w:spacing w:before="110"/>
      <w:ind w:left="898"/>
    </w:pPr>
    <w:rPr>
      <w:rFonts w:ascii="黑体" w:hAnsi="黑体" w:eastAsia="黑体" w:cs="黑体"/>
      <w:sz w:val="21"/>
      <w:szCs w:val="21"/>
      <w:lang w:val="zh-CN" w:eastAsia="zh-CN" w:bidi="zh-CN"/>
    </w:rPr>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spacing w:after="120" w:line="240" w:lineRule="auto"/>
      <w:ind w:left="200" w:leftChars="200" w:firstLine="200" w:firstLineChars="200"/>
    </w:p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spacing w:before="161"/>
      <w:ind w:left="478" w:firstLine="480"/>
    </w:pPr>
    <w:rPr>
      <w:rFonts w:ascii="仿宋" w:hAnsi="仿宋" w:eastAsia="仿宋" w:cs="仿宋"/>
      <w:lang w:val="zh-CN" w:eastAsia="zh-CN" w:bidi="zh-CN"/>
    </w:rPr>
  </w:style>
  <w:style w:type="paragraph" w:customStyle="1" w:styleId="22">
    <w:name w:val="Table Paragraph"/>
    <w:basedOn w:val="1"/>
    <w:qFormat/>
    <w:uiPriority w:val="1"/>
    <w:rPr>
      <w:rFonts w:ascii="仿宋" w:hAnsi="仿宋" w:eastAsia="仿宋" w:cs="仿宋"/>
      <w:lang w:val="zh-CN" w:eastAsia="zh-CN" w:bidi="zh-CN"/>
    </w:rPr>
  </w:style>
  <w:style w:type="paragraph" w:customStyle="1" w:styleId="2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25">
    <w:name w:val="No Spacing"/>
    <w:basedOn w:val="1"/>
    <w:qFormat/>
    <w:uiPriority w:val="1"/>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2021-10-14T11:57:00Z</dcterms:created>
  <dc:creator>市政务服务办</dc:creator>
  <cp:lastModifiedBy>阿克苏兴立众</cp:lastModifiedBy>
  <cp:lastPrinted>2021-11-08T03:37:22Z</cp:lastPrinted>
  <dcterms:modified xsi:type="dcterms:W3CDTF">2021-11-08T03:37:49Z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WPS 文字</vt:lpwstr>
  </property>
  <property fmtid="{D5CDD505-2E9C-101B-9397-08002B2CF9AE}" pid="4" name="LastSaved">
    <vt:filetime>2021-10-14T00:00:00Z</vt:filetime>
  </property>
  <property fmtid="{D5CDD505-2E9C-101B-9397-08002B2CF9AE}" pid="5" name="KSOProductBuildVer">
    <vt:lpwstr>2052-11.1.0.11045</vt:lpwstr>
  </property>
  <property fmtid="{D5CDD505-2E9C-101B-9397-08002B2CF9AE}" pid="6" name="ICV">
    <vt:lpwstr>90027C18BF424AD38F812438EF499018</vt:lpwstr>
  </property>
</Properties>
</file>