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8"/>
          <w:szCs w:val="18"/>
          <w:lang w:val="en-US" w:eastAsia="zh-CN"/>
        </w:rPr>
      </w:pPr>
    </w:p>
    <w:p>
      <w:pPr>
        <w:adjustRightInd w:val="0"/>
        <w:snapToGrid w:val="0"/>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bCs/>
          <w:color w:val="auto"/>
          <w:sz w:val="72"/>
          <w:szCs w:val="72"/>
          <w:highlight w:val="none"/>
          <w:lang w:val="en-US" w:eastAsia="zh-CN"/>
        </w:rPr>
        <w:t>乌什县人民医院急救综合楼内增加电缆、桥架项目</w:t>
      </w:r>
    </w:p>
    <w:p>
      <w:pPr>
        <w:pStyle w:val="6"/>
        <w:rPr>
          <w:rFonts w:hint="eastAsia"/>
        </w:rPr>
      </w:pPr>
    </w:p>
    <w:p>
      <w:pPr>
        <w:rPr>
          <w:rFonts w:hint="eastAsia"/>
        </w:rPr>
      </w:pPr>
    </w:p>
    <w:p>
      <w:pPr>
        <w:pStyle w:val="2"/>
        <w:rPr>
          <w:rFonts w:hint="eastAsia" w:ascii="宋体" w:hAnsi="宋体" w:eastAsia="宋体" w:cs="宋体"/>
        </w:rPr>
      </w:pPr>
    </w:p>
    <w:p>
      <w:pPr>
        <w:adjustRightInd w:val="0"/>
        <w:snapToGrid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eastAsia="zh-CN"/>
        </w:rPr>
        <w:t>竞争性磋商</w:t>
      </w:r>
      <w:r>
        <w:rPr>
          <w:rFonts w:hint="eastAsia" w:ascii="宋体" w:hAnsi="宋体" w:eastAsia="宋体" w:cs="宋体"/>
          <w:b/>
          <w:bCs/>
          <w:color w:val="auto"/>
          <w:sz w:val="72"/>
          <w:szCs w:val="72"/>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WSX[2021]-280</w:t>
      </w:r>
    </w:p>
    <w:p>
      <w:pPr>
        <w:pStyle w:val="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 xml:space="preserve"> 乌什县人民医院</w:t>
      </w:r>
    </w:p>
    <w:p>
      <w:pPr>
        <w:pStyle w:val="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 xml:space="preserve">新疆好谋略城市建设咨询管理有限公司 </w:t>
      </w:r>
    </w:p>
    <w:p>
      <w:pPr>
        <w:pStyle w:val="2"/>
        <w:jc w:val="center"/>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0000FF"/>
          <w:sz w:val="32"/>
          <w:szCs w:val="32"/>
          <w:highlight w:val="none"/>
        </w:rPr>
      </w:pPr>
    </w:p>
    <w:p>
      <w:pPr>
        <w:pStyle w:val="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二零二一</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十</w:t>
      </w:r>
      <w:r>
        <w:rPr>
          <w:rFonts w:hint="eastAsia" w:ascii="宋体" w:hAnsi="宋体" w:eastAsia="宋体" w:cs="宋体"/>
          <w:b/>
          <w:bCs/>
          <w:color w:val="auto"/>
          <w:sz w:val="32"/>
          <w:szCs w:val="32"/>
          <w:highlight w:val="none"/>
          <w:lang w:val="en-US" w:eastAsia="zh-CN"/>
        </w:rPr>
        <w:t>月</w:t>
      </w:r>
    </w:p>
    <w:p>
      <w:pPr>
        <w:pStyle w:val="2"/>
        <w:ind w:left="0" w:leftChars="0" w:firstLine="0" w:firstLineChars="0"/>
        <w:rPr>
          <w:rFonts w:hint="eastAsia" w:ascii="宋体" w:hAnsi="宋体" w:eastAsia="宋体" w:cs="宋体"/>
          <w:color w:val="auto"/>
          <w:sz w:val="36"/>
          <w:szCs w:val="36"/>
          <w:highlight w:val="none"/>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center"/>
        <w:rPr>
          <w:rFonts w:hint="eastAsia" w:ascii="宋体" w:hAnsi="宋体" w:eastAsia="宋体" w:cs="宋体"/>
          <w:b w:val="0"/>
          <w:bCs/>
          <w:color w:val="auto"/>
          <w:sz w:val="28"/>
          <w:szCs w:val="28"/>
          <w:highlight w:val="none"/>
        </w:rPr>
      </w:pPr>
    </w:p>
    <w:p>
      <w:pPr>
        <w:tabs>
          <w:tab w:val="left" w:pos="3457"/>
        </w:tabs>
        <w:bidi w:val="0"/>
        <w:jc w:val="left"/>
        <w:rPr>
          <w:rFonts w:hint="eastAsia" w:ascii="宋体" w:hAnsi="宋体"/>
          <w:b/>
          <w:color w:val="000000"/>
          <w:sz w:val="44"/>
          <w:highlight w:val="white"/>
          <w:lang w:val="zh-CN"/>
        </w:rPr>
      </w:pPr>
    </w:p>
    <w:p>
      <w:pPr>
        <w:pStyle w:val="20"/>
        <w:adjustRightInd w:val="0"/>
        <w:snapToGrid w:val="0"/>
        <w:spacing w:line="360" w:lineRule="auto"/>
        <w:jc w:val="center"/>
        <w:rPr>
          <w:rFonts w:hint="eastAsia" w:hAnsi="宋体" w:cs="宋体"/>
          <w:b/>
          <w:spacing w:val="160"/>
          <w:sz w:val="32"/>
          <w:szCs w:val="32"/>
        </w:rPr>
      </w:pP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_Toc6342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_Toc6342 \h </w:instrText>
      </w:r>
      <w:r>
        <w:fldChar w:fldCharType="separate"/>
      </w:r>
      <w:r>
        <w:t>1</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_Toc22183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_Toc22183 \h </w:instrText>
      </w:r>
      <w:r>
        <w:fldChar w:fldCharType="separate"/>
      </w:r>
      <w:r>
        <w:t>5</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_Toc24870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_Toc24870 \h </w:instrText>
      </w:r>
      <w:r>
        <w:fldChar w:fldCharType="separate"/>
      </w:r>
      <w:r>
        <w:t>23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_Toc15329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_Toc15329 \h </w:instrText>
      </w:r>
      <w:r>
        <w:fldChar w:fldCharType="separate"/>
      </w:r>
      <w:r>
        <w:t>46</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_Toc26812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_Toc26812 \h </w:instrText>
      </w:r>
      <w:r>
        <w:fldChar w:fldCharType="separate"/>
      </w:r>
      <w:r>
        <w:t>53</w:t>
      </w:r>
      <w:r>
        <w:fldChar w:fldCharType="end"/>
      </w:r>
      <w:r>
        <w:rPr>
          <w:rFonts w:hint="eastAsia" w:ascii="宋体" w:hAnsi="宋体" w:cs="宋体"/>
          <w:spacing w:val="160"/>
          <w:szCs w:val="24"/>
          <w:highlight w:val="none"/>
        </w:rPr>
        <w:fldChar w:fldCharType="end"/>
      </w:r>
    </w:p>
    <w:p>
      <w:pPr>
        <w:pStyle w:val="25"/>
        <w:tabs>
          <w:tab w:val="right" w:leader="dot" w:pos="9746"/>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_Toc26619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_Toc26619 \h </w:instrText>
      </w:r>
      <w:r>
        <w:fldChar w:fldCharType="separate"/>
      </w:r>
      <w:r>
        <w:t>54</w:t>
      </w:r>
      <w:r>
        <w:fldChar w:fldCharType="end"/>
      </w: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4"/>
        <w:numPr>
          <w:ilvl w:val="0"/>
          <w:numId w:val="2"/>
        </w:numPr>
        <w:spacing w:before="0" w:after="0" w:line="240" w:lineRule="auto"/>
        <w:ind w:left="0" w:leftChars="0"/>
        <w:sectPr>
          <w:footerReference r:id="rId5" w:type="default"/>
          <w:pgSz w:w="11906" w:h="16838"/>
          <w:pgMar w:top="1440" w:right="1080" w:bottom="1440" w:left="1080" w:header="851" w:footer="992" w:gutter="0"/>
          <w:pgNumType w:fmt="decimal"/>
          <w:cols w:space="425" w:num="1"/>
          <w:docGrid w:linePitch="312" w:charSpace="0"/>
        </w:sectPr>
      </w:pPr>
      <w:bookmarkStart w:id="0" w:name="_Toc21151"/>
      <w:bookmarkStart w:id="1" w:name="_Toc456718476"/>
    </w:p>
    <w:p>
      <w:pPr>
        <w:pStyle w:val="4"/>
        <w:numPr>
          <w:ilvl w:val="0"/>
          <w:numId w:val="2"/>
        </w:numPr>
        <w:spacing w:before="0" w:after="0" w:line="240" w:lineRule="auto"/>
        <w:ind w:left="0" w:leftChars="0"/>
      </w:pPr>
      <w:r>
        <w:rPr>
          <w:rFonts w:hint="eastAsia"/>
          <w:lang w:val="en-US" w:eastAsia="zh-CN"/>
        </w:rPr>
        <w:t xml:space="preserve"> </w:t>
      </w:r>
      <w:bookmarkStart w:id="2" w:name="_Toc4209"/>
      <w:bookmarkStart w:id="3" w:name="_Toc6342"/>
      <w:r>
        <w:rPr>
          <w:rFonts w:hint="eastAsia"/>
        </w:rPr>
        <w:t>竞争性磋商</w:t>
      </w:r>
      <w:bookmarkEnd w:id="0"/>
      <w:r>
        <w:rPr>
          <w:rFonts w:hint="eastAsia"/>
          <w:lang w:eastAsia="zh-CN"/>
        </w:rPr>
        <w:t>公告</w:t>
      </w:r>
      <w:bookmarkEnd w:id="2"/>
      <w:bookmarkEnd w:id="3"/>
    </w:p>
    <w:p>
      <w:pPr>
        <w:rPr>
          <w:rFonts w:hint="eastAsia"/>
          <w:lang w:eastAsia="zh-CN"/>
        </w:rPr>
      </w:pPr>
    </w:p>
    <w:p>
      <w:pPr>
        <w:pStyle w:val="2"/>
        <w:rPr>
          <w:rFonts w:hint="eastAsia"/>
          <w:lang w:eastAsia="zh-CN"/>
        </w:rPr>
      </w:pPr>
    </w:p>
    <w:p>
      <w:pPr>
        <w:pStyle w:val="4"/>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240" w:lineRule="auto"/>
        <w:jc w:val="center"/>
        <w:textAlignment w:val="auto"/>
        <w:rPr>
          <w:sz w:val="36"/>
          <w:szCs w:val="36"/>
        </w:rPr>
      </w:pPr>
      <w:bookmarkStart w:id="4" w:name="_Toc25149"/>
      <w:bookmarkStart w:id="5" w:name="_Toc35393797"/>
      <w:bookmarkStart w:id="6" w:name="_Toc28359011"/>
      <w:r>
        <w:rPr>
          <w:rFonts w:hint="eastAsia" w:ascii="黑体" w:hAnsi="黑体" w:eastAsia="黑体" w:cs="黑体"/>
          <w:sz w:val="36"/>
          <w:szCs w:val="36"/>
          <w:lang w:val="en-US" w:eastAsia="zh-CN"/>
        </w:rPr>
        <w:t>乌什县人民医院急救综合楼内增加电缆、桥架项目竞争性磋商</w:t>
      </w:r>
      <w:r>
        <w:rPr>
          <w:rFonts w:hint="eastAsia" w:ascii="黑体" w:hAnsi="黑体" w:eastAsia="黑体" w:cs="黑体"/>
          <w:sz w:val="36"/>
          <w:szCs w:val="36"/>
        </w:rPr>
        <w:t>公告</w:t>
      </w:r>
      <w:bookmarkEnd w:id="4"/>
      <w:bookmarkEnd w:id="5"/>
      <w:bookmarkEnd w:id="6"/>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_GB2312" w:hAnsi="仿宋_GB2312" w:eastAsia="仿宋_GB2312" w:cs="仿宋_GB2312"/>
          <w:color w:val="auto"/>
          <w:sz w:val="28"/>
          <w:szCs w:val="28"/>
          <w:u w:val="single"/>
          <w:lang w:val="en-US" w:eastAsia="zh-CN"/>
        </w:rPr>
      </w:pPr>
      <w:bookmarkStart w:id="7" w:name="_Toc35393798"/>
      <w:bookmarkStart w:id="8" w:name="_Toc28359089"/>
      <w:bookmarkStart w:id="9" w:name="_Toc28359012"/>
      <w:bookmarkStart w:id="10" w:name="_Toc35393629"/>
      <w:r>
        <w:rPr>
          <w:rFonts w:hint="eastAsia" w:ascii="仿宋_GB2312" w:hAnsi="仿宋_GB2312" w:eastAsia="仿宋_GB2312" w:cs="仿宋_GB2312"/>
          <w:sz w:val="28"/>
          <w:szCs w:val="28"/>
          <w:u w:val="single"/>
          <w:lang w:val="en-US" w:eastAsia="zh-CN"/>
        </w:rPr>
        <w:t>乌什县人民医院急救综合楼内增加电缆、桥架项目的潜在供应商应在政采云网上自主注册后报名获取采购文件，</w:t>
      </w:r>
      <w:r>
        <w:rPr>
          <w:rFonts w:hint="eastAsia" w:ascii="仿宋_GB2312" w:hAnsi="仿宋_GB2312" w:eastAsia="仿宋_GB2312" w:cs="仿宋_GB2312"/>
          <w:color w:val="auto"/>
          <w:sz w:val="28"/>
          <w:szCs w:val="28"/>
          <w:u w:val="single"/>
          <w:lang w:val="en-US" w:eastAsia="zh-CN"/>
        </w:rPr>
        <w:t>并于2021年11月8日11点00 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一、项目基本情况</w:t>
      </w:r>
      <w:bookmarkEnd w:id="7"/>
      <w:bookmarkEnd w:id="8"/>
      <w:bookmarkEnd w:id="9"/>
      <w:bookmarkEnd w:id="10"/>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项目编号：WSX[2021]-280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项目名称：乌什县人民医院急救综合楼内增加电缆、桥架项目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采购方式：竞争性磋商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预算金额：3864527.43</w:t>
      </w:r>
      <w:r>
        <w:rPr>
          <w:rFonts w:hint="eastAsia" w:ascii="仿宋" w:hAnsi="仿宋" w:eastAsia="仿宋"/>
          <w:color w:val="auto"/>
          <w:sz w:val="28"/>
          <w:szCs w:val="28"/>
          <w:lang w:val="en-US" w:eastAsia="zh-CN"/>
        </w:rPr>
        <w:t>元（大写：叁佰捌拾陆万肆仟伍佰贰拾柒元肆角叁分）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最高限价：3864527.43</w:t>
      </w:r>
      <w:r>
        <w:rPr>
          <w:rFonts w:hint="eastAsia" w:ascii="仿宋" w:hAnsi="仿宋" w:eastAsia="仿宋"/>
          <w:color w:val="auto"/>
          <w:sz w:val="28"/>
          <w:szCs w:val="28"/>
          <w:lang w:val="en-US" w:eastAsia="zh-CN"/>
        </w:rPr>
        <w:t>元（大写：叁佰捌拾陆万肆仟伍佰贰拾柒元肆角叁分）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采购需求：</w:t>
      </w:r>
    </w:p>
    <w:tbl>
      <w:tblPr>
        <w:tblStyle w:val="33"/>
        <w:tblW w:w="9744"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4"/>
        <w:gridCol w:w="1740"/>
        <w:gridCol w:w="756"/>
        <w:gridCol w:w="2028"/>
        <w:gridCol w:w="864"/>
        <w:gridCol w:w="213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1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7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7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20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560" w:hanging="560" w:hanging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13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10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0" w:hRule="atLeast"/>
        </w:trPr>
        <w:tc>
          <w:tcPr>
            <w:tcW w:w="11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7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乌什县人民医院急救综合楼内增加电缆、桥架项目</w:t>
            </w:r>
          </w:p>
        </w:tc>
        <w:tc>
          <w:tcPr>
            <w:tcW w:w="7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8"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3864527.43</w:t>
            </w:r>
          </w:p>
        </w:tc>
        <w:tc>
          <w:tcPr>
            <w:tcW w:w="86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13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乌什县人民医院急救综合楼内增加电缆、桥架项目，室内增加电缆桥架等零星电力设施</w:t>
            </w:r>
          </w:p>
        </w:tc>
        <w:tc>
          <w:tcPr>
            <w:tcW w:w="105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rPr>
      </w:pPr>
      <w:bookmarkStart w:id="11" w:name="_Toc28359091"/>
      <w:bookmarkStart w:id="12" w:name="_Toc35393800"/>
      <w:bookmarkStart w:id="13" w:name="_Toc35393631"/>
      <w:bookmarkStart w:id="14" w:name="_Toc28359014"/>
      <w:r>
        <w:rPr>
          <w:rFonts w:hint="eastAsia" w:ascii="仿宋_GB2312" w:hAnsi="仿宋_GB2312" w:eastAsia="仿宋_GB2312" w:cs="仿宋_GB2312"/>
          <w:color w:val="auto"/>
          <w:sz w:val="28"/>
          <w:szCs w:val="28"/>
        </w:rPr>
        <w:t>合同履约期限：</w:t>
      </w:r>
      <w:r>
        <w:rPr>
          <w:rFonts w:hint="eastAsia" w:ascii="仿宋_GB2312" w:hAnsi="仿宋_GB2312" w:eastAsia="仿宋_GB2312" w:cs="仿宋_GB2312"/>
          <w:color w:val="auto"/>
          <w:sz w:val="28"/>
          <w:szCs w:val="28"/>
          <w:lang w:val="en-US" w:eastAsia="zh-CN"/>
        </w:rPr>
        <w:t>自合同签订之日起25日历天</w:t>
      </w:r>
      <w:r>
        <w:rPr>
          <w:rFonts w:hint="eastAsia" w:ascii="仿宋_GB2312" w:hAnsi="仿宋_GB2312" w:eastAsia="仿宋_GB2312" w:cs="仿宋_GB2312"/>
          <w:color w:val="auto"/>
          <w:sz w:val="28"/>
          <w:szCs w:val="28"/>
        </w:rPr>
        <w:t> </w:t>
      </w:r>
    </w:p>
    <w:p>
      <w:pPr>
        <w:pageBreakBefore w:val="0"/>
        <w:kinsoku/>
        <w:overflowPunct/>
        <w:topLinePunct w:val="0"/>
        <w:bidi w:val="0"/>
        <w:snapToGrid/>
        <w:spacing w:beforeAutospacing="0" w:afterAutospacing="0"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r>
        <w:rPr>
          <w:rFonts w:hint="eastAsia" w:ascii="仿宋" w:hAnsi="仿宋" w:eastAsia="仿宋"/>
          <w:sz w:val="28"/>
          <w:szCs w:val="28"/>
          <w:lang w:val="en-US" w:eastAsia="zh-CN"/>
        </w:rPr>
        <w:t>投标</w:t>
      </w:r>
      <w:r>
        <w:rPr>
          <w:rFonts w:hint="eastAsia" w:ascii="仿宋" w:hAnsi="仿宋" w:eastAsia="仿宋"/>
          <w:sz w:val="28"/>
          <w:szCs w:val="28"/>
        </w:rPr>
        <w:t>。</w:t>
      </w:r>
    </w:p>
    <w:p>
      <w:pPr>
        <w:pStyle w:val="2"/>
        <w:ind w:left="0" w:leftChars="0" w:firstLine="0" w:firstLineChars="0"/>
        <w:rPr>
          <w:rStyle w:val="37"/>
          <w:rFonts w:hint="eastAsia" w:ascii="仿宋_GB2312" w:hAnsi="仿宋_GB2312" w:eastAsia="仿宋_GB2312" w:cs="仿宋_GB2312"/>
          <w:kern w:val="0"/>
          <w:sz w:val="28"/>
          <w:szCs w:val="28"/>
          <w:lang w:val="en-US" w:eastAsia="zh-CN" w:bidi="ar-SA"/>
        </w:rPr>
      </w:pPr>
    </w:p>
    <w:p>
      <w:pPr>
        <w:pStyle w:val="2"/>
        <w:ind w:left="0" w:leftChars="0" w:firstLine="0" w:firstLineChars="0"/>
        <w:rPr>
          <w:rFonts w:hint="eastAsia"/>
        </w:rPr>
      </w:pPr>
      <w:r>
        <w:rPr>
          <w:rStyle w:val="37"/>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color w:val="0000FF"/>
          <w:sz w:val="28"/>
          <w:szCs w:val="28"/>
          <w:lang w:val="en-US" w:eastAsia="zh-CN"/>
        </w:rPr>
      </w:pPr>
      <w:r>
        <w:rPr>
          <w:rFonts w:hint="eastAsia" w:ascii="仿宋_GB2312" w:hAnsi="仿宋_GB2312" w:eastAsia="仿宋_GB2312" w:cs="仿宋_GB2312"/>
          <w:color w:val="auto"/>
          <w:sz w:val="28"/>
          <w:szCs w:val="28"/>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三、获取采购文件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时间：2021年10月27日至2021年11月2日，每天上午10：00至14:00，下午15:30至19:30（北京时间，法定节假日除外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15" w:name="_Toc28359092"/>
      <w:bookmarkStart w:id="16" w:name="_Toc35393801"/>
      <w:bookmarkStart w:id="17" w:name="_Toc35393632"/>
      <w:bookmarkStart w:id="18" w:name="_Toc28359015"/>
      <w:r>
        <w:rPr>
          <w:rStyle w:val="37"/>
          <w:rFonts w:hint="eastAsia" w:ascii="仿宋_GB2312" w:hAnsi="仿宋_GB2312" w:eastAsia="仿宋_GB2312" w:cs="仿宋_GB2312"/>
          <w:kern w:val="0"/>
          <w:sz w:val="28"/>
          <w:szCs w:val="28"/>
          <w:lang w:val="en-US" w:eastAsia="zh-CN" w:bidi="ar-SA"/>
        </w:rPr>
        <w:t>四、响应文件提交</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color w:val="auto"/>
          <w:sz w:val="28"/>
          <w:szCs w:val="28"/>
          <w:lang w:val="en-US" w:eastAsia="zh-CN"/>
        </w:rPr>
        <w:t>截止时间：2021年11月8日11点00分（北京时间）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19" w:name="_Toc28359016"/>
      <w:bookmarkStart w:id="20" w:name="_Toc35393802"/>
      <w:bookmarkStart w:id="21" w:name="_Toc28359093"/>
      <w:bookmarkStart w:id="22" w:name="_Toc3539363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五、响应文件开启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时间：2021年11月8日11点00分（北京时间）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23" w:name="_Toc28359094"/>
      <w:bookmarkStart w:id="24" w:name="_Toc35393634"/>
      <w:bookmarkStart w:id="25" w:name="_Toc28359017"/>
      <w:bookmarkStart w:id="26" w:name="_Toc35393803"/>
      <w:r>
        <w:rPr>
          <w:rFonts w:hint="eastAsia" w:ascii="仿宋_GB2312" w:hAnsi="仿宋_GB2312" w:eastAsia="仿宋_GB2312" w:cs="仿宋_GB2312"/>
          <w:color w:val="auto"/>
          <w:sz w:val="28"/>
          <w:szCs w:val="28"/>
          <w:lang w:val="en-US" w:eastAsia="zh-CN"/>
        </w:rPr>
        <w:t>乌什县政务服务和公共资源交易中心三楼开标大厅（乌什县原职业中学院内）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六、公告期限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bookmarkStart w:id="27" w:name="_Toc35393804"/>
      <w:bookmarkStart w:id="28" w:name="_Toc35393635"/>
      <w:r>
        <w:rPr>
          <w:rStyle w:val="37"/>
          <w:rFonts w:hint="eastAsia" w:ascii="仿宋_GB2312" w:hAnsi="仿宋_GB2312" w:eastAsia="仿宋_GB2312" w:cs="仿宋_GB2312"/>
          <w:kern w:val="0"/>
          <w:sz w:val="28"/>
          <w:szCs w:val="28"/>
          <w:lang w:val="en-US" w:eastAsia="zh-CN" w:bidi="ar-SA"/>
        </w:rPr>
        <w:t>七、其他补充事宜</w:t>
      </w:r>
      <w:bookmarkEnd w:id="27"/>
      <w:bookmarkEnd w:id="28"/>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29" w:name="_Toc28359095"/>
      <w:bookmarkStart w:id="30" w:name="_Toc28359018"/>
      <w:bookmarkStart w:id="31" w:name="_Toc35393636"/>
      <w:bookmarkStart w:id="32" w:name="_Toc35393805"/>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pacing w:val="-20"/>
          <w:sz w:val="28"/>
          <w:szCs w:val="28"/>
          <w:lang w:val="en-US" w:eastAsia="zh-CN"/>
        </w:rPr>
        <w:t>本次公告在新疆政府采购网、乌什县人民政府网及阿克苏政府网同时发布</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37"/>
          <w:rFonts w:hint="eastAsia" w:ascii="仿宋_GB2312" w:hAnsi="仿宋_GB2312" w:eastAsia="仿宋_GB2312" w:cs="仿宋_GB2312"/>
          <w:kern w:val="0"/>
          <w:sz w:val="28"/>
          <w:szCs w:val="28"/>
          <w:lang w:val="en-US" w:eastAsia="zh-CN" w:bidi="ar-SA"/>
        </w:rPr>
      </w:pPr>
      <w:r>
        <w:rPr>
          <w:rStyle w:val="37"/>
          <w:rFonts w:hint="eastAsia" w:ascii="仿宋_GB2312" w:hAnsi="仿宋_GB2312" w:eastAsia="仿宋_GB2312" w:cs="仿宋_GB2312"/>
          <w:kern w:val="0"/>
          <w:sz w:val="28"/>
          <w:szCs w:val="28"/>
          <w:lang w:val="en-US" w:eastAsia="zh-CN" w:bidi="ar-SA"/>
        </w:rPr>
        <w:t>八、凡对本次采购提出询问，请按以下方式联系。</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3" w:name="_Toc28359019"/>
      <w:bookmarkStart w:id="34" w:name="_Toc35393806"/>
      <w:bookmarkStart w:id="35" w:name="_Toc35393637"/>
      <w:bookmarkStart w:id="36" w:name="_Toc28359096"/>
      <w:r>
        <w:rPr>
          <w:rFonts w:hint="eastAsia" w:ascii="仿宋_GB2312" w:hAnsi="仿宋_GB2312" w:eastAsia="仿宋_GB2312" w:cs="仿宋_GB2312"/>
          <w:color w:val="auto"/>
          <w:sz w:val="28"/>
          <w:szCs w:val="28"/>
          <w:lang w:val="en-US" w:eastAsia="zh-CN"/>
        </w:rPr>
        <w:t>1、采购人信息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称：乌什县人民医院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地    址：乌什县乌什镇热斯太东街31号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联系方式：13239973826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37" w:name="_Toc28359020"/>
      <w:bookmarkStart w:id="38" w:name="_Toc35393807"/>
      <w:bookmarkStart w:id="39" w:name="_Toc28359097"/>
      <w:bookmarkStart w:id="40" w:name="_Toc35393638"/>
      <w:r>
        <w:rPr>
          <w:rFonts w:hint="eastAsia" w:ascii="仿宋_GB2312" w:hAnsi="仿宋_GB2312" w:eastAsia="仿宋_GB2312" w:cs="仿宋_GB2312"/>
          <w:color w:val="auto"/>
          <w:sz w:val="28"/>
          <w:szCs w:val="28"/>
          <w:lang w:val="en-US" w:eastAsia="zh-CN"/>
        </w:rPr>
        <w:t>2、采购代理机构信息</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称：新疆好谋略城市建设咨询管理有限公司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址：阿克苏市红桥街道行署东院高层1栋2单元103室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联系方式：0997-7777399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bookmarkStart w:id="41" w:name="_Toc35393639"/>
      <w:bookmarkStart w:id="42" w:name="_Toc35393808"/>
      <w:bookmarkStart w:id="43" w:name="_Toc28359021"/>
      <w:bookmarkStart w:id="44" w:name="_Toc28359098"/>
      <w:r>
        <w:rPr>
          <w:rFonts w:hint="eastAsia" w:ascii="仿宋_GB2312" w:hAnsi="仿宋_GB2312" w:eastAsia="仿宋_GB2312" w:cs="仿宋_GB2312"/>
          <w:color w:val="auto"/>
          <w:sz w:val="28"/>
          <w:szCs w:val="28"/>
          <w:lang w:val="en-US" w:eastAsia="zh-CN"/>
        </w:rPr>
        <w:t>3、项目联系方式</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项目联系人：赵丹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pPr>
      <w:r>
        <w:rPr>
          <w:rFonts w:hint="eastAsia" w:ascii="仿宋_GB2312" w:hAnsi="仿宋_GB2312" w:eastAsia="仿宋_GB2312" w:cs="仿宋_GB2312"/>
          <w:color w:val="auto"/>
          <w:sz w:val="28"/>
          <w:szCs w:val="28"/>
          <w:lang w:val="en-US" w:eastAsia="zh-CN"/>
        </w:rPr>
        <w:t>电　　 话：15569122015　　　　</w:t>
      </w:r>
      <w:r>
        <w:rPr>
          <w:rFonts w:hint="eastAsia" w:ascii="仿宋_GB2312" w:hAnsi="仿宋_GB2312" w:eastAsia="仿宋_GB2312" w:cs="仿宋_GB2312"/>
          <w:sz w:val="28"/>
          <w:szCs w:val="28"/>
          <w:u w:val="none"/>
        </w:rPr>
        <w:t>　　</w:t>
      </w:r>
      <w:r>
        <w:rPr>
          <w:rFonts w:hint="eastAsia" w:ascii="仿宋_GB2312" w:hAnsi="仿宋_GB2312" w:eastAsia="仿宋_GB2312" w:cs="仿宋_GB2312"/>
          <w:sz w:val="28"/>
          <w:szCs w:val="28"/>
          <w:u w:val="none"/>
          <w:lang w:val="en-US" w:eastAsia="zh-CN"/>
        </w:rPr>
        <w:t xml:space="preserve"> </w:t>
      </w: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r>
        <w:rPr>
          <w:rFonts w:hint="eastAsia" w:ascii="仿宋_GB2312" w:hAnsi="仿宋_GB2312" w:eastAsia="仿宋_GB2312" w:cs="仿宋_GB2312"/>
          <w:color w:val="auto"/>
          <w:sz w:val="28"/>
          <w:szCs w:val="28"/>
          <w:lang w:val="en-US" w:eastAsia="zh-CN"/>
        </w:rPr>
        <w:t>　　　</w:t>
      </w:r>
      <w:r>
        <w:rPr>
          <w:rFonts w:hint="eastAsia" w:ascii="仿宋_GB2312" w:hAnsi="仿宋_GB2312" w:eastAsia="仿宋_GB2312" w:cs="仿宋_GB2312"/>
          <w:sz w:val="28"/>
          <w:szCs w:val="28"/>
          <w:u w:val="none"/>
        </w:rPr>
        <w:t>　</w:t>
      </w:r>
    </w:p>
    <w:p>
      <w:pPr>
        <w:pStyle w:val="4"/>
        <w:numPr>
          <w:ilvl w:val="0"/>
          <w:numId w:val="2"/>
        </w:numPr>
        <w:spacing w:before="0" w:after="0" w:line="240" w:lineRule="auto"/>
        <w:ind w:left="0" w:leftChars="0"/>
        <w:rPr>
          <w:rFonts w:hint="eastAsia"/>
          <w:lang w:val="en-US" w:eastAsia="zh-CN"/>
        </w:rPr>
      </w:pPr>
      <w:bookmarkStart w:id="45" w:name="_Toc10571"/>
      <w:bookmarkStart w:id="46" w:name="_Toc1347"/>
      <w:r>
        <w:rPr>
          <w:rFonts w:hint="eastAsia"/>
          <w:lang w:val="en-US" w:eastAsia="zh-CN"/>
        </w:rPr>
        <w:t xml:space="preserve"> </w:t>
      </w:r>
      <w:bookmarkStart w:id="47" w:name="_Toc136"/>
      <w:bookmarkStart w:id="48" w:name="_Toc22183"/>
      <w:r>
        <w:rPr>
          <w:rFonts w:hint="eastAsia"/>
        </w:rPr>
        <w:t>供应商须知</w:t>
      </w:r>
      <w:bookmarkEnd w:id="45"/>
      <w:bookmarkEnd w:id="46"/>
      <w:bookmarkEnd w:id="47"/>
      <w:bookmarkEnd w:id="48"/>
      <w:bookmarkStart w:id="49" w:name="_Toc21720"/>
    </w:p>
    <w:p>
      <w:pPr>
        <w:pStyle w:val="5"/>
        <w:jc w:val="center"/>
        <w:rPr>
          <w:rFonts w:hint="eastAsia"/>
        </w:rPr>
      </w:pPr>
      <w:r>
        <w:rPr>
          <w:rFonts w:hint="eastAsia"/>
        </w:rPr>
        <w:t>供应商须知前附表</w:t>
      </w:r>
      <w:bookmarkEnd w:id="49"/>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2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2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203"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rPr>
            </w:pPr>
            <w:r>
              <w:rPr>
                <w:rFonts w:hint="eastAsia" w:ascii="宋体" w:hAnsi="宋体" w:eastAsia="宋体" w:cs="宋体"/>
                <w:color w:val="000000"/>
                <w:sz w:val="24"/>
                <w:szCs w:val="24"/>
                <w:highlight w:val="none"/>
                <w:u w:val="none"/>
                <w:lang w:val="en-US"/>
              </w:rPr>
              <w:t xml:space="preserve">乌什县人民医院急救综合楼内增加电缆、桥架项目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名称：乌什县人民医院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地址：乌什县乌什镇热斯太东街31号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联系人：张菁菁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电话：13239973826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名称：新疆好谋略城市建设咨询管理有限公司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地址：阿克苏市红桥街道行署东院高层1栋2单元103室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联系人：赵丹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电话：15569122015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乌什县财政局采购办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color w:val="auto"/>
                <w:sz w:val="24"/>
                <w:lang w:val="en-US" w:eastAsia="zh-CN"/>
              </w:rPr>
              <w:t>乌什县新城路</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color w:val="auto"/>
                <w:sz w:val="24"/>
              </w:rPr>
              <w:t>0997-5323876</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color w:val="auto"/>
                <w:sz w:val="24"/>
              </w:rPr>
              <w:t>约热古丽</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203"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具备建筑工程施工总承包叁级及以上资质，有效的安全生产许可证，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息报送册中备案人员。</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（3）供应商如在“信用中国”网站、</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中国政府采购网</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国家企业信用信息公示系统</w:t>
            </w:r>
            <w:r>
              <w:rPr>
                <w:rFonts w:hint="eastAsia" w:ascii="宋体" w:hAnsi="宋体" w:cs="宋体"/>
                <w:color w:val="000000"/>
                <w:sz w:val="24"/>
                <w:szCs w:val="24"/>
                <w:u w:val="none"/>
                <w:lang w:val="en-US" w:eastAsia="zh-CN"/>
              </w:rPr>
              <w:t>”</w:t>
            </w:r>
            <w:r>
              <w:rPr>
                <w:rFonts w:hint="eastAsia" w:ascii="宋体" w:hAnsi="宋体" w:eastAsia="宋体" w:cs="宋体"/>
                <w:color w:val="000000"/>
                <w:sz w:val="24"/>
                <w:szCs w:val="24"/>
                <w:u w:val="none"/>
                <w:lang w:val="en-US" w:eastAsia="zh-CN"/>
              </w:rPr>
              <w:t>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 xml:space="preserve">（4）相互关联存在实际控制、管理关系的两个企业，不得参加同一项目的投标。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203"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28"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203" w:type="dxa"/>
            <w:vAlign w:val="center"/>
          </w:tcPr>
          <w:p>
            <w:pPr>
              <w:pStyle w:val="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28"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w:t>
            </w:r>
            <w:r>
              <w:rPr>
                <w:rFonts w:hint="eastAsia" w:ascii="仿宋_GB2312" w:hAnsi="仿宋_GB2312" w:eastAsia="仿宋_GB2312" w:cs="仿宋_GB2312"/>
                <w:color w:val="auto"/>
                <w:sz w:val="28"/>
                <w:szCs w:val="28"/>
                <w:lang w:val="en-US" w:eastAsia="zh-CN"/>
              </w:rPr>
              <w:t>3864527.43</w:t>
            </w:r>
            <w:r>
              <w:rPr>
                <w:rFonts w:hint="eastAsia" w:ascii="宋体" w:hAnsi="宋体" w:eastAsia="宋体" w:cs="宋体"/>
                <w:kern w:val="0"/>
                <w:sz w:val="24"/>
                <w:lang w:val="zh-CN" w:eastAsia="zh-CN"/>
              </w:rPr>
              <w:t xml:space="preserve">元  </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金额（大写）：叁佰捌拾陆万肆仟伍佰贰拾柒元肆角叁分</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w:t>
            </w:r>
            <w:r>
              <w:rPr>
                <w:rFonts w:hint="eastAsia" w:ascii="仿宋_GB2312" w:hAnsi="仿宋_GB2312" w:eastAsia="仿宋_GB2312" w:cs="仿宋_GB2312"/>
                <w:color w:val="auto"/>
                <w:sz w:val="28"/>
                <w:szCs w:val="28"/>
                <w:lang w:val="en-US" w:eastAsia="zh-CN"/>
              </w:rPr>
              <w:t>3864527.43</w:t>
            </w:r>
            <w:r>
              <w:rPr>
                <w:rFonts w:hint="eastAsia" w:ascii="宋体" w:hAnsi="宋体" w:eastAsia="宋体" w:cs="宋体"/>
                <w:kern w:val="0"/>
                <w:sz w:val="24"/>
                <w:lang w:val="zh-CN" w:eastAsia="zh-CN"/>
              </w:rPr>
              <w:t>元</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28"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8"/>
                <w:szCs w:val="21"/>
                <w:lang w:val="en-US" w:eastAsia="zh-CN"/>
              </w:rPr>
              <w:sym w:font="Wingdings 2" w:char="00A3"/>
            </w: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203"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28"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203"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，电子文件四份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响应文件在2021年11月8日11:00 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时间：2021年11月8日11:00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203" w:type="dxa"/>
            <w:vAlign w:val="center"/>
          </w:tcPr>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时间：2021年11月8日11:00                         </w:t>
            </w:r>
          </w:p>
          <w:p>
            <w:pPr>
              <w:pStyle w:val="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地点：乌什县政务服务和公共资源交易中心三楼开标大厅（乌什县原职业中学院内）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203" w:type="dxa"/>
            <w:vAlign w:val="center"/>
          </w:tcPr>
          <w:p>
            <w:pPr>
              <w:pStyle w:val="2"/>
              <w:spacing w:line="24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供应商的法定代表人或其授权代表应当按时参加，并在采购机构按磋商程序进行点名时，现场提交以下证明资料，以证明其出席。</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企业法人营业执照》、《建筑业企业资质证书》、《安全生产许可证》或安全生产合格证（或由建设行政主管部门出示的资质年审证明）。（注：外省区进疆施工企业还应提交《新疆维吾尔自治区区外建设工程企业信息报送册》或已在新疆建设云上信息登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2、授权委托人到场，提供本人身份证原件及法人授权委托书原件。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3、授权委托人及拟派建造师近三个月社保缴纳证明原件（退休人员提供退休证）。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4、拟派建造师注册证书或临时执业证书和安全培训合格证（外省区进疆施工企业拟派建造师还需与新疆维吾尔自治区外建设工程企业信息报送册备案人员相符或与新疆建设云上备案人员相符）。</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5、“信用中国”网站和“中国政府采购网”的查询结果的截图及“国家企业信用信息公示”报告打印件加盖公章（打印时间须在报名至开标截止时间内）。</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提交控制价确认函、工程建设项目廉政责任书和建设工程诚信投标承诺书，各一式四份（注：廉政责任书和建设工程诚信投标承诺书加盖投标人公章，廉政责任书招标人公章开标现场统一加盖，否则取消投标资格）。</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7、使用新疆籍农民工承诺书及对使用用工需求总数和一般普工及技能工人需求人数、预计用工时间、薪酬等方面进行预估规划原件。</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注：法定代表人身份证明及法定代表人授权委托书需单独提供，并与投标文件中所提供的一致。</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原件不全或不符的均视为不通过资格审查；上述证件齐全、满足要求的投标人为有效投标人。上述证件的公证件，本次招标不予认可。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28"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203"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A3"/>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新疆政府采购网、阿克苏政府网、乌什县人民政府网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203"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1、磋商轮数:两轮（采取一轮公开报价，一轮背靠背式报价）</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cs="宋体"/>
                <w:bCs/>
                <w:sz w:val="24"/>
                <w:u w:val="none"/>
              </w:rPr>
            </w:pPr>
            <w:r>
              <w:rPr>
                <w:rFonts w:hint="eastAsia" w:ascii="宋体" w:hAnsi="宋体" w:cs="宋体"/>
                <w:kern w:val="0"/>
                <w:sz w:val="24"/>
                <w:u w:val="none"/>
                <w:lang w:val="zh-CN"/>
              </w:rPr>
              <w:t>2、最后一轮磋商结束后，所有仍在参加磋商的供应商按照磋商小组的要求做最后报价（含修正的响应文件，如有），最后报价由其</w:t>
            </w:r>
            <w:r>
              <w:rPr>
                <w:rFonts w:hint="eastAsia" w:ascii="宋体" w:hAnsi="宋体" w:cs="宋体"/>
                <w:sz w:val="24"/>
                <w:u w:val="none"/>
              </w:rPr>
              <w:t>法定代表人或其授权代表</w:t>
            </w:r>
            <w:r>
              <w:rPr>
                <w:rFonts w:hint="eastAsia" w:ascii="宋体" w:hAnsi="宋体" w:cs="宋体"/>
                <w:bCs/>
                <w:sz w:val="24"/>
                <w:u w:val="none"/>
              </w:rPr>
              <w:t>签字后密封递交给采购代理机构。</w:t>
            </w: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3、最后报价的递交地点、公布地点同开标地点，并在所有参加磋商的供应商见证下统一集中收缴，逐一展示、公布和登记报价，</w:t>
            </w:r>
            <w:r>
              <w:rPr>
                <w:rFonts w:hint="eastAsia" w:ascii="宋体" w:hAnsi="宋体" w:cs="宋体"/>
                <w:bCs/>
                <w:sz w:val="24"/>
                <w:u w:val="none"/>
              </w:rPr>
              <w:t>并由供应商代表签字确认以示公开。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203" w:type="dxa"/>
            <w:vAlign w:val="center"/>
          </w:tcPr>
          <w:p>
            <w:pPr>
              <w:keepNext w:val="0"/>
              <w:keepLines w:val="0"/>
              <w:pageBreakBefore w:val="0"/>
              <w:widowControl w:val="0"/>
              <w:numPr>
                <w:ilvl w:val="0"/>
                <w:numId w:val="3"/>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Times New Roman"/>
                <w:kern w:val="1"/>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w:t>
            </w: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28"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203"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203"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highlight w:val="none"/>
                <w:lang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28"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28"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28"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公证费</w:t>
            </w:r>
          </w:p>
        </w:tc>
        <w:tc>
          <w:tcPr>
            <w:tcW w:w="6203"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28"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合同履约期限</w:t>
            </w:r>
          </w:p>
        </w:tc>
        <w:tc>
          <w:tcPr>
            <w:tcW w:w="6203" w:type="dxa"/>
            <w:vAlign w:val="center"/>
          </w:tcPr>
          <w:p>
            <w:pPr>
              <w:spacing w:line="240" w:lineRule="auto"/>
              <w:jc w:val="left"/>
              <w:rPr>
                <w:rFonts w:hint="eastAsia"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自合同签订之日起25日历天、质保期一年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建设地点</w:t>
            </w:r>
          </w:p>
        </w:tc>
        <w:tc>
          <w:tcPr>
            <w:tcW w:w="6203"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color w:val="000000"/>
                <w:kern w:val="0"/>
                <w:sz w:val="24"/>
                <w:highlight w:val="none"/>
                <w:u w:val="none"/>
                <w:lang w:val="en-US" w:eastAsia="zh-CN"/>
              </w:rPr>
              <w:t>乌什县人民医院</w:t>
            </w:r>
            <w:r>
              <w:rPr>
                <w:rFonts w:hint="eastAsia" w:ascii="宋体" w:hAnsi="宋体" w:cs="宋体"/>
                <w:color w:val="000000"/>
                <w:sz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28"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203" w:type="dxa"/>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严格执行《财政部 发展改革委 生态环境部 市场监管总局关于调整优化节能产品、环境标志产品政府采购执行机制的通知》（财库</w:t>
            </w:r>
          </w:p>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〔2019〕9  号）、关于印发节能产品政府采购品目清单的通知（财库</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color w:val="000000"/>
                <w:kern w:val="0"/>
                <w:sz w:val="24"/>
                <w:highlight w:val="none"/>
                <w:u w:val="no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cs="宋体"/>
                <w:color w:val="000000"/>
                <w:kern w:val="0"/>
                <w:sz w:val="24"/>
                <w:highlight w:val="none"/>
                <w:u w:val="none"/>
                <w:lang w:val="en-US" w:eastAsia="zh-CN"/>
              </w:rPr>
            </w:pPr>
            <w:r>
              <w:rPr>
                <w:rFonts w:hint="eastAsia" w:ascii="宋体" w:hAnsi="宋体" w:eastAsia="宋体" w:cs="宋体"/>
                <w:kern w:val="0"/>
                <w:sz w:val="24"/>
                <w:szCs w:val="20"/>
                <w:highlight w:val="none"/>
                <w:lang w:val="en-US" w:eastAsia="zh-CN" w:bidi="ar-SA"/>
              </w:rPr>
              <w:t>为方便广大中小企业、政府部门和社会公众识别企业规模类型，工业和信息化部组织开发了中小企业规模类型自测小程序，并于2020年2月27日上线运行，在国务院客户端和工业和信息化部网站（https://www.miit.gov.cn/）上均有链接，广大中小企业和各类社会机构填写企业所属的行业和指标数据自动生成企业规模类型测试结果。</w:t>
            </w:r>
          </w:p>
        </w:tc>
      </w:tr>
    </w:tbl>
    <w:p>
      <w:pPr>
        <w:spacing w:line="440" w:lineRule="exact"/>
        <w:rPr>
          <w:rFonts w:hint="eastAsia"/>
          <w:lang w:eastAsia="zh-CN"/>
        </w:rPr>
        <w:sectPr>
          <w:footerReference r:id="rId6" w:type="default"/>
          <w:pgSz w:w="11906" w:h="16838"/>
          <w:pgMar w:top="1440" w:right="1080" w:bottom="1440" w:left="1080" w:header="851" w:footer="992" w:gutter="0"/>
          <w:pgNumType w:fmt="decimal" w:start="1"/>
          <w:cols w:space="425" w:num="1"/>
          <w:docGrid w:linePitch="312" w:charSpace="0"/>
        </w:sect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50" w:name="_Toc513029202"/>
      <w:bookmarkEnd w:id="50"/>
      <w:bookmarkStart w:id="51" w:name="_Toc120614213"/>
      <w:bookmarkEnd w:id="51"/>
      <w:bookmarkStart w:id="52" w:name="_Toc16938518"/>
      <w:bookmarkEnd w:id="52"/>
      <w:bookmarkStart w:id="53" w:name="_Toc455227390"/>
      <w:bookmarkEnd w:id="53"/>
      <w:bookmarkStart w:id="54" w:name="_Toc20823274"/>
      <w:bookmarkEnd w:id="54"/>
      <w:bookmarkStart w:id="55" w:name="_Toc20759"/>
      <w:bookmarkStart w:id="56" w:name="_Toc1621"/>
      <w:r>
        <w:rPr>
          <w:rFonts w:hint="eastAsia"/>
        </w:rPr>
        <w:t>一、说明</w:t>
      </w:r>
      <w:bookmarkEnd w:id="55"/>
      <w:bookmarkEnd w:id="56"/>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bookmarkStart w:id="57" w:name="_Toc293736011"/>
      <w:bookmarkStart w:id="58" w:name="_Toc18317"/>
      <w:bookmarkStart w:id="59" w:name="_Toc293736054"/>
      <w:bookmarkStart w:id="60" w:name="_Toc293738992"/>
      <w:bookmarkStart w:id="61" w:name="_Toc3092"/>
      <w:bookmarkStart w:id="62" w:name="_Toc446599311"/>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p>
    <w:p>
      <w:pPr>
        <w:pStyle w:val="5"/>
        <w:pageBreakBefore w:val="0"/>
        <w:kinsoku/>
        <w:overflowPunct/>
        <w:autoSpaceDE/>
        <w:autoSpaceDN/>
        <w:bidi w:val="0"/>
        <w:spacing w:line="400" w:lineRule="exact"/>
        <w:rPr>
          <w:rFonts w:hint="eastAsia"/>
        </w:rPr>
      </w:pPr>
    </w:p>
    <w:p>
      <w:pPr>
        <w:pStyle w:val="5"/>
        <w:pageBreakBefore w:val="0"/>
        <w:kinsoku/>
        <w:overflowPunct/>
        <w:autoSpaceDE/>
        <w:autoSpaceDN/>
        <w:bidi w:val="0"/>
        <w:spacing w:line="400" w:lineRule="exact"/>
      </w:pPr>
      <w:r>
        <w:rPr>
          <w:rFonts w:hint="eastAsia"/>
        </w:rPr>
        <w:t>二、磋商文件</w:t>
      </w:r>
      <w:bookmarkEnd w:id="57"/>
      <w:bookmarkEnd w:id="58"/>
      <w:bookmarkEnd w:id="59"/>
      <w:bookmarkEnd w:id="60"/>
      <w:bookmarkEnd w:id="61"/>
      <w:bookmarkEnd w:id="62"/>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63" w:name="_Toc293738993"/>
      <w:bookmarkStart w:id="64" w:name="_Toc13231"/>
      <w:bookmarkStart w:id="65" w:name="_Toc446599312"/>
      <w:bookmarkStart w:id="66" w:name="_Toc293736012"/>
      <w:bookmarkStart w:id="67" w:name="_Toc1735"/>
      <w:bookmarkStart w:id="68" w:name="_Toc293736055"/>
      <w:r>
        <w:rPr>
          <w:rFonts w:hint="eastAsia"/>
        </w:rPr>
        <w:t>三、响应文件的编制</w:t>
      </w:r>
      <w:bookmarkEnd w:id="63"/>
      <w:bookmarkEnd w:id="64"/>
      <w:bookmarkEnd w:id="65"/>
      <w:bookmarkEnd w:id="66"/>
      <w:bookmarkEnd w:id="67"/>
      <w:bookmarkEnd w:id="68"/>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投标人所承建的工程均以人民币报价。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投标人应按第三章采购需求中提供的“工程量清单”填写相应报价。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投标人的投标报价，应是完成本投标人须知前附表所列工程招标范围、工期及质量要求的全部内容。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69" w:name="_Toc446599313"/>
      <w:bookmarkStart w:id="70" w:name="_Toc293738994"/>
      <w:bookmarkStart w:id="71" w:name="_Toc293736013"/>
      <w:bookmarkStart w:id="72" w:name="_Toc293736056"/>
    </w:p>
    <w:p>
      <w:pPr>
        <w:pStyle w:val="5"/>
        <w:pageBreakBefore w:val="0"/>
        <w:kinsoku/>
        <w:overflowPunct/>
        <w:autoSpaceDE/>
        <w:autoSpaceDN/>
        <w:bidi w:val="0"/>
        <w:spacing w:line="400" w:lineRule="exact"/>
        <w:rPr>
          <w:rFonts w:hint="eastAsia" w:cs="Times New Roman"/>
        </w:rPr>
      </w:pPr>
    </w:p>
    <w:p>
      <w:pPr>
        <w:pStyle w:val="5"/>
        <w:pageBreakBefore w:val="0"/>
        <w:kinsoku/>
        <w:overflowPunct/>
        <w:autoSpaceDE/>
        <w:autoSpaceDN/>
        <w:bidi w:val="0"/>
        <w:spacing w:line="400" w:lineRule="exact"/>
        <w:jc w:val="both"/>
        <w:rPr>
          <w:rFonts w:hint="eastAsia" w:cs="Times New Roman"/>
        </w:rPr>
      </w:pPr>
    </w:p>
    <w:p>
      <w:pPr>
        <w:rPr>
          <w:rFonts w:hint="eastAsia"/>
        </w:rPr>
      </w:pPr>
    </w:p>
    <w:p>
      <w:pPr>
        <w:pStyle w:val="5"/>
        <w:pageBreakBefore w:val="0"/>
        <w:kinsoku/>
        <w:overflowPunct/>
        <w:autoSpaceDE/>
        <w:autoSpaceDN/>
        <w:bidi w:val="0"/>
        <w:spacing w:line="400" w:lineRule="exact"/>
        <w:rPr>
          <w:rFonts w:hint="eastAsia" w:cs="Times New Roman"/>
        </w:rPr>
      </w:pPr>
      <w:r>
        <w:rPr>
          <w:rFonts w:hint="eastAsia" w:cs="Times New Roman"/>
        </w:rPr>
        <w:t>四、响应文件的递交</w:t>
      </w:r>
      <w:bookmarkEnd w:id="69"/>
      <w:bookmarkEnd w:id="70"/>
      <w:bookmarkEnd w:id="71"/>
      <w:bookmarkEnd w:id="72"/>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rPr>
          <w:rFonts w:hint="eastAsia" w:cs="Times New Roman"/>
          <w:color w:val="auto"/>
          <w:lang w:val="en-US" w:eastAsia="zh-CN"/>
        </w:rPr>
      </w:pPr>
    </w:p>
    <w:p>
      <w:pPr>
        <w:pStyle w:val="5"/>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73" w:name="_Toc446599315"/>
      <w:bookmarkStart w:id="74" w:name="_Toc21441"/>
      <w:bookmarkStart w:id="75" w:name="_Toc10373"/>
      <w:bookmarkStart w:id="76" w:name="_Toc293738996"/>
      <w:bookmarkStart w:id="77" w:name="_Toc293736015"/>
      <w:bookmarkStart w:id="78" w:name="_Toc293736058"/>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79" w:name="_Toc456291274"/>
      <w:bookmarkStart w:id="80" w:name="_Toc29411"/>
      <w:bookmarkStart w:id="81" w:name="_Toc456291348"/>
      <w:bookmarkStart w:id="82" w:name="_Toc456291473"/>
      <w:bookmarkStart w:id="83" w:name="_Toc456291159"/>
      <w:bookmarkStart w:id="84" w:name="_Toc456291254"/>
      <w:bookmarkStart w:id="85" w:name="_Toc2"/>
      <w:bookmarkStart w:id="86" w:name="_Toc456291531"/>
    </w:p>
    <w:p>
      <w:pPr>
        <w:pStyle w:val="5"/>
        <w:pageBreakBefore w:val="0"/>
        <w:kinsoku/>
        <w:overflowPunct/>
        <w:autoSpaceDE/>
        <w:autoSpaceDN/>
        <w:bidi w:val="0"/>
        <w:spacing w:line="400" w:lineRule="exact"/>
        <w:rPr>
          <w:rFonts w:hint="eastAsia" w:cs="Times New Roman"/>
          <w:lang w:eastAsia="zh-CN"/>
        </w:rPr>
      </w:pPr>
    </w:p>
    <w:p>
      <w:pPr>
        <w:pStyle w:val="5"/>
        <w:pageBreakBefore w:val="0"/>
        <w:kinsoku/>
        <w:overflowPunct/>
        <w:autoSpaceDE/>
        <w:autoSpaceDN/>
        <w:bidi w:val="0"/>
        <w:spacing w:line="400" w:lineRule="exact"/>
        <w:rPr>
          <w:rFonts w:hint="eastAsia" w:cs="Times New Roman"/>
          <w:lang w:eastAsia="zh-CN"/>
        </w:rPr>
      </w:pPr>
    </w:p>
    <w:p>
      <w:pPr>
        <w:pStyle w:val="5"/>
        <w:pageBreakBefore w:val="0"/>
        <w:kinsoku/>
        <w:overflowPunct/>
        <w:autoSpaceDE/>
        <w:autoSpaceDN/>
        <w:bidi w:val="0"/>
        <w:spacing w:line="400" w:lineRule="exact"/>
        <w:jc w:val="both"/>
        <w:rPr>
          <w:rFonts w:hint="eastAsia" w:cs="Times New Roman"/>
          <w:lang w:eastAsia="zh-CN"/>
        </w:rPr>
      </w:pPr>
    </w:p>
    <w:p>
      <w:pPr>
        <w:rPr>
          <w:rFonts w:hint="eastAsia"/>
          <w:lang w:eastAsia="zh-CN"/>
        </w:rPr>
      </w:pP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七、推荐成交供应商</w:t>
      </w:r>
      <w:bookmarkEnd w:id="79"/>
      <w:bookmarkEnd w:id="80"/>
      <w:bookmarkEnd w:id="81"/>
      <w:bookmarkEnd w:id="82"/>
      <w:bookmarkEnd w:id="83"/>
      <w:bookmarkEnd w:id="84"/>
      <w:bookmarkEnd w:id="85"/>
      <w:bookmarkEnd w:id="86"/>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73"/>
      <w:bookmarkEnd w:id="74"/>
      <w:bookmarkEnd w:id="75"/>
      <w:bookmarkEnd w:id="76"/>
      <w:bookmarkEnd w:id="77"/>
      <w:bookmarkEnd w:id="78"/>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87" w:name="_Toc456291161"/>
      <w:bookmarkStart w:id="88" w:name="_Toc456291533"/>
      <w:bookmarkStart w:id="89" w:name="_Toc5694"/>
      <w:bookmarkStart w:id="90" w:name="_Toc456291350"/>
      <w:bookmarkStart w:id="91" w:name="_Toc456291475"/>
      <w:bookmarkStart w:id="92" w:name="_Toc7269"/>
      <w:bookmarkStart w:id="93" w:name="_Toc456291276"/>
      <w:bookmarkStart w:id="94" w:name="_Toc456291256"/>
      <w:r>
        <w:rPr>
          <w:rFonts w:hint="eastAsia" w:cs="Times New Roman"/>
          <w:lang w:eastAsia="zh-CN"/>
        </w:rPr>
        <w:t>九、质疑</w:t>
      </w:r>
      <w:bookmarkEnd w:id="87"/>
      <w:bookmarkEnd w:id="88"/>
      <w:bookmarkEnd w:id="89"/>
      <w:bookmarkEnd w:id="90"/>
      <w:bookmarkEnd w:id="91"/>
      <w:bookmarkEnd w:id="92"/>
      <w:bookmarkEnd w:id="93"/>
      <w:bookmarkEnd w:id="94"/>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5"/>
        <w:pageBreakBefore w:val="0"/>
        <w:kinsoku/>
        <w:overflowPunct/>
        <w:autoSpaceDE/>
        <w:autoSpaceDN/>
        <w:bidi w:val="0"/>
        <w:spacing w:line="400" w:lineRule="exact"/>
        <w:rPr>
          <w:rFonts w:hint="eastAsia" w:cs="Times New Roman"/>
          <w:lang w:eastAsia="zh-CN"/>
        </w:rPr>
      </w:pPr>
      <w:bookmarkStart w:id="95" w:name="_Toc456291257"/>
      <w:bookmarkStart w:id="96" w:name="_Toc456291162"/>
      <w:bookmarkStart w:id="97" w:name="_Toc456291476"/>
      <w:bookmarkStart w:id="98" w:name="_Toc456291534"/>
      <w:bookmarkStart w:id="99" w:name="_Toc11180"/>
      <w:bookmarkStart w:id="100" w:name="_Toc25716"/>
      <w:bookmarkStart w:id="101" w:name="_Toc456291277"/>
      <w:bookmarkStart w:id="102" w:name="_Toc456291351"/>
      <w:r>
        <w:rPr>
          <w:rFonts w:hint="eastAsia" w:cs="Times New Roman"/>
          <w:lang w:eastAsia="zh-CN"/>
        </w:rPr>
        <w:t>十、</w:t>
      </w:r>
      <w:bookmarkEnd w:id="95"/>
      <w:bookmarkEnd w:id="96"/>
      <w:bookmarkEnd w:id="97"/>
      <w:bookmarkEnd w:id="98"/>
      <w:bookmarkEnd w:id="99"/>
      <w:bookmarkEnd w:id="100"/>
      <w:bookmarkEnd w:id="101"/>
      <w:bookmarkEnd w:id="102"/>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ascii="宋体" w:hAnsi="宋体" w:eastAsia="宋体" w:cs="宋体"/>
          <w:color w:val="auto"/>
          <w:sz w:val="28"/>
          <w:highlight w:val="cyan"/>
        </w:rPr>
      </w:pPr>
    </w:p>
    <w:p>
      <w:pPr>
        <w:pStyle w:val="2"/>
        <w:ind w:left="0" w:leftChars="0" w:firstLine="0" w:firstLineChars="0"/>
        <w:rPr>
          <w:rFonts w:hint="eastAsia"/>
        </w:rPr>
      </w:pPr>
    </w:p>
    <w:p>
      <w:pPr>
        <w:pStyle w:val="79"/>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13"/>
        <w:spacing w:line="500" w:lineRule="exact"/>
        <w:ind w:left="0" w:leftChars="0" w:firstLine="0" w:firstLineChars="0"/>
        <w:jc w:val="left"/>
        <w:rPr>
          <w:rFonts w:hint="eastAsia" w:asciiTheme="majorEastAsia" w:hAnsiTheme="majorEastAsia" w:eastAsiaTheme="majorEastAsia"/>
          <w:sz w:val="28"/>
          <w:szCs w:val="28"/>
        </w:rPr>
      </w:pPr>
    </w:p>
    <w:p>
      <w:pPr>
        <w:pStyle w:val="4"/>
        <w:numPr>
          <w:ilvl w:val="0"/>
          <w:numId w:val="2"/>
        </w:numPr>
        <w:spacing w:before="0" w:after="0" w:line="240" w:lineRule="auto"/>
        <w:ind w:left="0" w:leftChars="0"/>
        <w:rPr>
          <w:rFonts w:hint="eastAsia"/>
        </w:rPr>
      </w:pPr>
      <w:bookmarkStart w:id="103" w:name="_Toc293736019"/>
      <w:bookmarkStart w:id="104" w:name="_Toc293739000"/>
      <w:bookmarkStart w:id="105" w:name="_Toc293736062"/>
      <w:bookmarkStart w:id="106" w:name="_Toc446599321"/>
      <w:bookmarkStart w:id="107" w:name="_Toc28752"/>
      <w:bookmarkStart w:id="108" w:name="_Toc28105"/>
      <w:bookmarkStart w:id="109" w:name="_Toc446599322"/>
      <w:bookmarkStart w:id="110" w:name="_Toc293736020"/>
      <w:bookmarkStart w:id="111" w:name="_Toc293736063"/>
      <w:bookmarkStart w:id="112" w:name="_Toc293739001"/>
      <w:r>
        <w:rPr>
          <w:rFonts w:hint="eastAsia"/>
          <w:lang w:val="en-US" w:eastAsia="zh-CN"/>
        </w:rPr>
        <w:t xml:space="preserve"> </w:t>
      </w:r>
      <w:bookmarkStart w:id="113" w:name="_Toc24870"/>
      <w:bookmarkStart w:id="114" w:name="_Toc21897"/>
      <w:r>
        <w:rPr>
          <w:rFonts w:hint="eastAsia"/>
        </w:rPr>
        <w:t>采购</w:t>
      </w:r>
      <w:bookmarkEnd w:id="103"/>
      <w:bookmarkEnd w:id="104"/>
      <w:bookmarkEnd w:id="105"/>
      <w:bookmarkStart w:id="115" w:name="_Toc294515580"/>
      <w:r>
        <w:rPr>
          <w:rFonts w:hint="eastAsia"/>
        </w:rPr>
        <w:t>需求</w:t>
      </w:r>
      <w:bookmarkEnd w:id="106"/>
      <w:bookmarkEnd w:id="107"/>
      <w:bookmarkEnd w:id="108"/>
      <w:bookmarkEnd w:id="113"/>
      <w:bookmarkEnd w:id="114"/>
    </w:p>
    <w:bookmarkEnd w:id="115"/>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6" w:name="_Toc28106"/>
      <w:r>
        <w:rPr>
          <w:rFonts w:hint="eastAsia" w:eastAsia="宋体" w:cs="宋体"/>
          <w:b/>
          <w:bCs/>
          <w:color w:val="auto"/>
          <w:sz w:val="24"/>
          <w:szCs w:val="24"/>
          <w:lang w:val="en-US" w:eastAsia="zh-CN"/>
        </w:rPr>
        <w:t>一、项目概况</w:t>
      </w:r>
      <w:bookmarkEnd w:id="116"/>
    </w:p>
    <w:p>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sz w:val="24"/>
          <w:szCs w:val="24"/>
          <w:lang w:val="en-US" w:eastAsia="zh-CN"/>
        </w:rPr>
        <w:t>乌什县人民医院急救综合楼内增加电缆、桥架项目，室内增加电缆桥架等零星电力设施。</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7" w:name="_Toc17536"/>
      <w:r>
        <w:rPr>
          <w:rFonts w:hint="eastAsia" w:eastAsia="宋体" w:cs="宋体"/>
          <w:b/>
          <w:bCs/>
          <w:color w:val="auto"/>
          <w:sz w:val="24"/>
          <w:szCs w:val="24"/>
          <w:lang w:val="en-US" w:eastAsia="zh-CN"/>
        </w:rPr>
        <w:t>二、工程量清单</w:t>
      </w:r>
      <w:bookmarkEnd w:id="117"/>
    </w:p>
    <w:p>
      <w:pPr>
        <w:widowControl/>
        <w:spacing w:line="400" w:lineRule="exact"/>
        <w:ind w:firstLine="480" w:firstLineChars="200"/>
        <w:jc w:val="left"/>
        <w:rPr>
          <w:rFonts w:hint="eastAsia"/>
          <w:lang w:val="en-US" w:eastAsia="zh-CN"/>
        </w:rPr>
      </w:pPr>
      <w:r>
        <w:rPr>
          <w:rFonts w:hint="eastAsia" w:ascii="宋体" w:hAnsi="宋体" w:eastAsia="宋体" w:cs="宋体"/>
          <w:color w:val="auto"/>
          <w:sz w:val="24"/>
          <w:szCs w:val="24"/>
          <w:lang w:val="en-US" w:eastAsia="zh-CN"/>
        </w:rPr>
        <w:t>工程量清单表格</w:t>
      </w:r>
      <w:r>
        <w:rPr>
          <w:rFonts w:hint="eastAsia" w:ascii="宋体" w:hAnsi="宋体" w:cs="宋体"/>
          <w:color w:val="auto"/>
          <w:sz w:val="24"/>
          <w:szCs w:val="24"/>
          <w:lang w:val="en-US" w:eastAsia="zh-CN"/>
        </w:rPr>
        <w:t>（另册）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工程量清单说明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本工程量清单是根据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本工程量清单应与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文件中的投标人须知、合同条款、技术标准和要求及图纸等一起阅读和理解。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本工程量清单仅是投标报价的共同基础，实际工程计量和工程价款的支付应遵循合同条款的约定和技术标准和要求的有关规定。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补充子目工程量计算规则及子目工作内容说明：按有合同约束力的图纸所标示尺寸的理论净值计算（详见工程量清单）。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1.5本条第1.1款中约定的计量和计价规则适用于合同履约过程中工程量计量与价款支付、工程变更、索赔和工程结算。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本条与下述第2条和第3条的说明内容是构成合同文件的已标价工程量清单的组成部分。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投标报价说明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2.1投标报价应根据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文件中的有关计价要求，并按照下列依据自主报价。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《建设工程工程量清单计价规范》；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国家或省级、行业建设主管部门颁发的计价办法；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企业定额，国家或省级、行业建设主管部门颁发的计价定额；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文件(包括工程量清单)的澄清、补充和修改文件；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  建设工程设计文件及相关资料；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施工现场情况、工程特点及拟定的投标施工组织设计或施工方案；</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与建设项目相关的标准、规定等技术资料；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市场价格信息或工程造价管理机构发布的工程造价信息；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其他的相关资料。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工程量清单中的每一子目须填入单价或价格，且只允许有一个报价。工程量清单中投标人没有填入单价或价格的子目，其费用视为已分摊在工程量清单中其他相关子目的单价或价格之中。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2.3工程量清单中标价的单价或金额，应包括所需人工费、材料费、施工机械使用费和管理费及利润，以及一定范围内的风险费用。所谓“一定范围内的风险”是指合同约定的风险。</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投标总报价为投标人完成招标范围所述的全部工程内容的体现和完成该工程项目的成本、管理费、技术措施费、利润、风险费及政策性文件规定的不可竞争费用、规费和税金等所有费用，以及所有根据合同或其它原因由投标人支付的税金和其它应缴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投标人应依据《 建设工程工程量清单计价规范》（GB50500—2013）、企业定额及当地市场因素及工程特点等报出综合单价。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2.5.1除非招标人对</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文件予以修改，投标人必须按照招标人提供的分部分项工程量清单，列出分部分项工程量的综合单价和合价。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投标人在进行工程量清单单价合同方式招标的投标报价时，不能进行投标总价优惠（或降价、让利），投标人对投标报价的任何优惠（或降价、让利）均应反映在相应清单项目的综合单价中。不得出现任意一项单价重大让利，低于成本报价。投标人不得以自有机械闲置、自有材料等不计成本为由进行投标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2.5.3 每一分项只允许有一个报价，任何有选择的报价将不予接受。投标人未填列综合单价或合价的分项工程，在实施后，招标人将不予以支付，并视为该项费用已包括在其他有价款的综合单价或合价内。由于承包人自行计算错误或漏报的，将不再给予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2.5.4 分部分项工程量清单已包括本投标人须知前附表第1.3.1条确定的本项目招标范围内施工图全部内容，并须在招标过程中经投标人提出质询，招标人以答疑的形式确认，结算工程量以完成的实体量为准。中标人由于自身原因造成工程量的增加不以任何形式调增。分部分项工程量调整按照以下方法调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已标价工程量清单中有适用于变更工作的子目的，采用该子目的单价。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已标价工程量清单中无适用于变更工作的子目，但有类似子目的，可在合理范围内参照类似子目的单价，由监理人按第3.5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已标价工程量清单中无适用或类似子目的单价，可按照成本加利润的原则，由监理人按通用条款第3.5 款商定或确定变更工作的单价。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2.6分部分项工程项目按下列要求报价：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分部分项工程量清单计价应依据计价规范中关于综合单价的组成内容确定报价。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如果分部分项工程量清单中涉及“材料（工程设备）暂估单价及调整表”中列出的材料和工程设备，则应将该类材料和工程设备的暂估单价本身以及除对应的规费及税金以外的费用计入分部分项工程量清单相应子目的综合单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分部分项工程量清单中涉及“发包人提供的材料和工程设备一览表”(见第四章合同条款及格式附件2)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“分部分项工程和单价措施项目清单与计价表”所列各子目的综合单价组成中，各子目的人工、材料和机械台班消耗量由投标人按照其自身情况做充分的、竞争性考虑。材料消耗量包括损耗量。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2.6.5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措施项目按下列要求报价：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2.7.1  措施项目清单计价应根据投标人的施工组织设计进行报价。可以计量工程量的措施项目，应按分部分项工程量清单的方式采用综合单价计价；其余的措施项目可以“项”为单位的方式计价。投标人所填报价格应包括除规费、税金外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2.7.2  措施项目清单中的安全文明施工费不得作为竞争性费用。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2.7.3  招标人提供的措施项目清单中所列项目仅指一般的通用项目，投标人在报价时应充分、全面地阅读和理解</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2.7.4  “总价措施项目清单与计价表”中所填写的报价金额，应全面涵盖</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文件约定的投标人中标后施工、竣工、交付本工程并维修其任何缺陷所需要履行的责任和义务的全部费用。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2.8其他项目清单费应按下列规定报价：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暂列金额按“暂列金额明细表”中列出的金额报价，此处的暂列金额是招标人在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文件中统一给定的，并不包括本章第2.8.3项的计日工金额。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暂估价分为材料和工程设备暂估单价和专业工程暂估价两类。其中的材料和工程设备暂估单价进入分部分项工程量清单之综合单价，不在其他项目清单中汇总；专业工程暂估价直接按“专业工程暂估价及结算表”中列出的金额计入其他项目清单报价。中标后，凡给出暂估价的材料，中标单位需要进行采购时，须由招标单位与中标单位双方共同询价确定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计日工按“计日工表”中列出的子目和估算数量，自主确定综合单价并计算计日工金额。计日工综合单价均不包括规费和税金，其中：</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  劳务单价应当包括工人工资、交通费用、各种补贴、劳动安全保护、社保费用、手提手动和电动工器具、施工场地内已经搭设的脚手架、水电和低值易耗品费用、现场管理费用、企业管理费和利润；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  材料价格包括材料运到现场的价格以及现场搬运、仓储、二次搬运、损耗、保险、企业管理费和利润，但不包括规费和税金。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施工机械限于在施工场地(现场)的机械设备，其价格包括租赁或折旧、维修、维护和燃油等消耗品以及操作人员费用，包括承包人企业管理费和利润，但不包括规费和税金。辅助人员按劳务价格另计。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总承包服务费各投标人根据</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文件中列出的内容和要求，按本</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文件的“总承包服务费计价表”中自报费率并计算金额。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规费和税金应按“规费、税金项目计价表”所列项目不得作为竞争性费用。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2.10  除</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文件有强制性规定以及不可竞争部分以外，投标报价由投标人自主确定，但不得低于其成本。</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管理费应由投标人在保证不低于其成本的基础上做竞争性考虑；利润由投标人根据自身情况和综合实力做竞争性考虑。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投标报价中应考虑</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文件中要求投标人承担的风险范围以及相关的费用。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2.14  投标总价为投标人在投标文件中提出的各项支付金额的总和，为实施、完成招标工程并修补缺陷以及履行</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文件中约定的风险范围内的所有责任和义务所发生的全部费用。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2.15  有关投标报价的其他说明：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 其他说明</w:t>
      </w:r>
    </w:p>
    <w:p>
      <w:pPr>
        <w:widowControl/>
        <w:spacing w:line="400" w:lineRule="exact"/>
        <w:ind w:firstLine="480" w:firstLineChars="200"/>
        <w:jc w:val="left"/>
        <w:rPr>
          <w:rFonts w:hint="default"/>
          <w:lang w:val="en-US" w:eastAsia="zh-CN"/>
        </w:rPr>
      </w:pPr>
      <w:r>
        <w:rPr>
          <w:rFonts w:hint="eastAsia" w:ascii="宋体" w:hAnsi="宋体" w:eastAsia="宋体" w:cs="宋体"/>
          <w:color w:val="auto"/>
          <w:sz w:val="24"/>
          <w:szCs w:val="24"/>
          <w:lang w:val="en-US" w:eastAsia="zh-CN"/>
        </w:rPr>
        <w:t>3.1 投标人应先到工地踏勘以及充分了解工地位置、情况、道路、储存空间、装卸限制及任何其他足以影响承包价的情况，任何因忽视或误解工地情况而导致的索赔或工期延长申请将不被批准。</w:t>
      </w:r>
    </w:p>
    <w:p>
      <w:pPr>
        <w:pStyle w:val="5"/>
        <w:pageBreakBefore w:val="0"/>
        <w:widowControl w:val="0"/>
        <w:kinsoku/>
        <w:wordWrap/>
        <w:overflowPunct/>
        <w:topLinePunct w:val="0"/>
        <w:autoSpaceDE/>
        <w:autoSpaceDN/>
        <w:bidi w:val="0"/>
        <w:adjustRightInd/>
        <w:snapToGrid/>
        <w:spacing w:line="400" w:lineRule="exact"/>
        <w:jc w:val="left"/>
        <w:textAlignment w:val="auto"/>
        <w:rPr>
          <w:rFonts w:hint="eastAsia" w:eastAsia="宋体" w:cs="宋体"/>
          <w:b/>
          <w:bCs/>
          <w:color w:val="auto"/>
          <w:sz w:val="24"/>
          <w:szCs w:val="24"/>
          <w:lang w:val="en-US" w:eastAsia="zh-CN"/>
        </w:rPr>
      </w:pPr>
      <w:bookmarkStart w:id="118" w:name="_Toc30143"/>
      <w:r>
        <w:rPr>
          <w:rFonts w:hint="eastAsia" w:eastAsia="宋体" w:cs="宋体"/>
          <w:b/>
          <w:bCs/>
          <w:color w:val="auto"/>
          <w:sz w:val="24"/>
          <w:szCs w:val="24"/>
          <w:lang w:val="en-US" w:eastAsia="zh-CN"/>
        </w:rPr>
        <w:t>三、技术标准和要求</w:t>
      </w:r>
      <w:bookmarkEnd w:id="118"/>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工程概况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l.1.1 本工程基本情况如下：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工程名称：</w:t>
      </w:r>
      <w:r>
        <w:rPr>
          <w:rFonts w:hint="eastAsia" w:ascii="宋体" w:hAnsi="宋体" w:eastAsia="宋体" w:cs="宋体"/>
          <w:color w:val="auto"/>
          <w:sz w:val="24"/>
          <w:szCs w:val="24"/>
          <w:u w:val="single"/>
          <w:lang w:val="en-US" w:eastAsia="zh-CN"/>
        </w:rPr>
        <w:t xml:space="preserve"> 乌什县人民医院急救综合楼内增加电缆、桥架项目</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建设规模： </w:t>
      </w:r>
      <w:r>
        <w:rPr>
          <w:rFonts w:hint="eastAsia" w:ascii="宋体" w:hAnsi="宋体" w:eastAsia="宋体" w:cs="宋体"/>
          <w:color w:val="auto"/>
          <w:sz w:val="24"/>
          <w:szCs w:val="24"/>
          <w:u w:val="single"/>
          <w:lang w:val="en-US" w:eastAsia="zh-CN"/>
        </w:rPr>
        <w:t>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结构类型: </w:t>
      </w:r>
      <w:r>
        <w:rPr>
          <w:rFonts w:hint="eastAsia" w:ascii="宋体" w:hAnsi="宋体" w:eastAsia="宋体" w:cs="宋体"/>
          <w:color w:val="auto"/>
          <w:sz w:val="24"/>
          <w:szCs w:val="24"/>
          <w:u w:val="single"/>
          <w:lang w:val="en-US" w:eastAsia="zh-CN"/>
        </w:rPr>
        <w:t xml:space="preserve"> 详见发包人提供资料</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本工程施工场地(现场)具体地理位置如下：</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lang w:val="en-US" w:eastAsia="zh-CN"/>
        </w:rPr>
        <w:t xml:space="preserve">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现场条件和周围环境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本工程施工场地(现场)已经具备施工条件。施工场地(现场)临时水源接口位置、临时电源接口位置、临时排污口位置、建筑红线位置、道路交通和出入口、以及施工场地(现场)和周围环境等情况。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1.2.2施工场地(现场)临时供水管径：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施工场地(现场)临时排污管径：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施工场地(现场)临时雨水管径：</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施工现场临时供电容量(变压器输出功率)：</w:t>
      </w:r>
      <w:r>
        <w:rPr>
          <w:rFonts w:hint="eastAsia" w:ascii="宋体" w:hAnsi="宋体" w:eastAsia="宋体" w:cs="宋体"/>
          <w:color w:val="auto"/>
          <w:sz w:val="24"/>
          <w:szCs w:val="24"/>
          <w:u w:val="single"/>
          <w:lang w:val="en-US" w:eastAsia="zh-CN"/>
        </w:rPr>
        <w:t xml:space="preserve">   详见发包人提供资料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现场条件和周围环境的其他资料和信息数据如下：各投标单位应认真踏勘工程现场，熟悉施工现场及周围地形、地貌、水文、地质、周围交通道路、地下管线等情况，发包方负责提供招标图纸、地质资料（包括地下管线、构筑物、道路等情况），投标单位应核实上述资料以获得一切可能影响合同价款的直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承包人被认为已在本工程投标阶段踏勘现场时充分了解本工程现场条件和周围环境，并已在其投标时就此给予了充分的考虑。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地质及水文资料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现场地质及水文资料和信息数据如下：</w:t>
      </w:r>
      <w:r>
        <w:rPr>
          <w:rFonts w:hint="eastAsia" w:ascii="宋体" w:hAnsi="宋体" w:eastAsia="宋体" w:cs="宋体"/>
          <w:color w:val="auto"/>
          <w:sz w:val="24"/>
          <w:szCs w:val="24"/>
          <w:u w:val="single"/>
          <w:lang w:val="en-US" w:eastAsia="zh-CN"/>
        </w:rPr>
        <w:t xml:space="preserve"> 开工时提供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资料和信息的使用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2.1.1 承包人自行施工范围：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本工程承包人自行施工的工程范围如下：/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 承包范围内的暂估价项目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2.1.2.1 承包范围内以暂估价形式实施的专业工程见电子竞争性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2.1.2.2 承包范围内以暂估价形式实施的材料和工程设备见电子竞争性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文件XML清单中相应内容。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2.1.3 承包范围内的暂列金额项目：</w:t>
      </w:r>
      <w:r>
        <w:rPr>
          <w:rFonts w:hint="eastAsia" w:ascii="宋体" w:hAnsi="宋体" w:eastAsia="宋体" w:cs="宋体"/>
          <w:color w:val="auto"/>
          <w:sz w:val="24"/>
          <w:szCs w:val="24"/>
          <w:u w:val="single"/>
          <w:lang w:val="en-US" w:eastAsia="zh-CN"/>
        </w:rPr>
        <w:t xml:space="preserve"> 详见发包人提供资料  。</w:t>
      </w:r>
      <w:r>
        <w:rPr>
          <w:rFonts w:hint="eastAsia" w:ascii="宋体" w:hAnsi="宋体" w:eastAsia="宋体" w:cs="宋体"/>
          <w:color w:val="auto"/>
          <w:sz w:val="24"/>
          <w:szCs w:val="24"/>
          <w:u w:val="single"/>
          <w:lang w:val="en-US" w:eastAsia="zh-CN"/>
        </w:rPr>
        <w:tab/>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发包人发包专业工程和发包人供应的材料和工程设备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2.2.1 由发包人发包的专业工程属于与本工程有关的其他工程，不属于承包人的承包范围。发包人发包的专业工程如下：</w:t>
      </w:r>
      <w:r>
        <w:rPr>
          <w:rFonts w:hint="eastAsia" w:ascii="宋体" w:hAnsi="宋体" w:eastAsia="宋体" w:cs="宋体"/>
          <w:color w:val="auto"/>
          <w:sz w:val="24"/>
          <w:szCs w:val="24"/>
          <w:u w:val="single"/>
          <w:lang w:val="en-US" w:eastAsia="zh-CN"/>
        </w:rPr>
        <w:t xml:space="preserve">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2.2.2 由发包人供应的材料和工程设备不属于承包人的承包范围。</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承包人与发包人发包专业工程承包人的工作界面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承包人与发包人发包专业工程承包人以及与发包人供应的材料和设备的投标人之间的工作界面划分如下：</w:t>
      </w:r>
      <w:r>
        <w:rPr>
          <w:rFonts w:hint="eastAsia" w:ascii="宋体" w:hAnsi="宋体" w:eastAsia="宋体" w:cs="宋体"/>
          <w:color w:val="auto"/>
          <w:sz w:val="24"/>
          <w:szCs w:val="24"/>
          <w:u w:val="single"/>
          <w:lang w:val="en-US" w:eastAsia="zh-CN"/>
        </w:rPr>
        <w:t>无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承包人需要为发包人和监理人提供的现场办公条件和设施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承包人需要为发包人和监理人提供的现场办公条件和设施及其详细要求如下：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3.工期要求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合同工期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本工程合同工期和计划开、竣工日期为承包人在响应函附录中承诺的工期和计划开、竣工日期，并在合同协议书中载明。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关于工期的一般规定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承包人在响应函中承诺的工期和计划开、竣工日期之间发生矛盾或者不一致时，以承包人承诺的工期为准。实际开工日期以通用合同条款对应内容约定的监理人发出的开工通知中载明的开工日期为准。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如果承包人在响应函附录中承诺的工期提前于发包人在本工程竞争性</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承包人在响应函附录中所承诺的工期应当包括实施并完成本节上述2.1.2项规定的暂估价项目和上述2.1.3项规定的实际可能发生的暂列金额在内的所有工作的工期。</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质量标准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4.1.1 本工程要求的质量标准为符合现行国家有关工程施工验收规范和标准的要求合格。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特殊质量要求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 有关本工程质量方面的特殊要求如下：无。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5.适用规范和标准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适用的规范、标准和规程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5.1.1 除合同另有约定外，本工程适用现行国家、行业和地方规范、标准和规程。适用于本工程的国家、行业和地方的规范、标准和规范等的名录见本章第二节。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构成合同文件的任何内容与适用的规范、标准和规程之间出现矛盾，承包人应书面要求监理人予以澄清，除监理人有特别指示外，承包人应按照其中要求最严格的标准执行。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对应内容的约定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技术标准和要求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5.2.1 适用本工程的技术标准和要求见本章第二节。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5.2.2 有合同约束力的图纸和其他设计文件中的有关文字说明是本节的组成内容。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6.安全文明施工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安全防护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在工程施工、竣工、交付及修补任何缺陷的过程中，承包人应当始终遵守国家和地方有关安全生产的法律、法规、规范、标准和规程等，按照通用合同条款对应内容的约定履行其安全施工职责。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6.1.2 承包人应坚持“安全第一，预防为主”的方针，建立、健全安全生产责任制度和安全生产教育培训制度。在整个工程施工期间，承包人应在施工场地(现场)设立、提供和维护并在有关工作完成或竣工后撤除：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（1）设立在现场入口显著位置的现场施工总平面图、总平面管理、安全生产、文明施工、环境保护、质量控制、材料管理等的规章制度和主要参建单位名称和工程概况等说明的图板；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（2）为确保工程安全施工须设立的足够的标志、宣传画、标语、指示牌、警告牌、火警、匪警和急救电话提示牌等等；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（3）洞口和临边位置的安全防护设施，包括护身栏杆、脚手架、洞口盖板和加筋、竖井防护栏杆、防护棚、防护网、坡道等等；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（4）安全带、安全绳、安全帽、安全网、绝缘鞋、绝缘手套、防护口罩和防护衣等安全生产用品；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（5）所有机械设备包括各类电动工具的安全保护和接地装置和操作说明；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（6）装备良好的临时急救站和配备称职的医护人员；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（7）主要作业场所和临时安全疏散通道24小时36伏安全照明和必要的警示等以防止各种可能的事故；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（8）足够数量的和合格的手提灭火器；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（9）装备良好的易燃易爆物品仓库和相应的使用管理制度；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（10）对涉及明火施工的工作制定诸如用火证等的管理制度；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6.1.3 安全文明施工费用必须专款专用，承包人应对其由于安全文明施工费用和施工安全措施不到位而发生的安全事故承担全部责任。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6.1.13 承包人应成立应急救援小组，配备必要的应急救援器材和设备，制定灾害和生产安全事故的应急救援预案，并将应急救援预案报送监理人。应急救援预案应能随时组织应救专职人员、并定期组织演练。</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6.1.16 承包人应按照通用合同条款对应内容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6.1.17 承包人还应根据有关法律、法规、规定和条例等的要求，制定一套安全生产应急措施和程序，保证一旦出现任何安全事故，能立即保护好现场，抢救伤员和财产，保证施工生产的正常进行，防止损失扩大。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6.1.18 安全防护方面的其他要求如下：/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临时消防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承包人应建立消防安全责任制度，制定用火、用电和使用易燃易爆等危险品的消防安全管理制度和操作规程。各项制度和规程等应满足相关法律法规和政府消防管理机构的要求。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承包人应当成立由项目主要负责人担任组长的临时消防组或消防队，宣传消防基本知识和基本操作培训，组织消防演练，保证一旦发生火灾，能够组织有效的自救，保护生命和财产安全。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 施工场地(现场)内的易燃、易爆物品应单独和安全地存放，设专人进行存放和领用管理。施工场地(现场)储有或正在使用易燃、易爆或可燃材料时或有明火施工的工序，应当实行严格的“用火证”管理制度。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6.2.5 临时消防方面的其他要求如下：/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临时供电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承包人应当根据《施工现场临时用电安全技术规范》最新版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6.3.5 凡可能漏电伤人或易受雷击的电器及建筑物均应设置接地和避雷装置。承包人应负责避雷装置的采购、安装、管理和维修，并建立定期检查制度。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6.3.6 临时用电方面的其他要求如下：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劳动保护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6.4.5 承包人应在现场设立专门的临时医疗站，配备足够的设施、药物和称职的医务人员，承包人还应准备急救担架，用于一旦发生安全事故时对受伤人员的急救。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6.4.6 劳动保护方面的其他要求如下：/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脚手架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6.5.2 所有脚手架，尤其是大型、复杂、高耸和非常规脚手架，要编制专项施工方案，还应当经过安全验算，脚手架安全验算结果必须报送监理人核查后方可实施。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6.5.3 搭设爬架、挂架、超高脚手架等特种或新型脚手架时，承包人应确保此类脚手架的安全性和保证此类脚手架已经过有关行政管理部门允许使用的批准，并承担与此有关的一切费用。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6.5.4 承包人应当加强脚手架的日常安全巡查，及时对其中的安全隐患进行整改，确保脚手架使用安全。雨、雪、雾、霜和大风等天气后，承包人必须对脚手架进行安全巡查，并及时消除安全隐患。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6.5.6 脚手架的其他要求如下：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 施工安全措施计划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6.6.1 承包人应根据《中华人民共和国安全生产法》、《职业健康安全管理体系规范》、《中华人民共和国消防法》、《中华人民共和国道路交通安全法》、《中华人民共和国传染病防治法实施办法》和地方有关的法规等，按照合同条款对应内容的约定，编制一份施工安全措施计划，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6.6.2 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(1)施工安全管理机构的设置；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(2)专职安全管理人员的配备；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(3)安全责任制度和管理措施；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(4)安全教育和培训制度及管理措施；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(5)各项安全生产规章制度和操作规程；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(6)各项施工安全措施和防护措施；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(7)危险品管理和使用制度；</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(8)安全设施、设备、器材和劳动保护用品的配置；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6.6.3 施工安全措施计划应当在专用合同条款对应内容约定的期限内报送监理人。承包人应当严格执行经监理人批准的施工安全措施计划，并及时补充、修订和完善施工安全措施计划，确保安全生产。</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 文明施工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 承包人应遵守国家和工程所在地有关法规、规范、规程和标准的规定，履行文明施工义务，确保文明施工专项费用专款专用。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6.7.2 承包人应当规范现场施工秩序，实行标准化管理：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(1)承包人的施工场地(现场)必须干净整治、做到无积水、无淤泥、无杂物，材料堆放整齐；</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(2)施工场地(现场)应进行硬化处理，定期定时洒水，做好防治扬尘和大气污染工作；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(3)严格遵守“工完、料尽、场地净”的原则，不留垃圾、不留剩余施工材料和施工机具，各种设备运转正常；</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(4)承包人修建的施工临时设施应符合监理人批准的施工规划要求，并应满足本节规定的各项安全要求；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(5)监理人可要求承包人在施工场地(现场)设置各级承包人的安全文明施工责任牌等文明施工警示牌；</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(6)材料进入现场应按指定位置堆放整齐，不得影响现场施工和堵塞施工、消防通道。材料堆放场地应有专职的管理人员；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(7)施工和安装用的各种扣件、紧固件、绳索具、小型配件、镙钉等应在专设的仓库内装箱放置；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(8)现场风、水管及照明电线的布置应安全、合理、规范、有序，做到整齐美观。不得随意架设和造成隐患或影响施工。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6.7.3 承包人应为其雇佣的施工工人建立并维护相应的生活宿舍、食堂、浴室、厕所和文化活动室等，其标准应满足政府有关机构的生活标准和卫生标准等的要求。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6.7.5 在工程施工期间，承包人应始终避免现场出现不必要的障碍物，妥当存放并处置施工设备和多余的材料，及时从现场清除运走任何废料、垃圾或不再需要的临时工程和设施。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6.7.7 承包人应在现场设立固定的垃圾临时存放点并在各楼层或区域设立必要的垃圾箱；所有垃圾必须在当天清除出现场，并按有关行政管理部门的规定，运送到指定的垃圾消纳场。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6.7.10 文明施工方面的其他要求如下：/。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 环境保护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6.8.1 在工程施工、完工及修补任何缺陷的过程中，承包人应当始终遵守国家和工程所在地有关环境保护、水土保护和污染防治的法律、法规、规章、规范、标准和规程等，按照通用合同条款对应内容的约定履行其环境与生态保护职责。</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6.8.9 环境保护方面的其他要求如下：/。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 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6.9.1 通用合同条款对应内容约定的施工环保措施计划是承包人阐明环保方针和拟采用的环保措施及方法等的文件，其内容应包括但不限于：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(1)承包人生活区(如果有)的生活用水和生活污水处理措施；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(2)施工生产废水处理措施；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(3)施工扬尘和废气的处理措施；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(4)施工噪声和光污染控制措施；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(5)节能减排措施；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(6)不可再生资源循环利用措施；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(7)固体废弃物处理措施；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(8)人群健康保护和卫生防疫措施；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(9)防止误用有害材料的保证措施；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(10)施工边坡工程的水土流失保护措施；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(11)道路污染防治措施；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(12)完工后场地清理及其植被(如果有)恢复的规划和措施；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(13)其他：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6.9.2 施工环保措施计划应当在专用合同条款对应内容约定的期限内报送监理人。承包人应当严格执行经监理人批准的施工环保措施计划，并及时补充、修订和完善施工环保措施计划。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7.治安保卫</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承包人应制定并实施严格的施工场地(现场)出入制度并报监理人审批；车辆的出入须有出入审批制度，并有指定的专人负责管理；人员进出现场应有出入证，出入证须以经过监理人批准的格式印制。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7.7 施工场地(现场)治安管理计划的要求：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7.8 突发治安事件紧急预案的要求：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7.9治安保卫方面的其他要求如下： 施工单位按照相关规定要求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8.地上、地下设施和周边建筑物的临时保护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承包人应为施工场地及其周边现有的地上、地下设施和建筑物提供足够的临时保护设施，确保施工过程中这些设施和建筑物不会受到干扰和破坏。</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8.3 发包人特别提醒承包人注意以下地上、地下设施和周边建筑物的保护：对已完工程进行必要的保护，如有破坏，自行负责修复，并承担相关的费用。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地上、地下设施和周边建筑物的临时保护的其他要求如下：对已完工程进行必要的保护，如有破坏，自行负责修复，并承担相关的费用。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9.样品和材料代换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 本工程需要承包人提供样品的材料和工程设备如下：/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 对于本款第9.1.1项约定的材料和工程设备，承包人应按照专用合同条款对应内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 合同条款对应内容约定的依法不需要招标的、以暂估价形式包括在工程量清单中的材料和工程设备，所附资料除本款对应内容约定的内容外，还应附上价格资料，每一类材料设备，至少应准备符合合同要求的三个产品，价格分高、中、低三档，以便监理人和发包人选择和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9.1.5 得到批准后的样品由监理人负责存放。但承包人应为保存样品提供适当和固定的场所并保持适当和良好的环境条件。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9.1.6 提供样品和提供存放样品场所的费用由承包人承担。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材料代换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9.2.2 如果使用替代品，承包人应至少在被替代品按批准的进度计划用于永久工程前56天以书面形式通知监理人并随此通知提交下列文件：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(1)拟被替代的合同约定的材料和工程设备的名称、数量、规格、型号、品牌、性能、价格及其他任何详细资料；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(2)拟采用的替代品的名称、数量、规格、型号、品牌、性能、价格及其他任何必要的详细资料；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（3)替代品使用的工程部位；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(4)采用替代品的理由和原因说明；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(5)替代品与合同中约定的产品之间的差异以及使用替代品后可能对工程产生的任何影响；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(6)价格上的差异；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(7)监理人为做出适当的决定而随时要求承包人提供的任何其他文件。</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监理人在收到此类通知及上述文件后，应在28天内向承包人给出书面指示。如果28天内监理人未给出书面指示，应视为监理人和发包人已经批准使用上述替代品，承包人可以据此使用替代品。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9.2.3任何情况下，替代品都应遵守本合同中对相关材料和工程设备的要求。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9.2.4 如果承包人根据本条约定使用了替代品，监理人应与承包人适当协商之后并在合理的期限内确定替代材料和工程设备与合同中约定的材料和工程设备之间的价值差值，并决定：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(1)如果替代材料和工程设备的价值高于合同中约定的材料和工程设备的价值，则将高出部分的价值追加到签约合同价中并相应地通知承包人；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(2)如果替代材料和工程设备的价值低于合同中约定的材料和工程设备的价值，则将节余部分的价值从签约合同价中扣除并相应地通知承包人。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10.进口材料和工程设备</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本工程需要进口的材料和工程设备如下：/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10.2上述进口材料和工程设备采购、进口、报关、清关、商检、境内运输(包括保险)、保管的责任以及费用承担方式划分如下：/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11.进度报告和进度例会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进度报告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对应内容约定的进度付款申请单一并递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11.1.5各个进度报表的格式和内容应经过监理人的审批。进度报表应如实填写，由承包人授权代表签名，并报监理人的指定代表签名确认后再行分发。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11.1.6如果监理人认为必要，进度报告和进度照片应同时以存储在磁盘或光盘中的数据文件的形式递交给发包人和监理人。数据文件采用的应用软件及其版本应经过监理人的审批。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11.1.7有关进度报告的其他要求：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进度例会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11.2.1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11.2.2进度例会的内容将涉及合同管理、进度协调和工程管理的各个方面，由监理人准备的会议议题将随会议通知在会议召开前至少24小时发给各参会方。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11.2.3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11.2.4有关进度例会的其他要求：/。</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12.1 承包人应当按照工程施工验收规范和标准的规定和通用合同条款第14条的约定，对用于永久工程的主要材料、半成品、成品、建筑构配件、工程设备等进行试验和检验。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 本工程需要承包人进行试验和检验的材料、工程设备和工艺如下：按规定报检测机构检测 。</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监理人可以根据工程需要，指示承包人进行其他现场材料和工艺的试验和检验。</w:t>
      </w:r>
    </w:p>
    <w:p>
      <w:pPr>
        <w:widowControl/>
        <w:spacing w:line="400" w:lineRule="exact"/>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12.3本工程需要由监理人和承包人共同进行试验和检验的材料、工程设备和工艺如下：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本条上述约定需要进行检验的材料、工程设备和工艺在经过检验并获得监理人批准以前，不得用于任何永久工程。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12.7 承包人应在监理人的监督下，对涉及结构安全的试块、试件以及有关材料进行现场取样，并送  相关  质量检测单位进行检测。</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12.8 除合同另有约定外，承包人应负担本合同项下的所有材料、工程设备和工艺检验的费用。</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通用合同条款对应内容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对应内容约定通知承包人实施。</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在工程实际开工后14天内，承包人应当按通用合同条款对应内容约定的计日工报表内容，准备一份计日工日报表的格式，报送监理人审批，监理人应当在收到之日后7天内给予批复或提出修改意见。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按计日工实施相关变更的过程中，承包人应当按经监理人批准的计日工日报表格式，每天提交计日工报表和有关凭证，报送监理人审批，监理人应当在收到相关报表和凭证后24小时内给予批复。</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 关于计日工的其他约定：  /  。</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14.计量与支付</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付款申请单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14.1.2 根据合同条款对应内容，承包人应当在合同约定的每个付款周期末，对当期完成的各项工程量进行计量和计价，并按照对应内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14.1.3 竣工付款申请单的内容按专用合同条款对应内容的约定。采用单价合同形式的，竣工付款申请单应当附上按通用合同条款对应内容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14.1.4 竣工结算总价(合同价格)应当按以下内容梳理：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(1)签约合同价；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(2)应当扣减的项目；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1)所有暂列金额；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2)所有暂估价；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3)根据专用合同条款对应内容应扣减的变更金额；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4)根据专用合同条款对应内容应扣减的价格调整(下调部分)；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5)根据通用合同条款对应内容应扣减的发包人索赔金额；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6)甩项工程的合同价值(如果有)；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7)根据合同约定发包人应扣减的其他金额。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(3)应当增加的项目；</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1)实际发生的暂列金额(包括计日工)；</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2)实际发生的暂估价；</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3)根据专用合同条款对应内容应增加的变更金额；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4)根据专用合同条款对应内容应增加的价格调整(上调部分)；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5)根据专用合同条款对应内容应增加的承包人索赔金额；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(4)规费和税金差额部分。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14.1.5 最终结清申请单的应付金额应当按下列内容梳理：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(1)按合同约定扣留的质量保证金；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(2)应当扣除的金额：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1)按通用合同条对应内容约定扣留的质量保证金；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2)按通用合同条对应内容约定扣除的质量保证金；</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3)根据通用合同条款对应内容应扣减的缺陷责任期内发生的发包人索赔金额；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4)根据合同约定应扣减的其他金额。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(3)应当增加的金额：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1)已完且符合合同约定的甩项工程的价值；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2)按通用合同条对应内容约定由承包人修复的发包人原因造成的缺陷的价值；</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3)根据通用合同条款对应内容应增加的缺陷责任期内发生的承包人索赔金额；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4)根据合同约定承包人应当得到的其他金额。</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最终结清应当由发包人和承包人按照“多退少补”的原则办理。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14.1.6 竣工付款申请单和最终结清申请单应当比照进度付款申请单的格式准备，并提供相关证明材料。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其他约定</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其他约定内容：/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15.竣工验收和工程移交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 竣工验收前的清理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15.1.1 在向监理人提交竣工验收申请报告前，承包人应当完成竣工验收前的清理工作，包括但不限于：</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(1)从永久工程内清除所有剩余材料、杂物、垃圾等等；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(2)清洗工程的所有地面、墙面、楼面、路面等表面；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(3)清洗和擦洗所有玻璃、磁砖、石材和所有金属面；</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(4)修缮所有损坏、清除所有污迹、替换所有需更换的材料；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(5)所有表面完成约定的装修和装饰；</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(6)检查和调试所有的门、窗、抽屉等以确保他们开启的顺畅；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(7)检查和调试所有的五金件并上油；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(8)检查、测试和确保所有服务系统、设施和设备达到良好的运行状态和效果；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(9)所有钥匙(如果有)贴上标签并固定到钥匙排上随时可以交给监理人。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15.1.2 清理工作所需费用由承包人承担。</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 竣工验收申请报告</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15.2.3 竣工验收申请报告应当按通用合同条款对应内容附上下列内容：</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（2）按专用合同条款对应内容约定的内容和份数整理的符合要求的竣工资料；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（3）按监理人的要求编制了在缺陷责任期内完成的尾工(甩项)工程和缺陷修补工作清单以及相应施工计划；</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（4）监理人要求在竣工验收前应完成的其他工作的证明材料；</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（5）监理人要求提交的竣工验收资料清单；</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（6）通用合同条款对应内容约定的单位工程竣工验收成果和结论文件(如果有)；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（7）专用合同条款对应内容约定的质量保修书(此前已经提交的不再提交)；</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（8）其他：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竣工清场</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监理人颁发(出具)工程接收证书后，承包人应在56天内按以下要求对施工场地(现场)进行清理：</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(1)从施工场地(现场)清除所有杂物和垃圾等等；</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(2)从施工场地现场拆除所有的临时工程和临时设施并恢复地面原状，但经监理人批准的护坡桩、锚杆、塔吊基础和无法拆除的埋入式模板等无法拆除的临时设施除外；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(3)撤离所有承包人施工设备和剩余材料(经监理人同意需在缺陷责任期内继续使用的除外)；</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(4)监理人指示的其他清场工作。</w:t>
      </w:r>
    </w:p>
    <w:p>
      <w:pPr>
        <w:widowControl/>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16.其他要求                                                       </w:t>
      </w:r>
      <w:bookmarkStart w:id="119" w:name="_Toc13521"/>
    </w:p>
    <w:p>
      <w:pPr>
        <w:widowControl/>
        <w:spacing w:line="400" w:lineRule="exact"/>
        <w:ind w:firstLine="480" w:firstLineChars="200"/>
        <w:jc w:val="left"/>
        <w:rPr>
          <w:rFonts w:hint="eastAsia" w:ascii="宋体" w:hAnsi="宋体" w:eastAsia="宋体" w:cs="宋体"/>
          <w:color w:val="auto"/>
          <w:sz w:val="24"/>
          <w:szCs w:val="24"/>
          <w:lang w:val="en-US" w:eastAsia="zh-CN"/>
        </w:rPr>
      </w:pPr>
    </w:p>
    <w:p>
      <w:pPr>
        <w:widowControl/>
        <w:spacing w:line="400" w:lineRule="exact"/>
        <w:ind w:firstLine="482" w:firstLineChars="200"/>
        <w:jc w:val="left"/>
        <w:rPr>
          <w:rFonts w:hint="eastAsia" w:eastAsia="宋体" w:cs="宋体"/>
          <w:b/>
          <w:bCs/>
          <w:color w:val="auto"/>
          <w:sz w:val="24"/>
          <w:szCs w:val="24"/>
          <w:lang w:val="en-US" w:eastAsia="zh-CN"/>
        </w:rPr>
      </w:pPr>
      <w:r>
        <w:rPr>
          <w:rFonts w:hint="eastAsia" w:eastAsia="宋体" w:cs="宋体"/>
          <w:b/>
          <w:bCs/>
          <w:color w:val="auto"/>
          <w:sz w:val="24"/>
          <w:szCs w:val="24"/>
          <w:lang w:val="en-US" w:eastAsia="zh-CN"/>
        </w:rPr>
        <w:t>四、其他要求</w:t>
      </w:r>
      <w:bookmarkEnd w:id="119"/>
    </w:p>
    <w:p>
      <w:pPr>
        <w:rPr>
          <w:rFonts w:hint="eastAsia"/>
          <w:b/>
          <w:bCs/>
          <w:sz w:val="28"/>
          <w:szCs w:val="28"/>
        </w:rPr>
      </w:pPr>
    </w:p>
    <w:p>
      <w:pPr>
        <w:pStyle w:val="4"/>
        <w:numPr>
          <w:ilvl w:val="0"/>
          <w:numId w:val="2"/>
        </w:numPr>
        <w:spacing w:before="0" w:after="0" w:line="240" w:lineRule="auto"/>
        <w:ind w:left="0" w:leftChars="0"/>
        <w:rPr>
          <w:rFonts w:hint="eastAsia"/>
        </w:rPr>
      </w:pPr>
      <w:bookmarkStart w:id="120" w:name="_Toc20816"/>
      <w:bookmarkStart w:id="121" w:name="_Toc10724"/>
      <w:r>
        <w:rPr>
          <w:rFonts w:hint="eastAsia"/>
          <w:lang w:val="en-US" w:eastAsia="zh-CN"/>
        </w:rPr>
        <w:t xml:space="preserve"> </w:t>
      </w:r>
      <w:bookmarkStart w:id="122" w:name="_Toc15329"/>
      <w:bookmarkStart w:id="123" w:name="_Toc23076"/>
      <w:r>
        <w:rPr>
          <w:rFonts w:hint="eastAsia"/>
        </w:rPr>
        <w:t>评审方法</w:t>
      </w:r>
      <w:bookmarkEnd w:id="109"/>
      <w:bookmarkEnd w:id="110"/>
      <w:bookmarkEnd w:id="111"/>
      <w:bookmarkEnd w:id="112"/>
      <w:bookmarkEnd w:id="120"/>
      <w:bookmarkEnd w:id="121"/>
      <w:bookmarkEnd w:id="122"/>
      <w:bookmarkEnd w:id="123"/>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124" w:name="_Toc293736024"/>
      <w:bookmarkStart w:id="125" w:name="_Toc293739005"/>
      <w:bookmarkStart w:id="126" w:name="_Toc293736067"/>
      <w:bookmarkStart w:id="127" w:name="_Toc446599330"/>
    </w:p>
    <w:p>
      <w:pPr>
        <w:spacing w:line="500" w:lineRule="exact"/>
        <w:outlineLvl w:val="1"/>
        <w:rPr>
          <w:rFonts w:hint="eastAsia" w:ascii="宋体" w:hAnsi="宋体"/>
          <w:b/>
          <w:sz w:val="28"/>
          <w:szCs w:val="24"/>
          <w:highlight w:val="white"/>
          <w:lang w:val="en-US" w:eastAsia="zh-CN"/>
        </w:rPr>
      </w:pPr>
      <w:bookmarkStart w:id="128" w:name="_Toc16809"/>
      <w:bookmarkStart w:id="129"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128"/>
      <w:bookmarkEnd w:id="129"/>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3</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100</w:t>
            </w:r>
            <w:r>
              <w:rPr>
                <w:rFonts w:hint="eastAsia" w:ascii="宋体" w:hAnsi="宋体" w:eastAsia="宋体" w:cs="宋体"/>
                <w:sz w:val="22"/>
                <w:szCs w:val="22"/>
              </w:rPr>
              <w:t>分）</w:t>
            </w:r>
          </w:p>
        </w:tc>
        <w:tc>
          <w:tcPr>
            <w:tcW w:w="5845" w:type="dxa"/>
            <w:noWrap w:val="0"/>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eastAsia="zh-CN"/>
        </w:rPr>
        <w:t>本项目按照《新疆维吾尔自治区政府采购促进中小企业发展管理实施办法》执行</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报价的价格</w:t>
      </w:r>
      <w:r>
        <w:rPr>
          <w:rFonts w:hint="eastAsia" w:ascii="宋体" w:hAnsi="宋体" w:eastAsia="宋体" w:cs="宋体"/>
          <w:sz w:val="24"/>
          <w:szCs w:val="24"/>
          <w:highlight w:val="none"/>
        </w:rPr>
        <w:t>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，详见第六章“响应文件格式”附件八</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w:t>
      </w:r>
      <w:r>
        <w:rPr>
          <w:rFonts w:hint="eastAsia" w:ascii="宋体" w:hAnsi="宋体" w:eastAsia="宋体" w:cs="宋体"/>
          <w:sz w:val="24"/>
          <w:szCs w:val="24"/>
          <w:highlight w:val="none"/>
          <w:lang w:eastAsia="zh-CN"/>
        </w:rPr>
        <w:t>报价的</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w:t>
      </w:r>
      <w:r>
        <w:rPr>
          <w:rFonts w:hint="eastAsia" w:ascii="宋体" w:hAnsi="宋体" w:eastAsia="宋体" w:cs="宋体"/>
          <w:sz w:val="24"/>
          <w:szCs w:val="24"/>
          <w:highlight w:val="none"/>
        </w:rPr>
        <w:t>价格扣除，用扣除后的价格参与评审。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6" w:type="dxa"/>
            <w:noWrap w:val="0"/>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46" w:type="dxa"/>
            <w:noWrap w:val="0"/>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noWrap w:val="0"/>
            <w:vAlign w:val="top"/>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lang w:val="en-US" w:eastAsia="zh-CN"/>
              </w:rPr>
              <w:t>年财务审计报告或财务报表（企业成立不足</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lang w:val="en-US" w:eastAsia="zh-CN"/>
              </w:rPr>
              <w:t>年提供成立至今的）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有效</w:t>
            </w:r>
            <w:r>
              <w:rPr>
                <w:rFonts w:hint="eastAsia" w:ascii="宋体" w:hAnsi="宋体" w:cs="宋体"/>
                <w:color w:val="auto"/>
                <w:sz w:val="21"/>
                <w:szCs w:val="21"/>
                <w:lang w:val="en-US" w:eastAsia="zh-CN"/>
              </w:rPr>
              <w:t>的</w:t>
            </w:r>
            <w:r>
              <w:rPr>
                <w:rFonts w:hint="eastAsia" w:ascii="宋体" w:hAnsi="宋体" w:eastAsia="宋体" w:cs="宋体"/>
                <w:sz w:val="21"/>
                <w:szCs w:val="21"/>
                <w:lang w:eastAsia="zh-CN"/>
              </w:rPr>
              <w:t>资质证书</w:t>
            </w:r>
            <w:r>
              <w:rPr>
                <w:rFonts w:hint="eastAsia" w:ascii="宋体" w:hAnsi="宋体" w:cs="宋体"/>
                <w:sz w:val="21"/>
                <w:szCs w:val="21"/>
                <w:lang w:eastAsia="zh-CN"/>
              </w:rPr>
              <w:t>及安全生产许可证，符合招标文件要求</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lang w:val="en-US" w:eastAsia="zh-CN"/>
              </w:rPr>
              <w:t>完税证明</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授权委托人及拟派建造师</w:t>
            </w:r>
            <w:r>
              <w:rPr>
                <w:rFonts w:hint="eastAsia" w:ascii="宋体" w:hAnsi="宋体" w:eastAsia="宋体" w:cs="宋体"/>
                <w:color w:val="auto"/>
                <w:sz w:val="21"/>
                <w:szCs w:val="21"/>
                <w:lang w:eastAsia="zh-CN"/>
              </w:rPr>
              <w:t>近</w:t>
            </w:r>
            <w:r>
              <w:rPr>
                <w:rFonts w:hint="eastAsia" w:ascii="宋体" w:hAnsi="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r>
              <w:rPr>
                <w:rFonts w:hint="eastAsia" w:ascii="宋体" w:hAnsi="宋体" w:eastAsia="宋体" w:cs="宋体"/>
                <w:color w:val="auto"/>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具有履行合同所必需的设备和专业技术能力</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投标人履行合同所必须的设备和专业技术能力的证明材料或声明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301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4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t>
            </w:r>
            <w:r>
              <w:rPr>
                <w:rFonts w:hint="eastAsia" w:ascii="宋体" w:hAnsi="宋体" w:cs="宋体"/>
                <w:color w:val="auto"/>
                <w:sz w:val="21"/>
                <w:szCs w:val="21"/>
                <w:lang w:val="en-US" w:eastAsia="zh-CN"/>
              </w:rPr>
              <w:t>”“国家企业信用信息公示”</w:t>
            </w:r>
            <w:r>
              <w:rPr>
                <w:rFonts w:hint="eastAsia" w:ascii="宋体" w:hAnsi="宋体" w:eastAsia="宋体" w:cs="宋体"/>
                <w:color w:val="auto"/>
                <w:sz w:val="21"/>
                <w:szCs w:val="21"/>
                <w:lang w:val="en-US" w:eastAsia="zh-CN"/>
              </w:rPr>
              <w:t>的查询结果的截图打印件加盖公章</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pStyle w:val="2"/>
              <w:spacing w:line="240" w:lineRule="auto"/>
              <w:rPr>
                <w:rFonts w:hint="eastAsia" w:ascii="宋体" w:hAnsi="宋体" w:eastAsia="宋体" w:cs="宋体"/>
                <w:sz w:val="21"/>
                <w:szCs w:val="21"/>
              </w:rPr>
            </w:pPr>
          </w:p>
        </w:tc>
        <w:tc>
          <w:tcPr>
            <w:tcW w:w="539" w:type="dxa"/>
            <w:vMerge w:val="restart"/>
            <w:noWrap w:val="0"/>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文件规定的预算金额（最高限价）；</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工期符合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文件规定期限的；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投标人的项目负责人是投标人（备案的）注册执业人员（建造师），或者具备项目负责人资格条件的；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w:t>
            </w:r>
            <w:r>
              <w:rPr>
                <w:rFonts w:hint="eastAsia" w:ascii="宋体" w:hAnsi="宋体" w:cs="宋体"/>
                <w:sz w:val="21"/>
                <w:szCs w:val="21"/>
                <w:lang w:eastAsia="zh-CN"/>
              </w:rPr>
              <w:t>磋商</w:t>
            </w:r>
            <w:r>
              <w:rPr>
                <w:rFonts w:hint="eastAsia" w:ascii="宋体" w:hAnsi="宋体" w:eastAsia="宋体" w:cs="宋体"/>
                <w:sz w:val="21"/>
                <w:szCs w:val="21"/>
                <w:lang w:eastAsia="zh-CN"/>
              </w:rPr>
              <w:t>文件要求的；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文件要求提供投标报价的电子响应文件的；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文件规定的格式填写，无内容不全或关键字迹模糊、无法辨认的；（包括分部分项工程量清单中暂估价、暂列金额的改动）</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w:t>
            </w:r>
            <w:r>
              <w:rPr>
                <w:rFonts w:hint="eastAsia" w:ascii="宋体" w:hAnsi="宋体" w:cs="宋体"/>
                <w:kern w:val="2"/>
                <w:sz w:val="21"/>
                <w:szCs w:val="21"/>
                <w:lang w:val="en-US" w:eastAsia="zh-CN" w:bidi="ar-SA"/>
              </w:rPr>
              <w:t>磋商</w:t>
            </w:r>
            <w:r>
              <w:rPr>
                <w:rFonts w:hint="eastAsia" w:ascii="宋体" w:hAnsi="宋体" w:eastAsia="宋体" w:cs="宋体"/>
                <w:kern w:val="2"/>
                <w:sz w:val="21"/>
                <w:szCs w:val="21"/>
                <w:lang w:val="en-US" w:eastAsia="zh-CN" w:bidi="ar-SA"/>
              </w:rPr>
              <w:t>文件提供的工程量清单中的项目编码、项目名称、项目特征、计量单位、工程量的；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未将工程排污费、社会保障费、住房公积金、大型机械检测检验费等规费和增值税销项税额等税金，以及安全文明施工费列入招标投标竞争性费用的；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符合磋商文件中规定的实质性要求和条件（磋商文件中标注“★”符号的所有条款）；</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556" w:type="dxa"/>
            <w:vMerge w:val="continue"/>
            <w:noWrap w:val="0"/>
            <w:vAlign w:val="top"/>
          </w:tcPr>
          <w:p>
            <w:pPr>
              <w:spacing w:line="240" w:lineRule="auto"/>
              <w:jc w:val="center"/>
              <w:rPr>
                <w:rFonts w:hint="eastAsia" w:ascii="宋体" w:hAnsi="宋体" w:eastAsia="宋体" w:cs="宋体"/>
                <w:sz w:val="21"/>
                <w:szCs w:val="21"/>
              </w:rPr>
            </w:pPr>
          </w:p>
        </w:tc>
        <w:tc>
          <w:tcPr>
            <w:tcW w:w="539" w:type="dxa"/>
            <w:vMerge w:val="continue"/>
            <w:noWrap w:val="0"/>
            <w:vAlign w:val="center"/>
          </w:tcPr>
          <w:p>
            <w:pPr>
              <w:spacing w:line="240" w:lineRule="auto"/>
              <w:jc w:val="center"/>
              <w:rPr>
                <w:rFonts w:hint="eastAsia" w:ascii="宋体" w:hAnsi="宋体" w:eastAsia="宋体" w:cs="宋体"/>
                <w:sz w:val="21"/>
                <w:szCs w:val="21"/>
              </w:rPr>
            </w:pPr>
          </w:p>
        </w:tc>
        <w:tc>
          <w:tcPr>
            <w:tcW w:w="7962" w:type="dxa"/>
            <w:gridSpan w:val="2"/>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noWrap w:val="0"/>
            <w:vAlign w:val="top"/>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9990" w:type="dxa"/>
            <w:gridSpan w:val="5"/>
            <w:noWrap w:val="0"/>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2"/>
        <w:rPr>
          <w:rFonts w:hint="eastAsia"/>
          <w:lang w:val="en-US" w:eastAsia="zh-CN"/>
        </w:rPr>
      </w:pPr>
    </w:p>
    <w:p>
      <w:pPr>
        <w:rPr>
          <w:rFonts w:hint="eastAsia"/>
          <w:lang w:val="en-US" w:eastAsia="zh-CN"/>
        </w:rPr>
      </w:pPr>
    </w:p>
    <w:p>
      <w:pPr>
        <w:pStyle w:val="79"/>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79"/>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60"/>
        <w:gridCol w:w="1044"/>
        <w:gridCol w:w="6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22" w:type="dxa"/>
            <w:noWrap w:val="0"/>
            <w:vAlign w:val="center"/>
          </w:tcPr>
          <w:p>
            <w:pPr>
              <w:widowControl/>
              <w:spacing w:line="34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项目分值</w:t>
            </w:r>
          </w:p>
        </w:tc>
        <w:tc>
          <w:tcPr>
            <w:tcW w:w="2204" w:type="dxa"/>
            <w:gridSpan w:val="2"/>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b/>
                <w:sz w:val="24"/>
                <w:highlight w:val="none"/>
              </w:rPr>
              <w:t>评分内容</w:t>
            </w:r>
          </w:p>
        </w:tc>
        <w:tc>
          <w:tcPr>
            <w:tcW w:w="6336" w:type="dxa"/>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22" w:type="dxa"/>
            <w:vMerge w:val="restart"/>
            <w:noWrap w:val="0"/>
            <w:vAlign w:val="center"/>
          </w:tcPr>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技术标</w:t>
            </w:r>
          </w:p>
          <w:p>
            <w:pPr>
              <w:widowControl/>
              <w:spacing w:line="340" w:lineRule="exact"/>
              <w:jc w:val="center"/>
              <w:rPr>
                <w:rFonts w:hint="eastAsia" w:ascii="宋体" w:hAnsi="宋体" w:eastAsia="宋体" w:cs="宋体"/>
                <w:sz w:val="28"/>
                <w:highlight w:val="none"/>
              </w:rPr>
            </w:pPr>
            <w:r>
              <w:rPr>
                <w:rFonts w:hint="eastAsia" w:ascii="宋体" w:hAnsi="宋体" w:eastAsia="宋体" w:cs="宋体"/>
                <w:sz w:val="28"/>
                <w:highlight w:val="none"/>
              </w:rPr>
              <w:t>100分</w:t>
            </w:r>
          </w:p>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全面性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可行性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0～2</w:t>
            </w:r>
          </w:p>
        </w:tc>
        <w:tc>
          <w:tcPr>
            <w:tcW w:w="6336" w:type="dxa"/>
            <w:noWrap w:val="0"/>
            <w:vAlign w:val="center"/>
          </w:tcPr>
          <w:p>
            <w:pPr>
              <w:pStyle w:val="23"/>
              <w:widowControl/>
              <w:snapToGrid/>
              <w:spacing w:line="340" w:lineRule="exact"/>
              <w:jc w:val="both"/>
              <w:rPr>
                <w:rFonts w:hint="eastAsia" w:ascii="宋体" w:hAnsi="宋体" w:eastAsia="宋体" w:cs="宋体"/>
                <w:sz w:val="21"/>
                <w:highlight w:val="none"/>
              </w:rPr>
            </w:pPr>
            <w:r>
              <w:rPr>
                <w:rFonts w:hint="eastAsia" w:ascii="宋体" w:hAnsi="宋体" w:eastAsia="宋体" w:cs="宋体"/>
                <w:sz w:val="21"/>
                <w:highlight w:val="none"/>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针对性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25分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0～5</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pStyle w:val="23"/>
              <w:widowControl/>
              <w:snapToGrid/>
              <w:spacing w:line="340" w:lineRule="exact"/>
              <w:rPr>
                <w:rFonts w:hint="eastAsia" w:ascii="宋体" w:hAnsi="宋体" w:eastAsia="宋体" w:cs="宋体"/>
                <w:sz w:val="21"/>
                <w:highlight w:val="none"/>
              </w:rPr>
            </w:pPr>
            <w:r>
              <w:rPr>
                <w:rFonts w:hint="eastAsia" w:ascii="宋体" w:hAnsi="宋体" w:eastAsia="宋体" w:cs="宋体"/>
                <w:sz w:val="21"/>
                <w:highlight w:val="none"/>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pStyle w:val="95"/>
              <w:spacing w:line="340" w:lineRule="exact"/>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先进性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20分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采用新工艺、新技术、新设备各得2分，没有不得分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0～8</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0～6</w:t>
            </w:r>
          </w:p>
        </w:tc>
        <w:tc>
          <w:tcPr>
            <w:tcW w:w="6336" w:type="dxa"/>
            <w:noWrap w:val="0"/>
            <w:vAlign w:val="center"/>
          </w:tcPr>
          <w:p>
            <w:pPr>
              <w:widowControl/>
              <w:spacing w:line="340" w:lineRule="exact"/>
              <w:rPr>
                <w:rFonts w:hint="eastAsia" w:ascii="宋体" w:hAnsi="宋体" w:eastAsia="宋体" w:cs="宋体"/>
                <w:highlight w:val="none"/>
              </w:rPr>
            </w:pPr>
            <w:r>
              <w:rPr>
                <w:rFonts w:hint="eastAsia" w:ascii="宋体" w:hAnsi="宋体" w:eastAsia="宋体" w:cs="宋体"/>
                <w:highlight w:val="none"/>
              </w:rPr>
              <w:t>执行国家强制性条文得3分、有切实可行的保证措施各得3分，否则酌情扣分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强制性</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7分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pStyle w:val="95"/>
              <w:spacing w:line="340" w:lineRule="exact"/>
              <w:textAlignment w:val="center"/>
              <w:rPr>
                <w:rFonts w:hint="eastAsia" w:ascii="宋体" w:hAnsi="宋体" w:eastAsia="宋体" w:cs="宋体"/>
                <w:sz w:val="21"/>
                <w:highlight w:val="none"/>
              </w:rPr>
            </w:pPr>
            <w:r>
              <w:rPr>
                <w:rFonts w:hint="eastAsia" w:ascii="宋体" w:hAnsi="宋体" w:eastAsia="宋体" w:cs="宋体"/>
                <w:sz w:val="21"/>
                <w:highlight w:val="none"/>
              </w:rPr>
              <w:t>制定了质量通病的防治措施、措施可行各得2分，否则酌情扣分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0～3</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执行国家强制性条文、有切实可行的保证措施得3分，否则酌情扣分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restart"/>
            <w:noWrap w:val="0"/>
            <w:vAlign w:val="center"/>
          </w:tcPr>
          <w:p>
            <w:pPr>
              <w:widowControl/>
              <w:spacing w:line="340" w:lineRule="exact"/>
              <w:jc w:val="center"/>
              <w:rPr>
                <w:rFonts w:hint="eastAsia" w:ascii="宋体" w:hAnsi="宋体" w:eastAsia="宋体" w:cs="宋体"/>
                <w:sz w:val="24"/>
                <w:highlight w:val="none"/>
              </w:rPr>
            </w:pPr>
            <w:r>
              <w:rPr>
                <w:rFonts w:hint="eastAsia" w:ascii="宋体" w:hAnsi="宋体" w:eastAsia="宋体" w:cs="宋体"/>
                <w:sz w:val="24"/>
                <w:highlight w:val="none"/>
              </w:rPr>
              <w:t>承诺</w:t>
            </w:r>
          </w:p>
          <w:p>
            <w:pPr>
              <w:widowControl/>
              <w:spacing w:line="340" w:lineRule="exact"/>
              <w:jc w:val="center"/>
              <w:rPr>
                <w:rFonts w:hint="eastAsia" w:ascii="宋体" w:hAnsi="宋体" w:eastAsia="宋体" w:cs="宋体"/>
                <w:highlight w:val="none"/>
              </w:rPr>
            </w:pPr>
            <w:r>
              <w:rPr>
                <w:rFonts w:hint="eastAsia" w:ascii="宋体" w:hAnsi="宋体" w:eastAsia="宋体" w:cs="宋体"/>
                <w:sz w:val="24"/>
                <w:highlight w:val="none"/>
              </w:rPr>
              <w:t>8分</w:t>
            </w: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textAlignment w:val="center"/>
              <w:rPr>
                <w:rFonts w:hint="eastAsia" w:ascii="宋体" w:hAnsi="宋体" w:eastAsia="宋体" w:cs="宋体"/>
                <w:highlight w:val="none"/>
              </w:rPr>
            </w:pPr>
            <w:r>
              <w:rPr>
                <w:rFonts w:hint="eastAsia" w:ascii="宋体" w:hAnsi="宋体" w:eastAsia="宋体" w:cs="宋体"/>
                <w:highlight w:val="none"/>
              </w:rPr>
              <w:t>保修有承诺、有违约经济处罚且措施可行各得2分，否则酌情扣分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22" w:type="dxa"/>
            <w:vMerge w:val="continue"/>
            <w:noWrap w:val="0"/>
            <w:vAlign w:val="center"/>
          </w:tcPr>
          <w:p>
            <w:pPr>
              <w:widowControl/>
              <w:spacing w:line="340" w:lineRule="exact"/>
              <w:jc w:val="center"/>
              <w:rPr>
                <w:rFonts w:hint="eastAsia" w:ascii="宋体" w:hAnsi="宋体" w:eastAsia="宋体" w:cs="宋体"/>
                <w:highlight w:val="none"/>
              </w:rPr>
            </w:pPr>
          </w:p>
        </w:tc>
        <w:tc>
          <w:tcPr>
            <w:tcW w:w="1160" w:type="dxa"/>
            <w:vMerge w:val="continue"/>
            <w:noWrap w:val="0"/>
            <w:vAlign w:val="center"/>
          </w:tcPr>
          <w:p>
            <w:pPr>
              <w:widowControl/>
              <w:spacing w:line="340" w:lineRule="exact"/>
              <w:jc w:val="center"/>
              <w:rPr>
                <w:rFonts w:hint="eastAsia" w:ascii="宋体" w:hAnsi="宋体" w:eastAsia="宋体" w:cs="宋体"/>
                <w:highlight w:val="none"/>
              </w:rPr>
            </w:pPr>
          </w:p>
        </w:tc>
        <w:tc>
          <w:tcPr>
            <w:tcW w:w="1044" w:type="dxa"/>
            <w:noWrap w:val="0"/>
            <w:vAlign w:val="center"/>
          </w:tcPr>
          <w:p>
            <w:pPr>
              <w:widowControl/>
              <w:spacing w:line="340" w:lineRule="exact"/>
              <w:jc w:val="center"/>
              <w:rPr>
                <w:rFonts w:hint="eastAsia" w:ascii="宋体" w:hAnsi="宋体" w:eastAsia="宋体" w:cs="宋体"/>
                <w:highlight w:val="none"/>
              </w:rPr>
            </w:pPr>
            <w:r>
              <w:rPr>
                <w:rFonts w:hint="eastAsia" w:ascii="宋体" w:hAnsi="宋体" w:eastAsia="宋体" w:cs="宋体"/>
                <w:highlight w:val="none"/>
              </w:rPr>
              <w:t>0～4</w:t>
            </w:r>
          </w:p>
        </w:tc>
        <w:tc>
          <w:tcPr>
            <w:tcW w:w="6336" w:type="dxa"/>
            <w:noWrap w:val="0"/>
            <w:vAlign w:val="center"/>
          </w:tcPr>
          <w:p>
            <w:pPr>
              <w:widowControl/>
              <w:spacing w:line="340" w:lineRule="exact"/>
              <w:jc w:val="left"/>
              <w:rPr>
                <w:rFonts w:hint="eastAsia" w:ascii="宋体" w:hAnsi="宋体" w:eastAsia="宋体" w:cs="宋体"/>
                <w:highlight w:val="none"/>
              </w:rPr>
            </w:pPr>
            <w:r>
              <w:rPr>
                <w:rFonts w:hint="eastAsia" w:ascii="宋体" w:hAnsi="宋体" w:eastAsia="宋体" w:cs="宋体"/>
                <w:highlight w:val="none"/>
              </w:rPr>
              <w:t>承诺达到优质质量标准、并有切实可行质量保证措施得3分，否则酌情扣分；达不到有违约经济处罚的得1分，否则不得分</w:t>
            </w:r>
          </w:p>
        </w:tc>
      </w:tr>
    </w:tbl>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130" w:name="_Toc14001"/>
      <w:bookmarkStart w:id="131" w:name="_Toc25362"/>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130"/>
      <w:bookmarkEnd w:id="131"/>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132" w:name="_Toc19418"/>
      <w:r>
        <w:rPr>
          <w:rFonts w:hint="eastAsia" w:ascii="宋体" w:hAnsi="宋体" w:eastAsia="宋体" w:cs="宋体"/>
          <w:b/>
          <w:sz w:val="28"/>
          <w:szCs w:val="28"/>
          <w:lang w:val="en-US" w:eastAsia="zh-CN"/>
        </w:rPr>
        <w:t>三、串通投标的情况</w:t>
      </w:r>
      <w:bookmarkEnd w:id="132"/>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cs="Times New Roman" w:asciiTheme="majorEastAsia" w:hAnsiTheme="majorEastAsia" w:eastAsiaTheme="majorEastAsia"/>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2"/>
        </w:numPr>
        <w:spacing w:before="0" w:after="0" w:line="240" w:lineRule="auto"/>
        <w:ind w:left="0" w:leftChars="0"/>
        <w:rPr>
          <w:rFonts w:hint="eastAsia"/>
        </w:rPr>
      </w:pPr>
      <w:bookmarkStart w:id="133" w:name="_Toc6170"/>
      <w:bookmarkStart w:id="134" w:name="_Toc22804"/>
      <w:r>
        <w:rPr>
          <w:rFonts w:hint="eastAsia"/>
          <w:lang w:val="en-US" w:eastAsia="zh-CN"/>
        </w:rPr>
        <w:t xml:space="preserve"> </w:t>
      </w:r>
      <w:bookmarkStart w:id="135" w:name="_Toc10028"/>
      <w:bookmarkStart w:id="136" w:name="_Toc26812"/>
      <w:r>
        <w:rPr>
          <w:rFonts w:hint="eastAsia"/>
        </w:rPr>
        <w:t>合同</w:t>
      </w:r>
      <w:bookmarkEnd w:id="124"/>
      <w:bookmarkEnd w:id="125"/>
      <w:bookmarkEnd w:id="126"/>
      <w:bookmarkEnd w:id="127"/>
      <w:bookmarkEnd w:id="133"/>
      <w:bookmarkEnd w:id="134"/>
      <w:bookmarkEnd w:id="135"/>
      <w:r>
        <w:rPr>
          <w:rFonts w:hint="eastAsia"/>
          <w:lang w:eastAsia="zh-CN"/>
        </w:rPr>
        <w:t>文件</w:t>
      </w:r>
      <w:bookmarkEnd w:id="136"/>
    </w:p>
    <w:p>
      <w:pPr>
        <w:rPr>
          <w:rFonts w:hint="eastAsia"/>
        </w:rPr>
      </w:pPr>
    </w:p>
    <w:p>
      <w:pPr>
        <w:rPr>
          <w:rFonts w:hint="eastAsia"/>
        </w:rPr>
      </w:pP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jc w:val="left"/>
        <w:rPr>
          <w:rFonts w:asciiTheme="majorEastAsia" w:hAnsiTheme="majorEastAsia" w:eastAsiaTheme="majorEastAsia"/>
          <w:bCs/>
          <w:sz w:val="28"/>
          <w:szCs w:val="28"/>
          <w:shd w:val="clear" w:color="auto" w:fill="92D050"/>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widowControl/>
        <w:jc w:val="left"/>
        <w:rPr>
          <w:rFonts w:asciiTheme="majorEastAsia" w:hAnsiTheme="majorEastAsia" w:eastAsiaTheme="majorEastAsia"/>
          <w:bCs/>
          <w:color w:val="000000" w:themeColor="text1"/>
          <w:sz w:val="28"/>
          <w:szCs w:val="28"/>
          <w:shd w:val="clear" w:color="auto" w:fill="00B050"/>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asciiTheme="majorEastAsia" w:hAnsiTheme="majorEastAsia" w:eastAsiaTheme="majorEastAsia"/>
          <w:bCs/>
          <w:color w:val="000000" w:themeColor="text1"/>
          <w:sz w:val="28"/>
          <w:szCs w:val="28"/>
          <w14:textFill>
            <w14:solidFill>
              <w14:schemeClr w14:val="tx1"/>
            </w14:solidFill>
          </w14:textFill>
        </w:rPr>
        <w:br w:type="page"/>
      </w:r>
    </w:p>
    <w:p>
      <w:pPr>
        <w:widowControl/>
        <w:jc w:val="left"/>
        <w:rPr>
          <w:rFonts w:asciiTheme="majorEastAsia" w:hAnsiTheme="majorEastAsia" w:eastAsiaTheme="majorEastAsia"/>
          <w:bCs/>
          <w:color w:val="000000" w:themeColor="text1"/>
          <w:sz w:val="28"/>
          <w:szCs w:val="28"/>
          <w14:textFill>
            <w14:solidFill>
              <w14:schemeClr w14:val="tx1"/>
            </w14:solidFill>
          </w14:textFill>
        </w:rPr>
      </w:pPr>
    </w:p>
    <w:p>
      <w:pPr>
        <w:pStyle w:val="4"/>
        <w:numPr>
          <w:ilvl w:val="0"/>
          <w:numId w:val="2"/>
        </w:numPr>
        <w:spacing w:before="0" w:after="0" w:line="240" w:lineRule="auto"/>
        <w:ind w:left="0" w:leftChars="0"/>
        <w:rPr>
          <w:rFonts w:hint="eastAsia"/>
        </w:rPr>
      </w:pPr>
      <w:bookmarkStart w:id="137" w:name="_Toc7411"/>
      <w:bookmarkStart w:id="138" w:name="_Toc18901"/>
      <w:bookmarkStart w:id="139" w:name="_Toc257633148"/>
      <w:r>
        <w:rPr>
          <w:rFonts w:hint="eastAsia"/>
          <w:lang w:val="en-US" w:eastAsia="zh-CN"/>
        </w:rPr>
        <w:t xml:space="preserve"> </w:t>
      </w:r>
      <w:bookmarkStart w:id="140" w:name="_Toc16000"/>
      <w:bookmarkStart w:id="141" w:name="_Toc26619"/>
      <w:r>
        <w:rPr>
          <w:rFonts w:hint="eastAsia"/>
        </w:rPr>
        <w:t>响应文件格式</w:t>
      </w:r>
      <w:bookmarkEnd w:id="137"/>
      <w:bookmarkEnd w:id="138"/>
      <w:bookmarkEnd w:id="140"/>
      <w:bookmarkEnd w:id="141"/>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2"/>
        <w:rPr>
          <w:rFonts w:hint="eastAsia"/>
        </w:rPr>
      </w:pPr>
    </w:p>
    <w:p>
      <w:pPr>
        <w:pStyle w:val="2"/>
        <w:rPr>
          <w:rFonts w:hint="eastAsia"/>
        </w:rPr>
      </w:pPr>
    </w:p>
    <w:p>
      <w:pPr>
        <w:pStyle w:val="6"/>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、资质证书、安全生产许可证、进疆报送册等原件复印件；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近3年财务审计报告或财务报表（企业成立不足一年提供成立至今的）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近三个月完税证明；授权委托人及拟派建造师近三个月社保缴纳证明（如有退休人员提供退休证）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4、具备履行合同所必需专业能力的书面声明（格式见附件一）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5、参加政府采购活动前三年内在经营活动中没有重大违法记录的书面声明（格式见附件二）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6、法律、行政法规规定的其他条件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7、其它材料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7.1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7.2提供“信用中国”网站和“中国政府采购网”网站企业信用信息查询记录（复印件加盖公章）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7.3供应商认为需要提供的其他材料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（3）项目管理机构（格式见附件五）</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（5）投标报价清单：按照本文件提供的工程量清单进行报价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宋体" w:hAnsi="宋体" w:eastAsia="宋体" w:cs="宋体"/>
          <w:b/>
          <w:bCs/>
          <w:kern w:val="2"/>
          <w:sz w:val="32"/>
          <w:szCs w:val="28"/>
          <w:u w:val="none"/>
          <w:lang w:val="en-US" w:eastAsia="zh-CN" w:bidi="ar-SA"/>
        </w:rPr>
        <w:t>三、技术文件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 全面性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1.1工程概况、施工组织方案；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1.2施工机械设备、劳动力投入计划；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1.3质量、工期、投资控制方案；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1.4文明施工措施；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1.5施工总进度计划（附图）；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1.6施工现场平面布置（附图）；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 可行性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2.1施工措施及计划；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2.2施工现场流水段的划分；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2.3施工现场流水作业；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2.4施工现场交叉作业；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2.5施工现场机具配置和布置；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 针对性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3.1施工的重点和关键部位处理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3.2质保体系；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3.3安保体系；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3.4创优措施；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3.5安全措施；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3.6文明施工和防止扰民措施。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 先进性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4.1采用的新工艺、新技术、新设备；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4.2在确保工程质量前提下，有降低成本、缩短工期、减轻劳动强度、提高进度的方案；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4.3在执行国家强制性条文前提下体现施工的先进性措施。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 强制性</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5.1防治质量通病的措施；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5.2执行国家强制性条文的保证措施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 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6.1保修承诺和违约经济处罚承诺；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6.2工程质量争优承诺及保证质量措施。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注：投标文件须按技术标格式目录顺序编写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139"/>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rPr>
      </w:pPr>
      <w:bookmarkStart w:id="142" w:name="_Toc534725614"/>
      <w:bookmarkStart w:id="143" w:name="_Toc534816643"/>
      <w:bookmarkStart w:id="144" w:name="_Toc519111281"/>
      <w:r>
        <w:rPr>
          <w:rFonts w:hint="eastAsia" w:ascii="宋体" w:hAnsi="宋体" w:eastAsia="宋体" w:cs="宋体"/>
          <w:b w:val="0"/>
          <w:bCs w:val="0"/>
          <w:sz w:val="30"/>
          <w:szCs w:val="30"/>
          <w:lang w:eastAsia="zh-CN"/>
        </w:rPr>
        <w:t>附件一：</w:t>
      </w:r>
      <w:r>
        <w:rPr>
          <w:rFonts w:hint="eastAsia" w:ascii="宋体" w:hAnsi="宋体" w:eastAsia="宋体" w:cs="宋体"/>
          <w:b w:val="0"/>
          <w:bCs w:val="0"/>
          <w:sz w:val="30"/>
          <w:szCs w:val="30"/>
        </w:rPr>
        <w:t>具备履行合同所必需的设备和专业技术能力的书面声明</w:t>
      </w:r>
      <w:bookmarkEnd w:id="142"/>
      <w:bookmarkEnd w:id="143"/>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主要设备有：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spacing w:before="145" w:beforeLines="50" w:after="145" w:afterLines="50" w:line="300" w:lineRule="auto"/>
        <w:ind w:firstLine="492"/>
        <w:rPr>
          <w:rFonts w:hint="eastAsia" w:ascii="宋体" w:hAnsi="宋体" w:eastAsia="宋体" w:cs="宋体"/>
          <w:bCs/>
          <w:sz w:val="24"/>
        </w:rPr>
      </w:pPr>
      <w:r>
        <w:rPr>
          <w:rFonts w:hint="eastAsia" w:ascii="宋体" w:hAnsi="宋体" w:eastAsia="宋体" w:cs="宋体"/>
          <w:bCs/>
          <w:sz w:val="24"/>
        </w:rPr>
        <w:t>主要专业技术能力有：</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w:t>
      </w:r>
    </w:p>
    <w:p>
      <w:pPr>
        <w:pStyle w:val="79"/>
        <w:rPr>
          <w:rFonts w:hint="eastAsia" w:ascii="宋体" w:hAnsi="宋体" w:eastAsia="宋体" w:cs="宋体"/>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79"/>
        <w:rPr>
          <w:rFonts w:hint="eastAsia" w:ascii="宋体" w:hAnsi="宋体" w:eastAsia="宋体" w:cs="宋体"/>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145" w:name="_Toc534816644"/>
      <w:bookmarkStart w:id="146" w:name="_Toc534725615"/>
      <w:r>
        <w:rPr>
          <w:rFonts w:hint="eastAsia" w:ascii="宋体" w:hAnsi="宋体" w:eastAsia="宋体" w:cs="宋体"/>
          <w:b w:val="0"/>
          <w:bCs w:val="0"/>
          <w:sz w:val="30"/>
          <w:szCs w:val="30"/>
          <w:lang w:eastAsia="zh-CN"/>
        </w:rPr>
        <w:t>附件二：参加政府采购活动前 3 年内在经营活动中没有重大违法记录的书面声明</w:t>
      </w:r>
      <w:bookmarkEnd w:id="145"/>
      <w:bookmarkEnd w:id="146"/>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 xml:space="preserve">我单位郑重声明：参加本次政府采购活动前 </w:t>
      </w:r>
      <w:r>
        <w:rPr>
          <w:rFonts w:hint="eastAsia" w:ascii="宋体" w:hAnsi="宋体" w:cs="宋体"/>
          <w:bCs/>
          <w:sz w:val="24"/>
          <w:lang w:eastAsia="zh-CN"/>
        </w:rPr>
        <w:t>三</w:t>
      </w:r>
      <w:r>
        <w:rPr>
          <w:rFonts w:hint="eastAsia" w:ascii="宋体" w:hAnsi="宋体" w:eastAsia="宋体" w:cs="宋体"/>
          <w:bCs/>
          <w:sz w:val="24"/>
        </w:rPr>
        <w:t xml:space="preserve">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79"/>
        <w:rPr>
          <w:rFonts w:hint="eastAsia" w:ascii="宋体" w:hAnsi="宋体" w:eastAsia="宋体" w:cs="宋体"/>
          <w:lang w:eastAsia="zh-CN"/>
        </w:rPr>
      </w:pPr>
    </w:p>
    <w:p>
      <w:pPr>
        <w:pStyle w:val="6"/>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附件三：</w:t>
      </w:r>
      <w:r>
        <w:rPr>
          <w:rFonts w:hint="eastAsia" w:ascii="宋体" w:hAnsi="宋体" w:eastAsia="宋体" w:cs="宋体"/>
          <w:b w:val="0"/>
          <w:bCs w:val="0"/>
          <w:sz w:val="30"/>
          <w:szCs w:val="30"/>
        </w:rPr>
        <w:t>法定代表人（单位负责人）身份证明及授权委托书</w:t>
      </w:r>
      <w:bookmarkEnd w:id="144"/>
    </w:p>
    <w:p>
      <w:pPr>
        <w:rPr>
          <w:rFonts w:hint="eastAsia" w:ascii="宋体" w:hAnsi="宋体" w:eastAsia="宋体" w:cs="宋体"/>
        </w:rPr>
      </w:pPr>
    </w:p>
    <w:p>
      <w:pPr>
        <w:pStyle w:val="82"/>
        <w:jc w:val="center"/>
        <w:outlineLvl w:val="9"/>
        <w:rPr>
          <w:rFonts w:hint="eastAsia" w:ascii="宋体" w:hAnsi="宋体" w:eastAsia="宋体" w:cs="宋体"/>
          <w:b w:val="0"/>
          <w:sz w:val="24"/>
          <w:szCs w:val="24"/>
          <w:lang w:eastAsia="zh-CN"/>
        </w:rPr>
      </w:pPr>
      <w:bookmarkStart w:id="147" w:name="_Toc480371721"/>
      <w:bookmarkStart w:id="148" w:name="_Toc519111282"/>
      <w:bookmarkStart w:id="149" w:name="_Toc480368424"/>
      <w:bookmarkStart w:id="150" w:name="_Toc468535482"/>
      <w:bookmarkStart w:id="151" w:name="_Toc480368595"/>
      <w:bookmarkStart w:id="152" w:name="_Toc480368653"/>
      <w:r>
        <w:rPr>
          <w:rFonts w:hint="eastAsia" w:ascii="宋体" w:hAnsi="宋体" w:eastAsia="宋体" w:cs="宋体"/>
          <w:b w:val="0"/>
          <w:sz w:val="24"/>
          <w:szCs w:val="24"/>
        </w:rPr>
        <w:t>法定代表人（单位负责人）资格证明文件</w:t>
      </w:r>
      <w:bookmarkEnd w:id="147"/>
      <w:bookmarkEnd w:id="148"/>
      <w:bookmarkEnd w:id="149"/>
      <w:bookmarkEnd w:id="150"/>
      <w:bookmarkEnd w:id="151"/>
      <w:bookmarkEnd w:id="152"/>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1"/>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1"/>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p>
          <w:p>
            <w:pPr>
              <w:pStyle w:val="81"/>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1"/>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1"/>
        <w:tabs>
          <w:tab w:val="left" w:pos="750"/>
        </w:tabs>
        <w:adjustRightInd w:val="0"/>
        <w:snapToGrid w:val="0"/>
        <w:spacing w:line="500" w:lineRule="exact"/>
        <w:rPr>
          <w:rFonts w:hint="eastAsia" w:ascii="宋体" w:hAnsi="宋体" w:eastAsia="宋体" w:cs="宋体"/>
          <w:sz w:val="24"/>
          <w:szCs w:val="24"/>
        </w:rPr>
      </w:pPr>
    </w:p>
    <w:p>
      <w:pPr>
        <w:pStyle w:val="81"/>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53" w:name="_Toc468535483"/>
    </w:p>
    <w:p>
      <w:pPr>
        <w:pStyle w:val="81"/>
        <w:rPr>
          <w:rFonts w:hint="eastAsia" w:ascii="宋体" w:hAnsi="宋体" w:eastAsia="宋体" w:cs="宋体"/>
          <w:lang w:eastAsia="zh-CN"/>
        </w:rPr>
      </w:pPr>
    </w:p>
    <w:p>
      <w:pPr>
        <w:pStyle w:val="82"/>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54" w:name="_Toc480371722"/>
      <w:bookmarkStart w:id="155" w:name="_Toc480368425"/>
      <w:bookmarkStart w:id="156" w:name="_Toc480368596"/>
      <w:bookmarkStart w:id="157" w:name="_Toc480368654"/>
      <w:bookmarkStart w:id="158" w:name="_Toc519111283"/>
      <w:r>
        <w:rPr>
          <w:rFonts w:hint="eastAsia" w:ascii="宋体" w:hAnsi="宋体" w:eastAsia="宋体" w:cs="宋体"/>
          <w:b w:val="0"/>
          <w:sz w:val="24"/>
          <w:szCs w:val="24"/>
        </w:rPr>
        <w:t>法定代表人（单位负责人）授权书</w:t>
      </w:r>
      <w:bookmarkEnd w:id="153"/>
      <w:bookmarkEnd w:id="154"/>
      <w:bookmarkEnd w:id="155"/>
      <w:bookmarkEnd w:id="156"/>
      <w:bookmarkEnd w:id="157"/>
      <w:bookmarkEnd w:id="158"/>
    </w:p>
    <w:p>
      <w:pPr>
        <w:pStyle w:val="81"/>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1"/>
        <w:spacing w:line="500" w:lineRule="exact"/>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1"/>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noWrap w:val="0"/>
            <w:vAlign w:val="top"/>
          </w:tcPr>
          <w:p>
            <w:pPr>
              <w:pStyle w:val="81"/>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89"/>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93"/>
        <w:rPr>
          <w:rFonts w:hint="eastAsia" w:ascii="宋体" w:hAnsi="宋体" w:eastAsia="宋体" w:cs="宋体"/>
          <w:sz w:val="24"/>
          <w:szCs w:val="21"/>
          <w:highlight w:val="none"/>
        </w:rPr>
      </w:pPr>
      <w:bookmarkStart w:id="159"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35"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noWrap w:val="0"/>
            <w:vAlign w:val="center"/>
          </w:tcPr>
          <w:p>
            <w:pPr>
              <w:jc w:val="center"/>
              <w:rPr>
                <w:rFonts w:hint="eastAsia" w:ascii="宋体" w:hAnsi="宋体" w:cs="宋体"/>
                <w:color w:val="auto"/>
                <w:szCs w:val="21"/>
              </w:rPr>
            </w:pPr>
          </w:p>
        </w:tc>
        <w:tc>
          <w:tcPr>
            <w:tcW w:w="1341"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noWrap w:val="0"/>
            <w:vAlign w:val="center"/>
          </w:tcPr>
          <w:p>
            <w:pPr>
              <w:jc w:val="center"/>
              <w:rPr>
                <w:rFonts w:hint="eastAsia" w:ascii="宋体" w:hAnsi="宋体" w:cs="宋体"/>
                <w:color w:val="auto"/>
                <w:szCs w:val="21"/>
              </w:rPr>
            </w:pPr>
          </w:p>
        </w:tc>
        <w:tc>
          <w:tcPr>
            <w:tcW w:w="1456" w:type="dxa"/>
            <w:noWrap w:val="0"/>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noWrap w:val="0"/>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noWrap w:val="0"/>
            <w:vAlign w:val="center"/>
          </w:tcPr>
          <w:p>
            <w:pPr>
              <w:jc w:val="center"/>
              <w:rPr>
                <w:rFonts w:hint="eastAsia" w:ascii="宋体" w:hAnsi="宋体" w:cs="宋体"/>
                <w:color w:val="auto"/>
                <w:szCs w:val="21"/>
              </w:rPr>
            </w:pPr>
          </w:p>
        </w:tc>
        <w:tc>
          <w:tcPr>
            <w:tcW w:w="1499"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noWrap w:val="0"/>
            <w:vAlign w:val="center"/>
          </w:tcPr>
          <w:p>
            <w:pPr>
              <w:jc w:val="center"/>
              <w:rPr>
                <w:rFonts w:hint="eastAsia" w:ascii="宋体" w:hAnsi="宋体" w:cs="宋体"/>
                <w:color w:val="auto"/>
                <w:szCs w:val="21"/>
              </w:rPr>
            </w:pPr>
          </w:p>
        </w:tc>
        <w:tc>
          <w:tcPr>
            <w:tcW w:w="828" w:type="dxa"/>
            <w:noWrap w:val="0"/>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noWrap w:val="0"/>
            <w:vAlign w:val="center"/>
          </w:tcPr>
          <w:p>
            <w:pPr>
              <w:jc w:val="center"/>
              <w:rPr>
                <w:rFonts w:hint="eastAsia" w:ascii="宋体" w:hAnsi="宋体" w:cs="宋体"/>
                <w:color w:val="auto"/>
                <w:szCs w:val="21"/>
              </w:rPr>
            </w:pPr>
          </w:p>
        </w:tc>
        <w:tc>
          <w:tcPr>
            <w:tcW w:w="5742" w:type="dxa"/>
            <w:gridSpan w:val="6"/>
            <w:noWrap w:val="0"/>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restart"/>
            <w:noWrap w:val="0"/>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noWrap w:val="0"/>
            <w:vAlign w:val="center"/>
          </w:tcPr>
          <w:p>
            <w:pPr>
              <w:jc w:val="center"/>
              <w:rPr>
                <w:rFonts w:hint="eastAsia" w:ascii="宋体" w:hAnsi="宋体" w:cs="宋体"/>
                <w:color w:val="auto"/>
                <w:szCs w:val="21"/>
              </w:rPr>
            </w:pPr>
          </w:p>
        </w:tc>
        <w:tc>
          <w:tcPr>
            <w:tcW w:w="1412" w:type="dxa"/>
            <w:gridSpan w:val="2"/>
            <w:noWrap w:val="0"/>
            <w:vAlign w:val="center"/>
          </w:tcPr>
          <w:p>
            <w:pPr>
              <w:jc w:val="center"/>
              <w:rPr>
                <w:rFonts w:hint="eastAsia" w:ascii="宋体" w:hAnsi="宋体" w:cs="宋体"/>
                <w:color w:val="auto"/>
                <w:szCs w:val="21"/>
              </w:rPr>
            </w:pPr>
          </w:p>
        </w:tc>
        <w:tc>
          <w:tcPr>
            <w:tcW w:w="940" w:type="dxa"/>
            <w:vMerge w:val="continue"/>
            <w:noWrap w:val="0"/>
            <w:vAlign w:val="center"/>
          </w:tcPr>
          <w:p>
            <w:pPr>
              <w:jc w:val="center"/>
              <w:rPr>
                <w:rFonts w:hint="eastAsia" w:ascii="宋体" w:hAnsi="宋体" w:cs="宋体"/>
                <w:color w:val="auto"/>
                <w:szCs w:val="21"/>
              </w:rPr>
            </w:pPr>
          </w:p>
        </w:tc>
        <w:tc>
          <w:tcPr>
            <w:tcW w:w="2319" w:type="dxa"/>
            <w:gridSpan w:val="3"/>
            <w:noWrap w:val="0"/>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noWrap w:val="0"/>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noWrap w:val="0"/>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noWrap w:val="0"/>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rPr>
      </w:pPr>
      <w:r>
        <w:rPr>
          <w:rFonts w:hint="eastAsia" w:ascii="宋体" w:hAnsi="宋体" w:cs="宋体"/>
          <w:color w:val="auto"/>
          <w:sz w:val="24"/>
          <w:szCs w:val="21"/>
        </w:rPr>
        <w:t>备注：</w:t>
      </w:r>
      <w:r>
        <w:rPr>
          <w:rFonts w:hint="eastAsia" w:ascii="宋体" w:hAnsi="宋体" w:cs="宋体"/>
          <w:color w:val="auto"/>
          <w:sz w:val="24"/>
          <w:szCs w:val="21"/>
          <w:lang w:val="en-US" w:eastAsia="zh-CN"/>
        </w:rPr>
        <w:t>1、</w:t>
      </w:r>
      <w:r>
        <w:rPr>
          <w:rFonts w:hint="eastAsia" w:ascii="宋体" w:hAnsi="宋体" w:cs="宋体"/>
          <w:color w:val="auto"/>
          <w:sz w:val="24"/>
          <w:szCs w:val="21"/>
        </w:rPr>
        <w:t>本表后应附企业法人营业执照、企业资质证书、安全生产许可证、新疆维吾尔自治区区外建设工程企业信息登记册（如是外地投标人）等材料的复印件。</w:t>
      </w:r>
    </w:p>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lang w:val="en-US" w:eastAsia="zh-CN"/>
        </w:rPr>
        <w:t>2、联系方式上填写的联系人必须为本项目的主要负责人。</w:t>
      </w:r>
    </w:p>
    <w:p>
      <w:pPr>
        <w:spacing w:line="440" w:lineRule="exact"/>
        <w:rPr>
          <w:rFonts w:hint="eastAsia" w:ascii="宋体" w:hAnsi="宋体" w:cs="宋体"/>
          <w:color w:val="auto"/>
          <w:sz w:val="24"/>
          <w:szCs w:val="21"/>
          <w:lang w:eastAsia="zh-CN"/>
        </w:rPr>
      </w:pP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五</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6"/>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6"/>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60" w:name="_Toc12180"/>
      <w:r>
        <w:rPr>
          <w:rFonts w:hint="eastAsia" w:ascii="宋体" w:hAnsi="宋体" w:eastAsia="宋体" w:cs="宋体"/>
          <w:b w:val="0"/>
          <w:bCs w:val="0"/>
          <w:color w:val="auto"/>
          <w:sz w:val="30"/>
          <w:szCs w:val="30"/>
          <w:lang w:eastAsia="zh-CN"/>
        </w:rPr>
        <w:t>（一）项目管理机构组成表</w:t>
      </w:r>
      <w:bookmarkEnd w:id="160"/>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noWrap w:val="0"/>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noWrap w:val="0"/>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noWrap w:val="0"/>
            <w:vAlign w:val="center"/>
          </w:tcPr>
          <w:p>
            <w:pPr>
              <w:spacing w:line="360" w:lineRule="auto"/>
              <w:jc w:val="center"/>
              <w:rPr>
                <w:rFonts w:hint="eastAsia" w:ascii="宋体" w:hAnsi="宋体" w:cs="宋体"/>
                <w:szCs w:val="21"/>
              </w:rPr>
            </w:pPr>
          </w:p>
        </w:tc>
        <w:tc>
          <w:tcPr>
            <w:tcW w:w="830" w:type="dxa"/>
            <w:vMerge w:val="continue"/>
            <w:noWrap w:val="0"/>
            <w:vAlign w:val="center"/>
          </w:tcPr>
          <w:p>
            <w:pPr>
              <w:spacing w:line="360" w:lineRule="auto"/>
              <w:jc w:val="center"/>
              <w:rPr>
                <w:rFonts w:hint="eastAsia" w:ascii="宋体" w:hAnsi="宋体" w:cs="宋体"/>
                <w:szCs w:val="21"/>
              </w:rPr>
            </w:pPr>
          </w:p>
        </w:tc>
        <w:tc>
          <w:tcPr>
            <w:tcW w:w="829" w:type="dxa"/>
            <w:vMerge w:val="continue"/>
            <w:noWrap w:val="0"/>
            <w:vAlign w:val="center"/>
          </w:tcPr>
          <w:p>
            <w:pPr>
              <w:spacing w:line="360" w:lineRule="auto"/>
              <w:jc w:val="center"/>
              <w:rPr>
                <w:rFonts w:hint="eastAsia" w:ascii="宋体" w:hAnsi="宋体" w:cs="宋体"/>
                <w:szCs w:val="21"/>
              </w:rPr>
            </w:pPr>
          </w:p>
        </w:tc>
        <w:tc>
          <w:tcPr>
            <w:tcW w:w="1245" w:type="dxa"/>
            <w:noWrap w:val="0"/>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noWrap w:val="0"/>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noWrap w:val="0"/>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noWrap w:val="0"/>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noWrap w:val="0"/>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1245"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830" w:type="dxa"/>
            <w:noWrap w:val="0"/>
            <w:vAlign w:val="center"/>
          </w:tcPr>
          <w:p>
            <w:pPr>
              <w:spacing w:line="360" w:lineRule="auto"/>
              <w:jc w:val="center"/>
              <w:rPr>
                <w:rFonts w:hint="eastAsia" w:ascii="宋体" w:hAnsi="宋体" w:cs="宋体"/>
                <w:color w:val="00CCFF"/>
                <w:szCs w:val="21"/>
              </w:rPr>
            </w:pPr>
          </w:p>
        </w:tc>
        <w:tc>
          <w:tcPr>
            <w:tcW w:w="829" w:type="dxa"/>
            <w:noWrap w:val="0"/>
            <w:vAlign w:val="center"/>
          </w:tcPr>
          <w:p>
            <w:pPr>
              <w:spacing w:line="360" w:lineRule="auto"/>
              <w:jc w:val="center"/>
              <w:rPr>
                <w:rFonts w:hint="eastAsia" w:ascii="宋体" w:hAnsi="宋体" w:cs="宋体"/>
                <w:color w:val="00CCFF"/>
                <w:szCs w:val="21"/>
              </w:rPr>
            </w:pPr>
          </w:p>
        </w:tc>
        <w:tc>
          <w:tcPr>
            <w:tcW w:w="2907" w:type="dxa"/>
            <w:noWrap w:val="0"/>
            <w:vAlign w:val="center"/>
          </w:tcPr>
          <w:p>
            <w:pPr>
              <w:spacing w:line="360" w:lineRule="auto"/>
              <w:jc w:val="center"/>
              <w:rPr>
                <w:rFonts w:hint="eastAsia" w:ascii="宋体" w:hAnsi="宋体" w:cs="宋体"/>
                <w:color w:val="00CCFF"/>
                <w:szCs w:val="21"/>
              </w:rPr>
            </w:pPr>
          </w:p>
        </w:tc>
        <w:tc>
          <w:tcPr>
            <w:tcW w:w="773" w:type="dxa"/>
            <w:noWrap w:val="0"/>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1245"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830" w:type="dxa"/>
            <w:noWrap w:val="0"/>
            <w:vAlign w:val="top"/>
          </w:tcPr>
          <w:p>
            <w:pPr>
              <w:spacing w:line="360" w:lineRule="auto"/>
              <w:jc w:val="center"/>
              <w:rPr>
                <w:rFonts w:hint="eastAsia" w:ascii="宋体" w:hAnsi="宋体" w:cs="宋体"/>
                <w:color w:val="00CCFF"/>
                <w:szCs w:val="21"/>
              </w:rPr>
            </w:pPr>
          </w:p>
        </w:tc>
        <w:tc>
          <w:tcPr>
            <w:tcW w:w="829" w:type="dxa"/>
            <w:noWrap w:val="0"/>
            <w:vAlign w:val="top"/>
          </w:tcPr>
          <w:p>
            <w:pPr>
              <w:spacing w:line="360" w:lineRule="auto"/>
              <w:jc w:val="center"/>
              <w:rPr>
                <w:rFonts w:hint="eastAsia" w:ascii="宋体" w:hAnsi="宋体" w:cs="宋体"/>
                <w:color w:val="00CCFF"/>
                <w:szCs w:val="21"/>
              </w:rPr>
            </w:pPr>
          </w:p>
        </w:tc>
        <w:tc>
          <w:tcPr>
            <w:tcW w:w="2907" w:type="dxa"/>
            <w:noWrap w:val="0"/>
            <w:vAlign w:val="top"/>
          </w:tcPr>
          <w:p>
            <w:pPr>
              <w:spacing w:line="360" w:lineRule="auto"/>
              <w:jc w:val="center"/>
              <w:rPr>
                <w:rFonts w:hint="eastAsia" w:ascii="宋体" w:hAnsi="宋体" w:cs="宋体"/>
                <w:color w:val="00CCFF"/>
                <w:szCs w:val="21"/>
              </w:rPr>
            </w:pPr>
          </w:p>
        </w:tc>
        <w:tc>
          <w:tcPr>
            <w:tcW w:w="773" w:type="dxa"/>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rPr>
            </w:pPr>
          </w:p>
        </w:tc>
      </w:tr>
    </w:tbl>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center"/>
        <w:rPr>
          <w:rFonts w:hint="eastAsia" w:eastAsia="宋体" w:cs="宋体"/>
          <w:b w:val="0"/>
          <w:bCs w:val="0"/>
          <w:color w:val="auto"/>
          <w:sz w:val="30"/>
          <w:szCs w:val="30"/>
          <w:lang w:eastAsia="zh-CN"/>
        </w:rPr>
      </w:pPr>
    </w:p>
    <w:p>
      <w:pPr>
        <w:pStyle w:val="13"/>
        <w:jc w:val="both"/>
        <w:rPr>
          <w:rFonts w:hint="eastAsia" w:ascii="宋体" w:hAnsi="宋体" w:eastAsia="宋体" w:cs="宋体"/>
          <w:b w:val="0"/>
          <w:bCs w:val="0"/>
          <w:color w:val="auto"/>
          <w:sz w:val="30"/>
          <w:szCs w:val="30"/>
          <w:lang w:eastAsia="zh-CN"/>
        </w:rPr>
      </w:pPr>
    </w:p>
    <w:p>
      <w:pPr>
        <w:pStyle w:val="13"/>
        <w:jc w:val="both"/>
        <w:rPr>
          <w:rFonts w:hint="eastAsia"/>
          <w:lang w:eastAsia="zh-CN"/>
        </w:rPr>
      </w:pP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eastAsia="zh-CN"/>
        </w:rPr>
        <w:t>二</w:t>
      </w:r>
      <w:r>
        <w:rPr>
          <w:rFonts w:hint="eastAsia" w:ascii="宋体" w:hAnsi="宋体" w:eastAsia="宋体" w:cs="宋体"/>
          <w:b w:val="0"/>
          <w:bCs w:val="0"/>
          <w:color w:val="auto"/>
          <w:sz w:val="30"/>
          <w:szCs w:val="30"/>
          <w:lang w:eastAsia="zh-CN"/>
        </w:rPr>
        <w:t>）</w:t>
      </w:r>
      <w:r>
        <w:rPr>
          <w:rFonts w:hint="eastAsia" w:eastAsia="宋体" w:cs="宋体"/>
          <w:b w:val="0"/>
          <w:bCs w:val="0"/>
          <w:color w:val="auto"/>
          <w:sz w:val="30"/>
          <w:szCs w:val="30"/>
          <w:lang w:eastAsia="zh-CN"/>
        </w:rPr>
        <w:t>项目经理简历表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  龄</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2126" w:type="dxa"/>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称</w:t>
            </w:r>
          </w:p>
        </w:tc>
        <w:tc>
          <w:tcPr>
            <w:tcW w:w="1596" w:type="dxa"/>
            <w:gridSpan w:val="3"/>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职  务</w:t>
            </w: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拟在本工程任职</w:t>
            </w:r>
          </w:p>
        </w:tc>
        <w:tc>
          <w:tcPr>
            <w:tcW w:w="2126" w:type="dxa"/>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注册建造师执业资格等级</w:t>
            </w:r>
          </w:p>
        </w:tc>
        <w:tc>
          <w:tcPr>
            <w:tcW w:w="127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级</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建造师专业</w:t>
            </w: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安全生产考核合格证书</w:t>
            </w:r>
          </w:p>
        </w:tc>
        <w:tc>
          <w:tcPr>
            <w:tcW w:w="5751" w:type="dxa"/>
            <w:gridSpan w:val="6"/>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毕业学校</w:t>
            </w:r>
          </w:p>
        </w:tc>
        <w:tc>
          <w:tcPr>
            <w:tcW w:w="7920" w:type="dxa"/>
            <w:gridSpan w:val="9"/>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11"/>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时  间</w:t>
            </w:r>
          </w:p>
        </w:tc>
        <w:tc>
          <w:tcPr>
            <w:tcW w:w="3444" w:type="dxa"/>
            <w:gridSpan w:val="5"/>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参加过的类似项目名称</w:t>
            </w:r>
          </w:p>
        </w:tc>
        <w:tc>
          <w:tcPr>
            <w:tcW w:w="184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工程概况说明</w:t>
            </w:r>
          </w:p>
        </w:tc>
        <w:tc>
          <w:tcPr>
            <w:tcW w:w="2633" w:type="dxa"/>
            <w:gridSpan w:val="2"/>
            <w:noWrap w:val="0"/>
            <w:vAlign w:val="center"/>
          </w:tcPr>
          <w:p>
            <w:pPr>
              <w:jc w:val="center"/>
              <w:rPr>
                <w:rFonts w:hint="eastAsia" w:ascii="宋体" w:hAnsi="宋体" w:eastAsia="宋体" w:cs="宋体"/>
                <w:szCs w:val="21"/>
                <w:highlight w:val="none"/>
              </w:rPr>
            </w:pPr>
            <w:r>
              <w:rPr>
                <w:rFonts w:hint="eastAsia" w:ascii="宋体" w:hAnsi="宋体" w:eastAsia="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rPr>
                <w:rFonts w:hint="eastAsia" w:ascii="宋体" w:hAnsi="宋体" w:eastAsia="宋体" w:cs="宋体"/>
                <w:szCs w:val="21"/>
                <w:highlight w:val="none"/>
              </w:rPr>
            </w:pPr>
          </w:p>
        </w:tc>
        <w:tc>
          <w:tcPr>
            <w:tcW w:w="1035" w:type="dxa"/>
            <w:noWrap w:val="0"/>
            <w:vAlign w:val="center"/>
          </w:tcPr>
          <w:p>
            <w:pPr>
              <w:jc w:val="center"/>
              <w:rPr>
                <w:rFonts w:hint="eastAsia" w:ascii="宋体" w:hAnsi="宋体" w:eastAsia="宋体" w:cs="宋体"/>
                <w:szCs w:val="21"/>
                <w:highlight w:val="none"/>
              </w:rPr>
            </w:pPr>
          </w:p>
        </w:tc>
        <w:tc>
          <w:tcPr>
            <w:tcW w:w="1134" w:type="dxa"/>
            <w:gridSpan w:val="2"/>
            <w:noWrap w:val="0"/>
            <w:vAlign w:val="center"/>
          </w:tcPr>
          <w:p>
            <w:pPr>
              <w:jc w:val="center"/>
              <w:rPr>
                <w:rFonts w:hint="eastAsia" w:ascii="宋体" w:hAnsi="宋体" w:eastAsia="宋体" w:cs="宋体"/>
                <w:szCs w:val="21"/>
                <w:highlight w:val="none"/>
              </w:rPr>
            </w:pPr>
          </w:p>
        </w:tc>
        <w:tc>
          <w:tcPr>
            <w:tcW w:w="1275" w:type="dxa"/>
            <w:gridSpan w:val="2"/>
            <w:noWrap w:val="0"/>
            <w:vAlign w:val="center"/>
          </w:tcPr>
          <w:p>
            <w:pPr>
              <w:jc w:val="center"/>
              <w:rPr>
                <w:rFonts w:hint="eastAsia" w:ascii="宋体" w:hAnsi="宋体" w:eastAsia="宋体" w:cs="宋体"/>
                <w:szCs w:val="21"/>
                <w:highlight w:val="none"/>
              </w:rPr>
            </w:pPr>
          </w:p>
        </w:tc>
        <w:tc>
          <w:tcPr>
            <w:tcW w:w="1843" w:type="dxa"/>
            <w:gridSpan w:val="2"/>
            <w:noWrap w:val="0"/>
            <w:vAlign w:val="center"/>
          </w:tcPr>
          <w:p>
            <w:pPr>
              <w:jc w:val="center"/>
              <w:rPr>
                <w:rFonts w:hint="eastAsia" w:ascii="宋体" w:hAnsi="宋体" w:eastAsia="宋体" w:cs="宋体"/>
                <w:szCs w:val="21"/>
                <w:highlight w:val="none"/>
              </w:rPr>
            </w:pPr>
          </w:p>
        </w:tc>
        <w:tc>
          <w:tcPr>
            <w:tcW w:w="2633" w:type="dxa"/>
            <w:gridSpan w:val="2"/>
            <w:noWrap w:val="0"/>
            <w:vAlign w:val="center"/>
          </w:tcPr>
          <w:p>
            <w:pPr>
              <w:jc w:val="center"/>
              <w:rPr>
                <w:rFonts w:hint="eastAsia" w:ascii="宋体" w:hAnsi="宋体" w:eastAsia="宋体" w:cs="宋体"/>
                <w:szCs w:val="21"/>
                <w:highlight w:val="none"/>
              </w:rPr>
            </w:pPr>
          </w:p>
        </w:tc>
      </w:tr>
    </w:tbl>
    <w:p>
      <w:pPr>
        <w:pStyle w:val="93"/>
        <w:rPr>
          <w:rFonts w:hint="eastAsia" w:ascii="宋体" w:hAnsi="宋体" w:eastAsia="宋体" w:cs="宋体"/>
          <w:b/>
          <w:color w:val="auto"/>
          <w:sz w:val="24"/>
        </w:rPr>
      </w:pPr>
    </w:p>
    <w:p>
      <w:pPr>
        <w:kinsoku/>
        <w:overflowPunct/>
        <w:bidi w:val="0"/>
        <w:spacing w:after="240" w:line="440" w:lineRule="exact"/>
        <w:ind w:firstLine="480" w:firstLineChars="200"/>
        <w:rPr>
          <w:rFonts w:hint="eastAsia" w:ascii="宋体" w:hAnsi="宋体" w:eastAsia="宋体" w:cs="宋体"/>
          <w:sz w:val="28"/>
          <w:szCs w:val="28"/>
          <w:highlight w:val="none"/>
          <w:lang w:eastAsia="zh-CN"/>
        </w:rPr>
      </w:pPr>
      <w:r>
        <w:rPr>
          <w:rFonts w:hint="eastAsia" w:ascii="宋体" w:hAnsi="宋体"/>
          <w:color w:val="auto"/>
          <w:sz w:val="24"/>
          <w:szCs w:val="21"/>
          <w:highlight w:val="none"/>
          <w:lang w:eastAsia="zh-CN"/>
        </w:rPr>
        <w:t>注：表后</w:t>
      </w:r>
      <w:r>
        <w:rPr>
          <w:rFonts w:hint="eastAsia" w:ascii="宋体" w:hAnsi="宋体"/>
          <w:color w:val="auto"/>
          <w:sz w:val="24"/>
          <w:szCs w:val="21"/>
          <w:highlight w:val="none"/>
        </w:rPr>
        <w:t>应附建造师执业资格证书、注册证书、安全生产考核合格证书、身份证、</w:t>
      </w:r>
      <w:r>
        <w:rPr>
          <w:rFonts w:hint="eastAsia" w:ascii="宋体" w:hAnsi="宋体"/>
          <w:color w:val="auto"/>
          <w:sz w:val="24"/>
          <w:szCs w:val="21"/>
          <w:highlight w:val="none"/>
          <w:lang w:eastAsia="zh-CN"/>
        </w:rPr>
        <w:t>社保</w:t>
      </w:r>
      <w:r>
        <w:rPr>
          <w:rFonts w:hint="eastAsia" w:ascii="宋体" w:hAnsi="宋体"/>
          <w:color w:val="auto"/>
          <w:sz w:val="24"/>
          <w:szCs w:val="21"/>
          <w:highlight w:val="none"/>
        </w:rPr>
        <w:t>复印件</w:t>
      </w:r>
      <w:r>
        <w:rPr>
          <w:rFonts w:hint="eastAsia" w:ascii="宋体" w:hAnsi="宋体"/>
          <w:color w:val="auto"/>
          <w:sz w:val="24"/>
          <w:szCs w:val="21"/>
          <w:highlight w:val="none"/>
          <w:lang w:eastAsia="zh-CN"/>
        </w:rPr>
        <w:t>。</w:t>
      </w: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93"/>
        <w:rPr>
          <w:rFonts w:hint="eastAsia" w:ascii="宋体" w:hAnsi="宋体" w:eastAsia="宋体" w:cs="宋体"/>
          <w:b/>
          <w:color w:val="auto"/>
          <w:sz w:val="24"/>
        </w:rPr>
      </w:pPr>
    </w:p>
    <w:p>
      <w:pPr>
        <w:pStyle w:val="6"/>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61" w:name="_Toc519111291"/>
      <w:r>
        <w:rPr>
          <w:rFonts w:hint="eastAsia" w:ascii="宋体" w:hAnsi="宋体" w:eastAsia="宋体" w:cs="宋体"/>
          <w:b w:val="0"/>
          <w:bCs w:val="0"/>
          <w:color w:val="auto"/>
          <w:sz w:val="30"/>
          <w:szCs w:val="30"/>
          <w:lang w:eastAsia="zh-CN"/>
        </w:rPr>
        <w:t>附件</w:t>
      </w:r>
      <w:r>
        <w:rPr>
          <w:rFonts w:hint="eastAsia" w:eastAsia="宋体" w:cs="宋体"/>
          <w:b w:val="0"/>
          <w:bCs w:val="0"/>
          <w:color w:val="auto"/>
          <w:sz w:val="30"/>
          <w:szCs w:val="30"/>
          <w:lang w:eastAsia="zh-CN"/>
        </w:rPr>
        <w:t>六</w:t>
      </w:r>
      <w:r>
        <w:rPr>
          <w:rFonts w:hint="eastAsia" w:ascii="宋体" w:hAnsi="宋体" w:eastAsia="宋体" w:cs="宋体"/>
          <w:b w:val="0"/>
          <w:bCs w:val="0"/>
          <w:color w:val="auto"/>
          <w:sz w:val="30"/>
          <w:szCs w:val="30"/>
          <w:lang w:eastAsia="zh-CN"/>
        </w:rPr>
        <w:t>：</w:t>
      </w:r>
      <w:bookmarkEnd w:id="161"/>
    </w:p>
    <w:p>
      <w:pPr>
        <w:pStyle w:val="13"/>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（项目名称）标段施工</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eastAsia="宋体" w:cs="宋体"/>
          <w:sz w:val="24"/>
          <w:szCs w:val="21"/>
          <w:highlight w:val="none"/>
        </w:rPr>
        <w:t>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日历天，按合同约定实施和完成承包工程，修补工程中的任何缺陷，工程质量达到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1"/>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1"/>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3"/>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投标报价清单：按照本文件提供的工程量清单进行报价。</w:t>
      </w:r>
    </w:p>
    <w:p>
      <w:pPr>
        <w:pStyle w:val="93"/>
        <w:jc w:val="both"/>
        <w:rPr>
          <w:rFonts w:hint="eastAsia" w:ascii="宋体" w:hAnsi="宋体" w:eastAsia="宋体" w:cs="宋体"/>
          <w:color w:val="auto"/>
          <w:sz w:val="24"/>
          <w:szCs w:val="24"/>
        </w:rPr>
      </w:pPr>
    </w:p>
    <w:p>
      <w:pPr>
        <w:pStyle w:val="93"/>
        <w:jc w:val="both"/>
        <w:rPr>
          <w:rFonts w:hint="eastAsia" w:ascii="宋体" w:hAnsi="宋体" w:eastAsia="宋体" w:cs="宋体"/>
          <w:color w:val="auto"/>
          <w:sz w:val="24"/>
          <w:szCs w:val="24"/>
        </w:rPr>
      </w:pPr>
    </w:p>
    <w:bookmarkEnd w:id="159"/>
    <w:p>
      <w:pPr>
        <w:ind w:left="1280"/>
        <w:rPr>
          <w:rFonts w:asciiTheme="majorEastAsia" w:hAnsiTheme="majorEastAsia" w:eastAsiaTheme="majorEastAsia"/>
          <w:b/>
          <w:sz w:val="44"/>
          <w:szCs w:val="44"/>
        </w:rPr>
      </w:pPr>
      <w:r>
        <w:rPr>
          <w:rFonts w:hint="eastAsia" w:ascii="宋体" w:hAnsi="宋体" w:eastAsia="宋体" w:cs="宋体"/>
          <w:b w:val="0"/>
          <w:bCs/>
          <w:kern w:val="0"/>
          <w:sz w:val="32"/>
          <w:szCs w:val="24"/>
          <w:lang w:val="en-US" w:eastAsia="zh-CN" w:bidi="ar-SA"/>
        </w:rPr>
        <w:t>附件七：</w:t>
      </w:r>
      <w:r>
        <w:rPr>
          <w:rFonts w:hint="eastAsia" w:asciiTheme="majorEastAsia" w:hAnsiTheme="majorEastAsia" w:eastAsiaTheme="majorEastAsia"/>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1"/>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仿宋" w:hAnsi="仿宋" w:eastAsia="仿宋"/>
          <w:sz w:val="28"/>
          <w:szCs w:val="28"/>
        </w:rPr>
      </w:pPr>
    </w:p>
    <w:p>
      <w:pPr>
        <w:pStyle w:val="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2"/>
        <w:ind w:left="0" w:leftChars="0" w:firstLine="0" w:firstLineChars="0"/>
        <w:rPr>
          <w:rFonts w:hint="eastAsia" w:ascii="宋体" w:hAnsi="宋体" w:eastAsia="宋体" w:cs="宋体"/>
          <w:bCs/>
          <w:sz w:val="24"/>
        </w:rPr>
      </w:pPr>
    </w:p>
    <w:p>
      <w:pPr>
        <w:pStyle w:val="2"/>
        <w:ind w:left="0" w:leftChars="0" w:firstLine="0" w:firstLineChars="0"/>
        <w:rPr>
          <w:rFonts w:hint="eastAsia" w:ascii="宋体" w:hAnsi="宋体" w:eastAsia="宋体" w:cs="宋体"/>
          <w:bCs/>
          <w:sz w:val="24"/>
        </w:rPr>
      </w:pPr>
    </w:p>
    <w:p>
      <w:pPr>
        <w:pStyle w:val="79"/>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92"/>
                <w:color w:val="auto"/>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92"/>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62" w:name="_Toc26894"/>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pStyle w:val="88"/>
        <w:outlineLvl w:val="2"/>
        <w:rPr>
          <w:rFonts w:hint="eastAsia" w:ascii="宋体" w:hAnsi="宋体" w:eastAsia="宋体" w:cs="宋体"/>
          <w:b w:val="0"/>
          <w:bCs/>
          <w:lang w:val="en-US" w:eastAsia="zh-CN"/>
        </w:rPr>
      </w:pPr>
      <w:bookmarkStart w:id="163" w:name="_GoBack"/>
      <w:bookmarkEnd w:id="163"/>
      <w:r>
        <w:rPr>
          <w:rFonts w:hint="eastAsia" w:ascii="宋体" w:hAnsi="宋体" w:eastAsia="宋体" w:cs="宋体"/>
          <w:b w:val="0"/>
          <w:bCs/>
          <w:lang w:val="en-US" w:eastAsia="zh-CN"/>
        </w:rPr>
        <w:t>附件八：残疾人福利性单位声明函</w:t>
      </w:r>
      <w:bookmarkEnd w:id="162"/>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注：符合条件的残疾人福利性单位请提供本函，不符合的不提供本函。</w:t>
      </w: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pStyle w:val="5"/>
        <w:rPr>
          <w:rFonts w:hint="eastAsia"/>
          <w:lang w:eastAsia="zh-CN"/>
        </w:rPr>
      </w:pPr>
    </w:p>
    <w:p>
      <w:pPr>
        <w:pStyle w:val="5"/>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400" w:lineRule="exact"/>
        <w:ind w:firstLine="441" w:firstLineChars="147"/>
        <w:jc w:val="both"/>
        <w:rPr>
          <w:rFonts w:hint="eastAsia" w:ascii="宋体" w:hAnsi="宋体" w:cs="宋体"/>
          <w:b/>
          <w:bCs/>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附件九：</w:t>
      </w:r>
      <w:r>
        <w:rPr>
          <w:rFonts w:hint="eastAsia" w:ascii="宋体" w:hAnsi="宋体" w:cs="宋体"/>
          <w:b/>
          <w:bCs/>
          <w:color w:val="auto"/>
          <w:sz w:val="30"/>
          <w:szCs w:val="30"/>
          <w:highlight w:val="none"/>
          <w:lang w:val="en-US" w:eastAsia="zh-CN"/>
        </w:rPr>
        <w:t xml:space="preserve">  </w:t>
      </w:r>
    </w:p>
    <w:p>
      <w:pPr>
        <w:spacing w:line="400" w:lineRule="exact"/>
        <w:ind w:firstLine="443" w:firstLineChars="147"/>
        <w:jc w:val="center"/>
        <w:rPr>
          <w:rFonts w:hint="eastAsia" w:ascii="宋体" w:hAnsi="宋体" w:cs="宋体"/>
          <w:b/>
          <w:bCs/>
          <w:color w:val="auto"/>
          <w:sz w:val="30"/>
          <w:szCs w:val="30"/>
          <w:highlight w:val="none"/>
        </w:rPr>
      </w:pPr>
    </w:p>
    <w:p>
      <w:pPr>
        <w:spacing w:line="400" w:lineRule="exact"/>
        <w:ind w:firstLine="443" w:firstLineChars="147"/>
        <w:jc w:val="center"/>
        <w:rPr>
          <w:rFonts w:hint="eastAsia" w:ascii="宋体" w:hAnsi="宋体" w:cs="宋体"/>
          <w:color w:val="auto"/>
          <w:sz w:val="30"/>
          <w:szCs w:val="30"/>
          <w:highlight w:val="none"/>
        </w:rPr>
      </w:pPr>
      <w:r>
        <w:rPr>
          <w:rFonts w:hint="eastAsia" w:ascii="宋体" w:hAnsi="宋体" w:cs="宋体"/>
          <w:b/>
          <w:bCs/>
          <w:color w:val="auto"/>
          <w:sz w:val="30"/>
          <w:szCs w:val="30"/>
          <w:highlight w:val="none"/>
        </w:rPr>
        <w:t>工程建设项目廉政责任书</w:t>
      </w:r>
    </w:p>
    <w:p>
      <w:pPr>
        <w:spacing w:line="400" w:lineRule="exact"/>
        <w:rPr>
          <w:rFonts w:hint="eastAsia" w:ascii="宋体" w:hAnsi="宋体" w:cs="宋体"/>
          <w:color w:val="auto"/>
          <w:sz w:val="28"/>
          <w:szCs w:val="28"/>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工程项目名称：</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pacing w:val="-10"/>
          <w:sz w:val="24"/>
          <w:highlight w:val="none"/>
        </w:rPr>
      </w:pPr>
      <w:r>
        <w:rPr>
          <w:rFonts w:hint="eastAsia" w:ascii="宋体" w:hAnsi="宋体" w:cs="宋体"/>
          <w:color w:val="auto"/>
          <w:sz w:val="24"/>
          <w:highlight w:val="none"/>
        </w:rPr>
        <w:t>工程项目地址：</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建设单位（甲方）：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施工单位（乙方）：</w:t>
      </w:r>
      <w:r>
        <w:rPr>
          <w:rFonts w:hint="eastAsia" w:ascii="宋体" w:hAnsi="宋体" w:cs="宋体"/>
          <w:color w:val="auto"/>
          <w:sz w:val="24"/>
          <w:highlight w:val="none"/>
          <w:u w:val="single"/>
        </w:rPr>
        <w:t xml:space="preserve">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第一条  甲乙双方的权利和义务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(一)严格遵守党和国家、自治区、地区有关法律法规的规定。</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(二)严格执行建设工程的合同文件，自觉按合同办事。</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(三)双方的业务活动坚持公开、公正、诚信、透明的原则(除法律认定的商业秘密和合同文件另有规定之外)，不得损害国家和单位利益，违反工程建设管理规章制度。</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(四)建立健全廉政制度，实行责任制，开展廉政告知教育活动，公布举报电话，监督并认真查处违法违纪行为。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(六)发现对方严重违反本责任书义务条款的行为，有向上级有关部门举报、建议给予处理并要求告知处理结果的权利。 </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第二条  甲方的义务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(一)甲方及其工作人员不得索要或接受乙方及其工作人员的钱物(现金、有价证券、信用卡、礼金、奖金、补贴、物品等)，不得在乙方报销任何应由甲方或个人支付的费用。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(二)甲方及其工作人员不得接受乙方安排的可能影响公正工作的住宿、宴请和娱乐活动；不得接受乙方提供合同规定外的通讯工具、交通工具和高档办公用品等。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（四)甲方工作人员及其配偶、子女不得从事与甲方工程有关的材料设备供应、工程分包、劳务等经济活动。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(五)甲方工作人员不得违反规定向乙方推荐分包单位、不得要求乙方购买合同规定外的材料和设备。</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乙方的义务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(一)乙方不得以任何理由向甲方及其工作人员和监理单位及其工作人员行贿或馈赠钱物(现金、有价证券、信用卡、礼金、奖金、补贴、物品等)。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(二)乙方不得以任何名义为甲方及其工作人员和监理单位及其工作人员报销应由甲方单位、监理单位或个人支付的任何费用。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(三)乙方不得以任何理由安排甲方及其工作人员和监理单位及其工作人员参加宴请及娱乐活动。</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(四)乙方不得为甲方及其工作人员和监理单位及其工作人员购置或提供合同规定外的通讯工具、交通工具和高档办公用品等。</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(五)乙方对甲方及其工作人员和监理单位及其工作人员提出的合同规定外的要求，有权予以拒绝。</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违约责任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(一)甲方及其工作人员违反本合同规定，按管理权限，依据有关规定给予党纪、政纪或组织处理；给乙方单位造成经济损失的，应予以赔偿；涉嫌犯罪的，移交司法机关追究刑事责任。</w:t>
      </w:r>
    </w:p>
    <w:p>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本责任书由双方或双方上级单位（主管部门）的纪检监察机关负责监督执行。</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第六条  本责任书有效期为甲乙双方签署之日起至该工程项目竣工验收后止。</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本责任书与工程施工合同具有同等的法律效力，经双方代表签署立即生效。本责任书对双方违反廉政规定行为的处理，不免除该项目施工合同中双方约定的责任和义务。</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本责任书一式四份，甲、乙双方各执一份，双方监督单位各一份。</w:t>
      </w: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p>
    <w:p>
      <w:pPr>
        <w:spacing w:line="380" w:lineRule="exact"/>
        <w:ind w:left="479" w:leftChars="228"/>
        <w:rPr>
          <w:rFonts w:hint="eastAsia" w:ascii="宋体" w:hAnsi="宋体" w:cs="宋体"/>
          <w:color w:val="auto"/>
          <w:sz w:val="24"/>
          <w:highlight w:val="none"/>
        </w:rPr>
      </w:pPr>
      <w:r>
        <w:rPr>
          <w:rFonts w:hint="eastAsia" w:ascii="宋体" w:hAnsi="宋体" w:cs="宋体"/>
          <w:color w:val="auto"/>
          <w:sz w:val="24"/>
          <w:highlight w:val="none"/>
        </w:rPr>
        <w:t>甲方单位（盖章）：                     乙方单位（盖章）：</w:t>
      </w:r>
    </w:p>
    <w:p>
      <w:pPr>
        <w:spacing w:line="380" w:lineRule="exact"/>
        <w:ind w:left="479" w:leftChars="228"/>
        <w:rPr>
          <w:rFonts w:hint="eastAsia" w:ascii="宋体" w:hAnsi="宋体" w:cs="宋体"/>
          <w:color w:val="auto"/>
          <w:sz w:val="24"/>
          <w:highlight w:val="none"/>
        </w:rPr>
      </w:pP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法定代表人：</w:t>
      </w:r>
    </w:p>
    <w:p>
      <w:p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联系电话：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0" w:lineRule="exact"/>
        <w:rPr>
          <w:rFonts w:hint="eastAsia" w:ascii="宋体" w:hAnsi="宋体" w:cs="宋体"/>
          <w:color w:val="auto"/>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  月  日</w:t>
      </w:r>
    </w:p>
    <w:p>
      <w:pPr>
        <w:rPr>
          <w:rFonts w:hint="eastAsia" w:ascii="宋体" w:hAnsi="宋体" w:cs="宋体"/>
          <w:color w:val="auto"/>
          <w:sz w:val="28"/>
          <w:szCs w:val="28"/>
          <w:highlight w:val="none"/>
        </w:rPr>
      </w:pPr>
    </w:p>
    <w:p>
      <w:pPr>
        <w:jc w:val="center"/>
        <w:rPr>
          <w:rFonts w:hint="eastAsia" w:ascii="宋体" w:hAnsi="宋体" w:cs="宋体"/>
          <w:b/>
          <w:bCs/>
          <w:color w:val="auto"/>
          <w:sz w:val="32"/>
          <w:szCs w:val="28"/>
          <w:highlight w:val="none"/>
        </w:rPr>
      </w:pPr>
    </w:p>
    <w:p>
      <w:pPr>
        <w:jc w:val="both"/>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ascii="宋体" w:hAnsi="宋体" w:cs="宋体"/>
          <w:b/>
          <w:bCs/>
          <w:color w:val="auto"/>
          <w:sz w:val="32"/>
          <w:szCs w:val="28"/>
          <w:highlight w:val="none"/>
        </w:rPr>
      </w:pPr>
    </w:p>
    <w:p>
      <w:pPr>
        <w:pStyle w:val="5"/>
        <w:rPr>
          <w:rFonts w:hint="eastAsia" w:ascii="宋体" w:hAnsi="宋体" w:cs="宋体"/>
          <w:b/>
          <w:bCs/>
          <w:color w:val="auto"/>
          <w:sz w:val="32"/>
          <w:szCs w:val="28"/>
          <w:highlight w:val="none"/>
        </w:rPr>
      </w:pPr>
    </w:p>
    <w:p>
      <w:pPr>
        <w:rPr>
          <w:rFonts w:hint="eastAsia"/>
        </w:rPr>
      </w:pPr>
    </w:p>
    <w:p>
      <w:pPr>
        <w:spacing w:line="320" w:lineRule="exact"/>
        <w:rPr>
          <w:rFonts w:hint="eastAsia" w:ascii="宋体" w:hAnsi="宋体" w:cs="宋体"/>
          <w:b w:val="0"/>
          <w:bCs w:val="0"/>
          <w:color w:val="auto"/>
          <w:sz w:val="30"/>
          <w:szCs w:val="30"/>
          <w:highlight w:val="none"/>
          <w:lang w:val="en-US" w:eastAsia="zh-CN"/>
        </w:rPr>
      </w:pPr>
    </w:p>
    <w:p>
      <w:pPr>
        <w:spacing w:line="320" w:lineRule="exact"/>
        <w:rPr>
          <w:rFonts w:hint="eastAsia" w:ascii="宋体" w:hAnsi="宋体" w:cs="宋体"/>
          <w:b/>
          <w:bCs/>
          <w:color w:val="auto"/>
          <w:sz w:val="32"/>
          <w:szCs w:val="28"/>
          <w:highlight w:val="none"/>
        </w:rPr>
      </w:pPr>
      <w:r>
        <w:rPr>
          <w:rFonts w:hint="eastAsia" w:ascii="宋体" w:hAnsi="宋体" w:cs="宋体"/>
          <w:b w:val="0"/>
          <w:bCs w:val="0"/>
          <w:color w:val="auto"/>
          <w:sz w:val="30"/>
          <w:szCs w:val="30"/>
          <w:highlight w:val="none"/>
          <w:lang w:val="en-US" w:eastAsia="zh-CN"/>
        </w:rPr>
        <w:t>附件十：</w:t>
      </w:r>
      <w:r>
        <w:rPr>
          <w:rFonts w:hint="eastAsia" w:ascii="宋体" w:hAnsi="宋体" w:cs="宋体"/>
          <w:b/>
          <w:bCs/>
          <w:color w:val="auto"/>
          <w:sz w:val="30"/>
          <w:szCs w:val="30"/>
          <w:highlight w:val="none"/>
          <w:lang w:val="en-US" w:eastAsia="zh-CN"/>
        </w:rPr>
        <w:t xml:space="preserve"> </w:t>
      </w:r>
    </w:p>
    <w:p>
      <w:pPr>
        <w:jc w:val="center"/>
        <w:rPr>
          <w:rFonts w:hint="eastAsia" w:ascii="宋体" w:hAnsi="宋体" w:cs="宋体"/>
          <w:b/>
          <w:bCs/>
          <w:color w:val="auto"/>
          <w:sz w:val="32"/>
          <w:szCs w:val="28"/>
          <w:highlight w:val="none"/>
        </w:rPr>
      </w:pPr>
    </w:p>
    <w:p>
      <w:pPr>
        <w:jc w:val="center"/>
        <w:rPr>
          <w:rFonts w:hint="eastAsia" w:ascii="宋体" w:hAnsi="宋体" w:cs="宋体"/>
          <w:b/>
          <w:bCs/>
          <w:color w:val="auto"/>
          <w:sz w:val="32"/>
          <w:szCs w:val="28"/>
          <w:highlight w:val="none"/>
        </w:rPr>
      </w:pPr>
      <w:r>
        <w:rPr>
          <w:rFonts w:hint="eastAsia" w:ascii="宋体" w:hAnsi="宋体" w:cs="宋体"/>
          <w:b/>
          <w:bCs/>
          <w:color w:val="auto"/>
          <w:sz w:val="32"/>
          <w:szCs w:val="28"/>
          <w:highlight w:val="none"/>
        </w:rPr>
        <w:t>建设工程诚信投标承诺书</w:t>
      </w:r>
    </w:p>
    <w:p>
      <w:pPr>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本人以企业法定代表人的身份郑重承诺：</w:t>
      </w:r>
    </w:p>
    <w:p>
      <w:pPr>
        <w:numPr>
          <w:ilvl w:val="0"/>
          <w:numId w:val="5"/>
        </w:numPr>
        <w:spacing w:line="3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将遵循公开、公平、公正和诚实信用的原则参加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的投标。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二、所提供的一切材料都是真实、有效、合法的。</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三、不与其他投标人相互串通投标报价，不排挤其他投标人的公平竞争，损害招标人或其他投标人的合法权益。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四、不与招标人或招标代理机构串通投标，损害国家利益、社会公共利益或者他人的合法权益。</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五、不向招标人或者评标委员会成员行贿以牟取中标。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六、不出借、转让资质证书，不以他人名义投标或者以其他方式弄虚作假、骗取中标。</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七、近两年内我单位无不良行为记录。</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本公司若有违反承诺内容的行为，自愿接受取消投标资格、记入信用档案、没收投标保证金等有关处理，愿意承担法律责任。如已中标的，自动放弃中标资格；给招标人造成损失的，依法承担赔偿责任。</w:t>
      </w:r>
    </w:p>
    <w:p>
      <w:pPr>
        <w:spacing w:line="44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40" w:lineRule="atLeast"/>
        <w:ind w:firstLine="480" w:firstLineChars="200"/>
        <w:rPr>
          <w:rFonts w:hint="eastAsia" w:ascii="宋体" w:hAnsi="宋体" w:cs="宋体"/>
          <w:color w:val="auto"/>
          <w:sz w:val="24"/>
          <w:highlight w:val="none"/>
        </w:rPr>
      </w:pPr>
    </w:p>
    <w:p>
      <w:pPr>
        <w:spacing w:line="560" w:lineRule="exact"/>
        <w:ind w:firstLine="720" w:firstLineChars="300"/>
        <w:jc w:val="center"/>
        <w:rPr>
          <w:rFonts w:hint="eastAsia" w:ascii="宋体" w:hAnsi="宋体" w:cs="宋体"/>
          <w:color w:val="auto"/>
          <w:sz w:val="24"/>
          <w:highlight w:val="none"/>
        </w:rPr>
      </w:pPr>
      <w:r>
        <w:rPr>
          <w:rFonts w:hint="eastAsia" w:ascii="宋体" w:hAnsi="宋体" w:cs="宋体"/>
          <w:color w:val="auto"/>
          <w:sz w:val="24"/>
          <w:highlight w:val="none"/>
        </w:rPr>
        <w:t xml:space="preserve">           法定代表人（签章）：</w:t>
      </w:r>
    </w:p>
    <w:p>
      <w:pPr>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  标  人（盖章）：</w:t>
      </w:r>
    </w:p>
    <w:p>
      <w:pPr>
        <w:spacing w:line="560" w:lineRule="exact"/>
        <w:jc w:val="center"/>
        <w:rPr>
          <w:rFonts w:hint="eastAsia" w:ascii="宋体" w:hAnsi="宋体" w:cs="宋体"/>
          <w:color w:val="auto"/>
          <w:highlight w:val="none"/>
        </w:rPr>
      </w:pPr>
      <w:r>
        <w:rPr>
          <w:rFonts w:hint="eastAsia" w:ascii="宋体" w:hAnsi="宋体" w:cs="宋体"/>
          <w:color w:val="auto"/>
          <w:sz w:val="24"/>
          <w:highlight w:val="none"/>
        </w:rPr>
        <w:t xml:space="preserve">                年   月   日</w:t>
      </w:r>
    </w:p>
    <w:p>
      <w:pPr>
        <w:spacing w:line="340" w:lineRule="exact"/>
        <w:jc w:val="center"/>
        <w:rPr>
          <w:rFonts w:hint="eastAsia" w:ascii="宋体" w:hAnsi="宋体" w:cs="宋体"/>
          <w:b/>
          <w:color w:val="auto"/>
          <w:sz w:val="28"/>
          <w:szCs w:val="28"/>
          <w:highlight w:val="none"/>
        </w:rPr>
      </w:pPr>
    </w:p>
    <w:p>
      <w:pPr>
        <w:ind w:firstLine="210" w:firstLineChars="100"/>
        <w:rPr>
          <w:rFonts w:hint="eastAsia"/>
          <w:lang w:eastAsia="zh-CN"/>
        </w:rPr>
      </w:pPr>
    </w:p>
    <w:p>
      <w:pPr>
        <w:ind w:firstLine="210" w:firstLineChars="100"/>
        <w:rPr>
          <w:rFonts w:hint="eastAsia"/>
          <w:lang w:eastAsia="zh-CN"/>
        </w:rPr>
      </w:pPr>
    </w:p>
    <w:p>
      <w:pPr>
        <w:ind w:firstLine="210" w:firstLineChars="100"/>
        <w:rPr>
          <w:rFonts w:hint="eastAsia"/>
          <w:lang w:eastAsia="zh-CN"/>
        </w:rPr>
      </w:pPr>
    </w:p>
    <w:p>
      <w:pPr>
        <w:pStyle w:val="6"/>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ind w:firstLine="210" w:firstLineChars="100"/>
        <w:rPr>
          <w:rFonts w:hint="eastAsia"/>
          <w:lang w:eastAsia="zh-CN"/>
        </w:rPr>
      </w:pPr>
    </w:p>
    <w:p>
      <w:pPr>
        <w:pStyle w:val="5"/>
        <w:rPr>
          <w:rFonts w:hint="eastAsia"/>
          <w:lang w:eastAsia="zh-CN"/>
        </w:rPr>
      </w:pPr>
    </w:p>
    <w:p>
      <w:pPr>
        <w:spacing w:line="440" w:lineRule="exact"/>
        <w:jc w:val="left"/>
        <w:rPr>
          <w:rFonts w:hint="eastAsia" w:ascii="新宋体" w:hAnsi="新宋体" w:eastAsia="新宋体" w:cs="新宋体"/>
          <w:b/>
          <w:bCs/>
          <w:sz w:val="32"/>
          <w:szCs w:val="28"/>
          <w:lang w:val="en-US" w:eastAsia="zh-CN"/>
        </w:rPr>
      </w:pPr>
      <w:r>
        <w:rPr>
          <w:rFonts w:hint="eastAsia" w:ascii="宋体" w:hAnsi="宋体" w:cs="宋体"/>
          <w:b w:val="0"/>
          <w:bCs w:val="0"/>
          <w:color w:val="auto"/>
          <w:sz w:val="30"/>
          <w:szCs w:val="30"/>
          <w:highlight w:val="none"/>
          <w:lang w:val="en-US" w:eastAsia="zh-CN"/>
        </w:rPr>
        <w:t>附件十一：</w:t>
      </w:r>
      <w:r>
        <w:rPr>
          <w:rFonts w:hint="eastAsia" w:ascii="新宋体" w:hAnsi="新宋体" w:eastAsia="新宋体" w:cs="新宋体"/>
          <w:b/>
          <w:bCs/>
          <w:sz w:val="32"/>
          <w:szCs w:val="28"/>
          <w:lang w:val="en-US" w:eastAsia="zh-CN"/>
        </w:rPr>
        <w:t xml:space="preserve">            </w:t>
      </w:r>
    </w:p>
    <w:p>
      <w:pPr>
        <w:spacing w:line="440" w:lineRule="exact"/>
        <w:jc w:val="left"/>
        <w:rPr>
          <w:rFonts w:hint="eastAsia" w:ascii="新宋体" w:hAnsi="新宋体" w:eastAsia="新宋体" w:cs="新宋体"/>
          <w:b/>
          <w:bCs/>
          <w:sz w:val="32"/>
          <w:szCs w:val="28"/>
          <w:lang w:val="en-US" w:eastAsia="zh-CN"/>
        </w:rPr>
      </w:pPr>
    </w:p>
    <w:p>
      <w:pPr>
        <w:spacing w:line="440" w:lineRule="exact"/>
        <w:jc w:val="left"/>
        <w:rPr>
          <w:rFonts w:hint="eastAsia" w:ascii="新宋体" w:hAnsi="新宋体" w:eastAsia="新宋体" w:cs="新宋体"/>
          <w:b/>
          <w:bCs/>
          <w:sz w:val="32"/>
          <w:szCs w:val="28"/>
          <w:lang w:val="en-US" w:eastAsia="zh-CN"/>
        </w:rPr>
      </w:pPr>
    </w:p>
    <w:p>
      <w:pPr>
        <w:spacing w:line="440" w:lineRule="exact"/>
        <w:jc w:val="center"/>
        <w:rPr>
          <w:rFonts w:hint="eastAsia" w:ascii="新宋体" w:hAnsi="新宋体" w:eastAsia="新宋体" w:cs="新宋体"/>
          <w:b/>
          <w:bCs/>
          <w:sz w:val="32"/>
          <w:szCs w:val="28"/>
        </w:rPr>
      </w:pPr>
      <w:r>
        <w:rPr>
          <w:rFonts w:hint="eastAsia" w:ascii="新宋体" w:hAnsi="新宋体" w:eastAsia="新宋体" w:cs="新宋体"/>
          <w:b/>
          <w:bCs/>
          <w:sz w:val="32"/>
          <w:szCs w:val="28"/>
        </w:rPr>
        <w:t>使用新疆籍劳动力承诺书</w:t>
      </w:r>
    </w:p>
    <w:p>
      <w:pPr>
        <w:spacing w:line="440" w:lineRule="exact"/>
        <w:jc w:val="center"/>
        <w:rPr>
          <w:rFonts w:hint="eastAsia" w:ascii="新宋体" w:hAnsi="新宋体" w:eastAsia="新宋体" w:cs="新宋体"/>
          <w:b/>
          <w:bCs/>
          <w:sz w:val="32"/>
          <w:szCs w:val="28"/>
        </w:rPr>
      </w:pPr>
    </w:p>
    <w:p>
      <w:pPr>
        <w:spacing w:line="440" w:lineRule="exact"/>
        <w:rPr>
          <w:rFonts w:ascii="宋体" w:hAnsi="宋体"/>
          <w:sz w:val="24"/>
          <w:u w:val="single"/>
        </w:rPr>
      </w:pP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u w:val="single"/>
        </w:rPr>
        <w:t xml:space="preserve">                     (招标人名称)：</w:t>
      </w:r>
    </w:p>
    <w:p>
      <w:pPr>
        <w:spacing w:line="440" w:lineRule="exact"/>
        <w:ind w:firstLine="480" w:firstLineChars="200"/>
        <w:rPr>
          <w:rFonts w:ascii="新宋体" w:hAnsi="新宋体" w:eastAsia="新宋体" w:cs="新宋体"/>
          <w:sz w:val="24"/>
        </w:rPr>
      </w:pPr>
      <w:r>
        <w:rPr>
          <w:rFonts w:hint="eastAsia" w:ascii="新宋体" w:hAnsi="新宋体" w:eastAsia="新宋体" w:cs="新宋体"/>
          <w:sz w:val="24"/>
        </w:rPr>
        <w:t>若我单位有幸中标，将积极响应自治区和当地有关认真落实使用新疆籍劳动力的规定，我单位郑重承诺：保证使用新疆籍人员就业比例不少于70%（其中普通基础工作岗位吸纳新疆籍劳动力就业比例不少于90%）。</w:t>
      </w:r>
    </w:p>
    <w:p>
      <w:pPr>
        <w:spacing w:line="440" w:lineRule="exact"/>
        <w:ind w:firstLine="480" w:firstLineChars="200"/>
        <w:rPr>
          <w:rFonts w:ascii="新宋体" w:hAnsi="新宋体" w:eastAsia="新宋体" w:cs="新宋体"/>
          <w:sz w:val="24"/>
        </w:rPr>
      </w:pPr>
    </w:p>
    <w:p>
      <w:pPr>
        <w:spacing w:line="440" w:lineRule="exact"/>
        <w:ind w:firstLine="480" w:firstLineChars="200"/>
        <w:rPr>
          <w:rFonts w:ascii="新宋体" w:hAnsi="新宋体" w:eastAsia="新宋体" w:cs="新宋体"/>
          <w:sz w:val="24"/>
        </w:rPr>
      </w:pPr>
    </w:p>
    <w:p>
      <w:pPr>
        <w:spacing w:line="440" w:lineRule="exact"/>
        <w:ind w:firstLine="480" w:firstLineChars="200"/>
        <w:jc w:val="right"/>
        <w:rPr>
          <w:rFonts w:ascii="新宋体" w:hAnsi="新宋体" w:eastAsia="新宋体" w:cs="新宋体"/>
          <w:sz w:val="24"/>
        </w:rPr>
      </w:pPr>
      <w:r>
        <w:rPr>
          <w:rFonts w:hint="eastAsia" w:ascii="新宋体" w:hAnsi="新宋体" w:eastAsia="新宋体" w:cs="新宋体"/>
          <w:sz w:val="24"/>
        </w:rPr>
        <w:t>投标人：</w:t>
      </w:r>
      <w:r>
        <w:rPr>
          <w:rFonts w:hint="eastAsia" w:ascii="新宋体" w:hAnsi="新宋体" w:eastAsia="新宋体" w:cs="新宋体"/>
          <w:sz w:val="24"/>
          <w:u w:val="single"/>
        </w:rPr>
        <w:t xml:space="preserve">                           （盖单位章）</w:t>
      </w:r>
    </w:p>
    <w:p>
      <w:pPr>
        <w:spacing w:line="440" w:lineRule="exact"/>
        <w:ind w:firstLine="480" w:firstLineChars="200"/>
        <w:jc w:val="center"/>
        <w:rPr>
          <w:rFonts w:ascii="新宋体" w:hAnsi="新宋体" w:eastAsia="新宋体" w:cs="新宋体"/>
          <w:sz w:val="24"/>
          <w:u w:val="single"/>
        </w:rPr>
      </w:pPr>
      <w:r>
        <w:rPr>
          <w:rFonts w:hint="eastAsia" w:ascii="新宋体" w:hAnsi="新宋体" w:eastAsia="新宋体" w:cs="新宋体"/>
          <w:sz w:val="24"/>
        </w:rPr>
        <w:t xml:space="preserve">                               法定代表人：  </w:t>
      </w:r>
      <w:r>
        <w:rPr>
          <w:rFonts w:hint="eastAsia" w:ascii="新宋体" w:hAnsi="新宋体" w:eastAsia="新宋体" w:cs="新宋体"/>
          <w:sz w:val="24"/>
          <w:u w:val="single"/>
        </w:rPr>
        <w:t xml:space="preserve">          （签字）</w:t>
      </w:r>
    </w:p>
    <w:p>
      <w:pPr>
        <w:spacing w:line="440" w:lineRule="exact"/>
        <w:ind w:firstLine="480" w:firstLineChars="200"/>
        <w:jc w:val="center"/>
        <w:rPr>
          <w:rFonts w:ascii="新宋体" w:hAnsi="新宋体" w:eastAsia="新宋体" w:cs="新宋体"/>
          <w:sz w:val="24"/>
        </w:rPr>
      </w:pPr>
      <w:r>
        <w:rPr>
          <w:rFonts w:hint="eastAsia" w:ascii="新宋体" w:hAnsi="新宋体" w:eastAsia="新宋体" w:cs="新宋体"/>
          <w:sz w:val="24"/>
        </w:rPr>
        <w:t xml:space="preserve">                                     年  </w:t>
      </w:r>
      <w:r>
        <w:rPr>
          <w:rFonts w:hint="eastAsia" w:ascii="新宋体" w:hAnsi="新宋体" w:eastAsia="新宋体" w:cs="新宋体"/>
          <w:sz w:val="24"/>
          <w:lang w:val="en-US" w:eastAsia="zh-CN"/>
        </w:rPr>
        <w:t xml:space="preserve"> </w:t>
      </w:r>
      <w:r>
        <w:rPr>
          <w:rFonts w:hint="eastAsia" w:ascii="新宋体" w:hAnsi="新宋体" w:eastAsia="新宋体" w:cs="新宋体"/>
          <w:sz w:val="24"/>
        </w:rPr>
        <w:t>月   日</w:t>
      </w: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tabs>
          <w:tab w:val="left" w:pos="1003"/>
        </w:tabs>
        <w:spacing w:line="440" w:lineRule="exact"/>
        <w:jc w:val="left"/>
      </w:pPr>
    </w:p>
    <w:p>
      <w:pPr>
        <w:pStyle w:val="6"/>
      </w:pPr>
    </w:p>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color w:val="000000"/>
          <w:sz w:val="21"/>
          <w:szCs w:val="21"/>
          <w:lang w:eastAsia="zh-CN"/>
        </w:rPr>
      </w:pPr>
    </w:p>
    <w:p>
      <w:pPr>
        <w:spacing w:line="380" w:lineRule="exact"/>
        <w:jc w:val="both"/>
        <w:rPr>
          <w:rFonts w:hint="eastAsia" w:ascii="宋体" w:hAnsi="宋体"/>
          <w:b/>
          <w:bCs w:val="0"/>
          <w:szCs w:val="21"/>
          <w:lang w:val="en-US" w:eastAsia="zh-CN"/>
        </w:rPr>
      </w:pPr>
      <w:r>
        <w:rPr>
          <w:rFonts w:hint="eastAsia" w:ascii="宋体" w:hAnsi="宋体" w:cs="宋体"/>
          <w:b w:val="0"/>
          <w:bCs w:val="0"/>
          <w:color w:val="auto"/>
          <w:sz w:val="30"/>
          <w:szCs w:val="30"/>
          <w:highlight w:val="none"/>
          <w:lang w:val="en-US" w:eastAsia="zh-CN"/>
        </w:rPr>
        <w:t>附件十二：</w:t>
      </w:r>
    </w:p>
    <w:p>
      <w:pPr>
        <w:spacing w:line="380" w:lineRule="exact"/>
        <w:jc w:val="center"/>
        <w:rPr>
          <w:rFonts w:hint="eastAsia" w:ascii="宋体" w:hAnsi="宋体"/>
          <w:b/>
          <w:bCs/>
          <w:color w:val="000000"/>
          <w:sz w:val="32"/>
          <w:szCs w:val="32"/>
        </w:rPr>
      </w:pPr>
    </w:p>
    <w:p>
      <w:pPr>
        <w:spacing w:line="380" w:lineRule="exact"/>
        <w:jc w:val="center"/>
        <w:rPr>
          <w:rFonts w:hint="eastAsia" w:ascii="宋体" w:hAnsi="宋体"/>
          <w:b/>
          <w:bCs/>
          <w:color w:val="000000"/>
          <w:sz w:val="32"/>
          <w:szCs w:val="32"/>
        </w:rPr>
      </w:pPr>
      <w:r>
        <w:rPr>
          <w:rFonts w:hint="eastAsia" w:ascii="宋体" w:hAnsi="宋体"/>
          <w:b/>
          <w:bCs/>
          <w:color w:val="000000"/>
          <w:sz w:val="32"/>
          <w:szCs w:val="32"/>
        </w:rPr>
        <w:t>农村劳动力培训就业情况统计表</w:t>
      </w:r>
    </w:p>
    <w:p>
      <w:pPr>
        <w:spacing w:line="380" w:lineRule="exact"/>
        <w:jc w:val="center"/>
        <w:rPr>
          <w:rFonts w:hint="eastAsia" w:ascii="宋体" w:hAnsi="宋体"/>
          <w:color w:val="000000"/>
          <w:sz w:val="24"/>
        </w:rPr>
      </w:pPr>
    </w:p>
    <w:p>
      <w:pPr>
        <w:spacing w:line="380" w:lineRule="exact"/>
        <w:jc w:val="left"/>
        <w:rPr>
          <w:rFonts w:hint="eastAsia" w:ascii="宋体" w:hAnsi="宋体"/>
          <w:color w:val="000000"/>
          <w:sz w:val="24"/>
        </w:rPr>
      </w:pPr>
      <w:r>
        <w:rPr>
          <w:rFonts w:hint="eastAsia" w:ascii="宋体" w:hAnsi="宋体"/>
          <w:color w:val="000000"/>
          <w:sz w:val="24"/>
        </w:rPr>
        <w:t xml:space="preserve">填报单位：      </w:t>
      </w:r>
      <w:r>
        <w:rPr>
          <w:rFonts w:hint="eastAsia" w:ascii="宋体" w:hAnsi="宋体"/>
          <w:color w:val="000000"/>
          <w:sz w:val="24"/>
          <w:lang w:val="en-US" w:eastAsia="zh-CN"/>
        </w:rPr>
        <w:t xml:space="preserve">                                 </w:t>
      </w:r>
      <w:r>
        <w:rPr>
          <w:rFonts w:hint="eastAsia" w:ascii="宋体" w:hAnsi="宋体"/>
          <w:color w:val="000000"/>
          <w:sz w:val="24"/>
        </w:rPr>
        <w:t xml:space="preserve"> 填报时间：年 月 日</w:t>
      </w:r>
    </w:p>
    <w:p>
      <w:pPr>
        <w:spacing w:line="380" w:lineRule="exact"/>
        <w:jc w:val="left"/>
        <w:rPr>
          <w:rFonts w:hint="eastAsia" w:ascii="宋体" w:hAnsi="宋体"/>
          <w:color w:val="00000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89"/>
        <w:gridCol w:w="1089"/>
        <w:gridCol w:w="1089"/>
        <w:gridCol w:w="1089"/>
        <w:gridCol w:w="1089"/>
        <w:gridCol w:w="1089"/>
        <w:gridCol w:w="108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088"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施工单位（合同编号）</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用工需求总数（人）(%)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其中：技能岗位（人）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其中：一般普工岗位新疆籍（人）(%)</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需参加培训人数</w:t>
            </w: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平均务工时间（天）</w:t>
            </w:r>
          </w:p>
        </w:tc>
        <w:tc>
          <w:tcPr>
            <w:tcW w:w="1089" w:type="dxa"/>
            <w:vMerge w:val="restart"/>
            <w:noWrap w:val="0"/>
            <w:vAlign w:val="top"/>
          </w:tcPr>
          <w:p>
            <w:pPr>
              <w:spacing w:line="380" w:lineRule="exact"/>
              <w:jc w:val="left"/>
              <w:rPr>
                <w:rFonts w:hint="eastAsia" w:ascii="宋体" w:hAnsi="宋体"/>
                <w:color w:val="000000"/>
                <w:sz w:val="24"/>
              </w:rPr>
            </w:pPr>
            <w:r>
              <w:rPr>
                <w:rFonts w:hint="eastAsia" w:ascii="宋体" w:hAnsi="宋体"/>
                <w:color w:val="000000"/>
                <w:sz w:val="24"/>
              </w:rPr>
              <w:t>平均务工报酬（元/人/日）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88"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r>
              <w:rPr>
                <w:rFonts w:hint="eastAsia" w:ascii="宋体" w:hAnsi="宋体"/>
                <w:color w:val="000000"/>
                <w:sz w:val="24"/>
              </w:rPr>
              <w:t>起止时间</w:t>
            </w:r>
          </w:p>
        </w:tc>
        <w:tc>
          <w:tcPr>
            <w:tcW w:w="1089" w:type="dxa"/>
            <w:vMerge w:val="continue"/>
            <w:noWrap w:val="0"/>
            <w:vAlign w:val="top"/>
          </w:tcPr>
          <w:p>
            <w:pPr>
              <w:spacing w:line="380" w:lineRule="exact"/>
              <w:jc w:val="left"/>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restart"/>
            <w:noWrap w:val="0"/>
            <w:vAlign w:val="top"/>
          </w:tcPr>
          <w:p>
            <w:pPr>
              <w:spacing w:line="380" w:lineRule="exact"/>
              <w:jc w:val="left"/>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088"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color w:val="000000"/>
                <w:sz w:val="24"/>
              </w:rPr>
            </w:pPr>
          </w:p>
        </w:tc>
        <w:tc>
          <w:tcPr>
            <w:tcW w:w="1089" w:type="dxa"/>
            <w:vMerge w:val="continue"/>
            <w:noWrap w:val="0"/>
            <w:vAlign w:val="top"/>
          </w:tcPr>
          <w:p>
            <w:pPr>
              <w:spacing w:line="380" w:lineRule="exact"/>
              <w:jc w:val="left"/>
              <w:rPr>
                <w:rFonts w:hint="eastAsia" w:ascii="宋体" w:hAnsi="宋体"/>
                <w:color w:val="000000"/>
                <w:sz w:val="24"/>
              </w:rPr>
            </w:pPr>
          </w:p>
        </w:tc>
        <w:tc>
          <w:tcPr>
            <w:tcW w:w="1089" w:type="dxa"/>
            <w:noWrap w:val="0"/>
            <w:vAlign w:val="top"/>
          </w:tcPr>
          <w:p>
            <w:pPr>
              <w:spacing w:line="380" w:lineRule="exact"/>
              <w:jc w:val="left"/>
              <w:rPr>
                <w:rFonts w:hint="eastAsia" w:ascii="宋体" w:hAnsi="宋体" w:eastAsia="宋体"/>
                <w:color w:val="000000"/>
                <w:sz w:val="24"/>
                <w:lang w:val="en-US" w:eastAsia="zh-CN"/>
              </w:rPr>
            </w:pPr>
          </w:p>
        </w:tc>
        <w:tc>
          <w:tcPr>
            <w:tcW w:w="1089" w:type="dxa"/>
            <w:vMerge w:val="continue"/>
            <w:noWrap w:val="0"/>
            <w:vAlign w:val="top"/>
          </w:tcPr>
          <w:p>
            <w:pPr>
              <w:spacing w:line="380" w:lineRule="exact"/>
              <w:jc w:val="left"/>
              <w:rPr>
                <w:rFonts w:hint="eastAsia" w:ascii="宋体" w:hAnsi="宋体"/>
                <w:color w:val="000000"/>
                <w:sz w:val="24"/>
              </w:rPr>
            </w:pPr>
          </w:p>
        </w:tc>
      </w:tr>
    </w:tbl>
    <w:p>
      <w:pPr>
        <w:spacing w:line="480" w:lineRule="auto"/>
        <w:jc w:val="left"/>
        <w:rPr>
          <w:rFonts w:hint="eastAsia" w:ascii="宋体" w:hAnsi="宋体"/>
          <w:color w:val="000000"/>
          <w:sz w:val="24"/>
        </w:rPr>
      </w:pPr>
      <w:r>
        <w:rPr>
          <w:rFonts w:hint="eastAsia" w:ascii="宋体" w:hAnsi="宋体"/>
          <w:color w:val="000000"/>
          <w:sz w:val="24"/>
        </w:rPr>
        <w:t>填报人：                   主要领导：                    联系方式：</w:t>
      </w:r>
    </w:p>
    <w:p>
      <w:pPr>
        <w:spacing w:line="380" w:lineRule="exact"/>
        <w:jc w:val="left"/>
        <w:rPr>
          <w:rFonts w:hint="eastAsia" w:ascii="宋体" w:hAnsi="宋体"/>
          <w:color w:val="000000"/>
          <w:sz w:val="24"/>
        </w:rPr>
      </w:pPr>
      <w:r>
        <w:rPr>
          <w:rFonts w:hint="eastAsia" w:ascii="宋体" w:hAnsi="宋体"/>
          <w:color w:val="000000"/>
          <w:sz w:val="24"/>
        </w:rPr>
        <w:t xml:space="preserve">   </w:t>
      </w:r>
    </w:p>
    <w:p>
      <w:pPr>
        <w:spacing w:line="380" w:lineRule="exact"/>
        <w:jc w:val="left"/>
        <w:rPr>
          <w:rFonts w:hint="eastAsia" w:ascii="宋体" w:hAnsi="宋体"/>
          <w:color w:val="000000"/>
          <w:szCs w:val="21"/>
        </w:rPr>
      </w:pPr>
      <w:r>
        <w:rPr>
          <w:rFonts w:hint="eastAsia" w:ascii="宋体" w:hAnsi="宋体"/>
          <w:color w:val="000000"/>
          <w:szCs w:val="21"/>
        </w:rPr>
        <w:t>说明：1、用工需求总数包括一般普工岗位、技能岗位。2、施工企业根据项目工程特点、工程量、实事求是填写本表中用工人数、需要培训人数，中标后必须每月向项目所在地乡、镇人民政府，项目主管单位申报农村劳动力培训就业情况及工程进度。</w:t>
      </w:r>
    </w:p>
    <w:p>
      <w:pPr>
        <w:adjustRightInd w:val="0"/>
        <w:snapToGrid w:val="0"/>
        <w:spacing w:line="360" w:lineRule="auto"/>
        <w:rPr>
          <w:rFonts w:hint="eastAsia" w:ascii="宋体" w:hAnsi="宋体" w:cs="宋体"/>
          <w:color w:val="00B0F0"/>
          <w:szCs w:val="21"/>
        </w:rPr>
      </w:pPr>
    </w:p>
    <w:p>
      <w:pPr>
        <w:pStyle w:val="5"/>
        <w:rPr>
          <w:rFonts w:hint="eastAsia" w:ascii="宋体" w:hAnsi="宋体" w:cs="宋体"/>
          <w:color w:val="00B0F0"/>
          <w:szCs w:val="21"/>
        </w:rPr>
      </w:pPr>
    </w:p>
    <w:p>
      <w:pPr>
        <w:pStyle w:val="5"/>
        <w:jc w:val="both"/>
        <w:rPr>
          <w:rFonts w:hint="eastAsia" w:ascii="宋体" w:hAnsi="宋体" w:cs="宋体"/>
          <w:color w:val="00B0F0"/>
          <w:szCs w:val="21"/>
        </w:rPr>
      </w:pPr>
    </w:p>
    <w:p>
      <w:pPr>
        <w:rPr>
          <w:rFonts w:hint="eastAsia" w:ascii="宋体" w:hAnsi="宋体" w:cs="宋体"/>
          <w:color w:val="00B0F0"/>
          <w:szCs w:val="21"/>
        </w:rPr>
      </w:pPr>
    </w:p>
    <w:p>
      <w:pPr>
        <w:spacing w:line="380" w:lineRule="exact"/>
        <w:jc w:val="both"/>
        <w:rPr>
          <w:rFonts w:hint="eastAsia" w:ascii="宋体" w:hAnsi="宋体" w:cs="宋体"/>
          <w:b w:val="0"/>
          <w:bCs w:val="0"/>
          <w:color w:val="auto"/>
          <w:sz w:val="30"/>
          <w:szCs w:val="30"/>
          <w:highlight w:val="none"/>
          <w:lang w:val="en-US" w:eastAsia="zh-CN"/>
        </w:rPr>
      </w:pPr>
      <w:r>
        <w:rPr>
          <w:rFonts w:hint="eastAsia" w:ascii="宋体" w:hAnsi="宋体" w:cs="宋体"/>
          <w:b w:val="0"/>
          <w:bCs w:val="0"/>
          <w:color w:val="auto"/>
          <w:sz w:val="30"/>
          <w:szCs w:val="30"/>
          <w:highlight w:val="none"/>
          <w:lang w:val="en-US" w:eastAsia="zh-CN"/>
        </w:rPr>
        <w:t xml:space="preserve">附件十三：       </w:t>
      </w:r>
    </w:p>
    <w:p>
      <w:pPr>
        <w:spacing w:line="380" w:lineRule="exact"/>
        <w:jc w:val="both"/>
        <w:rPr>
          <w:rFonts w:hint="eastAsia" w:ascii="宋体" w:hAnsi="宋体"/>
          <w:b/>
          <w:bCs/>
          <w:color w:val="000000"/>
          <w:sz w:val="21"/>
          <w:szCs w:val="21"/>
          <w:lang w:eastAsia="zh-CN"/>
        </w:rPr>
      </w:pPr>
      <w:r>
        <w:rPr>
          <w:rFonts w:hint="eastAsia" w:ascii="宋体" w:hAnsi="宋体" w:cs="宋体"/>
          <w:b w:val="0"/>
          <w:bCs w:val="0"/>
          <w:color w:val="auto"/>
          <w:sz w:val="30"/>
          <w:szCs w:val="30"/>
          <w:highlight w:val="none"/>
          <w:lang w:val="en-US" w:eastAsia="zh-CN"/>
        </w:rPr>
        <w:t xml:space="preserve">                </w:t>
      </w:r>
      <w:r>
        <w:rPr>
          <w:rFonts w:hint="eastAsia" w:ascii="方正小标宋简体" w:hAnsi="黑体" w:eastAsia="方正小标宋简体"/>
          <w:sz w:val="40"/>
          <w:szCs w:val="40"/>
        </w:rPr>
        <w:t>招标控制价投标人确认函</w:t>
      </w:r>
    </w:p>
    <w:tbl>
      <w:tblPr>
        <w:tblStyle w:val="33"/>
        <w:tblpPr w:leftFromText="180" w:rightFromText="180" w:vertAnchor="page" w:horzAnchor="margin" w:tblpXSpec="center" w:tblpY="2236"/>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42"/>
        <w:gridCol w:w="2763"/>
        <w:gridCol w:w="1374"/>
        <w:gridCol w:w="1378"/>
        <w:gridCol w:w="2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5"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建设单位</w:t>
            </w:r>
          </w:p>
        </w:tc>
        <w:tc>
          <w:tcPr>
            <w:tcW w:w="4024" w:type="pct"/>
            <w:gridSpan w:val="4"/>
            <w:noWrap w:val="0"/>
            <w:vAlign w:val="center"/>
          </w:tcPr>
          <w:p>
            <w:pPr>
              <w:widowControl/>
              <w:jc w:val="center"/>
              <w:rPr>
                <w:rFonts w:hint="default" w:ascii="宋体" w:hAnsi="宋体" w:cs="宋体"/>
                <w:kern w:val="0"/>
                <w:sz w:val="24"/>
                <w:lang w:val="en-US"/>
              </w:rPr>
            </w:pPr>
            <w:r>
              <w:rPr>
                <w:rFonts w:hint="eastAsia" w:ascii="宋体" w:hAnsi="宋体" w:cs="宋体"/>
                <w:b w:val="0"/>
                <w:bCs/>
                <w:sz w:val="21"/>
                <w:szCs w:val="21"/>
                <w:lang w:val="en-US" w:eastAsia="zh-CN"/>
              </w:rPr>
              <w:t>乌什县人民医院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工程名称</w:t>
            </w:r>
          </w:p>
        </w:tc>
        <w:tc>
          <w:tcPr>
            <w:tcW w:w="4024" w:type="pct"/>
            <w:gridSpan w:val="4"/>
            <w:noWrap w:val="0"/>
            <w:vAlign w:val="center"/>
          </w:tcPr>
          <w:p>
            <w:pPr>
              <w:widowControl/>
              <w:jc w:val="left"/>
              <w:rPr>
                <w:rFonts w:hint="eastAsia"/>
              </w:rPr>
            </w:pPr>
            <w:r>
              <w:rPr>
                <w:rFonts w:hint="eastAsia"/>
                <w:lang w:val="en-US" w:eastAsia="zh-CN"/>
              </w:rPr>
              <w:t xml:space="preserve"> 乌什县人民医院急救综合楼内增加电缆、桥架项目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建设规模</w:t>
            </w:r>
          </w:p>
        </w:tc>
        <w:tc>
          <w:tcPr>
            <w:tcW w:w="2077" w:type="pct"/>
            <w:gridSpan w:val="2"/>
            <w:noWrap w:val="0"/>
            <w:vAlign w:val="center"/>
          </w:tcPr>
          <w:p>
            <w:pPr>
              <w:adjustRightInd w:val="0"/>
              <w:snapToGrid w:val="0"/>
              <w:spacing w:line="320" w:lineRule="exact"/>
              <w:rPr>
                <w:rFonts w:hint="eastAsia" w:ascii="宋体" w:hAnsi="宋体"/>
              </w:rPr>
            </w:pPr>
            <w:r>
              <w:rPr>
                <w:rFonts w:hint="eastAsia" w:ascii="宋体" w:hAnsi="宋体"/>
              </w:rPr>
              <w:t>乌什县人民医院急救综合楼内增加电缆、桥架项目，室内增加电缆桥架等零星电力设施</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层    数</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0" w:hRule="atLeast"/>
        </w:trPr>
        <w:tc>
          <w:tcPr>
            <w:tcW w:w="975" w:type="pct"/>
            <w:noWrap w:val="0"/>
            <w:vAlign w:val="center"/>
          </w:tcPr>
          <w:p>
            <w:pPr>
              <w:widowControl/>
              <w:jc w:val="center"/>
              <w:rPr>
                <w:rFonts w:ascii="宋体" w:hAnsi="宋体" w:cs="宋体"/>
                <w:kern w:val="0"/>
                <w:sz w:val="24"/>
              </w:rPr>
            </w:pPr>
            <w:r>
              <w:rPr>
                <w:rFonts w:hint="eastAsia" w:ascii="宋体" w:hAnsi="宋体" w:cs="宋体"/>
                <w:kern w:val="0"/>
                <w:sz w:val="24"/>
              </w:rPr>
              <w:t>工程类别</w:t>
            </w:r>
          </w:p>
        </w:tc>
        <w:tc>
          <w:tcPr>
            <w:tcW w:w="2077"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 xml:space="preserve"> 房屋建筑工程</w:t>
            </w:r>
          </w:p>
        </w:tc>
        <w:tc>
          <w:tcPr>
            <w:tcW w:w="692" w:type="pct"/>
            <w:noWrap w:val="0"/>
            <w:vAlign w:val="center"/>
          </w:tcPr>
          <w:p>
            <w:pPr>
              <w:jc w:val="center"/>
              <w:rPr>
                <w:rFonts w:ascii="宋体" w:hAnsi="宋体" w:cs="宋体"/>
                <w:kern w:val="0"/>
                <w:sz w:val="24"/>
              </w:rPr>
            </w:pPr>
            <w:r>
              <w:rPr>
                <w:rFonts w:hint="eastAsia" w:ascii="宋体" w:hAnsi="宋体" w:cs="宋体"/>
                <w:kern w:val="0"/>
                <w:sz w:val="24"/>
              </w:rPr>
              <w:t>结构类型</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trPr>
        <w:tc>
          <w:tcPr>
            <w:tcW w:w="975" w:type="pct"/>
            <w:noWrap w:val="0"/>
            <w:vAlign w:val="center"/>
          </w:tcPr>
          <w:p>
            <w:pPr>
              <w:jc w:val="center"/>
              <w:rPr>
                <w:rFonts w:hint="eastAsia" w:ascii="宋体" w:hAnsi="宋体" w:cs="宋体"/>
                <w:kern w:val="0"/>
                <w:sz w:val="24"/>
              </w:rPr>
            </w:pPr>
            <w:r>
              <w:rPr>
                <w:rFonts w:hint="eastAsia" w:ascii="宋体" w:hAnsi="宋体" w:cs="宋体"/>
                <w:kern w:val="0"/>
                <w:sz w:val="24"/>
              </w:rPr>
              <w:t>联系人</w:t>
            </w:r>
          </w:p>
        </w:tc>
        <w:tc>
          <w:tcPr>
            <w:tcW w:w="2077" w:type="pct"/>
            <w:gridSpan w:val="2"/>
            <w:noWrap w:val="0"/>
            <w:vAlign w:val="center"/>
          </w:tcPr>
          <w:p>
            <w:pPr>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张菁菁</w:t>
            </w:r>
          </w:p>
        </w:tc>
        <w:tc>
          <w:tcPr>
            <w:tcW w:w="692" w:type="pct"/>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13239973826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9" w:hRule="atLeast"/>
        </w:trPr>
        <w:tc>
          <w:tcPr>
            <w:tcW w:w="975" w:type="pct"/>
            <w:noWrap w:val="0"/>
            <w:vAlign w:val="center"/>
          </w:tcPr>
          <w:p>
            <w:pPr>
              <w:widowControl/>
              <w:jc w:val="left"/>
              <w:rPr>
                <w:rFonts w:ascii="宋体" w:hAnsi="宋体" w:cs="宋体"/>
                <w:kern w:val="0"/>
                <w:sz w:val="24"/>
              </w:rPr>
            </w:pPr>
            <w:r>
              <w:rPr>
                <w:rFonts w:hint="eastAsia" w:ascii="宋体" w:hAnsi="宋体" w:cs="宋体"/>
                <w:kern w:val="0"/>
                <w:sz w:val="24"/>
              </w:rPr>
              <w:t>招标投标控制价　</w:t>
            </w:r>
          </w:p>
        </w:tc>
        <w:tc>
          <w:tcPr>
            <w:tcW w:w="4024" w:type="pct"/>
            <w:gridSpan w:val="4"/>
            <w:noWrap w:val="0"/>
            <w:vAlign w:val="center"/>
          </w:tcPr>
          <w:p>
            <w:pPr>
              <w:jc w:val="left"/>
              <w:rPr>
                <w:rFonts w:hint="default" w:ascii="宋体" w:hAnsi="宋体" w:cs="宋体"/>
                <w:kern w:val="0"/>
                <w:sz w:val="24"/>
                <w:lang w:val="en-US"/>
              </w:rPr>
            </w:pPr>
            <w:r>
              <w:rPr>
                <w:rFonts w:hint="eastAsia" w:ascii="宋体" w:hAnsi="宋体" w:cs="宋体"/>
                <w:kern w:val="0"/>
                <w:sz w:val="24"/>
              </w:rPr>
              <w:t>总价小写</w:t>
            </w:r>
            <w:r>
              <w:rPr>
                <w:rFonts w:hint="eastAsia" w:ascii="宋体" w:hAnsi="宋体" w:cs="宋体"/>
                <w:kern w:val="0"/>
                <w:sz w:val="24"/>
                <w:lang w:eastAsia="zh-CN"/>
              </w:rPr>
              <w:t>：3864527.43元</w:t>
            </w:r>
          </w:p>
          <w:p>
            <w:pPr>
              <w:jc w:val="left"/>
              <w:rPr>
                <w:rFonts w:ascii="宋体" w:hAnsi="宋体" w:cs="宋体"/>
                <w:kern w:val="0"/>
                <w:sz w:val="24"/>
              </w:rPr>
            </w:pPr>
            <w:r>
              <w:rPr>
                <w:rFonts w:hint="eastAsia" w:ascii="宋体" w:hAnsi="宋体" w:cs="宋体"/>
                <w:kern w:val="0"/>
                <w:sz w:val="24"/>
              </w:rPr>
              <w:t>大写：叁佰捌拾陆万肆仟伍佰贰拾柒元肆角叁分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25" w:hRule="atLeast"/>
        </w:trPr>
        <w:tc>
          <w:tcPr>
            <w:tcW w:w="5000" w:type="pct"/>
            <w:gridSpan w:val="5"/>
            <w:noWrap w:val="0"/>
            <w:vAlign w:val="top"/>
          </w:tcPr>
          <w:p>
            <w:pPr>
              <w:widowControl/>
              <w:rPr>
                <w:rFonts w:ascii="宋体" w:hAnsi="宋体" w:cs="宋体"/>
                <w:kern w:val="0"/>
                <w:sz w:val="24"/>
              </w:rPr>
            </w:pPr>
            <w:r>
              <w:rPr>
                <w:rFonts w:hint="eastAsia" w:ascii="宋体" w:hAnsi="宋体" w:cs="宋体"/>
                <w:kern w:val="0"/>
                <w:sz w:val="24"/>
              </w:rPr>
              <w:t>投标单位意见：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r>
              <w:rPr>
                <w:rFonts w:hint="eastAsia" w:ascii="宋体" w:hAnsi="宋体" w:cs="宋体"/>
                <w:kern w:val="0"/>
                <w:sz w:val="24"/>
              </w:rPr>
              <w:t>　</w:t>
            </w: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投标单位（公章）：</w:t>
            </w: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p>
          <w:p>
            <w:pPr>
              <w:widowControl/>
              <w:ind w:firstLine="5640" w:firstLineChars="2350"/>
              <w:rPr>
                <w:rFonts w:hint="eastAsia" w:ascii="宋体" w:hAnsi="宋体" w:cs="宋体"/>
                <w:kern w:val="0"/>
                <w:sz w:val="24"/>
              </w:rPr>
            </w:pPr>
            <w:r>
              <w:rPr>
                <w:rFonts w:hint="eastAsia" w:ascii="宋体" w:hAnsi="宋体" w:cs="宋体"/>
                <w:kern w:val="0"/>
                <w:sz w:val="24"/>
              </w:rPr>
              <w:t>法定代表人（签章）：</w:t>
            </w:r>
          </w:p>
          <w:p>
            <w:pPr>
              <w:widowControl/>
              <w:ind w:firstLine="5640" w:firstLineChars="2350"/>
              <w:rPr>
                <w:rFonts w:hint="eastAsia" w:ascii="宋体" w:hAnsi="宋体" w:cs="宋体"/>
                <w:kern w:val="0"/>
                <w:sz w:val="24"/>
              </w:rPr>
            </w:pPr>
            <w:r>
              <w:rPr>
                <w:rFonts w:hint="eastAsia" w:ascii="宋体" w:hAnsi="宋体" w:cs="宋体"/>
                <w:kern w:val="0"/>
                <w:sz w:val="24"/>
              </w:rPr>
              <w:t>　</w:t>
            </w:r>
          </w:p>
          <w:p>
            <w:pPr>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月 </w:t>
            </w:r>
            <w:r>
              <w:rPr>
                <w:rFonts w:hint="eastAsia" w:ascii="宋体" w:hAnsi="宋体" w:cs="宋体"/>
                <w:kern w:val="0"/>
                <w:sz w:val="24"/>
                <w:lang w:val="en-US" w:eastAsia="zh-CN"/>
              </w:rPr>
              <w:t xml:space="preserve"> </w:t>
            </w:r>
            <w:r>
              <w:rPr>
                <w:rFonts w:hint="eastAsia" w:ascii="宋体" w:hAnsi="宋体" w:cs="宋体"/>
                <w:kern w:val="0"/>
                <w:sz w:val="24"/>
              </w:rPr>
              <w:t xml:space="preserve">  日</w:t>
            </w:r>
          </w:p>
          <w:p>
            <w:pPr>
              <w:ind w:firstLine="5640" w:firstLineChars="2350"/>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5" w:hRule="atLeast"/>
        </w:trPr>
        <w:tc>
          <w:tcPr>
            <w:tcW w:w="975" w:type="pct"/>
            <w:noWrap w:val="0"/>
            <w:vAlign w:val="center"/>
          </w:tcPr>
          <w:p>
            <w:pPr>
              <w:widowControl/>
              <w:jc w:val="center"/>
              <w:rPr>
                <w:rFonts w:hint="eastAsia" w:ascii="宋体" w:hAnsi="宋体" w:cs="宋体"/>
                <w:kern w:val="0"/>
                <w:sz w:val="24"/>
              </w:rPr>
            </w:pPr>
            <w:r>
              <w:rPr>
                <w:rFonts w:hint="eastAsia" w:ascii="宋体" w:hAnsi="宋体" w:cs="宋体"/>
                <w:kern w:val="0"/>
                <w:sz w:val="24"/>
              </w:rPr>
              <w:t>联系人</w:t>
            </w:r>
          </w:p>
        </w:tc>
        <w:tc>
          <w:tcPr>
            <w:tcW w:w="1387" w:type="pct"/>
            <w:noWrap w:val="0"/>
            <w:vAlign w:val="center"/>
          </w:tcPr>
          <w:p>
            <w:pPr>
              <w:jc w:val="center"/>
              <w:rPr>
                <w:rFonts w:hint="eastAsia" w:ascii="宋体" w:hAnsi="宋体" w:cs="宋体"/>
                <w:kern w:val="0"/>
                <w:sz w:val="24"/>
              </w:rPr>
            </w:pPr>
          </w:p>
        </w:tc>
        <w:tc>
          <w:tcPr>
            <w:tcW w:w="1381" w:type="pct"/>
            <w:gridSpan w:val="2"/>
            <w:noWrap w:val="0"/>
            <w:vAlign w:val="center"/>
          </w:tcPr>
          <w:p>
            <w:pPr>
              <w:jc w:val="center"/>
              <w:rPr>
                <w:rFonts w:hint="eastAsia" w:ascii="宋体" w:hAnsi="宋体" w:cs="宋体"/>
                <w:kern w:val="0"/>
                <w:sz w:val="24"/>
              </w:rPr>
            </w:pPr>
            <w:r>
              <w:rPr>
                <w:rFonts w:hint="eastAsia" w:ascii="宋体" w:hAnsi="宋体" w:cs="宋体"/>
                <w:kern w:val="0"/>
                <w:sz w:val="24"/>
              </w:rPr>
              <w:t>联系电话</w:t>
            </w:r>
          </w:p>
        </w:tc>
        <w:tc>
          <w:tcPr>
            <w:tcW w:w="1254" w:type="pct"/>
            <w:noWrap w:val="0"/>
            <w:vAlign w:val="center"/>
          </w:tcPr>
          <w:p>
            <w:pPr>
              <w:jc w:val="center"/>
              <w:rPr>
                <w:rFonts w:hint="eastAsia" w:ascii="宋体" w:hAnsi="宋体" w:cs="宋体"/>
                <w:kern w:val="0"/>
                <w:sz w:val="24"/>
              </w:rPr>
            </w:pPr>
          </w:p>
        </w:tc>
      </w:tr>
    </w:tbl>
    <w:p>
      <w:pPr>
        <w:ind w:firstLine="235" w:firstLineChars="98"/>
        <w:jc w:val="center"/>
        <w:rPr>
          <w:rFonts w:hint="eastAsia" w:ascii="宋体" w:hAnsi="宋体" w:cs="宋体"/>
          <w:kern w:val="0"/>
          <w:sz w:val="24"/>
        </w:rPr>
      </w:pPr>
      <w:r>
        <w:rPr>
          <w:rFonts w:hint="eastAsia" w:ascii="宋体" w:hAnsi="宋体" w:cs="宋体"/>
          <w:kern w:val="0"/>
          <w:sz w:val="24"/>
        </w:rPr>
        <w:t xml:space="preserve">       </w:t>
      </w:r>
    </w:p>
    <w:p>
      <w:pPr>
        <w:spacing w:line="380" w:lineRule="exact"/>
        <w:jc w:val="center"/>
        <w:rPr>
          <w:rFonts w:hint="eastAsia" w:ascii="宋体" w:hAnsi="宋体"/>
          <w:b/>
          <w:bCs w:val="0"/>
          <w:szCs w:val="21"/>
          <w:lang w:val="en-US" w:eastAsia="zh-CN"/>
        </w:rPr>
      </w:pPr>
      <w:r>
        <w:rPr>
          <w:rFonts w:hint="eastAsia" w:ascii="宋体" w:hAnsi="宋体" w:cs="宋体"/>
          <w:kern w:val="0"/>
          <w:sz w:val="24"/>
        </w:rPr>
        <w:t xml:space="preserve">        </w:t>
      </w:r>
    </w:p>
    <w:p>
      <w:pPr>
        <w:rPr>
          <w:rFonts w:ascii="宋体" w:hAnsi="宋体"/>
          <w:color w:val="000000"/>
          <w:szCs w:val="21"/>
        </w:rPr>
      </w:pPr>
      <w:r>
        <w:rPr>
          <w:rFonts w:hint="eastAsia" w:ascii="宋体" w:hAnsi="宋体"/>
          <w:color w:val="000000"/>
          <w:szCs w:val="21"/>
        </w:rPr>
        <w:t>说明：</w:t>
      </w:r>
      <w:r>
        <w:rPr>
          <w:rFonts w:hint="eastAsia" w:ascii="宋体" w:hAnsi="宋体"/>
          <w:color w:val="000000"/>
          <w:szCs w:val="21"/>
          <w:lang w:eastAsia="zh-CN"/>
        </w:rPr>
        <w:t>请投标单位认真填写并填写齐全</w:t>
      </w:r>
      <w:r>
        <w:rPr>
          <w:rFonts w:hint="eastAsia" w:ascii="宋体" w:hAnsi="宋体"/>
          <w:color w:val="000000"/>
          <w:szCs w:val="21"/>
        </w:rPr>
        <w:t>。</w:t>
      </w:r>
    </w:p>
    <w:p>
      <w:pPr>
        <w:ind w:firstLine="235" w:firstLineChars="98"/>
        <w:rPr>
          <w:rFonts w:ascii="宋体" w:hAnsi="宋体" w:cs="宋体"/>
          <w:color w:val="000000"/>
          <w:kern w:val="0"/>
          <w:sz w:val="24"/>
        </w:rPr>
      </w:pPr>
      <w:r>
        <w:rPr>
          <w:rFonts w:hint="eastAsia" w:ascii="宋体" w:hAnsi="宋体" w:cs="宋体"/>
          <w:color w:val="000000"/>
          <w:kern w:val="0"/>
          <w:sz w:val="24"/>
        </w:rPr>
        <w:t xml:space="preserve">                                            </w:t>
      </w:r>
    </w:p>
    <w:p/>
    <w:sectPr>
      <w:headerReference r:id="rId7"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BC472C5D"/>
    <w:multiLevelType w:val="singleLevel"/>
    <w:tmpl w:val="BC472C5D"/>
    <w:lvl w:ilvl="0" w:tentative="0">
      <w:start w:val="1"/>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4"/>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0C"/>
    <w:multiLevelType w:val="singleLevel"/>
    <w:tmpl w:val="0000000C"/>
    <w:lvl w:ilvl="0" w:tentative="0">
      <w:start w:val="1"/>
      <w:numFmt w:val="chineseCounting"/>
      <w:suff w:val="nothing"/>
      <w:lvlText w:val="%1、"/>
      <w:lvlJc w:val="left"/>
    </w:lvl>
  </w:abstractNum>
  <w:abstractNum w:abstractNumId="4">
    <w:nsid w:val="0B6779C6"/>
    <w:multiLevelType w:val="singleLevel"/>
    <w:tmpl w:val="0B6779C6"/>
    <w:lvl w:ilvl="0" w:tentative="0">
      <w:start w:val="1"/>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6BC4"/>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650C5"/>
    <w:rsid w:val="01B64983"/>
    <w:rsid w:val="01D75500"/>
    <w:rsid w:val="023519FA"/>
    <w:rsid w:val="02490F00"/>
    <w:rsid w:val="02B75922"/>
    <w:rsid w:val="03064AB8"/>
    <w:rsid w:val="031F50E9"/>
    <w:rsid w:val="03F93A73"/>
    <w:rsid w:val="042046F5"/>
    <w:rsid w:val="04C16888"/>
    <w:rsid w:val="04FA1FCA"/>
    <w:rsid w:val="05FF746E"/>
    <w:rsid w:val="06087B94"/>
    <w:rsid w:val="065859F2"/>
    <w:rsid w:val="06611592"/>
    <w:rsid w:val="068679BC"/>
    <w:rsid w:val="0698114A"/>
    <w:rsid w:val="079B069E"/>
    <w:rsid w:val="07D35B03"/>
    <w:rsid w:val="07E147B8"/>
    <w:rsid w:val="08066F25"/>
    <w:rsid w:val="08712537"/>
    <w:rsid w:val="088A118C"/>
    <w:rsid w:val="09003F4E"/>
    <w:rsid w:val="09045D6D"/>
    <w:rsid w:val="091D0999"/>
    <w:rsid w:val="096C7AFB"/>
    <w:rsid w:val="097A7AFA"/>
    <w:rsid w:val="09B91B6D"/>
    <w:rsid w:val="09CD0B32"/>
    <w:rsid w:val="09D25006"/>
    <w:rsid w:val="09F340E8"/>
    <w:rsid w:val="0A192532"/>
    <w:rsid w:val="0A46590B"/>
    <w:rsid w:val="0A732D15"/>
    <w:rsid w:val="0A757553"/>
    <w:rsid w:val="0AE5651C"/>
    <w:rsid w:val="0B9E6FCA"/>
    <w:rsid w:val="0C4C65F8"/>
    <w:rsid w:val="0C564236"/>
    <w:rsid w:val="0C6057CE"/>
    <w:rsid w:val="0C9221A3"/>
    <w:rsid w:val="0D1C26D4"/>
    <w:rsid w:val="0D1C451A"/>
    <w:rsid w:val="0D817CDD"/>
    <w:rsid w:val="0D952E82"/>
    <w:rsid w:val="0DCB2EC9"/>
    <w:rsid w:val="0DCC5184"/>
    <w:rsid w:val="0DD36CB2"/>
    <w:rsid w:val="0DDB5519"/>
    <w:rsid w:val="0E55598C"/>
    <w:rsid w:val="0ED16E22"/>
    <w:rsid w:val="0F252296"/>
    <w:rsid w:val="10CD3604"/>
    <w:rsid w:val="110342FF"/>
    <w:rsid w:val="1155430A"/>
    <w:rsid w:val="11EF7FA7"/>
    <w:rsid w:val="121D6EB6"/>
    <w:rsid w:val="123E541D"/>
    <w:rsid w:val="127D2F5A"/>
    <w:rsid w:val="12843C37"/>
    <w:rsid w:val="132B5DB2"/>
    <w:rsid w:val="13336E3E"/>
    <w:rsid w:val="1386797B"/>
    <w:rsid w:val="13BA3963"/>
    <w:rsid w:val="13E75FD4"/>
    <w:rsid w:val="15045DDE"/>
    <w:rsid w:val="165728CC"/>
    <w:rsid w:val="165C6DCA"/>
    <w:rsid w:val="16AB440E"/>
    <w:rsid w:val="17362443"/>
    <w:rsid w:val="177E44BC"/>
    <w:rsid w:val="17B828B3"/>
    <w:rsid w:val="189961C1"/>
    <w:rsid w:val="19CD7761"/>
    <w:rsid w:val="19F66993"/>
    <w:rsid w:val="1B151E12"/>
    <w:rsid w:val="1B1D05BF"/>
    <w:rsid w:val="1B2B711A"/>
    <w:rsid w:val="1B352404"/>
    <w:rsid w:val="1B583A4F"/>
    <w:rsid w:val="1C0C2514"/>
    <w:rsid w:val="1C5E26D8"/>
    <w:rsid w:val="1C9A3A9B"/>
    <w:rsid w:val="1CBF7BEB"/>
    <w:rsid w:val="1CFF6D7B"/>
    <w:rsid w:val="1D0D3CA0"/>
    <w:rsid w:val="1D3C38E1"/>
    <w:rsid w:val="1D4A5240"/>
    <w:rsid w:val="1DA34160"/>
    <w:rsid w:val="1DC62E0E"/>
    <w:rsid w:val="1E517A3C"/>
    <w:rsid w:val="1E9E7BAF"/>
    <w:rsid w:val="20177A99"/>
    <w:rsid w:val="203931EC"/>
    <w:rsid w:val="20847E9B"/>
    <w:rsid w:val="209C11BA"/>
    <w:rsid w:val="20B117BA"/>
    <w:rsid w:val="210F67FD"/>
    <w:rsid w:val="2175068C"/>
    <w:rsid w:val="21A11273"/>
    <w:rsid w:val="21CB1AEC"/>
    <w:rsid w:val="21FA7BC8"/>
    <w:rsid w:val="224F4AB9"/>
    <w:rsid w:val="22BC3C5C"/>
    <w:rsid w:val="22E12559"/>
    <w:rsid w:val="231F1167"/>
    <w:rsid w:val="235C2BD4"/>
    <w:rsid w:val="23627251"/>
    <w:rsid w:val="23FF4341"/>
    <w:rsid w:val="240D5F0F"/>
    <w:rsid w:val="24DD63E5"/>
    <w:rsid w:val="252223C6"/>
    <w:rsid w:val="253446AE"/>
    <w:rsid w:val="254F2474"/>
    <w:rsid w:val="2581038F"/>
    <w:rsid w:val="25B10692"/>
    <w:rsid w:val="25B11518"/>
    <w:rsid w:val="25B86563"/>
    <w:rsid w:val="25D3504C"/>
    <w:rsid w:val="26EB012B"/>
    <w:rsid w:val="26F05338"/>
    <w:rsid w:val="274C5C55"/>
    <w:rsid w:val="281531B6"/>
    <w:rsid w:val="28197C97"/>
    <w:rsid w:val="28C03F25"/>
    <w:rsid w:val="28E761A1"/>
    <w:rsid w:val="28F03549"/>
    <w:rsid w:val="2938027B"/>
    <w:rsid w:val="29F10FDB"/>
    <w:rsid w:val="2A217BA3"/>
    <w:rsid w:val="2A495030"/>
    <w:rsid w:val="2A676E5E"/>
    <w:rsid w:val="2B8B629C"/>
    <w:rsid w:val="2B997798"/>
    <w:rsid w:val="2CA31F00"/>
    <w:rsid w:val="2CC20FAE"/>
    <w:rsid w:val="2CF47464"/>
    <w:rsid w:val="2D8809AB"/>
    <w:rsid w:val="2DCA2DA2"/>
    <w:rsid w:val="2EC749A0"/>
    <w:rsid w:val="2F4C5C1C"/>
    <w:rsid w:val="2FBB4416"/>
    <w:rsid w:val="2FDB37C9"/>
    <w:rsid w:val="305459F9"/>
    <w:rsid w:val="30BE3DCE"/>
    <w:rsid w:val="30C44045"/>
    <w:rsid w:val="31175F88"/>
    <w:rsid w:val="31822DF7"/>
    <w:rsid w:val="31A072B4"/>
    <w:rsid w:val="31F85356"/>
    <w:rsid w:val="32FB322A"/>
    <w:rsid w:val="331D3008"/>
    <w:rsid w:val="33456856"/>
    <w:rsid w:val="344B01BC"/>
    <w:rsid w:val="34580F33"/>
    <w:rsid w:val="35315E89"/>
    <w:rsid w:val="353A77E0"/>
    <w:rsid w:val="36345EE6"/>
    <w:rsid w:val="369B1D40"/>
    <w:rsid w:val="36E91C86"/>
    <w:rsid w:val="37346477"/>
    <w:rsid w:val="37586120"/>
    <w:rsid w:val="37BC2078"/>
    <w:rsid w:val="38051244"/>
    <w:rsid w:val="386C58FB"/>
    <w:rsid w:val="386D15ED"/>
    <w:rsid w:val="386E74A0"/>
    <w:rsid w:val="389F7463"/>
    <w:rsid w:val="38F83A90"/>
    <w:rsid w:val="39C37AC5"/>
    <w:rsid w:val="3A0F009A"/>
    <w:rsid w:val="3B2E47FC"/>
    <w:rsid w:val="3B6650C4"/>
    <w:rsid w:val="3BD66CA2"/>
    <w:rsid w:val="3C045D98"/>
    <w:rsid w:val="3C247E8C"/>
    <w:rsid w:val="3C6740CB"/>
    <w:rsid w:val="3C911857"/>
    <w:rsid w:val="3D26459F"/>
    <w:rsid w:val="3D811C0D"/>
    <w:rsid w:val="3DA60C38"/>
    <w:rsid w:val="3EE071AB"/>
    <w:rsid w:val="3EFC193A"/>
    <w:rsid w:val="3EFF2568"/>
    <w:rsid w:val="3F6C6257"/>
    <w:rsid w:val="3F82769A"/>
    <w:rsid w:val="3F8E389D"/>
    <w:rsid w:val="3FCC5A47"/>
    <w:rsid w:val="40C304AF"/>
    <w:rsid w:val="412A589A"/>
    <w:rsid w:val="434754A7"/>
    <w:rsid w:val="43FD06EB"/>
    <w:rsid w:val="44A839DA"/>
    <w:rsid w:val="44BC3620"/>
    <w:rsid w:val="453E2BF0"/>
    <w:rsid w:val="45C41F63"/>
    <w:rsid w:val="45C86C20"/>
    <w:rsid w:val="46166EF3"/>
    <w:rsid w:val="46526FBB"/>
    <w:rsid w:val="467F70E2"/>
    <w:rsid w:val="468D2996"/>
    <w:rsid w:val="46E9736C"/>
    <w:rsid w:val="47E6756D"/>
    <w:rsid w:val="47F765F5"/>
    <w:rsid w:val="48284861"/>
    <w:rsid w:val="484B38D4"/>
    <w:rsid w:val="4916398E"/>
    <w:rsid w:val="49A27113"/>
    <w:rsid w:val="49F84FFA"/>
    <w:rsid w:val="4A012E2B"/>
    <w:rsid w:val="4A340100"/>
    <w:rsid w:val="4A915202"/>
    <w:rsid w:val="4AA309D9"/>
    <w:rsid w:val="4ABB1169"/>
    <w:rsid w:val="4B4306CC"/>
    <w:rsid w:val="4B5071E8"/>
    <w:rsid w:val="4BB3139E"/>
    <w:rsid w:val="4CAF6809"/>
    <w:rsid w:val="4D963478"/>
    <w:rsid w:val="4DAB5C01"/>
    <w:rsid w:val="4DEC6CD7"/>
    <w:rsid w:val="4E233D83"/>
    <w:rsid w:val="4E302DBB"/>
    <w:rsid w:val="4E3D7F3A"/>
    <w:rsid w:val="4F94067F"/>
    <w:rsid w:val="4FB971E2"/>
    <w:rsid w:val="4FDD44A2"/>
    <w:rsid w:val="51082263"/>
    <w:rsid w:val="51780D80"/>
    <w:rsid w:val="5198572E"/>
    <w:rsid w:val="530F4A3C"/>
    <w:rsid w:val="53574187"/>
    <w:rsid w:val="53957371"/>
    <w:rsid w:val="544E0F5E"/>
    <w:rsid w:val="54651927"/>
    <w:rsid w:val="5498693F"/>
    <w:rsid w:val="54AF3253"/>
    <w:rsid w:val="55307659"/>
    <w:rsid w:val="55383F64"/>
    <w:rsid w:val="554876B4"/>
    <w:rsid w:val="5563094A"/>
    <w:rsid w:val="558A6E35"/>
    <w:rsid w:val="55BC6160"/>
    <w:rsid w:val="55E0339D"/>
    <w:rsid w:val="564B7CBB"/>
    <w:rsid w:val="56701600"/>
    <w:rsid w:val="571144BA"/>
    <w:rsid w:val="572405D5"/>
    <w:rsid w:val="5740026E"/>
    <w:rsid w:val="57D238B0"/>
    <w:rsid w:val="58424AB5"/>
    <w:rsid w:val="585531D4"/>
    <w:rsid w:val="58D05A14"/>
    <w:rsid w:val="595455B5"/>
    <w:rsid w:val="597534C9"/>
    <w:rsid w:val="598B7205"/>
    <w:rsid w:val="59F22154"/>
    <w:rsid w:val="5A074490"/>
    <w:rsid w:val="5AC6338F"/>
    <w:rsid w:val="5AD71A8C"/>
    <w:rsid w:val="5B0E4FB1"/>
    <w:rsid w:val="5B5E7E0F"/>
    <w:rsid w:val="5BC02519"/>
    <w:rsid w:val="5CC0147B"/>
    <w:rsid w:val="5D317589"/>
    <w:rsid w:val="5D750D1F"/>
    <w:rsid w:val="5D7E2E4E"/>
    <w:rsid w:val="5DDE48F7"/>
    <w:rsid w:val="5DE15411"/>
    <w:rsid w:val="5DF14806"/>
    <w:rsid w:val="5E834211"/>
    <w:rsid w:val="5EFB35C8"/>
    <w:rsid w:val="5F2A7A3E"/>
    <w:rsid w:val="5F3E0E69"/>
    <w:rsid w:val="5F511CFA"/>
    <w:rsid w:val="5F9F32CB"/>
    <w:rsid w:val="60387FDB"/>
    <w:rsid w:val="61477D3C"/>
    <w:rsid w:val="61C66D8F"/>
    <w:rsid w:val="62435918"/>
    <w:rsid w:val="624F3B9F"/>
    <w:rsid w:val="633254FB"/>
    <w:rsid w:val="63A43996"/>
    <w:rsid w:val="63C1553E"/>
    <w:rsid w:val="646265C8"/>
    <w:rsid w:val="647D4DF6"/>
    <w:rsid w:val="64CE04C8"/>
    <w:rsid w:val="64E57C14"/>
    <w:rsid w:val="651D65DC"/>
    <w:rsid w:val="653E0CAA"/>
    <w:rsid w:val="653F3646"/>
    <w:rsid w:val="663A25AC"/>
    <w:rsid w:val="663A71E2"/>
    <w:rsid w:val="66556900"/>
    <w:rsid w:val="677F5DB7"/>
    <w:rsid w:val="680B6B28"/>
    <w:rsid w:val="68195714"/>
    <w:rsid w:val="6853647C"/>
    <w:rsid w:val="68BC16D1"/>
    <w:rsid w:val="691C67FD"/>
    <w:rsid w:val="6A0213D5"/>
    <w:rsid w:val="6A5C18FD"/>
    <w:rsid w:val="6A6B167A"/>
    <w:rsid w:val="6A800F11"/>
    <w:rsid w:val="6A9F7173"/>
    <w:rsid w:val="6AD90BFC"/>
    <w:rsid w:val="6AF6560C"/>
    <w:rsid w:val="6C952CA3"/>
    <w:rsid w:val="6D2E6A4B"/>
    <w:rsid w:val="6D7A21A8"/>
    <w:rsid w:val="6D8E7684"/>
    <w:rsid w:val="6DD13669"/>
    <w:rsid w:val="6DD61318"/>
    <w:rsid w:val="6DE04C70"/>
    <w:rsid w:val="6F177A0C"/>
    <w:rsid w:val="6F3829E8"/>
    <w:rsid w:val="6FC45130"/>
    <w:rsid w:val="6FFA6383"/>
    <w:rsid w:val="708F3534"/>
    <w:rsid w:val="722F7768"/>
    <w:rsid w:val="7235211D"/>
    <w:rsid w:val="72D75763"/>
    <w:rsid w:val="73373EE4"/>
    <w:rsid w:val="733E6948"/>
    <w:rsid w:val="735C324C"/>
    <w:rsid w:val="73895392"/>
    <w:rsid w:val="73C95C5F"/>
    <w:rsid w:val="74141AB6"/>
    <w:rsid w:val="742B1FE0"/>
    <w:rsid w:val="747E0330"/>
    <w:rsid w:val="750744E5"/>
    <w:rsid w:val="753161AE"/>
    <w:rsid w:val="7586741C"/>
    <w:rsid w:val="76217F91"/>
    <w:rsid w:val="763C5D0A"/>
    <w:rsid w:val="764E1A8C"/>
    <w:rsid w:val="76AB4F26"/>
    <w:rsid w:val="76D80CE3"/>
    <w:rsid w:val="76DD75FA"/>
    <w:rsid w:val="77027A18"/>
    <w:rsid w:val="7704611C"/>
    <w:rsid w:val="773D0465"/>
    <w:rsid w:val="776058FD"/>
    <w:rsid w:val="7764533C"/>
    <w:rsid w:val="77C5597A"/>
    <w:rsid w:val="78562E84"/>
    <w:rsid w:val="786B2585"/>
    <w:rsid w:val="78F2573D"/>
    <w:rsid w:val="791118EB"/>
    <w:rsid w:val="79383A92"/>
    <w:rsid w:val="795C76D3"/>
    <w:rsid w:val="79671759"/>
    <w:rsid w:val="797075DA"/>
    <w:rsid w:val="7A1B3C8B"/>
    <w:rsid w:val="7A2B3F13"/>
    <w:rsid w:val="7B0F4118"/>
    <w:rsid w:val="7BB41C3D"/>
    <w:rsid w:val="7BDC50A2"/>
    <w:rsid w:val="7C005EF9"/>
    <w:rsid w:val="7C547E07"/>
    <w:rsid w:val="7C570E01"/>
    <w:rsid w:val="7C636DD4"/>
    <w:rsid w:val="7CFB0032"/>
    <w:rsid w:val="7D0B0461"/>
    <w:rsid w:val="7D0E182F"/>
    <w:rsid w:val="7D282903"/>
    <w:rsid w:val="7D401A7F"/>
    <w:rsid w:val="7D6650F0"/>
    <w:rsid w:val="7DC816C0"/>
    <w:rsid w:val="7E015867"/>
    <w:rsid w:val="7E753116"/>
    <w:rsid w:val="7E833FD3"/>
    <w:rsid w:val="7F827326"/>
    <w:rsid w:val="7F8E48CA"/>
    <w:rsid w:val="7F9F0041"/>
    <w:rsid w:val="7FAB18EF"/>
    <w:rsid w:val="7FEF1BBE"/>
    <w:rsid w:val="7FF92C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0"/>
    <w:pPr>
      <w:keepNext/>
      <w:keepLines/>
      <w:spacing w:before="280" w:after="290" w:line="376" w:lineRule="auto"/>
      <w:outlineLvl w:val="4"/>
    </w:pPr>
    <w:rPr>
      <w:b/>
      <w:bCs/>
      <w:sz w:val="28"/>
      <w:szCs w:val="28"/>
    </w:rPr>
  </w:style>
  <w:style w:type="paragraph" w:styleId="9">
    <w:name w:val="heading 6"/>
    <w:basedOn w:val="8"/>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1"/>
    <w:qFormat/>
    <w:uiPriority w:val="0"/>
    <w:pPr>
      <w:tabs>
        <w:tab w:val="left" w:pos="1800"/>
        <w:tab w:val="clear" w:pos="1440"/>
      </w:tabs>
      <w:ind w:left="1276" w:hanging="1276"/>
      <w:outlineLvl w:val="6"/>
    </w:pPr>
  </w:style>
  <w:style w:type="paragraph" w:styleId="11">
    <w:name w:val="heading 8"/>
    <w:basedOn w:val="10"/>
    <w:next w:val="1"/>
    <w:link w:val="52"/>
    <w:qFormat/>
    <w:uiPriority w:val="0"/>
    <w:pPr>
      <w:ind w:left="1418" w:hanging="1418"/>
      <w:outlineLvl w:val="7"/>
    </w:pPr>
  </w:style>
  <w:style w:type="paragraph" w:styleId="12">
    <w:name w:val="heading 9"/>
    <w:basedOn w:val="11"/>
    <w:next w:val="1"/>
    <w:link w:val="53"/>
    <w:qFormat/>
    <w:uiPriority w:val="0"/>
    <w:pPr>
      <w:tabs>
        <w:tab w:val="left" w:pos="2160"/>
        <w:tab w:val="clear" w:pos="1800"/>
      </w:tabs>
      <w:ind w:left="1559" w:hanging="1559"/>
      <w:outlineLvl w:val="8"/>
    </w:pPr>
  </w:style>
  <w:style w:type="character" w:default="1" w:styleId="35">
    <w:name w:val="Default Paragraph Font"/>
    <w:link w:val="36"/>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60"/>
    <w:unhideWhenUsed/>
    <w:qFormat/>
    <w:uiPriority w:val="0"/>
    <w:pPr>
      <w:ind w:firstLine="420" w:firstLineChars="200"/>
    </w:pPr>
  </w:style>
  <w:style w:type="paragraph" w:styleId="14">
    <w:name w:val="Document Map"/>
    <w:basedOn w:val="1"/>
    <w:link w:val="65"/>
    <w:qFormat/>
    <w:uiPriority w:val="0"/>
    <w:rPr>
      <w:rFonts w:ascii="宋体"/>
      <w:sz w:val="18"/>
      <w:szCs w:val="18"/>
    </w:rPr>
  </w:style>
  <w:style w:type="paragraph" w:styleId="15">
    <w:name w:val="annotation text"/>
    <w:basedOn w:val="1"/>
    <w:link w:val="63"/>
    <w:qFormat/>
    <w:uiPriority w:val="0"/>
    <w:pPr>
      <w:jc w:val="left"/>
    </w:pPr>
  </w:style>
  <w:style w:type="paragraph" w:styleId="16">
    <w:name w:val="Body Text"/>
    <w:basedOn w:val="1"/>
    <w:next w:val="17"/>
    <w:semiHidden/>
    <w:unhideWhenUsed/>
    <w:qFormat/>
    <w:uiPriority w:val="0"/>
    <w:pPr>
      <w:spacing w:after="120"/>
    </w:pPr>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unhideWhenUsed/>
    <w:qFormat/>
    <w:uiPriority w:val="39"/>
    <w:pPr>
      <w:ind w:left="840" w:leftChars="400"/>
    </w:pPr>
  </w:style>
  <w:style w:type="paragraph" w:styleId="20">
    <w:name w:val="Plain Text"/>
    <w:basedOn w:val="1"/>
    <w:link w:val="57"/>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footnote text"/>
    <w:basedOn w:val="1"/>
    <w:semiHidden/>
    <w:unhideWhenUsed/>
    <w:qFormat/>
    <w:uiPriority w:val="99"/>
    <w:pPr>
      <w:snapToGrid w:val="0"/>
      <w:jc w:val="left"/>
    </w:pPr>
    <w:rPr>
      <w:sz w:val="18"/>
      <w:szCs w:val="18"/>
    </w:r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4"/>
    <w:qFormat/>
    <w:uiPriority w:val="0"/>
    <w:pPr>
      <w:jc w:val="both"/>
    </w:pPr>
    <w:rPr>
      <w:rFonts w:ascii="宋体"/>
      <w:sz w:val="44"/>
    </w:rPr>
  </w:style>
  <w:style w:type="paragraph" w:styleId="31">
    <w:name w:val="annotation subject"/>
    <w:basedOn w:val="15"/>
    <w:next w:val="15"/>
    <w:link w:val="62"/>
    <w:qFormat/>
    <w:uiPriority w:val="99"/>
    <w:rPr>
      <w:rFonts w:ascii="Times New Roman" w:hAnsi="Times New Roman"/>
      <w:b/>
      <w:sz w:val="28"/>
      <w:szCs w:val="20"/>
    </w:rPr>
  </w:style>
  <w:style w:type="paragraph" w:styleId="32">
    <w:name w:val="Body Text First Indent"/>
    <w:basedOn w:val="16"/>
    <w:qFormat/>
    <w:uiPriority w:val="0"/>
    <w:pPr>
      <w:ind w:firstLine="420" w:firstLineChars="100"/>
    </w:pPr>
    <w:rPr>
      <w:rFonts w:ascii="Times New Roman" w:hAnsi="Times New Roman" w:eastAsia="宋体" w:cs="Times New Roman"/>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5"/>
    <w:qFormat/>
    <w:uiPriority w:val="0"/>
  </w:style>
  <w:style w:type="character" w:styleId="39">
    <w:name w:val="Hyperlink"/>
    <w:qFormat/>
    <w:uiPriority w:val="99"/>
    <w:rPr>
      <w:color w:val="0000FF"/>
      <w:u w:val="single"/>
    </w:rPr>
  </w:style>
  <w:style w:type="character" w:styleId="40">
    <w:name w:val="annotation reference"/>
    <w:basedOn w:val="35"/>
    <w:unhideWhenUsed/>
    <w:qFormat/>
    <w:uiPriority w:val="0"/>
    <w:rPr>
      <w:sz w:val="21"/>
      <w:szCs w:val="21"/>
    </w:rPr>
  </w:style>
  <w:style w:type="character" w:styleId="41">
    <w:name w:val="footnote reference"/>
    <w:basedOn w:val="35"/>
    <w:semiHidden/>
    <w:unhideWhenUsed/>
    <w:qFormat/>
    <w:uiPriority w:val="99"/>
    <w:rPr>
      <w:vertAlign w:val="superscript"/>
    </w:rPr>
  </w:style>
  <w:style w:type="paragraph" w:customStyle="1" w:styleId="42">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qFormat/>
    <w:uiPriority w:val="0"/>
    <w:rPr>
      <w:rFonts w:hint="default"/>
      <w:spacing w:val="390"/>
      <w:sz w:val="21"/>
      <w:szCs w:val="21"/>
    </w:rPr>
  </w:style>
  <w:style w:type="character" w:customStyle="1" w:styleId="44">
    <w:name w:val="标题 Char"/>
    <w:link w:val="30"/>
    <w:qFormat/>
    <w:uiPriority w:val="0"/>
    <w:rPr>
      <w:rFonts w:ascii="宋体" w:hAnsiTheme="majorEastAsia" w:eastAsiaTheme="majorEastAsia"/>
      <w:b/>
      <w:kern w:val="2"/>
      <w:sz w:val="44"/>
      <w:szCs w:val="28"/>
    </w:rPr>
  </w:style>
  <w:style w:type="character" w:customStyle="1" w:styleId="45">
    <w:name w:val="标题 1 Char"/>
    <w:link w:val="4"/>
    <w:qFormat/>
    <w:uiPriority w:val="9"/>
    <w:rPr>
      <w:rFonts w:ascii="Calibri" w:hAnsi="Calibri"/>
      <w:b/>
      <w:bCs/>
      <w:kern w:val="44"/>
      <w:sz w:val="44"/>
      <w:szCs w:val="44"/>
    </w:rPr>
  </w:style>
  <w:style w:type="character" w:customStyle="1" w:styleId="46">
    <w:name w:val="标题 3 Char"/>
    <w:link w:val="6"/>
    <w:qFormat/>
    <w:uiPriority w:val="0"/>
    <w:rPr>
      <w:rFonts w:ascii="仿宋_GB2312" w:hAnsi="宋体" w:eastAsiaTheme="minorEastAsia"/>
      <w:b/>
      <w:kern w:val="2"/>
      <w:sz w:val="32"/>
      <w:szCs w:val="32"/>
    </w:rPr>
  </w:style>
  <w:style w:type="character" w:customStyle="1" w:styleId="47">
    <w:name w:val="标题 5 Char"/>
    <w:link w:val="8"/>
    <w:qFormat/>
    <w:uiPriority w:val="0"/>
    <w:rPr>
      <w:rFonts w:ascii="Calibri" w:hAnsi="Calibri"/>
      <w:b/>
      <w:bCs/>
      <w:kern w:val="2"/>
      <w:sz w:val="28"/>
      <w:szCs w:val="28"/>
    </w:rPr>
  </w:style>
  <w:style w:type="character" w:customStyle="1" w:styleId="48">
    <w:name w:val="标题 2 Char"/>
    <w:link w:val="5"/>
    <w:qFormat/>
    <w:uiPriority w:val="0"/>
    <w:rPr>
      <w:rFonts w:asciiTheme="majorEastAsia" w:hAnsiTheme="majorEastAsia" w:eastAsiaTheme="majorEastAsia"/>
      <w:b/>
      <w:kern w:val="2"/>
      <w:sz w:val="32"/>
      <w:szCs w:val="28"/>
    </w:rPr>
  </w:style>
  <w:style w:type="character" w:customStyle="1" w:styleId="49">
    <w:name w:val="标题 4 Char"/>
    <w:link w:val="7"/>
    <w:qFormat/>
    <w:uiPriority w:val="0"/>
    <w:rPr>
      <w:rFonts w:ascii="Arial" w:hAnsi="Arial" w:eastAsia="黑体"/>
      <w:b/>
      <w:bCs/>
      <w:kern w:val="2"/>
      <w:sz w:val="28"/>
      <w:szCs w:val="28"/>
    </w:rPr>
  </w:style>
  <w:style w:type="character" w:customStyle="1" w:styleId="50">
    <w:name w:val="标题 6 Char"/>
    <w:link w:val="9"/>
    <w:qFormat/>
    <w:uiPriority w:val="0"/>
    <w:rPr>
      <w:b/>
      <w:bCs/>
      <w:kern w:val="2"/>
      <w:sz w:val="30"/>
      <w:szCs w:val="18"/>
    </w:rPr>
  </w:style>
  <w:style w:type="character" w:customStyle="1" w:styleId="51">
    <w:name w:val="标题 7 Char"/>
    <w:link w:val="10"/>
    <w:qFormat/>
    <w:uiPriority w:val="0"/>
    <w:rPr>
      <w:b/>
      <w:bCs/>
      <w:kern w:val="2"/>
      <w:sz w:val="30"/>
      <w:szCs w:val="18"/>
    </w:rPr>
  </w:style>
  <w:style w:type="character" w:customStyle="1" w:styleId="52">
    <w:name w:val="标题 8 Char"/>
    <w:link w:val="11"/>
    <w:qFormat/>
    <w:uiPriority w:val="0"/>
    <w:rPr>
      <w:b/>
      <w:bCs/>
      <w:kern w:val="2"/>
      <w:sz w:val="30"/>
      <w:szCs w:val="18"/>
    </w:rPr>
  </w:style>
  <w:style w:type="character" w:customStyle="1" w:styleId="53">
    <w:name w:val="标题 9 Char"/>
    <w:link w:val="12"/>
    <w:qFormat/>
    <w:uiPriority w:val="0"/>
    <w:rPr>
      <w:b/>
      <w:bCs/>
      <w:kern w:val="2"/>
      <w:sz w:val="30"/>
      <w:szCs w:val="18"/>
    </w:rPr>
  </w:style>
  <w:style w:type="paragraph" w:customStyle="1" w:styleId="54">
    <w:name w:val="列出段落1"/>
    <w:basedOn w:val="1"/>
    <w:qFormat/>
    <w:uiPriority w:val="34"/>
    <w:pPr>
      <w:ind w:firstLine="420" w:firstLineChars="200"/>
    </w:pPr>
  </w:style>
  <w:style w:type="paragraph" w:customStyle="1" w:styleId="55">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qFormat/>
    <w:uiPriority w:val="99"/>
    <w:rPr>
      <w:rFonts w:ascii="Calibri" w:hAnsi="Calibri" w:eastAsia="宋体" w:cs="Times New Roman"/>
      <w:kern w:val="2"/>
      <w:sz w:val="18"/>
      <w:szCs w:val="18"/>
    </w:rPr>
  </w:style>
  <w:style w:type="character" w:customStyle="1" w:styleId="57">
    <w:name w:val="纯文本 Char"/>
    <w:link w:val="20"/>
    <w:qFormat/>
    <w:locked/>
    <w:uiPriority w:val="0"/>
    <w:rPr>
      <w:rFonts w:ascii="宋体" w:hAnsi="Courier New" w:eastAsia="宋体" w:cs="Courier New"/>
      <w:kern w:val="2"/>
      <w:sz w:val="21"/>
      <w:szCs w:val="21"/>
    </w:rPr>
  </w:style>
  <w:style w:type="paragraph" w:customStyle="1" w:styleId="58">
    <w:name w:val="需求样式"/>
    <w:basedOn w:val="4"/>
    <w:link w:val="59"/>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qFormat/>
    <w:uiPriority w:val="0"/>
    <w:rPr>
      <w:b/>
      <w:bCs/>
      <w:kern w:val="44"/>
      <w:sz w:val="32"/>
      <w:szCs w:val="28"/>
    </w:rPr>
  </w:style>
  <w:style w:type="character" w:customStyle="1" w:styleId="60">
    <w:name w:val="正文缩进 Char"/>
    <w:link w:val="13"/>
    <w:qFormat/>
    <w:uiPriority w:val="0"/>
    <w:rPr>
      <w:rFonts w:ascii="Calibri" w:hAnsi="Calibri" w:eastAsia="宋体"/>
      <w:kern w:val="2"/>
      <w:sz w:val="21"/>
      <w:szCs w:val="22"/>
      <w:lang w:val="en-US" w:eastAsia="zh-CN" w:bidi="ar-SA"/>
    </w:rPr>
  </w:style>
  <w:style w:type="character" w:customStyle="1" w:styleId="61">
    <w:name w:val="普通文字 Char Char2"/>
    <w:qFormat/>
    <w:uiPriority w:val="0"/>
    <w:rPr>
      <w:rFonts w:ascii="宋体" w:hAnsi="Courier New" w:cs="Courier New"/>
      <w:kern w:val="2"/>
      <w:sz w:val="21"/>
      <w:szCs w:val="21"/>
    </w:rPr>
  </w:style>
  <w:style w:type="character" w:customStyle="1" w:styleId="62">
    <w:name w:val="批注主题 Char"/>
    <w:link w:val="31"/>
    <w:qFormat/>
    <w:uiPriority w:val="99"/>
    <w:rPr>
      <w:b/>
      <w:kern w:val="2"/>
      <w:sz w:val="28"/>
    </w:rPr>
  </w:style>
  <w:style w:type="character" w:customStyle="1" w:styleId="63">
    <w:name w:val="批注文字 Char"/>
    <w:basedOn w:val="35"/>
    <w:link w:val="15"/>
    <w:qFormat/>
    <w:uiPriority w:val="0"/>
    <w:rPr>
      <w:rFonts w:ascii="Calibri" w:hAnsi="Calibri"/>
      <w:kern w:val="2"/>
      <w:sz w:val="21"/>
      <w:szCs w:val="22"/>
    </w:rPr>
  </w:style>
  <w:style w:type="character" w:customStyle="1" w:styleId="64">
    <w:name w:val="批注主题 Char1"/>
    <w:basedOn w:val="63"/>
    <w:qFormat/>
    <w:uiPriority w:val="0"/>
    <w:rPr>
      <w:rFonts w:ascii="Calibri" w:hAnsi="Calibri"/>
      <w:b/>
      <w:bCs/>
      <w:kern w:val="2"/>
      <w:sz w:val="21"/>
      <w:szCs w:val="22"/>
    </w:rPr>
  </w:style>
  <w:style w:type="character" w:customStyle="1" w:styleId="65">
    <w:name w:val="文档结构图 Char"/>
    <w:basedOn w:val="35"/>
    <w:link w:val="14"/>
    <w:qFormat/>
    <w:uiPriority w:val="0"/>
    <w:rPr>
      <w:rFonts w:ascii="宋体" w:hAnsi="Calibri"/>
      <w:kern w:val="2"/>
      <w:sz w:val="18"/>
      <w:szCs w:val="18"/>
    </w:rPr>
  </w:style>
  <w:style w:type="paragraph" w:customStyle="1" w:styleId="66">
    <w:name w:val="修订1"/>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qFormat/>
    <w:uiPriority w:val="0"/>
    <w:rPr>
      <w:rFonts w:ascii="Arial" w:hAnsi="Arial" w:eastAsia="黑体"/>
      <w:kern w:val="2"/>
      <w:sz w:val="30"/>
    </w:rPr>
  </w:style>
  <w:style w:type="paragraph" w:customStyle="1" w:styleId="69">
    <w:name w:val="2册标题2"/>
    <w:basedOn w:val="1"/>
    <w:next w:val="1"/>
    <w:link w:val="68"/>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styleId="79">
    <w:name w:val="No Spacing"/>
    <w:basedOn w:val="1"/>
    <w:qFormat/>
    <w:uiPriority w:val="1"/>
    <w:pPr>
      <w:widowControl w:val="0"/>
      <w:jc w:val="both"/>
    </w:pPr>
    <w:rPr>
      <w:kern w:val="2"/>
      <w:sz w:val="21"/>
      <w:szCs w:val="24"/>
      <w:lang w:val="en-US" w:eastAsia="zh-CN" w:bidi="ar-SA"/>
    </w:rPr>
  </w:style>
  <w:style w:type="paragraph" w:customStyle="1" w:styleId="80">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标题 3_0_0"/>
    <w:basedOn w:val="83"/>
    <w:next w:val="8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4">
    <w:name w:val="正文文本缩进_1"/>
    <w:basedOn w:val="85"/>
    <w:qFormat/>
    <w:uiPriority w:val="0"/>
    <w:pPr>
      <w:spacing w:line="500" w:lineRule="exact"/>
      <w:ind w:left="1588" w:leftChars="832" w:firstLine="433" w:firstLineChars="196"/>
    </w:pPr>
    <w:rPr>
      <w:kern w:val="0"/>
      <w:sz w:val="24"/>
    </w:rPr>
  </w:style>
  <w:style w:type="paragraph" w:customStyle="1" w:styleId="8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6">
    <w:name w:val="正文文本缩进_2"/>
    <w:basedOn w:val="87"/>
    <w:qFormat/>
    <w:uiPriority w:val="0"/>
    <w:pPr>
      <w:spacing w:line="500" w:lineRule="exact"/>
      <w:ind w:left="1588" w:leftChars="832" w:firstLine="433" w:firstLineChars="196"/>
    </w:pPr>
    <w:rPr>
      <w:kern w:val="0"/>
      <w:sz w:val="24"/>
    </w:rPr>
  </w:style>
  <w:style w:type="paragraph" w:customStyle="1" w:styleId="8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
    <w:name w:val="Normal_11"/>
    <w:qFormat/>
    <w:uiPriority w:val="0"/>
    <w:rPr>
      <w:rFonts w:ascii="黑体" w:hAnsi="黑体" w:eastAsia="黑体" w:cs="Times New Roman"/>
      <w:b/>
      <w:sz w:val="32"/>
      <w:szCs w:val="24"/>
      <w:lang w:bidi="ar-SA"/>
    </w:rPr>
  </w:style>
  <w:style w:type="paragraph" w:customStyle="1" w:styleId="89">
    <w:name w:val="正文文本_1"/>
    <w:basedOn w:val="90"/>
    <w:qFormat/>
    <w:uiPriority w:val="0"/>
    <w:pPr>
      <w:spacing w:after="120"/>
    </w:pPr>
    <w:rPr>
      <w:kern w:val="0"/>
      <w:sz w:val="20"/>
    </w:rPr>
  </w:style>
  <w:style w:type="paragraph" w:customStyle="1" w:styleId="9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1">
    <w:name w:val="纯文本1"/>
    <w:basedOn w:val="1"/>
    <w:qFormat/>
    <w:uiPriority w:val="0"/>
    <w:rPr>
      <w:rFonts w:ascii="宋体" w:hAnsi="Courier New" w:eastAsia="宋体" w:cs="Times New Roman"/>
      <w:szCs w:val="22"/>
    </w:rPr>
  </w:style>
  <w:style w:type="character" w:customStyle="1" w:styleId="92">
    <w:name w:val="font61"/>
    <w:basedOn w:val="35"/>
    <w:qFormat/>
    <w:uiPriority w:val="0"/>
    <w:rPr>
      <w:rFonts w:hint="eastAsia" w:ascii="仿宋" w:hAnsi="仿宋" w:eastAsia="仿宋" w:cs="仿宋"/>
      <w:color w:val="000000"/>
      <w:sz w:val="16"/>
      <w:szCs w:val="16"/>
      <w:u w:val="none"/>
    </w:rPr>
  </w:style>
  <w:style w:type="paragraph" w:customStyle="1" w:styleId="93">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4">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5">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16</TotalTime>
  <ScaleCrop>false</ScaleCrop>
  <LinksUpToDate>false</LinksUpToDate>
  <CharactersWithSpaces>26742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2021-10-20T10:25:00Z</cp:lastPrinted>
  <dcterms:modified xsi:type="dcterms:W3CDTF">2021-10-26T08:06:56Z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0AC2AB20E19D4E639FB60F1A2B142910</vt:lpwstr>
  </property>
</Properties>
</file>