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tabs>
          <w:tab w:val="left" w:pos="1134"/>
          <w:tab w:val="left" w:pos="5481"/>
          <w:tab w:val="left" w:pos="5859"/>
        </w:tabs>
        <w:wordWrap/>
        <w:bidi w:val="0"/>
        <w:spacing w:line="700" w:lineRule="exact"/>
        <w:rPr>
          <w:rFonts w:hint="eastAsia" w:ascii="宋体" w:hAnsi="宋体" w:eastAsia="宋体" w:cs="宋体"/>
          <w:b/>
          <w:bCs/>
          <w:sz w:val="52"/>
          <w:szCs w:val="52"/>
        </w:rPr>
      </w:pPr>
      <w:r>
        <w:rPr>
          <w:rFonts w:hint="eastAsia" w:ascii="宋体" w:hAnsi="宋体" w:eastAsia="宋体" w:cs="宋体"/>
          <w:b/>
          <w:sz w:val="28"/>
          <w:szCs w:val="28"/>
        </w:rPr>
        <w:t xml:space="preserve"> </w:t>
      </w:r>
    </w:p>
    <w:p>
      <w:pPr>
        <w:pageBreakBefore w:val="0"/>
        <w:wordWrap/>
        <w:bidi w:val="0"/>
        <w:spacing w:line="700" w:lineRule="exact"/>
        <w:jc w:val="center"/>
        <w:rPr>
          <w:rFonts w:hint="eastAsia" w:ascii="宋体" w:hAnsi="宋体" w:eastAsia="宋体" w:cs="宋体"/>
          <w:b/>
          <w:bCs/>
          <w:sz w:val="52"/>
          <w:szCs w:val="52"/>
          <w:lang w:val="en-US" w:eastAsia="zh-CN"/>
        </w:rPr>
      </w:pPr>
      <w:r>
        <w:rPr>
          <w:rFonts w:hint="eastAsia" w:ascii="宋体" w:hAnsi="宋体" w:eastAsia="宋体" w:cs="宋体"/>
          <w:b/>
          <w:bCs/>
          <w:sz w:val="52"/>
          <w:szCs w:val="52"/>
          <w:lang w:val="en-US" w:eastAsia="zh-CN"/>
        </w:rPr>
        <w:t>阿克苏商贸物流产业园区域人防工程建设规划</w:t>
      </w:r>
      <w:r>
        <w:rPr>
          <w:rFonts w:hint="eastAsia" w:ascii="宋体" w:hAnsi="宋体" w:cs="宋体"/>
          <w:b/>
          <w:bCs/>
          <w:sz w:val="52"/>
          <w:szCs w:val="52"/>
          <w:lang w:val="en-US" w:eastAsia="zh-CN"/>
        </w:rPr>
        <w:t>项目</w:t>
      </w:r>
    </w:p>
    <w:p>
      <w:pPr>
        <w:pStyle w:val="2"/>
        <w:pageBreakBefore w:val="0"/>
        <w:wordWrap/>
        <w:bidi w:val="0"/>
        <w:spacing w:line="700" w:lineRule="exact"/>
        <w:jc w:val="center"/>
        <w:rPr>
          <w:rFonts w:hint="eastAsia" w:ascii="宋体" w:hAnsi="宋体" w:eastAsia="宋体" w:cs="宋体"/>
          <w:sz w:val="52"/>
          <w:szCs w:val="52"/>
        </w:rPr>
      </w:pPr>
    </w:p>
    <w:p>
      <w:pPr>
        <w:pStyle w:val="2"/>
        <w:pageBreakBefore w:val="0"/>
        <w:wordWrap/>
        <w:bidi w:val="0"/>
        <w:spacing w:line="700" w:lineRule="exact"/>
        <w:ind w:left="0" w:leftChars="0" w:firstLine="0" w:firstLineChars="0"/>
        <w:rPr>
          <w:rFonts w:hint="eastAsia" w:ascii="宋体" w:hAnsi="宋体" w:eastAsia="宋体" w:cs="宋体"/>
        </w:rPr>
      </w:pPr>
    </w:p>
    <w:p>
      <w:pPr>
        <w:pStyle w:val="2"/>
        <w:pageBreakBefore w:val="0"/>
        <w:wordWrap/>
        <w:bidi w:val="0"/>
        <w:spacing w:line="700" w:lineRule="exact"/>
        <w:ind w:left="0" w:leftChars="0" w:firstLine="0" w:firstLineChars="0"/>
        <w:rPr>
          <w:rFonts w:hint="eastAsia" w:ascii="宋体" w:hAnsi="宋体" w:eastAsia="宋体" w:cs="宋体"/>
        </w:rPr>
      </w:pPr>
    </w:p>
    <w:p>
      <w:pPr>
        <w:pageBreakBefore w:val="0"/>
        <w:wordWrap/>
        <w:bidi w:val="0"/>
        <w:spacing w:line="700" w:lineRule="exact"/>
        <w:rPr>
          <w:rFonts w:hint="eastAsia" w:ascii="宋体" w:hAnsi="宋体" w:eastAsia="宋体" w:cs="宋体"/>
          <w:b/>
          <w:bCs/>
          <w:sz w:val="28"/>
          <w:szCs w:val="28"/>
        </w:rPr>
      </w:pPr>
    </w:p>
    <w:p>
      <w:pPr>
        <w:pageBreakBefore w:val="0"/>
        <w:wordWrap/>
        <w:bidi w:val="0"/>
        <w:spacing w:line="700" w:lineRule="exact"/>
        <w:jc w:val="center"/>
        <w:rPr>
          <w:rFonts w:hint="eastAsia" w:ascii="宋体" w:hAnsi="宋体" w:eastAsia="宋体" w:cs="宋体"/>
        </w:rPr>
      </w:pPr>
      <w:r>
        <w:rPr>
          <w:rFonts w:hint="eastAsia" w:ascii="宋体" w:hAnsi="宋体" w:eastAsia="宋体" w:cs="宋体"/>
          <w:b/>
          <w:bCs/>
          <w:sz w:val="48"/>
          <w:szCs w:val="48"/>
        </w:rPr>
        <w:t>竞争性磋商文件</w:t>
      </w:r>
    </w:p>
    <w:p>
      <w:pPr>
        <w:pageBreakBefore w:val="0"/>
        <w:wordWrap/>
        <w:overflowPunct w:val="0"/>
        <w:bidi w:val="0"/>
        <w:spacing w:line="700" w:lineRule="exact"/>
        <w:jc w:val="center"/>
        <w:rPr>
          <w:rFonts w:hint="eastAsia" w:ascii="宋体" w:hAnsi="宋体" w:eastAsia="宋体" w:cs="宋体"/>
          <w:b/>
          <w:bCs/>
          <w:color w:val="auto"/>
          <w:sz w:val="28"/>
          <w:szCs w:val="28"/>
          <w:lang w:val="en-US" w:eastAsia="zh-CN"/>
        </w:rPr>
      </w:pPr>
      <w:r>
        <w:rPr>
          <w:rFonts w:hint="eastAsia" w:ascii="宋体" w:hAnsi="宋体" w:eastAsia="宋体" w:cs="宋体"/>
          <w:b/>
          <w:kern w:val="0"/>
          <w:sz w:val="28"/>
          <w:szCs w:val="28"/>
        </w:rPr>
        <w:t>磋商采购文件编号</w:t>
      </w:r>
      <w:r>
        <w:rPr>
          <w:rFonts w:hint="eastAsia" w:ascii="宋体" w:hAnsi="宋体" w:eastAsia="宋体" w:cs="宋体"/>
          <w:b/>
          <w:bCs/>
          <w:w w:val="95"/>
          <w:sz w:val="28"/>
          <w:szCs w:val="28"/>
        </w:rPr>
        <w:t>：</w:t>
      </w:r>
      <w:r>
        <w:rPr>
          <w:rFonts w:hint="eastAsia" w:ascii="宋体" w:hAnsi="宋体" w:eastAsia="宋体" w:cs="宋体"/>
          <w:b/>
          <w:bCs/>
          <w:color w:val="auto"/>
          <w:w w:val="95"/>
          <w:sz w:val="28"/>
          <w:szCs w:val="28"/>
          <w:lang w:val="en-US" w:eastAsia="zh-CN"/>
        </w:rPr>
        <w:t>2021-53</w:t>
      </w:r>
      <w:r>
        <w:rPr>
          <w:rFonts w:hint="eastAsia" w:ascii="宋体" w:hAnsi="宋体" w:cs="宋体"/>
          <w:b/>
          <w:bCs/>
          <w:color w:val="auto"/>
          <w:w w:val="95"/>
          <w:sz w:val="28"/>
          <w:szCs w:val="28"/>
          <w:lang w:val="en-US" w:eastAsia="zh-CN"/>
        </w:rPr>
        <w:t>9</w:t>
      </w:r>
      <w:r>
        <w:rPr>
          <w:rFonts w:hint="eastAsia" w:ascii="宋体" w:hAnsi="宋体" w:eastAsia="宋体" w:cs="宋体"/>
          <w:b/>
          <w:bCs/>
          <w:color w:val="auto"/>
          <w:w w:val="95"/>
          <w:sz w:val="28"/>
          <w:szCs w:val="28"/>
          <w:lang w:val="en-US" w:eastAsia="zh-CN"/>
        </w:rPr>
        <w:t>号</w:t>
      </w:r>
    </w:p>
    <w:p>
      <w:pPr>
        <w:pageBreakBefore w:val="0"/>
        <w:wordWrap/>
        <w:overflowPunct w:val="0"/>
        <w:bidi w:val="0"/>
        <w:spacing w:line="700" w:lineRule="exact"/>
        <w:rPr>
          <w:rFonts w:hint="eastAsia" w:ascii="宋体" w:hAnsi="宋体" w:eastAsia="宋体" w:cs="宋体"/>
          <w:sz w:val="32"/>
          <w:szCs w:val="32"/>
        </w:rPr>
      </w:pPr>
    </w:p>
    <w:p>
      <w:pPr>
        <w:pStyle w:val="2"/>
        <w:pageBreakBefore w:val="0"/>
        <w:wordWrap/>
        <w:bidi w:val="0"/>
        <w:spacing w:line="700" w:lineRule="exact"/>
        <w:ind w:left="0" w:leftChars="0" w:firstLine="0" w:firstLineChars="0"/>
        <w:rPr>
          <w:rFonts w:hint="eastAsia" w:ascii="宋体" w:hAnsi="宋体" w:eastAsia="宋体" w:cs="宋体"/>
          <w:sz w:val="32"/>
          <w:szCs w:val="32"/>
        </w:rPr>
      </w:pPr>
    </w:p>
    <w:p>
      <w:pPr>
        <w:pageBreakBefore w:val="0"/>
        <w:wordWrap/>
        <w:bidi w:val="0"/>
        <w:spacing w:line="700" w:lineRule="exact"/>
        <w:rPr>
          <w:rFonts w:hint="eastAsia" w:ascii="宋体" w:hAnsi="宋体" w:eastAsia="宋体" w:cs="宋体"/>
          <w:sz w:val="32"/>
          <w:szCs w:val="32"/>
        </w:rPr>
      </w:pPr>
    </w:p>
    <w:p>
      <w:pPr>
        <w:pageBreakBefore w:val="0"/>
        <w:wordWrap/>
        <w:overflowPunct w:val="0"/>
        <w:bidi w:val="0"/>
        <w:spacing w:line="700" w:lineRule="exact"/>
        <w:rPr>
          <w:rFonts w:hint="eastAsia" w:ascii="宋体" w:hAnsi="宋体" w:eastAsia="宋体" w:cs="宋体"/>
          <w:sz w:val="32"/>
          <w:szCs w:val="32"/>
        </w:rPr>
      </w:pPr>
    </w:p>
    <w:p>
      <w:pPr>
        <w:pStyle w:val="2"/>
        <w:rPr>
          <w:rFonts w:hint="eastAsia"/>
        </w:rPr>
      </w:pPr>
    </w:p>
    <w:p>
      <w:pPr>
        <w:pageBreakBefore w:val="0"/>
        <w:wordWrap/>
        <w:overflowPunct w:val="0"/>
        <w:bidi w:val="0"/>
        <w:spacing w:line="700" w:lineRule="exact"/>
        <w:jc w:val="center"/>
        <w:rPr>
          <w:rFonts w:hint="eastAsia" w:ascii="宋体" w:hAnsi="宋体" w:eastAsia="宋体" w:cs="宋体"/>
          <w:b/>
          <w:sz w:val="32"/>
          <w:szCs w:val="32"/>
        </w:rPr>
      </w:pPr>
      <w:r>
        <w:rPr>
          <w:rFonts w:hint="eastAsia" w:ascii="宋体" w:hAnsi="宋体" w:eastAsia="宋体" w:cs="宋体"/>
          <w:b/>
          <w:sz w:val="32"/>
          <w:szCs w:val="32"/>
        </w:rPr>
        <w:t>采购人：</w:t>
      </w:r>
      <w:r>
        <w:rPr>
          <w:rFonts w:hint="eastAsia" w:ascii="宋体" w:hAnsi="宋体" w:eastAsia="宋体" w:cs="宋体"/>
          <w:b/>
          <w:sz w:val="32"/>
          <w:szCs w:val="32"/>
          <w:lang w:val="en-US" w:eastAsia="zh-CN"/>
        </w:rPr>
        <w:t>阿克苏商贸物流产业园管理委员会</w:t>
      </w:r>
    </w:p>
    <w:p>
      <w:pPr>
        <w:pageBreakBefore w:val="0"/>
        <w:wordWrap/>
        <w:overflowPunct w:val="0"/>
        <w:bidi w:val="0"/>
        <w:spacing w:line="700" w:lineRule="exact"/>
        <w:jc w:val="center"/>
        <w:rPr>
          <w:rFonts w:hint="eastAsia" w:ascii="宋体" w:hAnsi="宋体" w:eastAsia="宋体" w:cs="宋体"/>
          <w:b/>
          <w:sz w:val="32"/>
          <w:szCs w:val="32"/>
        </w:rPr>
      </w:pPr>
      <w:r>
        <w:rPr>
          <w:rFonts w:hint="eastAsia" w:ascii="宋体" w:hAnsi="宋体" w:eastAsia="宋体" w:cs="宋体"/>
          <w:b/>
          <w:sz w:val="32"/>
          <w:szCs w:val="32"/>
        </w:rPr>
        <w:t>采购代理机构：</w:t>
      </w:r>
      <w:r>
        <w:rPr>
          <w:rFonts w:hint="eastAsia" w:ascii="宋体" w:hAnsi="宋体" w:eastAsia="宋体" w:cs="宋体"/>
          <w:b/>
          <w:sz w:val="32"/>
          <w:szCs w:val="32"/>
          <w:lang w:val="en-US" w:eastAsia="zh-CN"/>
        </w:rPr>
        <w:t>新疆国际招标中心有限公司</w:t>
      </w:r>
    </w:p>
    <w:p>
      <w:pPr>
        <w:pageBreakBefore w:val="0"/>
        <w:wordWrap/>
        <w:overflowPunct w:val="0"/>
        <w:bidi w:val="0"/>
        <w:spacing w:line="700" w:lineRule="exact"/>
        <w:jc w:val="center"/>
        <w:rPr>
          <w:rFonts w:hint="eastAsia" w:ascii="宋体" w:hAnsi="宋体" w:eastAsia="宋体" w:cs="宋体"/>
          <w:b/>
          <w:sz w:val="32"/>
          <w:szCs w:val="32"/>
        </w:rPr>
      </w:pPr>
      <w:r>
        <w:rPr>
          <w:rFonts w:hint="eastAsia" w:ascii="宋体" w:hAnsi="宋体" w:eastAsia="宋体" w:cs="宋体"/>
          <w:b/>
          <w:sz w:val="32"/>
          <w:szCs w:val="32"/>
        </w:rPr>
        <w:t>2021年</w:t>
      </w:r>
      <w:r>
        <w:rPr>
          <w:rFonts w:hint="eastAsia" w:ascii="宋体" w:hAnsi="宋体" w:eastAsia="宋体" w:cs="宋体"/>
          <w:b/>
          <w:sz w:val="32"/>
          <w:szCs w:val="32"/>
          <w:lang w:val="en-US" w:eastAsia="zh-CN"/>
        </w:rPr>
        <w:t>10</w:t>
      </w:r>
      <w:r>
        <w:rPr>
          <w:rFonts w:hint="eastAsia" w:ascii="宋体" w:hAnsi="宋体" w:eastAsia="宋体" w:cs="宋体"/>
          <w:b/>
          <w:sz w:val="32"/>
          <w:szCs w:val="32"/>
        </w:rPr>
        <w:t>月</w:t>
      </w:r>
    </w:p>
    <w:p>
      <w:pPr>
        <w:pStyle w:val="2"/>
        <w:pageBreakBefore w:val="0"/>
        <w:wordWrap/>
        <w:bidi w:val="0"/>
        <w:spacing w:line="700" w:lineRule="exact"/>
        <w:ind w:left="562" w:hanging="562"/>
        <w:jc w:val="center"/>
        <w:rPr>
          <w:rFonts w:hint="eastAsia" w:ascii="宋体" w:hAnsi="宋体" w:eastAsia="宋体" w:cs="宋体"/>
          <w:b/>
          <w:bCs/>
          <w:sz w:val="28"/>
          <w:szCs w:val="28"/>
        </w:rPr>
      </w:pPr>
    </w:p>
    <w:p>
      <w:pPr>
        <w:pStyle w:val="71"/>
        <w:pageBreakBefore w:val="0"/>
        <w:wordWrap/>
        <w:bidi w:val="0"/>
        <w:spacing w:line="700" w:lineRule="exact"/>
        <w:jc w:val="both"/>
        <w:rPr>
          <w:rFonts w:hint="eastAsia" w:ascii="宋体" w:hAnsi="宋体" w:eastAsia="宋体" w:cs="宋体"/>
          <w:lang w:val="zh-CN"/>
        </w:rPr>
        <w:sectPr>
          <w:headerReference r:id="rId3" w:type="default"/>
          <w:headerReference r:id="rId4" w:type="even"/>
          <w:footerReference r:id="rId5" w:type="even"/>
          <w:pgSz w:w="11906" w:h="16838"/>
          <w:pgMar w:top="1440" w:right="1800" w:bottom="1440" w:left="1800" w:header="851" w:footer="992" w:gutter="0"/>
          <w:pgNumType w:start="46"/>
          <w:cols w:space="720" w:num="1"/>
          <w:titlePg/>
          <w:docGrid w:type="lines" w:linePitch="312" w:charSpace="0"/>
        </w:sectPr>
      </w:pPr>
    </w:p>
    <w:sdt>
      <w:sdtPr>
        <w:rPr>
          <w:rFonts w:hint="eastAsia" w:ascii="宋体" w:hAnsi="宋体" w:eastAsia="宋体" w:cs="宋体"/>
        </w:rPr>
        <w:id w:val="147463647"/>
        <w15:color w:val="DBDBDB"/>
        <w:docPartObj>
          <w:docPartGallery w:val="Table of Contents"/>
          <w:docPartUnique/>
        </w:docPartObj>
      </w:sdtPr>
      <w:sdtEndPr>
        <w:rPr>
          <w:rFonts w:hint="eastAsia" w:ascii="宋体" w:hAnsi="宋体" w:eastAsia="宋体" w:cs="宋体"/>
          <w:bCs/>
          <w:szCs w:val="28"/>
          <w:lang w:val="zh-CN"/>
        </w:rPr>
      </w:sdtEndPr>
      <w:sdtContent>
        <w:p>
          <w:pPr>
            <w:pageBreakBefore w:val="0"/>
            <w:wordWrap/>
            <w:bidi w:val="0"/>
            <w:spacing w:line="700" w:lineRule="exact"/>
            <w:rPr>
              <w:rFonts w:hint="eastAsia" w:ascii="宋体" w:hAnsi="宋体" w:eastAsia="宋体" w:cs="宋体"/>
            </w:rPr>
          </w:pPr>
        </w:p>
        <w:p>
          <w:pPr>
            <w:pStyle w:val="43"/>
            <w:pageBreakBefore w:val="0"/>
            <w:numPr>
              <w:ilvl w:val="0"/>
              <w:numId w:val="0"/>
            </w:numPr>
            <w:wordWrap/>
            <w:bidi w:val="0"/>
            <w:spacing w:line="700" w:lineRule="exact"/>
            <w:rPr>
              <w:rFonts w:hint="eastAsia" w:ascii="宋体" w:hAnsi="宋体" w:eastAsia="宋体" w:cs="宋体"/>
            </w:rPr>
          </w:pPr>
          <w:r>
            <w:rPr>
              <w:rFonts w:hint="eastAsia" w:ascii="宋体" w:hAnsi="宋体" w:eastAsia="宋体" w:cs="宋体"/>
            </w:rPr>
            <w:br w:type="page"/>
          </w:r>
        </w:p>
        <w:p>
          <w:pPr>
            <w:pageBreakBefore w:val="0"/>
            <w:wordWrap/>
            <w:bidi w:val="0"/>
            <w:spacing w:line="700" w:lineRule="exact"/>
            <w:rPr>
              <w:rFonts w:hint="eastAsia" w:ascii="宋体" w:hAnsi="宋体" w:eastAsia="宋体" w:cs="宋体"/>
            </w:rPr>
          </w:pP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rPr>
          </w:pPr>
          <w:r>
            <w:rPr>
              <w:rFonts w:hint="eastAsia" w:ascii="宋体" w:hAnsi="宋体" w:eastAsia="宋体" w:cs="宋体"/>
            </w:rPr>
            <w:t>目录</w:t>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b/>
              <w:bCs/>
              <w:sz w:val="28"/>
              <w:szCs w:val="28"/>
              <w:lang w:val="zh-CN"/>
            </w:rPr>
            <w:fldChar w:fldCharType="begin"/>
          </w:r>
          <w:r>
            <w:rPr>
              <w:rFonts w:hint="eastAsia" w:ascii="宋体" w:hAnsi="宋体" w:eastAsia="宋体" w:cs="宋体"/>
              <w:b/>
              <w:bCs/>
              <w:sz w:val="28"/>
              <w:szCs w:val="28"/>
              <w:lang w:val="zh-CN"/>
            </w:rPr>
            <w:instrText xml:space="preserve">TOC \o "1-1" \h \u </w:instrText>
          </w:r>
          <w:r>
            <w:rPr>
              <w:rFonts w:hint="eastAsia" w:ascii="宋体" w:hAnsi="宋体" w:eastAsia="宋体" w:cs="宋体"/>
              <w:b/>
              <w:bCs/>
              <w:sz w:val="28"/>
              <w:szCs w:val="28"/>
              <w:lang w:val="zh-CN"/>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"_Toc15421" </w:instrText>
          </w:r>
          <w:r>
            <w:rPr>
              <w:rFonts w:hint="eastAsia" w:ascii="宋体" w:hAnsi="宋体" w:eastAsia="宋体" w:cs="宋体"/>
            </w:rPr>
            <w:fldChar w:fldCharType="separate"/>
          </w:r>
          <w:r>
            <w:rPr>
              <w:rFonts w:hint="eastAsia" w:ascii="宋体" w:hAnsi="宋体" w:eastAsia="宋体" w:cs="宋体"/>
              <w:bCs/>
              <w:szCs w:val="28"/>
            </w:rPr>
            <w:t>竞争性磋商公告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_Toc15421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"_Toc3728" </w:instrText>
          </w:r>
          <w:r>
            <w:rPr>
              <w:rFonts w:hint="eastAsia" w:ascii="宋体" w:hAnsi="宋体" w:eastAsia="宋体" w:cs="宋体"/>
            </w:rPr>
            <w:fldChar w:fldCharType="separate"/>
          </w:r>
          <w:r>
            <w:rPr>
              <w:rFonts w:hint="eastAsia" w:ascii="宋体" w:hAnsi="宋体" w:eastAsia="宋体" w:cs="宋体"/>
              <w:szCs w:val="24"/>
            </w:rPr>
            <w:t>一、项目基本情况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_Toc3728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"_Toc18049" </w:instrText>
          </w:r>
          <w:r>
            <w:rPr>
              <w:rFonts w:hint="eastAsia" w:ascii="宋体" w:hAnsi="宋体" w:eastAsia="宋体" w:cs="宋体"/>
            </w:rPr>
            <w:fldChar w:fldCharType="separate"/>
          </w:r>
          <w:r>
            <w:rPr>
              <w:rFonts w:hint="eastAsia" w:ascii="宋体" w:hAnsi="宋体" w:eastAsia="宋体" w:cs="宋体"/>
              <w:szCs w:val="24"/>
            </w:rPr>
            <w:t> 二、申请人的资格要求：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_Toc18049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"_Toc25663" </w:instrText>
          </w:r>
          <w:r>
            <w:rPr>
              <w:rFonts w:hint="eastAsia" w:ascii="宋体" w:hAnsi="宋体" w:eastAsia="宋体" w:cs="宋体"/>
            </w:rPr>
            <w:fldChar w:fldCharType="separate"/>
          </w:r>
          <w:r>
            <w:rPr>
              <w:rFonts w:hint="eastAsia" w:ascii="宋体" w:hAnsi="宋体" w:eastAsia="宋体" w:cs="宋体"/>
              <w:szCs w:val="24"/>
            </w:rPr>
            <w:t>三、获取（下载）采购文件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_Toc25663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"_Toc5264" </w:instrText>
          </w:r>
          <w:r>
            <w:rPr>
              <w:rFonts w:hint="eastAsia" w:ascii="宋体" w:hAnsi="宋体" w:eastAsia="宋体" w:cs="宋体"/>
            </w:rPr>
            <w:fldChar w:fldCharType="separate"/>
          </w:r>
          <w:r>
            <w:rPr>
              <w:rFonts w:hint="eastAsia" w:ascii="宋体" w:hAnsi="宋体" w:eastAsia="宋体" w:cs="宋体"/>
              <w:szCs w:val="24"/>
            </w:rPr>
            <w:t>四、响应文件提交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_Toc5264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"_Toc32434" </w:instrText>
          </w:r>
          <w:r>
            <w:rPr>
              <w:rFonts w:hint="eastAsia" w:ascii="宋体" w:hAnsi="宋体" w:eastAsia="宋体" w:cs="宋体"/>
            </w:rPr>
            <w:fldChar w:fldCharType="separate"/>
          </w:r>
          <w:r>
            <w:rPr>
              <w:rFonts w:hint="eastAsia" w:ascii="宋体" w:hAnsi="宋体" w:eastAsia="宋体" w:cs="宋体"/>
              <w:szCs w:val="24"/>
            </w:rPr>
            <w:t>五、响应文件开启</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_Toc32434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"_Toc13366" </w:instrText>
          </w:r>
          <w:r>
            <w:rPr>
              <w:rFonts w:hint="eastAsia" w:ascii="宋体" w:hAnsi="宋体" w:eastAsia="宋体" w:cs="宋体"/>
            </w:rPr>
            <w:fldChar w:fldCharType="separate"/>
          </w:r>
          <w:r>
            <w:rPr>
              <w:rFonts w:hint="eastAsia" w:ascii="宋体" w:hAnsi="宋体" w:eastAsia="宋体" w:cs="宋体"/>
              <w:szCs w:val="24"/>
            </w:rPr>
            <w:t>六、 公告期限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_Toc13366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"_Toc18526" </w:instrText>
          </w:r>
          <w:r>
            <w:rPr>
              <w:rFonts w:hint="eastAsia" w:ascii="宋体" w:hAnsi="宋体" w:eastAsia="宋体" w:cs="宋体"/>
            </w:rPr>
            <w:fldChar w:fldCharType="separate"/>
          </w:r>
          <w:r>
            <w:rPr>
              <w:rFonts w:hint="eastAsia" w:ascii="宋体" w:hAnsi="宋体" w:eastAsia="宋体" w:cs="宋体"/>
              <w:szCs w:val="24"/>
            </w:rPr>
            <w:t>七、其他补充事宜</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_Toc18526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"_Toc31866" </w:instrText>
          </w:r>
          <w:r>
            <w:rPr>
              <w:rFonts w:hint="eastAsia" w:ascii="宋体" w:hAnsi="宋体" w:eastAsia="宋体" w:cs="宋体"/>
            </w:rPr>
            <w:fldChar w:fldCharType="separate"/>
          </w:r>
          <w:r>
            <w:rPr>
              <w:rFonts w:hint="eastAsia" w:ascii="宋体" w:hAnsi="宋体" w:eastAsia="宋体" w:cs="宋体"/>
              <w:szCs w:val="24"/>
            </w:rPr>
            <w:t>八、对本次采购提出询问，请按以下方式联系</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_Toc31866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"_Toc8795" </w:instrText>
          </w:r>
          <w:r>
            <w:rPr>
              <w:rFonts w:hint="eastAsia" w:ascii="宋体" w:hAnsi="宋体" w:eastAsia="宋体" w:cs="宋体"/>
            </w:rPr>
            <w:fldChar w:fldCharType="separate"/>
          </w:r>
          <w:r>
            <w:rPr>
              <w:rFonts w:hint="eastAsia" w:ascii="宋体" w:hAnsi="宋体" w:eastAsia="宋体" w:cs="宋体"/>
              <w:szCs w:val="28"/>
            </w:rPr>
            <w:t>第二部分   投标人须知前附表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_Toc8795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"_Toc28238" </w:instrText>
          </w:r>
          <w:r>
            <w:rPr>
              <w:rFonts w:hint="eastAsia" w:ascii="宋体" w:hAnsi="宋体" w:eastAsia="宋体" w:cs="宋体"/>
            </w:rPr>
            <w:fldChar w:fldCharType="separate"/>
          </w:r>
          <w:r>
            <w:rPr>
              <w:rFonts w:hint="eastAsia" w:ascii="宋体" w:hAnsi="宋体" w:eastAsia="宋体" w:cs="宋体"/>
              <w:bCs/>
              <w:szCs w:val="28"/>
              <w:lang w:val="zh-CN"/>
            </w:rPr>
            <w:t>竞争性磋商项目需二次报价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_Toc28238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"_Toc1313" </w:instrText>
          </w:r>
          <w:r>
            <w:rPr>
              <w:rFonts w:hint="eastAsia" w:ascii="宋体" w:hAnsi="宋体" w:eastAsia="宋体" w:cs="宋体"/>
            </w:rPr>
            <w:fldChar w:fldCharType="separate"/>
          </w:r>
          <w:r>
            <w:rPr>
              <w:rFonts w:hint="eastAsia" w:ascii="宋体" w:hAnsi="宋体" w:eastAsia="宋体" w:cs="宋体"/>
              <w:szCs w:val="28"/>
            </w:rPr>
            <w:t>第三部分   投标人须知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_Toc1313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"_Toc30287" </w:instrText>
          </w:r>
          <w:r>
            <w:rPr>
              <w:rFonts w:hint="eastAsia" w:ascii="宋体" w:hAnsi="宋体" w:eastAsia="宋体" w:cs="宋体"/>
            </w:rPr>
            <w:fldChar w:fldCharType="separate"/>
          </w:r>
          <w:r>
            <w:rPr>
              <w:rFonts w:hint="eastAsia" w:ascii="宋体" w:hAnsi="宋体" w:eastAsia="宋体" w:cs="宋体"/>
              <w:szCs w:val="28"/>
            </w:rPr>
            <w:t>一.总  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_Toc30287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"_Toc20672" </w:instrText>
          </w:r>
          <w:r>
            <w:rPr>
              <w:rFonts w:hint="eastAsia" w:ascii="宋体" w:hAnsi="宋体" w:eastAsia="宋体" w:cs="宋体"/>
            </w:rPr>
            <w:fldChar w:fldCharType="separate"/>
          </w:r>
          <w:r>
            <w:rPr>
              <w:rFonts w:hint="eastAsia" w:ascii="宋体" w:hAnsi="宋体" w:eastAsia="宋体" w:cs="宋体"/>
              <w:szCs w:val="32"/>
              <w:lang w:bidi="ar"/>
            </w:rPr>
            <w:t>编制</w:t>
          </w:r>
          <w:r>
            <w:rPr>
              <w:rFonts w:hint="eastAsia" w:ascii="宋体" w:hAnsi="宋体" w:cs="宋体"/>
              <w:szCs w:val="32"/>
              <w:lang w:eastAsia="zh-CN" w:bidi="ar"/>
            </w:rPr>
            <w:t>人防规划</w:t>
          </w:r>
          <w:r>
            <w:rPr>
              <w:rFonts w:hint="eastAsia" w:ascii="宋体" w:hAnsi="宋体" w:eastAsia="宋体" w:cs="宋体"/>
              <w:szCs w:val="32"/>
              <w:lang w:bidi="ar"/>
            </w:rPr>
            <w:t>报告服务</w:t>
          </w:r>
          <w:r>
            <w:rPr>
              <w:rFonts w:hint="eastAsia" w:ascii="宋体" w:hAnsi="宋体" w:cs="宋体"/>
              <w:szCs w:val="32"/>
              <w:lang w:eastAsia="zh-CN" w:bidi="ar"/>
            </w:rPr>
            <w:t>，并取得成果文件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_Toc20672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"_Toc2734" </w:instrText>
          </w:r>
          <w:r>
            <w:rPr>
              <w:rFonts w:hint="eastAsia" w:ascii="宋体" w:hAnsi="宋体" w:eastAsia="宋体" w:cs="宋体"/>
            </w:rPr>
            <w:fldChar w:fldCharType="separate"/>
          </w:r>
          <w:r>
            <w:rPr>
              <w:rFonts w:hint="eastAsia" w:ascii="宋体" w:hAnsi="宋体" w:eastAsia="宋体" w:cs="宋体"/>
              <w:bCs/>
              <w:szCs w:val="28"/>
            </w:rPr>
            <w:t>第五章  评审方法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_Toc2734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"_Toc18326" </w:instrText>
          </w:r>
          <w:r>
            <w:rPr>
              <w:rFonts w:hint="eastAsia" w:ascii="宋体" w:hAnsi="宋体" w:eastAsia="宋体" w:cs="宋体"/>
            </w:rPr>
            <w:fldChar w:fldCharType="separate"/>
          </w:r>
          <w:r>
            <w:rPr>
              <w:rFonts w:hint="eastAsia" w:ascii="宋体" w:hAnsi="宋体" w:eastAsia="宋体" w:cs="宋体"/>
              <w:szCs w:val="28"/>
            </w:rPr>
            <w:t>投标文件</w:t>
          </w:r>
          <w:r>
            <w:rPr>
              <w:rFonts w:hint="eastAsia" w:ascii="宋体" w:hAnsi="宋体" w:eastAsia="宋体" w:cs="宋体"/>
              <w:bCs/>
              <w:szCs w:val="28"/>
            </w:rPr>
            <w:t>符合性审查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_Toc18326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"_Toc15731" </w:instrText>
          </w:r>
          <w:r>
            <w:rPr>
              <w:rFonts w:hint="eastAsia" w:ascii="宋体" w:hAnsi="宋体" w:eastAsia="宋体" w:cs="宋体"/>
            </w:rPr>
            <w:fldChar w:fldCharType="separate"/>
          </w:r>
          <w:r>
            <w:rPr>
              <w:rFonts w:hint="eastAsia" w:ascii="宋体" w:hAnsi="宋体" w:eastAsia="宋体" w:cs="宋体"/>
              <w:bCs/>
              <w:spacing w:val="4"/>
              <w:szCs w:val="28"/>
            </w:rPr>
            <w:t>竞争性磋商（综合评分）评分细则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_Toc15731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"_Toc20492" </w:instrText>
          </w:r>
          <w:r>
            <w:rPr>
              <w:rFonts w:hint="eastAsia" w:ascii="宋体" w:hAnsi="宋体" w:eastAsia="宋体" w:cs="宋体"/>
            </w:rPr>
            <w:fldChar w:fldCharType="separate"/>
          </w:r>
          <w:r>
            <w:rPr>
              <w:rFonts w:hint="eastAsia" w:ascii="宋体" w:hAnsi="宋体" w:eastAsia="宋体" w:cs="宋体"/>
              <w:szCs w:val="28"/>
            </w:rPr>
            <w:t>三、政策性扣减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_Toc20492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"_Toc3558" </w:instrText>
          </w:r>
          <w:r>
            <w:rPr>
              <w:rFonts w:hint="eastAsia" w:ascii="宋体" w:hAnsi="宋体" w:eastAsia="宋体" w:cs="宋体"/>
            </w:rPr>
            <w:fldChar w:fldCharType="separate"/>
          </w:r>
          <w:r>
            <w:rPr>
              <w:rFonts w:hint="eastAsia" w:ascii="宋体" w:hAnsi="宋体" w:eastAsia="宋体" w:cs="宋体"/>
              <w:szCs w:val="28"/>
            </w:rPr>
            <w:t>四、详细评审（100分）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_Toc3558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"_Toc15580" </w:instrText>
          </w:r>
          <w:r>
            <w:rPr>
              <w:rFonts w:hint="eastAsia" w:ascii="宋体" w:hAnsi="宋体" w:eastAsia="宋体" w:cs="宋体"/>
            </w:rPr>
            <w:fldChar w:fldCharType="separate"/>
          </w:r>
          <w:r>
            <w:rPr>
              <w:rFonts w:hint="eastAsia" w:ascii="宋体" w:hAnsi="宋体" w:eastAsia="宋体" w:cs="宋体"/>
              <w:szCs w:val="28"/>
            </w:rPr>
            <w:t>第六部分   政府采购合同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_Toc15580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"_Toc23065" </w:instrText>
          </w:r>
          <w:r>
            <w:rPr>
              <w:rFonts w:hint="eastAsia" w:ascii="宋体" w:hAnsi="宋体" w:eastAsia="宋体" w:cs="宋体"/>
            </w:rPr>
            <w:fldChar w:fldCharType="separate"/>
          </w:r>
          <w:r>
            <w:rPr>
              <w:rFonts w:hint="eastAsia" w:ascii="宋体" w:hAnsi="宋体" w:eastAsia="宋体" w:cs="宋体"/>
              <w:szCs w:val="28"/>
            </w:rPr>
            <w:t>政府采购合同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_Toc23065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"_Toc6386" </w:instrText>
          </w:r>
          <w:r>
            <w:rPr>
              <w:rFonts w:hint="eastAsia" w:ascii="宋体" w:hAnsi="宋体" w:eastAsia="宋体" w:cs="宋体"/>
            </w:rPr>
            <w:fldChar w:fldCharType="separate"/>
          </w:r>
          <w:r>
            <w:rPr>
              <w:rFonts w:hint="eastAsia" w:ascii="宋体" w:hAnsi="宋体" w:eastAsia="宋体" w:cs="宋体"/>
              <w:szCs w:val="28"/>
            </w:rPr>
            <w:t>（此合同为参考合同）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_Toc6386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"_Toc6634" </w:instrText>
          </w:r>
          <w:r>
            <w:rPr>
              <w:rFonts w:hint="eastAsia" w:ascii="宋体" w:hAnsi="宋体" w:eastAsia="宋体" w:cs="宋体"/>
            </w:rPr>
            <w:fldChar w:fldCharType="separate"/>
          </w:r>
          <w:r>
            <w:rPr>
              <w:rFonts w:hint="eastAsia" w:ascii="宋体" w:hAnsi="宋体" w:eastAsia="宋体" w:cs="宋体"/>
              <w:szCs w:val="28"/>
            </w:rPr>
            <w:t>乙    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_Toc6634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"_Toc6885" </w:instrText>
          </w:r>
          <w:r>
            <w:rPr>
              <w:rFonts w:hint="eastAsia" w:ascii="宋体" w:hAnsi="宋体" w:eastAsia="宋体" w:cs="宋体"/>
            </w:rPr>
            <w:fldChar w:fldCharType="separate"/>
          </w:r>
          <w:r>
            <w:rPr>
              <w:rFonts w:hint="eastAsia" w:ascii="宋体" w:hAnsi="宋体" w:eastAsia="宋体" w:cs="宋体"/>
              <w:kern w:val="2"/>
              <w:szCs w:val="28"/>
            </w:rPr>
            <w:t>第五章  竞争性磋商响应文件格式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_Toc6885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"_Toc5883" </w:instrText>
          </w:r>
          <w:r>
            <w:rPr>
              <w:rFonts w:hint="eastAsia" w:ascii="宋体" w:hAnsi="宋体" w:eastAsia="宋体" w:cs="宋体"/>
            </w:rPr>
            <w:fldChar w:fldCharType="separate"/>
          </w:r>
          <w:r>
            <w:rPr>
              <w:rFonts w:hint="eastAsia" w:ascii="宋体" w:hAnsi="宋体" w:eastAsia="宋体" w:cs="宋体"/>
              <w:szCs w:val="28"/>
            </w:rPr>
            <w:t>竞争性磋商响应文件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_Toc5883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"_Toc17813" </w:instrText>
          </w:r>
          <w:r>
            <w:rPr>
              <w:rFonts w:hint="eastAsia" w:ascii="宋体" w:hAnsi="宋体" w:eastAsia="宋体" w:cs="宋体"/>
            </w:rPr>
            <w:fldChar w:fldCharType="separate"/>
          </w:r>
          <w:r>
            <w:rPr>
              <w:rFonts w:hint="eastAsia" w:ascii="宋体" w:hAnsi="宋体" w:eastAsia="宋体" w:cs="宋体"/>
              <w:szCs w:val="28"/>
            </w:rPr>
            <w:t>年   月   日  目  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_Toc17813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"_Toc12648" </w:instrText>
          </w:r>
          <w:r>
            <w:rPr>
              <w:rFonts w:hint="eastAsia" w:ascii="宋体" w:hAnsi="宋体" w:eastAsia="宋体" w:cs="宋体"/>
            </w:rPr>
            <w:fldChar w:fldCharType="separate"/>
          </w:r>
          <w:r>
            <w:rPr>
              <w:rFonts w:hint="eastAsia" w:ascii="宋体" w:hAnsi="宋体" w:eastAsia="宋体" w:cs="宋体"/>
              <w:bCs/>
              <w:spacing w:val="4"/>
              <w:szCs w:val="28"/>
            </w:rPr>
            <w:t>附件一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_Toc12648 \h </w:instrText>
          </w:r>
          <w:r>
            <w:rPr>
              <w:rFonts w:hint="eastAsia" w:ascii="宋体" w:hAnsi="宋体" w:eastAsia="宋体" w:cs="宋体"/>
            </w:rPr>
            <w:fldChar w:fldCharType="separate"/>
          </w:r>
          <w:r>
            <w:rPr>
              <w:rFonts w:hint="eastAsia" w:ascii="宋体" w:hAnsi="宋体" w:eastAsia="宋体" w:cs="宋体"/>
            </w:rPr>
            <w:t>29</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"_Toc9850" </w:instrText>
          </w:r>
          <w:r>
            <w:rPr>
              <w:rFonts w:hint="eastAsia" w:ascii="宋体" w:hAnsi="宋体" w:eastAsia="宋体" w:cs="宋体"/>
            </w:rPr>
            <w:fldChar w:fldCharType="separate"/>
          </w:r>
          <w:r>
            <w:rPr>
              <w:rFonts w:hint="eastAsia" w:ascii="宋体" w:hAnsi="宋体" w:eastAsia="宋体" w:cs="宋体"/>
              <w:bCs/>
              <w:spacing w:val="4"/>
              <w:szCs w:val="28"/>
            </w:rPr>
            <w:t>附件二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_Toc9850 \h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"_Toc32590" </w:instrText>
          </w:r>
          <w:r>
            <w:rPr>
              <w:rFonts w:hint="eastAsia" w:ascii="宋体" w:hAnsi="宋体" w:eastAsia="宋体" w:cs="宋体"/>
            </w:rPr>
            <w:fldChar w:fldCharType="separate"/>
          </w:r>
          <w:r>
            <w:rPr>
              <w:rFonts w:hint="eastAsia" w:ascii="宋体" w:hAnsi="宋体" w:eastAsia="宋体" w:cs="宋体"/>
              <w:bCs/>
              <w:spacing w:val="4"/>
              <w:szCs w:val="28"/>
            </w:rPr>
            <w:t>附件三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_Toc32590 \h </w:instrText>
          </w:r>
          <w:r>
            <w:rPr>
              <w:rFonts w:hint="eastAsia" w:ascii="宋体" w:hAnsi="宋体" w:eastAsia="宋体" w:cs="宋体"/>
            </w:rPr>
            <w:fldChar w:fldCharType="separate"/>
          </w:r>
          <w:r>
            <w:rPr>
              <w:rFonts w:hint="eastAsia" w:ascii="宋体" w:hAnsi="宋体" w:eastAsia="宋体" w:cs="宋体"/>
            </w:rPr>
            <w:t>31</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"_Toc26533" </w:instrText>
          </w:r>
          <w:r>
            <w:rPr>
              <w:rFonts w:hint="eastAsia" w:ascii="宋体" w:hAnsi="宋体" w:eastAsia="宋体" w:cs="宋体"/>
            </w:rPr>
            <w:fldChar w:fldCharType="separate"/>
          </w:r>
          <w:r>
            <w:rPr>
              <w:rFonts w:hint="eastAsia" w:ascii="宋体" w:hAnsi="宋体" w:eastAsia="宋体" w:cs="宋体"/>
              <w:bCs/>
              <w:spacing w:val="4"/>
              <w:szCs w:val="28"/>
            </w:rPr>
            <w:t>附件四</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_Toc26533 \h </w:instrText>
          </w:r>
          <w:r>
            <w:rPr>
              <w:rFonts w:hint="eastAsia" w:ascii="宋体" w:hAnsi="宋体" w:eastAsia="宋体" w:cs="宋体"/>
            </w:rPr>
            <w:fldChar w:fldCharType="separate"/>
          </w:r>
          <w:r>
            <w:rPr>
              <w:rFonts w:hint="eastAsia" w:ascii="宋体" w:hAnsi="宋体" w:eastAsia="宋体" w:cs="宋体"/>
            </w:rPr>
            <w:t>32</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"_Toc17753" </w:instrText>
          </w:r>
          <w:r>
            <w:rPr>
              <w:rFonts w:hint="eastAsia" w:ascii="宋体" w:hAnsi="宋体" w:eastAsia="宋体" w:cs="宋体"/>
            </w:rPr>
            <w:fldChar w:fldCharType="separate"/>
          </w:r>
          <w:r>
            <w:rPr>
              <w:rFonts w:hint="eastAsia" w:ascii="宋体" w:hAnsi="宋体" w:eastAsia="宋体" w:cs="宋体"/>
              <w:bCs/>
              <w:spacing w:val="4"/>
              <w:szCs w:val="28"/>
            </w:rPr>
            <w:t>附件五</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_Toc17753 \h </w:instrText>
          </w:r>
          <w:r>
            <w:rPr>
              <w:rFonts w:hint="eastAsia" w:ascii="宋体" w:hAnsi="宋体" w:eastAsia="宋体" w:cs="宋体"/>
            </w:rPr>
            <w:fldChar w:fldCharType="separate"/>
          </w:r>
          <w:r>
            <w:rPr>
              <w:rFonts w:hint="eastAsia" w:ascii="宋体" w:hAnsi="宋体" w:eastAsia="宋体" w:cs="宋体"/>
            </w:rPr>
            <w:t>33</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"_Toc23168" </w:instrText>
          </w:r>
          <w:r>
            <w:rPr>
              <w:rFonts w:hint="eastAsia" w:ascii="宋体" w:hAnsi="宋体" w:eastAsia="宋体" w:cs="宋体"/>
            </w:rPr>
            <w:fldChar w:fldCharType="separate"/>
          </w:r>
          <w:r>
            <w:rPr>
              <w:rFonts w:hint="eastAsia" w:ascii="宋体" w:hAnsi="宋体" w:eastAsia="宋体" w:cs="宋体"/>
              <w:bCs/>
              <w:spacing w:val="4"/>
              <w:kern w:val="2"/>
              <w:szCs w:val="28"/>
            </w:rPr>
            <w:t>附件六</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_Toc23168 \h </w:instrText>
          </w:r>
          <w:r>
            <w:rPr>
              <w:rFonts w:hint="eastAsia" w:ascii="宋体" w:hAnsi="宋体" w:eastAsia="宋体" w:cs="宋体"/>
            </w:rPr>
            <w:fldChar w:fldCharType="separate"/>
          </w:r>
          <w:r>
            <w:rPr>
              <w:rFonts w:hint="eastAsia" w:ascii="宋体" w:hAnsi="宋体" w:eastAsia="宋体" w:cs="宋体"/>
            </w:rPr>
            <w:t>34</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"_Toc30965" </w:instrText>
          </w:r>
          <w:r>
            <w:rPr>
              <w:rFonts w:hint="eastAsia" w:ascii="宋体" w:hAnsi="宋体" w:eastAsia="宋体" w:cs="宋体"/>
            </w:rPr>
            <w:fldChar w:fldCharType="separate"/>
          </w:r>
          <w:r>
            <w:rPr>
              <w:rFonts w:hint="eastAsia" w:ascii="宋体" w:hAnsi="宋体" w:eastAsia="宋体" w:cs="宋体"/>
              <w:spacing w:val="4"/>
              <w:szCs w:val="28"/>
            </w:rPr>
            <w:t>附件七</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_Toc30965 \h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"_Toc2507" </w:instrText>
          </w:r>
          <w:r>
            <w:rPr>
              <w:rFonts w:hint="eastAsia" w:ascii="宋体" w:hAnsi="宋体" w:eastAsia="宋体" w:cs="宋体"/>
            </w:rPr>
            <w:fldChar w:fldCharType="separate"/>
          </w:r>
          <w:r>
            <w:rPr>
              <w:rFonts w:hint="eastAsia" w:ascii="宋体" w:hAnsi="宋体" w:eastAsia="宋体" w:cs="宋体"/>
              <w:spacing w:val="4"/>
              <w:szCs w:val="28"/>
            </w:rPr>
            <w:t>附件八</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_Toc2507 \h </w:instrText>
          </w:r>
          <w:r>
            <w:rPr>
              <w:rFonts w:hint="eastAsia" w:ascii="宋体" w:hAnsi="宋体" w:eastAsia="宋体" w:cs="宋体"/>
            </w:rPr>
            <w:fldChar w:fldCharType="separate"/>
          </w:r>
          <w:r>
            <w:rPr>
              <w:rFonts w:hint="eastAsia" w:ascii="宋体" w:hAnsi="宋体" w:eastAsia="宋体" w:cs="宋体"/>
            </w:rPr>
            <w:t>36</w:t>
          </w:r>
          <w:r>
            <w:rPr>
              <w:rFonts w:hint="eastAsia" w:ascii="宋体" w:hAnsi="宋体" w:eastAsia="宋体" w:cs="宋体"/>
            </w:rPr>
            <w:fldChar w:fldCharType="end"/>
          </w:r>
          <w:r>
            <w:rPr>
              <w:rFonts w:hint="eastAsia" w:ascii="宋体" w:hAnsi="宋体" w:eastAsia="宋体" w:cs="宋体"/>
            </w:rPr>
            <w:fldChar w:fldCharType="end"/>
          </w:r>
        </w:p>
        <w:p>
          <w:pPr>
            <w:pStyle w:val="84"/>
            <w:keepNext w:val="0"/>
            <w:keepLines w:val="0"/>
            <w:pageBreakBefore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"_Toc16599" </w:instrText>
          </w:r>
          <w:r>
            <w:rPr>
              <w:rFonts w:hint="eastAsia" w:ascii="宋体" w:hAnsi="宋体" w:eastAsia="宋体" w:cs="宋体"/>
            </w:rPr>
            <w:fldChar w:fldCharType="separate"/>
          </w:r>
          <w:r>
            <w:rPr>
              <w:rFonts w:hint="eastAsia" w:ascii="宋体" w:hAnsi="宋体" w:eastAsia="宋体" w:cs="宋体"/>
              <w:spacing w:val="4"/>
              <w:szCs w:val="28"/>
            </w:rPr>
            <w:t>附件九</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_Toc16599 \h </w:instrText>
          </w:r>
          <w:r>
            <w:rPr>
              <w:rFonts w:hint="eastAsia" w:ascii="宋体" w:hAnsi="宋体" w:eastAsia="宋体" w:cs="宋体"/>
            </w:rPr>
            <w:fldChar w:fldCharType="separate"/>
          </w:r>
          <w:r>
            <w:rPr>
              <w:rFonts w:hint="eastAsia" w:ascii="宋体" w:hAnsi="宋体" w:eastAsia="宋体" w:cs="宋体"/>
            </w:rPr>
            <w:t>37</w:t>
          </w:r>
          <w:r>
            <w:rPr>
              <w:rFonts w:hint="eastAsia" w:ascii="宋体" w:hAnsi="宋体" w:eastAsia="宋体" w:cs="宋体"/>
            </w:rPr>
            <w:fldChar w:fldCharType="end"/>
          </w:r>
          <w:r>
            <w:rPr>
              <w:rFonts w:hint="eastAsia" w:ascii="宋体" w:hAnsi="宋体" w:eastAsia="宋体" w:cs="宋体"/>
            </w:rPr>
            <w:fldChar w:fldCharType="end"/>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8"/>
              <w:szCs w:val="28"/>
              <w:lang w:val="zh-CN"/>
            </w:rPr>
          </w:pPr>
          <w:r>
            <w:rPr>
              <w:rFonts w:hint="eastAsia" w:ascii="宋体" w:hAnsi="宋体" w:eastAsia="宋体" w:cs="宋体"/>
              <w:bCs/>
              <w:szCs w:val="28"/>
              <w:lang w:val="zh-CN"/>
            </w:rPr>
            <w:fldChar w:fldCharType="end"/>
          </w:r>
        </w:p>
      </w:sdtContent>
    </w:sdt>
    <w:p>
      <w:pPr>
        <w:pageBreakBefore w:val="0"/>
        <w:wordWrap/>
        <w:bidi w:val="0"/>
        <w:spacing w:line="700" w:lineRule="exact"/>
        <w:rPr>
          <w:rFonts w:hint="eastAsia" w:ascii="宋体" w:hAnsi="宋体" w:eastAsia="宋体" w:cs="宋体"/>
          <w:b/>
          <w:bCs/>
          <w:sz w:val="28"/>
          <w:szCs w:val="28"/>
          <w:lang w:val="zh-CN"/>
        </w:rPr>
      </w:pPr>
    </w:p>
    <w:p>
      <w:pPr>
        <w:pageBreakBefore w:val="0"/>
        <w:wordWrap/>
        <w:bidi w:val="0"/>
        <w:spacing w:line="700" w:lineRule="exact"/>
        <w:rPr>
          <w:rFonts w:hint="eastAsia" w:ascii="宋体" w:hAnsi="宋体" w:eastAsia="宋体" w:cs="宋体"/>
          <w:b/>
          <w:bCs/>
          <w:sz w:val="28"/>
          <w:szCs w:val="28"/>
          <w:lang w:val="zh-CN"/>
        </w:rPr>
      </w:pPr>
    </w:p>
    <w:p>
      <w:pPr>
        <w:pStyle w:val="2"/>
        <w:pageBreakBefore w:val="0"/>
        <w:wordWrap/>
        <w:bidi w:val="0"/>
        <w:spacing w:line="700" w:lineRule="exact"/>
        <w:ind w:left="0" w:firstLine="0" w:firstLineChars="0"/>
        <w:rPr>
          <w:rFonts w:hint="eastAsia" w:ascii="宋体" w:hAnsi="宋体" w:eastAsia="宋体" w:cs="宋体"/>
          <w:sz w:val="28"/>
          <w:szCs w:val="28"/>
        </w:rPr>
      </w:pPr>
    </w:p>
    <w:p>
      <w:pPr>
        <w:pStyle w:val="43"/>
        <w:pageBreakBefore w:val="0"/>
        <w:numPr>
          <w:ilvl w:val="4"/>
          <w:numId w:val="0"/>
        </w:numPr>
        <w:wordWrap/>
        <w:bidi w:val="0"/>
        <w:spacing w:line="700" w:lineRule="exact"/>
        <w:rPr>
          <w:rFonts w:hint="eastAsia" w:ascii="宋体" w:hAnsi="宋体" w:eastAsia="宋体" w:cs="宋体"/>
          <w:sz w:val="28"/>
          <w:szCs w:val="28"/>
        </w:rPr>
        <w:sectPr>
          <w:footerReference r:id="rId6" w:type="default"/>
          <w:pgSz w:w="11906" w:h="16838"/>
          <w:pgMar w:top="1440" w:right="1800" w:bottom="1440" w:left="1800" w:header="851" w:footer="992" w:gutter="0"/>
          <w:pgNumType w:start="1"/>
          <w:cols w:space="720" w:num="1"/>
          <w:docGrid w:type="lines" w:linePitch="312" w:charSpace="0"/>
        </w:sectPr>
      </w:pPr>
    </w:p>
    <w:p>
      <w:pPr>
        <w:pStyle w:val="3"/>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 w:hAnsi="仿宋" w:eastAsia="仿宋" w:cs="仿宋"/>
          <w:color w:val="000000"/>
          <w:sz w:val="32"/>
          <w:szCs w:val="32"/>
          <w:shd w:val="clear" w:fill="FFFFFF"/>
        </w:rPr>
      </w:pPr>
      <w:bookmarkStart w:id="0" w:name="_Toc8795"/>
      <w:bookmarkStart w:id="1" w:name="_Toc33212754"/>
      <w:bookmarkStart w:id="2" w:name="_Toc33194700"/>
      <w:r>
        <w:rPr>
          <w:rFonts w:hint="eastAsia" w:ascii="黑体" w:hAnsi="黑体" w:eastAsia="黑体" w:cs="黑体"/>
          <w:b/>
          <w:bCs/>
          <w:color w:val="333333"/>
          <w:sz w:val="44"/>
          <w:szCs w:val="44"/>
          <w:shd w:val="clear" w:fill="FFFFFF"/>
          <w:lang w:eastAsia="zh-CN"/>
        </w:rPr>
        <w:t>阿克苏商贸物流产业园区域人防工程建设规划项目的竞争性磋商公告</w:t>
      </w:r>
      <w:r>
        <w:rPr>
          <w:rFonts w:hint="eastAsia" w:ascii="仿宋" w:hAnsi="仿宋" w:eastAsia="仿宋" w:cs="仿宋"/>
          <w:color w:val="000000"/>
          <w:sz w:val="32"/>
          <w:szCs w:val="32"/>
          <w:shd w:val="clear" w:fill="FFFFFF"/>
        </w:rPr>
        <w:t xml:space="preserve"> </w:t>
      </w:r>
    </w:p>
    <w:p>
      <w:pPr>
        <w:rPr>
          <w:rFonts w:hint="eastAsia"/>
        </w:rPr>
      </w:pPr>
    </w:p>
    <w:p>
      <w:pPr>
        <w:keepNext w:val="0"/>
        <w:keepLines w:val="0"/>
        <w:pageBreakBefore w:val="0"/>
        <w:widowControl/>
        <w:suppressLineNumbers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450" w:beforeAutospacing="0" w:after="450" w:afterAutospacing="0" w:line="520" w:lineRule="exact"/>
        <w:ind w:left="450" w:right="450" w:firstLine="640" w:firstLineChars="200"/>
        <w:jc w:val="left"/>
        <w:textAlignment w:val="auto"/>
        <w:rPr>
          <w:rFonts w:hint="default" w:ascii="仿宋" w:hAnsi="仿宋" w:eastAsia="仿宋" w:cs="仿宋"/>
          <w:color w:val="333333"/>
          <w:kern w:val="2"/>
          <w:sz w:val="32"/>
          <w:szCs w:val="32"/>
          <w:u w:val="none"/>
          <w:shd w:val="clear" w:fill="FFFFFF"/>
          <w:lang w:val="en-US" w:eastAsia="zh-CN" w:bidi="ar"/>
        </w:rPr>
      </w:pPr>
      <w:r>
        <w:rPr>
          <w:rFonts w:hint="eastAsia" w:ascii="仿宋" w:hAnsi="仿宋" w:eastAsia="仿宋" w:cs="仿宋"/>
          <w:color w:val="333333"/>
          <w:kern w:val="2"/>
          <w:sz w:val="32"/>
          <w:szCs w:val="32"/>
          <w:u w:val="none"/>
          <w:shd w:val="clear" w:fill="FFFFFF"/>
          <w:lang w:val="en-US" w:eastAsia="zh-CN" w:bidi="ar"/>
        </w:rPr>
        <w:t xml:space="preserve">项目概况  </w:t>
      </w:r>
    </w:p>
    <w:p>
      <w:pPr>
        <w:keepNext w:val="0"/>
        <w:keepLines w:val="0"/>
        <w:pageBreakBefore w:val="0"/>
        <w:widowControl/>
        <w:suppressLineNumbers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450" w:beforeAutospacing="0" w:after="450" w:afterAutospacing="0" w:line="520" w:lineRule="exact"/>
        <w:ind w:left="450" w:right="450" w:firstLine="640" w:firstLineChars="200"/>
        <w:jc w:val="left"/>
        <w:textAlignment w:val="auto"/>
        <w:rPr>
          <w:rFonts w:hint="eastAsia" w:ascii="仿宋" w:hAnsi="仿宋" w:eastAsia="仿宋" w:cs="仿宋"/>
          <w:sz w:val="32"/>
          <w:szCs w:val="32"/>
          <w:u w:val="none"/>
        </w:rPr>
      </w:pPr>
      <w:r>
        <w:rPr>
          <w:rFonts w:hint="eastAsia" w:ascii="仿宋" w:hAnsi="仿宋" w:eastAsia="仿宋" w:cs="仿宋"/>
          <w:color w:val="333333"/>
          <w:kern w:val="2"/>
          <w:sz w:val="32"/>
          <w:szCs w:val="32"/>
          <w:u w:val="none"/>
          <w:shd w:val="clear" w:fill="FFFFFF"/>
          <w:lang w:val="en-US" w:eastAsia="zh-CN" w:bidi="ar"/>
        </w:rPr>
        <w:t>阿克苏商贸物流产业园区域人防工程建设规划项目的潜在投标人应在新疆政府采购网（政采云平台）获取招标文件，并于2021年11月08日10点30分（北京时间）前递交投标文件。</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bCs/>
          <w:color w:val="333333"/>
          <w:kern w:val="2"/>
          <w:sz w:val="32"/>
          <w:szCs w:val="32"/>
          <w:u w:val="none"/>
          <w:shd w:val="clear" w:fill="FFFFFF"/>
        </w:rPr>
      </w:pPr>
      <w:bookmarkStart w:id="3" w:name="_Hlk24379207"/>
      <w:r>
        <w:rPr>
          <w:rFonts w:hint="eastAsia" w:ascii="仿宋" w:hAnsi="仿宋" w:eastAsia="仿宋" w:cs="仿宋"/>
          <w:b/>
          <w:bCs/>
          <w:color w:val="333333"/>
          <w:kern w:val="2"/>
          <w:sz w:val="32"/>
          <w:szCs w:val="32"/>
          <w:u w:val="none"/>
          <w:shd w:val="clear" w:fill="FFFFFF"/>
          <w:lang w:eastAsia="zh-CN"/>
        </w:rPr>
        <w:t>一、</w:t>
      </w:r>
      <w:r>
        <w:rPr>
          <w:rFonts w:hint="eastAsia" w:ascii="仿宋" w:hAnsi="仿宋" w:eastAsia="仿宋" w:cs="仿宋"/>
          <w:b/>
          <w:bCs/>
          <w:color w:val="333333"/>
          <w:kern w:val="2"/>
          <w:sz w:val="32"/>
          <w:szCs w:val="32"/>
          <w:u w:val="none"/>
          <w:shd w:val="clear" w:fill="FFFFFF"/>
        </w:rPr>
        <w:t>项目基本情况</w:t>
      </w:r>
      <w:bookmarkEnd w:id="3"/>
    </w:p>
    <w:p>
      <w:pPr>
        <w:keepNext w:val="0"/>
        <w:keepLines w:val="0"/>
        <w:pageBreakBefore w:val="0"/>
        <w:kinsoku/>
        <w:wordWrap/>
        <w:overflowPunct/>
        <w:topLinePunct w:val="0"/>
        <w:autoSpaceDE/>
        <w:autoSpaceDN/>
        <w:bidi w:val="0"/>
        <w:adjustRightInd/>
        <w:snapToGrid/>
        <w:spacing w:line="500" w:lineRule="exact"/>
        <w:ind w:firstLine="643" w:firstLineChars="200"/>
        <w:jc w:val="left"/>
        <w:textAlignment w:val="auto"/>
        <w:rPr>
          <w:rFonts w:hint="default" w:ascii="仿宋" w:hAnsi="仿宋" w:eastAsia="仿宋" w:cs="仿宋"/>
          <w:b/>
          <w:bCs/>
          <w:color w:val="auto"/>
          <w:kern w:val="2"/>
          <w:sz w:val="32"/>
          <w:szCs w:val="32"/>
          <w:shd w:val="clear" w:fill="FFFFFF"/>
          <w:lang w:val="en-US" w:eastAsia="zh-CN" w:bidi="ar"/>
        </w:rPr>
      </w:pPr>
      <w:r>
        <w:rPr>
          <w:rFonts w:hint="eastAsia" w:ascii="仿宋" w:hAnsi="仿宋" w:eastAsia="仿宋" w:cs="仿宋"/>
          <w:b/>
          <w:bCs/>
          <w:color w:val="333333"/>
          <w:kern w:val="2"/>
          <w:sz w:val="32"/>
          <w:szCs w:val="32"/>
          <w:shd w:val="clear" w:fill="FFFFFF"/>
          <w:lang w:val="en-US" w:eastAsia="zh-CN" w:bidi="ar"/>
        </w:rPr>
        <w:t>项目编号</w:t>
      </w:r>
      <w:r>
        <w:rPr>
          <w:rFonts w:hint="eastAsia" w:ascii="仿宋" w:hAnsi="仿宋" w:eastAsia="仿宋" w:cs="仿宋"/>
          <w:color w:val="333333"/>
          <w:kern w:val="2"/>
          <w:sz w:val="32"/>
          <w:szCs w:val="32"/>
          <w:shd w:val="clear" w:fill="FFFFFF"/>
          <w:lang w:val="en-US" w:eastAsia="zh-CN" w:bidi="ar"/>
        </w:rPr>
        <w:t>：</w:t>
      </w:r>
      <w:r>
        <w:rPr>
          <w:rFonts w:hint="eastAsia" w:ascii="仿宋" w:hAnsi="仿宋" w:eastAsia="仿宋" w:cs="仿宋"/>
          <w:b/>
          <w:bCs/>
          <w:color w:val="auto"/>
          <w:kern w:val="2"/>
          <w:sz w:val="32"/>
          <w:szCs w:val="32"/>
          <w:shd w:val="clear" w:fill="FFFFFF"/>
          <w:lang w:val="en-US" w:eastAsia="zh-CN" w:bidi="ar"/>
        </w:rPr>
        <w:t>2021-539</w:t>
      </w:r>
    </w:p>
    <w:p>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333333"/>
          <w:kern w:val="2"/>
          <w:sz w:val="32"/>
          <w:szCs w:val="32"/>
          <w:shd w:val="clear" w:fill="FFFFFF"/>
          <w:lang w:val="en-US" w:eastAsia="zh-CN" w:bidi="ar"/>
        </w:rPr>
      </w:pPr>
      <w:r>
        <w:rPr>
          <w:rFonts w:hint="eastAsia" w:ascii="仿宋" w:hAnsi="仿宋" w:eastAsia="仿宋" w:cs="仿宋"/>
          <w:color w:val="333333"/>
          <w:kern w:val="2"/>
          <w:sz w:val="32"/>
          <w:szCs w:val="32"/>
          <w:shd w:val="clear" w:fill="FFFFFF"/>
          <w:lang w:val="en-US" w:eastAsia="zh-CN" w:bidi="ar"/>
        </w:rPr>
        <w:t>项目名称：阿克苏商贸物流产业园区域人防工程建设规划项目</w:t>
      </w:r>
    </w:p>
    <w:p>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333333"/>
          <w:kern w:val="2"/>
          <w:sz w:val="32"/>
          <w:szCs w:val="32"/>
          <w:shd w:val="clear" w:fill="FFFFFF"/>
        </w:rPr>
      </w:pPr>
      <w:r>
        <w:rPr>
          <w:rFonts w:hint="eastAsia" w:ascii="仿宋" w:hAnsi="仿宋" w:eastAsia="仿宋" w:cs="仿宋"/>
          <w:color w:val="333333"/>
          <w:kern w:val="2"/>
          <w:sz w:val="32"/>
          <w:szCs w:val="32"/>
          <w:shd w:val="clear" w:fill="FFFFFF"/>
        </w:rPr>
        <w:t>采购方式：</w:t>
      </w:r>
      <w:r>
        <w:rPr>
          <w:rFonts w:hint="eastAsia" w:ascii="仿宋" w:hAnsi="仿宋" w:eastAsia="仿宋" w:cs="仿宋"/>
          <w:color w:val="333333"/>
          <w:kern w:val="2"/>
          <w:sz w:val="32"/>
          <w:szCs w:val="32"/>
          <w:shd w:val="clear" w:fill="FFFFFF"/>
          <w:lang w:eastAsia="zh-CN"/>
        </w:rPr>
        <w:t>竞争性磋商</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450" w:firstLine="640" w:firstLineChars="200"/>
        <w:jc w:val="left"/>
        <w:textAlignment w:val="auto"/>
        <w:rPr>
          <w:rFonts w:hint="default" w:ascii="仿宋" w:hAnsi="仿宋" w:eastAsia="仿宋" w:cs="仿宋"/>
          <w:color w:val="333333"/>
          <w:kern w:val="2"/>
          <w:sz w:val="32"/>
          <w:szCs w:val="32"/>
          <w:shd w:val="clear" w:fill="FFFFFF"/>
          <w:lang w:val="en-US" w:eastAsia="zh-CN" w:bidi="ar"/>
        </w:rPr>
      </w:pPr>
      <w:r>
        <w:rPr>
          <w:rFonts w:hint="eastAsia" w:ascii="仿宋" w:hAnsi="仿宋" w:eastAsia="仿宋" w:cs="仿宋"/>
          <w:color w:val="333333"/>
          <w:kern w:val="2"/>
          <w:sz w:val="32"/>
          <w:szCs w:val="32"/>
          <w:shd w:val="clear" w:fill="FFFFFF"/>
          <w:lang w:val="en-US" w:eastAsia="zh-CN" w:bidi="ar"/>
        </w:rPr>
        <w:t>预算金额</w:t>
      </w:r>
      <w:r>
        <w:rPr>
          <w:rFonts w:hint="eastAsia" w:ascii="仿宋" w:hAnsi="仿宋" w:eastAsia="仿宋" w:cs="仿宋"/>
          <w:i w:val="0"/>
          <w:iCs w:val="0"/>
          <w:caps w:val="0"/>
          <w:color w:val="333333"/>
          <w:spacing w:val="0"/>
          <w:kern w:val="0"/>
          <w:sz w:val="32"/>
          <w:szCs w:val="32"/>
          <w:shd w:val="clear" w:fill="FFFFFF"/>
          <w:lang w:val="en-US" w:eastAsia="zh-CN" w:bidi="ar"/>
        </w:rPr>
        <w:t>（元）</w:t>
      </w:r>
      <w:r>
        <w:rPr>
          <w:rFonts w:hint="eastAsia" w:ascii="仿宋" w:hAnsi="仿宋" w:eastAsia="仿宋" w:cs="仿宋"/>
          <w:color w:val="333333"/>
          <w:kern w:val="2"/>
          <w:sz w:val="32"/>
          <w:szCs w:val="32"/>
          <w:shd w:val="clear" w:fill="FFFFFF"/>
          <w:lang w:val="en-US" w:eastAsia="zh-CN" w:bidi="ar"/>
        </w:rPr>
        <w:t>：350000</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450" w:firstLine="640" w:firstLineChars="200"/>
        <w:jc w:val="left"/>
        <w:textAlignment w:val="auto"/>
        <w:rPr>
          <w:rFonts w:hint="default" w:ascii="仿宋" w:hAnsi="仿宋" w:eastAsia="仿宋" w:cs="仿宋"/>
          <w:color w:val="333333"/>
          <w:kern w:val="2"/>
          <w:sz w:val="32"/>
          <w:szCs w:val="32"/>
          <w:shd w:val="clear" w:fill="FFFFFF"/>
          <w:lang w:val="en-US" w:eastAsia="zh-CN" w:bidi="ar"/>
        </w:rPr>
      </w:pPr>
      <w:r>
        <w:rPr>
          <w:rFonts w:hint="eastAsia" w:ascii="仿宋" w:hAnsi="仿宋" w:eastAsia="仿宋" w:cs="仿宋"/>
          <w:color w:val="333333"/>
          <w:kern w:val="2"/>
          <w:sz w:val="32"/>
          <w:szCs w:val="32"/>
          <w:shd w:val="clear" w:fill="FFFFFF"/>
          <w:lang w:val="en-US" w:eastAsia="zh-CN" w:bidi="ar"/>
        </w:rPr>
        <w:t>最高限价</w:t>
      </w:r>
      <w:r>
        <w:rPr>
          <w:rFonts w:hint="eastAsia" w:ascii="仿宋" w:hAnsi="仿宋" w:eastAsia="仿宋" w:cs="仿宋"/>
          <w:i w:val="0"/>
          <w:iCs w:val="0"/>
          <w:caps w:val="0"/>
          <w:color w:val="333333"/>
          <w:spacing w:val="0"/>
          <w:kern w:val="0"/>
          <w:sz w:val="32"/>
          <w:szCs w:val="32"/>
          <w:shd w:val="clear" w:fill="FFFFFF"/>
          <w:lang w:val="en-US" w:eastAsia="zh-CN" w:bidi="ar"/>
        </w:rPr>
        <w:t>（元）</w:t>
      </w:r>
      <w:r>
        <w:rPr>
          <w:rFonts w:hint="eastAsia" w:ascii="仿宋" w:hAnsi="仿宋" w:eastAsia="仿宋" w:cs="仿宋"/>
          <w:color w:val="333333"/>
          <w:kern w:val="2"/>
          <w:sz w:val="32"/>
          <w:szCs w:val="32"/>
          <w:shd w:val="clear" w:fill="FFFFFF"/>
          <w:lang w:val="en-US" w:eastAsia="zh-CN" w:bidi="ar"/>
        </w:rPr>
        <w:t>：350000</w:t>
      </w:r>
    </w:p>
    <w:p>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color w:val="333333"/>
          <w:kern w:val="2"/>
          <w:sz w:val="32"/>
          <w:szCs w:val="32"/>
          <w:shd w:val="clear" w:fill="FFFFFF"/>
          <w:lang w:val="en-US" w:eastAsia="zh-CN" w:bidi="ar"/>
        </w:rPr>
      </w:pPr>
      <w:r>
        <w:rPr>
          <w:rFonts w:hint="eastAsia" w:ascii="仿宋" w:hAnsi="仿宋" w:eastAsia="仿宋" w:cs="仿宋"/>
          <w:color w:val="333333"/>
          <w:kern w:val="2"/>
          <w:sz w:val="32"/>
          <w:szCs w:val="32"/>
          <w:shd w:val="clear" w:fill="FFFFFF"/>
          <w:lang w:val="en-US" w:eastAsia="zh-CN" w:bidi="ar"/>
        </w:rPr>
        <w:t>采购需求：人防工程建设规划工作，并提交人防工程建设规划报告成果文件。</w:t>
      </w:r>
    </w:p>
    <w:p>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 xml:space="preserve">标项名称: </w:t>
      </w:r>
      <w:r>
        <w:rPr>
          <w:rFonts w:hint="eastAsia" w:ascii="仿宋" w:hAnsi="仿宋" w:eastAsia="仿宋" w:cs="仿宋"/>
          <w:color w:val="333333"/>
          <w:kern w:val="2"/>
          <w:sz w:val="32"/>
          <w:szCs w:val="32"/>
          <w:shd w:val="clear" w:fill="FFFFFF"/>
          <w:lang w:val="en-US" w:eastAsia="zh-CN" w:bidi="ar"/>
        </w:rPr>
        <w:t>阿克苏商贸物流产业园区域人防工程建设规划项目</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2558" w:leftChars="304" w:right="450" w:hanging="1920" w:hangingChars="600"/>
        <w:jc w:val="both"/>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 xml:space="preserve">数量: 1  </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638" w:leftChars="304" w:right="450" w:firstLine="0" w:firstLineChars="0"/>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预算金额（元）:350000</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638" w:leftChars="304" w:right="450" w:firstLine="0" w:firstLineChars="0"/>
        <w:jc w:val="left"/>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 xml:space="preserve">单位：项 </w:t>
      </w:r>
    </w:p>
    <w:p>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简要规格描述或项目基本概况介绍、用途：详见磋商文件</w:t>
      </w:r>
    </w:p>
    <w:p>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备注：</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450" w:firstLine="320" w:firstLineChars="100"/>
        <w:jc w:val="left"/>
        <w:textAlignment w:val="auto"/>
        <w:rPr>
          <w:rFonts w:hint="eastAsia" w:ascii="仿宋" w:hAnsi="仿宋" w:eastAsia="仿宋" w:cs="仿宋"/>
          <w:color w:val="333333"/>
          <w:kern w:val="2"/>
          <w:sz w:val="32"/>
          <w:szCs w:val="32"/>
          <w:shd w:val="clear" w:fill="FFFFFF"/>
          <w:lang w:val="en-US" w:eastAsia="zh-CN" w:bidi="ar"/>
        </w:rPr>
      </w:pPr>
      <w:r>
        <w:rPr>
          <w:rFonts w:hint="eastAsia" w:ascii="仿宋" w:hAnsi="仿宋" w:eastAsia="仿宋" w:cs="仿宋"/>
          <w:color w:val="333333"/>
          <w:kern w:val="2"/>
          <w:sz w:val="32"/>
          <w:szCs w:val="32"/>
          <w:shd w:val="clear" w:fill="FFFFFF"/>
          <w:lang w:val="en-US" w:eastAsia="zh-CN" w:bidi="ar"/>
        </w:rPr>
        <w:t>合同履行期限：详见磋商文件</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color w:val="333333"/>
          <w:kern w:val="2"/>
          <w:sz w:val="32"/>
          <w:szCs w:val="32"/>
          <w:shd w:val="clear" w:fill="FFFFFF"/>
          <w:lang w:val="en-US" w:eastAsia="zh-CN" w:bidi="ar"/>
        </w:rPr>
      </w:pPr>
      <w:bookmarkStart w:id="4" w:name="_Toc35393622"/>
      <w:r>
        <w:rPr>
          <w:rFonts w:hint="eastAsia" w:ascii="仿宋" w:hAnsi="仿宋" w:eastAsia="仿宋" w:cs="仿宋"/>
          <w:color w:val="333333"/>
          <w:kern w:val="2"/>
          <w:sz w:val="32"/>
          <w:szCs w:val="32"/>
          <w:shd w:val="clear" w:fill="FFFFFF"/>
          <w:lang w:val="en-US" w:eastAsia="zh-CN" w:bidi="ar"/>
        </w:rPr>
        <w:t>本项目（否）接受联合体投标。</w:t>
      </w:r>
    </w:p>
    <w:p>
      <w:pPr>
        <w:keepNext w:val="0"/>
        <w:keepLines w:val="0"/>
        <w:pageBreakBefore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b/>
          <w:bCs/>
          <w:color w:val="333333"/>
          <w:kern w:val="2"/>
          <w:sz w:val="32"/>
          <w:szCs w:val="32"/>
          <w:u w:val="none"/>
          <w:shd w:val="clear" w:fill="FFFFFF"/>
        </w:rPr>
      </w:pPr>
      <w:r>
        <w:rPr>
          <w:rFonts w:hint="eastAsia" w:ascii="仿宋" w:hAnsi="仿宋" w:eastAsia="仿宋" w:cs="仿宋"/>
          <w:b/>
          <w:bCs/>
          <w:color w:val="333333"/>
          <w:kern w:val="2"/>
          <w:sz w:val="32"/>
          <w:szCs w:val="32"/>
          <w:u w:val="none"/>
          <w:shd w:val="clear" w:fill="FFFFFF"/>
          <w:lang w:eastAsia="zh-CN"/>
        </w:rPr>
        <w:t>二、</w:t>
      </w:r>
      <w:r>
        <w:rPr>
          <w:rFonts w:hint="eastAsia" w:ascii="仿宋" w:hAnsi="仿宋" w:eastAsia="仿宋" w:cs="仿宋"/>
          <w:b/>
          <w:bCs/>
          <w:color w:val="333333"/>
          <w:kern w:val="2"/>
          <w:sz w:val="32"/>
          <w:szCs w:val="32"/>
          <w:u w:val="none"/>
          <w:shd w:val="clear" w:fill="FFFFFF"/>
        </w:rPr>
        <w:t>申请人的资格要求：</w:t>
      </w:r>
      <w:bookmarkEnd w:id="4"/>
    </w:p>
    <w:p>
      <w:pPr>
        <w:keepNext w:val="0"/>
        <w:keepLines w:val="0"/>
        <w:pageBreakBefore w:val="0"/>
        <w:numPr>
          <w:ilvl w:val="0"/>
          <w:numId w:val="0"/>
        </w:numPr>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333333"/>
          <w:kern w:val="2"/>
          <w:sz w:val="32"/>
          <w:szCs w:val="32"/>
          <w:shd w:val="clear" w:fill="FFFFFF"/>
          <w:lang w:val="en-US" w:eastAsia="zh-CN" w:bidi="ar"/>
        </w:rPr>
      </w:pPr>
      <w:r>
        <w:rPr>
          <w:rFonts w:hint="eastAsia" w:ascii="仿宋" w:hAnsi="仿宋" w:eastAsia="仿宋" w:cs="仿宋"/>
          <w:color w:val="333333"/>
          <w:kern w:val="2"/>
          <w:sz w:val="32"/>
          <w:szCs w:val="32"/>
          <w:shd w:val="clear" w:fill="FFFFFF"/>
          <w:lang w:val="en-US" w:eastAsia="zh-CN" w:bidi="ar"/>
        </w:rPr>
        <w:t xml:space="preserve">  1、满足《中华人民共和国政府采购法》第二十二条规定；</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450" w:firstLine="320" w:firstLineChars="100"/>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2、落实政府采购政策需满足的资格要求：</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450" w:firstLine="640" w:firstLineChars="200"/>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 xml:space="preserve">（1）《政府采购促进中小企业发展管理办法》（财库〔2020〕46号）； </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450" w:firstLine="640" w:firstLineChars="200"/>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 xml:space="preserve">（2）《财政部、司法部关于政府采购支持监狱企业发展有关问题的通知》（财库〔2014〕68号）； </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450" w:firstLine="640" w:firstLineChars="200"/>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（3）《国务院办公厅关于建立政府强制采购节能产品制度的通知》（国办发〔2007〕51号）；</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450" w:firstLine="640" w:firstLineChars="200"/>
        <w:jc w:val="left"/>
        <w:textAlignment w:val="auto"/>
        <w:rPr>
          <w:rFonts w:hint="eastAsia" w:ascii="仿宋" w:hAnsi="仿宋" w:eastAsia="仿宋" w:cs="仿宋"/>
          <w:b w:val="0"/>
          <w:bCs w:val="0"/>
          <w:color w:val="333333"/>
          <w:kern w:val="2"/>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（4）《财政部民政部中国残疾人联合会关于促进残疾人就业政府采购政策的通知》财库〔2017〕141号。</w:t>
      </w:r>
    </w:p>
    <w:p>
      <w:pPr>
        <w:keepNext w:val="0"/>
        <w:keepLines w:val="0"/>
        <w:pageBreakBefore w:val="0"/>
        <w:kinsoku/>
        <w:wordWrap/>
        <w:overflowPunct/>
        <w:topLinePunct w:val="0"/>
        <w:autoSpaceDE/>
        <w:autoSpaceDN/>
        <w:bidi w:val="0"/>
        <w:adjustRightInd/>
        <w:snapToGrid/>
        <w:spacing w:line="520" w:lineRule="exact"/>
        <w:ind w:firstLine="320" w:firstLineChars="100"/>
        <w:textAlignment w:val="auto"/>
        <w:rPr>
          <w:rFonts w:hint="eastAsia" w:ascii="仿宋" w:hAnsi="仿宋" w:eastAsia="仿宋" w:cs="仿宋"/>
          <w:b w:val="0"/>
          <w:bCs w:val="0"/>
          <w:color w:val="333333"/>
          <w:kern w:val="2"/>
          <w:sz w:val="32"/>
          <w:szCs w:val="32"/>
          <w:u w:val="none"/>
          <w:shd w:val="clear" w:fill="FFFFFF"/>
          <w:lang w:val="en-US" w:eastAsia="zh-CN" w:bidi="ar"/>
        </w:rPr>
      </w:pPr>
      <w:r>
        <w:rPr>
          <w:rFonts w:hint="eastAsia" w:ascii="仿宋" w:hAnsi="仿宋" w:eastAsia="仿宋" w:cs="仿宋"/>
          <w:b w:val="0"/>
          <w:bCs w:val="0"/>
          <w:color w:val="333333"/>
          <w:kern w:val="2"/>
          <w:sz w:val="32"/>
          <w:szCs w:val="32"/>
          <w:shd w:val="clear" w:fill="FFFFFF"/>
          <w:lang w:val="en-US" w:eastAsia="zh-CN" w:bidi="ar"/>
        </w:rPr>
        <w:t>3、本项目的特定资格要求</w:t>
      </w:r>
      <w:bookmarkStart w:id="5" w:name="_Toc35393792"/>
      <w:bookmarkEnd w:id="5"/>
      <w:bookmarkStart w:id="6" w:name="_Toc35393623"/>
      <w:r>
        <w:rPr>
          <w:rFonts w:hint="eastAsia" w:ascii="仿宋" w:hAnsi="仿宋" w:eastAsia="仿宋" w:cs="仿宋"/>
          <w:b w:val="0"/>
          <w:bCs w:val="0"/>
          <w:color w:val="333333"/>
          <w:kern w:val="2"/>
          <w:sz w:val="32"/>
          <w:szCs w:val="32"/>
          <w:u w:val="none"/>
          <w:shd w:val="clear" w:fill="FFFFFF"/>
          <w:lang w:val="en-US" w:eastAsia="zh-CN" w:bidi="ar"/>
        </w:rPr>
        <w:t>：</w:t>
      </w:r>
      <w:bookmarkEnd w:id="6"/>
    </w:p>
    <w:p>
      <w:pPr>
        <w:keepNext w:val="0"/>
        <w:keepLines w:val="0"/>
        <w:pageBreakBefore w:val="0"/>
        <w:kinsoku/>
        <w:wordWrap/>
        <w:overflowPunct/>
        <w:topLinePunct w:val="0"/>
        <w:autoSpaceDE/>
        <w:autoSpaceDN/>
        <w:bidi w:val="0"/>
        <w:adjustRightInd/>
        <w:snapToGrid/>
        <w:spacing w:line="520" w:lineRule="exact"/>
        <w:ind w:firstLine="320" w:firstLineChars="100"/>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（1）有效经年检的三证合一营业执照；</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450" w:firstLine="320" w:firstLineChars="100"/>
        <w:jc w:val="left"/>
        <w:textAlignment w:val="auto"/>
        <w:rPr>
          <w:rFonts w:hint="eastAsia" w:ascii="仿宋" w:hAnsi="仿宋" w:eastAsia="仿宋" w:cs="仿宋"/>
          <w:color w:val="auto"/>
          <w:kern w:val="2"/>
          <w:sz w:val="32"/>
          <w:szCs w:val="32"/>
          <w:shd w:val="clear" w:fill="FFFFFF"/>
          <w:lang w:val="en-US" w:eastAsia="zh-CN" w:bidi="ar"/>
        </w:rPr>
      </w:pPr>
      <w:r>
        <w:rPr>
          <w:rFonts w:hint="eastAsia" w:ascii="仿宋" w:hAnsi="仿宋" w:eastAsia="仿宋" w:cs="仿宋"/>
          <w:color w:val="333333"/>
          <w:kern w:val="2"/>
          <w:sz w:val="32"/>
          <w:szCs w:val="32"/>
          <w:shd w:val="clear" w:fill="FFFFFF"/>
          <w:lang w:val="en-US" w:eastAsia="zh-CN" w:bidi="ar"/>
        </w:rPr>
        <w:t>（2</w:t>
      </w:r>
      <w:r>
        <w:rPr>
          <w:rFonts w:hint="eastAsia" w:ascii="仿宋" w:hAnsi="仿宋" w:eastAsia="仿宋" w:cs="仿宋"/>
          <w:color w:val="auto"/>
          <w:kern w:val="2"/>
          <w:sz w:val="32"/>
          <w:szCs w:val="32"/>
          <w:shd w:val="clear" w:fill="FFFFFF"/>
          <w:lang w:val="en-US" w:eastAsia="zh-CN" w:bidi="ar"/>
        </w:rPr>
        <w:t>）有效的工程设计建筑行业（人防工程）甲级</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450" w:firstLine="320" w:firstLineChars="100"/>
        <w:jc w:val="left"/>
        <w:textAlignment w:val="auto"/>
        <w:rPr>
          <w:rFonts w:hint="eastAsia" w:ascii="仿宋" w:hAnsi="仿宋" w:eastAsia="仿宋" w:cs="仿宋"/>
          <w:color w:val="auto"/>
          <w:kern w:val="2"/>
          <w:sz w:val="32"/>
          <w:szCs w:val="32"/>
          <w:shd w:val="clear" w:fill="FFFFFF"/>
          <w:lang w:val="en-US" w:eastAsia="zh-CN" w:bidi="ar"/>
        </w:rPr>
      </w:pPr>
      <w:r>
        <w:rPr>
          <w:rFonts w:hint="eastAsia" w:ascii="仿宋" w:hAnsi="仿宋" w:eastAsia="仿宋" w:cs="仿宋"/>
          <w:color w:val="auto"/>
          <w:kern w:val="2"/>
          <w:sz w:val="32"/>
          <w:szCs w:val="32"/>
          <w:shd w:val="clear" w:fill="FFFFFF"/>
          <w:lang w:val="en-US" w:eastAsia="zh-CN" w:bidi="ar"/>
        </w:rPr>
        <w:t>（3）项目负责人须具有二级注册建筑师或一级注册结构工程师资质；</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450" w:firstLine="320" w:firstLineChars="100"/>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b w:val="0"/>
          <w:bCs w:val="0"/>
          <w:color w:val="333333"/>
          <w:kern w:val="2"/>
          <w:sz w:val="32"/>
          <w:szCs w:val="32"/>
          <w:shd w:val="clear" w:fill="FFFFFF"/>
          <w:lang w:val="en-US" w:eastAsia="zh-CN" w:bidi="ar"/>
        </w:rPr>
        <w:t>（4）</w:t>
      </w:r>
      <w:r>
        <w:rPr>
          <w:rFonts w:hint="eastAsia" w:ascii="仿宋" w:hAnsi="仿宋" w:eastAsia="仿宋" w:cs="仿宋"/>
          <w:i w:val="0"/>
          <w:iCs w:val="0"/>
          <w:caps w:val="0"/>
          <w:color w:val="333333"/>
          <w:spacing w:val="0"/>
          <w:kern w:val="0"/>
          <w:sz w:val="32"/>
          <w:szCs w:val="32"/>
          <w:shd w:val="clear" w:fill="FFFFFF"/>
          <w:lang w:val="en-US" w:eastAsia="zh-CN" w:bidi="ar"/>
        </w:rPr>
        <w:t>在“信用中国”及“中国政府采购网”上未被列入失信被执行人、重大税收违法案件当事人名单以及政府采购严重违法失信行为记录名单的投标人。（需提供网上截图加盖公章）；</w:t>
      </w:r>
    </w:p>
    <w:p>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450" w:firstLine="320" w:firstLineChars="100"/>
        <w:jc w:val="left"/>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（5）供应商提供针对本次项目《反商业贿赂承诺书》；</w:t>
      </w:r>
    </w:p>
    <w:p>
      <w:pPr>
        <w:keepNext w:val="0"/>
        <w:keepLines w:val="0"/>
        <w:pageBreakBefore w:val="0"/>
        <w:kinsoku/>
        <w:wordWrap/>
        <w:overflowPunct/>
        <w:topLinePunct w:val="0"/>
        <w:autoSpaceDE/>
        <w:autoSpaceDN/>
        <w:bidi w:val="0"/>
        <w:adjustRightInd/>
        <w:snapToGrid/>
        <w:spacing w:line="520" w:lineRule="exact"/>
        <w:ind w:firstLine="320" w:firstLineChars="100"/>
        <w:textAlignment w:val="auto"/>
        <w:rPr>
          <w:rFonts w:hint="eastAsia" w:ascii="仿宋" w:hAnsi="仿宋" w:eastAsia="仿宋" w:cs="仿宋"/>
          <w:i w:val="0"/>
          <w:iCs w:val="0"/>
          <w:color w:val="333333"/>
          <w:spacing w:val="0"/>
          <w:kern w:val="0"/>
          <w:sz w:val="32"/>
          <w:szCs w:val="32"/>
          <w:shd w:val="clear" w:fill="FFFFFF"/>
          <w:lang w:val="en-US" w:eastAsia="zh-CN" w:bidi="ar"/>
        </w:rPr>
      </w:pPr>
      <w:r>
        <w:rPr>
          <w:rFonts w:hint="eastAsia" w:ascii="仿宋" w:hAnsi="仿宋" w:eastAsia="仿宋" w:cs="仿宋"/>
          <w:i w:val="0"/>
          <w:iCs w:val="0"/>
          <w:color w:val="333333"/>
          <w:spacing w:val="0"/>
          <w:kern w:val="0"/>
          <w:sz w:val="32"/>
          <w:szCs w:val="32"/>
          <w:shd w:val="clear" w:fill="FFFFFF"/>
          <w:lang w:val="en-US" w:eastAsia="zh-CN" w:bidi="ar"/>
        </w:rPr>
        <w:t>（6）与采购人存在利害关系可能影响公正性的单位，不得参加投标。单位负责人为同一人或存在控股、管理关系的不同单位，不得参加同一标段投标，否则相关投标均无效。</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333333"/>
          <w:kern w:val="2"/>
          <w:sz w:val="32"/>
          <w:szCs w:val="32"/>
          <w:shd w:val="clear" w:fill="FFFFFF"/>
        </w:rPr>
      </w:pPr>
      <w:r>
        <w:rPr>
          <w:rFonts w:hint="eastAsia" w:ascii="仿宋" w:hAnsi="仿宋" w:eastAsia="仿宋" w:cs="仿宋"/>
          <w:b/>
          <w:bCs/>
          <w:color w:val="333333"/>
          <w:kern w:val="2"/>
          <w:sz w:val="32"/>
          <w:szCs w:val="32"/>
          <w:shd w:val="clear" w:fill="FFFFFF"/>
        </w:rPr>
        <w:t>三、获取</w:t>
      </w:r>
      <w:r>
        <w:rPr>
          <w:rFonts w:hint="eastAsia" w:ascii="仿宋" w:hAnsi="仿宋" w:eastAsia="仿宋" w:cs="仿宋"/>
          <w:b/>
          <w:bCs/>
          <w:color w:val="333333"/>
          <w:kern w:val="2"/>
          <w:sz w:val="32"/>
          <w:szCs w:val="32"/>
          <w:shd w:val="clear" w:fill="FFFFFF"/>
          <w:lang w:eastAsia="zh-CN"/>
        </w:rPr>
        <w:t>采购</w:t>
      </w:r>
      <w:r>
        <w:rPr>
          <w:rFonts w:hint="eastAsia" w:ascii="仿宋" w:hAnsi="仿宋" w:eastAsia="仿宋" w:cs="仿宋"/>
          <w:b/>
          <w:bCs/>
          <w:color w:val="333333"/>
          <w:kern w:val="2"/>
          <w:sz w:val="32"/>
          <w:szCs w:val="32"/>
          <w:shd w:val="clear" w:fill="FFFFFF"/>
        </w:rPr>
        <w:t>文件</w:t>
      </w:r>
    </w:p>
    <w:p>
      <w:pPr>
        <w:pStyle w:val="33"/>
        <w:keepNext w:val="0"/>
        <w:keepLines w:val="0"/>
        <w:pageBreakBefore w:val="0"/>
        <w:widowControl/>
        <w:numPr>
          <w:ilvl w:val="0"/>
          <w:numId w:val="0"/>
        </w:numPr>
        <w:suppressAutoHyphens w:val="0"/>
        <w:kinsoku/>
        <w:wordWrap/>
        <w:overflowPunct/>
        <w:topLinePunct w:val="0"/>
        <w:autoSpaceDE/>
        <w:autoSpaceDN/>
        <w:bidi w:val="0"/>
        <w:adjustRightInd/>
        <w:snapToGrid w:val="0"/>
        <w:spacing w:before="75" w:beforeAutospacing="0" w:after="75" w:afterAutospacing="0" w:line="500" w:lineRule="exact"/>
        <w:ind w:firstLine="320" w:firstLineChars="100"/>
        <w:textAlignment w:val="auto"/>
        <w:rPr>
          <w:rFonts w:hint="eastAsia" w:ascii="仿宋" w:hAnsi="仿宋" w:eastAsia="仿宋" w:cs="仿宋"/>
          <w:i w:val="0"/>
          <w:iCs w:val="0"/>
          <w:color w:val="333333"/>
          <w:spacing w:val="0"/>
          <w:kern w:val="0"/>
          <w:sz w:val="32"/>
          <w:szCs w:val="32"/>
          <w:shd w:val="clear" w:fill="FFFFFF"/>
          <w:lang w:val="en-US" w:eastAsia="zh-CN" w:bidi="ar"/>
        </w:rPr>
      </w:pPr>
      <w:r>
        <w:rPr>
          <w:rFonts w:hint="eastAsia" w:ascii="仿宋" w:hAnsi="仿宋" w:eastAsia="仿宋" w:cs="仿宋"/>
          <w:i w:val="0"/>
          <w:iCs w:val="0"/>
          <w:color w:val="333333"/>
          <w:spacing w:val="0"/>
          <w:kern w:val="0"/>
          <w:sz w:val="32"/>
          <w:szCs w:val="32"/>
          <w:shd w:val="clear" w:fill="FFFFFF"/>
          <w:lang w:val="en-US" w:eastAsia="zh-CN" w:bidi="ar"/>
        </w:rPr>
        <w:t>时间：2021年10月28日至2021年11月03日，每天上午10:00至14:00，下午16:00至20:00（北京时间，法定节假日除外）</w:t>
      </w:r>
    </w:p>
    <w:p>
      <w:pPr>
        <w:pStyle w:val="33"/>
        <w:keepNext w:val="0"/>
        <w:keepLines w:val="0"/>
        <w:pageBreakBefore w:val="0"/>
        <w:widowControl/>
        <w:numPr>
          <w:ilvl w:val="0"/>
          <w:numId w:val="0"/>
        </w:numPr>
        <w:suppressAutoHyphens w:val="0"/>
        <w:kinsoku/>
        <w:wordWrap/>
        <w:overflowPunct/>
        <w:topLinePunct w:val="0"/>
        <w:autoSpaceDE/>
        <w:autoSpaceDN/>
        <w:bidi w:val="0"/>
        <w:adjustRightInd/>
        <w:snapToGrid w:val="0"/>
        <w:spacing w:before="75" w:beforeAutospacing="0" w:after="75" w:afterAutospacing="0" w:line="500" w:lineRule="exact"/>
        <w:ind w:firstLine="320" w:firstLineChars="100"/>
        <w:textAlignment w:val="auto"/>
        <w:rPr>
          <w:rFonts w:hint="eastAsia" w:ascii="仿宋" w:hAnsi="仿宋" w:eastAsia="仿宋" w:cs="仿宋"/>
          <w:i w:val="0"/>
          <w:iCs w:val="0"/>
          <w:color w:val="333333"/>
          <w:spacing w:val="0"/>
          <w:kern w:val="0"/>
          <w:sz w:val="32"/>
          <w:szCs w:val="32"/>
          <w:shd w:val="clear" w:fill="FFFFFF"/>
          <w:lang w:val="en-US" w:eastAsia="zh-CN" w:bidi="ar"/>
        </w:rPr>
      </w:pPr>
      <w:r>
        <w:rPr>
          <w:rFonts w:hint="eastAsia" w:ascii="仿宋" w:hAnsi="仿宋" w:eastAsia="仿宋" w:cs="仿宋"/>
          <w:i w:val="0"/>
          <w:iCs w:val="0"/>
          <w:color w:val="333333"/>
          <w:spacing w:val="0"/>
          <w:kern w:val="0"/>
          <w:sz w:val="32"/>
          <w:szCs w:val="32"/>
          <w:shd w:val="clear" w:fill="FFFFFF"/>
          <w:lang w:val="en-US" w:eastAsia="zh-CN" w:bidi="ar"/>
        </w:rPr>
        <w:t>    地点：政采云平台http://www.zcygov.cn/  </w:t>
      </w:r>
    </w:p>
    <w:p>
      <w:pPr>
        <w:pStyle w:val="33"/>
        <w:keepNext w:val="0"/>
        <w:keepLines w:val="0"/>
        <w:pageBreakBefore w:val="0"/>
        <w:widowControl/>
        <w:numPr>
          <w:ilvl w:val="0"/>
          <w:numId w:val="0"/>
        </w:numPr>
        <w:suppressAutoHyphens w:val="0"/>
        <w:kinsoku/>
        <w:wordWrap/>
        <w:overflowPunct/>
        <w:topLinePunct w:val="0"/>
        <w:autoSpaceDE/>
        <w:autoSpaceDN/>
        <w:bidi w:val="0"/>
        <w:adjustRightInd/>
        <w:snapToGrid w:val="0"/>
        <w:spacing w:before="75" w:beforeAutospacing="0" w:after="75" w:afterAutospacing="0" w:line="500" w:lineRule="exact"/>
        <w:ind w:firstLine="320" w:firstLineChars="100"/>
        <w:textAlignment w:val="auto"/>
        <w:rPr>
          <w:rFonts w:hint="eastAsia" w:ascii="仿宋" w:hAnsi="仿宋" w:eastAsia="仿宋" w:cs="仿宋"/>
          <w:i w:val="0"/>
          <w:iCs w:val="0"/>
          <w:color w:val="333333"/>
          <w:spacing w:val="0"/>
          <w:kern w:val="0"/>
          <w:sz w:val="32"/>
          <w:szCs w:val="32"/>
          <w:shd w:val="clear" w:fill="FFFFFF"/>
          <w:lang w:val="en-US" w:eastAsia="zh-CN" w:bidi="ar"/>
        </w:rPr>
      </w:pPr>
      <w:r>
        <w:rPr>
          <w:rFonts w:hint="eastAsia" w:ascii="仿宋" w:hAnsi="仿宋" w:eastAsia="仿宋" w:cs="仿宋"/>
          <w:i w:val="0"/>
          <w:iCs w:val="0"/>
          <w:color w:val="333333"/>
          <w:spacing w:val="0"/>
          <w:kern w:val="0"/>
          <w:sz w:val="32"/>
          <w:szCs w:val="32"/>
          <w:shd w:val="clear" w:fill="FFFFFF"/>
          <w:lang w:val="en-US" w:eastAsia="zh-CN" w:bidi="ar"/>
        </w:rPr>
        <w:t>    方式：线上获取（登录政府采购云平台 → 项目采购 → 获取磋商文件 → 申请，审核通过后可下载磋商文件）  </w:t>
      </w:r>
    </w:p>
    <w:p>
      <w:pPr>
        <w:pStyle w:val="33"/>
        <w:keepNext w:val="0"/>
        <w:keepLines w:val="0"/>
        <w:pageBreakBefore w:val="0"/>
        <w:widowControl/>
        <w:numPr>
          <w:ilvl w:val="0"/>
          <w:numId w:val="0"/>
        </w:numPr>
        <w:suppressAutoHyphens w:val="0"/>
        <w:kinsoku/>
        <w:wordWrap/>
        <w:overflowPunct/>
        <w:topLinePunct w:val="0"/>
        <w:autoSpaceDE/>
        <w:autoSpaceDN/>
        <w:bidi w:val="0"/>
        <w:adjustRightInd/>
        <w:snapToGrid w:val="0"/>
        <w:spacing w:before="75" w:beforeAutospacing="0" w:after="75" w:afterAutospacing="0" w:line="500" w:lineRule="exact"/>
        <w:ind w:firstLine="320" w:firstLineChars="100"/>
        <w:textAlignment w:val="auto"/>
        <w:rPr>
          <w:rFonts w:hint="eastAsia" w:ascii="仿宋" w:hAnsi="仿宋" w:eastAsia="仿宋" w:cs="仿宋"/>
          <w:i w:val="0"/>
          <w:iCs w:val="0"/>
          <w:color w:val="333333"/>
          <w:spacing w:val="0"/>
          <w:kern w:val="0"/>
          <w:sz w:val="32"/>
          <w:szCs w:val="32"/>
          <w:shd w:val="clear" w:fill="FFFFFF"/>
          <w:lang w:val="en-US" w:eastAsia="zh-CN" w:bidi="ar"/>
        </w:rPr>
      </w:pPr>
      <w:r>
        <w:rPr>
          <w:rFonts w:hint="eastAsia" w:ascii="仿宋" w:hAnsi="仿宋" w:eastAsia="仿宋" w:cs="仿宋"/>
          <w:i w:val="0"/>
          <w:iCs w:val="0"/>
          <w:color w:val="333333"/>
          <w:spacing w:val="0"/>
          <w:kern w:val="0"/>
          <w:sz w:val="32"/>
          <w:szCs w:val="32"/>
          <w:shd w:val="clear" w:fill="FFFFFF"/>
          <w:lang w:val="en-US" w:eastAsia="zh-CN" w:bidi="ar"/>
        </w:rPr>
        <w:t>    售价（元）：0 </w:t>
      </w:r>
    </w:p>
    <w:p>
      <w:pPr>
        <w:pStyle w:val="33"/>
        <w:keepNext w:val="0"/>
        <w:keepLines w:val="0"/>
        <w:pageBreakBefore w:val="0"/>
        <w:widowControl/>
        <w:numPr>
          <w:ilvl w:val="0"/>
          <w:numId w:val="0"/>
        </w:numPr>
        <w:suppressAutoHyphens w:val="0"/>
        <w:kinsoku/>
        <w:wordWrap/>
        <w:overflowPunct/>
        <w:topLinePunct w:val="0"/>
        <w:autoSpaceDE/>
        <w:autoSpaceDN/>
        <w:bidi w:val="0"/>
        <w:adjustRightInd/>
        <w:snapToGrid w:val="0"/>
        <w:spacing w:before="75" w:beforeAutospacing="0" w:after="75" w:afterAutospacing="0" w:line="500" w:lineRule="exact"/>
        <w:ind w:firstLine="321" w:firstLineChars="100"/>
        <w:textAlignment w:val="auto"/>
        <w:rPr>
          <w:rFonts w:hint="eastAsia" w:ascii="仿宋" w:hAnsi="仿宋" w:eastAsia="仿宋" w:cs="仿宋"/>
          <w:b/>
          <w:bCs/>
          <w:color w:val="333333"/>
          <w:kern w:val="2"/>
          <w:sz w:val="32"/>
          <w:szCs w:val="32"/>
          <w:shd w:val="clear" w:fill="FFFFFF"/>
          <w:lang w:val="en-US" w:eastAsia="zh-CN" w:bidi="ar-SA"/>
        </w:rPr>
      </w:pPr>
      <w:bookmarkStart w:id="7" w:name="_Toc5264"/>
      <w:bookmarkStart w:id="8" w:name="_Toc35393794"/>
      <w:r>
        <w:rPr>
          <w:rFonts w:hint="eastAsia" w:ascii="仿宋" w:hAnsi="仿宋" w:eastAsia="仿宋" w:cs="仿宋"/>
          <w:b/>
          <w:bCs/>
          <w:color w:val="333333"/>
          <w:kern w:val="2"/>
          <w:sz w:val="32"/>
          <w:szCs w:val="32"/>
          <w:shd w:val="clear" w:fill="FFFFFF"/>
          <w:lang w:val="en-US" w:eastAsia="zh-CN" w:bidi="ar-SA"/>
        </w:rPr>
        <w:t>四、响应文件提交</w:t>
      </w:r>
      <w:bookmarkEnd w:id="7"/>
    </w:p>
    <w:p>
      <w:pPr>
        <w:pStyle w:val="33"/>
        <w:keepNext w:val="0"/>
        <w:keepLines w:val="0"/>
        <w:pageBreakBefore w:val="0"/>
        <w:widowControl/>
        <w:numPr>
          <w:ilvl w:val="0"/>
          <w:numId w:val="0"/>
        </w:numPr>
        <w:suppressAutoHyphens w:val="0"/>
        <w:kinsoku/>
        <w:wordWrap/>
        <w:overflowPunct/>
        <w:topLinePunct w:val="0"/>
        <w:autoSpaceDE/>
        <w:autoSpaceDN/>
        <w:bidi w:val="0"/>
        <w:adjustRightInd/>
        <w:snapToGrid w:val="0"/>
        <w:spacing w:before="75" w:beforeAutospacing="0" w:after="75" w:afterAutospacing="0" w:line="500" w:lineRule="exact"/>
        <w:ind w:firstLine="320" w:firstLineChars="100"/>
        <w:textAlignment w:val="auto"/>
        <w:rPr>
          <w:rFonts w:hint="eastAsia" w:ascii="仿宋" w:hAnsi="仿宋" w:eastAsia="仿宋" w:cs="仿宋"/>
          <w:i w:val="0"/>
          <w:iCs w:val="0"/>
          <w:color w:val="333333"/>
          <w:spacing w:val="0"/>
          <w:kern w:val="0"/>
          <w:sz w:val="32"/>
          <w:szCs w:val="32"/>
          <w:shd w:val="clear" w:fill="FFFFFF"/>
          <w:lang w:val="en-US" w:eastAsia="zh-CN" w:bidi="ar"/>
        </w:rPr>
      </w:pPr>
      <w:r>
        <w:rPr>
          <w:rFonts w:hint="eastAsia" w:ascii="仿宋" w:hAnsi="仿宋" w:eastAsia="仿宋" w:cs="仿宋"/>
          <w:i w:val="0"/>
          <w:iCs w:val="0"/>
          <w:color w:val="333333"/>
          <w:spacing w:val="0"/>
          <w:kern w:val="0"/>
          <w:sz w:val="32"/>
          <w:szCs w:val="32"/>
          <w:shd w:val="clear" w:fill="FFFFFF"/>
          <w:lang w:val="en-US" w:eastAsia="zh-CN" w:bidi="ar"/>
        </w:rPr>
        <w:t>  截止时间：2021年11月08日10:30（北京时间）</w:t>
      </w:r>
    </w:p>
    <w:p>
      <w:pPr>
        <w:pStyle w:val="33"/>
        <w:keepNext w:val="0"/>
        <w:keepLines w:val="0"/>
        <w:pageBreakBefore w:val="0"/>
        <w:widowControl/>
        <w:numPr>
          <w:ilvl w:val="0"/>
          <w:numId w:val="0"/>
        </w:numPr>
        <w:suppressAutoHyphens w:val="0"/>
        <w:kinsoku/>
        <w:wordWrap/>
        <w:overflowPunct/>
        <w:topLinePunct w:val="0"/>
        <w:autoSpaceDE/>
        <w:autoSpaceDN/>
        <w:bidi w:val="0"/>
        <w:adjustRightInd/>
        <w:snapToGrid w:val="0"/>
        <w:spacing w:before="75" w:beforeAutospacing="0" w:after="75" w:afterAutospacing="0" w:line="520" w:lineRule="exact"/>
        <w:ind w:firstLine="320" w:firstLineChars="100"/>
        <w:textAlignment w:val="auto"/>
        <w:rPr>
          <w:rFonts w:hint="eastAsia" w:ascii="仿宋" w:hAnsi="仿宋" w:eastAsia="仿宋" w:cs="仿宋"/>
          <w:i w:val="0"/>
          <w:iCs w:val="0"/>
          <w:color w:val="333333"/>
          <w:spacing w:val="0"/>
          <w:kern w:val="0"/>
          <w:sz w:val="32"/>
          <w:szCs w:val="32"/>
          <w:shd w:val="clear" w:fill="FFFFFF"/>
          <w:lang w:val="en-US" w:eastAsia="zh-CN" w:bidi="ar"/>
        </w:rPr>
      </w:pPr>
      <w:r>
        <w:rPr>
          <w:rFonts w:hint="eastAsia" w:ascii="仿宋" w:hAnsi="仿宋" w:eastAsia="仿宋" w:cs="仿宋"/>
          <w:i w:val="0"/>
          <w:iCs w:val="0"/>
          <w:color w:val="333333"/>
          <w:spacing w:val="0"/>
          <w:kern w:val="0"/>
          <w:sz w:val="32"/>
          <w:szCs w:val="32"/>
          <w:shd w:val="clear" w:fill="FFFFFF"/>
          <w:lang w:val="en-US" w:eastAsia="zh-CN" w:bidi="ar"/>
        </w:rPr>
        <w:t>  地点：政采云网上不见面开标系统</w:t>
      </w:r>
    </w:p>
    <w:p>
      <w:pPr>
        <w:pStyle w:val="33"/>
        <w:keepNext w:val="0"/>
        <w:keepLines w:val="0"/>
        <w:pageBreakBefore w:val="0"/>
        <w:widowControl/>
        <w:numPr>
          <w:ilvl w:val="0"/>
          <w:numId w:val="0"/>
        </w:numPr>
        <w:suppressAutoHyphens w:val="0"/>
        <w:kinsoku/>
        <w:wordWrap/>
        <w:overflowPunct/>
        <w:topLinePunct w:val="0"/>
        <w:autoSpaceDE/>
        <w:autoSpaceDN/>
        <w:bidi w:val="0"/>
        <w:adjustRightInd/>
        <w:snapToGrid w:val="0"/>
        <w:spacing w:before="75" w:beforeAutospacing="0" w:after="75" w:afterAutospacing="0" w:line="520" w:lineRule="exact"/>
        <w:ind w:firstLine="321" w:firstLineChars="100"/>
        <w:textAlignment w:val="auto"/>
        <w:rPr>
          <w:rFonts w:hint="eastAsia" w:ascii="仿宋" w:hAnsi="仿宋" w:eastAsia="仿宋" w:cs="仿宋"/>
          <w:b/>
          <w:bCs/>
          <w:color w:val="333333"/>
          <w:kern w:val="2"/>
          <w:sz w:val="32"/>
          <w:szCs w:val="32"/>
          <w:shd w:val="clear" w:fill="FFFFFF"/>
          <w:lang w:val="en-US" w:eastAsia="zh-CN" w:bidi="ar-SA"/>
        </w:rPr>
      </w:pPr>
      <w:bookmarkStart w:id="9" w:name="_Toc32434"/>
      <w:r>
        <w:rPr>
          <w:rFonts w:hint="eastAsia" w:ascii="仿宋" w:hAnsi="仿宋" w:eastAsia="仿宋" w:cs="仿宋"/>
          <w:b/>
          <w:bCs/>
          <w:color w:val="333333"/>
          <w:kern w:val="2"/>
          <w:sz w:val="32"/>
          <w:szCs w:val="32"/>
          <w:shd w:val="clear" w:fill="FFFFFF"/>
          <w:lang w:val="en-US" w:eastAsia="zh-CN" w:bidi="ar-SA"/>
        </w:rPr>
        <w:t>五、响应文件开启</w:t>
      </w:r>
      <w:bookmarkEnd w:id="9"/>
    </w:p>
    <w:p>
      <w:pPr>
        <w:pStyle w:val="33"/>
        <w:keepNext w:val="0"/>
        <w:keepLines w:val="0"/>
        <w:pageBreakBefore w:val="0"/>
        <w:widowControl/>
        <w:numPr>
          <w:ilvl w:val="0"/>
          <w:numId w:val="0"/>
        </w:numPr>
        <w:suppressAutoHyphens w:val="0"/>
        <w:kinsoku/>
        <w:wordWrap/>
        <w:overflowPunct/>
        <w:topLinePunct w:val="0"/>
        <w:autoSpaceDE/>
        <w:autoSpaceDN/>
        <w:bidi w:val="0"/>
        <w:adjustRightInd/>
        <w:snapToGrid w:val="0"/>
        <w:spacing w:before="75" w:beforeAutospacing="0" w:after="75" w:afterAutospacing="0" w:line="520" w:lineRule="exact"/>
        <w:ind w:firstLine="320" w:firstLineChars="100"/>
        <w:textAlignment w:val="auto"/>
        <w:rPr>
          <w:rFonts w:hint="eastAsia" w:ascii="仿宋" w:hAnsi="仿宋" w:eastAsia="仿宋" w:cs="仿宋"/>
          <w:i w:val="0"/>
          <w:iCs w:val="0"/>
          <w:color w:val="333333"/>
          <w:spacing w:val="0"/>
          <w:kern w:val="0"/>
          <w:sz w:val="32"/>
          <w:szCs w:val="32"/>
          <w:shd w:val="clear" w:fill="FFFFFF"/>
          <w:lang w:val="en-US" w:eastAsia="zh-CN" w:bidi="ar"/>
        </w:rPr>
      </w:pPr>
      <w:r>
        <w:rPr>
          <w:rFonts w:hint="eastAsia" w:ascii="仿宋" w:hAnsi="仿宋" w:eastAsia="仿宋" w:cs="仿宋"/>
          <w:i w:val="0"/>
          <w:iCs w:val="0"/>
          <w:color w:val="333333"/>
          <w:spacing w:val="0"/>
          <w:kern w:val="0"/>
          <w:sz w:val="32"/>
          <w:szCs w:val="32"/>
          <w:shd w:val="clear" w:fill="FFFFFF"/>
          <w:lang w:val="en-US" w:eastAsia="zh-CN" w:bidi="ar"/>
        </w:rPr>
        <w:t>  开启时间：2021年11月08日10:30（北京时间）</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320" w:firstLineChars="100"/>
        <w:textAlignment w:val="auto"/>
        <w:rPr>
          <w:rFonts w:hint="eastAsia" w:ascii="仿宋" w:hAnsi="仿宋" w:eastAsia="仿宋" w:cs="仿宋"/>
          <w:i w:val="0"/>
          <w:iCs w:val="0"/>
          <w:color w:val="333333"/>
          <w:spacing w:val="0"/>
          <w:kern w:val="0"/>
          <w:sz w:val="32"/>
          <w:szCs w:val="32"/>
          <w:shd w:val="clear" w:fill="FFFFFF"/>
          <w:lang w:val="en-US" w:eastAsia="zh-CN" w:bidi="ar"/>
        </w:rPr>
      </w:pPr>
      <w:r>
        <w:rPr>
          <w:rFonts w:hint="eastAsia" w:ascii="仿宋" w:hAnsi="仿宋" w:eastAsia="仿宋" w:cs="仿宋"/>
          <w:i w:val="0"/>
          <w:iCs w:val="0"/>
          <w:color w:val="333333"/>
          <w:spacing w:val="0"/>
          <w:kern w:val="0"/>
          <w:sz w:val="32"/>
          <w:szCs w:val="32"/>
          <w:shd w:val="clear" w:fill="FFFFFF"/>
          <w:lang w:val="en-US" w:eastAsia="zh-CN" w:bidi="ar"/>
        </w:rPr>
        <w:t>  地点：政采云网上不见面开标系统</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321" w:firstLineChars="100"/>
        <w:textAlignment w:val="auto"/>
        <w:rPr>
          <w:rFonts w:hint="eastAsia" w:ascii="仿宋" w:hAnsi="仿宋" w:eastAsia="仿宋" w:cs="仿宋"/>
          <w:b w:val="0"/>
          <w:bCs w:val="0"/>
          <w:color w:val="333333"/>
          <w:kern w:val="2"/>
          <w:sz w:val="32"/>
          <w:szCs w:val="32"/>
          <w:u w:val="none"/>
          <w:shd w:val="clear" w:fill="FFFFFF"/>
        </w:rPr>
      </w:pPr>
      <w:r>
        <w:rPr>
          <w:rFonts w:hint="eastAsia" w:ascii="仿宋" w:hAnsi="仿宋" w:eastAsia="仿宋" w:cs="仿宋"/>
          <w:b/>
          <w:bCs/>
          <w:color w:val="333333"/>
          <w:kern w:val="2"/>
          <w:sz w:val="32"/>
          <w:szCs w:val="32"/>
          <w:u w:val="none"/>
          <w:shd w:val="clear" w:fill="FFFFFF"/>
          <w:lang w:eastAsia="zh-CN"/>
        </w:rPr>
        <w:t>六、</w:t>
      </w:r>
      <w:r>
        <w:rPr>
          <w:rFonts w:hint="eastAsia" w:ascii="仿宋" w:hAnsi="仿宋" w:eastAsia="仿宋" w:cs="仿宋"/>
          <w:b/>
          <w:bCs/>
          <w:color w:val="333333"/>
          <w:kern w:val="2"/>
          <w:sz w:val="32"/>
          <w:szCs w:val="32"/>
          <w:u w:val="none"/>
          <w:shd w:val="clear" w:fill="FFFFFF"/>
        </w:rPr>
        <w:t>公告期限</w:t>
      </w:r>
      <w:bookmarkEnd w:id="8"/>
    </w:p>
    <w:p>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333333"/>
          <w:kern w:val="0"/>
          <w:sz w:val="32"/>
          <w:szCs w:val="32"/>
          <w:shd w:val="clear" w:fill="FFFFFF"/>
          <w:lang w:val="en-US" w:eastAsia="zh-CN" w:bidi="ar"/>
        </w:rPr>
      </w:pPr>
      <w:r>
        <w:rPr>
          <w:rFonts w:hint="eastAsia" w:ascii="仿宋" w:hAnsi="仿宋" w:eastAsia="仿宋" w:cs="仿宋"/>
          <w:color w:val="333333"/>
          <w:kern w:val="0"/>
          <w:sz w:val="32"/>
          <w:szCs w:val="32"/>
          <w:shd w:val="clear" w:fill="FFFFFF"/>
          <w:lang w:val="en-US" w:eastAsia="zh-CN" w:bidi="ar"/>
        </w:rPr>
        <w:t>自本公告发布之日起5个工作日</w:t>
      </w:r>
      <w:bookmarkStart w:id="10" w:name="_Toc35393795"/>
      <w:r>
        <w:rPr>
          <w:rFonts w:hint="eastAsia" w:ascii="仿宋" w:hAnsi="仿宋" w:eastAsia="仿宋" w:cs="仿宋"/>
          <w:color w:val="333333"/>
          <w:kern w:val="0"/>
          <w:sz w:val="32"/>
          <w:szCs w:val="32"/>
          <w:shd w:val="clear" w:fill="FFFFFF"/>
          <w:lang w:val="en-US" w:eastAsia="zh-CN" w:bidi="ar"/>
        </w:rPr>
        <w:t>。</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321" w:firstLineChars="100"/>
        <w:textAlignment w:val="auto"/>
        <w:rPr>
          <w:rFonts w:hint="eastAsia" w:ascii="仿宋" w:hAnsi="仿宋" w:eastAsia="仿宋" w:cs="仿宋"/>
          <w:b/>
          <w:bCs/>
          <w:color w:val="333333"/>
          <w:kern w:val="2"/>
          <w:sz w:val="32"/>
          <w:szCs w:val="32"/>
          <w:u w:val="none"/>
          <w:shd w:val="clear" w:fill="FFFFFF"/>
        </w:rPr>
      </w:pPr>
      <w:r>
        <w:rPr>
          <w:rFonts w:hint="eastAsia" w:ascii="仿宋" w:hAnsi="仿宋" w:eastAsia="仿宋" w:cs="仿宋"/>
          <w:b/>
          <w:bCs/>
          <w:color w:val="333333"/>
          <w:kern w:val="2"/>
          <w:sz w:val="32"/>
          <w:szCs w:val="32"/>
          <w:u w:val="none"/>
          <w:shd w:val="clear" w:fill="FFFFFF"/>
          <w:lang w:eastAsia="zh-CN"/>
        </w:rPr>
        <w:t>七、</w:t>
      </w:r>
      <w:r>
        <w:rPr>
          <w:rFonts w:hint="eastAsia" w:ascii="仿宋" w:hAnsi="仿宋" w:eastAsia="仿宋" w:cs="仿宋"/>
          <w:b/>
          <w:bCs/>
          <w:color w:val="333333"/>
          <w:kern w:val="2"/>
          <w:sz w:val="32"/>
          <w:szCs w:val="32"/>
          <w:u w:val="none"/>
          <w:shd w:val="clear" w:fill="FFFFFF"/>
        </w:rPr>
        <w:t>其他补充事宜</w:t>
      </w:r>
      <w:bookmarkEnd w:id="10"/>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color w:val="333333"/>
          <w:kern w:val="2"/>
          <w:sz w:val="32"/>
          <w:szCs w:val="32"/>
          <w:shd w:val="clear" w:fill="FFFFFF"/>
          <w:lang w:val="en-US" w:eastAsia="zh-CN" w:bidi="ar"/>
        </w:rPr>
      </w:pPr>
      <w:bookmarkStart w:id="11" w:name="_Toc28359008"/>
      <w:r>
        <w:rPr>
          <w:rFonts w:hint="eastAsia" w:ascii="仿宋" w:hAnsi="仿宋" w:eastAsia="仿宋" w:cs="仿宋"/>
          <w:color w:val="333333"/>
          <w:kern w:val="2"/>
          <w:sz w:val="32"/>
          <w:szCs w:val="32"/>
          <w:shd w:val="clear" w:fill="FFFFFF"/>
          <w:lang w:val="en-US" w:eastAsia="zh-CN" w:bidi="ar"/>
        </w:rPr>
        <w:t>1、本项目为政采云网上不见面开标，投标单位须提前办理CA锁</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 w:hAnsi="仿宋" w:eastAsia="仿宋" w:cs="仿宋"/>
          <w:color w:val="333333"/>
          <w:kern w:val="2"/>
          <w:sz w:val="32"/>
          <w:szCs w:val="32"/>
          <w:shd w:val="clear" w:fill="FFFFFF"/>
          <w:lang w:val="en-US" w:eastAsia="zh-CN" w:bidi="ar"/>
        </w:rPr>
      </w:pPr>
      <w:r>
        <w:rPr>
          <w:rFonts w:hint="eastAsia" w:ascii="仿宋" w:hAnsi="仿宋" w:eastAsia="仿宋" w:cs="仿宋"/>
          <w:color w:val="333333"/>
          <w:kern w:val="2"/>
          <w:sz w:val="32"/>
          <w:szCs w:val="32"/>
          <w:shd w:val="clear" w:fill="FFFFFF"/>
          <w:lang w:val="en-US" w:eastAsia="zh-CN" w:bidi="ar"/>
        </w:rPr>
        <w:t>2、本项目招标文件的答疑、澄清将在新疆政府采购网上发布，采购人在新疆政府采购网上发出澄清或修改通知即视为所有投标人收到该澄清或修改通知。请投标人每天自行登录新疆政府采购网查阅澄清或修改通知；</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color w:val="333333"/>
          <w:kern w:val="2"/>
          <w:sz w:val="32"/>
          <w:szCs w:val="32"/>
          <w:shd w:val="clear" w:fill="FFFFFF"/>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color w:val="333333"/>
          <w:kern w:val="2"/>
          <w:sz w:val="32"/>
          <w:szCs w:val="32"/>
          <w:shd w:val="clear" w:fill="FFFFFF"/>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color w:val="333333"/>
          <w:kern w:val="2"/>
          <w:sz w:val="32"/>
          <w:szCs w:val="32"/>
          <w:shd w:val="clear" w:fill="FFFFFF"/>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b w:val="0"/>
          <w:bCs w:val="0"/>
          <w:color w:val="333333"/>
          <w:kern w:val="2"/>
          <w:sz w:val="32"/>
          <w:szCs w:val="32"/>
          <w:shd w:val="clear" w:fill="FFFFFF"/>
        </w:rPr>
      </w:pPr>
      <w:r>
        <w:rPr>
          <w:rFonts w:hint="eastAsia" w:ascii="仿宋" w:hAnsi="仿宋" w:eastAsia="仿宋" w:cs="仿宋"/>
          <w:color w:val="333333"/>
          <w:kern w:val="2"/>
          <w:sz w:val="32"/>
          <w:szCs w:val="32"/>
          <w:shd w:val="clear" w:fill="FFFFFF"/>
          <w:lang w:val="en-US" w:eastAsia="zh-CN" w:bidi="ar"/>
        </w:rPr>
        <w:br w:type="textWrapping"/>
      </w:r>
      <w:r>
        <w:rPr>
          <w:rFonts w:hint="eastAsia" w:ascii="仿宋" w:hAnsi="仿宋" w:eastAsia="仿宋" w:cs="仿宋"/>
          <w:b/>
          <w:bCs/>
          <w:color w:val="333333"/>
          <w:kern w:val="2"/>
          <w:sz w:val="32"/>
          <w:szCs w:val="32"/>
          <w:u w:val="none"/>
          <w:shd w:val="clear" w:fill="FFFFFF"/>
          <w:lang w:eastAsia="zh-CN"/>
        </w:rPr>
        <w:t>七、</w:t>
      </w:r>
      <w:r>
        <w:rPr>
          <w:rFonts w:hint="eastAsia" w:ascii="仿宋" w:hAnsi="仿宋" w:eastAsia="仿宋" w:cs="仿宋"/>
          <w:b/>
          <w:bCs/>
          <w:color w:val="333333"/>
          <w:kern w:val="2"/>
          <w:sz w:val="32"/>
          <w:szCs w:val="32"/>
          <w:u w:val="none"/>
          <w:shd w:val="clear" w:fill="FFFFFF"/>
        </w:rPr>
        <w:t>对本次招标提出询问，请按</w:t>
      </w:r>
      <w:bookmarkEnd w:id="11"/>
      <w:r>
        <w:rPr>
          <w:rFonts w:hint="eastAsia" w:ascii="仿宋" w:hAnsi="仿宋" w:eastAsia="仿宋" w:cs="仿宋"/>
          <w:b/>
          <w:bCs/>
          <w:color w:val="333333"/>
          <w:kern w:val="2"/>
          <w:sz w:val="32"/>
          <w:szCs w:val="32"/>
          <w:shd w:val="clear" w:fill="FFFFFF"/>
        </w:rPr>
        <w:t>以下方式联系</w:t>
      </w:r>
      <w:r>
        <w:rPr>
          <w:rFonts w:hint="eastAsia" w:ascii="仿宋" w:hAnsi="仿宋" w:eastAsia="仿宋" w:cs="仿宋"/>
          <w:b w:val="0"/>
          <w:bCs w:val="0"/>
          <w:color w:val="333333"/>
          <w:kern w:val="2"/>
          <w:sz w:val="32"/>
          <w:szCs w:val="32"/>
          <w:shd w:val="clear" w:fill="FFFFFF"/>
        </w:rPr>
        <w:t>。</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color w:val="333333"/>
          <w:kern w:val="2"/>
          <w:sz w:val="32"/>
          <w:szCs w:val="32"/>
          <w:shd w:val="clear" w:fill="FFFFFF"/>
          <w:lang w:val="en-US" w:eastAsia="zh-CN" w:bidi="ar"/>
        </w:rPr>
      </w:pPr>
      <w:r>
        <w:rPr>
          <w:rFonts w:hint="eastAsia" w:ascii="仿宋" w:hAnsi="仿宋" w:eastAsia="仿宋" w:cs="仿宋"/>
          <w:color w:val="333333"/>
          <w:kern w:val="2"/>
          <w:sz w:val="32"/>
          <w:szCs w:val="32"/>
          <w:shd w:val="clear" w:fill="FFFFFF"/>
          <w:lang w:val="en-US" w:eastAsia="zh-CN" w:bidi="ar"/>
        </w:rPr>
        <w:t> 1.采购人信息</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color w:val="333333"/>
          <w:kern w:val="2"/>
          <w:sz w:val="32"/>
          <w:szCs w:val="32"/>
          <w:shd w:val="clear" w:fill="FFFFFF"/>
          <w:lang w:val="en-US" w:eastAsia="zh-CN" w:bidi="ar"/>
        </w:rPr>
      </w:pPr>
      <w:r>
        <w:rPr>
          <w:rFonts w:hint="eastAsia" w:ascii="仿宋" w:hAnsi="仿宋" w:eastAsia="仿宋" w:cs="仿宋"/>
          <w:color w:val="333333"/>
          <w:kern w:val="2"/>
          <w:sz w:val="32"/>
          <w:szCs w:val="32"/>
          <w:shd w:val="clear" w:fill="FFFFFF"/>
          <w:lang w:val="en-US" w:eastAsia="zh-CN" w:bidi="ar"/>
        </w:rPr>
        <w:t> 名    称：</w:t>
      </w:r>
      <w:bookmarkStart w:id="12" w:name="template-center-mark"/>
      <w:bookmarkEnd w:id="12"/>
      <w:r>
        <w:rPr>
          <w:rFonts w:hint="eastAsia" w:ascii="仿宋" w:hAnsi="仿宋" w:eastAsia="仿宋" w:cs="仿宋"/>
          <w:color w:val="333333"/>
          <w:kern w:val="2"/>
          <w:sz w:val="32"/>
          <w:szCs w:val="32"/>
          <w:shd w:val="clear" w:fill="FFFFFF"/>
          <w:lang w:val="en-US" w:eastAsia="zh-CN" w:bidi="ar"/>
        </w:rPr>
        <w:t>阿克苏商贸物流产业园管理委员会</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color w:val="333333"/>
          <w:kern w:val="2"/>
          <w:sz w:val="32"/>
          <w:szCs w:val="32"/>
          <w:shd w:val="clear" w:fill="FFFFFF"/>
          <w:lang w:val="en-US" w:eastAsia="zh-CN" w:bidi="ar"/>
        </w:rPr>
      </w:pPr>
      <w:r>
        <w:rPr>
          <w:rFonts w:hint="eastAsia" w:ascii="仿宋" w:hAnsi="仿宋" w:eastAsia="仿宋" w:cs="仿宋"/>
          <w:color w:val="333333"/>
          <w:kern w:val="2"/>
          <w:sz w:val="32"/>
          <w:szCs w:val="32"/>
          <w:shd w:val="clear" w:fill="FFFFFF"/>
          <w:lang w:val="en-US" w:eastAsia="zh-CN" w:bidi="ar"/>
        </w:rPr>
        <w:t> 地    址：阿克苏电子商务产业园</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color w:val="333333"/>
          <w:kern w:val="2"/>
          <w:sz w:val="32"/>
          <w:szCs w:val="32"/>
          <w:shd w:val="clear" w:fill="FFFFFF"/>
          <w:lang w:val="en-US" w:eastAsia="zh-CN" w:bidi="ar"/>
        </w:rPr>
      </w:pPr>
      <w:r>
        <w:rPr>
          <w:rFonts w:hint="eastAsia" w:ascii="仿宋" w:hAnsi="仿宋" w:eastAsia="仿宋" w:cs="仿宋"/>
          <w:color w:val="333333"/>
          <w:kern w:val="2"/>
          <w:sz w:val="32"/>
          <w:szCs w:val="32"/>
          <w:shd w:val="clear" w:fill="FFFFFF"/>
          <w:lang w:val="en-US" w:eastAsia="zh-CN" w:bidi="ar"/>
        </w:rPr>
        <w:t> 项目联系人（询问）：张作栋　　　　　　　　　　</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color w:val="333333"/>
          <w:kern w:val="2"/>
          <w:sz w:val="32"/>
          <w:szCs w:val="32"/>
          <w:shd w:val="clear" w:fill="FFFFFF"/>
          <w:lang w:val="en-US" w:eastAsia="zh-CN" w:bidi="ar"/>
        </w:rPr>
      </w:pPr>
      <w:r>
        <w:rPr>
          <w:rFonts w:hint="eastAsia" w:ascii="仿宋" w:hAnsi="仿宋" w:eastAsia="仿宋" w:cs="仿宋"/>
          <w:color w:val="333333"/>
          <w:kern w:val="2"/>
          <w:sz w:val="32"/>
          <w:szCs w:val="32"/>
          <w:shd w:val="clear" w:fill="FFFFFF"/>
          <w:lang w:val="en-US" w:eastAsia="zh-CN" w:bidi="ar"/>
        </w:rPr>
        <w:t> 项目联系方式（询问）：18299995000　</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color w:val="333333"/>
          <w:kern w:val="2"/>
          <w:sz w:val="32"/>
          <w:szCs w:val="32"/>
          <w:shd w:val="clear" w:fill="FFFFFF"/>
          <w:lang w:val="en-US" w:eastAsia="zh-CN" w:bidi="ar"/>
        </w:rPr>
      </w:pPr>
      <w:r>
        <w:rPr>
          <w:rFonts w:hint="eastAsia" w:ascii="仿宋" w:hAnsi="仿宋" w:eastAsia="仿宋" w:cs="仿宋"/>
          <w:color w:val="333333"/>
          <w:kern w:val="2"/>
          <w:sz w:val="32"/>
          <w:szCs w:val="32"/>
          <w:shd w:val="clear" w:fill="FFFFFF"/>
          <w:lang w:val="en-US" w:eastAsia="zh-CN" w:bidi="ar"/>
        </w:rPr>
        <w:t> 2.采购代理机构信息</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color w:val="333333"/>
          <w:kern w:val="2"/>
          <w:sz w:val="32"/>
          <w:szCs w:val="32"/>
          <w:shd w:val="clear" w:fill="FFFFFF"/>
          <w:lang w:val="en-US" w:eastAsia="zh-CN" w:bidi="ar"/>
        </w:rPr>
      </w:pPr>
      <w:r>
        <w:rPr>
          <w:rFonts w:hint="eastAsia" w:ascii="仿宋" w:hAnsi="仿宋" w:eastAsia="仿宋" w:cs="仿宋"/>
          <w:color w:val="333333"/>
          <w:kern w:val="2"/>
          <w:sz w:val="32"/>
          <w:szCs w:val="32"/>
          <w:shd w:val="clear" w:fill="FFFFFF"/>
          <w:lang w:val="en-US" w:eastAsia="zh-CN" w:bidi="ar"/>
        </w:rPr>
        <w:t> 名    称：新疆国际招标中心有限公司 　　　　　　　　　</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color w:val="333333"/>
          <w:kern w:val="2"/>
          <w:sz w:val="32"/>
          <w:szCs w:val="32"/>
          <w:shd w:val="clear" w:fill="FFFFFF"/>
        </w:rPr>
      </w:pPr>
      <w:r>
        <w:rPr>
          <w:rFonts w:hint="eastAsia" w:ascii="仿宋" w:hAnsi="仿宋" w:eastAsia="仿宋" w:cs="仿宋"/>
          <w:color w:val="333333"/>
          <w:kern w:val="2"/>
          <w:sz w:val="32"/>
          <w:szCs w:val="32"/>
          <w:shd w:val="clear" w:fill="FFFFFF"/>
          <w:lang w:val="en-US" w:eastAsia="zh-CN" w:bidi="ar"/>
        </w:rPr>
        <w:t> 地    址：阿克苏市友谊北路19号丝路古镇奇石玉石博览旅游文化中心15-6号</w:t>
      </w:r>
      <w:r>
        <w:rPr>
          <w:rFonts w:hint="eastAsia" w:ascii="仿宋" w:hAnsi="仿宋" w:eastAsia="仿宋" w:cs="仿宋"/>
          <w:color w:val="333333"/>
          <w:kern w:val="2"/>
          <w:sz w:val="32"/>
          <w:szCs w:val="32"/>
          <w:shd w:val="clear" w:fill="FFFFFF"/>
          <w:lang w:val="en-US" w:eastAsia="zh-CN" w:bidi="ar"/>
        </w:rPr>
        <w:br w:type="textWrapping"/>
      </w:r>
      <w:r>
        <w:rPr>
          <w:rFonts w:hint="eastAsia" w:ascii="仿宋" w:hAnsi="仿宋" w:eastAsia="仿宋" w:cs="仿宋"/>
          <w:color w:val="333333"/>
          <w:kern w:val="2"/>
          <w:sz w:val="32"/>
          <w:szCs w:val="32"/>
          <w:shd w:val="clear" w:fill="FFFFFF"/>
          <w:lang w:val="en-US" w:eastAsia="zh-CN" w:bidi="ar"/>
        </w:rPr>
        <w:t> 项目联系人（询问）： 王卫东  　　　</w:t>
      </w:r>
      <w:r>
        <w:rPr>
          <w:rFonts w:hint="eastAsia" w:ascii="仿宋" w:hAnsi="仿宋" w:eastAsia="仿宋" w:cs="仿宋"/>
          <w:color w:val="333333"/>
          <w:kern w:val="2"/>
          <w:sz w:val="32"/>
          <w:szCs w:val="32"/>
          <w:shd w:val="clear" w:fill="FFFFFF"/>
        </w:rPr>
        <w:t>　　　　　　　　</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color w:val="333333"/>
          <w:kern w:val="2"/>
          <w:sz w:val="32"/>
          <w:szCs w:val="32"/>
          <w:shd w:val="clear" w:fill="FFFFFF"/>
        </w:rPr>
      </w:pPr>
      <w:r>
        <w:rPr>
          <w:rFonts w:hint="eastAsia" w:ascii="仿宋" w:hAnsi="仿宋" w:eastAsia="仿宋" w:cs="仿宋"/>
          <w:color w:val="333333"/>
          <w:kern w:val="2"/>
          <w:sz w:val="32"/>
          <w:szCs w:val="32"/>
          <w:shd w:val="clear" w:fill="FFFFFF"/>
        </w:rPr>
        <w:t> 项目联系方式（询问）：</w:t>
      </w:r>
      <w:r>
        <w:rPr>
          <w:rFonts w:hint="eastAsia" w:ascii="仿宋" w:hAnsi="仿宋" w:eastAsia="仿宋" w:cs="仿宋"/>
          <w:color w:val="333333"/>
          <w:kern w:val="2"/>
          <w:sz w:val="32"/>
          <w:szCs w:val="32"/>
          <w:shd w:val="clear" w:fill="FFFFFF"/>
          <w:lang w:val="en-US" w:eastAsia="zh-CN"/>
        </w:rPr>
        <w:t>15739247887</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840" w:leftChars="0" w:right="450" w:rightChars="0"/>
        <w:jc w:val="left"/>
        <w:textAlignment w:val="auto"/>
        <w:rPr>
          <w:rFonts w:hint="eastAsia" w:ascii="仿宋" w:hAnsi="仿宋" w:eastAsia="仿宋" w:cs="仿宋"/>
          <w:color w:val="333333"/>
          <w:kern w:val="2"/>
          <w:sz w:val="32"/>
          <w:szCs w:val="32"/>
          <w:shd w:val="clear" w:fill="FFFFFF"/>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840" w:leftChars="0" w:right="450" w:rightChars="0"/>
        <w:jc w:val="left"/>
        <w:textAlignment w:val="auto"/>
        <w:rPr>
          <w:rFonts w:hint="eastAsia" w:ascii="仿宋" w:hAnsi="仿宋" w:eastAsia="仿宋" w:cs="仿宋"/>
          <w:color w:val="333333"/>
          <w:kern w:val="2"/>
          <w:sz w:val="32"/>
          <w:szCs w:val="32"/>
          <w:shd w:val="clear" w:fill="FFFFFF"/>
          <w:lang w:val="en-US" w:eastAsia="zh-CN"/>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840" w:leftChars="0" w:right="450" w:rightChars="0"/>
        <w:jc w:val="left"/>
        <w:textAlignment w:val="auto"/>
        <w:rPr>
          <w:rFonts w:hint="eastAsia" w:ascii="仿宋" w:hAnsi="仿宋" w:eastAsia="仿宋" w:cs="仿宋"/>
          <w:color w:val="333333"/>
          <w:kern w:val="2"/>
          <w:sz w:val="32"/>
          <w:szCs w:val="32"/>
          <w:shd w:val="clear" w:fill="FFFFFF"/>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left="840" w:leftChars="0" w:right="450" w:rightChars="0"/>
        <w:jc w:val="left"/>
        <w:textAlignment w:val="auto"/>
        <w:rPr>
          <w:rFonts w:hint="eastAsia" w:ascii="仿宋" w:hAnsi="仿宋" w:eastAsia="仿宋" w:cs="仿宋"/>
          <w:color w:val="333333"/>
          <w:kern w:val="2"/>
          <w:sz w:val="32"/>
          <w:szCs w:val="32"/>
          <w:shd w:val="clear" w:fill="FFFFFF"/>
        </w:rPr>
      </w:pPr>
    </w:p>
    <w:p>
      <w:pPr>
        <w:keepNext w:val="0"/>
        <w:keepLines w:val="0"/>
        <w:pageBreakBefore w:val="0"/>
        <w:numPr>
          <w:ilvl w:val="0"/>
          <w:numId w:val="0"/>
        </w:numPr>
        <w:kinsoku/>
        <w:wordWrap/>
        <w:overflowPunct/>
        <w:topLinePunct w:val="0"/>
        <w:autoSpaceDE/>
        <w:autoSpaceDN/>
        <w:bidi w:val="0"/>
        <w:adjustRightInd/>
        <w:snapToGrid/>
        <w:spacing w:line="520" w:lineRule="exact"/>
        <w:ind w:left="840" w:leftChars="0"/>
        <w:textAlignment w:val="auto"/>
        <w:rPr>
          <w:rFonts w:hint="eastAsia" w:ascii="仿宋" w:hAnsi="仿宋" w:eastAsia="仿宋" w:cs="仿宋"/>
          <w:b w:val="0"/>
          <w:bCs w:val="0"/>
          <w:color w:val="333333"/>
          <w:kern w:val="2"/>
          <w:sz w:val="32"/>
          <w:szCs w:val="32"/>
          <w:u w:val="none"/>
          <w:shd w:val="clear" w:fill="FFFFFF"/>
          <w:lang w:val="en-US" w:eastAsia="zh-CN"/>
        </w:rPr>
      </w:pP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color w:val="333333"/>
          <w:kern w:val="2"/>
          <w:sz w:val="32"/>
          <w:szCs w:val="32"/>
          <w:u w:val="single"/>
          <w:shd w:val="clear" w:fill="FFFFFF"/>
          <w:lang w:val="en-US" w:eastAsia="zh-CN" w:bidi="ar"/>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450" w:beforeAutospacing="0" w:after="450" w:afterAutospacing="0" w:line="520" w:lineRule="exact"/>
        <w:ind w:right="450" w:rightChars="0"/>
        <w:jc w:val="left"/>
        <w:textAlignment w:val="auto"/>
        <w:rPr>
          <w:rFonts w:hint="eastAsia" w:ascii="仿宋" w:hAnsi="仿宋" w:eastAsia="仿宋" w:cs="仿宋"/>
          <w:color w:val="333333"/>
          <w:kern w:val="2"/>
          <w:sz w:val="32"/>
          <w:szCs w:val="32"/>
          <w:shd w:val="clear" w:fill="FFFFFF"/>
        </w:rPr>
      </w:pPr>
    </w:p>
    <w:p>
      <w:pPr>
        <w:pageBreakBefore w:val="0"/>
        <w:numPr>
          <w:ilvl w:val="0"/>
          <w:numId w:val="3"/>
        </w:numPr>
        <w:wordWrap/>
        <w:bidi w:val="0"/>
        <w:spacing w:line="700" w:lineRule="exact"/>
        <w:ind w:firstLine="2530" w:firstLineChars="900"/>
        <w:jc w:val="both"/>
        <w:outlineLvl w:val="0"/>
        <w:rPr>
          <w:rFonts w:hint="eastAsia" w:ascii="宋体" w:hAnsi="宋体" w:eastAsia="宋体" w:cs="宋体"/>
          <w:b/>
          <w:sz w:val="28"/>
          <w:szCs w:val="28"/>
        </w:rPr>
      </w:pPr>
      <w:r>
        <w:rPr>
          <w:rFonts w:hint="eastAsia" w:ascii="宋体" w:hAnsi="宋体" w:eastAsia="宋体" w:cs="宋体"/>
          <w:b/>
          <w:sz w:val="28"/>
          <w:szCs w:val="28"/>
        </w:rPr>
        <w:t xml:space="preserve">  投标人须知前附表</w:t>
      </w:r>
      <w:bookmarkEnd w:id="0"/>
      <w:bookmarkEnd w:id="1"/>
      <w:bookmarkEnd w:id="2"/>
    </w:p>
    <w:p>
      <w:pPr>
        <w:pStyle w:val="2"/>
        <w:numPr>
          <w:ilvl w:val="0"/>
          <w:numId w:val="0"/>
        </w:numPr>
        <w:ind w:leftChars="-200"/>
        <w:rPr>
          <w:rFonts w:hint="eastAsia"/>
        </w:rPr>
      </w:pPr>
    </w:p>
    <w:tbl>
      <w:tblPr>
        <w:tblStyle w:val="35"/>
        <w:tblW w:w="9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194"/>
        <w:gridCol w:w="6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序号</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内容</w:t>
            </w:r>
          </w:p>
        </w:tc>
        <w:tc>
          <w:tcPr>
            <w:tcW w:w="6535" w:type="dxa"/>
            <w:vAlign w:val="center"/>
          </w:tcPr>
          <w:p>
            <w:pPr>
              <w:pStyle w:val="66"/>
              <w:keepNext w:val="0"/>
              <w:keepLines w:val="0"/>
              <w:pageBreakBefore w:val="0"/>
              <w:numPr>
                <w:ilvl w:val="0"/>
                <w:numId w:val="0"/>
              </w:numPr>
              <w:kinsoku/>
              <w:wordWrap/>
              <w:overflowPunct/>
              <w:topLinePunct w:val="0"/>
              <w:bidi w:val="0"/>
              <w:spacing w:before="0" w:after="0" w:line="400" w:lineRule="exact"/>
              <w:jc w:val="center"/>
              <w:rPr>
                <w:rFonts w:hint="eastAsia" w:ascii="宋体" w:hAnsi="宋体" w:eastAsia="宋体" w:cs="宋体"/>
                <w:bCs w:val="0"/>
                <w:sz w:val="24"/>
                <w:szCs w:val="24"/>
              </w:rPr>
            </w:pPr>
            <w:r>
              <w:rPr>
                <w:rFonts w:hint="eastAsia" w:ascii="宋体" w:hAnsi="宋体" w:eastAsia="宋体" w:cs="宋体"/>
                <w:bCs w:val="0"/>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1</w:t>
            </w:r>
          </w:p>
        </w:tc>
        <w:tc>
          <w:tcPr>
            <w:tcW w:w="2194" w:type="dxa"/>
            <w:vAlign w:val="center"/>
          </w:tcPr>
          <w:p>
            <w:pPr>
              <w:pStyle w:val="66"/>
              <w:keepNext w:val="0"/>
              <w:keepLines w:val="0"/>
              <w:pageBreakBefore w:val="0"/>
              <w:numPr>
                <w:ilvl w:val="0"/>
                <w:numId w:val="0"/>
              </w:numPr>
              <w:kinsoku/>
              <w:wordWrap/>
              <w:overflowPunct/>
              <w:topLinePunct w:val="0"/>
              <w:bidi w:val="0"/>
              <w:spacing w:before="0" w:after="0" w:line="400" w:lineRule="exact"/>
              <w:ind w:firstLine="241" w:firstLineChars="100"/>
              <w:jc w:val="center"/>
              <w:rPr>
                <w:rFonts w:hint="eastAsia" w:ascii="宋体" w:hAnsi="宋体" w:eastAsia="宋体" w:cs="宋体"/>
                <w:bCs w:val="0"/>
                <w:sz w:val="24"/>
                <w:szCs w:val="24"/>
              </w:rPr>
            </w:pPr>
            <w:r>
              <w:rPr>
                <w:rFonts w:hint="eastAsia" w:ascii="宋体" w:hAnsi="宋体" w:eastAsia="宋体" w:cs="宋体"/>
                <w:bCs w:val="0"/>
                <w:sz w:val="24"/>
                <w:szCs w:val="24"/>
              </w:rPr>
              <w:t>采购人</w:t>
            </w:r>
          </w:p>
        </w:tc>
        <w:tc>
          <w:tcPr>
            <w:tcW w:w="6535" w:type="dxa"/>
            <w:vAlign w:val="center"/>
          </w:tcPr>
          <w:p>
            <w:pPr>
              <w:pStyle w:val="33"/>
              <w:keepNext w:val="0"/>
              <w:keepLines w:val="0"/>
              <w:pageBreakBefore w:val="0"/>
              <w:widowControl/>
              <w:kinsoku/>
              <w:wordWrap/>
              <w:overflowPunct/>
              <w:topLinePunct w:val="0"/>
              <w:bidi w:val="0"/>
              <w:spacing w:before="75" w:after="75" w:line="400" w:lineRule="exact"/>
              <w:jc w:val="left"/>
              <w:rPr>
                <w:rFonts w:hint="eastAsia" w:ascii="宋体" w:hAnsi="宋体" w:eastAsia="宋体" w:cs="宋体"/>
                <w:kern w:val="0"/>
                <w:u w:val="none"/>
              </w:rPr>
            </w:pPr>
            <w:r>
              <w:rPr>
                <w:rFonts w:hint="eastAsia" w:ascii="宋体" w:hAnsi="宋体" w:eastAsia="宋体" w:cs="宋体"/>
                <w:kern w:val="0"/>
                <w:u w:val="none"/>
                <w:lang w:val="en-US" w:eastAsia="zh-CN"/>
              </w:rPr>
              <w:t>阿克苏商贸物流产业园管理委员会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2</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sz w:val="24"/>
              </w:rPr>
            </w:pPr>
            <w:r>
              <w:rPr>
                <w:rFonts w:hint="eastAsia" w:ascii="宋体" w:hAnsi="宋体" w:eastAsia="宋体" w:cs="宋体"/>
                <w:b/>
                <w:sz w:val="24"/>
              </w:rPr>
              <w:t>采购代理机构</w:t>
            </w:r>
          </w:p>
        </w:tc>
        <w:tc>
          <w:tcPr>
            <w:tcW w:w="6535" w:type="dxa"/>
            <w:vAlign w:val="center"/>
          </w:tcPr>
          <w:p>
            <w:pPr>
              <w:keepNext w:val="0"/>
              <w:keepLines w:val="0"/>
              <w:pageBreakBefore w:val="0"/>
              <w:widowControl/>
              <w:kinsoku/>
              <w:wordWrap/>
              <w:overflowPunct/>
              <w:topLinePunct w:val="0"/>
              <w:bidi w:val="0"/>
              <w:spacing w:line="400" w:lineRule="exact"/>
              <w:rPr>
                <w:rFonts w:hint="eastAsia" w:ascii="宋体" w:hAnsi="宋体" w:eastAsia="宋体" w:cs="宋体"/>
                <w:sz w:val="24"/>
              </w:rPr>
            </w:pPr>
            <w:r>
              <w:rPr>
                <w:rFonts w:hint="eastAsia" w:ascii="宋体" w:hAnsi="宋体" w:eastAsia="宋体" w:cs="宋体"/>
                <w:kern w:val="0"/>
                <w:sz w:val="24"/>
                <w:szCs w:val="24"/>
                <w:u w:val="none"/>
                <w:lang w:val="en-US" w:eastAsia="zh-CN" w:bidi="ar-SA"/>
              </w:rPr>
              <w:t>新疆国际招标中心有限公司 </w:t>
            </w:r>
            <w:r>
              <w:rPr>
                <w:rFonts w:hint="eastAsia" w:ascii="宋体" w:hAnsi="宋体" w:eastAsia="宋体" w:cs="宋体"/>
                <w:color w:val="333333"/>
                <w:kern w:val="2"/>
                <w:sz w:val="32"/>
                <w:szCs w:val="32"/>
                <w:shd w:val="clear" w:fill="FFFFFF"/>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3</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投标人资格要求</w:t>
            </w:r>
          </w:p>
        </w:tc>
        <w:tc>
          <w:tcPr>
            <w:tcW w:w="6535" w:type="dxa"/>
            <w:vAlign w:val="center"/>
          </w:tcPr>
          <w:p>
            <w:pPr>
              <w:pStyle w:val="33"/>
              <w:keepNext w:val="0"/>
              <w:keepLines w:val="0"/>
              <w:pageBreakBefore w:val="0"/>
              <w:widowControl/>
              <w:kinsoku/>
              <w:wordWrap/>
              <w:overflowPunct/>
              <w:topLinePunct w:val="0"/>
              <w:autoSpaceDE/>
              <w:autoSpaceDN/>
              <w:bidi w:val="0"/>
              <w:adjustRightInd w:val="0"/>
              <w:snapToGrid w:val="0"/>
              <w:spacing w:before="75" w:after="75" w:line="400" w:lineRule="exact"/>
              <w:textAlignment w:val="auto"/>
              <w:rPr>
                <w:rFonts w:hint="eastAsia" w:ascii="宋体" w:hAnsi="宋体" w:eastAsia="宋体" w:cs="宋体"/>
                <w:lang w:val="en-US" w:eastAsia="zh-CN"/>
              </w:rPr>
            </w:pPr>
            <w:r>
              <w:rPr>
                <w:rFonts w:hint="eastAsia" w:ascii="宋体" w:hAnsi="宋体" w:eastAsia="宋体" w:cs="宋体"/>
                <w:lang w:val="en-US" w:eastAsia="zh-CN"/>
              </w:rPr>
              <w:t>（1）具有有效的营业执照副本（三证合一）；</w:t>
            </w:r>
          </w:p>
          <w:p>
            <w:pPr>
              <w:pStyle w:val="33"/>
              <w:keepNext w:val="0"/>
              <w:keepLines w:val="0"/>
              <w:pageBreakBefore w:val="0"/>
              <w:widowControl/>
              <w:kinsoku/>
              <w:wordWrap/>
              <w:overflowPunct/>
              <w:topLinePunct w:val="0"/>
              <w:autoSpaceDE/>
              <w:autoSpaceDN/>
              <w:bidi w:val="0"/>
              <w:adjustRightInd w:val="0"/>
              <w:snapToGrid w:val="0"/>
              <w:spacing w:before="75" w:after="75" w:line="400" w:lineRule="exact"/>
              <w:textAlignment w:val="auto"/>
              <w:rPr>
                <w:rFonts w:hint="eastAsia" w:ascii="宋体" w:hAnsi="宋体" w:eastAsia="宋体" w:cs="宋体"/>
                <w:lang w:val="en-US" w:eastAsia="zh-CN"/>
              </w:rPr>
            </w:pPr>
            <w:r>
              <w:rPr>
                <w:rFonts w:hint="eastAsia" w:ascii="宋体" w:hAnsi="宋体" w:eastAsia="宋体" w:cs="宋体"/>
                <w:lang w:val="en-US" w:eastAsia="zh-CN"/>
              </w:rPr>
              <w:t>（2）法定代表人授权书及被委托人身份证（法定代表人投标提供法定代表人身份证明及身份证）；</w:t>
            </w:r>
          </w:p>
          <w:p>
            <w:pPr>
              <w:pStyle w:val="33"/>
              <w:keepNext w:val="0"/>
              <w:keepLines w:val="0"/>
              <w:pageBreakBefore w:val="0"/>
              <w:widowControl/>
              <w:kinsoku/>
              <w:wordWrap/>
              <w:overflowPunct/>
              <w:topLinePunct w:val="0"/>
              <w:autoSpaceDE/>
              <w:autoSpaceDN/>
              <w:bidi w:val="0"/>
              <w:adjustRightInd w:val="0"/>
              <w:snapToGrid w:val="0"/>
              <w:spacing w:before="75" w:after="75" w:line="400" w:lineRule="exact"/>
              <w:textAlignment w:val="auto"/>
              <w:rPr>
                <w:rFonts w:hint="eastAsia" w:ascii="宋体" w:hAnsi="宋体" w:eastAsia="宋体" w:cs="宋体"/>
                <w:lang w:val="en-US" w:eastAsia="zh-CN"/>
              </w:rPr>
            </w:pPr>
            <w:r>
              <w:rPr>
                <w:rFonts w:hint="eastAsia" w:ascii="宋体" w:hAnsi="宋体" w:eastAsia="宋体" w:cs="宋体"/>
                <w:lang w:val="en-US" w:eastAsia="zh-CN"/>
              </w:rPr>
              <w:t>（3）参加采购活动前三年内，在经营活动中无重大违法声明(受行政主管部门的处罚不能参加投标)；</w:t>
            </w:r>
          </w:p>
          <w:p>
            <w:pPr>
              <w:pStyle w:val="33"/>
              <w:keepNext w:val="0"/>
              <w:keepLines w:val="0"/>
              <w:pageBreakBefore w:val="0"/>
              <w:widowControl/>
              <w:kinsoku/>
              <w:wordWrap/>
              <w:overflowPunct/>
              <w:topLinePunct w:val="0"/>
              <w:autoSpaceDE/>
              <w:autoSpaceDN/>
              <w:bidi w:val="0"/>
              <w:adjustRightInd w:val="0"/>
              <w:snapToGrid w:val="0"/>
              <w:spacing w:before="75" w:after="75" w:line="400" w:lineRule="exact"/>
              <w:textAlignment w:val="auto"/>
              <w:rPr>
                <w:rFonts w:hint="default" w:ascii="宋体" w:hAnsi="宋体" w:eastAsia="宋体" w:cs="宋体"/>
                <w:lang w:val="en-US" w:eastAsia="zh-CN"/>
              </w:rPr>
            </w:pPr>
            <w:r>
              <w:rPr>
                <w:rFonts w:hint="eastAsia" w:ascii="宋体" w:hAnsi="宋体" w:eastAsia="宋体" w:cs="宋体"/>
              </w:rPr>
              <w:t>（4）</w:t>
            </w:r>
            <w:r>
              <w:rPr>
                <w:rFonts w:hint="eastAsia" w:ascii="宋体" w:hAnsi="宋体" w:eastAsia="宋体" w:cs="宋体"/>
                <w:lang w:val="en-US" w:eastAsia="zh-CN"/>
              </w:rPr>
              <w:t>有效的工程设计建筑行业（人防工程）</w:t>
            </w:r>
            <w:r>
              <w:rPr>
                <w:rFonts w:hint="eastAsia" w:ascii="宋体" w:hAnsi="宋体" w:cs="宋体"/>
                <w:lang w:val="en-US" w:eastAsia="zh-CN"/>
              </w:rPr>
              <w:t>甲</w:t>
            </w:r>
            <w:r>
              <w:rPr>
                <w:rFonts w:hint="eastAsia" w:ascii="宋体" w:hAnsi="宋体" w:eastAsia="宋体" w:cs="宋体"/>
                <w:lang w:val="en-US" w:eastAsia="zh-CN"/>
              </w:rPr>
              <w:t>级资质</w:t>
            </w:r>
            <w:r>
              <w:rPr>
                <w:rFonts w:hint="eastAsia" w:ascii="宋体" w:hAnsi="宋体" w:cs="宋体"/>
                <w:lang w:val="en-US" w:eastAsia="zh-CN"/>
              </w:rPr>
              <w:t>;</w:t>
            </w:r>
            <w:r>
              <w:rPr>
                <w:rFonts w:hint="eastAsia" w:ascii="宋体" w:hAnsi="宋体" w:cs="宋体"/>
                <w:lang w:eastAsia="zh-CN"/>
              </w:rPr>
              <w:t>具有相关工作</w:t>
            </w:r>
            <w:r>
              <w:rPr>
                <w:rFonts w:hint="eastAsia" w:ascii="宋体" w:hAnsi="宋体" w:eastAsia="宋体" w:cs="宋体"/>
              </w:rPr>
              <w:t>经验</w:t>
            </w:r>
            <w:r>
              <w:rPr>
                <w:rFonts w:hint="eastAsia" w:ascii="宋体" w:hAnsi="宋体" w:cs="宋体"/>
                <w:lang w:eastAsia="zh-CN"/>
              </w:rPr>
              <w:t>，并</w:t>
            </w:r>
            <w:r>
              <w:rPr>
                <w:rFonts w:hint="eastAsia" w:ascii="宋体" w:hAnsi="宋体" w:eastAsia="宋体" w:cs="宋体"/>
              </w:rPr>
              <w:t>在人员、设备等方面具有承担本项目的能力；</w:t>
            </w:r>
          </w:p>
          <w:p>
            <w:pPr>
              <w:pStyle w:val="33"/>
              <w:keepNext w:val="0"/>
              <w:keepLines w:val="0"/>
              <w:pageBreakBefore w:val="0"/>
              <w:widowControl/>
              <w:kinsoku/>
              <w:wordWrap/>
              <w:overflowPunct/>
              <w:topLinePunct w:val="0"/>
              <w:autoSpaceDE/>
              <w:autoSpaceDN/>
              <w:bidi w:val="0"/>
              <w:adjustRightInd w:val="0"/>
              <w:snapToGrid w:val="0"/>
              <w:spacing w:before="75" w:after="75" w:line="400" w:lineRule="exact"/>
              <w:textAlignment w:val="auto"/>
              <w:rPr>
                <w:rFonts w:hint="eastAsia" w:ascii="宋体" w:hAnsi="宋体" w:eastAsia="宋体" w:cs="宋体"/>
              </w:rPr>
            </w:pPr>
            <w:r>
              <w:rPr>
                <w:rFonts w:hint="eastAsia" w:ascii="宋体" w:hAnsi="宋体" w:eastAsia="宋体" w:cs="宋体"/>
                <w:lang w:val="en-US" w:eastAsia="zh-CN"/>
              </w:rPr>
              <w:t>（</w:t>
            </w:r>
            <w:r>
              <w:rPr>
                <w:rFonts w:hint="eastAsia" w:ascii="宋体" w:hAnsi="宋体" w:cs="宋体"/>
                <w:lang w:val="en-US" w:eastAsia="zh-CN"/>
              </w:rPr>
              <w:t>5</w:t>
            </w:r>
            <w:r>
              <w:rPr>
                <w:rFonts w:hint="eastAsia" w:ascii="宋体" w:hAnsi="宋体" w:eastAsia="宋体" w:cs="宋体"/>
                <w:lang w:val="en-US" w:eastAsia="zh-CN"/>
              </w:rPr>
              <w:t>）项目负责人须具有二级注册建筑师或</w:t>
            </w:r>
            <w:r>
              <w:rPr>
                <w:rFonts w:hint="eastAsia" w:ascii="宋体" w:hAnsi="宋体" w:cs="宋体"/>
                <w:lang w:val="en-US" w:eastAsia="zh-CN"/>
              </w:rPr>
              <w:t>一级</w:t>
            </w:r>
            <w:r>
              <w:rPr>
                <w:rFonts w:hint="eastAsia" w:ascii="宋体" w:hAnsi="宋体" w:eastAsia="宋体" w:cs="宋体"/>
                <w:lang w:val="en-US" w:eastAsia="zh-CN"/>
              </w:rPr>
              <w:t>注册结构工程师资质；</w:t>
            </w:r>
          </w:p>
          <w:p>
            <w:pPr>
              <w:pStyle w:val="33"/>
              <w:keepNext w:val="0"/>
              <w:keepLines w:val="0"/>
              <w:pageBreakBefore w:val="0"/>
              <w:widowControl/>
              <w:kinsoku/>
              <w:wordWrap/>
              <w:overflowPunct/>
              <w:topLinePunct w:val="0"/>
              <w:autoSpaceDE/>
              <w:autoSpaceDN/>
              <w:bidi w:val="0"/>
              <w:adjustRightInd w:val="0"/>
              <w:snapToGrid w:val="0"/>
              <w:spacing w:before="75" w:after="75" w:line="400" w:lineRule="exact"/>
              <w:textAlignment w:val="auto"/>
              <w:rPr>
                <w:rFonts w:hint="eastAsia" w:ascii="宋体" w:hAnsi="宋体" w:eastAsia="宋体" w:cs="宋体"/>
                <w:lang w:val="en-US" w:eastAsia="zh-CN"/>
              </w:rPr>
            </w:pPr>
            <w:r>
              <w:rPr>
                <w:rFonts w:hint="eastAsia" w:ascii="宋体" w:hAnsi="宋体" w:eastAsia="宋体" w:cs="宋体"/>
                <w:lang w:val="en-US" w:eastAsia="zh-CN"/>
              </w:rPr>
              <w:t>（</w:t>
            </w:r>
            <w:r>
              <w:rPr>
                <w:rFonts w:hint="eastAsia" w:ascii="宋体" w:hAnsi="宋体" w:cs="宋体"/>
                <w:lang w:val="en-US" w:eastAsia="zh-CN"/>
              </w:rPr>
              <w:t>6</w:t>
            </w:r>
            <w:r>
              <w:rPr>
                <w:rFonts w:hint="eastAsia" w:ascii="宋体" w:hAnsi="宋体" w:eastAsia="宋体" w:cs="宋体"/>
                <w:lang w:val="en-US" w:eastAsia="zh-CN"/>
              </w:rPr>
              <w:t>）供应商在“信用中国”（www.creditchina.gov.cn）和中国政府采购网（www.ccgp.gov.cn）网站上未列入失信被执行人、重大税收违法案件当事人名单、政府采购严重违法失信行为记录名单（财库[2016]125号）（需提供网上截图加盖公章）；</w:t>
            </w:r>
          </w:p>
          <w:p>
            <w:pPr>
              <w:pStyle w:val="33"/>
              <w:keepNext w:val="0"/>
              <w:keepLines w:val="0"/>
              <w:pageBreakBefore w:val="0"/>
              <w:widowControl/>
              <w:kinsoku/>
              <w:wordWrap/>
              <w:overflowPunct/>
              <w:topLinePunct w:val="0"/>
              <w:autoSpaceDE/>
              <w:autoSpaceDN/>
              <w:bidi w:val="0"/>
              <w:adjustRightInd w:val="0"/>
              <w:snapToGrid w:val="0"/>
              <w:spacing w:before="75" w:after="75" w:line="400" w:lineRule="exact"/>
              <w:textAlignment w:val="auto"/>
              <w:rPr>
                <w:rFonts w:hint="eastAsia" w:ascii="宋体" w:hAnsi="宋体" w:eastAsia="宋体" w:cs="宋体"/>
                <w:lang w:val="en-US" w:eastAsia="zh-CN"/>
              </w:rPr>
            </w:pPr>
            <w:r>
              <w:rPr>
                <w:rFonts w:hint="eastAsia" w:ascii="宋体" w:hAnsi="宋体" w:eastAsia="宋体" w:cs="宋体"/>
                <w:lang w:val="en-US" w:eastAsia="zh-CN"/>
              </w:rPr>
              <w:t>（</w:t>
            </w:r>
            <w:r>
              <w:rPr>
                <w:rFonts w:hint="eastAsia" w:ascii="宋体" w:hAnsi="宋体" w:cs="宋体"/>
                <w:lang w:val="en-US" w:eastAsia="zh-CN"/>
              </w:rPr>
              <w:t>7</w:t>
            </w:r>
            <w:r>
              <w:rPr>
                <w:rFonts w:hint="eastAsia" w:ascii="宋体" w:hAnsi="宋体" w:eastAsia="宋体" w:cs="宋体"/>
                <w:lang w:val="en-US" w:eastAsia="zh-CN"/>
              </w:rPr>
              <w:t>）供应商提供针对本次项目《反商业贿赂承诺书》；</w:t>
            </w:r>
          </w:p>
          <w:p>
            <w:pPr>
              <w:pStyle w:val="33"/>
              <w:keepNext w:val="0"/>
              <w:keepLines w:val="0"/>
              <w:pageBreakBefore w:val="0"/>
              <w:widowControl/>
              <w:kinsoku/>
              <w:wordWrap/>
              <w:overflowPunct/>
              <w:topLinePunct w:val="0"/>
              <w:autoSpaceDE/>
              <w:autoSpaceDN/>
              <w:bidi w:val="0"/>
              <w:adjustRightInd w:val="0"/>
              <w:snapToGrid w:val="0"/>
              <w:spacing w:before="75" w:after="75" w:line="400" w:lineRule="exact"/>
              <w:textAlignment w:val="auto"/>
              <w:rPr>
                <w:rFonts w:hint="eastAsia" w:ascii="宋体" w:hAnsi="宋体" w:eastAsia="宋体" w:cs="宋体"/>
                <w:lang w:val="en-US" w:eastAsia="zh-CN"/>
              </w:rPr>
            </w:pPr>
            <w:r>
              <w:rPr>
                <w:rFonts w:hint="eastAsia" w:ascii="宋体" w:hAnsi="宋体" w:eastAsia="宋体" w:cs="宋体"/>
                <w:lang w:val="en-US" w:eastAsia="zh-CN"/>
              </w:rPr>
              <w:t>（</w:t>
            </w:r>
            <w:r>
              <w:rPr>
                <w:rFonts w:hint="eastAsia" w:ascii="宋体" w:hAnsi="宋体" w:cs="宋体"/>
                <w:lang w:val="en-US" w:eastAsia="zh-CN"/>
              </w:rPr>
              <w:t>8</w:t>
            </w:r>
            <w:r>
              <w:rPr>
                <w:rFonts w:hint="eastAsia" w:ascii="宋体" w:hAnsi="宋体" w:eastAsia="宋体" w:cs="宋体"/>
                <w:lang w:val="en-US" w:eastAsia="zh-CN"/>
              </w:rPr>
              <w:t>）根据财政部、工业和信息化部关于印发《政府采购促进中小企业发展暂行办法》的通知(财库﹝2020﹞46号)，供应商及其所投产品的制造商均属于《工业和信息化部、国家统计局、国家发展和改革委员会、财政部关于印发中小企业划型标准规定的通知》(工信部联企业[2011]300号)中规定的小型、微型企业标准的，按磋商文件格式提供《中小企业声明函》等政府采购政策。</w:t>
            </w:r>
          </w:p>
          <w:p>
            <w:pPr>
              <w:pStyle w:val="33"/>
              <w:keepNext w:val="0"/>
              <w:keepLines w:val="0"/>
              <w:pageBreakBefore w:val="0"/>
              <w:widowControl/>
              <w:kinsoku/>
              <w:wordWrap/>
              <w:overflowPunct/>
              <w:topLinePunct w:val="0"/>
              <w:autoSpaceDE/>
              <w:autoSpaceDN/>
              <w:bidi w:val="0"/>
              <w:adjustRightInd w:val="0"/>
              <w:snapToGrid w:val="0"/>
              <w:spacing w:before="75" w:after="75" w:line="400" w:lineRule="exact"/>
              <w:textAlignment w:val="auto"/>
              <w:rPr>
                <w:rFonts w:hint="eastAsia" w:ascii="宋体" w:hAnsi="宋体" w:eastAsia="宋体" w:cs="宋体"/>
                <w:sz w:val="24"/>
              </w:rPr>
            </w:pPr>
            <w:r>
              <w:rPr>
                <w:rFonts w:hint="eastAsia" w:ascii="宋体" w:hAnsi="宋体" w:eastAsia="宋体" w:cs="宋体"/>
              </w:rPr>
              <w:t>（</w:t>
            </w:r>
            <w:r>
              <w:rPr>
                <w:rFonts w:hint="eastAsia" w:ascii="宋体" w:hAnsi="宋体" w:cs="宋体"/>
                <w:lang w:val="en-US" w:eastAsia="zh-CN"/>
              </w:rPr>
              <w:t>9</w:t>
            </w:r>
            <w:r>
              <w:rPr>
                <w:rFonts w:hint="eastAsia" w:ascii="宋体" w:hAnsi="宋体" w:eastAsia="宋体" w:cs="宋体"/>
              </w:rPr>
              <w:t>）本项目不接受联合体报名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4</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项目名称</w:t>
            </w:r>
          </w:p>
        </w:tc>
        <w:tc>
          <w:tcPr>
            <w:tcW w:w="6535" w:type="dxa"/>
            <w:vAlign w:val="center"/>
          </w:tcPr>
          <w:p>
            <w:pPr>
              <w:keepNext w:val="0"/>
              <w:keepLines w:val="0"/>
              <w:pageBreakBefore w:val="0"/>
              <w:kinsoku/>
              <w:wordWrap/>
              <w:overflowPunct/>
              <w:topLinePunct w:val="0"/>
              <w:bidi w:val="0"/>
              <w:spacing w:line="400" w:lineRule="exact"/>
              <w:rPr>
                <w:rFonts w:hint="eastAsia" w:ascii="宋体" w:hAnsi="宋体" w:eastAsia="宋体" w:cs="宋体"/>
                <w:color w:val="000000"/>
                <w:sz w:val="24"/>
                <w:u w:val="none"/>
                <w:lang w:eastAsia="zh-CN"/>
              </w:rPr>
            </w:pPr>
            <w:r>
              <w:rPr>
                <w:rFonts w:hint="eastAsia" w:ascii="宋体" w:hAnsi="宋体" w:eastAsia="宋体" w:cs="宋体"/>
                <w:color w:val="000000"/>
                <w:sz w:val="24"/>
                <w:u w:val="none"/>
                <w:lang w:val="en-US" w:eastAsia="zh-CN"/>
              </w:rPr>
              <w:t>阿克苏商贸物流产业园区域人防工程建设规划项目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5</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供货期</w:t>
            </w:r>
          </w:p>
        </w:tc>
        <w:tc>
          <w:tcPr>
            <w:tcW w:w="6535" w:type="dxa"/>
            <w:vAlign w:val="center"/>
          </w:tcPr>
          <w:p>
            <w:pPr>
              <w:keepNext w:val="0"/>
              <w:keepLines w:val="0"/>
              <w:pageBreakBefore w:val="0"/>
              <w:kinsoku/>
              <w:wordWrap/>
              <w:overflowPunct/>
              <w:topLinePunct w:val="0"/>
              <w:bidi w:val="0"/>
              <w:spacing w:line="400" w:lineRule="exact"/>
              <w:rPr>
                <w:rFonts w:hint="eastAsia" w:ascii="宋体" w:hAnsi="宋体" w:eastAsia="宋体" w:cs="宋体"/>
                <w:color w:val="000000"/>
                <w:sz w:val="24"/>
              </w:rPr>
            </w:pPr>
            <w:r>
              <w:rPr>
                <w:rFonts w:hint="eastAsia" w:ascii="宋体" w:hAnsi="宋体" w:cs="宋体"/>
                <w:color w:val="0000FF"/>
                <w:kern w:val="0"/>
                <w:sz w:val="24"/>
                <w:lang w:val="en-US" w:eastAsia="zh-CN"/>
              </w:rPr>
              <w:t>120</w:t>
            </w:r>
            <w:r>
              <w:rPr>
                <w:rFonts w:hint="eastAsia" w:ascii="宋体" w:hAnsi="宋体" w:eastAsia="宋体" w:cs="宋体"/>
                <w:color w:val="0000FF"/>
                <w:kern w:val="0"/>
                <w:sz w:val="24"/>
              </w:rPr>
              <w:t>（日历天）</w:t>
            </w:r>
            <w:r>
              <w:rPr>
                <w:rFonts w:hint="eastAsia" w:ascii="宋体" w:hAnsi="宋体" w:cs="宋体"/>
                <w:color w:val="0000FF"/>
                <w:kern w:val="0"/>
                <w:sz w:val="24"/>
                <w:lang w:eastAsia="zh-CN"/>
              </w:rPr>
              <w:t>具体时间以签订合同为准</w:t>
            </w:r>
            <w:r>
              <w:rPr>
                <w:rFonts w:hint="eastAsia" w:ascii="宋体" w:hAnsi="宋体" w:eastAsia="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6</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招标方式</w:t>
            </w:r>
          </w:p>
        </w:tc>
        <w:tc>
          <w:tcPr>
            <w:tcW w:w="6535" w:type="dxa"/>
            <w:vAlign w:val="center"/>
          </w:tcPr>
          <w:p>
            <w:pPr>
              <w:keepNext w:val="0"/>
              <w:keepLines w:val="0"/>
              <w:pageBreakBefore w:val="0"/>
              <w:kinsoku/>
              <w:wordWrap/>
              <w:overflowPunct/>
              <w:topLinePunct w:val="0"/>
              <w:bidi w:val="0"/>
              <w:spacing w:line="400" w:lineRule="exact"/>
              <w:rPr>
                <w:rFonts w:hint="eastAsia" w:ascii="宋体" w:hAnsi="宋体" w:eastAsia="宋体" w:cs="宋体"/>
                <w:color w:val="000000"/>
                <w:sz w:val="24"/>
              </w:rPr>
            </w:pPr>
            <w:r>
              <w:rPr>
                <w:rFonts w:hint="eastAsia" w:ascii="宋体" w:hAnsi="宋体" w:eastAsia="宋体" w:cs="宋体"/>
                <w:color w:val="000000"/>
                <w:sz w:val="24"/>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7</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sz w:val="24"/>
              </w:rPr>
            </w:pPr>
            <w:r>
              <w:rPr>
                <w:rFonts w:hint="eastAsia" w:ascii="宋体" w:hAnsi="宋体" w:eastAsia="宋体" w:cs="宋体"/>
                <w:b/>
                <w:sz w:val="24"/>
              </w:rPr>
              <w:t>是否允许联合体</w:t>
            </w:r>
          </w:p>
          <w:p>
            <w:pPr>
              <w:keepNext w:val="0"/>
              <w:keepLines w:val="0"/>
              <w:pageBreakBefore w:val="0"/>
              <w:kinsoku/>
              <w:wordWrap/>
              <w:overflowPunct/>
              <w:topLinePunct w:val="0"/>
              <w:bidi w:val="0"/>
              <w:spacing w:line="400" w:lineRule="exact"/>
              <w:jc w:val="center"/>
              <w:rPr>
                <w:rFonts w:hint="eastAsia" w:ascii="宋体" w:hAnsi="宋体" w:eastAsia="宋体" w:cs="宋体"/>
                <w:b/>
                <w:sz w:val="24"/>
              </w:rPr>
            </w:pPr>
            <w:r>
              <w:rPr>
                <w:rFonts w:hint="eastAsia" w:ascii="宋体" w:hAnsi="宋体" w:eastAsia="宋体" w:cs="宋体"/>
                <w:b/>
                <w:sz w:val="24"/>
              </w:rPr>
              <w:t>投标</w:t>
            </w:r>
          </w:p>
        </w:tc>
        <w:tc>
          <w:tcPr>
            <w:tcW w:w="6535" w:type="dxa"/>
            <w:vAlign w:val="center"/>
          </w:tcPr>
          <w:p>
            <w:pPr>
              <w:keepNext w:val="0"/>
              <w:keepLines w:val="0"/>
              <w:pageBreakBefore w:val="0"/>
              <w:kinsoku/>
              <w:wordWrap/>
              <w:overflowPunct/>
              <w:topLinePunct w:val="0"/>
              <w:autoSpaceDE w:val="0"/>
              <w:autoSpaceDN w:val="0"/>
              <w:bidi w:val="0"/>
              <w:adjustRightInd w:val="0"/>
              <w:spacing w:line="400" w:lineRule="exact"/>
              <w:rPr>
                <w:rFonts w:hint="eastAsia" w:ascii="宋体" w:hAnsi="宋体" w:eastAsia="宋体" w:cs="宋体"/>
                <w:kern w:val="0"/>
                <w:sz w:val="24"/>
              </w:rPr>
            </w:pPr>
            <w:r>
              <w:rPr>
                <w:rFonts w:hint="eastAsia" w:ascii="宋体" w:hAnsi="宋体" w:eastAsia="宋体" w:cs="宋体"/>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8</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color w:val="FF0000"/>
                <w:sz w:val="24"/>
              </w:rPr>
            </w:pPr>
            <w:r>
              <w:rPr>
                <w:rFonts w:hint="eastAsia" w:ascii="宋体" w:hAnsi="宋体" w:eastAsia="宋体" w:cs="宋体"/>
                <w:b/>
                <w:sz w:val="24"/>
              </w:rPr>
              <w:t>是否允许投报进口产品</w:t>
            </w:r>
          </w:p>
        </w:tc>
        <w:tc>
          <w:tcPr>
            <w:tcW w:w="6535" w:type="dxa"/>
            <w:vAlign w:val="center"/>
          </w:tcPr>
          <w:p>
            <w:pPr>
              <w:keepNext w:val="0"/>
              <w:keepLines w:val="0"/>
              <w:pageBreakBefore w:val="0"/>
              <w:kinsoku/>
              <w:wordWrap/>
              <w:overflowPunct/>
              <w:topLinePunct w:val="0"/>
              <w:autoSpaceDE w:val="0"/>
              <w:autoSpaceDN w:val="0"/>
              <w:bidi w:val="0"/>
              <w:adjustRightInd w:val="0"/>
              <w:spacing w:line="400" w:lineRule="exact"/>
              <w:rPr>
                <w:rFonts w:hint="eastAsia" w:ascii="宋体" w:hAnsi="宋体" w:eastAsia="宋体" w:cs="宋体"/>
                <w:kern w:val="0"/>
                <w:sz w:val="24"/>
              </w:rPr>
            </w:pPr>
            <w:r>
              <w:rPr>
                <w:rFonts w:hint="eastAsia" w:ascii="宋体" w:hAnsi="宋体" w:eastAsia="宋体" w:cs="宋体"/>
                <w:kern w:val="0"/>
                <w:sz w:val="24"/>
              </w:rPr>
              <w:t>□是，允许的货物为</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pPr>
              <w:keepNext w:val="0"/>
              <w:keepLines w:val="0"/>
              <w:pageBreakBefore w:val="0"/>
              <w:kinsoku/>
              <w:wordWrap/>
              <w:overflowPunct/>
              <w:topLinePunct w:val="0"/>
              <w:autoSpaceDE w:val="0"/>
              <w:autoSpaceDN w:val="0"/>
              <w:bidi w:val="0"/>
              <w:adjustRightInd w:val="0"/>
              <w:spacing w:line="400" w:lineRule="exact"/>
              <w:rPr>
                <w:rFonts w:hint="eastAsia" w:ascii="宋体" w:hAnsi="宋体" w:eastAsia="宋体" w:cs="宋体"/>
                <w:kern w:val="0"/>
                <w:sz w:val="24"/>
              </w:rPr>
            </w:pPr>
            <w:r>
              <w:rPr>
                <w:rFonts w:hint="eastAsia" w:ascii="宋体" w:hAnsi="宋体" w:eastAsia="宋体" w:cs="宋体"/>
                <w:kern w:val="0"/>
                <w:sz w:val="24"/>
              </w:rPr>
              <w:fldChar w:fldCharType="begin"/>
            </w:r>
            <w:r>
              <w:rPr>
                <w:rFonts w:hint="eastAsia" w:ascii="宋体" w:hAnsi="宋体" w:eastAsia="宋体" w:cs="宋体"/>
                <w:kern w:val="0"/>
                <w:sz w:val="24"/>
              </w:rPr>
              <w:instrText xml:space="preserve"> eq \o\ac(</w:instrText>
            </w:r>
            <w:r>
              <w:rPr>
                <w:rFonts w:hint="eastAsia" w:ascii="宋体" w:hAnsi="宋体" w:eastAsia="宋体" w:cs="宋体"/>
                <w:kern w:val="0"/>
                <w:position w:val="-4"/>
                <w:sz w:val="36"/>
              </w:rPr>
              <w:instrText xml:space="preserve">□</w:instrText>
            </w:r>
            <w:r>
              <w:rPr>
                <w:rFonts w:hint="eastAsia" w:ascii="宋体" w:hAnsi="宋体" w:eastAsia="宋体" w:cs="宋体"/>
                <w:kern w:val="0"/>
                <w:sz w:val="24"/>
              </w:rPr>
              <w:instrText xml:space="preserve">,√)</w:instrText>
            </w:r>
            <w:r>
              <w:rPr>
                <w:rFonts w:hint="eastAsia" w:ascii="宋体" w:hAnsi="宋体" w:eastAsia="宋体" w:cs="宋体"/>
                <w:kern w:val="0"/>
                <w:sz w:val="24"/>
              </w:rPr>
              <w:fldChar w:fldCharType="end"/>
            </w:r>
            <w:r>
              <w:rPr>
                <w:rFonts w:hint="eastAsia" w:ascii="宋体" w:hAnsi="宋体" w:eastAsia="宋体" w:cs="宋体"/>
                <w:kern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5"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9</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sz w:val="24"/>
              </w:rPr>
            </w:pPr>
            <w:r>
              <w:rPr>
                <w:rFonts w:hint="eastAsia" w:ascii="宋体" w:hAnsi="宋体" w:eastAsia="宋体" w:cs="宋体"/>
                <w:b/>
                <w:sz w:val="24"/>
              </w:rPr>
              <w:t>是否允许投标人将项目非主体、非关键性工作交由他人完成</w:t>
            </w:r>
          </w:p>
        </w:tc>
        <w:tc>
          <w:tcPr>
            <w:tcW w:w="6535" w:type="dxa"/>
            <w:vAlign w:val="center"/>
          </w:tcPr>
          <w:p>
            <w:pPr>
              <w:keepNext w:val="0"/>
              <w:keepLines w:val="0"/>
              <w:pageBreakBefore w:val="0"/>
              <w:kinsoku/>
              <w:wordWrap/>
              <w:overflowPunct/>
              <w:topLinePunct w:val="0"/>
              <w:bidi w:val="0"/>
              <w:spacing w:line="400" w:lineRule="exact"/>
              <w:rPr>
                <w:rFonts w:hint="eastAsia" w:ascii="宋体" w:hAnsi="宋体" w:eastAsia="宋体" w:cs="宋体"/>
                <w:kern w:val="0"/>
                <w:sz w:val="24"/>
              </w:rPr>
            </w:pPr>
            <w:r>
              <w:rPr>
                <w:rFonts w:hint="eastAsia" w:ascii="宋体" w:hAnsi="宋体" w:eastAsia="宋体" w:cs="宋体"/>
                <w:kern w:val="0"/>
                <w:sz w:val="24"/>
              </w:rPr>
              <w:fldChar w:fldCharType="begin"/>
            </w:r>
            <w:r>
              <w:rPr>
                <w:rFonts w:hint="eastAsia" w:ascii="宋体" w:hAnsi="宋体" w:eastAsia="宋体" w:cs="宋体"/>
                <w:kern w:val="0"/>
                <w:sz w:val="24"/>
              </w:rPr>
              <w:instrText xml:space="preserve"> eq \o\ac(</w:instrText>
            </w:r>
            <w:r>
              <w:rPr>
                <w:rFonts w:hint="eastAsia" w:ascii="宋体" w:hAnsi="宋体" w:eastAsia="宋体" w:cs="宋体"/>
                <w:kern w:val="0"/>
                <w:position w:val="-4"/>
                <w:sz w:val="36"/>
              </w:rPr>
              <w:instrText xml:space="preserve">□</w:instrText>
            </w:r>
            <w:r>
              <w:rPr>
                <w:rFonts w:hint="eastAsia" w:ascii="宋体" w:hAnsi="宋体" w:eastAsia="宋体" w:cs="宋体"/>
                <w:kern w:val="0"/>
                <w:sz w:val="24"/>
              </w:rPr>
              <w:instrText xml:space="preserve">,√)</w:instrText>
            </w:r>
            <w:r>
              <w:rPr>
                <w:rFonts w:hint="eastAsia" w:ascii="宋体" w:hAnsi="宋体" w:eastAsia="宋体" w:cs="宋体"/>
                <w:kern w:val="0"/>
                <w:sz w:val="24"/>
              </w:rPr>
              <w:fldChar w:fldCharType="end"/>
            </w:r>
            <w:r>
              <w:rPr>
                <w:rFonts w:hint="eastAsia" w:ascii="宋体" w:hAnsi="宋体" w:eastAsia="宋体" w:cs="宋体"/>
                <w:kern w:val="0"/>
                <w:sz w:val="24"/>
              </w:rPr>
              <w:t>否。</w:t>
            </w:r>
          </w:p>
          <w:p>
            <w:pPr>
              <w:keepNext w:val="0"/>
              <w:keepLines w:val="0"/>
              <w:pageBreakBefore w:val="0"/>
              <w:kinsoku/>
              <w:wordWrap/>
              <w:overflowPunct/>
              <w:topLinePunct w:val="0"/>
              <w:bidi w:val="0"/>
              <w:spacing w:line="400" w:lineRule="exact"/>
              <w:rPr>
                <w:rFonts w:hint="eastAsia" w:ascii="宋体" w:hAnsi="宋体" w:eastAsia="宋体" w:cs="宋体"/>
                <w:kern w:val="0"/>
                <w:sz w:val="24"/>
              </w:rPr>
            </w:pPr>
            <w:r>
              <w:rPr>
                <w:rFonts w:hint="eastAsia" w:ascii="宋体" w:hAnsi="宋体" w:eastAsia="宋体" w:cs="宋体"/>
                <w:kern w:val="0"/>
                <w:sz w:val="24"/>
              </w:rPr>
              <w:t>□是。中标人按照合同约定或者经采购人同意，可以将项目非主体、非关键性工作分包交由他人完成。此时，接受分包的人应当具备相应的资格条件，并不得再次分包。</w:t>
            </w:r>
          </w:p>
          <w:p>
            <w:pPr>
              <w:keepNext w:val="0"/>
              <w:keepLines w:val="0"/>
              <w:pageBreakBefore w:val="0"/>
              <w:kinsoku/>
              <w:wordWrap/>
              <w:overflowPunct/>
              <w:topLinePunct w:val="0"/>
              <w:bidi w:val="0"/>
              <w:spacing w:line="400" w:lineRule="exact"/>
              <w:ind w:firstLine="480"/>
              <w:rPr>
                <w:rFonts w:hint="eastAsia" w:ascii="宋体" w:hAnsi="宋体" w:eastAsia="宋体" w:cs="宋体"/>
                <w:kern w:val="0"/>
                <w:sz w:val="24"/>
                <w:u w:val="single"/>
              </w:rPr>
            </w:pPr>
            <w:r>
              <w:rPr>
                <w:rFonts w:hint="eastAsia" w:ascii="宋体" w:hAnsi="宋体" w:eastAsia="宋体" w:cs="宋体"/>
                <w:kern w:val="0"/>
                <w:sz w:val="24"/>
              </w:rPr>
              <w:t>分包内容要求：</w:t>
            </w:r>
            <w:r>
              <w:rPr>
                <w:rFonts w:hint="eastAsia" w:ascii="宋体" w:hAnsi="宋体" w:eastAsia="宋体" w:cs="宋体"/>
                <w:kern w:val="0"/>
                <w:sz w:val="24"/>
                <w:u w:val="single"/>
              </w:rPr>
              <w:t xml:space="preserve">                             </w:t>
            </w:r>
          </w:p>
          <w:p>
            <w:pPr>
              <w:keepNext w:val="0"/>
              <w:keepLines w:val="0"/>
              <w:pageBreakBefore w:val="0"/>
              <w:kinsoku/>
              <w:wordWrap/>
              <w:overflowPunct/>
              <w:topLinePunct w:val="0"/>
              <w:bidi w:val="0"/>
              <w:spacing w:line="400" w:lineRule="exact"/>
              <w:ind w:firstLine="480" w:firstLineChars="200"/>
              <w:rPr>
                <w:rFonts w:hint="eastAsia" w:ascii="宋体" w:hAnsi="宋体" w:eastAsia="宋体" w:cs="宋体"/>
                <w:kern w:val="0"/>
                <w:sz w:val="24"/>
                <w:u w:val="single"/>
              </w:rPr>
            </w:pPr>
            <w:r>
              <w:rPr>
                <w:rFonts w:hint="eastAsia" w:ascii="宋体" w:hAnsi="宋体" w:eastAsia="宋体" w:cs="宋体"/>
                <w:kern w:val="0"/>
                <w:sz w:val="24"/>
              </w:rPr>
              <w:t>分包金额要求：</w:t>
            </w:r>
            <w:r>
              <w:rPr>
                <w:rFonts w:hint="eastAsia" w:ascii="宋体" w:hAnsi="宋体" w:eastAsia="宋体" w:cs="宋体"/>
                <w:kern w:val="0"/>
                <w:sz w:val="24"/>
                <w:u w:val="single"/>
              </w:rPr>
              <w:t xml:space="preserve">                             </w:t>
            </w:r>
          </w:p>
          <w:p>
            <w:pPr>
              <w:keepNext w:val="0"/>
              <w:keepLines w:val="0"/>
              <w:pageBreakBefore w:val="0"/>
              <w:kinsoku/>
              <w:wordWrap/>
              <w:overflowPunct/>
              <w:topLinePunct w:val="0"/>
              <w:bidi w:val="0"/>
              <w:spacing w:line="4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接受分包的第三人资质要求：</w:t>
            </w:r>
            <w:r>
              <w:rPr>
                <w:rFonts w:hint="eastAsia" w:ascii="宋体" w:hAnsi="宋体" w:eastAsia="宋体" w:cs="宋体"/>
                <w:kern w:val="0"/>
                <w:sz w:val="24"/>
                <w:u w:val="single"/>
              </w:rPr>
              <w:t xml:space="preserve">                </w:t>
            </w:r>
            <w:r>
              <w:rPr>
                <w:rFonts w:hint="eastAsia" w:ascii="宋体" w:hAnsi="宋体" w:eastAsia="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10</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sz w:val="24"/>
              </w:rPr>
            </w:pPr>
            <w:r>
              <w:rPr>
                <w:rFonts w:hint="eastAsia" w:ascii="宋体" w:hAnsi="宋体" w:eastAsia="宋体" w:cs="宋体"/>
                <w:b/>
                <w:sz w:val="24"/>
              </w:rPr>
              <w:t>答疑澄清</w:t>
            </w:r>
          </w:p>
        </w:tc>
        <w:tc>
          <w:tcPr>
            <w:tcW w:w="6535" w:type="dxa"/>
            <w:vAlign w:val="center"/>
          </w:tcPr>
          <w:p>
            <w:pPr>
              <w:keepNext w:val="0"/>
              <w:keepLines w:val="0"/>
              <w:pageBreakBefore w:val="0"/>
              <w:kinsoku/>
              <w:wordWrap/>
              <w:overflowPunct/>
              <w:topLinePunct w:val="0"/>
              <w:bidi w:val="0"/>
              <w:spacing w:line="400" w:lineRule="exact"/>
              <w:rPr>
                <w:rFonts w:hint="eastAsia" w:ascii="宋体" w:hAnsi="宋体" w:eastAsia="宋体" w:cs="宋体"/>
                <w:bCs/>
                <w:sz w:val="24"/>
              </w:rPr>
            </w:pPr>
            <w:r>
              <w:rPr>
                <w:rFonts w:hint="eastAsia" w:ascii="宋体" w:hAnsi="宋体" w:eastAsia="宋体" w:cs="宋体"/>
                <w:kern w:val="0"/>
                <w:sz w:val="24"/>
              </w:rPr>
              <w:t>于</w:t>
            </w:r>
            <w:r>
              <w:rPr>
                <w:rFonts w:hint="eastAsia" w:ascii="宋体" w:hAnsi="宋体" w:eastAsia="宋体" w:cs="宋体"/>
                <w:kern w:val="0"/>
                <w:sz w:val="24"/>
                <w:u w:val="single"/>
              </w:rPr>
              <w:t xml:space="preserve"> 开标前5日 </w:t>
            </w:r>
            <w:r>
              <w:rPr>
                <w:rFonts w:hint="eastAsia" w:ascii="宋体" w:hAnsi="宋体" w:eastAsia="宋体" w:cs="宋体"/>
                <w:bCs/>
                <w:sz w:val="24"/>
              </w:rPr>
              <w:t>接受投标人疑问或澄清要求（逾期不予受理）。</w:t>
            </w:r>
          </w:p>
          <w:p>
            <w:pPr>
              <w:keepNext w:val="0"/>
              <w:keepLines w:val="0"/>
              <w:pageBreakBefore w:val="0"/>
              <w:kinsoku/>
              <w:wordWrap/>
              <w:overflowPunct/>
              <w:topLinePunct w:val="0"/>
              <w:bidi w:val="0"/>
              <w:spacing w:line="400" w:lineRule="exact"/>
              <w:rPr>
                <w:rFonts w:hint="eastAsia" w:ascii="宋体" w:hAnsi="宋体" w:eastAsia="宋体" w:cs="宋体"/>
                <w:kern w:val="0"/>
                <w:sz w:val="24"/>
              </w:rPr>
            </w:pPr>
            <w:r>
              <w:rPr>
                <w:rFonts w:hint="eastAsia" w:ascii="宋体" w:hAnsi="宋体" w:eastAsia="宋体" w:cs="宋体"/>
                <w:kern w:val="0"/>
                <w:sz w:val="24"/>
              </w:rPr>
              <w:t>提交方式：</w:t>
            </w:r>
            <w:r>
              <w:rPr>
                <w:rFonts w:hint="eastAsia" w:ascii="宋体" w:hAnsi="宋体" w:eastAsia="宋体" w:cs="宋体"/>
                <w:bCs/>
                <w:sz w:val="24"/>
              </w:rPr>
              <w:t>提交纸质材料以及营业执照复印件和授权委托书并加盖投标人公章。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11</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sz w:val="24"/>
              </w:rPr>
            </w:pPr>
            <w:r>
              <w:rPr>
                <w:rFonts w:hint="eastAsia" w:ascii="宋体" w:hAnsi="宋体" w:eastAsia="宋体" w:cs="宋体"/>
                <w:b/>
                <w:sz w:val="24"/>
              </w:rPr>
              <w:t>投标有效期</w:t>
            </w:r>
          </w:p>
        </w:tc>
        <w:tc>
          <w:tcPr>
            <w:tcW w:w="6535" w:type="dxa"/>
            <w:vAlign w:val="center"/>
          </w:tcPr>
          <w:p>
            <w:pPr>
              <w:keepNext w:val="0"/>
              <w:keepLines w:val="0"/>
              <w:pageBreakBefore w:val="0"/>
              <w:kinsoku/>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lang w:val="zh-CN"/>
              </w:rPr>
              <w:t>自投标截止之日起</w:t>
            </w:r>
            <w:r>
              <w:rPr>
                <w:rFonts w:hint="eastAsia" w:ascii="宋体" w:hAnsi="宋体" w:eastAsia="宋体" w:cs="宋体"/>
                <w:sz w:val="24"/>
                <w:u w:val="single"/>
              </w:rPr>
              <w:t>60</w:t>
            </w:r>
            <w:r>
              <w:rPr>
                <w:rFonts w:hint="eastAsia" w:ascii="宋体" w:hAnsi="宋体" w:eastAsia="宋体" w:cs="宋体"/>
                <w:sz w:val="24"/>
                <w:u w:val="single"/>
                <w:lang w:val="zh-CN"/>
              </w:rPr>
              <w:t xml:space="preserve"> </w:t>
            </w:r>
            <w:r>
              <w:rPr>
                <w:rFonts w:hint="eastAsia" w:ascii="宋体" w:hAnsi="宋体" w:eastAsia="宋体" w:cs="宋体"/>
                <w:sz w:val="24"/>
                <w:lang w:val="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12</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投标人在投标截止时间前提交的文件</w:t>
            </w:r>
          </w:p>
        </w:tc>
        <w:tc>
          <w:tcPr>
            <w:tcW w:w="6535" w:type="dxa"/>
            <w:vAlign w:val="center"/>
          </w:tcPr>
          <w:p>
            <w:pPr>
              <w:keepNext w:val="0"/>
              <w:keepLines w:val="0"/>
              <w:pageBreakBefore w:val="0"/>
              <w:kinsoku/>
              <w:wordWrap/>
              <w:overflowPunct/>
              <w:topLinePunct w:val="0"/>
              <w:bidi w:val="0"/>
              <w:spacing w:line="400" w:lineRule="exact"/>
              <w:rPr>
                <w:rFonts w:hint="eastAsia" w:ascii="宋体" w:hAnsi="宋体" w:eastAsia="宋体" w:cs="宋体"/>
                <w:kern w:val="0"/>
                <w:sz w:val="24"/>
              </w:rPr>
            </w:pPr>
            <w:r>
              <w:rPr>
                <w:rFonts w:hint="eastAsia" w:ascii="宋体" w:hAnsi="宋体" w:eastAsia="宋体" w:cs="宋体"/>
                <w:kern w:val="0"/>
                <w:sz w:val="24"/>
              </w:rPr>
              <w:t>投标人认为参与投标应当提交的其他材料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13</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投标文件份数</w:t>
            </w:r>
          </w:p>
        </w:tc>
        <w:tc>
          <w:tcPr>
            <w:tcW w:w="6535" w:type="dxa"/>
            <w:vAlign w:val="center"/>
          </w:tcPr>
          <w:p>
            <w:pPr>
              <w:pStyle w:val="46"/>
              <w:keepNext w:val="0"/>
              <w:keepLines w:val="0"/>
              <w:pageBreakBefore w:val="0"/>
              <w:kinsoku/>
              <w:wordWrap/>
              <w:overflowPunct/>
              <w:topLinePunct w:val="0"/>
              <w:bidi w:val="0"/>
              <w:spacing w:line="400" w:lineRule="exact"/>
              <w:ind w:firstLine="0" w:firstLineChars="0"/>
              <w:rPr>
                <w:rFonts w:hint="eastAsia" w:ascii="宋体" w:hAnsi="宋体" w:eastAsia="宋体" w:cs="宋体"/>
                <w:lang w:eastAsia="zh-CN"/>
              </w:rPr>
            </w:pPr>
            <w:r>
              <w:rPr>
                <w:rFonts w:hint="eastAsia" w:ascii="宋体" w:hAnsi="宋体" w:eastAsia="宋体" w:cs="宋体"/>
              </w:rPr>
              <w:t>正本壹份、副本肆份，分册采用死页胶装方式装订,装订应牢固、不易拆散和换页，不得采用活页装订。</w:t>
            </w:r>
            <w:r>
              <w:rPr>
                <w:rFonts w:hint="eastAsia" w:ascii="宋体" w:hAnsi="宋体" w:eastAsia="宋体" w:cs="宋体"/>
                <w:lang w:eastAsia="zh-CN"/>
              </w:rPr>
              <w:t>（招标活动截止按招标代理要求提供纸质版）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14</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投标保证金</w:t>
            </w:r>
          </w:p>
        </w:tc>
        <w:tc>
          <w:tcPr>
            <w:tcW w:w="6535" w:type="dxa"/>
            <w:vAlign w:val="bottom"/>
          </w:tcPr>
          <w:p>
            <w:pPr>
              <w:keepNext w:val="0"/>
              <w:keepLines w:val="0"/>
              <w:pageBreakBefore w:val="0"/>
              <w:widowControl/>
              <w:kinsoku/>
              <w:wordWrap/>
              <w:overflowPunct/>
              <w:topLinePunct w:val="0"/>
              <w:bidi w:val="0"/>
              <w:spacing w:line="400" w:lineRule="exact"/>
              <w:jc w:val="both"/>
              <w:rPr>
                <w:rFonts w:hint="eastAsia" w:ascii="宋体" w:hAnsi="宋体" w:eastAsia="宋体" w:cs="宋体"/>
                <w:kern w:val="0"/>
                <w:sz w:val="24"/>
                <w:lang w:eastAsia="zh-CN"/>
              </w:rPr>
            </w:pPr>
            <w:r>
              <w:rPr>
                <w:rFonts w:hint="eastAsia" w:ascii="宋体" w:hAnsi="宋体" w:eastAsia="宋体" w:cs="宋体"/>
                <w:kern w:val="0"/>
                <w:sz w:val="24"/>
                <w:lang w:eastAsia="zh-CN"/>
              </w:rPr>
              <w:t>本项目不做要求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4"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15</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中小微型企业</w:t>
            </w:r>
          </w:p>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有关政策</w:t>
            </w:r>
          </w:p>
        </w:tc>
        <w:tc>
          <w:tcPr>
            <w:tcW w:w="6535" w:type="dxa"/>
            <w:tcBorders>
              <w:top w:val="single" w:color="auto" w:sz="4" w:space="0"/>
            </w:tcBorders>
            <w:vAlign w:val="center"/>
          </w:tcPr>
          <w:p>
            <w:pPr>
              <w:keepNext w:val="0"/>
              <w:keepLines w:val="0"/>
              <w:pageBreakBefore w:val="0"/>
              <w:widowControl/>
              <w:kinsoku/>
              <w:wordWrap/>
              <w:overflowPunct/>
              <w:topLinePunct w:val="0"/>
              <w:bidi w:val="0"/>
              <w:spacing w:line="400" w:lineRule="exact"/>
              <w:rPr>
                <w:rFonts w:hint="eastAsia" w:ascii="宋体" w:hAnsi="宋体" w:eastAsia="宋体" w:cs="宋体"/>
                <w:kern w:val="0"/>
                <w:sz w:val="24"/>
              </w:rPr>
            </w:pPr>
            <w:r>
              <w:rPr>
                <w:rFonts w:hint="eastAsia" w:ascii="宋体" w:hAnsi="宋体" w:eastAsia="宋体" w:cs="宋体"/>
                <w:kern w:val="0"/>
                <w:sz w:val="24"/>
              </w:rPr>
              <w:t>(1)根据工信部等部委发布的《关于印发中小企业划型标准规定的通知》（工信部联企业[2011]300号）规定执行；</w:t>
            </w:r>
          </w:p>
          <w:p>
            <w:pPr>
              <w:keepNext w:val="0"/>
              <w:keepLines w:val="0"/>
              <w:pageBreakBefore w:val="0"/>
              <w:widowControl/>
              <w:kinsoku/>
              <w:wordWrap/>
              <w:overflowPunct/>
              <w:topLinePunct w:val="0"/>
              <w:bidi w:val="0"/>
              <w:spacing w:line="400" w:lineRule="exact"/>
              <w:rPr>
                <w:rFonts w:hint="eastAsia" w:ascii="宋体" w:hAnsi="宋体" w:eastAsia="宋体" w:cs="宋体"/>
                <w:kern w:val="0"/>
                <w:sz w:val="24"/>
              </w:rPr>
            </w:pPr>
            <w:r>
              <w:rPr>
                <w:rFonts w:hint="eastAsia" w:ascii="宋体" w:hAnsi="宋体" w:eastAsia="宋体" w:cs="宋体"/>
                <w:kern w:val="0"/>
                <w:sz w:val="24"/>
              </w:rPr>
              <w:t>(2)按照《财政部司法部关于政府采购支持监狱企业发展有关问题的通知》（财库[2014]68号）文件规定，在政府采购活动中，监狱企业视同小型、微型企业，享受评审中价格扣除的政府采购政策；</w:t>
            </w:r>
          </w:p>
          <w:p>
            <w:pPr>
              <w:keepNext w:val="0"/>
              <w:keepLines w:val="0"/>
              <w:pageBreakBefore w:val="0"/>
              <w:kinsoku/>
              <w:wordWrap/>
              <w:overflowPunct/>
              <w:topLinePunct w:val="0"/>
              <w:bidi w:val="0"/>
              <w:spacing w:line="400" w:lineRule="exact"/>
              <w:rPr>
                <w:rFonts w:hint="eastAsia" w:ascii="宋体" w:hAnsi="宋体" w:eastAsia="宋体" w:cs="宋体"/>
                <w:kern w:val="0"/>
                <w:sz w:val="24"/>
              </w:rPr>
            </w:pPr>
            <w:r>
              <w:rPr>
                <w:rFonts w:hint="eastAsia" w:ascii="宋体" w:hAnsi="宋体" w:eastAsia="宋体" w:cs="宋体"/>
                <w:kern w:val="0"/>
                <w:sz w:val="24"/>
              </w:rPr>
              <w:t xml:space="preserve">(3)价格扣除幅度：小型、微型企业产品价格给予6%的扣除。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16</w:t>
            </w:r>
          </w:p>
        </w:tc>
        <w:tc>
          <w:tcPr>
            <w:tcW w:w="2194" w:type="dxa"/>
            <w:vAlign w:val="center"/>
          </w:tcPr>
          <w:p>
            <w:pPr>
              <w:keepNext w:val="0"/>
              <w:keepLines w:val="0"/>
              <w:pageBreakBefore w:val="0"/>
              <w:widowControl/>
              <w:kinsoku/>
              <w:wordWrap/>
              <w:overflowPunct/>
              <w:topLinePunct w:val="0"/>
              <w:bidi w:val="0"/>
              <w:spacing w:line="400" w:lineRule="exact"/>
              <w:jc w:val="center"/>
              <w:rPr>
                <w:rFonts w:hint="eastAsia" w:ascii="宋体" w:hAnsi="宋体" w:eastAsia="宋体" w:cs="宋体"/>
                <w:b/>
                <w:bCs/>
                <w:kern w:val="0"/>
                <w:sz w:val="24"/>
              </w:rPr>
            </w:pPr>
            <w:r>
              <w:rPr>
                <w:rFonts w:hint="eastAsia" w:ascii="宋体" w:hAnsi="宋体" w:eastAsia="宋体" w:cs="宋体"/>
                <w:b/>
                <w:bCs/>
                <w:spacing w:val="-10"/>
                <w:sz w:val="24"/>
              </w:rPr>
              <w:t>是否授权评标委员会确定中标人</w:t>
            </w:r>
          </w:p>
        </w:tc>
        <w:tc>
          <w:tcPr>
            <w:tcW w:w="6535" w:type="dxa"/>
            <w:vAlign w:val="center"/>
          </w:tcPr>
          <w:p>
            <w:pPr>
              <w:keepNext w:val="0"/>
              <w:keepLines w:val="0"/>
              <w:pageBreakBefore w:val="0"/>
              <w:widowControl/>
              <w:kinsoku/>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rPr>
              <w:t>□是</w:t>
            </w:r>
          </w:p>
          <w:p>
            <w:pPr>
              <w:keepNext w:val="0"/>
              <w:keepLines w:val="0"/>
              <w:pageBreakBefore w:val="0"/>
              <w:widowControl/>
              <w:kinsoku/>
              <w:wordWrap/>
              <w:overflowPunct/>
              <w:topLinePunct w:val="0"/>
              <w:bidi w:val="0"/>
              <w:spacing w:line="400" w:lineRule="exact"/>
              <w:rPr>
                <w:rFonts w:hint="eastAsia" w:ascii="宋体" w:hAnsi="宋体" w:eastAsia="宋体" w:cs="宋体"/>
                <w:kern w:val="0"/>
                <w:sz w:val="24"/>
              </w:rPr>
            </w:pPr>
            <w:r>
              <w:rPr>
                <w:rFonts w:hint="eastAsia" w:ascii="宋体" w:hAnsi="宋体" w:eastAsia="宋体" w:cs="宋体"/>
                <w:kern w:val="0"/>
                <w:sz w:val="24"/>
              </w:rPr>
              <w:fldChar w:fldCharType="begin"/>
            </w:r>
            <w:r>
              <w:rPr>
                <w:rFonts w:hint="eastAsia" w:ascii="宋体" w:hAnsi="宋体" w:eastAsia="宋体" w:cs="宋体"/>
                <w:kern w:val="0"/>
                <w:sz w:val="24"/>
              </w:rPr>
              <w:instrText xml:space="preserve"> eq \o\ac(</w:instrText>
            </w:r>
            <w:r>
              <w:rPr>
                <w:rFonts w:hint="eastAsia" w:ascii="宋体" w:hAnsi="宋体" w:eastAsia="宋体" w:cs="宋体"/>
                <w:kern w:val="0"/>
                <w:position w:val="-4"/>
                <w:sz w:val="36"/>
              </w:rPr>
              <w:instrText xml:space="preserve">□</w:instrText>
            </w:r>
            <w:r>
              <w:rPr>
                <w:rFonts w:hint="eastAsia" w:ascii="宋体" w:hAnsi="宋体" w:eastAsia="宋体" w:cs="宋体"/>
                <w:kern w:val="0"/>
                <w:sz w:val="24"/>
              </w:rPr>
              <w:instrText xml:space="preserve">,√)</w:instrText>
            </w:r>
            <w:r>
              <w:rPr>
                <w:rFonts w:hint="eastAsia" w:ascii="宋体" w:hAnsi="宋体" w:eastAsia="宋体" w:cs="宋体"/>
                <w:kern w:val="0"/>
                <w:sz w:val="24"/>
              </w:rPr>
              <w:fldChar w:fldCharType="end"/>
            </w:r>
            <w:r>
              <w:rPr>
                <w:rFonts w:hint="eastAsia" w:ascii="宋体" w:hAnsi="宋体" w:eastAsia="宋体" w:cs="宋体"/>
                <w:sz w:val="24"/>
              </w:rPr>
              <w:t>否，推荐的中标候选人数：</w:t>
            </w:r>
            <w:r>
              <w:rPr>
                <w:rFonts w:hint="eastAsia" w:ascii="宋体" w:hAnsi="宋体" w:eastAsia="宋体" w:cs="宋体"/>
                <w:sz w:val="24"/>
                <w:u w:val="single"/>
              </w:rPr>
              <w:t xml:space="preserve"> 3 </w:t>
            </w:r>
            <w:r>
              <w:rPr>
                <w:rFonts w:hint="eastAsia" w:ascii="宋体" w:hAnsi="宋体" w:eastAsia="宋体" w:cs="宋体"/>
                <w:sz w:val="24"/>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17</w:t>
            </w:r>
          </w:p>
        </w:tc>
        <w:tc>
          <w:tcPr>
            <w:tcW w:w="2194" w:type="dxa"/>
            <w:vAlign w:val="center"/>
          </w:tcPr>
          <w:p>
            <w:pPr>
              <w:keepNext w:val="0"/>
              <w:keepLines w:val="0"/>
              <w:pageBreakBefore w:val="0"/>
              <w:widowControl/>
              <w:kinsoku/>
              <w:wordWrap/>
              <w:overflowPunct/>
              <w:topLinePunct w:val="0"/>
              <w:bidi w:val="0"/>
              <w:spacing w:line="400" w:lineRule="exact"/>
              <w:jc w:val="center"/>
              <w:rPr>
                <w:rFonts w:hint="eastAsia" w:ascii="宋体" w:hAnsi="宋体" w:eastAsia="宋体" w:cs="宋体"/>
                <w:b/>
                <w:color w:val="000000"/>
                <w:kern w:val="0"/>
                <w:sz w:val="24"/>
              </w:rPr>
            </w:pPr>
            <w:r>
              <w:rPr>
                <w:rFonts w:hint="eastAsia" w:ascii="宋体" w:hAnsi="宋体" w:eastAsia="宋体" w:cs="宋体"/>
                <w:b/>
                <w:bCs/>
                <w:color w:val="000000"/>
                <w:spacing w:val="-10"/>
                <w:sz w:val="24"/>
              </w:rPr>
              <w:t>中标候选人公示媒介</w:t>
            </w:r>
          </w:p>
        </w:tc>
        <w:tc>
          <w:tcPr>
            <w:tcW w:w="6535" w:type="dxa"/>
            <w:vAlign w:val="center"/>
          </w:tcPr>
          <w:p>
            <w:pPr>
              <w:keepNext w:val="0"/>
              <w:keepLines w:val="0"/>
              <w:pageBreakBefore w:val="0"/>
              <w:widowControl/>
              <w:kinsoku/>
              <w:wordWrap/>
              <w:overflowPunct/>
              <w:topLinePunct w:val="0"/>
              <w:bidi w:val="0"/>
              <w:spacing w:line="400" w:lineRule="exact"/>
              <w:rPr>
                <w:rFonts w:hint="eastAsia" w:ascii="宋体" w:hAnsi="宋体" w:eastAsia="宋体" w:cs="宋体"/>
                <w:color w:val="000000"/>
                <w:kern w:val="0"/>
                <w:sz w:val="24"/>
                <w:lang w:eastAsia="zh-CN"/>
              </w:rPr>
            </w:pPr>
            <w:r>
              <w:rPr>
                <w:rFonts w:hint="eastAsia" w:ascii="宋体" w:hAnsi="宋体" w:eastAsia="宋体" w:cs="宋体"/>
                <w:color w:val="000000"/>
                <w:spacing w:val="-10"/>
                <w:sz w:val="24"/>
              </w:rPr>
              <w:t>政采云（https://www.zcygov.cn）</w:t>
            </w:r>
            <w:r>
              <w:rPr>
                <w:rFonts w:hint="eastAsia" w:ascii="宋体" w:hAnsi="宋体" w:eastAsia="宋体" w:cs="宋体"/>
                <w:color w:val="000000"/>
                <w:spacing w:val="-10"/>
                <w:sz w:val="24"/>
                <w:lang w:eastAsia="zh-CN"/>
              </w:rPr>
              <w:t>、阿克苏政府网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18</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color w:val="FF0000"/>
                <w:kern w:val="0"/>
                <w:sz w:val="24"/>
              </w:rPr>
            </w:pPr>
            <w:r>
              <w:rPr>
                <w:rFonts w:hint="eastAsia" w:ascii="宋体" w:hAnsi="宋体" w:eastAsia="宋体" w:cs="宋体"/>
                <w:b/>
                <w:color w:val="FF0000"/>
                <w:kern w:val="0"/>
                <w:sz w:val="24"/>
              </w:rPr>
              <w:t>履约保证金</w:t>
            </w:r>
          </w:p>
        </w:tc>
        <w:tc>
          <w:tcPr>
            <w:tcW w:w="6535" w:type="dxa"/>
            <w:vAlign w:val="center"/>
          </w:tcPr>
          <w:p>
            <w:pPr>
              <w:keepNext w:val="0"/>
              <w:keepLines w:val="0"/>
              <w:pageBreakBefore w:val="0"/>
              <w:kinsoku/>
              <w:wordWrap/>
              <w:overflowPunct/>
              <w:topLinePunct w:val="0"/>
              <w:bidi w:val="0"/>
              <w:spacing w:line="400" w:lineRule="exact"/>
              <w:rPr>
                <w:rFonts w:hint="eastAsia" w:ascii="宋体" w:hAnsi="宋体" w:eastAsia="宋体" w:cs="宋体"/>
                <w:bCs/>
                <w:color w:val="FF0000"/>
                <w:kern w:val="0"/>
                <w:sz w:val="24"/>
              </w:rPr>
            </w:pPr>
            <w:r>
              <w:rPr>
                <w:rFonts w:hint="eastAsia" w:ascii="宋体" w:hAnsi="宋体" w:cs="宋体"/>
                <w:color w:val="FF0000"/>
                <w:sz w:val="24"/>
                <w:lang w:eastAsia="zh-CN"/>
              </w:rPr>
              <w:t>本项目不做要求</w:t>
            </w:r>
            <w:r>
              <w:rPr>
                <w:rFonts w:hint="eastAsia" w:ascii="宋体" w:hAnsi="宋体" w:eastAsia="宋体" w:cs="宋体"/>
                <w:color w:val="FF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0"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19</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代理服务费</w:t>
            </w:r>
          </w:p>
        </w:tc>
        <w:tc>
          <w:tcPr>
            <w:tcW w:w="6535" w:type="dxa"/>
            <w:vAlign w:val="center"/>
          </w:tcPr>
          <w:p>
            <w:pPr>
              <w:keepNext w:val="0"/>
              <w:keepLines w:val="0"/>
              <w:pageBreakBefore w:val="0"/>
              <w:kinsoku/>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rPr>
              <w:t>成交单位在领取本项目成交通知书时，按照《国家计委关于印发招标代理服务收费管理暂行办法的通知参照发改价格【2015】299号文,经与委托方协商中标服务费由中标单位支付。支比例为：参照发改价格【2002】1980号文的计算方法收取。</w:t>
            </w:r>
          </w:p>
          <w:tbl>
            <w:tblPr>
              <w:tblStyle w:val="35"/>
              <w:tblW w:w="116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1"/>
              <w:gridCol w:w="5172"/>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721" w:type="dxa"/>
                  <w:vAlign w:val="center"/>
                </w:tcPr>
                <w:p>
                  <w:pPr>
                    <w:keepNext w:val="0"/>
                    <w:keepLines w:val="0"/>
                    <w:pageBreakBefore w:val="0"/>
                    <w:kinsoku/>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rPr>
                    <w:t>服务费类型中标金额（万元）</w:t>
                  </w:r>
                </w:p>
              </w:tc>
              <w:tc>
                <w:tcPr>
                  <w:tcW w:w="5172" w:type="dxa"/>
                  <w:vAlign w:val="center"/>
                </w:tcPr>
                <w:p>
                  <w:pPr>
                    <w:keepNext w:val="0"/>
                    <w:keepLines w:val="0"/>
                    <w:pageBreakBefore w:val="0"/>
                    <w:kinsoku/>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rPr>
                    <w:t>收费标准（差额定率累进）</w:t>
                  </w:r>
                </w:p>
              </w:tc>
              <w:tc>
                <w:tcPr>
                  <w:tcW w:w="3780" w:type="dxa"/>
                  <w:vAlign w:val="center"/>
                </w:tcPr>
                <w:p>
                  <w:pPr>
                    <w:keepNext w:val="0"/>
                    <w:keepLines w:val="0"/>
                    <w:pageBreakBefore w:val="0"/>
                    <w:kinsoku/>
                    <w:wordWrap/>
                    <w:overflowPunct/>
                    <w:topLinePunct w:val="0"/>
                    <w:bidi w:val="0"/>
                    <w:spacing w:line="40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721" w:type="dxa"/>
                </w:tcPr>
                <w:p>
                  <w:pPr>
                    <w:keepNext w:val="0"/>
                    <w:keepLines w:val="0"/>
                    <w:pageBreakBefore w:val="0"/>
                    <w:kinsoku/>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rPr>
                    <w:t>100以下</w:t>
                  </w:r>
                </w:p>
              </w:tc>
              <w:tc>
                <w:tcPr>
                  <w:tcW w:w="5172" w:type="dxa"/>
                  <w:vAlign w:val="center"/>
                </w:tcPr>
                <w:p>
                  <w:pPr>
                    <w:keepNext w:val="0"/>
                    <w:keepLines w:val="0"/>
                    <w:pageBreakBefore w:val="0"/>
                    <w:kinsoku/>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rPr>
                    <w:t>1.2%</w:t>
                  </w:r>
                </w:p>
              </w:tc>
              <w:tc>
                <w:tcPr>
                  <w:tcW w:w="3780" w:type="dxa"/>
                  <w:vAlign w:val="center"/>
                </w:tcPr>
                <w:p>
                  <w:pPr>
                    <w:keepNext w:val="0"/>
                    <w:keepLines w:val="0"/>
                    <w:pageBreakBefore w:val="0"/>
                    <w:kinsoku/>
                    <w:wordWrap/>
                    <w:overflowPunct/>
                    <w:topLinePunct w:val="0"/>
                    <w:bidi w:val="0"/>
                    <w:spacing w:line="40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721" w:type="dxa"/>
                </w:tcPr>
                <w:p>
                  <w:pPr>
                    <w:keepNext w:val="0"/>
                    <w:keepLines w:val="0"/>
                    <w:pageBreakBefore w:val="0"/>
                    <w:kinsoku/>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rPr>
                    <w:t>100-500</w:t>
                  </w:r>
                </w:p>
              </w:tc>
              <w:tc>
                <w:tcPr>
                  <w:tcW w:w="5172" w:type="dxa"/>
                  <w:vAlign w:val="center"/>
                </w:tcPr>
                <w:p>
                  <w:pPr>
                    <w:keepNext w:val="0"/>
                    <w:keepLines w:val="0"/>
                    <w:pageBreakBefore w:val="0"/>
                    <w:kinsoku/>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rPr>
                    <w:t>0.7%</w:t>
                  </w:r>
                </w:p>
              </w:tc>
              <w:tc>
                <w:tcPr>
                  <w:tcW w:w="3780" w:type="dxa"/>
                  <w:vAlign w:val="center"/>
                </w:tcPr>
                <w:p>
                  <w:pPr>
                    <w:keepNext w:val="0"/>
                    <w:keepLines w:val="0"/>
                    <w:pageBreakBefore w:val="0"/>
                    <w:kinsoku/>
                    <w:wordWrap/>
                    <w:overflowPunct/>
                    <w:topLinePunct w:val="0"/>
                    <w:bidi w:val="0"/>
                    <w:spacing w:line="40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2721" w:type="dxa"/>
                </w:tcPr>
                <w:p>
                  <w:pPr>
                    <w:keepNext w:val="0"/>
                    <w:keepLines w:val="0"/>
                    <w:pageBreakBefore w:val="0"/>
                    <w:kinsoku/>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rPr>
                    <w:t>500-1000</w:t>
                  </w:r>
                </w:p>
              </w:tc>
              <w:tc>
                <w:tcPr>
                  <w:tcW w:w="5172" w:type="dxa"/>
                  <w:vAlign w:val="center"/>
                </w:tcPr>
                <w:p>
                  <w:pPr>
                    <w:keepNext w:val="0"/>
                    <w:keepLines w:val="0"/>
                    <w:pageBreakBefore w:val="0"/>
                    <w:kinsoku/>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rPr>
                    <w:t>0.4%</w:t>
                  </w:r>
                </w:p>
              </w:tc>
              <w:tc>
                <w:tcPr>
                  <w:tcW w:w="3780" w:type="dxa"/>
                  <w:vAlign w:val="center"/>
                </w:tcPr>
                <w:p>
                  <w:pPr>
                    <w:keepNext w:val="0"/>
                    <w:keepLines w:val="0"/>
                    <w:pageBreakBefore w:val="0"/>
                    <w:kinsoku/>
                    <w:wordWrap/>
                    <w:overflowPunct/>
                    <w:topLinePunct w:val="0"/>
                    <w:bidi w:val="0"/>
                    <w:spacing w:line="40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721" w:type="dxa"/>
                </w:tcPr>
                <w:p>
                  <w:pPr>
                    <w:keepNext w:val="0"/>
                    <w:keepLines w:val="0"/>
                    <w:pageBreakBefore w:val="0"/>
                    <w:kinsoku/>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rPr>
                    <w:t>1000-5000</w:t>
                  </w:r>
                </w:p>
              </w:tc>
              <w:tc>
                <w:tcPr>
                  <w:tcW w:w="5172" w:type="dxa"/>
                  <w:vAlign w:val="center"/>
                </w:tcPr>
                <w:p>
                  <w:pPr>
                    <w:keepNext w:val="0"/>
                    <w:keepLines w:val="0"/>
                    <w:pageBreakBefore w:val="0"/>
                    <w:kinsoku/>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rPr>
                    <w:t>0.2%</w:t>
                  </w:r>
                </w:p>
              </w:tc>
              <w:tc>
                <w:tcPr>
                  <w:tcW w:w="3780" w:type="dxa"/>
                  <w:vAlign w:val="center"/>
                </w:tcPr>
                <w:p>
                  <w:pPr>
                    <w:keepNext w:val="0"/>
                    <w:keepLines w:val="0"/>
                    <w:pageBreakBefore w:val="0"/>
                    <w:kinsoku/>
                    <w:wordWrap/>
                    <w:overflowPunct/>
                    <w:topLinePunct w:val="0"/>
                    <w:bidi w:val="0"/>
                    <w:spacing w:line="400" w:lineRule="exact"/>
                    <w:rPr>
                      <w:rFonts w:hint="eastAsia" w:ascii="宋体" w:hAnsi="宋体" w:eastAsia="宋体" w:cs="宋体"/>
                      <w:sz w:val="24"/>
                    </w:rPr>
                  </w:pPr>
                </w:p>
              </w:tc>
            </w:tr>
          </w:tbl>
          <w:p>
            <w:pPr>
              <w:keepNext w:val="0"/>
              <w:keepLines w:val="0"/>
              <w:pageBreakBefore w:val="0"/>
              <w:kinsoku/>
              <w:wordWrap/>
              <w:overflowPunct/>
              <w:topLinePunct w:val="0"/>
              <w:bidi w:val="0"/>
              <w:spacing w:line="40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20</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争议的解决</w:t>
            </w:r>
          </w:p>
        </w:tc>
        <w:tc>
          <w:tcPr>
            <w:tcW w:w="6535" w:type="dxa"/>
            <w:vAlign w:val="center"/>
          </w:tcPr>
          <w:p>
            <w:pPr>
              <w:keepNext w:val="0"/>
              <w:keepLines w:val="0"/>
              <w:pageBreakBefore w:val="0"/>
              <w:kinsoku/>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rPr>
              <w:t>协商解决；无法协商的提交当地人民法院判决。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21</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是否需要</w:t>
            </w:r>
          </w:p>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kern w:val="0"/>
                <w:sz w:val="24"/>
              </w:rPr>
              <w:t>提交样品</w:t>
            </w:r>
          </w:p>
        </w:tc>
        <w:tc>
          <w:tcPr>
            <w:tcW w:w="6535" w:type="dxa"/>
            <w:vAlign w:val="center"/>
          </w:tcPr>
          <w:p>
            <w:pPr>
              <w:keepNext w:val="0"/>
              <w:keepLines w:val="0"/>
              <w:pageBreakBefore w:val="0"/>
              <w:kinsoku/>
              <w:wordWrap/>
              <w:overflowPunct/>
              <w:topLinePunct w:val="0"/>
              <w:autoSpaceDE w:val="0"/>
              <w:autoSpaceDN w:val="0"/>
              <w:bidi w:val="0"/>
              <w:adjustRightInd w:val="0"/>
              <w:spacing w:line="400" w:lineRule="exact"/>
              <w:ind w:left="360" w:hanging="360"/>
              <w:rPr>
                <w:rFonts w:hint="eastAsia" w:ascii="宋体" w:hAnsi="宋体" w:eastAsia="宋体" w:cs="宋体"/>
                <w:sz w:val="24"/>
                <w:lang w:val="zh-CN"/>
              </w:rPr>
            </w:pPr>
            <w:r>
              <w:rPr>
                <w:rFonts w:hint="eastAsia" w:ascii="宋体" w:hAnsi="宋体" w:eastAsia="宋体" w:cs="宋体"/>
                <w:sz w:val="24"/>
                <w:lang w:val="zh-CN"/>
              </w:rPr>
              <w:t>☑不需要</w:t>
            </w:r>
          </w:p>
          <w:p>
            <w:pPr>
              <w:keepNext w:val="0"/>
              <w:keepLines w:val="0"/>
              <w:pageBreakBefore w:val="0"/>
              <w:kinsoku/>
              <w:wordWrap/>
              <w:overflowPunct/>
              <w:topLinePunct w:val="0"/>
              <w:autoSpaceDE w:val="0"/>
              <w:autoSpaceDN w:val="0"/>
              <w:bidi w:val="0"/>
              <w:adjustRightInd w:val="0"/>
              <w:spacing w:line="400" w:lineRule="exact"/>
              <w:ind w:left="360" w:hanging="360"/>
              <w:rPr>
                <w:rFonts w:hint="eastAsia" w:ascii="宋体" w:hAnsi="宋体" w:eastAsia="宋体" w:cs="宋体"/>
                <w:sz w:val="24"/>
              </w:rPr>
            </w:pPr>
            <w:r>
              <w:rPr>
                <w:rFonts w:hint="eastAsia" w:ascii="宋体" w:hAnsi="宋体" w:eastAsia="宋体" w:cs="宋体"/>
                <w:sz w:val="24"/>
                <w:lang w:val="zh-CN"/>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color w:val="000000"/>
                <w:kern w:val="0"/>
                <w:sz w:val="24"/>
              </w:rPr>
              <w:t>22</w:t>
            </w:r>
          </w:p>
        </w:tc>
        <w:tc>
          <w:tcPr>
            <w:tcW w:w="2194" w:type="dxa"/>
            <w:vAlign w:val="center"/>
          </w:tcPr>
          <w:p>
            <w:pPr>
              <w:keepNext w:val="0"/>
              <w:keepLines w:val="0"/>
              <w:pageBreakBefore w:val="0"/>
              <w:kinsoku/>
              <w:wordWrap/>
              <w:overflowPunct/>
              <w:topLinePunct w:val="0"/>
              <w:autoSpaceDE w:val="0"/>
              <w:autoSpaceDN w:val="0"/>
              <w:bidi w:val="0"/>
              <w:adjustRightInd w:val="0"/>
              <w:spacing w:line="400" w:lineRule="exact"/>
              <w:jc w:val="center"/>
              <w:rPr>
                <w:rFonts w:hint="eastAsia" w:ascii="宋体" w:hAnsi="宋体" w:eastAsia="宋体" w:cs="宋体"/>
                <w:b/>
                <w:kern w:val="0"/>
                <w:sz w:val="24"/>
              </w:rPr>
            </w:pPr>
            <w:r>
              <w:rPr>
                <w:rFonts w:hint="eastAsia" w:ascii="宋体" w:hAnsi="宋体" w:eastAsia="宋体" w:cs="宋体"/>
                <w:b/>
                <w:color w:val="000000"/>
                <w:kern w:val="0"/>
                <w:sz w:val="24"/>
              </w:rPr>
              <w:t>采购预算金额</w:t>
            </w:r>
          </w:p>
        </w:tc>
        <w:tc>
          <w:tcPr>
            <w:tcW w:w="6535" w:type="dxa"/>
            <w:vAlign w:val="center"/>
          </w:tcPr>
          <w:p>
            <w:pPr>
              <w:pStyle w:val="2"/>
              <w:keepNext w:val="0"/>
              <w:keepLines w:val="0"/>
              <w:pageBreakBefore w:val="0"/>
              <w:kinsoku/>
              <w:wordWrap/>
              <w:overflowPunct/>
              <w:topLinePunct w:val="0"/>
              <w:bidi w:val="0"/>
              <w:spacing w:line="400" w:lineRule="exact"/>
              <w:ind w:left="202" w:leftChars="1" w:firstLineChars="0"/>
              <w:rPr>
                <w:rFonts w:hint="eastAsia" w:ascii="宋体" w:hAnsi="宋体" w:eastAsia="宋体" w:cs="宋体"/>
                <w:sz w:val="24"/>
                <w:szCs w:val="24"/>
              </w:rPr>
            </w:pPr>
            <w:r>
              <w:rPr>
                <w:rFonts w:hint="eastAsia" w:ascii="宋体" w:hAnsi="宋体" w:eastAsia="宋体" w:cs="宋体"/>
                <w:b/>
                <w:bCs/>
                <w:color w:val="000000"/>
                <w:sz w:val="24"/>
                <w:szCs w:val="24"/>
              </w:rPr>
              <w:t>￥</w:t>
            </w:r>
            <w:r>
              <w:rPr>
                <w:rFonts w:hint="eastAsia" w:ascii="宋体" w:hAnsi="宋体" w:cs="宋体"/>
                <w:b/>
                <w:bCs/>
                <w:color w:val="000000"/>
                <w:sz w:val="24"/>
                <w:szCs w:val="24"/>
                <w:lang w:val="en-US" w:eastAsia="zh-CN"/>
              </w:rPr>
              <w:t>7</w:t>
            </w:r>
            <w:r>
              <w:rPr>
                <w:rFonts w:hint="eastAsia" w:ascii="宋体" w:hAnsi="宋体" w:eastAsia="宋体" w:cs="宋体"/>
                <w:b/>
                <w:bCs/>
                <w:color w:val="000000"/>
                <w:sz w:val="24"/>
                <w:szCs w:val="24"/>
                <w:lang w:val="en-US" w:eastAsia="zh-CN"/>
              </w:rPr>
              <w:t>0000</w:t>
            </w:r>
            <w:r>
              <w:rPr>
                <w:rFonts w:hint="eastAsia" w:ascii="宋体" w:hAnsi="宋体" w:eastAsia="宋体" w:cs="宋体"/>
                <w:b/>
                <w:bCs/>
                <w:color w:val="000000"/>
                <w:sz w:val="24"/>
                <w:szCs w:val="24"/>
              </w:rPr>
              <w:t>0元（大写：</w:t>
            </w:r>
            <w:r>
              <w:rPr>
                <w:rFonts w:hint="eastAsia" w:ascii="宋体" w:hAnsi="宋体" w:cs="宋体"/>
                <w:b/>
                <w:bCs/>
                <w:color w:val="000000"/>
                <w:sz w:val="24"/>
                <w:szCs w:val="24"/>
                <w:lang w:eastAsia="zh-CN"/>
              </w:rPr>
              <w:t>柒</w:t>
            </w:r>
            <w:r>
              <w:rPr>
                <w:rFonts w:hint="eastAsia" w:ascii="宋体" w:hAnsi="宋体" w:eastAsia="宋体" w:cs="宋体"/>
                <w:b/>
                <w:bCs/>
                <w:color w:val="000000"/>
                <w:sz w:val="24"/>
                <w:szCs w:val="24"/>
              </w:rPr>
              <w:t>拾万元整）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r>
              <w:rPr>
                <w:rFonts w:hint="eastAsia" w:ascii="宋体" w:hAnsi="宋体" w:eastAsia="宋体" w:cs="宋体"/>
                <w:b/>
                <w:color w:val="000000"/>
                <w:kern w:val="0"/>
                <w:sz w:val="24"/>
              </w:rPr>
              <w:t>23</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bCs/>
                <w:color w:val="0000FF"/>
                <w:sz w:val="24"/>
                <w:lang w:val="en-US" w:eastAsia="zh-CN"/>
              </w:rPr>
            </w:pPr>
            <w:r>
              <w:rPr>
                <w:rFonts w:hint="eastAsia" w:ascii="宋体" w:hAnsi="宋体" w:eastAsia="宋体" w:cs="宋体"/>
                <w:b/>
                <w:bCs/>
                <w:color w:val="0000FF"/>
                <w:sz w:val="24"/>
              </w:rPr>
              <w:t>开标现场</w:t>
            </w:r>
            <w:r>
              <w:rPr>
                <w:rFonts w:hint="eastAsia" w:ascii="宋体" w:hAnsi="宋体" w:cs="宋体"/>
                <w:b/>
                <w:bCs/>
                <w:color w:val="0000FF"/>
                <w:sz w:val="24"/>
                <w:lang w:eastAsia="zh-CN"/>
              </w:rPr>
              <w:t>备查</w:t>
            </w:r>
          </w:p>
          <w:p>
            <w:pPr>
              <w:keepNext w:val="0"/>
              <w:keepLines w:val="0"/>
              <w:pageBreakBefore w:val="0"/>
              <w:kinsoku/>
              <w:wordWrap/>
              <w:overflowPunct/>
              <w:topLinePunct w:val="0"/>
              <w:bidi w:val="0"/>
              <w:spacing w:line="400" w:lineRule="exact"/>
              <w:jc w:val="center"/>
              <w:rPr>
                <w:rFonts w:hint="eastAsia" w:ascii="宋体" w:hAnsi="宋体" w:eastAsia="宋体" w:cs="宋体"/>
                <w:b/>
                <w:kern w:val="0"/>
                <w:sz w:val="24"/>
              </w:rPr>
            </w:pPr>
          </w:p>
        </w:tc>
        <w:tc>
          <w:tcPr>
            <w:tcW w:w="6535" w:type="dxa"/>
            <w:vAlign w:val="center"/>
          </w:tcPr>
          <w:p>
            <w:pPr>
              <w:keepNext w:val="0"/>
              <w:keepLines w:val="0"/>
              <w:pageBreakBefore w:val="0"/>
              <w:kinsoku/>
              <w:wordWrap/>
              <w:overflowPunct/>
              <w:topLinePunct w:val="0"/>
              <w:bidi w:val="0"/>
              <w:spacing w:line="400" w:lineRule="exact"/>
              <w:rPr>
                <w:rFonts w:hint="eastAsia" w:ascii="宋体" w:hAnsi="宋体" w:eastAsia="宋体" w:cs="宋体"/>
                <w:color w:val="000000"/>
                <w:sz w:val="24"/>
                <w:lang w:eastAsia="zh-CN"/>
              </w:rPr>
            </w:pPr>
            <w:r>
              <w:rPr>
                <w:rFonts w:hint="eastAsia" w:ascii="宋体" w:hAnsi="宋体" w:eastAsia="宋体" w:cs="宋体"/>
                <w:color w:val="000000"/>
                <w:sz w:val="24"/>
              </w:rPr>
              <w:t>按照本须知的规定，招标人邀请所有投标人的法定代表人或其委托代理人参加开标会。投标人的法定代表人或其委托代理人应当按时参加开标会</w:t>
            </w:r>
            <w:r>
              <w:rPr>
                <w:rFonts w:hint="eastAsia" w:ascii="宋体" w:hAnsi="宋体" w:eastAsia="宋体" w:cs="宋体"/>
                <w:color w:val="000000"/>
                <w:sz w:val="24"/>
                <w:lang w:eastAsia="zh-CN"/>
              </w:rPr>
              <w:t>。</w:t>
            </w:r>
          </w:p>
          <w:p>
            <w:pPr>
              <w:keepNext w:val="0"/>
              <w:keepLines w:val="0"/>
              <w:pageBreakBefore w:val="0"/>
              <w:kinsoku/>
              <w:wordWrap/>
              <w:overflowPunct/>
              <w:topLinePunct w:val="0"/>
              <w:bidi w:val="0"/>
              <w:spacing w:line="400" w:lineRule="exact"/>
              <w:rPr>
                <w:rFonts w:hint="eastAsia" w:ascii="宋体" w:hAnsi="宋体" w:eastAsia="宋体" w:cs="宋体"/>
                <w:color w:val="000000"/>
                <w:sz w:val="24"/>
              </w:rPr>
            </w:pPr>
            <w:r>
              <w:rPr>
                <w:rFonts w:hint="eastAsia" w:ascii="宋体" w:hAnsi="宋体" w:eastAsia="宋体" w:cs="宋体"/>
                <w:color w:val="000000"/>
                <w:sz w:val="24"/>
              </w:rPr>
              <w:t>开标前，请各投标人随身携带下列有效证件以备随时查验：</w:t>
            </w:r>
          </w:p>
          <w:p>
            <w:pPr>
              <w:pStyle w:val="33"/>
              <w:keepNext w:val="0"/>
              <w:keepLines w:val="0"/>
              <w:pageBreakBefore w:val="0"/>
              <w:widowControl/>
              <w:kinsoku/>
              <w:wordWrap/>
              <w:overflowPunct/>
              <w:topLinePunct w:val="0"/>
              <w:bidi w:val="0"/>
              <w:adjustRightInd w:val="0"/>
              <w:snapToGrid w:val="0"/>
              <w:spacing w:before="75" w:after="75" w:line="400" w:lineRule="exact"/>
              <w:rPr>
                <w:rFonts w:hint="eastAsia" w:ascii="宋体" w:hAnsi="宋体" w:eastAsia="宋体" w:cs="宋体"/>
                <w:lang w:val="en-US" w:eastAsia="zh-CN"/>
              </w:rPr>
            </w:pPr>
            <w:r>
              <w:rPr>
                <w:rFonts w:hint="eastAsia" w:ascii="宋体" w:hAnsi="宋体" w:eastAsia="宋体" w:cs="宋体"/>
                <w:lang w:val="en-US" w:eastAsia="zh-CN"/>
              </w:rPr>
              <w:t>（1）具有有效的营业执照副本扫描件（三证合一）；</w:t>
            </w:r>
          </w:p>
          <w:p>
            <w:pPr>
              <w:pStyle w:val="33"/>
              <w:keepNext w:val="0"/>
              <w:keepLines w:val="0"/>
              <w:pageBreakBefore w:val="0"/>
              <w:widowControl/>
              <w:kinsoku/>
              <w:wordWrap/>
              <w:overflowPunct/>
              <w:topLinePunct w:val="0"/>
              <w:bidi w:val="0"/>
              <w:adjustRightInd w:val="0"/>
              <w:snapToGrid w:val="0"/>
              <w:spacing w:before="75" w:after="75" w:line="400" w:lineRule="exact"/>
              <w:rPr>
                <w:rFonts w:hint="eastAsia" w:ascii="宋体" w:hAnsi="宋体" w:eastAsia="宋体" w:cs="宋体"/>
                <w:lang w:val="en-US" w:eastAsia="zh-CN"/>
              </w:rPr>
            </w:pPr>
            <w:r>
              <w:rPr>
                <w:rFonts w:hint="eastAsia" w:ascii="宋体" w:hAnsi="宋体" w:eastAsia="宋体" w:cs="宋体"/>
                <w:lang w:val="en-US" w:eastAsia="zh-CN"/>
              </w:rPr>
              <w:t>（2）法定代表人授权书及被委托人身份证（法定代表人投标提供法定代表人身份证明及身份证）；</w:t>
            </w:r>
          </w:p>
          <w:p>
            <w:pPr>
              <w:pStyle w:val="33"/>
              <w:keepNext w:val="0"/>
              <w:keepLines w:val="0"/>
              <w:pageBreakBefore w:val="0"/>
              <w:widowControl/>
              <w:kinsoku/>
              <w:wordWrap/>
              <w:overflowPunct/>
              <w:topLinePunct w:val="0"/>
              <w:bidi w:val="0"/>
              <w:adjustRightInd w:val="0"/>
              <w:snapToGrid w:val="0"/>
              <w:spacing w:before="75" w:after="75" w:line="400" w:lineRule="exact"/>
              <w:rPr>
                <w:rFonts w:hint="eastAsia" w:ascii="宋体" w:hAnsi="宋体" w:eastAsia="宋体" w:cs="宋体"/>
                <w:lang w:val="en-US" w:eastAsia="zh-CN"/>
              </w:rPr>
            </w:pPr>
            <w:r>
              <w:rPr>
                <w:rFonts w:hint="eastAsia" w:ascii="宋体" w:hAnsi="宋体" w:eastAsia="宋体" w:cs="宋体"/>
                <w:lang w:val="en-US" w:eastAsia="zh-CN"/>
              </w:rPr>
              <w:t>（3）参加采购活动前三年内，在经营活动中无重大违法声明(受行政主管部门的处罚不能参加投标)；</w:t>
            </w:r>
          </w:p>
          <w:p>
            <w:pPr>
              <w:pStyle w:val="33"/>
              <w:keepNext w:val="0"/>
              <w:keepLines w:val="0"/>
              <w:pageBreakBefore w:val="0"/>
              <w:widowControl/>
              <w:kinsoku/>
              <w:wordWrap/>
              <w:overflowPunct/>
              <w:topLinePunct w:val="0"/>
              <w:autoSpaceDE/>
              <w:autoSpaceDN/>
              <w:bidi w:val="0"/>
              <w:adjustRightInd w:val="0"/>
              <w:snapToGrid w:val="0"/>
              <w:spacing w:before="75" w:after="75" w:line="400" w:lineRule="exact"/>
              <w:textAlignment w:val="auto"/>
              <w:rPr>
                <w:rFonts w:hint="default" w:ascii="宋体" w:hAnsi="宋体" w:eastAsia="宋体" w:cs="宋体"/>
                <w:lang w:val="en-US" w:eastAsia="zh-CN"/>
              </w:rPr>
            </w:pPr>
            <w:r>
              <w:rPr>
                <w:rFonts w:hint="eastAsia" w:ascii="宋体" w:hAnsi="宋体" w:eastAsia="宋体" w:cs="宋体"/>
              </w:rPr>
              <w:t>（4）</w:t>
            </w:r>
            <w:r>
              <w:rPr>
                <w:rFonts w:hint="eastAsia" w:ascii="宋体" w:hAnsi="宋体" w:eastAsia="宋体" w:cs="宋体"/>
                <w:lang w:val="en-US" w:eastAsia="zh-CN"/>
              </w:rPr>
              <w:t>有效的工程设计建筑行业（人防工程）</w:t>
            </w:r>
            <w:r>
              <w:rPr>
                <w:rFonts w:hint="eastAsia" w:ascii="宋体" w:hAnsi="宋体" w:cs="宋体"/>
                <w:lang w:val="en-US" w:eastAsia="zh-CN"/>
              </w:rPr>
              <w:t>甲</w:t>
            </w:r>
            <w:r>
              <w:rPr>
                <w:rFonts w:hint="eastAsia" w:ascii="宋体" w:hAnsi="宋体" w:eastAsia="宋体" w:cs="宋体"/>
                <w:lang w:val="en-US" w:eastAsia="zh-CN"/>
              </w:rPr>
              <w:t>级（含）及以上资质</w:t>
            </w:r>
            <w:r>
              <w:rPr>
                <w:rFonts w:hint="eastAsia" w:ascii="宋体" w:hAnsi="宋体" w:cs="宋体"/>
                <w:lang w:val="en-US" w:eastAsia="zh-CN"/>
              </w:rPr>
              <w:t>;</w:t>
            </w:r>
            <w:r>
              <w:rPr>
                <w:rFonts w:hint="eastAsia" w:ascii="宋体" w:hAnsi="宋体" w:cs="宋体"/>
                <w:lang w:eastAsia="zh-CN"/>
              </w:rPr>
              <w:t>具有相关工作</w:t>
            </w:r>
            <w:r>
              <w:rPr>
                <w:rFonts w:hint="eastAsia" w:ascii="宋体" w:hAnsi="宋体" w:eastAsia="宋体" w:cs="宋体"/>
              </w:rPr>
              <w:t>经验</w:t>
            </w:r>
            <w:r>
              <w:rPr>
                <w:rFonts w:hint="eastAsia" w:ascii="宋体" w:hAnsi="宋体" w:cs="宋体"/>
                <w:lang w:eastAsia="zh-CN"/>
              </w:rPr>
              <w:t>，并</w:t>
            </w:r>
            <w:r>
              <w:rPr>
                <w:rFonts w:hint="eastAsia" w:ascii="宋体" w:hAnsi="宋体" w:eastAsia="宋体" w:cs="宋体"/>
              </w:rPr>
              <w:t>在人员、设备等方面具有承担本项目的能力；</w:t>
            </w:r>
          </w:p>
          <w:p>
            <w:pPr>
              <w:pStyle w:val="33"/>
              <w:keepNext w:val="0"/>
              <w:keepLines w:val="0"/>
              <w:pageBreakBefore w:val="0"/>
              <w:widowControl/>
              <w:kinsoku/>
              <w:wordWrap/>
              <w:overflowPunct/>
              <w:topLinePunct w:val="0"/>
              <w:autoSpaceDE/>
              <w:autoSpaceDN/>
              <w:bidi w:val="0"/>
              <w:adjustRightInd w:val="0"/>
              <w:snapToGrid w:val="0"/>
              <w:spacing w:before="75" w:after="75" w:line="400" w:lineRule="exact"/>
              <w:textAlignment w:val="auto"/>
              <w:rPr>
                <w:rFonts w:hint="eastAsia" w:ascii="宋体" w:hAnsi="宋体" w:eastAsia="宋体" w:cs="宋体"/>
              </w:rPr>
            </w:pPr>
            <w:r>
              <w:rPr>
                <w:rFonts w:hint="eastAsia" w:ascii="宋体" w:hAnsi="宋体" w:eastAsia="宋体" w:cs="宋体"/>
                <w:lang w:val="en-US" w:eastAsia="zh-CN"/>
              </w:rPr>
              <w:t>（</w:t>
            </w:r>
            <w:r>
              <w:rPr>
                <w:rFonts w:hint="eastAsia" w:ascii="宋体" w:hAnsi="宋体" w:cs="宋体"/>
                <w:lang w:val="en-US" w:eastAsia="zh-CN"/>
              </w:rPr>
              <w:t>5</w:t>
            </w:r>
            <w:r>
              <w:rPr>
                <w:rFonts w:hint="eastAsia" w:ascii="宋体" w:hAnsi="宋体" w:eastAsia="宋体" w:cs="宋体"/>
                <w:lang w:val="en-US" w:eastAsia="zh-CN"/>
              </w:rPr>
              <w:t>）项目负责人须具有二级注册建筑师或</w:t>
            </w:r>
            <w:r>
              <w:rPr>
                <w:rFonts w:hint="eastAsia" w:ascii="宋体" w:hAnsi="宋体" w:cs="宋体"/>
                <w:lang w:val="en-US" w:eastAsia="zh-CN"/>
              </w:rPr>
              <w:t>一级</w:t>
            </w:r>
            <w:r>
              <w:rPr>
                <w:rFonts w:hint="eastAsia" w:ascii="宋体" w:hAnsi="宋体" w:eastAsia="宋体" w:cs="宋体"/>
                <w:lang w:val="en-US" w:eastAsia="zh-CN"/>
              </w:rPr>
              <w:t>注册结构工程师资质；</w:t>
            </w:r>
          </w:p>
          <w:p>
            <w:pPr>
              <w:pStyle w:val="33"/>
              <w:keepNext w:val="0"/>
              <w:keepLines w:val="0"/>
              <w:pageBreakBefore w:val="0"/>
              <w:widowControl/>
              <w:kinsoku/>
              <w:wordWrap/>
              <w:overflowPunct/>
              <w:topLinePunct w:val="0"/>
              <w:bidi w:val="0"/>
              <w:adjustRightInd w:val="0"/>
              <w:snapToGrid w:val="0"/>
              <w:spacing w:before="75" w:after="75" w:line="400" w:lineRule="exact"/>
              <w:rPr>
                <w:rFonts w:hint="eastAsia" w:ascii="宋体" w:hAnsi="宋体" w:eastAsia="宋体" w:cs="宋体"/>
                <w:lang w:val="en-US" w:eastAsia="zh-CN"/>
              </w:rPr>
            </w:pPr>
            <w:r>
              <w:rPr>
                <w:rFonts w:hint="eastAsia" w:ascii="宋体" w:hAnsi="宋体" w:eastAsia="宋体" w:cs="宋体"/>
                <w:lang w:val="en-US" w:eastAsia="zh-CN"/>
              </w:rPr>
              <w:t>（</w:t>
            </w:r>
            <w:r>
              <w:rPr>
                <w:rFonts w:hint="eastAsia" w:ascii="宋体" w:hAnsi="宋体" w:cs="宋体"/>
                <w:lang w:val="en-US" w:eastAsia="zh-CN"/>
              </w:rPr>
              <w:t>6</w:t>
            </w:r>
            <w:r>
              <w:rPr>
                <w:rFonts w:hint="eastAsia" w:ascii="宋体" w:hAnsi="宋体" w:eastAsia="宋体" w:cs="宋体"/>
                <w:lang w:val="en-US" w:eastAsia="zh-CN"/>
              </w:rPr>
              <w:t>）供应商在“信用中国”（www.creditchina.gov.cn）和中国政府采购网（www.ccgp.gov.cn）网站上未列入失信被执行人、重大税收违法案件当事人名单、政府采购严重违法失信行为记录名单（财库[2016]125号）（需提供网上截图加盖公章）；</w:t>
            </w:r>
          </w:p>
          <w:p>
            <w:pPr>
              <w:pStyle w:val="33"/>
              <w:keepNext w:val="0"/>
              <w:keepLines w:val="0"/>
              <w:pageBreakBefore w:val="0"/>
              <w:widowControl/>
              <w:kinsoku/>
              <w:wordWrap/>
              <w:overflowPunct/>
              <w:topLinePunct w:val="0"/>
              <w:bidi w:val="0"/>
              <w:adjustRightInd w:val="0"/>
              <w:snapToGrid w:val="0"/>
              <w:spacing w:before="75" w:after="75" w:line="400" w:lineRule="exact"/>
              <w:rPr>
                <w:rFonts w:hint="eastAsia" w:ascii="宋体" w:hAnsi="宋体" w:eastAsia="宋体" w:cs="宋体"/>
                <w:lang w:val="en-US" w:eastAsia="zh-CN"/>
              </w:rPr>
            </w:pPr>
            <w:r>
              <w:rPr>
                <w:rFonts w:hint="eastAsia" w:ascii="宋体" w:hAnsi="宋体" w:eastAsia="宋体" w:cs="宋体"/>
                <w:lang w:val="en-US" w:eastAsia="zh-CN"/>
              </w:rPr>
              <w:t>（</w:t>
            </w:r>
            <w:r>
              <w:rPr>
                <w:rFonts w:hint="eastAsia" w:ascii="宋体" w:hAnsi="宋体" w:cs="宋体"/>
                <w:lang w:val="en-US" w:eastAsia="zh-CN"/>
              </w:rPr>
              <w:t>7</w:t>
            </w:r>
            <w:r>
              <w:rPr>
                <w:rFonts w:hint="eastAsia" w:ascii="宋体" w:hAnsi="宋体" w:eastAsia="宋体" w:cs="宋体"/>
                <w:lang w:val="en-US" w:eastAsia="zh-CN"/>
              </w:rPr>
              <w:t>）供应商提供针对本次项目《反商业贿赂承诺书》；</w:t>
            </w:r>
          </w:p>
          <w:p>
            <w:pPr>
              <w:pStyle w:val="33"/>
              <w:keepNext w:val="0"/>
              <w:keepLines w:val="0"/>
              <w:pageBreakBefore w:val="0"/>
              <w:widowControl/>
              <w:kinsoku/>
              <w:wordWrap/>
              <w:overflowPunct/>
              <w:topLinePunct w:val="0"/>
              <w:bidi w:val="0"/>
              <w:adjustRightInd w:val="0"/>
              <w:snapToGrid w:val="0"/>
              <w:spacing w:before="75" w:after="75" w:line="400" w:lineRule="exact"/>
              <w:rPr>
                <w:rFonts w:hint="eastAsia" w:ascii="宋体" w:hAnsi="宋体" w:eastAsia="宋体" w:cs="宋体"/>
                <w:lang w:val="en-US" w:eastAsia="zh-CN"/>
              </w:rPr>
            </w:pPr>
            <w:r>
              <w:rPr>
                <w:rFonts w:hint="eastAsia" w:ascii="宋体" w:hAnsi="宋体" w:eastAsia="宋体" w:cs="宋体"/>
                <w:lang w:val="en-US" w:eastAsia="zh-CN"/>
              </w:rPr>
              <w:t>（</w:t>
            </w:r>
            <w:r>
              <w:rPr>
                <w:rFonts w:hint="eastAsia" w:ascii="宋体" w:hAnsi="宋体" w:cs="宋体"/>
                <w:lang w:val="en-US" w:eastAsia="zh-CN"/>
              </w:rPr>
              <w:t>8</w:t>
            </w:r>
            <w:r>
              <w:rPr>
                <w:rFonts w:hint="eastAsia" w:ascii="宋体" w:hAnsi="宋体" w:eastAsia="宋体" w:cs="宋体"/>
                <w:lang w:val="en-US" w:eastAsia="zh-CN"/>
              </w:rPr>
              <w:t>）根据财政部、工业和信息化部关于印发《政府采购促进中小企业发展暂行办法》的通知(财库﹝2020﹞46号)，供应商及其所投产品的制造商均属于《工业和信息化部、国家统计局、国家发展和改革委员会、财政部关于印发中小企业划型标准规定的通知》(工信部联企业[2011]300号)中规定的小型、微型企业标准的，按磋商文件格式提供《中小企业声明函》等政府采购政策。</w:t>
            </w:r>
          </w:p>
          <w:p>
            <w:pPr>
              <w:keepNext w:val="0"/>
              <w:keepLines w:val="0"/>
              <w:pageBreakBefore w:val="0"/>
              <w:kinsoku/>
              <w:wordWrap/>
              <w:overflowPunct/>
              <w:topLinePunct w:val="0"/>
              <w:bidi w:val="0"/>
              <w:spacing w:line="400" w:lineRule="exact"/>
              <w:rPr>
                <w:rFonts w:hint="eastAsia" w:ascii="宋体" w:hAnsi="宋体" w:eastAsia="宋体" w:cs="宋体"/>
                <w:sz w:val="24"/>
              </w:rPr>
            </w:pPr>
            <w:r>
              <w:rPr>
                <w:rFonts w:hint="eastAsia" w:ascii="宋体" w:hAnsi="宋体" w:eastAsia="宋体" w:cs="宋体"/>
              </w:rPr>
              <w:t>（</w:t>
            </w:r>
            <w:r>
              <w:rPr>
                <w:rFonts w:hint="eastAsia" w:ascii="宋体" w:hAnsi="宋体" w:cs="宋体"/>
                <w:kern w:val="2"/>
                <w:sz w:val="24"/>
                <w:szCs w:val="24"/>
                <w:lang w:val="en-US" w:eastAsia="zh-CN" w:bidi="ar-SA"/>
              </w:rPr>
              <w:t>9</w:t>
            </w:r>
            <w:r>
              <w:rPr>
                <w:rFonts w:hint="eastAsia" w:ascii="宋体" w:hAnsi="宋体" w:eastAsia="宋体" w:cs="宋体"/>
                <w:kern w:val="2"/>
                <w:sz w:val="24"/>
                <w:szCs w:val="24"/>
                <w:lang w:val="en-US" w:eastAsia="zh-CN" w:bidi="ar-SA"/>
              </w:rPr>
              <w:t>）本项目不接受联合体报名</w:t>
            </w:r>
            <w:r>
              <w:rPr>
                <w:rFonts w:hint="eastAsia" w:ascii="宋体" w:hAnsi="宋体" w:eastAsia="宋体" w:cs="宋体"/>
              </w:rPr>
              <w:br w:type="textWrapping"/>
            </w:r>
            <w:r>
              <w:rPr>
                <w:rFonts w:hint="eastAsia" w:ascii="宋体" w:hAnsi="宋体" w:eastAsia="宋体" w:cs="宋体"/>
                <w:b/>
                <w:bCs/>
                <w:color w:val="000000"/>
                <w:sz w:val="24"/>
              </w:rPr>
              <w:t>以上所提供证件齐全、合格有效，满足要求的投标人为有效投标人。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color w:val="000000"/>
                <w:kern w:val="0"/>
                <w:sz w:val="24"/>
              </w:rPr>
            </w:pPr>
            <w:r>
              <w:rPr>
                <w:rFonts w:hint="eastAsia" w:ascii="宋体" w:hAnsi="宋体" w:eastAsia="宋体" w:cs="宋体"/>
                <w:b/>
                <w:color w:val="000000"/>
                <w:kern w:val="0"/>
                <w:sz w:val="24"/>
              </w:rPr>
              <w:t>24</w:t>
            </w: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bCs/>
                <w:color w:val="000000"/>
                <w:sz w:val="24"/>
              </w:rPr>
            </w:pPr>
            <w:r>
              <w:rPr>
                <w:rFonts w:hint="eastAsia" w:ascii="宋体" w:hAnsi="宋体" w:eastAsia="宋体" w:cs="宋体"/>
                <w:b/>
                <w:bCs/>
                <w:color w:val="000000"/>
                <w:sz w:val="24"/>
              </w:rPr>
              <w:t>二轮报价</w:t>
            </w:r>
          </w:p>
        </w:tc>
        <w:tc>
          <w:tcPr>
            <w:tcW w:w="6535" w:type="dxa"/>
            <w:vAlign w:val="center"/>
          </w:tcPr>
          <w:p>
            <w:pPr>
              <w:keepNext w:val="0"/>
              <w:keepLines w:val="0"/>
              <w:pageBreakBefore w:val="0"/>
              <w:kinsoku/>
              <w:wordWrap/>
              <w:overflowPunct/>
              <w:topLinePunct w:val="0"/>
              <w:bidi w:val="0"/>
              <w:spacing w:line="400" w:lineRule="exact"/>
              <w:rPr>
                <w:rFonts w:hint="eastAsia" w:ascii="宋体" w:hAnsi="宋体" w:eastAsia="宋体" w:cs="宋体"/>
                <w:b/>
                <w:bCs/>
                <w:color w:val="000000"/>
                <w:sz w:val="24"/>
              </w:rPr>
            </w:pPr>
            <w:r>
              <w:rPr>
                <w:rFonts w:hint="eastAsia" w:ascii="宋体" w:hAnsi="宋体" w:eastAsia="宋体" w:cs="宋体"/>
                <w:b/>
                <w:bCs/>
                <w:color w:val="000000"/>
                <w:sz w:val="24"/>
              </w:rPr>
              <w:t>代理机构开启第二轮报价后，各供应商应尽快在政采云系统提交各自的第二轮报价，超过30分钟（自代理机构开启第二轮报价环节起计算）未提交二轮报价的视为放弃投标。敬请注意！！整个开标环节需要供应商在系统确认的报价等信息最长时限均为30分钟，敬请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color w:val="000000"/>
                <w:kern w:val="0"/>
                <w:sz w:val="24"/>
              </w:rPr>
            </w:pPr>
          </w:p>
        </w:tc>
        <w:tc>
          <w:tcPr>
            <w:tcW w:w="2194"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color w:val="0000FF"/>
                <w:kern w:val="0"/>
                <w:sz w:val="24"/>
              </w:rPr>
            </w:pPr>
            <w:r>
              <w:rPr>
                <w:rFonts w:hint="eastAsia" w:ascii="宋体" w:hAnsi="宋体" w:eastAsia="宋体" w:cs="宋体"/>
                <w:b/>
                <w:color w:val="0000FF"/>
                <w:kern w:val="0"/>
                <w:sz w:val="24"/>
              </w:rPr>
              <w:t>其他约定</w:t>
            </w:r>
          </w:p>
        </w:tc>
        <w:tc>
          <w:tcPr>
            <w:tcW w:w="6535" w:type="dxa"/>
            <w:vAlign w:val="center"/>
          </w:tcPr>
          <w:p>
            <w:pPr>
              <w:pStyle w:val="19"/>
              <w:keepNext w:val="0"/>
              <w:keepLines w:val="0"/>
              <w:pageBreakBefore w:val="0"/>
              <w:widowControl w:val="0"/>
              <w:kinsoku/>
              <w:wordWrap/>
              <w:overflowPunct/>
              <w:topLinePunct w:val="0"/>
              <w:bidi w:val="0"/>
              <w:snapToGrid/>
              <w:spacing w:line="400" w:lineRule="exact"/>
              <w:ind w:left="0" w:leftChars="0" w:right="-10" w:firstLine="0" w:firstLineChars="0"/>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rPr>
              <w:t>1、</w:t>
            </w:r>
            <w:r>
              <w:rPr>
                <w:rFonts w:hint="eastAsia" w:ascii="宋体" w:hAnsi="宋体" w:eastAsia="宋体" w:cs="宋体"/>
                <w:b/>
                <w:bCs/>
                <w:color w:val="000000"/>
                <w:kern w:val="2"/>
                <w:sz w:val="24"/>
                <w:szCs w:val="24"/>
                <w:lang w:val="en-US" w:eastAsia="zh-CN" w:bidi="ar-SA"/>
              </w:rPr>
              <w:t>投标人应依照招标文件要求在投标文件中提供相关材料原件的扫描件。</w:t>
            </w:r>
          </w:p>
          <w:p>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2、投标人必须严格遵守，如有违反，将按相关规定予以处理。</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3、投标人通过政采云电子投标客户端制作投标文件，若投标人参与投标,自行承担与投标有关的一切费用。</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4、各投标人应在开标前确保成为新疆维吾尔自治区政府采购网正式注册入库投标人，并完成CA数字证书申领。因未注册入库、未办理CA数字证书等原因造成无法投标或投标失败等后果由投标人自行承担。</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5、投标人可前往新疆政府采购网（http://www.ccgp-xinjiang.gov.cn/）下载专区，下载政采云电子投标客户端，安装完成后，可通过账号密码或CA登录客户端进行投标文件制作。在使用政采云电子投标客户端时，建议使用WIN7及以上操作系统。如有问题可拨打政采云客户服务热线400-881-7190进行咨询。</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4.各投标人应随时关注项目信息并及时在新疆政府采购网下载招标文件，本项目递交投标文件截止时间和计划工期等事宜最终以招标文件为准。如有必要对招标文件澄清和修改的将在本网站及时发布，澄清文件一旦发布即视为以书面形式通知所有潜在投标人，请各投标人自行关注本次招标项目相关信息的变更情况，否则所造成的一切后果由投标人自负。</w:t>
            </w:r>
          </w:p>
          <w:p>
            <w:pPr>
              <w:pStyle w:val="2"/>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0000FF"/>
                <w:sz w:val="24"/>
              </w:rPr>
            </w:pPr>
            <w:r>
              <w:rPr>
                <w:rFonts w:hint="eastAsia" w:ascii="宋体" w:hAnsi="宋体" w:eastAsia="宋体" w:cs="宋体"/>
                <w:b/>
                <w:bCs/>
                <w:color w:val="000000"/>
                <w:kern w:val="2"/>
                <w:sz w:val="24"/>
                <w:szCs w:val="24"/>
                <w:lang w:val="en-US" w:eastAsia="zh-CN" w:bidi="ar-SA"/>
              </w:rPr>
              <w:t>5.本项目需要投标人须电脑下载谷歌浏览器，并需要配备摄像头及麦克风。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873" w:type="dxa"/>
            <w:vAlign w:val="center"/>
          </w:tcPr>
          <w:p>
            <w:pPr>
              <w:keepNext w:val="0"/>
              <w:keepLines w:val="0"/>
              <w:pageBreakBefore w:val="0"/>
              <w:kinsoku/>
              <w:wordWrap/>
              <w:overflowPunct/>
              <w:topLinePunct w:val="0"/>
              <w:bidi w:val="0"/>
              <w:spacing w:line="400" w:lineRule="exact"/>
              <w:jc w:val="center"/>
              <w:rPr>
                <w:rFonts w:hint="eastAsia" w:ascii="宋体" w:hAnsi="宋体" w:eastAsia="宋体" w:cs="宋体"/>
                <w:b/>
                <w:color w:val="000000"/>
                <w:kern w:val="0"/>
                <w:sz w:val="24"/>
              </w:rPr>
            </w:pPr>
          </w:p>
        </w:tc>
        <w:tc>
          <w:tcPr>
            <w:tcW w:w="2194" w:type="dxa"/>
            <w:vAlign w:val="center"/>
          </w:tcPr>
          <w:p>
            <w:pPr>
              <w:keepNext w:val="0"/>
              <w:keepLines w:val="0"/>
              <w:pageBreakBefore w:val="0"/>
              <w:kinsoku/>
              <w:wordWrap/>
              <w:overflowPunct/>
              <w:topLinePunct w:val="0"/>
              <w:bidi w:val="0"/>
              <w:adjustRightInd w:val="0"/>
              <w:snapToGrid w:val="0"/>
              <w:spacing w:before="120" w:beforeLines="50" w:line="400" w:lineRule="exact"/>
              <w:jc w:val="center"/>
              <w:rPr>
                <w:rFonts w:hint="eastAsia" w:ascii="宋体" w:hAnsi="宋体" w:eastAsia="宋体" w:cs="宋体"/>
                <w:b/>
                <w:kern w:val="0"/>
                <w:sz w:val="24"/>
              </w:rPr>
            </w:pPr>
            <w:r>
              <w:rPr>
                <w:rFonts w:hint="eastAsia" w:ascii="宋体" w:hAnsi="宋体" w:eastAsia="宋体" w:cs="宋体"/>
                <w:b/>
                <w:bCs/>
                <w:sz w:val="24"/>
              </w:rPr>
              <w:t>备注</w:t>
            </w:r>
          </w:p>
        </w:tc>
        <w:tc>
          <w:tcPr>
            <w:tcW w:w="6535" w:type="dxa"/>
            <w:vAlign w:val="center"/>
          </w:tcPr>
          <w:p>
            <w:pPr>
              <w:keepNext w:val="0"/>
              <w:keepLines w:val="0"/>
              <w:pageBreakBefore w:val="0"/>
              <w:kinsoku/>
              <w:wordWrap/>
              <w:overflowPunct/>
              <w:topLinePunct w:val="0"/>
              <w:bidi w:val="0"/>
              <w:spacing w:line="400" w:lineRule="exact"/>
              <w:rPr>
                <w:rFonts w:hint="eastAsia" w:ascii="宋体" w:hAnsi="宋体" w:eastAsia="宋体" w:cs="宋体"/>
                <w:kern w:val="0"/>
                <w:sz w:val="24"/>
              </w:rPr>
            </w:pPr>
            <w:r>
              <w:rPr>
                <w:rFonts w:hint="eastAsia" w:ascii="宋体" w:hAnsi="宋体" w:eastAsia="宋体" w:cs="宋体"/>
                <w:kern w:val="0"/>
                <w:sz w:val="24"/>
              </w:rPr>
              <w:t>注：1、本表中加★项目若有缺失或无效，将导致投标无效且不允许在开标后补正；</w:t>
            </w:r>
          </w:p>
          <w:p>
            <w:pPr>
              <w:keepNext w:val="0"/>
              <w:keepLines w:val="0"/>
              <w:pageBreakBefore w:val="0"/>
              <w:kinsoku/>
              <w:wordWrap/>
              <w:overflowPunct/>
              <w:topLinePunct w:val="0"/>
              <w:bidi w:val="0"/>
              <w:spacing w:line="400" w:lineRule="exact"/>
              <w:rPr>
                <w:rFonts w:hint="eastAsia" w:ascii="宋体" w:hAnsi="宋体" w:eastAsia="宋体" w:cs="宋体"/>
                <w:kern w:val="0"/>
                <w:sz w:val="24"/>
              </w:rPr>
            </w:pPr>
            <w:r>
              <w:rPr>
                <w:rFonts w:hint="eastAsia" w:ascii="宋体" w:hAnsi="宋体" w:eastAsia="宋体" w:cs="宋体"/>
                <w:kern w:val="0"/>
                <w:sz w:val="24"/>
              </w:rPr>
              <w:t>2、本表内容与招标文件其它内容不一致的，应当以本表内容为准。</w:t>
            </w:r>
          </w:p>
          <w:p>
            <w:pPr>
              <w:keepNext w:val="0"/>
              <w:keepLines w:val="0"/>
              <w:pageBreakBefore w:val="0"/>
              <w:kinsoku/>
              <w:wordWrap/>
              <w:overflowPunct/>
              <w:topLinePunct w:val="0"/>
              <w:bidi w:val="0"/>
              <w:spacing w:line="400" w:lineRule="exact"/>
              <w:rPr>
                <w:rFonts w:hint="eastAsia" w:ascii="宋体" w:hAnsi="宋体" w:eastAsia="宋体" w:cs="宋体"/>
                <w:sz w:val="24"/>
              </w:rPr>
            </w:pPr>
            <w:r>
              <w:rPr>
                <w:rFonts w:hint="eastAsia" w:ascii="宋体" w:hAnsi="宋体" w:eastAsia="宋体" w:cs="宋体"/>
                <w:kern w:val="0"/>
                <w:sz w:val="24"/>
              </w:rPr>
              <w:t>3、本表中“</w:t>
            </w:r>
            <w:r>
              <w:rPr>
                <w:rFonts w:hint="eastAsia" w:ascii="宋体" w:hAnsi="宋体" w:eastAsia="宋体" w:cs="宋体"/>
                <w:kern w:val="0"/>
                <w:sz w:val="24"/>
              </w:rPr>
              <w:fldChar w:fldCharType="begin"/>
            </w:r>
            <w:r>
              <w:rPr>
                <w:rFonts w:hint="eastAsia" w:ascii="宋体" w:hAnsi="宋体" w:eastAsia="宋体" w:cs="宋体"/>
                <w:kern w:val="0"/>
                <w:sz w:val="24"/>
              </w:rPr>
              <w:instrText xml:space="preserve"> eq \o\ac(</w:instrText>
            </w:r>
            <w:r>
              <w:rPr>
                <w:rFonts w:hint="eastAsia" w:ascii="宋体" w:hAnsi="宋体" w:eastAsia="宋体" w:cs="宋体"/>
                <w:kern w:val="0"/>
                <w:position w:val="-4"/>
                <w:sz w:val="36"/>
              </w:rPr>
              <w:instrText xml:space="preserve">□</w:instrText>
            </w:r>
            <w:r>
              <w:rPr>
                <w:rFonts w:hint="eastAsia" w:ascii="宋体" w:hAnsi="宋体" w:eastAsia="宋体" w:cs="宋体"/>
                <w:kern w:val="0"/>
                <w:sz w:val="24"/>
              </w:rPr>
              <w:instrText xml:space="preserve">,√)</w:instrText>
            </w:r>
            <w:r>
              <w:rPr>
                <w:rFonts w:hint="eastAsia" w:ascii="宋体" w:hAnsi="宋体" w:eastAsia="宋体" w:cs="宋体"/>
                <w:kern w:val="0"/>
                <w:sz w:val="24"/>
              </w:rPr>
              <w:fldChar w:fldCharType="end"/>
            </w:r>
            <w:r>
              <w:rPr>
                <w:rFonts w:hint="eastAsia" w:ascii="宋体" w:hAnsi="宋体" w:eastAsia="宋体" w:cs="宋体"/>
                <w:kern w:val="0"/>
                <w:sz w:val="24"/>
              </w:rPr>
              <w:t>”标示选择使用该项，“□”标示不选择使用该项。</w:t>
            </w:r>
          </w:p>
        </w:tc>
      </w:tr>
    </w:tbl>
    <w:p>
      <w:pPr>
        <w:pStyle w:val="19"/>
        <w:pageBreakBefore w:val="0"/>
        <w:tabs>
          <w:tab w:val="left" w:pos="0"/>
        </w:tabs>
        <w:wordWrap/>
        <w:bidi w:val="0"/>
        <w:spacing w:line="700" w:lineRule="exact"/>
        <w:ind w:left="0" w:leftChars="0" w:firstLine="0" w:firstLineChars="0"/>
        <w:jc w:val="center"/>
        <w:outlineLvl w:val="0"/>
        <w:rPr>
          <w:rFonts w:hint="eastAsia" w:ascii="宋体" w:hAnsi="宋体" w:eastAsia="宋体" w:cs="宋体"/>
          <w:b/>
          <w:sz w:val="28"/>
          <w:szCs w:val="28"/>
        </w:rPr>
      </w:pPr>
      <w:bookmarkStart w:id="13" w:name="_Toc1313"/>
      <w:bookmarkStart w:id="14" w:name="_Toc33212755"/>
      <w:bookmarkStart w:id="15" w:name="_Toc33556256"/>
      <w:bookmarkStart w:id="16" w:name="_Toc33194701"/>
    </w:p>
    <w:p>
      <w:pPr>
        <w:pStyle w:val="19"/>
        <w:pageBreakBefore w:val="0"/>
        <w:tabs>
          <w:tab w:val="left" w:pos="0"/>
        </w:tabs>
        <w:wordWrap/>
        <w:bidi w:val="0"/>
        <w:spacing w:line="700" w:lineRule="exact"/>
        <w:ind w:left="0" w:leftChars="0" w:firstLine="0" w:firstLineChars="0"/>
        <w:jc w:val="center"/>
        <w:outlineLvl w:val="0"/>
        <w:rPr>
          <w:rFonts w:hint="eastAsia" w:ascii="宋体" w:hAnsi="宋体" w:eastAsia="宋体" w:cs="宋体"/>
          <w:b/>
          <w:sz w:val="28"/>
          <w:szCs w:val="28"/>
        </w:rPr>
      </w:pPr>
    </w:p>
    <w:p>
      <w:pPr>
        <w:pStyle w:val="19"/>
        <w:pageBreakBefore w:val="0"/>
        <w:tabs>
          <w:tab w:val="left" w:pos="0"/>
        </w:tabs>
        <w:wordWrap/>
        <w:bidi w:val="0"/>
        <w:spacing w:line="700" w:lineRule="exact"/>
        <w:ind w:left="0" w:leftChars="0" w:firstLine="0" w:firstLineChars="0"/>
        <w:jc w:val="center"/>
        <w:outlineLvl w:val="0"/>
        <w:rPr>
          <w:rFonts w:hint="eastAsia" w:ascii="宋体" w:hAnsi="宋体" w:eastAsia="宋体" w:cs="宋体"/>
          <w:b/>
          <w:sz w:val="28"/>
          <w:szCs w:val="28"/>
        </w:rPr>
      </w:pPr>
    </w:p>
    <w:p>
      <w:pPr>
        <w:pageBreakBefore w:val="0"/>
        <w:wordWrap/>
        <w:bidi w:val="0"/>
        <w:spacing w:line="700" w:lineRule="exact"/>
        <w:rPr>
          <w:rFonts w:hint="eastAsia" w:ascii="宋体" w:hAnsi="宋体" w:eastAsia="宋体" w:cs="宋体"/>
          <w:b/>
          <w:sz w:val="28"/>
          <w:szCs w:val="28"/>
        </w:rPr>
      </w:pPr>
      <w:r>
        <w:rPr>
          <w:rFonts w:hint="eastAsia" w:ascii="宋体" w:hAnsi="宋体" w:eastAsia="宋体" w:cs="宋体"/>
          <w:b/>
          <w:sz w:val="28"/>
          <w:szCs w:val="28"/>
        </w:rPr>
        <w:br w:type="page"/>
      </w:r>
    </w:p>
    <w:p>
      <w:pPr>
        <w:pStyle w:val="19"/>
        <w:pageBreakBefore w:val="0"/>
        <w:widowControl w:val="0"/>
        <w:tabs>
          <w:tab w:val="left" w:pos="0"/>
        </w:tabs>
        <w:kinsoku/>
        <w:wordWrap/>
        <w:overflowPunct/>
        <w:topLinePunct w:val="0"/>
        <w:autoSpaceDE/>
        <w:autoSpaceDN/>
        <w:bidi w:val="0"/>
        <w:spacing w:line="400" w:lineRule="exact"/>
        <w:ind w:left="0" w:leftChars="0" w:firstLine="0" w:firstLineChars="0"/>
        <w:jc w:val="center"/>
        <w:textAlignment w:val="auto"/>
        <w:outlineLvl w:val="0"/>
        <w:rPr>
          <w:rFonts w:hint="eastAsia" w:ascii="宋体" w:hAnsi="宋体" w:eastAsia="宋体" w:cs="宋体"/>
          <w:b/>
          <w:sz w:val="24"/>
          <w:szCs w:val="24"/>
        </w:rPr>
      </w:pPr>
      <w:r>
        <w:rPr>
          <w:rFonts w:hint="eastAsia" w:ascii="宋体" w:hAnsi="宋体" w:eastAsia="宋体" w:cs="宋体"/>
          <w:b/>
          <w:sz w:val="24"/>
          <w:szCs w:val="24"/>
        </w:rPr>
        <w:t>第三部分   投标人须知</w:t>
      </w:r>
      <w:bookmarkEnd w:id="13"/>
      <w:bookmarkEnd w:id="14"/>
      <w:bookmarkEnd w:id="15"/>
      <w:bookmarkEnd w:id="16"/>
    </w:p>
    <w:p>
      <w:pPr>
        <w:pStyle w:val="19"/>
        <w:pageBreakBefore w:val="0"/>
        <w:widowControl w:val="0"/>
        <w:tabs>
          <w:tab w:val="left" w:pos="0"/>
        </w:tabs>
        <w:kinsoku/>
        <w:wordWrap/>
        <w:overflowPunct/>
        <w:topLinePunct w:val="0"/>
        <w:autoSpaceDE/>
        <w:autoSpaceDN/>
        <w:bidi w:val="0"/>
        <w:spacing w:line="400" w:lineRule="exact"/>
        <w:ind w:left="0" w:leftChars="0" w:firstLine="0" w:firstLineChars="0"/>
        <w:textAlignment w:val="auto"/>
        <w:outlineLvl w:val="0"/>
        <w:rPr>
          <w:rFonts w:hint="eastAsia" w:ascii="宋体" w:hAnsi="宋体" w:eastAsia="宋体" w:cs="宋体"/>
          <w:sz w:val="24"/>
          <w:szCs w:val="24"/>
        </w:rPr>
      </w:pPr>
      <w:bookmarkStart w:id="17" w:name="_Toc30287"/>
      <w:r>
        <w:rPr>
          <w:rFonts w:hint="eastAsia" w:ascii="宋体" w:hAnsi="宋体" w:eastAsia="宋体" w:cs="宋体"/>
          <w:b/>
          <w:sz w:val="24"/>
          <w:szCs w:val="24"/>
        </w:rPr>
        <w:t>一.总  则</w:t>
      </w:r>
      <w:bookmarkEnd w:id="17"/>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1.适用范围</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color w:val="0000FF"/>
          <w:sz w:val="24"/>
          <w:szCs w:val="24"/>
        </w:rPr>
        <w:t xml:space="preserve"> </w:t>
      </w:r>
      <w:r>
        <w:rPr>
          <w:rFonts w:hint="eastAsia" w:ascii="宋体" w:hAnsi="宋体" w:eastAsia="宋体" w:cs="宋体"/>
          <w:sz w:val="24"/>
          <w:szCs w:val="24"/>
        </w:rPr>
        <w:t>本磋商文件仅适用于本次竞争性磋商公告中所叙述的项目。</w:t>
      </w:r>
    </w:p>
    <w:p>
      <w:pPr>
        <w:pageBreakBefore w:val="0"/>
        <w:widowControl w:val="0"/>
        <w:numPr>
          <w:ilvl w:val="0"/>
          <w:numId w:val="4"/>
        </w:numPr>
        <w:kinsoku/>
        <w:wordWrap/>
        <w:overflowPunct/>
        <w:topLinePunct w:val="0"/>
        <w:autoSpaceDE/>
        <w:autoSpaceDN/>
        <w:bidi w:val="0"/>
        <w:spacing w:line="400" w:lineRule="exact"/>
        <w:textAlignment w:val="auto"/>
        <w:rPr>
          <w:rFonts w:hint="eastAsia" w:ascii="宋体" w:hAnsi="宋体" w:eastAsia="宋体" w:cs="宋体"/>
          <w:b/>
          <w:sz w:val="24"/>
          <w:szCs w:val="24"/>
        </w:rPr>
      </w:pPr>
      <w:bookmarkStart w:id="18" w:name="_Toc363474018"/>
      <w:bookmarkStart w:id="19" w:name="_Toc363473973"/>
      <w:bookmarkStart w:id="20" w:name="_Toc403077640"/>
      <w:r>
        <w:rPr>
          <w:rFonts w:hint="eastAsia" w:ascii="宋体" w:hAnsi="宋体" w:eastAsia="宋体" w:cs="宋体"/>
          <w:b/>
          <w:sz w:val="24"/>
          <w:szCs w:val="24"/>
        </w:rPr>
        <w:t>名词解释</w:t>
      </w:r>
    </w:p>
    <w:p>
      <w:pPr>
        <w:pageBreakBefore w:val="0"/>
        <w:widowControl w:val="0"/>
        <w:tabs>
          <w:tab w:val="left" w:pos="7665"/>
        </w:tabs>
        <w:kinsoku/>
        <w:wordWrap/>
        <w:overflowPunct/>
        <w:topLinePunct w:val="0"/>
        <w:autoSpaceDE/>
        <w:autoSpaceDN/>
        <w:bidi w:val="0"/>
        <w:spacing w:line="4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2.1采购人：</w:t>
      </w:r>
      <w:r>
        <w:rPr>
          <w:rFonts w:hint="eastAsia" w:ascii="宋体" w:hAnsi="宋体" w:eastAsia="宋体" w:cs="宋体"/>
          <w:color w:val="000000"/>
          <w:sz w:val="24"/>
          <w:szCs w:val="24"/>
          <w:lang w:val="en-US" w:eastAsia="zh-CN"/>
        </w:rPr>
        <w:t>阿克苏商贸物流产业园管理委员会</w:t>
      </w:r>
    </w:p>
    <w:p>
      <w:pPr>
        <w:pageBreakBefore w:val="0"/>
        <w:widowControl w:val="0"/>
        <w:tabs>
          <w:tab w:val="left" w:pos="7665"/>
        </w:tabs>
        <w:kinsoku/>
        <w:wordWrap/>
        <w:overflowPunct/>
        <w:topLinePunct w:val="0"/>
        <w:autoSpaceDE/>
        <w:autoSpaceDN/>
        <w:bidi w:val="0"/>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2.2监督机构：财政部门</w:t>
      </w:r>
    </w:p>
    <w:p>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b/>
          <w:kern w:val="0"/>
          <w:sz w:val="24"/>
          <w:szCs w:val="24"/>
        </w:rPr>
      </w:pPr>
      <w:r>
        <w:rPr>
          <w:rFonts w:hint="eastAsia" w:ascii="宋体" w:hAnsi="宋体" w:eastAsia="宋体" w:cs="宋体"/>
          <w:color w:val="000000"/>
          <w:sz w:val="24"/>
          <w:szCs w:val="24"/>
        </w:rPr>
        <w:t>2.3采购代理机构：</w:t>
      </w:r>
      <w:r>
        <w:rPr>
          <w:rFonts w:hint="eastAsia" w:ascii="宋体" w:hAnsi="宋体" w:eastAsia="宋体" w:cs="宋体"/>
          <w:color w:val="000000"/>
          <w:sz w:val="24"/>
          <w:szCs w:val="24"/>
          <w:lang w:val="en-US" w:eastAsia="zh-CN"/>
        </w:rPr>
        <w:t>新疆国际招标中心有限公司 </w:t>
      </w:r>
    </w:p>
    <w:p>
      <w:pPr>
        <w:pageBreakBefore w:val="0"/>
        <w:widowControl w:val="0"/>
        <w:tabs>
          <w:tab w:val="left" w:pos="7665"/>
        </w:tabs>
        <w:kinsoku/>
        <w:wordWrap/>
        <w:overflowPunct/>
        <w:topLinePunct w:val="0"/>
        <w:autoSpaceDE/>
        <w:autoSpaceDN/>
        <w:bidi w:val="0"/>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2.4供应商：是指响应和符合竞争性磋商文件规定资格条件且参与竞争性磋商的法人、</w:t>
      </w:r>
      <w:r>
        <w:rPr>
          <w:rFonts w:hint="eastAsia" w:ascii="宋体" w:hAnsi="宋体" w:eastAsia="宋体" w:cs="宋体"/>
          <w:sz w:val="24"/>
          <w:szCs w:val="24"/>
        </w:rPr>
        <w:t>其他组织或者自然人。</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2.5产品是指本竞争性磋商文件中第五章所述内容。</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2.6服务是指供应商为满足竞争性磋商文件要求而提供的服务。</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2.7</w:t>
      </w:r>
      <w:r>
        <w:rPr>
          <w:rFonts w:hint="eastAsia" w:ascii="宋体" w:hAnsi="宋体" w:eastAsia="宋体" w:cs="宋体"/>
          <w:sz w:val="24"/>
          <w:szCs w:val="24"/>
        </w:rPr>
        <w:t>中小企业是指符合《工业和信息化部、国家统计局、国家发展和改革委员会、财政部关于印发中小企业划型标准规定的通知》（工信部联企业[2011]300号）规定的对中小企业的划分标准的企业。</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2.8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2.9残疾人福利性单位是指符合《三部门联合发布关于促进残疾人就业政府采购政策的通知》财库〔2017〕141号规定的对残疾人福利性单位划分标准的单位。</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3.合格的供应商</w:t>
      </w:r>
    </w:p>
    <w:p>
      <w:pPr>
        <w:pageBreakBefore w:val="0"/>
        <w:widowControl w:val="0"/>
        <w:kinsoku/>
        <w:wordWrap/>
        <w:overflowPunct/>
        <w:topLinePunct w:val="0"/>
        <w:autoSpaceDE/>
        <w:autoSpaceDN/>
        <w:bidi w:val="0"/>
        <w:spacing w:line="400" w:lineRule="exact"/>
        <w:ind w:left="60" w:firstLine="240" w:firstLineChars="1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（1）具有有效的营业执照副本扫描件（三证合一）；</w:t>
      </w:r>
    </w:p>
    <w:p>
      <w:pPr>
        <w:pageBreakBefore w:val="0"/>
        <w:widowControl w:val="0"/>
        <w:kinsoku/>
        <w:wordWrap/>
        <w:overflowPunct/>
        <w:topLinePunct w:val="0"/>
        <w:autoSpaceDE/>
        <w:autoSpaceDN/>
        <w:bidi w:val="0"/>
        <w:spacing w:line="400" w:lineRule="exact"/>
        <w:ind w:left="60" w:firstLine="240" w:firstLineChars="1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（2）法定代表人授权书及被委托人身份证（法定代表人投标提供法定代表人身份证明及身份证）；</w:t>
      </w:r>
    </w:p>
    <w:p>
      <w:pPr>
        <w:pageBreakBefore w:val="0"/>
        <w:widowControl w:val="0"/>
        <w:kinsoku/>
        <w:wordWrap/>
        <w:overflowPunct/>
        <w:topLinePunct w:val="0"/>
        <w:autoSpaceDE/>
        <w:autoSpaceDN/>
        <w:bidi w:val="0"/>
        <w:spacing w:line="400" w:lineRule="exact"/>
        <w:ind w:left="60" w:firstLine="240" w:firstLineChars="1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（3）参加采购活动前三年内，在经营活动中无重大违法声明(受行政主管部门的处罚不能参加投标)；</w:t>
      </w:r>
    </w:p>
    <w:p>
      <w:pPr>
        <w:pageBreakBefore w:val="0"/>
        <w:widowControl w:val="0"/>
        <w:kinsoku/>
        <w:wordWrap/>
        <w:overflowPunct/>
        <w:topLinePunct w:val="0"/>
        <w:autoSpaceDE/>
        <w:autoSpaceDN/>
        <w:bidi w:val="0"/>
        <w:spacing w:line="400" w:lineRule="exact"/>
        <w:ind w:left="60" w:firstLine="240" w:firstLineChars="1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）有效的工程设计建筑行业（人防工程）</w:t>
      </w:r>
      <w:r>
        <w:rPr>
          <w:rFonts w:hint="eastAsia" w:ascii="宋体" w:hAnsi="宋体" w:cs="宋体"/>
          <w:color w:val="auto"/>
          <w:sz w:val="24"/>
          <w:szCs w:val="24"/>
          <w:lang w:val="en-US" w:eastAsia="zh-CN"/>
        </w:rPr>
        <w:t>甲</w:t>
      </w:r>
      <w:r>
        <w:rPr>
          <w:rFonts w:hint="eastAsia" w:ascii="宋体" w:hAnsi="宋体" w:eastAsia="宋体" w:cs="宋体"/>
          <w:color w:val="auto"/>
          <w:sz w:val="24"/>
          <w:szCs w:val="24"/>
          <w:lang w:val="en-US" w:eastAsia="zh-CN"/>
        </w:rPr>
        <w:t>级资质;具有相关工作经验，并在人员、设备等方面具有承担本项目的能力；</w:t>
      </w:r>
    </w:p>
    <w:p>
      <w:pPr>
        <w:pageBreakBefore w:val="0"/>
        <w:widowControl w:val="0"/>
        <w:kinsoku/>
        <w:wordWrap/>
        <w:overflowPunct/>
        <w:topLinePunct w:val="0"/>
        <w:autoSpaceDE/>
        <w:autoSpaceDN/>
        <w:bidi w:val="0"/>
        <w:spacing w:line="400" w:lineRule="exact"/>
        <w:ind w:left="60"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）项目负责人须具有二级注册建筑师或</w:t>
      </w:r>
      <w:r>
        <w:rPr>
          <w:rFonts w:hint="eastAsia" w:ascii="宋体" w:hAnsi="宋体" w:cs="宋体"/>
          <w:sz w:val="24"/>
          <w:szCs w:val="24"/>
          <w:lang w:val="en-US" w:eastAsia="zh-CN"/>
        </w:rPr>
        <w:t>一级</w:t>
      </w:r>
      <w:r>
        <w:rPr>
          <w:rFonts w:hint="eastAsia" w:ascii="宋体" w:hAnsi="宋体" w:eastAsia="宋体" w:cs="宋体"/>
          <w:sz w:val="24"/>
          <w:szCs w:val="24"/>
          <w:lang w:val="en-US" w:eastAsia="zh-CN"/>
        </w:rPr>
        <w:t>注册结构工程师资质；</w:t>
      </w:r>
    </w:p>
    <w:p>
      <w:pPr>
        <w:pageBreakBefore w:val="0"/>
        <w:widowControl w:val="0"/>
        <w:kinsoku/>
        <w:wordWrap/>
        <w:overflowPunct/>
        <w:topLinePunct w:val="0"/>
        <w:autoSpaceDE/>
        <w:autoSpaceDN/>
        <w:bidi w:val="0"/>
        <w:spacing w:line="400" w:lineRule="exact"/>
        <w:ind w:left="60"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供应商在“信用中国”（www.creditchina.gov.cn）和中国政府采购网（www.ccgp.gov.cn）网站上未列入失信被执行人、重大税收违法案件当事人名单、政府采购严重违法失信行为记录名单（财库[2016]125号）（需提供网上截图加盖公章）；</w:t>
      </w:r>
    </w:p>
    <w:p>
      <w:pPr>
        <w:pageBreakBefore w:val="0"/>
        <w:widowControl w:val="0"/>
        <w:kinsoku/>
        <w:wordWrap/>
        <w:overflowPunct/>
        <w:topLinePunct w:val="0"/>
        <w:autoSpaceDE/>
        <w:autoSpaceDN/>
        <w:bidi w:val="0"/>
        <w:spacing w:line="400" w:lineRule="exact"/>
        <w:ind w:left="60"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）供应商提供针对本次项目《反商业贿赂承诺书》；</w:t>
      </w:r>
    </w:p>
    <w:p>
      <w:pPr>
        <w:pageBreakBefore w:val="0"/>
        <w:widowControl w:val="0"/>
        <w:kinsoku/>
        <w:wordWrap/>
        <w:overflowPunct/>
        <w:topLinePunct w:val="0"/>
        <w:autoSpaceDE/>
        <w:autoSpaceDN/>
        <w:bidi w:val="0"/>
        <w:spacing w:line="400" w:lineRule="exact"/>
        <w:ind w:left="60"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根据财政部、工业和信息化部关于印发《政府采购促进中小企业发展暂行办法》的通知(财库﹝2020﹞46号)，供应商及其所投产品的制造商均属于《工业和信息化部、国家统计局、国家发展和改革委员会、财政部关于印发中小企业划型标准规定的通知》(工信部联企业[2011]300号)中规定的小型、微型企业标准的，按磋商文件格式提供《中小企业声明函》等政府采购政策。</w:t>
      </w:r>
    </w:p>
    <w:p>
      <w:pPr>
        <w:pageBreakBefore w:val="0"/>
        <w:widowControl w:val="0"/>
        <w:kinsoku/>
        <w:wordWrap/>
        <w:overflowPunct/>
        <w:topLinePunct w:val="0"/>
        <w:autoSpaceDE/>
        <w:autoSpaceDN/>
        <w:bidi w:val="0"/>
        <w:spacing w:line="400" w:lineRule="exact"/>
        <w:ind w:left="6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9</w:t>
      </w:r>
      <w:r>
        <w:rPr>
          <w:rFonts w:hint="eastAsia" w:ascii="宋体" w:hAnsi="宋体" w:eastAsia="宋体" w:cs="宋体"/>
          <w:sz w:val="24"/>
          <w:szCs w:val="24"/>
        </w:rPr>
        <w:t>）本项目不接受联合体报名</w:t>
      </w:r>
    </w:p>
    <w:p>
      <w:pPr>
        <w:pageBreakBefore w:val="0"/>
        <w:widowControl w:val="0"/>
        <w:kinsoku/>
        <w:wordWrap/>
        <w:overflowPunct/>
        <w:topLinePunct w:val="0"/>
        <w:autoSpaceDE/>
        <w:autoSpaceDN/>
        <w:bidi w:val="0"/>
        <w:spacing w:line="400" w:lineRule="exact"/>
        <w:ind w:left="6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3.2供应商不得存在下列情形之一：</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1、供应商未提交磋商保证金的。</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2、供应商提供的响应文件不完整。</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3、响应文件未按磋商文件的规定签署及密封的。</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4、未按规定报价的。</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5、未提供磋商文件要求的资格资质证明文件验证的或提供虚假资格资质证明文件的。</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6、报价超出磋商预算的。</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7、供应商对磋商文件的要求未做出实质性响应。</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8、法律、法规规定的其他情况。</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3.3供应商不得直接或间接地与采购单位有任何关联，亦不得是采购单位的附属机构。如果供应商在磋商中隐瞒了上述关系，一经证实，则该磋商无效。</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3.4供应商必须在代理机构购买</w:t>
      </w:r>
      <w:r>
        <w:rPr>
          <w:rFonts w:hint="eastAsia" w:ascii="宋体" w:hAnsi="宋体" w:eastAsia="宋体" w:cs="宋体"/>
          <w:color w:val="000000"/>
          <w:sz w:val="24"/>
          <w:szCs w:val="24"/>
        </w:rPr>
        <w:t>竞争性磋商文件</w:t>
      </w:r>
      <w:r>
        <w:rPr>
          <w:rFonts w:hint="eastAsia" w:ascii="宋体" w:hAnsi="宋体" w:eastAsia="宋体" w:cs="宋体"/>
          <w:sz w:val="24"/>
          <w:szCs w:val="24"/>
        </w:rPr>
        <w:t>，方可参加磋商。</w:t>
      </w:r>
      <w:r>
        <w:rPr>
          <w:rFonts w:hint="eastAsia" w:ascii="宋体" w:hAnsi="宋体" w:eastAsia="宋体" w:cs="宋体"/>
          <w:color w:val="000000"/>
          <w:sz w:val="24"/>
          <w:szCs w:val="24"/>
        </w:rPr>
        <w:t>竞争性</w:t>
      </w:r>
      <w:r>
        <w:rPr>
          <w:rFonts w:hint="eastAsia" w:ascii="宋体" w:hAnsi="宋体" w:eastAsia="宋体" w:cs="宋体"/>
          <w:sz w:val="24"/>
          <w:szCs w:val="24"/>
        </w:rPr>
        <w:t>磋商文件售后不退。</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3.5联合体磋商</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3.5.1如果在</w:t>
      </w:r>
      <w:r>
        <w:rPr>
          <w:rFonts w:hint="eastAsia" w:ascii="宋体" w:hAnsi="宋体" w:eastAsia="宋体" w:cs="宋体"/>
          <w:color w:val="000000"/>
          <w:sz w:val="24"/>
          <w:szCs w:val="24"/>
        </w:rPr>
        <w:t>竞争性</w:t>
      </w:r>
      <w:r>
        <w:rPr>
          <w:rFonts w:hint="eastAsia" w:ascii="宋体" w:hAnsi="宋体" w:eastAsia="宋体" w:cs="宋体"/>
          <w:sz w:val="24"/>
          <w:szCs w:val="24"/>
        </w:rPr>
        <w:t>磋商文件中接受联合体磋商（见供应商须知前附表），则两个以上供应商可以组成一个磋商联合体，以一个供应商的身份参与磋商。以联合体形式参加磋商的，联合体各方均应当符合政府采购法</w:t>
      </w:r>
      <w:r>
        <w:rPr>
          <w:rFonts w:hint="eastAsia" w:ascii="宋体" w:hAnsi="宋体" w:eastAsia="宋体" w:cs="宋体"/>
          <w:color w:val="000000"/>
          <w:sz w:val="24"/>
          <w:szCs w:val="24"/>
        </w:rPr>
        <w:t>《中华人民共和国政府采购法》及其实施条例和《政府采购竞争性磋商采购方式管理暂行办法》规定的条件</w:t>
      </w:r>
      <w:r>
        <w:rPr>
          <w:rFonts w:hint="eastAsia" w:ascii="宋体" w:hAnsi="宋体" w:eastAsia="宋体" w:cs="宋体"/>
          <w:sz w:val="24"/>
          <w:szCs w:val="24"/>
        </w:rPr>
        <w:t>。采购人根据采购项目的特殊要求规定供应商特定条件的，联合体各方中至少应当有一方符合采购人规定的特定条件。</w:t>
      </w:r>
    </w:p>
    <w:p>
      <w:pPr>
        <w:pageBreakBefore w:val="0"/>
        <w:widowControl w:val="0"/>
        <w:kinsoku/>
        <w:wordWrap/>
        <w:overflowPunct/>
        <w:topLinePunct w:val="0"/>
        <w:autoSpaceDE/>
        <w:autoSpaceDN/>
        <w:bidi w:val="0"/>
        <w:spacing w:line="400" w:lineRule="exact"/>
        <w:ind w:firstLine="468" w:firstLineChars="195"/>
        <w:textAlignment w:val="auto"/>
        <w:rPr>
          <w:rFonts w:hint="eastAsia" w:ascii="宋体" w:hAnsi="宋体" w:eastAsia="宋体" w:cs="宋体"/>
          <w:sz w:val="24"/>
          <w:szCs w:val="24"/>
        </w:rPr>
      </w:pPr>
      <w:r>
        <w:rPr>
          <w:rFonts w:hint="eastAsia" w:ascii="宋体" w:hAnsi="宋体" w:eastAsia="宋体" w:cs="宋体"/>
          <w:sz w:val="24"/>
          <w:szCs w:val="24"/>
        </w:rPr>
        <w:t>3.5.2联合体各方之间应当签订共同磋商协议，明确约定联合体各方承担的工作和相应的责任，并将共同磋商协议连同</w:t>
      </w:r>
      <w:r>
        <w:rPr>
          <w:rFonts w:hint="eastAsia" w:ascii="宋体" w:hAnsi="宋体" w:eastAsia="宋体" w:cs="宋体"/>
          <w:color w:val="000000"/>
          <w:sz w:val="24"/>
          <w:szCs w:val="24"/>
        </w:rPr>
        <w:t>竞争性</w:t>
      </w:r>
      <w:r>
        <w:rPr>
          <w:rFonts w:hint="eastAsia" w:ascii="宋体" w:hAnsi="宋体" w:eastAsia="宋体" w:cs="宋体"/>
          <w:sz w:val="24"/>
          <w:szCs w:val="24"/>
        </w:rPr>
        <w:t>磋商响应文件一并提交</w:t>
      </w:r>
      <w:r>
        <w:rPr>
          <w:rFonts w:hint="eastAsia" w:ascii="宋体" w:hAnsi="宋体" w:eastAsia="宋体" w:cs="宋体"/>
          <w:color w:val="000000"/>
          <w:sz w:val="24"/>
          <w:szCs w:val="24"/>
        </w:rPr>
        <w:t>采购代理机构</w:t>
      </w:r>
      <w:r>
        <w:rPr>
          <w:rFonts w:hint="eastAsia" w:ascii="宋体" w:hAnsi="宋体" w:eastAsia="宋体" w:cs="宋体"/>
          <w:sz w:val="24"/>
          <w:szCs w:val="24"/>
        </w:rPr>
        <w:t>。联合体各方签订共同磋商协议后，不得再以自己名义单独参与同一项目磋商，也不得组成新的联合体参加同一项目磋商。</w:t>
      </w:r>
    </w:p>
    <w:p>
      <w:pPr>
        <w:pStyle w:val="19"/>
        <w:pageBreakBefore w:val="0"/>
        <w:widowControl w:val="0"/>
        <w:kinsoku/>
        <w:wordWrap/>
        <w:overflowPunct/>
        <w:topLinePunct w:val="0"/>
        <w:autoSpaceDE/>
        <w:autoSpaceDN/>
        <w:bidi w:val="0"/>
        <w:spacing w:line="4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color w:val="000000"/>
          <w:sz w:val="24"/>
          <w:szCs w:val="24"/>
        </w:rPr>
        <w:t>3.5.3联合体各方应当共同与采购人签订采购合同，就采购合同约定的事项对采购人承担连带责任。</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3.6磋商费用自理。不论磋商的结果如何，供应商均应自行承担所有与参加磋商有关的费用。</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4.竞争性磋商项目的合格性和合法性</w:t>
      </w:r>
    </w:p>
    <w:p>
      <w:pPr>
        <w:pageBreakBefore w:val="0"/>
        <w:widowControl w:val="0"/>
        <w:tabs>
          <w:tab w:val="left" w:pos="747"/>
        </w:tabs>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sz w:val="24"/>
          <w:szCs w:val="24"/>
        </w:rPr>
        <w:t>4.1竞争性磋商项目应满足竞争性磋商文件的要求并应符合国家法律法规、行业管理部门要求的其他强制性标准。</w:t>
      </w:r>
      <w:r>
        <w:rPr>
          <w:rFonts w:hint="eastAsia" w:ascii="宋体" w:hAnsi="宋体" w:eastAsia="宋体" w:cs="宋体"/>
          <w:color w:val="000000"/>
          <w:sz w:val="24"/>
          <w:szCs w:val="24"/>
        </w:rPr>
        <w:t>并满足竞争性磋商文件规定的质量、价格、有效期、售后服务及供应商须承担的运输、配送、技术支持和竞争性磋商文件规定的其他伴随服务等要求。</w:t>
      </w:r>
    </w:p>
    <w:p>
      <w:pPr>
        <w:pageBreakBefore w:val="0"/>
        <w:widowControl w:val="0"/>
        <w:tabs>
          <w:tab w:val="left" w:pos="747"/>
        </w:tabs>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4.2采购人有权拒绝接受任何不合格的产品和服务，由此产生的费用及相关后果均由供应商自行承担。</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5.竞争性磋商响应文件内容的真实性</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pPr>
        <w:keepNext/>
        <w:keepLines/>
        <w:pageBreakBefore w:val="0"/>
        <w:widowControl w:val="0"/>
        <w:kinsoku/>
        <w:wordWrap/>
        <w:overflowPunct/>
        <w:topLinePunct w:val="0"/>
        <w:autoSpaceDE/>
        <w:autoSpaceDN/>
        <w:bidi w:val="0"/>
        <w:spacing w:before="120" w:beforeLines="50"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二.竞争性磋商文件</w:t>
      </w:r>
      <w:bookmarkEnd w:id="18"/>
      <w:bookmarkEnd w:id="19"/>
      <w:bookmarkEnd w:id="20"/>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6.竞争性磋商文件构成</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 竞争性磋商文件规定了要求提供的产品和服务，磋商程序和合同条件在竞争性磋商文件中均有说明。竞争性磋商文件共七章，内容如下：</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第一章 竞争性磋商公告</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第二章 供应商须知</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第三章 合同条款及格式    </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第四章 评审方法</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第五章 竞争性磋商响应文件格式</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6.3本竞争性磋商文件的解释权归采购代理机构，如发现竞争性磋商响应文件内容与现行法律法规不相符的情况，以现行法律法规为准。</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7.竞争性磋商文件的修改和澄清</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7.1在磋商响应文件递交截止时间5日前，采购代理机构可以视采购具体情况，延长竞争性磋商响应文件递交截止时间和磋商时间并在财政部门指定的媒体上发布变更公告，同时将变更时间书面通知所有购买竞争性磋商文件的磋商供应商。</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7.2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该澄清或者修改的内容为竞争性磋商文件的组成部分。</w:t>
      </w:r>
    </w:p>
    <w:p>
      <w:pPr>
        <w:keepNext/>
        <w:keepLines/>
        <w:pageBreakBefore w:val="0"/>
        <w:widowControl w:val="0"/>
        <w:kinsoku/>
        <w:wordWrap/>
        <w:overflowPunct/>
        <w:topLinePunct w:val="0"/>
        <w:autoSpaceDE/>
        <w:autoSpaceDN/>
        <w:bidi w:val="0"/>
        <w:spacing w:before="120" w:beforeLines="50" w:line="400" w:lineRule="exact"/>
        <w:textAlignment w:val="auto"/>
        <w:rPr>
          <w:rFonts w:hint="eastAsia" w:ascii="宋体" w:hAnsi="宋体" w:eastAsia="宋体" w:cs="宋体"/>
          <w:b/>
          <w:sz w:val="24"/>
          <w:szCs w:val="24"/>
        </w:rPr>
      </w:pPr>
      <w:bookmarkStart w:id="21" w:name="_Toc403077641"/>
      <w:bookmarkStart w:id="22" w:name="_Toc363473974"/>
      <w:bookmarkStart w:id="23" w:name="_Toc363474019"/>
      <w:r>
        <w:rPr>
          <w:rFonts w:hint="eastAsia" w:ascii="宋体" w:hAnsi="宋体" w:eastAsia="宋体" w:cs="宋体"/>
          <w:b/>
          <w:sz w:val="24"/>
          <w:szCs w:val="24"/>
        </w:rPr>
        <w:t>三.磋商响应文件的编制</w:t>
      </w:r>
      <w:bookmarkEnd w:id="21"/>
      <w:bookmarkEnd w:id="22"/>
      <w:bookmarkEnd w:id="23"/>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8. 磋商语言和磋商货币</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rPr>
        <w:t>8.1供应商提交的竞争性磋商响应文件以及供应商与采购代理机构就有关磋商的所有来往函电均应使用中文。</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8.2磋商应以人民币报价。任何包含非人民币报价的磋商将按无效磋商处理。</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9.竞争性磋商响应文件的构成</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9.1 供应商提交的竞争性磋商响应文件应包含下列部分的内容：</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color w:val="0000FF"/>
          <w:sz w:val="24"/>
          <w:szCs w:val="24"/>
        </w:rPr>
      </w:pPr>
      <w:r>
        <w:rPr>
          <w:rFonts w:hint="eastAsia" w:ascii="宋体" w:hAnsi="宋体" w:eastAsia="宋体" w:cs="宋体"/>
          <w:b/>
          <w:color w:val="0000FF"/>
          <w:sz w:val="24"/>
          <w:szCs w:val="24"/>
        </w:rPr>
        <w:t>1、报价响应函；</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（1）具有有效的营业执照副本扫描件（三证合一）；</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（2）法定代表人授权书及被委托人身份证（法定代表人投标提供法定代表人身份证明及身份证）；</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（3）参加采购活动前三年内，在经营活动中无重大违法声明(受行政主管部门的处罚不能参加投标)；</w:t>
      </w:r>
    </w:p>
    <w:p>
      <w:pPr>
        <w:pageBreakBefore w:val="0"/>
        <w:widowControl w:val="0"/>
        <w:kinsoku/>
        <w:wordWrap/>
        <w:overflowPunct/>
        <w:topLinePunct w:val="0"/>
        <w:autoSpaceDE/>
        <w:autoSpaceDN/>
        <w:bidi w:val="0"/>
        <w:spacing w:line="400" w:lineRule="exact"/>
        <w:textAlignment w:val="auto"/>
        <w:rPr>
          <w:rFonts w:hint="eastAsia" w:ascii="宋体" w:hAnsi="宋体" w:cs="宋体"/>
          <w:sz w:val="24"/>
          <w:szCs w:val="24"/>
          <w:lang w:eastAsia="zh-CN"/>
        </w:rPr>
      </w:pPr>
      <w:r>
        <w:rPr>
          <w:rFonts w:hint="eastAsia" w:ascii="宋体" w:hAnsi="宋体" w:eastAsia="宋体" w:cs="宋体"/>
          <w:sz w:val="24"/>
          <w:szCs w:val="24"/>
        </w:rPr>
        <w:t>（4）资质等级证书</w:t>
      </w:r>
      <w:r>
        <w:rPr>
          <w:rFonts w:hint="eastAsia" w:ascii="宋体" w:hAnsi="宋体" w:cs="宋体"/>
          <w:sz w:val="24"/>
          <w:szCs w:val="24"/>
          <w:lang w:eastAsia="zh-CN"/>
        </w:rPr>
        <w:t>及项目负责人证书扫描件，</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供应商在“信用中国”（www.creditchina.gov.cn）和中国政府采购网（www.ccgp.gov.cn）网站上未列入失信被执行人、重大税收违法案件当事人名单、政府采购严重违法失信行为记录名单（财库[2016]125号）（需提供网上截图加盖公章）；</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（6）供应商提供针对本次项目《反商业贿赂承诺书》；</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根据财政部、工业和信息化部关于印发《政府采购促进中小企业发展暂行办法》的通知(财库﹝2020﹞46号)，供应商及其所投产品的制造商均属于《工业和信息化部、国家统计局、国家发展和改革委员会、财政部关于印发中小企业划型标准规定的通知》(工信部联企业[2011]300号)中规定的小型、微型企业标准的，按磋商文件格式提供《中小企业声明函》等政府采购政策。</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2</w:t>
      </w:r>
      <w:r>
        <w:rPr>
          <w:rFonts w:hint="eastAsia" w:ascii="宋体" w:hAnsi="宋体" w:eastAsia="宋体" w:cs="宋体"/>
          <w:b/>
          <w:sz w:val="24"/>
          <w:szCs w:val="24"/>
        </w:rPr>
        <w:t>、总体服务方案；</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3</w:t>
      </w:r>
      <w:r>
        <w:rPr>
          <w:rFonts w:hint="eastAsia" w:ascii="宋体" w:hAnsi="宋体" w:eastAsia="宋体" w:cs="宋体"/>
          <w:b/>
          <w:sz w:val="24"/>
          <w:szCs w:val="24"/>
        </w:rPr>
        <w:t>、投入本项目的主要管理、技术人员等相关人员；</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4</w:t>
      </w:r>
      <w:r>
        <w:rPr>
          <w:rFonts w:hint="eastAsia" w:ascii="宋体" w:hAnsi="宋体" w:eastAsia="宋体" w:cs="宋体"/>
          <w:b/>
          <w:sz w:val="24"/>
          <w:szCs w:val="24"/>
        </w:rPr>
        <w:t>、磋商文件中所要求的其他内容；</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5</w:t>
      </w:r>
      <w:r>
        <w:rPr>
          <w:rFonts w:hint="eastAsia" w:ascii="宋体" w:hAnsi="宋体" w:eastAsia="宋体" w:cs="宋体"/>
          <w:b/>
          <w:sz w:val="24"/>
          <w:szCs w:val="24"/>
        </w:rPr>
        <w:t>、报价单位认为适宜的其它资料；</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6</w:t>
      </w:r>
      <w:r>
        <w:rPr>
          <w:rFonts w:hint="eastAsia" w:ascii="宋体" w:hAnsi="宋体" w:eastAsia="宋体" w:cs="宋体"/>
          <w:b/>
          <w:sz w:val="24"/>
          <w:szCs w:val="24"/>
        </w:rPr>
        <w:t xml:space="preserve">.竞争性磋商响应文件格式 </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7.1供应商应按照竞争性磋商文件中第七章“竞争性磋商响应文件格式”所提供的格式和要求制作竞争性磋商响应文件，明确表达磋商意愿，详细说明磋商服务方案、承诺及价格。</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7.2按本章第9条的内容及要求和第七章提供的格式和要求编写其竞争性磋商响应文件，供应商不得缺少或留空任何竞争性磋商文件要求填写的表格或提交的资料。</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10.磋商报价</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10.1磋商报价：</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snapToGrid w:val="0"/>
          <w:color w:val="000000"/>
          <w:sz w:val="24"/>
          <w:szCs w:val="24"/>
        </w:rPr>
      </w:pPr>
      <w:r>
        <w:rPr>
          <w:rFonts w:hint="eastAsia" w:ascii="宋体" w:hAnsi="宋体" w:eastAsia="宋体" w:cs="宋体"/>
          <w:sz w:val="24"/>
          <w:szCs w:val="24"/>
        </w:rPr>
        <w:t>一次性报定，包括投标人完成该项目的全部服务成本、企业利润、税金和政策性文件规定及合同包含的所有风险、责任等各项应有费用。</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10.2首次磋商报价表中标明本次服务的总价，任何有选择的报价将不予接受，否则按无效磋商处理。</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10.3最后磋商报价不得高于首次磋商报价，否则按无效磋商处理。对于差异较大的报价，须作出明确说明。</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11.证明供应商合格的资格证明文件</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11.1供应商应按照竞争性磋商文件供应商须知前附表的要求，在竞争性磋商响应文件中提交合格的资格证明文件。如果资格证明文件不全或不合格的，其磋商响应文件将被作无效文件处理。</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12.证明的合格性和符合竞争性磋商文件规定的文件</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12.1供应商应在竞争性磋商响应文件中提交服务满足竞争性磋商文件要求并符合国家法律法规、行业管理部门要求的其他强制性标准的证明文件。缺少证明文件或证明文件不合格的磋商响应文件，与竞争性磋商文件要求有重大偏离的磋商响应文件，不符合国家法律法规、行业管理部门要求的其他强制性标准的磋商响应文件将按无效磋商处理。</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13.磋商保证金</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13.1供应商在磋商时应向采购代理机构提交“供应商须知前附表”规定数额的磋商保证金,并作为其磋商的一部分。</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13.2磋商保证金是为了保护采购单位免遭因供应商的行为而蒙受损失。采购单位在因供应商的行为受到损害时可根据本须知的规定没收供应商的磋商保证金。</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13.3磋商保证金可采取“供应商须知前附表”规定的任何一种形式。</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13.4磋商保证金必须按照竞争性磋商文件“供应商须知前附表”中规定的缴纳金额及方式办理。</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13.5磋商后经审查，未提交磋商保证金、未按竞争性磋商文件规定时间提交磋商保证金、磋商保证金金额不足或磋商保证金转账凭证复印件未附在磋商响应文件内的磋商将按无效磋商处理。</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13.6未成交供应商的磋商保证金，将在成交通知书发出后五个工作日内按原账户退还；成交供应商的磋商保证金，在采购合同签订并按规定交纳成交代理服务费后五个工作日内退还。</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13.7 下列任何情况发生时，视为供应商违约，其磋商保证金将被没收：</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供应商在磋商有效期内撤回其磋商响应文件；</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2）供应商在响应文件中提供伪造、套改、虚假资料参加磋商的。</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供应商成交后放弃成交或未能按规定签订合同；或未能按规定交纳成交代理服务费。</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4）供应商成交后将成交项目转让给他人，或者在响应文件中未说明，且未经采购人同意，将成交项目分包给他人的。</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5）供应商事先未通告无故不参加磋商活动的。</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6）供应商不按法定程序进行质疑和投诉，捏造事实，查无实据，造成恶劣影响，导致采购活动无法正常进行的。</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13.9磋商保证金的有效期与磋商有效期一致。</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14.磋商有效期</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14.1磋商响应文件的有效期（含授权有效期）从递交响应文件的截止之日起</w:t>
      </w:r>
      <w:r>
        <w:rPr>
          <w:rFonts w:hint="eastAsia" w:ascii="宋体" w:hAnsi="宋体" w:eastAsia="宋体" w:cs="宋体"/>
          <w:sz w:val="24"/>
          <w:szCs w:val="24"/>
          <w:u w:val="single"/>
        </w:rPr>
        <w:t>60</w:t>
      </w:r>
      <w:r>
        <w:rPr>
          <w:rFonts w:hint="eastAsia" w:ascii="宋体" w:hAnsi="宋体" w:eastAsia="宋体" w:cs="宋体"/>
          <w:sz w:val="24"/>
          <w:szCs w:val="24"/>
        </w:rPr>
        <w:t>天。磋商响应文件应在磋商有效期内保持有效。磋商有效期不满足规定有效期的磋商响应文件将被视为非响应性磋商而予以拒绝。</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章第14条有关磋商保证金的退还和没收的规定将在延长了的有效期内继续有效。</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15.竞争性磋商响应文件的式样和签署</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15.1供应商应按照供应商须知的要求, 准备壹份竞争性磋商响应文件正本和“供应商须知前附表”中规定数量的副本，每套竞争性磋商响应文件封面须清楚地标明“正本”或“副本”。</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15.2竞争性磋商响应文件正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供应商名称应填写全称，竞争性磋商响应文件必须每一页加盖供应商公章并签署法人或委托人的名字，所有要求签字（名）处，均须由签字（名）者本人用不褪色的蓝(黑)色墨水(汁)书写，不得用任何形式的图章代替。所有竞争性磋商响应文件正本和副本须按第六章规定的顺序编排、并应编制目录、标注连续页码，并分别胶装成册。</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15.3任何行间插字、涂改和增删，必须由供应商的法定代表人或其授权代表在旁边签字才有效。</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15.4因字迹潦草、表述不清或不按竞争性磋商文件格式编制的竞争性磋商响应文件，所引起的对供应商不利的后果，由供应商自行负责。</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sz w:val="24"/>
          <w:szCs w:val="24"/>
        </w:rPr>
        <w:t>15.5竞争性磋商文件的副本内容须和正本内容保持一致。若正本、副本有不一致的内容，以正本为准。</w:t>
      </w:r>
    </w:p>
    <w:p>
      <w:pPr>
        <w:keepNext/>
        <w:keepLines/>
        <w:pageBreakBefore w:val="0"/>
        <w:widowControl w:val="0"/>
        <w:kinsoku/>
        <w:wordWrap/>
        <w:overflowPunct/>
        <w:topLinePunct w:val="0"/>
        <w:autoSpaceDE/>
        <w:autoSpaceDN/>
        <w:bidi w:val="0"/>
        <w:spacing w:before="120" w:beforeLines="50"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四.竞争性磋商响应文件的递交</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16.竞争性磋商响应文件的密封和标记</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16.1磋商响应文件密封袋封线处加贴封条并加盖供应商公章，封袋正面要粘贴标识。</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16.2供应商应将竞争性磋商响应文件正本、所有的副本及报价一览表分开密封装在单独的封袋中（封袋不得有破损），且在封袋正面标明“竞争性磋商响应文件正本”、“竞争性磋商响应文件副本”、“报价一览表”字样。封袋应加贴封条，并在封线处加盖供应商鲜章，封袋正面要粘贴供应商全称、项目名称、编号等标识。</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外层包装请按以下要求标记：</w:t>
      </w:r>
    </w:p>
    <w:p>
      <w:pPr>
        <w:pageBreakBefore w:val="0"/>
        <w:widowControl w:val="0"/>
        <w:kinsoku/>
        <w:wordWrap/>
        <w:overflowPunct/>
        <w:topLinePunct w:val="0"/>
        <w:autoSpaceDE/>
        <w:autoSpaceDN/>
        <w:bidi w:val="0"/>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（1）项目编号、项目名称；</w:t>
      </w:r>
    </w:p>
    <w:p>
      <w:pPr>
        <w:pageBreakBefore w:val="0"/>
        <w:widowControl w:val="0"/>
        <w:kinsoku/>
        <w:wordWrap/>
        <w:overflowPunct/>
        <w:topLinePunct w:val="0"/>
        <w:autoSpaceDE/>
        <w:autoSpaceDN/>
        <w:bidi w:val="0"/>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（2）供应商名称（加盖公章）、地址、电话；</w:t>
      </w:r>
    </w:p>
    <w:p>
      <w:pPr>
        <w:pageBreakBefore w:val="0"/>
        <w:widowControl w:val="0"/>
        <w:kinsoku/>
        <w:wordWrap/>
        <w:overflowPunct/>
        <w:topLinePunct w:val="0"/>
        <w:autoSpaceDE/>
        <w:autoSpaceDN/>
        <w:bidi w:val="0"/>
        <w:spacing w:line="4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（3）正本或副本；</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16.3如果供应商未对竞争性磋商响应文件按上述要求进行完好密封，采购人和采购代理机构有权拒绝接收其磋商响应文件。</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17．竞争性磋商响应文件的递交</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17.1供应商应按照竞争性磋商公告中规定的时间、地点，在规定的竞争性磋商响应文件递交截止时间前将全部竞争性磋商响应文件和磋商资料递交至采购代理机构接收人处。</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17.2采购代理机构项目接收人在竞争性磋商文件规定的竞争性磋商响应文件递交截止时间前，只负责竞争性磋商响应文件的接收、清点、登记工作，并请递交人签字确认，对其有效性不负任何责任；</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17.3无论供应商成交与否，其竞争性磋商响应文件恕不退还。</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18．延迟递交的竞争性磋商响应文件</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19.1按照供应商须知的规定，采购代理机构将拒绝接受在规定的磋商截止时间后递交的任何竞争性磋商响应文件。</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19．磋商的修改与撤回</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19.1 供应商在磋商文件要求递交响应文件的截止时间前，可以补充、修改或者撤回已提交的响应文件，并以书面形式通知代理采购人。补充、修改的内容作为响应文件的组成部分。任何补充或修改的内容必须由供应商的法定代表人或其授权人签字，补充、修改的内容与响应文件不一致的，以补充、修改的内容为准。经法定代表人或其授权人正式签署的修改和补充文件的份数和密封要求同响应文件一致。</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19.2 供应商的修改或撤回或变动价格的通知应按本须知第17条的规定编制、密封、标记和递交。</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19.3 在磋商截止时间之后，供应商不得对其磋商响应文件做任何修改或撤回。</w:t>
      </w:r>
    </w:p>
    <w:p>
      <w:pPr>
        <w:keepNext/>
        <w:keepLines/>
        <w:pageBreakBefore w:val="0"/>
        <w:widowControl w:val="0"/>
        <w:kinsoku/>
        <w:wordWrap/>
        <w:overflowPunct/>
        <w:topLinePunct w:val="0"/>
        <w:autoSpaceDE/>
        <w:autoSpaceDN/>
        <w:bidi w:val="0"/>
        <w:spacing w:before="120" w:beforeLines="50" w:line="400" w:lineRule="exact"/>
        <w:textAlignment w:val="auto"/>
        <w:rPr>
          <w:rFonts w:hint="eastAsia" w:ascii="宋体" w:hAnsi="宋体" w:eastAsia="宋体" w:cs="宋体"/>
          <w:b/>
          <w:sz w:val="24"/>
          <w:szCs w:val="24"/>
        </w:rPr>
      </w:pPr>
      <w:bookmarkStart w:id="24" w:name="_Toc363474021"/>
      <w:bookmarkStart w:id="25" w:name="_Toc403077643"/>
      <w:bookmarkStart w:id="26" w:name="_Toc363473976"/>
      <w:r>
        <w:rPr>
          <w:rFonts w:hint="eastAsia" w:ascii="宋体" w:hAnsi="宋体" w:eastAsia="宋体" w:cs="宋体"/>
          <w:b/>
          <w:sz w:val="24"/>
          <w:szCs w:val="24"/>
        </w:rPr>
        <w:t>五.磋商与评标</w:t>
      </w:r>
      <w:bookmarkEnd w:id="24"/>
      <w:bookmarkEnd w:id="25"/>
      <w:bookmarkEnd w:id="26"/>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20.磋商</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20.1 采购代理机构在规定的时间和地点组织竞争性磋商。磋商时所有供应商代表自愿参加，参加磋商的代表应签名报到以证明其出席。</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20.2采购代理机构将做磋商记录，存档备查。</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21．评审组织及评审原则</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21.1按照《中华人民共和国政府采购法》及实施条例和财政部关于《政府采购竞争性磋商采购方式管理暂行办法》有关问题的补充通知（财库[2015]124号）、财政部关于印发《政府采购竞争性磋商采购方式管理暂行办法》的通知（财库[2014]214号），依法组建磋商小组。本项目磋商小组由三名评审专家组成。磋商小组按照竞争性磋商文件规定的评审方法独立进行评审工作。</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21.2竞争性磋商文件和竞争性磋商响应文件是评审的依据。在评审中，不得改变竞争性磋商文件中规定的评审标准、方法和成交条件。</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21.4如果供应商在澄清规定期限内，未能答复或拒绝答复磋商小组提出的澄清要求，将由磋商小组根据其竞争性磋商响应文件按最大风险进行评审。</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21.5磋商过程中的实质性变动：</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21.5.2对竞争性磋商文件做出的实质性变动是磋商文件的有效组成部分，磋商小组应当及时以书面形式通知所有参加磋商的供应商。</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21.6竞争性磋商响应文件的初审</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21.6.1磋商小组将审查竞争性磋商响应文件是否完整、格式是否符合要求、有无计算上的错误等。</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21.6.2计算错误将按以下方法更正：</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（1）磋商响应文件中首次磋商报价表(报价表)内容与磋商响应文件中相应内容不一致的，以首次磋商报价表(报价表)为准。</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（2）磋商响应文件的大写金额和小写金额不一致的，以大写金额为准；</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（3）单价金额小数点或者百分比有明显错误的，以首次磋商报价表的总价为准，并修改单价；</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（4）总价金额与按单价汇总金额不一致的，以单价金额计算结果为准；</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按上述修正的顺序和方法调整的报价应对供应商具有约束力。如果供应商不接受修正后的价格，其响应文件将按无效响应处理。</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21.6.3对于竞争性磋商响应文件中明显的标点符号错误或不构成实质性偏差的不正规、不一致或不规则，采购人可以接受。</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pPr>
        <w:pageBreakBefore w:val="0"/>
        <w:widowControl w:val="0"/>
        <w:tabs>
          <w:tab w:val="left" w:pos="1260"/>
        </w:tabs>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21.6.5实质上没有响应竞争性磋商文件要求的磋商将被拒绝。供应商不得通过修正或撤销不合要求的偏离从而使其磋商成为实质性响应的磋商。</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21.7竞争性磋商响应文件的详细评审</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21.7.1磋商小组将按照本须知第22.6.4条规定，只对确定为实质性响应竞争性磋商文件要求的磋商响应文件进行详细评审。</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21.7.2详细评审按照“供应商须知前附表”的评审方法进行。</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21.8成交候选人的确定</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磋商小组完成评审后，向采购人提出书面评审，并推荐3名成交候选人，标明排列顺序。</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22．评审过程的保密</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磋商小组成员和与评审活动有关的工作人员不得泄露有关竞争性磋商响应文件的评审和比较、成交候选人的推荐以及与评审有关的其他情况。</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23．评审方法</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23.1按照按照《中华人民共和国政府采购法》及实施条例和财政部关于《政府采购竞争性磋商采购方式管理暂行办法》有关问题的补充通知（财库〔2015〕124号）、财政部关于印发《政府采购竞争性磋商采购方式管理暂行办法》的通知（财库【2014】214号），本次评审采用综合评分法，即在全部满足竞争性磋商文件实质性要求前提下，磋商小组应当根据综合评分情况，按照评审得分高低顺序推存3名成交候选人。</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24．评审程序</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按照竞争性磋商响应文件初审、澄清有关问题、分别磋商、二次报价、比较与评审、推荐成交候选人名单的工作程序进行评审。在上一步评审中被认定为无效磋商者，不进入下一步的评审。</w:t>
      </w:r>
    </w:p>
    <w:p>
      <w:pPr>
        <w:keepNext/>
        <w:keepLines/>
        <w:pageBreakBefore w:val="0"/>
        <w:widowControl w:val="0"/>
        <w:kinsoku/>
        <w:wordWrap/>
        <w:overflowPunct/>
        <w:topLinePunct w:val="0"/>
        <w:autoSpaceDE/>
        <w:autoSpaceDN/>
        <w:bidi w:val="0"/>
        <w:spacing w:before="120" w:beforeLines="50"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六.成交、通知与签约</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25．成交程序</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25.1磋商小组根据评审方法的规定对供应商进行评审排序，推荐3名成交候选人，作为评审结果。评审结果由全体磋商小组成员签字确认。</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25.2采购人根据磋商报告中推荐的成交候选人排列顺序，确定排名第一的成交候选人为成交供应商。</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25.4采购人也可以授权磋商小组评审后直接确定成交供应商。</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25.5成交供应商确定之后，成交结果将在财政部门指定的政府采购信息发布媒体上公告。</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25.6供应商或者其他利害关系人对评审结果有异议的，应当在法律规定的时间内提出。</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26．成交与落标通知</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26.1采购代理机构向成交供应商发出《成交通知书》。 </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26.2成交通知书对采购人和成交供应商具有同等法律效力。成交通知书发出之后，采购人改变成交结果，或者成交供应商放弃成交，应当承担相应的法律责任。</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27. 成交合同的签订</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27.1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27.2采购人自采购合同签订之日起七个工作日内，将采购合同副本报同级人民政府财政部门备案。</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sz w:val="24"/>
          <w:szCs w:val="24"/>
        </w:rPr>
      </w:pPr>
      <w:r>
        <w:rPr>
          <w:rFonts w:hint="eastAsia" w:ascii="宋体" w:hAnsi="宋体" w:eastAsia="宋体" w:cs="宋体"/>
          <w:b/>
          <w:sz w:val="24"/>
          <w:szCs w:val="24"/>
        </w:rPr>
        <w:t>28.成交代理服务费</w:t>
      </w:r>
      <w:r>
        <w:rPr>
          <w:rFonts w:hint="eastAsia" w:ascii="宋体" w:hAnsi="宋体" w:eastAsia="宋体" w:cs="宋体"/>
          <w:sz w:val="24"/>
          <w:szCs w:val="24"/>
        </w:rPr>
        <w:t xml:space="preserve"> </w:t>
      </w:r>
    </w:p>
    <w:p>
      <w:pPr>
        <w:pageBreakBefore w:val="0"/>
        <w:widowControl w:val="0"/>
        <w:kinsoku/>
        <w:wordWrap/>
        <w:overflowPunct/>
        <w:topLinePunct w:val="0"/>
        <w:autoSpaceDE/>
        <w:autoSpaceDN/>
        <w:bidi w:val="0"/>
        <w:spacing w:line="400" w:lineRule="exact"/>
        <w:ind w:firstLine="480" w:firstLineChars="200"/>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28.1见供应商须知前附表。</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29.质疑与投诉</w:t>
      </w:r>
    </w:p>
    <w:p>
      <w:pPr>
        <w:pageBreakBefore w:val="0"/>
        <w:widowControl w:val="0"/>
        <w:kinsoku/>
        <w:wordWrap/>
        <w:overflowPunct/>
        <w:topLinePunct w:val="0"/>
        <w:autoSpaceDE/>
        <w:autoSpaceDN/>
        <w:bidi w:val="0"/>
        <w:spacing w:line="400" w:lineRule="exact"/>
        <w:ind w:firstLine="480" w:firstLineChars="200"/>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29.1供应商认为竞争性磋商文件、采购过程、成交结果使自己的合法权益受到损害的，可以以书面形式向采购人、采购代理机构提出质疑。</w:t>
      </w:r>
    </w:p>
    <w:p>
      <w:pPr>
        <w:pageBreakBefore w:val="0"/>
        <w:widowControl w:val="0"/>
        <w:kinsoku/>
        <w:wordWrap/>
        <w:overflowPunct/>
        <w:topLinePunct w:val="0"/>
        <w:autoSpaceDE/>
        <w:autoSpaceDN/>
        <w:bidi w:val="0"/>
        <w:spacing w:line="400" w:lineRule="exact"/>
        <w:ind w:firstLine="480" w:firstLineChars="200"/>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29.1.1对采购文件提出质疑的，为收到采购文件之日起七个工作日内；</w:t>
      </w:r>
    </w:p>
    <w:p>
      <w:pPr>
        <w:pageBreakBefore w:val="0"/>
        <w:widowControl w:val="0"/>
        <w:kinsoku/>
        <w:wordWrap/>
        <w:overflowPunct/>
        <w:topLinePunct w:val="0"/>
        <w:autoSpaceDE/>
        <w:autoSpaceDN/>
        <w:bidi w:val="0"/>
        <w:spacing w:line="400" w:lineRule="exact"/>
        <w:ind w:firstLine="480" w:firstLineChars="200"/>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29.1.2对采购过程提出质疑的，为各采购程序环节结束之日起七个工作日内；</w:t>
      </w:r>
    </w:p>
    <w:p>
      <w:pPr>
        <w:pageBreakBefore w:val="0"/>
        <w:widowControl w:val="0"/>
        <w:kinsoku/>
        <w:wordWrap/>
        <w:overflowPunct/>
        <w:topLinePunct w:val="0"/>
        <w:autoSpaceDE/>
        <w:autoSpaceDN/>
        <w:bidi w:val="0"/>
        <w:spacing w:line="400" w:lineRule="exact"/>
        <w:ind w:firstLine="480" w:firstLineChars="200"/>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29.1.3对成交结果提出质疑的，为成交结果公告期限届满之日起七个工作日内。</w:t>
      </w:r>
    </w:p>
    <w:p>
      <w:pPr>
        <w:pageBreakBefore w:val="0"/>
        <w:widowControl w:val="0"/>
        <w:kinsoku/>
        <w:wordWrap/>
        <w:overflowPunct/>
        <w:topLinePunct w:val="0"/>
        <w:autoSpaceDE/>
        <w:autoSpaceDN/>
        <w:bidi w:val="0"/>
        <w:spacing w:line="400" w:lineRule="exact"/>
        <w:ind w:firstLine="480" w:firstLineChars="200"/>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29.1.4供应商须在法定质疑期内一次性提出针对同一采购程序环节的质疑。</w:t>
      </w:r>
    </w:p>
    <w:p>
      <w:pPr>
        <w:pageBreakBefore w:val="0"/>
        <w:widowControl w:val="0"/>
        <w:kinsoku/>
        <w:wordWrap/>
        <w:overflowPunct/>
        <w:topLinePunct w:val="0"/>
        <w:autoSpaceDE/>
        <w:autoSpaceDN/>
        <w:bidi w:val="0"/>
        <w:spacing w:line="400" w:lineRule="exact"/>
        <w:ind w:left="458" w:leftChars="218"/>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29.2 提交质疑书需携带以下资料：</w:t>
      </w:r>
    </w:p>
    <w:p>
      <w:pPr>
        <w:pageBreakBefore w:val="0"/>
        <w:widowControl w:val="0"/>
        <w:kinsoku/>
        <w:wordWrap/>
        <w:overflowPunct/>
        <w:topLinePunct w:val="0"/>
        <w:autoSpaceDE/>
        <w:autoSpaceDN/>
        <w:bidi w:val="0"/>
        <w:spacing w:line="400" w:lineRule="exact"/>
        <w:ind w:left="458" w:leftChars="218"/>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29.2.1加盖公章的营业执照副本复印件；</w:t>
      </w:r>
    </w:p>
    <w:p>
      <w:pPr>
        <w:pageBreakBefore w:val="0"/>
        <w:widowControl w:val="0"/>
        <w:kinsoku/>
        <w:wordWrap/>
        <w:overflowPunct/>
        <w:topLinePunct w:val="0"/>
        <w:autoSpaceDE/>
        <w:autoSpaceDN/>
        <w:bidi w:val="0"/>
        <w:spacing w:line="400" w:lineRule="exact"/>
        <w:ind w:firstLine="480" w:firstLineChars="200"/>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29.2.2法定代表人针对本项目的专项授权书（须经法定代表人签字并加盖法人章和单位公章）及被授权人身份证复印件（查看原件）；法定代表人提交质疑书须提交其身份证复印件（查看原件）。</w:t>
      </w:r>
    </w:p>
    <w:p>
      <w:pPr>
        <w:pageBreakBefore w:val="0"/>
        <w:widowControl w:val="0"/>
        <w:kinsoku/>
        <w:wordWrap/>
        <w:overflowPunct/>
        <w:topLinePunct w:val="0"/>
        <w:autoSpaceDE/>
        <w:autoSpaceDN/>
        <w:bidi w:val="0"/>
        <w:spacing w:line="400" w:lineRule="exact"/>
        <w:ind w:left="458" w:leftChars="218"/>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29.3质疑书应该包含以下主要内容：</w:t>
      </w:r>
    </w:p>
    <w:p>
      <w:pPr>
        <w:pageBreakBefore w:val="0"/>
        <w:widowControl w:val="0"/>
        <w:kinsoku/>
        <w:wordWrap/>
        <w:overflowPunct/>
        <w:topLinePunct w:val="0"/>
        <w:autoSpaceDE/>
        <w:autoSpaceDN/>
        <w:bidi w:val="0"/>
        <w:spacing w:line="400" w:lineRule="exact"/>
        <w:ind w:firstLine="480" w:firstLineChars="200"/>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29.3.1质疑供应商的基本情况信息：名称、地址、法定代表人、委托代理人、电话、邮编。</w:t>
      </w:r>
    </w:p>
    <w:p>
      <w:pPr>
        <w:pageBreakBefore w:val="0"/>
        <w:widowControl w:val="0"/>
        <w:kinsoku/>
        <w:wordWrap/>
        <w:overflowPunct/>
        <w:topLinePunct w:val="0"/>
        <w:autoSpaceDE/>
        <w:autoSpaceDN/>
        <w:bidi w:val="0"/>
        <w:spacing w:line="400" w:lineRule="exact"/>
        <w:ind w:firstLine="480" w:firstLineChars="200"/>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29.3.2所质疑的政府采购项目的信息：包含采购人或者采购代理机构名称、项目名称、包（标段）、编号。</w:t>
      </w:r>
    </w:p>
    <w:p>
      <w:pPr>
        <w:pageBreakBefore w:val="0"/>
        <w:widowControl w:val="0"/>
        <w:kinsoku/>
        <w:wordWrap/>
        <w:overflowPunct/>
        <w:topLinePunct w:val="0"/>
        <w:autoSpaceDE/>
        <w:autoSpaceDN/>
        <w:bidi w:val="0"/>
        <w:spacing w:line="400" w:lineRule="exact"/>
        <w:ind w:firstLine="480" w:firstLineChars="200"/>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29.3.3具体的质疑事项。质疑事项不得超出法定范围并且与质疑供应商有利害关系。</w:t>
      </w:r>
    </w:p>
    <w:p>
      <w:pPr>
        <w:pageBreakBefore w:val="0"/>
        <w:widowControl w:val="0"/>
        <w:kinsoku/>
        <w:wordWrap/>
        <w:overflowPunct/>
        <w:topLinePunct w:val="0"/>
        <w:autoSpaceDE/>
        <w:autoSpaceDN/>
        <w:bidi w:val="0"/>
        <w:spacing w:line="400" w:lineRule="exact"/>
        <w:ind w:firstLine="480" w:firstLineChars="200"/>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29.3.4明确、具体的质疑请求。</w:t>
      </w:r>
    </w:p>
    <w:p>
      <w:pPr>
        <w:pageBreakBefore w:val="0"/>
        <w:widowControl w:val="0"/>
        <w:kinsoku/>
        <w:wordWrap/>
        <w:overflowPunct/>
        <w:topLinePunct w:val="0"/>
        <w:autoSpaceDE/>
        <w:autoSpaceDN/>
        <w:bidi w:val="0"/>
        <w:spacing w:line="400" w:lineRule="exact"/>
        <w:ind w:firstLine="480" w:firstLineChars="200"/>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29.3.5质疑所依据的事实、理由和法律依据及证明材料。</w:t>
      </w:r>
    </w:p>
    <w:p>
      <w:pPr>
        <w:pageBreakBefore w:val="0"/>
        <w:widowControl w:val="0"/>
        <w:kinsoku/>
        <w:wordWrap/>
        <w:overflowPunct/>
        <w:topLinePunct w:val="0"/>
        <w:autoSpaceDE/>
        <w:autoSpaceDN/>
        <w:bidi w:val="0"/>
        <w:spacing w:line="400" w:lineRule="exact"/>
        <w:ind w:left="458" w:leftChars="218"/>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29.3.6质疑书需要加盖质疑供应商公章并经法定代表人签字和盖章。</w:t>
      </w:r>
    </w:p>
    <w:p>
      <w:pPr>
        <w:pageBreakBefore w:val="0"/>
        <w:widowControl w:val="0"/>
        <w:kinsoku/>
        <w:wordWrap/>
        <w:overflowPunct/>
        <w:topLinePunct w:val="0"/>
        <w:autoSpaceDE/>
        <w:autoSpaceDN/>
        <w:bidi w:val="0"/>
        <w:spacing w:line="400" w:lineRule="exact"/>
        <w:ind w:left="458" w:leftChars="218"/>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29.4有下列情形之一的，属于无效质疑，采购代理机构和采购人不予受理：</w:t>
      </w:r>
    </w:p>
    <w:p>
      <w:pPr>
        <w:pageBreakBefore w:val="0"/>
        <w:widowControl w:val="0"/>
        <w:kinsoku/>
        <w:wordWrap/>
        <w:overflowPunct/>
        <w:topLinePunct w:val="0"/>
        <w:autoSpaceDE/>
        <w:autoSpaceDN/>
        <w:bidi w:val="0"/>
        <w:spacing w:line="400" w:lineRule="exact"/>
        <w:ind w:left="458" w:leftChars="218"/>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29.4.1质疑供应商不是参与本次政府采购项目的供应商；</w:t>
      </w:r>
    </w:p>
    <w:p>
      <w:pPr>
        <w:pageBreakBefore w:val="0"/>
        <w:widowControl w:val="0"/>
        <w:kinsoku/>
        <w:wordWrap/>
        <w:overflowPunct/>
        <w:topLinePunct w:val="0"/>
        <w:autoSpaceDE/>
        <w:autoSpaceDN/>
        <w:bidi w:val="0"/>
        <w:spacing w:line="400" w:lineRule="exact"/>
        <w:ind w:left="458" w:leftChars="218"/>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29.4.2质疑供应商与质疑事项不存在利害关系的；</w:t>
      </w:r>
    </w:p>
    <w:p>
      <w:pPr>
        <w:pageBreakBefore w:val="0"/>
        <w:widowControl w:val="0"/>
        <w:kinsoku/>
        <w:wordWrap/>
        <w:overflowPunct/>
        <w:topLinePunct w:val="0"/>
        <w:autoSpaceDE/>
        <w:autoSpaceDN/>
        <w:bidi w:val="0"/>
        <w:spacing w:line="400" w:lineRule="exact"/>
        <w:ind w:left="458" w:leftChars="218"/>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29.4.3未在法定期限内提出质疑的；</w:t>
      </w:r>
    </w:p>
    <w:p>
      <w:pPr>
        <w:pageBreakBefore w:val="0"/>
        <w:widowControl w:val="0"/>
        <w:kinsoku/>
        <w:wordWrap/>
        <w:overflowPunct/>
        <w:topLinePunct w:val="0"/>
        <w:autoSpaceDE/>
        <w:autoSpaceDN/>
        <w:bidi w:val="0"/>
        <w:spacing w:line="400" w:lineRule="exact"/>
        <w:ind w:left="458" w:leftChars="218"/>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29.4.4质疑未以书面形式提出，或质疑书主要内容构成不完整的；</w:t>
      </w:r>
    </w:p>
    <w:p>
      <w:pPr>
        <w:pageBreakBefore w:val="0"/>
        <w:widowControl w:val="0"/>
        <w:kinsoku/>
        <w:wordWrap/>
        <w:overflowPunct/>
        <w:topLinePunct w:val="0"/>
        <w:autoSpaceDE/>
        <w:autoSpaceDN/>
        <w:bidi w:val="0"/>
        <w:spacing w:line="400" w:lineRule="exact"/>
        <w:ind w:left="458" w:leftChars="218"/>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29.4.5质疑书没有合法有效的签字、盖章或授权的；</w:t>
      </w:r>
    </w:p>
    <w:p>
      <w:pPr>
        <w:pageBreakBefore w:val="0"/>
        <w:widowControl w:val="0"/>
        <w:kinsoku/>
        <w:wordWrap/>
        <w:overflowPunct/>
        <w:topLinePunct w:val="0"/>
        <w:autoSpaceDE/>
        <w:autoSpaceDN/>
        <w:bidi w:val="0"/>
        <w:spacing w:line="400" w:lineRule="exact"/>
        <w:ind w:left="458" w:leftChars="218"/>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29.4.6以非法手段取得证据、材料的；</w:t>
      </w:r>
    </w:p>
    <w:p>
      <w:pPr>
        <w:pageBreakBefore w:val="0"/>
        <w:widowControl w:val="0"/>
        <w:kinsoku/>
        <w:wordWrap/>
        <w:overflowPunct/>
        <w:topLinePunct w:val="0"/>
        <w:autoSpaceDE/>
        <w:autoSpaceDN/>
        <w:bidi w:val="0"/>
        <w:spacing w:line="400" w:lineRule="exact"/>
        <w:ind w:left="458" w:leftChars="218"/>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29.4.7质疑答复后，同一质疑人就同一事项再次提出质疑的；</w:t>
      </w:r>
    </w:p>
    <w:p>
      <w:pPr>
        <w:pageBreakBefore w:val="0"/>
        <w:widowControl w:val="0"/>
        <w:kinsoku/>
        <w:wordWrap/>
        <w:overflowPunct/>
        <w:topLinePunct w:val="0"/>
        <w:autoSpaceDE/>
        <w:autoSpaceDN/>
        <w:bidi w:val="0"/>
        <w:spacing w:line="400" w:lineRule="exact"/>
        <w:ind w:left="458" w:leftChars="218"/>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29.4.8不符合法律、法规、规章和政府采购监管机构规定的其他条件的。</w:t>
      </w:r>
    </w:p>
    <w:p>
      <w:pPr>
        <w:pageBreakBefore w:val="0"/>
        <w:widowControl w:val="0"/>
        <w:kinsoku/>
        <w:wordWrap/>
        <w:overflowPunct/>
        <w:topLinePunct w:val="0"/>
        <w:autoSpaceDE/>
        <w:autoSpaceDN/>
        <w:bidi w:val="0"/>
        <w:spacing w:line="400" w:lineRule="exact"/>
        <w:ind w:left="458" w:leftChars="218"/>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29.5质疑答复</w:t>
      </w:r>
      <w:r>
        <w:rPr>
          <w:rStyle w:val="38"/>
          <w:rFonts w:hint="eastAsia" w:ascii="宋体" w:hAnsi="宋体" w:eastAsia="宋体" w:cs="宋体"/>
          <w:b w:val="0"/>
          <w:color w:val="000000"/>
          <w:sz w:val="24"/>
          <w:szCs w:val="24"/>
          <w:shd w:val="clear" w:color="auto" w:fill="FFFFFF"/>
        </w:rPr>
        <w:tab/>
      </w:r>
    </w:p>
    <w:p>
      <w:pPr>
        <w:pageBreakBefore w:val="0"/>
        <w:widowControl w:val="0"/>
        <w:kinsoku/>
        <w:wordWrap/>
        <w:overflowPunct/>
        <w:topLinePunct w:val="0"/>
        <w:autoSpaceDE/>
        <w:autoSpaceDN/>
        <w:bidi w:val="0"/>
        <w:spacing w:line="400" w:lineRule="exact"/>
        <w:ind w:left="458" w:leftChars="218"/>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采购人或采购代理机构在收到供应商的书面质疑后将按规定的时间进行回复。</w:t>
      </w:r>
    </w:p>
    <w:p>
      <w:pPr>
        <w:pageBreakBefore w:val="0"/>
        <w:widowControl w:val="0"/>
        <w:kinsoku/>
        <w:wordWrap/>
        <w:overflowPunct/>
        <w:topLinePunct w:val="0"/>
        <w:autoSpaceDE/>
        <w:autoSpaceDN/>
        <w:bidi w:val="0"/>
        <w:spacing w:line="400" w:lineRule="exact"/>
        <w:ind w:firstLine="480" w:firstLineChars="200"/>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29.6供应商应在法定期限内以书面形式提出质疑。</w:t>
      </w:r>
    </w:p>
    <w:p>
      <w:pPr>
        <w:pageBreakBefore w:val="0"/>
        <w:widowControl w:val="0"/>
        <w:kinsoku/>
        <w:wordWrap/>
        <w:overflowPunct/>
        <w:topLinePunct w:val="0"/>
        <w:autoSpaceDE/>
        <w:autoSpaceDN/>
        <w:bidi w:val="0"/>
        <w:spacing w:line="400" w:lineRule="exact"/>
        <w:ind w:left="458" w:leftChars="218"/>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29.7投诉</w:t>
      </w:r>
    </w:p>
    <w:p>
      <w:pPr>
        <w:pageBreakBefore w:val="0"/>
        <w:widowControl w:val="0"/>
        <w:kinsoku/>
        <w:wordWrap/>
        <w:overflowPunct/>
        <w:topLinePunct w:val="0"/>
        <w:autoSpaceDE/>
        <w:autoSpaceDN/>
        <w:bidi w:val="0"/>
        <w:spacing w:line="400" w:lineRule="exact"/>
        <w:ind w:firstLine="480" w:firstLineChars="200"/>
        <w:textAlignment w:val="auto"/>
        <w:rPr>
          <w:rStyle w:val="38"/>
          <w:rFonts w:hint="eastAsia" w:ascii="宋体" w:hAnsi="宋体" w:eastAsia="宋体" w:cs="宋体"/>
          <w:b w:val="0"/>
          <w:color w:val="000000"/>
          <w:sz w:val="24"/>
          <w:szCs w:val="24"/>
          <w:shd w:val="clear" w:color="auto" w:fill="FFFFFF"/>
        </w:rPr>
      </w:pPr>
      <w:r>
        <w:rPr>
          <w:rStyle w:val="38"/>
          <w:rFonts w:hint="eastAsia" w:ascii="宋体" w:hAnsi="宋体" w:eastAsia="宋体" w:cs="宋体"/>
          <w:b w:val="0"/>
          <w:color w:val="000000"/>
          <w:sz w:val="24"/>
          <w:szCs w:val="24"/>
          <w:shd w:val="clear" w:color="auto" w:fill="FFFFFF"/>
        </w:rPr>
        <w:t>质疑供应商对采购人、采购代理机构的答复不满意或者采购人、采购代理机构未在规定的时间内作出答复的，可按《政府采购法》第55条和《政府采购质疑和投诉办法》（财政部令第94号）第17条等有关规定执行。</w:t>
      </w:r>
    </w:p>
    <w:p>
      <w:pPr>
        <w:pageBreakBefore w:val="0"/>
        <w:widowControl w:val="0"/>
        <w:kinsoku/>
        <w:wordWrap/>
        <w:overflowPunct/>
        <w:topLinePunct w:val="0"/>
        <w:autoSpaceDE/>
        <w:autoSpaceDN/>
        <w:bidi w:val="0"/>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30.其他</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30.1磋商步骤为：第一次报价---初步评审---分别磋商---第二次报价---综合评审推荐成交候选人。（以供应商递交的磋商响应文件中的总报价为第一次报价。分别磋商后，供应商现场填报的磋商响应总报价为第二次报价）</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30.2当第二次报价全部超过磋商文件规定的采购预算（或最高磋商限价）或均低于公认的制作成本时，磋商小组有权决定是否磋商失败或进行第三次报价。当第三次报价若超出财政预算，且采购人又无力支付，磋商小组有权决定磋商失败。</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30.3采用竞争性磋商采购方式采购的政府购买服务项目（含政府和社会资本合作项目），采购过程中符合要求的供应商（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30.4成交供应商确定后，成交供应商无正当理由拖延或拒签合同的，或未能按照规定的时间提供履约担保（如有），采购人有权取消其成交资格，并按评审顺序重新确定成交供应商。同时报请监督机构予以通报，禁止其进入政府采购市场，并没收其保证金。给采购人造成损失超过磋商保证金额的，供应商还应当对超过部分予以赔偿，并依法承担相应法律责任。</w:t>
      </w:r>
    </w:p>
    <w:p>
      <w:pPr>
        <w:pStyle w:val="19"/>
        <w:pageBreakBefore w:val="0"/>
        <w:widowControl w:val="0"/>
        <w:tabs>
          <w:tab w:val="left" w:pos="0"/>
        </w:tabs>
        <w:kinsoku/>
        <w:wordWrap/>
        <w:overflowPunct/>
        <w:topLinePunct w:val="0"/>
        <w:autoSpaceDE/>
        <w:autoSpaceDN/>
        <w:bidi w:val="0"/>
        <w:spacing w:line="400" w:lineRule="exact"/>
        <w:ind w:left="0" w:leftChars="0" w:firstLine="0" w:firstLineChars="0"/>
        <w:textAlignment w:val="auto"/>
        <w:rPr>
          <w:rFonts w:hint="eastAsia" w:ascii="宋体" w:hAnsi="宋体" w:eastAsia="宋体" w:cs="宋体"/>
          <w:b/>
          <w:sz w:val="24"/>
          <w:szCs w:val="24"/>
        </w:rPr>
      </w:pPr>
      <w:r>
        <w:rPr>
          <w:rFonts w:hint="eastAsia" w:ascii="宋体" w:hAnsi="宋体" w:eastAsia="宋体" w:cs="宋体"/>
          <w:sz w:val="24"/>
          <w:szCs w:val="24"/>
        </w:rPr>
        <w:br w:type="page"/>
      </w:r>
    </w:p>
    <w:p>
      <w:pPr>
        <w:pageBreakBefore w:val="0"/>
        <w:widowControl w:val="0"/>
        <w:kinsoku/>
        <w:wordWrap/>
        <w:overflowPunct/>
        <w:topLinePunct w:val="0"/>
        <w:autoSpaceDE/>
        <w:autoSpaceDN/>
        <w:bidi w:val="0"/>
        <w:spacing w:line="400" w:lineRule="exact"/>
        <w:jc w:val="center"/>
        <w:textAlignment w:val="auto"/>
        <w:outlineLvl w:val="0"/>
        <w:rPr>
          <w:rFonts w:hint="eastAsia" w:ascii="宋体" w:hAnsi="宋体" w:eastAsia="宋体" w:cs="宋体"/>
          <w:b/>
          <w:bCs/>
          <w:sz w:val="30"/>
          <w:szCs w:val="30"/>
          <w:lang w:val="en-US" w:eastAsia="zh-CN"/>
        </w:rPr>
      </w:pPr>
      <w:bookmarkStart w:id="27" w:name="_Toc13172"/>
      <w:bookmarkStart w:id="28" w:name="_Toc23489"/>
      <w:bookmarkStart w:id="29" w:name="_Toc31851"/>
      <w:bookmarkStart w:id="30" w:name="_Toc18832"/>
      <w:bookmarkStart w:id="31" w:name="_Toc980"/>
      <w:bookmarkStart w:id="32" w:name="_Toc15056"/>
      <w:bookmarkStart w:id="33" w:name="_Toc6571"/>
      <w:bookmarkStart w:id="34" w:name="_Toc11970"/>
      <w:bookmarkStart w:id="35" w:name="_Toc15181"/>
      <w:bookmarkStart w:id="36" w:name="_Toc2467"/>
      <w:bookmarkStart w:id="37" w:name="_Toc16107"/>
      <w:bookmarkStart w:id="38" w:name="_Toc13146"/>
      <w:bookmarkStart w:id="39" w:name="_Toc20481"/>
      <w:bookmarkStart w:id="40" w:name="_Toc2711"/>
      <w:bookmarkStart w:id="41" w:name="_Toc11450"/>
      <w:bookmarkStart w:id="42" w:name="_Toc23856"/>
      <w:bookmarkStart w:id="43" w:name="_Toc1025"/>
      <w:bookmarkStart w:id="44" w:name="_Toc389582038"/>
      <w:bookmarkStart w:id="45" w:name="_Toc4053"/>
      <w:bookmarkStart w:id="46" w:name="_Toc33212776"/>
      <w:bookmarkStart w:id="47" w:name="_Toc33194718"/>
      <w:bookmarkStart w:id="48" w:name="_Toc33212775"/>
      <w:r>
        <w:rPr>
          <w:rFonts w:hint="eastAsia" w:ascii="宋体" w:hAnsi="宋体" w:eastAsia="宋体" w:cs="宋体"/>
          <w:b/>
          <w:bCs/>
          <w:sz w:val="30"/>
          <w:szCs w:val="30"/>
        </w:rPr>
        <w:t xml:space="preserve">第二章 </w:t>
      </w:r>
      <w:r>
        <w:rPr>
          <w:rFonts w:hint="eastAsia" w:ascii="宋体" w:hAnsi="宋体" w:cs="宋体"/>
          <w:b/>
          <w:bCs/>
          <w:sz w:val="30"/>
          <w:szCs w:val="30"/>
          <w:lang w:val="en-US" w:eastAsia="zh-CN"/>
        </w:rPr>
        <w:t xml:space="preserve">  </w:t>
      </w:r>
      <w:r>
        <w:rPr>
          <w:rFonts w:hint="eastAsia" w:ascii="宋体" w:hAnsi="宋体" w:cs="宋体"/>
          <w:b/>
          <w:bCs/>
          <w:sz w:val="30"/>
          <w:szCs w:val="30"/>
          <w:lang w:eastAsia="zh-CN"/>
        </w:rPr>
        <w:t>项目需求</w:t>
      </w:r>
    </w:p>
    <w:p>
      <w:pPr>
        <w:pageBreakBefore w:val="0"/>
        <w:wordWrap/>
        <w:topLinePunct w:val="0"/>
        <w:bidi w:val="0"/>
        <w:spacing w:line="700" w:lineRule="exact"/>
        <w:jc w:val="left"/>
        <w:rPr>
          <w:rFonts w:hint="eastAsia" w:ascii="宋体" w:hAnsi="宋体" w:eastAsia="宋体" w:cs="宋体"/>
          <w:sz w:val="24"/>
          <w:szCs w:val="24"/>
        </w:rPr>
      </w:pP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538" w:firstLineChars="217"/>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项目要求：</w:t>
      </w:r>
    </w:p>
    <w:p>
      <w:pPr>
        <w:pStyle w:val="2"/>
        <w:keepNext w:val="0"/>
        <w:keepLines w:val="0"/>
        <w:pageBreakBefore w:val="0"/>
        <w:widowControl w:val="0"/>
        <w:kinsoku/>
        <w:wordWrap/>
        <w:overflowPunct/>
        <w:topLinePunct w:val="0"/>
        <w:autoSpaceDE/>
        <w:autoSpaceDN/>
        <w:bidi w:val="0"/>
        <w:adjustRightInd/>
        <w:snapToGrid/>
        <w:spacing w:line="360" w:lineRule="auto"/>
        <w:ind w:left="491" w:leftChars="234" w:firstLine="496" w:firstLineChars="200"/>
        <w:textAlignment w:val="auto"/>
        <w:rPr>
          <w:rFonts w:hint="eastAsia"/>
          <w:color w:val="auto"/>
        </w:rPr>
      </w:pPr>
      <w:r>
        <w:rPr>
          <w:rFonts w:hint="eastAsia" w:ascii="宋体" w:hAnsi="宋体" w:eastAsia="宋体" w:cs="宋体"/>
          <w:color w:val="auto"/>
          <w:spacing w:val="4"/>
          <w:kern w:val="2"/>
          <w:sz w:val="24"/>
          <w:szCs w:val="24"/>
          <w:lang w:val="en-US" w:eastAsia="zh-CN" w:bidi="ar-SA"/>
        </w:rPr>
        <w:t>编制总体防护方案及人民防空工程建设总体和分区结构方案；与总体规划相适应的城市人民防空工程总体规模、防护标准、配套布局，尤其是近期人防工程建设方案；重要防护目标的人民防空工程建设方案；城市新建居住小区、旧城改造区的人民防空建设方案；城市人防工程建设的政策性指导意见和建议，合理确定人防工程配建原则，合理规划人防工程拟配建面积、战时用途、抗力等指标。</w:t>
      </w:r>
    </w:p>
    <w:p>
      <w:pPr>
        <w:pStyle w:val="2"/>
        <w:widowControl w:val="0"/>
        <w:numPr>
          <w:ilvl w:val="0"/>
          <w:numId w:val="0"/>
        </w:numPr>
        <w:jc w:val="both"/>
        <w:rPr>
          <w:rFonts w:hint="eastAsia"/>
        </w:rPr>
      </w:pPr>
    </w:p>
    <w:p>
      <w:pPr>
        <w:pStyle w:val="2"/>
        <w:widowControl w:val="0"/>
        <w:numPr>
          <w:ilvl w:val="0"/>
          <w:numId w:val="0"/>
        </w:numPr>
        <w:jc w:val="both"/>
        <w:rPr>
          <w:rFonts w:hint="eastAsia"/>
          <w:color w:val="auto"/>
        </w:rPr>
      </w:pPr>
    </w:p>
    <w:p>
      <w:pPr>
        <w:keepNext w:val="0"/>
        <w:keepLines w:val="0"/>
        <w:pageBreakBefore w:val="0"/>
        <w:widowControl w:val="0"/>
        <w:kinsoku/>
        <w:wordWrap/>
        <w:overflowPunct/>
        <w:topLinePunct w:val="0"/>
        <w:autoSpaceDE/>
        <w:autoSpaceDN/>
        <w:bidi w:val="0"/>
        <w:adjustRightInd/>
        <w:snapToGrid/>
        <w:spacing w:line="400" w:lineRule="exact"/>
        <w:ind w:firstLine="538" w:firstLineChars="217"/>
        <w:textAlignment w:val="auto"/>
        <w:rPr>
          <w:rFonts w:hint="eastAsia" w:ascii="宋体" w:hAnsi="宋体" w:eastAsia="宋体" w:cs="宋体"/>
          <w:color w:val="auto"/>
          <w:spacing w:val="4"/>
          <w:sz w:val="24"/>
          <w:szCs w:val="24"/>
          <w:lang w:eastAsia="zh-CN"/>
        </w:rPr>
      </w:pPr>
      <w:r>
        <w:rPr>
          <w:rFonts w:hint="eastAsia" w:ascii="宋体" w:hAnsi="宋体" w:eastAsia="宋体" w:cs="宋体"/>
          <w:color w:val="auto"/>
          <w:spacing w:val="4"/>
          <w:sz w:val="24"/>
          <w:szCs w:val="24"/>
        </w:rPr>
        <w:t>二、付款方式</w:t>
      </w:r>
      <w:r>
        <w:rPr>
          <w:rFonts w:hint="eastAsia" w:ascii="宋体" w:hAnsi="宋体" w:eastAsia="宋体" w:cs="宋体"/>
          <w:color w:val="auto"/>
          <w:spacing w:val="4"/>
          <w:sz w:val="24"/>
          <w:szCs w:val="24"/>
        </w:rPr>
        <w:br w:type="textWrapping"/>
      </w:r>
      <w:r>
        <w:rPr>
          <w:rFonts w:hint="eastAsia" w:ascii="宋体" w:hAnsi="宋体" w:eastAsia="宋体" w:cs="宋体"/>
          <w:color w:val="auto"/>
          <w:spacing w:val="4"/>
          <w:sz w:val="24"/>
          <w:szCs w:val="24"/>
        </w:rPr>
        <w:t xml:space="preserve">   </w:t>
      </w:r>
      <w:bookmarkStart w:id="49" w:name="_Toc2734"/>
      <w:r>
        <w:rPr>
          <w:rFonts w:hint="eastAsia" w:ascii="宋体" w:hAnsi="宋体" w:eastAsia="宋体" w:cs="宋体"/>
          <w:color w:val="auto"/>
          <w:spacing w:val="4"/>
          <w:sz w:val="24"/>
          <w:szCs w:val="24"/>
        </w:rPr>
        <w:t xml:space="preserve"> 1、项目合同签订后进场支付合同价款的30%，项目野外工作完成后转入室内资料整理阶段支付合同价款的</w:t>
      </w:r>
      <w:r>
        <w:rPr>
          <w:rFonts w:hint="eastAsia" w:ascii="宋体" w:hAnsi="宋体" w:cs="宋体"/>
          <w:color w:val="auto"/>
          <w:spacing w:val="4"/>
          <w:sz w:val="24"/>
          <w:szCs w:val="24"/>
          <w:lang w:val="en-US" w:eastAsia="zh-CN"/>
        </w:rPr>
        <w:t>2</w:t>
      </w:r>
      <w:r>
        <w:rPr>
          <w:rFonts w:hint="eastAsia" w:ascii="宋体" w:hAnsi="宋体" w:eastAsia="宋体" w:cs="宋体"/>
          <w:color w:val="auto"/>
          <w:spacing w:val="4"/>
          <w:sz w:val="24"/>
          <w:szCs w:val="24"/>
        </w:rPr>
        <w:t>0%，项目提交送审报告后支付合同价款的</w:t>
      </w:r>
      <w:r>
        <w:rPr>
          <w:rFonts w:hint="eastAsia" w:ascii="宋体" w:hAnsi="宋体" w:cs="宋体"/>
          <w:color w:val="auto"/>
          <w:spacing w:val="4"/>
          <w:sz w:val="24"/>
          <w:szCs w:val="24"/>
          <w:lang w:val="en-US" w:eastAsia="zh-CN"/>
        </w:rPr>
        <w:t>3</w:t>
      </w:r>
      <w:r>
        <w:rPr>
          <w:rFonts w:hint="eastAsia" w:ascii="宋体" w:hAnsi="宋体" w:eastAsia="宋体" w:cs="宋体"/>
          <w:color w:val="auto"/>
          <w:spacing w:val="4"/>
          <w:sz w:val="24"/>
          <w:szCs w:val="24"/>
          <w:lang w:val="en-US" w:eastAsia="zh-CN"/>
        </w:rPr>
        <w:t>0%</w:t>
      </w:r>
      <w:r>
        <w:rPr>
          <w:rFonts w:hint="eastAsia" w:ascii="宋体" w:hAnsi="宋体" w:cs="宋体"/>
          <w:color w:val="auto"/>
          <w:spacing w:val="4"/>
          <w:sz w:val="24"/>
          <w:szCs w:val="24"/>
          <w:lang w:val="en-US" w:eastAsia="zh-CN"/>
        </w:rPr>
        <w:t>，</w:t>
      </w:r>
      <w:r>
        <w:rPr>
          <w:rFonts w:hint="eastAsia" w:ascii="宋体" w:hAnsi="宋体" w:eastAsia="宋体" w:cs="宋体"/>
          <w:color w:val="auto"/>
          <w:spacing w:val="4"/>
          <w:sz w:val="24"/>
          <w:szCs w:val="24"/>
        </w:rPr>
        <w:t>报告通过相关专家的审查，根据审查意见提交成果资料并验收合格后支付合同价款的</w:t>
      </w:r>
      <w:r>
        <w:rPr>
          <w:rFonts w:hint="eastAsia" w:ascii="宋体" w:hAnsi="宋体" w:cs="宋体"/>
          <w:color w:val="auto"/>
          <w:spacing w:val="4"/>
          <w:sz w:val="24"/>
          <w:szCs w:val="24"/>
          <w:lang w:val="en-US" w:eastAsia="zh-CN"/>
        </w:rPr>
        <w:t>2</w:t>
      </w:r>
      <w:r>
        <w:rPr>
          <w:rFonts w:hint="eastAsia" w:ascii="宋体" w:hAnsi="宋体" w:eastAsia="宋体" w:cs="宋体"/>
          <w:color w:val="auto"/>
          <w:spacing w:val="4"/>
          <w:sz w:val="24"/>
          <w:szCs w:val="24"/>
          <w:lang w:val="en-US" w:eastAsia="zh-CN"/>
        </w:rPr>
        <w:t>0%</w:t>
      </w:r>
      <w:r>
        <w:rPr>
          <w:rFonts w:hint="eastAsia" w:ascii="宋体" w:hAnsi="宋体" w:eastAsia="宋体" w:cs="宋体"/>
          <w:color w:val="auto"/>
          <w:spacing w:val="4"/>
          <w:sz w:val="24"/>
          <w:szCs w:val="24"/>
        </w:rPr>
        <w:t>。</w:t>
      </w:r>
      <w:r>
        <w:rPr>
          <w:rFonts w:hint="eastAsia" w:ascii="宋体" w:hAnsi="宋体" w:cs="宋体"/>
          <w:color w:val="auto"/>
          <w:spacing w:val="4"/>
          <w:sz w:val="24"/>
          <w:szCs w:val="24"/>
          <w:lang w:eastAsia="zh-CN"/>
        </w:rPr>
        <w:t>（具体以签订合同为准）</w:t>
      </w:r>
    </w:p>
    <w:p>
      <w:pPr>
        <w:pageBreakBefore w:val="0"/>
        <w:wordWrap/>
        <w:topLinePunct w:val="0"/>
        <w:bidi w:val="0"/>
        <w:spacing w:line="700" w:lineRule="exact"/>
        <w:rPr>
          <w:rFonts w:hint="eastAsia" w:ascii="宋体" w:hAnsi="宋体" w:eastAsia="宋体" w:cs="宋体"/>
          <w:b/>
          <w:bCs/>
          <w:sz w:val="24"/>
          <w:szCs w:val="24"/>
        </w:rPr>
      </w:pPr>
      <w:r>
        <w:rPr>
          <w:rFonts w:hint="eastAsia" w:ascii="宋体" w:hAnsi="宋体" w:eastAsia="宋体" w:cs="宋体"/>
          <w:b/>
          <w:bCs/>
          <w:sz w:val="24"/>
          <w:szCs w:val="24"/>
        </w:rPr>
        <w:br w:type="page"/>
      </w:r>
    </w:p>
    <w:p>
      <w:pPr>
        <w:pageBreakBefore w:val="0"/>
        <w:wordWrap/>
        <w:topLinePunct w:val="0"/>
        <w:bidi w:val="0"/>
        <w:spacing w:line="400" w:lineRule="exact"/>
        <w:ind w:firstLine="3132" w:firstLineChars="1300"/>
        <w:outlineLvl w:val="0"/>
        <w:rPr>
          <w:rFonts w:hint="eastAsia" w:ascii="宋体" w:hAnsi="宋体" w:eastAsia="宋体" w:cs="宋体"/>
          <w:b/>
          <w:bCs/>
          <w:sz w:val="24"/>
          <w:szCs w:val="24"/>
        </w:rPr>
      </w:pPr>
      <w:r>
        <w:rPr>
          <w:rFonts w:hint="eastAsia" w:ascii="宋体" w:hAnsi="宋体" w:eastAsia="宋体" w:cs="宋体"/>
          <w:b/>
          <w:bCs/>
          <w:sz w:val="24"/>
          <w:szCs w:val="24"/>
        </w:rPr>
        <w:t>第五章  评审方法</w:t>
      </w:r>
      <w:bookmarkEnd w:id="27"/>
      <w:bookmarkEnd w:id="28"/>
      <w:bookmarkEnd w:id="29"/>
      <w:bookmarkEnd w:id="30"/>
      <w:bookmarkEnd w:id="31"/>
      <w:bookmarkEnd w:id="32"/>
      <w:bookmarkEnd w:id="33"/>
      <w:bookmarkEnd w:id="34"/>
      <w:bookmarkEnd w:id="35"/>
      <w:bookmarkEnd w:id="36"/>
      <w:bookmarkEnd w:id="37"/>
      <w:bookmarkEnd w:id="38"/>
      <w:bookmarkEnd w:id="49"/>
    </w:p>
    <w:bookmarkEnd w:id="39"/>
    <w:bookmarkEnd w:id="40"/>
    <w:bookmarkEnd w:id="41"/>
    <w:bookmarkEnd w:id="42"/>
    <w:bookmarkEnd w:id="43"/>
    <w:bookmarkEnd w:id="44"/>
    <w:bookmarkEnd w:id="45"/>
    <w:p>
      <w:pPr>
        <w:pageBreakBefore w:val="0"/>
        <w:wordWrap/>
        <w:topLinePunct w:val="0"/>
        <w:bidi w:val="0"/>
        <w:spacing w:line="400" w:lineRule="exact"/>
        <w:rPr>
          <w:rFonts w:hint="eastAsia" w:ascii="宋体" w:hAnsi="宋体" w:eastAsia="宋体" w:cs="宋体"/>
          <w:b/>
          <w:sz w:val="24"/>
          <w:szCs w:val="24"/>
        </w:rPr>
      </w:pPr>
      <w:r>
        <w:rPr>
          <w:rFonts w:hint="eastAsia" w:ascii="宋体" w:hAnsi="宋体" w:eastAsia="宋体" w:cs="宋体"/>
          <w:b/>
          <w:sz w:val="24"/>
          <w:szCs w:val="24"/>
        </w:rPr>
        <w:t>一．评审方法：</w:t>
      </w:r>
    </w:p>
    <w:p>
      <w:pPr>
        <w:pageBreakBefore w:val="0"/>
        <w:wordWrap/>
        <w:topLinePunct w:val="0"/>
        <w:bidi w:val="0"/>
        <w:spacing w:line="400" w:lineRule="exact"/>
        <w:ind w:firstLine="538" w:firstLineChars="217"/>
        <w:rPr>
          <w:rFonts w:hint="eastAsia" w:ascii="宋体" w:hAnsi="宋体" w:eastAsia="宋体" w:cs="宋体"/>
          <w:spacing w:val="4"/>
          <w:sz w:val="24"/>
          <w:szCs w:val="24"/>
        </w:rPr>
      </w:pPr>
      <w:r>
        <w:rPr>
          <w:rFonts w:hint="eastAsia" w:ascii="宋体" w:hAnsi="宋体" w:eastAsia="宋体" w:cs="宋体"/>
          <w:spacing w:val="4"/>
          <w:sz w:val="24"/>
          <w:szCs w:val="24"/>
        </w:rPr>
        <w:t>按照《中华人民共和国政府采购法》及实施条例和</w:t>
      </w:r>
      <w:r>
        <w:rPr>
          <w:rFonts w:hint="eastAsia" w:ascii="宋体" w:hAnsi="宋体" w:eastAsia="宋体" w:cs="宋体"/>
          <w:sz w:val="24"/>
          <w:szCs w:val="24"/>
        </w:rPr>
        <w:t>财政部关于《政府采购竞争性磋商采购方式管理暂行办法》有关问题的补充通知（财库〔2015〕124号）、财政部</w:t>
      </w:r>
      <w:r>
        <w:rPr>
          <w:rFonts w:hint="eastAsia" w:ascii="宋体" w:hAnsi="宋体" w:eastAsia="宋体" w:cs="宋体"/>
          <w:spacing w:val="4"/>
          <w:sz w:val="24"/>
          <w:szCs w:val="24"/>
        </w:rPr>
        <w:t>关于印发《政府采购竞争性磋商采购方式管理暂行办法》的通知（财库【2014】214号）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pPr>
        <w:pageBreakBefore w:val="0"/>
        <w:wordWrap/>
        <w:topLinePunct w:val="0"/>
        <w:bidi w:val="0"/>
        <w:spacing w:line="400" w:lineRule="exact"/>
        <w:rPr>
          <w:rFonts w:hint="eastAsia" w:ascii="宋体" w:hAnsi="宋体" w:eastAsia="宋体" w:cs="宋体"/>
          <w:b/>
          <w:sz w:val="24"/>
          <w:szCs w:val="24"/>
        </w:rPr>
      </w:pPr>
      <w:r>
        <w:rPr>
          <w:rFonts w:hint="eastAsia" w:ascii="宋体" w:hAnsi="宋体" w:eastAsia="宋体" w:cs="宋体"/>
          <w:b/>
          <w:sz w:val="24"/>
          <w:szCs w:val="24"/>
        </w:rPr>
        <w:t>二、评审程序：</w:t>
      </w:r>
    </w:p>
    <w:p>
      <w:pPr>
        <w:pStyle w:val="31"/>
        <w:pageBreakBefore w:val="0"/>
        <w:wordWrap/>
        <w:topLinePunct w:val="0"/>
        <w:bidi w:val="0"/>
        <w:spacing w:line="4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按照竞争性磋商响应文件初审、澄清有关问题、分别磋商、二次报价、比较与评审、推荐成交候选人名单。在上一步评审中被认定为无效磋商者，不进入下一步的评审。</w:t>
      </w:r>
    </w:p>
    <w:p>
      <w:pPr>
        <w:pageBreakBefore w:val="0"/>
        <w:numPr>
          <w:ilvl w:val="0"/>
          <w:numId w:val="6"/>
        </w:numPr>
        <w:wordWrap/>
        <w:topLinePunct w:val="0"/>
        <w:bidi w:val="0"/>
        <w:spacing w:line="400" w:lineRule="exact"/>
        <w:ind w:firstLine="498" w:firstLineChars="200"/>
        <w:rPr>
          <w:rFonts w:hint="eastAsia" w:ascii="宋体" w:hAnsi="宋体" w:eastAsia="宋体" w:cs="宋体"/>
          <w:b/>
          <w:bCs/>
          <w:spacing w:val="4"/>
          <w:sz w:val="24"/>
          <w:szCs w:val="24"/>
        </w:rPr>
      </w:pPr>
      <w:r>
        <w:rPr>
          <w:rFonts w:hint="eastAsia" w:ascii="宋体" w:hAnsi="宋体" w:eastAsia="宋体" w:cs="宋体"/>
          <w:b/>
          <w:bCs/>
          <w:spacing w:val="4"/>
          <w:sz w:val="24"/>
          <w:szCs w:val="24"/>
        </w:rPr>
        <w:t>对磋商响应文件的初审：</w:t>
      </w:r>
    </w:p>
    <w:p>
      <w:pPr>
        <w:pageBreakBefore w:val="0"/>
        <w:tabs>
          <w:tab w:val="left" w:pos="0"/>
        </w:tabs>
        <w:wordWrap/>
        <w:topLinePunct w:val="0"/>
        <w:bidi w:val="0"/>
        <w:adjustRightInd w:val="0"/>
        <w:snapToGrid w:val="0"/>
        <w:spacing w:line="400" w:lineRule="exact"/>
        <w:ind w:firstLine="472" w:firstLineChars="196"/>
        <w:rPr>
          <w:rFonts w:hint="eastAsia" w:ascii="宋体" w:hAnsi="宋体" w:eastAsia="宋体" w:cs="宋体"/>
          <w:color w:val="000000"/>
          <w:kern w:val="0"/>
          <w:sz w:val="24"/>
          <w:szCs w:val="24"/>
        </w:rPr>
      </w:pPr>
      <w:r>
        <w:rPr>
          <w:rFonts w:hint="eastAsia" w:ascii="宋体" w:hAnsi="宋体" w:eastAsia="宋体" w:cs="宋体"/>
          <w:b/>
          <w:bCs/>
          <w:color w:val="000000"/>
          <w:sz w:val="24"/>
          <w:szCs w:val="24"/>
        </w:rPr>
        <w:t>1.1资格审查。</w:t>
      </w:r>
      <w:r>
        <w:rPr>
          <w:rFonts w:hint="eastAsia" w:ascii="宋体" w:hAnsi="宋体" w:eastAsia="宋体" w:cs="宋体"/>
          <w:color w:val="000000"/>
          <w:sz w:val="24"/>
          <w:szCs w:val="24"/>
        </w:rPr>
        <w:t>磋商小组将依据磋商响应文件，按照磋商文件第二章“供应商须知”第12.1条所述资格要求进行资格审查，有一项因素不符合审查标准的，供应商不能通过资格审查，其磋商无效</w:t>
      </w:r>
      <w:r>
        <w:rPr>
          <w:rFonts w:hint="eastAsia" w:ascii="宋体" w:hAnsi="宋体" w:eastAsia="宋体" w:cs="宋体"/>
          <w:color w:val="000000"/>
          <w:kern w:val="0"/>
          <w:sz w:val="24"/>
          <w:szCs w:val="24"/>
        </w:rPr>
        <w:t>。有关资格证明材料的证书、证件原件备查。</w:t>
      </w:r>
    </w:p>
    <w:tbl>
      <w:tblPr>
        <w:tblStyle w:val="35"/>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6758"/>
        <w:gridCol w:w="800"/>
        <w:gridCol w:w="850"/>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5" w:type="dxa"/>
            <w:gridSpan w:val="2"/>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项目编号：</w:t>
            </w:r>
          </w:p>
        </w:tc>
        <w:tc>
          <w:tcPr>
            <w:tcW w:w="800" w:type="dxa"/>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1651" w:type="dxa"/>
            <w:gridSpan w:val="2"/>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开标时间：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557" w:type="dxa"/>
            <w:vMerge w:val="restart"/>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6758" w:type="dxa"/>
            <w:vMerge w:val="restart"/>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color w:val="FF0000"/>
                <w:sz w:val="24"/>
                <w:szCs w:val="24"/>
              </w:rPr>
            </w:pPr>
            <w:r>
              <w:rPr>
                <w:rFonts w:hint="eastAsia" w:ascii="宋体" w:hAnsi="宋体" w:eastAsia="宋体" w:cs="宋体"/>
                <w:sz w:val="24"/>
                <w:szCs w:val="24"/>
              </w:rPr>
              <w:t>投标文件审查及响应性</w:t>
            </w:r>
            <w:r>
              <w:rPr>
                <w:rFonts w:hint="eastAsia" w:ascii="宋体" w:hAnsi="宋体" w:eastAsia="宋体" w:cs="宋体"/>
                <w:sz w:val="24"/>
                <w:szCs w:val="24"/>
              </w:rPr>
              <w:br w:type="textWrapping"/>
            </w:r>
            <w:r>
              <w:rPr>
                <w:rFonts w:hint="eastAsia" w:ascii="宋体" w:hAnsi="宋体" w:eastAsia="宋体" w:cs="宋体"/>
                <w:sz w:val="24"/>
                <w:szCs w:val="24"/>
              </w:rPr>
              <w:t>（评审结果为合格/不合格）</w:t>
            </w:r>
          </w:p>
        </w:tc>
        <w:tc>
          <w:tcPr>
            <w:tcW w:w="800" w:type="dxa"/>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850" w:type="dxa"/>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801" w:type="dxa"/>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57" w:type="dxa"/>
            <w:vMerge w:val="continue"/>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p>
        </w:tc>
        <w:tc>
          <w:tcPr>
            <w:tcW w:w="6758" w:type="dxa"/>
            <w:vMerge w:val="continue"/>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color w:val="FF0000"/>
                <w:sz w:val="24"/>
                <w:szCs w:val="24"/>
              </w:rPr>
            </w:pPr>
          </w:p>
        </w:tc>
        <w:tc>
          <w:tcPr>
            <w:tcW w:w="800" w:type="dxa"/>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是否合格</w:t>
            </w:r>
          </w:p>
        </w:tc>
        <w:tc>
          <w:tcPr>
            <w:tcW w:w="850" w:type="dxa"/>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是否合格</w:t>
            </w:r>
          </w:p>
        </w:tc>
        <w:tc>
          <w:tcPr>
            <w:tcW w:w="801" w:type="dxa"/>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57" w:type="dxa"/>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6758" w:type="dxa"/>
            <w:vAlign w:val="center"/>
          </w:tcPr>
          <w:p>
            <w:pPr>
              <w:pageBreakBefore w:val="0"/>
              <w:wordWrap/>
              <w:topLinePunct w:val="0"/>
              <w:autoSpaceDE w:val="0"/>
              <w:autoSpaceDN w:val="0"/>
              <w:bidi w:val="0"/>
              <w:adjustRightInd w:val="0"/>
              <w:spacing w:line="40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具有有效的营业执照副本扫描件（三证合一）；</w:t>
            </w:r>
          </w:p>
        </w:tc>
        <w:tc>
          <w:tcPr>
            <w:tcW w:w="800" w:type="dxa"/>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p>
        </w:tc>
        <w:tc>
          <w:tcPr>
            <w:tcW w:w="850" w:type="dxa"/>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p>
        </w:tc>
        <w:tc>
          <w:tcPr>
            <w:tcW w:w="801" w:type="dxa"/>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dxa"/>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6758" w:type="dxa"/>
            <w:vAlign w:val="center"/>
          </w:tcPr>
          <w:p>
            <w:pPr>
              <w:pageBreakBefore w:val="0"/>
              <w:wordWrap/>
              <w:topLinePunct w:val="0"/>
              <w:bidi w:val="0"/>
              <w:spacing w:line="40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法定代表人授权书及被委托人身份证（法定代表人投标提供法定代表人身份证明及身份证）；</w:t>
            </w:r>
          </w:p>
        </w:tc>
        <w:tc>
          <w:tcPr>
            <w:tcW w:w="800" w:type="dxa"/>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p>
        </w:tc>
        <w:tc>
          <w:tcPr>
            <w:tcW w:w="850" w:type="dxa"/>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p>
        </w:tc>
        <w:tc>
          <w:tcPr>
            <w:tcW w:w="801" w:type="dxa"/>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557" w:type="dxa"/>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6758" w:type="dxa"/>
            <w:vAlign w:val="center"/>
          </w:tcPr>
          <w:p>
            <w:pPr>
              <w:pageBreakBefore w:val="0"/>
              <w:wordWrap/>
              <w:topLinePunct w:val="0"/>
              <w:autoSpaceDE w:val="0"/>
              <w:autoSpaceDN w:val="0"/>
              <w:bidi w:val="0"/>
              <w:adjustRightInd w:val="0"/>
              <w:spacing w:line="40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参加采购活动前三年内，在经营活动中无重大违法声明(受行政主管部门的处罚不能参加投标)；</w:t>
            </w:r>
          </w:p>
        </w:tc>
        <w:tc>
          <w:tcPr>
            <w:tcW w:w="800" w:type="dxa"/>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p>
        </w:tc>
        <w:tc>
          <w:tcPr>
            <w:tcW w:w="850" w:type="dxa"/>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p>
        </w:tc>
        <w:tc>
          <w:tcPr>
            <w:tcW w:w="801" w:type="dxa"/>
            <w:vAlign w:val="center"/>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557" w:type="dxa"/>
            <w:vAlign w:val="center"/>
          </w:tcPr>
          <w:p>
            <w:pPr>
              <w:pageBreakBefore w:val="0"/>
              <w:widowControl/>
              <w:wordWrap/>
              <w:topLinePunct w:val="0"/>
              <w:bidi w:val="0"/>
              <w:spacing w:line="400" w:lineRule="exact"/>
              <w:jc w:val="center"/>
              <w:textAlignment w:val="center"/>
              <w:rPr>
                <w:rFonts w:hint="eastAsia" w:ascii="宋体" w:hAnsi="宋体" w:eastAsia="宋体" w:cs="宋体"/>
                <w:sz w:val="24"/>
                <w:szCs w:val="24"/>
              </w:rPr>
            </w:pPr>
            <w:r>
              <w:rPr>
                <w:rFonts w:hint="eastAsia" w:ascii="宋体" w:hAnsi="宋体" w:eastAsia="宋体" w:cs="宋体"/>
                <w:sz w:val="24"/>
                <w:szCs w:val="24"/>
              </w:rPr>
              <w:t>4</w:t>
            </w:r>
          </w:p>
        </w:tc>
        <w:tc>
          <w:tcPr>
            <w:tcW w:w="6758" w:type="dxa"/>
            <w:vAlign w:val="center"/>
          </w:tcPr>
          <w:p>
            <w:pPr>
              <w:pageBreakBefore w:val="0"/>
              <w:wordWrap/>
              <w:topLinePunct w:val="0"/>
              <w:bidi w:val="0"/>
              <w:spacing w:line="40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有效的工程设计建筑行业（人防工程）</w:t>
            </w:r>
            <w:r>
              <w:rPr>
                <w:rFonts w:hint="eastAsia" w:ascii="宋体" w:hAnsi="宋体" w:cs="宋体"/>
                <w:sz w:val="24"/>
                <w:szCs w:val="24"/>
                <w:lang w:val="en-US" w:eastAsia="zh-CN"/>
              </w:rPr>
              <w:t>甲</w:t>
            </w:r>
            <w:r>
              <w:rPr>
                <w:rFonts w:hint="eastAsia" w:ascii="宋体" w:hAnsi="宋体" w:eastAsia="宋体" w:cs="宋体"/>
                <w:sz w:val="24"/>
                <w:szCs w:val="24"/>
                <w:lang w:val="en-US" w:eastAsia="zh-CN"/>
              </w:rPr>
              <w:t>级资质</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具有相关工作经验，并在人员、设备等方面具有承担本项目的能力；</w:t>
            </w:r>
          </w:p>
        </w:tc>
        <w:tc>
          <w:tcPr>
            <w:tcW w:w="800" w:type="dxa"/>
            <w:vAlign w:val="center"/>
          </w:tcPr>
          <w:p>
            <w:pPr>
              <w:pageBreakBefore w:val="0"/>
              <w:wordWrap/>
              <w:topLinePunct w:val="0"/>
              <w:bidi w:val="0"/>
              <w:spacing w:line="400" w:lineRule="exact"/>
              <w:jc w:val="center"/>
              <w:rPr>
                <w:rFonts w:hint="eastAsia" w:ascii="宋体" w:hAnsi="宋体" w:eastAsia="宋体" w:cs="宋体"/>
                <w:sz w:val="24"/>
                <w:szCs w:val="24"/>
              </w:rPr>
            </w:pPr>
          </w:p>
        </w:tc>
        <w:tc>
          <w:tcPr>
            <w:tcW w:w="850" w:type="dxa"/>
            <w:vAlign w:val="center"/>
          </w:tcPr>
          <w:p>
            <w:pPr>
              <w:pageBreakBefore w:val="0"/>
              <w:wordWrap/>
              <w:topLinePunct w:val="0"/>
              <w:bidi w:val="0"/>
              <w:spacing w:line="400" w:lineRule="exact"/>
              <w:jc w:val="center"/>
              <w:rPr>
                <w:rFonts w:hint="eastAsia" w:ascii="宋体" w:hAnsi="宋体" w:eastAsia="宋体" w:cs="宋体"/>
                <w:sz w:val="24"/>
                <w:szCs w:val="24"/>
              </w:rPr>
            </w:pPr>
          </w:p>
        </w:tc>
        <w:tc>
          <w:tcPr>
            <w:tcW w:w="801" w:type="dxa"/>
            <w:vAlign w:val="center"/>
          </w:tcPr>
          <w:p>
            <w:pPr>
              <w:pageBreakBefore w:val="0"/>
              <w:wordWrap/>
              <w:topLinePunct w:val="0"/>
              <w:bidi w:val="0"/>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557" w:type="dxa"/>
            <w:vAlign w:val="center"/>
          </w:tcPr>
          <w:p>
            <w:pPr>
              <w:pageBreakBefore w:val="0"/>
              <w:widowControl/>
              <w:wordWrap/>
              <w:topLinePunct w:val="0"/>
              <w:bidi w:val="0"/>
              <w:spacing w:line="400" w:lineRule="exact"/>
              <w:jc w:val="center"/>
              <w:textAlignment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5</w:t>
            </w:r>
          </w:p>
        </w:tc>
        <w:tc>
          <w:tcPr>
            <w:tcW w:w="6758" w:type="dxa"/>
            <w:vAlign w:val="center"/>
          </w:tcPr>
          <w:p>
            <w:pPr>
              <w:pageBreakBefore w:val="0"/>
              <w:wordWrap/>
              <w:topLinePunct w:val="0"/>
              <w:bidi w:val="0"/>
              <w:spacing w:line="4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项目负责人须具有二级注册建筑师或</w:t>
            </w:r>
            <w:r>
              <w:rPr>
                <w:rFonts w:hint="eastAsia" w:ascii="宋体" w:hAnsi="宋体" w:cs="宋体"/>
                <w:sz w:val="24"/>
                <w:szCs w:val="24"/>
                <w:lang w:val="en-US" w:eastAsia="zh-CN"/>
              </w:rPr>
              <w:t>一级</w:t>
            </w:r>
            <w:r>
              <w:rPr>
                <w:rFonts w:hint="eastAsia" w:ascii="宋体" w:hAnsi="宋体" w:eastAsia="宋体" w:cs="宋体"/>
                <w:sz w:val="24"/>
                <w:szCs w:val="24"/>
                <w:lang w:val="en-US" w:eastAsia="zh-CN"/>
              </w:rPr>
              <w:t>注册结构工程师资质；</w:t>
            </w:r>
          </w:p>
        </w:tc>
        <w:tc>
          <w:tcPr>
            <w:tcW w:w="800" w:type="dxa"/>
            <w:vAlign w:val="center"/>
          </w:tcPr>
          <w:p>
            <w:pPr>
              <w:pageBreakBefore w:val="0"/>
              <w:wordWrap/>
              <w:topLinePunct w:val="0"/>
              <w:bidi w:val="0"/>
              <w:spacing w:line="400" w:lineRule="exact"/>
              <w:jc w:val="center"/>
              <w:rPr>
                <w:rFonts w:hint="eastAsia" w:ascii="宋体" w:hAnsi="宋体" w:eastAsia="宋体" w:cs="宋体"/>
                <w:sz w:val="24"/>
                <w:szCs w:val="24"/>
              </w:rPr>
            </w:pPr>
          </w:p>
        </w:tc>
        <w:tc>
          <w:tcPr>
            <w:tcW w:w="850" w:type="dxa"/>
            <w:vAlign w:val="center"/>
          </w:tcPr>
          <w:p>
            <w:pPr>
              <w:pageBreakBefore w:val="0"/>
              <w:wordWrap/>
              <w:topLinePunct w:val="0"/>
              <w:bidi w:val="0"/>
              <w:spacing w:line="400" w:lineRule="exact"/>
              <w:jc w:val="center"/>
              <w:rPr>
                <w:rFonts w:hint="eastAsia" w:ascii="宋体" w:hAnsi="宋体" w:eastAsia="宋体" w:cs="宋体"/>
                <w:sz w:val="24"/>
                <w:szCs w:val="24"/>
              </w:rPr>
            </w:pPr>
          </w:p>
        </w:tc>
        <w:tc>
          <w:tcPr>
            <w:tcW w:w="801" w:type="dxa"/>
            <w:vAlign w:val="center"/>
          </w:tcPr>
          <w:p>
            <w:pPr>
              <w:pageBreakBefore w:val="0"/>
              <w:wordWrap/>
              <w:topLinePunct w:val="0"/>
              <w:bidi w:val="0"/>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557" w:type="dxa"/>
            <w:vAlign w:val="center"/>
          </w:tcPr>
          <w:p>
            <w:pPr>
              <w:pageBreakBefore w:val="0"/>
              <w:widowControl/>
              <w:wordWrap/>
              <w:topLinePunct w:val="0"/>
              <w:bidi w:val="0"/>
              <w:spacing w:line="400" w:lineRule="exact"/>
              <w:jc w:val="center"/>
              <w:textAlignment w:val="center"/>
              <w:rPr>
                <w:rFonts w:hint="eastAsia" w:ascii="宋体" w:hAnsi="宋体" w:eastAsia="宋体" w:cs="宋体"/>
                <w:sz w:val="24"/>
                <w:szCs w:val="24"/>
                <w:lang w:eastAsia="zh-CN"/>
              </w:rPr>
            </w:pPr>
            <w:r>
              <w:rPr>
                <w:rFonts w:hint="eastAsia" w:ascii="宋体" w:hAnsi="宋体" w:cs="宋体"/>
                <w:sz w:val="24"/>
                <w:szCs w:val="24"/>
                <w:lang w:val="en-US" w:eastAsia="zh-CN"/>
              </w:rPr>
              <w:t>6</w:t>
            </w:r>
          </w:p>
        </w:tc>
        <w:tc>
          <w:tcPr>
            <w:tcW w:w="6758" w:type="dxa"/>
            <w:vAlign w:val="center"/>
          </w:tcPr>
          <w:p>
            <w:pPr>
              <w:pageBreakBefore w:val="0"/>
              <w:wordWrap/>
              <w:topLinePunct w:val="0"/>
              <w:bidi w:val="0"/>
              <w:spacing w:line="40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供应商在“信用中国”（www.creditchina.gov.cn）和中国政府采购网（www.ccgp.gov.cn）网站上未列入失信被执行人、重大税收违法案件当事人名单、政府采购严重违法失信行为记录名单（财库[2016]125号）（需提供网上截图加盖公章）；</w:t>
            </w:r>
          </w:p>
        </w:tc>
        <w:tc>
          <w:tcPr>
            <w:tcW w:w="800" w:type="dxa"/>
            <w:vAlign w:val="center"/>
          </w:tcPr>
          <w:p>
            <w:pPr>
              <w:pageBreakBefore w:val="0"/>
              <w:wordWrap/>
              <w:topLinePunct w:val="0"/>
              <w:bidi w:val="0"/>
              <w:spacing w:line="400" w:lineRule="exact"/>
              <w:jc w:val="center"/>
              <w:rPr>
                <w:rFonts w:hint="eastAsia" w:ascii="宋体" w:hAnsi="宋体" w:eastAsia="宋体" w:cs="宋体"/>
                <w:sz w:val="24"/>
                <w:szCs w:val="24"/>
              </w:rPr>
            </w:pPr>
          </w:p>
        </w:tc>
        <w:tc>
          <w:tcPr>
            <w:tcW w:w="850" w:type="dxa"/>
            <w:vAlign w:val="center"/>
          </w:tcPr>
          <w:p>
            <w:pPr>
              <w:pageBreakBefore w:val="0"/>
              <w:wordWrap/>
              <w:topLinePunct w:val="0"/>
              <w:bidi w:val="0"/>
              <w:spacing w:line="400" w:lineRule="exact"/>
              <w:jc w:val="center"/>
              <w:rPr>
                <w:rFonts w:hint="eastAsia" w:ascii="宋体" w:hAnsi="宋体" w:eastAsia="宋体" w:cs="宋体"/>
                <w:sz w:val="24"/>
                <w:szCs w:val="24"/>
              </w:rPr>
            </w:pPr>
          </w:p>
        </w:tc>
        <w:tc>
          <w:tcPr>
            <w:tcW w:w="801" w:type="dxa"/>
            <w:vAlign w:val="center"/>
          </w:tcPr>
          <w:p>
            <w:pPr>
              <w:pageBreakBefore w:val="0"/>
              <w:wordWrap/>
              <w:topLinePunct w:val="0"/>
              <w:bidi w:val="0"/>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557" w:type="dxa"/>
            <w:vAlign w:val="center"/>
          </w:tcPr>
          <w:p>
            <w:pPr>
              <w:pageBreakBefore w:val="0"/>
              <w:widowControl/>
              <w:wordWrap/>
              <w:topLinePunct w:val="0"/>
              <w:bidi w:val="0"/>
              <w:spacing w:line="400" w:lineRule="exact"/>
              <w:jc w:val="center"/>
              <w:textAlignment w:val="center"/>
              <w:rPr>
                <w:rFonts w:hint="eastAsia" w:ascii="宋体" w:hAnsi="宋体" w:eastAsia="宋体" w:cs="宋体"/>
                <w:sz w:val="24"/>
                <w:szCs w:val="24"/>
                <w:lang w:eastAsia="zh-CN"/>
              </w:rPr>
            </w:pPr>
            <w:r>
              <w:rPr>
                <w:rFonts w:hint="eastAsia" w:ascii="宋体" w:hAnsi="宋体" w:cs="宋体"/>
                <w:sz w:val="24"/>
                <w:szCs w:val="24"/>
                <w:lang w:val="en-US" w:eastAsia="zh-CN"/>
              </w:rPr>
              <w:t>7</w:t>
            </w:r>
          </w:p>
        </w:tc>
        <w:tc>
          <w:tcPr>
            <w:tcW w:w="6758" w:type="dxa"/>
            <w:vAlign w:val="center"/>
          </w:tcPr>
          <w:p>
            <w:pPr>
              <w:pageBreakBefore w:val="0"/>
              <w:widowControl/>
              <w:wordWrap/>
              <w:topLinePunct w:val="0"/>
              <w:bidi w:val="0"/>
              <w:spacing w:line="400" w:lineRule="exact"/>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供应商提供针对本次项目《反商业贿赂承诺书》；</w:t>
            </w:r>
          </w:p>
        </w:tc>
        <w:tc>
          <w:tcPr>
            <w:tcW w:w="800" w:type="dxa"/>
            <w:vAlign w:val="center"/>
          </w:tcPr>
          <w:p>
            <w:pPr>
              <w:pageBreakBefore w:val="0"/>
              <w:wordWrap/>
              <w:topLinePunct w:val="0"/>
              <w:bidi w:val="0"/>
              <w:spacing w:line="400" w:lineRule="exact"/>
              <w:jc w:val="center"/>
              <w:rPr>
                <w:rFonts w:hint="eastAsia" w:ascii="宋体" w:hAnsi="宋体" w:eastAsia="宋体" w:cs="宋体"/>
                <w:sz w:val="24"/>
                <w:szCs w:val="24"/>
              </w:rPr>
            </w:pPr>
          </w:p>
        </w:tc>
        <w:tc>
          <w:tcPr>
            <w:tcW w:w="850" w:type="dxa"/>
            <w:vAlign w:val="center"/>
          </w:tcPr>
          <w:p>
            <w:pPr>
              <w:pageBreakBefore w:val="0"/>
              <w:wordWrap/>
              <w:topLinePunct w:val="0"/>
              <w:bidi w:val="0"/>
              <w:spacing w:line="400" w:lineRule="exact"/>
              <w:jc w:val="center"/>
              <w:rPr>
                <w:rFonts w:hint="eastAsia" w:ascii="宋体" w:hAnsi="宋体" w:eastAsia="宋体" w:cs="宋体"/>
                <w:sz w:val="24"/>
                <w:szCs w:val="24"/>
              </w:rPr>
            </w:pPr>
          </w:p>
        </w:tc>
        <w:tc>
          <w:tcPr>
            <w:tcW w:w="801" w:type="dxa"/>
            <w:vAlign w:val="center"/>
          </w:tcPr>
          <w:p>
            <w:pPr>
              <w:pageBreakBefore w:val="0"/>
              <w:wordWrap/>
              <w:topLinePunct w:val="0"/>
              <w:bidi w:val="0"/>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jc w:val="center"/>
        </w:trPr>
        <w:tc>
          <w:tcPr>
            <w:tcW w:w="557" w:type="dxa"/>
            <w:vAlign w:val="center"/>
          </w:tcPr>
          <w:p>
            <w:pPr>
              <w:pageBreakBefore w:val="0"/>
              <w:widowControl/>
              <w:wordWrap/>
              <w:topLinePunct w:val="0"/>
              <w:bidi w:val="0"/>
              <w:spacing w:line="400" w:lineRule="exact"/>
              <w:jc w:val="center"/>
              <w:textAlignment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8</w:t>
            </w:r>
          </w:p>
        </w:tc>
        <w:tc>
          <w:tcPr>
            <w:tcW w:w="6758" w:type="dxa"/>
            <w:vAlign w:val="center"/>
          </w:tcPr>
          <w:p>
            <w:pPr>
              <w:pageBreakBefore w:val="0"/>
              <w:widowControl/>
              <w:wordWrap/>
              <w:topLinePunct w:val="0"/>
              <w:bidi w:val="0"/>
              <w:spacing w:line="400" w:lineRule="exact"/>
              <w:jc w:val="left"/>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根据财政部、工业和信息化部关于印发《政府采购促进中小企业发展暂行办法》的通知(财库﹝2020﹞46号)，供应商及其所投产品的制造商均属于《工业和信息化部、国家统计局、国家发展和改革委员会、财政部关于印发中小企业划型标准规定的通知》(工信部联企业[2011]300号)中规定的小型、微型企业标准的，按磋商文件格式提供《中小企业声明函》等政府采购政策。</w:t>
            </w:r>
          </w:p>
        </w:tc>
        <w:tc>
          <w:tcPr>
            <w:tcW w:w="800" w:type="dxa"/>
            <w:vAlign w:val="center"/>
          </w:tcPr>
          <w:p>
            <w:pPr>
              <w:pageBreakBefore w:val="0"/>
              <w:wordWrap/>
              <w:topLinePunct w:val="0"/>
              <w:bidi w:val="0"/>
              <w:spacing w:line="400" w:lineRule="exact"/>
              <w:jc w:val="center"/>
              <w:rPr>
                <w:rFonts w:hint="eastAsia" w:ascii="宋体" w:hAnsi="宋体" w:eastAsia="宋体" w:cs="宋体"/>
                <w:sz w:val="24"/>
                <w:szCs w:val="24"/>
              </w:rPr>
            </w:pPr>
          </w:p>
        </w:tc>
        <w:tc>
          <w:tcPr>
            <w:tcW w:w="850" w:type="dxa"/>
            <w:vAlign w:val="center"/>
          </w:tcPr>
          <w:p>
            <w:pPr>
              <w:pageBreakBefore w:val="0"/>
              <w:wordWrap/>
              <w:topLinePunct w:val="0"/>
              <w:bidi w:val="0"/>
              <w:spacing w:line="400" w:lineRule="exact"/>
              <w:jc w:val="center"/>
              <w:rPr>
                <w:rFonts w:hint="eastAsia" w:ascii="宋体" w:hAnsi="宋体" w:eastAsia="宋体" w:cs="宋体"/>
                <w:sz w:val="24"/>
                <w:szCs w:val="24"/>
              </w:rPr>
            </w:pPr>
          </w:p>
        </w:tc>
        <w:tc>
          <w:tcPr>
            <w:tcW w:w="801" w:type="dxa"/>
            <w:vAlign w:val="center"/>
          </w:tcPr>
          <w:p>
            <w:pPr>
              <w:pageBreakBefore w:val="0"/>
              <w:wordWrap/>
              <w:topLinePunct w:val="0"/>
              <w:bidi w:val="0"/>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766" w:type="dxa"/>
            <w:gridSpan w:val="5"/>
            <w:vAlign w:val="center"/>
          </w:tcPr>
          <w:p>
            <w:pPr>
              <w:pageBreakBefore w:val="0"/>
              <w:wordWrap/>
              <w:topLinePunct w:val="0"/>
              <w:bidi w:val="0"/>
              <w:spacing w:line="400" w:lineRule="exact"/>
              <w:rPr>
                <w:rFonts w:hint="eastAsia" w:ascii="宋体" w:hAnsi="宋体" w:eastAsia="宋体" w:cs="宋体"/>
                <w:sz w:val="24"/>
                <w:szCs w:val="24"/>
              </w:rPr>
            </w:pPr>
            <w:r>
              <w:rPr>
                <w:rFonts w:hint="eastAsia" w:ascii="宋体" w:hAnsi="宋体" w:eastAsia="宋体" w:cs="宋体"/>
                <w:sz w:val="24"/>
                <w:szCs w:val="24"/>
              </w:rPr>
              <w:t>“√”表示合格；“×”表示不合格，一项不合格结果为不合格，如不合格，请在结果中写明原因。</w:t>
            </w:r>
          </w:p>
        </w:tc>
      </w:tr>
    </w:tbl>
    <w:p>
      <w:pPr>
        <w:pageBreakBefore w:val="0"/>
        <w:tabs>
          <w:tab w:val="left" w:pos="0"/>
        </w:tabs>
        <w:wordWrap/>
        <w:topLinePunct w:val="0"/>
        <w:bidi w:val="0"/>
        <w:adjustRightInd w:val="0"/>
        <w:snapToGrid w:val="0"/>
        <w:spacing w:line="400" w:lineRule="exact"/>
        <w:rPr>
          <w:rFonts w:hint="eastAsia" w:ascii="宋体" w:hAnsi="宋体" w:eastAsia="宋体" w:cs="宋体"/>
          <w:b/>
          <w:bCs/>
          <w:color w:val="000000"/>
          <w:sz w:val="24"/>
          <w:szCs w:val="24"/>
        </w:rPr>
      </w:pPr>
    </w:p>
    <w:p>
      <w:pPr>
        <w:pageBreakBefore w:val="0"/>
        <w:tabs>
          <w:tab w:val="left" w:pos="0"/>
        </w:tabs>
        <w:wordWrap/>
        <w:topLinePunct w:val="0"/>
        <w:bidi w:val="0"/>
        <w:adjustRightInd w:val="0"/>
        <w:snapToGrid w:val="0"/>
        <w:spacing w:line="400" w:lineRule="exact"/>
        <w:rPr>
          <w:rFonts w:hint="eastAsia" w:ascii="宋体" w:hAnsi="宋体" w:eastAsia="宋体" w:cs="宋体"/>
          <w:color w:val="000000"/>
          <w:sz w:val="24"/>
          <w:szCs w:val="24"/>
        </w:rPr>
      </w:pPr>
      <w:r>
        <w:rPr>
          <w:rFonts w:hint="eastAsia" w:ascii="宋体" w:hAnsi="宋体" w:eastAsia="宋体" w:cs="宋体"/>
          <w:b/>
          <w:bCs/>
          <w:color w:val="000000"/>
          <w:sz w:val="24"/>
          <w:szCs w:val="24"/>
        </w:rPr>
        <w:t>1.2符合性审查。</w:t>
      </w:r>
      <w:r>
        <w:rPr>
          <w:rFonts w:hint="eastAsia" w:ascii="宋体" w:hAnsi="宋体" w:eastAsia="宋体" w:cs="宋体"/>
          <w:color w:val="000000"/>
          <w:sz w:val="24"/>
          <w:szCs w:val="24"/>
        </w:rPr>
        <w:t>磋商小组对通过资格审查的磋商响应文件的有效性、完整性和磋商文件的响应程度进行审查，有一项因素不符合审查标准的，供应商不能通过符合性审查，其磋商无效。</w:t>
      </w:r>
    </w:p>
    <w:p>
      <w:pPr>
        <w:pStyle w:val="2"/>
        <w:rPr>
          <w:rFonts w:hint="eastAsia" w:ascii="宋体" w:hAnsi="宋体" w:eastAsia="宋体" w:cs="宋体"/>
          <w:color w:val="000000"/>
          <w:sz w:val="24"/>
          <w:szCs w:val="24"/>
        </w:rPr>
      </w:pPr>
    </w:p>
    <w:p>
      <w:pPr>
        <w:pStyle w:val="2"/>
        <w:rPr>
          <w:rFonts w:hint="eastAsia" w:ascii="宋体" w:hAnsi="宋体" w:eastAsia="宋体" w:cs="宋体"/>
          <w:color w:val="000000"/>
          <w:sz w:val="24"/>
          <w:szCs w:val="24"/>
        </w:rPr>
      </w:pPr>
    </w:p>
    <w:p>
      <w:pPr>
        <w:pageBreakBefore w:val="0"/>
        <w:wordWrap/>
        <w:topLinePunct w:val="0"/>
        <w:bidi w:val="0"/>
        <w:spacing w:line="400" w:lineRule="exact"/>
        <w:jc w:val="center"/>
        <w:outlineLvl w:val="0"/>
        <w:rPr>
          <w:rFonts w:hint="eastAsia" w:ascii="宋体" w:hAnsi="宋体" w:eastAsia="宋体" w:cs="宋体"/>
          <w:b/>
          <w:bCs/>
          <w:sz w:val="24"/>
          <w:szCs w:val="24"/>
        </w:rPr>
      </w:pPr>
      <w:bookmarkStart w:id="50" w:name="_Toc18326"/>
      <w:r>
        <w:rPr>
          <w:rFonts w:hint="eastAsia" w:ascii="宋体" w:hAnsi="宋体" w:eastAsia="宋体" w:cs="宋体"/>
          <w:b/>
          <w:sz w:val="24"/>
          <w:szCs w:val="24"/>
        </w:rPr>
        <w:t>投标文件</w:t>
      </w:r>
      <w:r>
        <w:rPr>
          <w:rFonts w:hint="eastAsia" w:ascii="宋体" w:hAnsi="宋体" w:eastAsia="宋体" w:cs="宋体"/>
          <w:b/>
          <w:bCs/>
          <w:sz w:val="24"/>
          <w:szCs w:val="24"/>
        </w:rPr>
        <w:t>符合性审查</w:t>
      </w:r>
      <w:bookmarkEnd w:id="50"/>
    </w:p>
    <w:tbl>
      <w:tblPr>
        <w:tblStyle w:val="35"/>
        <w:tblpPr w:leftFromText="180" w:rightFromText="180" w:vertAnchor="text" w:horzAnchor="page" w:tblpXSpec="center" w:tblpY="105"/>
        <w:tblOverlap w:val="never"/>
        <w:tblW w:w="9574" w:type="dxa"/>
        <w:jc w:val="center"/>
        <w:tblLayout w:type="fixed"/>
        <w:tblCellMar>
          <w:top w:w="15" w:type="dxa"/>
          <w:left w:w="15" w:type="dxa"/>
          <w:bottom w:w="15" w:type="dxa"/>
          <w:right w:w="15" w:type="dxa"/>
        </w:tblCellMar>
      </w:tblPr>
      <w:tblGrid>
        <w:gridCol w:w="934"/>
        <w:gridCol w:w="5931"/>
        <w:gridCol w:w="1110"/>
        <w:gridCol w:w="810"/>
        <w:gridCol w:w="789"/>
      </w:tblGrid>
      <w:tr>
        <w:tblPrEx>
          <w:tblCellMar>
            <w:top w:w="15" w:type="dxa"/>
            <w:left w:w="15" w:type="dxa"/>
            <w:bottom w:w="15" w:type="dxa"/>
            <w:right w:w="15" w:type="dxa"/>
          </w:tblCellMar>
        </w:tblPrEx>
        <w:trPr>
          <w:trHeight w:val="435" w:hRule="atLeast"/>
          <w:jc w:val="center"/>
        </w:trPr>
        <w:tc>
          <w:tcPr>
            <w:tcW w:w="6865" w:type="dxa"/>
            <w:gridSpan w:val="2"/>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项目编号：</w:t>
            </w:r>
          </w:p>
        </w:tc>
        <w:tc>
          <w:tcPr>
            <w:tcW w:w="2709" w:type="dxa"/>
            <w:gridSpan w:val="3"/>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开标时间：</w:t>
            </w:r>
          </w:p>
        </w:tc>
      </w:tr>
      <w:tr>
        <w:tblPrEx>
          <w:tblCellMar>
            <w:top w:w="15" w:type="dxa"/>
            <w:left w:w="15" w:type="dxa"/>
            <w:bottom w:w="15" w:type="dxa"/>
            <w:right w:w="15" w:type="dxa"/>
          </w:tblCellMar>
        </w:tblPrEx>
        <w:trPr>
          <w:trHeight w:val="353" w:hRule="atLeast"/>
          <w:jc w:val="center"/>
        </w:trPr>
        <w:tc>
          <w:tcPr>
            <w:tcW w:w="934" w:type="dxa"/>
            <w:vMerge w:val="restart"/>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序号</w:t>
            </w:r>
          </w:p>
        </w:tc>
        <w:tc>
          <w:tcPr>
            <w:tcW w:w="5931" w:type="dxa"/>
            <w:vMerge w:val="restart"/>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项目</w:t>
            </w:r>
          </w:p>
        </w:tc>
        <w:tc>
          <w:tcPr>
            <w:tcW w:w="11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1</w:t>
            </w:r>
          </w:p>
        </w:tc>
        <w:tc>
          <w:tcPr>
            <w:tcW w:w="8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2</w:t>
            </w:r>
          </w:p>
        </w:tc>
        <w:tc>
          <w:tcPr>
            <w:tcW w:w="789"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3</w:t>
            </w:r>
          </w:p>
        </w:tc>
      </w:tr>
      <w:tr>
        <w:tblPrEx>
          <w:tblCellMar>
            <w:top w:w="15" w:type="dxa"/>
            <w:left w:w="15" w:type="dxa"/>
            <w:bottom w:w="15" w:type="dxa"/>
            <w:right w:w="15" w:type="dxa"/>
          </w:tblCellMar>
        </w:tblPrEx>
        <w:trPr>
          <w:trHeight w:val="90"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5931"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11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是否合格</w:t>
            </w:r>
          </w:p>
        </w:tc>
        <w:tc>
          <w:tcPr>
            <w:tcW w:w="8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是否合格</w:t>
            </w:r>
          </w:p>
        </w:tc>
        <w:tc>
          <w:tcPr>
            <w:tcW w:w="789"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是否合格</w:t>
            </w:r>
          </w:p>
        </w:tc>
      </w:tr>
      <w:tr>
        <w:tblPrEx>
          <w:tblCellMar>
            <w:top w:w="15" w:type="dxa"/>
            <w:left w:w="15" w:type="dxa"/>
            <w:bottom w:w="15" w:type="dxa"/>
            <w:right w:w="15" w:type="dxa"/>
          </w:tblCellMar>
        </w:tblPrEx>
        <w:trPr>
          <w:trHeight w:val="424" w:hRule="atLeast"/>
          <w:jc w:val="center"/>
        </w:trPr>
        <w:tc>
          <w:tcPr>
            <w:tcW w:w="934" w:type="dxa"/>
            <w:tcBorders>
              <w:top w:val="single" w:color="000000" w:sz="4" w:space="0"/>
              <w:left w:val="single" w:color="000000" w:sz="4" w:space="0"/>
              <w:bottom w:val="single" w:color="000000" w:sz="4" w:space="0"/>
              <w:right w:val="single" w:color="000000" w:sz="4" w:space="0"/>
            </w:tcBorders>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5931"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投标报价高于设定的采购预算价的；</w:t>
            </w:r>
          </w:p>
        </w:tc>
        <w:tc>
          <w:tcPr>
            <w:tcW w:w="11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r>
      <w:tr>
        <w:tblPrEx>
          <w:tblCellMar>
            <w:top w:w="15" w:type="dxa"/>
            <w:left w:w="15" w:type="dxa"/>
            <w:bottom w:w="15" w:type="dxa"/>
            <w:right w:w="15" w:type="dxa"/>
          </w:tblCellMar>
        </w:tblPrEx>
        <w:trPr>
          <w:trHeight w:val="386" w:hRule="atLeast"/>
          <w:jc w:val="center"/>
        </w:trPr>
        <w:tc>
          <w:tcPr>
            <w:tcW w:w="934" w:type="dxa"/>
            <w:tcBorders>
              <w:top w:val="single" w:color="000000" w:sz="4" w:space="0"/>
              <w:left w:val="single" w:color="000000" w:sz="4" w:space="0"/>
              <w:bottom w:val="single" w:color="000000" w:sz="4" w:space="0"/>
              <w:right w:val="single" w:color="000000" w:sz="4" w:space="0"/>
            </w:tcBorders>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5931"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供应商对同一招标项目作出两个以上报价未明确效力的；</w:t>
            </w:r>
          </w:p>
        </w:tc>
        <w:tc>
          <w:tcPr>
            <w:tcW w:w="11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r>
      <w:tr>
        <w:tblPrEx>
          <w:tblCellMar>
            <w:top w:w="15" w:type="dxa"/>
            <w:left w:w="15" w:type="dxa"/>
            <w:bottom w:w="15" w:type="dxa"/>
            <w:right w:w="15" w:type="dxa"/>
          </w:tblCellMar>
        </w:tblPrEx>
        <w:trPr>
          <w:trHeight w:val="468" w:hRule="atLeast"/>
          <w:jc w:val="center"/>
        </w:trPr>
        <w:tc>
          <w:tcPr>
            <w:tcW w:w="934" w:type="dxa"/>
            <w:tcBorders>
              <w:top w:val="single" w:color="000000" w:sz="4" w:space="0"/>
              <w:left w:val="single" w:color="000000" w:sz="4" w:space="0"/>
              <w:bottom w:val="single" w:color="000000" w:sz="4" w:space="0"/>
              <w:right w:val="single" w:color="000000" w:sz="4" w:space="0"/>
            </w:tcBorders>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5931"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未按磋商文件规定的格式填写，内容不全或关键字迹模糊、无法辨认的；</w:t>
            </w:r>
          </w:p>
        </w:tc>
        <w:tc>
          <w:tcPr>
            <w:tcW w:w="11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r>
      <w:tr>
        <w:tblPrEx>
          <w:tblCellMar>
            <w:top w:w="15" w:type="dxa"/>
            <w:left w:w="15" w:type="dxa"/>
            <w:bottom w:w="15" w:type="dxa"/>
            <w:right w:w="15" w:type="dxa"/>
          </w:tblCellMar>
        </w:tblPrEx>
        <w:trPr>
          <w:trHeight w:val="403" w:hRule="atLeast"/>
          <w:jc w:val="center"/>
        </w:trPr>
        <w:tc>
          <w:tcPr>
            <w:tcW w:w="934" w:type="dxa"/>
            <w:tcBorders>
              <w:top w:val="single" w:color="000000" w:sz="4" w:space="0"/>
              <w:left w:val="single" w:color="000000" w:sz="4" w:space="0"/>
              <w:bottom w:val="single" w:color="000000" w:sz="4" w:space="0"/>
              <w:right w:val="single" w:color="000000" w:sz="4" w:space="0"/>
            </w:tcBorders>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5931"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改变磋商文件提供的清单中的计量单位、数量的；</w:t>
            </w:r>
          </w:p>
        </w:tc>
        <w:tc>
          <w:tcPr>
            <w:tcW w:w="11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r>
      <w:tr>
        <w:tblPrEx>
          <w:tblCellMar>
            <w:top w:w="15" w:type="dxa"/>
            <w:left w:w="15" w:type="dxa"/>
            <w:bottom w:w="15" w:type="dxa"/>
            <w:right w:w="15" w:type="dxa"/>
          </w:tblCellMar>
        </w:tblPrEx>
        <w:trPr>
          <w:trHeight w:val="599" w:hRule="atLeast"/>
          <w:jc w:val="center"/>
        </w:trPr>
        <w:tc>
          <w:tcPr>
            <w:tcW w:w="934" w:type="dxa"/>
            <w:tcBorders>
              <w:top w:val="single" w:color="000000" w:sz="4" w:space="0"/>
              <w:left w:val="single" w:color="000000" w:sz="4" w:space="0"/>
              <w:bottom w:val="single" w:color="000000" w:sz="4" w:space="0"/>
              <w:right w:val="single" w:color="000000" w:sz="4" w:space="0"/>
            </w:tcBorders>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5</w:t>
            </w:r>
          </w:p>
        </w:tc>
        <w:tc>
          <w:tcPr>
            <w:tcW w:w="5931"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有两个以上不同的投标价，且未注明何者有效的(以投标函为准)</w:t>
            </w:r>
          </w:p>
        </w:tc>
        <w:tc>
          <w:tcPr>
            <w:tcW w:w="11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r>
      <w:tr>
        <w:tblPrEx>
          <w:tblCellMar>
            <w:top w:w="15" w:type="dxa"/>
            <w:left w:w="15" w:type="dxa"/>
            <w:bottom w:w="15" w:type="dxa"/>
            <w:right w:w="15" w:type="dxa"/>
          </w:tblCellMar>
        </w:tblPrEx>
        <w:trPr>
          <w:trHeight w:val="615" w:hRule="atLeast"/>
          <w:jc w:val="center"/>
        </w:trPr>
        <w:tc>
          <w:tcPr>
            <w:tcW w:w="934" w:type="dxa"/>
            <w:tcBorders>
              <w:top w:val="single" w:color="000000" w:sz="4" w:space="0"/>
              <w:left w:val="single" w:color="000000" w:sz="4" w:space="0"/>
              <w:bottom w:val="single" w:color="000000" w:sz="4" w:space="0"/>
              <w:right w:val="single" w:color="000000" w:sz="4" w:space="0"/>
            </w:tcBorders>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6</w:t>
            </w:r>
          </w:p>
        </w:tc>
        <w:tc>
          <w:tcPr>
            <w:tcW w:w="5931"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供应商名称、组织机构与资格预审时不符，涉嫌以他人名义投标的；</w:t>
            </w:r>
          </w:p>
        </w:tc>
        <w:tc>
          <w:tcPr>
            <w:tcW w:w="11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r>
      <w:tr>
        <w:tblPrEx>
          <w:tblCellMar>
            <w:top w:w="15" w:type="dxa"/>
            <w:left w:w="15" w:type="dxa"/>
            <w:bottom w:w="15" w:type="dxa"/>
            <w:right w:w="15" w:type="dxa"/>
          </w:tblCellMar>
        </w:tblPrEx>
        <w:trPr>
          <w:trHeight w:val="386" w:hRule="atLeast"/>
          <w:jc w:val="center"/>
        </w:trPr>
        <w:tc>
          <w:tcPr>
            <w:tcW w:w="934" w:type="dxa"/>
            <w:tcBorders>
              <w:top w:val="single" w:color="000000" w:sz="4" w:space="0"/>
              <w:left w:val="single" w:color="000000" w:sz="4" w:space="0"/>
              <w:bottom w:val="single" w:color="000000" w:sz="4" w:space="0"/>
              <w:right w:val="single" w:color="000000" w:sz="4" w:space="0"/>
            </w:tcBorders>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7</w:t>
            </w:r>
          </w:p>
        </w:tc>
        <w:tc>
          <w:tcPr>
            <w:tcW w:w="5931"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供应商之间或者供应商与采购人串通投标的；</w:t>
            </w:r>
          </w:p>
        </w:tc>
        <w:tc>
          <w:tcPr>
            <w:tcW w:w="11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r>
      <w:tr>
        <w:tblPrEx>
          <w:tblCellMar>
            <w:top w:w="15" w:type="dxa"/>
            <w:left w:w="15" w:type="dxa"/>
            <w:bottom w:w="15" w:type="dxa"/>
            <w:right w:w="15" w:type="dxa"/>
          </w:tblCellMar>
        </w:tblPrEx>
        <w:trPr>
          <w:trHeight w:val="90" w:hRule="atLeast"/>
          <w:jc w:val="center"/>
        </w:trPr>
        <w:tc>
          <w:tcPr>
            <w:tcW w:w="934" w:type="dxa"/>
            <w:tcBorders>
              <w:top w:val="single" w:color="000000" w:sz="4" w:space="0"/>
              <w:left w:val="single" w:color="000000" w:sz="4" w:space="0"/>
              <w:bottom w:val="single" w:color="000000" w:sz="4" w:space="0"/>
              <w:right w:val="single" w:color="000000" w:sz="4" w:space="0"/>
            </w:tcBorders>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8</w:t>
            </w:r>
          </w:p>
        </w:tc>
        <w:tc>
          <w:tcPr>
            <w:tcW w:w="5931"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以行贿手段谋取中标或者以其他弄虚作假方式投标的；</w:t>
            </w:r>
          </w:p>
        </w:tc>
        <w:tc>
          <w:tcPr>
            <w:tcW w:w="11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r>
      <w:tr>
        <w:tblPrEx>
          <w:tblCellMar>
            <w:top w:w="15" w:type="dxa"/>
            <w:left w:w="15" w:type="dxa"/>
            <w:bottom w:w="15" w:type="dxa"/>
            <w:right w:w="15" w:type="dxa"/>
          </w:tblCellMar>
        </w:tblPrEx>
        <w:trPr>
          <w:trHeight w:val="385" w:hRule="atLeast"/>
          <w:jc w:val="center"/>
        </w:trPr>
        <w:tc>
          <w:tcPr>
            <w:tcW w:w="934" w:type="dxa"/>
            <w:tcBorders>
              <w:top w:val="single" w:color="000000" w:sz="4" w:space="0"/>
              <w:left w:val="single" w:color="000000" w:sz="4" w:space="0"/>
              <w:bottom w:val="single" w:color="000000" w:sz="4" w:space="0"/>
              <w:right w:val="single" w:color="000000" w:sz="4" w:space="0"/>
            </w:tcBorders>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9</w:t>
            </w:r>
          </w:p>
        </w:tc>
        <w:tc>
          <w:tcPr>
            <w:tcW w:w="5931"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评标委员会共同确定有实质上不响应磋商文件要求的；</w:t>
            </w:r>
          </w:p>
        </w:tc>
        <w:tc>
          <w:tcPr>
            <w:tcW w:w="11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r>
      <w:tr>
        <w:tblPrEx>
          <w:tblCellMar>
            <w:top w:w="15" w:type="dxa"/>
            <w:left w:w="15" w:type="dxa"/>
            <w:bottom w:w="15" w:type="dxa"/>
            <w:right w:w="15" w:type="dxa"/>
          </w:tblCellMar>
        </w:tblPrEx>
        <w:trPr>
          <w:trHeight w:val="786" w:hRule="atLeast"/>
          <w:jc w:val="center"/>
        </w:trPr>
        <w:tc>
          <w:tcPr>
            <w:tcW w:w="934" w:type="dxa"/>
            <w:tcBorders>
              <w:top w:val="single" w:color="000000" w:sz="4" w:space="0"/>
              <w:left w:val="single" w:color="000000" w:sz="4" w:space="0"/>
              <w:bottom w:val="single" w:color="000000" w:sz="4" w:space="0"/>
              <w:right w:val="single" w:color="000000" w:sz="4" w:space="0"/>
            </w:tcBorders>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5931"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投标文件没有投标单位法定代表人或其授权代表签字（章）和加盖投标单位公章的（投标文件正本的印章和签字不能为复印件）；</w:t>
            </w:r>
          </w:p>
        </w:tc>
        <w:tc>
          <w:tcPr>
            <w:tcW w:w="11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r>
      <w:tr>
        <w:tblPrEx>
          <w:tblCellMar>
            <w:top w:w="15" w:type="dxa"/>
            <w:left w:w="15" w:type="dxa"/>
            <w:bottom w:w="15" w:type="dxa"/>
            <w:right w:w="15" w:type="dxa"/>
          </w:tblCellMar>
        </w:tblPrEx>
        <w:trPr>
          <w:trHeight w:val="757" w:hRule="atLeast"/>
          <w:jc w:val="center"/>
        </w:trPr>
        <w:tc>
          <w:tcPr>
            <w:tcW w:w="934" w:type="dxa"/>
            <w:tcBorders>
              <w:top w:val="single" w:color="000000" w:sz="4" w:space="0"/>
              <w:left w:val="single" w:color="000000" w:sz="4" w:space="0"/>
              <w:bottom w:val="single" w:color="000000" w:sz="4" w:space="0"/>
              <w:right w:val="single" w:color="000000" w:sz="4" w:space="0"/>
            </w:tcBorders>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11</w:t>
            </w:r>
          </w:p>
        </w:tc>
        <w:tc>
          <w:tcPr>
            <w:tcW w:w="5931"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投标文件载明的技术规格、技术标准、检验标准和方法等，不符合磋商文件要求的；</w:t>
            </w:r>
          </w:p>
        </w:tc>
        <w:tc>
          <w:tcPr>
            <w:tcW w:w="11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r>
      <w:tr>
        <w:tblPrEx>
          <w:tblCellMar>
            <w:top w:w="15" w:type="dxa"/>
            <w:left w:w="15" w:type="dxa"/>
            <w:bottom w:w="15" w:type="dxa"/>
            <w:right w:w="15" w:type="dxa"/>
          </w:tblCellMar>
        </w:tblPrEx>
        <w:trPr>
          <w:trHeight w:val="388" w:hRule="atLeast"/>
          <w:jc w:val="center"/>
        </w:trPr>
        <w:tc>
          <w:tcPr>
            <w:tcW w:w="934" w:type="dxa"/>
            <w:tcBorders>
              <w:top w:val="single" w:color="000000" w:sz="4" w:space="0"/>
              <w:left w:val="single" w:color="000000" w:sz="4" w:space="0"/>
              <w:bottom w:val="single" w:color="000000" w:sz="4" w:space="0"/>
              <w:right w:val="single" w:color="000000" w:sz="4" w:space="0"/>
            </w:tcBorders>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12</w:t>
            </w:r>
          </w:p>
        </w:tc>
        <w:tc>
          <w:tcPr>
            <w:tcW w:w="5931" w:type="dxa"/>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投标文件附有采购人不能接受条件的；</w:t>
            </w:r>
          </w:p>
        </w:tc>
        <w:tc>
          <w:tcPr>
            <w:tcW w:w="11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r>
      <w:tr>
        <w:tblPrEx>
          <w:tblCellMar>
            <w:top w:w="15" w:type="dxa"/>
            <w:left w:w="15" w:type="dxa"/>
            <w:bottom w:w="15" w:type="dxa"/>
            <w:right w:w="15" w:type="dxa"/>
          </w:tblCellMar>
        </w:tblPrEx>
        <w:trPr>
          <w:trHeight w:val="353" w:hRule="atLeast"/>
          <w:jc w:val="center"/>
        </w:trPr>
        <w:tc>
          <w:tcPr>
            <w:tcW w:w="934" w:type="dxa"/>
            <w:tcBorders>
              <w:top w:val="single" w:color="000000" w:sz="4" w:space="0"/>
              <w:left w:val="single" w:color="000000" w:sz="4" w:space="0"/>
              <w:bottom w:val="single" w:color="000000" w:sz="4" w:space="0"/>
              <w:right w:val="single" w:color="000000" w:sz="4" w:space="0"/>
            </w:tcBorders>
          </w:tcPr>
          <w:p>
            <w:pPr>
              <w:pageBreakBefore w:val="0"/>
              <w:wordWrap/>
              <w:topLinePunct w:val="0"/>
              <w:autoSpaceDE w:val="0"/>
              <w:autoSpaceDN w:val="0"/>
              <w:bidi w:val="0"/>
              <w:adjustRightIn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13</w:t>
            </w:r>
          </w:p>
        </w:tc>
        <w:tc>
          <w:tcPr>
            <w:tcW w:w="5931"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不满足磋商文件实质性要求的其他情形.</w:t>
            </w:r>
          </w:p>
        </w:tc>
        <w:tc>
          <w:tcPr>
            <w:tcW w:w="11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r>
      <w:tr>
        <w:tblPrEx>
          <w:tblCellMar>
            <w:top w:w="15" w:type="dxa"/>
            <w:left w:w="15" w:type="dxa"/>
            <w:bottom w:w="15" w:type="dxa"/>
            <w:right w:w="15" w:type="dxa"/>
          </w:tblCellMar>
        </w:tblPrEx>
        <w:trPr>
          <w:trHeight w:val="375" w:hRule="atLeast"/>
          <w:jc w:val="center"/>
        </w:trPr>
        <w:tc>
          <w:tcPr>
            <w:tcW w:w="6865"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评审结果</w:t>
            </w:r>
          </w:p>
        </w:tc>
        <w:tc>
          <w:tcPr>
            <w:tcW w:w="11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810"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c>
          <w:tcPr>
            <w:tcW w:w="789" w:type="dxa"/>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r>
      <w:tr>
        <w:tblPrEx>
          <w:tblCellMar>
            <w:top w:w="15" w:type="dxa"/>
            <w:left w:w="15" w:type="dxa"/>
            <w:bottom w:w="15" w:type="dxa"/>
            <w:right w:w="15" w:type="dxa"/>
          </w:tblCellMar>
        </w:tblPrEx>
        <w:trPr>
          <w:trHeight w:val="375" w:hRule="atLeast"/>
          <w:jc w:val="center"/>
        </w:trPr>
        <w:tc>
          <w:tcPr>
            <w:tcW w:w="9574" w:type="dxa"/>
            <w:gridSpan w:val="5"/>
            <w:tcBorders>
              <w:top w:val="single" w:color="000000" w:sz="4" w:space="0"/>
              <w:left w:val="single" w:color="000000" w:sz="4" w:space="0"/>
              <w:bottom w:val="single" w:color="000000" w:sz="4" w:space="0"/>
              <w:right w:val="single" w:color="000000" w:sz="4" w:space="0"/>
            </w:tcBorders>
            <w:vAlign w:val="center"/>
          </w:tcPr>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r>
              <w:rPr>
                <w:rFonts w:hint="eastAsia" w:ascii="宋体" w:hAnsi="宋体" w:eastAsia="宋体" w:cs="宋体"/>
                <w:sz w:val="24"/>
                <w:szCs w:val="24"/>
              </w:rPr>
              <w:t>“√”表示合格；“×”表示不合格，一项不合格结果为不合格，如不合格，请在结果中写明原因。</w:t>
            </w:r>
          </w:p>
          <w:p>
            <w:pPr>
              <w:pageBreakBefore w:val="0"/>
              <w:wordWrap/>
              <w:topLinePunct w:val="0"/>
              <w:autoSpaceDE w:val="0"/>
              <w:autoSpaceDN w:val="0"/>
              <w:bidi w:val="0"/>
              <w:adjustRightInd w:val="0"/>
              <w:spacing w:line="400" w:lineRule="exact"/>
              <w:rPr>
                <w:rFonts w:hint="eastAsia" w:ascii="宋体" w:hAnsi="宋体" w:eastAsia="宋体" w:cs="宋体"/>
                <w:sz w:val="24"/>
                <w:szCs w:val="24"/>
              </w:rPr>
            </w:pPr>
          </w:p>
        </w:tc>
      </w:tr>
    </w:tbl>
    <w:p>
      <w:pPr>
        <w:pageBreakBefore w:val="0"/>
        <w:tabs>
          <w:tab w:val="left" w:pos="0"/>
        </w:tabs>
        <w:wordWrap/>
        <w:topLinePunct w:val="0"/>
        <w:bidi w:val="0"/>
        <w:spacing w:line="400" w:lineRule="exact"/>
        <w:rPr>
          <w:rFonts w:hint="eastAsia" w:ascii="宋体" w:hAnsi="宋体" w:eastAsia="宋体" w:cs="宋体"/>
          <w:b/>
          <w:bCs/>
          <w:spacing w:val="4"/>
          <w:sz w:val="24"/>
          <w:szCs w:val="24"/>
        </w:rPr>
      </w:pPr>
    </w:p>
    <w:p>
      <w:pPr>
        <w:pageBreakBefore w:val="0"/>
        <w:tabs>
          <w:tab w:val="left" w:pos="0"/>
        </w:tabs>
        <w:wordWrap/>
        <w:topLinePunct w:val="0"/>
        <w:bidi w:val="0"/>
        <w:spacing w:line="400" w:lineRule="exact"/>
        <w:rPr>
          <w:rFonts w:hint="eastAsia" w:ascii="宋体" w:hAnsi="宋体" w:eastAsia="宋体" w:cs="宋体"/>
          <w:b/>
          <w:bCs/>
          <w:spacing w:val="4"/>
          <w:sz w:val="24"/>
          <w:szCs w:val="24"/>
        </w:rPr>
      </w:pPr>
    </w:p>
    <w:p>
      <w:pPr>
        <w:pageBreakBefore w:val="0"/>
        <w:wordWrap/>
        <w:topLinePunct w:val="0"/>
        <w:bidi w:val="0"/>
        <w:spacing w:line="400" w:lineRule="exact"/>
        <w:rPr>
          <w:rFonts w:hint="eastAsia" w:ascii="宋体" w:hAnsi="宋体" w:eastAsia="宋体" w:cs="宋体"/>
          <w:b/>
          <w:bCs/>
          <w:spacing w:val="4"/>
          <w:sz w:val="24"/>
          <w:szCs w:val="24"/>
        </w:rPr>
      </w:pPr>
      <w:r>
        <w:rPr>
          <w:rFonts w:hint="eastAsia" w:ascii="宋体" w:hAnsi="宋体" w:eastAsia="宋体" w:cs="宋体"/>
          <w:b/>
          <w:bCs/>
          <w:spacing w:val="4"/>
          <w:sz w:val="24"/>
          <w:szCs w:val="24"/>
        </w:rPr>
        <w:br w:type="page"/>
      </w:r>
    </w:p>
    <w:p>
      <w:pPr>
        <w:pageBreakBefore w:val="0"/>
        <w:tabs>
          <w:tab w:val="left" w:pos="0"/>
        </w:tabs>
        <w:wordWrap/>
        <w:topLinePunct w:val="0"/>
        <w:bidi w:val="0"/>
        <w:spacing w:line="400" w:lineRule="exact"/>
        <w:jc w:val="center"/>
        <w:outlineLvl w:val="0"/>
        <w:rPr>
          <w:rFonts w:hint="eastAsia" w:ascii="宋体" w:hAnsi="宋体" w:eastAsia="宋体" w:cs="宋体"/>
          <w:sz w:val="32"/>
          <w:szCs w:val="32"/>
        </w:rPr>
      </w:pPr>
      <w:bookmarkStart w:id="51" w:name="_Toc15731"/>
      <w:r>
        <w:rPr>
          <w:rFonts w:hint="eastAsia" w:ascii="宋体" w:hAnsi="宋体" w:eastAsia="宋体" w:cs="宋体"/>
          <w:b/>
          <w:bCs/>
          <w:spacing w:val="4"/>
          <w:sz w:val="32"/>
          <w:szCs w:val="32"/>
        </w:rPr>
        <w:t>竞争性磋商（综合评分）评分细则</w:t>
      </w:r>
      <w:bookmarkEnd w:id="51"/>
    </w:p>
    <w:tbl>
      <w:tblPr>
        <w:tblStyle w:val="35"/>
        <w:tblW w:w="9198" w:type="dxa"/>
        <w:tblInd w:w="0" w:type="dxa"/>
        <w:tblLayout w:type="fixed"/>
        <w:tblCellMar>
          <w:top w:w="0" w:type="dxa"/>
          <w:left w:w="108" w:type="dxa"/>
          <w:bottom w:w="0" w:type="dxa"/>
          <w:right w:w="108" w:type="dxa"/>
        </w:tblCellMar>
      </w:tblPr>
      <w:tblGrid>
        <w:gridCol w:w="660"/>
        <w:gridCol w:w="1609"/>
        <w:gridCol w:w="1069"/>
        <w:gridCol w:w="5860"/>
      </w:tblGrid>
      <w:tr>
        <w:tblPrEx>
          <w:tblCellMar>
            <w:top w:w="0" w:type="dxa"/>
            <w:left w:w="108" w:type="dxa"/>
            <w:bottom w:w="0" w:type="dxa"/>
            <w:right w:w="108" w:type="dxa"/>
          </w:tblCellMar>
        </w:tblPrEx>
        <w:trPr>
          <w:trHeight w:val="570" w:hRule="atLeast"/>
        </w:trPr>
        <w:tc>
          <w:tcPr>
            <w:tcW w:w="660" w:type="dxa"/>
            <w:tcBorders>
              <w:top w:val="single" w:color="auto" w:sz="4" w:space="0"/>
              <w:left w:val="single" w:color="auto" w:sz="4" w:space="0"/>
              <w:bottom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b/>
                <w:bCs/>
                <w:sz w:val="24"/>
                <w:szCs w:val="24"/>
              </w:rPr>
            </w:pPr>
            <w:r>
              <w:rPr>
                <w:rFonts w:hint="eastAsia" w:ascii="宋体" w:hAnsi="宋体" w:eastAsia="宋体" w:cs="宋体"/>
                <w:b/>
                <w:bCs/>
                <w:spacing w:val="4"/>
                <w:sz w:val="24"/>
                <w:szCs w:val="24"/>
              </w:rPr>
              <w:br w:type="page"/>
            </w:r>
            <w:r>
              <w:rPr>
                <w:rFonts w:hint="eastAsia" w:ascii="宋体" w:hAnsi="宋体" w:eastAsia="宋体" w:cs="宋体"/>
                <w:b/>
                <w:bCs/>
                <w:sz w:val="24"/>
                <w:szCs w:val="24"/>
              </w:rPr>
              <w:t>类别</w:t>
            </w:r>
          </w:p>
        </w:tc>
        <w:tc>
          <w:tcPr>
            <w:tcW w:w="1609" w:type="dxa"/>
            <w:tcBorders>
              <w:top w:val="single" w:color="auto" w:sz="4" w:space="0"/>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评分因素及权重</w:t>
            </w:r>
          </w:p>
        </w:tc>
        <w:tc>
          <w:tcPr>
            <w:tcW w:w="1069" w:type="dxa"/>
            <w:tcBorders>
              <w:top w:val="single" w:color="auto" w:sz="4" w:space="0"/>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分值</w:t>
            </w:r>
          </w:p>
        </w:tc>
        <w:tc>
          <w:tcPr>
            <w:tcW w:w="5860" w:type="dxa"/>
            <w:tcBorders>
              <w:top w:val="single" w:color="auto" w:sz="4" w:space="0"/>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评分标准说明</w:t>
            </w:r>
          </w:p>
        </w:tc>
      </w:tr>
      <w:tr>
        <w:tblPrEx>
          <w:tblCellMar>
            <w:top w:w="0" w:type="dxa"/>
            <w:left w:w="108" w:type="dxa"/>
            <w:bottom w:w="0" w:type="dxa"/>
            <w:right w:w="108" w:type="dxa"/>
          </w:tblCellMar>
        </w:tblPrEx>
        <w:trPr>
          <w:trHeight w:val="1770" w:hRule="atLeast"/>
        </w:trPr>
        <w:tc>
          <w:tcPr>
            <w:tcW w:w="660" w:type="dxa"/>
            <w:vMerge w:val="restart"/>
            <w:tcBorders>
              <w:top w:val="nil"/>
              <w:left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商务部分</w:t>
            </w:r>
          </w:p>
        </w:tc>
        <w:tc>
          <w:tcPr>
            <w:tcW w:w="1609"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投标报价评分标准</w:t>
            </w:r>
          </w:p>
        </w:tc>
        <w:tc>
          <w:tcPr>
            <w:tcW w:w="1069"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20分</w:t>
            </w:r>
          </w:p>
        </w:tc>
        <w:tc>
          <w:tcPr>
            <w:tcW w:w="5860" w:type="dxa"/>
            <w:tcBorders>
              <w:top w:val="nil"/>
              <w:left w:val="nil"/>
              <w:bottom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sz w:val="24"/>
                <w:szCs w:val="24"/>
              </w:rPr>
            </w:pPr>
            <w:r>
              <w:rPr>
                <w:rFonts w:hint="eastAsia" w:ascii="宋体" w:hAnsi="宋体" w:eastAsia="宋体" w:cs="宋体"/>
                <w:sz w:val="24"/>
                <w:szCs w:val="24"/>
              </w:rPr>
              <w:t>在所有的最终有效报价中，以最低报价为基准价，其价格分为满分。其他投标响应人的报价分统一按下列公式计算：报价得分=(评标基准价／投标报价)×价格权值（20%）×100（四舍五入后保留小数点后两位）。</w:t>
            </w:r>
          </w:p>
          <w:p>
            <w:pPr>
              <w:pageBreakBefore w:val="0"/>
              <w:wordWrap/>
              <w:topLinePunct w:val="0"/>
              <w:bidi w:val="0"/>
              <w:spacing w:line="400" w:lineRule="exact"/>
              <w:rPr>
                <w:rFonts w:hint="eastAsia" w:ascii="宋体" w:hAnsi="宋体" w:eastAsia="宋体" w:cs="宋体"/>
                <w:sz w:val="24"/>
                <w:szCs w:val="24"/>
              </w:rPr>
            </w:pPr>
            <w:r>
              <w:rPr>
                <w:rFonts w:hint="eastAsia" w:ascii="宋体" w:hAnsi="宋体" w:eastAsia="宋体" w:cs="宋体"/>
                <w:sz w:val="24"/>
                <w:szCs w:val="24"/>
              </w:rPr>
              <w:t>注：根据《政府采购促进中小企业发展暂行办法》的相关规定，对小型和微型企业产品的价格给予6%的扣除，用扣除后的价格参与评审。残疾人福利性单位、监狱企业视同小型、微型企业。</w:t>
            </w:r>
          </w:p>
        </w:tc>
      </w:tr>
      <w:tr>
        <w:tblPrEx>
          <w:tblCellMar>
            <w:top w:w="0" w:type="dxa"/>
            <w:left w:w="108" w:type="dxa"/>
            <w:bottom w:w="0" w:type="dxa"/>
            <w:right w:w="108" w:type="dxa"/>
          </w:tblCellMar>
        </w:tblPrEx>
        <w:trPr>
          <w:trHeight w:val="1710" w:hRule="atLeast"/>
        </w:trPr>
        <w:tc>
          <w:tcPr>
            <w:tcW w:w="660" w:type="dxa"/>
            <w:vMerge w:val="continue"/>
            <w:tcBorders>
              <w:left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b/>
                <w:bCs/>
                <w:sz w:val="24"/>
                <w:szCs w:val="24"/>
              </w:rPr>
            </w:pPr>
          </w:p>
        </w:tc>
        <w:tc>
          <w:tcPr>
            <w:tcW w:w="1609"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投标人业绩</w:t>
            </w:r>
          </w:p>
        </w:tc>
        <w:tc>
          <w:tcPr>
            <w:tcW w:w="1069"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10分</w:t>
            </w:r>
          </w:p>
        </w:tc>
        <w:tc>
          <w:tcPr>
            <w:tcW w:w="5860" w:type="dxa"/>
            <w:tcBorders>
              <w:top w:val="nil"/>
              <w:left w:val="nil"/>
              <w:bottom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sz w:val="24"/>
                <w:szCs w:val="24"/>
              </w:rPr>
            </w:pPr>
            <w:r>
              <w:rPr>
                <w:rFonts w:hint="eastAsia" w:ascii="宋体" w:hAnsi="宋体" w:cs="宋体"/>
                <w:sz w:val="24"/>
              </w:rPr>
              <w:t>近五年已完成</w:t>
            </w:r>
            <w:r>
              <w:rPr>
                <w:rFonts w:hint="eastAsia" w:ascii="宋体" w:hAnsi="宋体" w:cs="宋体"/>
                <w:sz w:val="24"/>
                <w:lang w:val="en-US" w:eastAsia="zh-CN"/>
              </w:rPr>
              <w:t>相关项目</w:t>
            </w:r>
            <w:r>
              <w:rPr>
                <w:rFonts w:hint="eastAsia" w:ascii="宋体" w:hAnsi="宋体" w:cs="宋体"/>
                <w:sz w:val="24"/>
              </w:rPr>
              <w:t>业绩并取得行政主管部门审查意见（需提交合同或审查意见首尾页复印件并加盖公章），每提供一个有效业绩得2分，本项最多得10分，未提供证明材料的，本项得0分。</w:t>
            </w:r>
          </w:p>
        </w:tc>
      </w:tr>
      <w:tr>
        <w:tblPrEx>
          <w:tblCellMar>
            <w:top w:w="0" w:type="dxa"/>
            <w:left w:w="108" w:type="dxa"/>
            <w:bottom w:w="0" w:type="dxa"/>
            <w:right w:w="108" w:type="dxa"/>
          </w:tblCellMar>
        </w:tblPrEx>
        <w:trPr>
          <w:trHeight w:val="944" w:hRule="atLeast"/>
        </w:trPr>
        <w:tc>
          <w:tcPr>
            <w:tcW w:w="660" w:type="dxa"/>
            <w:vMerge w:val="continue"/>
            <w:tcBorders>
              <w:left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b/>
                <w:bCs/>
                <w:sz w:val="24"/>
                <w:szCs w:val="24"/>
              </w:rPr>
            </w:pPr>
          </w:p>
        </w:tc>
        <w:tc>
          <w:tcPr>
            <w:tcW w:w="1609"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获奖及履约能力</w:t>
            </w:r>
          </w:p>
        </w:tc>
        <w:tc>
          <w:tcPr>
            <w:tcW w:w="1069"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5分</w:t>
            </w:r>
          </w:p>
        </w:tc>
        <w:tc>
          <w:tcPr>
            <w:tcW w:w="5860" w:type="dxa"/>
            <w:tcBorders>
              <w:top w:val="nil"/>
              <w:left w:val="nil"/>
              <w:bottom w:val="single" w:color="auto" w:sz="4" w:space="0"/>
              <w:right w:val="single" w:color="auto" w:sz="4" w:space="0"/>
            </w:tcBorders>
            <w:vAlign w:val="center"/>
          </w:tcPr>
          <w:p>
            <w:pPr>
              <w:spacing w:line="400" w:lineRule="exact"/>
              <w:rPr>
                <w:rFonts w:hint="eastAsia" w:ascii="宋体" w:hAnsi="宋体" w:eastAsia="宋体" w:cs="宋体"/>
                <w:kern w:val="2"/>
                <w:sz w:val="24"/>
                <w:szCs w:val="24"/>
                <w:lang w:val="en-US" w:eastAsia="zh-CN" w:bidi="ar-SA"/>
              </w:rPr>
            </w:pPr>
            <w:r>
              <w:rPr>
                <w:rFonts w:hint="eastAsia" w:ascii="宋体" w:hAnsi="宋体" w:cs="宋体"/>
                <w:sz w:val="24"/>
              </w:rPr>
              <w:t>1、近五年</w:t>
            </w:r>
            <w:r>
              <w:rPr>
                <w:rFonts w:hint="eastAsia" w:ascii="宋体" w:hAnsi="宋体" w:cs="宋体"/>
                <w:sz w:val="24"/>
                <w:lang w:eastAsia="zh-CN"/>
              </w:rPr>
              <w:t>相关</w:t>
            </w:r>
            <w:r>
              <w:rPr>
                <w:rFonts w:hint="eastAsia" w:ascii="宋体" w:hAnsi="宋体" w:cs="宋体"/>
                <w:sz w:val="24"/>
              </w:rPr>
              <w:t>业绩获奖项每提供一个得2.5分，最多得5分，未提供证明材料的，本项得0分；</w:t>
            </w:r>
          </w:p>
        </w:tc>
      </w:tr>
      <w:tr>
        <w:tblPrEx>
          <w:tblCellMar>
            <w:top w:w="0" w:type="dxa"/>
            <w:left w:w="108" w:type="dxa"/>
            <w:bottom w:w="0" w:type="dxa"/>
            <w:right w:w="108" w:type="dxa"/>
          </w:tblCellMar>
        </w:tblPrEx>
        <w:trPr>
          <w:trHeight w:val="734" w:hRule="atLeast"/>
        </w:trPr>
        <w:tc>
          <w:tcPr>
            <w:tcW w:w="660" w:type="dxa"/>
            <w:vMerge w:val="continue"/>
            <w:tcBorders>
              <w:left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b/>
                <w:bCs/>
                <w:sz w:val="24"/>
                <w:szCs w:val="24"/>
              </w:rPr>
            </w:pPr>
          </w:p>
        </w:tc>
        <w:tc>
          <w:tcPr>
            <w:tcW w:w="1609"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财务及信誉状况</w:t>
            </w:r>
          </w:p>
        </w:tc>
        <w:tc>
          <w:tcPr>
            <w:tcW w:w="1069"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3分</w:t>
            </w:r>
          </w:p>
        </w:tc>
        <w:tc>
          <w:tcPr>
            <w:tcW w:w="5860" w:type="dxa"/>
            <w:tcBorders>
              <w:top w:val="nil"/>
              <w:left w:val="nil"/>
              <w:bottom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sz w:val="24"/>
                <w:szCs w:val="24"/>
              </w:rPr>
            </w:pPr>
            <w:r>
              <w:rPr>
                <w:rFonts w:hint="eastAsia" w:ascii="宋体" w:hAnsi="宋体" w:eastAsia="宋体" w:cs="宋体"/>
                <w:sz w:val="24"/>
                <w:szCs w:val="24"/>
              </w:rPr>
              <w:t>近三年投标人财务、信誉状况良好，得 3分；一般，得 1分；差的，得0分；</w:t>
            </w:r>
          </w:p>
        </w:tc>
      </w:tr>
      <w:tr>
        <w:tblPrEx>
          <w:tblCellMar>
            <w:top w:w="0" w:type="dxa"/>
            <w:left w:w="108" w:type="dxa"/>
            <w:bottom w:w="0" w:type="dxa"/>
            <w:right w:w="108" w:type="dxa"/>
          </w:tblCellMar>
        </w:tblPrEx>
        <w:trPr>
          <w:trHeight w:val="1284" w:hRule="atLeast"/>
        </w:trPr>
        <w:tc>
          <w:tcPr>
            <w:tcW w:w="660" w:type="dxa"/>
            <w:vMerge w:val="continue"/>
            <w:tcBorders>
              <w:left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b/>
                <w:bCs/>
                <w:sz w:val="24"/>
                <w:szCs w:val="24"/>
              </w:rPr>
            </w:pPr>
          </w:p>
        </w:tc>
        <w:tc>
          <w:tcPr>
            <w:tcW w:w="1609"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投标文件完整度</w:t>
            </w:r>
          </w:p>
        </w:tc>
        <w:tc>
          <w:tcPr>
            <w:tcW w:w="1069"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2分</w:t>
            </w:r>
          </w:p>
        </w:tc>
        <w:tc>
          <w:tcPr>
            <w:tcW w:w="5860" w:type="dxa"/>
            <w:tcBorders>
              <w:top w:val="nil"/>
              <w:left w:val="nil"/>
              <w:bottom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sz w:val="24"/>
                <w:szCs w:val="24"/>
              </w:rPr>
            </w:pPr>
            <w:r>
              <w:rPr>
                <w:rFonts w:hint="eastAsia" w:ascii="宋体" w:hAnsi="宋体" w:eastAsia="宋体" w:cs="宋体"/>
                <w:sz w:val="24"/>
                <w:szCs w:val="24"/>
              </w:rPr>
              <w:t>投标文件格式和内容是否按照招标文件要求编制；内容完整性、文字清晰度、装订整齐度，目录清晰度、正文是否页码一一对应、查找是否方便，最优得2分，否则相应扣减，最低得0分。</w:t>
            </w:r>
          </w:p>
        </w:tc>
      </w:tr>
      <w:tr>
        <w:tblPrEx>
          <w:tblCellMar>
            <w:top w:w="0" w:type="dxa"/>
            <w:left w:w="108" w:type="dxa"/>
            <w:bottom w:w="0" w:type="dxa"/>
            <w:right w:w="108" w:type="dxa"/>
          </w:tblCellMar>
        </w:tblPrEx>
        <w:trPr>
          <w:trHeight w:val="475" w:hRule="atLeast"/>
        </w:trPr>
        <w:tc>
          <w:tcPr>
            <w:tcW w:w="660" w:type="dxa"/>
            <w:vMerge w:val="continue"/>
            <w:tcBorders>
              <w:left w:val="single" w:color="auto" w:sz="4" w:space="0"/>
              <w:bottom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b/>
                <w:bCs/>
                <w:sz w:val="24"/>
                <w:szCs w:val="24"/>
              </w:rPr>
            </w:pPr>
          </w:p>
        </w:tc>
        <w:tc>
          <w:tcPr>
            <w:tcW w:w="1609"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合计</w:t>
            </w:r>
          </w:p>
        </w:tc>
        <w:tc>
          <w:tcPr>
            <w:tcW w:w="6929" w:type="dxa"/>
            <w:gridSpan w:val="2"/>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sz w:val="24"/>
                <w:szCs w:val="24"/>
              </w:rPr>
            </w:pPr>
          </w:p>
          <w:p>
            <w:pPr>
              <w:pageBreakBefore w:val="0"/>
              <w:wordWrap/>
              <w:topLinePunct w:val="0"/>
              <w:bidi w:val="0"/>
              <w:spacing w:line="400" w:lineRule="exact"/>
              <w:jc w:val="center"/>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0分</w:t>
            </w:r>
          </w:p>
          <w:p>
            <w:pPr>
              <w:pageBreakBefore w:val="0"/>
              <w:wordWrap/>
              <w:topLinePunct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　</w:t>
            </w:r>
          </w:p>
        </w:tc>
      </w:tr>
      <w:tr>
        <w:tblPrEx>
          <w:tblCellMar>
            <w:top w:w="0" w:type="dxa"/>
            <w:left w:w="108" w:type="dxa"/>
            <w:bottom w:w="0" w:type="dxa"/>
            <w:right w:w="108" w:type="dxa"/>
          </w:tblCellMar>
        </w:tblPrEx>
        <w:trPr>
          <w:trHeight w:val="649" w:hRule="atLeast"/>
        </w:trPr>
        <w:tc>
          <w:tcPr>
            <w:tcW w:w="660" w:type="dxa"/>
            <w:vMerge w:val="restart"/>
            <w:tcBorders>
              <w:top w:val="nil"/>
              <w:left w:val="single" w:color="auto" w:sz="4" w:space="0"/>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技术部分</w:t>
            </w:r>
          </w:p>
        </w:tc>
        <w:tc>
          <w:tcPr>
            <w:tcW w:w="1609" w:type="dxa"/>
            <w:vMerge w:val="restart"/>
            <w:tcBorders>
              <w:top w:val="nil"/>
              <w:left w:val="single" w:color="auto" w:sz="4" w:space="0"/>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项目负责人的资历、能力和业绩等</w:t>
            </w:r>
          </w:p>
        </w:tc>
        <w:tc>
          <w:tcPr>
            <w:tcW w:w="1069" w:type="dxa"/>
            <w:vMerge w:val="restart"/>
            <w:tcBorders>
              <w:top w:val="nil"/>
              <w:left w:val="single" w:color="auto" w:sz="4" w:space="0"/>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5分</w:t>
            </w:r>
          </w:p>
        </w:tc>
        <w:tc>
          <w:tcPr>
            <w:tcW w:w="5860" w:type="dxa"/>
            <w:tcBorders>
              <w:top w:val="nil"/>
              <w:left w:val="nil"/>
              <w:bottom w:val="nil"/>
              <w:right w:val="single" w:color="auto" w:sz="4" w:space="0"/>
            </w:tcBorders>
            <w:vAlign w:val="center"/>
          </w:tcPr>
          <w:p>
            <w:pPr>
              <w:spacing w:line="400" w:lineRule="exact"/>
              <w:jc w:val="center"/>
              <w:rPr>
                <w:rFonts w:hint="eastAsia" w:ascii="宋体" w:hAnsi="宋体" w:eastAsia="宋体" w:cs="宋体"/>
                <w:color w:val="auto"/>
                <w:sz w:val="24"/>
                <w:szCs w:val="24"/>
              </w:rPr>
            </w:pPr>
            <w:r>
              <w:rPr>
                <w:rFonts w:hint="eastAsia" w:ascii="宋体" w:hAnsi="宋体" w:cs="宋体"/>
                <w:color w:val="auto"/>
                <w:sz w:val="24"/>
              </w:rPr>
              <w:t>1、项目负责人具有</w:t>
            </w:r>
            <w:r>
              <w:rPr>
                <w:rFonts w:hint="eastAsia" w:ascii="宋体" w:hAnsi="宋体" w:cs="宋体"/>
                <w:color w:val="auto"/>
                <w:sz w:val="24"/>
                <w:lang w:eastAsia="zh-CN"/>
              </w:rPr>
              <w:t>人防建设专业</w:t>
            </w:r>
            <w:r>
              <w:rPr>
                <w:rFonts w:hint="eastAsia" w:ascii="宋体" w:hAnsi="宋体" w:cs="宋体"/>
                <w:color w:val="auto"/>
                <w:sz w:val="24"/>
              </w:rPr>
              <w:t>高级职称的得1分，若同时获得</w:t>
            </w:r>
            <w:r>
              <w:rPr>
                <w:rFonts w:hint="eastAsia" w:ascii="宋体" w:hAnsi="宋体" w:cs="宋体"/>
                <w:color w:val="auto"/>
                <w:sz w:val="24"/>
                <w:lang w:eastAsia="zh-CN"/>
              </w:rPr>
              <w:t>一级注册建筑</w:t>
            </w:r>
            <w:r>
              <w:rPr>
                <w:rFonts w:hint="eastAsia" w:ascii="宋体" w:hAnsi="宋体" w:cs="宋体"/>
                <w:color w:val="auto"/>
                <w:sz w:val="24"/>
              </w:rPr>
              <w:t>工程师证书的得2分</w:t>
            </w:r>
          </w:p>
        </w:tc>
      </w:tr>
      <w:tr>
        <w:tblPrEx>
          <w:tblCellMar>
            <w:top w:w="0" w:type="dxa"/>
            <w:left w:w="108" w:type="dxa"/>
            <w:bottom w:w="0" w:type="dxa"/>
            <w:right w:w="108" w:type="dxa"/>
          </w:tblCellMar>
        </w:tblPrEx>
        <w:trPr>
          <w:trHeight w:val="931" w:hRule="atLeast"/>
        </w:trPr>
        <w:tc>
          <w:tcPr>
            <w:tcW w:w="660" w:type="dxa"/>
            <w:vMerge w:val="continue"/>
            <w:tcBorders>
              <w:top w:val="nil"/>
              <w:left w:val="single" w:color="auto" w:sz="4" w:space="0"/>
              <w:bottom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b/>
                <w:bCs/>
                <w:sz w:val="24"/>
                <w:szCs w:val="24"/>
              </w:rPr>
            </w:pPr>
          </w:p>
        </w:tc>
        <w:tc>
          <w:tcPr>
            <w:tcW w:w="1609" w:type="dxa"/>
            <w:vMerge w:val="continue"/>
            <w:tcBorders>
              <w:top w:val="nil"/>
              <w:left w:val="single" w:color="auto" w:sz="4" w:space="0"/>
              <w:bottom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b/>
                <w:bCs/>
                <w:sz w:val="24"/>
                <w:szCs w:val="24"/>
              </w:rPr>
            </w:pPr>
          </w:p>
        </w:tc>
        <w:tc>
          <w:tcPr>
            <w:tcW w:w="1069" w:type="dxa"/>
            <w:vMerge w:val="continue"/>
            <w:tcBorders>
              <w:top w:val="nil"/>
              <w:left w:val="single" w:color="auto" w:sz="4" w:space="0"/>
              <w:bottom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sz w:val="24"/>
                <w:szCs w:val="24"/>
              </w:rPr>
            </w:pPr>
          </w:p>
        </w:tc>
        <w:tc>
          <w:tcPr>
            <w:tcW w:w="5860" w:type="dxa"/>
            <w:tcBorders>
              <w:top w:val="nil"/>
              <w:left w:val="nil"/>
              <w:bottom w:val="single" w:color="auto" w:sz="4" w:space="0"/>
              <w:right w:val="single" w:color="auto" w:sz="4" w:space="0"/>
            </w:tcBorders>
            <w:vAlign w:val="center"/>
          </w:tcPr>
          <w:p>
            <w:pPr>
              <w:spacing w:line="400" w:lineRule="exact"/>
              <w:jc w:val="center"/>
              <w:rPr>
                <w:rFonts w:hint="eastAsia" w:ascii="宋体" w:hAnsi="宋体" w:eastAsia="宋体" w:cs="宋体"/>
                <w:sz w:val="24"/>
                <w:szCs w:val="24"/>
              </w:rPr>
            </w:pPr>
            <w:r>
              <w:rPr>
                <w:rFonts w:hint="eastAsia" w:ascii="宋体" w:hAnsi="宋体" w:cs="宋体"/>
                <w:sz w:val="24"/>
              </w:rPr>
              <w:t>2、近五年内作为项目主设参与过类似项目的业绩，每提供一项类似业绩得1分，最多得3</w:t>
            </w:r>
            <w:bookmarkStart w:id="329" w:name="_GoBack"/>
            <w:bookmarkEnd w:id="329"/>
            <w:r>
              <w:rPr>
                <w:rFonts w:hint="eastAsia" w:ascii="宋体" w:hAnsi="宋体" w:cs="宋体"/>
                <w:sz w:val="24"/>
              </w:rPr>
              <w:t>分；</w:t>
            </w:r>
          </w:p>
        </w:tc>
      </w:tr>
      <w:tr>
        <w:tblPrEx>
          <w:tblCellMar>
            <w:top w:w="0" w:type="dxa"/>
            <w:left w:w="108" w:type="dxa"/>
            <w:bottom w:w="0" w:type="dxa"/>
            <w:right w:w="108" w:type="dxa"/>
          </w:tblCellMar>
        </w:tblPrEx>
        <w:trPr>
          <w:trHeight w:val="1582" w:hRule="atLeast"/>
        </w:trPr>
        <w:tc>
          <w:tcPr>
            <w:tcW w:w="660" w:type="dxa"/>
            <w:vMerge w:val="continue"/>
            <w:tcBorders>
              <w:top w:val="nil"/>
              <w:left w:val="single" w:color="auto" w:sz="4" w:space="0"/>
              <w:bottom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b/>
                <w:bCs/>
                <w:sz w:val="24"/>
                <w:szCs w:val="24"/>
              </w:rPr>
            </w:pPr>
          </w:p>
        </w:tc>
        <w:tc>
          <w:tcPr>
            <w:tcW w:w="1609"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项目组成员配置</w:t>
            </w:r>
          </w:p>
        </w:tc>
        <w:tc>
          <w:tcPr>
            <w:tcW w:w="1069"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5分</w:t>
            </w:r>
          </w:p>
        </w:tc>
        <w:tc>
          <w:tcPr>
            <w:tcW w:w="5860" w:type="dxa"/>
            <w:tcBorders>
              <w:top w:val="nil"/>
              <w:left w:val="nil"/>
              <w:bottom w:val="single" w:color="auto" w:sz="4" w:space="0"/>
              <w:right w:val="single" w:color="auto" w:sz="4" w:space="0"/>
            </w:tcBorders>
            <w:vAlign w:val="center"/>
          </w:tcPr>
          <w:p>
            <w:pPr>
              <w:spacing w:line="400" w:lineRule="exact"/>
              <w:rPr>
                <w:rFonts w:ascii="宋体" w:hAnsi="宋体" w:cs="宋体"/>
                <w:sz w:val="24"/>
              </w:rPr>
            </w:pPr>
            <w:r>
              <w:rPr>
                <w:rFonts w:hint="eastAsia" w:ascii="宋体" w:hAnsi="宋体" w:cs="宋体"/>
                <w:sz w:val="24"/>
              </w:rPr>
              <w:t>1、项目组成员具有工程师证书的得1分，最多得2分；</w:t>
            </w:r>
          </w:p>
          <w:p>
            <w:pPr>
              <w:spacing w:line="400" w:lineRule="exact"/>
              <w:rPr>
                <w:rFonts w:hint="eastAsia" w:ascii="宋体" w:hAnsi="宋体" w:eastAsia="宋体" w:cs="宋体"/>
                <w:kern w:val="2"/>
                <w:sz w:val="24"/>
                <w:szCs w:val="24"/>
                <w:lang w:val="en-US" w:eastAsia="zh-CN" w:bidi="ar-SA"/>
              </w:rPr>
            </w:pPr>
            <w:r>
              <w:rPr>
                <w:rFonts w:hint="eastAsia" w:ascii="宋体" w:hAnsi="宋体" w:cs="宋体"/>
                <w:sz w:val="24"/>
              </w:rPr>
              <w:t>2、3人及以上具备高级职称得3分，</w:t>
            </w:r>
          </w:p>
        </w:tc>
      </w:tr>
      <w:tr>
        <w:tblPrEx>
          <w:tblCellMar>
            <w:top w:w="0" w:type="dxa"/>
            <w:left w:w="108" w:type="dxa"/>
            <w:bottom w:w="0" w:type="dxa"/>
            <w:right w:w="108" w:type="dxa"/>
          </w:tblCellMar>
        </w:tblPrEx>
        <w:trPr>
          <w:trHeight w:val="1327" w:hRule="atLeast"/>
        </w:trPr>
        <w:tc>
          <w:tcPr>
            <w:tcW w:w="660" w:type="dxa"/>
            <w:vMerge w:val="continue"/>
            <w:tcBorders>
              <w:top w:val="nil"/>
              <w:left w:val="single" w:color="auto" w:sz="4" w:space="0"/>
              <w:bottom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b/>
                <w:bCs/>
                <w:sz w:val="24"/>
                <w:szCs w:val="24"/>
              </w:rPr>
            </w:pPr>
          </w:p>
        </w:tc>
        <w:tc>
          <w:tcPr>
            <w:tcW w:w="1609"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技术方案</w:t>
            </w:r>
          </w:p>
        </w:tc>
        <w:tc>
          <w:tcPr>
            <w:tcW w:w="1069"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sz w:val="24"/>
                <w:szCs w:val="24"/>
              </w:rPr>
            </w:pPr>
            <w:r>
              <w:rPr>
                <w:rFonts w:hint="eastAsia" w:ascii="宋体" w:hAnsi="宋体" w:cs="宋体"/>
                <w:sz w:val="24"/>
                <w:szCs w:val="24"/>
                <w:lang w:val="en-US" w:eastAsia="zh-CN"/>
              </w:rPr>
              <w:t>25</w:t>
            </w:r>
            <w:r>
              <w:rPr>
                <w:rFonts w:hint="eastAsia" w:ascii="宋体" w:hAnsi="宋体" w:eastAsia="宋体" w:cs="宋体"/>
                <w:sz w:val="24"/>
                <w:szCs w:val="24"/>
              </w:rPr>
              <w:t>分</w:t>
            </w:r>
          </w:p>
        </w:tc>
        <w:tc>
          <w:tcPr>
            <w:tcW w:w="5860" w:type="dxa"/>
            <w:tcBorders>
              <w:top w:val="nil"/>
              <w:left w:val="nil"/>
              <w:bottom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sz w:val="24"/>
                <w:szCs w:val="24"/>
              </w:rPr>
            </w:pPr>
            <w:r>
              <w:rPr>
                <w:rFonts w:hint="eastAsia" w:ascii="宋体" w:hAnsi="宋体" w:cs="宋体"/>
                <w:sz w:val="24"/>
              </w:rPr>
              <w:t>依据本项目工作任务和相关要求，编制工作技术方案，1、对规划项目的理解：项目概况，项目任务及规模等分析透彻，论证依据设计合理，最优得</w:t>
            </w:r>
            <w:r>
              <w:rPr>
                <w:rFonts w:hint="eastAsia" w:ascii="宋体" w:hAnsi="宋体" w:cs="宋体"/>
                <w:sz w:val="24"/>
                <w:lang w:val="en-US" w:eastAsia="zh-CN"/>
              </w:rPr>
              <w:t>10</w:t>
            </w:r>
            <w:r>
              <w:rPr>
                <w:rFonts w:hint="eastAsia" w:ascii="宋体" w:hAnsi="宋体" w:cs="宋体"/>
                <w:sz w:val="24"/>
              </w:rPr>
              <w:t>分，良</w:t>
            </w:r>
            <w:r>
              <w:rPr>
                <w:rFonts w:hint="eastAsia" w:ascii="宋体" w:hAnsi="宋体" w:cs="宋体"/>
                <w:sz w:val="24"/>
                <w:lang w:val="en-US" w:eastAsia="zh-CN"/>
              </w:rPr>
              <w:t>7</w:t>
            </w:r>
            <w:r>
              <w:rPr>
                <w:rFonts w:hint="eastAsia" w:ascii="宋体" w:hAnsi="宋体" w:cs="宋体"/>
                <w:sz w:val="24"/>
              </w:rPr>
              <w:t>分，一般</w:t>
            </w:r>
            <w:r>
              <w:rPr>
                <w:rFonts w:hint="eastAsia" w:ascii="宋体" w:hAnsi="宋体" w:cs="宋体"/>
                <w:sz w:val="24"/>
                <w:lang w:val="en-US" w:eastAsia="zh-CN"/>
              </w:rPr>
              <w:t>4</w:t>
            </w:r>
            <w:r>
              <w:rPr>
                <w:rFonts w:hint="eastAsia" w:ascii="宋体" w:hAnsi="宋体" w:cs="宋体"/>
                <w:sz w:val="24"/>
              </w:rPr>
              <w:t>分，差</w:t>
            </w:r>
            <w:r>
              <w:rPr>
                <w:rFonts w:hint="eastAsia" w:ascii="宋体" w:hAnsi="宋体" w:cs="宋体"/>
                <w:sz w:val="24"/>
                <w:lang w:val="en-US" w:eastAsia="zh-CN"/>
              </w:rPr>
              <w:t>1</w:t>
            </w:r>
            <w:r>
              <w:rPr>
                <w:rFonts w:hint="eastAsia" w:ascii="宋体" w:hAnsi="宋体" w:cs="宋体"/>
                <w:sz w:val="24"/>
              </w:rPr>
              <w:t>分；2、论证内容：与上位总体规划响应密切，操作切实可行，最优得</w:t>
            </w:r>
            <w:r>
              <w:rPr>
                <w:rFonts w:hint="eastAsia" w:ascii="宋体" w:hAnsi="宋体" w:cs="宋体"/>
                <w:sz w:val="24"/>
                <w:lang w:val="en-US" w:eastAsia="zh-CN"/>
              </w:rPr>
              <w:t>5</w:t>
            </w:r>
            <w:r>
              <w:rPr>
                <w:rFonts w:hint="eastAsia" w:ascii="宋体" w:hAnsi="宋体" w:cs="宋体"/>
                <w:sz w:val="24"/>
              </w:rPr>
              <w:t>分，良</w:t>
            </w:r>
            <w:r>
              <w:rPr>
                <w:rFonts w:hint="eastAsia" w:ascii="宋体" w:hAnsi="宋体" w:cs="宋体"/>
                <w:sz w:val="24"/>
                <w:lang w:val="en-US" w:eastAsia="zh-CN"/>
              </w:rPr>
              <w:t>3</w:t>
            </w:r>
            <w:r>
              <w:rPr>
                <w:rFonts w:hint="eastAsia" w:ascii="宋体" w:hAnsi="宋体" w:cs="宋体"/>
                <w:sz w:val="24"/>
              </w:rPr>
              <w:t>分，一般</w:t>
            </w:r>
            <w:r>
              <w:rPr>
                <w:rFonts w:hint="eastAsia" w:ascii="宋体" w:hAnsi="宋体" w:cs="宋体"/>
                <w:sz w:val="24"/>
                <w:lang w:val="en-US" w:eastAsia="zh-CN"/>
              </w:rPr>
              <w:t>2</w:t>
            </w:r>
            <w:r>
              <w:rPr>
                <w:rFonts w:hint="eastAsia" w:ascii="宋体" w:hAnsi="宋体" w:cs="宋体"/>
                <w:sz w:val="24"/>
              </w:rPr>
              <w:t>分，差</w:t>
            </w:r>
            <w:r>
              <w:rPr>
                <w:rFonts w:hint="eastAsia" w:ascii="宋体" w:hAnsi="宋体" w:cs="宋体"/>
                <w:sz w:val="24"/>
                <w:lang w:val="en-US" w:eastAsia="zh-CN"/>
              </w:rPr>
              <w:t>1</w:t>
            </w:r>
            <w:r>
              <w:rPr>
                <w:rFonts w:hint="eastAsia" w:ascii="宋体" w:hAnsi="宋体" w:cs="宋体"/>
                <w:sz w:val="24"/>
              </w:rPr>
              <w:t>分；3、论证的重点和难点：分析明确、透彻,提出切实可行的对策和措施，最优得</w:t>
            </w:r>
            <w:r>
              <w:rPr>
                <w:rFonts w:hint="eastAsia" w:ascii="宋体" w:hAnsi="宋体" w:cs="宋体"/>
                <w:sz w:val="24"/>
                <w:lang w:val="en-US" w:eastAsia="zh-CN"/>
              </w:rPr>
              <w:t>5</w:t>
            </w:r>
            <w:r>
              <w:rPr>
                <w:rFonts w:hint="eastAsia" w:ascii="宋体" w:hAnsi="宋体" w:cs="宋体"/>
                <w:sz w:val="24"/>
              </w:rPr>
              <w:t>分，良</w:t>
            </w:r>
            <w:r>
              <w:rPr>
                <w:rFonts w:hint="eastAsia" w:ascii="宋体" w:hAnsi="宋体" w:cs="宋体"/>
                <w:sz w:val="24"/>
                <w:lang w:val="en-US" w:eastAsia="zh-CN"/>
              </w:rPr>
              <w:t>3</w:t>
            </w:r>
            <w:r>
              <w:rPr>
                <w:rFonts w:hint="eastAsia" w:ascii="宋体" w:hAnsi="宋体" w:cs="宋体"/>
                <w:sz w:val="24"/>
              </w:rPr>
              <w:t>分，一般</w:t>
            </w:r>
            <w:r>
              <w:rPr>
                <w:rFonts w:hint="eastAsia" w:ascii="宋体" w:hAnsi="宋体" w:cs="宋体"/>
                <w:sz w:val="24"/>
                <w:lang w:val="en-US" w:eastAsia="zh-CN"/>
              </w:rPr>
              <w:t>2</w:t>
            </w:r>
            <w:r>
              <w:rPr>
                <w:rFonts w:hint="eastAsia" w:ascii="宋体" w:hAnsi="宋体" w:cs="宋体"/>
                <w:sz w:val="24"/>
              </w:rPr>
              <w:t>分，差</w:t>
            </w:r>
            <w:r>
              <w:rPr>
                <w:rFonts w:hint="eastAsia" w:ascii="宋体" w:hAnsi="宋体" w:cs="宋体"/>
                <w:sz w:val="24"/>
                <w:lang w:val="en-US" w:eastAsia="zh-CN"/>
              </w:rPr>
              <w:t>1</w:t>
            </w:r>
            <w:r>
              <w:rPr>
                <w:rFonts w:hint="eastAsia" w:ascii="宋体" w:hAnsi="宋体" w:cs="宋体"/>
                <w:sz w:val="24"/>
              </w:rPr>
              <w:t>分；；4、新法规、新条例、新技术、新工艺采用状况，最优得</w:t>
            </w:r>
            <w:r>
              <w:rPr>
                <w:rFonts w:hint="eastAsia" w:ascii="宋体" w:hAnsi="宋体" w:cs="宋体"/>
                <w:sz w:val="24"/>
                <w:lang w:val="en-US" w:eastAsia="zh-CN"/>
              </w:rPr>
              <w:t>5</w:t>
            </w:r>
            <w:r>
              <w:rPr>
                <w:rFonts w:hint="eastAsia" w:ascii="宋体" w:hAnsi="宋体" w:cs="宋体"/>
                <w:sz w:val="24"/>
              </w:rPr>
              <w:t>分，良</w:t>
            </w:r>
            <w:r>
              <w:rPr>
                <w:rFonts w:hint="eastAsia" w:ascii="宋体" w:hAnsi="宋体" w:cs="宋体"/>
                <w:sz w:val="24"/>
                <w:lang w:val="en-US" w:eastAsia="zh-CN"/>
              </w:rPr>
              <w:t>3</w:t>
            </w:r>
            <w:r>
              <w:rPr>
                <w:rFonts w:hint="eastAsia" w:ascii="宋体" w:hAnsi="宋体" w:cs="宋体"/>
                <w:sz w:val="24"/>
              </w:rPr>
              <w:t>分，一般</w:t>
            </w:r>
            <w:r>
              <w:rPr>
                <w:rFonts w:hint="eastAsia" w:ascii="宋体" w:hAnsi="宋体" w:cs="宋体"/>
                <w:sz w:val="24"/>
                <w:lang w:val="en-US" w:eastAsia="zh-CN"/>
              </w:rPr>
              <w:t>2</w:t>
            </w:r>
            <w:r>
              <w:rPr>
                <w:rFonts w:hint="eastAsia" w:ascii="宋体" w:hAnsi="宋体" w:cs="宋体"/>
                <w:sz w:val="24"/>
              </w:rPr>
              <w:t>分，差</w:t>
            </w:r>
            <w:r>
              <w:rPr>
                <w:rFonts w:hint="eastAsia" w:ascii="宋体" w:hAnsi="宋体" w:cs="宋体"/>
                <w:sz w:val="24"/>
                <w:lang w:val="en-US" w:eastAsia="zh-CN"/>
              </w:rPr>
              <w:t>1</w:t>
            </w:r>
            <w:r>
              <w:rPr>
                <w:rFonts w:hint="eastAsia" w:ascii="宋体" w:hAnsi="宋体" w:cs="宋体"/>
                <w:sz w:val="24"/>
              </w:rPr>
              <w:t>分。</w:t>
            </w:r>
          </w:p>
        </w:tc>
      </w:tr>
      <w:tr>
        <w:tblPrEx>
          <w:tblCellMar>
            <w:top w:w="0" w:type="dxa"/>
            <w:left w:w="108" w:type="dxa"/>
            <w:bottom w:w="0" w:type="dxa"/>
            <w:right w:w="108" w:type="dxa"/>
          </w:tblCellMar>
        </w:tblPrEx>
        <w:trPr>
          <w:trHeight w:val="1215" w:hRule="atLeast"/>
        </w:trPr>
        <w:tc>
          <w:tcPr>
            <w:tcW w:w="660" w:type="dxa"/>
            <w:vMerge w:val="continue"/>
            <w:tcBorders>
              <w:top w:val="nil"/>
              <w:left w:val="single" w:color="auto" w:sz="4" w:space="0"/>
              <w:bottom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b/>
                <w:bCs/>
                <w:sz w:val="24"/>
                <w:szCs w:val="24"/>
              </w:rPr>
            </w:pPr>
          </w:p>
        </w:tc>
        <w:tc>
          <w:tcPr>
            <w:tcW w:w="1609"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技术路线</w:t>
            </w:r>
          </w:p>
        </w:tc>
        <w:tc>
          <w:tcPr>
            <w:tcW w:w="1069"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sz w:val="24"/>
                <w:szCs w:val="24"/>
              </w:rPr>
            </w:pPr>
            <w:r>
              <w:rPr>
                <w:rFonts w:hint="eastAsia" w:ascii="宋体" w:hAnsi="宋体" w:cs="宋体"/>
                <w:sz w:val="24"/>
                <w:szCs w:val="24"/>
                <w:lang w:val="en-US" w:eastAsia="zh-CN"/>
              </w:rPr>
              <w:t>10</w:t>
            </w:r>
            <w:r>
              <w:rPr>
                <w:rFonts w:hint="eastAsia" w:ascii="宋体" w:hAnsi="宋体" w:eastAsia="宋体" w:cs="宋体"/>
                <w:sz w:val="24"/>
                <w:szCs w:val="24"/>
              </w:rPr>
              <w:t>分</w:t>
            </w:r>
          </w:p>
        </w:tc>
        <w:tc>
          <w:tcPr>
            <w:tcW w:w="5860"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按照相关文件、技术和规程要求，工作方法和技术路线符合要求，合理可行。最优得</w:t>
            </w:r>
            <w:r>
              <w:rPr>
                <w:rFonts w:hint="eastAsia" w:ascii="宋体" w:hAnsi="宋体" w:cs="宋体"/>
                <w:sz w:val="24"/>
                <w:szCs w:val="24"/>
                <w:lang w:val="en-US" w:eastAsia="zh-CN"/>
              </w:rPr>
              <w:t>10</w:t>
            </w:r>
            <w:r>
              <w:rPr>
                <w:rFonts w:hint="eastAsia" w:ascii="宋体" w:hAnsi="宋体" w:eastAsia="宋体" w:cs="宋体"/>
                <w:sz w:val="24"/>
                <w:szCs w:val="24"/>
              </w:rPr>
              <w:t>分，良</w:t>
            </w:r>
            <w:r>
              <w:rPr>
                <w:rFonts w:hint="eastAsia" w:ascii="宋体" w:hAnsi="宋体" w:cs="宋体"/>
                <w:sz w:val="24"/>
                <w:szCs w:val="24"/>
                <w:lang w:val="en-US" w:eastAsia="zh-CN"/>
              </w:rPr>
              <w:t>6</w:t>
            </w:r>
            <w:r>
              <w:rPr>
                <w:rFonts w:hint="eastAsia" w:ascii="宋体" w:hAnsi="宋体" w:eastAsia="宋体" w:cs="宋体"/>
                <w:sz w:val="24"/>
                <w:szCs w:val="24"/>
              </w:rPr>
              <w:t>分，一般</w:t>
            </w:r>
            <w:r>
              <w:rPr>
                <w:rFonts w:hint="eastAsia" w:ascii="宋体" w:hAnsi="宋体" w:cs="宋体"/>
                <w:sz w:val="24"/>
                <w:szCs w:val="24"/>
                <w:lang w:val="en-US" w:eastAsia="zh-CN"/>
              </w:rPr>
              <w:t>3</w:t>
            </w:r>
            <w:r>
              <w:rPr>
                <w:rFonts w:hint="eastAsia" w:ascii="宋体" w:hAnsi="宋体" w:eastAsia="宋体" w:cs="宋体"/>
                <w:sz w:val="24"/>
                <w:szCs w:val="24"/>
              </w:rPr>
              <w:t>分。</w:t>
            </w:r>
          </w:p>
        </w:tc>
      </w:tr>
      <w:tr>
        <w:tblPrEx>
          <w:tblCellMar>
            <w:top w:w="0" w:type="dxa"/>
            <w:left w:w="108" w:type="dxa"/>
            <w:bottom w:w="0" w:type="dxa"/>
            <w:right w:w="108" w:type="dxa"/>
          </w:tblCellMar>
        </w:tblPrEx>
        <w:trPr>
          <w:trHeight w:val="704" w:hRule="atLeast"/>
        </w:trPr>
        <w:tc>
          <w:tcPr>
            <w:tcW w:w="660" w:type="dxa"/>
            <w:vMerge w:val="continue"/>
            <w:tcBorders>
              <w:top w:val="nil"/>
              <w:left w:val="single" w:color="auto" w:sz="4" w:space="0"/>
              <w:bottom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b/>
                <w:bCs/>
                <w:sz w:val="24"/>
                <w:szCs w:val="24"/>
              </w:rPr>
            </w:pPr>
          </w:p>
        </w:tc>
        <w:tc>
          <w:tcPr>
            <w:tcW w:w="1609"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项目进度</w:t>
            </w:r>
          </w:p>
        </w:tc>
        <w:tc>
          <w:tcPr>
            <w:tcW w:w="1069"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5分</w:t>
            </w:r>
          </w:p>
        </w:tc>
        <w:tc>
          <w:tcPr>
            <w:tcW w:w="5860"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项目进度计划制定详尽合理，满足本项目要求。最优得5分，良4分，一般2分。</w:t>
            </w:r>
          </w:p>
        </w:tc>
      </w:tr>
      <w:tr>
        <w:tblPrEx>
          <w:tblCellMar>
            <w:top w:w="0" w:type="dxa"/>
            <w:left w:w="108" w:type="dxa"/>
            <w:bottom w:w="0" w:type="dxa"/>
            <w:right w:w="108" w:type="dxa"/>
          </w:tblCellMar>
        </w:tblPrEx>
        <w:trPr>
          <w:trHeight w:val="770" w:hRule="atLeast"/>
        </w:trPr>
        <w:tc>
          <w:tcPr>
            <w:tcW w:w="660" w:type="dxa"/>
            <w:vMerge w:val="continue"/>
            <w:tcBorders>
              <w:top w:val="nil"/>
              <w:left w:val="single" w:color="auto" w:sz="4" w:space="0"/>
              <w:bottom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b/>
                <w:bCs/>
                <w:sz w:val="24"/>
                <w:szCs w:val="24"/>
              </w:rPr>
            </w:pPr>
          </w:p>
        </w:tc>
        <w:tc>
          <w:tcPr>
            <w:tcW w:w="1609"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现场服务方式及响应速度</w:t>
            </w:r>
          </w:p>
        </w:tc>
        <w:tc>
          <w:tcPr>
            <w:tcW w:w="1069"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5分</w:t>
            </w:r>
          </w:p>
        </w:tc>
        <w:tc>
          <w:tcPr>
            <w:tcW w:w="5860" w:type="dxa"/>
            <w:tcBorders>
              <w:top w:val="nil"/>
              <w:left w:val="nil"/>
              <w:bottom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sz w:val="24"/>
                <w:szCs w:val="24"/>
              </w:rPr>
            </w:pPr>
            <w:r>
              <w:rPr>
                <w:rFonts w:hint="eastAsia" w:ascii="宋体" w:hAnsi="宋体" w:eastAsia="宋体" w:cs="宋体"/>
                <w:sz w:val="24"/>
                <w:szCs w:val="24"/>
              </w:rPr>
              <w:t>1、能够及时响应业主需求，安排专业技术人员到达现场为业主提供技术咨询、培训</w:t>
            </w:r>
            <w:r>
              <w:rPr>
                <w:rFonts w:hint="eastAsia" w:ascii="宋体" w:hAnsi="宋体" w:cs="宋体"/>
                <w:sz w:val="24"/>
                <w:szCs w:val="24"/>
                <w:lang w:eastAsia="zh-CN"/>
              </w:rPr>
              <w:t>或</w:t>
            </w:r>
            <w:r>
              <w:rPr>
                <w:rFonts w:hint="eastAsia" w:ascii="宋体" w:hAnsi="宋体" w:eastAsia="宋体" w:cs="宋体"/>
                <w:sz w:val="24"/>
                <w:szCs w:val="24"/>
              </w:rPr>
              <w:t>指导驻地服务，得3分，其余酌情赋分；</w:t>
            </w:r>
          </w:p>
          <w:p>
            <w:pPr>
              <w:pageBreakBefore w:val="0"/>
              <w:wordWrap/>
              <w:topLinePunct w:val="0"/>
              <w:bidi w:val="0"/>
              <w:spacing w:line="400" w:lineRule="exact"/>
              <w:rPr>
                <w:rFonts w:hint="eastAsia" w:ascii="宋体" w:hAnsi="宋体" w:eastAsia="宋体" w:cs="宋体"/>
                <w:sz w:val="24"/>
                <w:szCs w:val="24"/>
              </w:rPr>
            </w:pPr>
            <w:r>
              <w:rPr>
                <w:rFonts w:hint="eastAsia" w:ascii="宋体" w:hAnsi="宋体" w:eastAsia="宋体" w:cs="宋体"/>
                <w:sz w:val="24"/>
                <w:szCs w:val="24"/>
              </w:rPr>
              <w:t>2、派驻现场技术人员2名，且涵盖规划专业，经验丰富，均具备高级工程师职称的，得2分，其余酌情赋分；</w:t>
            </w:r>
          </w:p>
        </w:tc>
      </w:tr>
      <w:tr>
        <w:tblPrEx>
          <w:tblCellMar>
            <w:top w:w="0" w:type="dxa"/>
            <w:left w:w="108" w:type="dxa"/>
            <w:bottom w:w="0" w:type="dxa"/>
            <w:right w:w="108" w:type="dxa"/>
          </w:tblCellMar>
        </w:tblPrEx>
        <w:trPr>
          <w:trHeight w:val="1089" w:hRule="atLeast"/>
        </w:trPr>
        <w:tc>
          <w:tcPr>
            <w:tcW w:w="660" w:type="dxa"/>
            <w:vMerge w:val="continue"/>
            <w:tcBorders>
              <w:top w:val="nil"/>
              <w:left w:val="single" w:color="auto" w:sz="4" w:space="0"/>
              <w:bottom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b/>
                <w:bCs/>
                <w:sz w:val="24"/>
                <w:szCs w:val="24"/>
              </w:rPr>
            </w:pPr>
          </w:p>
        </w:tc>
        <w:tc>
          <w:tcPr>
            <w:tcW w:w="1609"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售后服务</w:t>
            </w:r>
          </w:p>
        </w:tc>
        <w:tc>
          <w:tcPr>
            <w:tcW w:w="1069"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5分</w:t>
            </w:r>
          </w:p>
        </w:tc>
        <w:tc>
          <w:tcPr>
            <w:tcW w:w="5860" w:type="dxa"/>
            <w:tcBorders>
              <w:top w:val="nil"/>
              <w:left w:val="nil"/>
              <w:bottom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sz w:val="24"/>
                <w:szCs w:val="24"/>
              </w:rPr>
            </w:pPr>
            <w:r>
              <w:rPr>
                <w:rFonts w:hint="eastAsia" w:ascii="宋体" w:hAnsi="宋体" w:eastAsia="宋体" w:cs="宋体"/>
                <w:sz w:val="24"/>
                <w:szCs w:val="24"/>
              </w:rPr>
              <w:t>1、能够积极主动配合规划、环评专业推进项目，得1分，其余酌情赋分；</w:t>
            </w:r>
          </w:p>
          <w:p>
            <w:pPr>
              <w:pageBreakBefore w:val="0"/>
              <w:wordWrap/>
              <w:topLinePunct w:val="0"/>
              <w:bidi w:val="0"/>
              <w:spacing w:line="400" w:lineRule="exact"/>
              <w:rPr>
                <w:rFonts w:hint="eastAsia" w:ascii="宋体" w:hAnsi="宋体" w:eastAsia="宋体" w:cs="宋体"/>
                <w:sz w:val="24"/>
                <w:szCs w:val="24"/>
              </w:rPr>
            </w:pPr>
            <w:r>
              <w:rPr>
                <w:rFonts w:hint="eastAsia" w:ascii="宋体" w:hAnsi="宋体" w:eastAsia="宋体" w:cs="宋体"/>
                <w:sz w:val="24"/>
                <w:szCs w:val="24"/>
              </w:rPr>
              <w:t>2、有实力且愿意主动协助业主在自治区级行政主管部门完成项目审查推进，得4分，其余酌情赋分；</w:t>
            </w:r>
          </w:p>
        </w:tc>
      </w:tr>
      <w:tr>
        <w:tblPrEx>
          <w:tblCellMar>
            <w:top w:w="0" w:type="dxa"/>
            <w:left w:w="108" w:type="dxa"/>
            <w:bottom w:w="0" w:type="dxa"/>
            <w:right w:w="108" w:type="dxa"/>
          </w:tblCellMar>
        </w:tblPrEx>
        <w:trPr>
          <w:trHeight w:val="635" w:hRule="atLeast"/>
        </w:trPr>
        <w:tc>
          <w:tcPr>
            <w:tcW w:w="660" w:type="dxa"/>
            <w:vMerge w:val="continue"/>
            <w:tcBorders>
              <w:top w:val="nil"/>
              <w:left w:val="single" w:color="auto" w:sz="4" w:space="0"/>
              <w:bottom w:val="single" w:color="auto" w:sz="4" w:space="0"/>
              <w:right w:val="single" w:color="auto" w:sz="4" w:space="0"/>
            </w:tcBorders>
            <w:vAlign w:val="center"/>
          </w:tcPr>
          <w:p>
            <w:pPr>
              <w:pageBreakBefore w:val="0"/>
              <w:wordWrap/>
              <w:topLinePunct w:val="0"/>
              <w:bidi w:val="0"/>
              <w:spacing w:line="400" w:lineRule="exact"/>
              <w:rPr>
                <w:rFonts w:hint="eastAsia" w:ascii="宋体" w:hAnsi="宋体" w:eastAsia="宋体" w:cs="宋体"/>
                <w:b/>
                <w:bCs/>
                <w:sz w:val="24"/>
                <w:szCs w:val="24"/>
              </w:rPr>
            </w:pPr>
          </w:p>
        </w:tc>
        <w:tc>
          <w:tcPr>
            <w:tcW w:w="1609" w:type="dxa"/>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合计</w:t>
            </w:r>
          </w:p>
        </w:tc>
        <w:tc>
          <w:tcPr>
            <w:tcW w:w="6929" w:type="dxa"/>
            <w:gridSpan w:val="2"/>
            <w:tcBorders>
              <w:top w:val="nil"/>
              <w:left w:val="nil"/>
              <w:bottom w:val="single" w:color="auto" w:sz="4" w:space="0"/>
              <w:right w:val="single" w:color="auto" w:sz="4" w:space="0"/>
            </w:tcBorders>
            <w:vAlign w:val="center"/>
          </w:tcPr>
          <w:p>
            <w:pPr>
              <w:pageBreakBefore w:val="0"/>
              <w:wordWrap/>
              <w:topLinePunct w:val="0"/>
              <w:bidi w:val="0"/>
              <w:spacing w:line="400" w:lineRule="exact"/>
              <w:jc w:val="center"/>
              <w:rPr>
                <w:rFonts w:hint="eastAsia" w:ascii="宋体" w:hAnsi="宋体" w:eastAsia="宋体" w:cs="宋体"/>
                <w:sz w:val="24"/>
                <w:szCs w:val="24"/>
              </w:rPr>
            </w:pPr>
          </w:p>
          <w:p>
            <w:pPr>
              <w:pageBreakBefore w:val="0"/>
              <w:wordWrap/>
              <w:topLinePunct w:val="0"/>
              <w:bidi w:val="0"/>
              <w:spacing w:line="400" w:lineRule="exact"/>
              <w:jc w:val="center"/>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0分</w:t>
            </w:r>
          </w:p>
          <w:p>
            <w:pPr>
              <w:pageBreakBefore w:val="0"/>
              <w:wordWrap/>
              <w:topLinePunct w:val="0"/>
              <w:bidi w:val="0"/>
              <w:spacing w:line="400" w:lineRule="exact"/>
              <w:jc w:val="center"/>
              <w:rPr>
                <w:rFonts w:hint="eastAsia" w:ascii="宋体" w:hAnsi="宋体" w:eastAsia="宋体" w:cs="宋体"/>
                <w:sz w:val="24"/>
                <w:szCs w:val="24"/>
              </w:rPr>
            </w:pPr>
          </w:p>
        </w:tc>
      </w:tr>
    </w:tbl>
    <w:p>
      <w:pPr>
        <w:pageBreakBefore w:val="0"/>
        <w:wordWrap/>
        <w:topLinePunct w:val="0"/>
        <w:bidi w:val="0"/>
        <w:spacing w:line="400" w:lineRule="exact"/>
        <w:rPr>
          <w:rFonts w:hint="eastAsia" w:ascii="宋体" w:hAnsi="宋体" w:eastAsia="宋体" w:cs="宋体"/>
          <w:b/>
          <w:bCs/>
          <w:spacing w:val="4"/>
          <w:sz w:val="24"/>
          <w:szCs w:val="24"/>
        </w:rPr>
      </w:pPr>
      <w:r>
        <w:rPr>
          <w:rFonts w:hint="eastAsia" w:ascii="宋体" w:hAnsi="宋体" w:eastAsia="宋体" w:cs="宋体"/>
          <w:b/>
          <w:bCs/>
          <w:spacing w:val="4"/>
          <w:sz w:val="24"/>
          <w:szCs w:val="24"/>
        </w:rPr>
        <w:br w:type="page"/>
      </w:r>
    </w:p>
    <w:p>
      <w:pPr>
        <w:pageBreakBefore w:val="0"/>
        <w:tabs>
          <w:tab w:val="left" w:pos="0"/>
        </w:tabs>
        <w:wordWrap/>
        <w:topLinePunct w:val="0"/>
        <w:bidi w:val="0"/>
        <w:spacing w:line="400" w:lineRule="exact"/>
        <w:rPr>
          <w:rFonts w:hint="eastAsia" w:ascii="宋体" w:hAnsi="宋体" w:eastAsia="宋体" w:cs="宋体"/>
          <w:b/>
          <w:bCs/>
          <w:spacing w:val="4"/>
          <w:sz w:val="24"/>
          <w:szCs w:val="24"/>
        </w:rPr>
      </w:pPr>
      <w:r>
        <w:rPr>
          <w:rFonts w:hint="eastAsia" w:ascii="宋体" w:hAnsi="宋体" w:eastAsia="宋体" w:cs="宋体"/>
          <w:b/>
          <w:bCs/>
          <w:spacing w:val="4"/>
          <w:sz w:val="24"/>
          <w:szCs w:val="24"/>
        </w:rPr>
        <w:t>2、磋商响应文件的澄清</w:t>
      </w:r>
    </w:p>
    <w:p>
      <w:pPr>
        <w:pageBreakBefore w:val="0"/>
        <w:wordWrap/>
        <w:topLinePunct w:val="0"/>
        <w:bidi w:val="0"/>
        <w:spacing w:line="400" w:lineRule="exact"/>
        <w:rPr>
          <w:rFonts w:hint="eastAsia" w:ascii="宋体" w:hAnsi="宋体" w:eastAsia="宋体" w:cs="宋体"/>
          <w:bCs/>
          <w:spacing w:val="4"/>
          <w:sz w:val="24"/>
          <w:szCs w:val="24"/>
        </w:rPr>
      </w:pPr>
      <w:r>
        <w:rPr>
          <w:rFonts w:hint="eastAsia" w:ascii="宋体" w:hAnsi="宋体" w:eastAsia="宋体" w:cs="宋体"/>
          <w:bCs/>
          <w:spacing w:val="4"/>
          <w:sz w:val="24"/>
          <w:szCs w:val="24"/>
        </w:rPr>
        <w:t>2.1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pPr>
        <w:pageBreakBefore w:val="0"/>
        <w:wordWrap/>
        <w:topLinePunct w:val="0"/>
        <w:bidi w:val="0"/>
        <w:spacing w:line="400" w:lineRule="exact"/>
        <w:ind w:firstLine="480" w:firstLineChars="200"/>
        <w:rPr>
          <w:rFonts w:hint="eastAsia" w:ascii="宋体" w:hAnsi="宋体" w:eastAsia="宋体" w:cs="宋体"/>
          <w:bCs/>
          <w:spacing w:val="4"/>
          <w:sz w:val="24"/>
          <w:szCs w:val="24"/>
        </w:rPr>
      </w:pPr>
      <w:r>
        <w:rPr>
          <w:rFonts w:hint="eastAsia" w:ascii="宋体" w:hAnsi="宋体" w:eastAsia="宋体" w:cs="宋体"/>
          <w:color w:val="000000"/>
          <w:sz w:val="24"/>
          <w:szCs w:val="24"/>
        </w:rPr>
        <w:t>2.2有效的书面澄清材料，是磋商响应文件的补充材料，成为磋商响应文件的组成部分。</w:t>
      </w:r>
    </w:p>
    <w:p>
      <w:pPr>
        <w:pageBreakBefore w:val="0"/>
        <w:wordWrap/>
        <w:topLinePunct w:val="0"/>
        <w:bidi w:val="0"/>
        <w:spacing w:line="400" w:lineRule="exact"/>
        <w:ind w:firstLine="482" w:firstLineChars="200"/>
        <w:rPr>
          <w:rFonts w:hint="eastAsia" w:ascii="宋体" w:hAnsi="宋体" w:eastAsia="宋体" w:cs="宋体"/>
          <w:bCs/>
          <w:spacing w:val="4"/>
          <w:sz w:val="24"/>
          <w:szCs w:val="24"/>
        </w:rPr>
      </w:pPr>
      <w:r>
        <w:rPr>
          <w:rFonts w:hint="eastAsia" w:ascii="宋体" w:hAnsi="宋体" w:eastAsia="宋体" w:cs="宋体"/>
          <w:b/>
          <w:color w:val="000000"/>
          <w:sz w:val="24"/>
          <w:szCs w:val="24"/>
        </w:rPr>
        <w:t>3、磋商：</w:t>
      </w:r>
      <w:r>
        <w:rPr>
          <w:rFonts w:hint="eastAsia" w:ascii="宋体" w:hAnsi="宋体" w:eastAsia="宋体" w:cs="宋体"/>
          <w:bCs/>
          <w:spacing w:val="4"/>
          <w:sz w:val="24"/>
          <w:szCs w:val="24"/>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的内容，需经采购人代表确认。</w:t>
      </w:r>
    </w:p>
    <w:p>
      <w:pPr>
        <w:pageBreakBefore w:val="0"/>
        <w:wordWrap/>
        <w:topLinePunct w:val="0"/>
        <w:bidi w:val="0"/>
        <w:spacing w:line="400" w:lineRule="exact"/>
        <w:ind w:firstLine="602" w:firstLineChars="250"/>
        <w:rPr>
          <w:rFonts w:hint="eastAsia" w:ascii="宋体" w:hAnsi="宋体" w:eastAsia="宋体" w:cs="宋体"/>
          <w:bCs/>
          <w:spacing w:val="4"/>
          <w:sz w:val="24"/>
          <w:szCs w:val="24"/>
        </w:rPr>
      </w:pPr>
      <w:r>
        <w:rPr>
          <w:rFonts w:hint="eastAsia" w:ascii="宋体" w:hAnsi="宋体" w:eastAsia="宋体" w:cs="宋体"/>
          <w:b/>
          <w:color w:val="000000"/>
          <w:sz w:val="24"/>
          <w:szCs w:val="24"/>
        </w:rPr>
        <w:t>4、综合评审：</w:t>
      </w:r>
      <w:r>
        <w:rPr>
          <w:rFonts w:hint="eastAsia" w:ascii="宋体" w:hAnsi="宋体" w:eastAsia="宋体" w:cs="宋体"/>
          <w:bCs/>
          <w:spacing w:val="4"/>
          <w:sz w:val="24"/>
          <w:szCs w:val="24"/>
        </w:rPr>
        <w:t>对于经初审合格的所有供应商，由磋商小组各成员依据磋商响应文件和最终报价，按照《详细评审打分表》规定的内容独立进行综合评价、比较打分，然后汇总每个供应商的得分，从高到低依次排序，推荐成交候选人。</w:t>
      </w:r>
    </w:p>
    <w:p>
      <w:pPr>
        <w:pageBreakBefore w:val="0"/>
        <w:wordWrap/>
        <w:topLinePunct w:val="0"/>
        <w:bidi w:val="0"/>
        <w:spacing w:line="400" w:lineRule="exact"/>
        <w:outlineLvl w:val="0"/>
        <w:rPr>
          <w:rFonts w:hint="eastAsia" w:ascii="宋体" w:hAnsi="宋体" w:eastAsia="宋体" w:cs="宋体"/>
          <w:b/>
          <w:color w:val="000000"/>
          <w:sz w:val="24"/>
          <w:szCs w:val="24"/>
        </w:rPr>
      </w:pPr>
      <w:bookmarkStart w:id="52" w:name="_Toc20492"/>
      <w:r>
        <w:rPr>
          <w:rFonts w:hint="eastAsia" w:ascii="宋体" w:hAnsi="宋体" w:eastAsia="宋体" w:cs="宋体"/>
          <w:b/>
          <w:color w:val="000000"/>
          <w:sz w:val="24"/>
          <w:szCs w:val="24"/>
        </w:rPr>
        <w:t>三、政策性扣减</w:t>
      </w:r>
      <w:bookmarkEnd w:id="52"/>
    </w:p>
    <w:p>
      <w:pPr>
        <w:pageBreakBefore w:val="0"/>
        <w:wordWrap/>
        <w:topLinePunct w:val="0"/>
        <w:bidi w:val="0"/>
        <w:spacing w:line="400" w:lineRule="exact"/>
        <w:ind w:firstLine="602" w:firstLineChars="250"/>
        <w:rPr>
          <w:rFonts w:hint="eastAsia" w:ascii="宋体" w:hAnsi="宋体" w:eastAsia="宋体" w:cs="宋体"/>
          <w:b/>
          <w:color w:val="000000"/>
          <w:sz w:val="24"/>
          <w:szCs w:val="24"/>
        </w:rPr>
      </w:pPr>
      <w:r>
        <w:rPr>
          <w:rFonts w:hint="eastAsia" w:ascii="宋体" w:hAnsi="宋体" w:eastAsia="宋体" w:cs="宋体"/>
          <w:b/>
          <w:color w:val="000000"/>
          <w:sz w:val="24"/>
          <w:szCs w:val="24"/>
        </w:rPr>
        <w:t>1政策性扣减范围</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1.1供应商符合小型、微型企业或监狱企业、残疾人福利性单位条件的，其磋商报价价格评审时将按相应比例进行扣减。</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1.2依照&lt;关于印发《政府采购促进中小企业发展暂行办法》的通知&gt;（财库(2011〕181号）的规定，小型、微型企业应当同时符合以下条件：</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1.2.1符合中小企业划分标准（中小企业划分标准是指国务院有关部门根据企业从业人员、营业收入、资产总额等指标制定的中小企业划型标准（工信部联企业〔2011〕300号））。</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1.2.2提供本企业制造的货物、承担的工程或者服务，或者提供其他中小企业制造的货物，不包括提供或使用大型企业注册商标的货物。</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1.2.3小型、微型企业提供中型企业制造的货物的，视同为中型企业；小型、微型、中型企业提供大型企业制造的货物的，视同为大型企业。</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1.4监狱企业参加政府采购活动时，应当提供由省级以上监狱管理局、戒毒管理局(含新疆生产建设兵团)出具的属于监狱企业的证明文件。监狱企业参加政府采购活动时，视同小型、微型企业。</w:t>
      </w:r>
    </w:p>
    <w:p>
      <w:pPr>
        <w:pageBreakBefore w:val="0"/>
        <w:wordWrap/>
        <w:topLinePunct w:val="0"/>
        <w:bidi w:val="0"/>
        <w:spacing w:line="400" w:lineRule="exact"/>
        <w:ind w:firstLine="620" w:firstLineChars="250"/>
        <w:rPr>
          <w:rFonts w:hint="eastAsia" w:ascii="宋体" w:hAnsi="宋体" w:eastAsia="宋体" w:cs="宋体"/>
          <w:color w:val="000000"/>
          <w:sz w:val="24"/>
          <w:szCs w:val="24"/>
        </w:rPr>
      </w:pPr>
      <w:r>
        <w:rPr>
          <w:rFonts w:hint="eastAsia" w:ascii="宋体" w:hAnsi="宋体" w:eastAsia="宋体" w:cs="宋体"/>
          <w:bCs/>
          <w:spacing w:val="4"/>
          <w:sz w:val="24"/>
          <w:szCs w:val="24"/>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pPr>
        <w:pageBreakBefore w:val="0"/>
        <w:wordWrap/>
        <w:topLinePunct w:val="0"/>
        <w:bidi w:val="0"/>
        <w:spacing w:line="400" w:lineRule="exact"/>
        <w:ind w:firstLine="602" w:firstLineChars="250"/>
        <w:rPr>
          <w:rFonts w:hint="eastAsia" w:ascii="宋体" w:hAnsi="宋体" w:eastAsia="宋体" w:cs="宋体"/>
          <w:b/>
          <w:color w:val="000000"/>
          <w:sz w:val="24"/>
          <w:szCs w:val="24"/>
        </w:rPr>
      </w:pPr>
      <w:r>
        <w:rPr>
          <w:rFonts w:hint="eastAsia" w:ascii="宋体" w:hAnsi="宋体" w:eastAsia="宋体" w:cs="宋体"/>
          <w:b/>
          <w:color w:val="000000"/>
          <w:sz w:val="24"/>
          <w:szCs w:val="24"/>
        </w:rPr>
        <w:t>2、政策性扣减方式：</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2.1、小微企业的价格评分标准</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（1）对小型、微型企业产品的价格给予6%的扣除，用扣除后的价格参与评审，其评标价=投标报价*（1-6%）。</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2）联合体共同参加非专门面向中小企业的政府采购活动，联合协议中约定，小型和微型企业的协议合同金额占到联合体协议合同金额的30%以上的，可给予联合体2%的价格扣除，用扣除后的价格参与评审，其评标价=投标报价*（1-2%）。</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3）参加本项目的小微企业须提供《中小企业声明函》（附件），未提供的不视为小微企业。本项目提供的货物不包括使用大型企业注册商标的货物，小型、微型企业提供中型企业制造的货物的，视同为中型企业。投标人须做出承诺，保证真实性，如有虚假，将依法承担相应责任。</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4）小微企业按《政府采购促进中小企业发展暂行办法》（财库【2011】181号）和《工业和信息化部、国家统计局、国家发展和改革委员会、财政部关于印发&lt;中小企业划型标准规定&gt;的通知》（工信部联企业【2011】300号）文件规定标准确认。</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2.2、监狱企业的价格评分标准</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1）在政府采购活动中，监狱企业视同小型、微型企业，享受预留份额、评审中价格扣除等政府采购促进中小企业发展的政府采购政策。对监狱企业产品的价格给予6%的扣除，用扣除后的价格参与评审，其评标价=投标报价*（1-6%）。</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 xml:space="preserve">（2）监狱企业属于小型、微型企业的，不重复享受政策。 </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（3）监狱企业参加政府采购活动时，应当提供由省级以上监狱管理局、戒毒管理局（含新疆生产建设兵团）出具的属于监狱企业的证明文件。</w:t>
      </w:r>
      <w:r>
        <w:rPr>
          <w:rFonts w:hint="eastAsia" w:ascii="宋体" w:hAnsi="宋体" w:eastAsia="宋体" w:cs="宋体"/>
          <w:bCs/>
          <w:spacing w:val="4"/>
          <w:sz w:val="24"/>
          <w:szCs w:val="24"/>
        </w:rPr>
        <w:br w:type="textWrapping"/>
      </w:r>
      <w:r>
        <w:rPr>
          <w:rFonts w:hint="eastAsia" w:ascii="宋体" w:hAnsi="宋体" w:eastAsia="宋体" w:cs="宋体"/>
          <w:bCs/>
          <w:spacing w:val="4"/>
          <w:sz w:val="24"/>
          <w:szCs w:val="24"/>
        </w:rPr>
        <w:t xml:space="preserve">    （4）监狱企业按《财政部、司法部关于政府采购支持监狱企业发展有关问题的通知》（财库〔2014〕68号）文件规定标准执行。</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2.3、残疾人福利性单位的价格评分标准</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1）在政府采购活动中，残疾人福利性单位视同小型、微型企业，享受预留份额、评审中价格扣除等政府采购促进中小企业发展的政府采购政策。对残疾人福利性单位产品的价格给予6%的扣除，用扣除后的价格参与评审，其评标价=投标报价*（1-6%）。</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（2）残疾人福利性单位属于小型、微型企业的，不重复享受政策。</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 xml:space="preserve">（3）符合条件的残疾人福利性单位在参加政府采购活动时，应当提供本通知规定的《残疾人福利性单位声明函》（见附件），并对声明的真实性负责，未提供的不视为残疾人福利性单位。 </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2.4、节能产品、环境标志产品政策</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1）节能产品根据《财政部、国家发展和改革委员会关于印发&lt;节能产品政府采购实施意见&gt;的通知》（财库【2004】185号）、《国务院办公厅关于建立政府强制采购节能产品制度的通知》（国办发〔2007〕51号）的有关规定，以中国政府采购网（http://www.ccgp.gov.cn/）公布的最新一期节能产品政府采购清单为准。节能清单所列产品包括政府强制采购和优先采购的节能产品，标注“★”的品目为政府强制采购的节能产品，其他品目为政府优先采购的节能产品。</w:t>
      </w:r>
    </w:p>
    <w:p>
      <w:pPr>
        <w:pageBreakBefore w:val="0"/>
        <w:wordWrap/>
        <w:topLinePunct w:val="0"/>
        <w:bidi w:val="0"/>
        <w:spacing w:line="400" w:lineRule="exact"/>
        <w:ind w:firstLine="620" w:firstLineChars="250"/>
        <w:rPr>
          <w:rFonts w:hint="eastAsia" w:ascii="宋体" w:hAnsi="宋体" w:eastAsia="宋体" w:cs="宋体"/>
          <w:bCs/>
          <w:spacing w:val="4"/>
          <w:sz w:val="24"/>
          <w:szCs w:val="24"/>
        </w:rPr>
      </w:pPr>
      <w:r>
        <w:rPr>
          <w:rFonts w:hint="eastAsia" w:ascii="宋体" w:hAnsi="宋体" w:eastAsia="宋体" w:cs="宋体"/>
          <w:bCs/>
          <w:spacing w:val="4"/>
          <w:sz w:val="24"/>
          <w:szCs w:val="24"/>
        </w:rPr>
        <w:t>（2）环境标志产品根据《财政部、国家环保总局联合印发&lt;关于环境标志产品政府采购实施的意见&gt;》（财库【2006】90号）的规定，以中国政府采购网（http://www.ccgp.gov.cn/）公布的最新一期环境标志产品政府采购清单为准。环保清单所列产品为政府优先采购产品。</w:t>
      </w:r>
    </w:p>
    <w:p>
      <w:pPr>
        <w:pageBreakBefore w:val="0"/>
        <w:wordWrap/>
        <w:topLinePunct w:val="0"/>
        <w:bidi w:val="0"/>
        <w:spacing w:line="400" w:lineRule="exact"/>
        <w:outlineLvl w:val="0"/>
        <w:rPr>
          <w:rFonts w:hint="eastAsia" w:ascii="宋体" w:hAnsi="宋体" w:eastAsia="宋体" w:cs="宋体"/>
          <w:b/>
          <w:spacing w:val="4"/>
          <w:sz w:val="24"/>
          <w:szCs w:val="24"/>
        </w:rPr>
      </w:pPr>
      <w:bookmarkStart w:id="53" w:name="_Toc3558"/>
      <w:r>
        <w:rPr>
          <w:rFonts w:hint="eastAsia" w:ascii="宋体" w:hAnsi="宋体" w:eastAsia="宋体" w:cs="宋体"/>
          <w:b/>
          <w:color w:val="000000"/>
          <w:sz w:val="24"/>
          <w:szCs w:val="24"/>
        </w:rPr>
        <w:t>四、详细评审（100分）</w:t>
      </w:r>
      <w:bookmarkEnd w:id="53"/>
    </w:p>
    <w:p>
      <w:pPr>
        <w:pageBreakBefore w:val="0"/>
        <w:wordWrap/>
        <w:topLinePunct w:val="0"/>
        <w:bidi w:val="0"/>
        <w:spacing w:line="400" w:lineRule="exact"/>
        <w:ind w:left="-94" w:leftChars="-45" w:firstLine="480" w:firstLineChars="200"/>
        <w:rPr>
          <w:rFonts w:hint="eastAsia" w:ascii="宋体" w:hAnsi="宋体" w:eastAsia="宋体" w:cs="宋体"/>
          <w:sz w:val="24"/>
          <w:szCs w:val="24"/>
        </w:rPr>
      </w:pPr>
      <w:r>
        <w:rPr>
          <w:rFonts w:hint="eastAsia" w:ascii="宋体" w:hAnsi="宋体" w:eastAsia="宋体" w:cs="宋体"/>
          <w:sz w:val="24"/>
          <w:szCs w:val="24"/>
        </w:rPr>
        <w:t>1、若出现综合得分并列时，比较最后报价得分，此分项得分高者排序在先；评审得分且最后报价相同的，按照技术指标优劣进行排序，如果还相同，则由全体磋商小组无记名投票，以得票高者排序在先。</w:t>
      </w:r>
    </w:p>
    <w:p>
      <w:pPr>
        <w:pageBreakBefore w:val="0"/>
        <w:wordWrap/>
        <w:topLinePunct w:val="0"/>
        <w:bidi w:val="0"/>
        <w:spacing w:line="400" w:lineRule="exact"/>
        <w:ind w:left="-94" w:leftChars="-45" w:firstLine="480" w:firstLineChars="200"/>
        <w:rPr>
          <w:rFonts w:hint="eastAsia" w:ascii="宋体" w:hAnsi="宋体" w:eastAsia="宋体" w:cs="宋体"/>
          <w:sz w:val="24"/>
          <w:szCs w:val="24"/>
        </w:rPr>
      </w:pPr>
      <w:r>
        <w:rPr>
          <w:rFonts w:hint="eastAsia" w:ascii="宋体" w:hAnsi="宋体" w:eastAsia="宋体" w:cs="宋体"/>
          <w:sz w:val="24"/>
          <w:szCs w:val="24"/>
        </w:rPr>
        <w:t>2、评委打分超过得分界限或未按本方法赋分时，该评委的打分按作无效处理。</w:t>
      </w:r>
    </w:p>
    <w:p>
      <w:pPr>
        <w:pageBreakBefore w:val="0"/>
        <w:wordWrap/>
        <w:topLinePunct w:val="0"/>
        <w:bidi w:val="0"/>
        <w:spacing w:line="400" w:lineRule="exact"/>
        <w:ind w:left="-94" w:leftChars="-45" w:firstLine="480" w:firstLineChars="200"/>
        <w:rPr>
          <w:rFonts w:hint="eastAsia" w:ascii="宋体" w:hAnsi="宋体" w:eastAsia="宋体" w:cs="宋体"/>
          <w:sz w:val="24"/>
          <w:szCs w:val="24"/>
        </w:rPr>
      </w:pPr>
      <w:r>
        <w:rPr>
          <w:rFonts w:hint="eastAsia" w:ascii="宋体" w:hAnsi="宋体" w:eastAsia="宋体" w:cs="宋体"/>
          <w:sz w:val="24"/>
          <w:szCs w:val="24"/>
        </w:rPr>
        <w:t>3、评审过程中，若出现特殊情况时，将暂停评标，有关情况的处理待磋商小组确认后，再行评定。</w:t>
      </w:r>
    </w:p>
    <w:p>
      <w:pPr>
        <w:pStyle w:val="18"/>
        <w:pageBreakBefore w:val="0"/>
        <w:wordWrap/>
        <w:topLinePunct w:val="0"/>
        <w:bidi w:val="0"/>
        <w:spacing w:line="400" w:lineRule="exact"/>
        <w:rPr>
          <w:rFonts w:hint="eastAsia" w:ascii="宋体" w:hAnsi="宋体" w:eastAsia="宋体" w:cs="宋体"/>
          <w:b/>
          <w:spacing w:val="4"/>
          <w:sz w:val="24"/>
          <w:szCs w:val="24"/>
        </w:rPr>
      </w:pPr>
    </w:p>
    <w:p>
      <w:pPr>
        <w:pStyle w:val="13"/>
        <w:pageBreakBefore w:val="0"/>
        <w:wordWrap/>
        <w:topLinePunct w:val="0"/>
        <w:bidi w:val="0"/>
        <w:spacing w:line="400" w:lineRule="exact"/>
        <w:ind w:firstLine="0"/>
        <w:jc w:val="both"/>
        <w:rPr>
          <w:rFonts w:hint="eastAsia" w:ascii="宋体" w:hAnsi="宋体" w:eastAsia="宋体" w:cs="宋体"/>
          <w:color w:val="000000"/>
          <w:sz w:val="24"/>
          <w:szCs w:val="24"/>
        </w:rPr>
      </w:pPr>
    </w:p>
    <w:p>
      <w:pPr>
        <w:pStyle w:val="13"/>
        <w:pageBreakBefore w:val="0"/>
        <w:kinsoku w:val="0"/>
        <w:wordWrap/>
        <w:overflowPunct w:val="0"/>
        <w:topLinePunct w:val="0"/>
        <w:bidi w:val="0"/>
        <w:spacing w:line="400" w:lineRule="exact"/>
        <w:ind w:firstLine="0"/>
        <w:jc w:val="both"/>
        <w:rPr>
          <w:rFonts w:hint="eastAsia" w:ascii="宋体" w:hAnsi="宋体" w:eastAsia="宋体" w:cs="宋体"/>
          <w:color w:val="000000"/>
          <w:sz w:val="28"/>
          <w:szCs w:val="28"/>
        </w:rPr>
      </w:pPr>
    </w:p>
    <w:p>
      <w:pPr>
        <w:pStyle w:val="19"/>
        <w:pageBreakBefore w:val="0"/>
        <w:tabs>
          <w:tab w:val="left" w:pos="0"/>
        </w:tabs>
        <w:wordWrap/>
        <w:topLinePunct w:val="0"/>
        <w:bidi w:val="0"/>
        <w:spacing w:line="400" w:lineRule="exact"/>
        <w:ind w:left="0" w:leftChars="0" w:firstLine="0" w:firstLineChars="0"/>
        <w:rPr>
          <w:rFonts w:hint="eastAsia" w:ascii="宋体" w:hAnsi="宋体" w:eastAsia="宋体" w:cs="宋体"/>
          <w:b/>
          <w:sz w:val="28"/>
          <w:szCs w:val="28"/>
        </w:rPr>
      </w:pPr>
    </w:p>
    <w:p>
      <w:pPr>
        <w:pStyle w:val="19"/>
        <w:pageBreakBefore w:val="0"/>
        <w:tabs>
          <w:tab w:val="left" w:pos="0"/>
        </w:tabs>
        <w:wordWrap/>
        <w:topLinePunct w:val="0"/>
        <w:bidi w:val="0"/>
        <w:spacing w:line="400" w:lineRule="exact"/>
        <w:ind w:left="0" w:leftChars="0" w:firstLine="0" w:firstLineChars="0"/>
        <w:rPr>
          <w:rFonts w:hint="eastAsia" w:ascii="宋体" w:hAnsi="宋体" w:eastAsia="宋体" w:cs="宋体"/>
          <w:b/>
          <w:sz w:val="28"/>
          <w:szCs w:val="28"/>
        </w:rPr>
      </w:pPr>
    </w:p>
    <w:p>
      <w:pPr>
        <w:pStyle w:val="19"/>
        <w:pageBreakBefore w:val="0"/>
        <w:tabs>
          <w:tab w:val="left" w:pos="0"/>
        </w:tabs>
        <w:wordWrap/>
        <w:topLinePunct w:val="0"/>
        <w:bidi w:val="0"/>
        <w:spacing w:line="400" w:lineRule="exact"/>
        <w:ind w:left="0" w:leftChars="0" w:firstLine="0" w:firstLineChars="0"/>
        <w:rPr>
          <w:rFonts w:hint="eastAsia" w:ascii="宋体" w:hAnsi="宋体" w:eastAsia="宋体" w:cs="宋体"/>
          <w:b/>
          <w:sz w:val="28"/>
          <w:szCs w:val="28"/>
        </w:rPr>
      </w:pPr>
    </w:p>
    <w:p>
      <w:pPr>
        <w:pStyle w:val="19"/>
        <w:pageBreakBefore w:val="0"/>
        <w:tabs>
          <w:tab w:val="left" w:pos="0"/>
        </w:tabs>
        <w:wordWrap/>
        <w:topLinePunct w:val="0"/>
        <w:bidi w:val="0"/>
        <w:spacing w:line="400" w:lineRule="exact"/>
        <w:ind w:left="0" w:leftChars="0" w:firstLine="0" w:firstLineChars="0"/>
        <w:rPr>
          <w:rFonts w:hint="eastAsia" w:ascii="宋体" w:hAnsi="宋体" w:eastAsia="宋体" w:cs="宋体"/>
          <w:b/>
          <w:sz w:val="28"/>
          <w:szCs w:val="28"/>
        </w:rPr>
      </w:pPr>
    </w:p>
    <w:p>
      <w:pPr>
        <w:pStyle w:val="19"/>
        <w:pageBreakBefore w:val="0"/>
        <w:tabs>
          <w:tab w:val="left" w:pos="0"/>
        </w:tabs>
        <w:wordWrap/>
        <w:topLinePunct w:val="0"/>
        <w:bidi w:val="0"/>
        <w:spacing w:line="400" w:lineRule="exact"/>
        <w:ind w:left="0" w:leftChars="0" w:firstLine="0" w:firstLineChars="0"/>
        <w:rPr>
          <w:rFonts w:hint="eastAsia" w:ascii="宋体" w:hAnsi="宋体" w:eastAsia="宋体" w:cs="宋体"/>
          <w:b/>
          <w:sz w:val="28"/>
          <w:szCs w:val="28"/>
        </w:rPr>
      </w:pPr>
    </w:p>
    <w:p>
      <w:pPr>
        <w:pStyle w:val="19"/>
        <w:pageBreakBefore w:val="0"/>
        <w:tabs>
          <w:tab w:val="left" w:pos="0"/>
        </w:tabs>
        <w:wordWrap/>
        <w:topLinePunct w:val="0"/>
        <w:bidi w:val="0"/>
        <w:spacing w:line="400" w:lineRule="exact"/>
        <w:ind w:left="0" w:leftChars="0" w:firstLine="0" w:firstLineChars="0"/>
        <w:rPr>
          <w:rFonts w:hint="eastAsia" w:ascii="宋体" w:hAnsi="宋体" w:eastAsia="宋体" w:cs="宋体"/>
          <w:b/>
          <w:sz w:val="28"/>
          <w:szCs w:val="28"/>
        </w:rPr>
      </w:pPr>
    </w:p>
    <w:p>
      <w:pPr>
        <w:pStyle w:val="19"/>
        <w:pageBreakBefore w:val="0"/>
        <w:tabs>
          <w:tab w:val="left" w:pos="0"/>
        </w:tabs>
        <w:wordWrap/>
        <w:topLinePunct w:val="0"/>
        <w:bidi w:val="0"/>
        <w:spacing w:line="400" w:lineRule="exact"/>
        <w:ind w:left="0" w:leftChars="0" w:firstLine="0" w:firstLineChars="0"/>
        <w:rPr>
          <w:rFonts w:hint="eastAsia" w:ascii="宋体" w:hAnsi="宋体" w:eastAsia="宋体" w:cs="宋体"/>
          <w:b/>
          <w:sz w:val="28"/>
          <w:szCs w:val="28"/>
        </w:rPr>
      </w:pPr>
    </w:p>
    <w:p>
      <w:pPr>
        <w:pStyle w:val="19"/>
        <w:pageBreakBefore w:val="0"/>
        <w:tabs>
          <w:tab w:val="left" w:pos="0"/>
        </w:tabs>
        <w:wordWrap/>
        <w:topLinePunct w:val="0"/>
        <w:bidi w:val="0"/>
        <w:spacing w:line="400" w:lineRule="exact"/>
        <w:ind w:left="0" w:leftChars="0" w:firstLine="0" w:firstLineChars="0"/>
        <w:rPr>
          <w:rFonts w:hint="eastAsia" w:ascii="宋体" w:hAnsi="宋体" w:eastAsia="宋体" w:cs="宋体"/>
          <w:b/>
          <w:sz w:val="28"/>
          <w:szCs w:val="28"/>
        </w:rPr>
      </w:pPr>
    </w:p>
    <w:p>
      <w:pPr>
        <w:pStyle w:val="19"/>
        <w:pageBreakBefore w:val="0"/>
        <w:tabs>
          <w:tab w:val="left" w:pos="0"/>
        </w:tabs>
        <w:wordWrap/>
        <w:topLinePunct w:val="0"/>
        <w:bidi w:val="0"/>
        <w:spacing w:line="400" w:lineRule="exact"/>
        <w:ind w:left="0" w:leftChars="0" w:firstLine="0" w:firstLineChars="0"/>
        <w:rPr>
          <w:rFonts w:hint="eastAsia" w:ascii="宋体" w:hAnsi="宋体" w:eastAsia="宋体" w:cs="宋体"/>
          <w:b/>
          <w:sz w:val="28"/>
          <w:szCs w:val="28"/>
        </w:rPr>
      </w:pPr>
    </w:p>
    <w:p>
      <w:pPr>
        <w:pStyle w:val="19"/>
        <w:pageBreakBefore w:val="0"/>
        <w:tabs>
          <w:tab w:val="left" w:pos="0"/>
        </w:tabs>
        <w:wordWrap/>
        <w:topLinePunct w:val="0"/>
        <w:bidi w:val="0"/>
        <w:spacing w:line="400" w:lineRule="exact"/>
        <w:ind w:left="0" w:leftChars="0" w:firstLine="0" w:firstLineChars="0"/>
        <w:rPr>
          <w:rFonts w:hint="eastAsia" w:ascii="宋体" w:hAnsi="宋体" w:eastAsia="宋体" w:cs="宋体"/>
          <w:b/>
          <w:sz w:val="28"/>
          <w:szCs w:val="28"/>
        </w:rPr>
      </w:pPr>
    </w:p>
    <w:p>
      <w:pPr>
        <w:pStyle w:val="19"/>
        <w:pageBreakBefore w:val="0"/>
        <w:tabs>
          <w:tab w:val="left" w:pos="0"/>
        </w:tabs>
        <w:wordWrap/>
        <w:topLinePunct w:val="0"/>
        <w:bidi w:val="0"/>
        <w:spacing w:line="400" w:lineRule="exact"/>
        <w:ind w:left="0" w:leftChars="0" w:firstLine="0" w:firstLineChars="0"/>
        <w:rPr>
          <w:rFonts w:hint="eastAsia" w:ascii="宋体" w:hAnsi="宋体" w:eastAsia="宋体" w:cs="宋体"/>
          <w:b/>
          <w:sz w:val="28"/>
          <w:szCs w:val="28"/>
        </w:rPr>
      </w:pPr>
    </w:p>
    <w:p>
      <w:pPr>
        <w:pStyle w:val="19"/>
        <w:pageBreakBefore w:val="0"/>
        <w:tabs>
          <w:tab w:val="left" w:pos="0"/>
        </w:tabs>
        <w:wordWrap/>
        <w:topLinePunct w:val="0"/>
        <w:bidi w:val="0"/>
        <w:spacing w:line="400" w:lineRule="exact"/>
        <w:ind w:left="0" w:leftChars="0" w:firstLine="0" w:firstLineChars="0"/>
        <w:rPr>
          <w:rFonts w:hint="eastAsia" w:ascii="宋体" w:hAnsi="宋体" w:eastAsia="宋体" w:cs="宋体"/>
          <w:b/>
          <w:sz w:val="28"/>
          <w:szCs w:val="28"/>
        </w:rPr>
      </w:pPr>
    </w:p>
    <w:p>
      <w:pPr>
        <w:pStyle w:val="19"/>
        <w:pageBreakBefore w:val="0"/>
        <w:tabs>
          <w:tab w:val="left" w:pos="0"/>
        </w:tabs>
        <w:wordWrap/>
        <w:topLinePunct w:val="0"/>
        <w:bidi w:val="0"/>
        <w:spacing w:line="400" w:lineRule="exact"/>
        <w:ind w:left="0" w:leftChars="0" w:firstLine="0" w:firstLineChars="0"/>
        <w:rPr>
          <w:rFonts w:hint="eastAsia" w:ascii="宋体" w:hAnsi="宋体" w:eastAsia="宋体" w:cs="宋体"/>
          <w:b/>
          <w:sz w:val="28"/>
          <w:szCs w:val="28"/>
        </w:rPr>
      </w:pPr>
    </w:p>
    <w:p>
      <w:pPr>
        <w:pStyle w:val="19"/>
        <w:pageBreakBefore w:val="0"/>
        <w:tabs>
          <w:tab w:val="left" w:pos="0"/>
        </w:tabs>
        <w:wordWrap/>
        <w:topLinePunct w:val="0"/>
        <w:bidi w:val="0"/>
        <w:spacing w:line="400" w:lineRule="exact"/>
        <w:ind w:left="0" w:leftChars="0" w:firstLine="0" w:firstLineChars="0"/>
        <w:rPr>
          <w:rFonts w:hint="eastAsia" w:ascii="宋体" w:hAnsi="宋体" w:eastAsia="宋体" w:cs="宋体"/>
          <w:b/>
          <w:sz w:val="28"/>
          <w:szCs w:val="28"/>
        </w:rPr>
      </w:pPr>
    </w:p>
    <w:p>
      <w:pPr>
        <w:pStyle w:val="19"/>
        <w:pageBreakBefore w:val="0"/>
        <w:tabs>
          <w:tab w:val="left" w:pos="0"/>
        </w:tabs>
        <w:wordWrap/>
        <w:topLinePunct w:val="0"/>
        <w:bidi w:val="0"/>
        <w:spacing w:line="400" w:lineRule="exact"/>
        <w:ind w:left="0" w:leftChars="0" w:firstLine="0" w:firstLineChars="0"/>
        <w:rPr>
          <w:rFonts w:hint="eastAsia" w:ascii="宋体" w:hAnsi="宋体" w:eastAsia="宋体" w:cs="宋体"/>
          <w:b/>
          <w:sz w:val="28"/>
          <w:szCs w:val="28"/>
        </w:rPr>
      </w:pPr>
    </w:p>
    <w:p>
      <w:pPr>
        <w:pStyle w:val="19"/>
        <w:pageBreakBefore w:val="0"/>
        <w:tabs>
          <w:tab w:val="left" w:pos="0"/>
        </w:tabs>
        <w:wordWrap/>
        <w:topLinePunct w:val="0"/>
        <w:bidi w:val="0"/>
        <w:spacing w:line="400" w:lineRule="exact"/>
        <w:ind w:left="0" w:leftChars="0" w:firstLine="0" w:firstLineChars="0"/>
        <w:rPr>
          <w:rFonts w:hint="eastAsia" w:ascii="宋体" w:hAnsi="宋体" w:eastAsia="宋体" w:cs="宋体"/>
          <w:b/>
          <w:sz w:val="28"/>
          <w:szCs w:val="28"/>
        </w:rPr>
      </w:pPr>
    </w:p>
    <w:p>
      <w:pPr>
        <w:pStyle w:val="19"/>
        <w:pageBreakBefore w:val="0"/>
        <w:tabs>
          <w:tab w:val="left" w:pos="0"/>
        </w:tabs>
        <w:wordWrap/>
        <w:topLinePunct w:val="0"/>
        <w:bidi w:val="0"/>
        <w:spacing w:line="400" w:lineRule="exact"/>
        <w:ind w:left="0" w:leftChars="0" w:firstLine="0" w:firstLineChars="0"/>
        <w:rPr>
          <w:rFonts w:hint="eastAsia" w:ascii="宋体" w:hAnsi="宋体" w:eastAsia="宋体" w:cs="宋体"/>
          <w:b/>
          <w:sz w:val="28"/>
          <w:szCs w:val="28"/>
        </w:rPr>
      </w:pPr>
    </w:p>
    <w:p>
      <w:pPr>
        <w:pStyle w:val="19"/>
        <w:pageBreakBefore w:val="0"/>
        <w:tabs>
          <w:tab w:val="left" w:pos="0"/>
        </w:tabs>
        <w:wordWrap/>
        <w:topLinePunct w:val="0"/>
        <w:bidi w:val="0"/>
        <w:spacing w:line="400" w:lineRule="exact"/>
        <w:ind w:left="0" w:leftChars="0" w:firstLine="0" w:firstLineChars="0"/>
        <w:rPr>
          <w:rFonts w:hint="eastAsia" w:ascii="宋体" w:hAnsi="宋体" w:eastAsia="宋体" w:cs="宋体"/>
          <w:b/>
          <w:sz w:val="28"/>
          <w:szCs w:val="28"/>
        </w:rPr>
      </w:pPr>
      <w:bookmarkStart w:id="54" w:name="_Toc33556274"/>
    </w:p>
    <w:p>
      <w:pPr>
        <w:pStyle w:val="19"/>
        <w:keepNext w:val="0"/>
        <w:keepLines w:val="0"/>
        <w:pageBreakBefore w:val="0"/>
        <w:widowControl w:val="0"/>
        <w:tabs>
          <w:tab w:val="left" w:pos="0"/>
        </w:tabs>
        <w:kinsoku/>
        <w:wordWrap/>
        <w:overflowPunct/>
        <w:topLinePunct w:val="0"/>
        <w:autoSpaceDE/>
        <w:autoSpaceDN/>
        <w:bidi w:val="0"/>
        <w:adjustRightInd/>
        <w:snapToGrid/>
        <w:spacing w:line="700" w:lineRule="exact"/>
        <w:ind w:left="0" w:leftChars="0" w:firstLine="1325" w:firstLineChars="300"/>
        <w:jc w:val="both"/>
        <w:textAlignment w:val="auto"/>
        <w:outlineLvl w:val="0"/>
        <w:rPr>
          <w:rFonts w:hint="eastAsia" w:ascii="宋体" w:hAnsi="宋体" w:eastAsia="宋体" w:cs="宋体"/>
          <w:b/>
          <w:sz w:val="44"/>
          <w:szCs w:val="44"/>
        </w:rPr>
      </w:pPr>
      <w:bookmarkStart w:id="55" w:name="_Toc15580"/>
      <w:r>
        <w:rPr>
          <w:rFonts w:hint="eastAsia" w:ascii="宋体" w:hAnsi="宋体" w:eastAsia="宋体" w:cs="宋体"/>
          <w:b/>
          <w:sz w:val="44"/>
          <w:szCs w:val="44"/>
        </w:rPr>
        <w:t>第六部分   政府采购合同</w:t>
      </w:r>
      <w:bookmarkEnd w:id="46"/>
      <w:bookmarkEnd w:id="47"/>
      <w:bookmarkEnd w:id="48"/>
      <w:bookmarkEnd w:id="54"/>
      <w:bookmarkEnd w:id="55"/>
    </w:p>
    <w:p>
      <w:pPr>
        <w:pageBreakBefore w:val="0"/>
        <w:wordWrap/>
        <w:topLinePunct w:val="0"/>
        <w:bidi w:val="0"/>
        <w:spacing w:line="400" w:lineRule="exact"/>
        <w:rPr>
          <w:rFonts w:hint="eastAsia" w:ascii="宋体" w:hAnsi="宋体" w:eastAsia="宋体" w:cs="宋体"/>
          <w:sz w:val="28"/>
          <w:szCs w:val="28"/>
        </w:rPr>
      </w:pPr>
    </w:p>
    <w:p>
      <w:pPr>
        <w:pStyle w:val="2"/>
        <w:pageBreakBefore w:val="0"/>
        <w:wordWrap/>
        <w:topLinePunct w:val="0"/>
        <w:bidi w:val="0"/>
        <w:spacing w:line="400" w:lineRule="exact"/>
        <w:ind w:left="560" w:hanging="560"/>
        <w:rPr>
          <w:rFonts w:hint="eastAsia" w:ascii="宋体" w:hAnsi="宋体" w:eastAsia="宋体" w:cs="宋体"/>
          <w:sz w:val="28"/>
          <w:szCs w:val="28"/>
        </w:rPr>
      </w:pPr>
    </w:p>
    <w:p>
      <w:pPr>
        <w:pStyle w:val="2"/>
        <w:pageBreakBefore w:val="0"/>
        <w:wordWrap/>
        <w:topLinePunct w:val="0"/>
        <w:bidi w:val="0"/>
        <w:spacing w:line="400" w:lineRule="exact"/>
        <w:ind w:left="560" w:hanging="560"/>
        <w:rPr>
          <w:rFonts w:hint="eastAsia" w:ascii="宋体" w:hAnsi="宋体" w:eastAsia="宋体" w:cs="宋体"/>
          <w:sz w:val="28"/>
          <w:szCs w:val="28"/>
        </w:rPr>
      </w:pPr>
    </w:p>
    <w:p>
      <w:pPr>
        <w:pStyle w:val="13"/>
        <w:pageBreakBefore w:val="0"/>
        <w:wordWrap/>
        <w:topLinePunct w:val="0"/>
        <w:bidi w:val="0"/>
        <w:spacing w:line="400" w:lineRule="exact"/>
        <w:ind w:left="420"/>
        <w:jc w:val="both"/>
        <w:rPr>
          <w:rFonts w:hint="eastAsia" w:ascii="宋体" w:hAnsi="宋体" w:eastAsia="宋体" w:cs="宋体"/>
          <w:sz w:val="28"/>
          <w:szCs w:val="28"/>
        </w:rPr>
      </w:pPr>
    </w:p>
    <w:p>
      <w:pPr>
        <w:pageBreakBefore w:val="0"/>
        <w:wordWrap/>
        <w:topLinePunct w:val="0"/>
        <w:bidi w:val="0"/>
        <w:spacing w:line="400" w:lineRule="exact"/>
        <w:rPr>
          <w:rFonts w:hint="eastAsia" w:ascii="宋体" w:hAnsi="宋体" w:eastAsia="宋体" w:cs="宋体"/>
          <w:sz w:val="28"/>
          <w:szCs w:val="28"/>
        </w:rPr>
      </w:pPr>
    </w:p>
    <w:p>
      <w:pPr>
        <w:pStyle w:val="13"/>
        <w:pageBreakBefore w:val="0"/>
        <w:wordWrap/>
        <w:topLinePunct w:val="0"/>
        <w:bidi w:val="0"/>
        <w:spacing w:line="400" w:lineRule="exact"/>
        <w:jc w:val="both"/>
        <w:rPr>
          <w:rFonts w:hint="eastAsia" w:ascii="宋体" w:hAnsi="宋体" w:eastAsia="宋体" w:cs="宋体"/>
          <w:sz w:val="28"/>
          <w:szCs w:val="28"/>
        </w:rPr>
      </w:pPr>
    </w:p>
    <w:p>
      <w:pPr>
        <w:pageBreakBefore w:val="0"/>
        <w:wordWrap/>
        <w:topLinePunct w:val="0"/>
        <w:bidi w:val="0"/>
        <w:spacing w:line="400" w:lineRule="exact"/>
        <w:rPr>
          <w:rFonts w:hint="eastAsia" w:ascii="宋体" w:hAnsi="宋体" w:eastAsia="宋体" w:cs="宋体"/>
          <w:sz w:val="28"/>
          <w:szCs w:val="28"/>
        </w:rPr>
      </w:pPr>
    </w:p>
    <w:p>
      <w:pPr>
        <w:pStyle w:val="13"/>
        <w:pageBreakBefore w:val="0"/>
        <w:wordWrap/>
        <w:topLinePunct w:val="0"/>
        <w:bidi w:val="0"/>
        <w:spacing w:line="400" w:lineRule="exact"/>
        <w:jc w:val="both"/>
        <w:rPr>
          <w:rFonts w:hint="eastAsia" w:ascii="宋体" w:hAnsi="宋体" w:eastAsia="宋体" w:cs="宋体"/>
          <w:sz w:val="28"/>
          <w:szCs w:val="28"/>
        </w:rPr>
      </w:pPr>
    </w:p>
    <w:p>
      <w:pPr>
        <w:pageBreakBefore w:val="0"/>
        <w:wordWrap/>
        <w:topLinePunct w:val="0"/>
        <w:bidi w:val="0"/>
        <w:spacing w:line="400" w:lineRule="exact"/>
        <w:rPr>
          <w:rFonts w:hint="eastAsia" w:ascii="宋体" w:hAnsi="宋体" w:eastAsia="宋体" w:cs="宋体"/>
          <w:sz w:val="28"/>
          <w:szCs w:val="28"/>
        </w:rPr>
      </w:pPr>
    </w:p>
    <w:p>
      <w:pPr>
        <w:pStyle w:val="13"/>
        <w:pageBreakBefore w:val="0"/>
        <w:wordWrap/>
        <w:topLinePunct w:val="0"/>
        <w:bidi w:val="0"/>
        <w:spacing w:line="400" w:lineRule="exact"/>
        <w:jc w:val="both"/>
        <w:rPr>
          <w:rFonts w:hint="eastAsia" w:ascii="宋体" w:hAnsi="宋体" w:eastAsia="宋体" w:cs="宋体"/>
          <w:sz w:val="28"/>
          <w:szCs w:val="28"/>
        </w:rPr>
      </w:pPr>
    </w:p>
    <w:p>
      <w:pPr>
        <w:pageBreakBefore w:val="0"/>
        <w:wordWrap/>
        <w:topLinePunct w:val="0"/>
        <w:bidi w:val="0"/>
        <w:spacing w:line="400" w:lineRule="exact"/>
        <w:rPr>
          <w:rFonts w:hint="eastAsia" w:ascii="宋体" w:hAnsi="宋体" w:eastAsia="宋体" w:cs="宋体"/>
          <w:sz w:val="28"/>
          <w:szCs w:val="28"/>
        </w:rPr>
      </w:pPr>
    </w:p>
    <w:p>
      <w:pPr>
        <w:pStyle w:val="13"/>
        <w:pageBreakBefore w:val="0"/>
        <w:wordWrap/>
        <w:topLinePunct w:val="0"/>
        <w:bidi w:val="0"/>
        <w:spacing w:line="400" w:lineRule="exact"/>
        <w:jc w:val="both"/>
        <w:rPr>
          <w:rFonts w:hint="eastAsia" w:ascii="宋体" w:hAnsi="宋体" w:eastAsia="宋体" w:cs="宋体"/>
          <w:sz w:val="28"/>
          <w:szCs w:val="28"/>
        </w:rPr>
      </w:pPr>
    </w:p>
    <w:p>
      <w:pPr>
        <w:pageBreakBefore w:val="0"/>
        <w:wordWrap/>
        <w:topLinePunct w:val="0"/>
        <w:bidi w:val="0"/>
        <w:spacing w:line="400" w:lineRule="exact"/>
        <w:rPr>
          <w:rFonts w:hint="eastAsia" w:ascii="宋体" w:hAnsi="宋体" w:eastAsia="宋体" w:cs="宋体"/>
          <w:b/>
          <w:sz w:val="28"/>
          <w:szCs w:val="28"/>
        </w:rPr>
      </w:pPr>
    </w:p>
    <w:p>
      <w:pPr>
        <w:pageBreakBefore w:val="0"/>
        <w:wordWrap/>
        <w:topLinePunct w:val="0"/>
        <w:bidi w:val="0"/>
        <w:spacing w:line="400" w:lineRule="exact"/>
        <w:rPr>
          <w:rFonts w:hint="eastAsia" w:ascii="宋体" w:hAnsi="宋体" w:eastAsia="宋体" w:cs="宋体"/>
          <w:b/>
          <w:sz w:val="28"/>
          <w:szCs w:val="28"/>
        </w:rPr>
      </w:pPr>
      <w:r>
        <w:rPr>
          <w:rFonts w:hint="eastAsia" w:ascii="宋体" w:hAnsi="宋体" w:eastAsia="宋体" w:cs="宋体"/>
          <w:b/>
          <w:sz w:val="28"/>
          <w:szCs w:val="28"/>
        </w:rPr>
        <w:br w:type="page"/>
      </w:r>
    </w:p>
    <w:p>
      <w:pPr>
        <w:pageBreakBefore w:val="0"/>
        <w:wordWrap/>
        <w:topLinePunct w:val="0"/>
        <w:bidi w:val="0"/>
        <w:spacing w:line="400" w:lineRule="exact"/>
        <w:jc w:val="center"/>
        <w:rPr>
          <w:rFonts w:hint="eastAsia" w:ascii="宋体" w:hAnsi="宋体" w:eastAsia="宋体" w:cs="宋体"/>
          <w:b/>
          <w:sz w:val="28"/>
          <w:szCs w:val="28"/>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eastAsia="宋体" w:cs="宋体"/>
          <w:b/>
          <w:sz w:val="44"/>
          <w:szCs w:val="44"/>
        </w:rPr>
      </w:pPr>
      <w:r>
        <w:rPr>
          <w:rFonts w:hint="eastAsia" w:ascii="宋体" w:hAnsi="宋体" w:eastAsia="宋体" w:cs="宋体"/>
          <w:b/>
          <w:sz w:val="44"/>
          <w:szCs w:val="44"/>
        </w:rPr>
        <w:t>政府采购合同参考范本</w:t>
      </w:r>
      <w:r>
        <w:rPr>
          <w:rFonts w:hint="eastAsia" w:ascii="宋体" w:hAnsi="宋体" w:eastAsia="宋体" w:cs="宋体"/>
          <w:b/>
          <w:sz w:val="44"/>
          <w:szCs w:val="44"/>
        </w:rPr>
        <w:br w:type="textWrapping"/>
      </w:r>
      <w:r>
        <w:rPr>
          <w:rFonts w:hint="eastAsia" w:ascii="宋体" w:hAnsi="宋体" w:eastAsia="宋体" w:cs="宋体"/>
          <w:bCs/>
          <w:sz w:val="24"/>
        </w:rPr>
        <w:t>（此合同为参考合同）</w:t>
      </w:r>
    </w:p>
    <w:p>
      <w:pPr>
        <w:pStyle w:val="85"/>
        <w:pageBreakBefore w:val="0"/>
        <w:wordWrap/>
        <w:topLinePunct w:val="0"/>
        <w:bidi w:val="0"/>
        <w:spacing w:line="400" w:lineRule="exact"/>
        <w:ind w:firstLine="0"/>
        <w:rPr>
          <w:rFonts w:hint="eastAsia" w:ascii="宋体" w:hAnsi="宋体" w:eastAsia="宋体" w:cs="宋体"/>
          <w:szCs w:val="24"/>
        </w:rPr>
      </w:pPr>
    </w:p>
    <w:p>
      <w:pPr>
        <w:pStyle w:val="85"/>
        <w:pageBreakBefore w:val="0"/>
        <w:wordWrap/>
        <w:topLinePunct w:val="0"/>
        <w:bidi w:val="0"/>
        <w:spacing w:line="400" w:lineRule="exact"/>
        <w:ind w:firstLine="0"/>
        <w:rPr>
          <w:rFonts w:hint="eastAsia" w:ascii="宋体" w:hAnsi="宋体" w:eastAsia="宋体" w:cs="宋体"/>
          <w:szCs w:val="24"/>
        </w:rPr>
      </w:pPr>
    </w:p>
    <w:p>
      <w:pPr>
        <w:pStyle w:val="85"/>
        <w:pageBreakBefore w:val="0"/>
        <w:wordWrap/>
        <w:topLinePunct w:val="0"/>
        <w:bidi w:val="0"/>
        <w:spacing w:line="400" w:lineRule="exact"/>
        <w:ind w:firstLine="0"/>
        <w:rPr>
          <w:rFonts w:hint="eastAsia" w:ascii="宋体" w:hAnsi="宋体" w:eastAsia="宋体" w:cs="宋体"/>
          <w:szCs w:val="24"/>
        </w:rPr>
      </w:pPr>
    </w:p>
    <w:p>
      <w:pPr>
        <w:pStyle w:val="85"/>
        <w:pageBreakBefore w:val="0"/>
        <w:wordWrap/>
        <w:topLinePunct w:val="0"/>
        <w:bidi w:val="0"/>
        <w:spacing w:line="400" w:lineRule="exact"/>
        <w:ind w:firstLine="0"/>
        <w:jc w:val="center"/>
        <w:rPr>
          <w:rFonts w:hint="eastAsia" w:ascii="宋体" w:hAnsi="宋体" w:eastAsia="宋体" w:cs="宋体"/>
          <w:b/>
          <w:sz w:val="28"/>
          <w:szCs w:val="28"/>
        </w:rPr>
      </w:pPr>
      <w:r>
        <w:rPr>
          <w:rFonts w:hint="eastAsia" w:ascii="宋体" w:hAnsi="宋体" w:eastAsia="宋体" w:cs="宋体"/>
          <w:b/>
          <w:sz w:val="28"/>
          <w:szCs w:val="28"/>
        </w:rPr>
        <w:t>第一部分 合同书</w:t>
      </w:r>
    </w:p>
    <w:p>
      <w:pPr>
        <w:pStyle w:val="85"/>
        <w:pageBreakBefore w:val="0"/>
        <w:wordWrap/>
        <w:topLinePunct w:val="0"/>
        <w:bidi w:val="0"/>
        <w:spacing w:line="400" w:lineRule="exact"/>
        <w:ind w:firstLine="0"/>
        <w:rPr>
          <w:rFonts w:hint="eastAsia" w:ascii="宋体" w:hAnsi="宋体" w:eastAsia="宋体" w:cs="宋体"/>
          <w:szCs w:val="24"/>
        </w:rPr>
      </w:pPr>
    </w:p>
    <w:p>
      <w:pPr>
        <w:pStyle w:val="85"/>
        <w:pageBreakBefore w:val="0"/>
        <w:wordWrap/>
        <w:topLinePunct w:val="0"/>
        <w:bidi w:val="0"/>
        <w:spacing w:line="400" w:lineRule="exact"/>
        <w:ind w:firstLine="0"/>
        <w:rPr>
          <w:rFonts w:hint="eastAsia" w:ascii="宋体" w:hAnsi="宋体" w:eastAsia="宋体" w:cs="宋体"/>
          <w:szCs w:val="24"/>
        </w:rPr>
      </w:pPr>
    </w:p>
    <w:p>
      <w:pPr>
        <w:pageBreakBefore w:val="0"/>
        <w:wordWrap/>
        <w:topLinePunct w:val="0"/>
        <w:bidi w:val="0"/>
        <w:spacing w:before="120" w:line="400" w:lineRule="exact"/>
        <w:rPr>
          <w:rFonts w:hint="eastAsia" w:ascii="宋体" w:hAnsi="宋体" w:eastAsia="宋体" w:cs="宋体"/>
          <w:sz w:val="24"/>
        </w:rPr>
      </w:pPr>
    </w:p>
    <w:p>
      <w:pPr>
        <w:pageBreakBefore w:val="0"/>
        <w:wordWrap/>
        <w:topLinePunct w:val="0"/>
        <w:bidi w:val="0"/>
        <w:spacing w:before="120" w:line="400" w:lineRule="exact"/>
        <w:ind w:left="960"/>
        <w:rPr>
          <w:rFonts w:hint="eastAsia" w:ascii="宋体" w:hAnsi="宋体" w:eastAsia="宋体" w:cs="宋体"/>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pPr>
        <w:pStyle w:val="86"/>
        <w:pageBreakBefore w:val="0"/>
        <w:wordWrap/>
        <w:topLinePunct w:val="0"/>
        <w:bidi w:val="0"/>
        <w:spacing w:before="120" w:line="400" w:lineRule="exact"/>
        <w:rPr>
          <w:rFonts w:hint="eastAsia" w:ascii="宋体" w:hAnsi="宋体" w:eastAsia="宋体" w:cs="宋体"/>
          <w:szCs w:val="24"/>
        </w:rPr>
      </w:pPr>
    </w:p>
    <w:p>
      <w:pPr>
        <w:pageBreakBefore w:val="0"/>
        <w:wordWrap/>
        <w:topLinePunct w:val="0"/>
        <w:bidi w:val="0"/>
        <w:spacing w:line="400" w:lineRule="exact"/>
        <w:rPr>
          <w:rFonts w:hint="eastAsia" w:ascii="宋体" w:hAnsi="宋体" w:eastAsia="宋体" w:cs="宋体"/>
        </w:rPr>
      </w:pPr>
    </w:p>
    <w:p>
      <w:pPr>
        <w:pageBreakBefore w:val="0"/>
        <w:wordWrap/>
        <w:topLinePunct w:val="0"/>
        <w:bidi w:val="0"/>
        <w:spacing w:before="120" w:line="400" w:lineRule="exac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pPr>
        <w:pageBreakBefore w:val="0"/>
        <w:wordWrap/>
        <w:topLinePunct w:val="0"/>
        <w:bidi w:val="0"/>
        <w:spacing w:before="120" w:line="400" w:lineRule="exact"/>
        <w:rPr>
          <w:rFonts w:hint="eastAsia" w:ascii="宋体" w:hAnsi="宋体" w:eastAsia="宋体" w:cs="宋体"/>
          <w:sz w:val="24"/>
          <w:u w:val="single"/>
          <w:lang w:val="en-US" w:eastAsia="zh-CN"/>
        </w:rPr>
      </w:pPr>
    </w:p>
    <w:p>
      <w:pPr>
        <w:pageBreakBefore w:val="0"/>
        <w:wordWrap/>
        <w:topLinePunct w:val="0"/>
        <w:bidi w:val="0"/>
        <w:spacing w:before="120" w:line="400" w:lineRule="exac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pPr>
        <w:pageBreakBefore w:val="0"/>
        <w:wordWrap/>
        <w:topLinePunct w:val="0"/>
        <w:bidi w:val="0"/>
        <w:spacing w:before="120" w:line="400" w:lineRule="exact"/>
        <w:rPr>
          <w:rFonts w:hint="eastAsia" w:ascii="宋体" w:hAnsi="宋体" w:eastAsia="宋体" w:cs="宋体"/>
          <w:sz w:val="24"/>
        </w:rPr>
      </w:pPr>
    </w:p>
    <w:p>
      <w:pPr>
        <w:pageBreakBefore w:val="0"/>
        <w:wordWrap/>
        <w:topLinePunct w:val="0"/>
        <w:bidi w:val="0"/>
        <w:spacing w:before="120" w:line="400" w:lineRule="exact"/>
        <w:ind w:firstLine="960" w:firstLineChars="400"/>
        <w:rPr>
          <w:rFonts w:hint="default" w:ascii="宋体" w:hAnsi="宋体" w:eastAsia="宋体" w:cs="宋体"/>
          <w:sz w:val="24"/>
          <w:u w:val="single"/>
          <w:lang w:val="en-US" w:eastAsia="zh-CN"/>
        </w:rPr>
      </w:pPr>
      <w:r>
        <w:rPr>
          <w:rFonts w:hint="eastAsia" w:ascii="宋体" w:hAnsi="宋体" w:eastAsia="宋体" w:cs="宋体"/>
          <w:sz w:val="24"/>
        </w:rPr>
        <w:t>签 订 地：</w:t>
      </w:r>
      <w:r>
        <w:rPr>
          <w:rFonts w:hint="eastAsia" w:ascii="宋体" w:hAnsi="宋体" w:eastAsia="宋体" w:cs="宋体"/>
          <w:sz w:val="24"/>
          <w:u w:val="single"/>
          <w:lang w:val="en-US" w:eastAsia="zh-CN"/>
        </w:rPr>
        <w:t xml:space="preserve">                                       </w:t>
      </w:r>
    </w:p>
    <w:p>
      <w:pPr>
        <w:pageBreakBefore w:val="0"/>
        <w:wordWrap/>
        <w:topLinePunct w:val="0"/>
        <w:bidi w:val="0"/>
        <w:spacing w:before="120" w:line="400" w:lineRule="exact"/>
        <w:ind w:firstLine="960" w:firstLineChars="400"/>
        <w:rPr>
          <w:rFonts w:hint="eastAsia" w:ascii="宋体" w:hAnsi="宋体" w:eastAsia="宋体" w:cs="宋体"/>
          <w:sz w:val="24"/>
        </w:rPr>
      </w:pPr>
    </w:p>
    <w:p>
      <w:pPr>
        <w:pageBreakBefore w:val="0"/>
        <w:wordWrap/>
        <w:topLinePunct w:val="0"/>
        <w:bidi w:val="0"/>
        <w:spacing w:before="120" w:line="400" w:lineRule="exact"/>
        <w:ind w:firstLine="960" w:firstLineChars="400"/>
        <w:rPr>
          <w:rFonts w:hint="eastAsia" w:ascii="宋体" w:hAnsi="宋体" w:eastAsia="宋体" w:cs="宋体"/>
          <w:sz w:val="24"/>
          <w:u w:val="single"/>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ageBreakBefore w:val="0"/>
        <w:wordWrap/>
        <w:topLinePunct w:val="0"/>
        <w:autoSpaceDE w:val="0"/>
        <w:autoSpaceDN w:val="0"/>
        <w:bidi w:val="0"/>
        <w:adjustRightInd w:val="0"/>
        <w:spacing w:line="400" w:lineRule="exact"/>
        <w:ind w:firstLine="640"/>
        <w:jc w:val="center"/>
        <w:rPr>
          <w:rFonts w:hint="eastAsia" w:ascii="宋体" w:hAnsi="宋体" w:eastAsia="宋体" w:cs="宋体"/>
          <w:sz w:val="24"/>
        </w:rPr>
        <w:sectPr>
          <w:headerReference r:id="rId7" w:type="default"/>
          <w:footerReference r:id="rId8" w:type="default"/>
          <w:pgSz w:w="11907" w:h="16840"/>
          <w:pgMar w:top="1474" w:right="1814" w:bottom="1474" w:left="1814" w:header="851" w:footer="851" w:gutter="0"/>
          <w:pgNumType w:fmt="decimal" w:start="1"/>
          <w:cols w:space="720" w:num="1"/>
          <w:docGrid w:linePitch="462" w:charSpace="0"/>
        </w:sectPr>
      </w:pP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以</w:t>
      </w:r>
      <w:r>
        <w:rPr>
          <w:rFonts w:hint="eastAsia" w:ascii="宋体" w:hAnsi="宋体" w:eastAsia="宋体" w:cs="宋体"/>
          <w:sz w:val="24"/>
          <w:u w:val="single"/>
        </w:rPr>
        <w:t xml:space="preserve">   竞争性磋商  </w:t>
      </w:r>
      <w:r>
        <w:rPr>
          <w:rFonts w:hint="eastAsia" w:ascii="宋体" w:hAnsi="宋体" w:eastAsia="宋体" w:cs="宋体"/>
          <w:sz w:val="24"/>
        </w:rPr>
        <w:t>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项目进行了采购。</w:t>
      </w:r>
      <w:r>
        <w:rPr>
          <w:rFonts w:hint="eastAsia" w:ascii="宋体" w:hAnsi="宋体" w:eastAsia="宋体" w:cs="宋体"/>
          <w:sz w:val="24"/>
          <w:u w:val="single"/>
        </w:rPr>
        <w:t>经对</w:t>
      </w:r>
      <w:r>
        <w:rPr>
          <w:rFonts w:hint="eastAsia" w:ascii="宋体" w:hAnsi="宋体" w:eastAsia="宋体" w:cs="宋体"/>
          <w:sz w:val="24"/>
          <w:u w:val="single"/>
          <w:lang w:val="en-US" w:eastAsia="zh-CN"/>
        </w:rPr>
        <w:t xml:space="preserve">                      </w:t>
      </w:r>
      <w:r>
        <w:rPr>
          <w:rFonts w:hint="eastAsia" w:ascii="宋体" w:hAnsi="宋体" w:eastAsia="宋体" w:cs="宋体"/>
          <w:sz w:val="24"/>
        </w:rPr>
        <w:t>的评定，</w:t>
      </w:r>
      <w:r>
        <w:rPr>
          <w:rFonts w:hint="eastAsia" w:ascii="宋体" w:hAnsi="宋体" w:eastAsia="宋体" w:cs="宋体"/>
          <w:sz w:val="24"/>
          <w:u w:val="single"/>
        </w:rPr>
        <w:t xml:space="preserve">   （中标供应商名称） </w:t>
      </w:r>
      <w:r>
        <w:rPr>
          <w:rFonts w:hint="eastAsia" w:ascii="宋体" w:hAnsi="宋体" w:eastAsia="宋体" w:cs="宋体"/>
          <w:sz w:val="24"/>
        </w:rPr>
        <w:t>为该项目中标供应商。现于中标通知书发出之日起三十日内，按照采购文件确定的事项签订本合同。</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根据《中华人民共和国合同法》、《中华人民共和国政府采购法》等相关法律法规之规定，按照平等、自愿、公平和诚实信用的原则，经</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（中标供应商名称）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pPr>
        <w:pageBreakBefore w:val="0"/>
        <w:wordWrap/>
        <w:topLinePunct w:val="0"/>
        <w:bidi w:val="0"/>
        <w:spacing w:line="400" w:lineRule="exact"/>
        <w:ind w:firstLine="482" w:firstLineChars="200"/>
        <w:outlineLvl w:val="0"/>
        <w:rPr>
          <w:rFonts w:hint="eastAsia" w:ascii="宋体" w:hAnsi="宋体" w:eastAsia="宋体" w:cs="宋体"/>
          <w:sz w:val="24"/>
        </w:rPr>
      </w:pPr>
      <w:bookmarkStart w:id="56" w:name="_Toc20421"/>
      <w:bookmarkStart w:id="57" w:name="_Toc15014"/>
      <w:bookmarkStart w:id="58" w:name="_Toc15367"/>
      <w:bookmarkStart w:id="59" w:name="_Toc19273"/>
      <w:bookmarkStart w:id="60" w:name="_Toc29063695"/>
      <w:bookmarkStart w:id="61" w:name="_Toc28855"/>
      <w:r>
        <w:rPr>
          <w:rFonts w:hint="eastAsia" w:ascii="宋体" w:hAnsi="宋体" w:eastAsia="宋体" w:cs="宋体"/>
          <w:b/>
          <w:sz w:val="24"/>
        </w:rPr>
        <w:t>1.1 合同组成部分</w:t>
      </w:r>
      <w:bookmarkEnd w:id="56"/>
      <w:bookmarkEnd w:id="57"/>
      <w:bookmarkEnd w:id="58"/>
      <w:bookmarkEnd w:id="59"/>
      <w:bookmarkEnd w:id="60"/>
      <w:bookmarkEnd w:id="61"/>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1.1.1 本合同及其补充合同、变更协议；</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1.1.2 中标通知书；</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1.1.3 投标文件（含澄清或者说明文件）；</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1.1.4 招标文件（含澄清或者修改文件）；</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1.1.5 其他相关采购文件。</w:t>
      </w:r>
    </w:p>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62" w:name="_Toc29063696"/>
      <w:bookmarkStart w:id="63" w:name="_Toc22185"/>
      <w:bookmarkStart w:id="64" w:name="_Toc17161"/>
      <w:bookmarkStart w:id="65" w:name="_Toc6311"/>
      <w:bookmarkStart w:id="66" w:name="_Toc6773"/>
      <w:bookmarkStart w:id="67" w:name="_Toc18585"/>
      <w:bookmarkStart w:id="68" w:name="_Toc2918"/>
      <w:r>
        <w:rPr>
          <w:rFonts w:hint="eastAsia" w:ascii="宋体" w:hAnsi="宋体" w:eastAsia="宋体" w:cs="宋体"/>
          <w:b/>
          <w:sz w:val="24"/>
        </w:rPr>
        <w:t>1.2 标的</w:t>
      </w:r>
      <w:bookmarkEnd w:id="62"/>
      <w:bookmarkEnd w:id="63"/>
      <w:bookmarkEnd w:id="64"/>
      <w:bookmarkEnd w:id="65"/>
      <w:bookmarkEnd w:id="66"/>
      <w:bookmarkEnd w:id="67"/>
      <w:bookmarkEnd w:id="68"/>
    </w:p>
    <w:p>
      <w:pPr>
        <w:pageBreakBefore w:val="0"/>
        <w:wordWrap/>
        <w:topLinePunct w:val="0"/>
        <w:bidi w:val="0"/>
        <w:spacing w:line="400" w:lineRule="exact"/>
        <w:ind w:firstLine="480" w:firstLineChars="200"/>
        <w:rPr>
          <w:rFonts w:hint="eastAsia" w:ascii="宋体" w:hAnsi="宋体" w:eastAsia="宋体" w:cs="宋体"/>
          <w:sz w:val="24"/>
          <w:u w:val="single"/>
        </w:rPr>
      </w:pPr>
      <w:r>
        <w:rPr>
          <w:rFonts w:hint="eastAsia" w:ascii="宋体" w:hAnsi="宋体" w:eastAsia="宋体" w:cs="宋体"/>
          <w:sz w:val="24"/>
        </w:rPr>
        <w:t>1.2.1 标的名称：</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w:t>
      </w:r>
    </w:p>
    <w:p>
      <w:pPr>
        <w:pageBreakBefore w:val="0"/>
        <w:wordWrap/>
        <w:topLinePunct w:val="0"/>
        <w:bidi w:val="0"/>
        <w:spacing w:line="400" w:lineRule="exact"/>
        <w:ind w:firstLine="480" w:firstLineChars="200"/>
        <w:rPr>
          <w:rFonts w:hint="eastAsia" w:ascii="宋体" w:hAnsi="宋体" w:eastAsia="宋体" w:cs="宋体"/>
          <w:sz w:val="24"/>
          <w:u w:val="single"/>
        </w:rPr>
      </w:pPr>
      <w:r>
        <w:rPr>
          <w:rFonts w:hint="eastAsia" w:ascii="宋体" w:hAnsi="宋体" w:eastAsia="宋体" w:cs="宋体"/>
          <w:sz w:val="24"/>
        </w:rPr>
        <w:t>1.2.2 标的数量：</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1.2.3 标的质量：</w:t>
      </w:r>
      <w:r>
        <w:rPr>
          <w:rFonts w:hint="eastAsia" w:ascii="宋体" w:hAnsi="宋体" w:eastAsia="宋体" w:cs="宋体"/>
          <w:sz w:val="24"/>
          <w:u w:val="single"/>
        </w:rPr>
        <w:t xml:space="preserve">　　合格    </w:t>
      </w:r>
      <w:r>
        <w:rPr>
          <w:rFonts w:hint="eastAsia" w:ascii="宋体" w:hAnsi="宋体" w:eastAsia="宋体" w:cs="宋体"/>
          <w:sz w:val="24"/>
        </w:rPr>
        <w:t>。</w:t>
      </w:r>
    </w:p>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69" w:name="_Toc13918"/>
      <w:bookmarkStart w:id="70" w:name="_Toc21124"/>
      <w:bookmarkStart w:id="71" w:name="_Toc29063697"/>
      <w:bookmarkStart w:id="72" w:name="_Toc11053"/>
      <w:bookmarkStart w:id="73" w:name="_Toc4929"/>
      <w:bookmarkStart w:id="74" w:name="_Toc5635"/>
      <w:bookmarkStart w:id="75" w:name="_Toc1386"/>
      <w:r>
        <w:rPr>
          <w:rFonts w:hint="eastAsia" w:ascii="宋体" w:hAnsi="宋体" w:eastAsia="宋体" w:cs="宋体"/>
          <w:b/>
          <w:sz w:val="24"/>
        </w:rPr>
        <w:t>1.3 价款</w:t>
      </w:r>
      <w:bookmarkEnd w:id="69"/>
      <w:bookmarkEnd w:id="70"/>
      <w:bookmarkEnd w:id="71"/>
      <w:bookmarkEnd w:id="72"/>
      <w:bookmarkEnd w:id="73"/>
      <w:bookmarkEnd w:id="74"/>
      <w:bookmarkEnd w:id="75"/>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本合同总价为：￥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w:t>
      </w:r>
    </w:p>
    <w:p>
      <w:pPr>
        <w:pageBreakBefore w:val="0"/>
        <w:wordWrap/>
        <w:topLinePunct w:val="0"/>
        <w:bidi w:val="0"/>
        <w:spacing w:line="400" w:lineRule="exact"/>
        <w:ind w:firstLine="480" w:firstLineChars="200"/>
        <w:rPr>
          <w:rFonts w:hint="eastAsia" w:ascii="宋体" w:hAnsi="宋体" w:eastAsia="宋体" w:cs="宋体"/>
          <w:sz w:val="24"/>
          <w:u w:val="single"/>
        </w:rPr>
      </w:pPr>
      <w:r>
        <w:rPr>
          <w:rFonts w:hint="eastAsia" w:ascii="宋体" w:hAnsi="宋体" w:eastAsia="宋体" w:cs="宋体"/>
          <w:sz w:val="24"/>
        </w:rPr>
        <w:t>分项价格：</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87"/>
              <w:pageBreakBefore w:val="0"/>
              <w:wordWrap/>
              <w:topLinePunct w:val="0"/>
              <w:bidi w:val="0"/>
              <w:spacing w:line="40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序号</w:t>
            </w:r>
          </w:p>
        </w:tc>
        <w:tc>
          <w:tcPr>
            <w:tcW w:w="3402" w:type="dxa"/>
            <w:vAlign w:val="center"/>
          </w:tcPr>
          <w:p>
            <w:pPr>
              <w:pStyle w:val="87"/>
              <w:pageBreakBefore w:val="0"/>
              <w:wordWrap/>
              <w:topLinePunct w:val="0"/>
              <w:bidi w:val="0"/>
              <w:spacing w:line="400" w:lineRule="exact"/>
              <w:ind w:firstLine="20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分项名称</w:t>
            </w:r>
          </w:p>
        </w:tc>
        <w:tc>
          <w:tcPr>
            <w:tcW w:w="2552" w:type="dxa"/>
            <w:vAlign w:val="center"/>
          </w:tcPr>
          <w:p>
            <w:pPr>
              <w:pStyle w:val="87"/>
              <w:pageBreakBefore w:val="0"/>
              <w:wordWrap/>
              <w:topLinePunct w:val="0"/>
              <w:bidi w:val="0"/>
              <w:spacing w:line="400" w:lineRule="exact"/>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87"/>
              <w:pageBreakBefore w:val="0"/>
              <w:wordWrap/>
              <w:topLinePunct w:val="0"/>
              <w:bidi w:val="0"/>
              <w:spacing w:line="400" w:lineRule="exact"/>
              <w:ind w:firstLine="200"/>
              <w:jc w:val="center"/>
              <w:rPr>
                <w:rFonts w:hint="eastAsia" w:ascii="宋体" w:hAnsi="宋体" w:eastAsia="宋体" w:cs="宋体"/>
                <w:color w:val="000000"/>
                <w:kern w:val="2"/>
                <w:sz w:val="24"/>
                <w:szCs w:val="24"/>
              </w:rPr>
            </w:pPr>
          </w:p>
        </w:tc>
        <w:tc>
          <w:tcPr>
            <w:tcW w:w="3402" w:type="dxa"/>
            <w:vAlign w:val="center"/>
          </w:tcPr>
          <w:p>
            <w:pPr>
              <w:pStyle w:val="87"/>
              <w:pageBreakBefore w:val="0"/>
              <w:wordWrap/>
              <w:topLinePunct w:val="0"/>
              <w:bidi w:val="0"/>
              <w:spacing w:line="400" w:lineRule="exact"/>
              <w:ind w:firstLine="200"/>
              <w:jc w:val="center"/>
              <w:rPr>
                <w:rFonts w:hint="eastAsia" w:ascii="宋体" w:hAnsi="宋体" w:eastAsia="宋体" w:cs="宋体"/>
                <w:color w:val="000000"/>
                <w:kern w:val="2"/>
                <w:sz w:val="24"/>
                <w:szCs w:val="24"/>
              </w:rPr>
            </w:pPr>
          </w:p>
        </w:tc>
        <w:tc>
          <w:tcPr>
            <w:tcW w:w="2552" w:type="dxa"/>
            <w:vAlign w:val="center"/>
          </w:tcPr>
          <w:p>
            <w:pPr>
              <w:pStyle w:val="87"/>
              <w:pageBreakBefore w:val="0"/>
              <w:wordWrap/>
              <w:topLinePunct w:val="0"/>
              <w:bidi w:val="0"/>
              <w:spacing w:line="400" w:lineRule="exact"/>
              <w:ind w:firstLine="200"/>
              <w:jc w:val="center"/>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87"/>
              <w:pageBreakBefore w:val="0"/>
              <w:wordWrap/>
              <w:topLinePunct w:val="0"/>
              <w:bidi w:val="0"/>
              <w:spacing w:line="400" w:lineRule="exact"/>
              <w:ind w:firstLine="200"/>
              <w:jc w:val="center"/>
              <w:rPr>
                <w:rFonts w:hint="eastAsia" w:ascii="宋体" w:hAnsi="宋体" w:eastAsia="宋体" w:cs="宋体"/>
                <w:color w:val="000000"/>
                <w:kern w:val="2"/>
                <w:sz w:val="24"/>
                <w:szCs w:val="24"/>
              </w:rPr>
            </w:pPr>
          </w:p>
        </w:tc>
        <w:tc>
          <w:tcPr>
            <w:tcW w:w="3402" w:type="dxa"/>
            <w:vAlign w:val="center"/>
          </w:tcPr>
          <w:p>
            <w:pPr>
              <w:pStyle w:val="87"/>
              <w:pageBreakBefore w:val="0"/>
              <w:wordWrap/>
              <w:topLinePunct w:val="0"/>
              <w:bidi w:val="0"/>
              <w:spacing w:line="400" w:lineRule="exact"/>
              <w:ind w:firstLine="200"/>
              <w:jc w:val="center"/>
              <w:rPr>
                <w:rFonts w:hint="eastAsia" w:ascii="宋体" w:hAnsi="宋体" w:eastAsia="宋体" w:cs="宋体"/>
                <w:color w:val="000000"/>
                <w:kern w:val="2"/>
                <w:sz w:val="24"/>
                <w:szCs w:val="24"/>
              </w:rPr>
            </w:pPr>
          </w:p>
        </w:tc>
        <w:tc>
          <w:tcPr>
            <w:tcW w:w="2552" w:type="dxa"/>
            <w:vAlign w:val="center"/>
          </w:tcPr>
          <w:p>
            <w:pPr>
              <w:pStyle w:val="87"/>
              <w:pageBreakBefore w:val="0"/>
              <w:wordWrap/>
              <w:topLinePunct w:val="0"/>
              <w:bidi w:val="0"/>
              <w:spacing w:line="400" w:lineRule="exact"/>
              <w:ind w:firstLine="200"/>
              <w:jc w:val="center"/>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87"/>
              <w:pageBreakBefore w:val="0"/>
              <w:wordWrap/>
              <w:topLinePunct w:val="0"/>
              <w:bidi w:val="0"/>
              <w:spacing w:line="400" w:lineRule="exact"/>
              <w:ind w:firstLine="200"/>
              <w:jc w:val="center"/>
              <w:rPr>
                <w:rFonts w:hint="eastAsia" w:ascii="宋体" w:hAnsi="宋体" w:eastAsia="宋体" w:cs="宋体"/>
                <w:color w:val="000000"/>
                <w:kern w:val="2"/>
                <w:sz w:val="24"/>
                <w:szCs w:val="24"/>
              </w:rPr>
            </w:pPr>
          </w:p>
        </w:tc>
        <w:tc>
          <w:tcPr>
            <w:tcW w:w="3402" w:type="dxa"/>
            <w:vAlign w:val="center"/>
          </w:tcPr>
          <w:p>
            <w:pPr>
              <w:pStyle w:val="87"/>
              <w:pageBreakBefore w:val="0"/>
              <w:wordWrap/>
              <w:topLinePunct w:val="0"/>
              <w:bidi w:val="0"/>
              <w:spacing w:line="400" w:lineRule="exact"/>
              <w:ind w:firstLine="200"/>
              <w:jc w:val="center"/>
              <w:rPr>
                <w:rFonts w:hint="eastAsia" w:ascii="宋体" w:hAnsi="宋体" w:eastAsia="宋体" w:cs="宋体"/>
                <w:color w:val="000000"/>
                <w:kern w:val="2"/>
                <w:sz w:val="24"/>
                <w:szCs w:val="24"/>
              </w:rPr>
            </w:pPr>
          </w:p>
        </w:tc>
        <w:tc>
          <w:tcPr>
            <w:tcW w:w="2552" w:type="dxa"/>
            <w:vAlign w:val="center"/>
          </w:tcPr>
          <w:p>
            <w:pPr>
              <w:pStyle w:val="87"/>
              <w:pageBreakBefore w:val="0"/>
              <w:wordWrap/>
              <w:topLinePunct w:val="0"/>
              <w:bidi w:val="0"/>
              <w:spacing w:line="400" w:lineRule="exact"/>
              <w:ind w:firstLine="200"/>
              <w:jc w:val="center"/>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87"/>
              <w:pageBreakBefore w:val="0"/>
              <w:wordWrap/>
              <w:topLinePunct w:val="0"/>
              <w:bidi w:val="0"/>
              <w:spacing w:line="400" w:lineRule="exact"/>
              <w:ind w:firstLine="200"/>
              <w:jc w:val="center"/>
              <w:rPr>
                <w:rFonts w:hint="eastAsia" w:ascii="宋体" w:hAnsi="宋体" w:eastAsia="宋体" w:cs="宋体"/>
                <w:color w:val="000000"/>
                <w:kern w:val="2"/>
                <w:sz w:val="24"/>
                <w:szCs w:val="24"/>
              </w:rPr>
            </w:pPr>
          </w:p>
        </w:tc>
        <w:tc>
          <w:tcPr>
            <w:tcW w:w="3402" w:type="dxa"/>
            <w:vAlign w:val="center"/>
          </w:tcPr>
          <w:p>
            <w:pPr>
              <w:pStyle w:val="87"/>
              <w:pageBreakBefore w:val="0"/>
              <w:wordWrap/>
              <w:topLinePunct w:val="0"/>
              <w:bidi w:val="0"/>
              <w:spacing w:line="400" w:lineRule="exact"/>
              <w:ind w:firstLine="200"/>
              <w:jc w:val="center"/>
              <w:rPr>
                <w:rFonts w:hint="eastAsia" w:ascii="宋体" w:hAnsi="宋体" w:eastAsia="宋体" w:cs="宋体"/>
                <w:color w:val="000000"/>
                <w:kern w:val="2"/>
                <w:sz w:val="24"/>
                <w:szCs w:val="24"/>
              </w:rPr>
            </w:pPr>
          </w:p>
        </w:tc>
        <w:tc>
          <w:tcPr>
            <w:tcW w:w="2552" w:type="dxa"/>
            <w:vAlign w:val="center"/>
          </w:tcPr>
          <w:p>
            <w:pPr>
              <w:pStyle w:val="87"/>
              <w:pageBreakBefore w:val="0"/>
              <w:wordWrap/>
              <w:topLinePunct w:val="0"/>
              <w:bidi w:val="0"/>
              <w:spacing w:line="400" w:lineRule="exact"/>
              <w:ind w:firstLine="200"/>
              <w:jc w:val="center"/>
              <w:rPr>
                <w:rFonts w:hint="eastAsia" w:ascii="宋体" w:hAnsi="宋体" w:eastAsia="宋体" w:cs="宋体"/>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87"/>
              <w:pageBreakBefore w:val="0"/>
              <w:wordWrap/>
              <w:topLinePunct w:val="0"/>
              <w:bidi w:val="0"/>
              <w:spacing w:line="400" w:lineRule="exact"/>
              <w:ind w:firstLine="200"/>
              <w:jc w:val="center"/>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总价</w:t>
            </w:r>
          </w:p>
        </w:tc>
        <w:tc>
          <w:tcPr>
            <w:tcW w:w="2552" w:type="dxa"/>
            <w:vAlign w:val="center"/>
          </w:tcPr>
          <w:p>
            <w:pPr>
              <w:pStyle w:val="87"/>
              <w:pageBreakBefore w:val="0"/>
              <w:wordWrap/>
              <w:topLinePunct w:val="0"/>
              <w:bidi w:val="0"/>
              <w:spacing w:line="400" w:lineRule="exact"/>
              <w:ind w:firstLine="200"/>
              <w:jc w:val="center"/>
              <w:rPr>
                <w:rFonts w:hint="eastAsia" w:ascii="宋体" w:hAnsi="宋体" w:eastAsia="宋体" w:cs="宋体"/>
                <w:color w:val="000000"/>
                <w:kern w:val="2"/>
                <w:sz w:val="24"/>
                <w:szCs w:val="24"/>
              </w:rPr>
            </w:pPr>
          </w:p>
        </w:tc>
      </w:tr>
    </w:tbl>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76" w:name="_Toc30506"/>
      <w:bookmarkStart w:id="77" w:name="_Toc14993"/>
      <w:bookmarkStart w:id="78" w:name="_Toc30158"/>
      <w:bookmarkStart w:id="79" w:name="_Toc29063698"/>
      <w:bookmarkStart w:id="80" w:name="_Toc24649"/>
      <w:bookmarkStart w:id="81" w:name="_Toc3654"/>
      <w:bookmarkStart w:id="82" w:name="_Toc26916"/>
      <w:r>
        <w:rPr>
          <w:rFonts w:hint="eastAsia" w:ascii="宋体" w:hAnsi="宋体" w:eastAsia="宋体" w:cs="宋体"/>
          <w:b/>
          <w:sz w:val="24"/>
        </w:rPr>
        <w:t>1.4 付款方式和发票开具方式</w:t>
      </w:r>
      <w:bookmarkEnd w:id="76"/>
      <w:bookmarkEnd w:id="77"/>
      <w:bookmarkEnd w:id="78"/>
      <w:bookmarkEnd w:id="79"/>
      <w:bookmarkEnd w:id="80"/>
      <w:bookmarkEnd w:id="81"/>
      <w:bookmarkEnd w:id="82"/>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1.4.1付款方式：</w:t>
      </w:r>
      <w:r>
        <w:rPr>
          <w:rFonts w:hint="eastAsia" w:ascii="宋体" w:hAnsi="宋体" w:eastAsia="宋体" w:cs="宋体"/>
          <w:color w:val="0000FF"/>
          <w:sz w:val="24"/>
          <w:u w:val="single"/>
        </w:rPr>
        <w:t xml:space="preserve">  项目合同签订后勘察队进场支付合同价款的30%，项目野外工作完成后转入室内资料整理阶段支付合同价款的</w:t>
      </w:r>
      <w:r>
        <w:rPr>
          <w:rFonts w:hint="eastAsia" w:ascii="宋体" w:hAnsi="宋体" w:cs="宋体"/>
          <w:color w:val="0000FF"/>
          <w:sz w:val="24"/>
          <w:u w:val="single"/>
          <w:lang w:val="en-US" w:eastAsia="zh-CN"/>
        </w:rPr>
        <w:t>2</w:t>
      </w:r>
      <w:r>
        <w:rPr>
          <w:rFonts w:hint="eastAsia" w:ascii="宋体" w:hAnsi="宋体" w:eastAsia="宋体" w:cs="宋体"/>
          <w:color w:val="0000FF"/>
          <w:sz w:val="24"/>
          <w:u w:val="single"/>
        </w:rPr>
        <w:t>0%，</w:t>
      </w:r>
      <w:r>
        <w:rPr>
          <w:rFonts w:hint="eastAsia" w:ascii="宋体" w:hAnsi="宋体" w:eastAsia="宋体" w:cs="宋体"/>
          <w:color w:val="FF0000"/>
          <w:sz w:val="24"/>
          <w:u w:val="single"/>
        </w:rPr>
        <w:t>项目提交送审报告支付合同价款的</w:t>
      </w:r>
      <w:r>
        <w:rPr>
          <w:rFonts w:hint="eastAsia" w:ascii="宋体" w:hAnsi="宋体" w:cs="宋体"/>
          <w:color w:val="FF0000"/>
          <w:sz w:val="24"/>
          <w:u w:val="single"/>
          <w:lang w:val="en-US" w:eastAsia="zh-CN"/>
        </w:rPr>
        <w:t>3</w:t>
      </w:r>
      <w:r>
        <w:rPr>
          <w:rFonts w:hint="eastAsia" w:ascii="宋体" w:hAnsi="宋体" w:eastAsia="宋体" w:cs="宋体"/>
          <w:color w:val="FF0000"/>
          <w:sz w:val="24"/>
          <w:u w:val="single"/>
        </w:rPr>
        <w:t>0%</w:t>
      </w:r>
      <w:r>
        <w:rPr>
          <w:rFonts w:hint="eastAsia" w:ascii="宋体" w:hAnsi="宋体" w:eastAsia="宋体" w:cs="宋体"/>
          <w:color w:val="0000FF"/>
          <w:sz w:val="24"/>
          <w:u w:val="single"/>
        </w:rPr>
        <w:t>。报告通过相关专家的审查，根据审查意见提交成果资料并验收合格后支付合同价款的</w:t>
      </w:r>
      <w:r>
        <w:rPr>
          <w:rFonts w:hint="eastAsia" w:ascii="宋体" w:hAnsi="宋体" w:cs="宋体"/>
          <w:color w:val="FF0000"/>
          <w:sz w:val="24"/>
          <w:u w:val="single"/>
          <w:lang w:val="en-US" w:eastAsia="zh-CN"/>
        </w:rPr>
        <w:t>20</w:t>
      </w:r>
      <w:r>
        <w:rPr>
          <w:rFonts w:hint="eastAsia" w:ascii="宋体" w:hAnsi="宋体" w:eastAsia="宋体" w:cs="宋体"/>
          <w:color w:val="FF0000"/>
          <w:sz w:val="24"/>
          <w:u w:val="single"/>
        </w:rPr>
        <w:t>%</w:t>
      </w:r>
      <w:r>
        <w:rPr>
          <w:rFonts w:hint="eastAsia" w:ascii="宋体" w:hAnsi="宋体" w:eastAsia="宋体" w:cs="宋体"/>
          <w:color w:val="0000FF"/>
          <w:sz w:val="24"/>
          <w:u w:val="single"/>
        </w:rPr>
        <w:t>。（具体以签合同协商）</w:t>
      </w:r>
      <w:r>
        <w:rPr>
          <w:rFonts w:hint="eastAsia" w:ascii="宋体" w:hAnsi="宋体" w:eastAsia="宋体" w:cs="宋体"/>
          <w:sz w:val="24"/>
          <w:u w:val="single"/>
        </w:rPr>
        <w:t xml:space="preserve"> </w:t>
      </w:r>
      <w:r>
        <w:rPr>
          <w:rFonts w:hint="eastAsia" w:ascii="宋体" w:hAnsi="宋体" w:eastAsia="宋体" w:cs="宋体"/>
          <w:sz w:val="24"/>
        </w:rPr>
        <w:t>；</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1.4.2 发票开具方式：</w:t>
      </w:r>
      <w:r>
        <w:rPr>
          <w:rFonts w:hint="eastAsia" w:ascii="宋体" w:hAnsi="宋体" w:eastAsia="宋体" w:cs="宋体"/>
          <w:sz w:val="24"/>
          <w:u w:val="single"/>
        </w:rPr>
        <w:t xml:space="preserve"> 具体事项与甲方协商   </w:t>
      </w:r>
      <w:r>
        <w:rPr>
          <w:rFonts w:hint="eastAsia" w:ascii="宋体" w:hAnsi="宋体" w:eastAsia="宋体" w:cs="宋体"/>
          <w:sz w:val="24"/>
        </w:rPr>
        <w:t>。</w:t>
      </w:r>
    </w:p>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83" w:name="_Toc4760"/>
      <w:bookmarkStart w:id="84" w:name="_Toc3625"/>
      <w:bookmarkStart w:id="85" w:name="_Toc29063699"/>
      <w:bookmarkStart w:id="86" w:name="_Toc31421"/>
      <w:bookmarkStart w:id="87" w:name="_Toc25614"/>
      <w:bookmarkStart w:id="88" w:name="_Toc11108"/>
      <w:bookmarkStart w:id="89" w:name="_Toc8772"/>
      <w:r>
        <w:rPr>
          <w:rFonts w:hint="eastAsia" w:ascii="宋体" w:hAnsi="宋体" w:eastAsia="宋体" w:cs="宋体"/>
          <w:b/>
          <w:sz w:val="24"/>
        </w:rPr>
        <w:t>1.5 履行期限、地点和方式</w:t>
      </w:r>
      <w:bookmarkEnd w:id="83"/>
      <w:bookmarkEnd w:id="84"/>
      <w:bookmarkEnd w:id="85"/>
      <w:bookmarkEnd w:id="86"/>
      <w:bookmarkEnd w:id="87"/>
      <w:bookmarkEnd w:id="88"/>
      <w:bookmarkEnd w:id="89"/>
    </w:p>
    <w:p>
      <w:pPr>
        <w:pageBreakBefore w:val="0"/>
        <w:wordWrap/>
        <w:topLinePunct w:val="0"/>
        <w:bidi w:val="0"/>
        <w:spacing w:line="400" w:lineRule="exact"/>
        <w:ind w:firstLine="480" w:firstLineChars="200"/>
        <w:rPr>
          <w:rFonts w:hint="eastAsia" w:ascii="宋体" w:hAnsi="宋体" w:eastAsia="宋体" w:cs="宋体"/>
          <w:sz w:val="24"/>
          <w:u w:val="single"/>
        </w:rPr>
      </w:pPr>
      <w:r>
        <w:rPr>
          <w:rFonts w:hint="eastAsia" w:ascii="宋体" w:hAnsi="宋体" w:eastAsia="宋体" w:cs="宋体"/>
          <w:sz w:val="24"/>
        </w:rPr>
        <w:t>1.5.1 履行期限：</w:t>
      </w:r>
      <w:r>
        <w:rPr>
          <w:rFonts w:hint="eastAsia" w:ascii="宋体" w:hAnsi="宋体" w:eastAsia="宋体" w:cs="宋体"/>
          <w:sz w:val="24"/>
          <w:u w:val="single"/>
        </w:rPr>
        <w:t xml:space="preserve"> </w:t>
      </w:r>
      <w:r>
        <w:rPr>
          <w:rFonts w:hint="eastAsia" w:ascii="宋体" w:hAnsi="宋体" w:eastAsia="宋体" w:cs="宋体"/>
          <w:color w:val="FF0000"/>
          <w:sz w:val="24"/>
          <w:u w:val="single"/>
        </w:rPr>
        <w:t xml:space="preserve"> </w:t>
      </w:r>
      <w:r>
        <w:rPr>
          <w:rFonts w:hint="eastAsia" w:ascii="宋体" w:hAnsi="宋体" w:cs="宋体"/>
          <w:color w:val="FF0000"/>
          <w:sz w:val="24"/>
          <w:u w:val="single"/>
          <w:lang w:val="en-US" w:eastAsia="zh-CN"/>
        </w:rPr>
        <w:t>120（</w:t>
      </w:r>
      <w:r>
        <w:rPr>
          <w:rFonts w:hint="eastAsia" w:ascii="宋体" w:hAnsi="宋体" w:eastAsia="宋体" w:cs="宋体"/>
          <w:color w:val="FF0000"/>
          <w:sz w:val="24"/>
          <w:u w:val="single"/>
        </w:rPr>
        <w:t>日历日)具体时间</w:t>
      </w:r>
      <w:r>
        <w:rPr>
          <w:rFonts w:hint="eastAsia" w:ascii="宋体" w:hAnsi="宋体" w:cs="宋体"/>
          <w:color w:val="FF0000"/>
          <w:sz w:val="24"/>
          <w:u w:val="single"/>
          <w:lang w:eastAsia="zh-CN"/>
        </w:rPr>
        <w:t>以签订合同为准</w:t>
      </w:r>
      <w:r>
        <w:rPr>
          <w:rFonts w:hint="eastAsia" w:ascii="宋体" w:hAnsi="宋体" w:eastAsia="宋体" w:cs="宋体"/>
          <w:color w:val="FF0000"/>
          <w:sz w:val="24"/>
          <w:u w:val="single"/>
        </w:rPr>
        <w:t xml:space="preserve"> </w:t>
      </w:r>
      <w:r>
        <w:rPr>
          <w:rFonts w:hint="eastAsia" w:ascii="宋体" w:hAnsi="宋体" w:eastAsia="宋体" w:cs="宋体"/>
          <w:color w:val="FF0000"/>
          <w:sz w:val="24"/>
        </w:rPr>
        <w:t>；</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1.5.2 履行地点：</w:t>
      </w:r>
      <w:r>
        <w:rPr>
          <w:rFonts w:hint="eastAsia" w:ascii="宋体" w:hAnsi="宋体" w:eastAsia="宋体" w:cs="宋体"/>
          <w:sz w:val="24"/>
          <w:u w:val="single"/>
        </w:rPr>
        <w:t xml:space="preserve"> 甲方指定的地点 </w:t>
      </w:r>
      <w:r>
        <w:rPr>
          <w:rFonts w:hint="eastAsia" w:ascii="宋体" w:hAnsi="宋体" w:eastAsia="宋体" w:cs="宋体"/>
          <w:sz w:val="24"/>
        </w:rPr>
        <w:t>；</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1.5.3 履行方式：</w:t>
      </w:r>
      <w:r>
        <w:rPr>
          <w:rFonts w:hint="eastAsia" w:ascii="宋体" w:hAnsi="宋体" w:eastAsia="宋体" w:cs="宋体"/>
          <w:sz w:val="24"/>
          <w:u w:val="single"/>
        </w:rPr>
        <w:t xml:space="preserve">　/   </w:t>
      </w:r>
      <w:r>
        <w:rPr>
          <w:rFonts w:hint="eastAsia" w:ascii="宋体" w:hAnsi="宋体" w:eastAsia="宋体" w:cs="宋体"/>
          <w:sz w:val="24"/>
        </w:rPr>
        <w:t>。</w:t>
      </w:r>
    </w:p>
    <w:p>
      <w:pPr>
        <w:pageBreakBefore w:val="0"/>
        <w:wordWrap/>
        <w:topLinePunct w:val="0"/>
        <w:bidi w:val="0"/>
        <w:spacing w:line="400" w:lineRule="exact"/>
        <w:ind w:firstLine="482" w:firstLineChars="200"/>
        <w:outlineLvl w:val="0"/>
        <w:rPr>
          <w:rFonts w:hint="eastAsia" w:ascii="宋体" w:hAnsi="宋体" w:eastAsia="宋体" w:cs="宋体"/>
          <w:sz w:val="24"/>
          <w:u w:val="single"/>
        </w:rPr>
      </w:pPr>
      <w:bookmarkStart w:id="90" w:name="_Toc29063700"/>
      <w:bookmarkStart w:id="91" w:name="_Toc5698"/>
      <w:bookmarkStart w:id="92" w:name="_Toc3079"/>
      <w:bookmarkStart w:id="93" w:name="_Toc2375"/>
      <w:bookmarkStart w:id="94" w:name="_Toc27745"/>
      <w:bookmarkStart w:id="95" w:name="_Toc8586"/>
      <w:bookmarkStart w:id="96" w:name="_Toc24662"/>
      <w:r>
        <w:rPr>
          <w:rFonts w:hint="eastAsia" w:ascii="宋体" w:hAnsi="宋体" w:eastAsia="宋体" w:cs="宋体"/>
          <w:b/>
          <w:sz w:val="24"/>
        </w:rPr>
        <w:t>1.6 违约责任</w:t>
      </w:r>
      <w:bookmarkEnd w:id="90"/>
      <w:bookmarkEnd w:id="91"/>
      <w:bookmarkEnd w:id="92"/>
      <w:bookmarkEnd w:id="93"/>
      <w:bookmarkEnd w:id="94"/>
      <w:bookmarkEnd w:id="95"/>
      <w:bookmarkEnd w:id="96"/>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1.6.1 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sz w:val="24"/>
          <w:u w:val="single"/>
        </w:rPr>
        <w:t xml:space="preserve">    </w:t>
      </w:r>
      <w:r>
        <w:rPr>
          <w:rFonts w:hint="eastAsia" w:ascii="宋体" w:hAnsi="宋体" w:eastAsia="宋体" w:cs="宋体"/>
          <w:sz w:val="24"/>
        </w:rPr>
        <w:t>%计算，最高限额为本合同总价的</w:t>
      </w:r>
      <w:r>
        <w:rPr>
          <w:rFonts w:hint="eastAsia" w:ascii="宋体" w:hAnsi="宋体" w:eastAsia="宋体" w:cs="宋体"/>
          <w:sz w:val="24"/>
          <w:u w:val="single"/>
        </w:rPr>
        <w:t xml:space="preserve">     </w:t>
      </w:r>
      <w:r>
        <w:rPr>
          <w:rFonts w:hint="eastAsia" w:ascii="宋体" w:hAnsi="宋体" w:eastAsia="宋体" w:cs="宋体"/>
          <w:sz w:val="24"/>
        </w:rPr>
        <w:t>%；迟延履行的违约金计算数额达到前述最高限额之日起，甲方有权在要求乙方支付违约金的同时，书面通知乙方解除本合同；</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1.6.2 除不可抗力外，如果甲方没有按照本合同约定的付款方式付款，那么乙方可要求甲方支付违约金，违约金按每迟延付款一日的应付而未付款的</w:t>
      </w:r>
      <w:r>
        <w:rPr>
          <w:rFonts w:hint="eastAsia" w:ascii="宋体" w:hAnsi="宋体" w:eastAsia="宋体" w:cs="宋体"/>
          <w:sz w:val="24"/>
          <w:u w:val="single"/>
        </w:rPr>
        <w:t xml:space="preserve">    </w:t>
      </w:r>
      <w:r>
        <w:rPr>
          <w:rFonts w:hint="eastAsia" w:ascii="宋体" w:hAnsi="宋体" w:eastAsia="宋体" w:cs="宋体"/>
          <w:sz w:val="24"/>
        </w:rPr>
        <w:t>%计算，最高限额为本合同总价的</w:t>
      </w:r>
      <w:r>
        <w:rPr>
          <w:rFonts w:hint="eastAsia" w:ascii="宋体" w:hAnsi="宋体" w:eastAsia="宋体" w:cs="宋体"/>
          <w:sz w:val="24"/>
          <w:u w:val="single"/>
        </w:rPr>
        <w:t xml:space="preserve">     </w:t>
      </w:r>
      <w:r>
        <w:rPr>
          <w:rFonts w:hint="eastAsia" w:ascii="宋体" w:hAnsi="宋体" w:eastAsia="宋体" w:cs="宋体"/>
          <w:sz w:val="24"/>
        </w:rPr>
        <w:t>%；迟延付款的违约金计算数额达到前述最高限额之日起，乙方有权在要求甲方支付违约金的同时，书面通知甲方解除本合同；</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1.6.6 如果出现政府采购监督管理部门在处理投诉事项期间，书面通知甲方暂停采购活动的情形，或者询问或质疑事项可能影响中标结果的，导致甲方中止履行合同的情形，均不视为甲方违约。</w:t>
      </w:r>
    </w:p>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97" w:name="_Toc26807"/>
      <w:bookmarkStart w:id="98" w:name="_Toc25014"/>
      <w:bookmarkStart w:id="99" w:name="_Toc9497"/>
      <w:bookmarkStart w:id="100" w:name="_Toc18683"/>
      <w:bookmarkStart w:id="101" w:name="_Toc29063701"/>
      <w:bookmarkStart w:id="102" w:name="_Toc30329"/>
      <w:bookmarkStart w:id="103" w:name="_Toc32454"/>
      <w:r>
        <w:rPr>
          <w:rFonts w:hint="eastAsia" w:ascii="宋体" w:hAnsi="宋体" w:eastAsia="宋体" w:cs="宋体"/>
          <w:b/>
          <w:sz w:val="24"/>
        </w:rPr>
        <w:t>1.7 合同争议的解决</w:t>
      </w:r>
      <w:bookmarkEnd w:id="97"/>
      <w:bookmarkEnd w:id="98"/>
      <w:bookmarkEnd w:id="99"/>
      <w:bookmarkEnd w:id="100"/>
      <w:bookmarkEnd w:id="101"/>
      <w:bookmarkEnd w:id="102"/>
      <w:bookmarkEnd w:id="103"/>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本合同履行过程中发生的任何争议，双方当事人均可通过和解或者调解解决；不愿和解、调解或者和解、调解不成的，可以选择下列第</w:t>
      </w:r>
      <w:r>
        <w:rPr>
          <w:rFonts w:hint="eastAsia" w:ascii="宋体" w:hAnsi="宋体" w:eastAsia="宋体" w:cs="宋体"/>
          <w:sz w:val="24"/>
          <w:u w:val="single"/>
        </w:rPr>
        <w:t xml:space="preserve">    </w:t>
      </w:r>
      <w:r>
        <w:rPr>
          <w:rFonts w:hint="eastAsia" w:ascii="宋体" w:hAnsi="宋体" w:eastAsia="宋体" w:cs="宋体"/>
          <w:sz w:val="24"/>
        </w:rPr>
        <w:t>种方式解决：</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1.7.1 将争议提交</w:t>
      </w:r>
      <w:r>
        <w:rPr>
          <w:rFonts w:hint="eastAsia" w:ascii="宋体" w:hAnsi="宋体" w:eastAsia="宋体" w:cs="宋体"/>
          <w:sz w:val="24"/>
          <w:u w:val="single"/>
        </w:rPr>
        <w:t xml:space="preserve">              </w:t>
      </w:r>
      <w:r>
        <w:rPr>
          <w:rFonts w:hint="eastAsia" w:ascii="宋体" w:hAnsi="宋体" w:eastAsia="宋体" w:cs="宋体"/>
          <w:sz w:val="24"/>
        </w:rPr>
        <w:t>仲裁委员会依申请仲裁时其现行有效的仲裁规则裁决；</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1.7.2 向</w:t>
      </w:r>
      <w:r>
        <w:rPr>
          <w:rFonts w:hint="eastAsia" w:ascii="宋体" w:hAnsi="宋体" w:eastAsia="宋体" w:cs="宋体"/>
          <w:sz w:val="24"/>
          <w:u w:val="single"/>
        </w:rPr>
        <w:t xml:space="preserve">   （被告住所地、合同履行地、合同签订地、原告住所地、标的物所在地等与争议有实际联系的地点中选出的人民法院名称）    </w:t>
      </w:r>
      <w:r>
        <w:rPr>
          <w:rFonts w:hint="eastAsia" w:ascii="宋体" w:hAnsi="宋体" w:eastAsia="宋体" w:cs="宋体"/>
          <w:sz w:val="24"/>
        </w:rPr>
        <w:t>人民法院起诉。</w:t>
      </w:r>
    </w:p>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104" w:name="_Toc23784"/>
      <w:bookmarkStart w:id="105" w:name="_Toc16417"/>
      <w:bookmarkStart w:id="106" w:name="_Toc15164"/>
      <w:bookmarkStart w:id="107" w:name="_Toc12273"/>
      <w:bookmarkStart w:id="108" w:name="_Toc15827"/>
      <w:bookmarkStart w:id="109" w:name="_Toc29063702"/>
      <w:bookmarkStart w:id="110" w:name="_Toc26227"/>
      <w:r>
        <w:rPr>
          <w:rFonts w:hint="eastAsia" w:ascii="宋体" w:hAnsi="宋体" w:eastAsia="宋体" w:cs="宋体"/>
          <w:b/>
          <w:sz w:val="24"/>
        </w:rPr>
        <w:t>1.8 合同生效</w:t>
      </w:r>
      <w:bookmarkEnd w:id="104"/>
      <w:bookmarkEnd w:id="105"/>
      <w:bookmarkEnd w:id="106"/>
      <w:bookmarkEnd w:id="107"/>
      <w:bookmarkEnd w:id="108"/>
      <w:bookmarkEnd w:id="109"/>
      <w:bookmarkEnd w:id="110"/>
    </w:p>
    <w:p>
      <w:pPr>
        <w:pageBreakBefore w:val="0"/>
        <w:wordWrap/>
        <w:topLinePunct w:val="0"/>
        <w:bidi w:val="0"/>
        <w:spacing w:line="400" w:lineRule="exact"/>
        <w:ind w:firstLine="480" w:firstLineChars="200"/>
        <w:rPr>
          <w:rFonts w:hint="eastAsia" w:ascii="宋体" w:hAnsi="宋体" w:eastAsia="宋体" w:cs="宋体"/>
          <w:b/>
          <w:sz w:val="24"/>
        </w:rPr>
      </w:pPr>
      <w:r>
        <w:rPr>
          <w:rFonts w:hint="eastAsia" w:ascii="宋体" w:hAnsi="宋体" w:eastAsia="宋体" w:cs="宋体"/>
          <w:sz w:val="24"/>
        </w:rPr>
        <w:t>本合同自双方当事人盖章或者签字时生效。</w:t>
      </w:r>
    </w:p>
    <w:p>
      <w:pPr>
        <w:pageBreakBefore w:val="0"/>
        <w:wordWrap/>
        <w:topLinePunct w:val="0"/>
        <w:autoSpaceDE w:val="0"/>
        <w:autoSpaceDN w:val="0"/>
        <w:bidi w:val="0"/>
        <w:adjustRightInd w:val="0"/>
        <w:spacing w:line="400" w:lineRule="exact"/>
        <w:rPr>
          <w:rFonts w:hint="eastAsia" w:ascii="宋体" w:hAnsi="宋体" w:eastAsia="宋体" w:cs="宋体"/>
          <w:sz w:val="24"/>
          <w:lang w:val="zh-CN"/>
        </w:rPr>
      </w:pPr>
    </w:p>
    <w:p>
      <w:pPr>
        <w:pageBreakBefore w:val="0"/>
        <w:wordWrap/>
        <w:topLinePunct w:val="0"/>
        <w:autoSpaceDE w:val="0"/>
        <w:autoSpaceDN w:val="0"/>
        <w:bidi w:val="0"/>
        <w:adjustRightInd w:val="0"/>
        <w:spacing w:line="400" w:lineRule="exact"/>
        <w:rPr>
          <w:rFonts w:hint="eastAsia" w:ascii="宋体" w:hAnsi="宋体" w:eastAsia="宋体" w:cs="宋体"/>
          <w:sz w:val="24"/>
          <w:lang w:val="zh-CN"/>
        </w:rPr>
      </w:pPr>
      <w:r>
        <w:rPr>
          <w:rFonts w:hint="eastAsia" w:ascii="宋体" w:hAnsi="宋体" w:eastAsia="宋体" w:cs="宋体"/>
          <w:b/>
          <w:sz w:val="24"/>
          <w:lang w:val="zh-CN"/>
        </w:rPr>
        <w:t>甲方</w:t>
      </w:r>
      <w:r>
        <w:rPr>
          <w:rFonts w:hint="eastAsia" w:ascii="宋体" w:hAnsi="宋体" w:eastAsia="宋体" w:cs="宋体"/>
          <w:sz w:val="24"/>
          <w:lang w:val="zh-CN"/>
        </w:rPr>
        <w:t xml:space="preserve">：                             </w:t>
      </w:r>
      <w:r>
        <w:rPr>
          <w:rFonts w:hint="eastAsia" w:ascii="宋体" w:hAnsi="宋体" w:eastAsia="宋体" w:cs="宋体"/>
          <w:b/>
          <w:sz w:val="24"/>
          <w:lang w:val="zh-CN"/>
        </w:rPr>
        <w:t xml:space="preserve">      乙方</w:t>
      </w:r>
      <w:r>
        <w:rPr>
          <w:rFonts w:hint="eastAsia" w:ascii="宋体" w:hAnsi="宋体" w:eastAsia="宋体" w:cs="宋体"/>
          <w:sz w:val="24"/>
          <w:lang w:val="zh-CN"/>
        </w:rPr>
        <w:t>：</w:t>
      </w:r>
    </w:p>
    <w:p>
      <w:pPr>
        <w:pageBreakBefore w:val="0"/>
        <w:wordWrap/>
        <w:topLinePunct w:val="0"/>
        <w:autoSpaceDE w:val="0"/>
        <w:autoSpaceDN w:val="0"/>
        <w:bidi w:val="0"/>
        <w:adjustRightInd w:val="0"/>
        <w:spacing w:line="400" w:lineRule="exact"/>
        <w:rPr>
          <w:rFonts w:hint="eastAsia" w:ascii="宋体" w:hAnsi="宋体" w:eastAsia="宋体" w:cs="宋体"/>
          <w:sz w:val="24"/>
          <w:lang w:val="zh-CN"/>
        </w:rPr>
      </w:pPr>
      <w:r>
        <w:rPr>
          <w:rFonts w:hint="eastAsia" w:ascii="宋体" w:hAnsi="宋体" w:eastAsia="宋体" w:cs="宋体"/>
          <w:sz w:val="24"/>
          <w:lang w:val="zh-CN"/>
        </w:rPr>
        <w:t>统一社会信用代码：                        统一社会信用代码或身份证号码：</w:t>
      </w:r>
    </w:p>
    <w:p>
      <w:pPr>
        <w:pageBreakBefore w:val="0"/>
        <w:wordWrap/>
        <w:topLinePunct w:val="0"/>
        <w:autoSpaceDE w:val="0"/>
        <w:autoSpaceDN w:val="0"/>
        <w:bidi w:val="0"/>
        <w:adjustRightInd w:val="0"/>
        <w:spacing w:line="400" w:lineRule="exact"/>
        <w:rPr>
          <w:rFonts w:hint="eastAsia" w:ascii="宋体" w:hAnsi="宋体" w:eastAsia="宋体" w:cs="宋体"/>
          <w:sz w:val="24"/>
          <w:lang w:val="zh-CN"/>
        </w:rPr>
      </w:pPr>
    </w:p>
    <w:p>
      <w:pPr>
        <w:pageBreakBefore w:val="0"/>
        <w:wordWrap/>
        <w:topLinePunct w:val="0"/>
        <w:autoSpaceDE w:val="0"/>
        <w:autoSpaceDN w:val="0"/>
        <w:bidi w:val="0"/>
        <w:adjustRightInd w:val="0"/>
        <w:spacing w:line="400" w:lineRule="exact"/>
        <w:rPr>
          <w:rFonts w:hint="eastAsia" w:ascii="宋体" w:hAnsi="宋体" w:eastAsia="宋体" w:cs="宋体"/>
          <w:sz w:val="24"/>
          <w:lang w:val="zh-CN"/>
        </w:rPr>
      </w:pPr>
      <w:r>
        <w:rPr>
          <w:rFonts w:hint="eastAsia" w:ascii="宋体" w:hAnsi="宋体" w:eastAsia="宋体" w:cs="宋体"/>
          <w:sz w:val="24"/>
          <w:lang w:val="zh-CN"/>
        </w:rPr>
        <w:t>住所：                                   住所：</w:t>
      </w:r>
    </w:p>
    <w:p>
      <w:pPr>
        <w:pageBreakBefore w:val="0"/>
        <w:wordWrap/>
        <w:topLinePunct w:val="0"/>
        <w:autoSpaceDE w:val="0"/>
        <w:autoSpaceDN w:val="0"/>
        <w:bidi w:val="0"/>
        <w:adjustRightInd w:val="0"/>
        <w:spacing w:line="400" w:lineRule="exact"/>
        <w:rPr>
          <w:rFonts w:hint="eastAsia" w:ascii="宋体" w:hAnsi="宋体" w:eastAsia="宋体" w:cs="宋体"/>
          <w:sz w:val="24"/>
          <w:lang w:val="zh-CN"/>
        </w:rPr>
      </w:pPr>
      <w:r>
        <w:rPr>
          <w:rFonts w:hint="eastAsia" w:ascii="宋体" w:hAnsi="宋体" w:eastAsia="宋体" w:cs="宋体"/>
          <w:sz w:val="24"/>
          <w:lang w:val="zh-CN"/>
        </w:rPr>
        <w:t>法定代表人或                             法定代表人</w:t>
      </w:r>
    </w:p>
    <w:p>
      <w:pPr>
        <w:pageBreakBefore w:val="0"/>
        <w:wordWrap/>
        <w:topLinePunct w:val="0"/>
        <w:autoSpaceDE w:val="0"/>
        <w:autoSpaceDN w:val="0"/>
        <w:bidi w:val="0"/>
        <w:adjustRightInd w:val="0"/>
        <w:spacing w:line="400" w:lineRule="exact"/>
        <w:rPr>
          <w:rFonts w:hint="eastAsia" w:ascii="宋体" w:hAnsi="宋体" w:eastAsia="宋体" w:cs="宋体"/>
          <w:sz w:val="24"/>
          <w:lang w:val="zh-CN"/>
        </w:rPr>
      </w:pPr>
      <w:r>
        <w:rPr>
          <w:rFonts w:hint="eastAsia" w:ascii="宋体" w:hAnsi="宋体" w:eastAsia="宋体" w:cs="宋体"/>
          <w:sz w:val="24"/>
          <w:lang w:val="zh-CN"/>
        </w:rPr>
        <w:t xml:space="preserve">授权代表（签字）：                        或授权代表（签字）: </w:t>
      </w:r>
    </w:p>
    <w:p>
      <w:pPr>
        <w:pageBreakBefore w:val="0"/>
        <w:wordWrap/>
        <w:topLinePunct w:val="0"/>
        <w:autoSpaceDE w:val="0"/>
        <w:autoSpaceDN w:val="0"/>
        <w:bidi w:val="0"/>
        <w:adjustRightInd w:val="0"/>
        <w:spacing w:line="400" w:lineRule="exact"/>
        <w:rPr>
          <w:rFonts w:hint="eastAsia" w:ascii="宋体" w:hAnsi="宋体" w:eastAsia="宋体" w:cs="宋体"/>
          <w:sz w:val="24"/>
          <w:lang w:val="zh-CN"/>
        </w:rPr>
      </w:pPr>
      <w:r>
        <w:rPr>
          <w:rFonts w:hint="eastAsia" w:ascii="宋体" w:hAnsi="宋体" w:eastAsia="宋体" w:cs="宋体"/>
          <w:sz w:val="24"/>
          <w:lang w:val="zh-CN"/>
        </w:rPr>
        <w:t>联系人：                                 联系人：</w:t>
      </w:r>
    </w:p>
    <w:p>
      <w:pPr>
        <w:pageBreakBefore w:val="0"/>
        <w:wordWrap/>
        <w:topLinePunct w:val="0"/>
        <w:autoSpaceDE w:val="0"/>
        <w:autoSpaceDN w:val="0"/>
        <w:bidi w:val="0"/>
        <w:adjustRightInd w:val="0"/>
        <w:spacing w:line="400" w:lineRule="exact"/>
        <w:rPr>
          <w:rFonts w:hint="eastAsia" w:ascii="宋体" w:hAnsi="宋体" w:eastAsia="宋体" w:cs="宋体"/>
          <w:sz w:val="24"/>
          <w:lang w:val="zh-CN"/>
        </w:rPr>
      </w:pPr>
      <w:r>
        <w:rPr>
          <w:rFonts w:hint="eastAsia" w:ascii="宋体" w:hAnsi="宋体" w:eastAsia="宋体" w:cs="宋体"/>
          <w:sz w:val="24"/>
          <w:lang w:val="zh-CN"/>
        </w:rPr>
        <w:t>约定送达地址：                           约定送达地址：</w:t>
      </w:r>
    </w:p>
    <w:p>
      <w:pPr>
        <w:pageBreakBefore w:val="0"/>
        <w:wordWrap/>
        <w:topLinePunct w:val="0"/>
        <w:autoSpaceDE w:val="0"/>
        <w:autoSpaceDN w:val="0"/>
        <w:bidi w:val="0"/>
        <w:adjustRightInd w:val="0"/>
        <w:spacing w:line="400" w:lineRule="exact"/>
        <w:rPr>
          <w:rFonts w:hint="eastAsia" w:ascii="宋体" w:hAnsi="宋体" w:eastAsia="宋体" w:cs="宋体"/>
          <w:sz w:val="24"/>
          <w:lang w:val="zh-CN"/>
        </w:rPr>
      </w:pPr>
      <w:r>
        <w:rPr>
          <w:rFonts w:hint="eastAsia" w:ascii="宋体" w:hAnsi="宋体" w:eastAsia="宋体" w:cs="宋体"/>
          <w:sz w:val="24"/>
          <w:lang w:val="zh-CN"/>
        </w:rPr>
        <w:t>邮政编码：                               邮政编码：</w:t>
      </w:r>
    </w:p>
    <w:p>
      <w:pPr>
        <w:pageBreakBefore w:val="0"/>
        <w:wordWrap/>
        <w:topLinePunct w:val="0"/>
        <w:autoSpaceDE w:val="0"/>
        <w:autoSpaceDN w:val="0"/>
        <w:bidi w:val="0"/>
        <w:adjustRightInd w:val="0"/>
        <w:spacing w:line="400" w:lineRule="exact"/>
        <w:rPr>
          <w:rFonts w:hint="eastAsia" w:ascii="宋体" w:hAnsi="宋体" w:eastAsia="宋体" w:cs="宋体"/>
          <w:sz w:val="24"/>
          <w:lang w:val="zh-CN"/>
        </w:rPr>
      </w:pPr>
      <w:r>
        <w:rPr>
          <w:rFonts w:hint="eastAsia" w:ascii="宋体" w:hAnsi="宋体" w:eastAsia="宋体" w:cs="宋体"/>
          <w:sz w:val="24"/>
          <w:lang w:val="zh-CN"/>
        </w:rPr>
        <w:t xml:space="preserve">电话:                                    电话: </w:t>
      </w:r>
    </w:p>
    <w:p>
      <w:pPr>
        <w:pageBreakBefore w:val="0"/>
        <w:wordWrap/>
        <w:topLinePunct w:val="0"/>
        <w:autoSpaceDE w:val="0"/>
        <w:autoSpaceDN w:val="0"/>
        <w:bidi w:val="0"/>
        <w:adjustRightInd w:val="0"/>
        <w:spacing w:line="400" w:lineRule="exact"/>
        <w:rPr>
          <w:rFonts w:hint="eastAsia" w:ascii="宋体" w:hAnsi="宋体" w:eastAsia="宋体" w:cs="宋体"/>
          <w:sz w:val="24"/>
          <w:lang w:val="zh-CN"/>
        </w:rPr>
      </w:pPr>
      <w:r>
        <w:rPr>
          <w:rFonts w:hint="eastAsia" w:ascii="宋体" w:hAnsi="宋体" w:eastAsia="宋体" w:cs="宋体"/>
          <w:sz w:val="24"/>
          <w:lang w:val="zh-CN"/>
        </w:rPr>
        <w:t>传真:                                    传真:</w:t>
      </w:r>
    </w:p>
    <w:p>
      <w:pPr>
        <w:pageBreakBefore w:val="0"/>
        <w:wordWrap/>
        <w:topLinePunct w:val="0"/>
        <w:autoSpaceDE w:val="0"/>
        <w:autoSpaceDN w:val="0"/>
        <w:bidi w:val="0"/>
        <w:adjustRightInd w:val="0"/>
        <w:spacing w:line="400" w:lineRule="exact"/>
        <w:rPr>
          <w:rFonts w:hint="eastAsia" w:ascii="宋体" w:hAnsi="宋体" w:eastAsia="宋体" w:cs="宋体"/>
          <w:sz w:val="24"/>
        </w:rPr>
      </w:pPr>
      <w:r>
        <w:rPr>
          <w:rFonts w:hint="eastAsia" w:ascii="宋体" w:hAnsi="宋体" w:eastAsia="宋体" w:cs="宋体"/>
          <w:sz w:val="24"/>
          <w:lang w:val="zh-CN"/>
        </w:rPr>
        <w:t>电子邮箱：                               电子邮箱：</w:t>
      </w:r>
    </w:p>
    <w:p>
      <w:pPr>
        <w:pageBreakBefore w:val="0"/>
        <w:wordWrap/>
        <w:topLinePunct w:val="0"/>
        <w:autoSpaceDE w:val="0"/>
        <w:autoSpaceDN w:val="0"/>
        <w:bidi w:val="0"/>
        <w:adjustRightInd w:val="0"/>
        <w:spacing w:line="400" w:lineRule="exact"/>
        <w:rPr>
          <w:rFonts w:hint="eastAsia" w:ascii="宋体" w:hAnsi="宋体" w:eastAsia="宋体" w:cs="宋体"/>
          <w:sz w:val="24"/>
        </w:rPr>
      </w:pPr>
      <w:r>
        <w:rPr>
          <w:rFonts w:hint="eastAsia" w:ascii="宋体" w:hAnsi="宋体" w:eastAsia="宋体" w:cs="宋体"/>
          <w:sz w:val="24"/>
        </w:rPr>
        <w:t xml:space="preserve">开户银行：                               开户银行： </w:t>
      </w:r>
    </w:p>
    <w:p>
      <w:pPr>
        <w:pageBreakBefore w:val="0"/>
        <w:wordWrap/>
        <w:topLinePunct w:val="0"/>
        <w:autoSpaceDE w:val="0"/>
        <w:autoSpaceDN w:val="0"/>
        <w:bidi w:val="0"/>
        <w:adjustRightInd w:val="0"/>
        <w:spacing w:line="400" w:lineRule="exact"/>
        <w:rPr>
          <w:rFonts w:hint="eastAsia" w:ascii="宋体" w:hAnsi="宋体" w:eastAsia="宋体" w:cs="宋体"/>
          <w:sz w:val="24"/>
        </w:rPr>
      </w:pPr>
      <w:r>
        <w:rPr>
          <w:rFonts w:hint="eastAsia" w:ascii="宋体" w:hAnsi="宋体" w:eastAsia="宋体" w:cs="宋体"/>
          <w:sz w:val="24"/>
        </w:rPr>
        <w:t xml:space="preserve">开户名称：                               开户名称： </w:t>
      </w:r>
    </w:p>
    <w:p>
      <w:pPr>
        <w:pageBreakBefore w:val="0"/>
        <w:wordWrap/>
        <w:topLinePunct w:val="0"/>
        <w:autoSpaceDE w:val="0"/>
        <w:autoSpaceDN w:val="0"/>
        <w:bidi w:val="0"/>
        <w:adjustRightInd w:val="0"/>
        <w:spacing w:line="400" w:lineRule="exact"/>
        <w:rPr>
          <w:rFonts w:hint="eastAsia" w:ascii="宋体" w:hAnsi="宋体" w:eastAsia="宋体" w:cs="宋体"/>
          <w:sz w:val="24"/>
        </w:rPr>
      </w:pPr>
      <w:r>
        <w:rPr>
          <w:rFonts w:hint="eastAsia" w:ascii="宋体" w:hAnsi="宋体" w:eastAsia="宋体" w:cs="宋体"/>
          <w:sz w:val="24"/>
        </w:rPr>
        <w:t>开户账号：</w:t>
      </w:r>
      <w:r>
        <w:rPr>
          <w:rFonts w:hint="eastAsia" w:ascii="宋体" w:hAnsi="宋体" w:eastAsia="宋体" w:cs="宋体"/>
          <w:sz w:val="24"/>
          <w:lang w:val="zh-CN"/>
        </w:rPr>
        <w:t xml:space="preserve">                               </w:t>
      </w:r>
      <w:r>
        <w:rPr>
          <w:rFonts w:hint="eastAsia" w:ascii="宋体" w:hAnsi="宋体" w:eastAsia="宋体" w:cs="宋体"/>
          <w:sz w:val="24"/>
        </w:rPr>
        <w:t>开户账号：</w:t>
      </w:r>
    </w:p>
    <w:p>
      <w:pPr>
        <w:pageBreakBefore w:val="0"/>
        <w:widowControl/>
        <w:wordWrap/>
        <w:topLinePunct w:val="0"/>
        <w:bidi w:val="0"/>
        <w:spacing w:line="400" w:lineRule="exact"/>
        <w:jc w:val="left"/>
        <w:rPr>
          <w:rFonts w:hint="eastAsia" w:ascii="宋体" w:hAnsi="宋体" w:eastAsia="宋体" w:cs="宋体"/>
          <w:b/>
        </w:rPr>
      </w:pPr>
      <w:bookmarkStart w:id="111" w:name="_Toc331685783"/>
    </w:p>
    <w:p>
      <w:pPr>
        <w:pageBreakBefore w:val="0"/>
        <w:widowControl/>
        <w:wordWrap/>
        <w:topLinePunct w:val="0"/>
        <w:bidi w:val="0"/>
        <w:spacing w:line="400" w:lineRule="exact"/>
        <w:jc w:val="left"/>
        <w:rPr>
          <w:rFonts w:hint="eastAsia" w:ascii="宋体" w:hAnsi="宋体" w:eastAsia="宋体" w:cs="宋体"/>
          <w:b/>
        </w:rPr>
      </w:pPr>
    </w:p>
    <w:p>
      <w:pPr>
        <w:pStyle w:val="2"/>
        <w:rPr>
          <w:rFonts w:hint="eastAsia" w:ascii="宋体" w:hAnsi="宋体" w:eastAsia="宋体" w:cs="宋体"/>
          <w:b/>
        </w:rPr>
      </w:pPr>
    </w:p>
    <w:p>
      <w:pPr>
        <w:pStyle w:val="2"/>
        <w:rPr>
          <w:rFonts w:hint="eastAsia" w:ascii="宋体" w:hAnsi="宋体" w:eastAsia="宋体" w:cs="宋体"/>
          <w:b/>
        </w:rPr>
      </w:pPr>
    </w:p>
    <w:p>
      <w:pPr>
        <w:pStyle w:val="2"/>
        <w:rPr>
          <w:rFonts w:hint="eastAsia" w:ascii="宋体" w:hAnsi="宋体" w:eastAsia="宋体" w:cs="宋体"/>
          <w:b/>
        </w:rPr>
      </w:pPr>
    </w:p>
    <w:p>
      <w:pPr>
        <w:pStyle w:val="2"/>
        <w:rPr>
          <w:rFonts w:hint="eastAsia" w:ascii="宋体" w:hAnsi="宋体" w:eastAsia="宋体" w:cs="宋体"/>
          <w:b/>
        </w:rPr>
      </w:pPr>
    </w:p>
    <w:p>
      <w:pPr>
        <w:pStyle w:val="2"/>
        <w:rPr>
          <w:rFonts w:hint="eastAsia" w:ascii="宋体" w:hAnsi="宋体" w:eastAsia="宋体" w:cs="宋体"/>
          <w:b/>
        </w:rPr>
      </w:pPr>
    </w:p>
    <w:p>
      <w:pPr>
        <w:pStyle w:val="2"/>
        <w:rPr>
          <w:rFonts w:hint="eastAsia" w:ascii="宋体" w:hAnsi="宋体" w:eastAsia="宋体" w:cs="宋体"/>
          <w:b/>
        </w:rPr>
      </w:pPr>
    </w:p>
    <w:p>
      <w:pPr>
        <w:pStyle w:val="2"/>
        <w:rPr>
          <w:rFonts w:hint="eastAsia" w:ascii="宋体" w:hAnsi="宋体" w:eastAsia="宋体" w:cs="宋体"/>
          <w:b/>
        </w:rPr>
      </w:pPr>
    </w:p>
    <w:p>
      <w:pPr>
        <w:pStyle w:val="2"/>
        <w:rPr>
          <w:rFonts w:hint="eastAsia" w:ascii="宋体" w:hAnsi="宋体" w:eastAsia="宋体" w:cs="宋体"/>
          <w:b/>
        </w:rPr>
      </w:pPr>
    </w:p>
    <w:p>
      <w:pPr>
        <w:pStyle w:val="2"/>
        <w:rPr>
          <w:rFonts w:hint="eastAsia" w:ascii="宋体" w:hAnsi="宋体" w:eastAsia="宋体" w:cs="宋体"/>
          <w:b/>
        </w:rPr>
      </w:pPr>
    </w:p>
    <w:p>
      <w:pPr>
        <w:pStyle w:val="2"/>
        <w:rPr>
          <w:rFonts w:hint="eastAsia" w:ascii="宋体" w:hAnsi="宋体" w:eastAsia="宋体" w:cs="宋体"/>
          <w:b/>
        </w:rPr>
      </w:pPr>
    </w:p>
    <w:p>
      <w:pPr>
        <w:pStyle w:val="2"/>
        <w:rPr>
          <w:rFonts w:hint="eastAsia" w:ascii="宋体" w:hAnsi="宋体" w:eastAsia="宋体" w:cs="宋体"/>
          <w:b/>
        </w:rPr>
      </w:pPr>
    </w:p>
    <w:p>
      <w:pPr>
        <w:pStyle w:val="85"/>
        <w:pageBreakBefore w:val="0"/>
        <w:wordWrap/>
        <w:topLinePunct w:val="0"/>
        <w:bidi w:val="0"/>
        <w:spacing w:line="400" w:lineRule="exact"/>
        <w:ind w:firstLine="200"/>
        <w:jc w:val="center"/>
        <w:rPr>
          <w:rFonts w:hint="eastAsia" w:ascii="宋体" w:hAnsi="宋体" w:eastAsia="宋体" w:cs="宋体"/>
          <w:b/>
          <w:szCs w:val="24"/>
        </w:rPr>
      </w:pPr>
      <w:r>
        <w:rPr>
          <w:rFonts w:hint="eastAsia" w:ascii="宋体" w:hAnsi="宋体" w:eastAsia="宋体" w:cs="宋体"/>
          <w:b/>
          <w:szCs w:val="24"/>
        </w:rPr>
        <w:t>第二部分 合同一般条款</w:t>
      </w:r>
      <w:bookmarkEnd w:id="111"/>
    </w:p>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112" w:name="_Ref467379109"/>
      <w:bookmarkStart w:id="113" w:name="_Toc31297"/>
      <w:bookmarkStart w:id="114" w:name="_Toc5323"/>
      <w:bookmarkStart w:id="115" w:name="_Ref467379195"/>
      <w:bookmarkStart w:id="116" w:name="_Toc279701240"/>
      <w:bookmarkStart w:id="117" w:name="_Toc25079"/>
      <w:bookmarkStart w:id="118" w:name="_Toc5228"/>
      <w:bookmarkStart w:id="119" w:name="_Ref467379225"/>
      <w:bookmarkStart w:id="120" w:name="_Ref467379094"/>
      <w:bookmarkStart w:id="121" w:name="_Toc14021"/>
      <w:bookmarkStart w:id="122" w:name="_Toc259093669"/>
      <w:bookmarkStart w:id="123" w:name="_Ref467379205"/>
      <w:bookmarkStart w:id="124" w:name="_Toc487900349"/>
      <w:bookmarkStart w:id="125" w:name="_Ref467378404"/>
      <w:bookmarkStart w:id="126" w:name="_Ref467379214"/>
      <w:bookmarkStart w:id="127" w:name="_Ref467378499"/>
      <w:bookmarkStart w:id="128" w:name="_Toc19680"/>
      <w:bookmarkStart w:id="129" w:name="_Ref467378463"/>
      <w:bookmarkStart w:id="130" w:name="_Ref467379101"/>
      <w:bookmarkStart w:id="131" w:name="_Toc29063703"/>
      <w:r>
        <w:rPr>
          <w:rFonts w:hint="eastAsia" w:ascii="宋体" w:hAnsi="宋体" w:eastAsia="宋体" w:cs="宋体"/>
          <w:b/>
          <w:sz w:val="24"/>
        </w:rPr>
        <w:t>2.1 定义</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2.1.1 “合同”系指采购人和中标供应商签订的载明双方当事人所达成的协议，并包括所有的附件、附录和构成合同的其他文件。</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2.1.2 “合同价”系指根据合同约定，中标供应商在完全履行合同义务后，采购人应支付给中标供应商的价格。</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2.1.3 “服务”系指中标供应商根据合同约定应向采购人履行的除货物和工程以外的其他政府采购对象，包括采购人自身需要的服务和向社会公众提供的公共服务。</w:t>
      </w:r>
    </w:p>
    <w:p>
      <w:pPr>
        <w:pageBreakBefore w:val="0"/>
        <w:wordWrap/>
        <w:topLinePunct w:val="0"/>
        <w:bidi w:val="0"/>
        <w:spacing w:line="400" w:lineRule="exact"/>
        <w:ind w:firstLine="480" w:firstLineChars="200"/>
        <w:rPr>
          <w:rFonts w:hint="eastAsia" w:ascii="宋体" w:hAnsi="宋体" w:eastAsia="宋体" w:cs="宋体"/>
          <w:sz w:val="24"/>
        </w:rPr>
      </w:pPr>
      <w:bookmarkStart w:id="132" w:name="_Ref467378840"/>
      <w:r>
        <w:rPr>
          <w:rFonts w:hint="eastAsia" w:ascii="宋体" w:hAnsi="宋体" w:eastAsia="宋体" w:cs="宋体"/>
          <w:sz w:val="24"/>
        </w:rPr>
        <w:t>2.1.4 “甲方”系指与中标供应商签署合同的采购人</w:t>
      </w:r>
      <w:bookmarkEnd w:id="132"/>
      <w:r>
        <w:rPr>
          <w:rFonts w:hint="eastAsia" w:ascii="宋体" w:hAnsi="宋体" w:eastAsia="宋体" w:cs="宋体"/>
          <w:sz w:val="24"/>
        </w:rPr>
        <w:t>；采购人委托采购代理机构代表其与乙方签订合同的，采购人的授权委托书作为合同附件。</w:t>
      </w:r>
    </w:p>
    <w:p>
      <w:pPr>
        <w:pageBreakBefore w:val="0"/>
        <w:wordWrap/>
        <w:topLinePunct w:val="0"/>
        <w:bidi w:val="0"/>
        <w:spacing w:line="400" w:lineRule="exact"/>
        <w:ind w:firstLine="480" w:firstLineChars="200"/>
        <w:rPr>
          <w:rFonts w:hint="eastAsia" w:ascii="宋体" w:hAnsi="宋体" w:eastAsia="宋体" w:cs="宋体"/>
          <w:sz w:val="24"/>
        </w:rPr>
      </w:pPr>
      <w:bookmarkStart w:id="133" w:name="_Ref467379400"/>
      <w:r>
        <w:rPr>
          <w:rFonts w:hint="eastAsia" w:ascii="宋体" w:hAnsi="宋体" w:eastAsia="宋体" w:cs="宋体"/>
          <w:sz w:val="24"/>
        </w:rPr>
        <w:t>2.1.5 “乙方”系指根据合同约定提供服务的中标供应商</w:t>
      </w:r>
      <w:bookmarkEnd w:id="133"/>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pageBreakBefore w:val="0"/>
        <w:wordWrap/>
        <w:topLinePunct w:val="0"/>
        <w:bidi w:val="0"/>
        <w:spacing w:line="400" w:lineRule="exact"/>
        <w:ind w:firstLine="480" w:firstLineChars="200"/>
        <w:rPr>
          <w:rFonts w:hint="eastAsia" w:ascii="宋体" w:hAnsi="宋体" w:eastAsia="宋体" w:cs="宋体"/>
          <w:sz w:val="24"/>
        </w:rPr>
      </w:pPr>
      <w:bookmarkStart w:id="134" w:name="_Ref467379436"/>
      <w:r>
        <w:rPr>
          <w:rFonts w:hint="eastAsia" w:ascii="宋体" w:hAnsi="宋体" w:eastAsia="宋体" w:cs="宋体"/>
          <w:sz w:val="24"/>
        </w:rPr>
        <w:t>2.1.6 “现场”系指合同约定提供服务的地点。</w:t>
      </w:r>
      <w:bookmarkEnd w:id="134"/>
    </w:p>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135" w:name="_Toc29063704"/>
      <w:bookmarkStart w:id="136" w:name="_Toc16752"/>
      <w:bookmarkStart w:id="137" w:name="_Toc279701241"/>
      <w:bookmarkStart w:id="138" w:name="_Toc19539"/>
      <w:bookmarkStart w:id="139" w:name="_Toc487900350"/>
      <w:bookmarkStart w:id="140" w:name="_Toc23289"/>
      <w:bookmarkStart w:id="141" w:name="_Toc3769"/>
      <w:bookmarkStart w:id="142" w:name="_Toc259093670"/>
      <w:bookmarkStart w:id="143" w:name="_Toc31402"/>
      <w:bookmarkStart w:id="144" w:name="_Toc23979"/>
      <w:r>
        <w:rPr>
          <w:rFonts w:hint="eastAsia" w:ascii="宋体" w:hAnsi="宋体" w:eastAsia="宋体" w:cs="宋体"/>
          <w:b/>
          <w:sz w:val="24"/>
        </w:rPr>
        <w:t>2.2 技术规范</w:t>
      </w:r>
      <w:bookmarkEnd w:id="135"/>
      <w:bookmarkEnd w:id="136"/>
      <w:bookmarkEnd w:id="137"/>
      <w:bookmarkEnd w:id="138"/>
      <w:bookmarkEnd w:id="139"/>
      <w:bookmarkEnd w:id="140"/>
      <w:bookmarkEnd w:id="141"/>
      <w:bookmarkEnd w:id="142"/>
      <w:bookmarkEnd w:id="143"/>
      <w:bookmarkEnd w:id="144"/>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145" w:name="_Toc279701242"/>
      <w:bookmarkStart w:id="146" w:name="_Toc29063705"/>
      <w:bookmarkStart w:id="147" w:name="_Toc9161"/>
      <w:bookmarkStart w:id="148" w:name="_Toc13673"/>
      <w:bookmarkStart w:id="149" w:name="_Toc27945"/>
      <w:bookmarkStart w:id="150" w:name="_Toc4133"/>
      <w:bookmarkStart w:id="151" w:name="_Toc259093671"/>
      <w:bookmarkStart w:id="152" w:name="_Toc10900"/>
      <w:bookmarkStart w:id="153" w:name="_Toc12412"/>
      <w:bookmarkStart w:id="154" w:name="_Toc487900351"/>
      <w:r>
        <w:rPr>
          <w:rFonts w:hint="eastAsia" w:ascii="宋体" w:hAnsi="宋体" w:eastAsia="宋体" w:cs="宋体"/>
          <w:b/>
          <w:sz w:val="24"/>
        </w:rPr>
        <w:t>2.3 知识产权</w:t>
      </w:r>
      <w:bookmarkEnd w:id="145"/>
      <w:bookmarkEnd w:id="146"/>
      <w:bookmarkEnd w:id="147"/>
      <w:bookmarkEnd w:id="148"/>
      <w:bookmarkEnd w:id="149"/>
      <w:bookmarkEnd w:id="150"/>
      <w:bookmarkEnd w:id="151"/>
      <w:bookmarkEnd w:id="152"/>
      <w:bookmarkEnd w:id="153"/>
      <w:bookmarkEnd w:id="154"/>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2.3.2 合同涉及技术成果的归属和收益的分成办法的，详见</w:t>
      </w:r>
      <w:r>
        <w:rPr>
          <w:rFonts w:hint="eastAsia" w:ascii="宋体" w:hAnsi="宋体" w:eastAsia="宋体" w:cs="宋体"/>
          <w:b/>
          <w:i/>
          <w:sz w:val="24"/>
          <w:u w:val="single"/>
        </w:rPr>
        <w:t>合同专用条款</w:t>
      </w:r>
      <w:r>
        <w:rPr>
          <w:rFonts w:hint="eastAsia" w:ascii="宋体" w:hAnsi="宋体" w:eastAsia="宋体" w:cs="宋体"/>
          <w:sz w:val="24"/>
        </w:rPr>
        <w:t>。</w:t>
      </w:r>
    </w:p>
    <w:p>
      <w:pPr>
        <w:pageBreakBefore w:val="0"/>
        <w:wordWrap/>
        <w:topLinePunct w:val="0"/>
        <w:bidi w:val="0"/>
        <w:spacing w:line="400" w:lineRule="exact"/>
        <w:ind w:firstLine="482" w:firstLineChars="200"/>
        <w:rPr>
          <w:rFonts w:hint="eastAsia" w:ascii="宋体" w:hAnsi="宋体" w:eastAsia="宋体" w:cs="宋体"/>
          <w:b/>
          <w:sz w:val="24"/>
        </w:rPr>
      </w:pPr>
      <w:r>
        <w:rPr>
          <w:rFonts w:hint="eastAsia" w:ascii="宋体" w:hAnsi="宋体" w:eastAsia="宋体" w:cs="宋体"/>
          <w:b/>
          <w:sz w:val="24"/>
        </w:rPr>
        <w:t>2.4 履约检查和问题反馈</w:t>
      </w:r>
    </w:p>
    <w:p>
      <w:pPr>
        <w:pageBreakBefore w:val="0"/>
        <w:wordWrap/>
        <w:topLinePunct w:val="0"/>
        <w:bidi w:val="0"/>
        <w:spacing w:line="400" w:lineRule="exact"/>
        <w:ind w:firstLine="480" w:firstLineChars="200"/>
        <w:rPr>
          <w:rFonts w:hint="eastAsia" w:ascii="宋体" w:hAnsi="宋体" w:eastAsia="宋体" w:cs="宋体"/>
          <w:sz w:val="24"/>
        </w:rPr>
      </w:pPr>
      <w:bookmarkStart w:id="155" w:name="_Ref467379657"/>
      <w:r>
        <w:rPr>
          <w:rFonts w:hint="eastAsia" w:ascii="宋体" w:hAnsi="宋体" w:eastAsia="宋体" w:cs="宋体"/>
          <w:sz w:val="24"/>
        </w:rPr>
        <w:t>2.4.1</w:t>
      </w:r>
      <w:bookmarkEnd w:id="155"/>
      <w:bookmarkStart w:id="156" w:name="_Toc186431854"/>
      <w:bookmarkStart w:id="157" w:name="_Toc487900357"/>
      <w:bookmarkStart w:id="158" w:name="_Ref467379793"/>
      <w:bookmarkStart w:id="159" w:name="_Toc259093676"/>
      <w:bookmarkStart w:id="160" w:name="_Toc279701247"/>
      <w:bookmarkStart w:id="161" w:name="_Ref467379807"/>
      <w:r>
        <w:rPr>
          <w:rFonts w:hint="eastAsia" w:ascii="宋体" w:hAnsi="宋体" w:eastAsia="宋体" w:cs="宋体"/>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2.4.2 合同履行期间，甲方有权将履行过程中出现的问题反馈给乙方，双方当事人应以书面形式约定需要完善和改进的内容</w:t>
      </w:r>
      <w:bookmarkEnd w:id="156"/>
      <w:bookmarkStart w:id="162" w:name="_Toc186431855"/>
      <w:r>
        <w:rPr>
          <w:rFonts w:hint="eastAsia" w:ascii="宋体" w:hAnsi="宋体" w:eastAsia="宋体" w:cs="宋体"/>
          <w:sz w:val="24"/>
        </w:rPr>
        <w:t>。</w:t>
      </w:r>
    </w:p>
    <w:bookmarkEnd w:id="162"/>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163" w:name="_Toc29063706"/>
      <w:bookmarkStart w:id="164" w:name="_Toc5289"/>
      <w:bookmarkStart w:id="165" w:name="_Toc15447"/>
      <w:bookmarkStart w:id="166" w:name="_Toc31233"/>
      <w:bookmarkStart w:id="167" w:name="_Toc22011"/>
      <w:bookmarkStart w:id="168" w:name="_Toc26555"/>
      <w:r>
        <w:rPr>
          <w:rFonts w:hint="eastAsia" w:ascii="宋体" w:hAnsi="宋体" w:eastAsia="宋体" w:cs="宋体"/>
          <w:b/>
          <w:sz w:val="24"/>
        </w:rPr>
        <w:t>2.5 结算方式和付款条件</w:t>
      </w:r>
      <w:bookmarkEnd w:id="157"/>
      <w:bookmarkEnd w:id="158"/>
      <w:bookmarkEnd w:id="159"/>
      <w:bookmarkEnd w:id="160"/>
      <w:bookmarkEnd w:id="161"/>
      <w:bookmarkEnd w:id="163"/>
      <w:bookmarkEnd w:id="164"/>
      <w:bookmarkEnd w:id="165"/>
      <w:bookmarkEnd w:id="166"/>
      <w:bookmarkEnd w:id="167"/>
      <w:bookmarkEnd w:id="168"/>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详见</w:t>
      </w:r>
      <w:r>
        <w:rPr>
          <w:rFonts w:hint="eastAsia" w:ascii="宋体" w:hAnsi="宋体" w:eastAsia="宋体" w:cs="宋体"/>
          <w:b/>
          <w:i/>
          <w:sz w:val="24"/>
          <w:u w:val="single"/>
        </w:rPr>
        <w:t>合同专用条款</w:t>
      </w:r>
      <w:r>
        <w:rPr>
          <w:rFonts w:hint="eastAsia" w:ascii="宋体" w:hAnsi="宋体" w:eastAsia="宋体" w:cs="宋体"/>
          <w:sz w:val="24"/>
        </w:rPr>
        <w:t>。</w:t>
      </w:r>
    </w:p>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169" w:name="_Ref467379923"/>
      <w:bookmarkStart w:id="170" w:name="_Ref467379852"/>
      <w:bookmarkStart w:id="171" w:name="_Toc259093677"/>
      <w:bookmarkStart w:id="172" w:name="_Toc279701248"/>
      <w:bookmarkStart w:id="173" w:name="_Ref467379863"/>
      <w:bookmarkStart w:id="174" w:name="_Toc487900358"/>
      <w:bookmarkStart w:id="175" w:name="_Toc30507"/>
      <w:bookmarkStart w:id="176" w:name="_Toc18990"/>
      <w:bookmarkStart w:id="177" w:name="_Toc16163"/>
      <w:bookmarkStart w:id="178" w:name="_Toc19887"/>
      <w:bookmarkStart w:id="179" w:name="_Toc13154"/>
      <w:bookmarkStart w:id="180" w:name="_Toc29063707"/>
      <w:bookmarkStart w:id="181" w:name="_Toc13467"/>
      <w:r>
        <w:rPr>
          <w:rFonts w:hint="eastAsia" w:ascii="宋体" w:hAnsi="宋体" w:eastAsia="宋体" w:cs="宋体"/>
          <w:b/>
          <w:sz w:val="24"/>
        </w:rPr>
        <w:t>2.6 技术资料</w:t>
      </w:r>
      <w:bookmarkEnd w:id="169"/>
      <w:bookmarkEnd w:id="170"/>
      <w:bookmarkEnd w:id="171"/>
      <w:bookmarkEnd w:id="172"/>
      <w:bookmarkEnd w:id="173"/>
      <w:bookmarkEnd w:id="174"/>
      <w:r>
        <w:rPr>
          <w:rFonts w:hint="eastAsia" w:ascii="宋体" w:hAnsi="宋体" w:eastAsia="宋体" w:cs="宋体"/>
          <w:b/>
          <w:sz w:val="24"/>
        </w:rPr>
        <w:t>和保密义务</w:t>
      </w:r>
      <w:bookmarkEnd w:id="175"/>
      <w:bookmarkEnd w:id="176"/>
      <w:bookmarkEnd w:id="177"/>
      <w:bookmarkEnd w:id="178"/>
      <w:bookmarkEnd w:id="179"/>
      <w:bookmarkEnd w:id="180"/>
      <w:bookmarkEnd w:id="181"/>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2.6.1 乙方有权依据合同约定和项目需要，向甲方了解有关情况，调阅有关资料等，甲方应予积极配合；</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2.6.2 乙方有义务妥善保管和保护由甲方提供的前款信息和资料等；</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182" w:name="_Toc16321"/>
      <w:bookmarkStart w:id="183" w:name="_Toc19069"/>
      <w:bookmarkStart w:id="184" w:name="_Toc29063708"/>
      <w:bookmarkStart w:id="185" w:name="_Toc259093681"/>
      <w:bookmarkStart w:id="186" w:name="_Toc279701252"/>
      <w:bookmarkStart w:id="187" w:name="_Toc487900362"/>
      <w:r>
        <w:rPr>
          <w:rFonts w:hint="eastAsia" w:ascii="宋体" w:hAnsi="宋体" w:eastAsia="宋体" w:cs="宋体"/>
          <w:b/>
          <w:sz w:val="24"/>
        </w:rPr>
        <w:t>2.7 质量保证</w:t>
      </w:r>
      <w:bookmarkEnd w:id="182"/>
      <w:bookmarkEnd w:id="183"/>
      <w:bookmarkEnd w:id="184"/>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2.7.1 乙方应建立和完善履行合同的内部质量保证体系，并提供相关内部规章制度给甲方，以便甲方进行监督检查；</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2.7.2 乙方应保证履行合同的人员数量和素质、软件和硬件设备的配置、场地、环境和设施等满足全面履行合同的要求，并应接受甲方的监督检查。</w:t>
      </w:r>
    </w:p>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188" w:name="_Toc18767"/>
      <w:bookmarkStart w:id="189" w:name="_Toc22267"/>
      <w:bookmarkStart w:id="190" w:name="_Toc29063709"/>
      <w:r>
        <w:rPr>
          <w:rFonts w:hint="eastAsia" w:ascii="宋体" w:hAnsi="宋体" w:eastAsia="宋体" w:cs="宋体"/>
          <w:b/>
          <w:sz w:val="24"/>
        </w:rPr>
        <w:t>2.8 延迟</w:t>
      </w:r>
      <w:bookmarkEnd w:id="185"/>
      <w:bookmarkEnd w:id="186"/>
      <w:bookmarkEnd w:id="187"/>
      <w:r>
        <w:rPr>
          <w:rFonts w:hint="eastAsia" w:ascii="宋体" w:hAnsi="宋体" w:eastAsia="宋体" w:cs="宋体"/>
          <w:b/>
          <w:sz w:val="24"/>
        </w:rPr>
        <w:t>履行</w:t>
      </w:r>
      <w:bookmarkEnd w:id="188"/>
      <w:bookmarkEnd w:id="189"/>
      <w:bookmarkEnd w:id="190"/>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191" w:name="_Toc10186"/>
      <w:bookmarkStart w:id="192" w:name="_Toc29063710"/>
      <w:bookmarkStart w:id="193" w:name="_Toc10611"/>
      <w:bookmarkStart w:id="194" w:name="_Toc259093683"/>
      <w:bookmarkStart w:id="195" w:name="_Toc487900364"/>
      <w:bookmarkStart w:id="196" w:name="_Toc279701254"/>
      <w:bookmarkStart w:id="197" w:name="_Ref467378121"/>
      <w:r>
        <w:rPr>
          <w:rFonts w:hint="eastAsia" w:ascii="宋体" w:hAnsi="宋体" w:eastAsia="宋体" w:cs="宋体"/>
          <w:b/>
          <w:sz w:val="24"/>
        </w:rPr>
        <w:t>2.9 合同变更</w:t>
      </w:r>
      <w:bookmarkEnd w:id="191"/>
      <w:bookmarkEnd w:id="192"/>
      <w:bookmarkEnd w:id="193"/>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2.9.1 双方当事人协商一致，可以签订书面补充合同的形式变更合同，但不得违背采购文件确定的事项，且如果系追加与合同标的相同的服务的，那么所有补充合同的采购金额不得超过原合同价的10%；</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2.9.2 合同继续履行将损害国家利益和社会公共利益的，双方当事人应当以书面形式变更合同。有过错的一方应当承担赔偿责任，双方当事人都有过错的，各自承担相应的责任。</w:t>
      </w:r>
      <w:bookmarkStart w:id="198" w:name="_Toc279701259"/>
      <w:bookmarkStart w:id="199" w:name="_Toc487900369"/>
      <w:bookmarkStart w:id="200" w:name="_Toc259093688"/>
    </w:p>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201" w:name="_Toc23368"/>
      <w:bookmarkStart w:id="202" w:name="_Toc42"/>
      <w:bookmarkStart w:id="203" w:name="_Toc26689"/>
      <w:bookmarkStart w:id="204" w:name="_Toc29063711"/>
      <w:bookmarkStart w:id="205" w:name="_Toc10663"/>
      <w:bookmarkStart w:id="206" w:name="_Toc21830"/>
      <w:bookmarkStart w:id="207" w:name="_Toc2971"/>
      <w:r>
        <w:rPr>
          <w:rFonts w:hint="eastAsia" w:ascii="宋体" w:hAnsi="宋体" w:eastAsia="宋体" w:cs="宋体"/>
          <w:b/>
          <w:sz w:val="24"/>
        </w:rPr>
        <w:t>2.10 合同转让</w:t>
      </w:r>
      <w:bookmarkEnd w:id="198"/>
      <w:bookmarkEnd w:id="199"/>
      <w:bookmarkEnd w:id="200"/>
      <w:r>
        <w:rPr>
          <w:rFonts w:hint="eastAsia" w:ascii="宋体" w:hAnsi="宋体" w:eastAsia="宋体" w:cs="宋体"/>
          <w:b/>
          <w:sz w:val="24"/>
        </w:rPr>
        <w:t>和分包</w:t>
      </w:r>
      <w:bookmarkEnd w:id="201"/>
      <w:bookmarkEnd w:id="202"/>
      <w:bookmarkEnd w:id="203"/>
      <w:bookmarkEnd w:id="204"/>
      <w:bookmarkEnd w:id="205"/>
      <w:bookmarkEnd w:id="206"/>
      <w:bookmarkEnd w:id="207"/>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208" w:name="_Toc14371"/>
      <w:bookmarkStart w:id="209" w:name="_Toc25571"/>
      <w:bookmarkStart w:id="210" w:name="_Toc32494"/>
      <w:bookmarkStart w:id="211" w:name="_Toc20559"/>
      <w:bookmarkStart w:id="212" w:name="_Toc4720"/>
      <w:bookmarkStart w:id="213" w:name="_Toc26633"/>
      <w:bookmarkStart w:id="214" w:name="_Toc29063712"/>
      <w:r>
        <w:rPr>
          <w:rFonts w:hint="eastAsia" w:ascii="宋体" w:hAnsi="宋体" w:eastAsia="宋体" w:cs="宋体"/>
          <w:b/>
          <w:sz w:val="24"/>
        </w:rPr>
        <w:t>2.11 不可抗力</w:t>
      </w:r>
      <w:bookmarkEnd w:id="208"/>
      <w:bookmarkEnd w:id="209"/>
      <w:bookmarkEnd w:id="210"/>
      <w:bookmarkEnd w:id="211"/>
      <w:bookmarkEnd w:id="212"/>
      <w:bookmarkEnd w:id="213"/>
      <w:bookmarkEnd w:id="214"/>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2.11.1如果任何一方遭遇法律规定的不可抗力，致使合同履行受阻时，履行合同的期限应予延长，延长的期限应相当于不可抗力所影响的时间；</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2.11.2 因不可抗力致使不能实现合同目的的，当事人可以解除合同；</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2.11.3 因不可抗力致使合同有变更必要的，双方当事人应在</w:t>
      </w:r>
      <w:r>
        <w:rPr>
          <w:rFonts w:hint="eastAsia" w:ascii="宋体" w:hAnsi="宋体" w:eastAsia="宋体" w:cs="宋体"/>
          <w:b/>
          <w:i/>
          <w:sz w:val="24"/>
          <w:u w:val="single"/>
        </w:rPr>
        <w:t>合同专用条款</w:t>
      </w:r>
      <w:r>
        <w:rPr>
          <w:rFonts w:hint="eastAsia" w:ascii="宋体" w:hAnsi="宋体" w:eastAsia="宋体" w:cs="宋体"/>
          <w:sz w:val="24"/>
        </w:rPr>
        <w:t>约定时间内以书面形式变更合同；</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2.11.4受不可抗力影响的一方在不可抗力发生后，应在</w:t>
      </w:r>
      <w:r>
        <w:rPr>
          <w:rFonts w:hint="eastAsia" w:ascii="宋体" w:hAnsi="宋体" w:eastAsia="宋体" w:cs="宋体"/>
          <w:b/>
          <w:i/>
          <w:sz w:val="24"/>
          <w:u w:val="single"/>
        </w:rPr>
        <w:t>合同专用条款</w:t>
      </w:r>
      <w:r>
        <w:rPr>
          <w:rFonts w:hint="eastAsia" w:ascii="宋体" w:hAnsi="宋体" w:eastAsia="宋体" w:cs="宋体"/>
          <w:sz w:val="24"/>
        </w:rPr>
        <w:t>约定时间内以书面形式通知对方当事人，并在</w:t>
      </w:r>
      <w:r>
        <w:rPr>
          <w:rFonts w:hint="eastAsia" w:ascii="宋体" w:hAnsi="宋体" w:eastAsia="宋体" w:cs="宋体"/>
          <w:b/>
          <w:i/>
          <w:sz w:val="24"/>
          <w:u w:val="single"/>
        </w:rPr>
        <w:t>合同专用条款</w:t>
      </w:r>
      <w:r>
        <w:rPr>
          <w:rFonts w:hint="eastAsia" w:ascii="宋体" w:hAnsi="宋体" w:eastAsia="宋体" w:cs="宋体"/>
          <w:sz w:val="24"/>
        </w:rPr>
        <w:t>约定时间内，将有关部门出具的证明文件送达对方当事人。</w:t>
      </w:r>
    </w:p>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215" w:name="_Toc24465"/>
      <w:bookmarkStart w:id="216" w:name="_Toc259093684"/>
      <w:bookmarkStart w:id="217" w:name="_Toc23854"/>
      <w:bookmarkStart w:id="218" w:name="_Toc25783"/>
      <w:bookmarkStart w:id="219" w:name="_Toc279701255"/>
      <w:bookmarkStart w:id="220" w:name="_Toc487900365"/>
      <w:bookmarkStart w:id="221" w:name="_Toc29063713"/>
      <w:bookmarkStart w:id="222" w:name="_Toc3638"/>
      <w:bookmarkStart w:id="223" w:name="_Toc10221"/>
      <w:bookmarkStart w:id="224" w:name="_Toc14115"/>
      <w:r>
        <w:rPr>
          <w:rFonts w:hint="eastAsia" w:ascii="宋体" w:hAnsi="宋体" w:eastAsia="宋体" w:cs="宋体"/>
          <w:b/>
          <w:sz w:val="24"/>
        </w:rPr>
        <w:t>2.12 税费</w:t>
      </w:r>
      <w:bookmarkEnd w:id="215"/>
      <w:bookmarkEnd w:id="216"/>
      <w:bookmarkEnd w:id="217"/>
      <w:bookmarkEnd w:id="218"/>
      <w:bookmarkEnd w:id="219"/>
      <w:bookmarkEnd w:id="220"/>
      <w:bookmarkEnd w:id="221"/>
      <w:bookmarkEnd w:id="222"/>
      <w:bookmarkEnd w:id="223"/>
      <w:bookmarkEnd w:id="224"/>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与合同有关的一切税费，均按照中华人民共和国法律的相关规定缴纳。</w:t>
      </w:r>
    </w:p>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225" w:name="_Toc25525"/>
      <w:bookmarkStart w:id="226" w:name="_Toc30105"/>
      <w:bookmarkStart w:id="227" w:name="_Toc26883"/>
      <w:bookmarkStart w:id="228" w:name="_Toc7315"/>
      <w:bookmarkStart w:id="229" w:name="_Toc14814"/>
      <w:bookmarkStart w:id="230" w:name="_Toc29063714"/>
      <w:bookmarkStart w:id="231" w:name="_Toc259093687"/>
      <w:bookmarkStart w:id="232" w:name="_Toc3416"/>
      <w:bookmarkStart w:id="233" w:name="_Toc487900368"/>
      <w:bookmarkStart w:id="234" w:name="_Toc279701258"/>
      <w:r>
        <w:rPr>
          <w:rFonts w:hint="eastAsia" w:ascii="宋体" w:hAnsi="宋体" w:eastAsia="宋体" w:cs="宋体"/>
          <w:b/>
          <w:sz w:val="24"/>
        </w:rPr>
        <w:t>2.13 乙方破产</w:t>
      </w:r>
      <w:bookmarkEnd w:id="225"/>
      <w:bookmarkEnd w:id="226"/>
      <w:bookmarkEnd w:id="227"/>
      <w:bookmarkEnd w:id="228"/>
      <w:bookmarkEnd w:id="229"/>
      <w:bookmarkEnd w:id="230"/>
      <w:bookmarkEnd w:id="231"/>
      <w:bookmarkEnd w:id="232"/>
      <w:bookmarkEnd w:id="233"/>
      <w:bookmarkEnd w:id="234"/>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235" w:name="_Toc16371"/>
      <w:bookmarkStart w:id="236" w:name="_Toc29063715"/>
      <w:bookmarkStart w:id="237" w:name="_Toc23323"/>
      <w:bookmarkStart w:id="238" w:name="_Toc2016"/>
      <w:bookmarkStart w:id="239" w:name="_Toc1123"/>
      <w:r>
        <w:rPr>
          <w:rFonts w:hint="eastAsia" w:ascii="宋体" w:hAnsi="宋体" w:eastAsia="宋体" w:cs="宋体"/>
          <w:b/>
          <w:sz w:val="24"/>
        </w:rPr>
        <w:t>2.14 合同中止、终止</w:t>
      </w:r>
      <w:bookmarkEnd w:id="235"/>
      <w:bookmarkEnd w:id="236"/>
      <w:bookmarkEnd w:id="237"/>
      <w:bookmarkEnd w:id="238"/>
      <w:bookmarkEnd w:id="239"/>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2.14.1 双方当事人不得擅自中止或者终止合同；</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2.14.2合同继续履行将损害国家利益和社会公共利益的，双方当事人应当中止或者终止合同。有过错的一方应当承担赔偿责任，双方当事人都有过错的，各自承担相应的责任。</w:t>
      </w:r>
    </w:p>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240" w:name="_Toc14525"/>
      <w:bookmarkStart w:id="241" w:name="_Toc17363"/>
      <w:bookmarkStart w:id="242" w:name="_Toc18556"/>
      <w:bookmarkStart w:id="243" w:name="_Toc1969"/>
      <w:bookmarkStart w:id="244" w:name="_Toc29063716"/>
      <w:r>
        <w:rPr>
          <w:rFonts w:hint="eastAsia" w:ascii="宋体" w:hAnsi="宋体" w:eastAsia="宋体" w:cs="宋体"/>
          <w:b/>
          <w:sz w:val="24"/>
        </w:rPr>
        <w:t>2.15 检验和验收</w:t>
      </w:r>
      <w:bookmarkEnd w:id="240"/>
      <w:bookmarkEnd w:id="241"/>
      <w:bookmarkEnd w:id="242"/>
      <w:bookmarkEnd w:id="243"/>
      <w:bookmarkEnd w:id="244"/>
    </w:p>
    <w:p>
      <w:pPr>
        <w:pageBreakBefore w:val="0"/>
        <w:tabs>
          <w:tab w:val="left" w:pos="360"/>
          <w:tab w:val="left" w:pos="540"/>
          <w:tab w:val="left" w:pos="1080"/>
        </w:tabs>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2.15.1 乙方按照</w:t>
      </w:r>
      <w:r>
        <w:rPr>
          <w:rFonts w:hint="eastAsia" w:ascii="宋体" w:hAnsi="宋体" w:eastAsia="宋体" w:cs="宋体"/>
          <w:b/>
          <w:i/>
          <w:sz w:val="24"/>
          <w:u w:val="single"/>
        </w:rPr>
        <w:t>合同专用条款</w:t>
      </w:r>
      <w:r>
        <w:rPr>
          <w:rFonts w:hint="eastAsia" w:ascii="宋体" w:hAnsi="宋体" w:eastAsia="宋体" w:cs="宋体"/>
          <w:sz w:val="24"/>
        </w:rPr>
        <w:t>的约定，定期提交服务报告，甲方按照</w:t>
      </w:r>
      <w:r>
        <w:rPr>
          <w:rFonts w:hint="eastAsia" w:ascii="宋体" w:hAnsi="宋体" w:eastAsia="宋体" w:cs="宋体"/>
          <w:b/>
          <w:i/>
          <w:sz w:val="24"/>
          <w:u w:val="single"/>
        </w:rPr>
        <w:t>合同专用条款</w:t>
      </w:r>
      <w:r>
        <w:rPr>
          <w:rFonts w:hint="eastAsia" w:ascii="宋体" w:hAnsi="宋体" w:eastAsia="宋体" w:cs="宋体"/>
          <w:sz w:val="24"/>
        </w:rPr>
        <w:t>的约定进行定期验收；</w:t>
      </w:r>
    </w:p>
    <w:p>
      <w:pPr>
        <w:pageBreakBefore w:val="0"/>
        <w:tabs>
          <w:tab w:val="left" w:pos="360"/>
          <w:tab w:val="left" w:pos="540"/>
          <w:tab w:val="left" w:pos="1080"/>
        </w:tabs>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pageBreakBefore w:val="0"/>
        <w:tabs>
          <w:tab w:val="left" w:pos="360"/>
          <w:tab w:val="left" w:pos="540"/>
          <w:tab w:val="left" w:pos="1080"/>
        </w:tabs>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2.15.3 检验和验收标准、程序等具体内容以及前述验收书的效力详见</w:t>
      </w:r>
      <w:r>
        <w:rPr>
          <w:rFonts w:hint="eastAsia" w:ascii="宋体" w:hAnsi="宋体" w:eastAsia="宋体" w:cs="宋体"/>
          <w:b/>
          <w:i/>
          <w:sz w:val="24"/>
          <w:u w:val="single"/>
        </w:rPr>
        <w:t>合同专用条款</w:t>
      </w:r>
      <w:r>
        <w:rPr>
          <w:rFonts w:hint="eastAsia" w:ascii="宋体" w:hAnsi="宋体" w:eastAsia="宋体" w:cs="宋体"/>
          <w:i/>
          <w:sz w:val="24"/>
        </w:rPr>
        <w:t>。</w:t>
      </w:r>
    </w:p>
    <w:bookmarkEnd w:id="194"/>
    <w:bookmarkEnd w:id="195"/>
    <w:bookmarkEnd w:id="196"/>
    <w:bookmarkEnd w:id="197"/>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245" w:name="_Toc487900371"/>
      <w:bookmarkStart w:id="246" w:name="_Toc279701261"/>
      <w:bookmarkStart w:id="247" w:name="_Toc259093690"/>
      <w:bookmarkStart w:id="248" w:name="_Toc2308"/>
      <w:bookmarkStart w:id="249" w:name="_Toc25198"/>
      <w:bookmarkStart w:id="250" w:name="_Toc31892"/>
      <w:bookmarkStart w:id="251" w:name="_Toc29063717"/>
      <w:bookmarkStart w:id="252" w:name="_Toc12666"/>
      <w:bookmarkStart w:id="253" w:name="_Toc13066"/>
      <w:bookmarkStart w:id="254" w:name="_Toc9808"/>
      <w:r>
        <w:rPr>
          <w:rFonts w:hint="eastAsia" w:ascii="宋体" w:hAnsi="宋体" w:eastAsia="宋体" w:cs="宋体"/>
          <w:b/>
          <w:sz w:val="24"/>
        </w:rPr>
        <w:t>2.16 通知</w:t>
      </w:r>
      <w:bookmarkEnd w:id="245"/>
      <w:bookmarkEnd w:id="246"/>
      <w:bookmarkEnd w:id="247"/>
      <w:r>
        <w:rPr>
          <w:rFonts w:hint="eastAsia" w:ascii="宋体" w:hAnsi="宋体" w:eastAsia="宋体" w:cs="宋体"/>
          <w:b/>
          <w:sz w:val="24"/>
        </w:rPr>
        <w:t>和送达</w:t>
      </w:r>
      <w:bookmarkEnd w:id="248"/>
      <w:bookmarkEnd w:id="249"/>
      <w:bookmarkEnd w:id="250"/>
      <w:bookmarkEnd w:id="251"/>
      <w:bookmarkEnd w:id="252"/>
      <w:bookmarkEnd w:id="253"/>
      <w:bookmarkEnd w:id="254"/>
    </w:p>
    <w:p>
      <w:pPr>
        <w:pageBreakBefore w:val="0"/>
        <w:wordWrap/>
        <w:topLinePunct w:val="0"/>
        <w:bidi w:val="0"/>
        <w:spacing w:line="400" w:lineRule="exact"/>
        <w:ind w:firstLine="480" w:firstLineChars="200"/>
        <w:rPr>
          <w:rFonts w:hint="eastAsia" w:ascii="宋体" w:hAnsi="宋体" w:eastAsia="宋体" w:cs="宋体"/>
          <w:sz w:val="24"/>
        </w:rPr>
      </w:pPr>
      <w:bookmarkStart w:id="255" w:name="_Toc29220"/>
      <w:bookmarkStart w:id="256" w:name="_Toc7073"/>
      <w:bookmarkStart w:id="257" w:name="_Toc487900372"/>
      <w:bookmarkStart w:id="258" w:name="_Toc259093691"/>
      <w:bookmarkStart w:id="259" w:name="_Toc279701262"/>
      <w:r>
        <w:rPr>
          <w:rFonts w:hint="eastAsia" w:ascii="宋体" w:hAnsi="宋体" w:eastAsia="宋体" w:cs="宋体"/>
          <w:sz w:val="24"/>
        </w:rPr>
        <w:t>2.16.1 任何一方因履行合同而以合同第一部分尾部所列明的</w:t>
      </w:r>
      <w:r>
        <w:rPr>
          <w:rFonts w:hint="eastAsia" w:ascii="宋体" w:hAnsi="宋体" w:eastAsia="宋体" w:cs="宋体"/>
          <w:sz w:val="24"/>
          <w:u w:val="single"/>
        </w:rPr>
        <w:t xml:space="preserve">          </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 xml:space="preserve">   </w:t>
      </w:r>
      <w:r>
        <w:rPr>
          <w:rFonts w:hint="eastAsia" w:ascii="宋体" w:hAnsi="宋体" w:eastAsia="宋体" w:cs="宋体"/>
          <w:sz w:val="24"/>
        </w:rPr>
        <w:t>个工作日内书面通知对方当事人，在对方当事人收到有关变更通知之前，变更前的约定送达方式或者地址仍视为有效。</w:t>
      </w:r>
      <w:bookmarkEnd w:id="255"/>
      <w:bookmarkEnd w:id="256"/>
    </w:p>
    <w:p>
      <w:pPr>
        <w:pageBreakBefore w:val="0"/>
        <w:wordWrap/>
        <w:topLinePunct w:val="0"/>
        <w:bidi w:val="0"/>
        <w:spacing w:line="400" w:lineRule="exact"/>
        <w:ind w:firstLine="480" w:firstLineChars="200"/>
        <w:rPr>
          <w:rFonts w:hint="eastAsia" w:ascii="宋体" w:hAnsi="宋体" w:eastAsia="宋体" w:cs="宋体"/>
          <w:sz w:val="24"/>
        </w:rPr>
      </w:pPr>
      <w:bookmarkStart w:id="260" w:name="_Toc18401"/>
      <w:bookmarkStart w:id="261" w:name="_Toc27674"/>
      <w:r>
        <w:rPr>
          <w:rFonts w:hint="eastAsia" w:ascii="宋体" w:hAnsi="宋体" w:eastAsia="宋体" w:cs="宋体"/>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260"/>
      <w:bookmarkEnd w:id="261"/>
    </w:p>
    <w:bookmarkEnd w:id="257"/>
    <w:bookmarkEnd w:id="258"/>
    <w:bookmarkEnd w:id="259"/>
    <w:p>
      <w:pPr>
        <w:pageBreakBefore w:val="0"/>
        <w:wordWrap/>
        <w:topLinePunct w:val="0"/>
        <w:bidi w:val="0"/>
        <w:spacing w:line="400" w:lineRule="exact"/>
        <w:ind w:firstLine="482" w:firstLineChars="200"/>
        <w:outlineLvl w:val="0"/>
        <w:rPr>
          <w:rFonts w:hint="eastAsia" w:ascii="宋体" w:hAnsi="宋体" w:eastAsia="宋体" w:cs="宋体"/>
          <w:b/>
          <w:sz w:val="24"/>
        </w:rPr>
      </w:pPr>
      <w:bookmarkStart w:id="262" w:name="_Toc259093692"/>
      <w:bookmarkStart w:id="263" w:name="_Toc279701263"/>
      <w:bookmarkStart w:id="264" w:name="_Toc27644"/>
      <w:bookmarkStart w:id="265" w:name="_Toc20808"/>
      <w:bookmarkStart w:id="266" w:name="_Toc487900373"/>
      <w:bookmarkStart w:id="267" w:name="_Toc12254"/>
      <w:bookmarkStart w:id="268" w:name="_Toc29063718"/>
      <w:bookmarkStart w:id="269" w:name="_Toc5063"/>
      <w:bookmarkStart w:id="270" w:name="_Toc30546"/>
      <w:bookmarkStart w:id="271" w:name="_Toc28906"/>
      <w:r>
        <w:rPr>
          <w:rFonts w:hint="eastAsia" w:ascii="宋体" w:hAnsi="宋体" w:eastAsia="宋体" w:cs="宋体"/>
          <w:b/>
          <w:sz w:val="24"/>
        </w:rPr>
        <w:t>2.17 合同使用的文字和适用的法律</w:t>
      </w:r>
      <w:bookmarkEnd w:id="262"/>
      <w:bookmarkEnd w:id="263"/>
      <w:bookmarkEnd w:id="264"/>
      <w:bookmarkEnd w:id="265"/>
      <w:bookmarkEnd w:id="266"/>
      <w:bookmarkEnd w:id="267"/>
      <w:bookmarkEnd w:id="268"/>
      <w:bookmarkEnd w:id="269"/>
      <w:bookmarkEnd w:id="270"/>
      <w:bookmarkEnd w:id="271"/>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2.17.1 合同使用汉语书就、变更和解释；</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2.17.2 合同适用中华人民共和国法律。</w:t>
      </w:r>
    </w:p>
    <w:p>
      <w:pPr>
        <w:pageBreakBefore w:val="0"/>
        <w:wordWrap/>
        <w:topLinePunct w:val="0"/>
        <w:bidi w:val="0"/>
        <w:spacing w:line="400" w:lineRule="exact"/>
        <w:ind w:firstLine="482" w:firstLineChars="200"/>
        <w:rPr>
          <w:rFonts w:hint="eastAsia" w:ascii="宋体" w:hAnsi="宋体" w:eastAsia="宋体" w:cs="宋体"/>
          <w:b/>
          <w:sz w:val="24"/>
        </w:rPr>
      </w:pPr>
      <w:bookmarkStart w:id="272" w:name="_Toc30096"/>
      <w:bookmarkStart w:id="273" w:name="_Toc22266"/>
      <w:bookmarkStart w:id="274" w:name="_Toc487900374"/>
      <w:bookmarkStart w:id="275" w:name="_Toc259093693"/>
      <w:bookmarkStart w:id="276" w:name="_Toc29063719"/>
      <w:bookmarkStart w:id="277" w:name="_Toc1492"/>
      <w:bookmarkStart w:id="278" w:name="_Toc11599"/>
      <w:bookmarkStart w:id="279" w:name="_Toc27127"/>
      <w:bookmarkStart w:id="280" w:name="_Toc27403"/>
      <w:bookmarkStart w:id="281" w:name="_Toc279701264"/>
      <w:r>
        <w:rPr>
          <w:rFonts w:hint="eastAsia" w:ascii="宋体" w:hAnsi="宋体" w:eastAsia="宋体" w:cs="宋体"/>
          <w:b/>
          <w:sz w:val="24"/>
        </w:rPr>
        <w:t xml:space="preserve">2.18 </w:t>
      </w:r>
      <w:bookmarkEnd w:id="272"/>
      <w:bookmarkEnd w:id="273"/>
      <w:bookmarkEnd w:id="274"/>
      <w:bookmarkEnd w:id="275"/>
      <w:bookmarkEnd w:id="276"/>
      <w:bookmarkEnd w:id="277"/>
      <w:bookmarkEnd w:id="278"/>
      <w:bookmarkEnd w:id="279"/>
      <w:bookmarkEnd w:id="280"/>
      <w:bookmarkEnd w:id="281"/>
      <w:r>
        <w:rPr>
          <w:rFonts w:hint="eastAsia" w:ascii="宋体" w:hAnsi="宋体" w:eastAsia="宋体" w:cs="宋体"/>
          <w:b/>
          <w:sz w:val="24"/>
        </w:rPr>
        <w:t>合同份数</w:t>
      </w:r>
    </w:p>
    <w:p>
      <w:pPr>
        <w:pageBreakBefore w:val="0"/>
        <w:wordWrap/>
        <w:topLinePunct w:val="0"/>
        <w:bidi w:val="0"/>
        <w:spacing w:line="400" w:lineRule="exact"/>
        <w:ind w:firstLine="480" w:firstLineChars="200"/>
        <w:rPr>
          <w:rFonts w:hint="eastAsia" w:ascii="宋体" w:hAnsi="宋体" w:eastAsia="宋体" w:cs="宋体"/>
          <w:sz w:val="24"/>
        </w:rPr>
      </w:pPr>
      <w:r>
        <w:rPr>
          <w:rFonts w:hint="eastAsia" w:ascii="宋体" w:hAnsi="宋体" w:eastAsia="宋体" w:cs="宋体"/>
          <w:sz w:val="24"/>
        </w:rPr>
        <w:t>合同份数按</w:t>
      </w:r>
      <w:r>
        <w:rPr>
          <w:rFonts w:hint="eastAsia" w:ascii="宋体" w:hAnsi="宋体" w:eastAsia="宋体" w:cs="宋体"/>
          <w:b/>
          <w:i/>
          <w:sz w:val="24"/>
          <w:u w:val="single"/>
        </w:rPr>
        <w:t>合同专用条款</w:t>
      </w:r>
      <w:r>
        <w:rPr>
          <w:rFonts w:hint="eastAsia" w:ascii="宋体" w:hAnsi="宋体" w:eastAsia="宋体" w:cs="宋体"/>
          <w:sz w:val="24"/>
        </w:rPr>
        <w:t>规定，每份均具有同等法律效力。</w:t>
      </w:r>
    </w:p>
    <w:p>
      <w:pPr>
        <w:pageBreakBefore w:val="0"/>
        <w:wordWrap/>
        <w:topLinePunct w:val="0"/>
        <w:bidi w:val="0"/>
        <w:spacing w:line="400" w:lineRule="exact"/>
        <w:rPr>
          <w:rFonts w:hint="eastAsia" w:ascii="宋体" w:hAnsi="宋体" w:eastAsia="宋体" w:cs="宋体"/>
          <w:sz w:val="28"/>
          <w:szCs w:val="28"/>
        </w:rPr>
      </w:pPr>
    </w:p>
    <w:p>
      <w:pPr>
        <w:pageBreakBefore w:val="0"/>
        <w:wordWrap/>
        <w:bidi w:val="0"/>
        <w:spacing w:line="400" w:lineRule="exact"/>
        <w:rPr>
          <w:rFonts w:hint="eastAsia" w:ascii="宋体" w:hAnsi="宋体" w:eastAsia="宋体" w:cs="宋体"/>
          <w:b/>
          <w:sz w:val="28"/>
          <w:szCs w:val="28"/>
        </w:rPr>
      </w:pPr>
    </w:p>
    <w:p>
      <w:pPr>
        <w:pStyle w:val="3"/>
        <w:pageBreakBefore w:val="0"/>
        <w:wordWrap/>
        <w:bidi w:val="0"/>
        <w:spacing w:line="400" w:lineRule="exact"/>
        <w:jc w:val="both"/>
        <w:rPr>
          <w:rFonts w:hint="eastAsia" w:ascii="宋体" w:hAnsi="宋体" w:eastAsia="宋体" w:cs="宋体"/>
          <w:bCs w:val="0"/>
          <w:kern w:val="2"/>
          <w:sz w:val="28"/>
          <w:szCs w:val="28"/>
        </w:rPr>
      </w:pPr>
      <w:r>
        <w:rPr>
          <w:rFonts w:hint="eastAsia" w:ascii="宋体" w:hAnsi="宋体" w:eastAsia="宋体" w:cs="宋体"/>
          <w:b w:val="0"/>
          <w:sz w:val="28"/>
          <w:szCs w:val="28"/>
        </w:rPr>
        <w:br w:type="page"/>
      </w:r>
      <w:bookmarkStart w:id="282" w:name="_Toc21251"/>
      <w:bookmarkStart w:id="283" w:name="_Toc7201"/>
      <w:bookmarkStart w:id="284" w:name="_Toc16470"/>
      <w:bookmarkStart w:id="285" w:name="_Toc9966"/>
      <w:bookmarkStart w:id="286" w:name="_Toc29011"/>
      <w:bookmarkStart w:id="287" w:name="_Toc1279"/>
      <w:bookmarkStart w:id="288" w:name="_Toc19337"/>
      <w:bookmarkStart w:id="289" w:name="_Toc28823"/>
      <w:bookmarkStart w:id="290" w:name="_Toc993"/>
      <w:bookmarkStart w:id="291" w:name="_Toc13137"/>
    </w:p>
    <w:p>
      <w:pPr>
        <w:pStyle w:val="3"/>
        <w:keepNext/>
        <w:keepLines/>
        <w:pageBreakBefore w:val="0"/>
        <w:widowControl w:val="0"/>
        <w:kinsoku/>
        <w:wordWrap/>
        <w:overflowPunct/>
        <w:topLinePunct w:val="0"/>
        <w:autoSpaceDE/>
        <w:autoSpaceDN/>
        <w:bidi w:val="0"/>
        <w:adjustRightInd w:val="0"/>
        <w:snapToGrid/>
        <w:spacing w:line="500" w:lineRule="exact"/>
        <w:ind w:firstLine="289"/>
        <w:jc w:val="center"/>
        <w:textAlignment w:val="baseline"/>
        <w:rPr>
          <w:rStyle w:val="78"/>
          <w:rFonts w:hint="eastAsia" w:ascii="宋体" w:hAnsi="宋体" w:eastAsia="宋体" w:cs="宋体"/>
          <w:b w:val="0"/>
          <w:bCs w:val="0"/>
          <w:sz w:val="44"/>
          <w:szCs w:val="44"/>
        </w:rPr>
      </w:pPr>
      <w:bookmarkStart w:id="292" w:name="_Toc6885"/>
      <w:r>
        <w:rPr>
          <w:rFonts w:hint="eastAsia" w:ascii="宋体" w:hAnsi="宋体" w:eastAsia="宋体" w:cs="宋体"/>
          <w:bCs w:val="0"/>
          <w:kern w:val="2"/>
          <w:sz w:val="44"/>
          <w:szCs w:val="44"/>
        </w:rPr>
        <w:t>第五章  竞争性磋商响应文件格式</w:t>
      </w:r>
      <w:bookmarkEnd w:id="282"/>
      <w:bookmarkEnd w:id="283"/>
      <w:bookmarkEnd w:id="284"/>
      <w:bookmarkEnd w:id="285"/>
      <w:bookmarkEnd w:id="286"/>
      <w:bookmarkEnd w:id="287"/>
      <w:bookmarkEnd w:id="288"/>
      <w:bookmarkEnd w:id="289"/>
      <w:bookmarkEnd w:id="290"/>
      <w:bookmarkEnd w:id="291"/>
      <w:bookmarkEnd w:id="292"/>
    </w:p>
    <w:p>
      <w:pPr>
        <w:pageBreakBefore w:val="0"/>
        <w:wordWrap/>
        <w:bidi w:val="0"/>
        <w:spacing w:line="400" w:lineRule="exact"/>
        <w:jc w:val="right"/>
        <w:rPr>
          <w:rFonts w:hint="eastAsia" w:ascii="宋体" w:hAnsi="宋体" w:eastAsia="宋体" w:cs="宋体"/>
          <w:b/>
          <w:sz w:val="28"/>
          <w:szCs w:val="28"/>
        </w:rPr>
      </w:pPr>
    </w:p>
    <w:p>
      <w:pPr>
        <w:pageBreakBefore w:val="0"/>
        <w:wordWrap/>
        <w:bidi w:val="0"/>
        <w:spacing w:line="400" w:lineRule="exact"/>
        <w:jc w:val="right"/>
        <w:rPr>
          <w:rFonts w:hint="eastAsia" w:ascii="宋体" w:hAnsi="宋体" w:eastAsia="宋体" w:cs="宋体"/>
          <w:b/>
          <w:sz w:val="28"/>
          <w:szCs w:val="28"/>
        </w:rPr>
      </w:pPr>
      <w:r>
        <w:rPr>
          <w:rFonts w:hint="eastAsia" w:ascii="宋体" w:hAnsi="宋体" w:eastAsia="宋体" w:cs="宋体"/>
          <w:b/>
          <w:sz w:val="28"/>
          <w:szCs w:val="28"/>
        </w:rPr>
        <w:t>（正本/副本）</w:t>
      </w:r>
    </w:p>
    <w:p>
      <w:pPr>
        <w:pStyle w:val="18"/>
        <w:pageBreakBefore w:val="0"/>
        <w:wordWrap/>
        <w:bidi w:val="0"/>
        <w:spacing w:line="400" w:lineRule="exact"/>
        <w:rPr>
          <w:rFonts w:hint="eastAsia" w:ascii="宋体" w:hAnsi="宋体" w:eastAsia="宋体" w:cs="宋体"/>
          <w:sz w:val="28"/>
          <w:szCs w:val="28"/>
        </w:rPr>
      </w:pPr>
    </w:p>
    <w:p>
      <w:pPr>
        <w:pStyle w:val="18"/>
        <w:pageBreakBefore w:val="0"/>
        <w:wordWrap/>
        <w:bidi w:val="0"/>
        <w:spacing w:line="400" w:lineRule="exact"/>
        <w:rPr>
          <w:rFonts w:hint="eastAsia" w:ascii="宋体" w:hAnsi="宋体" w:eastAsia="宋体" w:cs="宋体"/>
          <w:sz w:val="28"/>
          <w:szCs w:val="28"/>
        </w:rPr>
      </w:pPr>
    </w:p>
    <w:p>
      <w:pPr>
        <w:pStyle w:val="18"/>
        <w:pageBreakBefore w:val="0"/>
        <w:wordWrap/>
        <w:bidi w:val="0"/>
        <w:spacing w:line="400" w:lineRule="exact"/>
        <w:rPr>
          <w:rFonts w:hint="eastAsia" w:ascii="宋体" w:hAnsi="宋体" w:eastAsia="宋体" w:cs="宋体"/>
          <w:sz w:val="28"/>
          <w:szCs w:val="28"/>
        </w:rPr>
      </w:pPr>
    </w:p>
    <w:p>
      <w:pPr>
        <w:pStyle w:val="18"/>
        <w:pageBreakBefore w:val="0"/>
        <w:wordWrap/>
        <w:bidi w:val="0"/>
        <w:spacing w:line="400" w:lineRule="exact"/>
        <w:rPr>
          <w:rFonts w:hint="eastAsia" w:ascii="宋体" w:hAnsi="宋体" w:eastAsia="宋体" w:cs="宋体"/>
          <w:sz w:val="28"/>
          <w:szCs w:val="28"/>
        </w:rPr>
      </w:pPr>
    </w:p>
    <w:p>
      <w:pPr>
        <w:pStyle w:val="18"/>
        <w:pageBreakBefore w:val="0"/>
        <w:wordWrap/>
        <w:bidi w:val="0"/>
        <w:spacing w:line="400" w:lineRule="exact"/>
        <w:rPr>
          <w:rFonts w:hint="eastAsia" w:ascii="宋体" w:hAnsi="宋体" w:eastAsia="宋体" w:cs="宋体"/>
          <w:sz w:val="28"/>
          <w:szCs w:val="28"/>
          <w:lang w:val="en-US" w:eastAsia="zh-CN"/>
        </w:rPr>
      </w:pPr>
    </w:p>
    <w:p>
      <w:pPr>
        <w:pStyle w:val="18"/>
        <w:pageBreakBefore w:val="0"/>
        <w:wordWrap/>
        <w:bidi w:val="0"/>
        <w:spacing w:line="400" w:lineRule="exact"/>
        <w:rPr>
          <w:rFonts w:hint="eastAsia" w:ascii="宋体" w:hAnsi="宋体" w:eastAsia="宋体" w:cs="宋体"/>
          <w:sz w:val="28"/>
          <w:szCs w:val="28"/>
        </w:rPr>
      </w:pPr>
    </w:p>
    <w:p>
      <w:pPr>
        <w:pStyle w:val="18"/>
        <w:pageBreakBefore w:val="0"/>
        <w:wordWrap/>
        <w:bidi w:val="0"/>
        <w:spacing w:line="400" w:lineRule="exact"/>
        <w:jc w:val="center"/>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宋体" w:hAnsi="宋体" w:eastAsia="宋体" w:cs="宋体"/>
          <w:b/>
          <w:sz w:val="44"/>
          <w:szCs w:val="44"/>
        </w:rPr>
      </w:pPr>
      <w:bookmarkStart w:id="293" w:name="_Toc5883"/>
      <w:r>
        <w:rPr>
          <w:rFonts w:hint="eastAsia" w:ascii="宋体" w:hAnsi="宋体" w:eastAsia="宋体" w:cs="宋体"/>
          <w:b/>
          <w:sz w:val="44"/>
          <w:szCs w:val="44"/>
        </w:rPr>
        <w:t>竞争性磋商响应文件</w:t>
      </w:r>
      <w:bookmarkEnd w:id="293"/>
    </w:p>
    <w:p>
      <w:pPr>
        <w:pageBreakBefore w:val="0"/>
        <w:wordWrap/>
        <w:bidi w:val="0"/>
        <w:spacing w:line="400" w:lineRule="exact"/>
        <w:rPr>
          <w:rFonts w:hint="eastAsia" w:ascii="宋体" w:hAnsi="宋体" w:eastAsia="宋体" w:cs="宋体"/>
          <w:b/>
          <w:sz w:val="28"/>
          <w:szCs w:val="28"/>
        </w:rPr>
      </w:pPr>
      <w:r>
        <w:rPr>
          <w:rFonts w:hint="eastAsia" w:ascii="宋体" w:hAnsi="宋体" w:eastAsia="宋体" w:cs="宋体"/>
          <w:b/>
          <w:sz w:val="28"/>
          <w:szCs w:val="28"/>
        </w:rPr>
        <w:t xml:space="preserve">    </w:t>
      </w:r>
    </w:p>
    <w:p>
      <w:pPr>
        <w:pStyle w:val="18"/>
        <w:pageBreakBefore w:val="0"/>
        <w:wordWrap/>
        <w:bidi w:val="0"/>
        <w:spacing w:line="400" w:lineRule="exact"/>
        <w:rPr>
          <w:rFonts w:hint="eastAsia" w:ascii="宋体" w:hAnsi="宋体" w:eastAsia="宋体" w:cs="宋体"/>
          <w:b/>
          <w:sz w:val="28"/>
          <w:szCs w:val="28"/>
        </w:rPr>
      </w:pPr>
    </w:p>
    <w:p>
      <w:pPr>
        <w:pStyle w:val="18"/>
        <w:pageBreakBefore w:val="0"/>
        <w:wordWrap/>
        <w:bidi w:val="0"/>
        <w:spacing w:line="400" w:lineRule="exact"/>
        <w:rPr>
          <w:rFonts w:hint="eastAsia" w:ascii="宋体" w:hAnsi="宋体" w:eastAsia="宋体" w:cs="宋体"/>
          <w:b/>
          <w:sz w:val="28"/>
          <w:szCs w:val="28"/>
        </w:rPr>
      </w:pPr>
    </w:p>
    <w:p>
      <w:pPr>
        <w:pStyle w:val="18"/>
        <w:pageBreakBefore w:val="0"/>
        <w:wordWrap/>
        <w:bidi w:val="0"/>
        <w:spacing w:line="400" w:lineRule="exact"/>
        <w:rPr>
          <w:rFonts w:hint="eastAsia" w:ascii="宋体" w:hAnsi="宋体" w:eastAsia="宋体" w:cs="宋体"/>
          <w:b/>
          <w:sz w:val="28"/>
          <w:szCs w:val="28"/>
        </w:rPr>
      </w:pPr>
    </w:p>
    <w:p>
      <w:pPr>
        <w:pStyle w:val="18"/>
        <w:pageBreakBefore w:val="0"/>
        <w:wordWrap/>
        <w:bidi w:val="0"/>
        <w:spacing w:line="400" w:lineRule="exact"/>
        <w:rPr>
          <w:rFonts w:hint="eastAsia" w:ascii="宋体" w:hAnsi="宋体" w:eastAsia="宋体" w:cs="宋体"/>
          <w:sz w:val="28"/>
          <w:szCs w:val="28"/>
        </w:rPr>
      </w:pPr>
    </w:p>
    <w:p>
      <w:pPr>
        <w:pageBreakBefore w:val="0"/>
        <w:wordWrap/>
        <w:bidi w:val="0"/>
        <w:spacing w:line="400" w:lineRule="exact"/>
        <w:rPr>
          <w:rFonts w:hint="eastAsia" w:ascii="宋体" w:hAnsi="宋体" w:eastAsia="宋体" w:cs="宋体"/>
          <w:b/>
          <w:sz w:val="28"/>
          <w:szCs w:val="28"/>
        </w:rPr>
      </w:pPr>
    </w:p>
    <w:p>
      <w:pPr>
        <w:pageBreakBefore w:val="0"/>
        <w:wordWrap/>
        <w:bidi w:val="0"/>
        <w:spacing w:line="400" w:lineRule="exact"/>
        <w:rPr>
          <w:rFonts w:hint="eastAsia" w:ascii="宋体" w:hAnsi="宋体" w:eastAsia="宋体" w:cs="宋体"/>
          <w:b/>
          <w:sz w:val="28"/>
          <w:szCs w:val="28"/>
        </w:rPr>
      </w:pPr>
    </w:p>
    <w:p>
      <w:pPr>
        <w:keepNext w:val="0"/>
        <w:keepLines w:val="0"/>
        <w:pageBreakBefore w:val="0"/>
        <w:widowControl w:val="0"/>
        <w:tabs>
          <w:tab w:val="center" w:pos="5346"/>
        </w:tabs>
        <w:kinsoku/>
        <w:wordWrap/>
        <w:overflowPunct/>
        <w:topLinePunct w:val="0"/>
        <w:autoSpaceDE/>
        <w:autoSpaceDN/>
        <w:bidi w:val="0"/>
        <w:adjustRightInd/>
        <w:snapToGrid/>
        <w:spacing w:line="500" w:lineRule="exact"/>
        <w:textAlignment w:val="auto"/>
        <w:rPr>
          <w:rFonts w:hint="eastAsia" w:ascii="宋体" w:hAnsi="宋体" w:eastAsia="宋体" w:cs="宋体"/>
          <w:b/>
          <w:sz w:val="28"/>
          <w:szCs w:val="28"/>
        </w:rPr>
      </w:pPr>
      <w:r>
        <w:rPr>
          <w:rFonts w:hint="eastAsia" w:ascii="宋体" w:hAnsi="宋体" w:eastAsia="宋体" w:cs="宋体"/>
          <w:b/>
          <w:sz w:val="28"/>
          <w:szCs w:val="28"/>
        </w:rPr>
        <w:t xml:space="preserve">        供应商名称：</w:t>
      </w:r>
      <w:r>
        <w:rPr>
          <w:rFonts w:hint="eastAsia" w:ascii="宋体" w:hAnsi="宋体" w:eastAsia="宋体" w:cs="宋体"/>
          <w:b/>
          <w:sz w:val="28"/>
          <w:szCs w:val="28"/>
          <w:u w:val="single"/>
        </w:rPr>
        <w:t xml:space="preserve">                </w:t>
      </w:r>
      <w:r>
        <w:rPr>
          <w:rFonts w:hint="eastAsia" w:ascii="宋体" w:hAnsi="宋体" w:eastAsia="宋体" w:cs="宋体"/>
          <w:b/>
          <w:sz w:val="28"/>
          <w:szCs w:val="28"/>
        </w:rPr>
        <w:t>（全称并加盖公章）</w:t>
      </w:r>
    </w:p>
    <w:p>
      <w:pPr>
        <w:pStyle w:val="18"/>
        <w:keepNext w:val="0"/>
        <w:keepLines w:val="0"/>
        <w:pageBreakBefore w:val="0"/>
        <w:widowControl w:val="0"/>
        <w:kinsoku/>
        <w:wordWrap/>
        <w:overflowPunct/>
        <w:topLinePunct w:val="0"/>
        <w:autoSpaceDE/>
        <w:autoSpaceDN/>
        <w:bidi w:val="0"/>
        <w:adjustRightInd/>
        <w:snapToGrid/>
        <w:spacing w:line="500" w:lineRule="exact"/>
        <w:ind w:firstLine="1124" w:firstLineChars="400"/>
        <w:textAlignment w:val="auto"/>
        <w:rPr>
          <w:rFonts w:hint="eastAsia" w:ascii="宋体" w:hAnsi="宋体" w:eastAsia="宋体" w:cs="宋体"/>
          <w:sz w:val="28"/>
          <w:szCs w:val="28"/>
        </w:rPr>
      </w:pPr>
      <w:r>
        <w:rPr>
          <w:rFonts w:hint="eastAsia" w:ascii="宋体" w:hAnsi="宋体" w:eastAsia="宋体" w:cs="宋体"/>
          <w:b/>
          <w:sz w:val="28"/>
          <w:szCs w:val="28"/>
        </w:rPr>
        <w:t xml:space="preserve">法定代表人/或被授权人（签字或盖章）：           </w:t>
      </w:r>
    </w:p>
    <w:p>
      <w:pPr>
        <w:keepNext w:val="0"/>
        <w:keepLines w:val="0"/>
        <w:pageBreakBefore w:val="0"/>
        <w:widowControl w:val="0"/>
        <w:kinsoku/>
        <w:wordWrap/>
        <w:overflowPunct/>
        <w:topLinePunct w:val="0"/>
        <w:autoSpaceDE/>
        <w:autoSpaceDN/>
        <w:bidi w:val="0"/>
        <w:adjustRightInd/>
        <w:snapToGrid/>
        <w:spacing w:line="500" w:lineRule="exact"/>
        <w:ind w:firstLine="1124" w:firstLineChars="400"/>
        <w:jc w:val="center"/>
        <w:textAlignment w:val="auto"/>
        <w:outlineLvl w:val="0"/>
        <w:rPr>
          <w:rFonts w:hint="eastAsia" w:ascii="宋体" w:hAnsi="宋体" w:eastAsia="宋体" w:cs="宋体"/>
          <w:b/>
          <w:sz w:val="36"/>
          <w:szCs w:val="36"/>
        </w:rPr>
      </w:pPr>
      <w:bookmarkStart w:id="294" w:name="_Toc17813"/>
      <w:r>
        <w:rPr>
          <w:rFonts w:hint="eastAsia" w:ascii="宋体" w:hAnsi="宋体" w:eastAsia="宋体" w:cs="宋体"/>
          <w:b/>
          <w:sz w:val="28"/>
          <w:szCs w:val="28"/>
        </w:rPr>
        <w:t>年</w:t>
      </w:r>
      <w:r>
        <w:rPr>
          <w:rFonts w:hint="eastAsia" w:ascii="宋体" w:hAnsi="宋体" w:eastAsia="宋体" w:cs="宋体"/>
          <w:b/>
          <w:sz w:val="28"/>
          <w:szCs w:val="28"/>
          <w:u w:val="single"/>
        </w:rPr>
        <w:t xml:space="preserve">   </w:t>
      </w:r>
      <w:r>
        <w:rPr>
          <w:rFonts w:hint="eastAsia" w:ascii="宋体" w:hAnsi="宋体" w:eastAsia="宋体" w:cs="宋体"/>
          <w:b/>
          <w:sz w:val="28"/>
          <w:szCs w:val="28"/>
        </w:rPr>
        <w:t>月</w:t>
      </w:r>
      <w:r>
        <w:rPr>
          <w:rFonts w:hint="eastAsia" w:ascii="宋体" w:hAnsi="宋体" w:eastAsia="宋体" w:cs="宋体"/>
          <w:b/>
          <w:sz w:val="28"/>
          <w:szCs w:val="28"/>
          <w:u w:val="single"/>
        </w:rPr>
        <w:t xml:space="preserve">   </w:t>
      </w:r>
      <w:r>
        <w:rPr>
          <w:rFonts w:hint="eastAsia" w:ascii="宋体" w:hAnsi="宋体" w:eastAsia="宋体" w:cs="宋体"/>
          <w:b/>
          <w:sz w:val="28"/>
          <w:szCs w:val="28"/>
        </w:rPr>
        <w:t>日</w:t>
      </w:r>
      <w:r>
        <w:rPr>
          <w:rFonts w:hint="eastAsia" w:ascii="宋体" w:hAnsi="宋体" w:eastAsia="宋体" w:cs="宋体"/>
          <w:b/>
          <w:sz w:val="28"/>
          <w:szCs w:val="28"/>
        </w:rPr>
        <w:br w:type="page"/>
      </w:r>
      <w:bookmarkStart w:id="295" w:name="_Toc344572156"/>
      <w:r>
        <w:rPr>
          <w:rFonts w:hint="eastAsia" w:ascii="宋体" w:hAnsi="宋体" w:eastAsia="宋体" w:cs="宋体"/>
          <w:b/>
          <w:sz w:val="36"/>
          <w:szCs w:val="36"/>
        </w:rPr>
        <w:t xml:space="preserve">  目  录</w:t>
      </w:r>
      <w:bookmarkEnd w:id="294"/>
    </w:p>
    <w:p>
      <w:pPr>
        <w:pageBreakBefore w:val="0"/>
        <w:tabs>
          <w:tab w:val="left" w:pos="567"/>
          <w:tab w:val="left" w:pos="993"/>
        </w:tabs>
        <w:wordWrap/>
        <w:bidi w:val="0"/>
        <w:spacing w:line="400" w:lineRule="exact"/>
        <w:rPr>
          <w:rFonts w:hint="eastAsia" w:ascii="宋体" w:hAnsi="宋体" w:eastAsia="宋体" w:cs="宋体"/>
          <w:spacing w:val="4"/>
          <w:sz w:val="28"/>
          <w:szCs w:val="28"/>
        </w:rPr>
      </w:pPr>
    </w:p>
    <w:p>
      <w:pPr>
        <w:pStyle w:val="13"/>
        <w:keepNext w:val="0"/>
        <w:keepLines w:val="0"/>
        <w:pageBreakBefore w:val="0"/>
        <w:widowControl w:val="0"/>
        <w:kinsoku/>
        <w:wordWrap/>
        <w:overflowPunct/>
        <w:topLinePunct w:val="0"/>
        <w:autoSpaceDE/>
        <w:autoSpaceDN/>
        <w:bidi w:val="0"/>
        <w:adjustRightInd/>
        <w:snapToGrid/>
        <w:spacing w:line="500" w:lineRule="exact"/>
        <w:ind w:firstLine="578"/>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附件一、报价响应函</w:t>
      </w:r>
    </w:p>
    <w:p>
      <w:pPr>
        <w:pStyle w:val="13"/>
        <w:keepNext w:val="0"/>
        <w:keepLines w:val="0"/>
        <w:pageBreakBefore w:val="0"/>
        <w:widowControl w:val="0"/>
        <w:kinsoku/>
        <w:wordWrap/>
        <w:overflowPunct/>
        <w:topLinePunct w:val="0"/>
        <w:autoSpaceDE/>
        <w:autoSpaceDN/>
        <w:bidi w:val="0"/>
        <w:adjustRightInd/>
        <w:snapToGrid/>
        <w:spacing w:line="500" w:lineRule="exact"/>
        <w:ind w:firstLine="578"/>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附件二、法定代表人授权委托书</w:t>
      </w:r>
    </w:p>
    <w:p>
      <w:pPr>
        <w:pStyle w:val="13"/>
        <w:keepNext w:val="0"/>
        <w:keepLines w:val="0"/>
        <w:pageBreakBefore w:val="0"/>
        <w:widowControl w:val="0"/>
        <w:kinsoku/>
        <w:wordWrap/>
        <w:overflowPunct/>
        <w:topLinePunct w:val="0"/>
        <w:autoSpaceDE/>
        <w:autoSpaceDN/>
        <w:bidi w:val="0"/>
        <w:adjustRightInd/>
        <w:snapToGrid/>
        <w:spacing w:line="500" w:lineRule="exact"/>
        <w:ind w:firstLine="578"/>
        <w:jc w:val="both"/>
        <w:textAlignment w:val="auto"/>
        <w:rPr>
          <w:rFonts w:hint="eastAsia" w:ascii="宋体" w:hAnsi="宋体" w:eastAsia="宋体" w:cs="宋体"/>
          <w:sz w:val="28"/>
          <w:szCs w:val="28"/>
        </w:rPr>
      </w:pPr>
      <w:r>
        <w:rPr>
          <w:rFonts w:hint="eastAsia" w:ascii="宋体" w:hAnsi="宋体" w:eastAsia="宋体" w:cs="宋体"/>
          <w:spacing w:val="4"/>
          <w:sz w:val="28"/>
          <w:szCs w:val="28"/>
        </w:rPr>
        <w:t>附件三、报价一览表</w:t>
      </w:r>
    </w:p>
    <w:p>
      <w:pPr>
        <w:pStyle w:val="13"/>
        <w:keepNext w:val="0"/>
        <w:keepLines w:val="0"/>
        <w:pageBreakBefore w:val="0"/>
        <w:widowControl w:val="0"/>
        <w:kinsoku/>
        <w:wordWrap/>
        <w:overflowPunct/>
        <w:topLinePunct w:val="0"/>
        <w:autoSpaceDE/>
        <w:autoSpaceDN/>
        <w:bidi w:val="0"/>
        <w:adjustRightInd/>
        <w:snapToGrid/>
        <w:spacing w:line="500" w:lineRule="exact"/>
        <w:ind w:firstLine="578"/>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附件四、资格证明文件</w:t>
      </w:r>
    </w:p>
    <w:p>
      <w:pPr>
        <w:pStyle w:val="13"/>
        <w:keepNext w:val="0"/>
        <w:keepLines w:val="0"/>
        <w:pageBreakBefore w:val="0"/>
        <w:widowControl w:val="0"/>
        <w:kinsoku/>
        <w:wordWrap/>
        <w:overflowPunct/>
        <w:topLinePunct w:val="0"/>
        <w:autoSpaceDE/>
        <w:autoSpaceDN/>
        <w:bidi w:val="0"/>
        <w:adjustRightInd/>
        <w:snapToGrid/>
        <w:spacing w:line="500" w:lineRule="exact"/>
        <w:ind w:firstLine="578"/>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附件</w:t>
      </w:r>
      <w:r>
        <w:rPr>
          <w:rFonts w:hint="eastAsia" w:ascii="宋体" w:hAnsi="宋体" w:eastAsia="宋体" w:cs="宋体"/>
          <w:spacing w:val="4"/>
          <w:sz w:val="28"/>
          <w:szCs w:val="28"/>
          <w:lang w:eastAsia="zh-CN"/>
        </w:rPr>
        <w:t>五</w:t>
      </w:r>
      <w:r>
        <w:rPr>
          <w:rFonts w:hint="eastAsia" w:ascii="宋体" w:hAnsi="宋体" w:eastAsia="宋体" w:cs="宋体"/>
          <w:spacing w:val="4"/>
          <w:sz w:val="28"/>
          <w:szCs w:val="28"/>
        </w:rPr>
        <w:t>、服务计划</w:t>
      </w:r>
    </w:p>
    <w:p>
      <w:pPr>
        <w:pStyle w:val="13"/>
        <w:keepNext w:val="0"/>
        <w:keepLines w:val="0"/>
        <w:pageBreakBefore w:val="0"/>
        <w:widowControl w:val="0"/>
        <w:kinsoku/>
        <w:wordWrap/>
        <w:overflowPunct/>
        <w:topLinePunct w:val="0"/>
        <w:autoSpaceDE/>
        <w:autoSpaceDN/>
        <w:bidi w:val="0"/>
        <w:adjustRightInd/>
        <w:snapToGrid/>
        <w:spacing w:line="500" w:lineRule="exact"/>
        <w:ind w:firstLine="578"/>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附件</w:t>
      </w:r>
      <w:r>
        <w:rPr>
          <w:rFonts w:hint="eastAsia" w:ascii="宋体" w:hAnsi="宋体" w:eastAsia="宋体" w:cs="宋体"/>
          <w:spacing w:val="4"/>
          <w:sz w:val="28"/>
          <w:szCs w:val="28"/>
          <w:lang w:eastAsia="zh-CN"/>
        </w:rPr>
        <w:t>六</w:t>
      </w:r>
      <w:r>
        <w:rPr>
          <w:rFonts w:hint="eastAsia" w:ascii="宋体" w:hAnsi="宋体" w:eastAsia="宋体" w:cs="宋体"/>
          <w:spacing w:val="4"/>
          <w:sz w:val="28"/>
          <w:szCs w:val="28"/>
        </w:rPr>
        <w:t>、拟投入项目人员一览表</w:t>
      </w:r>
    </w:p>
    <w:p>
      <w:pPr>
        <w:pStyle w:val="13"/>
        <w:keepNext w:val="0"/>
        <w:keepLines w:val="0"/>
        <w:pageBreakBefore w:val="0"/>
        <w:widowControl w:val="0"/>
        <w:kinsoku/>
        <w:wordWrap/>
        <w:overflowPunct/>
        <w:topLinePunct w:val="0"/>
        <w:autoSpaceDE/>
        <w:autoSpaceDN/>
        <w:bidi w:val="0"/>
        <w:adjustRightInd/>
        <w:snapToGrid/>
        <w:spacing w:line="500" w:lineRule="exact"/>
        <w:ind w:firstLine="578"/>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附件</w:t>
      </w:r>
      <w:r>
        <w:rPr>
          <w:rFonts w:hint="eastAsia" w:ascii="宋体" w:hAnsi="宋体" w:eastAsia="宋体" w:cs="宋体"/>
          <w:spacing w:val="4"/>
          <w:sz w:val="28"/>
          <w:szCs w:val="28"/>
          <w:lang w:eastAsia="zh-CN"/>
        </w:rPr>
        <w:t>七</w:t>
      </w:r>
      <w:r>
        <w:rPr>
          <w:rFonts w:hint="eastAsia" w:ascii="宋体" w:hAnsi="宋体" w:eastAsia="宋体" w:cs="宋体"/>
          <w:spacing w:val="4"/>
          <w:sz w:val="28"/>
          <w:szCs w:val="28"/>
        </w:rPr>
        <w:t>、同类项目业绩一览表</w:t>
      </w:r>
    </w:p>
    <w:p>
      <w:pPr>
        <w:pStyle w:val="13"/>
        <w:keepNext w:val="0"/>
        <w:keepLines w:val="0"/>
        <w:pageBreakBefore w:val="0"/>
        <w:widowControl w:val="0"/>
        <w:kinsoku/>
        <w:wordWrap/>
        <w:overflowPunct/>
        <w:topLinePunct w:val="0"/>
        <w:autoSpaceDE/>
        <w:autoSpaceDN/>
        <w:bidi w:val="0"/>
        <w:adjustRightInd/>
        <w:snapToGrid/>
        <w:spacing w:line="500" w:lineRule="exact"/>
        <w:ind w:firstLine="578"/>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附件</w:t>
      </w:r>
      <w:r>
        <w:rPr>
          <w:rFonts w:hint="eastAsia" w:ascii="宋体" w:hAnsi="宋体" w:eastAsia="宋体" w:cs="宋体"/>
          <w:spacing w:val="4"/>
          <w:sz w:val="28"/>
          <w:szCs w:val="28"/>
          <w:lang w:eastAsia="zh-CN"/>
        </w:rPr>
        <w:t>八</w:t>
      </w:r>
      <w:r>
        <w:rPr>
          <w:rFonts w:hint="eastAsia" w:ascii="宋体" w:hAnsi="宋体" w:eastAsia="宋体" w:cs="宋体"/>
          <w:spacing w:val="4"/>
          <w:sz w:val="28"/>
          <w:szCs w:val="28"/>
        </w:rPr>
        <w:t>、磋商文件中所要求的其他内容及报价单位认为适宜的其它资料。</w:t>
      </w:r>
    </w:p>
    <w:p>
      <w:pPr>
        <w:pStyle w:val="13"/>
        <w:keepNext w:val="0"/>
        <w:keepLines w:val="0"/>
        <w:pageBreakBefore w:val="0"/>
        <w:widowControl w:val="0"/>
        <w:kinsoku/>
        <w:wordWrap/>
        <w:overflowPunct/>
        <w:topLinePunct w:val="0"/>
        <w:autoSpaceDE/>
        <w:autoSpaceDN/>
        <w:bidi w:val="0"/>
        <w:adjustRightInd/>
        <w:snapToGrid/>
        <w:spacing w:line="500" w:lineRule="exact"/>
        <w:ind w:firstLine="578"/>
        <w:jc w:val="both"/>
        <w:textAlignment w:val="auto"/>
        <w:rPr>
          <w:rFonts w:hint="eastAsia" w:ascii="宋体" w:hAnsi="宋体" w:eastAsia="宋体" w:cs="宋体"/>
          <w:spacing w:val="4"/>
          <w:sz w:val="28"/>
          <w:szCs w:val="28"/>
        </w:rPr>
      </w:pPr>
    </w:p>
    <w:p>
      <w:pPr>
        <w:pStyle w:val="13"/>
        <w:pageBreakBefore w:val="0"/>
        <w:wordWrap/>
        <w:bidi w:val="0"/>
        <w:spacing w:line="400" w:lineRule="exact"/>
        <w:jc w:val="both"/>
        <w:rPr>
          <w:rFonts w:hint="eastAsia" w:ascii="宋体" w:hAnsi="宋体" w:eastAsia="宋体" w:cs="宋体"/>
          <w:sz w:val="28"/>
          <w:szCs w:val="28"/>
        </w:rPr>
      </w:pPr>
    </w:p>
    <w:bookmarkEnd w:id="295"/>
    <w:p>
      <w:pPr>
        <w:pageBreakBefore w:val="0"/>
        <w:wordWrap/>
        <w:bidi w:val="0"/>
        <w:spacing w:line="400" w:lineRule="exact"/>
        <w:rPr>
          <w:rFonts w:hint="eastAsia" w:ascii="宋体" w:hAnsi="宋体" w:eastAsia="宋体" w:cs="宋体"/>
          <w:b/>
          <w:sz w:val="28"/>
          <w:szCs w:val="28"/>
        </w:rPr>
      </w:pPr>
      <w:bookmarkStart w:id="296" w:name="_Toc363474027"/>
      <w:bookmarkStart w:id="297" w:name="_Toc403077648"/>
      <w:bookmarkStart w:id="298" w:name="_Toc204524343"/>
    </w:p>
    <w:p>
      <w:pPr>
        <w:pageBreakBefore w:val="0"/>
        <w:wordWrap/>
        <w:bidi w:val="0"/>
        <w:spacing w:line="400" w:lineRule="exact"/>
        <w:outlineLvl w:val="0"/>
        <w:rPr>
          <w:rFonts w:hint="eastAsia" w:ascii="宋体" w:hAnsi="宋体" w:eastAsia="宋体" w:cs="宋体"/>
          <w:sz w:val="28"/>
          <w:szCs w:val="28"/>
        </w:rPr>
      </w:pPr>
      <w:r>
        <w:rPr>
          <w:rFonts w:hint="eastAsia" w:ascii="宋体" w:hAnsi="宋体" w:eastAsia="宋体" w:cs="宋体"/>
          <w:b/>
          <w:sz w:val="28"/>
          <w:szCs w:val="28"/>
        </w:rPr>
        <w:br w:type="page"/>
      </w:r>
      <w:bookmarkEnd w:id="296"/>
      <w:bookmarkEnd w:id="297"/>
      <w:bookmarkStart w:id="299" w:name="_Toc12648"/>
      <w:bookmarkStart w:id="300" w:name="_Toc403077649"/>
      <w:bookmarkStart w:id="301" w:name="_Toc363474028"/>
      <w:r>
        <w:rPr>
          <w:rFonts w:hint="eastAsia" w:ascii="宋体" w:hAnsi="宋体" w:eastAsia="宋体" w:cs="宋体"/>
          <w:b/>
          <w:bCs/>
          <w:spacing w:val="4"/>
          <w:sz w:val="28"/>
          <w:szCs w:val="28"/>
        </w:rPr>
        <w:t>附件一</w:t>
      </w:r>
      <w:bookmarkEnd w:id="299"/>
    </w:p>
    <w:p>
      <w:pPr>
        <w:pStyle w:val="13"/>
        <w:keepNext w:val="0"/>
        <w:keepLines w:val="0"/>
        <w:pageBreakBefore w:val="0"/>
        <w:widowControl w:val="0"/>
        <w:kinsoku/>
        <w:wordWrap/>
        <w:overflowPunct/>
        <w:topLinePunct w:val="0"/>
        <w:autoSpaceDE/>
        <w:autoSpaceDN/>
        <w:bidi w:val="0"/>
        <w:adjustRightInd/>
        <w:snapToGrid/>
        <w:spacing w:line="700" w:lineRule="exact"/>
        <w:ind w:firstLine="737"/>
        <w:jc w:val="center"/>
        <w:textAlignment w:val="auto"/>
        <w:rPr>
          <w:rFonts w:hint="eastAsia" w:ascii="宋体" w:hAnsi="宋体" w:eastAsia="宋体" w:cs="宋体"/>
          <w:b/>
          <w:bCs/>
          <w:spacing w:val="4"/>
          <w:sz w:val="44"/>
          <w:szCs w:val="44"/>
        </w:rPr>
      </w:pPr>
      <w:r>
        <w:rPr>
          <w:rFonts w:hint="eastAsia" w:ascii="宋体" w:hAnsi="宋体" w:eastAsia="宋体" w:cs="宋体"/>
          <w:b/>
          <w:bCs/>
          <w:spacing w:val="4"/>
          <w:sz w:val="44"/>
          <w:szCs w:val="44"/>
        </w:rPr>
        <w:t>报价响应函</w:t>
      </w:r>
    </w:p>
    <w:p>
      <w:pPr>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76" w:firstLineChars="200"/>
        <w:textAlignment w:val="auto"/>
        <w:rPr>
          <w:rFonts w:hint="eastAsia" w:ascii="宋体" w:hAnsi="宋体" w:eastAsia="宋体" w:cs="宋体"/>
          <w:spacing w:val="4"/>
          <w:sz w:val="28"/>
          <w:szCs w:val="28"/>
        </w:rPr>
      </w:pPr>
      <w:r>
        <w:rPr>
          <w:rFonts w:hint="eastAsia" w:ascii="宋体" w:hAnsi="宋体" w:eastAsia="宋体" w:cs="宋体"/>
          <w:spacing w:val="4"/>
          <w:kern w:val="0"/>
          <w:sz w:val="28"/>
          <w:szCs w:val="28"/>
          <w:u w:val="single"/>
          <w:lang w:val="en-US" w:eastAsia="zh-CN" w:bidi="ar-SA"/>
        </w:rPr>
        <w:t>阿克苏商贸物流产业园管理委员会</w:t>
      </w:r>
      <w:r>
        <w:rPr>
          <w:rFonts w:hint="eastAsia" w:ascii="宋体" w:hAnsi="宋体" w:eastAsia="宋体" w:cs="宋体"/>
          <w:spacing w:val="4"/>
          <w:sz w:val="28"/>
          <w:szCs w:val="28"/>
        </w:rPr>
        <w:t>：</w:t>
      </w:r>
    </w:p>
    <w:p>
      <w:pPr>
        <w:pStyle w:val="13"/>
        <w:keepNext w:val="0"/>
        <w:keepLines w:val="0"/>
        <w:pageBreakBefore w:val="0"/>
        <w:widowControl w:val="0"/>
        <w:kinsoku/>
        <w:wordWrap/>
        <w:overflowPunct/>
        <w:topLinePunct w:val="0"/>
        <w:autoSpaceDE/>
        <w:autoSpaceDN/>
        <w:bidi w:val="0"/>
        <w:adjustRightInd/>
        <w:snapToGrid/>
        <w:spacing w:line="460" w:lineRule="exact"/>
        <w:ind w:firstLine="1077" w:firstLineChars="374"/>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经研究，我们决定参加</w:t>
      </w:r>
      <w:r>
        <w:rPr>
          <w:rFonts w:hint="eastAsia" w:ascii="宋体" w:hAnsi="宋体" w:eastAsia="宋体" w:cs="宋体"/>
          <w:spacing w:val="4"/>
          <w:sz w:val="28"/>
          <w:szCs w:val="28"/>
          <w:u w:val="single"/>
        </w:rPr>
        <w:t>（项目名称及编号）</w:t>
      </w:r>
      <w:r>
        <w:rPr>
          <w:rFonts w:hint="eastAsia" w:ascii="宋体" w:hAnsi="宋体" w:eastAsia="宋体" w:cs="宋体"/>
          <w:spacing w:val="4"/>
          <w:sz w:val="28"/>
          <w:szCs w:val="28"/>
        </w:rPr>
        <w:t>的采购项目并报价。为此，我方郑重声明以下诸点，并负法律责任。</w:t>
      </w:r>
    </w:p>
    <w:p>
      <w:pPr>
        <w:pStyle w:val="13"/>
        <w:keepNext w:val="0"/>
        <w:keepLines w:val="0"/>
        <w:pageBreakBefore w:val="0"/>
        <w:widowControl w:val="0"/>
        <w:kinsoku/>
        <w:wordWrap/>
        <w:overflowPunct/>
        <w:topLinePunct w:val="0"/>
        <w:autoSpaceDE/>
        <w:autoSpaceDN/>
        <w:bidi w:val="0"/>
        <w:adjustRightInd/>
        <w:snapToGrid/>
        <w:spacing w:line="46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1、我方已仔细阅过磋商文件并完全接受采购文件要求。</w:t>
      </w:r>
    </w:p>
    <w:p>
      <w:pPr>
        <w:pStyle w:val="13"/>
        <w:keepNext w:val="0"/>
        <w:keepLines w:val="0"/>
        <w:pageBreakBefore w:val="0"/>
        <w:widowControl w:val="0"/>
        <w:kinsoku/>
        <w:wordWrap/>
        <w:overflowPunct/>
        <w:topLinePunct w:val="0"/>
        <w:autoSpaceDE/>
        <w:autoSpaceDN/>
        <w:bidi w:val="0"/>
        <w:adjustRightInd/>
        <w:snapToGrid/>
        <w:spacing w:line="46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2、我方提交的响应文件，正本壹份，副本叁份，报价一览表壹份。内容真实有效。</w:t>
      </w:r>
    </w:p>
    <w:p>
      <w:pPr>
        <w:pStyle w:val="13"/>
        <w:keepNext w:val="0"/>
        <w:keepLines w:val="0"/>
        <w:pageBreakBefore w:val="0"/>
        <w:widowControl w:val="0"/>
        <w:kinsoku/>
        <w:wordWrap/>
        <w:overflowPunct/>
        <w:topLinePunct w:val="0"/>
        <w:autoSpaceDE/>
        <w:autoSpaceDN/>
        <w:bidi w:val="0"/>
        <w:adjustRightInd/>
        <w:snapToGrid/>
        <w:spacing w:line="46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3、如果我方成为成交单位，我们将履行磋商文件中规定的每一项要求，并按我们响应文件中的承诺按期、保质、保量提供设备。</w:t>
      </w:r>
    </w:p>
    <w:p>
      <w:pPr>
        <w:pStyle w:val="13"/>
        <w:keepNext w:val="0"/>
        <w:keepLines w:val="0"/>
        <w:pageBreakBefore w:val="0"/>
        <w:widowControl w:val="0"/>
        <w:kinsoku/>
        <w:wordWrap/>
        <w:overflowPunct/>
        <w:topLinePunct w:val="0"/>
        <w:autoSpaceDE/>
        <w:autoSpaceDN/>
        <w:bidi w:val="0"/>
        <w:adjustRightInd/>
        <w:snapToGrid/>
        <w:spacing w:line="46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4、我们理解，最低报价不是成交的唯一条件，你们有选择成交供应商的权利。</w:t>
      </w:r>
    </w:p>
    <w:p>
      <w:pPr>
        <w:pStyle w:val="13"/>
        <w:keepNext w:val="0"/>
        <w:keepLines w:val="0"/>
        <w:pageBreakBefore w:val="0"/>
        <w:widowControl w:val="0"/>
        <w:kinsoku/>
        <w:wordWrap/>
        <w:overflowPunct/>
        <w:topLinePunct w:val="0"/>
        <w:autoSpaceDE/>
        <w:autoSpaceDN/>
        <w:bidi w:val="0"/>
        <w:adjustRightInd/>
        <w:snapToGrid/>
        <w:spacing w:line="46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5、我方愿按《中华人民共和国合同法》履行自己的全部责任。</w:t>
      </w:r>
    </w:p>
    <w:p>
      <w:pPr>
        <w:pStyle w:val="13"/>
        <w:keepNext w:val="0"/>
        <w:keepLines w:val="0"/>
        <w:pageBreakBefore w:val="0"/>
        <w:widowControl w:val="0"/>
        <w:kinsoku/>
        <w:wordWrap/>
        <w:overflowPunct/>
        <w:topLinePunct w:val="0"/>
        <w:autoSpaceDE/>
        <w:autoSpaceDN/>
        <w:bidi w:val="0"/>
        <w:adjustRightInd/>
        <w:snapToGrid/>
        <w:spacing w:line="46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6、我们愿按采购文件规定交纳磋商保证金、成交服务费，遵守贵机构有关采购的各项规定。</w:t>
      </w:r>
    </w:p>
    <w:p>
      <w:pPr>
        <w:pStyle w:val="13"/>
        <w:keepNext w:val="0"/>
        <w:keepLines w:val="0"/>
        <w:pageBreakBefore w:val="0"/>
        <w:widowControl w:val="0"/>
        <w:kinsoku/>
        <w:wordWrap/>
        <w:overflowPunct/>
        <w:topLinePunct w:val="0"/>
        <w:autoSpaceDE/>
        <w:autoSpaceDN/>
        <w:bidi w:val="0"/>
        <w:adjustRightInd/>
        <w:snapToGrid/>
        <w:spacing w:line="46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7、我方的报价文件有效期自磋商之日起90日内。</w:t>
      </w:r>
    </w:p>
    <w:p>
      <w:pPr>
        <w:pStyle w:val="13"/>
        <w:keepNext w:val="0"/>
        <w:keepLines w:val="0"/>
        <w:pageBreakBefore w:val="0"/>
        <w:widowControl w:val="0"/>
        <w:kinsoku/>
        <w:wordWrap/>
        <w:overflowPunct/>
        <w:topLinePunct w:val="0"/>
        <w:autoSpaceDE/>
        <w:autoSpaceDN/>
        <w:bidi w:val="0"/>
        <w:adjustRightInd/>
        <w:snapToGrid/>
        <w:spacing w:line="46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8、与本次采购有关的一切正式往来通讯请寄：</w:t>
      </w:r>
    </w:p>
    <w:p>
      <w:pPr>
        <w:pStyle w:val="13"/>
        <w:keepNext w:val="0"/>
        <w:keepLines w:val="0"/>
        <w:pageBreakBefore w:val="0"/>
        <w:widowControl w:val="0"/>
        <w:kinsoku/>
        <w:wordWrap/>
        <w:overflowPunct/>
        <w:topLinePunct w:val="0"/>
        <w:autoSpaceDE/>
        <w:autoSpaceDN/>
        <w:bidi w:val="0"/>
        <w:adjustRightInd/>
        <w:snapToGrid/>
        <w:spacing w:line="46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地    址：</w:t>
      </w:r>
    </w:p>
    <w:p>
      <w:pPr>
        <w:pStyle w:val="13"/>
        <w:keepNext w:val="0"/>
        <w:keepLines w:val="0"/>
        <w:pageBreakBefore w:val="0"/>
        <w:widowControl w:val="0"/>
        <w:kinsoku/>
        <w:wordWrap/>
        <w:overflowPunct/>
        <w:topLinePunct w:val="0"/>
        <w:autoSpaceDE/>
        <w:autoSpaceDN/>
        <w:bidi w:val="0"/>
        <w:adjustRightInd/>
        <w:snapToGrid/>
        <w:spacing w:line="46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邮政编码：</w:t>
      </w:r>
    </w:p>
    <w:p>
      <w:pPr>
        <w:pStyle w:val="13"/>
        <w:keepNext w:val="0"/>
        <w:keepLines w:val="0"/>
        <w:pageBreakBefore w:val="0"/>
        <w:widowControl w:val="0"/>
        <w:kinsoku/>
        <w:wordWrap/>
        <w:overflowPunct/>
        <w:topLinePunct w:val="0"/>
        <w:autoSpaceDE/>
        <w:autoSpaceDN/>
        <w:bidi w:val="0"/>
        <w:adjustRightInd/>
        <w:snapToGrid/>
        <w:spacing w:line="46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电    话：</w:t>
      </w:r>
    </w:p>
    <w:p>
      <w:pPr>
        <w:pStyle w:val="13"/>
        <w:keepNext w:val="0"/>
        <w:keepLines w:val="0"/>
        <w:pageBreakBefore w:val="0"/>
        <w:widowControl w:val="0"/>
        <w:kinsoku/>
        <w:wordWrap/>
        <w:overflowPunct/>
        <w:topLinePunct w:val="0"/>
        <w:autoSpaceDE/>
        <w:autoSpaceDN/>
        <w:bidi w:val="0"/>
        <w:adjustRightInd/>
        <w:snapToGrid/>
        <w:spacing w:line="46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传    真：</w:t>
      </w:r>
    </w:p>
    <w:p>
      <w:pPr>
        <w:pStyle w:val="13"/>
        <w:keepNext w:val="0"/>
        <w:keepLines w:val="0"/>
        <w:pageBreakBefore w:val="0"/>
        <w:widowControl w:val="0"/>
        <w:kinsoku/>
        <w:wordWrap/>
        <w:overflowPunct/>
        <w:topLinePunct w:val="0"/>
        <w:autoSpaceDE/>
        <w:autoSpaceDN/>
        <w:bidi w:val="0"/>
        <w:adjustRightInd/>
        <w:snapToGrid/>
        <w:spacing w:line="46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开户单位：</w:t>
      </w:r>
    </w:p>
    <w:p>
      <w:pPr>
        <w:pStyle w:val="13"/>
        <w:keepNext w:val="0"/>
        <w:keepLines w:val="0"/>
        <w:pageBreakBefore w:val="0"/>
        <w:widowControl w:val="0"/>
        <w:kinsoku/>
        <w:wordWrap/>
        <w:overflowPunct/>
        <w:topLinePunct w:val="0"/>
        <w:autoSpaceDE/>
        <w:autoSpaceDN/>
        <w:bidi w:val="0"/>
        <w:adjustRightInd/>
        <w:snapToGrid/>
        <w:spacing w:line="46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开户银行：</w:t>
      </w:r>
    </w:p>
    <w:p>
      <w:pPr>
        <w:pStyle w:val="13"/>
        <w:keepNext w:val="0"/>
        <w:keepLines w:val="0"/>
        <w:pageBreakBefore w:val="0"/>
        <w:widowControl w:val="0"/>
        <w:kinsoku/>
        <w:wordWrap/>
        <w:overflowPunct/>
        <w:topLinePunct w:val="0"/>
        <w:autoSpaceDE/>
        <w:autoSpaceDN/>
        <w:bidi w:val="0"/>
        <w:adjustRightInd/>
        <w:snapToGrid/>
        <w:spacing w:line="46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帐    号：</w:t>
      </w:r>
    </w:p>
    <w:p>
      <w:pPr>
        <w:pStyle w:val="13"/>
        <w:keepNext w:val="0"/>
        <w:keepLines w:val="0"/>
        <w:pageBreakBefore w:val="0"/>
        <w:widowControl w:val="0"/>
        <w:kinsoku/>
        <w:wordWrap/>
        <w:overflowPunct/>
        <w:topLinePunct w:val="0"/>
        <w:autoSpaceDE/>
        <w:autoSpaceDN/>
        <w:bidi w:val="0"/>
        <w:adjustRightInd/>
        <w:snapToGrid/>
        <w:spacing w:line="46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报价人代表姓名、职务：</w:t>
      </w:r>
    </w:p>
    <w:p>
      <w:pPr>
        <w:pStyle w:val="13"/>
        <w:keepNext w:val="0"/>
        <w:keepLines w:val="0"/>
        <w:pageBreakBefore w:val="0"/>
        <w:widowControl w:val="0"/>
        <w:kinsoku/>
        <w:wordWrap/>
        <w:overflowPunct/>
        <w:topLinePunct w:val="0"/>
        <w:autoSpaceDE/>
        <w:autoSpaceDN/>
        <w:bidi w:val="0"/>
        <w:adjustRightInd/>
        <w:snapToGrid/>
        <w:spacing w:line="46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报价人单位全称（印章）</w:t>
      </w:r>
    </w:p>
    <w:p>
      <w:pPr>
        <w:pStyle w:val="13"/>
        <w:keepNext w:val="0"/>
        <w:keepLines w:val="0"/>
        <w:pageBreakBefore w:val="0"/>
        <w:widowControl w:val="0"/>
        <w:kinsoku/>
        <w:wordWrap/>
        <w:overflowPunct/>
        <w:topLinePunct w:val="0"/>
        <w:autoSpaceDE/>
        <w:autoSpaceDN/>
        <w:bidi w:val="0"/>
        <w:adjustRightInd/>
        <w:snapToGrid/>
        <w:spacing w:line="46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法定代表人签字：</w:t>
      </w:r>
    </w:p>
    <w:p>
      <w:pPr>
        <w:pStyle w:val="13"/>
        <w:keepNext w:val="0"/>
        <w:keepLines w:val="0"/>
        <w:pageBreakBefore w:val="0"/>
        <w:widowControl w:val="0"/>
        <w:kinsoku/>
        <w:wordWrap/>
        <w:overflowPunct/>
        <w:topLinePunct w:val="0"/>
        <w:autoSpaceDE/>
        <w:autoSpaceDN/>
        <w:bidi w:val="0"/>
        <w:adjustRightInd/>
        <w:snapToGrid/>
        <w:spacing w:line="46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年   月   日</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spacing w:val="4"/>
          <w:sz w:val="28"/>
          <w:szCs w:val="28"/>
        </w:rPr>
      </w:pPr>
      <w:r>
        <w:rPr>
          <w:rFonts w:hint="eastAsia" w:ascii="宋体" w:hAnsi="宋体" w:eastAsia="宋体" w:cs="宋体"/>
          <w:b/>
          <w:bCs/>
          <w:spacing w:val="4"/>
          <w:sz w:val="28"/>
          <w:szCs w:val="28"/>
        </w:rPr>
        <w:br w:type="page"/>
      </w:r>
    </w:p>
    <w:p>
      <w:pPr>
        <w:pageBreakBefore w:val="0"/>
        <w:wordWrap/>
        <w:bidi w:val="0"/>
        <w:spacing w:line="400" w:lineRule="exact"/>
        <w:outlineLvl w:val="0"/>
        <w:rPr>
          <w:rFonts w:hint="eastAsia" w:ascii="宋体" w:hAnsi="宋体" w:eastAsia="宋体" w:cs="宋体"/>
          <w:b/>
          <w:bCs/>
          <w:spacing w:val="4"/>
          <w:sz w:val="28"/>
          <w:szCs w:val="28"/>
        </w:rPr>
      </w:pPr>
      <w:bookmarkStart w:id="302" w:name="_Toc9850"/>
      <w:r>
        <w:rPr>
          <w:rFonts w:hint="eastAsia" w:ascii="宋体" w:hAnsi="宋体" w:eastAsia="宋体" w:cs="宋体"/>
          <w:b/>
          <w:bCs/>
          <w:spacing w:val="4"/>
          <w:sz w:val="28"/>
          <w:szCs w:val="28"/>
        </w:rPr>
        <w:t>附件二</w:t>
      </w:r>
      <w:bookmarkEnd w:id="302"/>
    </w:p>
    <w:p>
      <w:pPr>
        <w:pageBreakBefore w:val="0"/>
        <w:wordWrap/>
        <w:bidi w:val="0"/>
        <w:spacing w:line="400" w:lineRule="exact"/>
        <w:ind w:firstLine="560" w:firstLineChars="200"/>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eastAsia="宋体" w:cs="宋体"/>
          <w:b/>
          <w:sz w:val="44"/>
          <w:szCs w:val="44"/>
        </w:rPr>
      </w:pPr>
      <w:r>
        <w:rPr>
          <w:rFonts w:hint="eastAsia" w:ascii="宋体" w:hAnsi="宋体" w:eastAsia="宋体" w:cs="宋体"/>
          <w:b/>
          <w:sz w:val="44"/>
          <w:szCs w:val="44"/>
        </w:rPr>
        <w:t>法定代表人授权委托书</w:t>
      </w:r>
    </w:p>
    <w:p>
      <w:pPr>
        <w:pageBreakBefore w:val="0"/>
        <w:wordWrap/>
        <w:bidi w:val="0"/>
        <w:spacing w:line="400" w:lineRule="exact"/>
        <w:jc w:val="center"/>
        <w:rPr>
          <w:rFonts w:hint="eastAsia" w:ascii="宋体" w:hAnsi="宋体" w:eastAsia="宋体" w:cs="宋体"/>
          <w:b/>
          <w:sz w:val="28"/>
          <w:szCs w:val="28"/>
        </w:rPr>
      </w:pP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p>
    <w:p>
      <w:pPr>
        <w:pStyle w:val="13"/>
        <w:keepNext w:val="0"/>
        <w:keepLines w:val="0"/>
        <w:pageBreakBefore w:val="0"/>
        <w:widowControl w:val="0"/>
        <w:kinsoku/>
        <w:wordWrap/>
        <w:overflowPunct/>
        <w:topLinePunct w:val="0"/>
        <w:autoSpaceDE/>
        <w:autoSpaceDN/>
        <w:bidi w:val="0"/>
        <w:adjustRightInd/>
        <w:snapToGrid/>
        <w:spacing w:line="500" w:lineRule="exact"/>
        <w:ind w:firstLine="0"/>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u w:val="single"/>
          <w:lang w:val="en-US" w:eastAsia="zh-CN"/>
        </w:rPr>
        <w:t>阿克苏商贸物流产业园管理委员会</w:t>
      </w:r>
      <w:r>
        <w:rPr>
          <w:rFonts w:hint="eastAsia" w:ascii="宋体" w:hAnsi="宋体" w:eastAsia="宋体" w:cs="宋体"/>
          <w:spacing w:val="4"/>
          <w:sz w:val="28"/>
          <w:szCs w:val="28"/>
        </w:rPr>
        <w:t>：</w:t>
      </w:r>
    </w:p>
    <w:p>
      <w:pPr>
        <w:pStyle w:val="13"/>
        <w:keepNext w:val="0"/>
        <w:keepLines w:val="0"/>
        <w:pageBreakBefore w:val="0"/>
        <w:widowControl w:val="0"/>
        <w:kinsoku/>
        <w:wordWrap/>
        <w:overflowPunct/>
        <w:topLinePunct w:val="0"/>
        <w:autoSpaceDE/>
        <w:autoSpaceDN/>
        <w:bidi w:val="0"/>
        <w:adjustRightInd/>
        <w:snapToGrid/>
        <w:spacing w:line="500" w:lineRule="exact"/>
        <w:ind w:firstLine="576"/>
        <w:jc w:val="both"/>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 xml:space="preserve">     兹委托</w:t>
      </w:r>
      <w:r>
        <w:rPr>
          <w:rFonts w:hint="eastAsia" w:ascii="宋体" w:hAnsi="宋体" w:eastAsia="宋体" w:cs="宋体"/>
          <w:spacing w:val="4"/>
          <w:sz w:val="28"/>
          <w:szCs w:val="28"/>
          <w:u w:val="single"/>
        </w:rPr>
        <w:t>（全名和职务）</w:t>
      </w:r>
      <w:r>
        <w:rPr>
          <w:rFonts w:hint="eastAsia" w:ascii="宋体" w:hAnsi="宋体" w:eastAsia="宋体" w:cs="宋体"/>
          <w:spacing w:val="4"/>
          <w:sz w:val="28"/>
          <w:szCs w:val="28"/>
        </w:rPr>
        <w:t xml:space="preserve">代表 </w:t>
      </w:r>
      <w:r>
        <w:rPr>
          <w:rFonts w:hint="eastAsia" w:ascii="宋体" w:hAnsi="宋体" w:eastAsia="宋体" w:cs="宋体"/>
          <w:spacing w:val="4"/>
          <w:sz w:val="28"/>
          <w:szCs w:val="28"/>
          <w:u w:val="single"/>
        </w:rPr>
        <w:t xml:space="preserve"> （供应商名称） </w:t>
      </w:r>
      <w:r>
        <w:rPr>
          <w:rFonts w:hint="eastAsia" w:ascii="宋体" w:hAnsi="宋体" w:eastAsia="宋体" w:cs="宋体"/>
          <w:spacing w:val="4"/>
          <w:sz w:val="28"/>
          <w:szCs w:val="28"/>
        </w:rPr>
        <w:t>参加贵单位组织的编号为</w:t>
      </w:r>
      <w:r>
        <w:rPr>
          <w:rFonts w:hint="eastAsia" w:ascii="宋体" w:hAnsi="宋体" w:eastAsia="宋体" w:cs="宋体"/>
          <w:spacing w:val="4"/>
          <w:sz w:val="28"/>
          <w:szCs w:val="28"/>
          <w:u w:val="single"/>
        </w:rPr>
        <w:t>（项目名称编号）</w:t>
      </w:r>
      <w:r>
        <w:rPr>
          <w:rFonts w:hint="eastAsia" w:ascii="宋体" w:hAnsi="宋体" w:eastAsia="宋体" w:cs="宋体"/>
          <w:spacing w:val="4"/>
          <w:sz w:val="28"/>
          <w:szCs w:val="28"/>
        </w:rPr>
        <w:t>的采购活动，并以此授权其全权代表我方处理本次采购活动的一切事宜。</w:t>
      </w: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r>
        <w:rPr>
          <w:rFonts w:hint="eastAsia" w:ascii="宋体" w:hAnsi="宋体" w:eastAsia="宋体" w:cs="宋体"/>
          <w:spacing w:val="4"/>
          <w:sz w:val="28"/>
          <w:szCs w:val="28"/>
        </w:rPr>
        <w:t>特此授权。</w:t>
      </w: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r>
        <w:rPr>
          <w:rFonts w:hint="eastAsia" w:ascii="宋体" w:hAnsi="宋体" w:eastAsia="宋体" w:cs="宋体"/>
          <w:spacing w:val="4"/>
          <w:sz w:val="28"/>
          <w:szCs w:val="28"/>
        </w:rPr>
        <w:t xml:space="preserve">     （附授权代理人身份证明复印件）</w:t>
      </w: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r>
        <w:rPr>
          <w:rFonts w:hint="eastAsia" w:ascii="宋体" w:hAnsi="宋体" w:eastAsia="宋体" w:cs="宋体"/>
          <w:spacing w:val="4"/>
          <w:sz w:val="28"/>
          <w:szCs w:val="28"/>
        </w:rPr>
        <w:t>供应商名称（公章）：</w:t>
      </w: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r>
        <w:rPr>
          <w:rFonts w:hint="eastAsia" w:ascii="宋体" w:hAnsi="宋体" w:eastAsia="宋体" w:cs="宋体"/>
          <w:spacing w:val="4"/>
          <w:sz w:val="28"/>
          <w:szCs w:val="28"/>
        </w:rPr>
        <w:t>法定代表人签字：</w:t>
      </w: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r>
        <w:rPr>
          <w:rFonts w:hint="eastAsia" w:ascii="宋体" w:hAnsi="宋体" w:eastAsia="宋体" w:cs="宋体"/>
          <w:spacing w:val="4"/>
          <w:sz w:val="28"/>
          <w:szCs w:val="28"/>
        </w:rPr>
        <w:t>授权委托人签字：</w:t>
      </w: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r>
        <w:rPr>
          <w:rFonts w:hint="eastAsia" w:ascii="宋体" w:hAnsi="宋体" w:eastAsia="宋体" w:cs="宋体"/>
          <w:spacing w:val="4"/>
          <w:sz w:val="28"/>
          <w:szCs w:val="28"/>
        </w:rPr>
        <w:t xml:space="preserve">                                          </w:t>
      </w: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r>
        <w:rPr>
          <w:rFonts w:hint="eastAsia" w:ascii="宋体" w:hAnsi="宋体" w:eastAsia="宋体" w:cs="宋体"/>
          <w:spacing w:val="4"/>
          <w:sz w:val="28"/>
          <w:szCs w:val="28"/>
        </w:rPr>
        <w:t xml:space="preserve">    年    月    日</w:t>
      </w: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p>
    <w:p>
      <w:pPr>
        <w:pStyle w:val="13"/>
        <w:pageBreakBefore w:val="0"/>
        <w:widowControl w:val="0"/>
        <w:wordWrap/>
        <w:bidi w:val="0"/>
        <w:spacing w:line="400" w:lineRule="exact"/>
        <w:ind w:firstLine="576"/>
        <w:jc w:val="both"/>
        <w:rPr>
          <w:rFonts w:hint="eastAsia" w:ascii="宋体" w:hAnsi="宋体" w:eastAsia="宋体" w:cs="宋体"/>
          <w:spacing w:val="4"/>
          <w:sz w:val="28"/>
          <w:szCs w:val="28"/>
        </w:rPr>
      </w:pPr>
    </w:p>
    <w:p>
      <w:pPr>
        <w:pageBreakBefore w:val="0"/>
        <w:wordWrap/>
        <w:bidi w:val="0"/>
        <w:spacing w:line="400" w:lineRule="exact"/>
        <w:rPr>
          <w:rFonts w:hint="eastAsia" w:ascii="宋体" w:hAnsi="宋体" w:eastAsia="宋体" w:cs="宋体"/>
          <w:b/>
          <w:bCs/>
          <w:spacing w:val="4"/>
          <w:sz w:val="28"/>
          <w:szCs w:val="28"/>
        </w:rPr>
      </w:pPr>
      <w:r>
        <w:rPr>
          <w:rFonts w:hint="eastAsia" w:ascii="宋体" w:hAnsi="宋体" w:eastAsia="宋体" w:cs="宋体"/>
          <w:b/>
          <w:bCs/>
          <w:spacing w:val="4"/>
          <w:sz w:val="28"/>
          <w:szCs w:val="28"/>
        </w:rPr>
        <w:br w:type="page"/>
      </w:r>
    </w:p>
    <w:p>
      <w:pPr>
        <w:pageBreakBefore w:val="0"/>
        <w:wordWrap/>
        <w:bidi w:val="0"/>
        <w:spacing w:line="400" w:lineRule="exact"/>
        <w:outlineLvl w:val="0"/>
        <w:rPr>
          <w:rFonts w:hint="eastAsia" w:ascii="宋体" w:hAnsi="宋体" w:eastAsia="宋体" w:cs="宋体"/>
          <w:b/>
          <w:bCs/>
          <w:spacing w:val="4"/>
          <w:sz w:val="28"/>
          <w:szCs w:val="28"/>
        </w:rPr>
      </w:pPr>
      <w:bookmarkStart w:id="303" w:name="_Toc32590"/>
      <w:r>
        <w:rPr>
          <w:rFonts w:hint="eastAsia" w:ascii="宋体" w:hAnsi="宋体" w:eastAsia="宋体" w:cs="宋体"/>
          <w:b/>
          <w:bCs/>
          <w:spacing w:val="4"/>
          <w:sz w:val="28"/>
          <w:szCs w:val="28"/>
        </w:rPr>
        <w:t>附件三</w:t>
      </w:r>
      <w:bookmarkEnd w:id="303"/>
    </w:p>
    <w:p>
      <w:pPr>
        <w:keepNext w:val="0"/>
        <w:keepLines w:val="0"/>
        <w:pageBreakBefore w:val="0"/>
        <w:widowControl w:val="0"/>
        <w:tabs>
          <w:tab w:val="right" w:pos="9014"/>
        </w:tabs>
        <w:kinsoku/>
        <w:wordWrap/>
        <w:overflowPunct/>
        <w:topLinePunct w:val="0"/>
        <w:autoSpaceDE/>
        <w:autoSpaceDN/>
        <w:bidi w:val="0"/>
        <w:adjustRightInd/>
        <w:snapToGrid/>
        <w:spacing w:line="500" w:lineRule="exact"/>
        <w:ind w:firstLine="181"/>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报价一览表（格式）</w:t>
      </w:r>
    </w:p>
    <w:p>
      <w:pPr>
        <w:pStyle w:val="2"/>
        <w:rPr>
          <w:rFonts w:hint="eastAsia"/>
          <w:sz w:val="28"/>
          <w:szCs w:val="28"/>
        </w:rPr>
      </w:pPr>
    </w:p>
    <w:p>
      <w:pPr>
        <w:pStyle w:val="13"/>
        <w:pageBreakBefore w:val="0"/>
        <w:widowControl w:val="0"/>
        <w:wordWrap/>
        <w:bidi w:val="0"/>
        <w:spacing w:line="400" w:lineRule="exact"/>
        <w:ind w:firstLine="0"/>
        <w:jc w:val="both"/>
        <w:rPr>
          <w:rFonts w:hint="eastAsia" w:ascii="宋体" w:hAnsi="宋体" w:eastAsia="宋体" w:cs="宋体"/>
          <w:spacing w:val="4"/>
          <w:sz w:val="28"/>
          <w:szCs w:val="28"/>
        </w:rPr>
      </w:pPr>
      <w:r>
        <w:rPr>
          <w:rFonts w:hint="eastAsia" w:ascii="宋体" w:hAnsi="宋体" w:eastAsia="宋体" w:cs="宋体"/>
          <w:spacing w:val="4"/>
          <w:sz w:val="28"/>
          <w:szCs w:val="28"/>
        </w:rPr>
        <w:t>投标单位名称：</w:t>
      </w:r>
    </w:p>
    <w:p>
      <w:pPr>
        <w:pStyle w:val="13"/>
        <w:pageBreakBefore w:val="0"/>
        <w:widowControl w:val="0"/>
        <w:wordWrap/>
        <w:bidi w:val="0"/>
        <w:spacing w:line="400" w:lineRule="exact"/>
        <w:ind w:firstLine="0"/>
        <w:jc w:val="both"/>
        <w:rPr>
          <w:rFonts w:hint="eastAsia" w:ascii="宋体" w:hAnsi="宋体" w:eastAsia="宋体" w:cs="宋体"/>
          <w:spacing w:val="4"/>
          <w:sz w:val="28"/>
          <w:szCs w:val="28"/>
        </w:rPr>
      </w:pPr>
      <w:r>
        <w:rPr>
          <w:rFonts w:hint="eastAsia" w:ascii="宋体" w:hAnsi="宋体" w:eastAsia="宋体" w:cs="宋体"/>
          <w:spacing w:val="4"/>
          <w:sz w:val="28"/>
          <w:szCs w:val="28"/>
        </w:rPr>
        <w:t>项目名称：</w:t>
      </w:r>
    </w:p>
    <w:p>
      <w:pPr>
        <w:pStyle w:val="13"/>
        <w:pageBreakBefore w:val="0"/>
        <w:widowControl w:val="0"/>
        <w:wordWrap/>
        <w:bidi w:val="0"/>
        <w:spacing w:line="400" w:lineRule="exact"/>
        <w:ind w:firstLine="0"/>
        <w:jc w:val="both"/>
        <w:rPr>
          <w:rFonts w:hint="eastAsia" w:ascii="宋体" w:hAnsi="宋体" w:eastAsia="宋体" w:cs="宋体"/>
          <w:spacing w:val="4"/>
          <w:sz w:val="28"/>
          <w:szCs w:val="28"/>
        </w:rPr>
      </w:pPr>
      <w:r>
        <w:rPr>
          <w:rFonts w:hint="eastAsia" w:ascii="宋体" w:hAnsi="宋体" w:eastAsia="宋体" w:cs="宋体"/>
          <w:spacing w:val="4"/>
          <w:sz w:val="28"/>
          <w:szCs w:val="28"/>
        </w:rPr>
        <w:t>项目编号：</w:t>
      </w:r>
    </w:p>
    <w:tbl>
      <w:tblPr>
        <w:tblStyle w:val="35"/>
        <w:tblpPr w:leftFromText="180" w:rightFromText="180" w:vertAnchor="text" w:horzAnchor="page" w:tblpX="1642" w:tblpY="437"/>
        <w:tblOverlap w:val="never"/>
        <w:tblW w:w="8376"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30" w:type="dxa"/>
          <w:bottom w:w="0" w:type="dxa"/>
          <w:right w:w="30" w:type="dxa"/>
        </w:tblCellMar>
      </w:tblPr>
      <w:tblGrid>
        <w:gridCol w:w="1521"/>
        <w:gridCol w:w="2662"/>
        <w:gridCol w:w="419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30" w:type="dxa"/>
            <w:bottom w:w="0" w:type="dxa"/>
            <w:right w:w="30" w:type="dxa"/>
          </w:tblCellMar>
        </w:tblPrEx>
        <w:trPr>
          <w:cantSplit/>
          <w:trHeight w:val="538" w:hRule="atLeast"/>
        </w:trPr>
        <w:tc>
          <w:tcPr>
            <w:tcW w:w="1521" w:type="dxa"/>
            <w:vAlign w:val="center"/>
          </w:tcPr>
          <w:p>
            <w:pPr>
              <w:pStyle w:val="13"/>
              <w:pageBreakBefore w:val="0"/>
              <w:widowControl w:val="0"/>
              <w:wordWrap/>
              <w:bidi w:val="0"/>
              <w:spacing w:line="400" w:lineRule="exact"/>
              <w:ind w:firstLine="0"/>
              <w:jc w:val="both"/>
              <w:rPr>
                <w:rFonts w:hint="eastAsia" w:ascii="宋体" w:hAnsi="宋体" w:eastAsia="宋体" w:cs="宋体"/>
                <w:spacing w:val="4"/>
                <w:sz w:val="28"/>
                <w:szCs w:val="28"/>
              </w:rPr>
            </w:pPr>
            <w:r>
              <w:rPr>
                <w:rFonts w:hint="eastAsia" w:ascii="宋体" w:hAnsi="宋体" w:eastAsia="宋体" w:cs="宋体"/>
                <w:spacing w:val="4"/>
                <w:sz w:val="28"/>
                <w:szCs w:val="28"/>
              </w:rPr>
              <w:t>序号</w:t>
            </w:r>
          </w:p>
        </w:tc>
        <w:tc>
          <w:tcPr>
            <w:tcW w:w="2662" w:type="dxa"/>
            <w:vAlign w:val="center"/>
          </w:tcPr>
          <w:p>
            <w:pPr>
              <w:pStyle w:val="13"/>
              <w:pageBreakBefore w:val="0"/>
              <w:widowControl w:val="0"/>
              <w:wordWrap/>
              <w:bidi w:val="0"/>
              <w:spacing w:line="400" w:lineRule="exact"/>
              <w:ind w:firstLine="0"/>
              <w:jc w:val="both"/>
              <w:rPr>
                <w:rFonts w:hint="eastAsia" w:ascii="宋体" w:hAnsi="宋体" w:eastAsia="宋体" w:cs="宋体"/>
                <w:spacing w:val="4"/>
                <w:sz w:val="28"/>
                <w:szCs w:val="28"/>
              </w:rPr>
            </w:pPr>
            <w:r>
              <w:rPr>
                <w:rFonts w:hint="eastAsia" w:ascii="宋体" w:hAnsi="宋体" w:eastAsia="宋体" w:cs="宋体"/>
                <w:spacing w:val="4"/>
                <w:sz w:val="28"/>
                <w:szCs w:val="28"/>
              </w:rPr>
              <w:t>服务内容</w:t>
            </w:r>
          </w:p>
        </w:tc>
        <w:tc>
          <w:tcPr>
            <w:tcW w:w="4193" w:type="dxa"/>
            <w:vAlign w:val="center"/>
          </w:tcPr>
          <w:p>
            <w:pPr>
              <w:pStyle w:val="13"/>
              <w:pageBreakBefore w:val="0"/>
              <w:widowControl w:val="0"/>
              <w:wordWrap/>
              <w:bidi w:val="0"/>
              <w:spacing w:line="400" w:lineRule="exact"/>
              <w:ind w:firstLine="0"/>
              <w:jc w:val="both"/>
              <w:rPr>
                <w:rFonts w:hint="eastAsia" w:ascii="宋体" w:hAnsi="宋体" w:eastAsia="宋体" w:cs="宋体"/>
                <w:spacing w:val="4"/>
                <w:sz w:val="28"/>
                <w:szCs w:val="28"/>
              </w:rPr>
            </w:pPr>
            <w:r>
              <w:rPr>
                <w:rFonts w:hint="eastAsia" w:ascii="宋体" w:hAnsi="宋体" w:eastAsia="宋体" w:cs="宋体"/>
                <w:spacing w:val="4"/>
                <w:sz w:val="28"/>
                <w:szCs w:val="28"/>
              </w:rPr>
              <w:t>报价（含税，增值税专用发票）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30" w:type="dxa"/>
            <w:bottom w:w="0" w:type="dxa"/>
            <w:right w:w="30" w:type="dxa"/>
          </w:tblCellMar>
        </w:tblPrEx>
        <w:trPr>
          <w:cantSplit/>
          <w:trHeight w:val="938" w:hRule="atLeast"/>
        </w:trPr>
        <w:tc>
          <w:tcPr>
            <w:tcW w:w="1521" w:type="dxa"/>
            <w:vAlign w:val="center"/>
          </w:tcPr>
          <w:p>
            <w:pPr>
              <w:pStyle w:val="13"/>
              <w:pageBreakBefore w:val="0"/>
              <w:widowControl w:val="0"/>
              <w:wordWrap/>
              <w:bidi w:val="0"/>
              <w:spacing w:line="400" w:lineRule="exact"/>
              <w:ind w:firstLine="0"/>
              <w:jc w:val="both"/>
              <w:rPr>
                <w:rFonts w:hint="eastAsia" w:ascii="宋体" w:hAnsi="宋体" w:eastAsia="宋体" w:cs="宋体"/>
                <w:spacing w:val="4"/>
                <w:sz w:val="28"/>
                <w:szCs w:val="28"/>
              </w:rPr>
            </w:pPr>
            <w:r>
              <w:rPr>
                <w:rFonts w:hint="eastAsia" w:ascii="宋体" w:hAnsi="宋体" w:eastAsia="宋体" w:cs="宋体"/>
                <w:spacing w:val="4"/>
                <w:sz w:val="28"/>
                <w:szCs w:val="28"/>
              </w:rPr>
              <w:t>1</w:t>
            </w:r>
          </w:p>
        </w:tc>
        <w:tc>
          <w:tcPr>
            <w:tcW w:w="2662" w:type="dxa"/>
            <w:vAlign w:val="center"/>
          </w:tcPr>
          <w:p>
            <w:pPr>
              <w:pStyle w:val="13"/>
              <w:pageBreakBefore w:val="0"/>
              <w:widowControl w:val="0"/>
              <w:wordWrap/>
              <w:bidi w:val="0"/>
              <w:spacing w:line="400" w:lineRule="exact"/>
              <w:ind w:firstLine="0"/>
              <w:jc w:val="both"/>
              <w:rPr>
                <w:rFonts w:hint="eastAsia" w:ascii="宋体" w:hAnsi="宋体" w:eastAsia="宋体" w:cs="宋体"/>
                <w:spacing w:val="4"/>
                <w:sz w:val="28"/>
                <w:szCs w:val="28"/>
              </w:rPr>
            </w:pPr>
            <w:r>
              <w:rPr>
                <w:rFonts w:hint="eastAsia" w:ascii="宋体" w:hAnsi="宋体" w:eastAsia="宋体" w:cs="宋体"/>
                <w:spacing w:val="4"/>
                <w:sz w:val="28"/>
                <w:szCs w:val="28"/>
              </w:rPr>
              <w:t>外包服务</w:t>
            </w:r>
          </w:p>
        </w:tc>
        <w:tc>
          <w:tcPr>
            <w:tcW w:w="4193" w:type="dxa"/>
            <w:vAlign w:val="center"/>
          </w:tcPr>
          <w:p>
            <w:pPr>
              <w:pStyle w:val="13"/>
              <w:pageBreakBefore w:val="0"/>
              <w:widowControl w:val="0"/>
              <w:wordWrap/>
              <w:bidi w:val="0"/>
              <w:spacing w:line="400" w:lineRule="exact"/>
              <w:ind w:firstLine="0"/>
              <w:jc w:val="both"/>
              <w:rPr>
                <w:rFonts w:hint="eastAsia" w:ascii="宋体" w:hAnsi="宋体" w:eastAsia="宋体" w:cs="宋体"/>
                <w:spacing w:val="4"/>
                <w:sz w:val="28"/>
                <w:szCs w:val="28"/>
              </w:rPr>
            </w:pPr>
            <w:r>
              <w:rPr>
                <w:rFonts w:hint="eastAsia" w:ascii="宋体" w:hAnsi="宋体" w:eastAsia="宋体" w:cs="宋体"/>
                <w:spacing w:val="4"/>
                <w:sz w:val="28"/>
                <w:szCs w:val="28"/>
              </w:rPr>
              <w:t>元</w:t>
            </w:r>
          </w:p>
        </w:tc>
      </w:tr>
    </w:tbl>
    <w:p>
      <w:pPr>
        <w:pageBreakBefore w:val="0"/>
        <w:wordWrap/>
        <w:bidi w:val="0"/>
        <w:spacing w:line="400" w:lineRule="exact"/>
        <w:rPr>
          <w:rFonts w:hint="eastAsia" w:ascii="宋体" w:hAnsi="宋体" w:eastAsia="宋体" w:cs="宋体"/>
          <w:sz w:val="28"/>
          <w:szCs w:val="28"/>
        </w:rPr>
      </w:pPr>
      <w:r>
        <w:rPr>
          <w:rFonts w:hint="eastAsia" w:ascii="宋体" w:hAnsi="宋体" w:eastAsia="宋体" w:cs="宋体"/>
          <w:sz w:val="28"/>
          <w:szCs w:val="28"/>
        </w:rPr>
        <w:t xml:space="preserve">                                                       </w:t>
      </w:r>
    </w:p>
    <w:p>
      <w:pPr>
        <w:pageBreakBefore w:val="0"/>
        <w:wordWrap/>
        <w:bidi w:val="0"/>
        <w:spacing w:line="400" w:lineRule="exact"/>
        <w:rPr>
          <w:rFonts w:hint="eastAsia" w:ascii="宋体" w:hAnsi="宋体" w:eastAsia="宋体" w:cs="宋体"/>
          <w:sz w:val="28"/>
          <w:szCs w:val="28"/>
        </w:rPr>
      </w:pPr>
    </w:p>
    <w:p>
      <w:pPr>
        <w:pageBreakBefore w:val="0"/>
        <w:wordWrap/>
        <w:bidi w:val="0"/>
        <w:spacing w:line="400" w:lineRule="exact"/>
        <w:rPr>
          <w:rFonts w:hint="eastAsia" w:ascii="宋体" w:hAnsi="宋体" w:eastAsia="宋体" w:cs="宋体"/>
          <w:sz w:val="28"/>
          <w:szCs w:val="28"/>
        </w:rPr>
      </w:pPr>
    </w:p>
    <w:p>
      <w:pPr>
        <w:pageBreakBefore w:val="0"/>
        <w:wordWrap/>
        <w:bidi w:val="0"/>
        <w:spacing w:line="400" w:lineRule="exact"/>
        <w:rPr>
          <w:rFonts w:hint="eastAsia" w:ascii="宋体" w:hAnsi="宋体" w:eastAsia="宋体" w:cs="宋体"/>
          <w:sz w:val="28"/>
          <w:szCs w:val="28"/>
        </w:rPr>
      </w:pPr>
    </w:p>
    <w:p>
      <w:pPr>
        <w:pStyle w:val="13"/>
        <w:pageBreakBefore w:val="0"/>
        <w:widowControl w:val="0"/>
        <w:wordWrap/>
        <w:bidi w:val="0"/>
        <w:spacing w:line="400" w:lineRule="exact"/>
        <w:ind w:firstLine="0"/>
        <w:jc w:val="both"/>
        <w:rPr>
          <w:rFonts w:hint="eastAsia" w:ascii="宋体" w:hAnsi="宋体" w:eastAsia="宋体" w:cs="宋体"/>
          <w:spacing w:val="4"/>
          <w:sz w:val="28"/>
          <w:szCs w:val="28"/>
        </w:rPr>
      </w:pPr>
    </w:p>
    <w:p>
      <w:pPr>
        <w:pStyle w:val="13"/>
        <w:pageBreakBefore w:val="0"/>
        <w:widowControl w:val="0"/>
        <w:wordWrap/>
        <w:bidi w:val="0"/>
        <w:spacing w:line="400" w:lineRule="exact"/>
        <w:ind w:firstLine="0"/>
        <w:jc w:val="both"/>
        <w:rPr>
          <w:rFonts w:hint="eastAsia" w:ascii="宋体" w:hAnsi="宋体" w:eastAsia="宋体" w:cs="宋体"/>
          <w:spacing w:val="4"/>
          <w:sz w:val="28"/>
          <w:szCs w:val="28"/>
        </w:rPr>
      </w:pPr>
      <w:r>
        <w:rPr>
          <w:rFonts w:hint="eastAsia" w:ascii="宋体" w:hAnsi="宋体" w:eastAsia="宋体" w:cs="宋体"/>
          <w:spacing w:val="4"/>
          <w:sz w:val="28"/>
          <w:szCs w:val="28"/>
        </w:rPr>
        <w:t xml:space="preserve">单位：元                                                </w:t>
      </w:r>
    </w:p>
    <w:p>
      <w:pPr>
        <w:pStyle w:val="13"/>
        <w:pageBreakBefore w:val="0"/>
        <w:widowControl w:val="0"/>
        <w:wordWrap/>
        <w:bidi w:val="0"/>
        <w:spacing w:line="400" w:lineRule="exact"/>
        <w:ind w:firstLine="0"/>
        <w:jc w:val="both"/>
        <w:rPr>
          <w:rFonts w:hint="eastAsia" w:ascii="宋体" w:hAnsi="宋体" w:eastAsia="宋体" w:cs="宋体"/>
          <w:spacing w:val="4"/>
          <w:sz w:val="28"/>
          <w:szCs w:val="28"/>
        </w:rPr>
      </w:pPr>
      <w:r>
        <w:rPr>
          <w:rFonts w:hint="eastAsia" w:ascii="宋体" w:hAnsi="宋体" w:eastAsia="宋体" w:cs="宋体"/>
          <w:spacing w:val="4"/>
          <w:sz w:val="28"/>
          <w:szCs w:val="28"/>
        </w:rPr>
        <w:t>注：此表还需单独密封。报价为含税金额，税票为增值税专用发票。</w:t>
      </w:r>
    </w:p>
    <w:p>
      <w:pPr>
        <w:pageBreakBefore w:val="0"/>
        <w:wordWrap/>
        <w:bidi w:val="0"/>
        <w:spacing w:line="400" w:lineRule="exact"/>
        <w:rPr>
          <w:rFonts w:hint="eastAsia" w:ascii="宋体" w:hAnsi="宋体" w:eastAsia="宋体" w:cs="宋体"/>
          <w:spacing w:val="15"/>
          <w:sz w:val="28"/>
          <w:szCs w:val="28"/>
        </w:rPr>
      </w:pPr>
    </w:p>
    <w:p>
      <w:pPr>
        <w:pageBreakBefore w:val="0"/>
        <w:wordWrap/>
        <w:bidi w:val="0"/>
        <w:spacing w:line="400" w:lineRule="exact"/>
        <w:rPr>
          <w:rFonts w:hint="eastAsia" w:ascii="宋体" w:hAnsi="宋体" w:eastAsia="宋体" w:cs="宋体"/>
          <w:spacing w:val="15"/>
          <w:sz w:val="28"/>
          <w:szCs w:val="28"/>
        </w:rPr>
      </w:pPr>
    </w:p>
    <w:p>
      <w:pPr>
        <w:pageBreakBefore w:val="0"/>
        <w:wordWrap/>
        <w:bidi w:val="0"/>
        <w:spacing w:line="400" w:lineRule="exact"/>
        <w:rPr>
          <w:rFonts w:hint="eastAsia" w:ascii="宋体" w:hAnsi="宋体" w:eastAsia="宋体" w:cs="宋体"/>
          <w:spacing w:val="15"/>
          <w:sz w:val="28"/>
          <w:szCs w:val="28"/>
        </w:rPr>
      </w:pPr>
    </w:p>
    <w:p>
      <w:pPr>
        <w:pStyle w:val="13"/>
        <w:pageBreakBefore w:val="0"/>
        <w:widowControl w:val="0"/>
        <w:wordWrap/>
        <w:bidi w:val="0"/>
        <w:spacing w:line="400" w:lineRule="exact"/>
        <w:ind w:firstLine="0"/>
        <w:jc w:val="both"/>
        <w:rPr>
          <w:rFonts w:hint="eastAsia" w:ascii="宋体" w:hAnsi="宋体" w:eastAsia="宋体" w:cs="宋体"/>
          <w:spacing w:val="4"/>
          <w:sz w:val="28"/>
          <w:szCs w:val="28"/>
        </w:rPr>
      </w:pPr>
    </w:p>
    <w:p>
      <w:pPr>
        <w:pStyle w:val="13"/>
        <w:pageBreakBefore w:val="0"/>
        <w:widowControl w:val="0"/>
        <w:wordWrap/>
        <w:bidi w:val="0"/>
        <w:spacing w:line="400" w:lineRule="exact"/>
        <w:ind w:firstLine="0"/>
        <w:jc w:val="both"/>
        <w:rPr>
          <w:rFonts w:hint="eastAsia" w:ascii="宋体" w:hAnsi="宋体" w:eastAsia="宋体" w:cs="宋体"/>
          <w:spacing w:val="4"/>
          <w:sz w:val="28"/>
          <w:szCs w:val="28"/>
        </w:rPr>
      </w:pPr>
      <w:r>
        <w:rPr>
          <w:rFonts w:hint="eastAsia" w:ascii="宋体" w:hAnsi="宋体" w:eastAsia="宋体" w:cs="宋体"/>
          <w:spacing w:val="4"/>
          <w:sz w:val="28"/>
          <w:szCs w:val="28"/>
        </w:rPr>
        <w:t>报价单位（盖章）：</w:t>
      </w:r>
    </w:p>
    <w:p>
      <w:pPr>
        <w:pStyle w:val="13"/>
        <w:pageBreakBefore w:val="0"/>
        <w:widowControl w:val="0"/>
        <w:wordWrap/>
        <w:bidi w:val="0"/>
        <w:spacing w:line="400" w:lineRule="exact"/>
        <w:ind w:firstLine="0"/>
        <w:jc w:val="both"/>
        <w:rPr>
          <w:rFonts w:hint="eastAsia" w:ascii="宋体" w:hAnsi="宋体" w:eastAsia="宋体" w:cs="宋体"/>
          <w:spacing w:val="4"/>
          <w:sz w:val="28"/>
          <w:szCs w:val="28"/>
        </w:rPr>
      </w:pPr>
      <w:r>
        <w:rPr>
          <w:rFonts w:hint="eastAsia" w:ascii="宋体" w:hAnsi="宋体" w:eastAsia="宋体" w:cs="宋体"/>
          <w:spacing w:val="4"/>
          <w:sz w:val="28"/>
          <w:szCs w:val="28"/>
        </w:rPr>
        <w:t>授权代表（签字）：</w:t>
      </w:r>
    </w:p>
    <w:p>
      <w:pPr>
        <w:pStyle w:val="13"/>
        <w:pageBreakBefore w:val="0"/>
        <w:widowControl w:val="0"/>
        <w:wordWrap/>
        <w:bidi w:val="0"/>
        <w:spacing w:line="400" w:lineRule="exact"/>
        <w:ind w:firstLine="0"/>
        <w:jc w:val="both"/>
        <w:rPr>
          <w:rFonts w:hint="eastAsia" w:ascii="宋体" w:hAnsi="宋体" w:eastAsia="宋体" w:cs="宋体"/>
          <w:spacing w:val="4"/>
          <w:sz w:val="28"/>
          <w:szCs w:val="28"/>
        </w:rPr>
        <w:sectPr>
          <w:headerReference r:id="rId9" w:type="default"/>
          <w:pgSz w:w="11906" w:h="16838"/>
          <w:pgMar w:top="1440" w:right="1800" w:bottom="1440" w:left="1800" w:header="851" w:footer="992" w:gutter="0"/>
          <w:pgNumType w:fmt="decimal"/>
          <w:cols w:space="720" w:num="1"/>
          <w:docGrid w:linePitch="312" w:charSpace="0"/>
        </w:sectPr>
      </w:pPr>
      <w:r>
        <w:rPr>
          <w:rFonts w:hint="eastAsia" w:ascii="宋体" w:hAnsi="宋体" w:eastAsia="宋体" w:cs="宋体"/>
          <w:spacing w:val="4"/>
          <w:sz w:val="28"/>
          <w:szCs w:val="28"/>
        </w:rPr>
        <w:t>日期：</w:t>
      </w:r>
    </w:p>
    <w:bookmarkEnd w:id="300"/>
    <w:bookmarkEnd w:id="301"/>
    <w:p>
      <w:pPr>
        <w:pageBreakBefore w:val="0"/>
        <w:kinsoku/>
        <w:wordWrap/>
        <w:overflowPunct/>
        <w:topLinePunct w:val="0"/>
        <w:autoSpaceDE/>
        <w:autoSpaceDN/>
        <w:bidi w:val="0"/>
        <w:adjustRightInd/>
        <w:snapToGrid/>
        <w:spacing w:line="500" w:lineRule="exact"/>
        <w:textAlignment w:val="auto"/>
        <w:outlineLvl w:val="0"/>
        <w:rPr>
          <w:rFonts w:hint="eastAsia" w:ascii="宋体" w:hAnsi="宋体" w:eastAsia="宋体" w:cs="宋体"/>
          <w:b/>
          <w:bCs/>
          <w:spacing w:val="4"/>
          <w:sz w:val="44"/>
          <w:szCs w:val="44"/>
        </w:rPr>
      </w:pPr>
      <w:bookmarkStart w:id="304" w:name="_Toc26533"/>
      <w:r>
        <w:rPr>
          <w:rFonts w:hint="eastAsia" w:ascii="宋体" w:hAnsi="宋体" w:eastAsia="宋体" w:cs="宋体"/>
          <w:b/>
          <w:bCs/>
          <w:spacing w:val="4"/>
          <w:sz w:val="28"/>
          <w:szCs w:val="28"/>
        </w:rPr>
        <w:t>附件四</w:t>
      </w:r>
      <w:bookmarkEnd w:id="304"/>
    </w:p>
    <w:p>
      <w:pPr>
        <w:pStyle w:val="79"/>
        <w:pageBreakBefore w:val="0"/>
        <w:kinsoku/>
        <w:wordWrap/>
        <w:overflowPunct/>
        <w:topLinePunct w:val="0"/>
        <w:autoSpaceDE/>
        <w:autoSpaceDN/>
        <w:bidi w:val="0"/>
        <w:adjustRightInd/>
        <w:snapToGrid/>
        <w:spacing w:before="0" w:line="500" w:lineRule="exact"/>
        <w:ind w:left="283"/>
        <w:jc w:val="center"/>
        <w:textAlignment w:val="auto"/>
        <w:rPr>
          <w:rFonts w:hint="eastAsia" w:ascii="宋体" w:hAnsi="宋体" w:eastAsia="宋体" w:cs="宋体"/>
          <w:b/>
          <w:bCs/>
          <w:color w:val="0000FF"/>
          <w:kern w:val="2"/>
          <w:sz w:val="44"/>
          <w:szCs w:val="44"/>
        </w:rPr>
      </w:pPr>
      <w:bookmarkStart w:id="305" w:name="_Toc38057909"/>
      <w:r>
        <w:rPr>
          <w:rFonts w:hint="eastAsia" w:ascii="宋体" w:hAnsi="宋体" w:eastAsia="宋体" w:cs="宋体"/>
          <w:b/>
          <w:bCs/>
          <w:color w:val="auto"/>
          <w:kern w:val="2"/>
          <w:sz w:val="44"/>
          <w:szCs w:val="44"/>
        </w:rPr>
        <w:t>资格证明文件</w:t>
      </w:r>
      <w:bookmarkEnd w:id="305"/>
    </w:p>
    <w:p>
      <w:pPr>
        <w:pStyle w:val="79"/>
        <w:pageBreakBefore w:val="0"/>
        <w:kinsoku/>
        <w:wordWrap/>
        <w:overflowPunct/>
        <w:topLinePunct w:val="0"/>
        <w:autoSpaceDE/>
        <w:autoSpaceDN/>
        <w:bidi w:val="0"/>
        <w:adjustRightInd/>
        <w:snapToGrid/>
        <w:spacing w:before="0" w:line="500" w:lineRule="exact"/>
        <w:ind w:left="283"/>
        <w:jc w:val="center"/>
        <w:textAlignment w:val="auto"/>
        <w:rPr>
          <w:rFonts w:hint="eastAsia" w:ascii="宋体" w:hAnsi="宋体" w:eastAsia="宋体" w:cs="宋体"/>
          <w:b/>
          <w:bCs/>
          <w:color w:val="0000FF"/>
          <w:kern w:val="2"/>
          <w:sz w:val="44"/>
          <w:szCs w:val="44"/>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Cs/>
          <w:spacing w:val="4"/>
          <w:sz w:val="24"/>
          <w:szCs w:val="24"/>
          <w:lang w:val="en-US" w:eastAsia="zh-CN"/>
        </w:rPr>
      </w:pPr>
      <w:r>
        <w:rPr>
          <w:rFonts w:hint="eastAsia" w:ascii="宋体" w:hAnsi="宋体" w:eastAsia="宋体" w:cs="宋体"/>
          <w:bCs/>
          <w:spacing w:val="4"/>
          <w:sz w:val="24"/>
          <w:szCs w:val="24"/>
          <w:lang w:val="en-US" w:eastAsia="zh-CN"/>
        </w:rPr>
        <w:t>（1）具有有效的营业执照副本扫描件（三证合一）；</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Cs/>
          <w:spacing w:val="4"/>
          <w:sz w:val="24"/>
          <w:szCs w:val="24"/>
          <w:lang w:val="en-US" w:eastAsia="zh-CN"/>
        </w:rPr>
      </w:pPr>
      <w:r>
        <w:rPr>
          <w:rFonts w:hint="eastAsia" w:ascii="宋体" w:hAnsi="宋体" w:eastAsia="宋体" w:cs="宋体"/>
          <w:bCs/>
          <w:spacing w:val="4"/>
          <w:sz w:val="24"/>
          <w:szCs w:val="24"/>
          <w:lang w:val="en-US" w:eastAsia="zh-CN"/>
        </w:rPr>
        <w:t>（2）法定代表人授权书及被委托人身份证（法定代表人投标提供法定代表人身份证明及身份证）；</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Cs/>
          <w:spacing w:val="4"/>
          <w:sz w:val="24"/>
          <w:szCs w:val="24"/>
          <w:lang w:val="en-US" w:eastAsia="zh-CN"/>
        </w:rPr>
      </w:pPr>
      <w:r>
        <w:rPr>
          <w:rFonts w:hint="eastAsia" w:ascii="宋体" w:hAnsi="宋体" w:eastAsia="宋体" w:cs="宋体"/>
          <w:bCs/>
          <w:spacing w:val="4"/>
          <w:sz w:val="24"/>
          <w:szCs w:val="24"/>
          <w:lang w:val="en-US" w:eastAsia="zh-CN"/>
        </w:rPr>
        <w:t>（3）参加采购活动前三年内，在经营活动中无重大违法声明(受行政主管部门的处罚不能参加投标)；</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Cs/>
          <w:spacing w:val="4"/>
          <w:sz w:val="24"/>
          <w:szCs w:val="24"/>
          <w:lang w:val="en-US" w:eastAsia="zh-CN"/>
        </w:rPr>
      </w:pPr>
      <w:r>
        <w:rPr>
          <w:rFonts w:hint="eastAsia" w:ascii="宋体" w:hAnsi="宋体" w:eastAsia="宋体" w:cs="宋体"/>
          <w:bCs/>
          <w:spacing w:val="4"/>
          <w:sz w:val="24"/>
          <w:szCs w:val="24"/>
          <w:lang w:val="en-US" w:eastAsia="zh-CN"/>
        </w:rPr>
        <w:t>（</w:t>
      </w:r>
      <w:r>
        <w:rPr>
          <w:rFonts w:hint="eastAsia" w:ascii="宋体" w:hAnsi="宋体" w:cs="宋体"/>
          <w:bCs/>
          <w:spacing w:val="4"/>
          <w:sz w:val="24"/>
          <w:szCs w:val="24"/>
          <w:lang w:val="en-US" w:eastAsia="zh-CN"/>
        </w:rPr>
        <w:t>4</w:t>
      </w:r>
      <w:r>
        <w:rPr>
          <w:rFonts w:hint="eastAsia" w:ascii="宋体" w:hAnsi="宋体" w:eastAsia="宋体" w:cs="宋体"/>
          <w:bCs/>
          <w:spacing w:val="4"/>
          <w:sz w:val="24"/>
          <w:szCs w:val="24"/>
          <w:lang w:val="en-US" w:eastAsia="zh-CN"/>
        </w:rPr>
        <w:t>）有效的工程设计建筑行业（人防工程）</w:t>
      </w:r>
      <w:r>
        <w:rPr>
          <w:rFonts w:hint="eastAsia" w:ascii="宋体" w:hAnsi="宋体" w:cs="宋体"/>
          <w:bCs/>
          <w:spacing w:val="4"/>
          <w:sz w:val="24"/>
          <w:szCs w:val="24"/>
          <w:lang w:val="en-US" w:eastAsia="zh-CN"/>
        </w:rPr>
        <w:t>甲</w:t>
      </w:r>
      <w:r>
        <w:rPr>
          <w:rFonts w:hint="eastAsia" w:ascii="宋体" w:hAnsi="宋体" w:eastAsia="宋体" w:cs="宋体"/>
          <w:bCs/>
          <w:spacing w:val="4"/>
          <w:sz w:val="24"/>
          <w:szCs w:val="24"/>
          <w:lang w:val="en-US" w:eastAsia="zh-CN"/>
        </w:rPr>
        <w:t>级资质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Cs/>
          <w:spacing w:val="4"/>
          <w:sz w:val="24"/>
          <w:szCs w:val="24"/>
          <w:lang w:val="en-US" w:eastAsia="zh-CN"/>
        </w:rPr>
      </w:pPr>
      <w:r>
        <w:rPr>
          <w:rFonts w:hint="eastAsia" w:ascii="宋体" w:hAnsi="宋体" w:eastAsia="宋体" w:cs="宋体"/>
          <w:bCs/>
          <w:spacing w:val="4"/>
          <w:sz w:val="24"/>
          <w:szCs w:val="24"/>
          <w:lang w:val="en-US" w:eastAsia="zh-CN"/>
        </w:rPr>
        <w:t>（</w:t>
      </w:r>
      <w:r>
        <w:rPr>
          <w:rFonts w:hint="eastAsia" w:ascii="宋体" w:hAnsi="宋体" w:cs="宋体"/>
          <w:bCs/>
          <w:spacing w:val="4"/>
          <w:sz w:val="24"/>
          <w:szCs w:val="24"/>
          <w:lang w:val="en-US" w:eastAsia="zh-CN"/>
        </w:rPr>
        <w:t>5</w:t>
      </w:r>
      <w:r>
        <w:rPr>
          <w:rFonts w:hint="eastAsia" w:ascii="宋体" w:hAnsi="宋体" w:eastAsia="宋体" w:cs="宋体"/>
          <w:bCs/>
          <w:spacing w:val="4"/>
          <w:sz w:val="24"/>
          <w:szCs w:val="24"/>
          <w:lang w:val="en-US" w:eastAsia="zh-CN"/>
        </w:rPr>
        <w:t>）项目负责人须具有二级注册建筑师或</w:t>
      </w:r>
      <w:r>
        <w:rPr>
          <w:rFonts w:hint="eastAsia" w:ascii="宋体" w:hAnsi="宋体" w:cs="宋体"/>
          <w:bCs/>
          <w:spacing w:val="4"/>
          <w:sz w:val="24"/>
          <w:szCs w:val="24"/>
          <w:lang w:val="en-US" w:eastAsia="zh-CN"/>
        </w:rPr>
        <w:t>一级</w:t>
      </w:r>
      <w:r>
        <w:rPr>
          <w:rFonts w:hint="eastAsia" w:ascii="宋体" w:hAnsi="宋体" w:eastAsia="宋体" w:cs="宋体"/>
          <w:bCs/>
          <w:spacing w:val="4"/>
          <w:sz w:val="24"/>
          <w:szCs w:val="24"/>
          <w:lang w:val="en-US" w:eastAsia="zh-CN"/>
        </w:rPr>
        <w:t>注册结构工程师资质；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Cs/>
          <w:spacing w:val="4"/>
          <w:sz w:val="24"/>
          <w:szCs w:val="24"/>
          <w:lang w:val="en-US" w:eastAsia="zh-CN"/>
        </w:rPr>
      </w:pPr>
      <w:r>
        <w:rPr>
          <w:rFonts w:hint="eastAsia" w:ascii="宋体" w:hAnsi="宋体" w:eastAsia="宋体" w:cs="宋体"/>
          <w:bCs/>
          <w:spacing w:val="4"/>
          <w:sz w:val="24"/>
          <w:szCs w:val="24"/>
          <w:lang w:val="en-US" w:eastAsia="zh-CN"/>
        </w:rPr>
        <w:t>（</w:t>
      </w:r>
      <w:r>
        <w:rPr>
          <w:rFonts w:hint="eastAsia" w:ascii="宋体" w:hAnsi="宋体" w:cs="宋体"/>
          <w:bCs/>
          <w:spacing w:val="4"/>
          <w:sz w:val="24"/>
          <w:szCs w:val="24"/>
          <w:lang w:val="en-US" w:eastAsia="zh-CN"/>
        </w:rPr>
        <w:t>6</w:t>
      </w:r>
      <w:r>
        <w:rPr>
          <w:rFonts w:hint="eastAsia" w:ascii="宋体" w:hAnsi="宋体" w:eastAsia="宋体" w:cs="宋体"/>
          <w:bCs/>
          <w:spacing w:val="4"/>
          <w:sz w:val="24"/>
          <w:szCs w:val="24"/>
          <w:lang w:val="en-US" w:eastAsia="zh-CN"/>
        </w:rPr>
        <w:t>）供应商在“信用中国”（www.creditchina.gov.cn）和中国政府采购网（www.ccgp.gov.cn）网站上未列入失信被执行人、重大税收违法案件当事人名单、政府采购严重违法失信行为记录名单（财库[2016]125号）（需提供网上截图加盖公章）；</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Cs/>
          <w:spacing w:val="4"/>
          <w:sz w:val="24"/>
          <w:szCs w:val="24"/>
          <w:lang w:val="en-US" w:eastAsia="zh-CN"/>
        </w:rPr>
      </w:pPr>
      <w:r>
        <w:rPr>
          <w:rFonts w:hint="eastAsia" w:ascii="宋体" w:hAnsi="宋体" w:eastAsia="宋体" w:cs="宋体"/>
          <w:bCs/>
          <w:spacing w:val="4"/>
          <w:sz w:val="24"/>
          <w:szCs w:val="24"/>
          <w:lang w:val="en-US" w:eastAsia="zh-CN"/>
        </w:rPr>
        <w:t>（</w:t>
      </w:r>
      <w:r>
        <w:rPr>
          <w:rFonts w:hint="eastAsia" w:ascii="宋体" w:hAnsi="宋体" w:cs="宋体"/>
          <w:bCs/>
          <w:spacing w:val="4"/>
          <w:sz w:val="24"/>
          <w:szCs w:val="24"/>
          <w:lang w:val="en-US" w:eastAsia="zh-CN"/>
        </w:rPr>
        <w:t>7</w:t>
      </w:r>
      <w:r>
        <w:rPr>
          <w:rFonts w:hint="eastAsia" w:ascii="宋体" w:hAnsi="宋体" w:eastAsia="宋体" w:cs="宋体"/>
          <w:bCs/>
          <w:spacing w:val="4"/>
          <w:sz w:val="24"/>
          <w:szCs w:val="24"/>
          <w:lang w:val="en-US" w:eastAsia="zh-CN"/>
        </w:rPr>
        <w:t>）供应商提供针对本次项目《反商业贿赂承诺书》；</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Cs/>
          <w:spacing w:val="4"/>
          <w:sz w:val="24"/>
          <w:szCs w:val="24"/>
          <w:lang w:val="en-US" w:eastAsia="zh-CN"/>
        </w:rPr>
      </w:pPr>
      <w:r>
        <w:rPr>
          <w:rFonts w:hint="eastAsia" w:ascii="宋体" w:hAnsi="宋体" w:eastAsia="宋体" w:cs="宋体"/>
          <w:bCs/>
          <w:spacing w:val="4"/>
          <w:sz w:val="24"/>
          <w:szCs w:val="24"/>
          <w:lang w:val="en-US" w:eastAsia="zh-CN"/>
        </w:rPr>
        <w:t>（</w:t>
      </w:r>
      <w:r>
        <w:rPr>
          <w:rFonts w:hint="eastAsia" w:ascii="宋体" w:hAnsi="宋体" w:cs="宋体"/>
          <w:bCs/>
          <w:spacing w:val="4"/>
          <w:sz w:val="24"/>
          <w:szCs w:val="24"/>
          <w:lang w:val="en-US" w:eastAsia="zh-CN"/>
        </w:rPr>
        <w:t>8</w:t>
      </w:r>
      <w:r>
        <w:rPr>
          <w:rFonts w:hint="eastAsia" w:ascii="宋体" w:hAnsi="宋体" w:eastAsia="宋体" w:cs="宋体"/>
          <w:bCs/>
          <w:spacing w:val="4"/>
          <w:sz w:val="24"/>
          <w:szCs w:val="24"/>
          <w:lang w:val="en-US" w:eastAsia="zh-CN"/>
        </w:rPr>
        <w:t>）根据财政部、工业和信息化部关于印发《政府采购促进中小企业发展暂行办法》的通知(财库﹝2020﹞46号)，供应商及其所投产品的制造商均属于《工业和信息化部、国家统计局、国家发展和改革委员会、财政部关于印发中小企业划型标准规定的通知》(工信部联企业[2011]300号)中规定的小型、微型企业标准的，按磋商文件格式提供《中小企业声明函》等政府采购政策。</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Cs/>
          <w:spacing w:val="4"/>
          <w:sz w:val="24"/>
          <w:szCs w:val="24"/>
        </w:rPr>
      </w:pPr>
      <w:r>
        <w:rPr>
          <w:rFonts w:hint="eastAsia" w:ascii="宋体" w:hAnsi="宋体" w:eastAsia="宋体" w:cs="宋体"/>
          <w:bCs/>
          <w:spacing w:val="4"/>
          <w:sz w:val="24"/>
          <w:szCs w:val="24"/>
        </w:rPr>
        <w:t>（</w:t>
      </w:r>
      <w:r>
        <w:rPr>
          <w:rFonts w:hint="eastAsia" w:ascii="宋体" w:hAnsi="宋体" w:cs="宋体"/>
          <w:bCs/>
          <w:spacing w:val="4"/>
          <w:sz w:val="24"/>
          <w:szCs w:val="24"/>
          <w:lang w:val="en-US" w:eastAsia="zh-CN"/>
        </w:rPr>
        <w:t>9</w:t>
      </w:r>
      <w:r>
        <w:rPr>
          <w:rFonts w:hint="eastAsia" w:ascii="宋体" w:hAnsi="宋体" w:eastAsia="宋体" w:cs="宋体"/>
          <w:bCs/>
          <w:spacing w:val="4"/>
          <w:sz w:val="24"/>
          <w:szCs w:val="24"/>
        </w:rPr>
        <w:t>）本项目不接受联合体报名；</w:t>
      </w:r>
      <w:r>
        <w:rPr>
          <w:rFonts w:hint="eastAsia" w:ascii="宋体" w:hAnsi="宋体" w:eastAsia="宋体" w:cs="宋体"/>
          <w:bCs/>
          <w:spacing w:val="4"/>
          <w:sz w:val="24"/>
          <w:szCs w:val="24"/>
        </w:rPr>
        <w:br w:type="textWrapping"/>
      </w:r>
    </w:p>
    <w:p>
      <w:pPr>
        <w:pStyle w:val="5"/>
        <w:pageBreakBefore w:val="0"/>
        <w:numPr>
          <w:ilvl w:val="2"/>
          <w:numId w:val="0"/>
        </w:numPr>
        <w:wordWrap/>
        <w:bidi w:val="0"/>
        <w:spacing w:before="624" w:line="400" w:lineRule="exact"/>
        <w:ind w:left="840" w:leftChars="400" w:firstLine="498" w:firstLineChars="200"/>
        <w:jc w:val="both"/>
        <w:rPr>
          <w:rFonts w:hint="eastAsia" w:ascii="宋体" w:hAnsi="宋体" w:eastAsia="宋体" w:cs="宋体"/>
          <w:sz w:val="28"/>
          <w:szCs w:val="28"/>
        </w:rPr>
      </w:pPr>
      <w:r>
        <w:rPr>
          <w:rFonts w:hint="eastAsia" w:ascii="宋体" w:hAnsi="宋体" w:eastAsia="宋体" w:cs="宋体"/>
          <w:spacing w:val="4"/>
          <w:sz w:val="24"/>
          <w:szCs w:val="24"/>
        </w:rPr>
        <w:br w:type="page"/>
      </w:r>
      <w:bookmarkStart w:id="306" w:name="_Toc283035600"/>
      <w:bookmarkStart w:id="307" w:name="_Toc283035204"/>
      <w:bookmarkStart w:id="308" w:name="_Toc4146"/>
      <w:bookmarkStart w:id="309" w:name="_Toc282530019"/>
      <w:bookmarkStart w:id="310" w:name="_Toc19169"/>
      <w:bookmarkStart w:id="311" w:name="_Toc283035117"/>
      <w:bookmarkStart w:id="312" w:name="_Toc363474029"/>
      <w:bookmarkStart w:id="313" w:name="_Toc403077650"/>
      <w:bookmarkStart w:id="314" w:name="_Toc324414285"/>
    </w:p>
    <w:p>
      <w:pPr>
        <w:pStyle w:val="79"/>
        <w:pageBreakBefore w:val="0"/>
        <w:wordWrap/>
        <w:bidi w:val="0"/>
        <w:spacing w:before="0" w:line="400" w:lineRule="exact"/>
        <w:ind w:left="0"/>
        <w:jc w:val="both"/>
        <w:outlineLvl w:val="9"/>
        <w:rPr>
          <w:rFonts w:hint="eastAsia" w:ascii="宋体" w:hAnsi="宋体" w:eastAsia="宋体" w:cs="宋体"/>
          <w:szCs w:val="28"/>
        </w:rPr>
      </w:pPr>
    </w:p>
    <w:p>
      <w:pPr>
        <w:pStyle w:val="79"/>
        <w:pageBreakBefore w:val="0"/>
        <w:wordWrap/>
        <w:bidi w:val="0"/>
        <w:spacing w:before="0" w:line="400" w:lineRule="exact"/>
        <w:ind w:left="0"/>
        <w:jc w:val="both"/>
        <w:outlineLvl w:val="0"/>
        <w:rPr>
          <w:rFonts w:hint="eastAsia" w:ascii="宋体" w:hAnsi="宋体" w:eastAsia="宋体" w:cs="宋体"/>
          <w:b/>
          <w:bCs/>
          <w:spacing w:val="4"/>
          <w:kern w:val="2"/>
          <w:sz w:val="32"/>
          <w:szCs w:val="32"/>
          <w:lang w:eastAsia="zh-CN"/>
        </w:rPr>
      </w:pPr>
      <w:bookmarkStart w:id="315" w:name="_Toc38057911"/>
      <w:bookmarkStart w:id="316" w:name="_Toc23168"/>
      <w:r>
        <w:rPr>
          <w:rFonts w:hint="eastAsia" w:ascii="宋体" w:hAnsi="宋体" w:eastAsia="宋体" w:cs="宋体"/>
          <w:b/>
          <w:bCs/>
          <w:spacing w:val="4"/>
          <w:kern w:val="2"/>
          <w:szCs w:val="28"/>
        </w:rPr>
        <w:t>附件</w:t>
      </w:r>
      <w:bookmarkEnd w:id="315"/>
      <w:bookmarkEnd w:id="316"/>
      <w:r>
        <w:rPr>
          <w:rFonts w:hint="eastAsia" w:ascii="宋体" w:hAnsi="宋体" w:eastAsia="宋体" w:cs="宋体"/>
          <w:b/>
          <w:bCs/>
          <w:spacing w:val="4"/>
          <w:kern w:val="2"/>
          <w:szCs w:val="28"/>
          <w:lang w:eastAsia="zh-CN"/>
        </w:rPr>
        <w:t>五</w:t>
      </w:r>
    </w:p>
    <w:p>
      <w:pPr>
        <w:pStyle w:val="79"/>
        <w:pageBreakBefore w:val="0"/>
        <w:wordWrap/>
        <w:bidi w:val="0"/>
        <w:spacing w:before="0" w:line="400" w:lineRule="exact"/>
        <w:ind w:left="283"/>
        <w:jc w:val="center"/>
        <w:rPr>
          <w:rFonts w:hint="eastAsia" w:ascii="宋体" w:hAnsi="宋体" w:eastAsia="宋体" w:cs="宋体"/>
          <w:b/>
          <w:bCs/>
          <w:spacing w:val="4"/>
          <w:sz w:val="32"/>
          <w:szCs w:val="32"/>
        </w:rPr>
      </w:pPr>
      <w:bookmarkStart w:id="317" w:name="_Toc38057912"/>
      <w:r>
        <w:rPr>
          <w:rFonts w:hint="eastAsia" w:ascii="宋体" w:hAnsi="宋体" w:eastAsia="宋体" w:cs="宋体"/>
          <w:b/>
          <w:bCs/>
          <w:spacing w:val="4"/>
          <w:sz w:val="32"/>
          <w:szCs w:val="32"/>
        </w:rPr>
        <w:t>服务计划</w:t>
      </w:r>
      <w:bookmarkEnd w:id="317"/>
    </w:p>
    <w:p>
      <w:pPr>
        <w:pStyle w:val="79"/>
        <w:pageBreakBefore w:val="0"/>
        <w:wordWrap/>
        <w:bidi w:val="0"/>
        <w:spacing w:before="0" w:line="400" w:lineRule="exact"/>
        <w:ind w:left="283" w:firstLine="576" w:firstLineChars="200"/>
        <w:jc w:val="both"/>
        <w:outlineLvl w:val="9"/>
        <w:rPr>
          <w:rFonts w:hint="eastAsia" w:ascii="宋体" w:hAnsi="宋体" w:eastAsia="宋体" w:cs="宋体"/>
          <w:spacing w:val="4"/>
          <w:szCs w:val="28"/>
        </w:rPr>
      </w:pPr>
    </w:p>
    <w:p>
      <w:pPr>
        <w:pStyle w:val="79"/>
        <w:keepNext/>
        <w:keepLines/>
        <w:pageBreakBefore w:val="0"/>
        <w:widowControl/>
        <w:kinsoku/>
        <w:wordWrap/>
        <w:overflowPunct/>
        <w:topLinePunct w:val="0"/>
        <w:autoSpaceDE/>
        <w:autoSpaceDN/>
        <w:bidi w:val="0"/>
        <w:adjustRightInd/>
        <w:snapToGrid/>
        <w:spacing w:before="0" w:line="600" w:lineRule="exact"/>
        <w:ind w:left="283" w:firstLine="578" w:firstLineChars="200"/>
        <w:jc w:val="both"/>
        <w:textAlignment w:val="auto"/>
        <w:rPr>
          <w:rFonts w:hint="eastAsia" w:ascii="宋体" w:hAnsi="宋体" w:eastAsia="宋体" w:cs="宋体"/>
          <w:b/>
          <w:bCs/>
          <w:spacing w:val="4"/>
          <w:szCs w:val="28"/>
        </w:rPr>
      </w:pPr>
      <w:bookmarkStart w:id="318" w:name="_Toc38057913"/>
      <w:r>
        <w:rPr>
          <w:rFonts w:hint="eastAsia" w:ascii="宋体" w:hAnsi="宋体" w:eastAsia="宋体" w:cs="宋体"/>
          <w:b/>
          <w:bCs/>
          <w:spacing w:val="4"/>
          <w:szCs w:val="28"/>
        </w:rPr>
        <w:t>总体服务方案，包对用户需求的理解及响应程度、服务内容、服务流程、管理服务架构、方法及人员档案/薪资管理等方案、客户服务及关系维护方案（含劳动争议处理、风险防范、增值服务等）等。</w:t>
      </w:r>
      <w:bookmarkEnd w:id="318"/>
    </w:p>
    <w:p>
      <w:pPr>
        <w:pStyle w:val="79"/>
        <w:keepNext/>
        <w:keepLines/>
        <w:pageBreakBefore w:val="0"/>
        <w:widowControl/>
        <w:kinsoku/>
        <w:wordWrap/>
        <w:overflowPunct/>
        <w:topLinePunct w:val="0"/>
        <w:autoSpaceDE/>
        <w:autoSpaceDN/>
        <w:bidi w:val="0"/>
        <w:adjustRightInd/>
        <w:snapToGrid/>
        <w:spacing w:before="0" w:line="600" w:lineRule="exact"/>
        <w:ind w:left="283"/>
        <w:jc w:val="both"/>
        <w:textAlignment w:val="auto"/>
        <w:outlineLvl w:val="9"/>
        <w:rPr>
          <w:rFonts w:hint="eastAsia" w:ascii="宋体" w:hAnsi="宋体" w:eastAsia="宋体" w:cs="宋体"/>
          <w:spacing w:val="4"/>
          <w:szCs w:val="28"/>
        </w:rPr>
      </w:pPr>
    </w:p>
    <w:p>
      <w:pPr>
        <w:pStyle w:val="79"/>
        <w:pageBreakBefore w:val="0"/>
        <w:wordWrap/>
        <w:bidi w:val="0"/>
        <w:spacing w:before="0" w:line="400" w:lineRule="exact"/>
        <w:ind w:left="283"/>
        <w:jc w:val="both"/>
        <w:outlineLvl w:val="9"/>
        <w:rPr>
          <w:rFonts w:hint="eastAsia" w:ascii="宋体" w:hAnsi="宋体" w:eastAsia="宋体" w:cs="宋体"/>
          <w:spacing w:val="4"/>
          <w:szCs w:val="28"/>
        </w:rPr>
      </w:pPr>
    </w:p>
    <w:p>
      <w:pPr>
        <w:pStyle w:val="79"/>
        <w:pageBreakBefore w:val="0"/>
        <w:wordWrap/>
        <w:bidi w:val="0"/>
        <w:spacing w:before="0" w:line="400" w:lineRule="exact"/>
        <w:ind w:left="283"/>
        <w:jc w:val="both"/>
        <w:outlineLvl w:val="9"/>
        <w:rPr>
          <w:rFonts w:hint="eastAsia" w:ascii="宋体" w:hAnsi="宋体" w:eastAsia="宋体" w:cs="宋体"/>
          <w:spacing w:val="4"/>
          <w:szCs w:val="28"/>
        </w:rPr>
      </w:pPr>
    </w:p>
    <w:p>
      <w:pPr>
        <w:pStyle w:val="79"/>
        <w:pageBreakBefore w:val="0"/>
        <w:wordWrap/>
        <w:bidi w:val="0"/>
        <w:spacing w:before="0" w:line="400" w:lineRule="exact"/>
        <w:ind w:left="283"/>
        <w:jc w:val="both"/>
        <w:outlineLvl w:val="9"/>
        <w:rPr>
          <w:rFonts w:hint="eastAsia" w:ascii="宋体" w:hAnsi="宋体" w:eastAsia="宋体" w:cs="宋体"/>
          <w:spacing w:val="4"/>
          <w:szCs w:val="28"/>
        </w:rPr>
      </w:pPr>
    </w:p>
    <w:p>
      <w:pPr>
        <w:pStyle w:val="79"/>
        <w:pageBreakBefore w:val="0"/>
        <w:wordWrap/>
        <w:bidi w:val="0"/>
        <w:spacing w:before="0" w:line="400" w:lineRule="exact"/>
        <w:ind w:left="283"/>
        <w:jc w:val="both"/>
        <w:outlineLvl w:val="9"/>
        <w:rPr>
          <w:rFonts w:hint="eastAsia" w:ascii="宋体" w:hAnsi="宋体" w:eastAsia="宋体" w:cs="宋体"/>
          <w:spacing w:val="4"/>
          <w:szCs w:val="28"/>
        </w:rPr>
      </w:pPr>
    </w:p>
    <w:p>
      <w:pPr>
        <w:pStyle w:val="79"/>
        <w:pageBreakBefore w:val="0"/>
        <w:wordWrap/>
        <w:bidi w:val="0"/>
        <w:spacing w:before="0" w:line="400" w:lineRule="exact"/>
        <w:ind w:left="283"/>
        <w:jc w:val="both"/>
        <w:outlineLvl w:val="9"/>
        <w:rPr>
          <w:rFonts w:hint="eastAsia" w:ascii="宋体" w:hAnsi="宋体" w:eastAsia="宋体" w:cs="宋体"/>
          <w:spacing w:val="4"/>
          <w:szCs w:val="28"/>
        </w:rPr>
      </w:pPr>
    </w:p>
    <w:p>
      <w:pPr>
        <w:pStyle w:val="79"/>
        <w:pageBreakBefore w:val="0"/>
        <w:wordWrap/>
        <w:bidi w:val="0"/>
        <w:spacing w:before="0" w:line="400" w:lineRule="exact"/>
        <w:ind w:left="283"/>
        <w:jc w:val="both"/>
        <w:outlineLvl w:val="9"/>
        <w:rPr>
          <w:rFonts w:hint="eastAsia" w:ascii="宋体" w:hAnsi="宋体" w:eastAsia="宋体" w:cs="宋体"/>
          <w:spacing w:val="4"/>
          <w:szCs w:val="28"/>
        </w:rPr>
      </w:pPr>
    </w:p>
    <w:p>
      <w:pPr>
        <w:pStyle w:val="79"/>
        <w:pageBreakBefore w:val="0"/>
        <w:wordWrap/>
        <w:bidi w:val="0"/>
        <w:spacing w:before="0" w:line="400" w:lineRule="exact"/>
        <w:ind w:left="283"/>
        <w:jc w:val="both"/>
        <w:outlineLvl w:val="9"/>
        <w:rPr>
          <w:rFonts w:hint="eastAsia" w:ascii="宋体" w:hAnsi="宋体" w:eastAsia="宋体" w:cs="宋体"/>
          <w:spacing w:val="4"/>
          <w:szCs w:val="28"/>
        </w:rPr>
      </w:pPr>
    </w:p>
    <w:p>
      <w:pPr>
        <w:pStyle w:val="79"/>
        <w:pageBreakBefore w:val="0"/>
        <w:wordWrap/>
        <w:bidi w:val="0"/>
        <w:spacing w:before="0" w:line="400" w:lineRule="exact"/>
        <w:ind w:left="0"/>
        <w:jc w:val="both"/>
        <w:outlineLvl w:val="9"/>
        <w:rPr>
          <w:rFonts w:hint="eastAsia" w:ascii="宋体" w:hAnsi="宋体" w:eastAsia="宋体" w:cs="宋体"/>
          <w:spacing w:val="4"/>
          <w:szCs w:val="28"/>
        </w:rPr>
      </w:pPr>
    </w:p>
    <w:p>
      <w:pPr>
        <w:pStyle w:val="79"/>
        <w:pageBreakBefore w:val="0"/>
        <w:wordWrap/>
        <w:bidi w:val="0"/>
        <w:spacing w:before="0" w:line="400" w:lineRule="exact"/>
        <w:ind w:left="0"/>
        <w:jc w:val="both"/>
        <w:outlineLvl w:val="9"/>
        <w:rPr>
          <w:rFonts w:hint="eastAsia" w:ascii="宋体" w:hAnsi="宋体" w:eastAsia="宋体" w:cs="宋体"/>
          <w:spacing w:val="4"/>
          <w:szCs w:val="28"/>
        </w:rPr>
      </w:pPr>
    </w:p>
    <w:p>
      <w:pPr>
        <w:pStyle w:val="79"/>
        <w:pageBreakBefore w:val="0"/>
        <w:wordWrap/>
        <w:bidi w:val="0"/>
        <w:spacing w:before="0" w:line="400" w:lineRule="exact"/>
        <w:ind w:left="0"/>
        <w:jc w:val="both"/>
        <w:outlineLvl w:val="9"/>
        <w:rPr>
          <w:rFonts w:hint="eastAsia" w:ascii="宋体" w:hAnsi="宋体" w:eastAsia="宋体" w:cs="宋体"/>
          <w:spacing w:val="4"/>
          <w:szCs w:val="28"/>
        </w:rPr>
      </w:pPr>
    </w:p>
    <w:p>
      <w:pPr>
        <w:pStyle w:val="79"/>
        <w:pageBreakBefore w:val="0"/>
        <w:wordWrap/>
        <w:bidi w:val="0"/>
        <w:spacing w:before="0" w:line="400" w:lineRule="exact"/>
        <w:ind w:left="0"/>
        <w:jc w:val="both"/>
        <w:outlineLvl w:val="9"/>
        <w:rPr>
          <w:rFonts w:hint="eastAsia" w:ascii="宋体" w:hAnsi="宋体" w:eastAsia="宋体" w:cs="宋体"/>
          <w:spacing w:val="4"/>
          <w:szCs w:val="28"/>
        </w:rPr>
      </w:pPr>
    </w:p>
    <w:p>
      <w:pPr>
        <w:pStyle w:val="79"/>
        <w:pageBreakBefore w:val="0"/>
        <w:wordWrap/>
        <w:bidi w:val="0"/>
        <w:spacing w:before="0" w:line="400" w:lineRule="exact"/>
        <w:ind w:left="0"/>
        <w:jc w:val="both"/>
        <w:outlineLvl w:val="9"/>
        <w:rPr>
          <w:rFonts w:hint="eastAsia" w:ascii="宋体" w:hAnsi="宋体" w:eastAsia="宋体" w:cs="宋体"/>
          <w:spacing w:val="4"/>
          <w:szCs w:val="28"/>
        </w:rPr>
      </w:pPr>
    </w:p>
    <w:p>
      <w:pPr>
        <w:pStyle w:val="79"/>
        <w:pageBreakBefore w:val="0"/>
        <w:wordWrap/>
        <w:bidi w:val="0"/>
        <w:spacing w:before="0" w:line="400" w:lineRule="exact"/>
        <w:ind w:left="0"/>
        <w:jc w:val="both"/>
        <w:outlineLvl w:val="9"/>
        <w:rPr>
          <w:rFonts w:hint="eastAsia" w:ascii="宋体" w:hAnsi="宋体" w:eastAsia="宋体" w:cs="宋体"/>
          <w:spacing w:val="4"/>
          <w:szCs w:val="28"/>
        </w:rPr>
      </w:pPr>
    </w:p>
    <w:p>
      <w:pPr>
        <w:pStyle w:val="79"/>
        <w:pageBreakBefore w:val="0"/>
        <w:wordWrap/>
        <w:bidi w:val="0"/>
        <w:spacing w:before="0" w:line="400" w:lineRule="exact"/>
        <w:ind w:left="0"/>
        <w:jc w:val="both"/>
        <w:outlineLvl w:val="9"/>
        <w:rPr>
          <w:rFonts w:hint="eastAsia" w:ascii="宋体" w:hAnsi="宋体" w:eastAsia="宋体" w:cs="宋体"/>
          <w:spacing w:val="4"/>
          <w:szCs w:val="28"/>
        </w:rPr>
      </w:pPr>
    </w:p>
    <w:p>
      <w:pPr>
        <w:pStyle w:val="79"/>
        <w:pageBreakBefore w:val="0"/>
        <w:wordWrap/>
        <w:bidi w:val="0"/>
        <w:spacing w:before="0" w:line="400" w:lineRule="exact"/>
        <w:ind w:left="0"/>
        <w:jc w:val="both"/>
        <w:outlineLvl w:val="9"/>
        <w:rPr>
          <w:rFonts w:hint="eastAsia" w:ascii="宋体" w:hAnsi="宋体" w:eastAsia="宋体" w:cs="宋体"/>
          <w:spacing w:val="4"/>
          <w:szCs w:val="28"/>
        </w:rPr>
      </w:pPr>
    </w:p>
    <w:p>
      <w:pPr>
        <w:pStyle w:val="79"/>
        <w:pageBreakBefore w:val="0"/>
        <w:wordWrap/>
        <w:bidi w:val="0"/>
        <w:spacing w:before="0" w:line="400" w:lineRule="exact"/>
        <w:ind w:left="0"/>
        <w:jc w:val="both"/>
        <w:outlineLvl w:val="9"/>
        <w:rPr>
          <w:rFonts w:hint="eastAsia" w:ascii="宋体" w:hAnsi="宋体" w:eastAsia="宋体" w:cs="宋体"/>
          <w:spacing w:val="4"/>
          <w:szCs w:val="28"/>
        </w:rPr>
      </w:pPr>
    </w:p>
    <w:p>
      <w:pPr>
        <w:pStyle w:val="79"/>
        <w:pageBreakBefore w:val="0"/>
        <w:wordWrap/>
        <w:bidi w:val="0"/>
        <w:spacing w:before="0" w:line="400" w:lineRule="exact"/>
        <w:ind w:left="0"/>
        <w:jc w:val="both"/>
        <w:outlineLvl w:val="9"/>
        <w:rPr>
          <w:rFonts w:hint="eastAsia" w:ascii="宋体" w:hAnsi="宋体" w:eastAsia="宋体" w:cs="宋体"/>
          <w:spacing w:val="4"/>
          <w:szCs w:val="28"/>
        </w:rPr>
      </w:pPr>
    </w:p>
    <w:p>
      <w:pPr>
        <w:pStyle w:val="79"/>
        <w:pageBreakBefore w:val="0"/>
        <w:wordWrap/>
        <w:bidi w:val="0"/>
        <w:spacing w:before="0" w:line="400" w:lineRule="exact"/>
        <w:ind w:left="0"/>
        <w:jc w:val="both"/>
        <w:outlineLvl w:val="9"/>
        <w:rPr>
          <w:rFonts w:hint="eastAsia" w:ascii="宋体" w:hAnsi="宋体" w:eastAsia="宋体" w:cs="宋体"/>
          <w:spacing w:val="4"/>
          <w:szCs w:val="28"/>
        </w:rPr>
      </w:pPr>
    </w:p>
    <w:p>
      <w:pPr>
        <w:pStyle w:val="79"/>
        <w:pageBreakBefore w:val="0"/>
        <w:wordWrap/>
        <w:bidi w:val="0"/>
        <w:spacing w:before="0" w:line="400" w:lineRule="exact"/>
        <w:ind w:left="0"/>
        <w:jc w:val="both"/>
        <w:outlineLvl w:val="9"/>
        <w:rPr>
          <w:rFonts w:hint="eastAsia" w:ascii="宋体" w:hAnsi="宋体" w:eastAsia="宋体" w:cs="宋体"/>
          <w:spacing w:val="4"/>
          <w:szCs w:val="28"/>
        </w:rPr>
      </w:pPr>
    </w:p>
    <w:p>
      <w:pPr>
        <w:pStyle w:val="79"/>
        <w:pageBreakBefore w:val="0"/>
        <w:wordWrap/>
        <w:bidi w:val="0"/>
        <w:spacing w:before="0" w:line="400" w:lineRule="exact"/>
        <w:ind w:left="0"/>
        <w:jc w:val="both"/>
        <w:outlineLvl w:val="9"/>
        <w:rPr>
          <w:rFonts w:hint="eastAsia" w:ascii="宋体" w:hAnsi="宋体" w:eastAsia="宋体" w:cs="宋体"/>
          <w:spacing w:val="4"/>
          <w:szCs w:val="28"/>
        </w:rPr>
      </w:pPr>
    </w:p>
    <w:p>
      <w:pPr>
        <w:pStyle w:val="79"/>
        <w:pageBreakBefore w:val="0"/>
        <w:wordWrap/>
        <w:bidi w:val="0"/>
        <w:spacing w:before="0" w:line="400" w:lineRule="exact"/>
        <w:ind w:left="0"/>
        <w:jc w:val="both"/>
        <w:outlineLvl w:val="9"/>
        <w:rPr>
          <w:rFonts w:hint="eastAsia" w:ascii="宋体" w:hAnsi="宋体" w:eastAsia="宋体" w:cs="宋体"/>
          <w:spacing w:val="4"/>
          <w:szCs w:val="28"/>
        </w:rPr>
      </w:pPr>
    </w:p>
    <w:p>
      <w:pPr>
        <w:pStyle w:val="79"/>
        <w:pageBreakBefore w:val="0"/>
        <w:wordWrap/>
        <w:bidi w:val="0"/>
        <w:spacing w:before="0" w:line="400" w:lineRule="exact"/>
        <w:ind w:left="0"/>
        <w:jc w:val="both"/>
        <w:outlineLvl w:val="9"/>
        <w:rPr>
          <w:rFonts w:hint="eastAsia" w:ascii="宋体" w:hAnsi="宋体" w:eastAsia="宋体" w:cs="宋体"/>
          <w:spacing w:val="4"/>
          <w:szCs w:val="28"/>
        </w:rPr>
      </w:pPr>
    </w:p>
    <w:p>
      <w:pPr>
        <w:pStyle w:val="79"/>
        <w:pageBreakBefore w:val="0"/>
        <w:wordWrap/>
        <w:bidi w:val="0"/>
        <w:spacing w:before="0" w:line="400" w:lineRule="exact"/>
        <w:ind w:left="0"/>
        <w:jc w:val="both"/>
        <w:outlineLvl w:val="9"/>
        <w:rPr>
          <w:rFonts w:hint="eastAsia" w:ascii="宋体" w:hAnsi="宋体" w:eastAsia="宋体" w:cs="宋体"/>
          <w:spacing w:val="4"/>
          <w:szCs w:val="28"/>
        </w:rPr>
      </w:pPr>
    </w:p>
    <w:bookmarkEnd w:id="306"/>
    <w:bookmarkEnd w:id="307"/>
    <w:bookmarkEnd w:id="308"/>
    <w:bookmarkEnd w:id="309"/>
    <w:bookmarkEnd w:id="310"/>
    <w:bookmarkEnd w:id="311"/>
    <w:p>
      <w:pPr>
        <w:pStyle w:val="5"/>
        <w:keepLines w:val="0"/>
        <w:pageBreakBefore w:val="0"/>
        <w:numPr>
          <w:ilvl w:val="0"/>
          <w:numId w:val="0"/>
        </w:numPr>
        <w:wordWrap/>
        <w:bidi w:val="0"/>
        <w:adjustRightInd/>
        <w:spacing w:before="0" w:line="400" w:lineRule="exact"/>
        <w:jc w:val="both"/>
        <w:textAlignment w:val="auto"/>
        <w:rPr>
          <w:rFonts w:hint="eastAsia" w:ascii="宋体" w:hAnsi="宋体" w:eastAsia="宋体" w:cs="宋体"/>
          <w:sz w:val="28"/>
          <w:szCs w:val="28"/>
        </w:rPr>
      </w:pPr>
    </w:p>
    <w:p>
      <w:pPr>
        <w:pStyle w:val="5"/>
        <w:keepLines w:val="0"/>
        <w:pageBreakBefore w:val="0"/>
        <w:numPr>
          <w:ilvl w:val="0"/>
          <w:numId w:val="0"/>
        </w:numPr>
        <w:wordWrap/>
        <w:bidi w:val="0"/>
        <w:adjustRightInd/>
        <w:spacing w:before="0" w:line="400" w:lineRule="exact"/>
        <w:jc w:val="both"/>
        <w:textAlignment w:val="auto"/>
        <w:rPr>
          <w:rFonts w:hint="eastAsia" w:ascii="宋体" w:hAnsi="宋体" w:eastAsia="宋体" w:cs="宋体"/>
          <w:sz w:val="28"/>
          <w:szCs w:val="28"/>
        </w:rPr>
      </w:pPr>
    </w:p>
    <w:p>
      <w:pPr>
        <w:pStyle w:val="5"/>
        <w:keepLines w:val="0"/>
        <w:pageBreakBefore w:val="0"/>
        <w:numPr>
          <w:ilvl w:val="0"/>
          <w:numId w:val="0"/>
        </w:numPr>
        <w:wordWrap/>
        <w:bidi w:val="0"/>
        <w:adjustRightInd/>
        <w:spacing w:before="0" w:line="400" w:lineRule="exact"/>
        <w:jc w:val="both"/>
        <w:textAlignment w:val="auto"/>
        <w:rPr>
          <w:rFonts w:hint="eastAsia" w:ascii="宋体" w:hAnsi="宋体" w:eastAsia="宋体" w:cs="宋体"/>
          <w:spacing w:val="4"/>
          <w:sz w:val="28"/>
          <w:szCs w:val="28"/>
          <w:lang w:eastAsia="zh-CN"/>
        </w:rPr>
      </w:pPr>
      <w:bookmarkStart w:id="319" w:name="_Toc38057914"/>
      <w:bookmarkStart w:id="320" w:name="_Toc30965"/>
      <w:r>
        <w:rPr>
          <w:rFonts w:hint="eastAsia" w:ascii="宋体" w:hAnsi="宋体" w:eastAsia="宋体" w:cs="宋体"/>
          <w:spacing w:val="4"/>
          <w:sz w:val="28"/>
          <w:szCs w:val="28"/>
        </w:rPr>
        <w:t>附件</w:t>
      </w:r>
      <w:bookmarkEnd w:id="319"/>
      <w:bookmarkEnd w:id="320"/>
      <w:r>
        <w:rPr>
          <w:rFonts w:hint="eastAsia" w:ascii="宋体" w:hAnsi="宋体" w:eastAsia="宋体" w:cs="宋体"/>
          <w:spacing w:val="4"/>
          <w:sz w:val="28"/>
          <w:szCs w:val="28"/>
          <w:lang w:eastAsia="zh-CN"/>
        </w:rPr>
        <w:t>六</w:t>
      </w:r>
    </w:p>
    <w:p>
      <w:pPr>
        <w:pStyle w:val="5"/>
        <w:keepLines w:val="0"/>
        <w:pageBreakBefore w:val="0"/>
        <w:numPr>
          <w:ilvl w:val="0"/>
          <w:numId w:val="0"/>
        </w:numPr>
        <w:wordWrap/>
        <w:bidi w:val="0"/>
        <w:adjustRightInd/>
        <w:spacing w:before="0" w:line="400" w:lineRule="exact"/>
        <w:jc w:val="center"/>
        <w:textAlignment w:val="auto"/>
        <w:rPr>
          <w:rFonts w:hint="eastAsia" w:ascii="宋体" w:hAnsi="宋体" w:eastAsia="宋体" w:cs="宋体"/>
          <w:spacing w:val="4"/>
          <w:sz w:val="28"/>
          <w:szCs w:val="28"/>
        </w:rPr>
      </w:pPr>
      <w:bookmarkStart w:id="321" w:name="_Toc38057915"/>
      <w:r>
        <w:rPr>
          <w:rFonts w:hint="eastAsia" w:ascii="宋体" w:hAnsi="宋体" w:eastAsia="宋体" w:cs="宋体"/>
          <w:spacing w:val="4"/>
          <w:sz w:val="28"/>
          <w:szCs w:val="28"/>
        </w:rPr>
        <w:t>拟投入项目人员一览表（表格格式自拟）</w:t>
      </w:r>
      <w:bookmarkEnd w:id="321"/>
    </w:p>
    <w:tbl>
      <w:tblPr>
        <w:tblStyle w:val="35"/>
        <w:tblW w:w="9039" w:type="dxa"/>
        <w:tblInd w:w="0" w:type="dxa"/>
        <w:tblLayout w:type="fixed"/>
        <w:tblCellMar>
          <w:top w:w="0" w:type="dxa"/>
          <w:left w:w="0" w:type="dxa"/>
          <w:bottom w:w="0" w:type="dxa"/>
          <w:right w:w="0" w:type="dxa"/>
        </w:tblCellMar>
      </w:tblPr>
      <w:tblGrid>
        <w:gridCol w:w="1092"/>
        <w:gridCol w:w="1035"/>
        <w:gridCol w:w="958"/>
        <w:gridCol w:w="176"/>
        <w:gridCol w:w="675"/>
        <w:gridCol w:w="591"/>
        <w:gridCol w:w="9"/>
        <w:gridCol w:w="1101"/>
        <w:gridCol w:w="1701"/>
        <w:gridCol w:w="1701"/>
      </w:tblGrid>
      <w:tr>
        <w:tblPrEx>
          <w:tblCellMar>
            <w:top w:w="0" w:type="dxa"/>
            <w:left w:w="0" w:type="dxa"/>
            <w:bottom w:w="0" w:type="dxa"/>
            <w:right w:w="0" w:type="dxa"/>
          </w:tblCellMar>
        </w:tblPrEx>
        <w:trPr>
          <w:trHeight w:val="249"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rPr>
                <w:rFonts w:hint="eastAsia" w:ascii="宋体" w:hAnsi="宋体" w:eastAsia="宋体" w:cs="宋体"/>
                <w:sz w:val="28"/>
                <w:szCs w:val="28"/>
              </w:rPr>
            </w:pPr>
            <w:r>
              <w:rPr>
                <w:rFonts w:hint="eastAsia" w:ascii="宋体" w:hAnsi="宋体" w:eastAsia="宋体" w:cs="宋体"/>
                <w:sz w:val="28"/>
                <w:szCs w:val="28"/>
              </w:rPr>
              <w:t>姓  名</w:t>
            </w: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13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rPr>
                <w:rFonts w:hint="eastAsia" w:ascii="宋体" w:hAnsi="宋体" w:eastAsia="宋体" w:cs="宋体"/>
                <w:sz w:val="28"/>
                <w:szCs w:val="28"/>
              </w:rPr>
            </w:pPr>
            <w:r>
              <w:rPr>
                <w:rFonts w:hint="eastAsia" w:ascii="宋体" w:hAnsi="宋体" w:eastAsia="宋体" w:cs="宋体"/>
                <w:sz w:val="28"/>
                <w:szCs w:val="28"/>
              </w:rPr>
              <w:t>年  龄</w:t>
            </w:r>
          </w:p>
        </w:tc>
        <w:tc>
          <w:tcPr>
            <w:tcW w:w="127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280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r>
              <w:rPr>
                <w:rFonts w:hint="eastAsia" w:ascii="宋体" w:hAnsi="宋体" w:eastAsia="宋体" w:cs="宋体"/>
                <w:sz w:val="28"/>
                <w:szCs w:val="28"/>
              </w:rPr>
              <w:t>学历</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r>
      <w:tr>
        <w:tblPrEx>
          <w:tblCellMar>
            <w:top w:w="0" w:type="dxa"/>
            <w:left w:w="0" w:type="dxa"/>
            <w:bottom w:w="0" w:type="dxa"/>
            <w:right w:w="0" w:type="dxa"/>
          </w:tblCellMar>
        </w:tblPrEx>
        <w:trPr>
          <w:trHeight w:val="454"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rPr>
                <w:rFonts w:hint="eastAsia" w:ascii="宋体" w:hAnsi="宋体" w:eastAsia="宋体" w:cs="宋体"/>
                <w:sz w:val="28"/>
                <w:szCs w:val="28"/>
              </w:rPr>
            </w:pPr>
            <w:r>
              <w:rPr>
                <w:rFonts w:hint="eastAsia" w:ascii="宋体" w:hAnsi="宋体" w:eastAsia="宋体" w:cs="宋体"/>
                <w:sz w:val="28"/>
                <w:szCs w:val="28"/>
              </w:rPr>
              <w:t>职  称</w:t>
            </w: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13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rPr>
                <w:rFonts w:hint="eastAsia" w:ascii="宋体" w:hAnsi="宋体" w:eastAsia="宋体" w:cs="宋体"/>
                <w:sz w:val="28"/>
                <w:szCs w:val="28"/>
              </w:rPr>
            </w:pPr>
            <w:r>
              <w:rPr>
                <w:rFonts w:hint="eastAsia" w:ascii="宋体" w:hAnsi="宋体" w:eastAsia="宋体" w:cs="宋体"/>
                <w:sz w:val="28"/>
                <w:szCs w:val="28"/>
              </w:rPr>
              <w:t>职  务</w:t>
            </w:r>
          </w:p>
        </w:tc>
        <w:tc>
          <w:tcPr>
            <w:tcW w:w="1275"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280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r>
              <w:rPr>
                <w:rFonts w:hint="eastAsia" w:ascii="宋体" w:hAnsi="宋体" w:eastAsia="宋体" w:cs="宋体"/>
                <w:sz w:val="28"/>
                <w:szCs w:val="28"/>
              </w:rPr>
              <w:t>拟在本项目任职</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r>
      <w:tr>
        <w:tblPrEx>
          <w:tblCellMar>
            <w:top w:w="0" w:type="dxa"/>
            <w:left w:w="0" w:type="dxa"/>
            <w:bottom w:w="0" w:type="dxa"/>
            <w:right w:w="0" w:type="dxa"/>
          </w:tblCellMar>
        </w:tblPrEx>
        <w:trPr>
          <w:trHeight w:val="454" w:hRule="atLeast"/>
        </w:trPr>
        <w:tc>
          <w:tcPr>
            <w:tcW w:w="2127" w:type="dxa"/>
            <w:gridSpan w:val="2"/>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r>
              <w:rPr>
                <w:rFonts w:hint="eastAsia" w:ascii="宋体" w:hAnsi="宋体" w:eastAsia="宋体" w:cs="宋体"/>
                <w:sz w:val="28"/>
                <w:szCs w:val="28"/>
              </w:rPr>
              <w:t>执业资格类别及等级</w:t>
            </w:r>
          </w:p>
        </w:tc>
        <w:tc>
          <w:tcPr>
            <w:tcW w:w="2400" w:type="dxa"/>
            <w:gridSpan w:val="4"/>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281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r>
              <w:rPr>
                <w:rFonts w:hint="eastAsia" w:ascii="宋体" w:hAnsi="宋体" w:eastAsia="宋体" w:cs="宋体"/>
                <w:sz w:val="28"/>
                <w:szCs w:val="28"/>
              </w:rPr>
              <w:t>总工作年限</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r>
      <w:tr>
        <w:tblPrEx>
          <w:tblCellMar>
            <w:top w:w="0" w:type="dxa"/>
            <w:left w:w="0" w:type="dxa"/>
            <w:bottom w:w="0" w:type="dxa"/>
            <w:right w:w="0" w:type="dxa"/>
          </w:tblCellMar>
        </w:tblPrEx>
        <w:trPr>
          <w:trHeight w:val="702" w:hRule="atLeast"/>
        </w:trPr>
        <w:tc>
          <w:tcPr>
            <w:tcW w:w="2127" w:type="dxa"/>
            <w:gridSpan w:val="2"/>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2400" w:type="dxa"/>
            <w:gridSpan w:val="4"/>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281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r>
              <w:rPr>
                <w:rFonts w:hint="eastAsia" w:ascii="宋体" w:hAnsi="宋体" w:eastAsia="宋体" w:cs="宋体"/>
                <w:sz w:val="28"/>
                <w:szCs w:val="28"/>
              </w:rPr>
              <w:t>担任与本项目类似岗位的工作年限</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r>
      <w:tr>
        <w:tblPrEx>
          <w:tblCellMar>
            <w:top w:w="0" w:type="dxa"/>
            <w:left w:w="0" w:type="dxa"/>
            <w:bottom w:w="0" w:type="dxa"/>
            <w:right w:w="0" w:type="dxa"/>
          </w:tblCellMar>
        </w:tblPrEx>
        <w:trPr>
          <w:trHeight w:val="454"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jc w:val="center"/>
              <w:rPr>
                <w:rFonts w:hint="eastAsia" w:ascii="宋体" w:hAnsi="宋体" w:eastAsia="宋体" w:cs="宋体"/>
                <w:sz w:val="28"/>
                <w:szCs w:val="28"/>
              </w:rPr>
            </w:pPr>
            <w:r>
              <w:rPr>
                <w:rFonts w:hint="eastAsia" w:ascii="宋体" w:hAnsi="宋体" w:eastAsia="宋体" w:cs="宋体"/>
                <w:sz w:val="28"/>
                <w:szCs w:val="28"/>
              </w:rPr>
              <w:t>毕业</w:t>
            </w:r>
          </w:p>
          <w:p>
            <w:pPr>
              <w:pageBreakBefore w:val="0"/>
              <w:wordWrap/>
              <w:bidi w:val="0"/>
              <w:snapToGrid w:val="0"/>
              <w:spacing w:line="400" w:lineRule="exact"/>
              <w:jc w:val="center"/>
              <w:rPr>
                <w:rFonts w:hint="eastAsia" w:ascii="宋体" w:hAnsi="宋体" w:eastAsia="宋体" w:cs="宋体"/>
                <w:sz w:val="28"/>
                <w:szCs w:val="28"/>
              </w:rPr>
            </w:pPr>
            <w:r>
              <w:rPr>
                <w:rFonts w:hint="eastAsia" w:ascii="宋体" w:hAnsi="宋体" w:eastAsia="宋体" w:cs="宋体"/>
                <w:sz w:val="28"/>
                <w:szCs w:val="28"/>
              </w:rPr>
              <w:t>学校</w:t>
            </w:r>
          </w:p>
        </w:tc>
        <w:tc>
          <w:tcPr>
            <w:tcW w:w="7947"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rPr>
                <w:rFonts w:hint="eastAsia" w:ascii="宋体" w:hAnsi="宋体" w:eastAsia="宋体" w:cs="宋体"/>
                <w:sz w:val="28"/>
                <w:szCs w:val="28"/>
              </w:rPr>
            </w:pPr>
            <w:r>
              <w:rPr>
                <w:rFonts w:hint="eastAsia" w:ascii="宋体" w:hAnsi="宋体" w:eastAsia="宋体" w:cs="宋体"/>
                <w:sz w:val="28"/>
                <w:szCs w:val="28"/>
              </w:rPr>
              <w:t>年毕业于                  学校            专业</w:t>
            </w:r>
          </w:p>
        </w:tc>
      </w:tr>
      <w:tr>
        <w:tblPrEx>
          <w:tblCellMar>
            <w:top w:w="0" w:type="dxa"/>
            <w:left w:w="0" w:type="dxa"/>
            <w:bottom w:w="0" w:type="dxa"/>
            <w:right w:w="0" w:type="dxa"/>
          </w:tblCellMar>
        </w:tblPrEx>
        <w:trPr>
          <w:trHeight w:val="454" w:hRule="atLeast"/>
        </w:trPr>
        <w:tc>
          <w:tcPr>
            <w:tcW w:w="9039" w:type="dxa"/>
            <w:gridSpan w:val="1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r>
              <w:rPr>
                <w:rFonts w:hint="eastAsia" w:ascii="宋体" w:hAnsi="宋体" w:eastAsia="宋体" w:cs="宋体"/>
                <w:sz w:val="28"/>
                <w:szCs w:val="28"/>
              </w:rPr>
              <w:t>主要工作经历</w:t>
            </w:r>
          </w:p>
        </w:tc>
      </w:tr>
      <w:tr>
        <w:tblPrEx>
          <w:tblCellMar>
            <w:top w:w="0" w:type="dxa"/>
            <w:left w:w="0" w:type="dxa"/>
            <w:bottom w:w="0" w:type="dxa"/>
            <w:right w:w="0" w:type="dxa"/>
          </w:tblCellMar>
        </w:tblPrEx>
        <w:trPr>
          <w:trHeight w:val="454"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rPr>
                <w:rFonts w:hint="eastAsia" w:ascii="宋体" w:hAnsi="宋体" w:eastAsia="宋体" w:cs="宋体"/>
                <w:sz w:val="28"/>
                <w:szCs w:val="28"/>
              </w:rPr>
            </w:pPr>
            <w:r>
              <w:rPr>
                <w:rFonts w:hint="eastAsia" w:ascii="宋体" w:hAnsi="宋体" w:eastAsia="宋体" w:cs="宋体"/>
                <w:sz w:val="28"/>
                <w:szCs w:val="28"/>
              </w:rPr>
              <w:t>时  间</w:t>
            </w:r>
          </w:p>
        </w:tc>
        <w:tc>
          <w:tcPr>
            <w:tcW w:w="2844"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rPr>
                <w:rFonts w:hint="eastAsia" w:ascii="宋体" w:hAnsi="宋体" w:eastAsia="宋体" w:cs="宋体"/>
                <w:sz w:val="28"/>
                <w:szCs w:val="28"/>
              </w:rPr>
            </w:pPr>
            <w:r>
              <w:rPr>
                <w:rFonts w:hint="eastAsia" w:ascii="宋体" w:hAnsi="宋体" w:eastAsia="宋体" w:cs="宋体"/>
                <w:sz w:val="28"/>
                <w:szCs w:val="28"/>
              </w:rPr>
              <w:t>参加过的类似项目名称</w:t>
            </w: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rPr>
                <w:rFonts w:hint="eastAsia" w:ascii="宋体" w:hAnsi="宋体" w:eastAsia="宋体" w:cs="宋体"/>
                <w:sz w:val="28"/>
                <w:szCs w:val="28"/>
              </w:rPr>
            </w:pPr>
            <w:r>
              <w:rPr>
                <w:rFonts w:hint="eastAsia" w:ascii="宋体" w:hAnsi="宋体" w:eastAsia="宋体" w:cs="宋体"/>
                <w:sz w:val="28"/>
                <w:szCs w:val="28"/>
              </w:rPr>
              <w:t>项目概况说明</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r>
              <w:rPr>
                <w:rFonts w:hint="eastAsia" w:ascii="宋体" w:hAnsi="宋体" w:eastAsia="宋体" w:cs="宋体"/>
                <w:sz w:val="28"/>
                <w:szCs w:val="28"/>
              </w:rPr>
              <w:t>合同金额</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r>
              <w:rPr>
                <w:rFonts w:hint="eastAsia" w:ascii="宋体" w:hAnsi="宋体" w:eastAsia="宋体" w:cs="宋体"/>
                <w:sz w:val="28"/>
                <w:szCs w:val="28"/>
              </w:rPr>
              <w:t>业主及联系电话</w:t>
            </w: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r>
      <w:tr>
        <w:tblPrEx>
          <w:tblCellMar>
            <w:top w:w="0" w:type="dxa"/>
            <w:left w:w="0" w:type="dxa"/>
            <w:bottom w:w="0" w:type="dxa"/>
            <w:right w:w="0" w:type="dxa"/>
          </w:tblCellMar>
        </w:tblPrEx>
        <w:trPr>
          <w:trHeight w:val="70" w:hRule="atLeast"/>
        </w:trPr>
        <w:tc>
          <w:tcPr>
            <w:tcW w:w="10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9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85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ageBreakBefore w:val="0"/>
              <w:wordWrap/>
              <w:bidi w:val="0"/>
              <w:snapToGrid w:val="0"/>
              <w:spacing w:line="400" w:lineRule="exact"/>
              <w:ind w:firstLine="240"/>
              <w:jc w:val="center"/>
              <w:rPr>
                <w:rFonts w:hint="eastAsia" w:ascii="宋体" w:hAnsi="宋体" w:eastAsia="宋体" w:cs="宋体"/>
                <w:sz w:val="28"/>
                <w:szCs w:val="28"/>
              </w:rPr>
            </w:pPr>
          </w:p>
        </w:tc>
      </w:tr>
    </w:tbl>
    <w:p>
      <w:pPr>
        <w:keepNext/>
        <w:keepLines/>
        <w:pageBreakBefore w:val="0"/>
        <w:wordWrap/>
        <w:bidi w:val="0"/>
        <w:spacing w:before="260" w:after="260" w:line="40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投入本项目的主要管理、技术人员等相关人员学历、职称、专业、类似项目经验等情况说明。标书中必须附有身份证、毕业证书、职称证书以及本公司为其缴纳的近期6个月社保证明材料。</w:t>
      </w:r>
    </w:p>
    <w:p>
      <w:pPr>
        <w:pStyle w:val="2"/>
        <w:rPr>
          <w:rFonts w:hint="eastAsia"/>
        </w:rPr>
      </w:pPr>
    </w:p>
    <w:p>
      <w:pPr>
        <w:pageBreakBefore w:val="0"/>
        <w:wordWrap/>
        <w:bidi w:val="0"/>
        <w:spacing w:line="400" w:lineRule="exact"/>
        <w:rPr>
          <w:rFonts w:hint="eastAsia" w:ascii="宋体" w:hAnsi="宋体" w:eastAsia="宋体" w:cs="宋体"/>
          <w:spacing w:val="4"/>
          <w:sz w:val="28"/>
          <w:szCs w:val="28"/>
        </w:rPr>
      </w:pPr>
      <w:bookmarkStart w:id="322" w:name="_Toc38057916"/>
    </w:p>
    <w:p>
      <w:pPr>
        <w:pStyle w:val="5"/>
        <w:keepLines w:val="0"/>
        <w:pageBreakBefore w:val="0"/>
        <w:numPr>
          <w:ilvl w:val="0"/>
          <w:numId w:val="0"/>
        </w:numPr>
        <w:wordWrap/>
        <w:bidi w:val="0"/>
        <w:adjustRightInd/>
        <w:spacing w:before="0" w:line="400" w:lineRule="exact"/>
        <w:jc w:val="both"/>
        <w:textAlignment w:val="auto"/>
        <w:rPr>
          <w:rFonts w:hint="eastAsia" w:ascii="宋体" w:hAnsi="宋体" w:eastAsia="宋体" w:cs="宋体"/>
          <w:spacing w:val="4"/>
          <w:sz w:val="28"/>
          <w:szCs w:val="28"/>
          <w:lang w:eastAsia="zh-CN"/>
        </w:rPr>
      </w:pPr>
      <w:bookmarkStart w:id="323" w:name="_Toc2507"/>
      <w:r>
        <w:rPr>
          <w:rFonts w:hint="eastAsia" w:ascii="宋体" w:hAnsi="宋体" w:eastAsia="宋体" w:cs="宋体"/>
          <w:spacing w:val="4"/>
          <w:sz w:val="28"/>
          <w:szCs w:val="28"/>
        </w:rPr>
        <w:t>附件</w:t>
      </w:r>
      <w:bookmarkEnd w:id="322"/>
      <w:bookmarkEnd w:id="323"/>
      <w:r>
        <w:rPr>
          <w:rFonts w:hint="eastAsia" w:ascii="宋体" w:hAnsi="宋体" w:eastAsia="宋体" w:cs="宋体"/>
          <w:spacing w:val="4"/>
          <w:sz w:val="28"/>
          <w:szCs w:val="28"/>
          <w:lang w:eastAsia="zh-CN"/>
        </w:rPr>
        <w:t>七</w:t>
      </w:r>
    </w:p>
    <w:p>
      <w:pPr>
        <w:pageBreakBefore w:val="0"/>
        <w:wordWrap/>
        <w:bidi w:val="0"/>
        <w:spacing w:before="100" w:beforeAutospacing="1" w:after="100" w:afterAutospacing="1" w:line="400" w:lineRule="exact"/>
        <w:jc w:val="center"/>
        <w:rPr>
          <w:rFonts w:hint="eastAsia" w:ascii="宋体" w:hAnsi="宋体" w:eastAsia="宋体" w:cs="宋体"/>
          <w:b/>
          <w:sz w:val="28"/>
          <w:szCs w:val="28"/>
        </w:rPr>
      </w:pPr>
      <w:r>
        <w:rPr>
          <w:rFonts w:hint="eastAsia" w:ascii="宋体" w:hAnsi="宋体" w:eastAsia="宋体" w:cs="宋体"/>
          <w:b/>
          <w:sz w:val="28"/>
          <w:szCs w:val="28"/>
        </w:rPr>
        <w:t>同类项目业绩一览表（表格格式自拟）</w:t>
      </w:r>
    </w:p>
    <w:p>
      <w:pPr>
        <w:pageBreakBefore w:val="0"/>
        <w:wordWrap/>
        <w:bidi w:val="0"/>
        <w:spacing w:before="100" w:beforeAutospacing="1" w:after="100" w:afterAutospacing="1" w:line="400" w:lineRule="exact"/>
        <w:rPr>
          <w:rFonts w:hint="eastAsia" w:ascii="宋体" w:hAnsi="宋体" w:eastAsia="宋体" w:cs="宋体"/>
          <w:b/>
          <w:sz w:val="28"/>
          <w:szCs w:val="28"/>
        </w:rPr>
      </w:pPr>
    </w:p>
    <w:p>
      <w:pPr>
        <w:pageBreakBefore w:val="0"/>
        <w:wordWrap/>
        <w:bidi w:val="0"/>
        <w:spacing w:line="400" w:lineRule="exact"/>
        <w:rPr>
          <w:rFonts w:hint="eastAsia" w:ascii="宋体" w:hAnsi="宋体" w:eastAsia="宋体" w:cs="宋体"/>
          <w:sz w:val="28"/>
          <w:szCs w:val="28"/>
        </w:rPr>
      </w:pPr>
    </w:p>
    <w:p>
      <w:pPr>
        <w:pageBreakBefore w:val="0"/>
        <w:wordWrap/>
        <w:bidi w:val="0"/>
        <w:spacing w:line="400" w:lineRule="exact"/>
        <w:rPr>
          <w:rFonts w:hint="eastAsia" w:ascii="宋体" w:hAnsi="宋体" w:eastAsia="宋体" w:cs="宋体"/>
          <w:sz w:val="28"/>
          <w:szCs w:val="28"/>
        </w:rPr>
      </w:pPr>
      <w:r>
        <w:rPr>
          <w:rFonts w:hint="eastAsia" w:ascii="宋体" w:hAnsi="宋体" w:eastAsia="宋体" w:cs="宋体"/>
          <w:sz w:val="28"/>
          <w:szCs w:val="28"/>
        </w:rPr>
        <w:t>供应商名称：（公章）</w:t>
      </w:r>
    </w:p>
    <w:p>
      <w:pPr>
        <w:pageBreakBefore w:val="0"/>
        <w:wordWrap/>
        <w:bidi w:val="0"/>
        <w:spacing w:line="400" w:lineRule="exact"/>
        <w:rPr>
          <w:rFonts w:hint="eastAsia" w:ascii="宋体" w:hAnsi="宋体" w:eastAsia="宋体" w:cs="宋体"/>
          <w:sz w:val="28"/>
          <w:szCs w:val="28"/>
        </w:rPr>
      </w:pPr>
      <w:r>
        <w:rPr>
          <w:rFonts w:hint="eastAsia" w:ascii="宋体" w:hAnsi="宋体" w:eastAsia="宋体" w:cs="宋体"/>
          <w:sz w:val="28"/>
          <w:szCs w:val="28"/>
        </w:rPr>
        <w:t>法定代表人或报价人全权代表：（签字或印章）</w:t>
      </w:r>
    </w:p>
    <w:p>
      <w:pPr>
        <w:pageBreakBefore w:val="0"/>
        <w:wordWrap/>
        <w:bidi w:val="0"/>
        <w:spacing w:line="400" w:lineRule="exact"/>
        <w:rPr>
          <w:rFonts w:hint="eastAsia" w:ascii="宋体" w:hAnsi="宋体" w:eastAsia="宋体" w:cs="宋体"/>
          <w:sz w:val="28"/>
          <w:szCs w:val="28"/>
        </w:rPr>
      </w:pPr>
      <w:r>
        <w:rPr>
          <w:rFonts w:hint="eastAsia" w:ascii="宋体" w:hAnsi="宋体" w:eastAsia="宋体" w:cs="宋体"/>
          <w:sz w:val="28"/>
          <w:szCs w:val="28"/>
        </w:rPr>
        <w:t>日  期：    年  月  日</w:t>
      </w:r>
    </w:p>
    <w:p>
      <w:pPr>
        <w:pageBreakBefore w:val="0"/>
        <w:wordWrap/>
        <w:topLinePunct/>
        <w:bidi w:val="0"/>
        <w:spacing w:line="400" w:lineRule="exact"/>
        <w:rPr>
          <w:rFonts w:hint="eastAsia" w:ascii="宋体" w:hAnsi="宋体" w:eastAsia="宋体" w:cs="宋体"/>
          <w:sz w:val="28"/>
          <w:szCs w:val="28"/>
        </w:rPr>
      </w:pPr>
      <w:bookmarkStart w:id="324" w:name="_bookmark22"/>
      <w:bookmarkEnd w:id="324"/>
    </w:p>
    <w:p>
      <w:pPr>
        <w:pageBreakBefore w:val="0"/>
        <w:wordWrap/>
        <w:topLinePunct/>
        <w:bidi w:val="0"/>
        <w:spacing w:line="400" w:lineRule="exact"/>
        <w:rPr>
          <w:rFonts w:hint="eastAsia" w:ascii="宋体" w:hAnsi="宋体" w:eastAsia="宋体" w:cs="宋体"/>
          <w:sz w:val="28"/>
          <w:szCs w:val="28"/>
        </w:rPr>
      </w:pPr>
    </w:p>
    <w:p>
      <w:pPr>
        <w:keepNext/>
        <w:keepLines/>
        <w:pageBreakBefore w:val="0"/>
        <w:wordWrap/>
        <w:bidi w:val="0"/>
        <w:spacing w:before="260" w:after="260" w:line="400" w:lineRule="exact"/>
        <w:rPr>
          <w:rFonts w:hint="eastAsia" w:ascii="宋体" w:hAnsi="宋体" w:eastAsia="宋体" w:cs="宋体"/>
          <w:b/>
          <w:sz w:val="28"/>
          <w:szCs w:val="28"/>
        </w:rPr>
      </w:pPr>
    </w:p>
    <w:p>
      <w:pPr>
        <w:keepNext/>
        <w:keepLines/>
        <w:pageBreakBefore w:val="0"/>
        <w:wordWrap/>
        <w:bidi w:val="0"/>
        <w:spacing w:before="260" w:after="260" w:line="400" w:lineRule="exact"/>
        <w:rPr>
          <w:rFonts w:hint="eastAsia" w:ascii="宋体" w:hAnsi="宋体" w:eastAsia="宋体" w:cs="宋体"/>
          <w:b/>
          <w:sz w:val="28"/>
          <w:szCs w:val="28"/>
        </w:rPr>
      </w:pPr>
    </w:p>
    <w:p>
      <w:pPr>
        <w:pageBreakBefore w:val="0"/>
        <w:wordWrap/>
        <w:bidi w:val="0"/>
        <w:spacing w:line="400" w:lineRule="exact"/>
        <w:rPr>
          <w:rFonts w:hint="eastAsia" w:ascii="宋体" w:hAnsi="宋体" w:eastAsia="宋体" w:cs="宋体"/>
          <w:sz w:val="28"/>
          <w:szCs w:val="28"/>
        </w:rPr>
      </w:pPr>
    </w:p>
    <w:p>
      <w:pPr>
        <w:pStyle w:val="5"/>
        <w:keepLines w:val="0"/>
        <w:pageBreakBefore w:val="0"/>
        <w:numPr>
          <w:ilvl w:val="0"/>
          <w:numId w:val="0"/>
        </w:numPr>
        <w:wordWrap/>
        <w:bidi w:val="0"/>
        <w:adjustRightInd/>
        <w:spacing w:before="0" w:line="400" w:lineRule="exact"/>
        <w:jc w:val="both"/>
        <w:textAlignment w:val="auto"/>
        <w:rPr>
          <w:rFonts w:hint="eastAsia" w:ascii="宋体" w:hAnsi="宋体" w:eastAsia="宋体" w:cs="宋体"/>
          <w:spacing w:val="4"/>
          <w:sz w:val="28"/>
          <w:szCs w:val="28"/>
        </w:rPr>
      </w:pPr>
      <w:bookmarkStart w:id="325" w:name="_Toc16599"/>
      <w:bookmarkStart w:id="326" w:name="_Toc38057917"/>
    </w:p>
    <w:p>
      <w:pPr>
        <w:pageBreakBefore w:val="0"/>
        <w:wordWrap/>
        <w:bidi w:val="0"/>
        <w:spacing w:line="400" w:lineRule="exact"/>
        <w:rPr>
          <w:rFonts w:hint="eastAsia" w:ascii="宋体" w:hAnsi="宋体" w:eastAsia="宋体" w:cs="宋体"/>
          <w:spacing w:val="4"/>
          <w:sz w:val="28"/>
          <w:szCs w:val="28"/>
        </w:rPr>
      </w:pPr>
      <w:r>
        <w:rPr>
          <w:rFonts w:hint="eastAsia" w:ascii="宋体" w:hAnsi="宋体" w:eastAsia="宋体" w:cs="宋体"/>
          <w:spacing w:val="4"/>
          <w:sz w:val="28"/>
          <w:szCs w:val="28"/>
        </w:rPr>
        <w:br w:type="page"/>
      </w:r>
    </w:p>
    <w:p>
      <w:pPr>
        <w:pStyle w:val="5"/>
        <w:keepLines w:val="0"/>
        <w:pageBreakBefore w:val="0"/>
        <w:numPr>
          <w:ilvl w:val="0"/>
          <w:numId w:val="0"/>
        </w:numPr>
        <w:wordWrap/>
        <w:bidi w:val="0"/>
        <w:adjustRightInd/>
        <w:spacing w:before="0" w:line="400" w:lineRule="exact"/>
        <w:jc w:val="both"/>
        <w:textAlignment w:val="auto"/>
        <w:rPr>
          <w:rFonts w:hint="eastAsia" w:ascii="宋体" w:hAnsi="宋体" w:eastAsia="宋体" w:cs="宋体"/>
          <w:spacing w:val="4"/>
          <w:sz w:val="28"/>
          <w:szCs w:val="28"/>
          <w:lang w:eastAsia="zh-CN"/>
        </w:rPr>
      </w:pPr>
      <w:r>
        <w:rPr>
          <w:rFonts w:hint="eastAsia" w:ascii="宋体" w:hAnsi="宋体" w:eastAsia="宋体" w:cs="宋体"/>
          <w:spacing w:val="4"/>
          <w:sz w:val="28"/>
          <w:szCs w:val="28"/>
        </w:rPr>
        <w:t>附件</w:t>
      </w:r>
      <w:bookmarkEnd w:id="325"/>
      <w:bookmarkEnd w:id="326"/>
      <w:r>
        <w:rPr>
          <w:rFonts w:hint="eastAsia" w:ascii="宋体" w:hAnsi="宋体" w:eastAsia="宋体" w:cs="宋体"/>
          <w:spacing w:val="4"/>
          <w:sz w:val="28"/>
          <w:szCs w:val="28"/>
          <w:lang w:eastAsia="zh-CN"/>
        </w:rPr>
        <w:t>八</w:t>
      </w:r>
    </w:p>
    <w:p>
      <w:pPr>
        <w:pageBreakBefore w:val="0"/>
        <w:tabs>
          <w:tab w:val="left" w:pos="3300"/>
          <w:tab w:val="center" w:pos="4851"/>
        </w:tabs>
        <w:wordWrap/>
        <w:autoSpaceDE w:val="0"/>
        <w:autoSpaceDN w:val="0"/>
        <w:bidi w:val="0"/>
        <w:adjustRightInd w:val="0"/>
        <w:spacing w:before="50" w:line="400" w:lineRule="exact"/>
        <w:ind w:firstLine="3012" w:firstLineChars="1000"/>
        <w:textAlignment w:val="baseline"/>
        <w:rPr>
          <w:rFonts w:hint="eastAsia" w:ascii="宋体" w:hAnsi="宋体" w:eastAsia="宋体" w:cs="宋体"/>
          <w:b/>
          <w:bCs/>
          <w:sz w:val="30"/>
          <w:szCs w:val="30"/>
        </w:rPr>
      </w:pPr>
      <w:bookmarkStart w:id="327" w:name="_Toc38057918"/>
      <w:r>
        <w:rPr>
          <w:rFonts w:hint="eastAsia" w:ascii="宋体" w:hAnsi="宋体" w:eastAsia="宋体" w:cs="宋体"/>
          <w:b/>
          <w:bCs/>
          <w:sz w:val="30"/>
          <w:szCs w:val="30"/>
        </w:rPr>
        <w:t>商务条款偏离表</w:t>
      </w:r>
    </w:p>
    <w:p>
      <w:pPr>
        <w:pageBreakBefore w:val="0"/>
        <w:wordWrap/>
        <w:autoSpaceDE w:val="0"/>
        <w:autoSpaceDN w:val="0"/>
        <w:bidi w:val="0"/>
        <w:adjustRightInd w:val="0"/>
        <w:spacing w:before="50" w:line="400" w:lineRule="exact"/>
        <w:ind w:firstLine="480" w:firstLineChars="200"/>
        <w:textAlignment w:val="baseline"/>
        <w:rPr>
          <w:rFonts w:hint="eastAsia" w:ascii="宋体" w:hAnsi="宋体" w:eastAsia="宋体" w:cs="宋体"/>
          <w:sz w:val="24"/>
        </w:rPr>
      </w:pPr>
    </w:p>
    <w:tbl>
      <w:tblPr>
        <w:tblStyle w:val="36"/>
        <w:tblW w:w="9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2565"/>
        <w:gridCol w:w="2160"/>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vAlign w:val="center"/>
          </w:tcPr>
          <w:p>
            <w:pPr>
              <w:pageBreakBefore w:val="0"/>
              <w:wordWrap/>
              <w:autoSpaceDE w:val="0"/>
              <w:autoSpaceDN w:val="0"/>
              <w:bidi w:val="0"/>
              <w:adjustRightInd w:val="0"/>
              <w:spacing w:before="50" w:line="400" w:lineRule="exact"/>
              <w:jc w:val="center"/>
              <w:textAlignment w:val="baseline"/>
              <w:rPr>
                <w:rFonts w:hint="eastAsia" w:ascii="宋体" w:hAnsi="宋体" w:eastAsia="宋体" w:cs="宋体"/>
                <w:sz w:val="24"/>
              </w:rPr>
            </w:pPr>
            <w:r>
              <w:rPr>
                <w:rFonts w:hint="eastAsia" w:ascii="宋体" w:hAnsi="宋体" w:eastAsia="宋体" w:cs="宋体"/>
                <w:sz w:val="24"/>
              </w:rPr>
              <w:t>序号</w:t>
            </w:r>
          </w:p>
        </w:tc>
        <w:tc>
          <w:tcPr>
            <w:tcW w:w="2565" w:type="dxa"/>
            <w:vAlign w:val="center"/>
          </w:tcPr>
          <w:p>
            <w:pPr>
              <w:pageBreakBefore w:val="0"/>
              <w:wordWrap/>
              <w:autoSpaceDE w:val="0"/>
              <w:autoSpaceDN w:val="0"/>
              <w:bidi w:val="0"/>
              <w:adjustRightInd w:val="0"/>
              <w:spacing w:before="50" w:line="400" w:lineRule="exact"/>
              <w:jc w:val="center"/>
              <w:textAlignment w:val="baseline"/>
              <w:rPr>
                <w:rFonts w:hint="eastAsia" w:ascii="宋体" w:hAnsi="宋体" w:eastAsia="宋体" w:cs="宋体"/>
                <w:sz w:val="24"/>
              </w:rPr>
            </w:pPr>
            <w:r>
              <w:rPr>
                <w:rFonts w:hint="eastAsia" w:ascii="宋体" w:hAnsi="宋体" w:eastAsia="宋体" w:cs="宋体"/>
                <w:sz w:val="24"/>
              </w:rPr>
              <w:t>竞争性磋商采购文件</w:t>
            </w:r>
          </w:p>
          <w:p>
            <w:pPr>
              <w:pageBreakBefore w:val="0"/>
              <w:wordWrap/>
              <w:autoSpaceDE w:val="0"/>
              <w:autoSpaceDN w:val="0"/>
              <w:bidi w:val="0"/>
              <w:adjustRightInd w:val="0"/>
              <w:spacing w:before="50" w:line="400" w:lineRule="exact"/>
              <w:jc w:val="center"/>
              <w:textAlignment w:val="baseline"/>
              <w:rPr>
                <w:rFonts w:hint="eastAsia" w:ascii="宋体" w:hAnsi="宋体" w:eastAsia="宋体" w:cs="宋体"/>
                <w:sz w:val="24"/>
              </w:rPr>
            </w:pPr>
            <w:r>
              <w:rPr>
                <w:rFonts w:hint="eastAsia" w:ascii="宋体" w:hAnsi="宋体" w:eastAsia="宋体" w:cs="宋体"/>
                <w:sz w:val="24"/>
              </w:rPr>
              <w:t>商务条款</w:t>
            </w:r>
          </w:p>
        </w:tc>
        <w:tc>
          <w:tcPr>
            <w:tcW w:w="2160" w:type="dxa"/>
            <w:vAlign w:val="center"/>
          </w:tcPr>
          <w:p>
            <w:pPr>
              <w:pageBreakBefore w:val="0"/>
              <w:wordWrap/>
              <w:autoSpaceDE w:val="0"/>
              <w:autoSpaceDN w:val="0"/>
              <w:bidi w:val="0"/>
              <w:adjustRightInd w:val="0"/>
              <w:spacing w:before="50" w:line="400" w:lineRule="exact"/>
              <w:jc w:val="center"/>
              <w:textAlignment w:val="baseline"/>
              <w:rPr>
                <w:rFonts w:hint="eastAsia" w:ascii="宋体" w:hAnsi="宋体" w:eastAsia="宋体" w:cs="宋体"/>
                <w:sz w:val="24"/>
              </w:rPr>
            </w:pPr>
            <w:r>
              <w:rPr>
                <w:rFonts w:hint="eastAsia" w:ascii="宋体" w:hAnsi="宋体" w:eastAsia="宋体" w:cs="宋体"/>
                <w:sz w:val="24"/>
              </w:rPr>
              <w:t>响应文件</w:t>
            </w:r>
          </w:p>
          <w:p>
            <w:pPr>
              <w:pageBreakBefore w:val="0"/>
              <w:wordWrap/>
              <w:autoSpaceDE w:val="0"/>
              <w:autoSpaceDN w:val="0"/>
              <w:bidi w:val="0"/>
              <w:adjustRightInd w:val="0"/>
              <w:spacing w:before="50" w:line="400" w:lineRule="exact"/>
              <w:jc w:val="center"/>
              <w:textAlignment w:val="baseline"/>
              <w:rPr>
                <w:rFonts w:hint="eastAsia" w:ascii="宋体" w:hAnsi="宋体" w:eastAsia="宋体" w:cs="宋体"/>
                <w:sz w:val="24"/>
              </w:rPr>
            </w:pPr>
            <w:r>
              <w:rPr>
                <w:rFonts w:hint="eastAsia" w:ascii="宋体" w:hAnsi="宋体" w:eastAsia="宋体" w:cs="宋体"/>
                <w:sz w:val="24"/>
              </w:rPr>
              <w:t>商务条款</w:t>
            </w:r>
          </w:p>
        </w:tc>
        <w:tc>
          <w:tcPr>
            <w:tcW w:w="2490" w:type="dxa"/>
            <w:vAlign w:val="center"/>
          </w:tcPr>
          <w:p>
            <w:pPr>
              <w:pageBreakBefore w:val="0"/>
              <w:wordWrap/>
              <w:autoSpaceDE w:val="0"/>
              <w:autoSpaceDN w:val="0"/>
              <w:bidi w:val="0"/>
              <w:adjustRightInd w:val="0"/>
              <w:spacing w:before="50" w:line="400" w:lineRule="exact"/>
              <w:jc w:val="center"/>
              <w:textAlignment w:val="baseline"/>
              <w:rPr>
                <w:rFonts w:hint="eastAsia" w:ascii="宋体" w:hAnsi="宋体" w:eastAsia="宋体" w:cs="宋体"/>
                <w:sz w:val="24"/>
              </w:rPr>
            </w:pPr>
            <w:r>
              <w:rPr>
                <w:rFonts w:hint="eastAsia" w:ascii="宋体" w:hAnsi="宋体" w:eastAsia="宋体" w:cs="宋体"/>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56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160"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490"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56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160"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490"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9"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56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160"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490"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56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160"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490"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56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160"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490"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56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160"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490"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9"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56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160"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490"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56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160"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490"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r>
    </w:tbl>
    <w:p>
      <w:pPr>
        <w:pageBreakBefore w:val="0"/>
        <w:wordWrap/>
        <w:autoSpaceDE w:val="0"/>
        <w:autoSpaceDN w:val="0"/>
        <w:bidi w:val="0"/>
        <w:adjustRightInd w:val="0"/>
        <w:spacing w:before="50" w:line="400" w:lineRule="exact"/>
        <w:ind w:firstLine="480" w:firstLineChars="200"/>
        <w:textAlignment w:val="baseline"/>
        <w:rPr>
          <w:rFonts w:hint="eastAsia" w:ascii="宋体" w:hAnsi="宋体" w:eastAsia="宋体" w:cs="宋体"/>
          <w:sz w:val="24"/>
        </w:rPr>
      </w:pPr>
      <w:r>
        <w:rPr>
          <w:rFonts w:hint="eastAsia" w:ascii="宋体" w:hAnsi="宋体" w:eastAsia="宋体" w:cs="宋体"/>
          <w:sz w:val="24"/>
        </w:rPr>
        <w:t>注：供应商按此表格式列出不影响投标实质性响应的商务偏差，没有说明的其他条款将被认为完全满足竞争性磋商采购文件的规定。</w:t>
      </w:r>
    </w:p>
    <w:p>
      <w:pPr>
        <w:pageBreakBefore w:val="0"/>
        <w:wordWrap/>
        <w:autoSpaceDE w:val="0"/>
        <w:autoSpaceDN w:val="0"/>
        <w:bidi w:val="0"/>
        <w:adjustRightInd w:val="0"/>
        <w:spacing w:before="50" w:line="400" w:lineRule="exact"/>
        <w:ind w:firstLine="480" w:firstLineChars="200"/>
        <w:textAlignment w:val="baseline"/>
        <w:rPr>
          <w:rFonts w:hint="eastAsia" w:ascii="宋体" w:hAnsi="宋体" w:eastAsia="宋体" w:cs="宋体"/>
          <w:sz w:val="24"/>
        </w:rPr>
      </w:pPr>
      <w:r>
        <w:rPr>
          <w:rFonts w:hint="eastAsia" w:ascii="宋体" w:hAnsi="宋体" w:eastAsia="宋体" w:cs="宋体"/>
          <w:sz w:val="24"/>
        </w:rPr>
        <w:t>供应商（盖章）：</w:t>
      </w:r>
    </w:p>
    <w:p>
      <w:pPr>
        <w:pageBreakBefore w:val="0"/>
        <w:wordWrap/>
        <w:autoSpaceDE w:val="0"/>
        <w:autoSpaceDN w:val="0"/>
        <w:bidi w:val="0"/>
        <w:adjustRightInd w:val="0"/>
        <w:spacing w:before="50" w:line="400" w:lineRule="exact"/>
        <w:ind w:firstLine="480" w:firstLineChars="200"/>
        <w:textAlignment w:val="baseline"/>
        <w:rPr>
          <w:rFonts w:hint="eastAsia" w:ascii="宋体" w:hAnsi="宋体" w:eastAsia="宋体" w:cs="宋体"/>
          <w:sz w:val="24"/>
        </w:rPr>
      </w:pPr>
    </w:p>
    <w:p>
      <w:pPr>
        <w:pageBreakBefore w:val="0"/>
        <w:wordWrap/>
        <w:autoSpaceDE w:val="0"/>
        <w:autoSpaceDN w:val="0"/>
        <w:bidi w:val="0"/>
        <w:adjustRightInd w:val="0"/>
        <w:spacing w:before="50" w:line="400" w:lineRule="exact"/>
        <w:ind w:firstLine="480" w:firstLineChars="200"/>
        <w:textAlignment w:val="baseline"/>
        <w:rPr>
          <w:rFonts w:hint="eastAsia" w:ascii="宋体" w:hAnsi="宋体" w:eastAsia="宋体" w:cs="宋体"/>
          <w:sz w:val="24"/>
        </w:rPr>
      </w:pPr>
    </w:p>
    <w:p>
      <w:pPr>
        <w:pageBreakBefore w:val="0"/>
        <w:wordWrap/>
        <w:autoSpaceDE w:val="0"/>
        <w:autoSpaceDN w:val="0"/>
        <w:bidi w:val="0"/>
        <w:adjustRightInd w:val="0"/>
        <w:spacing w:before="50" w:line="400" w:lineRule="exact"/>
        <w:ind w:firstLine="480" w:firstLineChars="200"/>
        <w:textAlignment w:val="baseline"/>
        <w:rPr>
          <w:rFonts w:hint="eastAsia" w:ascii="宋体" w:hAnsi="宋体" w:eastAsia="宋体" w:cs="宋体"/>
          <w:sz w:val="24"/>
        </w:rPr>
      </w:pPr>
      <w:r>
        <w:rPr>
          <w:rFonts w:hint="eastAsia" w:ascii="宋体" w:hAnsi="宋体" w:eastAsia="宋体" w:cs="宋体"/>
          <w:sz w:val="24"/>
        </w:rPr>
        <w:t xml:space="preserve">法定代表人或委托代理人签字或盖章： </w:t>
      </w:r>
    </w:p>
    <w:p>
      <w:pPr>
        <w:pageBreakBefore w:val="0"/>
        <w:wordWrap/>
        <w:autoSpaceDE w:val="0"/>
        <w:autoSpaceDN w:val="0"/>
        <w:bidi w:val="0"/>
        <w:adjustRightInd w:val="0"/>
        <w:spacing w:before="50" w:line="400" w:lineRule="exact"/>
        <w:ind w:firstLine="480" w:firstLineChars="200"/>
        <w:textAlignment w:val="baseline"/>
        <w:rPr>
          <w:rFonts w:hint="eastAsia" w:ascii="宋体" w:hAnsi="宋体" w:eastAsia="宋体" w:cs="宋体"/>
          <w:sz w:val="24"/>
        </w:rPr>
      </w:pPr>
    </w:p>
    <w:p>
      <w:pPr>
        <w:pageBreakBefore w:val="0"/>
        <w:wordWrap/>
        <w:autoSpaceDE w:val="0"/>
        <w:autoSpaceDN w:val="0"/>
        <w:bidi w:val="0"/>
        <w:adjustRightInd w:val="0"/>
        <w:spacing w:before="50" w:line="400" w:lineRule="exact"/>
        <w:ind w:firstLine="480" w:firstLineChars="200"/>
        <w:textAlignment w:val="baseline"/>
        <w:rPr>
          <w:rFonts w:hint="eastAsia" w:ascii="宋体" w:hAnsi="宋体" w:eastAsia="宋体" w:cs="宋体"/>
          <w:sz w:val="24"/>
        </w:rPr>
      </w:pPr>
    </w:p>
    <w:p>
      <w:pPr>
        <w:pageBreakBefore w:val="0"/>
        <w:wordWrap/>
        <w:autoSpaceDE w:val="0"/>
        <w:autoSpaceDN w:val="0"/>
        <w:bidi w:val="0"/>
        <w:adjustRightInd w:val="0"/>
        <w:spacing w:before="50" w:line="400" w:lineRule="exact"/>
        <w:ind w:firstLine="480" w:firstLineChars="200"/>
        <w:textAlignment w:val="baseline"/>
        <w:rPr>
          <w:rFonts w:hint="eastAsia" w:ascii="宋体" w:hAnsi="宋体" w:eastAsia="宋体" w:cs="宋体"/>
          <w:sz w:val="24"/>
        </w:rPr>
      </w:pPr>
      <w:r>
        <w:rPr>
          <w:rFonts w:hint="eastAsia" w:ascii="宋体" w:hAnsi="宋体" w:eastAsia="宋体" w:cs="宋体"/>
          <w:sz w:val="24"/>
        </w:rPr>
        <w:t xml:space="preserve"> 年  月  日</w:t>
      </w:r>
    </w:p>
    <w:p>
      <w:pPr>
        <w:pageBreakBefore w:val="0"/>
        <w:wordWrap/>
        <w:bidi w:val="0"/>
        <w:spacing w:line="400" w:lineRule="exact"/>
        <w:rPr>
          <w:rFonts w:hint="eastAsia" w:ascii="宋体" w:hAnsi="宋体" w:eastAsia="宋体" w:cs="宋体"/>
          <w:b/>
          <w:bCs/>
          <w:sz w:val="30"/>
          <w:szCs w:val="30"/>
        </w:rPr>
      </w:pPr>
      <w:r>
        <w:rPr>
          <w:rFonts w:hint="eastAsia" w:ascii="宋体" w:hAnsi="宋体" w:eastAsia="宋体" w:cs="宋体"/>
          <w:b/>
          <w:bCs/>
          <w:sz w:val="30"/>
          <w:szCs w:val="30"/>
        </w:rPr>
        <w:br w:type="page"/>
      </w:r>
    </w:p>
    <w:p>
      <w:pPr>
        <w:pStyle w:val="5"/>
        <w:keepLines w:val="0"/>
        <w:pageBreakBefore w:val="0"/>
        <w:numPr>
          <w:ilvl w:val="0"/>
          <w:numId w:val="0"/>
        </w:numPr>
        <w:wordWrap/>
        <w:bidi w:val="0"/>
        <w:adjustRightInd/>
        <w:spacing w:before="0" w:line="400" w:lineRule="exact"/>
        <w:jc w:val="both"/>
        <w:textAlignment w:val="auto"/>
        <w:rPr>
          <w:rFonts w:hint="eastAsia" w:ascii="宋体" w:hAnsi="宋体" w:eastAsia="宋体" w:cs="宋体"/>
          <w:spacing w:val="4"/>
          <w:sz w:val="28"/>
          <w:szCs w:val="28"/>
          <w:lang w:eastAsia="zh-CN"/>
        </w:rPr>
      </w:pPr>
      <w:r>
        <w:rPr>
          <w:rFonts w:hint="eastAsia" w:ascii="宋体" w:hAnsi="宋体" w:eastAsia="宋体" w:cs="宋体"/>
          <w:spacing w:val="4"/>
          <w:sz w:val="28"/>
          <w:szCs w:val="28"/>
        </w:rPr>
        <w:t>附件</w:t>
      </w:r>
      <w:r>
        <w:rPr>
          <w:rFonts w:hint="eastAsia" w:ascii="宋体" w:hAnsi="宋体" w:eastAsia="宋体" w:cs="宋体"/>
          <w:spacing w:val="4"/>
          <w:sz w:val="28"/>
          <w:szCs w:val="28"/>
          <w:lang w:eastAsia="zh-CN"/>
        </w:rPr>
        <w:t>九</w:t>
      </w:r>
    </w:p>
    <w:p>
      <w:pPr>
        <w:pageBreakBefore w:val="0"/>
        <w:tabs>
          <w:tab w:val="left" w:pos="3300"/>
          <w:tab w:val="center" w:pos="4851"/>
        </w:tabs>
        <w:wordWrap/>
        <w:autoSpaceDE w:val="0"/>
        <w:autoSpaceDN w:val="0"/>
        <w:bidi w:val="0"/>
        <w:adjustRightInd w:val="0"/>
        <w:spacing w:before="50" w:line="400" w:lineRule="exact"/>
        <w:ind w:firstLine="3012" w:firstLineChars="1000"/>
        <w:textAlignment w:val="baseline"/>
        <w:rPr>
          <w:rFonts w:hint="eastAsia" w:ascii="宋体" w:hAnsi="宋体" w:eastAsia="宋体" w:cs="宋体"/>
          <w:b/>
          <w:bCs/>
          <w:sz w:val="30"/>
          <w:szCs w:val="30"/>
        </w:rPr>
      </w:pPr>
    </w:p>
    <w:p>
      <w:pPr>
        <w:pageBreakBefore w:val="0"/>
        <w:tabs>
          <w:tab w:val="left" w:pos="3300"/>
          <w:tab w:val="center" w:pos="4851"/>
        </w:tabs>
        <w:wordWrap/>
        <w:autoSpaceDE w:val="0"/>
        <w:autoSpaceDN w:val="0"/>
        <w:bidi w:val="0"/>
        <w:adjustRightInd w:val="0"/>
        <w:spacing w:before="50" w:line="400" w:lineRule="exact"/>
        <w:ind w:firstLine="3012" w:firstLineChars="1000"/>
        <w:textAlignment w:val="baseline"/>
        <w:rPr>
          <w:rFonts w:hint="eastAsia" w:ascii="宋体" w:hAnsi="宋体" w:eastAsia="宋体" w:cs="宋体"/>
          <w:b/>
          <w:bCs/>
          <w:sz w:val="30"/>
          <w:szCs w:val="30"/>
        </w:rPr>
      </w:pPr>
      <w:r>
        <w:rPr>
          <w:rFonts w:hint="eastAsia" w:ascii="宋体" w:hAnsi="宋体" w:eastAsia="宋体" w:cs="宋体"/>
          <w:b/>
          <w:bCs/>
          <w:sz w:val="30"/>
          <w:szCs w:val="30"/>
        </w:rPr>
        <w:t>技术条款响应偏离表</w:t>
      </w:r>
    </w:p>
    <w:p>
      <w:pPr>
        <w:pStyle w:val="2"/>
        <w:rPr>
          <w:rFonts w:hint="eastAsia"/>
        </w:rPr>
      </w:pPr>
    </w:p>
    <w:tbl>
      <w:tblPr>
        <w:tblStyle w:val="36"/>
        <w:tblW w:w="9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2961"/>
        <w:gridCol w:w="2085"/>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Align w:val="center"/>
          </w:tcPr>
          <w:p>
            <w:pPr>
              <w:pageBreakBefore w:val="0"/>
              <w:wordWrap/>
              <w:autoSpaceDE w:val="0"/>
              <w:autoSpaceDN w:val="0"/>
              <w:bidi w:val="0"/>
              <w:adjustRightInd w:val="0"/>
              <w:spacing w:before="50" w:line="400" w:lineRule="exact"/>
              <w:jc w:val="center"/>
              <w:textAlignment w:val="baseline"/>
              <w:rPr>
                <w:rFonts w:hint="eastAsia" w:ascii="宋体" w:hAnsi="宋体" w:eastAsia="宋体" w:cs="宋体"/>
                <w:sz w:val="24"/>
              </w:rPr>
            </w:pPr>
            <w:r>
              <w:rPr>
                <w:rFonts w:hint="eastAsia" w:ascii="宋体" w:hAnsi="宋体" w:eastAsia="宋体" w:cs="宋体"/>
                <w:sz w:val="24"/>
              </w:rPr>
              <w:t>序号</w:t>
            </w:r>
          </w:p>
        </w:tc>
        <w:tc>
          <w:tcPr>
            <w:tcW w:w="2961" w:type="dxa"/>
            <w:vAlign w:val="center"/>
          </w:tcPr>
          <w:p>
            <w:pPr>
              <w:pageBreakBefore w:val="0"/>
              <w:wordWrap/>
              <w:autoSpaceDE w:val="0"/>
              <w:autoSpaceDN w:val="0"/>
              <w:bidi w:val="0"/>
              <w:adjustRightInd w:val="0"/>
              <w:spacing w:before="50" w:line="400" w:lineRule="exact"/>
              <w:jc w:val="center"/>
              <w:textAlignment w:val="baseline"/>
              <w:rPr>
                <w:rFonts w:hint="eastAsia" w:ascii="宋体" w:hAnsi="宋体" w:eastAsia="宋体" w:cs="宋体"/>
                <w:sz w:val="24"/>
              </w:rPr>
            </w:pPr>
            <w:r>
              <w:rPr>
                <w:rFonts w:hint="eastAsia" w:ascii="宋体" w:hAnsi="宋体" w:eastAsia="宋体" w:cs="宋体"/>
                <w:sz w:val="24"/>
              </w:rPr>
              <w:t>竞争性磋商采购文件</w:t>
            </w:r>
          </w:p>
          <w:p>
            <w:pPr>
              <w:pageBreakBefore w:val="0"/>
              <w:wordWrap/>
              <w:autoSpaceDE w:val="0"/>
              <w:autoSpaceDN w:val="0"/>
              <w:bidi w:val="0"/>
              <w:adjustRightInd w:val="0"/>
              <w:spacing w:before="50" w:line="400" w:lineRule="exact"/>
              <w:jc w:val="center"/>
              <w:textAlignment w:val="baseline"/>
              <w:rPr>
                <w:rFonts w:hint="eastAsia" w:ascii="宋体" w:hAnsi="宋体" w:eastAsia="宋体" w:cs="宋体"/>
                <w:sz w:val="24"/>
              </w:rPr>
            </w:pPr>
            <w:r>
              <w:rPr>
                <w:rFonts w:hint="eastAsia" w:ascii="宋体" w:hAnsi="宋体" w:eastAsia="宋体" w:cs="宋体"/>
                <w:sz w:val="24"/>
              </w:rPr>
              <w:t>技术条款</w:t>
            </w:r>
          </w:p>
        </w:tc>
        <w:tc>
          <w:tcPr>
            <w:tcW w:w="2085" w:type="dxa"/>
            <w:vAlign w:val="center"/>
          </w:tcPr>
          <w:p>
            <w:pPr>
              <w:pageBreakBefore w:val="0"/>
              <w:wordWrap/>
              <w:autoSpaceDE w:val="0"/>
              <w:autoSpaceDN w:val="0"/>
              <w:bidi w:val="0"/>
              <w:adjustRightInd w:val="0"/>
              <w:spacing w:before="50" w:line="400" w:lineRule="exact"/>
              <w:jc w:val="center"/>
              <w:textAlignment w:val="baseline"/>
              <w:rPr>
                <w:rFonts w:hint="eastAsia" w:ascii="宋体" w:hAnsi="宋体" w:eastAsia="宋体" w:cs="宋体"/>
                <w:sz w:val="24"/>
              </w:rPr>
            </w:pPr>
            <w:r>
              <w:rPr>
                <w:rFonts w:hint="eastAsia" w:ascii="宋体" w:hAnsi="宋体" w:eastAsia="宋体" w:cs="宋体"/>
                <w:sz w:val="24"/>
              </w:rPr>
              <w:t>响应文件</w:t>
            </w:r>
          </w:p>
          <w:p>
            <w:pPr>
              <w:pageBreakBefore w:val="0"/>
              <w:wordWrap/>
              <w:autoSpaceDE w:val="0"/>
              <w:autoSpaceDN w:val="0"/>
              <w:bidi w:val="0"/>
              <w:adjustRightInd w:val="0"/>
              <w:spacing w:before="50" w:line="400" w:lineRule="exact"/>
              <w:jc w:val="center"/>
              <w:textAlignment w:val="baseline"/>
              <w:rPr>
                <w:rFonts w:hint="eastAsia" w:ascii="宋体" w:hAnsi="宋体" w:eastAsia="宋体" w:cs="宋体"/>
                <w:sz w:val="24"/>
              </w:rPr>
            </w:pPr>
            <w:r>
              <w:rPr>
                <w:rFonts w:hint="eastAsia" w:ascii="宋体" w:hAnsi="宋体" w:eastAsia="宋体" w:cs="宋体"/>
                <w:sz w:val="24"/>
              </w:rPr>
              <w:t>技术条款</w:t>
            </w:r>
          </w:p>
        </w:tc>
        <w:tc>
          <w:tcPr>
            <w:tcW w:w="2445" w:type="dxa"/>
            <w:vAlign w:val="center"/>
          </w:tcPr>
          <w:p>
            <w:pPr>
              <w:pageBreakBefore w:val="0"/>
              <w:wordWrap/>
              <w:autoSpaceDE w:val="0"/>
              <w:autoSpaceDN w:val="0"/>
              <w:bidi w:val="0"/>
              <w:adjustRightInd w:val="0"/>
              <w:spacing w:before="50" w:line="400" w:lineRule="exact"/>
              <w:jc w:val="center"/>
              <w:textAlignment w:val="baseline"/>
              <w:rPr>
                <w:rFonts w:hint="eastAsia" w:ascii="宋体" w:hAnsi="宋体" w:eastAsia="宋体" w:cs="宋体"/>
                <w:sz w:val="24"/>
              </w:rPr>
            </w:pPr>
            <w:r>
              <w:rPr>
                <w:rFonts w:hint="eastAsia" w:ascii="宋体" w:hAnsi="宋体" w:eastAsia="宋体" w:cs="宋体"/>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961"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08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44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961"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08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44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3"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961"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08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44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961"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08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44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961"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08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44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961"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08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44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3"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961"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08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c>
          <w:tcPr>
            <w:tcW w:w="2445" w:type="dxa"/>
          </w:tcPr>
          <w:p>
            <w:pPr>
              <w:pageBreakBefore w:val="0"/>
              <w:wordWrap/>
              <w:autoSpaceDE w:val="0"/>
              <w:autoSpaceDN w:val="0"/>
              <w:bidi w:val="0"/>
              <w:adjustRightInd w:val="0"/>
              <w:spacing w:before="50" w:line="400" w:lineRule="exact"/>
              <w:jc w:val="left"/>
              <w:textAlignment w:val="baseline"/>
              <w:rPr>
                <w:rFonts w:hint="eastAsia" w:ascii="宋体" w:hAnsi="宋体" w:eastAsia="宋体" w:cs="宋体"/>
                <w:sz w:val="24"/>
              </w:rPr>
            </w:pPr>
          </w:p>
        </w:tc>
      </w:tr>
    </w:tbl>
    <w:p>
      <w:pPr>
        <w:keepNext w:val="0"/>
        <w:keepLines w:val="0"/>
        <w:pageBreakBefore w:val="0"/>
        <w:widowControl w:val="0"/>
        <w:kinsoku/>
        <w:wordWrap/>
        <w:overflowPunct/>
        <w:topLinePunct w:val="0"/>
        <w:autoSpaceDE w:val="0"/>
        <w:autoSpaceDN w:val="0"/>
        <w:bidi w:val="0"/>
        <w:adjustRightInd w:val="0"/>
        <w:snapToGrid/>
        <w:spacing w:before="50" w:line="500" w:lineRule="exact"/>
        <w:ind w:firstLine="480" w:firstLineChars="200"/>
        <w:textAlignment w:val="baseline"/>
        <w:rPr>
          <w:rFonts w:hint="eastAsia" w:ascii="宋体" w:hAnsi="宋体" w:eastAsia="宋体" w:cs="宋体"/>
          <w:sz w:val="24"/>
        </w:rPr>
      </w:pPr>
      <w:r>
        <w:rPr>
          <w:rFonts w:hint="eastAsia" w:ascii="宋体" w:hAnsi="宋体" w:eastAsia="宋体" w:cs="宋体"/>
          <w:sz w:val="24"/>
        </w:rPr>
        <w:t>注：1、供应商应对照技术条款要求，对竞争性磋商采购文件的技术要求做出实质性的响应，并申明与技术条款要求的偏差和例外。特别对有具体技术要求的指标，供应商必须提供所投标项目的具体参数值。</w:t>
      </w:r>
    </w:p>
    <w:p>
      <w:pPr>
        <w:keepNext w:val="0"/>
        <w:keepLines w:val="0"/>
        <w:pageBreakBefore w:val="0"/>
        <w:widowControl w:val="0"/>
        <w:kinsoku/>
        <w:wordWrap/>
        <w:overflowPunct/>
        <w:topLinePunct w:val="0"/>
        <w:autoSpaceDE w:val="0"/>
        <w:autoSpaceDN w:val="0"/>
        <w:bidi w:val="0"/>
        <w:adjustRightInd w:val="0"/>
        <w:snapToGrid/>
        <w:spacing w:before="50" w:line="500" w:lineRule="exact"/>
        <w:ind w:firstLine="480" w:firstLineChars="200"/>
        <w:textAlignment w:val="baseline"/>
        <w:rPr>
          <w:rFonts w:hint="eastAsia" w:ascii="宋体" w:hAnsi="宋体" w:eastAsia="宋体" w:cs="宋体"/>
          <w:color w:val="FF0000"/>
          <w:sz w:val="24"/>
        </w:rPr>
      </w:pPr>
      <w:r>
        <w:rPr>
          <w:rFonts w:hint="eastAsia" w:ascii="宋体" w:hAnsi="宋体" w:eastAsia="宋体" w:cs="宋体"/>
          <w:sz w:val="24"/>
        </w:rPr>
        <w:t>2、供应商所提供项目和服务已对竞争性磋商采购文件要求的招标项目规模、技术要求和服务条件的偏离只能优于竞争性磋商采购文件，否则评标委员会有权按竞争性磋商采购文件中相应规定作否决投标处理。</w:t>
      </w:r>
    </w:p>
    <w:p>
      <w:pPr>
        <w:keepNext w:val="0"/>
        <w:keepLines w:val="0"/>
        <w:pageBreakBefore w:val="0"/>
        <w:widowControl w:val="0"/>
        <w:kinsoku/>
        <w:wordWrap/>
        <w:overflowPunct/>
        <w:topLinePunct w:val="0"/>
        <w:autoSpaceDE w:val="0"/>
        <w:autoSpaceDN w:val="0"/>
        <w:bidi w:val="0"/>
        <w:adjustRightInd w:val="0"/>
        <w:snapToGrid/>
        <w:spacing w:before="50" w:line="500" w:lineRule="exact"/>
        <w:ind w:firstLine="480" w:firstLineChars="200"/>
        <w:textAlignment w:val="baseline"/>
        <w:rPr>
          <w:rFonts w:hint="eastAsia" w:ascii="宋体" w:hAnsi="宋体" w:eastAsia="宋体" w:cs="宋体"/>
          <w:sz w:val="24"/>
        </w:rPr>
      </w:pPr>
      <w:r>
        <w:rPr>
          <w:rFonts w:hint="eastAsia" w:ascii="宋体" w:hAnsi="宋体" w:eastAsia="宋体" w:cs="宋体"/>
          <w:sz w:val="24"/>
        </w:rPr>
        <w:t>3、没有说明的其他条款将被认为完全满足本招标项目技术条款要求。</w:t>
      </w:r>
    </w:p>
    <w:p>
      <w:pPr>
        <w:keepNext w:val="0"/>
        <w:keepLines w:val="0"/>
        <w:pageBreakBefore w:val="0"/>
        <w:widowControl w:val="0"/>
        <w:kinsoku/>
        <w:wordWrap/>
        <w:overflowPunct/>
        <w:topLinePunct w:val="0"/>
        <w:autoSpaceDE w:val="0"/>
        <w:autoSpaceDN w:val="0"/>
        <w:bidi w:val="0"/>
        <w:adjustRightInd w:val="0"/>
        <w:snapToGrid/>
        <w:spacing w:before="50" w:line="500" w:lineRule="exact"/>
        <w:ind w:firstLine="480" w:firstLineChars="200"/>
        <w:textAlignment w:val="baseline"/>
        <w:rPr>
          <w:rFonts w:hint="eastAsia" w:ascii="宋体" w:hAnsi="宋体" w:eastAsia="宋体" w:cs="宋体"/>
          <w:sz w:val="24"/>
        </w:rPr>
      </w:pPr>
      <w:r>
        <w:rPr>
          <w:rFonts w:hint="eastAsia" w:ascii="宋体" w:hAnsi="宋体" w:eastAsia="宋体" w:cs="宋体"/>
          <w:sz w:val="24"/>
        </w:rPr>
        <w:t>4、各供应商按此表格式自行填写，表格不够时可自行添加。</w:t>
      </w:r>
    </w:p>
    <w:p>
      <w:pPr>
        <w:keepNext w:val="0"/>
        <w:keepLines w:val="0"/>
        <w:pageBreakBefore w:val="0"/>
        <w:widowControl w:val="0"/>
        <w:kinsoku/>
        <w:wordWrap/>
        <w:overflowPunct/>
        <w:topLinePunct w:val="0"/>
        <w:autoSpaceDE w:val="0"/>
        <w:autoSpaceDN w:val="0"/>
        <w:bidi w:val="0"/>
        <w:adjustRightInd w:val="0"/>
        <w:snapToGrid/>
        <w:spacing w:before="50" w:line="500" w:lineRule="exact"/>
        <w:ind w:firstLine="480" w:firstLineChars="200"/>
        <w:textAlignment w:val="baseline"/>
        <w:rPr>
          <w:rFonts w:hint="eastAsia" w:ascii="宋体" w:hAnsi="宋体" w:eastAsia="宋体" w:cs="宋体"/>
          <w:sz w:val="24"/>
        </w:rPr>
      </w:pPr>
      <w:r>
        <w:rPr>
          <w:rFonts w:hint="eastAsia" w:ascii="宋体" w:hAnsi="宋体" w:eastAsia="宋体" w:cs="宋体"/>
          <w:sz w:val="24"/>
        </w:rPr>
        <w:t>供应商 （盖章）：</w:t>
      </w:r>
    </w:p>
    <w:p>
      <w:pPr>
        <w:keepNext w:val="0"/>
        <w:keepLines w:val="0"/>
        <w:pageBreakBefore w:val="0"/>
        <w:widowControl w:val="0"/>
        <w:kinsoku/>
        <w:wordWrap/>
        <w:overflowPunct/>
        <w:topLinePunct w:val="0"/>
        <w:bidi w:val="0"/>
        <w:snapToGrid/>
        <w:spacing w:line="500" w:lineRule="exact"/>
        <w:rPr>
          <w:rFonts w:hint="eastAsia" w:ascii="宋体" w:hAnsi="宋体" w:eastAsia="宋体" w:cs="宋体"/>
          <w:spacing w:val="4"/>
          <w:sz w:val="28"/>
          <w:szCs w:val="28"/>
        </w:rPr>
      </w:pPr>
      <w:r>
        <w:rPr>
          <w:rFonts w:hint="eastAsia" w:ascii="宋体" w:hAnsi="宋体" w:eastAsia="宋体" w:cs="宋体"/>
          <w:spacing w:val="4"/>
          <w:sz w:val="28"/>
          <w:szCs w:val="28"/>
        </w:rPr>
        <w:br w:type="page"/>
      </w:r>
    </w:p>
    <w:p>
      <w:pPr>
        <w:pStyle w:val="5"/>
        <w:keepLines w:val="0"/>
        <w:pageBreakBefore w:val="0"/>
        <w:numPr>
          <w:ilvl w:val="0"/>
          <w:numId w:val="0"/>
        </w:numPr>
        <w:wordWrap/>
        <w:bidi w:val="0"/>
        <w:adjustRightInd/>
        <w:spacing w:before="0" w:line="400" w:lineRule="exact"/>
        <w:jc w:val="both"/>
        <w:textAlignment w:val="auto"/>
        <w:rPr>
          <w:rFonts w:hint="eastAsia" w:ascii="宋体" w:hAnsi="宋体" w:eastAsia="宋体" w:cs="宋体"/>
          <w:spacing w:val="4"/>
          <w:sz w:val="28"/>
          <w:szCs w:val="28"/>
        </w:rPr>
      </w:pPr>
      <w:bookmarkStart w:id="328" w:name="_Toc32439"/>
      <w:r>
        <w:rPr>
          <w:rFonts w:hint="eastAsia" w:ascii="宋体" w:hAnsi="宋体" w:eastAsia="宋体" w:cs="宋体"/>
          <w:spacing w:val="4"/>
          <w:sz w:val="28"/>
          <w:szCs w:val="28"/>
        </w:rPr>
        <w:t>附件十</w:t>
      </w:r>
    </w:p>
    <w:p>
      <w:pPr>
        <w:pageBreakBefore w:val="0"/>
        <w:tabs>
          <w:tab w:val="left" w:pos="3300"/>
          <w:tab w:val="center" w:pos="4851"/>
        </w:tabs>
        <w:wordWrap/>
        <w:autoSpaceDE w:val="0"/>
        <w:autoSpaceDN w:val="0"/>
        <w:bidi w:val="0"/>
        <w:adjustRightInd w:val="0"/>
        <w:spacing w:before="50" w:line="400" w:lineRule="exact"/>
        <w:ind w:firstLine="602" w:firstLineChars="200"/>
        <w:jc w:val="center"/>
        <w:textAlignment w:val="baseline"/>
        <w:rPr>
          <w:rFonts w:hint="eastAsia" w:ascii="宋体" w:hAnsi="宋体" w:eastAsia="宋体" w:cs="宋体"/>
          <w:b/>
          <w:bCs/>
          <w:sz w:val="30"/>
          <w:szCs w:val="30"/>
        </w:rPr>
      </w:pPr>
      <w:r>
        <w:rPr>
          <w:rFonts w:hint="eastAsia" w:ascii="宋体" w:hAnsi="宋体" w:eastAsia="宋体" w:cs="宋体"/>
          <w:b/>
          <w:bCs/>
          <w:sz w:val="30"/>
          <w:szCs w:val="30"/>
        </w:rPr>
        <w:t>报价单位（供应商）反商业贿赂承诺书</w:t>
      </w:r>
      <w:bookmarkEnd w:id="328"/>
    </w:p>
    <w:p>
      <w:pPr>
        <w:pageBreakBefore w:val="0"/>
        <w:wordWrap/>
        <w:autoSpaceDE w:val="0"/>
        <w:autoSpaceDN w:val="0"/>
        <w:bidi w:val="0"/>
        <w:adjustRightInd w:val="0"/>
        <w:spacing w:before="50" w:line="400" w:lineRule="exact"/>
        <w:ind w:firstLine="480" w:firstLineChars="200"/>
        <w:textAlignment w:val="baseline"/>
        <w:rPr>
          <w:rFonts w:hint="eastAsia" w:ascii="宋体" w:hAnsi="宋体" w:eastAsia="宋体" w:cs="宋体"/>
          <w:sz w:val="24"/>
        </w:rPr>
      </w:pPr>
    </w:p>
    <w:p>
      <w:pPr>
        <w:keepNext w:val="0"/>
        <w:keepLines w:val="0"/>
        <w:pageBreakBefore w:val="0"/>
        <w:widowControl w:val="0"/>
        <w:kinsoku/>
        <w:wordWrap/>
        <w:overflowPunct/>
        <w:topLinePunct w:val="0"/>
        <w:autoSpaceDE w:val="0"/>
        <w:autoSpaceDN w:val="0"/>
        <w:bidi w:val="0"/>
        <w:adjustRightInd w:val="0"/>
        <w:snapToGrid/>
        <w:spacing w:before="50" w:line="500" w:lineRule="exact"/>
        <w:ind w:firstLine="720" w:firstLineChars="300"/>
        <w:textAlignment w:val="baseline"/>
        <w:rPr>
          <w:rFonts w:hint="eastAsia" w:ascii="宋体" w:hAnsi="宋体" w:eastAsia="宋体" w:cs="宋体"/>
          <w:sz w:val="24"/>
        </w:rPr>
      </w:pPr>
      <w:r>
        <w:rPr>
          <w:rFonts w:hint="eastAsia" w:ascii="宋体" w:hAnsi="宋体" w:eastAsia="宋体" w:cs="宋体"/>
          <w:sz w:val="24"/>
        </w:rPr>
        <w:t>我单位承诺在（项目名称、标段）公开活动中，不给予国家工作人员、招标方、代理机构及其亲属各种形式的商业贿赂（包括送礼金礼品、有价证券、购物券、回扣、佣金、咨询费、劳务费、赞助费、宣传费、支付旅游费用、报销各种消费凭证、宴请、娱乐等），如有上述行为，我单位及项目参与人员愿意按照《政府招标法》、《反不正当竞争法》的有关规定接受处罚。</w:t>
      </w:r>
    </w:p>
    <w:p>
      <w:pPr>
        <w:keepNext w:val="0"/>
        <w:keepLines w:val="0"/>
        <w:pageBreakBefore w:val="0"/>
        <w:widowControl w:val="0"/>
        <w:kinsoku/>
        <w:wordWrap/>
        <w:overflowPunct/>
        <w:topLinePunct w:val="0"/>
        <w:autoSpaceDE w:val="0"/>
        <w:autoSpaceDN w:val="0"/>
        <w:bidi w:val="0"/>
        <w:adjustRightInd w:val="0"/>
        <w:snapToGrid/>
        <w:spacing w:before="50" w:line="500" w:lineRule="exact"/>
        <w:ind w:firstLine="480" w:firstLineChars="200"/>
        <w:textAlignment w:val="baseline"/>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keepNext w:val="0"/>
        <w:keepLines w:val="0"/>
        <w:pageBreakBefore w:val="0"/>
        <w:widowControl w:val="0"/>
        <w:kinsoku/>
        <w:wordWrap/>
        <w:overflowPunct/>
        <w:topLinePunct w:val="0"/>
        <w:autoSpaceDE w:val="0"/>
        <w:autoSpaceDN w:val="0"/>
        <w:bidi w:val="0"/>
        <w:adjustRightInd w:val="0"/>
        <w:snapToGrid/>
        <w:spacing w:before="50" w:line="500" w:lineRule="exact"/>
        <w:ind w:firstLine="480" w:firstLineChars="200"/>
        <w:textAlignment w:val="baseline"/>
        <w:rPr>
          <w:rFonts w:hint="eastAsia" w:ascii="宋体" w:hAnsi="宋体" w:eastAsia="宋体" w:cs="宋体"/>
          <w:sz w:val="24"/>
        </w:rPr>
      </w:pPr>
      <w:r>
        <w:rPr>
          <w:rFonts w:hint="eastAsia" w:ascii="宋体" w:hAnsi="宋体" w:eastAsia="宋体" w:cs="宋体"/>
          <w:sz w:val="24"/>
        </w:rPr>
        <w:t>公司法人代表（或报价人）：（签字盖章）</w:t>
      </w:r>
    </w:p>
    <w:p>
      <w:pPr>
        <w:keepNext w:val="0"/>
        <w:keepLines w:val="0"/>
        <w:pageBreakBefore w:val="0"/>
        <w:widowControl w:val="0"/>
        <w:kinsoku/>
        <w:wordWrap/>
        <w:overflowPunct/>
        <w:topLinePunct w:val="0"/>
        <w:autoSpaceDE w:val="0"/>
        <w:autoSpaceDN w:val="0"/>
        <w:bidi w:val="0"/>
        <w:adjustRightInd w:val="0"/>
        <w:snapToGrid/>
        <w:spacing w:before="50" w:line="500" w:lineRule="exact"/>
        <w:ind w:firstLine="480" w:firstLineChars="200"/>
        <w:textAlignment w:val="baseline"/>
        <w:rPr>
          <w:rFonts w:hint="eastAsia" w:ascii="宋体" w:hAnsi="宋体" w:eastAsia="宋体" w:cs="宋体"/>
          <w:sz w:val="24"/>
        </w:rPr>
      </w:pPr>
      <w:r>
        <w:rPr>
          <w:rFonts w:hint="eastAsia" w:ascii="宋体" w:hAnsi="宋体" w:eastAsia="宋体" w:cs="宋体"/>
          <w:sz w:val="24"/>
        </w:rPr>
        <w:t>授权委托人：</w:t>
      </w:r>
    </w:p>
    <w:p>
      <w:pPr>
        <w:pageBreakBefore w:val="0"/>
        <w:wordWrap/>
        <w:autoSpaceDE w:val="0"/>
        <w:autoSpaceDN w:val="0"/>
        <w:bidi w:val="0"/>
        <w:adjustRightInd w:val="0"/>
        <w:spacing w:before="50" w:line="400" w:lineRule="exact"/>
        <w:ind w:firstLine="480" w:firstLineChars="200"/>
        <w:textAlignment w:val="baseline"/>
        <w:rPr>
          <w:rFonts w:hint="eastAsia" w:ascii="宋体" w:hAnsi="宋体" w:eastAsia="宋体" w:cs="宋体"/>
          <w:sz w:val="24"/>
        </w:rPr>
      </w:pPr>
    </w:p>
    <w:p>
      <w:pPr>
        <w:pageBreakBefore w:val="0"/>
        <w:wordWrap/>
        <w:autoSpaceDE w:val="0"/>
        <w:autoSpaceDN w:val="0"/>
        <w:bidi w:val="0"/>
        <w:adjustRightInd w:val="0"/>
        <w:spacing w:before="50" w:line="400" w:lineRule="exact"/>
        <w:ind w:firstLine="480" w:firstLineChars="200"/>
        <w:textAlignment w:val="baseline"/>
        <w:rPr>
          <w:rFonts w:hint="eastAsia" w:ascii="宋体" w:hAnsi="宋体" w:eastAsia="宋体" w:cs="宋体"/>
          <w:sz w:val="24"/>
        </w:rPr>
      </w:pPr>
    </w:p>
    <w:p>
      <w:pPr>
        <w:pageBreakBefore w:val="0"/>
        <w:wordWrap/>
        <w:autoSpaceDE w:val="0"/>
        <w:autoSpaceDN w:val="0"/>
        <w:bidi w:val="0"/>
        <w:adjustRightInd w:val="0"/>
        <w:spacing w:before="50" w:line="400" w:lineRule="exact"/>
        <w:ind w:firstLine="480" w:firstLineChars="200"/>
        <w:textAlignment w:val="baseline"/>
        <w:rPr>
          <w:rFonts w:hint="eastAsia" w:ascii="宋体" w:hAnsi="宋体" w:eastAsia="宋体" w:cs="宋体"/>
          <w:sz w:val="24"/>
        </w:rPr>
      </w:pPr>
      <w:r>
        <w:rPr>
          <w:rFonts w:hint="eastAsia" w:ascii="宋体" w:hAnsi="宋体" w:eastAsia="宋体" w:cs="宋体"/>
          <w:sz w:val="24"/>
        </w:rPr>
        <w:t xml:space="preserve">                                   日  期：   年   月   日</w:t>
      </w:r>
    </w:p>
    <w:p>
      <w:pPr>
        <w:pageBreakBefore w:val="0"/>
        <w:wordWrap/>
        <w:autoSpaceDE w:val="0"/>
        <w:autoSpaceDN w:val="0"/>
        <w:bidi w:val="0"/>
        <w:adjustRightInd w:val="0"/>
        <w:spacing w:before="50" w:line="400" w:lineRule="exact"/>
        <w:ind w:firstLine="480" w:firstLineChars="200"/>
        <w:textAlignment w:val="baseline"/>
        <w:rPr>
          <w:rFonts w:hint="eastAsia" w:ascii="宋体" w:hAnsi="宋体" w:eastAsia="宋体" w:cs="宋体"/>
          <w:sz w:val="24"/>
        </w:rPr>
      </w:pPr>
    </w:p>
    <w:p>
      <w:pPr>
        <w:pageBreakBefore w:val="0"/>
        <w:wordWrap/>
        <w:bidi w:val="0"/>
        <w:spacing w:line="400" w:lineRule="exact"/>
        <w:rPr>
          <w:rFonts w:hint="eastAsia" w:ascii="宋体" w:hAnsi="宋体" w:eastAsia="宋体" w:cs="宋体"/>
          <w:spacing w:val="4"/>
          <w:sz w:val="28"/>
          <w:szCs w:val="28"/>
        </w:rPr>
      </w:pPr>
      <w:r>
        <w:rPr>
          <w:rFonts w:hint="eastAsia" w:ascii="宋体" w:hAnsi="宋体" w:eastAsia="宋体" w:cs="宋体"/>
          <w:sz w:val="24"/>
        </w:rPr>
        <w:br w:type="page"/>
      </w:r>
    </w:p>
    <w:p>
      <w:pPr>
        <w:pStyle w:val="5"/>
        <w:keepLines w:val="0"/>
        <w:pageBreakBefore w:val="0"/>
        <w:numPr>
          <w:ilvl w:val="0"/>
          <w:numId w:val="0"/>
        </w:numPr>
        <w:wordWrap/>
        <w:bidi w:val="0"/>
        <w:adjustRightInd/>
        <w:spacing w:before="0" w:line="400" w:lineRule="exact"/>
        <w:ind w:left="142"/>
        <w:jc w:val="both"/>
        <w:textAlignment w:val="auto"/>
        <w:rPr>
          <w:rFonts w:hint="eastAsia" w:ascii="宋体" w:hAnsi="宋体" w:eastAsia="宋体" w:cs="宋体"/>
          <w:spacing w:val="4"/>
          <w:sz w:val="28"/>
          <w:szCs w:val="28"/>
          <w:lang w:eastAsia="zh-CN"/>
        </w:rPr>
      </w:pPr>
      <w:r>
        <w:rPr>
          <w:rFonts w:hint="eastAsia" w:ascii="宋体" w:hAnsi="宋体" w:eastAsia="宋体" w:cs="宋体"/>
          <w:spacing w:val="4"/>
          <w:sz w:val="28"/>
          <w:szCs w:val="28"/>
        </w:rPr>
        <w:t>附件十</w:t>
      </w:r>
      <w:r>
        <w:rPr>
          <w:rFonts w:hint="eastAsia" w:ascii="宋体" w:hAnsi="宋体" w:eastAsia="宋体" w:cs="宋体"/>
          <w:spacing w:val="4"/>
          <w:sz w:val="28"/>
          <w:szCs w:val="28"/>
          <w:lang w:eastAsia="zh-CN"/>
        </w:rPr>
        <w:t>一</w:t>
      </w:r>
    </w:p>
    <w:p>
      <w:pPr>
        <w:pStyle w:val="5"/>
        <w:keepLines w:val="0"/>
        <w:pageBreakBefore w:val="0"/>
        <w:numPr>
          <w:ilvl w:val="0"/>
          <w:numId w:val="0"/>
        </w:numPr>
        <w:wordWrap/>
        <w:bidi w:val="0"/>
        <w:adjustRightInd/>
        <w:spacing w:before="0" w:line="400" w:lineRule="exact"/>
        <w:ind w:left="142"/>
        <w:jc w:val="both"/>
        <w:textAlignment w:val="auto"/>
        <w:rPr>
          <w:rFonts w:hint="eastAsia" w:ascii="宋体" w:hAnsi="宋体" w:eastAsia="宋体" w:cs="宋体"/>
          <w:sz w:val="28"/>
          <w:szCs w:val="28"/>
        </w:rPr>
      </w:pPr>
      <w:r>
        <w:rPr>
          <w:rFonts w:hint="eastAsia" w:ascii="宋体" w:hAnsi="宋体" w:eastAsia="宋体" w:cs="宋体"/>
          <w:spacing w:val="4"/>
          <w:sz w:val="28"/>
          <w:szCs w:val="28"/>
        </w:rPr>
        <w:t>磋商文件中所要求的其他内容及报价单位认为适宜的其它资料</w:t>
      </w:r>
      <w:bookmarkEnd w:id="327"/>
    </w:p>
    <w:p>
      <w:pPr>
        <w:pStyle w:val="5"/>
        <w:keepLines w:val="0"/>
        <w:pageBreakBefore w:val="0"/>
        <w:numPr>
          <w:ilvl w:val="0"/>
          <w:numId w:val="0"/>
        </w:numPr>
        <w:wordWrap/>
        <w:bidi w:val="0"/>
        <w:adjustRightInd/>
        <w:spacing w:before="0" w:line="400" w:lineRule="exact"/>
        <w:jc w:val="both"/>
        <w:textAlignment w:val="auto"/>
        <w:rPr>
          <w:rFonts w:hint="eastAsia" w:ascii="宋体" w:hAnsi="宋体" w:eastAsia="宋体" w:cs="宋体"/>
          <w:sz w:val="28"/>
          <w:szCs w:val="28"/>
        </w:rPr>
      </w:pPr>
    </w:p>
    <w:p>
      <w:pPr>
        <w:pStyle w:val="5"/>
        <w:keepLines w:val="0"/>
        <w:pageBreakBefore w:val="0"/>
        <w:numPr>
          <w:ilvl w:val="0"/>
          <w:numId w:val="0"/>
        </w:numPr>
        <w:wordWrap/>
        <w:bidi w:val="0"/>
        <w:adjustRightInd/>
        <w:spacing w:before="0" w:line="400" w:lineRule="exact"/>
        <w:jc w:val="both"/>
        <w:textAlignment w:val="auto"/>
        <w:rPr>
          <w:rFonts w:hint="eastAsia" w:ascii="宋体" w:hAnsi="宋体" w:eastAsia="宋体" w:cs="宋体"/>
          <w:sz w:val="28"/>
          <w:szCs w:val="28"/>
        </w:rPr>
      </w:pPr>
    </w:p>
    <w:p>
      <w:pPr>
        <w:pStyle w:val="5"/>
        <w:keepLines w:val="0"/>
        <w:pageBreakBefore w:val="0"/>
        <w:numPr>
          <w:ilvl w:val="0"/>
          <w:numId w:val="0"/>
        </w:numPr>
        <w:wordWrap/>
        <w:bidi w:val="0"/>
        <w:adjustRightInd/>
        <w:spacing w:before="0" w:line="400" w:lineRule="exact"/>
        <w:jc w:val="both"/>
        <w:textAlignment w:val="auto"/>
        <w:rPr>
          <w:rFonts w:hint="eastAsia" w:ascii="宋体" w:hAnsi="宋体" w:eastAsia="宋体" w:cs="宋体"/>
          <w:sz w:val="28"/>
          <w:szCs w:val="28"/>
        </w:rPr>
      </w:pPr>
    </w:p>
    <w:p>
      <w:pPr>
        <w:pStyle w:val="5"/>
        <w:keepLines w:val="0"/>
        <w:pageBreakBefore w:val="0"/>
        <w:numPr>
          <w:ilvl w:val="0"/>
          <w:numId w:val="0"/>
        </w:numPr>
        <w:wordWrap/>
        <w:bidi w:val="0"/>
        <w:adjustRightInd/>
        <w:spacing w:before="0" w:line="400" w:lineRule="exact"/>
        <w:jc w:val="both"/>
        <w:textAlignment w:val="auto"/>
        <w:rPr>
          <w:rFonts w:hint="eastAsia" w:ascii="宋体" w:hAnsi="宋体" w:eastAsia="宋体" w:cs="宋体"/>
          <w:sz w:val="28"/>
          <w:szCs w:val="28"/>
        </w:rPr>
      </w:pPr>
    </w:p>
    <w:p>
      <w:pPr>
        <w:pStyle w:val="5"/>
        <w:keepLines w:val="0"/>
        <w:pageBreakBefore w:val="0"/>
        <w:numPr>
          <w:ilvl w:val="0"/>
          <w:numId w:val="0"/>
        </w:numPr>
        <w:wordWrap/>
        <w:bidi w:val="0"/>
        <w:adjustRightInd/>
        <w:spacing w:before="0" w:line="400" w:lineRule="exact"/>
        <w:jc w:val="both"/>
        <w:textAlignment w:val="auto"/>
        <w:rPr>
          <w:rFonts w:hint="eastAsia" w:ascii="宋体" w:hAnsi="宋体" w:eastAsia="宋体" w:cs="宋体"/>
          <w:sz w:val="28"/>
          <w:szCs w:val="28"/>
        </w:rPr>
      </w:pPr>
    </w:p>
    <w:p>
      <w:pPr>
        <w:pStyle w:val="5"/>
        <w:keepLines w:val="0"/>
        <w:pageBreakBefore w:val="0"/>
        <w:numPr>
          <w:ilvl w:val="0"/>
          <w:numId w:val="0"/>
        </w:numPr>
        <w:wordWrap/>
        <w:bidi w:val="0"/>
        <w:adjustRightInd/>
        <w:spacing w:before="0" w:line="400" w:lineRule="exact"/>
        <w:jc w:val="both"/>
        <w:textAlignment w:val="auto"/>
        <w:rPr>
          <w:rFonts w:hint="eastAsia" w:ascii="宋体" w:hAnsi="宋体" w:eastAsia="宋体" w:cs="宋体"/>
          <w:sz w:val="28"/>
          <w:szCs w:val="28"/>
        </w:rPr>
      </w:pPr>
    </w:p>
    <w:bookmarkEnd w:id="298"/>
    <w:bookmarkEnd w:id="312"/>
    <w:bookmarkEnd w:id="313"/>
    <w:bookmarkEnd w:id="314"/>
    <w:p>
      <w:pPr>
        <w:pageBreakBefore w:val="0"/>
        <w:wordWrap/>
        <w:bidi w:val="0"/>
        <w:spacing w:line="400" w:lineRule="exact"/>
        <w:ind w:right="640"/>
        <w:rPr>
          <w:rFonts w:hint="eastAsia" w:ascii="宋体" w:hAnsi="宋体" w:eastAsia="宋体" w:cs="宋体"/>
          <w:sz w:val="28"/>
          <w:szCs w:val="28"/>
        </w:rPr>
      </w:pPr>
    </w:p>
    <w:p>
      <w:pPr>
        <w:pStyle w:val="3"/>
        <w:pageBreakBefore w:val="0"/>
        <w:wordWrap/>
        <w:bidi w:val="0"/>
        <w:spacing w:line="400" w:lineRule="exact"/>
        <w:jc w:val="both"/>
        <w:rPr>
          <w:rFonts w:hint="eastAsia" w:ascii="宋体" w:hAnsi="宋体" w:eastAsia="宋体" w:cs="宋体"/>
          <w:sz w:val="28"/>
          <w:szCs w:val="28"/>
        </w:rPr>
      </w:pPr>
    </w:p>
    <w:p>
      <w:pPr>
        <w:pageBreakBefore w:val="0"/>
        <w:wordWrap/>
        <w:bidi w:val="0"/>
        <w:spacing w:line="400" w:lineRule="exact"/>
        <w:rPr>
          <w:rFonts w:hint="eastAsia" w:ascii="宋体" w:hAnsi="宋体" w:eastAsia="宋体" w:cs="宋体"/>
        </w:rPr>
      </w:pPr>
    </w:p>
    <w:sectPr>
      <w:headerReference r:id="rId10" w:type="default"/>
      <w:footerReference r:id="rId11"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Noto Sans Mono CJK JP Regular">
    <w:altName w:val="Times New Roman"/>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7</w:t>
                    </w:r>
                    <w:r>
                      <w:fldChar w:fldCharType="end"/>
                    </w:r>
                  </w:p>
                </w:txbxContent>
              </v:textbox>
            </v:shape>
          </w:pict>
        </mc:Fallback>
      </mc:AlternateContent>
    </w:r>
  </w:p>
  <w:p>
    <w:pPr>
      <w:pStyle w:val="2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135475"/>
    <w:multiLevelType w:val="singleLevel"/>
    <w:tmpl w:val="DC135475"/>
    <w:lvl w:ilvl="0" w:tentative="0">
      <w:start w:val="2"/>
      <w:numFmt w:val="chineseCounting"/>
      <w:suff w:val="space"/>
      <w:lvlText w:val="第%1部分"/>
      <w:lvlJc w:val="left"/>
      <w:rPr>
        <w:rFonts w:hint="eastAsia"/>
      </w:rPr>
    </w:lvl>
  </w:abstractNum>
  <w:abstractNum w:abstractNumId="1">
    <w:nsid w:val="E2ED3C6B"/>
    <w:multiLevelType w:val="singleLevel"/>
    <w:tmpl w:val="E2ED3C6B"/>
    <w:lvl w:ilvl="0" w:tentative="0">
      <w:start w:val="1"/>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9B2460E"/>
    <w:multiLevelType w:val="singleLevel"/>
    <w:tmpl w:val="59B2460E"/>
    <w:lvl w:ilvl="0" w:tentative="0">
      <w:start w:val="2"/>
      <w:numFmt w:val="decimal"/>
      <w:suff w:val="nothing"/>
      <w:lvlText w:val="%1."/>
      <w:lvlJc w:val="left"/>
      <w:pPr>
        <w:tabs>
          <w:tab w:val="left" w:pos="0"/>
        </w:tabs>
        <w:ind w:left="0" w:firstLine="0"/>
      </w:pPr>
    </w:lvl>
  </w:abstractNum>
  <w:abstractNum w:abstractNumId="4">
    <w:nsid w:val="59CF0981"/>
    <w:multiLevelType w:val="singleLevel"/>
    <w:tmpl w:val="59CF0981"/>
    <w:lvl w:ilvl="0" w:tentative="0">
      <w:start w:val="1"/>
      <w:numFmt w:val="decimal"/>
      <w:suff w:val="nothing"/>
      <w:lvlText w:val="%1、"/>
      <w:lvlJc w:val="left"/>
      <w:pPr>
        <w:tabs>
          <w:tab w:val="left" w:pos="0"/>
        </w:tabs>
        <w:ind w:left="0" w:firstLine="0"/>
      </w:pPr>
    </w:lvl>
  </w:abstractNum>
  <w:abstractNum w:abstractNumId="5">
    <w:nsid w:val="656D6133"/>
    <w:multiLevelType w:val="multilevel"/>
    <w:tmpl w:val="656D6133"/>
    <w:lvl w:ilvl="0" w:tentative="0">
      <w:start w:val="1"/>
      <w:numFmt w:val="chineseCountingThousand"/>
      <w:pStyle w:val="72"/>
      <w:suff w:val="nothing"/>
      <w:lvlText w:val="第%1部分"/>
      <w:lvlJc w:val="center"/>
      <w:pPr>
        <w:ind w:left="0" w:firstLine="288"/>
      </w:pPr>
      <w:rPr>
        <w:rFonts w:hint="eastAsia"/>
        <w:sz w:val="28"/>
        <w:szCs w:val="28"/>
      </w:rPr>
    </w:lvl>
    <w:lvl w:ilvl="1" w:tentative="0">
      <w:start w:val="1"/>
      <w:numFmt w:val="chineseCountingThousand"/>
      <w:pStyle w:val="4"/>
      <w:suff w:val="nothing"/>
      <w:lvlText w:val="%2、"/>
      <w:lvlJc w:val="left"/>
      <w:pPr>
        <w:ind w:left="240" w:firstLine="0"/>
      </w:pPr>
      <w:rPr>
        <w:rFonts w:hint="eastAsia" w:ascii="宋体" w:hAnsi="宋体" w:eastAsia="宋体"/>
        <w:sz w:val="24"/>
        <w:szCs w:val="24"/>
        <w:lang w:val="en-US"/>
      </w:rPr>
    </w:lvl>
    <w:lvl w:ilvl="2" w:tentative="0">
      <w:start w:val="1"/>
      <w:numFmt w:val="chineseCountingThousand"/>
      <w:pStyle w:val="5"/>
      <w:suff w:val="nothing"/>
      <w:lvlText w:val="(%3)"/>
      <w:lvlJc w:val="left"/>
      <w:pPr>
        <w:ind w:left="142" w:firstLine="0"/>
      </w:pPr>
      <w:rPr>
        <w:rFonts w:hint="default" w:ascii="Times New Roman" w:hAnsi="Times New Roman" w:eastAsia="宋体"/>
        <w:b/>
        <w:i w:val="0"/>
        <w:spacing w:val="0"/>
        <w:w w:val="100"/>
        <w:position w:val="0"/>
        <w:sz w:val="21"/>
        <w:szCs w:val="21"/>
      </w:rPr>
    </w:lvl>
    <w:lvl w:ilvl="3" w:tentative="0">
      <w:start w:val="1"/>
      <w:numFmt w:val="decimal"/>
      <w:pStyle w:val="6"/>
      <w:suff w:val="nothing"/>
      <w:lvlText w:val="%4、"/>
      <w:lvlJc w:val="left"/>
      <w:pPr>
        <w:ind w:left="0" w:firstLine="0"/>
      </w:pPr>
      <w:rPr>
        <w:rFonts w:hint="eastAsia"/>
      </w:rPr>
    </w:lvl>
    <w:lvl w:ilvl="4" w:tentative="0">
      <w:start w:val="1"/>
      <w:numFmt w:val="upperLetter"/>
      <w:pStyle w:val="7"/>
      <w:suff w:val="nothing"/>
      <w:lvlText w:val="%5、"/>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125"/>
    <w:rsid w:val="00000190"/>
    <w:rsid w:val="00000957"/>
    <w:rsid w:val="00000BEF"/>
    <w:rsid w:val="00000ED2"/>
    <w:rsid w:val="000010F1"/>
    <w:rsid w:val="0000114B"/>
    <w:rsid w:val="00001698"/>
    <w:rsid w:val="0000190B"/>
    <w:rsid w:val="00002342"/>
    <w:rsid w:val="000025A4"/>
    <w:rsid w:val="000026A6"/>
    <w:rsid w:val="00002AA1"/>
    <w:rsid w:val="00002FB0"/>
    <w:rsid w:val="00003089"/>
    <w:rsid w:val="00003815"/>
    <w:rsid w:val="00003816"/>
    <w:rsid w:val="00003BA8"/>
    <w:rsid w:val="00003F79"/>
    <w:rsid w:val="00004331"/>
    <w:rsid w:val="00004665"/>
    <w:rsid w:val="0000515F"/>
    <w:rsid w:val="0000563C"/>
    <w:rsid w:val="00005836"/>
    <w:rsid w:val="00005908"/>
    <w:rsid w:val="00005B0D"/>
    <w:rsid w:val="00005B26"/>
    <w:rsid w:val="0000656F"/>
    <w:rsid w:val="00006A6F"/>
    <w:rsid w:val="00006E41"/>
    <w:rsid w:val="00006E7E"/>
    <w:rsid w:val="000076B3"/>
    <w:rsid w:val="000100D9"/>
    <w:rsid w:val="00010411"/>
    <w:rsid w:val="00010A45"/>
    <w:rsid w:val="00010DA8"/>
    <w:rsid w:val="0001266D"/>
    <w:rsid w:val="00012ECB"/>
    <w:rsid w:val="00013287"/>
    <w:rsid w:val="00013304"/>
    <w:rsid w:val="000138A8"/>
    <w:rsid w:val="00013B4A"/>
    <w:rsid w:val="00014DC2"/>
    <w:rsid w:val="000152A0"/>
    <w:rsid w:val="00015A83"/>
    <w:rsid w:val="00015A8B"/>
    <w:rsid w:val="00015C59"/>
    <w:rsid w:val="00015CFC"/>
    <w:rsid w:val="00015EB0"/>
    <w:rsid w:val="00015FBF"/>
    <w:rsid w:val="000162AD"/>
    <w:rsid w:val="000169FA"/>
    <w:rsid w:val="0001715A"/>
    <w:rsid w:val="000174EB"/>
    <w:rsid w:val="00017B46"/>
    <w:rsid w:val="00017C4B"/>
    <w:rsid w:val="00017E59"/>
    <w:rsid w:val="00017FD7"/>
    <w:rsid w:val="0002146D"/>
    <w:rsid w:val="00021481"/>
    <w:rsid w:val="000214E0"/>
    <w:rsid w:val="00021C6E"/>
    <w:rsid w:val="00021DD5"/>
    <w:rsid w:val="00021DDD"/>
    <w:rsid w:val="00021F3C"/>
    <w:rsid w:val="00022406"/>
    <w:rsid w:val="00022B2F"/>
    <w:rsid w:val="00023204"/>
    <w:rsid w:val="000233FE"/>
    <w:rsid w:val="00024048"/>
    <w:rsid w:val="00024171"/>
    <w:rsid w:val="00024254"/>
    <w:rsid w:val="00024A7A"/>
    <w:rsid w:val="00024B49"/>
    <w:rsid w:val="00025227"/>
    <w:rsid w:val="00025342"/>
    <w:rsid w:val="0002551C"/>
    <w:rsid w:val="00025906"/>
    <w:rsid w:val="00025A5A"/>
    <w:rsid w:val="0002616E"/>
    <w:rsid w:val="00026256"/>
    <w:rsid w:val="000269AD"/>
    <w:rsid w:val="00026A42"/>
    <w:rsid w:val="00026B63"/>
    <w:rsid w:val="00027040"/>
    <w:rsid w:val="00027549"/>
    <w:rsid w:val="000275CF"/>
    <w:rsid w:val="000317C5"/>
    <w:rsid w:val="00031C4D"/>
    <w:rsid w:val="00031E5C"/>
    <w:rsid w:val="0003255C"/>
    <w:rsid w:val="00032839"/>
    <w:rsid w:val="0003287D"/>
    <w:rsid w:val="0003294F"/>
    <w:rsid w:val="00032A46"/>
    <w:rsid w:val="00032D5C"/>
    <w:rsid w:val="00032D94"/>
    <w:rsid w:val="000334F9"/>
    <w:rsid w:val="00033D3B"/>
    <w:rsid w:val="00034057"/>
    <w:rsid w:val="00034962"/>
    <w:rsid w:val="000349E5"/>
    <w:rsid w:val="00034A30"/>
    <w:rsid w:val="000358CB"/>
    <w:rsid w:val="000367A1"/>
    <w:rsid w:val="000367B7"/>
    <w:rsid w:val="0003685C"/>
    <w:rsid w:val="00036E9D"/>
    <w:rsid w:val="000372BC"/>
    <w:rsid w:val="00037DE8"/>
    <w:rsid w:val="00037F5F"/>
    <w:rsid w:val="00041BC1"/>
    <w:rsid w:val="00041FEB"/>
    <w:rsid w:val="000428C3"/>
    <w:rsid w:val="00043606"/>
    <w:rsid w:val="000440E5"/>
    <w:rsid w:val="00044A29"/>
    <w:rsid w:val="00044BDD"/>
    <w:rsid w:val="00044C7F"/>
    <w:rsid w:val="00045C06"/>
    <w:rsid w:val="00045C2A"/>
    <w:rsid w:val="00045C83"/>
    <w:rsid w:val="00045CDE"/>
    <w:rsid w:val="00046816"/>
    <w:rsid w:val="000506E7"/>
    <w:rsid w:val="000507D5"/>
    <w:rsid w:val="000516F8"/>
    <w:rsid w:val="0005170C"/>
    <w:rsid w:val="00051759"/>
    <w:rsid w:val="00051E36"/>
    <w:rsid w:val="00052D20"/>
    <w:rsid w:val="00052E1F"/>
    <w:rsid w:val="000530F6"/>
    <w:rsid w:val="0005331E"/>
    <w:rsid w:val="00053555"/>
    <w:rsid w:val="000537CD"/>
    <w:rsid w:val="00053B63"/>
    <w:rsid w:val="00053FFC"/>
    <w:rsid w:val="000546C1"/>
    <w:rsid w:val="000547B3"/>
    <w:rsid w:val="00054EC5"/>
    <w:rsid w:val="0005653E"/>
    <w:rsid w:val="0005654F"/>
    <w:rsid w:val="00056D58"/>
    <w:rsid w:val="000572BF"/>
    <w:rsid w:val="0005752D"/>
    <w:rsid w:val="000576FC"/>
    <w:rsid w:val="0006009E"/>
    <w:rsid w:val="000602CC"/>
    <w:rsid w:val="000605C5"/>
    <w:rsid w:val="0006083A"/>
    <w:rsid w:val="00060B1D"/>
    <w:rsid w:val="00060D9F"/>
    <w:rsid w:val="00060EA8"/>
    <w:rsid w:val="00061AAB"/>
    <w:rsid w:val="00061E16"/>
    <w:rsid w:val="00062108"/>
    <w:rsid w:val="00062534"/>
    <w:rsid w:val="000626E7"/>
    <w:rsid w:val="00062DC7"/>
    <w:rsid w:val="00063340"/>
    <w:rsid w:val="000634DA"/>
    <w:rsid w:val="00063610"/>
    <w:rsid w:val="0006442D"/>
    <w:rsid w:val="000644FD"/>
    <w:rsid w:val="00064B93"/>
    <w:rsid w:val="00064BB1"/>
    <w:rsid w:val="00064CC7"/>
    <w:rsid w:val="00064CD3"/>
    <w:rsid w:val="00064E8F"/>
    <w:rsid w:val="00065245"/>
    <w:rsid w:val="00065732"/>
    <w:rsid w:val="00065B9A"/>
    <w:rsid w:val="00065E5F"/>
    <w:rsid w:val="00066261"/>
    <w:rsid w:val="00066498"/>
    <w:rsid w:val="0006678E"/>
    <w:rsid w:val="00066837"/>
    <w:rsid w:val="00066CAD"/>
    <w:rsid w:val="00067D1D"/>
    <w:rsid w:val="00070B28"/>
    <w:rsid w:val="00070E3A"/>
    <w:rsid w:val="00071333"/>
    <w:rsid w:val="0007176B"/>
    <w:rsid w:val="00071BC1"/>
    <w:rsid w:val="00071C0E"/>
    <w:rsid w:val="00071D76"/>
    <w:rsid w:val="00071DC0"/>
    <w:rsid w:val="00072C12"/>
    <w:rsid w:val="00072D36"/>
    <w:rsid w:val="00073045"/>
    <w:rsid w:val="000734E0"/>
    <w:rsid w:val="00073687"/>
    <w:rsid w:val="000742AE"/>
    <w:rsid w:val="00074716"/>
    <w:rsid w:val="0007475E"/>
    <w:rsid w:val="00075173"/>
    <w:rsid w:val="00075662"/>
    <w:rsid w:val="00075907"/>
    <w:rsid w:val="0007694A"/>
    <w:rsid w:val="00076B0B"/>
    <w:rsid w:val="00076CBE"/>
    <w:rsid w:val="000775AE"/>
    <w:rsid w:val="000777B4"/>
    <w:rsid w:val="00077B5F"/>
    <w:rsid w:val="00080175"/>
    <w:rsid w:val="00080858"/>
    <w:rsid w:val="00080A62"/>
    <w:rsid w:val="00081A34"/>
    <w:rsid w:val="00081CDA"/>
    <w:rsid w:val="000820C8"/>
    <w:rsid w:val="000822FC"/>
    <w:rsid w:val="00082528"/>
    <w:rsid w:val="00082AEB"/>
    <w:rsid w:val="0008303F"/>
    <w:rsid w:val="000830F3"/>
    <w:rsid w:val="0008337D"/>
    <w:rsid w:val="00083CF6"/>
    <w:rsid w:val="00085017"/>
    <w:rsid w:val="000852A6"/>
    <w:rsid w:val="00085305"/>
    <w:rsid w:val="00085DAB"/>
    <w:rsid w:val="000860E5"/>
    <w:rsid w:val="000860EE"/>
    <w:rsid w:val="00086327"/>
    <w:rsid w:val="00086B8A"/>
    <w:rsid w:val="00086D3A"/>
    <w:rsid w:val="000872F0"/>
    <w:rsid w:val="0008757F"/>
    <w:rsid w:val="00087621"/>
    <w:rsid w:val="0008764C"/>
    <w:rsid w:val="00090910"/>
    <w:rsid w:val="00090B31"/>
    <w:rsid w:val="00090FBA"/>
    <w:rsid w:val="0009104C"/>
    <w:rsid w:val="000915E6"/>
    <w:rsid w:val="000918E1"/>
    <w:rsid w:val="0009193D"/>
    <w:rsid w:val="0009270F"/>
    <w:rsid w:val="000928EE"/>
    <w:rsid w:val="00092C27"/>
    <w:rsid w:val="00092C28"/>
    <w:rsid w:val="00092C5B"/>
    <w:rsid w:val="0009307F"/>
    <w:rsid w:val="00093695"/>
    <w:rsid w:val="000936CF"/>
    <w:rsid w:val="00093B52"/>
    <w:rsid w:val="00093F2E"/>
    <w:rsid w:val="0009419F"/>
    <w:rsid w:val="0009438D"/>
    <w:rsid w:val="00094B47"/>
    <w:rsid w:val="00094E25"/>
    <w:rsid w:val="0009515D"/>
    <w:rsid w:val="00095E39"/>
    <w:rsid w:val="0009673F"/>
    <w:rsid w:val="0009677E"/>
    <w:rsid w:val="00097306"/>
    <w:rsid w:val="00097686"/>
    <w:rsid w:val="00097788"/>
    <w:rsid w:val="000979CF"/>
    <w:rsid w:val="000A03FB"/>
    <w:rsid w:val="000A0B1F"/>
    <w:rsid w:val="000A0BEB"/>
    <w:rsid w:val="000A0EAF"/>
    <w:rsid w:val="000A1AB7"/>
    <w:rsid w:val="000A2A84"/>
    <w:rsid w:val="000A2D3F"/>
    <w:rsid w:val="000A2FFA"/>
    <w:rsid w:val="000A32FD"/>
    <w:rsid w:val="000A388F"/>
    <w:rsid w:val="000A3CAD"/>
    <w:rsid w:val="000A3CD2"/>
    <w:rsid w:val="000A3EC2"/>
    <w:rsid w:val="000A401D"/>
    <w:rsid w:val="000A4785"/>
    <w:rsid w:val="000A4B9F"/>
    <w:rsid w:val="000A537F"/>
    <w:rsid w:val="000A54AE"/>
    <w:rsid w:val="000A5591"/>
    <w:rsid w:val="000A5B66"/>
    <w:rsid w:val="000A657F"/>
    <w:rsid w:val="000A6699"/>
    <w:rsid w:val="000A66E1"/>
    <w:rsid w:val="000A6780"/>
    <w:rsid w:val="000A69F1"/>
    <w:rsid w:val="000A6CB1"/>
    <w:rsid w:val="000A6FCF"/>
    <w:rsid w:val="000A72EC"/>
    <w:rsid w:val="000A771A"/>
    <w:rsid w:val="000A787C"/>
    <w:rsid w:val="000A7A7C"/>
    <w:rsid w:val="000B0058"/>
    <w:rsid w:val="000B016C"/>
    <w:rsid w:val="000B05EB"/>
    <w:rsid w:val="000B1019"/>
    <w:rsid w:val="000B1761"/>
    <w:rsid w:val="000B17F6"/>
    <w:rsid w:val="000B1AD3"/>
    <w:rsid w:val="000B1AE6"/>
    <w:rsid w:val="000B1E80"/>
    <w:rsid w:val="000B1ED5"/>
    <w:rsid w:val="000B1F08"/>
    <w:rsid w:val="000B2353"/>
    <w:rsid w:val="000B2571"/>
    <w:rsid w:val="000B2C4B"/>
    <w:rsid w:val="000B30D6"/>
    <w:rsid w:val="000B317E"/>
    <w:rsid w:val="000B35D6"/>
    <w:rsid w:val="000B3786"/>
    <w:rsid w:val="000B4347"/>
    <w:rsid w:val="000B5972"/>
    <w:rsid w:val="000B5A29"/>
    <w:rsid w:val="000B5F84"/>
    <w:rsid w:val="000B6362"/>
    <w:rsid w:val="000B66A6"/>
    <w:rsid w:val="000B6707"/>
    <w:rsid w:val="000B7ECF"/>
    <w:rsid w:val="000C0292"/>
    <w:rsid w:val="000C092E"/>
    <w:rsid w:val="000C0AB2"/>
    <w:rsid w:val="000C0CA2"/>
    <w:rsid w:val="000C0D08"/>
    <w:rsid w:val="000C0F9E"/>
    <w:rsid w:val="000C1029"/>
    <w:rsid w:val="000C14FF"/>
    <w:rsid w:val="000C2293"/>
    <w:rsid w:val="000C3E53"/>
    <w:rsid w:val="000C417C"/>
    <w:rsid w:val="000C431F"/>
    <w:rsid w:val="000C55CA"/>
    <w:rsid w:val="000C6FBF"/>
    <w:rsid w:val="000C705A"/>
    <w:rsid w:val="000D0EDF"/>
    <w:rsid w:val="000D0EF0"/>
    <w:rsid w:val="000D0F09"/>
    <w:rsid w:val="000D0FBD"/>
    <w:rsid w:val="000D0FF3"/>
    <w:rsid w:val="000D15E3"/>
    <w:rsid w:val="000D17F3"/>
    <w:rsid w:val="000D1AAE"/>
    <w:rsid w:val="000D1C4B"/>
    <w:rsid w:val="000D1F44"/>
    <w:rsid w:val="000D2007"/>
    <w:rsid w:val="000D20CA"/>
    <w:rsid w:val="000D219D"/>
    <w:rsid w:val="000D23D3"/>
    <w:rsid w:val="000D260C"/>
    <w:rsid w:val="000D2DF6"/>
    <w:rsid w:val="000D3650"/>
    <w:rsid w:val="000D41D5"/>
    <w:rsid w:val="000D42F7"/>
    <w:rsid w:val="000D44C4"/>
    <w:rsid w:val="000D46C5"/>
    <w:rsid w:val="000D496D"/>
    <w:rsid w:val="000D4A84"/>
    <w:rsid w:val="000D4EC1"/>
    <w:rsid w:val="000D6186"/>
    <w:rsid w:val="000D6301"/>
    <w:rsid w:val="000D6B4E"/>
    <w:rsid w:val="000D70FD"/>
    <w:rsid w:val="000D7792"/>
    <w:rsid w:val="000E0387"/>
    <w:rsid w:val="000E04B8"/>
    <w:rsid w:val="000E062A"/>
    <w:rsid w:val="000E0B53"/>
    <w:rsid w:val="000E11D3"/>
    <w:rsid w:val="000E137E"/>
    <w:rsid w:val="000E1540"/>
    <w:rsid w:val="000E29C5"/>
    <w:rsid w:val="000E2F42"/>
    <w:rsid w:val="000E31C9"/>
    <w:rsid w:val="000E3553"/>
    <w:rsid w:val="000E361A"/>
    <w:rsid w:val="000E3711"/>
    <w:rsid w:val="000E37FE"/>
    <w:rsid w:val="000E3A88"/>
    <w:rsid w:val="000E4638"/>
    <w:rsid w:val="000E4C0F"/>
    <w:rsid w:val="000E4C1C"/>
    <w:rsid w:val="000E4D70"/>
    <w:rsid w:val="000E516A"/>
    <w:rsid w:val="000E51AB"/>
    <w:rsid w:val="000E6238"/>
    <w:rsid w:val="000E658F"/>
    <w:rsid w:val="000E68BF"/>
    <w:rsid w:val="000E6A2A"/>
    <w:rsid w:val="000E76B3"/>
    <w:rsid w:val="000E7AF5"/>
    <w:rsid w:val="000F00C9"/>
    <w:rsid w:val="000F02C6"/>
    <w:rsid w:val="000F16EE"/>
    <w:rsid w:val="000F2484"/>
    <w:rsid w:val="000F3487"/>
    <w:rsid w:val="000F3698"/>
    <w:rsid w:val="000F3DB8"/>
    <w:rsid w:val="000F3FFD"/>
    <w:rsid w:val="000F458C"/>
    <w:rsid w:val="000F464C"/>
    <w:rsid w:val="000F4731"/>
    <w:rsid w:val="000F48D2"/>
    <w:rsid w:val="000F4D9B"/>
    <w:rsid w:val="000F514E"/>
    <w:rsid w:val="000F5389"/>
    <w:rsid w:val="000F5625"/>
    <w:rsid w:val="000F5E2C"/>
    <w:rsid w:val="000F6E94"/>
    <w:rsid w:val="000F74A9"/>
    <w:rsid w:val="000F7546"/>
    <w:rsid w:val="000F7877"/>
    <w:rsid w:val="000F7B8A"/>
    <w:rsid w:val="000F7FF1"/>
    <w:rsid w:val="001000A0"/>
    <w:rsid w:val="0010042C"/>
    <w:rsid w:val="00100450"/>
    <w:rsid w:val="001007AD"/>
    <w:rsid w:val="001007E8"/>
    <w:rsid w:val="00100F62"/>
    <w:rsid w:val="00100FFC"/>
    <w:rsid w:val="0010119F"/>
    <w:rsid w:val="00101718"/>
    <w:rsid w:val="001020C4"/>
    <w:rsid w:val="001021B0"/>
    <w:rsid w:val="00102B46"/>
    <w:rsid w:val="00102E6D"/>
    <w:rsid w:val="001031E9"/>
    <w:rsid w:val="001037C8"/>
    <w:rsid w:val="00103D21"/>
    <w:rsid w:val="0010430C"/>
    <w:rsid w:val="00104636"/>
    <w:rsid w:val="00104B10"/>
    <w:rsid w:val="00104F2D"/>
    <w:rsid w:val="001050E4"/>
    <w:rsid w:val="0010553B"/>
    <w:rsid w:val="00105D2F"/>
    <w:rsid w:val="001073F7"/>
    <w:rsid w:val="00107B89"/>
    <w:rsid w:val="00107BCF"/>
    <w:rsid w:val="00107C72"/>
    <w:rsid w:val="00107F7C"/>
    <w:rsid w:val="001101A6"/>
    <w:rsid w:val="001101D2"/>
    <w:rsid w:val="00110690"/>
    <w:rsid w:val="001109DD"/>
    <w:rsid w:val="00110BA7"/>
    <w:rsid w:val="00111027"/>
    <w:rsid w:val="001110DF"/>
    <w:rsid w:val="00111156"/>
    <w:rsid w:val="00111345"/>
    <w:rsid w:val="00111370"/>
    <w:rsid w:val="001113BD"/>
    <w:rsid w:val="00111562"/>
    <w:rsid w:val="001119D4"/>
    <w:rsid w:val="00111CA1"/>
    <w:rsid w:val="00111CC4"/>
    <w:rsid w:val="00111E33"/>
    <w:rsid w:val="00112170"/>
    <w:rsid w:val="00112786"/>
    <w:rsid w:val="00112B5E"/>
    <w:rsid w:val="0011338B"/>
    <w:rsid w:val="00113AD6"/>
    <w:rsid w:val="001145B3"/>
    <w:rsid w:val="00115DCF"/>
    <w:rsid w:val="00115DD7"/>
    <w:rsid w:val="00116222"/>
    <w:rsid w:val="00116377"/>
    <w:rsid w:val="001165F8"/>
    <w:rsid w:val="00116EDF"/>
    <w:rsid w:val="00116F1C"/>
    <w:rsid w:val="0011731C"/>
    <w:rsid w:val="00117A65"/>
    <w:rsid w:val="00117E0A"/>
    <w:rsid w:val="00120577"/>
    <w:rsid w:val="00120D9C"/>
    <w:rsid w:val="0012145D"/>
    <w:rsid w:val="00121554"/>
    <w:rsid w:val="0012188C"/>
    <w:rsid w:val="001221A6"/>
    <w:rsid w:val="0012225E"/>
    <w:rsid w:val="00122391"/>
    <w:rsid w:val="00122536"/>
    <w:rsid w:val="001227D5"/>
    <w:rsid w:val="00122EE7"/>
    <w:rsid w:val="001230A0"/>
    <w:rsid w:val="001238EE"/>
    <w:rsid w:val="00123DB9"/>
    <w:rsid w:val="00123FC4"/>
    <w:rsid w:val="00124A67"/>
    <w:rsid w:val="00124ACF"/>
    <w:rsid w:val="0012542B"/>
    <w:rsid w:val="0012544D"/>
    <w:rsid w:val="00125DA0"/>
    <w:rsid w:val="00126368"/>
    <w:rsid w:val="00126380"/>
    <w:rsid w:val="00127066"/>
    <w:rsid w:val="001271C9"/>
    <w:rsid w:val="001271DC"/>
    <w:rsid w:val="0012767B"/>
    <w:rsid w:val="00127C66"/>
    <w:rsid w:val="001302FE"/>
    <w:rsid w:val="001306C7"/>
    <w:rsid w:val="001308B5"/>
    <w:rsid w:val="001310F1"/>
    <w:rsid w:val="0013124E"/>
    <w:rsid w:val="00131566"/>
    <w:rsid w:val="00131FE5"/>
    <w:rsid w:val="001320B4"/>
    <w:rsid w:val="00132479"/>
    <w:rsid w:val="00132932"/>
    <w:rsid w:val="00132D7D"/>
    <w:rsid w:val="00132D9D"/>
    <w:rsid w:val="00132E9B"/>
    <w:rsid w:val="00133949"/>
    <w:rsid w:val="00133BA3"/>
    <w:rsid w:val="00133BFE"/>
    <w:rsid w:val="00133E50"/>
    <w:rsid w:val="0013413B"/>
    <w:rsid w:val="001341FA"/>
    <w:rsid w:val="00134598"/>
    <w:rsid w:val="00134952"/>
    <w:rsid w:val="00135021"/>
    <w:rsid w:val="00135E46"/>
    <w:rsid w:val="001360F7"/>
    <w:rsid w:val="00136281"/>
    <w:rsid w:val="00136629"/>
    <w:rsid w:val="001366BE"/>
    <w:rsid w:val="00136773"/>
    <w:rsid w:val="0013691A"/>
    <w:rsid w:val="00136F58"/>
    <w:rsid w:val="00137647"/>
    <w:rsid w:val="00137685"/>
    <w:rsid w:val="0014006B"/>
    <w:rsid w:val="00140AA1"/>
    <w:rsid w:val="00140C79"/>
    <w:rsid w:val="00140D36"/>
    <w:rsid w:val="00141118"/>
    <w:rsid w:val="00141D35"/>
    <w:rsid w:val="00141ED6"/>
    <w:rsid w:val="0014249C"/>
    <w:rsid w:val="00142B63"/>
    <w:rsid w:val="001430D8"/>
    <w:rsid w:val="00143494"/>
    <w:rsid w:val="0014360F"/>
    <w:rsid w:val="00143BF0"/>
    <w:rsid w:val="00143DED"/>
    <w:rsid w:val="001441C9"/>
    <w:rsid w:val="00144502"/>
    <w:rsid w:val="00145B19"/>
    <w:rsid w:val="00145C2C"/>
    <w:rsid w:val="00145C4E"/>
    <w:rsid w:val="00145F29"/>
    <w:rsid w:val="00146187"/>
    <w:rsid w:val="0014654F"/>
    <w:rsid w:val="001467E7"/>
    <w:rsid w:val="00146983"/>
    <w:rsid w:val="00147232"/>
    <w:rsid w:val="00147760"/>
    <w:rsid w:val="001477D5"/>
    <w:rsid w:val="001501E4"/>
    <w:rsid w:val="00150AC2"/>
    <w:rsid w:val="00150B31"/>
    <w:rsid w:val="00150B34"/>
    <w:rsid w:val="00150DC0"/>
    <w:rsid w:val="001513A5"/>
    <w:rsid w:val="001513DA"/>
    <w:rsid w:val="00151476"/>
    <w:rsid w:val="0015290D"/>
    <w:rsid w:val="00153CD5"/>
    <w:rsid w:val="00154485"/>
    <w:rsid w:val="0015453C"/>
    <w:rsid w:val="001553CF"/>
    <w:rsid w:val="001558E4"/>
    <w:rsid w:val="00155D5E"/>
    <w:rsid w:val="00156B70"/>
    <w:rsid w:val="00156C17"/>
    <w:rsid w:val="00156EE4"/>
    <w:rsid w:val="00160F37"/>
    <w:rsid w:val="001611A0"/>
    <w:rsid w:val="00161666"/>
    <w:rsid w:val="001618AD"/>
    <w:rsid w:val="001618CF"/>
    <w:rsid w:val="00161AD1"/>
    <w:rsid w:val="00162339"/>
    <w:rsid w:val="00162D36"/>
    <w:rsid w:val="00162E51"/>
    <w:rsid w:val="0016313E"/>
    <w:rsid w:val="0016315A"/>
    <w:rsid w:val="00163396"/>
    <w:rsid w:val="001637D3"/>
    <w:rsid w:val="00163F7E"/>
    <w:rsid w:val="00164948"/>
    <w:rsid w:val="001653DF"/>
    <w:rsid w:val="00166108"/>
    <w:rsid w:val="001662D8"/>
    <w:rsid w:val="001663F3"/>
    <w:rsid w:val="0016692D"/>
    <w:rsid w:val="00166BC6"/>
    <w:rsid w:val="00167F0C"/>
    <w:rsid w:val="0017009C"/>
    <w:rsid w:val="00170243"/>
    <w:rsid w:val="00170727"/>
    <w:rsid w:val="00170CC8"/>
    <w:rsid w:val="001710B6"/>
    <w:rsid w:val="0017174E"/>
    <w:rsid w:val="0017197C"/>
    <w:rsid w:val="001719E5"/>
    <w:rsid w:val="00171C07"/>
    <w:rsid w:val="00171C34"/>
    <w:rsid w:val="00171CDF"/>
    <w:rsid w:val="00172D28"/>
    <w:rsid w:val="00173A54"/>
    <w:rsid w:val="00173A9E"/>
    <w:rsid w:val="00173F05"/>
    <w:rsid w:val="00173FA9"/>
    <w:rsid w:val="00173FB7"/>
    <w:rsid w:val="00173FC9"/>
    <w:rsid w:val="001743F9"/>
    <w:rsid w:val="001745CA"/>
    <w:rsid w:val="0017489B"/>
    <w:rsid w:val="00174AC6"/>
    <w:rsid w:val="00174BB2"/>
    <w:rsid w:val="0017538D"/>
    <w:rsid w:val="001758C9"/>
    <w:rsid w:val="001761AF"/>
    <w:rsid w:val="001768E4"/>
    <w:rsid w:val="0017752F"/>
    <w:rsid w:val="001806B2"/>
    <w:rsid w:val="001806D6"/>
    <w:rsid w:val="00181E97"/>
    <w:rsid w:val="001820F9"/>
    <w:rsid w:val="00182918"/>
    <w:rsid w:val="001832EB"/>
    <w:rsid w:val="001837DD"/>
    <w:rsid w:val="0018385A"/>
    <w:rsid w:val="00183C77"/>
    <w:rsid w:val="00183D3F"/>
    <w:rsid w:val="00184063"/>
    <w:rsid w:val="0018413D"/>
    <w:rsid w:val="00184294"/>
    <w:rsid w:val="0018490A"/>
    <w:rsid w:val="001851A9"/>
    <w:rsid w:val="0018587D"/>
    <w:rsid w:val="00185CA6"/>
    <w:rsid w:val="00185DD2"/>
    <w:rsid w:val="0018624A"/>
    <w:rsid w:val="001867C4"/>
    <w:rsid w:val="001871C9"/>
    <w:rsid w:val="0018729D"/>
    <w:rsid w:val="00187452"/>
    <w:rsid w:val="0018767E"/>
    <w:rsid w:val="00187FF9"/>
    <w:rsid w:val="00190379"/>
    <w:rsid w:val="00190C26"/>
    <w:rsid w:val="00190E20"/>
    <w:rsid w:val="0019175D"/>
    <w:rsid w:val="00192172"/>
    <w:rsid w:val="00192493"/>
    <w:rsid w:val="00193275"/>
    <w:rsid w:val="00193528"/>
    <w:rsid w:val="00193652"/>
    <w:rsid w:val="001938A0"/>
    <w:rsid w:val="00193A1E"/>
    <w:rsid w:val="00193DA9"/>
    <w:rsid w:val="00193F29"/>
    <w:rsid w:val="001941B1"/>
    <w:rsid w:val="00194324"/>
    <w:rsid w:val="0019458A"/>
    <w:rsid w:val="00195D14"/>
    <w:rsid w:val="00195EDB"/>
    <w:rsid w:val="0019680C"/>
    <w:rsid w:val="00196C86"/>
    <w:rsid w:val="00196D0A"/>
    <w:rsid w:val="001973B3"/>
    <w:rsid w:val="001977E5"/>
    <w:rsid w:val="001979E0"/>
    <w:rsid w:val="00197A7F"/>
    <w:rsid w:val="00197A83"/>
    <w:rsid w:val="00197AF2"/>
    <w:rsid w:val="00197C32"/>
    <w:rsid w:val="001A020D"/>
    <w:rsid w:val="001A0816"/>
    <w:rsid w:val="001A088C"/>
    <w:rsid w:val="001A0DA6"/>
    <w:rsid w:val="001A13F2"/>
    <w:rsid w:val="001A1585"/>
    <w:rsid w:val="001A1C2C"/>
    <w:rsid w:val="001A1F06"/>
    <w:rsid w:val="001A2164"/>
    <w:rsid w:val="001A268D"/>
    <w:rsid w:val="001A27F3"/>
    <w:rsid w:val="001A2C83"/>
    <w:rsid w:val="001A306A"/>
    <w:rsid w:val="001A3247"/>
    <w:rsid w:val="001A3919"/>
    <w:rsid w:val="001A3A39"/>
    <w:rsid w:val="001A3C0C"/>
    <w:rsid w:val="001A3FAC"/>
    <w:rsid w:val="001A4C97"/>
    <w:rsid w:val="001A5018"/>
    <w:rsid w:val="001A5376"/>
    <w:rsid w:val="001A5DBC"/>
    <w:rsid w:val="001A5DC5"/>
    <w:rsid w:val="001A6EFA"/>
    <w:rsid w:val="001A7BEB"/>
    <w:rsid w:val="001A7E2D"/>
    <w:rsid w:val="001B00B5"/>
    <w:rsid w:val="001B0328"/>
    <w:rsid w:val="001B04EB"/>
    <w:rsid w:val="001B0A5B"/>
    <w:rsid w:val="001B1B6F"/>
    <w:rsid w:val="001B1DB7"/>
    <w:rsid w:val="001B2830"/>
    <w:rsid w:val="001B2918"/>
    <w:rsid w:val="001B2C66"/>
    <w:rsid w:val="001B2E9C"/>
    <w:rsid w:val="001B300C"/>
    <w:rsid w:val="001B3332"/>
    <w:rsid w:val="001B3632"/>
    <w:rsid w:val="001B38D6"/>
    <w:rsid w:val="001B3B92"/>
    <w:rsid w:val="001B3C1A"/>
    <w:rsid w:val="001B45CE"/>
    <w:rsid w:val="001B4778"/>
    <w:rsid w:val="001B4805"/>
    <w:rsid w:val="001B480B"/>
    <w:rsid w:val="001B496E"/>
    <w:rsid w:val="001B4F97"/>
    <w:rsid w:val="001B50CE"/>
    <w:rsid w:val="001B5207"/>
    <w:rsid w:val="001B53E8"/>
    <w:rsid w:val="001B5AA6"/>
    <w:rsid w:val="001B5BE8"/>
    <w:rsid w:val="001B5CE7"/>
    <w:rsid w:val="001B5FA8"/>
    <w:rsid w:val="001B65B1"/>
    <w:rsid w:val="001B6941"/>
    <w:rsid w:val="001B7241"/>
    <w:rsid w:val="001B7F4A"/>
    <w:rsid w:val="001C010D"/>
    <w:rsid w:val="001C0658"/>
    <w:rsid w:val="001C0AD6"/>
    <w:rsid w:val="001C0E1F"/>
    <w:rsid w:val="001C0F98"/>
    <w:rsid w:val="001C1129"/>
    <w:rsid w:val="001C14A8"/>
    <w:rsid w:val="001C1944"/>
    <w:rsid w:val="001C1C89"/>
    <w:rsid w:val="001C21BC"/>
    <w:rsid w:val="001C27C7"/>
    <w:rsid w:val="001C28C3"/>
    <w:rsid w:val="001C2B03"/>
    <w:rsid w:val="001C2E4C"/>
    <w:rsid w:val="001C364C"/>
    <w:rsid w:val="001C3940"/>
    <w:rsid w:val="001C3CAC"/>
    <w:rsid w:val="001C468C"/>
    <w:rsid w:val="001C5038"/>
    <w:rsid w:val="001C52AE"/>
    <w:rsid w:val="001C53EB"/>
    <w:rsid w:val="001C5B95"/>
    <w:rsid w:val="001C5ECE"/>
    <w:rsid w:val="001C607E"/>
    <w:rsid w:val="001C6CE6"/>
    <w:rsid w:val="001C7F3D"/>
    <w:rsid w:val="001D024C"/>
    <w:rsid w:val="001D07AE"/>
    <w:rsid w:val="001D0B68"/>
    <w:rsid w:val="001D229F"/>
    <w:rsid w:val="001D2360"/>
    <w:rsid w:val="001D236A"/>
    <w:rsid w:val="001D25AD"/>
    <w:rsid w:val="001D2A9A"/>
    <w:rsid w:val="001D396E"/>
    <w:rsid w:val="001D3CE1"/>
    <w:rsid w:val="001D3E94"/>
    <w:rsid w:val="001D4A16"/>
    <w:rsid w:val="001D4ED9"/>
    <w:rsid w:val="001D5156"/>
    <w:rsid w:val="001D531D"/>
    <w:rsid w:val="001D56F6"/>
    <w:rsid w:val="001D5F3B"/>
    <w:rsid w:val="001D6D3A"/>
    <w:rsid w:val="001D76C9"/>
    <w:rsid w:val="001D7703"/>
    <w:rsid w:val="001E0515"/>
    <w:rsid w:val="001E0528"/>
    <w:rsid w:val="001E0C22"/>
    <w:rsid w:val="001E12D8"/>
    <w:rsid w:val="001E1DB2"/>
    <w:rsid w:val="001E1E43"/>
    <w:rsid w:val="001E2C93"/>
    <w:rsid w:val="001E3473"/>
    <w:rsid w:val="001E3C00"/>
    <w:rsid w:val="001E4412"/>
    <w:rsid w:val="001E5EBC"/>
    <w:rsid w:val="001E64DC"/>
    <w:rsid w:val="001E6DE6"/>
    <w:rsid w:val="001E7394"/>
    <w:rsid w:val="001E73BD"/>
    <w:rsid w:val="001E74BC"/>
    <w:rsid w:val="001E7647"/>
    <w:rsid w:val="001E7805"/>
    <w:rsid w:val="001F03BF"/>
    <w:rsid w:val="001F0F63"/>
    <w:rsid w:val="001F166A"/>
    <w:rsid w:val="001F17DE"/>
    <w:rsid w:val="001F2009"/>
    <w:rsid w:val="001F29CD"/>
    <w:rsid w:val="001F34B5"/>
    <w:rsid w:val="001F37EE"/>
    <w:rsid w:val="001F3B41"/>
    <w:rsid w:val="001F3C7A"/>
    <w:rsid w:val="001F3CAA"/>
    <w:rsid w:val="001F464C"/>
    <w:rsid w:val="001F50F2"/>
    <w:rsid w:val="001F56FC"/>
    <w:rsid w:val="001F5A4D"/>
    <w:rsid w:val="001F5BC2"/>
    <w:rsid w:val="001F5EF6"/>
    <w:rsid w:val="001F69BC"/>
    <w:rsid w:val="001F6DD9"/>
    <w:rsid w:val="001F6E23"/>
    <w:rsid w:val="001F77BD"/>
    <w:rsid w:val="002000A1"/>
    <w:rsid w:val="0020153B"/>
    <w:rsid w:val="002015D6"/>
    <w:rsid w:val="00201D38"/>
    <w:rsid w:val="00202056"/>
    <w:rsid w:val="00202137"/>
    <w:rsid w:val="00202574"/>
    <w:rsid w:val="002026E2"/>
    <w:rsid w:val="00202CB1"/>
    <w:rsid w:val="00202F67"/>
    <w:rsid w:val="002033B4"/>
    <w:rsid w:val="002042C6"/>
    <w:rsid w:val="00204532"/>
    <w:rsid w:val="0020486A"/>
    <w:rsid w:val="00204980"/>
    <w:rsid w:val="00204B77"/>
    <w:rsid w:val="002053D2"/>
    <w:rsid w:val="002054E8"/>
    <w:rsid w:val="00205A9F"/>
    <w:rsid w:val="00205B55"/>
    <w:rsid w:val="00205B60"/>
    <w:rsid w:val="002064A5"/>
    <w:rsid w:val="00206FB7"/>
    <w:rsid w:val="002073F1"/>
    <w:rsid w:val="00207F4F"/>
    <w:rsid w:val="00207F52"/>
    <w:rsid w:val="00210F59"/>
    <w:rsid w:val="00210FEE"/>
    <w:rsid w:val="00211202"/>
    <w:rsid w:val="0021185B"/>
    <w:rsid w:val="00211962"/>
    <w:rsid w:val="002120D5"/>
    <w:rsid w:val="00213C6E"/>
    <w:rsid w:val="00213CEB"/>
    <w:rsid w:val="00214495"/>
    <w:rsid w:val="002151C1"/>
    <w:rsid w:val="00216507"/>
    <w:rsid w:val="00216A37"/>
    <w:rsid w:val="002176B9"/>
    <w:rsid w:val="00217D57"/>
    <w:rsid w:val="002203EA"/>
    <w:rsid w:val="00220459"/>
    <w:rsid w:val="00221AA8"/>
    <w:rsid w:val="00221CB1"/>
    <w:rsid w:val="00221F70"/>
    <w:rsid w:val="00222466"/>
    <w:rsid w:val="0022300C"/>
    <w:rsid w:val="00223E74"/>
    <w:rsid w:val="00224132"/>
    <w:rsid w:val="002241EB"/>
    <w:rsid w:val="00224223"/>
    <w:rsid w:val="00224D2A"/>
    <w:rsid w:val="00224D5E"/>
    <w:rsid w:val="00226552"/>
    <w:rsid w:val="002265DD"/>
    <w:rsid w:val="0022695E"/>
    <w:rsid w:val="00226D48"/>
    <w:rsid w:val="00226E59"/>
    <w:rsid w:val="00227AAC"/>
    <w:rsid w:val="00227F9B"/>
    <w:rsid w:val="00230620"/>
    <w:rsid w:val="002306FE"/>
    <w:rsid w:val="0023071F"/>
    <w:rsid w:val="002310E1"/>
    <w:rsid w:val="00231831"/>
    <w:rsid w:val="002318D9"/>
    <w:rsid w:val="002319CA"/>
    <w:rsid w:val="00231E59"/>
    <w:rsid w:val="002321AC"/>
    <w:rsid w:val="00232608"/>
    <w:rsid w:val="00232B05"/>
    <w:rsid w:val="002334B9"/>
    <w:rsid w:val="002336C9"/>
    <w:rsid w:val="00233E67"/>
    <w:rsid w:val="0023478A"/>
    <w:rsid w:val="002348B3"/>
    <w:rsid w:val="00235735"/>
    <w:rsid w:val="00235DB6"/>
    <w:rsid w:val="00235FE6"/>
    <w:rsid w:val="0023675E"/>
    <w:rsid w:val="002367AF"/>
    <w:rsid w:val="00236A67"/>
    <w:rsid w:val="00237270"/>
    <w:rsid w:val="00237FFA"/>
    <w:rsid w:val="002402C0"/>
    <w:rsid w:val="0024035D"/>
    <w:rsid w:val="00240BD1"/>
    <w:rsid w:val="00240E57"/>
    <w:rsid w:val="00240EF7"/>
    <w:rsid w:val="00241D54"/>
    <w:rsid w:val="0024221E"/>
    <w:rsid w:val="0024299C"/>
    <w:rsid w:val="00242D6B"/>
    <w:rsid w:val="00242F61"/>
    <w:rsid w:val="002430BC"/>
    <w:rsid w:val="002432AA"/>
    <w:rsid w:val="00243D32"/>
    <w:rsid w:val="00243DCE"/>
    <w:rsid w:val="00244F26"/>
    <w:rsid w:val="0024548C"/>
    <w:rsid w:val="00245666"/>
    <w:rsid w:val="0024680F"/>
    <w:rsid w:val="00246D6E"/>
    <w:rsid w:val="00250028"/>
    <w:rsid w:val="002500DA"/>
    <w:rsid w:val="00250366"/>
    <w:rsid w:val="00250402"/>
    <w:rsid w:val="00250667"/>
    <w:rsid w:val="0025067F"/>
    <w:rsid w:val="002507A4"/>
    <w:rsid w:val="00250C89"/>
    <w:rsid w:val="00251850"/>
    <w:rsid w:val="0025186F"/>
    <w:rsid w:val="00252249"/>
    <w:rsid w:val="00252A78"/>
    <w:rsid w:val="00253AE9"/>
    <w:rsid w:val="00253C21"/>
    <w:rsid w:val="00254B18"/>
    <w:rsid w:val="00254FFD"/>
    <w:rsid w:val="00255378"/>
    <w:rsid w:val="00255437"/>
    <w:rsid w:val="00255ADF"/>
    <w:rsid w:val="00255D90"/>
    <w:rsid w:val="00255F8D"/>
    <w:rsid w:val="002566D0"/>
    <w:rsid w:val="00256EC9"/>
    <w:rsid w:val="00257225"/>
    <w:rsid w:val="002572DF"/>
    <w:rsid w:val="00257469"/>
    <w:rsid w:val="0025752C"/>
    <w:rsid w:val="00257614"/>
    <w:rsid w:val="00257C19"/>
    <w:rsid w:val="002603D3"/>
    <w:rsid w:val="0026117E"/>
    <w:rsid w:val="00261FA6"/>
    <w:rsid w:val="00262B4D"/>
    <w:rsid w:val="00263D2B"/>
    <w:rsid w:val="00263DB0"/>
    <w:rsid w:val="00263DF7"/>
    <w:rsid w:val="002640FB"/>
    <w:rsid w:val="00264370"/>
    <w:rsid w:val="00264449"/>
    <w:rsid w:val="00264A9F"/>
    <w:rsid w:val="00264EF3"/>
    <w:rsid w:val="00265080"/>
    <w:rsid w:val="002655E0"/>
    <w:rsid w:val="0026590C"/>
    <w:rsid w:val="00265B19"/>
    <w:rsid w:val="00265BBF"/>
    <w:rsid w:val="00265C0B"/>
    <w:rsid w:val="00266121"/>
    <w:rsid w:val="002662B0"/>
    <w:rsid w:val="002662E4"/>
    <w:rsid w:val="002666E0"/>
    <w:rsid w:val="002669A3"/>
    <w:rsid w:val="00266D7F"/>
    <w:rsid w:val="00266F9E"/>
    <w:rsid w:val="00266FCF"/>
    <w:rsid w:val="00267A34"/>
    <w:rsid w:val="00267AFE"/>
    <w:rsid w:val="00267F60"/>
    <w:rsid w:val="00270865"/>
    <w:rsid w:val="00270BDB"/>
    <w:rsid w:val="00270EBA"/>
    <w:rsid w:val="002710EF"/>
    <w:rsid w:val="00271512"/>
    <w:rsid w:val="002718E8"/>
    <w:rsid w:val="002723DF"/>
    <w:rsid w:val="002728A9"/>
    <w:rsid w:val="00272A97"/>
    <w:rsid w:val="00272B48"/>
    <w:rsid w:val="00272DDF"/>
    <w:rsid w:val="00273572"/>
    <w:rsid w:val="002737A0"/>
    <w:rsid w:val="00273CBA"/>
    <w:rsid w:val="002741A9"/>
    <w:rsid w:val="002747E8"/>
    <w:rsid w:val="00274F09"/>
    <w:rsid w:val="002752B5"/>
    <w:rsid w:val="002757BF"/>
    <w:rsid w:val="002758DF"/>
    <w:rsid w:val="00275F4E"/>
    <w:rsid w:val="00276092"/>
    <w:rsid w:val="002762EC"/>
    <w:rsid w:val="002765E8"/>
    <w:rsid w:val="00276C89"/>
    <w:rsid w:val="00276CB8"/>
    <w:rsid w:val="0027780E"/>
    <w:rsid w:val="0028000F"/>
    <w:rsid w:val="00280262"/>
    <w:rsid w:val="00280319"/>
    <w:rsid w:val="002808F7"/>
    <w:rsid w:val="00280CA3"/>
    <w:rsid w:val="00280DB1"/>
    <w:rsid w:val="00281868"/>
    <w:rsid w:val="00281A8D"/>
    <w:rsid w:val="00282013"/>
    <w:rsid w:val="00282622"/>
    <w:rsid w:val="00282900"/>
    <w:rsid w:val="00282CB6"/>
    <w:rsid w:val="00282E9A"/>
    <w:rsid w:val="00283922"/>
    <w:rsid w:val="00283A1D"/>
    <w:rsid w:val="00283B63"/>
    <w:rsid w:val="00284749"/>
    <w:rsid w:val="00284A9F"/>
    <w:rsid w:val="0028587A"/>
    <w:rsid w:val="00285DD0"/>
    <w:rsid w:val="0028600D"/>
    <w:rsid w:val="00286407"/>
    <w:rsid w:val="00286A19"/>
    <w:rsid w:val="00286EE4"/>
    <w:rsid w:val="0028747F"/>
    <w:rsid w:val="00290311"/>
    <w:rsid w:val="002907BE"/>
    <w:rsid w:val="00290844"/>
    <w:rsid w:val="002914BB"/>
    <w:rsid w:val="00291650"/>
    <w:rsid w:val="00291A1B"/>
    <w:rsid w:val="00291AEA"/>
    <w:rsid w:val="00291F49"/>
    <w:rsid w:val="00292668"/>
    <w:rsid w:val="002926DE"/>
    <w:rsid w:val="00292A09"/>
    <w:rsid w:val="00292DB4"/>
    <w:rsid w:val="002938EC"/>
    <w:rsid w:val="00293CC4"/>
    <w:rsid w:val="00294121"/>
    <w:rsid w:val="00294C82"/>
    <w:rsid w:val="002950ED"/>
    <w:rsid w:val="002951E2"/>
    <w:rsid w:val="0029589E"/>
    <w:rsid w:val="002961CB"/>
    <w:rsid w:val="002964A7"/>
    <w:rsid w:val="002966B7"/>
    <w:rsid w:val="00297499"/>
    <w:rsid w:val="00297BFC"/>
    <w:rsid w:val="002A02AD"/>
    <w:rsid w:val="002A0358"/>
    <w:rsid w:val="002A0976"/>
    <w:rsid w:val="002A0B13"/>
    <w:rsid w:val="002A12D4"/>
    <w:rsid w:val="002A1464"/>
    <w:rsid w:val="002A1537"/>
    <w:rsid w:val="002A1DE6"/>
    <w:rsid w:val="002A21D4"/>
    <w:rsid w:val="002A2D62"/>
    <w:rsid w:val="002A2EE0"/>
    <w:rsid w:val="002A3199"/>
    <w:rsid w:val="002A33BA"/>
    <w:rsid w:val="002A44A2"/>
    <w:rsid w:val="002A4587"/>
    <w:rsid w:val="002A4BF8"/>
    <w:rsid w:val="002A51B5"/>
    <w:rsid w:val="002A5860"/>
    <w:rsid w:val="002A595B"/>
    <w:rsid w:val="002A6585"/>
    <w:rsid w:val="002A6BA3"/>
    <w:rsid w:val="002A7072"/>
    <w:rsid w:val="002A7868"/>
    <w:rsid w:val="002A7DB5"/>
    <w:rsid w:val="002B0398"/>
    <w:rsid w:val="002B0439"/>
    <w:rsid w:val="002B06A2"/>
    <w:rsid w:val="002B0F43"/>
    <w:rsid w:val="002B1185"/>
    <w:rsid w:val="002B21A4"/>
    <w:rsid w:val="002B2237"/>
    <w:rsid w:val="002B22B2"/>
    <w:rsid w:val="002B2709"/>
    <w:rsid w:val="002B39CD"/>
    <w:rsid w:val="002B3CD9"/>
    <w:rsid w:val="002B3D5D"/>
    <w:rsid w:val="002B3F4E"/>
    <w:rsid w:val="002B440E"/>
    <w:rsid w:val="002B5602"/>
    <w:rsid w:val="002B6BA6"/>
    <w:rsid w:val="002B6D38"/>
    <w:rsid w:val="002B6EBC"/>
    <w:rsid w:val="002B71E8"/>
    <w:rsid w:val="002B71FF"/>
    <w:rsid w:val="002B742A"/>
    <w:rsid w:val="002C0002"/>
    <w:rsid w:val="002C03E3"/>
    <w:rsid w:val="002C0791"/>
    <w:rsid w:val="002C09B1"/>
    <w:rsid w:val="002C0E4B"/>
    <w:rsid w:val="002C1DCE"/>
    <w:rsid w:val="002C232A"/>
    <w:rsid w:val="002C23D2"/>
    <w:rsid w:val="002C2550"/>
    <w:rsid w:val="002C332E"/>
    <w:rsid w:val="002C37A9"/>
    <w:rsid w:val="002C392B"/>
    <w:rsid w:val="002C3AD0"/>
    <w:rsid w:val="002C3E8B"/>
    <w:rsid w:val="002C482F"/>
    <w:rsid w:val="002C4A70"/>
    <w:rsid w:val="002C4F2E"/>
    <w:rsid w:val="002C55C3"/>
    <w:rsid w:val="002C5CF2"/>
    <w:rsid w:val="002C62E5"/>
    <w:rsid w:val="002C63F3"/>
    <w:rsid w:val="002C6DEA"/>
    <w:rsid w:val="002C70D7"/>
    <w:rsid w:val="002C72A4"/>
    <w:rsid w:val="002C7516"/>
    <w:rsid w:val="002C7542"/>
    <w:rsid w:val="002C7B4D"/>
    <w:rsid w:val="002D0123"/>
    <w:rsid w:val="002D022B"/>
    <w:rsid w:val="002D17E5"/>
    <w:rsid w:val="002D1BCF"/>
    <w:rsid w:val="002D1CBA"/>
    <w:rsid w:val="002D1D8A"/>
    <w:rsid w:val="002D2381"/>
    <w:rsid w:val="002D23F7"/>
    <w:rsid w:val="002D2730"/>
    <w:rsid w:val="002D27A6"/>
    <w:rsid w:val="002D2C35"/>
    <w:rsid w:val="002D305B"/>
    <w:rsid w:val="002D3190"/>
    <w:rsid w:val="002D3AEF"/>
    <w:rsid w:val="002D3CDA"/>
    <w:rsid w:val="002D3D11"/>
    <w:rsid w:val="002D4036"/>
    <w:rsid w:val="002D4E93"/>
    <w:rsid w:val="002D5C23"/>
    <w:rsid w:val="002D5D57"/>
    <w:rsid w:val="002D642F"/>
    <w:rsid w:val="002D685D"/>
    <w:rsid w:val="002D68A0"/>
    <w:rsid w:val="002D696E"/>
    <w:rsid w:val="002D6A8D"/>
    <w:rsid w:val="002D6FAB"/>
    <w:rsid w:val="002D7348"/>
    <w:rsid w:val="002D7DDD"/>
    <w:rsid w:val="002E00E5"/>
    <w:rsid w:val="002E023D"/>
    <w:rsid w:val="002E07BE"/>
    <w:rsid w:val="002E094E"/>
    <w:rsid w:val="002E12FD"/>
    <w:rsid w:val="002E176B"/>
    <w:rsid w:val="002E18AF"/>
    <w:rsid w:val="002E19CF"/>
    <w:rsid w:val="002E19FD"/>
    <w:rsid w:val="002E1A5D"/>
    <w:rsid w:val="002E2179"/>
    <w:rsid w:val="002E21A0"/>
    <w:rsid w:val="002E2884"/>
    <w:rsid w:val="002E2BD6"/>
    <w:rsid w:val="002E3624"/>
    <w:rsid w:val="002E3A01"/>
    <w:rsid w:val="002E3D49"/>
    <w:rsid w:val="002E4375"/>
    <w:rsid w:val="002E4F42"/>
    <w:rsid w:val="002E5151"/>
    <w:rsid w:val="002E52A3"/>
    <w:rsid w:val="002E546E"/>
    <w:rsid w:val="002E549B"/>
    <w:rsid w:val="002E55F5"/>
    <w:rsid w:val="002E5D81"/>
    <w:rsid w:val="002E600B"/>
    <w:rsid w:val="002E6793"/>
    <w:rsid w:val="002E6816"/>
    <w:rsid w:val="002E6D5F"/>
    <w:rsid w:val="002E6F7E"/>
    <w:rsid w:val="002F0399"/>
    <w:rsid w:val="002F03C7"/>
    <w:rsid w:val="002F0825"/>
    <w:rsid w:val="002F1619"/>
    <w:rsid w:val="002F1869"/>
    <w:rsid w:val="002F1DC6"/>
    <w:rsid w:val="002F259A"/>
    <w:rsid w:val="002F2A74"/>
    <w:rsid w:val="002F2BB9"/>
    <w:rsid w:val="002F334D"/>
    <w:rsid w:val="002F3A94"/>
    <w:rsid w:val="002F3D47"/>
    <w:rsid w:val="002F4321"/>
    <w:rsid w:val="002F4472"/>
    <w:rsid w:val="002F4700"/>
    <w:rsid w:val="002F471C"/>
    <w:rsid w:val="002F4997"/>
    <w:rsid w:val="002F533F"/>
    <w:rsid w:val="002F53B8"/>
    <w:rsid w:val="002F53F0"/>
    <w:rsid w:val="002F59CA"/>
    <w:rsid w:val="002F613F"/>
    <w:rsid w:val="002F629E"/>
    <w:rsid w:val="002F65D2"/>
    <w:rsid w:val="002F69F1"/>
    <w:rsid w:val="002F6CDC"/>
    <w:rsid w:val="002F72A9"/>
    <w:rsid w:val="002F77D5"/>
    <w:rsid w:val="002F7CDD"/>
    <w:rsid w:val="00300F1F"/>
    <w:rsid w:val="003011E5"/>
    <w:rsid w:val="003012A3"/>
    <w:rsid w:val="003012B9"/>
    <w:rsid w:val="00301CAF"/>
    <w:rsid w:val="0030273D"/>
    <w:rsid w:val="003030E7"/>
    <w:rsid w:val="00303362"/>
    <w:rsid w:val="00303702"/>
    <w:rsid w:val="0030422F"/>
    <w:rsid w:val="00304609"/>
    <w:rsid w:val="00304A46"/>
    <w:rsid w:val="00304F50"/>
    <w:rsid w:val="00305707"/>
    <w:rsid w:val="00305A90"/>
    <w:rsid w:val="00305AAE"/>
    <w:rsid w:val="00305BC6"/>
    <w:rsid w:val="00305C47"/>
    <w:rsid w:val="00305FB6"/>
    <w:rsid w:val="0030635B"/>
    <w:rsid w:val="003068F4"/>
    <w:rsid w:val="00307A91"/>
    <w:rsid w:val="00307B14"/>
    <w:rsid w:val="00310142"/>
    <w:rsid w:val="00311132"/>
    <w:rsid w:val="0031126B"/>
    <w:rsid w:val="00311AD8"/>
    <w:rsid w:val="00311B37"/>
    <w:rsid w:val="00311E17"/>
    <w:rsid w:val="00312143"/>
    <w:rsid w:val="00312578"/>
    <w:rsid w:val="00312624"/>
    <w:rsid w:val="00313231"/>
    <w:rsid w:val="00313ACA"/>
    <w:rsid w:val="0031409C"/>
    <w:rsid w:val="00314155"/>
    <w:rsid w:val="003142A4"/>
    <w:rsid w:val="0031471F"/>
    <w:rsid w:val="00314D74"/>
    <w:rsid w:val="0031585C"/>
    <w:rsid w:val="00316516"/>
    <w:rsid w:val="00316871"/>
    <w:rsid w:val="00316AEB"/>
    <w:rsid w:val="0031775C"/>
    <w:rsid w:val="00317858"/>
    <w:rsid w:val="003178A7"/>
    <w:rsid w:val="00317DA4"/>
    <w:rsid w:val="00320BA4"/>
    <w:rsid w:val="00321040"/>
    <w:rsid w:val="003213B1"/>
    <w:rsid w:val="003215BE"/>
    <w:rsid w:val="00321BB5"/>
    <w:rsid w:val="00321BCD"/>
    <w:rsid w:val="00322DE2"/>
    <w:rsid w:val="0032379B"/>
    <w:rsid w:val="00323890"/>
    <w:rsid w:val="00324069"/>
    <w:rsid w:val="0032424B"/>
    <w:rsid w:val="0032429D"/>
    <w:rsid w:val="00324B67"/>
    <w:rsid w:val="00325C77"/>
    <w:rsid w:val="00325E64"/>
    <w:rsid w:val="00326DE8"/>
    <w:rsid w:val="00326E02"/>
    <w:rsid w:val="00327512"/>
    <w:rsid w:val="003300E2"/>
    <w:rsid w:val="00330138"/>
    <w:rsid w:val="0033029B"/>
    <w:rsid w:val="00330360"/>
    <w:rsid w:val="00330F36"/>
    <w:rsid w:val="003311D1"/>
    <w:rsid w:val="003316A6"/>
    <w:rsid w:val="0033187C"/>
    <w:rsid w:val="00331D1A"/>
    <w:rsid w:val="003323E7"/>
    <w:rsid w:val="00332965"/>
    <w:rsid w:val="00332EAC"/>
    <w:rsid w:val="00332F36"/>
    <w:rsid w:val="003333A4"/>
    <w:rsid w:val="003333C8"/>
    <w:rsid w:val="00334125"/>
    <w:rsid w:val="0033415A"/>
    <w:rsid w:val="00334635"/>
    <w:rsid w:val="00334AA1"/>
    <w:rsid w:val="00334AF6"/>
    <w:rsid w:val="00334B0D"/>
    <w:rsid w:val="00335FAF"/>
    <w:rsid w:val="003371E5"/>
    <w:rsid w:val="00340874"/>
    <w:rsid w:val="00340A94"/>
    <w:rsid w:val="00340B79"/>
    <w:rsid w:val="00340FC4"/>
    <w:rsid w:val="003412D4"/>
    <w:rsid w:val="00341325"/>
    <w:rsid w:val="003414E8"/>
    <w:rsid w:val="00341653"/>
    <w:rsid w:val="0034178F"/>
    <w:rsid w:val="0034193A"/>
    <w:rsid w:val="003419BF"/>
    <w:rsid w:val="003419D0"/>
    <w:rsid w:val="00341FD7"/>
    <w:rsid w:val="003426ED"/>
    <w:rsid w:val="00342D80"/>
    <w:rsid w:val="00343188"/>
    <w:rsid w:val="003431D1"/>
    <w:rsid w:val="003436A4"/>
    <w:rsid w:val="00343767"/>
    <w:rsid w:val="00343A15"/>
    <w:rsid w:val="00344088"/>
    <w:rsid w:val="003445CC"/>
    <w:rsid w:val="0034476D"/>
    <w:rsid w:val="00344AF4"/>
    <w:rsid w:val="00344D39"/>
    <w:rsid w:val="00344EB9"/>
    <w:rsid w:val="003450F8"/>
    <w:rsid w:val="00345510"/>
    <w:rsid w:val="003458DE"/>
    <w:rsid w:val="003458E6"/>
    <w:rsid w:val="003459AF"/>
    <w:rsid w:val="00345C96"/>
    <w:rsid w:val="00345CC5"/>
    <w:rsid w:val="003466F2"/>
    <w:rsid w:val="003468D9"/>
    <w:rsid w:val="00346970"/>
    <w:rsid w:val="00346E85"/>
    <w:rsid w:val="00350562"/>
    <w:rsid w:val="00350C6D"/>
    <w:rsid w:val="003511F6"/>
    <w:rsid w:val="00351CF8"/>
    <w:rsid w:val="003522E0"/>
    <w:rsid w:val="00352664"/>
    <w:rsid w:val="0035267B"/>
    <w:rsid w:val="00352754"/>
    <w:rsid w:val="00352D78"/>
    <w:rsid w:val="00353487"/>
    <w:rsid w:val="0035359C"/>
    <w:rsid w:val="00353A66"/>
    <w:rsid w:val="00353DF0"/>
    <w:rsid w:val="00353F94"/>
    <w:rsid w:val="0035422C"/>
    <w:rsid w:val="003542A5"/>
    <w:rsid w:val="00355689"/>
    <w:rsid w:val="003559A9"/>
    <w:rsid w:val="00355B86"/>
    <w:rsid w:val="00356059"/>
    <w:rsid w:val="00356433"/>
    <w:rsid w:val="003564CF"/>
    <w:rsid w:val="00356F50"/>
    <w:rsid w:val="0035711C"/>
    <w:rsid w:val="00357EB3"/>
    <w:rsid w:val="0036059F"/>
    <w:rsid w:val="003614B4"/>
    <w:rsid w:val="00361E0E"/>
    <w:rsid w:val="003628EB"/>
    <w:rsid w:val="00362D58"/>
    <w:rsid w:val="00362DAD"/>
    <w:rsid w:val="00363192"/>
    <w:rsid w:val="003633CF"/>
    <w:rsid w:val="0036375A"/>
    <w:rsid w:val="00363B2A"/>
    <w:rsid w:val="00363CC9"/>
    <w:rsid w:val="00363DAD"/>
    <w:rsid w:val="00363F26"/>
    <w:rsid w:val="00364B92"/>
    <w:rsid w:val="003651CB"/>
    <w:rsid w:val="00365210"/>
    <w:rsid w:val="00366A00"/>
    <w:rsid w:val="003673D6"/>
    <w:rsid w:val="003673F5"/>
    <w:rsid w:val="003678AF"/>
    <w:rsid w:val="003701DE"/>
    <w:rsid w:val="00370BD1"/>
    <w:rsid w:val="00371979"/>
    <w:rsid w:val="00371A23"/>
    <w:rsid w:val="00371B55"/>
    <w:rsid w:val="00371DA7"/>
    <w:rsid w:val="00371E00"/>
    <w:rsid w:val="0037208A"/>
    <w:rsid w:val="00372EAA"/>
    <w:rsid w:val="003735CB"/>
    <w:rsid w:val="00373861"/>
    <w:rsid w:val="00373A23"/>
    <w:rsid w:val="00374263"/>
    <w:rsid w:val="003742BC"/>
    <w:rsid w:val="00374532"/>
    <w:rsid w:val="00374D8C"/>
    <w:rsid w:val="0037557A"/>
    <w:rsid w:val="00375832"/>
    <w:rsid w:val="00375FFA"/>
    <w:rsid w:val="00376166"/>
    <w:rsid w:val="00376309"/>
    <w:rsid w:val="00376B99"/>
    <w:rsid w:val="00376F92"/>
    <w:rsid w:val="003775BC"/>
    <w:rsid w:val="003777F0"/>
    <w:rsid w:val="00377A69"/>
    <w:rsid w:val="00377B58"/>
    <w:rsid w:val="003802D2"/>
    <w:rsid w:val="0038037C"/>
    <w:rsid w:val="003818FA"/>
    <w:rsid w:val="00381A6B"/>
    <w:rsid w:val="00381E33"/>
    <w:rsid w:val="0038205A"/>
    <w:rsid w:val="0038210D"/>
    <w:rsid w:val="003822B5"/>
    <w:rsid w:val="00382463"/>
    <w:rsid w:val="00382BA1"/>
    <w:rsid w:val="00382C2E"/>
    <w:rsid w:val="00382CC0"/>
    <w:rsid w:val="00382DF0"/>
    <w:rsid w:val="003833C8"/>
    <w:rsid w:val="003834D8"/>
    <w:rsid w:val="00383733"/>
    <w:rsid w:val="00383B20"/>
    <w:rsid w:val="00383B92"/>
    <w:rsid w:val="00383CAB"/>
    <w:rsid w:val="00384975"/>
    <w:rsid w:val="0038503C"/>
    <w:rsid w:val="003853E1"/>
    <w:rsid w:val="0038552A"/>
    <w:rsid w:val="00385BEA"/>
    <w:rsid w:val="00386C0A"/>
    <w:rsid w:val="00386CCE"/>
    <w:rsid w:val="00386FFF"/>
    <w:rsid w:val="00387515"/>
    <w:rsid w:val="00387808"/>
    <w:rsid w:val="00387AE5"/>
    <w:rsid w:val="00387B78"/>
    <w:rsid w:val="003904E7"/>
    <w:rsid w:val="003905EA"/>
    <w:rsid w:val="00390807"/>
    <w:rsid w:val="003909E2"/>
    <w:rsid w:val="00391100"/>
    <w:rsid w:val="00391755"/>
    <w:rsid w:val="003919A7"/>
    <w:rsid w:val="00391C41"/>
    <w:rsid w:val="00392910"/>
    <w:rsid w:val="00392A4B"/>
    <w:rsid w:val="003931A4"/>
    <w:rsid w:val="00394062"/>
    <w:rsid w:val="00394380"/>
    <w:rsid w:val="00394443"/>
    <w:rsid w:val="003948B0"/>
    <w:rsid w:val="00395171"/>
    <w:rsid w:val="003965AF"/>
    <w:rsid w:val="003970B8"/>
    <w:rsid w:val="003971C1"/>
    <w:rsid w:val="0039799D"/>
    <w:rsid w:val="003A040C"/>
    <w:rsid w:val="003A04B2"/>
    <w:rsid w:val="003A0CA4"/>
    <w:rsid w:val="003A0FA1"/>
    <w:rsid w:val="003A1609"/>
    <w:rsid w:val="003A18DC"/>
    <w:rsid w:val="003A1B45"/>
    <w:rsid w:val="003A1C93"/>
    <w:rsid w:val="003A1CF0"/>
    <w:rsid w:val="003A212B"/>
    <w:rsid w:val="003A2931"/>
    <w:rsid w:val="003A2B7A"/>
    <w:rsid w:val="003A2C09"/>
    <w:rsid w:val="003A3704"/>
    <w:rsid w:val="003A397C"/>
    <w:rsid w:val="003A39D7"/>
    <w:rsid w:val="003A3D58"/>
    <w:rsid w:val="003A46A6"/>
    <w:rsid w:val="003A4CFB"/>
    <w:rsid w:val="003A4F8C"/>
    <w:rsid w:val="003A50F5"/>
    <w:rsid w:val="003A531E"/>
    <w:rsid w:val="003A647F"/>
    <w:rsid w:val="003A6594"/>
    <w:rsid w:val="003A6EB4"/>
    <w:rsid w:val="003A6FFB"/>
    <w:rsid w:val="003A72AD"/>
    <w:rsid w:val="003A7F77"/>
    <w:rsid w:val="003B040D"/>
    <w:rsid w:val="003B0752"/>
    <w:rsid w:val="003B0812"/>
    <w:rsid w:val="003B0C87"/>
    <w:rsid w:val="003B1AD2"/>
    <w:rsid w:val="003B1C7D"/>
    <w:rsid w:val="003B1F8F"/>
    <w:rsid w:val="003B21BE"/>
    <w:rsid w:val="003B262A"/>
    <w:rsid w:val="003B2754"/>
    <w:rsid w:val="003B295D"/>
    <w:rsid w:val="003B2C85"/>
    <w:rsid w:val="003B2D10"/>
    <w:rsid w:val="003B3D47"/>
    <w:rsid w:val="003B5123"/>
    <w:rsid w:val="003B51EE"/>
    <w:rsid w:val="003B5595"/>
    <w:rsid w:val="003B59F8"/>
    <w:rsid w:val="003B5CEA"/>
    <w:rsid w:val="003B614F"/>
    <w:rsid w:val="003B6BC1"/>
    <w:rsid w:val="003B6E07"/>
    <w:rsid w:val="003B6EE0"/>
    <w:rsid w:val="003B7379"/>
    <w:rsid w:val="003B73B5"/>
    <w:rsid w:val="003B73C3"/>
    <w:rsid w:val="003C010D"/>
    <w:rsid w:val="003C021A"/>
    <w:rsid w:val="003C075E"/>
    <w:rsid w:val="003C0B01"/>
    <w:rsid w:val="003C140D"/>
    <w:rsid w:val="003C14F1"/>
    <w:rsid w:val="003C16CD"/>
    <w:rsid w:val="003C1F94"/>
    <w:rsid w:val="003C267E"/>
    <w:rsid w:val="003C33AD"/>
    <w:rsid w:val="003C36B2"/>
    <w:rsid w:val="003C38F2"/>
    <w:rsid w:val="003C3987"/>
    <w:rsid w:val="003C3C24"/>
    <w:rsid w:val="003C47E3"/>
    <w:rsid w:val="003C570E"/>
    <w:rsid w:val="003C5725"/>
    <w:rsid w:val="003C57F6"/>
    <w:rsid w:val="003C6364"/>
    <w:rsid w:val="003C64E7"/>
    <w:rsid w:val="003C75B6"/>
    <w:rsid w:val="003C7BB9"/>
    <w:rsid w:val="003C7BDE"/>
    <w:rsid w:val="003C7D4B"/>
    <w:rsid w:val="003C7DD1"/>
    <w:rsid w:val="003C7E5B"/>
    <w:rsid w:val="003D01EC"/>
    <w:rsid w:val="003D044E"/>
    <w:rsid w:val="003D07A5"/>
    <w:rsid w:val="003D09A4"/>
    <w:rsid w:val="003D0C72"/>
    <w:rsid w:val="003D16C2"/>
    <w:rsid w:val="003D1B01"/>
    <w:rsid w:val="003D1FDF"/>
    <w:rsid w:val="003D21AB"/>
    <w:rsid w:val="003D22E7"/>
    <w:rsid w:val="003D2856"/>
    <w:rsid w:val="003D28FD"/>
    <w:rsid w:val="003D35AA"/>
    <w:rsid w:val="003D3BB7"/>
    <w:rsid w:val="003D425A"/>
    <w:rsid w:val="003D45A7"/>
    <w:rsid w:val="003D4B93"/>
    <w:rsid w:val="003D589F"/>
    <w:rsid w:val="003D5ECC"/>
    <w:rsid w:val="003D62FD"/>
    <w:rsid w:val="003D65A9"/>
    <w:rsid w:val="003D6669"/>
    <w:rsid w:val="003D6937"/>
    <w:rsid w:val="003D73BF"/>
    <w:rsid w:val="003D74A4"/>
    <w:rsid w:val="003D75BA"/>
    <w:rsid w:val="003D7B51"/>
    <w:rsid w:val="003D7BFB"/>
    <w:rsid w:val="003E07F5"/>
    <w:rsid w:val="003E085B"/>
    <w:rsid w:val="003E0E08"/>
    <w:rsid w:val="003E0FD2"/>
    <w:rsid w:val="003E1A8D"/>
    <w:rsid w:val="003E1C74"/>
    <w:rsid w:val="003E2494"/>
    <w:rsid w:val="003E24E7"/>
    <w:rsid w:val="003E2EDB"/>
    <w:rsid w:val="003E3368"/>
    <w:rsid w:val="003E338D"/>
    <w:rsid w:val="003E3937"/>
    <w:rsid w:val="003E3BFD"/>
    <w:rsid w:val="003E4FDD"/>
    <w:rsid w:val="003E5257"/>
    <w:rsid w:val="003E5664"/>
    <w:rsid w:val="003E60A6"/>
    <w:rsid w:val="003E68BC"/>
    <w:rsid w:val="003E72A2"/>
    <w:rsid w:val="003E7DAC"/>
    <w:rsid w:val="003F0347"/>
    <w:rsid w:val="003F0E28"/>
    <w:rsid w:val="003F0F86"/>
    <w:rsid w:val="003F137F"/>
    <w:rsid w:val="003F1ECC"/>
    <w:rsid w:val="003F252D"/>
    <w:rsid w:val="003F48FE"/>
    <w:rsid w:val="003F4ACA"/>
    <w:rsid w:val="003F55BC"/>
    <w:rsid w:val="003F56E9"/>
    <w:rsid w:val="003F61E7"/>
    <w:rsid w:val="003F664A"/>
    <w:rsid w:val="003F6A93"/>
    <w:rsid w:val="003F6B15"/>
    <w:rsid w:val="003F6B1D"/>
    <w:rsid w:val="003F6F2D"/>
    <w:rsid w:val="003F75A7"/>
    <w:rsid w:val="003F788E"/>
    <w:rsid w:val="004001BC"/>
    <w:rsid w:val="004005DD"/>
    <w:rsid w:val="004009EB"/>
    <w:rsid w:val="00400DC2"/>
    <w:rsid w:val="004014F7"/>
    <w:rsid w:val="00401715"/>
    <w:rsid w:val="00401763"/>
    <w:rsid w:val="00401D8B"/>
    <w:rsid w:val="0040233E"/>
    <w:rsid w:val="004025FE"/>
    <w:rsid w:val="0040349C"/>
    <w:rsid w:val="0040388C"/>
    <w:rsid w:val="0040394D"/>
    <w:rsid w:val="0040430F"/>
    <w:rsid w:val="00404B7C"/>
    <w:rsid w:val="00404D36"/>
    <w:rsid w:val="0040502B"/>
    <w:rsid w:val="004053BA"/>
    <w:rsid w:val="00405CA1"/>
    <w:rsid w:val="0040684F"/>
    <w:rsid w:val="00407003"/>
    <w:rsid w:val="004073FF"/>
    <w:rsid w:val="00407BEA"/>
    <w:rsid w:val="00407FDE"/>
    <w:rsid w:val="00410051"/>
    <w:rsid w:val="0041012B"/>
    <w:rsid w:val="004102FD"/>
    <w:rsid w:val="00410E6B"/>
    <w:rsid w:val="00410E8A"/>
    <w:rsid w:val="004113B9"/>
    <w:rsid w:val="00411958"/>
    <w:rsid w:val="00411D37"/>
    <w:rsid w:val="00412272"/>
    <w:rsid w:val="004123FD"/>
    <w:rsid w:val="00412733"/>
    <w:rsid w:val="0041283C"/>
    <w:rsid w:val="00412A9F"/>
    <w:rsid w:val="0041304C"/>
    <w:rsid w:val="004134F7"/>
    <w:rsid w:val="0041382D"/>
    <w:rsid w:val="00414393"/>
    <w:rsid w:val="004152BF"/>
    <w:rsid w:val="00415C11"/>
    <w:rsid w:val="004167AA"/>
    <w:rsid w:val="00417A44"/>
    <w:rsid w:val="00417F7F"/>
    <w:rsid w:val="004204D3"/>
    <w:rsid w:val="00420562"/>
    <w:rsid w:val="0042094D"/>
    <w:rsid w:val="0042124E"/>
    <w:rsid w:val="0042146C"/>
    <w:rsid w:val="00421F7B"/>
    <w:rsid w:val="004224A6"/>
    <w:rsid w:val="00422B8B"/>
    <w:rsid w:val="00422E05"/>
    <w:rsid w:val="00423215"/>
    <w:rsid w:val="004236F7"/>
    <w:rsid w:val="00424A1C"/>
    <w:rsid w:val="00424F89"/>
    <w:rsid w:val="0042562A"/>
    <w:rsid w:val="0042589C"/>
    <w:rsid w:val="00425ABF"/>
    <w:rsid w:val="00426455"/>
    <w:rsid w:val="00426872"/>
    <w:rsid w:val="004271A4"/>
    <w:rsid w:val="004275FA"/>
    <w:rsid w:val="00427A67"/>
    <w:rsid w:val="00427AEE"/>
    <w:rsid w:val="00427BEE"/>
    <w:rsid w:val="00427D93"/>
    <w:rsid w:val="00427F30"/>
    <w:rsid w:val="004303E0"/>
    <w:rsid w:val="004307CC"/>
    <w:rsid w:val="00430C50"/>
    <w:rsid w:val="00430F9D"/>
    <w:rsid w:val="00432134"/>
    <w:rsid w:val="004323AD"/>
    <w:rsid w:val="00432D57"/>
    <w:rsid w:val="00432D82"/>
    <w:rsid w:val="004336BD"/>
    <w:rsid w:val="004338DB"/>
    <w:rsid w:val="00433919"/>
    <w:rsid w:val="00433C81"/>
    <w:rsid w:val="00434399"/>
    <w:rsid w:val="004344CF"/>
    <w:rsid w:val="004346FB"/>
    <w:rsid w:val="004349C6"/>
    <w:rsid w:val="00434BE6"/>
    <w:rsid w:val="00434F66"/>
    <w:rsid w:val="00435BF3"/>
    <w:rsid w:val="00435DAD"/>
    <w:rsid w:val="00435F90"/>
    <w:rsid w:val="004360DC"/>
    <w:rsid w:val="0043668B"/>
    <w:rsid w:val="00436DD1"/>
    <w:rsid w:val="0043705A"/>
    <w:rsid w:val="0043723A"/>
    <w:rsid w:val="00437264"/>
    <w:rsid w:val="00437A1D"/>
    <w:rsid w:val="00437FD9"/>
    <w:rsid w:val="00440BD0"/>
    <w:rsid w:val="00441279"/>
    <w:rsid w:val="004412F6"/>
    <w:rsid w:val="00441A94"/>
    <w:rsid w:val="00441D27"/>
    <w:rsid w:val="00441FBF"/>
    <w:rsid w:val="00443660"/>
    <w:rsid w:val="00443CFA"/>
    <w:rsid w:val="00444053"/>
    <w:rsid w:val="00444973"/>
    <w:rsid w:val="00445A75"/>
    <w:rsid w:val="00446463"/>
    <w:rsid w:val="0044655A"/>
    <w:rsid w:val="004465C9"/>
    <w:rsid w:val="004467EE"/>
    <w:rsid w:val="00446AE0"/>
    <w:rsid w:val="00446EC8"/>
    <w:rsid w:val="00447A47"/>
    <w:rsid w:val="00447D77"/>
    <w:rsid w:val="00447D7D"/>
    <w:rsid w:val="00447DCC"/>
    <w:rsid w:val="00450327"/>
    <w:rsid w:val="00450F62"/>
    <w:rsid w:val="004510DA"/>
    <w:rsid w:val="00451BA9"/>
    <w:rsid w:val="00451F0A"/>
    <w:rsid w:val="00451FA3"/>
    <w:rsid w:val="00452563"/>
    <w:rsid w:val="004526C8"/>
    <w:rsid w:val="004527A5"/>
    <w:rsid w:val="004527DD"/>
    <w:rsid w:val="004529B1"/>
    <w:rsid w:val="00453650"/>
    <w:rsid w:val="0045385C"/>
    <w:rsid w:val="00453AB0"/>
    <w:rsid w:val="00453BC0"/>
    <w:rsid w:val="00454487"/>
    <w:rsid w:val="00454633"/>
    <w:rsid w:val="00454B84"/>
    <w:rsid w:val="00454EAA"/>
    <w:rsid w:val="00454F86"/>
    <w:rsid w:val="00455523"/>
    <w:rsid w:val="0045565D"/>
    <w:rsid w:val="00456350"/>
    <w:rsid w:val="004565F0"/>
    <w:rsid w:val="004566C3"/>
    <w:rsid w:val="0045693A"/>
    <w:rsid w:val="00456A27"/>
    <w:rsid w:val="00456D55"/>
    <w:rsid w:val="00456F5A"/>
    <w:rsid w:val="0045743B"/>
    <w:rsid w:val="00460623"/>
    <w:rsid w:val="00460E4C"/>
    <w:rsid w:val="00460EC8"/>
    <w:rsid w:val="004615C6"/>
    <w:rsid w:val="004627FF"/>
    <w:rsid w:val="004631F8"/>
    <w:rsid w:val="00463A11"/>
    <w:rsid w:val="00463F18"/>
    <w:rsid w:val="0046453F"/>
    <w:rsid w:val="00464FD9"/>
    <w:rsid w:val="004657DF"/>
    <w:rsid w:val="00465A21"/>
    <w:rsid w:val="00466696"/>
    <w:rsid w:val="004666F7"/>
    <w:rsid w:val="0046721A"/>
    <w:rsid w:val="004672A0"/>
    <w:rsid w:val="0046776A"/>
    <w:rsid w:val="00467B12"/>
    <w:rsid w:val="0047008B"/>
    <w:rsid w:val="004702E7"/>
    <w:rsid w:val="00470C08"/>
    <w:rsid w:val="00470C8D"/>
    <w:rsid w:val="00470F04"/>
    <w:rsid w:val="004714E9"/>
    <w:rsid w:val="00471D4D"/>
    <w:rsid w:val="00472538"/>
    <w:rsid w:val="004728E9"/>
    <w:rsid w:val="00473224"/>
    <w:rsid w:val="004733C0"/>
    <w:rsid w:val="0047376C"/>
    <w:rsid w:val="00473897"/>
    <w:rsid w:val="00473BB9"/>
    <w:rsid w:val="00474731"/>
    <w:rsid w:val="00474E00"/>
    <w:rsid w:val="00474FAE"/>
    <w:rsid w:val="004750F0"/>
    <w:rsid w:val="00475421"/>
    <w:rsid w:val="00475A80"/>
    <w:rsid w:val="00475ACE"/>
    <w:rsid w:val="00475CEC"/>
    <w:rsid w:val="00475EAB"/>
    <w:rsid w:val="00475FD0"/>
    <w:rsid w:val="00476C7D"/>
    <w:rsid w:val="00477344"/>
    <w:rsid w:val="004773F4"/>
    <w:rsid w:val="00477876"/>
    <w:rsid w:val="0047793F"/>
    <w:rsid w:val="004800A3"/>
    <w:rsid w:val="004804E2"/>
    <w:rsid w:val="00480786"/>
    <w:rsid w:val="004807D3"/>
    <w:rsid w:val="0048086E"/>
    <w:rsid w:val="00480B3F"/>
    <w:rsid w:val="00480BA1"/>
    <w:rsid w:val="004812F1"/>
    <w:rsid w:val="004814A1"/>
    <w:rsid w:val="00481538"/>
    <w:rsid w:val="00481A41"/>
    <w:rsid w:val="00481B75"/>
    <w:rsid w:val="004827A8"/>
    <w:rsid w:val="00482A2E"/>
    <w:rsid w:val="00482EBE"/>
    <w:rsid w:val="00483669"/>
    <w:rsid w:val="00483905"/>
    <w:rsid w:val="0048420B"/>
    <w:rsid w:val="00484592"/>
    <w:rsid w:val="00484748"/>
    <w:rsid w:val="00485A77"/>
    <w:rsid w:val="00485D8D"/>
    <w:rsid w:val="00486078"/>
    <w:rsid w:val="0048618A"/>
    <w:rsid w:val="004861B0"/>
    <w:rsid w:val="0048621F"/>
    <w:rsid w:val="0048772A"/>
    <w:rsid w:val="0049011F"/>
    <w:rsid w:val="004901E9"/>
    <w:rsid w:val="00490313"/>
    <w:rsid w:val="00490471"/>
    <w:rsid w:val="00490567"/>
    <w:rsid w:val="004907BB"/>
    <w:rsid w:val="004907F5"/>
    <w:rsid w:val="00490A59"/>
    <w:rsid w:val="00490BDE"/>
    <w:rsid w:val="00491A98"/>
    <w:rsid w:val="004921EC"/>
    <w:rsid w:val="00492A1B"/>
    <w:rsid w:val="00492B50"/>
    <w:rsid w:val="004935A7"/>
    <w:rsid w:val="00493732"/>
    <w:rsid w:val="00494BE8"/>
    <w:rsid w:val="00494DE5"/>
    <w:rsid w:val="00495264"/>
    <w:rsid w:val="004955AC"/>
    <w:rsid w:val="004958AE"/>
    <w:rsid w:val="00495A64"/>
    <w:rsid w:val="00495DCF"/>
    <w:rsid w:val="004969BD"/>
    <w:rsid w:val="0049703D"/>
    <w:rsid w:val="00497173"/>
    <w:rsid w:val="004977F0"/>
    <w:rsid w:val="004A0165"/>
    <w:rsid w:val="004A11FE"/>
    <w:rsid w:val="004A1331"/>
    <w:rsid w:val="004A13D5"/>
    <w:rsid w:val="004A14FA"/>
    <w:rsid w:val="004A169E"/>
    <w:rsid w:val="004A2082"/>
    <w:rsid w:val="004A23D6"/>
    <w:rsid w:val="004A26E4"/>
    <w:rsid w:val="004A299B"/>
    <w:rsid w:val="004A2F3F"/>
    <w:rsid w:val="004A2F88"/>
    <w:rsid w:val="004A3068"/>
    <w:rsid w:val="004A3306"/>
    <w:rsid w:val="004A3419"/>
    <w:rsid w:val="004A348F"/>
    <w:rsid w:val="004A385D"/>
    <w:rsid w:val="004A423C"/>
    <w:rsid w:val="004A45AC"/>
    <w:rsid w:val="004A4A26"/>
    <w:rsid w:val="004A4E43"/>
    <w:rsid w:val="004A52C5"/>
    <w:rsid w:val="004A5711"/>
    <w:rsid w:val="004A5875"/>
    <w:rsid w:val="004A5A3F"/>
    <w:rsid w:val="004A5DE0"/>
    <w:rsid w:val="004A6017"/>
    <w:rsid w:val="004A6051"/>
    <w:rsid w:val="004A619A"/>
    <w:rsid w:val="004A627C"/>
    <w:rsid w:val="004A7378"/>
    <w:rsid w:val="004A7A03"/>
    <w:rsid w:val="004A7B10"/>
    <w:rsid w:val="004A7B75"/>
    <w:rsid w:val="004B04A3"/>
    <w:rsid w:val="004B0D56"/>
    <w:rsid w:val="004B0E00"/>
    <w:rsid w:val="004B101C"/>
    <w:rsid w:val="004B1394"/>
    <w:rsid w:val="004B1C01"/>
    <w:rsid w:val="004B1F83"/>
    <w:rsid w:val="004B247C"/>
    <w:rsid w:val="004B2B84"/>
    <w:rsid w:val="004B2BA7"/>
    <w:rsid w:val="004B307D"/>
    <w:rsid w:val="004B3566"/>
    <w:rsid w:val="004B3BA1"/>
    <w:rsid w:val="004B3F36"/>
    <w:rsid w:val="004B42C1"/>
    <w:rsid w:val="004B4925"/>
    <w:rsid w:val="004B5C0B"/>
    <w:rsid w:val="004B5C82"/>
    <w:rsid w:val="004B5DB7"/>
    <w:rsid w:val="004B5E66"/>
    <w:rsid w:val="004B5F7F"/>
    <w:rsid w:val="004B5FF5"/>
    <w:rsid w:val="004B6285"/>
    <w:rsid w:val="004B6DBC"/>
    <w:rsid w:val="004B71EB"/>
    <w:rsid w:val="004B74A7"/>
    <w:rsid w:val="004B7627"/>
    <w:rsid w:val="004C04EC"/>
    <w:rsid w:val="004C06B5"/>
    <w:rsid w:val="004C0898"/>
    <w:rsid w:val="004C1514"/>
    <w:rsid w:val="004C1EC9"/>
    <w:rsid w:val="004C2076"/>
    <w:rsid w:val="004C2310"/>
    <w:rsid w:val="004C24A6"/>
    <w:rsid w:val="004C2B50"/>
    <w:rsid w:val="004C3205"/>
    <w:rsid w:val="004C3CFF"/>
    <w:rsid w:val="004C40A5"/>
    <w:rsid w:val="004C4726"/>
    <w:rsid w:val="004C47E4"/>
    <w:rsid w:val="004C4AE2"/>
    <w:rsid w:val="004C4D10"/>
    <w:rsid w:val="004C5E93"/>
    <w:rsid w:val="004C6116"/>
    <w:rsid w:val="004C617E"/>
    <w:rsid w:val="004C623E"/>
    <w:rsid w:val="004C6912"/>
    <w:rsid w:val="004C6BFE"/>
    <w:rsid w:val="004C6E4F"/>
    <w:rsid w:val="004C7230"/>
    <w:rsid w:val="004C7316"/>
    <w:rsid w:val="004C73D4"/>
    <w:rsid w:val="004C78C2"/>
    <w:rsid w:val="004C7D00"/>
    <w:rsid w:val="004C7D4B"/>
    <w:rsid w:val="004D0195"/>
    <w:rsid w:val="004D0617"/>
    <w:rsid w:val="004D0A21"/>
    <w:rsid w:val="004D0D91"/>
    <w:rsid w:val="004D0D98"/>
    <w:rsid w:val="004D113B"/>
    <w:rsid w:val="004D1D88"/>
    <w:rsid w:val="004D2139"/>
    <w:rsid w:val="004D2DBD"/>
    <w:rsid w:val="004D34BB"/>
    <w:rsid w:val="004D34C5"/>
    <w:rsid w:val="004D35B9"/>
    <w:rsid w:val="004D38F1"/>
    <w:rsid w:val="004D3A54"/>
    <w:rsid w:val="004D43A6"/>
    <w:rsid w:val="004D4A2D"/>
    <w:rsid w:val="004D5081"/>
    <w:rsid w:val="004D5206"/>
    <w:rsid w:val="004D6EBD"/>
    <w:rsid w:val="004D714D"/>
    <w:rsid w:val="004D7670"/>
    <w:rsid w:val="004D790F"/>
    <w:rsid w:val="004D79FE"/>
    <w:rsid w:val="004D7C2B"/>
    <w:rsid w:val="004D7E89"/>
    <w:rsid w:val="004D7F68"/>
    <w:rsid w:val="004E0397"/>
    <w:rsid w:val="004E03CD"/>
    <w:rsid w:val="004E0681"/>
    <w:rsid w:val="004E1777"/>
    <w:rsid w:val="004E274B"/>
    <w:rsid w:val="004E2952"/>
    <w:rsid w:val="004E2A14"/>
    <w:rsid w:val="004E3447"/>
    <w:rsid w:val="004E3B52"/>
    <w:rsid w:val="004E46E5"/>
    <w:rsid w:val="004E4EB4"/>
    <w:rsid w:val="004E5025"/>
    <w:rsid w:val="004E672A"/>
    <w:rsid w:val="004E69A1"/>
    <w:rsid w:val="004E6F24"/>
    <w:rsid w:val="004E7028"/>
    <w:rsid w:val="004E7706"/>
    <w:rsid w:val="004E7AD6"/>
    <w:rsid w:val="004E7F04"/>
    <w:rsid w:val="004F03AD"/>
    <w:rsid w:val="004F0978"/>
    <w:rsid w:val="004F0D0C"/>
    <w:rsid w:val="004F185A"/>
    <w:rsid w:val="004F1B84"/>
    <w:rsid w:val="004F247F"/>
    <w:rsid w:val="004F25FF"/>
    <w:rsid w:val="004F262A"/>
    <w:rsid w:val="004F2DFD"/>
    <w:rsid w:val="004F372C"/>
    <w:rsid w:val="004F3BBA"/>
    <w:rsid w:val="004F49F2"/>
    <w:rsid w:val="004F54DD"/>
    <w:rsid w:val="004F553C"/>
    <w:rsid w:val="004F55B2"/>
    <w:rsid w:val="004F5707"/>
    <w:rsid w:val="004F5BC6"/>
    <w:rsid w:val="004F61AA"/>
    <w:rsid w:val="004F67AE"/>
    <w:rsid w:val="004F6F88"/>
    <w:rsid w:val="004F73B7"/>
    <w:rsid w:val="004F73C2"/>
    <w:rsid w:val="004F79EF"/>
    <w:rsid w:val="004F7A13"/>
    <w:rsid w:val="004F7AEF"/>
    <w:rsid w:val="004F7B34"/>
    <w:rsid w:val="004F7CA1"/>
    <w:rsid w:val="0050015D"/>
    <w:rsid w:val="005005BB"/>
    <w:rsid w:val="00500A35"/>
    <w:rsid w:val="00500CB7"/>
    <w:rsid w:val="00500D87"/>
    <w:rsid w:val="00502321"/>
    <w:rsid w:val="00502D4E"/>
    <w:rsid w:val="00503B6D"/>
    <w:rsid w:val="00504293"/>
    <w:rsid w:val="005049EB"/>
    <w:rsid w:val="00505664"/>
    <w:rsid w:val="00505D43"/>
    <w:rsid w:val="00505D4F"/>
    <w:rsid w:val="00505E73"/>
    <w:rsid w:val="005061E8"/>
    <w:rsid w:val="00506523"/>
    <w:rsid w:val="00506D00"/>
    <w:rsid w:val="00510284"/>
    <w:rsid w:val="00510533"/>
    <w:rsid w:val="00510CA5"/>
    <w:rsid w:val="0051121F"/>
    <w:rsid w:val="005118A0"/>
    <w:rsid w:val="00511919"/>
    <w:rsid w:val="00511F91"/>
    <w:rsid w:val="005124C6"/>
    <w:rsid w:val="005126C2"/>
    <w:rsid w:val="005127DF"/>
    <w:rsid w:val="005128C4"/>
    <w:rsid w:val="00512BAE"/>
    <w:rsid w:val="00513F59"/>
    <w:rsid w:val="005140D0"/>
    <w:rsid w:val="005142DE"/>
    <w:rsid w:val="005144C8"/>
    <w:rsid w:val="005144D3"/>
    <w:rsid w:val="00515E8C"/>
    <w:rsid w:val="005160DB"/>
    <w:rsid w:val="00516AF1"/>
    <w:rsid w:val="005171E3"/>
    <w:rsid w:val="005179C1"/>
    <w:rsid w:val="00517F0C"/>
    <w:rsid w:val="00517FF3"/>
    <w:rsid w:val="005202D7"/>
    <w:rsid w:val="0052043F"/>
    <w:rsid w:val="005209B9"/>
    <w:rsid w:val="005215F9"/>
    <w:rsid w:val="00521A01"/>
    <w:rsid w:val="00522D2B"/>
    <w:rsid w:val="005233CE"/>
    <w:rsid w:val="0052399A"/>
    <w:rsid w:val="00523B97"/>
    <w:rsid w:val="00523CC3"/>
    <w:rsid w:val="00523F95"/>
    <w:rsid w:val="00524189"/>
    <w:rsid w:val="0052544A"/>
    <w:rsid w:val="0052593D"/>
    <w:rsid w:val="005259C7"/>
    <w:rsid w:val="00527F83"/>
    <w:rsid w:val="005301FE"/>
    <w:rsid w:val="0053073D"/>
    <w:rsid w:val="005308EC"/>
    <w:rsid w:val="00530981"/>
    <w:rsid w:val="00531E0F"/>
    <w:rsid w:val="00531EF9"/>
    <w:rsid w:val="00531FFC"/>
    <w:rsid w:val="00532302"/>
    <w:rsid w:val="005324A8"/>
    <w:rsid w:val="00532725"/>
    <w:rsid w:val="0053345B"/>
    <w:rsid w:val="005336D1"/>
    <w:rsid w:val="0053386A"/>
    <w:rsid w:val="00533A4A"/>
    <w:rsid w:val="005341CD"/>
    <w:rsid w:val="00534288"/>
    <w:rsid w:val="005346F7"/>
    <w:rsid w:val="00534705"/>
    <w:rsid w:val="00534AB2"/>
    <w:rsid w:val="00534E96"/>
    <w:rsid w:val="005350BF"/>
    <w:rsid w:val="005354EE"/>
    <w:rsid w:val="00535618"/>
    <w:rsid w:val="005357E0"/>
    <w:rsid w:val="0053653A"/>
    <w:rsid w:val="00536C76"/>
    <w:rsid w:val="00537375"/>
    <w:rsid w:val="0053749F"/>
    <w:rsid w:val="00537C63"/>
    <w:rsid w:val="00537C7D"/>
    <w:rsid w:val="00537D01"/>
    <w:rsid w:val="00537D4C"/>
    <w:rsid w:val="00537D8B"/>
    <w:rsid w:val="00537DDE"/>
    <w:rsid w:val="00540394"/>
    <w:rsid w:val="005404CE"/>
    <w:rsid w:val="0054050C"/>
    <w:rsid w:val="005406C6"/>
    <w:rsid w:val="0054088C"/>
    <w:rsid w:val="00540940"/>
    <w:rsid w:val="005411E2"/>
    <w:rsid w:val="005411ED"/>
    <w:rsid w:val="005414D7"/>
    <w:rsid w:val="00541A95"/>
    <w:rsid w:val="00542103"/>
    <w:rsid w:val="00542411"/>
    <w:rsid w:val="00542773"/>
    <w:rsid w:val="005427FD"/>
    <w:rsid w:val="00543142"/>
    <w:rsid w:val="00543181"/>
    <w:rsid w:val="0054372D"/>
    <w:rsid w:val="00544250"/>
    <w:rsid w:val="005447BF"/>
    <w:rsid w:val="00544966"/>
    <w:rsid w:val="00545CA7"/>
    <w:rsid w:val="005462AC"/>
    <w:rsid w:val="005467FD"/>
    <w:rsid w:val="005470A3"/>
    <w:rsid w:val="005475F9"/>
    <w:rsid w:val="0054767A"/>
    <w:rsid w:val="00547850"/>
    <w:rsid w:val="005503A3"/>
    <w:rsid w:val="0055050C"/>
    <w:rsid w:val="00550DD0"/>
    <w:rsid w:val="00551C23"/>
    <w:rsid w:val="0055204F"/>
    <w:rsid w:val="00552457"/>
    <w:rsid w:val="0055256E"/>
    <w:rsid w:val="00552936"/>
    <w:rsid w:val="00552CF6"/>
    <w:rsid w:val="005531E9"/>
    <w:rsid w:val="0055339B"/>
    <w:rsid w:val="00553B7A"/>
    <w:rsid w:val="00553C4F"/>
    <w:rsid w:val="00553FAF"/>
    <w:rsid w:val="00554A79"/>
    <w:rsid w:val="005553CC"/>
    <w:rsid w:val="00555520"/>
    <w:rsid w:val="00555BC1"/>
    <w:rsid w:val="0055615C"/>
    <w:rsid w:val="00556433"/>
    <w:rsid w:val="00556E64"/>
    <w:rsid w:val="005570EC"/>
    <w:rsid w:val="00557BFB"/>
    <w:rsid w:val="005603BC"/>
    <w:rsid w:val="00560581"/>
    <w:rsid w:val="005610CC"/>
    <w:rsid w:val="0056138C"/>
    <w:rsid w:val="00561396"/>
    <w:rsid w:val="00561453"/>
    <w:rsid w:val="0056160F"/>
    <w:rsid w:val="005621E2"/>
    <w:rsid w:val="00562420"/>
    <w:rsid w:val="00562BE9"/>
    <w:rsid w:val="00562BF0"/>
    <w:rsid w:val="00562C10"/>
    <w:rsid w:val="00562C80"/>
    <w:rsid w:val="00563D09"/>
    <w:rsid w:val="005640EB"/>
    <w:rsid w:val="00564862"/>
    <w:rsid w:val="00564DC8"/>
    <w:rsid w:val="00564E1E"/>
    <w:rsid w:val="00565DF7"/>
    <w:rsid w:val="00566117"/>
    <w:rsid w:val="00566899"/>
    <w:rsid w:val="00566A03"/>
    <w:rsid w:val="005671E1"/>
    <w:rsid w:val="005675EF"/>
    <w:rsid w:val="0056776A"/>
    <w:rsid w:val="00567B95"/>
    <w:rsid w:val="00567EDA"/>
    <w:rsid w:val="005703B6"/>
    <w:rsid w:val="00570414"/>
    <w:rsid w:val="00570D4A"/>
    <w:rsid w:val="00571710"/>
    <w:rsid w:val="005717F1"/>
    <w:rsid w:val="0057192A"/>
    <w:rsid w:val="00571D78"/>
    <w:rsid w:val="005725D2"/>
    <w:rsid w:val="005726CD"/>
    <w:rsid w:val="005727F2"/>
    <w:rsid w:val="005737B4"/>
    <w:rsid w:val="00573D7F"/>
    <w:rsid w:val="00573E7B"/>
    <w:rsid w:val="0057407D"/>
    <w:rsid w:val="00574DBC"/>
    <w:rsid w:val="00574F77"/>
    <w:rsid w:val="0057503D"/>
    <w:rsid w:val="00575291"/>
    <w:rsid w:val="00575862"/>
    <w:rsid w:val="00575AFE"/>
    <w:rsid w:val="00575B97"/>
    <w:rsid w:val="00575D0C"/>
    <w:rsid w:val="0057601E"/>
    <w:rsid w:val="00576247"/>
    <w:rsid w:val="005763DA"/>
    <w:rsid w:val="00576716"/>
    <w:rsid w:val="00576EDB"/>
    <w:rsid w:val="005778E3"/>
    <w:rsid w:val="00577F70"/>
    <w:rsid w:val="00580410"/>
    <w:rsid w:val="005806A3"/>
    <w:rsid w:val="00580758"/>
    <w:rsid w:val="00580FF2"/>
    <w:rsid w:val="005811DB"/>
    <w:rsid w:val="00581433"/>
    <w:rsid w:val="00581667"/>
    <w:rsid w:val="00581E3E"/>
    <w:rsid w:val="00582EC1"/>
    <w:rsid w:val="00583358"/>
    <w:rsid w:val="00584180"/>
    <w:rsid w:val="005846ED"/>
    <w:rsid w:val="00584E02"/>
    <w:rsid w:val="005851E1"/>
    <w:rsid w:val="0058582C"/>
    <w:rsid w:val="00585B5F"/>
    <w:rsid w:val="00585E8B"/>
    <w:rsid w:val="00585EF3"/>
    <w:rsid w:val="00586043"/>
    <w:rsid w:val="00586332"/>
    <w:rsid w:val="00586CB8"/>
    <w:rsid w:val="00587125"/>
    <w:rsid w:val="005876D2"/>
    <w:rsid w:val="0058778C"/>
    <w:rsid w:val="00590351"/>
    <w:rsid w:val="0059079A"/>
    <w:rsid w:val="005907A4"/>
    <w:rsid w:val="00590A7A"/>
    <w:rsid w:val="00590F45"/>
    <w:rsid w:val="005911CB"/>
    <w:rsid w:val="005914FE"/>
    <w:rsid w:val="00591847"/>
    <w:rsid w:val="00591CB6"/>
    <w:rsid w:val="005921E5"/>
    <w:rsid w:val="005925EA"/>
    <w:rsid w:val="00592813"/>
    <w:rsid w:val="005931B0"/>
    <w:rsid w:val="0059343F"/>
    <w:rsid w:val="00593AEA"/>
    <w:rsid w:val="00594523"/>
    <w:rsid w:val="00594586"/>
    <w:rsid w:val="00594A97"/>
    <w:rsid w:val="005957F0"/>
    <w:rsid w:val="00595EAA"/>
    <w:rsid w:val="00596337"/>
    <w:rsid w:val="00596942"/>
    <w:rsid w:val="00596999"/>
    <w:rsid w:val="00596B19"/>
    <w:rsid w:val="005974CF"/>
    <w:rsid w:val="00597D7F"/>
    <w:rsid w:val="005A0031"/>
    <w:rsid w:val="005A0FEB"/>
    <w:rsid w:val="005A16A8"/>
    <w:rsid w:val="005A1D3C"/>
    <w:rsid w:val="005A2443"/>
    <w:rsid w:val="005A25D4"/>
    <w:rsid w:val="005A2A69"/>
    <w:rsid w:val="005A36C6"/>
    <w:rsid w:val="005A3876"/>
    <w:rsid w:val="005A3FD8"/>
    <w:rsid w:val="005A4797"/>
    <w:rsid w:val="005A4AB2"/>
    <w:rsid w:val="005A4E22"/>
    <w:rsid w:val="005A5335"/>
    <w:rsid w:val="005A54A0"/>
    <w:rsid w:val="005A56A0"/>
    <w:rsid w:val="005A57F8"/>
    <w:rsid w:val="005A640D"/>
    <w:rsid w:val="005A6A32"/>
    <w:rsid w:val="005A73D8"/>
    <w:rsid w:val="005A7C47"/>
    <w:rsid w:val="005B0221"/>
    <w:rsid w:val="005B033D"/>
    <w:rsid w:val="005B08DA"/>
    <w:rsid w:val="005B1306"/>
    <w:rsid w:val="005B1576"/>
    <w:rsid w:val="005B1738"/>
    <w:rsid w:val="005B1789"/>
    <w:rsid w:val="005B1FA8"/>
    <w:rsid w:val="005B2105"/>
    <w:rsid w:val="005B21F0"/>
    <w:rsid w:val="005B2859"/>
    <w:rsid w:val="005B2B8A"/>
    <w:rsid w:val="005B2C56"/>
    <w:rsid w:val="005B2CAB"/>
    <w:rsid w:val="005B2CE9"/>
    <w:rsid w:val="005B3176"/>
    <w:rsid w:val="005B379C"/>
    <w:rsid w:val="005B381D"/>
    <w:rsid w:val="005B3D0A"/>
    <w:rsid w:val="005B3D8F"/>
    <w:rsid w:val="005B4400"/>
    <w:rsid w:val="005B4CEE"/>
    <w:rsid w:val="005B4F27"/>
    <w:rsid w:val="005B5143"/>
    <w:rsid w:val="005B52C4"/>
    <w:rsid w:val="005B5561"/>
    <w:rsid w:val="005B5F60"/>
    <w:rsid w:val="005B64A4"/>
    <w:rsid w:val="005B64B7"/>
    <w:rsid w:val="005B66B1"/>
    <w:rsid w:val="005B6F4A"/>
    <w:rsid w:val="005B73FA"/>
    <w:rsid w:val="005B7C30"/>
    <w:rsid w:val="005C19F6"/>
    <w:rsid w:val="005C1E87"/>
    <w:rsid w:val="005C1F45"/>
    <w:rsid w:val="005C2623"/>
    <w:rsid w:val="005C267B"/>
    <w:rsid w:val="005C275A"/>
    <w:rsid w:val="005C27E7"/>
    <w:rsid w:val="005C2806"/>
    <w:rsid w:val="005C2836"/>
    <w:rsid w:val="005C2DDA"/>
    <w:rsid w:val="005C32FF"/>
    <w:rsid w:val="005C3CF0"/>
    <w:rsid w:val="005C3D14"/>
    <w:rsid w:val="005C4982"/>
    <w:rsid w:val="005C4A9E"/>
    <w:rsid w:val="005C4AE4"/>
    <w:rsid w:val="005C501C"/>
    <w:rsid w:val="005C5069"/>
    <w:rsid w:val="005C51CA"/>
    <w:rsid w:val="005C5979"/>
    <w:rsid w:val="005C599F"/>
    <w:rsid w:val="005C5B42"/>
    <w:rsid w:val="005C61EF"/>
    <w:rsid w:val="005C6292"/>
    <w:rsid w:val="005C6ED9"/>
    <w:rsid w:val="005C704D"/>
    <w:rsid w:val="005C7439"/>
    <w:rsid w:val="005C7972"/>
    <w:rsid w:val="005C7D06"/>
    <w:rsid w:val="005D0A14"/>
    <w:rsid w:val="005D0CD6"/>
    <w:rsid w:val="005D1488"/>
    <w:rsid w:val="005D1670"/>
    <w:rsid w:val="005D1B3C"/>
    <w:rsid w:val="005D28F4"/>
    <w:rsid w:val="005D2D5A"/>
    <w:rsid w:val="005D2E25"/>
    <w:rsid w:val="005D2F48"/>
    <w:rsid w:val="005D3325"/>
    <w:rsid w:val="005D33D3"/>
    <w:rsid w:val="005D3597"/>
    <w:rsid w:val="005D35EB"/>
    <w:rsid w:val="005D397F"/>
    <w:rsid w:val="005D3AE1"/>
    <w:rsid w:val="005D3D38"/>
    <w:rsid w:val="005D51A2"/>
    <w:rsid w:val="005D5880"/>
    <w:rsid w:val="005D5D0F"/>
    <w:rsid w:val="005D618A"/>
    <w:rsid w:val="005D625A"/>
    <w:rsid w:val="005D6296"/>
    <w:rsid w:val="005D6315"/>
    <w:rsid w:val="005D6CC7"/>
    <w:rsid w:val="005D73B3"/>
    <w:rsid w:val="005D7417"/>
    <w:rsid w:val="005D7548"/>
    <w:rsid w:val="005D7969"/>
    <w:rsid w:val="005D7EBC"/>
    <w:rsid w:val="005E0341"/>
    <w:rsid w:val="005E097E"/>
    <w:rsid w:val="005E0A60"/>
    <w:rsid w:val="005E1087"/>
    <w:rsid w:val="005E177B"/>
    <w:rsid w:val="005E17FB"/>
    <w:rsid w:val="005E1A6E"/>
    <w:rsid w:val="005E1D3A"/>
    <w:rsid w:val="005E228F"/>
    <w:rsid w:val="005E24DA"/>
    <w:rsid w:val="005E3855"/>
    <w:rsid w:val="005E3A4B"/>
    <w:rsid w:val="005E460F"/>
    <w:rsid w:val="005E49DC"/>
    <w:rsid w:val="005E52B6"/>
    <w:rsid w:val="005E5571"/>
    <w:rsid w:val="005E5D77"/>
    <w:rsid w:val="005E6245"/>
    <w:rsid w:val="005E62B0"/>
    <w:rsid w:val="005E63D6"/>
    <w:rsid w:val="005E6A8D"/>
    <w:rsid w:val="005E7030"/>
    <w:rsid w:val="005E7684"/>
    <w:rsid w:val="005E7B6F"/>
    <w:rsid w:val="005E7FBD"/>
    <w:rsid w:val="005F0078"/>
    <w:rsid w:val="005F0271"/>
    <w:rsid w:val="005F06E6"/>
    <w:rsid w:val="005F0715"/>
    <w:rsid w:val="005F0EAF"/>
    <w:rsid w:val="005F177D"/>
    <w:rsid w:val="005F19A0"/>
    <w:rsid w:val="005F21DF"/>
    <w:rsid w:val="005F2F9A"/>
    <w:rsid w:val="005F3453"/>
    <w:rsid w:val="005F35A8"/>
    <w:rsid w:val="005F35EC"/>
    <w:rsid w:val="005F4880"/>
    <w:rsid w:val="005F511E"/>
    <w:rsid w:val="005F649C"/>
    <w:rsid w:val="005F78E7"/>
    <w:rsid w:val="006013E4"/>
    <w:rsid w:val="0060147C"/>
    <w:rsid w:val="00601DFB"/>
    <w:rsid w:val="0060261E"/>
    <w:rsid w:val="00602755"/>
    <w:rsid w:val="00602C97"/>
    <w:rsid w:val="00602E20"/>
    <w:rsid w:val="006032F2"/>
    <w:rsid w:val="0060418C"/>
    <w:rsid w:val="00604252"/>
    <w:rsid w:val="00604345"/>
    <w:rsid w:val="00604446"/>
    <w:rsid w:val="0060464D"/>
    <w:rsid w:val="00604ED5"/>
    <w:rsid w:val="0060546E"/>
    <w:rsid w:val="00605A87"/>
    <w:rsid w:val="00605A97"/>
    <w:rsid w:val="00605C91"/>
    <w:rsid w:val="00605E15"/>
    <w:rsid w:val="006064D3"/>
    <w:rsid w:val="00606697"/>
    <w:rsid w:val="00606B40"/>
    <w:rsid w:val="00607A77"/>
    <w:rsid w:val="00607E54"/>
    <w:rsid w:val="006100C8"/>
    <w:rsid w:val="00610C7D"/>
    <w:rsid w:val="00610E89"/>
    <w:rsid w:val="00611315"/>
    <w:rsid w:val="00611D21"/>
    <w:rsid w:val="00612824"/>
    <w:rsid w:val="006128ED"/>
    <w:rsid w:val="00612A51"/>
    <w:rsid w:val="00612A7E"/>
    <w:rsid w:val="00613943"/>
    <w:rsid w:val="00613B53"/>
    <w:rsid w:val="00613E81"/>
    <w:rsid w:val="00614305"/>
    <w:rsid w:val="006143F9"/>
    <w:rsid w:val="00614A6D"/>
    <w:rsid w:val="00615DB4"/>
    <w:rsid w:val="00616538"/>
    <w:rsid w:val="00616F7B"/>
    <w:rsid w:val="00617989"/>
    <w:rsid w:val="00617C2B"/>
    <w:rsid w:val="00617CD5"/>
    <w:rsid w:val="00617FEA"/>
    <w:rsid w:val="00620247"/>
    <w:rsid w:val="006205FD"/>
    <w:rsid w:val="00620653"/>
    <w:rsid w:val="00620962"/>
    <w:rsid w:val="00620BA4"/>
    <w:rsid w:val="00620E60"/>
    <w:rsid w:val="006212C3"/>
    <w:rsid w:val="006221EF"/>
    <w:rsid w:val="00623201"/>
    <w:rsid w:val="0062333A"/>
    <w:rsid w:val="0062333F"/>
    <w:rsid w:val="0062359C"/>
    <w:rsid w:val="006236CA"/>
    <w:rsid w:val="00623860"/>
    <w:rsid w:val="00624052"/>
    <w:rsid w:val="006240C9"/>
    <w:rsid w:val="00624368"/>
    <w:rsid w:val="00624784"/>
    <w:rsid w:val="006251B2"/>
    <w:rsid w:val="006254CB"/>
    <w:rsid w:val="006254EF"/>
    <w:rsid w:val="00625869"/>
    <w:rsid w:val="00625875"/>
    <w:rsid w:val="00625EF6"/>
    <w:rsid w:val="006262DA"/>
    <w:rsid w:val="006264AF"/>
    <w:rsid w:val="00626554"/>
    <w:rsid w:val="00627067"/>
    <w:rsid w:val="0062716D"/>
    <w:rsid w:val="00627692"/>
    <w:rsid w:val="0062772A"/>
    <w:rsid w:val="006279D3"/>
    <w:rsid w:val="00627B15"/>
    <w:rsid w:val="00627C25"/>
    <w:rsid w:val="00627E87"/>
    <w:rsid w:val="00630340"/>
    <w:rsid w:val="006304C2"/>
    <w:rsid w:val="0063106B"/>
    <w:rsid w:val="006310E3"/>
    <w:rsid w:val="00631209"/>
    <w:rsid w:val="00631282"/>
    <w:rsid w:val="00631427"/>
    <w:rsid w:val="006314C3"/>
    <w:rsid w:val="006317FD"/>
    <w:rsid w:val="00631E96"/>
    <w:rsid w:val="006321FA"/>
    <w:rsid w:val="006325AD"/>
    <w:rsid w:val="006328DD"/>
    <w:rsid w:val="00632D3A"/>
    <w:rsid w:val="00632D53"/>
    <w:rsid w:val="00632E21"/>
    <w:rsid w:val="00632E68"/>
    <w:rsid w:val="00632EA8"/>
    <w:rsid w:val="00633656"/>
    <w:rsid w:val="00633C31"/>
    <w:rsid w:val="00633F22"/>
    <w:rsid w:val="006340EA"/>
    <w:rsid w:val="00634612"/>
    <w:rsid w:val="006348BA"/>
    <w:rsid w:val="00634F2A"/>
    <w:rsid w:val="006350FA"/>
    <w:rsid w:val="006357D7"/>
    <w:rsid w:val="00635AC9"/>
    <w:rsid w:val="00635D5E"/>
    <w:rsid w:val="00635DD2"/>
    <w:rsid w:val="0063667E"/>
    <w:rsid w:val="00636EFE"/>
    <w:rsid w:val="006372A4"/>
    <w:rsid w:val="00637A50"/>
    <w:rsid w:val="006401A4"/>
    <w:rsid w:val="0064023C"/>
    <w:rsid w:val="00640EC8"/>
    <w:rsid w:val="0064106A"/>
    <w:rsid w:val="0064141C"/>
    <w:rsid w:val="006418B8"/>
    <w:rsid w:val="00641946"/>
    <w:rsid w:val="00641C0D"/>
    <w:rsid w:val="00641C95"/>
    <w:rsid w:val="00641F92"/>
    <w:rsid w:val="006429FA"/>
    <w:rsid w:val="00642D86"/>
    <w:rsid w:val="00643027"/>
    <w:rsid w:val="0064377A"/>
    <w:rsid w:val="00643AE0"/>
    <w:rsid w:val="006442AE"/>
    <w:rsid w:val="00644400"/>
    <w:rsid w:val="006444A3"/>
    <w:rsid w:val="00644A8A"/>
    <w:rsid w:val="00644BCE"/>
    <w:rsid w:val="00644FD7"/>
    <w:rsid w:val="006450B4"/>
    <w:rsid w:val="00645B30"/>
    <w:rsid w:val="00646F2A"/>
    <w:rsid w:val="0064738D"/>
    <w:rsid w:val="006478A2"/>
    <w:rsid w:val="00647ECE"/>
    <w:rsid w:val="006501B8"/>
    <w:rsid w:val="0065062F"/>
    <w:rsid w:val="00650981"/>
    <w:rsid w:val="00650EA5"/>
    <w:rsid w:val="006511E1"/>
    <w:rsid w:val="00651337"/>
    <w:rsid w:val="00651510"/>
    <w:rsid w:val="006516B0"/>
    <w:rsid w:val="00653178"/>
    <w:rsid w:val="0065322E"/>
    <w:rsid w:val="00653C53"/>
    <w:rsid w:val="00653E83"/>
    <w:rsid w:val="0065465E"/>
    <w:rsid w:val="00655AF9"/>
    <w:rsid w:val="00655B08"/>
    <w:rsid w:val="00655CFA"/>
    <w:rsid w:val="00655D5C"/>
    <w:rsid w:val="006560DB"/>
    <w:rsid w:val="006563FD"/>
    <w:rsid w:val="00656408"/>
    <w:rsid w:val="00656460"/>
    <w:rsid w:val="0065647C"/>
    <w:rsid w:val="006565DA"/>
    <w:rsid w:val="00657446"/>
    <w:rsid w:val="006609F3"/>
    <w:rsid w:val="00660B84"/>
    <w:rsid w:val="00660E36"/>
    <w:rsid w:val="00660F40"/>
    <w:rsid w:val="006613E4"/>
    <w:rsid w:val="0066141F"/>
    <w:rsid w:val="00661A0A"/>
    <w:rsid w:val="006621F0"/>
    <w:rsid w:val="00662D11"/>
    <w:rsid w:val="00662E4D"/>
    <w:rsid w:val="006632AF"/>
    <w:rsid w:val="00663358"/>
    <w:rsid w:val="00663594"/>
    <w:rsid w:val="006636AF"/>
    <w:rsid w:val="00663B95"/>
    <w:rsid w:val="00663CD9"/>
    <w:rsid w:val="00663D2E"/>
    <w:rsid w:val="00663ED6"/>
    <w:rsid w:val="00664BCC"/>
    <w:rsid w:val="00665084"/>
    <w:rsid w:val="006657EC"/>
    <w:rsid w:val="00665FE3"/>
    <w:rsid w:val="00665FF8"/>
    <w:rsid w:val="00666235"/>
    <w:rsid w:val="00666395"/>
    <w:rsid w:val="00666986"/>
    <w:rsid w:val="006670BB"/>
    <w:rsid w:val="0066747C"/>
    <w:rsid w:val="00667646"/>
    <w:rsid w:val="006676A7"/>
    <w:rsid w:val="00667706"/>
    <w:rsid w:val="00667779"/>
    <w:rsid w:val="00667966"/>
    <w:rsid w:val="00667EA4"/>
    <w:rsid w:val="006700B7"/>
    <w:rsid w:val="00670403"/>
    <w:rsid w:val="0067045F"/>
    <w:rsid w:val="00670463"/>
    <w:rsid w:val="00670CD5"/>
    <w:rsid w:val="00671011"/>
    <w:rsid w:val="0067108E"/>
    <w:rsid w:val="00671575"/>
    <w:rsid w:val="00671ED3"/>
    <w:rsid w:val="00672177"/>
    <w:rsid w:val="00672479"/>
    <w:rsid w:val="0067253D"/>
    <w:rsid w:val="00672D22"/>
    <w:rsid w:val="00672E3A"/>
    <w:rsid w:val="00672F8D"/>
    <w:rsid w:val="00673888"/>
    <w:rsid w:val="00673986"/>
    <w:rsid w:val="0067409E"/>
    <w:rsid w:val="00674212"/>
    <w:rsid w:val="006742A5"/>
    <w:rsid w:val="006746DE"/>
    <w:rsid w:val="006749D1"/>
    <w:rsid w:val="00674A55"/>
    <w:rsid w:val="00674E21"/>
    <w:rsid w:val="00675616"/>
    <w:rsid w:val="006756BE"/>
    <w:rsid w:val="00675A47"/>
    <w:rsid w:val="00675E39"/>
    <w:rsid w:val="006769CB"/>
    <w:rsid w:val="0067740A"/>
    <w:rsid w:val="00677D87"/>
    <w:rsid w:val="00680391"/>
    <w:rsid w:val="006804F0"/>
    <w:rsid w:val="00680504"/>
    <w:rsid w:val="00680A6B"/>
    <w:rsid w:val="00680CDC"/>
    <w:rsid w:val="00680DBF"/>
    <w:rsid w:val="00680E48"/>
    <w:rsid w:val="006816E8"/>
    <w:rsid w:val="006819B6"/>
    <w:rsid w:val="00681A9F"/>
    <w:rsid w:val="006825C9"/>
    <w:rsid w:val="0068274A"/>
    <w:rsid w:val="00683039"/>
    <w:rsid w:val="006830F7"/>
    <w:rsid w:val="00683155"/>
    <w:rsid w:val="00683969"/>
    <w:rsid w:val="00683C49"/>
    <w:rsid w:val="00683DFB"/>
    <w:rsid w:val="00684711"/>
    <w:rsid w:val="00684FF6"/>
    <w:rsid w:val="00685033"/>
    <w:rsid w:val="0068576D"/>
    <w:rsid w:val="0068583D"/>
    <w:rsid w:val="006858B8"/>
    <w:rsid w:val="00685E3B"/>
    <w:rsid w:val="00685FB1"/>
    <w:rsid w:val="00686BFB"/>
    <w:rsid w:val="00686CB3"/>
    <w:rsid w:val="00686E30"/>
    <w:rsid w:val="00686E4E"/>
    <w:rsid w:val="006872FE"/>
    <w:rsid w:val="00687708"/>
    <w:rsid w:val="00687745"/>
    <w:rsid w:val="00687C3A"/>
    <w:rsid w:val="00690429"/>
    <w:rsid w:val="00690B89"/>
    <w:rsid w:val="00690CED"/>
    <w:rsid w:val="00691DD0"/>
    <w:rsid w:val="00691E15"/>
    <w:rsid w:val="00691F8E"/>
    <w:rsid w:val="00692250"/>
    <w:rsid w:val="006923A7"/>
    <w:rsid w:val="00692CC8"/>
    <w:rsid w:val="006938D8"/>
    <w:rsid w:val="00693F2B"/>
    <w:rsid w:val="006948A5"/>
    <w:rsid w:val="006948D8"/>
    <w:rsid w:val="00694A67"/>
    <w:rsid w:val="00694D7F"/>
    <w:rsid w:val="00695040"/>
    <w:rsid w:val="00695AD2"/>
    <w:rsid w:val="0069617C"/>
    <w:rsid w:val="00696D30"/>
    <w:rsid w:val="0069720D"/>
    <w:rsid w:val="0069772C"/>
    <w:rsid w:val="00697CDA"/>
    <w:rsid w:val="00697D0E"/>
    <w:rsid w:val="00697DAD"/>
    <w:rsid w:val="00697F73"/>
    <w:rsid w:val="006A0774"/>
    <w:rsid w:val="006A0BDF"/>
    <w:rsid w:val="006A1050"/>
    <w:rsid w:val="006A124B"/>
    <w:rsid w:val="006A1320"/>
    <w:rsid w:val="006A1603"/>
    <w:rsid w:val="006A19DF"/>
    <w:rsid w:val="006A1C3E"/>
    <w:rsid w:val="006A1DF4"/>
    <w:rsid w:val="006A1F73"/>
    <w:rsid w:val="006A244E"/>
    <w:rsid w:val="006A322B"/>
    <w:rsid w:val="006A3AF4"/>
    <w:rsid w:val="006A4315"/>
    <w:rsid w:val="006A4501"/>
    <w:rsid w:val="006A4891"/>
    <w:rsid w:val="006A4B51"/>
    <w:rsid w:val="006A56F9"/>
    <w:rsid w:val="006A5FDB"/>
    <w:rsid w:val="006A6475"/>
    <w:rsid w:val="006A68B9"/>
    <w:rsid w:val="006A6966"/>
    <w:rsid w:val="006A6BEC"/>
    <w:rsid w:val="006A72B9"/>
    <w:rsid w:val="006A7E75"/>
    <w:rsid w:val="006B02B5"/>
    <w:rsid w:val="006B0EBE"/>
    <w:rsid w:val="006B120D"/>
    <w:rsid w:val="006B1ED2"/>
    <w:rsid w:val="006B249A"/>
    <w:rsid w:val="006B2889"/>
    <w:rsid w:val="006B3129"/>
    <w:rsid w:val="006B3258"/>
    <w:rsid w:val="006B3BB3"/>
    <w:rsid w:val="006B3BE5"/>
    <w:rsid w:val="006B43D0"/>
    <w:rsid w:val="006B483C"/>
    <w:rsid w:val="006B484B"/>
    <w:rsid w:val="006B4A13"/>
    <w:rsid w:val="006B4E65"/>
    <w:rsid w:val="006B5E9A"/>
    <w:rsid w:val="006B6AD7"/>
    <w:rsid w:val="006B7094"/>
    <w:rsid w:val="006B7228"/>
    <w:rsid w:val="006B723F"/>
    <w:rsid w:val="006B78CA"/>
    <w:rsid w:val="006B7C40"/>
    <w:rsid w:val="006B7E3C"/>
    <w:rsid w:val="006B7EB1"/>
    <w:rsid w:val="006C0334"/>
    <w:rsid w:val="006C042C"/>
    <w:rsid w:val="006C0608"/>
    <w:rsid w:val="006C0A15"/>
    <w:rsid w:val="006C0AF1"/>
    <w:rsid w:val="006C0D38"/>
    <w:rsid w:val="006C0D7D"/>
    <w:rsid w:val="006C0E4B"/>
    <w:rsid w:val="006C153E"/>
    <w:rsid w:val="006C1CA6"/>
    <w:rsid w:val="006C1E1A"/>
    <w:rsid w:val="006C2097"/>
    <w:rsid w:val="006C265C"/>
    <w:rsid w:val="006C3027"/>
    <w:rsid w:val="006C38C8"/>
    <w:rsid w:val="006C38D5"/>
    <w:rsid w:val="006C3CD0"/>
    <w:rsid w:val="006C42C6"/>
    <w:rsid w:val="006C49CB"/>
    <w:rsid w:val="006C518D"/>
    <w:rsid w:val="006C5D95"/>
    <w:rsid w:val="006C5E73"/>
    <w:rsid w:val="006C610D"/>
    <w:rsid w:val="006C6413"/>
    <w:rsid w:val="006C7248"/>
    <w:rsid w:val="006C7B38"/>
    <w:rsid w:val="006C7C49"/>
    <w:rsid w:val="006D0431"/>
    <w:rsid w:val="006D076E"/>
    <w:rsid w:val="006D0933"/>
    <w:rsid w:val="006D09B8"/>
    <w:rsid w:val="006D0F44"/>
    <w:rsid w:val="006D1584"/>
    <w:rsid w:val="006D164B"/>
    <w:rsid w:val="006D209E"/>
    <w:rsid w:val="006D20C3"/>
    <w:rsid w:val="006D2155"/>
    <w:rsid w:val="006D2B1D"/>
    <w:rsid w:val="006D2FCE"/>
    <w:rsid w:val="006D3654"/>
    <w:rsid w:val="006D3FA9"/>
    <w:rsid w:val="006D41D4"/>
    <w:rsid w:val="006D4DDB"/>
    <w:rsid w:val="006D4F96"/>
    <w:rsid w:val="006D535E"/>
    <w:rsid w:val="006D55B7"/>
    <w:rsid w:val="006D5934"/>
    <w:rsid w:val="006D5983"/>
    <w:rsid w:val="006D6107"/>
    <w:rsid w:val="006D641B"/>
    <w:rsid w:val="006D653B"/>
    <w:rsid w:val="006D685A"/>
    <w:rsid w:val="006D6933"/>
    <w:rsid w:val="006D6F8E"/>
    <w:rsid w:val="006D77B7"/>
    <w:rsid w:val="006D7CA0"/>
    <w:rsid w:val="006E0883"/>
    <w:rsid w:val="006E16BC"/>
    <w:rsid w:val="006E1ABB"/>
    <w:rsid w:val="006E1B62"/>
    <w:rsid w:val="006E1DC1"/>
    <w:rsid w:val="006E2385"/>
    <w:rsid w:val="006E30BC"/>
    <w:rsid w:val="006E334E"/>
    <w:rsid w:val="006E342E"/>
    <w:rsid w:val="006E3626"/>
    <w:rsid w:val="006E388D"/>
    <w:rsid w:val="006E3CBA"/>
    <w:rsid w:val="006E4D2E"/>
    <w:rsid w:val="006E51C7"/>
    <w:rsid w:val="006E523F"/>
    <w:rsid w:val="006E59F1"/>
    <w:rsid w:val="006E5B97"/>
    <w:rsid w:val="006E5C8E"/>
    <w:rsid w:val="006E5F20"/>
    <w:rsid w:val="006E5FB9"/>
    <w:rsid w:val="006E67D2"/>
    <w:rsid w:val="006E686B"/>
    <w:rsid w:val="006E69CF"/>
    <w:rsid w:val="006E6C56"/>
    <w:rsid w:val="006E7327"/>
    <w:rsid w:val="006E7853"/>
    <w:rsid w:val="006E78AD"/>
    <w:rsid w:val="006E7B27"/>
    <w:rsid w:val="006E7D27"/>
    <w:rsid w:val="006F050F"/>
    <w:rsid w:val="006F1090"/>
    <w:rsid w:val="006F1D55"/>
    <w:rsid w:val="006F2C25"/>
    <w:rsid w:val="006F2E34"/>
    <w:rsid w:val="006F3301"/>
    <w:rsid w:val="006F38FE"/>
    <w:rsid w:val="006F3CAE"/>
    <w:rsid w:val="006F3E5E"/>
    <w:rsid w:val="006F465C"/>
    <w:rsid w:val="006F4B16"/>
    <w:rsid w:val="006F5588"/>
    <w:rsid w:val="006F5A48"/>
    <w:rsid w:val="006F5E81"/>
    <w:rsid w:val="006F67D7"/>
    <w:rsid w:val="006F7D31"/>
    <w:rsid w:val="006F7D55"/>
    <w:rsid w:val="006F7F40"/>
    <w:rsid w:val="00700542"/>
    <w:rsid w:val="00700C02"/>
    <w:rsid w:val="00700F84"/>
    <w:rsid w:val="00701960"/>
    <w:rsid w:val="00701969"/>
    <w:rsid w:val="00701D3B"/>
    <w:rsid w:val="00702783"/>
    <w:rsid w:val="00702897"/>
    <w:rsid w:val="00702A6B"/>
    <w:rsid w:val="00702C3D"/>
    <w:rsid w:val="00702E5A"/>
    <w:rsid w:val="00702F8D"/>
    <w:rsid w:val="007030D5"/>
    <w:rsid w:val="00704041"/>
    <w:rsid w:val="00704256"/>
    <w:rsid w:val="00704C2D"/>
    <w:rsid w:val="00704EEF"/>
    <w:rsid w:val="007052E5"/>
    <w:rsid w:val="007052EB"/>
    <w:rsid w:val="00705424"/>
    <w:rsid w:val="007059D9"/>
    <w:rsid w:val="00705D32"/>
    <w:rsid w:val="00705D74"/>
    <w:rsid w:val="007068CF"/>
    <w:rsid w:val="00707158"/>
    <w:rsid w:val="00707350"/>
    <w:rsid w:val="00707A9D"/>
    <w:rsid w:val="00707C3B"/>
    <w:rsid w:val="007102C5"/>
    <w:rsid w:val="0071077C"/>
    <w:rsid w:val="00710AAF"/>
    <w:rsid w:val="00710C91"/>
    <w:rsid w:val="00710F09"/>
    <w:rsid w:val="007118E9"/>
    <w:rsid w:val="00711F7F"/>
    <w:rsid w:val="00711FB3"/>
    <w:rsid w:val="00712690"/>
    <w:rsid w:val="00712D94"/>
    <w:rsid w:val="00712F72"/>
    <w:rsid w:val="0071341D"/>
    <w:rsid w:val="007139DB"/>
    <w:rsid w:val="007139E4"/>
    <w:rsid w:val="00713B91"/>
    <w:rsid w:val="00713E61"/>
    <w:rsid w:val="007145FE"/>
    <w:rsid w:val="0071460F"/>
    <w:rsid w:val="0071499F"/>
    <w:rsid w:val="00714BE9"/>
    <w:rsid w:val="00714DD7"/>
    <w:rsid w:val="007150D6"/>
    <w:rsid w:val="00715449"/>
    <w:rsid w:val="0071568F"/>
    <w:rsid w:val="00715951"/>
    <w:rsid w:val="00715DDC"/>
    <w:rsid w:val="00715E45"/>
    <w:rsid w:val="007163D0"/>
    <w:rsid w:val="00716432"/>
    <w:rsid w:val="007164E6"/>
    <w:rsid w:val="0071710E"/>
    <w:rsid w:val="00717393"/>
    <w:rsid w:val="007178BA"/>
    <w:rsid w:val="00720434"/>
    <w:rsid w:val="007204C3"/>
    <w:rsid w:val="00720523"/>
    <w:rsid w:val="00720611"/>
    <w:rsid w:val="00720983"/>
    <w:rsid w:val="00720BAA"/>
    <w:rsid w:val="007214A2"/>
    <w:rsid w:val="00721FD6"/>
    <w:rsid w:val="007224FB"/>
    <w:rsid w:val="00722A9A"/>
    <w:rsid w:val="00722B78"/>
    <w:rsid w:val="0072395D"/>
    <w:rsid w:val="00723B1F"/>
    <w:rsid w:val="00723F8C"/>
    <w:rsid w:val="00724B5D"/>
    <w:rsid w:val="00724BC5"/>
    <w:rsid w:val="00725317"/>
    <w:rsid w:val="00725D56"/>
    <w:rsid w:val="00725E09"/>
    <w:rsid w:val="00725F4E"/>
    <w:rsid w:val="00727164"/>
    <w:rsid w:val="00727950"/>
    <w:rsid w:val="00727C36"/>
    <w:rsid w:val="00727D12"/>
    <w:rsid w:val="00730A25"/>
    <w:rsid w:val="00730E8D"/>
    <w:rsid w:val="00730FB7"/>
    <w:rsid w:val="007312CB"/>
    <w:rsid w:val="00731479"/>
    <w:rsid w:val="007316E4"/>
    <w:rsid w:val="00731F68"/>
    <w:rsid w:val="0073224E"/>
    <w:rsid w:val="00732D61"/>
    <w:rsid w:val="00733272"/>
    <w:rsid w:val="00734041"/>
    <w:rsid w:val="00734069"/>
    <w:rsid w:val="0073520E"/>
    <w:rsid w:val="00735B95"/>
    <w:rsid w:val="00735E1B"/>
    <w:rsid w:val="00735E55"/>
    <w:rsid w:val="00736E6D"/>
    <w:rsid w:val="00737383"/>
    <w:rsid w:val="00737D7C"/>
    <w:rsid w:val="0074011B"/>
    <w:rsid w:val="00740C13"/>
    <w:rsid w:val="007414B6"/>
    <w:rsid w:val="007418C4"/>
    <w:rsid w:val="007418E9"/>
    <w:rsid w:val="00741D69"/>
    <w:rsid w:val="00741E12"/>
    <w:rsid w:val="0074227D"/>
    <w:rsid w:val="00742526"/>
    <w:rsid w:val="0074306F"/>
    <w:rsid w:val="007430E8"/>
    <w:rsid w:val="00743191"/>
    <w:rsid w:val="00743534"/>
    <w:rsid w:val="00744081"/>
    <w:rsid w:val="00744381"/>
    <w:rsid w:val="00744454"/>
    <w:rsid w:val="0074480F"/>
    <w:rsid w:val="00745294"/>
    <w:rsid w:val="007452AB"/>
    <w:rsid w:val="00745470"/>
    <w:rsid w:val="007459F1"/>
    <w:rsid w:val="00745AA1"/>
    <w:rsid w:val="00745BC3"/>
    <w:rsid w:val="007462C3"/>
    <w:rsid w:val="0074642B"/>
    <w:rsid w:val="007467A4"/>
    <w:rsid w:val="00746AAC"/>
    <w:rsid w:val="00746DA8"/>
    <w:rsid w:val="007472A7"/>
    <w:rsid w:val="007478B9"/>
    <w:rsid w:val="00747AD5"/>
    <w:rsid w:val="00747E10"/>
    <w:rsid w:val="00747F8A"/>
    <w:rsid w:val="00750234"/>
    <w:rsid w:val="0075026F"/>
    <w:rsid w:val="00750944"/>
    <w:rsid w:val="00750C25"/>
    <w:rsid w:val="00751578"/>
    <w:rsid w:val="007515F4"/>
    <w:rsid w:val="0075266A"/>
    <w:rsid w:val="00753336"/>
    <w:rsid w:val="007536F7"/>
    <w:rsid w:val="00753873"/>
    <w:rsid w:val="0075399C"/>
    <w:rsid w:val="00753A3B"/>
    <w:rsid w:val="00753D94"/>
    <w:rsid w:val="00753FE8"/>
    <w:rsid w:val="0075463B"/>
    <w:rsid w:val="00754BA7"/>
    <w:rsid w:val="007550D8"/>
    <w:rsid w:val="007558F2"/>
    <w:rsid w:val="0075592A"/>
    <w:rsid w:val="00755A71"/>
    <w:rsid w:val="00755B5E"/>
    <w:rsid w:val="00756643"/>
    <w:rsid w:val="00756840"/>
    <w:rsid w:val="00756B3A"/>
    <w:rsid w:val="00756CBF"/>
    <w:rsid w:val="00756F4B"/>
    <w:rsid w:val="007576B8"/>
    <w:rsid w:val="00757A52"/>
    <w:rsid w:val="00757A92"/>
    <w:rsid w:val="00757EFB"/>
    <w:rsid w:val="0076008C"/>
    <w:rsid w:val="007600B8"/>
    <w:rsid w:val="00760388"/>
    <w:rsid w:val="00760B63"/>
    <w:rsid w:val="007612BE"/>
    <w:rsid w:val="00761846"/>
    <w:rsid w:val="007619E5"/>
    <w:rsid w:val="00761E58"/>
    <w:rsid w:val="0076252A"/>
    <w:rsid w:val="00762689"/>
    <w:rsid w:val="00762E87"/>
    <w:rsid w:val="00762FC3"/>
    <w:rsid w:val="0076314B"/>
    <w:rsid w:val="00763210"/>
    <w:rsid w:val="00763633"/>
    <w:rsid w:val="007637A1"/>
    <w:rsid w:val="007653A2"/>
    <w:rsid w:val="007655E8"/>
    <w:rsid w:val="00765765"/>
    <w:rsid w:val="00766419"/>
    <w:rsid w:val="007664EF"/>
    <w:rsid w:val="00766522"/>
    <w:rsid w:val="0076673A"/>
    <w:rsid w:val="007668C4"/>
    <w:rsid w:val="00766A02"/>
    <w:rsid w:val="00766F35"/>
    <w:rsid w:val="00767AE6"/>
    <w:rsid w:val="007701C4"/>
    <w:rsid w:val="00770514"/>
    <w:rsid w:val="00770E17"/>
    <w:rsid w:val="007713F5"/>
    <w:rsid w:val="007716C8"/>
    <w:rsid w:val="00771BC6"/>
    <w:rsid w:val="00771D0D"/>
    <w:rsid w:val="0077297F"/>
    <w:rsid w:val="00772BD0"/>
    <w:rsid w:val="00772F7D"/>
    <w:rsid w:val="00772FFA"/>
    <w:rsid w:val="007730D4"/>
    <w:rsid w:val="00773112"/>
    <w:rsid w:val="00773453"/>
    <w:rsid w:val="007734DF"/>
    <w:rsid w:val="007735BA"/>
    <w:rsid w:val="00773817"/>
    <w:rsid w:val="007739DD"/>
    <w:rsid w:val="00773AB6"/>
    <w:rsid w:val="00773B30"/>
    <w:rsid w:val="00773D43"/>
    <w:rsid w:val="00773F59"/>
    <w:rsid w:val="0077454B"/>
    <w:rsid w:val="007750AF"/>
    <w:rsid w:val="0077564C"/>
    <w:rsid w:val="0077590A"/>
    <w:rsid w:val="007759DC"/>
    <w:rsid w:val="00775BAF"/>
    <w:rsid w:val="00775C7D"/>
    <w:rsid w:val="00776120"/>
    <w:rsid w:val="00776461"/>
    <w:rsid w:val="00776B13"/>
    <w:rsid w:val="007774E2"/>
    <w:rsid w:val="0077762A"/>
    <w:rsid w:val="00777ABC"/>
    <w:rsid w:val="00780680"/>
    <w:rsid w:val="00781481"/>
    <w:rsid w:val="007816F0"/>
    <w:rsid w:val="00781981"/>
    <w:rsid w:val="00781ABB"/>
    <w:rsid w:val="00782265"/>
    <w:rsid w:val="00782A91"/>
    <w:rsid w:val="0078368D"/>
    <w:rsid w:val="00783A63"/>
    <w:rsid w:val="00783A8B"/>
    <w:rsid w:val="00783B99"/>
    <w:rsid w:val="0078427A"/>
    <w:rsid w:val="00784BCB"/>
    <w:rsid w:val="00784ECB"/>
    <w:rsid w:val="00785186"/>
    <w:rsid w:val="007851E2"/>
    <w:rsid w:val="00785C24"/>
    <w:rsid w:val="00786506"/>
    <w:rsid w:val="00787405"/>
    <w:rsid w:val="0078743E"/>
    <w:rsid w:val="0078795C"/>
    <w:rsid w:val="00787E48"/>
    <w:rsid w:val="00790165"/>
    <w:rsid w:val="007901F6"/>
    <w:rsid w:val="00790C93"/>
    <w:rsid w:val="00790ECF"/>
    <w:rsid w:val="00792087"/>
    <w:rsid w:val="007929D5"/>
    <w:rsid w:val="00793C8C"/>
    <w:rsid w:val="00793D63"/>
    <w:rsid w:val="00793EA2"/>
    <w:rsid w:val="007940E0"/>
    <w:rsid w:val="007942CA"/>
    <w:rsid w:val="00794611"/>
    <w:rsid w:val="00794635"/>
    <w:rsid w:val="007947C0"/>
    <w:rsid w:val="0079516B"/>
    <w:rsid w:val="00795244"/>
    <w:rsid w:val="0079537E"/>
    <w:rsid w:val="00795920"/>
    <w:rsid w:val="007959F1"/>
    <w:rsid w:val="00796076"/>
    <w:rsid w:val="00796224"/>
    <w:rsid w:val="0079645C"/>
    <w:rsid w:val="0079646C"/>
    <w:rsid w:val="0079669F"/>
    <w:rsid w:val="00797F19"/>
    <w:rsid w:val="007A02EB"/>
    <w:rsid w:val="007A0483"/>
    <w:rsid w:val="007A05B2"/>
    <w:rsid w:val="007A1AC6"/>
    <w:rsid w:val="007A1BAB"/>
    <w:rsid w:val="007A239F"/>
    <w:rsid w:val="007A398C"/>
    <w:rsid w:val="007A3E0F"/>
    <w:rsid w:val="007A40E1"/>
    <w:rsid w:val="007A4142"/>
    <w:rsid w:val="007A4483"/>
    <w:rsid w:val="007A4614"/>
    <w:rsid w:val="007A4B1C"/>
    <w:rsid w:val="007A50F0"/>
    <w:rsid w:val="007A51A2"/>
    <w:rsid w:val="007A55EF"/>
    <w:rsid w:val="007A5752"/>
    <w:rsid w:val="007A6620"/>
    <w:rsid w:val="007A6623"/>
    <w:rsid w:val="007A68A9"/>
    <w:rsid w:val="007A6BD1"/>
    <w:rsid w:val="007A7570"/>
    <w:rsid w:val="007A77DD"/>
    <w:rsid w:val="007A7C0D"/>
    <w:rsid w:val="007A7E6B"/>
    <w:rsid w:val="007B0458"/>
    <w:rsid w:val="007B083E"/>
    <w:rsid w:val="007B120C"/>
    <w:rsid w:val="007B154D"/>
    <w:rsid w:val="007B1BA0"/>
    <w:rsid w:val="007B2082"/>
    <w:rsid w:val="007B20EB"/>
    <w:rsid w:val="007B22D5"/>
    <w:rsid w:val="007B2466"/>
    <w:rsid w:val="007B26F1"/>
    <w:rsid w:val="007B2FD3"/>
    <w:rsid w:val="007B31AB"/>
    <w:rsid w:val="007B32AC"/>
    <w:rsid w:val="007B4023"/>
    <w:rsid w:val="007B449B"/>
    <w:rsid w:val="007B4CFC"/>
    <w:rsid w:val="007B4E46"/>
    <w:rsid w:val="007B55FB"/>
    <w:rsid w:val="007B56DE"/>
    <w:rsid w:val="007B5E88"/>
    <w:rsid w:val="007B6124"/>
    <w:rsid w:val="007B62D8"/>
    <w:rsid w:val="007B6C02"/>
    <w:rsid w:val="007B6E37"/>
    <w:rsid w:val="007B7064"/>
    <w:rsid w:val="007C06EE"/>
    <w:rsid w:val="007C0B85"/>
    <w:rsid w:val="007C2075"/>
    <w:rsid w:val="007C2879"/>
    <w:rsid w:val="007C3482"/>
    <w:rsid w:val="007C3489"/>
    <w:rsid w:val="007C3558"/>
    <w:rsid w:val="007C36E0"/>
    <w:rsid w:val="007C37EB"/>
    <w:rsid w:val="007C3963"/>
    <w:rsid w:val="007C3C23"/>
    <w:rsid w:val="007C3EDA"/>
    <w:rsid w:val="007C425D"/>
    <w:rsid w:val="007C44DF"/>
    <w:rsid w:val="007C4A5B"/>
    <w:rsid w:val="007C5416"/>
    <w:rsid w:val="007C59AE"/>
    <w:rsid w:val="007C5ED9"/>
    <w:rsid w:val="007C69E5"/>
    <w:rsid w:val="007C797D"/>
    <w:rsid w:val="007D0C44"/>
    <w:rsid w:val="007D1D20"/>
    <w:rsid w:val="007D282D"/>
    <w:rsid w:val="007D32FF"/>
    <w:rsid w:val="007D3E19"/>
    <w:rsid w:val="007D5695"/>
    <w:rsid w:val="007D5ABB"/>
    <w:rsid w:val="007D5D4D"/>
    <w:rsid w:val="007D5DDC"/>
    <w:rsid w:val="007D644C"/>
    <w:rsid w:val="007D6B09"/>
    <w:rsid w:val="007D6F90"/>
    <w:rsid w:val="007D7045"/>
    <w:rsid w:val="007D787B"/>
    <w:rsid w:val="007D7E6E"/>
    <w:rsid w:val="007E0163"/>
    <w:rsid w:val="007E0259"/>
    <w:rsid w:val="007E055F"/>
    <w:rsid w:val="007E1119"/>
    <w:rsid w:val="007E195B"/>
    <w:rsid w:val="007E2053"/>
    <w:rsid w:val="007E2302"/>
    <w:rsid w:val="007E2E4A"/>
    <w:rsid w:val="007E3097"/>
    <w:rsid w:val="007E399C"/>
    <w:rsid w:val="007E3BBA"/>
    <w:rsid w:val="007E3F3B"/>
    <w:rsid w:val="007E4A11"/>
    <w:rsid w:val="007E4F28"/>
    <w:rsid w:val="007E503B"/>
    <w:rsid w:val="007E5277"/>
    <w:rsid w:val="007E529A"/>
    <w:rsid w:val="007E530F"/>
    <w:rsid w:val="007E563F"/>
    <w:rsid w:val="007E56C6"/>
    <w:rsid w:val="007E5711"/>
    <w:rsid w:val="007E57EC"/>
    <w:rsid w:val="007E5A88"/>
    <w:rsid w:val="007E5C5E"/>
    <w:rsid w:val="007E5E8E"/>
    <w:rsid w:val="007E6871"/>
    <w:rsid w:val="007E7246"/>
    <w:rsid w:val="007E7333"/>
    <w:rsid w:val="007E73BB"/>
    <w:rsid w:val="007E76B8"/>
    <w:rsid w:val="007E7F00"/>
    <w:rsid w:val="007E7FE5"/>
    <w:rsid w:val="007F0205"/>
    <w:rsid w:val="007F04EF"/>
    <w:rsid w:val="007F0D58"/>
    <w:rsid w:val="007F0DDB"/>
    <w:rsid w:val="007F14F1"/>
    <w:rsid w:val="007F192A"/>
    <w:rsid w:val="007F19BB"/>
    <w:rsid w:val="007F1C4F"/>
    <w:rsid w:val="007F26BB"/>
    <w:rsid w:val="007F27D8"/>
    <w:rsid w:val="007F3A82"/>
    <w:rsid w:val="007F3CE0"/>
    <w:rsid w:val="007F3DD1"/>
    <w:rsid w:val="007F400B"/>
    <w:rsid w:val="007F42AA"/>
    <w:rsid w:val="007F42E8"/>
    <w:rsid w:val="007F433D"/>
    <w:rsid w:val="007F46CB"/>
    <w:rsid w:val="007F4A15"/>
    <w:rsid w:val="007F4D6A"/>
    <w:rsid w:val="007F53DB"/>
    <w:rsid w:val="007F57EB"/>
    <w:rsid w:val="007F58D3"/>
    <w:rsid w:val="007F5CE0"/>
    <w:rsid w:val="007F6441"/>
    <w:rsid w:val="007F66B5"/>
    <w:rsid w:val="007F6865"/>
    <w:rsid w:val="007F6E87"/>
    <w:rsid w:val="007F76F7"/>
    <w:rsid w:val="008001D1"/>
    <w:rsid w:val="00800780"/>
    <w:rsid w:val="00800D99"/>
    <w:rsid w:val="008012DB"/>
    <w:rsid w:val="0080168A"/>
    <w:rsid w:val="008018D0"/>
    <w:rsid w:val="00801AA3"/>
    <w:rsid w:val="00801BFE"/>
    <w:rsid w:val="00802533"/>
    <w:rsid w:val="00802E53"/>
    <w:rsid w:val="00804057"/>
    <w:rsid w:val="00804388"/>
    <w:rsid w:val="00804746"/>
    <w:rsid w:val="00804F60"/>
    <w:rsid w:val="008054DB"/>
    <w:rsid w:val="008059D6"/>
    <w:rsid w:val="00805A49"/>
    <w:rsid w:val="00805D98"/>
    <w:rsid w:val="00805EC2"/>
    <w:rsid w:val="008063C6"/>
    <w:rsid w:val="008064DE"/>
    <w:rsid w:val="00806ABD"/>
    <w:rsid w:val="00807347"/>
    <w:rsid w:val="008077E6"/>
    <w:rsid w:val="00807882"/>
    <w:rsid w:val="008078F1"/>
    <w:rsid w:val="00807972"/>
    <w:rsid w:val="00807B4D"/>
    <w:rsid w:val="00810327"/>
    <w:rsid w:val="00811872"/>
    <w:rsid w:val="00811EAE"/>
    <w:rsid w:val="0081246C"/>
    <w:rsid w:val="00812514"/>
    <w:rsid w:val="00813573"/>
    <w:rsid w:val="00813637"/>
    <w:rsid w:val="008139A9"/>
    <w:rsid w:val="008139F8"/>
    <w:rsid w:val="00813BB3"/>
    <w:rsid w:val="00813CD2"/>
    <w:rsid w:val="0081446A"/>
    <w:rsid w:val="008144D8"/>
    <w:rsid w:val="00814F24"/>
    <w:rsid w:val="0081502F"/>
    <w:rsid w:val="008154F2"/>
    <w:rsid w:val="0081568E"/>
    <w:rsid w:val="00815ADC"/>
    <w:rsid w:val="00815B69"/>
    <w:rsid w:val="008160DB"/>
    <w:rsid w:val="00816149"/>
    <w:rsid w:val="008168DE"/>
    <w:rsid w:val="00816CF6"/>
    <w:rsid w:val="00816E8E"/>
    <w:rsid w:val="00817226"/>
    <w:rsid w:val="00817669"/>
    <w:rsid w:val="008176DF"/>
    <w:rsid w:val="00817ADD"/>
    <w:rsid w:val="00817EA3"/>
    <w:rsid w:val="00820309"/>
    <w:rsid w:val="00820B26"/>
    <w:rsid w:val="00820D8B"/>
    <w:rsid w:val="00820FC6"/>
    <w:rsid w:val="008214AD"/>
    <w:rsid w:val="00821517"/>
    <w:rsid w:val="008219C7"/>
    <w:rsid w:val="00821D5C"/>
    <w:rsid w:val="008220E5"/>
    <w:rsid w:val="008224B6"/>
    <w:rsid w:val="00822ADB"/>
    <w:rsid w:val="00822C8A"/>
    <w:rsid w:val="0082337A"/>
    <w:rsid w:val="00823514"/>
    <w:rsid w:val="00823FEC"/>
    <w:rsid w:val="00824219"/>
    <w:rsid w:val="00824900"/>
    <w:rsid w:val="00824A2E"/>
    <w:rsid w:val="00824EC9"/>
    <w:rsid w:val="00825D66"/>
    <w:rsid w:val="00825E1E"/>
    <w:rsid w:val="00826338"/>
    <w:rsid w:val="0082716E"/>
    <w:rsid w:val="00827564"/>
    <w:rsid w:val="00827B33"/>
    <w:rsid w:val="00827CC3"/>
    <w:rsid w:val="008310C7"/>
    <w:rsid w:val="0083195A"/>
    <w:rsid w:val="00831A06"/>
    <w:rsid w:val="00831AC5"/>
    <w:rsid w:val="008325DB"/>
    <w:rsid w:val="00832F3B"/>
    <w:rsid w:val="00833CD1"/>
    <w:rsid w:val="00834E6E"/>
    <w:rsid w:val="0083565C"/>
    <w:rsid w:val="0083586D"/>
    <w:rsid w:val="008359A6"/>
    <w:rsid w:val="00835DCD"/>
    <w:rsid w:val="00836D90"/>
    <w:rsid w:val="00836E28"/>
    <w:rsid w:val="00837556"/>
    <w:rsid w:val="008375A3"/>
    <w:rsid w:val="00837942"/>
    <w:rsid w:val="00840327"/>
    <w:rsid w:val="0084093E"/>
    <w:rsid w:val="0084119C"/>
    <w:rsid w:val="0084185D"/>
    <w:rsid w:val="00841A91"/>
    <w:rsid w:val="00841B67"/>
    <w:rsid w:val="00842289"/>
    <w:rsid w:val="0084237E"/>
    <w:rsid w:val="008425A3"/>
    <w:rsid w:val="00842DF7"/>
    <w:rsid w:val="00842FA1"/>
    <w:rsid w:val="008435D0"/>
    <w:rsid w:val="00843BFE"/>
    <w:rsid w:val="00843D02"/>
    <w:rsid w:val="0084439F"/>
    <w:rsid w:val="008444A5"/>
    <w:rsid w:val="00844B3F"/>
    <w:rsid w:val="00845BF7"/>
    <w:rsid w:val="00845E7A"/>
    <w:rsid w:val="00845F45"/>
    <w:rsid w:val="00846001"/>
    <w:rsid w:val="008468FB"/>
    <w:rsid w:val="00846AE9"/>
    <w:rsid w:val="00847A75"/>
    <w:rsid w:val="00847CCD"/>
    <w:rsid w:val="00847E30"/>
    <w:rsid w:val="008505D7"/>
    <w:rsid w:val="00850821"/>
    <w:rsid w:val="00850867"/>
    <w:rsid w:val="0085096D"/>
    <w:rsid w:val="00850CC5"/>
    <w:rsid w:val="00851143"/>
    <w:rsid w:val="008511C1"/>
    <w:rsid w:val="00851774"/>
    <w:rsid w:val="00851DD3"/>
    <w:rsid w:val="00852351"/>
    <w:rsid w:val="008524AC"/>
    <w:rsid w:val="00852B21"/>
    <w:rsid w:val="00852E04"/>
    <w:rsid w:val="00852E26"/>
    <w:rsid w:val="00852F13"/>
    <w:rsid w:val="008536B6"/>
    <w:rsid w:val="00853A1D"/>
    <w:rsid w:val="00853A5F"/>
    <w:rsid w:val="00854C7E"/>
    <w:rsid w:val="00854F74"/>
    <w:rsid w:val="00856A95"/>
    <w:rsid w:val="00856CFF"/>
    <w:rsid w:val="00857010"/>
    <w:rsid w:val="00860305"/>
    <w:rsid w:val="0086039C"/>
    <w:rsid w:val="00860811"/>
    <w:rsid w:val="00860D67"/>
    <w:rsid w:val="00860D93"/>
    <w:rsid w:val="00861A93"/>
    <w:rsid w:val="0086229F"/>
    <w:rsid w:val="008626C8"/>
    <w:rsid w:val="008629E1"/>
    <w:rsid w:val="0086308B"/>
    <w:rsid w:val="0086323F"/>
    <w:rsid w:val="008632B8"/>
    <w:rsid w:val="00863927"/>
    <w:rsid w:val="0086398E"/>
    <w:rsid w:val="00863AEF"/>
    <w:rsid w:val="00863CE4"/>
    <w:rsid w:val="0086423F"/>
    <w:rsid w:val="008644E2"/>
    <w:rsid w:val="00865836"/>
    <w:rsid w:val="00865B9C"/>
    <w:rsid w:val="0086617A"/>
    <w:rsid w:val="008664D6"/>
    <w:rsid w:val="0086686E"/>
    <w:rsid w:val="00866B93"/>
    <w:rsid w:val="00866FC6"/>
    <w:rsid w:val="008673B7"/>
    <w:rsid w:val="00867718"/>
    <w:rsid w:val="00867733"/>
    <w:rsid w:val="00867771"/>
    <w:rsid w:val="00867B2F"/>
    <w:rsid w:val="00867E76"/>
    <w:rsid w:val="008704C4"/>
    <w:rsid w:val="00870581"/>
    <w:rsid w:val="00871241"/>
    <w:rsid w:val="00871505"/>
    <w:rsid w:val="0087195C"/>
    <w:rsid w:val="00871FBB"/>
    <w:rsid w:val="008722A6"/>
    <w:rsid w:val="00873189"/>
    <w:rsid w:val="0087335E"/>
    <w:rsid w:val="008736FE"/>
    <w:rsid w:val="00873756"/>
    <w:rsid w:val="00874116"/>
    <w:rsid w:val="008743E3"/>
    <w:rsid w:val="008751C4"/>
    <w:rsid w:val="00875965"/>
    <w:rsid w:val="00875AEF"/>
    <w:rsid w:val="00875AF4"/>
    <w:rsid w:val="00875C71"/>
    <w:rsid w:val="00875DB2"/>
    <w:rsid w:val="008762B5"/>
    <w:rsid w:val="0087688C"/>
    <w:rsid w:val="0087695E"/>
    <w:rsid w:val="00877485"/>
    <w:rsid w:val="00877780"/>
    <w:rsid w:val="00877784"/>
    <w:rsid w:val="00877C29"/>
    <w:rsid w:val="0088084B"/>
    <w:rsid w:val="00880B73"/>
    <w:rsid w:val="00881B3D"/>
    <w:rsid w:val="00881E9A"/>
    <w:rsid w:val="00882661"/>
    <w:rsid w:val="008826AE"/>
    <w:rsid w:val="0088276D"/>
    <w:rsid w:val="00882829"/>
    <w:rsid w:val="00882BD8"/>
    <w:rsid w:val="00882D58"/>
    <w:rsid w:val="00883017"/>
    <w:rsid w:val="00883461"/>
    <w:rsid w:val="00883637"/>
    <w:rsid w:val="008836CD"/>
    <w:rsid w:val="008845FA"/>
    <w:rsid w:val="00884BF0"/>
    <w:rsid w:val="008851AA"/>
    <w:rsid w:val="008857A4"/>
    <w:rsid w:val="00885981"/>
    <w:rsid w:val="00885BCA"/>
    <w:rsid w:val="00885F79"/>
    <w:rsid w:val="00885F9B"/>
    <w:rsid w:val="008873F8"/>
    <w:rsid w:val="00887930"/>
    <w:rsid w:val="00887B6D"/>
    <w:rsid w:val="00887EDA"/>
    <w:rsid w:val="00890239"/>
    <w:rsid w:val="00890A41"/>
    <w:rsid w:val="0089101E"/>
    <w:rsid w:val="0089119B"/>
    <w:rsid w:val="0089129F"/>
    <w:rsid w:val="008916DE"/>
    <w:rsid w:val="00891AF2"/>
    <w:rsid w:val="00891D9E"/>
    <w:rsid w:val="00892037"/>
    <w:rsid w:val="00892A42"/>
    <w:rsid w:val="00893091"/>
    <w:rsid w:val="008935D5"/>
    <w:rsid w:val="00893761"/>
    <w:rsid w:val="00893845"/>
    <w:rsid w:val="00893AA1"/>
    <w:rsid w:val="00894670"/>
    <w:rsid w:val="0089474B"/>
    <w:rsid w:val="008948CB"/>
    <w:rsid w:val="0089520E"/>
    <w:rsid w:val="0089555D"/>
    <w:rsid w:val="00895CF3"/>
    <w:rsid w:val="00896D31"/>
    <w:rsid w:val="00896D5C"/>
    <w:rsid w:val="0089703D"/>
    <w:rsid w:val="0089710B"/>
    <w:rsid w:val="0089724A"/>
    <w:rsid w:val="00897377"/>
    <w:rsid w:val="00897687"/>
    <w:rsid w:val="008A0186"/>
    <w:rsid w:val="008A0718"/>
    <w:rsid w:val="008A08C2"/>
    <w:rsid w:val="008A0905"/>
    <w:rsid w:val="008A0C3B"/>
    <w:rsid w:val="008A0FBE"/>
    <w:rsid w:val="008A1001"/>
    <w:rsid w:val="008A1171"/>
    <w:rsid w:val="008A1618"/>
    <w:rsid w:val="008A1A2F"/>
    <w:rsid w:val="008A1B99"/>
    <w:rsid w:val="008A1E3E"/>
    <w:rsid w:val="008A1EA4"/>
    <w:rsid w:val="008A23C7"/>
    <w:rsid w:val="008A2E03"/>
    <w:rsid w:val="008A2E52"/>
    <w:rsid w:val="008A30F4"/>
    <w:rsid w:val="008A32AF"/>
    <w:rsid w:val="008A38EC"/>
    <w:rsid w:val="008A39F8"/>
    <w:rsid w:val="008A3FD3"/>
    <w:rsid w:val="008A4ED6"/>
    <w:rsid w:val="008A50F4"/>
    <w:rsid w:val="008A51E9"/>
    <w:rsid w:val="008A58E8"/>
    <w:rsid w:val="008A5BDD"/>
    <w:rsid w:val="008A6329"/>
    <w:rsid w:val="008A6644"/>
    <w:rsid w:val="008A69AB"/>
    <w:rsid w:val="008A6E87"/>
    <w:rsid w:val="008A7772"/>
    <w:rsid w:val="008A7AFC"/>
    <w:rsid w:val="008B0323"/>
    <w:rsid w:val="008B0F4F"/>
    <w:rsid w:val="008B1468"/>
    <w:rsid w:val="008B1DC9"/>
    <w:rsid w:val="008B2047"/>
    <w:rsid w:val="008B2435"/>
    <w:rsid w:val="008B293C"/>
    <w:rsid w:val="008B2D17"/>
    <w:rsid w:val="008B2D7A"/>
    <w:rsid w:val="008B2FA5"/>
    <w:rsid w:val="008B34FD"/>
    <w:rsid w:val="008B3C48"/>
    <w:rsid w:val="008B3D23"/>
    <w:rsid w:val="008B3E07"/>
    <w:rsid w:val="008B435F"/>
    <w:rsid w:val="008B4936"/>
    <w:rsid w:val="008B4A0B"/>
    <w:rsid w:val="008B5821"/>
    <w:rsid w:val="008B5B7E"/>
    <w:rsid w:val="008B6220"/>
    <w:rsid w:val="008B71E9"/>
    <w:rsid w:val="008B71EB"/>
    <w:rsid w:val="008B7804"/>
    <w:rsid w:val="008B7ABF"/>
    <w:rsid w:val="008C01FA"/>
    <w:rsid w:val="008C0632"/>
    <w:rsid w:val="008C0C5F"/>
    <w:rsid w:val="008C1799"/>
    <w:rsid w:val="008C2F29"/>
    <w:rsid w:val="008C3098"/>
    <w:rsid w:val="008C33D0"/>
    <w:rsid w:val="008C388D"/>
    <w:rsid w:val="008C3F53"/>
    <w:rsid w:val="008C3FEE"/>
    <w:rsid w:val="008C4619"/>
    <w:rsid w:val="008C4C53"/>
    <w:rsid w:val="008C512B"/>
    <w:rsid w:val="008C548A"/>
    <w:rsid w:val="008C6B00"/>
    <w:rsid w:val="008C6C35"/>
    <w:rsid w:val="008C75D2"/>
    <w:rsid w:val="008D0C6D"/>
    <w:rsid w:val="008D1472"/>
    <w:rsid w:val="008D180F"/>
    <w:rsid w:val="008D262D"/>
    <w:rsid w:val="008D2B32"/>
    <w:rsid w:val="008D2DAC"/>
    <w:rsid w:val="008D344A"/>
    <w:rsid w:val="008D37F2"/>
    <w:rsid w:val="008D3E00"/>
    <w:rsid w:val="008D4090"/>
    <w:rsid w:val="008D440A"/>
    <w:rsid w:val="008D44A3"/>
    <w:rsid w:val="008D461A"/>
    <w:rsid w:val="008D4A12"/>
    <w:rsid w:val="008D4ECE"/>
    <w:rsid w:val="008D4FAF"/>
    <w:rsid w:val="008D5080"/>
    <w:rsid w:val="008D5092"/>
    <w:rsid w:val="008D52BE"/>
    <w:rsid w:val="008D5637"/>
    <w:rsid w:val="008D5B52"/>
    <w:rsid w:val="008D5E29"/>
    <w:rsid w:val="008D62A5"/>
    <w:rsid w:val="008D6C62"/>
    <w:rsid w:val="008D7144"/>
    <w:rsid w:val="008D7574"/>
    <w:rsid w:val="008D75D2"/>
    <w:rsid w:val="008D7C83"/>
    <w:rsid w:val="008E0175"/>
    <w:rsid w:val="008E0494"/>
    <w:rsid w:val="008E062D"/>
    <w:rsid w:val="008E1447"/>
    <w:rsid w:val="008E1703"/>
    <w:rsid w:val="008E2404"/>
    <w:rsid w:val="008E3101"/>
    <w:rsid w:val="008E31DB"/>
    <w:rsid w:val="008E384F"/>
    <w:rsid w:val="008E3E4B"/>
    <w:rsid w:val="008E40CC"/>
    <w:rsid w:val="008E49B0"/>
    <w:rsid w:val="008E4C24"/>
    <w:rsid w:val="008E4C3D"/>
    <w:rsid w:val="008E4D42"/>
    <w:rsid w:val="008E5181"/>
    <w:rsid w:val="008E5756"/>
    <w:rsid w:val="008E58D2"/>
    <w:rsid w:val="008E5AE5"/>
    <w:rsid w:val="008E5B0E"/>
    <w:rsid w:val="008E5C85"/>
    <w:rsid w:val="008E5F35"/>
    <w:rsid w:val="008E61A2"/>
    <w:rsid w:val="008E6259"/>
    <w:rsid w:val="008E6585"/>
    <w:rsid w:val="008E6DD7"/>
    <w:rsid w:val="008E6F31"/>
    <w:rsid w:val="008E7171"/>
    <w:rsid w:val="008E781E"/>
    <w:rsid w:val="008E7BBD"/>
    <w:rsid w:val="008E7DC0"/>
    <w:rsid w:val="008E7EE5"/>
    <w:rsid w:val="008F062F"/>
    <w:rsid w:val="008F089B"/>
    <w:rsid w:val="008F0A74"/>
    <w:rsid w:val="008F0B54"/>
    <w:rsid w:val="008F0D05"/>
    <w:rsid w:val="008F0D91"/>
    <w:rsid w:val="008F173D"/>
    <w:rsid w:val="008F1A4C"/>
    <w:rsid w:val="008F21B8"/>
    <w:rsid w:val="008F226A"/>
    <w:rsid w:val="008F2AE5"/>
    <w:rsid w:val="008F2D22"/>
    <w:rsid w:val="008F300E"/>
    <w:rsid w:val="008F3306"/>
    <w:rsid w:val="008F3981"/>
    <w:rsid w:val="008F39D6"/>
    <w:rsid w:val="008F3EAC"/>
    <w:rsid w:val="008F42C3"/>
    <w:rsid w:val="008F48E1"/>
    <w:rsid w:val="008F4C34"/>
    <w:rsid w:val="008F4FBF"/>
    <w:rsid w:val="008F52F9"/>
    <w:rsid w:val="008F5414"/>
    <w:rsid w:val="008F54E4"/>
    <w:rsid w:val="008F6275"/>
    <w:rsid w:val="008F636D"/>
    <w:rsid w:val="008F663E"/>
    <w:rsid w:val="008F6AB9"/>
    <w:rsid w:val="008F7850"/>
    <w:rsid w:val="00900191"/>
    <w:rsid w:val="009004B8"/>
    <w:rsid w:val="00900A02"/>
    <w:rsid w:val="00900A35"/>
    <w:rsid w:val="00900E8F"/>
    <w:rsid w:val="00901050"/>
    <w:rsid w:val="0090115A"/>
    <w:rsid w:val="0090146D"/>
    <w:rsid w:val="0090173D"/>
    <w:rsid w:val="00901E9C"/>
    <w:rsid w:val="009020BF"/>
    <w:rsid w:val="009020C8"/>
    <w:rsid w:val="00902161"/>
    <w:rsid w:val="009028C1"/>
    <w:rsid w:val="00902DA0"/>
    <w:rsid w:val="00902DDE"/>
    <w:rsid w:val="0090390B"/>
    <w:rsid w:val="00903C8A"/>
    <w:rsid w:val="0090458F"/>
    <w:rsid w:val="009048B6"/>
    <w:rsid w:val="00904923"/>
    <w:rsid w:val="00904C12"/>
    <w:rsid w:val="009052B0"/>
    <w:rsid w:val="009056C2"/>
    <w:rsid w:val="00905B25"/>
    <w:rsid w:val="00905EF1"/>
    <w:rsid w:val="00906565"/>
    <w:rsid w:val="009065C7"/>
    <w:rsid w:val="009067F2"/>
    <w:rsid w:val="00906E1C"/>
    <w:rsid w:val="00907015"/>
    <w:rsid w:val="00907081"/>
    <w:rsid w:val="00907397"/>
    <w:rsid w:val="009073DE"/>
    <w:rsid w:val="009076F6"/>
    <w:rsid w:val="00907A81"/>
    <w:rsid w:val="00907D1E"/>
    <w:rsid w:val="00907F8D"/>
    <w:rsid w:val="0091016E"/>
    <w:rsid w:val="00910510"/>
    <w:rsid w:val="0091094F"/>
    <w:rsid w:val="00910D86"/>
    <w:rsid w:val="0091123F"/>
    <w:rsid w:val="009120D0"/>
    <w:rsid w:val="00912845"/>
    <w:rsid w:val="00912D97"/>
    <w:rsid w:val="00912E55"/>
    <w:rsid w:val="00913D9F"/>
    <w:rsid w:val="00914398"/>
    <w:rsid w:val="00914BCE"/>
    <w:rsid w:val="009155A6"/>
    <w:rsid w:val="00915B37"/>
    <w:rsid w:val="00915B9C"/>
    <w:rsid w:val="0091697F"/>
    <w:rsid w:val="00916D2F"/>
    <w:rsid w:val="00917024"/>
    <w:rsid w:val="0091751D"/>
    <w:rsid w:val="009175DD"/>
    <w:rsid w:val="0091773A"/>
    <w:rsid w:val="00920608"/>
    <w:rsid w:val="00921103"/>
    <w:rsid w:val="00921142"/>
    <w:rsid w:val="009213B4"/>
    <w:rsid w:val="009217CD"/>
    <w:rsid w:val="009219C4"/>
    <w:rsid w:val="0092229D"/>
    <w:rsid w:val="009226F9"/>
    <w:rsid w:val="00922F7E"/>
    <w:rsid w:val="009232D5"/>
    <w:rsid w:val="0092346A"/>
    <w:rsid w:val="0092478B"/>
    <w:rsid w:val="009258BE"/>
    <w:rsid w:val="00925F48"/>
    <w:rsid w:val="009266CC"/>
    <w:rsid w:val="0092681D"/>
    <w:rsid w:val="00926947"/>
    <w:rsid w:val="00926989"/>
    <w:rsid w:val="00930DED"/>
    <w:rsid w:val="0093122F"/>
    <w:rsid w:val="009312D6"/>
    <w:rsid w:val="00931942"/>
    <w:rsid w:val="00931BF6"/>
    <w:rsid w:val="0093227B"/>
    <w:rsid w:val="00932670"/>
    <w:rsid w:val="00932B9C"/>
    <w:rsid w:val="00932EC8"/>
    <w:rsid w:val="00932F20"/>
    <w:rsid w:val="00933C9A"/>
    <w:rsid w:val="00933E38"/>
    <w:rsid w:val="00934C2F"/>
    <w:rsid w:val="00934FB1"/>
    <w:rsid w:val="009354C2"/>
    <w:rsid w:val="009355E5"/>
    <w:rsid w:val="009379BA"/>
    <w:rsid w:val="009405AA"/>
    <w:rsid w:val="00940EBB"/>
    <w:rsid w:val="009430F6"/>
    <w:rsid w:val="00943252"/>
    <w:rsid w:val="009441F0"/>
    <w:rsid w:val="009448C2"/>
    <w:rsid w:val="00944A4E"/>
    <w:rsid w:val="00944DF2"/>
    <w:rsid w:val="0094543D"/>
    <w:rsid w:val="009457BC"/>
    <w:rsid w:val="0094580D"/>
    <w:rsid w:val="00945C74"/>
    <w:rsid w:val="00945FBF"/>
    <w:rsid w:val="00946602"/>
    <w:rsid w:val="00946F49"/>
    <w:rsid w:val="00947306"/>
    <w:rsid w:val="009500AB"/>
    <w:rsid w:val="009506D0"/>
    <w:rsid w:val="009506E3"/>
    <w:rsid w:val="009517EA"/>
    <w:rsid w:val="00951ACE"/>
    <w:rsid w:val="00951C32"/>
    <w:rsid w:val="00951D1E"/>
    <w:rsid w:val="00952048"/>
    <w:rsid w:val="009524FD"/>
    <w:rsid w:val="00952870"/>
    <w:rsid w:val="009531EB"/>
    <w:rsid w:val="00953257"/>
    <w:rsid w:val="00953398"/>
    <w:rsid w:val="00953611"/>
    <w:rsid w:val="009539AD"/>
    <w:rsid w:val="00954F3F"/>
    <w:rsid w:val="00955275"/>
    <w:rsid w:val="00955463"/>
    <w:rsid w:val="00955726"/>
    <w:rsid w:val="009559FE"/>
    <w:rsid w:val="00956010"/>
    <w:rsid w:val="0095619F"/>
    <w:rsid w:val="009561B7"/>
    <w:rsid w:val="0095680E"/>
    <w:rsid w:val="0095684D"/>
    <w:rsid w:val="00956944"/>
    <w:rsid w:val="00956B4E"/>
    <w:rsid w:val="00956C88"/>
    <w:rsid w:val="009570D2"/>
    <w:rsid w:val="009571EC"/>
    <w:rsid w:val="00957651"/>
    <w:rsid w:val="00957D1E"/>
    <w:rsid w:val="0096027B"/>
    <w:rsid w:val="00960932"/>
    <w:rsid w:val="009619EA"/>
    <w:rsid w:val="00961F84"/>
    <w:rsid w:val="00962308"/>
    <w:rsid w:val="0096283E"/>
    <w:rsid w:val="00962B9B"/>
    <w:rsid w:val="00962ECB"/>
    <w:rsid w:val="00963A84"/>
    <w:rsid w:val="0096465A"/>
    <w:rsid w:val="00965EFC"/>
    <w:rsid w:val="009662E5"/>
    <w:rsid w:val="009664F9"/>
    <w:rsid w:val="00966CC2"/>
    <w:rsid w:val="00966EDA"/>
    <w:rsid w:val="00967141"/>
    <w:rsid w:val="009673EF"/>
    <w:rsid w:val="00967ADC"/>
    <w:rsid w:val="00967C17"/>
    <w:rsid w:val="00967E55"/>
    <w:rsid w:val="009708C4"/>
    <w:rsid w:val="009709C9"/>
    <w:rsid w:val="00970B62"/>
    <w:rsid w:val="00970D1D"/>
    <w:rsid w:val="0097119B"/>
    <w:rsid w:val="00971D39"/>
    <w:rsid w:val="009723F7"/>
    <w:rsid w:val="0097240C"/>
    <w:rsid w:val="00972423"/>
    <w:rsid w:val="00972681"/>
    <w:rsid w:val="0097286F"/>
    <w:rsid w:val="009729EB"/>
    <w:rsid w:val="00972CC4"/>
    <w:rsid w:val="00973136"/>
    <w:rsid w:val="00973855"/>
    <w:rsid w:val="00973897"/>
    <w:rsid w:val="009739F6"/>
    <w:rsid w:val="00973B46"/>
    <w:rsid w:val="00973CAA"/>
    <w:rsid w:val="00973DEF"/>
    <w:rsid w:val="00973F19"/>
    <w:rsid w:val="009740D6"/>
    <w:rsid w:val="009748D3"/>
    <w:rsid w:val="00974A2F"/>
    <w:rsid w:val="0097598A"/>
    <w:rsid w:val="0097661D"/>
    <w:rsid w:val="00976E16"/>
    <w:rsid w:val="00976F8B"/>
    <w:rsid w:val="009773A1"/>
    <w:rsid w:val="009775D9"/>
    <w:rsid w:val="0097763E"/>
    <w:rsid w:val="00977BCC"/>
    <w:rsid w:val="00977CEA"/>
    <w:rsid w:val="00980037"/>
    <w:rsid w:val="00980551"/>
    <w:rsid w:val="0098079F"/>
    <w:rsid w:val="009807AA"/>
    <w:rsid w:val="00980F8B"/>
    <w:rsid w:val="00981796"/>
    <w:rsid w:val="00981CAB"/>
    <w:rsid w:val="0098230A"/>
    <w:rsid w:val="0098281F"/>
    <w:rsid w:val="00982820"/>
    <w:rsid w:val="00982972"/>
    <w:rsid w:val="00982A7F"/>
    <w:rsid w:val="00982C9B"/>
    <w:rsid w:val="00982E8B"/>
    <w:rsid w:val="00983B70"/>
    <w:rsid w:val="009842EC"/>
    <w:rsid w:val="009843D5"/>
    <w:rsid w:val="009850CB"/>
    <w:rsid w:val="009856F6"/>
    <w:rsid w:val="0098574A"/>
    <w:rsid w:val="009857FA"/>
    <w:rsid w:val="00985ABE"/>
    <w:rsid w:val="00985C40"/>
    <w:rsid w:val="00985F63"/>
    <w:rsid w:val="00986139"/>
    <w:rsid w:val="009861DC"/>
    <w:rsid w:val="0098634C"/>
    <w:rsid w:val="0098672E"/>
    <w:rsid w:val="00986749"/>
    <w:rsid w:val="00986D4F"/>
    <w:rsid w:val="0098735E"/>
    <w:rsid w:val="009879E4"/>
    <w:rsid w:val="00987A72"/>
    <w:rsid w:val="00987AE2"/>
    <w:rsid w:val="00990076"/>
    <w:rsid w:val="0099039E"/>
    <w:rsid w:val="00990697"/>
    <w:rsid w:val="00990791"/>
    <w:rsid w:val="0099104B"/>
    <w:rsid w:val="00991D12"/>
    <w:rsid w:val="00992C76"/>
    <w:rsid w:val="009930CC"/>
    <w:rsid w:val="0099380E"/>
    <w:rsid w:val="00993FDE"/>
    <w:rsid w:val="0099413D"/>
    <w:rsid w:val="00994713"/>
    <w:rsid w:val="00995163"/>
    <w:rsid w:val="00995348"/>
    <w:rsid w:val="0099558C"/>
    <w:rsid w:val="00995A74"/>
    <w:rsid w:val="00995E9D"/>
    <w:rsid w:val="00996789"/>
    <w:rsid w:val="00997464"/>
    <w:rsid w:val="009974B8"/>
    <w:rsid w:val="0099790F"/>
    <w:rsid w:val="009A01D3"/>
    <w:rsid w:val="009A0689"/>
    <w:rsid w:val="009A071A"/>
    <w:rsid w:val="009A071D"/>
    <w:rsid w:val="009A0928"/>
    <w:rsid w:val="009A09EB"/>
    <w:rsid w:val="009A0A52"/>
    <w:rsid w:val="009A114F"/>
    <w:rsid w:val="009A18D1"/>
    <w:rsid w:val="009A1905"/>
    <w:rsid w:val="009A1B90"/>
    <w:rsid w:val="009A1F2F"/>
    <w:rsid w:val="009A229E"/>
    <w:rsid w:val="009A22A3"/>
    <w:rsid w:val="009A2403"/>
    <w:rsid w:val="009A2B1E"/>
    <w:rsid w:val="009A3611"/>
    <w:rsid w:val="009A413A"/>
    <w:rsid w:val="009A4267"/>
    <w:rsid w:val="009A434A"/>
    <w:rsid w:val="009A4359"/>
    <w:rsid w:val="009A47CC"/>
    <w:rsid w:val="009A4A65"/>
    <w:rsid w:val="009A4BCB"/>
    <w:rsid w:val="009A4E45"/>
    <w:rsid w:val="009A523E"/>
    <w:rsid w:val="009A54F0"/>
    <w:rsid w:val="009A5E45"/>
    <w:rsid w:val="009A6A89"/>
    <w:rsid w:val="009A6C8A"/>
    <w:rsid w:val="009A778E"/>
    <w:rsid w:val="009A7BE2"/>
    <w:rsid w:val="009A7FD7"/>
    <w:rsid w:val="009B001A"/>
    <w:rsid w:val="009B08D9"/>
    <w:rsid w:val="009B0FED"/>
    <w:rsid w:val="009B1F20"/>
    <w:rsid w:val="009B2AAA"/>
    <w:rsid w:val="009B2F7B"/>
    <w:rsid w:val="009B4041"/>
    <w:rsid w:val="009B4370"/>
    <w:rsid w:val="009B4570"/>
    <w:rsid w:val="009B45C1"/>
    <w:rsid w:val="009B46CF"/>
    <w:rsid w:val="009B5344"/>
    <w:rsid w:val="009B5821"/>
    <w:rsid w:val="009B5ADD"/>
    <w:rsid w:val="009B5D67"/>
    <w:rsid w:val="009B5E4A"/>
    <w:rsid w:val="009B603C"/>
    <w:rsid w:val="009B6113"/>
    <w:rsid w:val="009B6126"/>
    <w:rsid w:val="009B666D"/>
    <w:rsid w:val="009B6AFA"/>
    <w:rsid w:val="009B729A"/>
    <w:rsid w:val="009B7441"/>
    <w:rsid w:val="009B7BE0"/>
    <w:rsid w:val="009C006A"/>
    <w:rsid w:val="009C00C0"/>
    <w:rsid w:val="009C03C7"/>
    <w:rsid w:val="009C0497"/>
    <w:rsid w:val="009C04EF"/>
    <w:rsid w:val="009C0756"/>
    <w:rsid w:val="009C0D63"/>
    <w:rsid w:val="009C11E7"/>
    <w:rsid w:val="009C213C"/>
    <w:rsid w:val="009C2366"/>
    <w:rsid w:val="009C2632"/>
    <w:rsid w:val="009C26FE"/>
    <w:rsid w:val="009C2848"/>
    <w:rsid w:val="009C3145"/>
    <w:rsid w:val="009C31BF"/>
    <w:rsid w:val="009C3D3E"/>
    <w:rsid w:val="009C42FD"/>
    <w:rsid w:val="009C4400"/>
    <w:rsid w:val="009C4F76"/>
    <w:rsid w:val="009C5261"/>
    <w:rsid w:val="009C52D2"/>
    <w:rsid w:val="009C55E2"/>
    <w:rsid w:val="009C584A"/>
    <w:rsid w:val="009C5AD3"/>
    <w:rsid w:val="009C776B"/>
    <w:rsid w:val="009C7CF5"/>
    <w:rsid w:val="009C7DD1"/>
    <w:rsid w:val="009D0315"/>
    <w:rsid w:val="009D03A5"/>
    <w:rsid w:val="009D0B64"/>
    <w:rsid w:val="009D0D46"/>
    <w:rsid w:val="009D0EAE"/>
    <w:rsid w:val="009D107C"/>
    <w:rsid w:val="009D11D1"/>
    <w:rsid w:val="009D18B2"/>
    <w:rsid w:val="009D1A7F"/>
    <w:rsid w:val="009D2AFF"/>
    <w:rsid w:val="009D2D17"/>
    <w:rsid w:val="009D30E8"/>
    <w:rsid w:val="009D3581"/>
    <w:rsid w:val="009D368B"/>
    <w:rsid w:val="009D3706"/>
    <w:rsid w:val="009D3727"/>
    <w:rsid w:val="009D4C77"/>
    <w:rsid w:val="009D4EB3"/>
    <w:rsid w:val="009D54CB"/>
    <w:rsid w:val="009D5AD2"/>
    <w:rsid w:val="009D71EB"/>
    <w:rsid w:val="009D769B"/>
    <w:rsid w:val="009D77A3"/>
    <w:rsid w:val="009D7F3E"/>
    <w:rsid w:val="009E07D8"/>
    <w:rsid w:val="009E0C80"/>
    <w:rsid w:val="009E0F64"/>
    <w:rsid w:val="009E1230"/>
    <w:rsid w:val="009E15C3"/>
    <w:rsid w:val="009E16D4"/>
    <w:rsid w:val="009E17FB"/>
    <w:rsid w:val="009E2021"/>
    <w:rsid w:val="009E2045"/>
    <w:rsid w:val="009E2589"/>
    <w:rsid w:val="009E2875"/>
    <w:rsid w:val="009E2A5D"/>
    <w:rsid w:val="009E3051"/>
    <w:rsid w:val="009E34E8"/>
    <w:rsid w:val="009E3673"/>
    <w:rsid w:val="009E3AAF"/>
    <w:rsid w:val="009E3AC5"/>
    <w:rsid w:val="009E3F23"/>
    <w:rsid w:val="009E3F6A"/>
    <w:rsid w:val="009E4057"/>
    <w:rsid w:val="009E4AF0"/>
    <w:rsid w:val="009E4B26"/>
    <w:rsid w:val="009E50E4"/>
    <w:rsid w:val="009E5413"/>
    <w:rsid w:val="009E603D"/>
    <w:rsid w:val="009E6163"/>
    <w:rsid w:val="009E6193"/>
    <w:rsid w:val="009E6945"/>
    <w:rsid w:val="009E7115"/>
    <w:rsid w:val="009E7552"/>
    <w:rsid w:val="009E75BE"/>
    <w:rsid w:val="009E7829"/>
    <w:rsid w:val="009E7D39"/>
    <w:rsid w:val="009F16FB"/>
    <w:rsid w:val="009F1748"/>
    <w:rsid w:val="009F1921"/>
    <w:rsid w:val="009F207B"/>
    <w:rsid w:val="009F2756"/>
    <w:rsid w:val="009F28B7"/>
    <w:rsid w:val="009F29BA"/>
    <w:rsid w:val="009F2E46"/>
    <w:rsid w:val="009F30BB"/>
    <w:rsid w:val="009F48C7"/>
    <w:rsid w:val="009F4C82"/>
    <w:rsid w:val="009F4CF6"/>
    <w:rsid w:val="009F5490"/>
    <w:rsid w:val="009F56D4"/>
    <w:rsid w:val="009F5A2C"/>
    <w:rsid w:val="009F5D64"/>
    <w:rsid w:val="009F6153"/>
    <w:rsid w:val="009F7710"/>
    <w:rsid w:val="009F792E"/>
    <w:rsid w:val="009F7FB1"/>
    <w:rsid w:val="00A0006A"/>
    <w:rsid w:val="00A00077"/>
    <w:rsid w:val="00A008C3"/>
    <w:rsid w:val="00A012FD"/>
    <w:rsid w:val="00A01AEF"/>
    <w:rsid w:val="00A020B8"/>
    <w:rsid w:val="00A0233C"/>
    <w:rsid w:val="00A033B3"/>
    <w:rsid w:val="00A034CA"/>
    <w:rsid w:val="00A036BD"/>
    <w:rsid w:val="00A03A1E"/>
    <w:rsid w:val="00A03EC7"/>
    <w:rsid w:val="00A0409E"/>
    <w:rsid w:val="00A042B6"/>
    <w:rsid w:val="00A0449C"/>
    <w:rsid w:val="00A04A21"/>
    <w:rsid w:val="00A052E2"/>
    <w:rsid w:val="00A053FF"/>
    <w:rsid w:val="00A05519"/>
    <w:rsid w:val="00A05560"/>
    <w:rsid w:val="00A05D35"/>
    <w:rsid w:val="00A06770"/>
    <w:rsid w:val="00A06A8D"/>
    <w:rsid w:val="00A07180"/>
    <w:rsid w:val="00A07636"/>
    <w:rsid w:val="00A07D8E"/>
    <w:rsid w:val="00A104C4"/>
    <w:rsid w:val="00A10947"/>
    <w:rsid w:val="00A11070"/>
    <w:rsid w:val="00A11095"/>
    <w:rsid w:val="00A11171"/>
    <w:rsid w:val="00A1181B"/>
    <w:rsid w:val="00A11A04"/>
    <w:rsid w:val="00A11B5A"/>
    <w:rsid w:val="00A12F8E"/>
    <w:rsid w:val="00A133D6"/>
    <w:rsid w:val="00A1351A"/>
    <w:rsid w:val="00A13A87"/>
    <w:rsid w:val="00A14036"/>
    <w:rsid w:val="00A14599"/>
    <w:rsid w:val="00A14ADC"/>
    <w:rsid w:val="00A152EE"/>
    <w:rsid w:val="00A16007"/>
    <w:rsid w:val="00A168C2"/>
    <w:rsid w:val="00A169AF"/>
    <w:rsid w:val="00A171DE"/>
    <w:rsid w:val="00A17D21"/>
    <w:rsid w:val="00A17E6F"/>
    <w:rsid w:val="00A20148"/>
    <w:rsid w:val="00A2132A"/>
    <w:rsid w:val="00A21333"/>
    <w:rsid w:val="00A2140E"/>
    <w:rsid w:val="00A21C19"/>
    <w:rsid w:val="00A2257F"/>
    <w:rsid w:val="00A22621"/>
    <w:rsid w:val="00A22A3F"/>
    <w:rsid w:val="00A23038"/>
    <w:rsid w:val="00A233F6"/>
    <w:rsid w:val="00A23489"/>
    <w:rsid w:val="00A23F1E"/>
    <w:rsid w:val="00A246A0"/>
    <w:rsid w:val="00A24E3C"/>
    <w:rsid w:val="00A25253"/>
    <w:rsid w:val="00A25CC2"/>
    <w:rsid w:val="00A26617"/>
    <w:rsid w:val="00A26C19"/>
    <w:rsid w:val="00A27B8B"/>
    <w:rsid w:val="00A27CE9"/>
    <w:rsid w:val="00A30AD0"/>
    <w:rsid w:val="00A30D05"/>
    <w:rsid w:val="00A30F30"/>
    <w:rsid w:val="00A31D87"/>
    <w:rsid w:val="00A321ED"/>
    <w:rsid w:val="00A32398"/>
    <w:rsid w:val="00A323CE"/>
    <w:rsid w:val="00A324EE"/>
    <w:rsid w:val="00A32FF5"/>
    <w:rsid w:val="00A3362B"/>
    <w:rsid w:val="00A33784"/>
    <w:rsid w:val="00A33E07"/>
    <w:rsid w:val="00A33E1B"/>
    <w:rsid w:val="00A341B3"/>
    <w:rsid w:val="00A343A6"/>
    <w:rsid w:val="00A3472C"/>
    <w:rsid w:val="00A34C7B"/>
    <w:rsid w:val="00A34C92"/>
    <w:rsid w:val="00A34DF3"/>
    <w:rsid w:val="00A35147"/>
    <w:rsid w:val="00A35A77"/>
    <w:rsid w:val="00A35E9B"/>
    <w:rsid w:val="00A3663A"/>
    <w:rsid w:val="00A36833"/>
    <w:rsid w:val="00A36B6E"/>
    <w:rsid w:val="00A376FB"/>
    <w:rsid w:val="00A37D1A"/>
    <w:rsid w:val="00A40068"/>
    <w:rsid w:val="00A405A8"/>
    <w:rsid w:val="00A40843"/>
    <w:rsid w:val="00A40887"/>
    <w:rsid w:val="00A40FA9"/>
    <w:rsid w:val="00A40FCF"/>
    <w:rsid w:val="00A415FE"/>
    <w:rsid w:val="00A417DD"/>
    <w:rsid w:val="00A41814"/>
    <w:rsid w:val="00A41A01"/>
    <w:rsid w:val="00A41A97"/>
    <w:rsid w:val="00A42749"/>
    <w:rsid w:val="00A42ABE"/>
    <w:rsid w:val="00A439BC"/>
    <w:rsid w:val="00A43C68"/>
    <w:rsid w:val="00A4400A"/>
    <w:rsid w:val="00A440E4"/>
    <w:rsid w:val="00A451D2"/>
    <w:rsid w:val="00A45E01"/>
    <w:rsid w:val="00A4608D"/>
    <w:rsid w:val="00A46D82"/>
    <w:rsid w:val="00A46FF8"/>
    <w:rsid w:val="00A4715D"/>
    <w:rsid w:val="00A47191"/>
    <w:rsid w:val="00A47F51"/>
    <w:rsid w:val="00A50049"/>
    <w:rsid w:val="00A5022D"/>
    <w:rsid w:val="00A5105A"/>
    <w:rsid w:val="00A5122C"/>
    <w:rsid w:val="00A512A4"/>
    <w:rsid w:val="00A513DE"/>
    <w:rsid w:val="00A5184E"/>
    <w:rsid w:val="00A5199C"/>
    <w:rsid w:val="00A519E7"/>
    <w:rsid w:val="00A51CA0"/>
    <w:rsid w:val="00A51F58"/>
    <w:rsid w:val="00A51FC9"/>
    <w:rsid w:val="00A522A3"/>
    <w:rsid w:val="00A52365"/>
    <w:rsid w:val="00A52595"/>
    <w:rsid w:val="00A52AFF"/>
    <w:rsid w:val="00A53472"/>
    <w:rsid w:val="00A5360D"/>
    <w:rsid w:val="00A5361D"/>
    <w:rsid w:val="00A541B4"/>
    <w:rsid w:val="00A54620"/>
    <w:rsid w:val="00A547E5"/>
    <w:rsid w:val="00A5530F"/>
    <w:rsid w:val="00A55983"/>
    <w:rsid w:val="00A562E0"/>
    <w:rsid w:val="00A5688E"/>
    <w:rsid w:val="00A56B37"/>
    <w:rsid w:val="00A56C89"/>
    <w:rsid w:val="00A56EC3"/>
    <w:rsid w:val="00A56F2C"/>
    <w:rsid w:val="00A5708A"/>
    <w:rsid w:val="00A572D3"/>
    <w:rsid w:val="00A5736A"/>
    <w:rsid w:val="00A5798C"/>
    <w:rsid w:val="00A57DB4"/>
    <w:rsid w:val="00A602FA"/>
    <w:rsid w:val="00A624EA"/>
    <w:rsid w:val="00A62775"/>
    <w:rsid w:val="00A6348A"/>
    <w:rsid w:val="00A634F9"/>
    <w:rsid w:val="00A637CA"/>
    <w:rsid w:val="00A63DFC"/>
    <w:rsid w:val="00A64A86"/>
    <w:rsid w:val="00A64D17"/>
    <w:rsid w:val="00A650AC"/>
    <w:rsid w:val="00A65347"/>
    <w:rsid w:val="00A654DF"/>
    <w:rsid w:val="00A65B7E"/>
    <w:rsid w:val="00A65CD6"/>
    <w:rsid w:val="00A65F43"/>
    <w:rsid w:val="00A65FC4"/>
    <w:rsid w:val="00A662F3"/>
    <w:rsid w:val="00A66749"/>
    <w:rsid w:val="00A66A92"/>
    <w:rsid w:val="00A66CA9"/>
    <w:rsid w:val="00A6726B"/>
    <w:rsid w:val="00A67554"/>
    <w:rsid w:val="00A67A2A"/>
    <w:rsid w:val="00A67D5A"/>
    <w:rsid w:val="00A701BC"/>
    <w:rsid w:val="00A709C2"/>
    <w:rsid w:val="00A70CC2"/>
    <w:rsid w:val="00A70CC3"/>
    <w:rsid w:val="00A712A3"/>
    <w:rsid w:val="00A7141A"/>
    <w:rsid w:val="00A71676"/>
    <w:rsid w:val="00A71809"/>
    <w:rsid w:val="00A71A61"/>
    <w:rsid w:val="00A72304"/>
    <w:rsid w:val="00A72643"/>
    <w:rsid w:val="00A72D5E"/>
    <w:rsid w:val="00A72D62"/>
    <w:rsid w:val="00A7342B"/>
    <w:rsid w:val="00A736FF"/>
    <w:rsid w:val="00A73761"/>
    <w:rsid w:val="00A73870"/>
    <w:rsid w:val="00A73EFC"/>
    <w:rsid w:val="00A74297"/>
    <w:rsid w:val="00A74564"/>
    <w:rsid w:val="00A74674"/>
    <w:rsid w:val="00A747F7"/>
    <w:rsid w:val="00A75830"/>
    <w:rsid w:val="00A75938"/>
    <w:rsid w:val="00A77332"/>
    <w:rsid w:val="00A7749E"/>
    <w:rsid w:val="00A77A8C"/>
    <w:rsid w:val="00A77DC6"/>
    <w:rsid w:val="00A77E4E"/>
    <w:rsid w:val="00A77ECB"/>
    <w:rsid w:val="00A77F72"/>
    <w:rsid w:val="00A8004C"/>
    <w:rsid w:val="00A80751"/>
    <w:rsid w:val="00A807CD"/>
    <w:rsid w:val="00A81800"/>
    <w:rsid w:val="00A81937"/>
    <w:rsid w:val="00A82448"/>
    <w:rsid w:val="00A826FD"/>
    <w:rsid w:val="00A827E0"/>
    <w:rsid w:val="00A82904"/>
    <w:rsid w:val="00A82A33"/>
    <w:rsid w:val="00A834C6"/>
    <w:rsid w:val="00A837C2"/>
    <w:rsid w:val="00A837E2"/>
    <w:rsid w:val="00A83E0F"/>
    <w:rsid w:val="00A83E18"/>
    <w:rsid w:val="00A84024"/>
    <w:rsid w:val="00A8423C"/>
    <w:rsid w:val="00A84314"/>
    <w:rsid w:val="00A84738"/>
    <w:rsid w:val="00A8489D"/>
    <w:rsid w:val="00A850E5"/>
    <w:rsid w:val="00A851E7"/>
    <w:rsid w:val="00A8587A"/>
    <w:rsid w:val="00A858E6"/>
    <w:rsid w:val="00A85C9A"/>
    <w:rsid w:val="00A85D36"/>
    <w:rsid w:val="00A86568"/>
    <w:rsid w:val="00A869DF"/>
    <w:rsid w:val="00A86C89"/>
    <w:rsid w:val="00A9061D"/>
    <w:rsid w:val="00A90E54"/>
    <w:rsid w:val="00A911C8"/>
    <w:rsid w:val="00A91B57"/>
    <w:rsid w:val="00A91E0F"/>
    <w:rsid w:val="00A939E3"/>
    <w:rsid w:val="00A93A81"/>
    <w:rsid w:val="00A93AFC"/>
    <w:rsid w:val="00A94253"/>
    <w:rsid w:val="00A9442C"/>
    <w:rsid w:val="00A95303"/>
    <w:rsid w:val="00A959CD"/>
    <w:rsid w:val="00A96274"/>
    <w:rsid w:val="00A9672C"/>
    <w:rsid w:val="00A96A2E"/>
    <w:rsid w:val="00A97C45"/>
    <w:rsid w:val="00A97EB6"/>
    <w:rsid w:val="00A97F55"/>
    <w:rsid w:val="00A97F75"/>
    <w:rsid w:val="00AA0728"/>
    <w:rsid w:val="00AA078F"/>
    <w:rsid w:val="00AA0E74"/>
    <w:rsid w:val="00AA142D"/>
    <w:rsid w:val="00AA14AA"/>
    <w:rsid w:val="00AA2243"/>
    <w:rsid w:val="00AA2ABD"/>
    <w:rsid w:val="00AA2ADE"/>
    <w:rsid w:val="00AA3232"/>
    <w:rsid w:val="00AA35A5"/>
    <w:rsid w:val="00AA3704"/>
    <w:rsid w:val="00AA446D"/>
    <w:rsid w:val="00AA4EE1"/>
    <w:rsid w:val="00AA54E2"/>
    <w:rsid w:val="00AA58C6"/>
    <w:rsid w:val="00AA61A1"/>
    <w:rsid w:val="00AA63DC"/>
    <w:rsid w:val="00AA65D2"/>
    <w:rsid w:val="00AA69C9"/>
    <w:rsid w:val="00AA6B12"/>
    <w:rsid w:val="00AA6D11"/>
    <w:rsid w:val="00AA6DFC"/>
    <w:rsid w:val="00AA7205"/>
    <w:rsid w:val="00AA7762"/>
    <w:rsid w:val="00AA7928"/>
    <w:rsid w:val="00AA79B1"/>
    <w:rsid w:val="00AA7E48"/>
    <w:rsid w:val="00AB0852"/>
    <w:rsid w:val="00AB08BF"/>
    <w:rsid w:val="00AB09A7"/>
    <w:rsid w:val="00AB0A3F"/>
    <w:rsid w:val="00AB0CB7"/>
    <w:rsid w:val="00AB0DB6"/>
    <w:rsid w:val="00AB11A8"/>
    <w:rsid w:val="00AB127D"/>
    <w:rsid w:val="00AB1AED"/>
    <w:rsid w:val="00AB2CEC"/>
    <w:rsid w:val="00AB2EF3"/>
    <w:rsid w:val="00AB333F"/>
    <w:rsid w:val="00AB355D"/>
    <w:rsid w:val="00AB3CD3"/>
    <w:rsid w:val="00AB3ED7"/>
    <w:rsid w:val="00AB4B03"/>
    <w:rsid w:val="00AB4E9C"/>
    <w:rsid w:val="00AB4F9B"/>
    <w:rsid w:val="00AB5CAB"/>
    <w:rsid w:val="00AB6EC8"/>
    <w:rsid w:val="00AB733E"/>
    <w:rsid w:val="00AB7617"/>
    <w:rsid w:val="00AB76AE"/>
    <w:rsid w:val="00AB7FB3"/>
    <w:rsid w:val="00AC00DA"/>
    <w:rsid w:val="00AC01FE"/>
    <w:rsid w:val="00AC0B3E"/>
    <w:rsid w:val="00AC1A7F"/>
    <w:rsid w:val="00AC1A8B"/>
    <w:rsid w:val="00AC1EF8"/>
    <w:rsid w:val="00AC20C9"/>
    <w:rsid w:val="00AC27BF"/>
    <w:rsid w:val="00AC3899"/>
    <w:rsid w:val="00AC3AD7"/>
    <w:rsid w:val="00AC4266"/>
    <w:rsid w:val="00AC4297"/>
    <w:rsid w:val="00AC5AEC"/>
    <w:rsid w:val="00AC5E9A"/>
    <w:rsid w:val="00AC6309"/>
    <w:rsid w:val="00AC6B5D"/>
    <w:rsid w:val="00AC6D63"/>
    <w:rsid w:val="00AC7428"/>
    <w:rsid w:val="00AC7756"/>
    <w:rsid w:val="00AC78BB"/>
    <w:rsid w:val="00AC7A3B"/>
    <w:rsid w:val="00AC7EE5"/>
    <w:rsid w:val="00AD06CA"/>
    <w:rsid w:val="00AD0823"/>
    <w:rsid w:val="00AD0A11"/>
    <w:rsid w:val="00AD0CD3"/>
    <w:rsid w:val="00AD0F1C"/>
    <w:rsid w:val="00AD0F75"/>
    <w:rsid w:val="00AD1150"/>
    <w:rsid w:val="00AD1486"/>
    <w:rsid w:val="00AD15EE"/>
    <w:rsid w:val="00AD16AD"/>
    <w:rsid w:val="00AD16DA"/>
    <w:rsid w:val="00AD1D29"/>
    <w:rsid w:val="00AD1E22"/>
    <w:rsid w:val="00AD26EE"/>
    <w:rsid w:val="00AD2E6B"/>
    <w:rsid w:val="00AD2F23"/>
    <w:rsid w:val="00AD418A"/>
    <w:rsid w:val="00AD4995"/>
    <w:rsid w:val="00AD4B3C"/>
    <w:rsid w:val="00AD502A"/>
    <w:rsid w:val="00AD527F"/>
    <w:rsid w:val="00AD5818"/>
    <w:rsid w:val="00AD60EC"/>
    <w:rsid w:val="00AD72C4"/>
    <w:rsid w:val="00AE00AA"/>
    <w:rsid w:val="00AE0794"/>
    <w:rsid w:val="00AE0C7D"/>
    <w:rsid w:val="00AE122B"/>
    <w:rsid w:val="00AE1386"/>
    <w:rsid w:val="00AE18DC"/>
    <w:rsid w:val="00AE1D54"/>
    <w:rsid w:val="00AE1D6B"/>
    <w:rsid w:val="00AE1DD7"/>
    <w:rsid w:val="00AE21C6"/>
    <w:rsid w:val="00AE290C"/>
    <w:rsid w:val="00AE2A50"/>
    <w:rsid w:val="00AE2D8C"/>
    <w:rsid w:val="00AE2EEB"/>
    <w:rsid w:val="00AE2F8A"/>
    <w:rsid w:val="00AE3AF0"/>
    <w:rsid w:val="00AE438F"/>
    <w:rsid w:val="00AE5050"/>
    <w:rsid w:val="00AE57D1"/>
    <w:rsid w:val="00AE59DC"/>
    <w:rsid w:val="00AE5A68"/>
    <w:rsid w:val="00AE5CB6"/>
    <w:rsid w:val="00AE5D8E"/>
    <w:rsid w:val="00AE60E5"/>
    <w:rsid w:val="00AE618F"/>
    <w:rsid w:val="00AE6258"/>
    <w:rsid w:val="00AE67B2"/>
    <w:rsid w:val="00AE76F7"/>
    <w:rsid w:val="00AF05E4"/>
    <w:rsid w:val="00AF076C"/>
    <w:rsid w:val="00AF0E36"/>
    <w:rsid w:val="00AF102B"/>
    <w:rsid w:val="00AF10B4"/>
    <w:rsid w:val="00AF15AF"/>
    <w:rsid w:val="00AF1930"/>
    <w:rsid w:val="00AF19B7"/>
    <w:rsid w:val="00AF1CBD"/>
    <w:rsid w:val="00AF23AE"/>
    <w:rsid w:val="00AF31FD"/>
    <w:rsid w:val="00AF3C62"/>
    <w:rsid w:val="00AF46FE"/>
    <w:rsid w:val="00AF4A38"/>
    <w:rsid w:val="00AF4F69"/>
    <w:rsid w:val="00AF5041"/>
    <w:rsid w:val="00AF5655"/>
    <w:rsid w:val="00AF579B"/>
    <w:rsid w:val="00AF5ABE"/>
    <w:rsid w:val="00AF5C13"/>
    <w:rsid w:val="00AF5EAD"/>
    <w:rsid w:val="00AF6286"/>
    <w:rsid w:val="00AF6D76"/>
    <w:rsid w:val="00AF6F3B"/>
    <w:rsid w:val="00AF70D3"/>
    <w:rsid w:val="00AF751D"/>
    <w:rsid w:val="00AF7A8E"/>
    <w:rsid w:val="00B00536"/>
    <w:rsid w:val="00B009DD"/>
    <w:rsid w:val="00B00C91"/>
    <w:rsid w:val="00B00C93"/>
    <w:rsid w:val="00B00E54"/>
    <w:rsid w:val="00B0146B"/>
    <w:rsid w:val="00B0170C"/>
    <w:rsid w:val="00B017B2"/>
    <w:rsid w:val="00B01A4D"/>
    <w:rsid w:val="00B01A92"/>
    <w:rsid w:val="00B01CB9"/>
    <w:rsid w:val="00B02353"/>
    <w:rsid w:val="00B024F1"/>
    <w:rsid w:val="00B02652"/>
    <w:rsid w:val="00B02C62"/>
    <w:rsid w:val="00B036F6"/>
    <w:rsid w:val="00B039C8"/>
    <w:rsid w:val="00B03DA2"/>
    <w:rsid w:val="00B0437F"/>
    <w:rsid w:val="00B043DE"/>
    <w:rsid w:val="00B0534B"/>
    <w:rsid w:val="00B055A1"/>
    <w:rsid w:val="00B055B0"/>
    <w:rsid w:val="00B0567A"/>
    <w:rsid w:val="00B056D2"/>
    <w:rsid w:val="00B05B73"/>
    <w:rsid w:val="00B05D67"/>
    <w:rsid w:val="00B05E1F"/>
    <w:rsid w:val="00B061E3"/>
    <w:rsid w:val="00B06FCB"/>
    <w:rsid w:val="00B071F1"/>
    <w:rsid w:val="00B073E0"/>
    <w:rsid w:val="00B07A83"/>
    <w:rsid w:val="00B07C4B"/>
    <w:rsid w:val="00B10188"/>
    <w:rsid w:val="00B10BF8"/>
    <w:rsid w:val="00B10DC7"/>
    <w:rsid w:val="00B115C3"/>
    <w:rsid w:val="00B1183B"/>
    <w:rsid w:val="00B11C37"/>
    <w:rsid w:val="00B11D65"/>
    <w:rsid w:val="00B12AA6"/>
    <w:rsid w:val="00B1310E"/>
    <w:rsid w:val="00B13273"/>
    <w:rsid w:val="00B1357A"/>
    <w:rsid w:val="00B13D65"/>
    <w:rsid w:val="00B166BC"/>
    <w:rsid w:val="00B16B79"/>
    <w:rsid w:val="00B172CD"/>
    <w:rsid w:val="00B174A7"/>
    <w:rsid w:val="00B20019"/>
    <w:rsid w:val="00B207A7"/>
    <w:rsid w:val="00B20A72"/>
    <w:rsid w:val="00B20B50"/>
    <w:rsid w:val="00B20F00"/>
    <w:rsid w:val="00B21D65"/>
    <w:rsid w:val="00B22236"/>
    <w:rsid w:val="00B226E1"/>
    <w:rsid w:val="00B226F2"/>
    <w:rsid w:val="00B229B0"/>
    <w:rsid w:val="00B22EF0"/>
    <w:rsid w:val="00B235BB"/>
    <w:rsid w:val="00B23993"/>
    <w:rsid w:val="00B23EF6"/>
    <w:rsid w:val="00B23FE4"/>
    <w:rsid w:val="00B24336"/>
    <w:rsid w:val="00B24DED"/>
    <w:rsid w:val="00B25156"/>
    <w:rsid w:val="00B256B5"/>
    <w:rsid w:val="00B25C48"/>
    <w:rsid w:val="00B2659F"/>
    <w:rsid w:val="00B265F7"/>
    <w:rsid w:val="00B26B75"/>
    <w:rsid w:val="00B30240"/>
    <w:rsid w:val="00B30DB4"/>
    <w:rsid w:val="00B31459"/>
    <w:rsid w:val="00B31972"/>
    <w:rsid w:val="00B32001"/>
    <w:rsid w:val="00B32585"/>
    <w:rsid w:val="00B32F85"/>
    <w:rsid w:val="00B32FA1"/>
    <w:rsid w:val="00B32FEA"/>
    <w:rsid w:val="00B33155"/>
    <w:rsid w:val="00B333CF"/>
    <w:rsid w:val="00B35487"/>
    <w:rsid w:val="00B35B7B"/>
    <w:rsid w:val="00B35C2A"/>
    <w:rsid w:val="00B371F5"/>
    <w:rsid w:val="00B3725A"/>
    <w:rsid w:val="00B375FF"/>
    <w:rsid w:val="00B376D6"/>
    <w:rsid w:val="00B377EE"/>
    <w:rsid w:val="00B378FA"/>
    <w:rsid w:val="00B37B57"/>
    <w:rsid w:val="00B37B70"/>
    <w:rsid w:val="00B37FB5"/>
    <w:rsid w:val="00B400CB"/>
    <w:rsid w:val="00B40110"/>
    <w:rsid w:val="00B40612"/>
    <w:rsid w:val="00B40A60"/>
    <w:rsid w:val="00B40EA7"/>
    <w:rsid w:val="00B4125D"/>
    <w:rsid w:val="00B41585"/>
    <w:rsid w:val="00B41741"/>
    <w:rsid w:val="00B41B82"/>
    <w:rsid w:val="00B41C3F"/>
    <w:rsid w:val="00B41C57"/>
    <w:rsid w:val="00B41CFB"/>
    <w:rsid w:val="00B41D93"/>
    <w:rsid w:val="00B41DF1"/>
    <w:rsid w:val="00B41DFE"/>
    <w:rsid w:val="00B4216C"/>
    <w:rsid w:val="00B42285"/>
    <w:rsid w:val="00B42A14"/>
    <w:rsid w:val="00B43004"/>
    <w:rsid w:val="00B431B4"/>
    <w:rsid w:val="00B43235"/>
    <w:rsid w:val="00B433FD"/>
    <w:rsid w:val="00B437E5"/>
    <w:rsid w:val="00B4389F"/>
    <w:rsid w:val="00B43ACD"/>
    <w:rsid w:val="00B43B5D"/>
    <w:rsid w:val="00B4454D"/>
    <w:rsid w:val="00B44BAC"/>
    <w:rsid w:val="00B44FE3"/>
    <w:rsid w:val="00B4503C"/>
    <w:rsid w:val="00B45453"/>
    <w:rsid w:val="00B45DFE"/>
    <w:rsid w:val="00B460D7"/>
    <w:rsid w:val="00B46221"/>
    <w:rsid w:val="00B4644E"/>
    <w:rsid w:val="00B46B70"/>
    <w:rsid w:val="00B46C2D"/>
    <w:rsid w:val="00B46E7C"/>
    <w:rsid w:val="00B470A5"/>
    <w:rsid w:val="00B4728F"/>
    <w:rsid w:val="00B47806"/>
    <w:rsid w:val="00B47AFA"/>
    <w:rsid w:val="00B47E18"/>
    <w:rsid w:val="00B5016E"/>
    <w:rsid w:val="00B501BF"/>
    <w:rsid w:val="00B5081B"/>
    <w:rsid w:val="00B516AA"/>
    <w:rsid w:val="00B51C93"/>
    <w:rsid w:val="00B524C2"/>
    <w:rsid w:val="00B52592"/>
    <w:rsid w:val="00B52A34"/>
    <w:rsid w:val="00B52B50"/>
    <w:rsid w:val="00B52D9F"/>
    <w:rsid w:val="00B52FDE"/>
    <w:rsid w:val="00B530B2"/>
    <w:rsid w:val="00B5317A"/>
    <w:rsid w:val="00B53D5F"/>
    <w:rsid w:val="00B53DAB"/>
    <w:rsid w:val="00B54072"/>
    <w:rsid w:val="00B5458C"/>
    <w:rsid w:val="00B545CE"/>
    <w:rsid w:val="00B54B95"/>
    <w:rsid w:val="00B5516B"/>
    <w:rsid w:val="00B55571"/>
    <w:rsid w:val="00B56EF0"/>
    <w:rsid w:val="00B56F98"/>
    <w:rsid w:val="00B56FC9"/>
    <w:rsid w:val="00B575B5"/>
    <w:rsid w:val="00B57C05"/>
    <w:rsid w:val="00B57CF0"/>
    <w:rsid w:val="00B60331"/>
    <w:rsid w:val="00B603C2"/>
    <w:rsid w:val="00B60484"/>
    <w:rsid w:val="00B606E4"/>
    <w:rsid w:val="00B60A93"/>
    <w:rsid w:val="00B618F9"/>
    <w:rsid w:val="00B61A16"/>
    <w:rsid w:val="00B61AA2"/>
    <w:rsid w:val="00B61D0D"/>
    <w:rsid w:val="00B61E32"/>
    <w:rsid w:val="00B621DD"/>
    <w:rsid w:val="00B6231F"/>
    <w:rsid w:val="00B62629"/>
    <w:rsid w:val="00B6302A"/>
    <w:rsid w:val="00B63180"/>
    <w:rsid w:val="00B63810"/>
    <w:rsid w:val="00B63E6A"/>
    <w:rsid w:val="00B64600"/>
    <w:rsid w:val="00B64CAC"/>
    <w:rsid w:val="00B64DB2"/>
    <w:rsid w:val="00B64F7B"/>
    <w:rsid w:val="00B65063"/>
    <w:rsid w:val="00B6511D"/>
    <w:rsid w:val="00B65397"/>
    <w:rsid w:val="00B656D9"/>
    <w:rsid w:val="00B6580F"/>
    <w:rsid w:val="00B662FC"/>
    <w:rsid w:val="00B66B52"/>
    <w:rsid w:val="00B670C0"/>
    <w:rsid w:val="00B67DF8"/>
    <w:rsid w:val="00B70D87"/>
    <w:rsid w:val="00B70E83"/>
    <w:rsid w:val="00B722AD"/>
    <w:rsid w:val="00B734E4"/>
    <w:rsid w:val="00B7356E"/>
    <w:rsid w:val="00B73A59"/>
    <w:rsid w:val="00B741AE"/>
    <w:rsid w:val="00B74233"/>
    <w:rsid w:val="00B748AC"/>
    <w:rsid w:val="00B74C9D"/>
    <w:rsid w:val="00B751CC"/>
    <w:rsid w:val="00B75E0F"/>
    <w:rsid w:val="00B760F7"/>
    <w:rsid w:val="00B76817"/>
    <w:rsid w:val="00B76F92"/>
    <w:rsid w:val="00B7793F"/>
    <w:rsid w:val="00B77D3C"/>
    <w:rsid w:val="00B80144"/>
    <w:rsid w:val="00B8088E"/>
    <w:rsid w:val="00B8098A"/>
    <w:rsid w:val="00B80D33"/>
    <w:rsid w:val="00B81051"/>
    <w:rsid w:val="00B811A2"/>
    <w:rsid w:val="00B81AE0"/>
    <w:rsid w:val="00B81EC9"/>
    <w:rsid w:val="00B82208"/>
    <w:rsid w:val="00B82254"/>
    <w:rsid w:val="00B833C8"/>
    <w:rsid w:val="00B833FB"/>
    <w:rsid w:val="00B83604"/>
    <w:rsid w:val="00B83A68"/>
    <w:rsid w:val="00B83E60"/>
    <w:rsid w:val="00B83E83"/>
    <w:rsid w:val="00B84080"/>
    <w:rsid w:val="00B848FB"/>
    <w:rsid w:val="00B84A79"/>
    <w:rsid w:val="00B858EC"/>
    <w:rsid w:val="00B85D02"/>
    <w:rsid w:val="00B862B3"/>
    <w:rsid w:val="00B86615"/>
    <w:rsid w:val="00B86752"/>
    <w:rsid w:val="00B86E00"/>
    <w:rsid w:val="00B87757"/>
    <w:rsid w:val="00B901CD"/>
    <w:rsid w:val="00B906EB"/>
    <w:rsid w:val="00B90C02"/>
    <w:rsid w:val="00B90E23"/>
    <w:rsid w:val="00B91024"/>
    <w:rsid w:val="00B91476"/>
    <w:rsid w:val="00B914A1"/>
    <w:rsid w:val="00B91528"/>
    <w:rsid w:val="00B91718"/>
    <w:rsid w:val="00B91951"/>
    <w:rsid w:val="00B91985"/>
    <w:rsid w:val="00B91D60"/>
    <w:rsid w:val="00B926F1"/>
    <w:rsid w:val="00B928D2"/>
    <w:rsid w:val="00B9292D"/>
    <w:rsid w:val="00B92F8A"/>
    <w:rsid w:val="00B9317D"/>
    <w:rsid w:val="00B93545"/>
    <w:rsid w:val="00B9366C"/>
    <w:rsid w:val="00B94DEC"/>
    <w:rsid w:val="00B95A69"/>
    <w:rsid w:val="00B95F41"/>
    <w:rsid w:val="00B96358"/>
    <w:rsid w:val="00B96FEC"/>
    <w:rsid w:val="00B970FB"/>
    <w:rsid w:val="00B97199"/>
    <w:rsid w:val="00B97739"/>
    <w:rsid w:val="00B97874"/>
    <w:rsid w:val="00B9794C"/>
    <w:rsid w:val="00B97BC6"/>
    <w:rsid w:val="00B97D51"/>
    <w:rsid w:val="00BA07A5"/>
    <w:rsid w:val="00BA0A44"/>
    <w:rsid w:val="00BA0E4E"/>
    <w:rsid w:val="00BA12B7"/>
    <w:rsid w:val="00BA1358"/>
    <w:rsid w:val="00BA1539"/>
    <w:rsid w:val="00BA1775"/>
    <w:rsid w:val="00BA184E"/>
    <w:rsid w:val="00BA191A"/>
    <w:rsid w:val="00BA1E90"/>
    <w:rsid w:val="00BA3156"/>
    <w:rsid w:val="00BA3FC2"/>
    <w:rsid w:val="00BA4029"/>
    <w:rsid w:val="00BA4216"/>
    <w:rsid w:val="00BA4332"/>
    <w:rsid w:val="00BA446C"/>
    <w:rsid w:val="00BA4EA8"/>
    <w:rsid w:val="00BA508F"/>
    <w:rsid w:val="00BA51F2"/>
    <w:rsid w:val="00BA56DA"/>
    <w:rsid w:val="00BA5848"/>
    <w:rsid w:val="00BA5B83"/>
    <w:rsid w:val="00BA623E"/>
    <w:rsid w:val="00BA64BD"/>
    <w:rsid w:val="00BA6E71"/>
    <w:rsid w:val="00BA7108"/>
    <w:rsid w:val="00BA72AC"/>
    <w:rsid w:val="00BA7687"/>
    <w:rsid w:val="00BA7826"/>
    <w:rsid w:val="00BA7877"/>
    <w:rsid w:val="00BA7D8F"/>
    <w:rsid w:val="00BB15DC"/>
    <w:rsid w:val="00BB2AFB"/>
    <w:rsid w:val="00BB2B35"/>
    <w:rsid w:val="00BB2D6F"/>
    <w:rsid w:val="00BB305B"/>
    <w:rsid w:val="00BB36DF"/>
    <w:rsid w:val="00BB37E4"/>
    <w:rsid w:val="00BB40D9"/>
    <w:rsid w:val="00BB40E4"/>
    <w:rsid w:val="00BB5E86"/>
    <w:rsid w:val="00BB5E94"/>
    <w:rsid w:val="00BB5F6C"/>
    <w:rsid w:val="00BB6207"/>
    <w:rsid w:val="00BB62D2"/>
    <w:rsid w:val="00BB6A3D"/>
    <w:rsid w:val="00BB6B10"/>
    <w:rsid w:val="00BB6DDE"/>
    <w:rsid w:val="00BB76D9"/>
    <w:rsid w:val="00BB7AA6"/>
    <w:rsid w:val="00BC042C"/>
    <w:rsid w:val="00BC0683"/>
    <w:rsid w:val="00BC06DD"/>
    <w:rsid w:val="00BC25A6"/>
    <w:rsid w:val="00BC2E36"/>
    <w:rsid w:val="00BC2E6D"/>
    <w:rsid w:val="00BC2EA1"/>
    <w:rsid w:val="00BC32D8"/>
    <w:rsid w:val="00BC3B71"/>
    <w:rsid w:val="00BC3C58"/>
    <w:rsid w:val="00BC3E5B"/>
    <w:rsid w:val="00BC3E5D"/>
    <w:rsid w:val="00BC421C"/>
    <w:rsid w:val="00BC4616"/>
    <w:rsid w:val="00BC46D3"/>
    <w:rsid w:val="00BC4FA8"/>
    <w:rsid w:val="00BC5A01"/>
    <w:rsid w:val="00BC5B0A"/>
    <w:rsid w:val="00BC5C6D"/>
    <w:rsid w:val="00BC5D3F"/>
    <w:rsid w:val="00BC5FF8"/>
    <w:rsid w:val="00BC65AC"/>
    <w:rsid w:val="00BC660B"/>
    <w:rsid w:val="00BC66E7"/>
    <w:rsid w:val="00BC7BFB"/>
    <w:rsid w:val="00BC7F45"/>
    <w:rsid w:val="00BD0B0B"/>
    <w:rsid w:val="00BD0B1A"/>
    <w:rsid w:val="00BD0CEC"/>
    <w:rsid w:val="00BD16E1"/>
    <w:rsid w:val="00BD1D86"/>
    <w:rsid w:val="00BD1FFA"/>
    <w:rsid w:val="00BD2097"/>
    <w:rsid w:val="00BD281B"/>
    <w:rsid w:val="00BD28C8"/>
    <w:rsid w:val="00BD2B91"/>
    <w:rsid w:val="00BD2C08"/>
    <w:rsid w:val="00BD2E2F"/>
    <w:rsid w:val="00BD2FD8"/>
    <w:rsid w:val="00BD3966"/>
    <w:rsid w:val="00BD3DC4"/>
    <w:rsid w:val="00BD3F7D"/>
    <w:rsid w:val="00BD4407"/>
    <w:rsid w:val="00BD44E6"/>
    <w:rsid w:val="00BD4CD6"/>
    <w:rsid w:val="00BD5185"/>
    <w:rsid w:val="00BD524B"/>
    <w:rsid w:val="00BD550C"/>
    <w:rsid w:val="00BD575F"/>
    <w:rsid w:val="00BD5881"/>
    <w:rsid w:val="00BD5A33"/>
    <w:rsid w:val="00BD5C96"/>
    <w:rsid w:val="00BD635D"/>
    <w:rsid w:val="00BD6455"/>
    <w:rsid w:val="00BD6654"/>
    <w:rsid w:val="00BD6A1E"/>
    <w:rsid w:val="00BD70BC"/>
    <w:rsid w:val="00BD71B3"/>
    <w:rsid w:val="00BD72B8"/>
    <w:rsid w:val="00BD7739"/>
    <w:rsid w:val="00BE073C"/>
    <w:rsid w:val="00BE1929"/>
    <w:rsid w:val="00BE19BB"/>
    <w:rsid w:val="00BE1C3D"/>
    <w:rsid w:val="00BE1DCD"/>
    <w:rsid w:val="00BE2AEB"/>
    <w:rsid w:val="00BE3072"/>
    <w:rsid w:val="00BE4419"/>
    <w:rsid w:val="00BE548C"/>
    <w:rsid w:val="00BE595A"/>
    <w:rsid w:val="00BE5ACD"/>
    <w:rsid w:val="00BE5F33"/>
    <w:rsid w:val="00BE616D"/>
    <w:rsid w:val="00BE6190"/>
    <w:rsid w:val="00BE668E"/>
    <w:rsid w:val="00BE67BE"/>
    <w:rsid w:val="00BE6B56"/>
    <w:rsid w:val="00BE6F76"/>
    <w:rsid w:val="00BE73F8"/>
    <w:rsid w:val="00BE741F"/>
    <w:rsid w:val="00BE7588"/>
    <w:rsid w:val="00BE764B"/>
    <w:rsid w:val="00BE77E3"/>
    <w:rsid w:val="00BE794A"/>
    <w:rsid w:val="00BE7D87"/>
    <w:rsid w:val="00BE7E73"/>
    <w:rsid w:val="00BF028B"/>
    <w:rsid w:val="00BF0776"/>
    <w:rsid w:val="00BF0AD1"/>
    <w:rsid w:val="00BF0DF3"/>
    <w:rsid w:val="00BF0F56"/>
    <w:rsid w:val="00BF0FC3"/>
    <w:rsid w:val="00BF1021"/>
    <w:rsid w:val="00BF1398"/>
    <w:rsid w:val="00BF1696"/>
    <w:rsid w:val="00BF1A00"/>
    <w:rsid w:val="00BF235D"/>
    <w:rsid w:val="00BF25A6"/>
    <w:rsid w:val="00BF43A0"/>
    <w:rsid w:val="00BF5550"/>
    <w:rsid w:val="00BF6235"/>
    <w:rsid w:val="00BF6AE8"/>
    <w:rsid w:val="00BF6CC8"/>
    <w:rsid w:val="00BF6ED9"/>
    <w:rsid w:val="00BF74BB"/>
    <w:rsid w:val="00BF763E"/>
    <w:rsid w:val="00C008B3"/>
    <w:rsid w:val="00C00A35"/>
    <w:rsid w:val="00C00DC7"/>
    <w:rsid w:val="00C0142B"/>
    <w:rsid w:val="00C01856"/>
    <w:rsid w:val="00C01E1E"/>
    <w:rsid w:val="00C01F9C"/>
    <w:rsid w:val="00C01FE7"/>
    <w:rsid w:val="00C023B9"/>
    <w:rsid w:val="00C035B3"/>
    <w:rsid w:val="00C03DC2"/>
    <w:rsid w:val="00C0437F"/>
    <w:rsid w:val="00C049CF"/>
    <w:rsid w:val="00C04CEB"/>
    <w:rsid w:val="00C050D4"/>
    <w:rsid w:val="00C063B3"/>
    <w:rsid w:val="00C0677F"/>
    <w:rsid w:val="00C06AFE"/>
    <w:rsid w:val="00C07639"/>
    <w:rsid w:val="00C078CF"/>
    <w:rsid w:val="00C07A72"/>
    <w:rsid w:val="00C07B60"/>
    <w:rsid w:val="00C07E83"/>
    <w:rsid w:val="00C10373"/>
    <w:rsid w:val="00C10659"/>
    <w:rsid w:val="00C106C0"/>
    <w:rsid w:val="00C1071C"/>
    <w:rsid w:val="00C10959"/>
    <w:rsid w:val="00C11203"/>
    <w:rsid w:val="00C11C08"/>
    <w:rsid w:val="00C1259B"/>
    <w:rsid w:val="00C12D0E"/>
    <w:rsid w:val="00C1334F"/>
    <w:rsid w:val="00C135B4"/>
    <w:rsid w:val="00C13A1A"/>
    <w:rsid w:val="00C13C71"/>
    <w:rsid w:val="00C13D20"/>
    <w:rsid w:val="00C13DE4"/>
    <w:rsid w:val="00C13E62"/>
    <w:rsid w:val="00C142BD"/>
    <w:rsid w:val="00C14E6E"/>
    <w:rsid w:val="00C15344"/>
    <w:rsid w:val="00C15AF0"/>
    <w:rsid w:val="00C15B1C"/>
    <w:rsid w:val="00C15B5F"/>
    <w:rsid w:val="00C15E4E"/>
    <w:rsid w:val="00C15F2E"/>
    <w:rsid w:val="00C1605E"/>
    <w:rsid w:val="00C160F9"/>
    <w:rsid w:val="00C16183"/>
    <w:rsid w:val="00C16455"/>
    <w:rsid w:val="00C16615"/>
    <w:rsid w:val="00C16B92"/>
    <w:rsid w:val="00C1723B"/>
    <w:rsid w:val="00C1765B"/>
    <w:rsid w:val="00C17A48"/>
    <w:rsid w:val="00C203C6"/>
    <w:rsid w:val="00C203D5"/>
    <w:rsid w:val="00C20AE6"/>
    <w:rsid w:val="00C211E5"/>
    <w:rsid w:val="00C21995"/>
    <w:rsid w:val="00C22329"/>
    <w:rsid w:val="00C22ACB"/>
    <w:rsid w:val="00C22CB7"/>
    <w:rsid w:val="00C2360F"/>
    <w:rsid w:val="00C238DA"/>
    <w:rsid w:val="00C23BD6"/>
    <w:rsid w:val="00C23DC8"/>
    <w:rsid w:val="00C23E22"/>
    <w:rsid w:val="00C23E52"/>
    <w:rsid w:val="00C23E5E"/>
    <w:rsid w:val="00C2411A"/>
    <w:rsid w:val="00C24729"/>
    <w:rsid w:val="00C253C7"/>
    <w:rsid w:val="00C254AF"/>
    <w:rsid w:val="00C258CE"/>
    <w:rsid w:val="00C25978"/>
    <w:rsid w:val="00C25CB9"/>
    <w:rsid w:val="00C25E0D"/>
    <w:rsid w:val="00C264BA"/>
    <w:rsid w:val="00C2785E"/>
    <w:rsid w:val="00C300C3"/>
    <w:rsid w:val="00C3024B"/>
    <w:rsid w:val="00C3028C"/>
    <w:rsid w:val="00C30788"/>
    <w:rsid w:val="00C308B2"/>
    <w:rsid w:val="00C309B9"/>
    <w:rsid w:val="00C30EBB"/>
    <w:rsid w:val="00C31057"/>
    <w:rsid w:val="00C31C0A"/>
    <w:rsid w:val="00C31CB0"/>
    <w:rsid w:val="00C32374"/>
    <w:rsid w:val="00C3283C"/>
    <w:rsid w:val="00C3323B"/>
    <w:rsid w:val="00C3326F"/>
    <w:rsid w:val="00C333D0"/>
    <w:rsid w:val="00C335EE"/>
    <w:rsid w:val="00C34F40"/>
    <w:rsid w:val="00C350CA"/>
    <w:rsid w:val="00C35261"/>
    <w:rsid w:val="00C359A4"/>
    <w:rsid w:val="00C359C4"/>
    <w:rsid w:val="00C35E05"/>
    <w:rsid w:val="00C36C98"/>
    <w:rsid w:val="00C37273"/>
    <w:rsid w:val="00C3758D"/>
    <w:rsid w:val="00C40508"/>
    <w:rsid w:val="00C40923"/>
    <w:rsid w:val="00C41D02"/>
    <w:rsid w:val="00C41D72"/>
    <w:rsid w:val="00C41EA5"/>
    <w:rsid w:val="00C42587"/>
    <w:rsid w:val="00C4295D"/>
    <w:rsid w:val="00C42A08"/>
    <w:rsid w:val="00C42A3D"/>
    <w:rsid w:val="00C42D31"/>
    <w:rsid w:val="00C431ED"/>
    <w:rsid w:val="00C4377C"/>
    <w:rsid w:val="00C43BF5"/>
    <w:rsid w:val="00C43EA2"/>
    <w:rsid w:val="00C4428A"/>
    <w:rsid w:val="00C444EC"/>
    <w:rsid w:val="00C44D1D"/>
    <w:rsid w:val="00C4511B"/>
    <w:rsid w:val="00C457B4"/>
    <w:rsid w:val="00C4598F"/>
    <w:rsid w:val="00C45B24"/>
    <w:rsid w:val="00C45B64"/>
    <w:rsid w:val="00C45D29"/>
    <w:rsid w:val="00C45DC5"/>
    <w:rsid w:val="00C461FD"/>
    <w:rsid w:val="00C46538"/>
    <w:rsid w:val="00C469A6"/>
    <w:rsid w:val="00C47099"/>
    <w:rsid w:val="00C47809"/>
    <w:rsid w:val="00C478F3"/>
    <w:rsid w:val="00C47E1B"/>
    <w:rsid w:val="00C50356"/>
    <w:rsid w:val="00C51E06"/>
    <w:rsid w:val="00C5221D"/>
    <w:rsid w:val="00C522F9"/>
    <w:rsid w:val="00C52FFC"/>
    <w:rsid w:val="00C53744"/>
    <w:rsid w:val="00C54744"/>
    <w:rsid w:val="00C54843"/>
    <w:rsid w:val="00C54B4F"/>
    <w:rsid w:val="00C54DB6"/>
    <w:rsid w:val="00C5576F"/>
    <w:rsid w:val="00C55DDA"/>
    <w:rsid w:val="00C56116"/>
    <w:rsid w:val="00C5634C"/>
    <w:rsid w:val="00C576A2"/>
    <w:rsid w:val="00C57902"/>
    <w:rsid w:val="00C57DAA"/>
    <w:rsid w:val="00C60287"/>
    <w:rsid w:val="00C606AE"/>
    <w:rsid w:val="00C60781"/>
    <w:rsid w:val="00C6097D"/>
    <w:rsid w:val="00C60CB5"/>
    <w:rsid w:val="00C60F17"/>
    <w:rsid w:val="00C61641"/>
    <w:rsid w:val="00C618FB"/>
    <w:rsid w:val="00C61BAF"/>
    <w:rsid w:val="00C620F0"/>
    <w:rsid w:val="00C62EF2"/>
    <w:rsid w:val="00C6310A"/>
    <w:rsid w:val="00C635C9"/>
    <w:rsid w:val="00C63A63"/>
    <w:rsid w:val="00C64296"/>
    <w:rsid w:val="00C64CA0"/>
    <w:rsid w:val="00C65880"/>
    <w:rsid w:val="00C65E4E"/>
    <w:rsid w:val="00C6653A"/>
    <w:rsid w:val="00C67F56"/>
    <w:rsid w:val="00C70E4A"/>
    <w:rsid w:val="00C714ED"/>
    <w:rsid w:val="00C71A39"/>
    <w:rsid w:val="00C71C78"/>
    <w:rsid w:val="00C71D5A"/>
    <w:rsid w:val="00C72B80"/>
    <w:rsid w:val="00C72DD1"/>
    <w:rsid w:val="00C73010"/>
    <w:rsid w:val="00C7324E"/>
    <w:rsid w:val="00C73DA1"/>
    <w:rsid w:val="00C73E9C"/>
    <w:rsid w:val="00C7615D"/>
    <w:rsid w:val="00C762E2"/>
    <w:rsid w:val="00C769E2"/>
    <w:rsid w:val="00C76C53"/>
    <w:rsid w:val="00C76E0D"/>
    <w:rsid w:val="00C77EF9"/>
    <w:rsid w:val="00C8092A"/>
    <w:rsid w:val="00C80DA1"/>
    <w:rsid w:val="00C80E1E"/>
    <w:rsid w:val="00C80FC0"/>
    <w:rsid w:val="00C80FDC"/>
    <w:rsid w:val="00C8168E"/>
    <w:rsid w:val="00C820A8"/>
    <w:rsid w:val="00C82700"/>
    <w:rsid w:val="00C8290F"/>
    <w:rsid w:val="00C82C52"/>
    <w:rsid w:val="00C82D46"/>
    <w:rsid w:val="00C82E47"/>
    <w:rsid w:val="00C83B85"/>
    <w:rsid w:val="00C83CBE"/>
    <w:rsid w:val="00C84ACF"/>
    <w:rsid w:val="00C84B12"/>
    <w:rsid w:val="00C84BB6"/>
    <w:rsid w:val="00C84BEF"/>
    <w:rsid w:val="00C853CA"/>
    <w:rsid w:val="00C85CDC"/>
    <w:rsid w:val="00C860A2"/>
    <w:rsid w:val="00C867A6"/>
    <w:rsid w:val="00C86922"/>
    <w:rsid w:val="00C86925"/>
    <w:rsid w:val="00C87EFE"/>
    <w:rsid w:val="00C87FB1"/>
    <w:rsid w:val="00C9014B"/>
    <w:rsid w:val="00C91ACB"/>
    <w:rsid w:val="00C91BE2"/>
    <w:rsid w:val="00C9218C"/>
    <w:rsid w:val="00C92671"/>
    <w:rsid w:val="00C92777"/>
    <w:rsid w:val="00C92F2C"/>
    <w:rsid w:val="00C934B0"/>
    <w:rsid w:val="00C935CF"/>
    <w:rsid w:val="00C9384C"/>
    <w:rsid w:val="00C938F4"/>
    <w:rsid w:val="00C93D45"/>
    <w:rsid w:val="00C93F11"/>
    <w:rsid w:val="00C94483"/>
    <w:rsid w:val="00C94821"/>
    <w:rsid w:val="00C9499B"/>
    <w:rsid w:val="00C94E0F"/>
    <w:rsid w:val="00C94E71"/>
    <w:rsid w:val="00C9570D"/>
    <w:rsid w:val="00C957F4"/>
    <w:rsid w:val="00C9585B"/>
    <w:rsid w:val="00C95EF8"/>
    <w:rsid w:val="00C96E24"/>
    <w:rsid w:val="00C97140"/>
    <w:rsid w:val="00C97545"/>
    <w:rsid w:val="00C97C1A"/>
    <w:rsid w:val="00CA002D"/>
    <w:rsid w:val="00CA075A"/>
    <w:rsid w:val="00CA09EC"/>
    <w:rsid w:val="00CA1469"/>
    <w:rsid w:val="00CA18C0"/>
    <w:rsid w:val="00CA2097"/>
    <w:rsid w:val="00CA2121"/>
    <w:rsid w:val="00CA2B95"/>
    <w:rsid w:val="00CA2D92"/>
    <w:rsid w:val="00CA31B2"/>
    <w:rsid w:val="00CA32C0"/>
    <w:rsid w:val="00CA3848"/>
    <w:rsid w:val="00CA3D3A"/>
    <w:rsid w:val="00CA3E8E"/>
    <w:rsid w:val="00CA3F92"/>
    <w:rsid w:val="00CA4135"/>
    <w:rsid w:val="00CA42EB"/>
    <w:rsid w:val="00CA4F0E"/>
    <w:rsid w:val="00CA4F49"/>
    <w:rsid w:val="00CA525A"/>
    <w:rsid w:val="00CA53BD"/>
    <w:rsid w:val="00CA55DD"/>
    <w:rsid w:val="00CA59D0"/>
    <w:rsid w:val="00CA6573"/>
    <w:rsid w:val="00CA70D9"/>
    <w:rsid w:val="00CA75EE"/>
    <w:rsid w:val="00CA76D2"/>
    <w:rsid w:val="00CA781A"/>
    <w:rsid w:val="00CB0315"/>
    <w:rsid w:val="00CB160F"/>
    <w:rsid w:val="00CB1D0B"/>
    <w:rsid w:val="00CB25D4"/>
    <w:rsid w:val="00CB2A82"/>
    <w:rsid w:val="00CB2ADA"/>
    <w:rsid w:val="00CB2C45"/>
    <w:rsid w:val="00CB2C49"/>
    <w:rsid w:val="00CB30AF"/>
    <w:rsid w:val="00CB39F6"/>
    <w:rsid w:val="00CB43DA"/>
    <w:rsid w:val="00CB53C4"/>
    <w:rsid w:val="00CB5441"/>
    <w:rsid w:val="00CB5732"/>
    <w:rsid w:val="00CB590E"/>
    <w:rsid w:val="00CB59D2"/>
    <w:rsid w:val="00CB5F1A"/>
    <w:rsid w:val="00CB65A1"/>
    <w:rsid w:val="00CB6DD8"/>
    <w:rsid w:val="00CB7091"/>
    <w:rsid w:val="00CB7AAA"/>
    <w:rsid w:val="00CB7D1B"/>
    <w:rsid w:val="00CB7D9C"/>
    <w:rsid w:val="00CC0DE3"/>
    <w:rsid w:val="00CC10B8"/>
    <w:rsid w:val="00CC1B07"/>
    <w:rsid w:val="00CC1F22"/>
    <w:rsid w:val="00CC26A2"/>
    <w:rsid w:val="00CC30A9"/>
    <w:rsid w:val="00CC31D4"/>
    <w:rsid w:val="00CC340A"/>
    <w:rsid w:val="00CC3755"/>
    <w:rsid w:val="00CC3C87"/>
    <w:rsid w:val="00CC4915"/>
    <w:rsid w:val="00CC4B30"/>
    <w:rsid w:val="00CC4C0B"/>
    <w:rsid w:val="00CC55FE"/>
    <w:rsid w:val="00CC571F"/>
    <w:rsid w:val="00CC573D"/>
    <w:rsid w:val="00CC58EB"/>
    <w:rsid w:val="00CC5D52"/>
    <w:rsid w:val="00CC6223"/>
    <w:rsid w:val="00CC6291"/>
    <w:rsid w:val="00CC6422"/>
    <w:rsid w:val="00CC6501"/>
    <w:rsid w:val="00CC6762"/>
    <w:rsid w:val="00CC6FF3"/>
    <w:rsid w:val="00CC7053"/>
    <w:rsid w:val="00CC7516"/>
    <w:rsid w:val="00CC7521"/>
    <w:rsid w:val="00CC78E8"/>
    <w:rsid w:val="00CC7CDA"/>
    <w:rsid w:val="00CD04DB"/>
    <w:rsid w:val="00CD06C4"/>
    <w:rsid w:val="00CD1833"/>
    <w:rsid w:val="00CD1B20"/>
    <w:rsid w:val="00CD20E3"/>
    <w:rsid w:val="00CD2E74"/>
    <w:rsid w:val="00CD3043"/>
    <w:rsid w:val="00CD3C90"/>
    <w:rsid w:val="00CD4DD3"/>
    <w:rsid w:val="00CD51BC"/>
    <w:rsid w:val="00CD58AE"/>
    <w:rsid w:val="00CD675A"/>
    <w:rsid w:val="00CD712A"/>
    <w:rsid w:val="00CD79B4"/>
    <w:rsid w:val="00CD7F4E"/>
    <w:rsid w:val="00CE010B"/>
    <w:rsid w:val="00CE0326"/>
    <w:rsid w:val="00CE0B85"/>
    <w:rsid w:val="00CE0FF0"/>
    <w:rsid w:val="00CE1518"/>
    <w:rsid w:val="00CE1850"/>
    <w:rsid w:val="00CE1F2D"/>
    <w:rsid w:val="00CE268A"/>
    <w:rsid w:val="00CE2FDE"/>
    <w:rsid w:val="00CE3822"/>
    <w:rsid w:val="00CE3D45"/>
    <w:rsid w:val="00CE41ED"/>
    <w:rsid w:val="00CE4E42"/>
    <w:rsid w:val="00CE4EB2"/>
    <w:rsid w:val="00CE5E06"/>
    <w:rsid w:val="00CE5F42"/>
    <w:rsid w:val="00CE60FE"/>
    <w:rsid w:val="00CE693A"/>
    <w:rsid w:val="00CE6EE4"/>
    <w:rsid w:val="00CE6F50"/>
    <w:rsid w:val="00CE73DB"/>
    <w:rsid w:val="00CE73FC"/>
    <w:rsid w:val="00CE7A54"/>
    <w:rsid w:val="00CE7AA3"/>
    <w:rsid w:val="00CF009E"/>
    <w:rsid w:val="00CF0587"/>
    <w:rsid w:val="00CF0AA4"/>
    <w:rsid w:val="00CF0EBF"/>
    <w:rsid w:val="00CF1239"/>
    <w:rsid w:val="00CF1255"/>
    <w:rsid w:val="00CF12F2"/>
    <w:rsid w:val="00CF1311"/>
    <w:rsid w:val="00CF13A1"/>
    <w:rsid w:val="00CF14E6"/>
    <w:rsid w:val="00CF1CE7"/>
    <w:rsid w:val="00CF1E47"/>
    <w:rsid w:val="00CF2A4F"/>
    <w:rsid w:val="00CF2D32"/>
    <w:rsid w:val="00CF3C93"/>
    <w:rsid w:val="00CF41AF"/>
    <w:rsid w:val="00CF49CF"/>
    <w:rsid w:val="00CF4D64"/>
    <w:rsid w:val="00CF5488"/>
    <w:rsid w:val="00CF57A9"/>
    <w:rsid w:val="00CF669D"/>
    <w:rsid w:val="00CF6B9B"/>
    <w:rsid w:val="00CF717F"/>
    <w:rsid w:val="00CF7238"/>
    <w:rsid w:val="00CF7A2F"/>
    <w:rsid w:val="00D014B7"/>
    <w:rsid w:val="00D019AF"/>
    <w:rsid w:val="00D02875"/>
    <w:rsid w:val="00D02E1C"/>
    <w:rsid w:val="00D03A82"/>
    <w:rsid w:val="00D03ACE"/>
    <w:rsid w:val="00D03BE2"/>
    <w:rsid w:val="00D03EF1"/>
    <w:rsid w:val="00D0453C"/>
    <w:rsid w:val="00D04E5B"/>
    <w:rsid w:val="00D04EC1"/>
    <w:rsid w:val="00D06119"/>
    <w:rsid w:val="00D07F5C"/>
    <w:rsid w:val="00D07FCA"/>
    <w:rsid w:val="00D10442"/>
    <w:rsid w:val="00D11320"/>
    <w:rsid w:val="00D12B7A"/>
    <w:rsid w:val="00D137F2"/>
    <w:rsid w:val="00D13A08"/>
    <w:rsid w:val="00D13FA9"/>
    <w:rsid w:val="00D14A5F"/>
    <w:rsid w:val="00D14B1C"/>
    <w:rsid w:val="00D14CA9"/>
    <w:rsid w:val="00D14D85"/>
    <w:rsid w:val="00D14E0D"/>
    <w:rsid w:val="00D14ECA"/>
    <w:rsid w:val="00D1539E"/>
    <w:rsid w:val="00D155B2"/>
    <w:rsid w:val="00D168AA"/>
    <w:rsid w:val="00D16ACE"/>
    <w:rsid w:val="00D16ED1"/>
    <w:rsid w:val="00D17446"/>
    <w:rsid w:val="00D17D03"/>
    <w:rsid w:val="00D21410"/>
    <w:rsid w:val="00D2155B"/>
    <w:rsid w:val="00D2189B"/>
    <w:rsid w:val="00D21EEC"/>
    <w:rsid w:val="00D21F07"/>
    <w:rsid w:val="00D223C6"/>
    <w:rsid w:val="00D22427"/>
    <w:rsid w:val="00D22BAC"/>
    <w:rsid w:val="00D235E4"/>
    <w:rsid w:val="00D236F0"/>
    <w:rsid w:val="00D2409C"/>
    <w:rsid w:val="00D24354"/>
    <w:rsid w:val="00D24549"/>
    <w:rsid w:val="00D2489D"/>
    <w:rsid w:val="00D24AFC"/>
    <w:rsid w:val="00D258FE"/>
    <w:rsid w:val="00D26057"/>
    <w:rsid w:val="00D263EA"/>
    <w:rsid w:val="00D26D69"/>
    <w:rsid w:val="00D2745A"/>
    <w:rsid w:val="00D2747F"/>
    <w:rsid w:val="00D2761F"/>
    <w:rsid w:val="00D277A4"/>
    <w:rsid w:val="00D2795C"/>
    <w:rsid w:val="00D27F20"/>
    <w:rsid w:val="00D27FE4"/>
    <w:rsid w:val="00D3005F"/>
    <w:rsid w:val="00D301FA"/>
    <w:rsid w:val="00D3034D"/>
    <w:rsid w:val="00D3062E"/>
    <w:rsid w:val="00D309A8"/>
    <w:rsid w:val="00D30B1A"/>
    <w:rsid w:val="00D31AEB"/>
    <w:rsid w:val="00D323BF"/>
    <w:rsid w:val="00D32A5A"/>
    <w:rsid w:val="00D32CB0"/>
    <w:rsid w:val="00D33152"/>
    <w:rsid w:val="00D33461"/>
    <w:rsid w:val="00D33828"/>
    <w:rsid w:val="00D349E5"/>
    <w:rsid w:val="00D34D8D"/>
    <w:rsid w:val="00D34F23"/>
    <w:rsid w:val="00D35039"/>
    <w:rsid w:val="00D35B1E"/>
    <w:rsid w:val="00D36493"/>
    <w:rsid w:val="00D367B0"/>
    <w:rsid w:val="00D370A2"/>
    <w:rsid w:val="00D40221"/>
    <w:rsid w:val="00D41B6B"/>
    <w:rsid w:val="00D41D3B"/>
    <w:rsid w:val="00D41F24"/>
    <w:rsid w:val="00D42CAC"/>
    <w:rsid w:val="00D42EC5"/>
    <w:rsid w:val="00D42F80"/>
    <w:rsid w:val="00D43F16"/>
    <w:rsid w:val="00D44626"/>
    <w:rsid w:val="00D44E72"/>
    <w:rsid w:val="00D44EAA"/>
    <w:rsid w:val="00D453DF"/>
    <w:rsid w:val="00D454E2"/>
    <w:rsid w:val="00D457E6"/>
    <w:rsid w:val="00D45C2C"/>
    <w:rsid w:val="00D45EFF"/>
    <w:rsid w:val="00D45F31"/>
    <w:rsid w:val="00D462B1"/>
    <w:rsid w:val="00D462D3"/>
    <w:rsid w:val="00D46612"/>
    <w:rsid w:val="00D46B9F"/>
    <w:rsid w:val="00D46CBB"/>
    <w:rsid w:val="00D47574"/>
    <w:rsid w:val="00D52005"/>
    <w:rsid w:val="00D521FD"/>
    <w:rsid w:val="00D52564"/>
    <w:rsid w:val="00D52A44"/>
    <w:rsid w:val="00D5326F"/>
    <w:rsid w:val="00D532CC"/>
    <w:rsid w:val="00D53421"/>
    <w:rsid w:val="00D53D2A"/>
    <w:rsid w:val="00D53ED7"/>
    <w:rsid w:val="00D541BD"/>
    <w:rsid w:val="00D5489F"/>
    <w:rsid w:val="00D54A48"/>
    <w:rsid w:val="00D54BF2"/>
    <w:rsid w:val="00D55058"/>
    <w:rsid w:val="00D554B6"/>
    <w:rsid w:val="00D5570A"/>
    <w:rsid w:val="00D557DB"/>
    <w:rsid w:val="00D55926"/>
    <w:rsid w:val="00D55A8B"/>
    <w:rsid w:val="00D55B4F"/>
    <w:rsid w:val="00D55C81"/>
    <w:rsid w:val="00D56050"/>
    <w:rsid w:val="00D56065"/>
    <w:rsid w:val="00D56480"/>
    <w:rsid w:val="00D56A26"/>
    <w:rsid w:val="00D56C2E"/>
    <w:rsid w:val="00D5720D"/>
    <w:rsid w:val="00D577CA"/>
    <w:rsid w:val="00D577EB"/>
    <w:rsid w:val="00D57CDF"/>
    <w:rsid w:val="00D602E3"/>
    <w:rsid w:val="00D6049A"/>
    <w:rsid w:val="00D60A7F"/>
    <w:rsid w:val="00D61150"/>
    <w:rsid w:val="00D61351"/>
    <w:rsid w:val="00D6167D"/>
    <w:rsid w:val="00D61758"/>
    <w:rsid w:val="00D61917"/>
    <w:rsid w:val="00D61CD4"/>
    <w:rsid w:val="00D61D7A"/>
    <w:rsid w:val="00D61E10"/>
    <w:rsid w:val="00D61EB7"/>
    <w:rsid w:val="00D6223A"/>
    <w:rsid w:val="00D6260F"/>
    <w:rsid w:val="00D62921"/>
    <w:rsid w:val="00D62BEE"/>
    <w:rsid w:val="00D62FFE"/>
    <w:rsid w:val="00D63192"/>
    <w:rsid w:val="00D63CF8"/>
    <w:rsid w:val="00D63EA5"/>
    <w:rsid w:val="00D647D1"/>
    <w:rsid w:val="00D651DC"/>
    <w:rsid w:val="00D65381"/>
    <w:rsid w:val="00D653BE"/>
    <w:rsid w:val="00D65868"/>
    <w:rsid w:val="00D65DF0"/>
    <w:rsid w:val="00D65FC8"/>
    <w:rsid w:val="00D661E2"/>
    <w:rsid w:val="00D662A6"/>
    <w:rsid w:val="00D664D2"/>
    <w:rsid w:val="00D672A8"/>
    <w:rsid w:val="00D6783D"/>
    <w:rsid w:val="00D705B4"/>
    <w:rsid w:val="00D706B1"/>
    <w:rsid w:val="00D716C8"/>
    <w:rsid w:val="00D71B55"/>
    <w:rsid w:val="00D71E92"/>
    <w:rsid w:val="00D7207C"/>
    <w:rsid w:val="00D72A98"/>
    <w:rsid w:val="00D72DA3"/>
    <w:rsid w:val="00D73260"/>
    <w:rsid w:val="00D735F7"/>
    <w:rsid w:val="00D73655"/>
    <w:rsid w:val="00D73A0C"/>
    <w:rsid w:val="00D745F2"/>
    <w:rsid w:val="00D74789"/>
    <w:rsid w:val="00D74DD7"/>
    <w:rsid w:val="00D751DA"/>
    <w:rsid w:val="00D75277"/>
    <w:rsid w:val="00D75384"/>
    <w:rsid w:val="00D753F3"/>
    <w:rsid w:val="00D75733"/>
    <w:rsid w:val="00D75818"/>
    <w:rsid w:val="00D76150"/>
    <w:rsid w:val="00D763FB"/>
    <w:rsid w:val="00D77804"/>
    <w:rsid w:val="00D77C94"/>
    <w:rsid w:val="00D80457"/>
    <w:rsid w:val="00D80634"/>
    <w:rsid w:val="00D80636"/>
    <w:rsid w:val="00D808B3"/>
    <w:rsid w:val="00D80D71"/>
    <w:rsid w:val="00D82006"/>
    <w:rsid w:val="00D8221A"/>
    <w:rsid w:val="00D823D5"/>
    <w:rsid w:val="00D82888"/>
    <w:rsid w:val="00D82AC9"/>
    <w:rsid w:val="00D82C53"/>
    <w:rsid w:val="00D82CD3"/>
    <w:rsid w:val="00D83069"/>
    <w:rsid w:val="00D837DF"/>
    <w:rsid w:val="00D83DF9"/>
    <w:rsid w:val="00D83E68"/>
    <w:rsid w:val="00D83FA7"/>
    <w:rsid w:val="00D8410A"/>
    <w:rsid w:val="00D84FFA"/>
    <w:rsid w:val="00D85102"/>
    <w:rsid w:val="00D853BF"/>
    <w:rsid w:val="00D85580"/>
    <w:rsid w:val="00D8580D"/>
    <w:rsid w:val="00D85C3E"/>
    <w:rsid w:val="00D8631A"/>
    <w:rsid w:val="00D867FE"/>
    <w:rsid w:val="00D86830"/>
    <w:rsid w:val="00D869BD"/>
    <w:rsid w:val="00D871DF"/>
    <w:rsid w:val="00D8734D"/>
    <w:rsid w:val="00D8735F"/>
    <w:rsid w:val="00D87451"/>
    <w:rsid w:val="00D91036"/>
    <w:rsid w:val="00D91DF7"/>
    <w:rsid w:val="00D92E91"/>
    <w:rsid w:val="00D9301F"/>
    <w:rsid w:val="00D93198"/>
    <w:rsid w:val="00D93846"/>
    <w:rsid w:val="00D939CF"/>
    <w:rsid w:val="00D9434F"/>
    <w:rsid w:val="00D959DC"/>
    <w:rsid w:val="00D95B97"/>
    <w:rsid w:val="00D95DAB"/>
    <w:rsid w:val="00D96071"/>
    <w:rsid w:val="00D9633E"/>
    <w:rsid w:val="00DA02B7"/>
    <w:rsid w:val="00DA0310"/>
    <w:rsid w:val="00DA0488"/>
    <w:rsid w:val="00DA063A"/>
    <w:rsid w:val="00DA0ECF"/>
    <w:rsid w:val="00DA18CE"/>
    <w:rsid w:val="00DA1BC3"/>
    <w:rsid w:val="00DA1D1B"/>
    <w:rsid w:val="00DA1FC8"/>
    <w:rsid w:val="00DA3113"/>
    <w:rsid w:val="00DA315D"/>
    <w:rsid w:val="00DA334F"/>
    <w:rsid w:val="00DA3A08"/>
    <w:rsid w:val="00DA52D7"/>
    <w:rsid w:val="00DA566C"/>
    <w:rsid w:val="00DA5F31"/>
    <w:rsid w:val="00DA638A"/>
    <w:rsid w:val="00DA63E9"/>
    <w:rsid w:val="00DA681D"/>
    <w:rsid w:val="00DA6EC4"/>
    <w:rsid w:val="00DA6EF0"/>
    <w:rsid w:val="00DA7057"/>
    <w:rsid w:val="00DA7646"/>
    <w:rsid w:val="00DB07E2"/>
    <w:rsid w:val="00DB09DB"/>
    <w:rsid w:val="00DB09FE"/>
    <w:rsid w:val="00DB0F91"/>
    <w:rsid w:val="00DB1C6F"/>
    <w:rsid w:val="00DB20FA"/>
    <w:rsid w:val="00DB218E"/>
    <w:rsid w:val="00DB2584"/>
    <w:rsid w:val="00DB2798"/>
    <w:rsid w:val="00DB308C"/>
    <w:rsid w:val="00DB3280"/>
    <w:rsid w:val="00DB3723"/>
    <w:rsid w:val="00DB38BD"/>
    <w:rsid w:val="00DB3B09"/>
    <w:rsid w:val="00DB3D00"/>
    <w:rsid w:val="00DB4496"/>
    <w:rsid w:val="00DB4723"/>
    <w:rsid w:val="00DB4732"/>
    <w:rsid w:val="00DB4888"/>
    <w:rsid w:val="00DB5484"/>
    <w:rsid w:val="00DB55D5"/>
    <w:rsid w:val="00DB56A3"/>
    <w:rsid w:val="00DB574E"/>
    <w:rsid w:val="00DB5FC1"/>
    <w:rsid w:val="00DB65FD"/>
    <w:rsid w:val="00DB6974"/>
    <w:rsid w:val="00DB6F94"/>
    <w:rsid w:val="00DB7616"/>
    <w:rsid w:val="00DB76EA"/>
    <w:rsid w:val="00DB7A80"/>
    <w:rsid w:val="00DC06E5"/>
    <w:rsid w:val="00DC07EE"/>
    <w:rsid w:val="00DC0CBB"/>
    <w:rsid w:val="00DC118B"/>
    <w:rsid w:val="00DC1287"/>
    <w:rsid w:val="00DC13E1"/>
    <w:rsid w:val="00DC17A0"/>
    <w:rsid w:val="00DC1A6E"/>
    <w:rsid w:val="00DC1C6F"/>
    <w:rsid w:val="00DC1FB9"/>
    <w:rsid w:val="00DC37B4"/>
    <w:rsid w:val="00DC3A12"/>
    <w:rsid w:val="00DC3FF9"/>
    <w:rsid w:val="00DC412A"/>
    <w:rsid w:val="00DC4678"/>
    <w:rsid w:val="00DC4896"/>
    <w:rsid w:val="00DC4B19"/>
    <w:rsid w:val="00DC4C47"/>
    <w:rsid w:val="00DC5CB2"/>
    <w:rsid w:val="00DC662D"/>
    <w:rsid w:val="00DC7450"/>
    <w:rsid w:val="00DC7652"/>
    <w:rsid w:val="00DC795F"/>
    <w:rsid w:val="00DC7B90"/>
    <w:rsid w:val="00DC7DF7"/>
    <w:rsid w:val="00DD018A"/>
    <w:rsid w:val="00DD01B2"/>
    <w:rsid w:val="00DD08A2"/>
    <w:rsid w:val="00DD0968"/>
    <w:rsid w:val="00DD0DE5"/>
    <w:rsid w:val="00DD0F24"/>
    <w:rsid w:val="00DD165A"/>
    <w:rsid w:val="00DD24B6"/>
    <w:rsid w:val="00DD2A1B"/>
    <w:rsid w:val="00DD3517"/>
    <w:rsid w:val="00DD3C96"/>
    <w:rsid w:val="00DD4B67"/>
    <w:rsid w:val="00DD4EFC"/>
    <w:rsid w:val="00DD4F3C"/>
    <w:rsid w:val="00DD65C0"/>
    <w:rsid w:val="00DD6D20"/>
    <w:rsid w:val="00DD6D4A"/>
    <w:rsid w:val="00DD75F0"/>
    <w:rsid w:val="00DD7FE4"/>
    <w:rsid w:val="00DE0855"/>
    <w:rsid w:val="00DE0EF7"/>
    <w:rsid w:val="00DE22A1"/>
    <w:rsid w:val="00DE2DFB"/>
    <w:rsid w:val="00DE3616"/>
    <w:rsid w:val="00DE3915"/>
    <w:rsid w:val="00DE3C08"/>
    <w:rsid w:val="00DE425C"/>
    <w:rsid w:val="00DE44AA"/>
    <w:rsid w:val="00DE4A18"/>
    <w:rsid w:val="00DE4F58"/>
    <w:rsid w:val="00DE5168"/>
    <w:rsid w:val="00DE5330"/>
    <w:rsid w:val="00DE59BE"/>
    <w:rsid w:val="00DE5BDE"/>
    <w:rsid w:val="00DE5E8B"/>
    <w:rsid w:val="00DE60CD"/>
    <w:rsid w:val="00DE620F"/>
    <w:rsid w:val="00DE63AD"/>
    <w:rsid w:val="00DE64F2"/>
    <w:rsid w:val="00DE6704"/>
    <w:rsid w:val="00DE6724"/>
    <w:rsid w:val="00DE6E33"/>
    <w:rsid w:val="00DE7549"/>
    <w:rsid w:val="00DE7B63"/>
    <w:rsid w:val="00DE7C08"/>
    <w:rsid w:val="00DE7E7A"/>
    <w:rsid w:val="00DF0300"/>
    <w:rsid w:val="00DF03BA"/>
    <w:rsid w:val="00DF0768"/>
    <w:rsid w:val="00DF09AE"/>
    <w:rsid w:val="00DF0B73"/>
    <w:rsid w:val="00DF0D11"/>
    <w:rsid w:val="00DF1DCE"/>
    <w:rsid w:val="00DF20D4"/>
    <w:rsid w:val="00DF2238"/>
    <w:rsid w:val="00DF2C73"/>
    <w:rsid w:val="00DF2F4D"/>
    <w:rsid w:val="00DF30B2"/>
    <w:rsid w:val="00DF3E0C"/>
    <w:rsid w:val="00DF3E9E"/>
    <w:rsid w:val="00DF40D2"/>
    <w:rsid w:val="00DF40FF"/>
    <w:rsid w:val="00DF515A"/>
    <w:rsid w:val="00DF60C4"/>
    <w:rsid w:val="00DF69F7"/>
    <w:rsid w:val="00DF6D27"/>
    <w:rsid w:val="00DF722F"/>
    <w:rsid w:val="00DF7D7E"/>
    <w:rsid w:val="00DF7DCD"/>
    <w:rsid w:val="00E00763"/>
    <w:rsid w:val="00E007B9"/>
    <w:rsid w:val="00E009F9"/>
    <w:rsid w:val="00E00BBC"/>
    <w:rsid w:val="00E010C3"/>
    <w:rsid w:val="00E01200"/>
    <w:rsid w:val="00E01664"/>
    <w:rsid w:val="00E017E6"/>
    <w:rsid w:val="00E01957"/>
    <w:rsid w:val="00E022C1"/>
    <w:rsid w:val="00E02F40"/>
    <w:rsid w:val="00E038B4"/>
    <w:rsid w:val="00E0409B"/>
    <w:rsid w:val="00E04154"/>
    <w:rsid w:val="00E042B7"/>
    <w:rsid w:val="00E04361"/>
    <w:rsid w:val="00E0443E"/>
    <w:rsid w:val="00E044FD"/>
    <w:rsid w:val="00E04A61"/>
    <w:rsid w:val="00E04CB2"/>
    <w:rsid w:val="00E05048"/>
    <w:rsid w:val="00E05342"/>
    <w:rsid w:val="00E0560E"/>
    <w:rsid w:val="00E0571E"/>
    <w:rsid w:val="00E057EA"/>
    <w:rsid w:val="00E057F4"/>
    <w:rsid w:val="00E05F00"/>
    <w:rsid w:val="00E06619"/>
    <w:rsid w:val="00E06963"/>
    <w:rsid w:val="00E06DD7"/>
    <w:rsid w:val="00E06F64"/>
    <w:rsid w:val="00E06FDD"/>
    <w:rsid w:val="00E07197"/>
    <w:rsid w:val="00E07887"/>
    <w:rsid w:val="00E07966"/>
    <w:rsid w:val="00E07F5A"/>
    <w:rsid w:val="00E10DC3"/>
    <w:rsid w:val="00E10E63"/>
    <w:rsid w:val="00E10F7A"/>
    <w:rsid w:val="00E116B9"/>
    <w:rsid w:val="00E117F1"/>
    <w:rsid w:val="00E11B77"/>
    <w:rsid w:val="00E11E07"/>
    <w:rsid w:val="00E12001"/>
    <w:rsid w:val="00E12467"/>
    <w:rsid w:val="00E12794"/>
    <w:rsid w:val="00E127BC"/>
    <w:rsid w:val="00E12943"/>
    <w:rsid w:val="00E12E6B"/>
    <w:rsid w:val="00E141E9"/>
    <w:rsid w:val="00E14200"/>
    <w:rsid w:val="00E14226"/>
    <w:rsid w:val="00E146FD"/>
    <w:rsid w:val="00E14915"/>
    <w:rsid w:val="00E14A33"/>
    <w:rsid w:val="00E153E3"/>
    <w:rsid w:val="00E15593"/>
    <w:rsid w:val="00E155B0"/>
    <w:rsid w:val="00E1585E"/>
    <w:rsid w:val="00E163B8"/>
    <w:rsid w:val="00E168EA"/>
    <w:rsid w:val="00E16945"/>
    <w:rsid w:val="00E1704C"/>
    <w:rsid w:val="00E17A1E"/>
    <w:rsid w:val="00E20E5D"/>
    <w:rsid w:val="00E22531"/>
    <w:rsid w:val="00E22581"/>
    <w:rsid w:val="00E22587"/>
    <w:rsid w:val="00E22915"/>
    <w:rsid w:val="00E22E56"/>
    <w:rsid w:val="00E2360D"/>
    <w:rsid w:val="00E23867"/>
    <w:rsid w:val="00E23BB9"/>
    <w:rsid w:val="00E23DBA"/>
    <w:rsid w:val="00E240BC"/>
    <w:rsid w:val="00E24AFB"/>
    <w:rsid w:val="00E25615"/>
    <w:rsid w:val="00E25653"/>
    <w:rsid w:val="00E258A6"/>
    <w:rsid w:val="00E25A53"/>
    <w:rsid w:val="00E2616A"/>
    <w:rsid w:val="00E26249"/>
    <w:rsid w:val="00E266AD"/>
    <w:rsid w:val="00E26BDD"/>
    <w:rsid w:val="00E2786F"/>
    <w:rsid w:val="00E3078E"/>
    <w:rsid w:val="00E307D7"/>
    <w:rsid w:val="00E309EE"/>
    <w:rsid w:val="00E30A02"/>
    <w:rsid w:val="00E30C81"/>
    <w:rsid w:val="00E30CA5"/>
    <w:rsid w:val="00E310F4"/>
    <w:rsid w:val="00E31A14"/>
    <w:rsid w:val="00E31A41"/>
    <w:rsid w:val="00E31BBF"/>
    <w:rsid w:val="00E329C1"/>
    <w:rsid w:val="00E32D6B"/>
    <w:rsid w:val="00E33309"/>
    <w:rsid w:val="00E334B1"/>
    <w:rsid w:val="00E336F1"/>
    <w:rsid w:val="00E338E9"/>
    <w:rsid w:val="00E34344"/>
    <w:rsid w:val="00E34926"/>
    <w:rsid w:val="00E349E8"/>
    <w:rsid w:val="00E34A79"/>
    <w:rsid w:val="00E34EFF"/>
    <w:rsid w:val="00E355D5"/>
    <w:rsid w:val="00E3575C"/>
    <w:rsid w:val="00E35AB0"/>
    <w:rsid w:val="00E35AC8"/>
    <w:rsid w:val="00E35C5A"/>
    <w:rsid w:val="00E35DA8"/>
    <w:rsid w:val="00E35EDF"/>
    <w:rsid w:val="00E35FF9"/>
    <w:rsid w:val="00E36318"/>
    <w:rsid w:val="00E363A3"/>
    <w:rsid w:val="00E36C4C"/>
    <w:rsid w:val="00E37245"/>
    <w:rsid w:val="00E372E3"/>
    <w:rsid w:val="00E373A9"/>
    <w:rsid w:val="00E3748D"/>
    <w:rsid w:val="00E37C5F"/>
    <w:rsid w:val="00E37CFD"/>
    <w:rsid w:val="00E402EF"/>
    <w:rsid w:val="00E4034F"/>
    <w:rsid w:val="00E404C7"/>
    <w:rsid w:val="00E4061E"/>
    <w:rsid w:val="00E4103A"/>
    <w:rsid w:val="00E41583"/>
    <w:rsid w:val="00E42831"/>
    <w:rsid w:val="00E4294E"/>
    <w:rsid w:val="00E43025"/>
    <w:rsid w:val="00E43051"/>
    <w:rsid w:val="00E43839"/>
    <w:rsid w:val="00E43F33"/>
    <w:rsid w:val="00E43F65"/>
    <w:rsid w:val="00E444AE"/>
    <w:rsid w:val="00E44CED"/>
    <w:rsid w:val="00E44E64"/>
    <w:rsid w:val="00E458CF"/>
    <w:rsid w:val="00E45B8E"/>
    <w:rsid w:val="00E4655E"/>
    <w:rsid w:val="00E4687C"/>
    <w:rsid w:val="00E47727"/>
    <w:rsid w:val="00E47C58"/>
    <w:rsid w:val="00E503B0"/>
    <w:rsid w:val="00E50429"/>
    <w:rsid w:val="00E50D24"/>
    <w:rsid w:val="00E50DE9"/>
    <w:rsid w:val="00E50F81"/>
    <w:rsid w:val="00E51426"/>
    <w:rsid w:val="00E51A84"/>
    <w:rsid w:val="00E536B2"/>
    <w:rsid w:val="00E53C20"/>
    <w:rsid w:val="00E543D0"/>
    <w:rsid w:val="00E54D04"/>
    <w:rsid w:val="00E54DEB"/>
    <w:rsid w:val="00E55E91"/>
    <w:rsid w:val="00E56917"/>
    <w:rsid w:val="00E56939"/>
    <w:rsid w:val="00E57206"/>
    <w:rsid w:val="00E57266"/>
    <w:rsid w:val="00E57970"/>
    <w:rsid w:val="00E60402"/>
    <w:rsid w:val="00E6082A"/>
    <w:rsid w:val="00E60A41"/>
    <w:rsid w:val="00E60D7C"/>
    <w:rsid w:val="00E61175"/>
    <w:rsid w:val="00E61555"/>
    <w:rsid w:val="00E621D5"/>
    <w:rsid w:val="00E62844"/>
    <w:rsid w:val="00E628B4"/>
    <w:rsid w:val="00E629DD"/>
    <w:rsid w:val="00E62B13"/>
    <w:rsid w:val="00E62C51"/>
    <w:rsid w:val="00E62FED"/>
    <w:rsid w:val="00E6363B"/>
    <w:rsid w:val="00E63B23"/>
    <w:rsid w:val="00E63B25"/>
    <w:rsid w:val="00E640F7"/>
    <w:rsid w:val="00E64262"/>
    <w:rsid w:val="00E64492"/>
    <w:rsid w:val="00E648F1"/>
    <w:rsid w:val="00E6491A"/>
    <w:rsid w:val="00E65305"/>
    <w:rsid w:val="00E65DE7"/>
    <w:rsid w:val="00E7066E"/>
    <w:rsid w:val="00E70E15"/>
    <w:rsid w:val="00E7104D"/>
    <w:rsid w:val="00E728B8"/>
    <w:rsid w:val="00E72F2A"/>
    <w:rsid w:val="00E73206"/>
    <w:rsid w:val="00E7331E"/>
    <w:rsid w:val="00E733B1"/>
    <w:rsid w:val="00E734A3"/>
    <w:rsid w:val="00E736D1"/>
    <w:rsid w:val="00E73759"/>
    <w:rsid w:val="00E73994"/>
    <w:rsid w:val="00E73C3A"/>
    <w:rsid w:val="00E741C5"/>
    <w:rsid w:val="00E74DF9"/>
    <w:rsid w:val="00E7514F"/>
    <w:rsid w:val="00E75773"/>
    <w:rsid w:val="00E75913"/>
    <w:rsid w:val="00E75E02"/>
    <w:rsid w:val="00E7652F"/>
    <w:rsid w:val="00E769F1"/>
    <w:rsid w:val="00E7741C"/>
    <w:rsid w:val="00E80439"/>
    <w:rsid w:val="00E80482"/>
    <w:rsid w:val="00E80912"/>
    <w:rsid w:val="00E80FAA"/>
    <w:rsid w:val="00E8121B"/>
    <w:rsid w:val="00E8145C"/>
    <w:rsid w:val="00E81579"/>
    <w:rsid w:val="00E82ABE"/>
    <w:rsid w:val="00E8320B"/>
    <w:rsid w:val="00E83481"/>
    <w:rsid w:val="00E848FE"/>
    <w:rsid w:val="00E84EB2"/>
    <w:rsid w:val="00E8500B"/>
    <w:rsid w:val="00E85536"/>
    <w:rsid w:val="00E8589A"/>
    <w:rsid w:val="00E85FAF"/>
    <w:rsid w:val="00E8600D"/>
    <w:rsid w:val="00E861BF"/>
    <w:rsid w:val="00E86501"/>
    <w:rsid w:val="00E871F1"/>
    <w:rsid w:val="00E877E3"/>
    <w:rsid w:val="00E905F1"/>
    <w:rsid w:val="00E90BA3"/>
    <w:rsid w:val="00E90FDA"/>
    <w:rsid w:val="00E914F5"/>
    <w:rsid w:val="00E91975"/>
    <w:rsid w:val="00E91A1D"/>
    <w:rsid w:val="00E91DB1"/>
    <w:rsid w:val="00E92993"/>
    <w:rsid w:val="00E92FA0"/>
    <w:rsid w:val="00E9364B"/>
    <w:rsid w:val="00E93EE5"/>
    <w:rsid w:val="00E94AA8"/>
    <w:rsid w:val="00E94CCF"/>
    <w:rsid w:val="00E95B44"/>
    <w:rsid w:val="00E95F6E"/>
    <w:rsid w:val="00E96110"/>
    <w:rsid w:val="00E972A7"/>
    <w:rsid w:val="00E97470"/>
    <w:rsid w:val="00E978B5"/>
    <w:rsid w:val="00E97F7F"/>
    <w:rsid w:val="00EA04EF"/>
    <w:rsid w:val="00EA063E"/>
    <w:rsid w:val="00EA0715"/>
    <w:rsid w:val="00EA0923"/>
    <w:rsid w:val="00EA0D62"/>
    <w:rsid w:val="00EA112B"/>
    <w:rsid w:val="00EA1478"/>
    <w:rsid w:val="00EA152B"/>
    <w:rsid w:val="00EA2B93"/>
    <w:rsid w:val="00EA37D1"/>
    <w:rsid w:val="00EA3A9D"/>
    <w:rsid w:val="00EA4210"/>
    <w:rsid w:val="00EA425B"/>
    <w:rsid w:val="00EA575C"/>
    <w:rsid w:val="00EA59B0"/>
    <w:rsid w:val="00EA6BC8"/>
    <w:rsid w:val="00EA6FEC"/>
    <w:rsid w:val="00EA729E"/>
    <w:rsid w:val="00EA7869"/>
    <w:rsid w:val="00EA7B12"/>
    <w:rsid w:val="00EB0EA4"/>
    <w:rsid w:val="00EB174E"/>
    <w:rsid w:val="00EB1928"/>
    <w:rsid w:val="00EB1B14"/>
    <w:rsid w:val="00EB1D62"/>
    <w:rsid w:val="00EB2109"/>
    <w:rsid w:val="00EB2ABA"/>
    <w:rsid w:val="00EB31D1"/>
    <w:rsid w:val="00EB40D6"/>
    <w:rsid w:val="00EB40DA"/>
    <w:rsid w:val="00EB497B"/>
    <w:rsid w:val="00EB4B80"/>
    <w:rsid w:val="00EB4BB7"/>
    <w:rsid w:val="00EB523A"/>
    <w:rsid w:val="00EB5257"/>
    <w:rsid w:val="00EB53F8"/>
    <w:rsid w:val="00EB5613"/>
    <w:rsid w:val="00EB62F4"/>
    <w:rsid w:val="00EB6320"/>
    <w:rsid w:val="00EB6B0C"/>
    <w:rsid w:val="00EB6B66"/>
    <w:rsid w:val="00EB7138"/>
    <w:rsid w:val="00EB751A"/>
    <w:rsid w:val="00EB7C33"/>
    <w:rsid w:val="00EB7F1D"/>
    <w:rsid w:val="00EC038E"/>
    <w:rsid w:val="00EC06AB"/>
    <w:rsid w:val="00EC0EEB"/>
    <w:rsid w:val="00EC16BC"/>
    <w:rsid w:val="00EC197E"/>
    <w:rsid w:val="00EC1CC3"/>
    <w:rsid w:val="00EC2510"/>
    <w:rsid w:val="00EC273E"/>
    <w:rsid w:val="00EC284B"/>
    <w:rsid w:val="00EC2EFA"/>
    <w:rsid w:val="00EC2FB1"/>
    <w:rsid w:val="00EC3235"/>
    <w:rsid w:val="00EC3C0B"/>
    <w:rsid w:val="00EC3F14"/>
    <w:rsid w:val="00EC4534"/>
    <w:rsid w:val="00EC4E42"/>
    <w:rsid w:val="00EC4EBE"/>
    <w:rsid w:val="00EC505B"/>
    <w:rsid w:val="00EC5068"/>
    <w:rsid w:val="00EC5297"/>
    <w:rsid w:val="00EC52B1"/>
    <w:rsid w:val="00EC5451"/>
    <w:rsid w:val="00EC5479"/>
    <w:rsid w:val="00EC57DA"/>
    <w:rsid w:val="00EC59BD"/>
    <w:rsid w:val="00EC5D23"/>
    <w:rsid w:val="00EC79FC"/>
    <w:rsid w:val="00EC7E0B"/>
    <w:rsid w:val="00EC7F6B"/>
    <w:rsid w:val="00ED09C1"/>
    <w:rsid w:val="00ED0B24"/>
    <w:rsid w:val="00ED0C4F"/>
    <w:rsid w:val="00ED0DCC"/>
    <w:rsid w:val="00ED0F12"/>
    <w:rsid w:val="00ED134E"/>
    <w:rsid w:val="00ED1359"/>
    <w:rsid w:val="00ED156B"/>
    <w:rsid w:val="00ED18F6"/>
    <w:rsid w:val="00ED1922"/>
    <w:rsid w:val="00ED1B67"/>
    <w:rsid w:val="00ED1D24"/>
    <w:rsid w:val="00ED1EB1"/>
    <w:rsid w:val="00ED24EE"/>
    <w:rsid w:val="00ED264F"/>
    <w:rsid w:val="00ED27EE"/>
    <w:rsid w:val="00ED3864"/>
    <w:rsid w:val="00ED38CD"/>
    <w:rsid w:val="00ED4054"/>
    <w:rsid w:val="00ED406D"/>
    <w:rsid w:val="00ED512A"/>
    <w:rsid w:val="00ED669C"/>
    <w:rsid w:val="00ED674C"/>
    <w:rsid w:val="00ED713F"/>
    <w:rsid w:val="00ED7492"/>
    <w:rsid w:val="00ED7A6C"/>
    <w:rsid w:val="00EE096E"/>
    <w:rsid w:val="00EE2097"/>
    <w:rsid w:val="00EE28B0"/>
    <w:rsid w:val="00EE3125"/>
    <w:rsid w:val="00EE4863"/>
    <w:rsid w:val="00EE4EE3"/>
    <w:rsid w:val="00EE554A"/>
    <w:rsid w:val="00EE5E4D"/>
    <w:rsid w:val="00EE61D6"/>
    <w:rsid w:val="00EE6E27"/>
    <w:rsid w:val="00EE7EDA"/>
    <w:rsid w:val="00EF0740"/>
    <w:rsid w:val="00EF0CC9"/>
    <w:rsid w:val="00EF0EA3"/>
    <w:rsid w:val="00EF14BC"/>
    <w:rsid w:val="00EF1683"/>
    <w:rsid w:val="00EF1C02"/>
    <w:rsid w:val="00EF1C2C"/>
    <w:rsid w:val="00EF21A4"/>
    <w:rsid w:val="00EF25F2"/>
    <w:rsid w:val="00EF2923"/>
    <w:rsid w:val="00EF2AAB"/>
    <w:rsid w:val="00EF2DC0"/>
    <w:rsid w:val="00EF3424"/>
    <w:rsid w:val="00EF34F7"/>
    <w:rsid w:val="00EF357D"/>
    <w:rsid w:val="00EF49B7"/>
    <w:rsid w:val="00EF4FE1"/>
    <w:rsid w:val="00EF559B"/>
    <w:rsid w:val="00EF5A77"/>
    <w:rsid w:val="00EF62DE"/>
    <w:rsid w:val="00EF63BE"/>
    <w:rsid w:val="00EF681F"/>
    <w:rsid w:val="00EF6AEB"/>
    <w:rsid w:val="00EF7351"/>
    <w:rsid w:val="00EF7476"/>
    <w:rsid w:val="00EF76D9"/>
    <w:rsid w:val="00EF7986"/>
    <w:rsid w:val="00F005FA"/>
    <w:rsid w:val="00F00647"/>
    <w:rsid w:val="00F0185C"/>
    <w:rsid w:val="00F01B48"/>
    <w:rsid w:val="00F023A5"/>
    <w:rsid w:val="00F024ED"/>
    <w:rsid w:val="00F02F58"/>
    <w:rsid w:val="00F03208"/>
    <w:rsid w:val="00F03B1A"/>
    <w:rsid w:val="00F03CA9"/>
    <w:rsid w:val="00F03DAB"/>
    <w:rsid w:val="00F046C3"/>
    <w:rsid w:val="00F04D70"/>
    <w:rsid w:val="00F04E08"/>
    <w:rsid w:val="00F050A8"/>
    <w:rsid w:val="00F05508"/>
    <w:rsid w:val="00F05704"/>
    <w:rsid w:val="00F0571F"/>
    <w:rsid w:val="00F05B5C"/>
    <w:rsid w:val="00F05BD7"/>
    <w:rsid w:val="00F06009"/>
    <w:rsid w:val="00F069E3"/>
    <w:rsid w:val="00F07301"/>
    <w:rsid w:val="00F105CE"/>
    <w:rsid w:val="00F10662"/>
    <w:rsid w:val="00F106D8"/>
    <w:rsid w:val="00F10C19"/>
    <w:rsid w:val="00F10E3D"/>
    <w:rsid w:val="00F112DD"/>
    <w:rsid w:val="00F116B7"/>
    <w:rsid w:val="00F11864"/>
    <w:rsid w:val="00F12199"/>
    <w:rsid w:val="00F122CE"/>
    <w:rsid w:val="00F12E81"/>
    <w:rsid w:val="00F12F00"/>
    <w:rsid w:val="00F1310C"/>
    <w:rsid w:val="00F13A1D"/>
    <w:rsid w:val="00F13D25"/>
    <w:rsid w:val="00F147ED"/>
    <w:rsid w:val="00F1562B"/>
    <w:rsid w:val="00F156B8"/>
    <w:rsid w:val="00F157A3"/>
    <w:rsid w:val="00F15EFB"/>
    <w:rsid w:val="00F16470"/>
    <w:rsid w:val="00F16A2D"/>
    <w:rsid w:val="00F178CC"/>
    <w:rsid w:val="00F179FB"/>
    <w:rsid w:val="00F2046B"/>
    <w:rsid w:val="00F20D5B"/>
    <w:rsid w:val="00F20E6E"/>
    <w:rsid w:val="00F22572"/>
    <w:rsid w:val="00F23220"/>
    <w:rsid w:val="00F234F0"/>
    <w:rsid w:val="00F2400E"/>
    <w:rsid w:val="00F25218"/>
    <w:rsid w:val="00F25263"/>
    <w:rsid w:val="00F255A0"/>
    <w:rsid w:val="00F25ACF"/>
    <w:rsid w:val="00F26370"/>
    <w:rsid w:val="00F274E8"/>
    <w:rsid w:val="00F275E5"/>
    <w:rsid w:val="00F2768B"/>
    <w:rsid w:val="00F2789D"/>
    <w:rsid w:val="00F30242"/>
    <w:rsid w:val="00F30D6C"/>
    <w:rsid w:val="00F3123A"/>
    <w:rsid w:val="00F314BB"/>
    <w:rsid w:val="00F31676"/>
    <w:rsid w:val="00F31CC1"/>
    <w:rsid w:val="00F31FAD"/>
    <w:rsid w:val="00F320E4"/>
    <w:rsid w:val="00F32284"/>
    <w:rsid w:val="00F325EB"/>
    <w:rsid w:val="00F32EAF"/>
    <w:rsid w:val="00F334CA"/>
    <w:rsid w:val="00F33555"/>
    <w:rsid w:val="00F3385F"/>
    <w:rsid w:val="00F33984"/>
    <w:rsid w:val="00F33CB5"/>
    <w:rsid w:val="00F3420B"/>
    <w:rsid w:val="00F35157"/>
    <w:rsid w:val="00F351B9"/>
    <w:rsid w:val="00F35F12"/>
    <w:rsid w:val="00F36095"/>
    <w:rsid w:val="00F3624C"/>
    <w:rsid w:val="00F37AD9"/>
    <w:rsid w:val="00F37D45"/>
    <w:rsid w:val="00F37E3A"/>
    <w:rsid w:val="00F37FDE"/>
    <w:rsid w:val="00F405AB"/>
    <w:rsid w:val="00F4189F"/>
    <w:rsid w:val="00F41B20"/>
    <w:rsid w:val="00F42261"/>
    <w:rsid w:val="00F42865"/>
    <w:rsid w:val="00F42A4A"/>
    <w:rsid w:val="00F4312F"/>
    <w:rsid w:val="00F44245"/>
    <w:rsid w:val="00F44680"/>
    <w:rsid w:val="00F4507B"/>
    <w:rsid w:val="00F4519F"/>
    <w:rsid w:val="00F4539A"/>
    <w:rsid w:val="00F465B1"/>
    <w:rsid w:val="00F46A55"/>
    <w:rsid w:val="00F46CFA"/>
    <w:rsid w:val="00F47BEA"/>
    <w:rsid w:val="00F501E6"/>
    <w:rsid w:val="00F50615"/>
    <w:rsid w:val="00F506BB"/>
    <w:rsid w:val="00F5074D"/>
    <w:rsid w:val="00F5094E"/>
    <w:rsid w:val="00F509E2"/>
    <w:rsid w:val="00F50D08"/>
    <w:rsid w:val="00F50FC9"/>
    <w:rsid w:val="00F513CB"/>
    <w:rsid w:val="00F5148D"/>
    <w:rsid w:val="00F51931"/>
    <w:rsid w:val="00F51B05"/>
    <w:rsid w:val="00F51DE7"/>
    <w:rsid w:val="00F51F6F"/>
    <w:rsid w:val="00F51FD9"/>
    <w:rsid w:val="00F523E5"/>
    <w:rsid w:val="00F52D67"/>
    <w:rsid w:val="00F5341A"/>
    <w:rsid w:val="00F537D9"/>
    <w:rsid w:val="00F53860"/>
    <w:rsid w:val="00F543FB"/>
    <w:rsid w:val="00F54621"/>
    <w:rsid w:val="00F54A44"/>
    <w:rsid w:val="00F54B68"/>
    <w:rsid w:val="00F54EC9"/>
    <w:rsid w:val="00F54F92"/>
    <w:rsid w:val="00F552EF"/>
    <w:rsid w:val="00F5543C"/>
    <w:rsid w:val="00F55CE8"/>
    <w:rsid w:val="00F561D9"/>
    <w:rsid w:val="00F565A8"/>
    <w:rsid w:val="00F56A7F"/>
    <w:rsid w:val="00F5726C"/>
    <w:rsid w:val="00F5740E"/>
    <w:rsid w:val="00F57A88"/>
    <w:rsid w:val="00F603B9"/>
    <w:rsid w:val="00F604E5"/>
    <w:rsid w:val="00F605AF"/>
    <w:rsid w:val="00F6085B"/>
    <w:rsid w:val="00F60CF6"/>
    <w:rsid w:val="00F613C0"/>
    <w:rsid w:val="00F61B43"/>
    <w:rsid w:val="00F61DFC"/>
    <w:rsid w:val="00F623F7"/>
    <w:rsid w:val="00F628E0"/>
    <w:rsid w:val="00F62B02"/>
    <w:rsid w:val="00F63C57"/>
    <w:rsid w:val="00F63C98"/>
    <w:rsid w:val="00F6466C"/>
    <w:rsid w:val="00F64809"/>
    <w:rsid w:val="00F6528C"/>
    <w:rsid w:val="00F65650"/>
    <w:rsid w:val="00F6571D"/>
    <w:rsid w:val="00F65DC4"/>
    <w:rsid w:val="00F66022"/>
    <w:rsid w:val="00F661E4"/>
    <w:rsid w:val="00F66645"/>
    <w:rsid w:val="00F66724"/>
    <w:rsid w:val="00F66E16"/>
    <w:rsid w:val="00F66EB0"/>
    <w:rsid w:val="00F67150"/>
    <w:rsid w:val="00F67B10"/>
    <w:rsid w:val="00F70360"/>
    <w:rsid w:val="00F7053F"/>
    <w:rsid w:val="00F7061E"/>
    <w:rsid w:val="00F706D3"/>
    <w:rsid w:val="00F71D11"/>
    <w:rsid w:val="00F72040"/>
    <w:rsid w:val="00F73889"/>
    <w:rsid w:val="00F73A11"/>
    <w:rsid w:val="00F73B7A"/>
    <w:rsid w:val="00F73FEA"/>
    <w:rsid w:val="00F745CB"/>
    <w:rsid w:val="00F746F0"/>
    <w:rsid w:val="00F748C9"/>
    <w:rsid w:val="00F74AB5"/>
    <w:rsid w:val="00F7526A"/>
    <w:rsid w:val="00F7552E"/>
    <w:rsid w:val="00F75F90"/>
    <w:rsid w:val="00F761D6"/>
    <w:rsid w:val="00F76674"/>
    <w:rsid w:val="00F76BA4"/>
    <w:rsid w:val="00F76FE8"/>
    <w:rsid w:val="00F7727A"/>
    <w:rsid w:val="00F77A38"/>
    <w:rsid w:val="00F77C37"/>
    <w:rsid w:val="00F77EA5"/>
    <w:rsid w:val="00F77EEF"/>
    <w:rsid w:val="00F8080B"/>
    <w:rsid w:val="00F809C6"/>
    <w:rsid w:val="00F80C52"/>
    <w:rsid w:val="00F81E91"/>
    <w:rsid w:val="00F81F68"/>
    <w:rsid w:val="00F830FD"/>
    <w:rsid w:val="00F8345B"/>
    <w:rsid w:val="00F83ADC"/>
    <w:rsid w:val="00F83CD3"/>
    <w:rsid w:val="00F84E38"/>
    <w:rsid w:val="00F85060"/>
    <w:rsid w:val="00F85604"/>
    <w:rsid w:val="00F856BE"/>
    <w:rsid w:val="00F85D77"/>
    <w:rsid w:val="00F85E27"/>
    <w:rsid w:val="00F86E67"/>
    <w:rsid w:val="00F871E9"/>
    <w:rsid w:val="00F87273"/>
    <w:rsid w:val="00F87BA4"/>
    <w:rsid w:val="00F90E59"/>
    <w:rsid w:val="00F9149F"/>
    <w:rsid w:val="00F91767"/>
    <w:rsid w:val="00F91F72"/>
    <w:rsid w:val="00F920A4"/>
    <w:rsid w:val="00F92304"/>
    <w:rsid w:val="00F9298B"/>
    <w:rsid w:val="00F948DF"/>
    <w:rsid w:val="00F94A82"/>
    <w:rsid w:val="00F95310"/>
    <w:rsid w:val="00F95995"/>
    <w:rsid w:val="00F95FC6"/>
    <w:rsid w:val="00F9643D"/>
    <w:rsid w:val="00F96635"/>
    <w:rsid w:val="00F96853"/>
    <w:rsid w:val="00F96BFB"/>
    <w:rsid w:val="00F96D8F"/>
    <w:rsid w:val="00F9708B"/>
    <w:rsid w:val="00FA0016"/>
    <w:rsid w:val="00FA032E"/>
    <w:rsid w:val="00FA07B6"/>
    <w:rsid w:val="00FA134A"/>
    <w:rsid w:val="00FA1C91"/>
    <w:rsid w:val="00FA2978"/>
    <w:rsid w:val="00FA2A14"/>
    <w:rsid w:val="00FA2E03"/>
    <w:rsid w:val="00FA2F85"/>
    <w:rsid w:val="00FA364E"/>
    <w:rsid w:val="00FA40FC"/>
    <w:rsid w:val="00FA41C6"/>
    <w:rsid w:val="00FA4342"/>
    <w:rsid w:val="00FA526F"/>
    <w:rsid w:val="00FA55BA"/>
    <w:rsid w:val="00FA59D7"/>
    <w:rsid w:val="00FA69B1"/>
    <w:rsid w:val="00FA70AF"/>
    <w:rsid w:val="00FA72DD"/>
    <w:rsid w:val="00FA7666"/>
    <w:rsid w:val="00FA7688"/>
    <w:rsid w:val="00FA773C"/>
    <w:rsid w:val="00FA7D10"/>
    <w:rsid w:val="00FA7E24"/>
    <w:rsid w:val="00FA7F78"/>
    <w:rsid w:val="00FB06FE"/>
    <w:rsid w:val="00FB11B9"/>
    <w:rsid w:val="00FB1379"/>
    <w:rsid w:val="00FB1563"/>
    <w:rsid w:val="00FB1E5C"/>
    <w:rsid w:val="00FB1F60"/>
    <w:rsid w:val="00FB2331"/>
    <w:rsid w:val="00FB2359"/>
    <w:rsid w:val="00FB23FF"/>
    <w:rsid w:val="00FB2880"/>
    <w:rsid w:val="00FB2A74"/>
    <w:rsid w:val="00FB2C4F"/>
    <w:rsid w:val="00FB2CAC"/>
    <w:rsid w:val="00FB3308"/>
    <w:rsid w:val="00FB3DB1"/>
    <w:rsid w:val="00FB3F6B"/>
    <w:rsid w:val="00FB415A"/>
    <w:rsid w:val="00FB42BC"/>
    <w:rsid w:val="00FB4498"/>
    <w:rsid w:val="00FB4515"/>
    <w:rsid w:val="00FB4804"/>
    <w:rsid w:val="00FB4D48"/>
    <w:rsid w:val="00FB5364"/>
    <w:rsid w:val="00FB5856"/>
    <w:rsid w:val="00FB58FF"/>
    <w:rsid w:val="00FB60D1"/>
    <w:rsid w:val="00FB6BE7"/>
    <w:rsid w:val="00FB7096"/>
    <w:rsid w:val="00FB71E6"/>
    <w:rsid w:val="00FB72FB"/>
    <w:rsid w:val="00FB742C"/>
    <w:rsid w:val="00FB7927"/>
    <w:rsid w:val="00FC0415"/>
    <w:rsid w:val="00FC051D"/>
    <w:rsid w:val="00FC086E"/>
    <w:rsid w:val="00FC0D93"/>
    <w:rsid w:val="00FC12F0"/>
    <w:rsid w:val="00FC1B03"/>
    <w:rsid w:val="00FC24E6"/>
    <w:rsid w:val="00FC2E81"/>
    <w:rsid w:val="00FC2E90"/>
    <w:rsid w:val="00FC37DB"/>
    <w:rsid w:val="00FC38B4"/>
    <w:rsid w:val="00FC3C18"/>
    <w:rsid w:val="00FC4780"/>
    <w:rsid w:val="00FC4901"/>
    <w:rsid w:val="00FC4EC0"/>
    <w:rsid w:val="00FC5167"/>
    <w:rsid w:val="00FC5900"/>
    <w:rsid w:val="00FC643F"/>
    <w:rsid w:val="00FC6D5C"/>
    <w:rsid w:val="00FC7F41"/>
    <w:rsid w:val="00FD0A67"/>
    <w:rsid w:val="00FD107A"/>
    <w:rsid w:val="00FD13E0"/>
    <w:rsid w:val="00FD1543"/>
    <w:rsid w:val="00FD168F"/>
    <w:rsid w:val="00FD1E93"/>
    <w:rsid w:val="00FD24D3"/>
    <w:rsid w:val="00FD27D7"/>
    <w:rsid w:val="00FD29E6"/>
    <w:rsid w:val="00FD307D"/>
    <w:rsid w:val="00FD4847"/>
    <w:rsid w:val="00FD4932"/>
    <w:rsid w:val="00FD51A5"/>
    <w:rsid w:val="00FD5511"/>
    <w:rsid w:val="00FD5D93"/>
    <w:rsid w:val="00FD6416"/>
    <w:rsid w:val="00FD6769"/>
    <w:rsid w:val="00FD6B56"/>
    <w:rsid w:val="00FD6EBD"/>
    <w:rsid w:val="00FD73D2"/>
    <w:rsid w:val="00FD7D07"/>
    <w:rsid w:val="00FD7E71"/>
    <w:rsid w:val="00FD7FE6"/>
    <w:rsid w:val="00FE07A9"/>
    <w:rsid w:val="00FE0E00"/>
    <w:rsid w:val="00FE1312"/>
    <w:rsid w:val="00FE14A1"/>
    <w:rsid w:val="00FE2073"/>
    <w:rsid w:val="00FE2082"/>
    <w:rsid w:val="00FE22DE"/>
    <w:rsid w:val="00FE259B"/>
    <w:rsid w:val="00FE29FA"/>
    <w:rsid w:val="00FE2D8B"/>
    <w:rsid w:val="00FE3706"/>
    <w:rsid w:val="00FE3C2F"/>
    <w:rsid w:val="00FE5997"/>
    <w:rsid w:val="00FE5B8F"/>
    <w:rsid w:val="00FE5C07"/>
    <w:rsid w:val="00FE6DE4"/>
    <w:rsid w:val="00FE7071"/>
    <w:rsid w:val="00FE78E6"/>
    <w:rsid w:val="00FE78F5"/>
    <w:rsid w:val="00FF037F"/>
    <w:rsid w:val="00FF0B48"/>
    <w:rsid w:val="00FF0D32"/>
    <w:rsid w:val="00FF0DDA"/>
    <w:rsid w:val="00FF1011"/>
    <w:rsid w:val="00FF1809"/>
    <w:rsid w:val="00FF206F"/>
    <w:rsid w:val="00FF208E"/>
    <w:rsid w:val="00FF28A8"/>
    <w:rsid w:val="00FF2FFB"/>
    <w:rsid w:val="00FF31C0"/>
    <w:rsid w:val="00FF479C"/>
    <w:rsid w:val="00FF4D9A"/>
    <w:rsid w:val="00FF508D"/>
    <w:rsid w:val="00FF596E"/>
    <w:rsid w:val="00FF59FB"/>
    <w:rsid w:val="00FF640A"/>
    <w:rsid w:val="00FF65B7"/>
    <w:rsid w:val="00FF692F"/>
    <w:rsid w:val="00FF6A10"/>
    <w:rsid w:val="00FF6F11"/>
    <w:rsid w:val="00FF7E56"/>
    <w:rsid w:val="02E22BD9"/>
    <w:rsid w:val="032E08E9"/>
    <w:rsid w:val="038C528A"/>
    <w:rsid w:val="04FD2CDF"/>
    <w:rsid w:val="050A348A"/>
    <w:rsid w:val="05E35F2F"/>
    <w:rsid w:val="064E6B94"/>
    <w:rsid w:val="06907485"/>
    <w:rsid w:val="071955F8"/>
    <w:rsid w:val="08134EDF"/>
    <w:rsid w:val="08390BF0"/>
    <w:rsid w:val="08B538FE"/>
    <w:rsid w:val="08CF4CCD"/>
    <w:rsid w:val="0AD57B4F"/>
    <w:rsid w:val="0C054E20"/>
    <w:rsid w:val="0C871F62"/>
    <w:rsid w:val="0E6610A4"/>
    <w:rsid w:val="0EC63C35"/>
    <w:rsid w:val="0FE42618"/>
    <w:rsid w:val="105451C3"/>
    <w:rsid w:val="109063AD"/>
    <w:rsid w:val="11DB5000"/>
    <w:rsid w:val="13421BA7"/>
    <w:rsid w:val="14D723F0"/>
    <w:rsid w:val="16F6759F"/>
    <w:rsid w:val="1720704D"/>
    <w:rsid w:val="17C86E80"/>
    <w:rsid w:val="1A2975AE"/>
    <w:rsid w:val="1A842EDB"/>
    <w:rsid w:val="1A8C34BB"/>
    <w:rsid w:val="1BF555BE"/>
    <w:rsid w:val="1C1459F5"/>
    <w:rsid w:val="1C845DE9"/>
    <w:rsid w:val="1C9177E1"/>
    <w:rsid w:val="1D555BD9"/>
    <w:rsid w:val="1D8300E0"/>
    <w:rsid w:val="1E4C1BAF"/>
    <w:rsid w:val="1FF72ADC"/>
    <w:rsid w:val="226B52E1"/>
    <w:rsid w:val="22883514"/>
    <w:rsid w:val="24313133"/>
    <w:rsid w:val="24644CFB"/>
    <w:rsid w:val="263330C2"/>
    <w:rsid w:val="2668285B"/>
    <w:rsid w:val="26C277B1"/>
    <w:rsid w:val="26FA5290"/>
    <w:rsid w:val="28A65E16"/>
    <w:rsid w:val="28CD2364"/>
    <w:rsid w:val="29162F0E"/>
    <w:rsid w:val="2A163162"/>
    <w:rsid w:val="2AC217B9"/>
    <w:rsid w:val="2B703D5F"/>
    <w:rsid w:val="2B957229"/>
    <w:rsid w:val="2C0E6C54"/>
    <w:rsid w:val="2C6B7986"/>
    <w:rsid w:val="30065FCD"/>
    <w:rsid w:val="30273F5C"/>
    <w:rsid w:val="32861303"/>
    <w:rsid w:val="343423B2"/>
    <w:rsid w:val="36306D3E"/>
    <w:rsid w:val="369840B1"/>
    <w:rsid w:val="373B2ED7"/>
    <w:rsid w:val="3796283F"/>
    <w:rsid w:val="380E2B9C"/>
    <w:rsid w:val="39B6253C"/>
    <w:rsid w:val="39EF31CA"/>
    <w:rsid w:val="3AC3201E"/>
    <w:rsid w:val="3B1342BC"/>
    <w:rsid w:val="3B3216C6"/>
    <w:rsid w:val="3BC52477"/>
    <w:rsid w:val="3D827F42"/>
    <w:rsid w:val="3DD121E9"/>
    <w:rsid w:val="3F47449A"/>
    <w:rsid w:val="414330F5"/>
    <w:rsid w:val="4170695B"/>
    <w:rsid w:val="4281608C"/>
    <w:rsid w:val="429521AD"/>
    <w:rsid w:val="42A322CE"/>
    <w:rsid w:val="43446B3C"/>
    <w:rsid w:val="438E73C4"/>
    <w:rsid w:val="43BA1188"/>
    <w:rsid w:val="44493763"/>
    <w:rsid w:val="452A5FF8"/>
    <w:rsid w:val="458F0804"/>
    <w:rsid w:val="45B123C5"/>
    <w:rsid w:val="4685349C"/>
    <w:rsid w:val="474F3876"/>
    <w:rsid w:val="47683A3F"/>
    <w:rsid w:val="486F057A"/>
    <w:rsid w:val="4A6B220E"/>
    <w:rsid w:val="4A7B45AC"/>
    <w:rsid w:val="4BDC548D"/>
    <w:rsid w:val="4C933740"/>
    <w:rsid w:val="4DB72011"/>
    <w:rsid w:val="4F762ECA"/>
    <w:rsid w:val="504769C0"/>
    <w:rsid w:val="506735F6"/>
    <w:rsid w:val="522F59CF"/>
    <w:rsid w:val="527B7ACD"/>
    <w:rsid w:val="529C2CA3"/>
    <w:rsid w:val="52A52354"/>
    <w:rsid w:val="52B23727"/>
    <w:rsid w:val="52DA3CE1"/>
    <w:rsid w:val="52F86A6B"/>
    <w:rsid w:val="53370965"/>
    <w:rsid w:val="5399776E"/>
    <w:rsid w:val="54E51B6C"/>
    <w:rsid w:val="54FE51EA"/>
    <w:rsid w:val="55582A45"/>
    <w:rsid w:val="566145D3"/>
    <w:rsid w:val="567F4166"/>
    <w:rsid w:val="580840DE"/>
    <w:rsid w:val="5E7827B3"/>
    <w:rsid w:val="5E996125"/>
    <w:rsid w:val="60F81725"/>
    <w:rsid w:val="61CC3158"/>
    <w:rsid w:val="62340259"/>
    <w:rsid w:val="63FB4D62"/>
    <w:rsid w:val="6499339D"/>
    <w:rsid w:val="64AC07ED"/>
    <w:rsid w:val="64CE09CC"/>
    <w:rsid w:val="65380484"/>
    <w:rsid w:val="657B2EF1"/>
    <w:rsid w:val="66164696"/>
    <w:rsid w:val="6A2A432F"/>
    <w:rsid w:val="6AEA6CFE"/>
    <w:rsid w:val="6CEA23B7"/>
    <w:rsid w:val="6CEC235A"/>
    <w:rsid w:val="6D3F1849"/>
    <w:rsid w:val="6E476343"/>
    <w:rsid w:val="6E6A7B58"/>
    <w:rsid w:val="6EB95133"/>
    <w:rsid w:val="719A7FE7"/>
    <w:rsid w:val="740D01EE"/>
    <w:rsid w:val="746342E1"/>
    <w:rsid w:val="74865AB0"/>
    <w:rsid w:val="74BA0338"/>
    <w:rsid w:val="74FD7DAA"/>
    <w:rsid w:val="763F1AE8"/>
    <w:rsid w:val="76F14965"/>
    <w:rsid w:val="77941552"/>
    <w:rsid w:val="7A4F6AB0"/>
    <w:rsid w:val="7B5974C6"/>
    <w:rsid w:val="7D0B4698"/>
    <w:rsid w:val="7D741786"/>
    <w:rsid w:val="7D787B88"/>
    <w:rsid w:val="7D8E7F71"/>
    <w:rsid w:val="7DE91C1A"/>
    <w:rsid w:val="7F0B7480"/>
    <w:rsid w:val="7FFE2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8"/>
    <w:qFormat/>
    <w:uiPriority w:val="0"/>
    <w:pPr>
      <w:keepNext/>
      <w:keepLines/>
      <w:adjustRightInd w:val="0"/>
      <w:spacing w:before="340" w:after="330" w:line="578" w:lineRule="atLeast"/>
      <w:ind w:firstLine="288"/>
      <w:jc w:val="left"/>
      <w:textAlignment w:val="baseline"/>
      <w:outlineLvl w:val="0"/>
    </w:pPr>
    <w:rPr>
      <w:b/>
      <w:bCs/>
      <w:kern w:val="44"/>
      <w:sz w:val="44"/>
      <w:szCs w:val="44"/>
    </w:rPr>
  </w:style>
  <w:style w:type="paragraph" w:styleId="4">
    <w:name w:val="heading 2"/>
    <w:basedOn w:val="1"/>
    <w:next w:val="1"/>
    <w:link w:val="76"/>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5">
    <w:name w:val="heading 3"/>
    <w:basedOn w:val="1"/>
    <w:next w:val="1"/>
    <w:qFormat/>
    <w:uiPriority w:val="0"/>
    <w:pPr>
      <w:keepNext/>
      <w:keepLines/>
      <w:numPr>
        <w:ilvl w:val="2"/>
        <w:numId w:val="1"/>
      </w:numPr>
      <w:adjustRightInd w:val="0"/>
      <w:spacing w:before="260" w:after="260" w:line="416" w:lineRule="atLeast"/>
      <w:ind w:left="0"/>
      <w:jc w:val="left"/>
      <w:textAlignment w:val="baseline"/>
      <w:outlineLvl w:val="2"/>
    </w:pPr>
    <w:rPr>
      <w:b/>
      <w:bCs/>
      <w:kern w:val="0"/>
      <w:sz w:val="32"/>
      <w:szCs w:val="32"/>
    </w:rPr>
  </w:style>
  <w:style w:type="paragraph" w:styleId="6">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7">
    <w:name w:val="heading 5"/>
    <w:basedOn w:val="1"/>
    <w:next w:val="1"/>
    <w:qFormat/>
    <w:uiPriority w:val="0"/>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qFormat/>
    <w:uiPriority w:val="0"/>
    <w:pPr>
      <w:keepNext/>
      <w:keepLines/>
      <w:numPr>
        <w:ilvl w:val="6"/>
        <w:numId w:val="1"/>
      </w:numPr>
      <w:adjustRightInd w:val="0"/>
      <w:spacing w:before="240" w:after="64" w:line="320" w:lineRule="atLeast"/>
      <w:jc w:val="left"/>
      <w:textAlignment w:val="baseline"/>
      <w:outlineLvl w:val="6"/>
    </w:pPr>
    <w:rPr>
      <w:b/>
      <w:bCs/>
      <w:kern w:val="0"/>
      <w:sz w:val="24"/>
    </w:rPr>
  </w:style>
  <w:style w:type="paragraph" w:styleId="10">
    <w:name w:val="heading 8"/>
    <w:basedOn w:val="1"/>
    <w:next w:val="1"/>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List"/>
    <w:basedOn w:val="1"/>
    <w:qFormat/>
    <w:uiPriority w:val="0"/>
    <w:pPr>
      <w:ind w:left="200" w:hanging="200" w:hangingChars="200"/>
    </w:pPr>
    <w:rPr>
      <w:szCs w:val="20"/>
    </w:rPr>
  </w:style>
  <w:style w:type="paragraph" w:styleId="12">
    <w:name w:val="List 3"/>
    <w:basedOn w:val="1"/>
    <w:qFormat/>
    <w:uiPriority w:val="0"/>
    <w:pPr>
      <w:ind w:left="100" w:leftChars="400" w:hanging="200" w:hangingChars="200"/>
    </w:pPr>
  </w:style>
  <w:style w:type="paragraph" w:styleId="13">
    <w:name w:val="Normal Indent"/>
    <w:basedOn w:val="1"/>
    <w:next w:val="1"/>
    <w:qFormat/>
    <w:uiPriority w:val="0"/>
    <w:pPr>
      <w:widowControl/>
      <w:ind w:firstLine="420"/>
      <w:jc w:val="left"/>
    </w:pPr>
    <w:rPr>
      <w:kern w:val="0"/>
      <w:sz w:val="20"/>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semiHidden/>
    <w:qFormat/>
    <w:uiPriority w:val="0"/>
    <w:pPr>
      <w:shd w:val="clear" w:color="auto" w:fill="000080"/>
    </w:pPr>
  </w:style>
  <w:style w:type="paragraph" w:styleId="16">
    <w:name w:val="annotation text"/>
    <w:basedOn w:val="1"/>
    <w:link w:val="48"/>
    <w:semiHidden/>
    <w:qFormat/>
    <w:uiPriority w:val="0"/>
    <w:pPr>
      <w:jc w:val="left"/>
    </w:pPr>
  </w:style>
  <w:style w:type="paragraph" w:styleId="17">
    <w:name w:val="Body Text 3"/>
    <w:basedOn w:val="1"/>
    <w:qFormat/>
    <w:uiPriority w:val="0"/>
    <w:pPr>
      <w:spacing w:after="120"/>
    </w:pPr>
    <w:rPr>
      <w:sz w:val="16"/>
      <w:szCs w:val="16"/>
    </w:rPr>
  </w:style>
  <w:style w:type="paragraph" w:styleId="18">
    <w:name w:val="Body Text"/>
    <w:basedOn w:val="1"/>
    <w:next w:val="1"/>
    <w:link w:val="50"/>
    <w:qFormat/>
    <w:uiPriority w:val="0"/>
    <w:pPr>
      <w:spacing w:after="120"/>
    </w:pPr>
  </w:style>
  <w:style w:type="paragraph" w:styleId="19">
    <w:name w:val="Body Text Indent"/>
    <w:basedOn w:val="1"/>
    <w:link w:val="51"/>
    <w:qFormat/>
    <w:uiPriority w:val="0"/>
    <w:pPr>
      <w:spacing w:line="500" w:lineRule="exact"/>
      <w:ind w:left="1588" w:leftChars="832" w:firstLine="433" w:firstLineChars="196"/>
    </w:pPr>
    <w:rPr>
      <w:sz w:val="24"/>
    </w:rPr>
  </w:style>
  <w:style w:type="paragraph" w:styleId="20">
    <w:name w:val="List 2"/>
    <w:basedOn w:val="1"/>
    <w:qFormat/>
    <w:uiPriority w:val="0"/>
    <w:pPr>
      <w:ind w:left="100" w:leftChars="200" w:hanging="200" w:hangingChars="200"/>
    </w:pPr>
  </w:style>
  <w:style w:type="paragraph" w:styleId="21">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22">
    <w:name w:val="Plain Text"/>
    <w:basedOn w:val="1"/>
    <w:link w:val="53"/>
    <w:qFormat/>
    <w:uiPriority w:val="0"/>
    <w:rPr>
      <w:rFonts w:ascii="宋体" w:hAnsi="Courier New"/>
      <w:szCs w:val="21"/>
    </w:rPr>
  </w:style>
  <w:style w:type="paragraph" w:styleId="23">
    <w:name w:val="Date"/>
    <w:basedOn w:val="1"/>
    <w:next w:val="1"/>
    <w:link w:val="49"/>
    <w:qFormat/>
    <w:uiPriority w:val="0"/>
    <w:pPr>
      <w:ind w:left="100" w:leftChars="2500"/>
    </w:pPr>
  </w:style>
  <w:style w:type="paragraph" w:styleId="24">
    <w:name w:val="Body Text Indent 2"/>
    <w:basedOn w:val="1"/>
    <w:qFormat/>
    <w:uiPriority w:val="0"/>
    <w:pPr>
      <w:spacing w:after="120" w:line="480" w:lineRule="auto"/>
      <w:ind w:left="420" w:leftChars="200"/>
    </w:pPr>
  </w:style>
  <w:style w:type="paragraph" w:styleId="25">
    <w:name w:val="Balloon Text"/>
    <w:basedOn w:val="1"/>
    <w:semiHidden/>
    <w:qFormat/>
    <w:uiPriority w:val="0"/>
    <w:rPr>
      <w:sz w:val="18"/>
      <w:szCs w:val="18"/>
    </w:rPr>
  </w:style>
  <w:style w:type="paragraph" w:styleId="26">
    <w:name w:val="footer"/>
    <w:basedOn w:val="1"/>
    <w:next w:val="1"/>
    <w:link w:val="55"/>
    <w:qFormat/>
    <w:uiPriority w:val="0"/>
    <w:pPr>
      <w:tabs>
        <w:tab w:val="center" w:pos="4153"/>
        <w:tab w:val="right" w:pos="8306"/>
      </w:tabs>
      <w:snapToGrid w:val="0"/>
      <w:jc w:val="left"/>
    </w:pPr>
    <w:rPr>
      <w:sz w:val="18"/>
      <w:szCs w:val="18"/>
    </w:rPr>
  </w:style>
  <w:style w:type="paragraph" w:styleId="27">
    <w:name w:val="header"/>
    <w:basedOn w:val="1"/>
    <w:link w:val="74"/>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toc 4"/>
    <w:basedOn w:val="1"/>
    <w:next w:val="1"/>
    <w:qFormat/>
    <w:uiPriority w:val="0"/>
    <w:pPr>
      <w:ind w:left="1260" w:leftChars="600"/>
    </w:pPr>
  </w:style>
  <w:style w:type="paragraph" w:styleId="30">
    <w:name w:val="footnote text"/>
    <w:basedOn w:val="1"/>
    <w:qFormat/>
    <w:uiPriority w:val="0"/>
    <w:pPr>
      <w:snapToGrid w:val="0"/>
      <w:jc w:val="left"/>
    </w:pPr>
    <w:rPr>
      <w:sz w:val="18"/>
    </w:rPr>
  </w:style>
  <w:style w:type="paragraph" w:styleId="31">
    <w:name w:val="Body Text Indent 3"/>
    <w:basedOn w:val="1"/>
    <w:qFormat/>
    <w:uiPriority w:val="0"/>
    <w:pPr>
      <w:tabs>
        <w:tab w:val="left" w:pos="1134"/>
        <w:tab w:val="left" w:pos="5481"/>
        <w:tab w:val="left" w:pos="5859"/>
      </w:tabs>
      <w:spacing w:line="500" w:lineRule="exact"/>
      <w:ind w:firstLine="8275" w:firstLineChars="1200"/>
    </w:pPr>
    <w:rPr>
      <w:rFonts w:eastAsia="黑体"/>
      <w:b/>
      <w:bCs/>
      <w:sz w:val="72"/>
    </w:rPr>
  </w:style>
  <w:style w:type="paragraph" w:styleId="32">
    <w:name w:val="toc 2"/>
    <w:basedOn w:val="1"/>
    <w:next w:val="1"/>
    <w:unhideWhenUsed/>
    <w:qFormat/>
    <w:uiPriority w:val="39"/>
    <w:pPr>
      <w:widowControl/>
      <w:spacing w:after="100" w:line="276" w:lineRule="auto"/>
      <w:ind w:left="220"/>
      <w:jc w:val="left"/>
    </w:pPr>
    <w:rPr>
      <w:rFonts w:ascii="Calibri" w:hAnsi="Calibri"/>
      <w:kern w:val="0"/>
      <w:sz w:val="22"/>
      <w:szCs w:val="22"/>
    </w:rPr>
  </w:style>
  <w:style w:type="paragraph" w:styleId="33">
    <w:name w:val="Normal (Web)"/>
    <w:basedOn w:val="1"/>
    <w:qFormat/>
    <w:uiPriority w:val="0"/>
    <w:rPr>
      <w:sz w:val="24"/>
    </w:rPr>
  </w:style>
  <w:style w:type="paragraph" w:styleId="34">
    <w:name w:val="annotation subject"/>
    <w:basedOn w:val="16"/>
    <w:next w:val="16"/>
    <w:semiHidden/>
    <w:qFormat/>
    <w:uiPriority w:val="0"/>
    <w:rPr>
      <w:b/>
      <w:bCs/>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0"/>
    <w:rPr>
      <w:b/>
      <w:bCs/>
    </w:rPr>
  </w:style>
  <w:style w:type="character" w:styleId="39">
    <w:name w:val="page number"/>
    <w:basedOn w:val="37"/>
    <w:qFormat/>
    <w:uiPriority w:val="0"/>
  </w:style>
  <w:style w:type="character" w:styleId="40">
    <w:name w:val="FollowedHyperlink"/>
    <w:qFormat/>
    <w:uiPriority w:val="0"/>
    <w:rPr>
      <w:color w:val="800080"/>
      <w:u w:val="single"/>
    </w:rPr>
  </w:style>
  <w:style w:type="character" w:styleId="41">
    <w:name w:val="Hyperlink"/>
    <w:qFormat/>
    <w:uiPriority w:val="99"/>
    <w:rPr>
      <w:color w:val="0000FF"/>
      <w:u w:val="single"/>
    </w:rPr>
  </w:style>
  <w:style w:type="character" w:styleId="42">
    <w:name w:val="annotation reference"/>
    <w:semiHidden/>
    <w:qFormat/>
    <w:uiPriority w:val="0"/>
    <w:rPr>
      <w:sz w:val="21"/>
      <w:szCs w:val="21"/>
    </w:rPr>
  </w:style>
  <w:style w:type="paragraph" w:customStyle="1" w:styleId="43">
    <w:name w:val="标题 5（有编号）（绿盟科技）"/>
    <w:basedOn w:val="1"/>
    <w:next w:val="44"/>
    <w:qFormat/>
    <w:uiPriority w:val="0"/>
    <w:pPr>
      <w:keepNext/>
      <w:keepLines/>
      <w:numPr>
        <w:ilvl w:val="4"/>
        <w:numId w:val="2"/>
      </w:numPr>
      <w:spacing w:before="280" w:after="156" w:line="377" w:lineRule="auto"/>
      <w:jc w:val="left"/>
      <w:outlineLvl w:val="4"/>
    </w:pPr>
    <w:rPr>
      <w:rFonts w:ascii="Arial" w:hAnsi="Arial" w:eastAsia="黑体"/>
      <w:sz w:val="24"/>
      <w:szCs w:val="28"/>
    </w:rPr>
  </w:style>
  <w:style w:type="paragraph" w:customStyle="1" w:styleId="4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45">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样式 首行缩进:  2 字符1"/>
    <w:basedOn w:val="1"/>
    <w:qFormat/>
    <w:uiPriority w:val="0"/>
    <w:pPr>
      <w:adjustRightInd w:val="0"/>
      <w:snapToGrid w:val="0"/>
      <w:spacing w:line="360" w:lineRule="auto"/>
      <w:ind w:firstLine="480" w:firstLineChars="200"/>
    </w:pPr>
    <w:rPr>
      <w:rFonts w:cs="宋体"/>
      <w:sz w:val="24"/>
    </w:rPr>
  </w:style>
  <w:style w:type="character" w:customStyle="1" w:styleId="47">
    <w:name w:val="font21"/>
    <w:basedOn w:val="37"/>
    <w:qFormat/>
    <w:uiPriority w:val="0"/>
    <w:rPr>
      <w:rFonts w:hint="eastAsia" w:ascii="宋体" w:hAnsi="宋体" w:eastAsia="宋体" w:cs="宋体"/>
      <w:color w:val="000000"/>
      <w:sz w:val="21"/>
      <w:szCs w:val="21"/>
      <w:u w:val="none"/>
    </w:rPr>
  </w:style>
  <w:style w:type="character" w:customStyle="1" w:styleId="48">
    <w:name w:val="批注文字 字符"/>
    <w:link w:val="16"/>
    <w:qFormat/>
    <w:uiPriority w:val="0"/>
    <w:rPr>
      <w:rFonts w:eastAsia="宋体"/>
      <w:kern w:val="2"/>
      <w:sz w:val="21"/>
      <w:szCs w:val="24"/>
      <w:lang w:val="en-US" w:eastAsia="zh-CN" w:bidi="ar-SA"/>
    </w:rPr>
  </w:style>
  <w:style w:type="character" w:customStyle="1" w:styleId="49">
    <w:name w:val="日期 字符"/>
    <w:link w:val="23"/>
    <w:qFormat/>
    <w:uiPriority w:val="0"/>
    <w:rPr>
      <w:kern w:val="2"/>
      <w:sz w:val="21"/>
      <w:szCs w:val="24"/>
    </w:rPr>
  </w:style>
  <w:style w:type="character" w:customStyle="1" w:styleId="50">
    <w:name w:val="正文文本 字符"/>
    <w:link w:val="18"/>
    <w:qFormat/>
    <w:uiPriority w:val="0"/>
    <w:rPr>
      <w:rFonts w:eastAsia="宋体"/>
      <w:kern w:val="2"/>
      <w:sz w:val="21"/>
      <w:szCs w:val="24"/>
      <w:lang w:val="en-US" w:eastAsia="zh-CN" w:bidi="ar-SA"/>
    </w:rPr>
  </w:style>
  <w:style w:type="character" w:customStyle="1" w:styleId="51">
    <w:name w:val="正文文本缩进 字符"/>
    <w:link w:val="19"/>
    <w:qFormat/>
    <w:uiPriority w:val="0"/>
    <w:rPr>
      <w:rFonts w:eastAsia="宋体"/>
      <w:kern w:val="2"/>
      <w:sz w:val="24"/>
      <w:szCs w:val="24"/>
      <w:lang w:val="en-US" w:eastAsia="zh-CN" w:bidi="ar-SA"/>
    </w:rPr>
  </w:style>
  <w:style w:type="character" w:customStyle="1" w:styleId="52">
    <w:name w:val="Char Char6"/>
    <w:qFormat/>
    <w:uiPriority w:val="0"/>
    <w:rPr>
      <w:rFonts w:eastAsia="宋体"/>
      <w:kern w:val="2"/>
      <w:sz w:val="21"/>
      <w:szCs w:val="24"/>
      <w:lang w:val="en-US" w:eastAsia="zh-CN" w:bidi="ar-SA"/>
    </w:rPr>
  </w:style>
  <w:style w:type="character" w:customStyle="1" w:styleId="53">
    <w:name w:val="纯文本 字符"/>
    <w:link w:val="22"/>
    <w:qFormat/>
    <w:uiPriority w:val="0"/>
    <w:rPr>
      <w:rFonts w:ascii="宋体" w:hAnsi="Courier New" w:eastAsia="宋体"/>
      <w:kern w:val="2"/>
      <w:sz w:val="21"/>
      <w:szCs w:val="21"/>
      <w:lang w:val="en-US" w:eastAsia="zh-CN" w:bidi="ar-SA"/>
    </w:rPr>
  </w:style>
  <w:style w:type="character" w:customStyle="1" w:styleId="54">
    <w:name w:val="Char Char3"/>
    <w:qFormat/>
    <w:uiPriority w:val="0"/>
    <w:rPr>
      <w:rFonts w:eastAsia="宋体"/>
      <w:kern w:val="2"/>
      <w:sz w:val="21"/>
      <w:szCs w:val="24"/>
      <w:lang w:val="en-US" w:eastAsia="zh-CN" w:bidi="ar-SA"/>
    </w:rPr>
  </w:style>
  <w:style w:type="character" w:customStyle="1" w:styleId="55">
    <w:name w:val="页脚 字符"/>
    <w:link w:val="26"/>
    <w:qFormat/>
    <w:uiPriority w:val="99"/>
    <w:rPr>
      <w:kern w:val="2"/>
      <w:sz w:val="18"/>
      <w:szCs w:val="18"/>
    </w:rPr>
  </w:style>
  <w:style w:type="character" w:customStyle="1" w:styleId="56">
    <w:name w:val="标题 3 Char_0"/>
    <w:link w:val="57"/>
    <w:qFormat/>
    <w:uiPriority w:val="0"/>
    <w:rPr>
      <w:rFonts w:ascii="宋体" w:hAnsi="宋体"/>
      <w:b/>
      <w:kern w:val="2"/>
      <w:sz w:val="28"/>
      <w:szCs w:val="28"/>
      <w:lang w:val="en-US" w:eastAsia="zh-CN"/>
    </w:rPr>
  </w:style>
  <w:style w:type="paragraph" w:customStyle="1" w:styleId="57">
    <w:name w:val="标题 3_0"/>
    <w:basedOn w:val="58"/>
    <w:next w:val="58"/>
    <w:link w:val="56"/>
    <w:qFormat/>
    <w:uiPriority w:val="0"/>
    <w:pPr>
      <w:autoSpaceDE w:val="0"/>
      <w:autoSpaceDN w:val="0"/>
      <w:adjustRightInd w:val="0"/>
      <w:spacing w:line="500" w:lineRule="exact"/>
      <w:jc w:val="center"/>
      <w:outlineLvl w:val="2"/>
    </w:pPr>
    <w:rPr>
      <w:rFonts w:ascii="宋体" w:hAnsi="宋体"/>
      <w:b/>
      <w:szCs w:val="28"/>
    </w:rPr>
  </w:style>
  <w:style w:type="paragraph" w:customStyle="1" w:styleId="58">
    <w:name w:val="正文_0_0"/>
    <w:qFormat/>
    <w:uiPriority w:val="0"/>
    <w:pPr>
      <w:widowControl w:val="0"/>
      <w:jc w:val="both"/>
    </w:pPr>
    <w:rPr>
      <w:rFonts w:ascii="Times New Roman" w:hAnsi="Times New Roman" w:eastAsia="宋体" w:cs="Times New Roman"/>
      <w:kern w:val="2"/>
      <w:sz w:val="28"/>
      <w:szCs w:val="22"/>
      <w:lang w:val="en-US" w:eastAsia="zh-CN" w:bidi="ar-SA"/>
    </w:rPr>
  </w:style>
  <w:style w:type="character" w:customStyle="1" w:styleId="59">
    <w:name w:val="font01"/>
    <w:basedOn w:val="37"/>
    <w:qFormat/>
    <w:uiPriority w:val="0"/>
    <w:rPr>
      <w:rFonts w:hint="default" w:ascii="Times New Roman" w:hAnsi="Times New Roman" w:cs="Times New Roman"/>
      <w:color w:val="000000"/>
      <w:sz w:val="21"/>
      <w:szCs w:val="21"/>
      <w:u w:val="none"/>
    </w:rPr>
  </w:style>
  <w:style w:type="paragraph" w:customStyle="1" w:styleId="6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1">
    <w:name w:val="默认段落字体 Para Char Char Char Char Char Char Char Char Char Char Char Char Char Char Char Char"/>
    <w:basedOn w:val="1"/>
    <w:qFormat/>
    <w:uiPriority w:val="0"/>
    <w:rPr>
      <w:rFonts w:ascii="Tahoma" w:hAnsi="Tahoma"/>
      <w:sz w:val="24"/>
      <w:szCs w:val="20"/>
    </w:rPr>
  </w:style>
  <w:style w:type="paragraph" w:styleId="62">
    <w:name w:val="List Paragraph"/>
    <w:basedOn w:val="1"/>
    <w:qFormat/>
    <w:uiPriority w:val="34"/>
    <w:pPr>
      <w:ind w:firstLine="420" w:firstLineChars="200"/>
    </w:pPr>
    <w:rPr>
      <w:rFonts w:ascii="Calibri" w:hAnsi="Calibri"/>
      <w:szCs w:val="22"/>
    </w:rPr>
  </w:style>
  <w:style w:type="paragraph" w:customStyle="1" w:styleId="63">
    <w:name w:val="Char Char Char"/>
    <w:basedOn w:val="1"/>
    <w:qFormat/>
    <w:uiPriority w:val="0"/>
    <w:pPr>
      <w:widowControl/>
      <w:spacing w:after="160" w:line="240" w:lineRule="exact"/>
      <w:jc w:val="left"/>
    </w:pPr>
  </w:style>
  <w:style w:type="paragraph" w:customStyle="1" w:styleId="64">
    <w:name w:val="Char Char Char1 Char8"/>
    <w:basedOn w:val="1"/>
    <w:semiHidden/>
    <w:qFormat/>
    <w:uiPriority w:val="0"/>
    <w:pPr>
      <w:spacing w:line="360" w:lineRule="auto"/>
      <w:ind w:firstLine="200" w:firstLineChars="200"/>
    </w:pPr>
    <w:rPr>
      <w:rFonts w:ascii="宋体" w:hAnsi="宋体" w:cs="宋体"/>
      <w:sz w:val="24"/>
    </w:rPr>
  </w:style>
  <w:style w:type="paragraph" w:customStyle="1" w:styleId="65">
    <w:name w:val="Char Char Char Char Char Char"/>
    <w:basedOn w:val="15"/>
    <w:qFormat/>
    <w:uiPriority w:val="0"/>
    <w:rPr>
      <w:rFonts w:ascii="Tahoma" w:hAnsi="Tahoma"/>
      <w:sz w:val="24"/>
    </w:rPr>
  </w:style>
  <w:style w:type="paragraph" w:customStyle="1" w:styleId="66">
    <w:name w:val="样式 标题 4 + 段前: 5 磅 段后: 5 磅 行距: 单倍行距"/>
    <w:basedOn w:val="6"/>
    <w:qFormat/>
    <w:uiPriority w:val="0"/>
    <w:pPr>
      <w:spacing w:before="100" w:after="100" w:line="240" w:lineRule="auto"/>
    </w:pPr>
    <w:rPr>
      <w:rFonts w:cs="宋体"/>
      <w:szCs w:val="20"/>
    </w:rPr>
  </w:style>
  <w:style w:type="paragraph" w:customStyle="1" w:styleId="67">
    <w:name w:val="Char"/>
    <w:basedOn w:val="1"/>
    <w:qFormat/>
    <w:uiPriority w:val="0"/>
    <w:pPr>
      <w:tabs>
        <w:tab w:val="left" w:pos="360"/>
      </w:tabs>
      <w:spacing w:line="360" w:lineRule="auto"/>
      <w:ind w:firstLine="480" w:firstLineChars="200"/>
    </w:pPr>
    <w:rPr>
      <w:rFonts w:ascii="楷体_GB2312" w:eastAsia="楷体_GB2312"/>
      <w:sz w:val="24"/>
    </w:rPr>
  </w:style>
  <w:style w:type="paragraph" w:customStyle="1" w:styleId="68">
    <w:name w:val="样式 标题 2 + 宋体 五号 非加粗 黑色"/>
    <w:basedOn w:val="4"/>
    <w:qFormat/>
    <w:uiPriority w:val="0"/>
    <w:rPr>
      <w:rFonts w:ascii="宋体" w:hAnsi="宋体" w:eastAsia="宋体"/>
      <w:b w:val="0"/>
      <w:bCs w:val="0"/>
      <w:color w:val="000000"/>
      <w:sz w:val="21"/>
    </w:rPr>
  </w:style>
  <w:style w:type="paragraph" w:customStyle="1" w:styleId="69">
    <w:name w:val="附件正文"/>
    <w:basedOn w:val="1"/>
    <w:qFormat/>
    <w:uiPriority w:val="0"/>
    <w:pPr>
      <w:snapToGrid w:val="0"/>
      <w:spacing w:line="500" w:lineRule="exact"/>
      <w:ind w:firstLine="540" w:firstLineChars="225"/>
    </w:pPr>
    <w:rPr>
      <w:kern w:val="0"/>
      <w:sz w:val="24"/>
    </w:rPr>
  </w:style>
  <w:style w:type="paragraph" w:customStyle="1" w:styleId="70">
    <w:name w:val="Char1"/>
    <w:basedOn w:val="1"/>
    <w:qFormat/>
    <w:uiPriority w:val="0"/>
    <w:pPr>
      <w:tabs>
        <w:tab w:val="left" w:pos="432"/>
      </w:tabs>
      <w:spacing w:beforeLines="50" w:afterLines="50"/>
      <w:ind w:left="432" w:hanging="432"/>
    </w:pPr>
  </w:style>
  <w:style w:type="paragraph" w:customStyle="1" w:styleId="71">
    <w:name w:val="TOC 标题1"/>
    <w:basedOn w:val="3"/>
    <w:next w:val="1"/>
    <w:qFormat/>
    <w:uiPriority w:val="39"/>
    <w:pPr>
      <w:widowControl/>
      <w:adjustRightInd/>
      <w:spacing w:before="480" w:after="0" w:line="276" w:lineRule="auto"/>
      <w:ind w:firstLine="0"/>
      <w:textAlignment w:val="auto"/>
      <w:outlineLvl w:val="9"/>
    </w:pPr>
    <w:rPr>
      <w:rFonts w:ascii="Cambria" w:hAnsi="Cambria"/>
      <w:color w:val="365F91"/>
      <w:kern w:val="0"/>
      <w:sz w:val="28"/>
      <w:szCs w:val="28"/>
    </w:rPr>
  </w:style>
  <w:style w:type="paragraph" w:customStyle="1" w:styleId="72">
    <w:name w:val="样式1"/>
    <w:basedOn w:val="1"/>
    <w:qFormat/>
    <w:uiPriority w:val="0"/>
    <w:pPr>
      <w:numPr>
        <w:ilvl w:val="0"/>
        <w:numId w:val="1"/>
      </w:numPr>
      <w:tabs>
        <w:tab w:val="left" w:pos="1110"/>
      </w:tabs>
      <w:adjustRightInd w:val="0"/>
      <w:textAlignment w:val="baseline"/>
    </w:pPr>
    <w:rPr>
      <w:rFonts w:ascii="宋体" w:hAnsi="宋体"/>
      <w:kern w:val="0"/>
      <w:szCs w:val="21"/>
    </w:rPr>
  </w:style>
  <w:style w:type="paragraph" w:customStyle="1" w:styleId="73">
    <w:name w:val="Char Char2"/>
    <w:basedOn w:val="1"/>
    <w:qFormat/>
    <w:uiPriority w:val="0"/>
    <w:pPr>
      <w:widowControl/>
      <w:spacing w:after="160" w:line="240" w:lineRule="exact"/>
      <w:jc w:val="left"/>
    </w:pPr>
    <w:rPr>
      <w:rFonts w:ascii="Verdana" w:hAnsi="Verdana"/>
      <w:kern w:val="0"/>
      <w:sz w:val="20"/>
      <w:szCs w:val="20"/>
      <w:lang w:eastAsia="en-US"/>
    </w:rPr>
  </w:style>
  <w:style w:type="character" w:customStyle="1" w:styleId="74">
    <w:name w:val="页眉 字符"/>
    <w:link w:val="27"/>
    <w:qFormat/>
    <w:uiPriority w:val="0"/>
    <w:rPr>
      <w:kern w:val="2"/>
      <w:sz w:val="18"/>
      <w:szCs w:val="18"/>
    </w:rPr>
  </w:style>
  <w:style w:type="paragraph" w:customStyle="1" w:styleId="75">
    <w:name w:val="_Style 2"/>
    <w:basedOn w:val="3"/>
    <w:next w:val="1"/>
    <w:qFormat/>
    <w:uiPriority w:val="39"/>
    <w:pPr>
      <w:autoSpaceDE w:val="0"/>
      <w:autoSpaceDN w:val="0"/>
      <w:adjustRightInd/>
      <w:spacing w:before="480" w:after="0" w:line="276" w:lineRule="auto"/>
      <w:ind w:firstLine="0"/>
      <w:textAlignment w:val="auto"/>
      <w:outlineLvl w:val="9"/>
    </w:pPr>
    <w:rPr>
      <w:rFonts w:ascii="仿宋" w:hAnsi="仿宋" w:eastAsia="仿宋" w:cs="Noto Sans Mono CJK JP Regular"/>
      <w:b w:val="0"/>
      <w:bCs w:val="0"/>
      <w:color w:val="000000"/>
      <w:kern w:val="0"/>
      <w:sz w:val="32"/>
      <w:szCs w:val="32"/>
      <w:lang w:bidi="zh-CN"/>
    </w:rPr>
  </w:style>
  <w:style w:type="character" w:customStyle="1" w:styleId="76">
    <w:name w:val="标题 2 字符"/>
    <w:link w:val="4"/>
    <w:qFormat/>
    <w:uiPriority w:val="0"/>
    <w:rPr>
      <w:rFonts w:ascii="Arial" w:hAnsi="Arial" w:eastAsia="黑体" w:cs="Times New Roman"/>
      <w:b/>
      <w:bCs/>
      <w:sz w:val="32"/>
      <w:szCs w:val="32"/>
    </w:rPr>
  </w:style>
  <w:style w:type="paragraph" w:customStyle="1" w:styleId="77">
    <w:name w:val="msolistparagraph"/>
    <w:basedOn w:val="1"/>
    <w:qFormat/>
    <w:uiPriority w:val="0"/>
    <w:pPr>
      <w:ind w:firstLine="420" w:firstLineChars="200"/>
    </w:pPr>
    <w:rPr>
      <w:rFonts w:ascii="Calibri" w:hAnsi="Calibri" w:eastAsia="仿宋_GB2312"/>
      <w:sz w:val="28"/>
      <w:szCs w:val="30"/>
    </w:rPr>
  </w:style>
  <w:style w:type="character" w:customStyle="1" w:styleId="78">
    <w:name w:val="标题 1 字符"/>
    <w:basedOn w:val="37"/>
    <w:link w:val="3"/>
    <w:qFormat/>
    <w:uiPriority w:val="0"/>
    <w:rPr>
      <w:rFonts w:ascii="Times New Roman" w:hAnsi="Times New Roman" w:eastAsia="宋体" w:cs="Times New Roman"/>
      <w:b/>
      <w:bCs/>
      <w:kern w:val="44"/>
      <w:sz w:val="44"/>
      <w:szCs w:val="44"/>
    </w:rPr>
  </w:style>
  <w:style w:type="paragraph" w:customStyle="1" w:styleId="79">
    <w:name w:val="样式 标题 2 + Times New Roman 四号 非加粗 段前: 5 磅 段后: 0 磅 行距: 固定值 20..."/>
    <w:basedOn w:val="4"/>
    <w:qFormat/>
    <w:uiPriority w:val="0"/>
    <w:pPr>
      <w:widowControl/>
      <w:numPr>
        <w:ilvl w:val="0"/>
        <w:numId w:val="0"/>
      </w:numPr>
      <w:adjustRightInd/>
      <w:spacing w:before="100" w:after="0" w:line="400" w:lineRule="exact"/>
      <w:ind w:left="284"/>
      <w:textAlignment w:val="auto"/>
    </w:pPr>
    <w:rPr>
      <w:rFonts w:ascii="Times New Roman" w:hAnsi="Times New Roman" w:eastAsia="宋体" w:cs="宋体"/>
      <w:b w:val="0"/>
      <w:bCs w:val="0"/>
      <w:sz w:val="28"/>
      <w:szCs w:val="20"/>
    </w:rPr>
  </w:style>
  <w:style w:type="paragraph" w:customStyle="1" w:styleId="80">
    <w:name w:val="TOC 标题2"/>
    <w:basedOn w:val="3"/>
    <w:next w:val="1"/>
    <w:semiHidden/>
    <w:unhideWhenUsed/>
    <w:qFormat/>
    <w:uiPriority w:val="39"/>
    <w:pPr>
      <w:widowControl/>
      <w:adjustRightInd/>
      <w:spacing w:before="480" w:after="0" w:line="276" w:lineRule="auto"/>
      <w:ind w:firstLine="0"/>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81">
    <w:name w:val="font11"/>
    <w:basedOn w:val="37"/>
    <w:qFormat/>
    <w:uiPriority w:val="0"/>
    <w:rPr>
      <w:rFonts w:hint="eastAsia" w:ascii="宋体" w:hAnsi="宋体" w:eastAsia="宋体" w:cs="宋体"/>
      <w:color w:val="000000"/>
      <w:sz w:val="21"/>
      <w:szCs w:val="21"/>
      <w:u w:val="none"/>
    </w:rPr>
  </w:style>
  <w:style w:type="character" w:customStyle="1" w:styleId="82">
    <w:name w:val="font31"/>
    <w:basedOn w:val="37"/>
    <w:qFormat/>
    <w:uiPriority w:val="0"/>
    <w:rPr>
      <w:rFonts w:hint="eastAsia" w:ascii="宋体" w:hAnsi="宋体" w:eastAsia="宋体" w:cs="宋体"/>
      <w:b/>
      <w:color w:val="000000"/>
      <w:sz w:val="22"/>
      <w:szCs w:val="22"/>
      <w:u w:val="none"/>
    </w:rPr>
  </w:style>
  <w:style w:type="paragraph" w:customStyle="1" w:styleId="83">
    <w:name w:val="列出段落1"/>
    <w:basedOn w:val="1"/>
    <w:qFormat/>
    <w:uiPriority w:val="0"/>
    <w:pPr>
      <w:ind w:firstLine="420" w:firstLineChars="200"/>
    </w:pPr>
    <w:rPr>
      <w:rFonts w:ascii="Calibri" w:hAnsi="Calibri"/>
      <w:szCs w:val="22"/>
    </w:rPr>
  </w:style>
  <w:style w:type="paragraph" w:customStyle="1" w:styleId="84">
    <w:name w:val="WPSOffice手动目录 1"/>
    <w:qFormat/>
    <w:uiPriority w:val="0"/>
    <w:rPr>
      <w:rFonts w:ascii="Times New Roman" w:hAnsi="Times New Roman" w:eastAsia="宋体" w:cs="Times New Roman"/>
      <w:lang w:val="en-US" w:eastAsia="zh-CN" w:bidi="ar-SA"/>
    </w:rPr>
  </w:style>
  <w:style w:type="paragraph" w:customStyle="1" w:styleId="85">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86">
    <w:name w:val="索引 11"/>
    <w:basedOn w:val="1"/>
    <w:next w:val="1"/>
    <w:qFormat/>
    <w:uiPriority w:val="0"/>
    <w:pPr>
      <w:spacing w:line="360" w:lineRule="auto"/>
    </w:pPr>
    <w:rPr>
      <w:rFonts w:ascii="仿宋_GB2312" w:eastAsia="仿宋_GB2312"/>
      <w:sz w:val="24"/>
      <w:szCs w:val="20"/>
    </w:rPr>
  </w:style>
  <w:style w:type="paragraph" w:customStyle="1" w:styleId="87">
    <w:name w:val="纯文本1"/>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E462BA-25C1-4409-A57B-EB17925E4BC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56</Pages>
  <Words>4918</Words>
  <Characters>28038</Characters>
  <Lines>233</Lines>
  <Paragraphs>65</Paragraphs>
  <TotalTime>6</TotalTime>
  <ScaleCrop>false</ScaleCrop>
  <LinksUpToDate>false</LinksUpToDate>
  <CharactersWithSpaces>32891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2021-05-18T10:09:00Z</dcterms:created>
  <dc:creator>王峰</dc:creator>
  <cp:lastModifiedBy>姷妳眞恏</cp:lastModifiedBy>
  <cp:lastPrinted>2020-10-07T04:31:00Z</cp:lastPrinted>
  <dcterms:modified xsi:type="dcterms:W3CDTF">2021-10-27T11:45:34Z</dcterms:modified>
  <dc:title>滨州市政府采购</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3BAF22F54EB44E3289C8D569561D7B08</vt:lpwstr>
  </property>
  <property fmtid="{D5CDD505-2E9C-101B-9397-08002B2CF9AE}" pid="4" name="KSOSaveFontToCloudKey">
    <vt:lpwstr>574105674_cloud</vt:lpwstr>
  </property>
</Properties>
</file>