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wordWrap/>
        <w:bidi w:val="0"/>
        <w:spacing w:line="700" w:lineRule="exact"/>
        <w:rPr>
          <w:rFonts w:hint="eastAsia" w:ascii="宋体" w:hAnsi="宋体" w:eastAsia="宋体" w:cs="宋体"/>
          <w:b/>
          <w:bCs/>
          <w:sz w:val="52"/>
          <w:szCs w:val="52"/>
        </w:rPr>
      </w:pPr>
      <w:r>
        <w:rPr>
          <w:rFonts w:hint="eastAsia" w:ascii="宋体" w:hAnsi="宋体" w:eastAsia="宋体" w:cs="宋体"/>
          <w:b/>
          <w:sz w:val="28"/>
          <w:szCs w:val="28"/>
        </w:rPr>
        <w:t xml:space="preserve"> </w:t>
      </w:r>
    </w:p>
    <w:p>
      <w:pPr>
        <w:pageBreakBefore w:val="0"/>
        <w:wordWrap/>
        <w:bidi w:val="0"/>
        <w:spacing w:line="700" w:lineRule="exact"/>
        <w:jc w:val="center"/>
        <w:rPr>
          <w:rFonts w:hint="eastAsia" w:ascii="宋体" w:hAnsi="宋体" w:eastAsia="宋体" w:cs="宋体"/>
          <w:b/>
          <w:bCs/>
          <w:sz w:val="52"/>
          <w:szCs w:val="52"/>
        </w:rPr>
      </w:pPr>
      <w:r>
        <w:rPr>
          <w:rFonts w:hint="eastAsia" w:ascii="宋体" w:hAnsi="宋体" w:eastAsia="宋体" w:cs="宋体"/>
          <w:b/>
          <w:bCs/>
          <w:sz w:val="52"/>
          <w:szCs w:val="52"/>
          <w:lang w:eastAsia="zh-CN"/>
        </w:rPr>
        <w:t>《阿克苏国家骨干冷链物流基地申报书》编制项目</w:t>
      </w:r>
    </w:p>
    <w:p>
      <w:pPr>
        <w:pStyle w:val="2"/>
        <w:pageBreakBefore w:val="0"/>
        <w:wordWrap/>
        <w:bidi w:val="0"/>
        <w:spacing w:line="700" w:lineRule="exact"/>
        <w:jc w:val="center"/>
        <w:rPr>
          <w:rFonts w:hint="eastAsia" w:ascii="宋体" w:hAnsi="宋体" w:eastAsia="宋体" w:cs="宋体"/>
          <w:sz w:val="52"/>
          <w:szCs w:val="52"/>
        </w:rPr>
      </w:pPr>
    </w:p>
    <w:p>
      <w:pPr>
        <w:pStyle w:val="2"/>
        <w:pageBreakBefore w:val="0"/>
        <w:wordWrap/>
        <w:bidi w:val="0"/>
        <w:spacing w:line="700" w:lineRule="exact"/>
        <w:ind w:left="0" w:leftChars="0" w:firstLine="0" w:firstLineChars="0"/>
        <w:rPr>
          <w:rFonts w:hint="eastAsia" w:ascii="宋体" w:hAnsi="宋体" w:eastAsia="宋体" w:cs="宋体"/>
        </w:rPr>
      </w:pPr>
    </w:p>
    <w:p>
      <w:pPr>
        <w:pStyle w:val="2"/>
        <w:pageBreakBefore w:val="0"/>
        <w:wordWrap/>
        <w:bidi w:val="0"/>
        <w:spacing w:line="700" w:lineRule="exact"/>
        <w:ind w:left="0" w:leftChars="0" w:firstLine="0" w:firstLineChars="0"/>
        <w:rPr>
          <w:rFonts w:hint="eastAsia" w:ascii="宋体" w:hAnsi="宋体" w:eastAsia="宋体" w:cs="宋体"/>
        </w:rPr>
      </w:pPr>
    </w:p>
    <w:p>
      <w:pPr>
        <w:pageBreakBefore w:val="0"/>
        <w:wordWrap/>
        <w:bidi w:val="0"/>
        <w:spacing w:line="700" w:lineRule="exact"/>
        <w:rPr>
          <w:rFonts w:hint="eastAsia" w:ascii="宋体" w:hAnsi="宋体" w:eastAsia="宋体" w:cs="宋体"/>
          <w:b/>
          <w:bCs/>
          <w:sz w:val="28"/>
          <w:szCs w:val="28"/>
        </w:rPr>
      </w:pPr>
    </w:p>
    <w:p>
      <w:pPr>
        <w:pageBreakBefore w:val="0"/>
        <w:wordWrap/>
        <w:bidi w:val="0"/>
        <w:spacing w:line="700" w:lineRule="exact"/>
        <w:jc w:val="center"/>
        <w:rPr>
          <w:rFonts w:hint="eastAsia" w:ascii="宋体" w:hAnsi="宋体" w:eastAsia="宋体" w:cs="宋体"/>
        </w:rPr>
      </w:pPr>
      <w:r>
        <w:rPr>
          <w:rFonts w:hint="eastAsia" w:ascii="宋体" w:hAnsi="宋体" w:eastAsia="宋体" w:cs="宋体"/>
          <w:b/>
          <w:bCs/>
          <w:sz w:val="48"/>
          <w:szCs w:val="48"/>
        </w:rPr>
        <w:t>竞争性磋商文件</w:t>
      </w:r>
    </w:p>
    <w:p>
      <w:pPr>
        <w:pageBreakBefore w:val="0"/>
        <w:wordWrap/>
        <w:overflowPunct w:val="0"/>
        <w:bidi w:val="0"/>
        <w:spacing w:line="7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kern w:val="0"/>
          <w:sz w:val="28"/>
          <w:szCs w:val="28"/>
        </w:rPr>
        <w:t>磋商采购文件编号</w:t>
      </w:r>
      <w:r>
        <w:rPr>
          <w:rFonts w:hint="eastAsia" w:ascii="宋体" w:hAnsi="宋体" w:eastAsia="宋体" w:cs="宋体"/>
          <w:b/>
          <w:bCs/>
          <w:color w:val="auto"/>
          <w:w w:val="95"/>
          <w:sz w:val="28"/>
          <w:szCs w:val="28"/>
        </w:rPr>
        <w:t>：</w:t>
      </w:r>
      <w:r>
        <w:rPr>
          <w:rFonts w:hint="eastAsia" w:ascii="宋体" w:hAnsi="宋体" w:eastAsia="宋体" w:cs="宋体"/>
          <w:b/>
          <w:bCs/>
          <w:color w:val="auto"/>
          <w:w w:val="95"/>
          <w:sz w:val="28"/>
          <w:szCs w:val="28"/>
          <w:lang w:val="en-US" w:eastAsia="zh-CN"/>
        </w:rPr>
        <w:t>2021-53</w:t>
      </w:r>
      <w:r>
        <w:rPr>
          <w:rFonts w:hint="eastAsia" w:ascii="宋体" w:hAnsi="宋体" w:cs="宋体"/>
          <w:b/>
          <w:bCs/>
          <w:color w:val="auto"/>
          <w:w w:val="95"/>
          <w:sz w:val="28"/>
          <w:szCs w:val="28"/>
          <w:lang w:val="en-US" w:eastAsia="zh-CN"/>
        </w:rPr>
        <w:t>4</w:t>
      </w:r>
      <w:r>
        <w:rPr>
          <w:rFonts w:hint="eastAsia" w:ascii="宋体" w:hAnsi="宋体" w:eastAsia="宋体" w:cs="宋体"/>
          <w:b/>
          <w:bCs/>
          <w:color w:val="auto"/>
          <w:w w:val="95"/>
          <w:sz w:val="28"/>
          <w:szCs w:val="28"/>
          <w:lang w:val="en-US" w:eastAsia="zh-CN"/>
        </w:rPr>
        <w:t>号</w:t>
      </w:r>
    </w:p>
    <w:p>
      <w:pPr>
        <w:pageBreakBefore w:val="0"/>
        <w:wordWrap/>
        <w:overflowPunct w:val="0"/>
        <w:bidi w:val="0"/>
        <w:spacing w:line="700" w:lineRule="exact"/>
        <w:rPr>
          <w:rFonts w:hint="eastAsia" w:ascii="宋体" w:hAnsi="宋体" w:eastAsia="宋体" w:cs="宋体"/>
          <w:sz w:val="32"/>
          <w:szCs w:val="32"/>
        </w:rPr>
      </w:pPr>
    </w:p>
    <w:p>
      <w:pPr>
        <w:pStyle w:val="2"/>
        <w:pageBreakBefore w:val="0"/>
        <w:wordWrap/>
        <w:bidi w:val="0"/>
        <w:spacing w:line="700" w:lineRule="exact"/>
        <w:ind w:left="0" w:leftChars="0" w:firstLine="0" w:firstLineChars="0"/>
        <w:rPr>
          <w:rFonts w:hint="eastAsia" w:ascii="宋体" w:hAnsi="宋体" w:eastAsia="宋体" w:cs="宋体"/>
          <w:sz w:val="32"/>
          <w:szCs w:val="32"/>
        </w:rPr>
      </w:pPr>
    </w:p>
    <w:p>
      <w:pPr>
        <w:pageBreakBefore w:val="0"/>
        <w:wordWrap/>
        <w:bidi w:val="0"/>
        <w:spacing w:line="700" w:lineRule="exact"/>
        <w:rPr>
          <w:rFonts w:hint="eastAsia" w:ascii="宋体" w:hAnsi="宋体" w:eastAsia="宋体" w:cs="宋体"/>
          <w:sz w:val="32"/>
          <w:szCs w:val="32"/>
        </w:rPr>
      </w:pPr>
    </w:p>
    <w:p>
      <w:pPr>
        <w:pageBreakBefore w:val="0"/>
        <w:wordWrap/>
        <w:overflowPunct w:val="0"/>
        <w:bidi w:val="0"/>
        <w:spacing w:line="700" w:lineRule="exact"/>
        <w:rPr>
          <w:rFonts w:hint="eastAsia" w:ascii="宋体" w:hAnsi="宋体" w:eastAsia="宋体" w:cs="宋体"/>
          <w:sz w:val="32"/>
          <w:szCs w:val="32"/>
        </w:rPr>
      </w:pPr>
    </w:p>
    <w:p>
      <w:pPr>
        <w:pStyle w:val="2"/>
        <w:rPr>
          <w:rFonts w:hint="eastAsia"/>
        </w:rPr>
      </w:pP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采购人：</w:t>
      </w:r>
      <w:r>
        <w:rPr>
          <w:rFonts w:hint="eastAsia" w:ascii="宋体" w:hAnsi="宋体" w:eastAsia="宋体" w:cs="宋体"/>
          <w:b/>
          <w:sz w:val="32"/>
          <w:szCs w:val="32"/>
          <w:lang w:val="en-US" w:eastAsia="zh-CN"/>
        </w:rPr>
        <w:t>阿克苏商贸物流产业园管理委员会</w:t>
      </w: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采购代理机构：</w:t>
      </w:r>
      <w:r>
        <w:rPr>
          <w:rFonts w:hint="eastAsia" w:ascii="宋体" w:hAnsi="宋体" w:eastAsia="宋体" w:cs="宋体"/>
          <w:b/>
          <w:sz w:val="32"/>
          <w:szCs w:val="32"/>
          <w:lang w:val="en-US" w:eastAsia="zh-CN"/>
        </w:rPr>
        <w:t>新疆国际招标中心有限公司</w:t>
      </w: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pPr>
        <w:pStyle w:val="2"/>
        <w:pageBreakBefore w:val="0"/>
        <w:wordWrap/>
        <w:bidi w:val="0"/>
        <w:spacing w:line="700" w:lineRule="exact"/>
        <w:ind w:left="562" w:hanging="562"/>
        <w:jc w:val="center"/>
        <w:rPr>
          <w:rFonts w:hint="eastAsia" w:ascii="宋体" w:hAnsi="宋体" w:eastAsia="宋体" w:cs="宋体"/>
          <w:b/>
          <w:bCs/>
          <w:sz w:val="28"/>
          <w:szCs w:val="28"/>
        </w:rPr>
      </w:pPr>
    </w:p>
    <w:p>
      <w:pPr>
        <w:pStyle w:val="71"/>
        <w:pageBreakBefore w:val="0"/>
        <w:wordWrap/>
        <w:bidi w:val="0"/>
        <w:spacing w:line="700" w:lineRule="exact"/>
        <w:jc w:val="both"/>
        <w:rPr>
          <w:rFonts w:hint="eastAsia" w:ascii="宋体" w:hAnsi="宋体" w:eastAsia="宋体" w:cs="宋体"/>
          <w:lang w:val="zh-CN"/>
        </w:rPr>
        <w:sectPr>
          <w:headerReference r:id="rId3" w:type="default"/>
          <w:headerReference r:id="rId4" w:type="even"/>
          <w:footerReference r:id="rId5" w:type="even"/>
          <w:pgSz w:w="11906" w:h="16838"/>
          <w:pgMar w:top="1440" w:right="1800" w:bottom="1440" w:left="1800" w:header="851" w:footer="992" w:gutter="0"/>
          <w:pgNumType w:start="46"/>
          <w:cols w:space="720" w:num="1"/>
          <w:titlePg/>
          <w:docGrid w:type="lines" w:linePitch="312" w:charSpace="0"/>
        </w:sectPr>
      </w:pPr>
    </w:p>
    <w:sdt>
      <w:sdtPr>
        <w:rPr>
          <w:rFonts w:hint="eastAsia" w:ascii="宋体" w:hAnsi="宋体" w:eastAsia="宋体" w:cs="宋体"/>
        </w:rPr>
        <w:id w:val="147463647"/>
        <w15:color w:val="DBDBDB"/>
        <w:docPartObj>
          <w:docPartGallery w:val="Table of Contents"/>
          <w:docPartUnique/>
        </w:docPartObj>
      </w:sdtPr>
      <w:sdtEndPr>
        <w:rPr>
          <w:rFonts w:hint="eastAsia" w:ascii="宋体" w:hAnsi="宋体" w:eastAsia="宋体" w:cs="宋体"/>
          <w:bCs/>
          <w:szCs w:val="28"/>
          <w:lang w:val="zh-CN"/>
        </w:rPr>
      </w:sdtEndPr>
      <w:sdtContent>
        <w:p>
          <w:pPr>
            <w:pageBreakBefore w:val="0"/>
            <w:wordWrap/>
            <w:bidi w:val="0"/>
            <w:spacing w:line="700" w:lineRule="exact"/>
            <w:rPr>
              <w:rFonts w:hint="eastAsia" w:ascii="宋体" w:hAnsi="宋体" w:eastAsia="宋体" w:cs="宋体"/>
            </w:rPr>
          </w:pPr>
        </w:p>
        <w:p>
          <w:pPr>
            <w:pStyle w:val="43"/>
            <w:pageBreakBefore w:val="0"/>
            <w:numPr>
              <w:ilvl w:val="0"/>
              <w:numId w:val="0"/>
            </w:numPr>
            <w:wordWrap/>
            <w:bidi w:val="0"/>
            <w:spacing w:line="700" w:lineRule="exact"/>
            <w:rPr>
              <w:rFonts w:hint="eastAsia" w:ascii="宋体" w:hAnsi="宋体" w:eastAsia="宋体" w:cs="宋体"/>
            </w:rPr>
          </w:pPr>
          <w:r>
            <w:rPr>
              <w:rFonts w:hint="eastAsia" w:ascii="宋体" w:hAnsi="宋体" w:eastAsia="宋体" w:cs="宋体"/>
            </w:rPr>
            <w:br w:type="page"/>
          </w:r>
        </w:p>
        <w:p>
          <w:pPr>
            <w:pageBreakBefore w:val="0"/>
            <w:wordWrap/>
            <w:bidi w:val="0"/>
            <w:spacing w:line="700" w:lineRule="exact"/>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rPr>
            <w:t>目录</w:t>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b/>
              <w:bCs/>
              <w:sz w:val="28"/>
              <w:szCs w:val="28"/>
              <w:lang w:val="zh-CN"/>
            </w:rPr>
            <w:fldChar w:fldCharType="begin"/>
          </w:r>
          <w:r>
            <w:rPr>
              <w:rFonts w:hint="eastAsia" w:ascii="宋体" w:hAnsi="宋体" w:eastAsia="宋体" w:cs="宋体"/>
              <w:b/>
              <w:bCs/>
              <w:sz w:val="28"/>
              <w:szCs w:val="28"/>
              <w:lang w:val="zh-CN"/>
            </w:rPr>
            <w:instrText xml:space="preserve">TOC \o "1-1" \h \u </w:instrText>
          </w:r>
          <w:r>
            <w:rPr>
              <w:rFonts w:hint="eastAsia" w:ascii="宋体" w:hAnsi="宋体" w:eastAsia="宋体" w:cs="宋体"/>
              <w:b/>
              <w:bCs/>
              <w:sz w:val="28"/>
              <w:szCs w:val="28"/>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"_Toc15421" </w:instrText>
          </w:r>
          <w:r>
            <w:rPr>
              <w:rFonts w:hint="eastAsia" w:ascii="宋体" w:hAnsi="宋体" w:eastAsia="宋体" w:cs="宋体"/>
            </w:rPr>
            <w:fldChar w:fldCharType="separate"/>
          </w:r>
          <w:r>
            <w:rPr>
              <w:rFonts w:hint="eastAsia" w:ascii="宋体" w:hAnsi="宋体" w:eastAsia="宋体" w:cs="宋体"/>
              <w:bCs/>
              <w:szCs w:val="28"/>
            </w:rPr>
            <w:t>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"_Toc3728" </w:instrText>
          </w:r>
          <w:r>
            <w:rPr>
              <w:rFonts w:hint="eastAsia" w:ascii="宋体" w:hAnsi="宋体" w:eastAsia="宋体" w:cs="宋体"/>
            </w:rPr>
            <w:fldChar w:fldCharType="separate"/>
          </w:r>
          <w:r>
            <w:rPr>
              <w:rFonts w:hint="eastAsia" w:ascii="宋体" w:hAnsi="宋体" w:eastAsia="宋体" w:cs="宋体"/>
              <w:szCs w:val="24"/>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"_Toc18049" </w:instrText>
          </w:r>
          <w:r>
            <w:rPr>
              <w:rFonts w:hint="eastAsia" w:ascii="宋体" w:hAnsi="宋体" w:eastAsia="宋体" w:cs="宋体"/>
            </w:rPr>
            <w:fldChar w:fldCharType="separate"/>
          </w:r>
          <w:r>
            <w:rPr>
              <w:rFonts w:hint="eastAsia" w:ascii="宋体" w:hAnsi="宋体" w:eastAsia="宋体" w:cs="宋体"/>
              <w:szCs w:val="24"/>
            </w:rPr>
            <w:t> 二、申请人的资格要求：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_Toc18049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"_Toc25663" </w:instrText>
          </w:r>
          <w:r>
            <w:rPr>
              <w:rFonts w:hint="eastAsia" w:ascii="宋体" w:hAnsi="宋体" w:eastAsia="宋体" w:cs="宋体"/>
            </w:rPr>
            <w:fldChar w:fldCharType="separate"/>
          </w:r>
          <w:r>
            <w:rPr>
              <w:rFonts w:hint="eastAsia" w:ascii="宋体" w:hAnsi="宋体" w:eastAsia="宋体" w:cs="宋体"/>
              <w:szCs w:val="24"/>
            </w:rPr>
            <w:t>三、获取（下载）采购文件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"_Toc5264" </w:instrText>
          </w:r>
          <w:r>
            <w:rPr>
              <w:rFonts w:hint="eastAsia" w:ascii="宋体" w:hAnsi="宋体" w:eastAsia="宋体" w:cs="宋体"/>
            </w:rPr>
            <w:fldChar w:fldCharType="separate"/>
          </w:r>
          <w:r>
            <w:rPr>
              <w:rFonts w:hint="eastAsia" w:ascii="宋体" w:hAnsi="宋体" w:eastAsia="宋体" w:cs="宋体"/>
              <w:szCs w:val="24"/>
            </w:rPr>
            <w:t>四、响应文件提交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"_Toc32434" </w:instrText>
          </w:r>
          <w:r>
            <w:rPr>
              <w:rFonts w:hint="eastAsia" w:ascii="宋体" w:hAnsi="宋体" w:eastAsia="宋体" w:cs="宋体"/>
            </w:rPr>
            <w:fldChar w:fldCharType="separate"/>
          </w:r>
          <w:r>
            <w:rPr>
              <w:rFonts w:hint="eastAsia" w:ascii="宋体" w:hAnsi="宋体" w:eastAsia="宋体" w:cs="宋体"/>
              <w:szCs w:val="24"/>
            </w:rPr>
            <w:t>五、响应文件开启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"_Toc13366" </w:instrText>
          </w:r>
          <w:r>
            <w:rPr>
              <w:rFonts w:hint="eastAsia" w:ascii="宋体" w:hAnsi="宋体" w:eastAsia="宋体" w:cs="宋体"/>
            </w:rPr>
            <w:fldChar w:fldCharType="separate"/>
          </w:r>
          <w:r>
            <w:rPr>
              <w:rFonts w:hint="eastAsia" w:ascii="宋体" w:hAnsi="宋体" w:eastAsia="宋体" w:cs="宋体"/>
              <w:szCs w:val="24"/>
            </w:rPr>
            <w:t>六、 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_Toc13366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"_Toc18526" </w:instrText>
          </w:r>
          <w:r>
            <w:rPr>
              <w:rFonts w:hint="eastAsia" w:ascii="宋体" w:hAnsi="宋体" w:eastAsia="宋体" w:cs="宋体"/>
            </w:rPr>
            <w:fldChar w:fldCharType="separate"/>
          </w:r>
          <w:r>
            <w:rPr>
              <w:rFonts w:hint="eastAsia" w:ascii="宋体" w:hAnsi="宋体" w:eastAsia="宋体" w:cs="宋体"/>
              <w:szCs w:val="24"/>
            </w:rPr>
            <w:t>七、其他补充事宜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"_Toc31866" </w:instrText>
          </w:r>
          <w:r>
            <w:rPr>
              <w:rFonts w:hint="eastAsia" w:ascii="宋体" w:hAnsi="宋体" w:eastAsia="宋体" w:cs="宋体"/>
            </w:rPr>
            <w:fldChar w:fldCharType="separate"/>
          </w:r>
          <w:r>
            <w:rPr>
              <w:rFonts w:hint="eastAsia" w:ascii="宋体" w:hAnsi="宋体" w:eastAsia="宋体" w:cs="宋体"/>
              <w:szCs w:val="24"/>
            </w:rPr>
            <w:t>八、对本次采购提出询问，请按以下方式联系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_Toc31866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"_Toc8795" </w:instrText>
          </w:r>
          <w:r>
            <w:rPr>
              <w:rFonts w:hint="eastAsia" w:ascii="宋体" w:hAnsi="宋体" w:eastAsia="宋体" w:cs="宋体"/>
            </w:rPr>
            <w:fldChar w:fldCharType="separate"/>
          </w:r>
          <w:r>
            <w:rPr>
              <w:rFonts w:hint="eastAsia" w:ascii="宋体" w:hAnsi="宋体" w:eastAsia="宋体" w:cs="宋体"/>
              <w:szCs w:val="28"/>
            </w:rPr>
            <w:t>第二部分   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"_Toc28238" </w:instrText>
          </w:r>
          <w:r>
            <w:rPr>
              <w:rFonts w:hint="eastAsia" w:ascii="宋体" w:hAnsi="宋体" w:eastAsia="宋体" w:cs="宋体"/>
            </w:rPr>
            <w:fldChar w:fldCharType="separate"/>
          </w:r>
          <w:r>
            <w:rPr>
              <w:rFonts w:hint="eastAsia" w:ascii="宋体" w:hAnsi="宋体" w:eastAsia="宋体" w:cs="宋体"/>
              <w:bCs/>
              <w:szCs w:val="28"/>
              <w:lang w:val="zh-CN"/>
            </w:rPr>
            <w:t>竞争性磋商项目需</w:t>
          </w:r>
          <w:r>
            <w:rPr>
              <w:rFonts w:hint="eastAsia" w:ascii="宋体" w:hAnsi="宋体" w:cs="宋体"/>
              <w:bCs/>
              <w:szCs w:val="28"/>
              <w:lang w:val="zh-CN" w:eastAsia="zh-CN"/>
            </w:rPr>
            <w:t>进行</w:t>
          </w:r>
          <w:r>
            <w:rPr>
              <w:rFonts w:hint="eastAsia" w:ascii="宋体" w:hAnsi="宋体" w:eastAsia="宋体" w:cs="宋体"/>
              <w:bCs/>
              <w:szCs w:val="28"/>
              <w:lang w:val="zh-CN"/>
            </w:rPr>
            <w:t>二次报价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"_Toc1313" </w:instrText>
          </w:r>
          <w:r>
            <w:rPr>
              <w:rFonts w:hint="eastAsia" w:ascii="宋体" w:hAnsi="宋体" w:eastAsia="宋体" w:cs="宋体"/>
            </w:rPr>
            <w:fldChar w:fldCharType="separate"/>
          </w:r>
          <w:r>
            <w:rPr>
              <w:rFonts w:hint="eastAsia" w:ascii="宋体" w:hAnsi="宋体" w:eastAsia="宋体" w:cs="宋体"/>
              <w:szCs w:val="28"/>
            </w:rPr>
            <w:t>第三部分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"_Toc30287" </w:instrText>
          </w:r>
          <w:r>
            <w:rPr>
              <w:rFonts w:hint="eastAsia" w:ascii="宋体" w:hAnsi="宋体" w:eastAsia="宋体" w:cs="宋体"/>
            </w:rPr>
            <w:fldChar w:fldCharType="separate"/>
          </w:r>
          <w:r>
            <w:rPr>
              <w:rFonts w:hint="eastAsia" w:ascii="宋体" w:hAnsi="宋体" w:eastAsia="宋体" w:cs="宋体"/>
              <w:szCs w:val="28"/>
            </w:rPr>
            <w:t>一.总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"_Toc20672" </w:instrText>
          </w:r>
          <w:r>
            <w:rPr>
              <w:rFonts w:hint="eastAsia" w:ascii="宋体" w:hAnsi="宋体" w:eastAsia="宋体" w:cs="宋体"/>
            </w:rPr>
            <w:fldChar w:fldCharType="separate"/>
          </w:r>
          <w:r>
            <w:rPr>
              <w:rFonts w:hint="eastAsia" w:ascii="宋体" w:hAnsi="宋体" w:eastAsia="宋体" w:cs="宋体"/>
              <w:szCs w:val="32"/>
              <w:lang w:bidi="ar"/>
            </w:rPr>
            <w:t>编制</w:t>
          </w:r>
          <w:r>
            <w:rPr>
              <w:rFonts w:hint="eastAsia" w:ascii="宋体" w:hAnsi="宋体" w:cs="宋体"/>
              <w:szCs w:val="32"/>
              <w:lang w:eastAsia="zh-CN" w:bidi="ar"/>
            </w:rPr>
            <w:t>冷链物流基地</w:t>
          </w:r>
          <w:r>
            <w:rPr>
              <w:rFonts w:hint="eastAsia" w:ascii="宋体" w:hAnsi="宋体" w:eastAsia="宋体" w:cs="宋体"/>
              <w:szCs w:val="32"/>
              <w:lang w:bidi="ar"/>
            </w:rPr>
            <w:t>报告服务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_Toc20672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"_Toc2734" </w:instrText>
          </w:r>
          <w:r>
            <w:rPr>
              <w:rFonts w:hint="eastAsia" w:ascii="宋体" w:hAnsi="宋体" w:eastAsia="宋体" w:cs="宋体"/>
            </w:rPr>
            <w:fldChar w:fldCharType="separate"/>
          </w:r>
          <w:r>
            <w:rPr>
              <w:rFonts w:hint="eastAsia" w:ascii="宋体" w:hAnsi="宋体" w:eastAsia="宋体" w:cs="宋体"/>
              <w:bCs/>
              <w:szCs w:val="28"/>
            </w:rPr>
            <w:t>第五章  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"_Toc18326" </w:instrText>
          </w:r>
          <w:r>
            <w:rPr>
              <w:rFonts w:hint="eastAsia" w:ascii="宋体" w:hAnsi="宋体" w:eastAsia="宋体" w:cs="宋体"/>
            </w:rPr>
            <w:fldChar w:fldCharType="separate"/>
          </w:r>
          <w:r>
            <w:rPr>
              <w:rFonts w:hint="eastAsia" w:ascii="宋体" w:hAnsi="宋体" w:eastAsia="宋体" w:cs="宋体"/>
              <w:szCs w:val="28"/>
            </w:rPr>
            <w:t>投标文件</w:t>
          </w:r>
          <w:r>
            <w:rPr>
              <w:rFonts w:hint="eastAsia" w:ascii="宋体" w:hAnsi="宋体" w:eastAsia="宋体" w:cs="宋体"/>
              <w:bCs/>
              <w:szCs w:val="28"/>
            </w:rPr>
            <w:t>符合性审查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_Toc18326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"_Toc15731" </w:instrText>
          </w:r>
          <w:r>
            <w:rPr>
              <w:rFonts w:hint="eastAsia" w:ascii="宋体" w:hAnsi="宋体" w:eastAsia="宋体" w:cs="宋体"/>
            </w:rPr>
            <w:fldChar w:fldCharType="separate"/>
          </w:r>
          <w:r>
            <w:rPr>
              <w:rFonts w:hint="eastAsia" w:ascii="宋体" w:hAnsi="宋体" w:eastAsia="宋体" w:cs="宋体"/>
              <w:bCs/>
              <w:spacing w:val="4"/>
              <w:szCs w:val="28"/>
            </w:rPr>
            <w:t>竞争性磋商（综合评分）评分细则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"_Toc20492" </w:instrText>
          </w:r>
          <w:r>
            <w:rPr>
              <w:rFonts w:hint="eastAsia" w:ascii="宋体" w:hAnsi="宋体" w:eastAsia="宋体" w:cs="宋体"/>
            </w:rPr>
            <w:fldChar w:fldCharType="separate"/>
          </w:r>
          <w:r>
            <w:rPr>
              <w:rFonts w:hint="eastAsia" w:ascii="宋体" w:hAnsi="宋体" w:eastAsia="宋体" w:cs="宋体"/>
              <w:szCs w:val="28"/>
            </w:rPr>
            <w:t>三、政策性扣减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_Toc20492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"_Toc3558" </w:instrText>
          </w:r>
          <w:r>
            <w:rPr>
              <w:rFonts w:hint="eastAsia" w:ascii="宋体" w:hAnsi="宋体" w:eastAsia="宋体" w:cs="宋体"/>
            </w:rPr>
            <w:fldChar w:fldCharType="separate"/>
          </w:r>
          <w:r>
            <w:rPr>
              <w:rFonts w:hint="eastAsia" w:ascii="宋体" w:hAnsi="宋体" w:eastAsia="宋体" w:cs="宋体"/>
              <w:szCs w:val="28"/>
            </w:rPr>
            <w:t>四、详细评审（100分）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_Toc3558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"_Toc15580" </w:instrText>
          </w:r>
          <w:r>
            <w:rPr>
              <w:rFonts w:hint="eastAsia" w:ascii="宋体" w:hAnsi="宋体" w:eastAsia="宋体" w:cs="宋体"/>
            </w:rPr>
            <w:fldChar w:fldCharType="separate"/>
          </w:r>
          <w:r>
            <w:rPr>
              <w:rFonts w:hint="eastAsia" w:ascii="宋体" w:hAnsi="宋体" w:eastAsia="宋体" w:cs="宋体"/>
              <w:szCs w:val="28"/>
            </w:rPr>
            <w:t>第六部分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_Toc15580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"_Toc23065" </w:instrText>
          </w:r>
          <w:r>
            <w:rPr>
              <w:rFonts w:hint="eastAsia" w:ascii="宋体" w:hAnsi="宋体" w:eastAsia="宋体" w:cs="宋体"/>
            </w:rPr>
            <w:fldChar w:fldCharType="separate"/>
          </w:r>
          <w:r>
            <w:rPr>
              <w:rFonts w:hint="eastAsia" w:ascii="宋体" w:hAnsi="宋体" w:eastAsia="宋体" w:cs="宋体"/>
              <w:szCs w:val="28"/>
            </w:rPr>
            <w:t>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_Toc23065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"_Toc6386" </w:instrText>
          </w:r>
          <w:r>
            <w:rPr>
              <w:rFonts w:hint="eastAsia" w:ascii="宋体" w:hAnsi="宋体" w:eastAsia="宋体" w:cs="宋体"/>
            </w:rPr>
            <w:fldChar w:fldCharType="separate"/>
          </w:r>
          <w:r>
            <w:rPr>
              <w:rFonts w:hint="eastAsia" w:ascii="宋体" w:hAnsi="宋体" w:eastAsia="宋体" w:cs="宋体"/>
              <w:szCs w:val="28"/>
            </w:rPr>
            <w:t>（此合同为参考合同）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_Toc6386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"_Toc6634" </w:instrText>
          </w:r>
          <w:r>
            <w:rPr>
              <w:rFonts w:hint="eastAsia" w:ascii="宋体" w:hAnsi="宋体" w:eastAsia="宋体" w:cs="宋体"/>
            </w:rPr>
            <w:fldChar w:fldCharType="separate"/>
          </w:r>
          <w:r>
            <w:rPr>
              <w:rFonts w:hint="eastAsia" w:ascii="宋体" w:hAnsi="宋体" w:eastAsia="宋体" w:cs="宋体"/>
              <w:szCs w:val="28"/>
            </w:rPr>
            <w:t>乙    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"_Toc6885" </w:instrText>
          </w:r>
          <w:r>
            <w:rPr>
              <w:rFonts w:hint="eastAsia" w:ascii="宋体" w:hAnsi="宋体" w:eastAsia="宋体" w:cs="宋体"/>
            </w:rPr>
            <w:fldChar w:fldCharType="separate"/>
          </w:r>
          <w:r>
            <w:rPr>
              <w:rFonts w:hint="eastAsia" w:ascii="宋体" w:hAnsi="宋体" w:eastAsia="宋体" w:cs="宋体"/>
              <w:kern w:val="2"/>
              <w:szCs w:val="28"/>
            </w:rPr>
            <w:t>第五章  竞争性磋商响应文件格式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_Toc6885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"_Toc5883" </w:instrText>
          </w:r>
          <w:r>
            <w:rPr>
              <w:rFonts w:hint="eastAsia" w:ascii="宋体" w:hAnsi="宋体" w:eastAsia="宋体" w:cs="宋体"/>
            </w:rPr>
            <w:fldChar w:fldCharType="separate"/>
          </w:r>
          <w:r>
            <w:rPr>
              <w:rFonts w:hint="eastAsia" w:ascii="宋体" w:hAnsi="宋体" w:eastAsia="宋体" w:cs="宋体"/>
              <w:szCs w:val="28"/>
            </w:rPr>
            <w:t>竞争性磋商响应文件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_Toc5883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"_Toc17813" </w:instrText>
          </w:r>
          <w:r>
            <w:rPr>
              <w:rFonts w:hint="eastAsia" w:ascii="宋体" w:hAnsi="宋体" w:eastAsia="宋体" w:cs="宋体"/>
            </w:rPr>
            <w:fldChar w:fldCharType="separate"/>
          </w:r>
          <w:r>
            <w:rPr>
              <w:rFonts w:hint="eastAsia" w:ascii="宋体" w:hAnsi="宋体" w:eastAsia="宋体" w:cs="宋体"/>
              <w:szCs w:val="28"/>
            </w:rPr>
            <w:t>年   月   日  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_Toc17813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"_Toc12648" </w:instrText>
          </w:r>
          <w:r>
            <w:rPr>
              <w:rFonts w:hint="eastAsia" w:ascii="宋体" w:hAnsi="宋体" w:eastAsia="宋体" w:cs="宋体"/>
            </w:rPr>
            <w:fldChar w:fldCharType="separate"/>
          </w:r>
          <w:r>
            <w:rPr>
              <w:rFonts w:hint="eastAsia" w:ascii="宋体" w:hAnsi="宋体" w:eastAsia="宋体" w:cs="宋体"/>
              <w:bCs/>
              <w:spacing w:val="4"/>
              <w:szCs w:val="28"/>
            </w:rPr>
            <w:t>附件一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_Toc12648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"_Toc9850" </w:instrText>
          </w:r>
          <w:r>
            <w:rPr>
              <w:rFonts w:hint="eastAsia" w:ascii="宋体" w:hAnsi="宋体" w:eastAsia="宋体" w:cs="宋体"/>
            </w:rPr>
            <w:fldChar w:fldCharType="separate"/>
          </w:r>
          <w:r>
            <w:rPr>
              <w:rFonts w:hint="eastAsia" w:ascii="宋体" w:hAnsi="宋体" w:eastAsia="宋体" w:cs="宋体"/>
              <w:bCs/>
              <w:spacing w:val="4"/>
              <w:szCs w:val="28"/>
            </w:rPr>
            <w:t>附件二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_Toc9850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"_Toc32590" </w:instrText>
          </w:r>
          <w:r>
            <w:rPr>
              <w:rFonts w:hint="eastAsia" w:ascii="宋体" w:hAnsi="宋体" w:eastAsia="宋体" w:cs="宋体"/>
            </w:rPr>
            <w:fldChar w:fldCharType="separate"/>
          </w:r>
          <w:r>
            <w:rPr>
              <w:rFonts w:hint="eastAsia" w:ascii="宋体" w:hAnsi="宋体" w:eastAsia="宋体" w:cs="宋体"/>
              <w:bCs/>
              <w:spacing w:val="4"/>
              <w:szCs w:val="28"/>
            </w:rPr>
            <w:t>附件三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_Toc32590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"_Toc26533" </w:instrText>
          </w:r>
          <w:r>
            <w:rPr>
              <w:rFonts w:hint="eastAsia" w:ascii="宋体" w:hAnsi="宋体" w:eastAsia="宋体" w:cs="宋体"/>
            </w:rPr>
            <w:fldChar w:fldCharType="separate"/>
          </w:r>
          <w:r>
            <w:rPr>
              <w:rFonts w:hint="eastAsia" w:ascii="宋体" w:hAnsi="宋体" w:eastAsia="宋体" w:cs="宋体"/>
              <w:bCs/>
              <w:spacing w:val="4"/>
              <w:szCs w:val="28"/>
            </w:rPr>
            <w:t>附件四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"_Toc17753" </w:instrText>
          </w:r>
          <w:r>
            <w:rPr>
              <w:rFonts w:hint="eastAsia" w:ascii="宋体" w:hAnsi="宋体" w:eastAsia="宋体" w:cs="宋体"/>
            </w:rPr>
            <w:fldChar w:fldCharType="separate"/>
          </w:r>
          <w:r>
            <w:rPr>
              <w:rFonts w:hint="eastAsia" w:ascii="宋体" w:hAnsi="宋体" w:eastAsia="宋体" w:cs="宋体"/>
              <w:bCs/>
              <w:spacing w:val="4"/>
              <w:szCs w:val="28"/>
            </w:rPr>
            <w:t>附件五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_Toc17753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"_Toc23168" </w:instrText>
          </w:r>
          <w:r>
            <w:rPr>
              <w:rFonts w:hint="eastAsia" w:ascii="宋体" w:hAnsi="宋体" w:eastAsia="宋体" w:cs="宋体"/>
            </w:rPr>
            <w:fldChar w:fldCharType="separate"/>
          </w:r>
          <w:r>
            <w:rPr>
              <w:rFonts w:hint="eastAsia" w:ascii="宋体" w:hAnsi="宋体" w:eastAsia="宋体" w:cs="宋体"/>
              <w:bCs/>
              <w:spacing w:val="4"/>
              <w:kern w:val="2"/>
              <w:szCs w:val="28"/>
            </w:rPr>
            <w:t>附件六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_Toc23168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"_Toc30965" </w:instrText>
          </w:r>
          <w:r>
            <w:rPr>
              <w:rFonts w:hint="eastAsia" w:ascii="宋体" w:hAnsi="宋体" w:eastAsia="宋体" w:cs="宋体"/>
            </w:rPr>
            <w:fldChar w:fldCharType="separate"/>
          </w:r>
          <w:r>
            <w:rPr>
              <w:rFonts w:hint="eastAsia" w:ascii="宋体" w:hAnsi="宋体" w:eastAsia="宋体" w:cs="宋体"/>
              <w:spacing w:val="4"/>
              <w:szCs w:val="28"/>
            </w:rPr>
            <w:t>附件七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_Toc30965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"_Toc2507" </w:instrText>
          </w:r>
          <w:r>
            <w:rPr>
              <w:rFonts w:hint="eastAsia" w:ascii="宋体" w:hAnsi="宋体" w:eastAsia="宋体" w:cs="宋体"/>
            </w:rPr>
            <w:fldChar w:fldCharType="separate"/>
          </w:r>
          <w:r>
            <w:rPr>
              <w:rFonts w:hint="eastAsia" w:ascii="宋体" w:hAnsi="宋体" w:eastAsia="宋体" w:cs="宋体"/>
              <w:spacing w:val="4"/>
              <w:szCs w:val="28"/>
            </w:rPr>
            <w:t>附件八</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_Toc2507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"_Toc16599" </w:instrText>
          </w:r>
          <w:r>
            <w:rPr>
              <w:rFonts w:hint="eastAsia" w:ascii="宋体" w:hAnsi="宋体" w:eastAsia="宋体" w:cs="宋体"/>
            </w:rPr>
            <w:fldChar w:fldCharType="separate"/>
          </w:r>
          <w:r>
            <w:rPr>
              <w:rFonts w:hint="eastAsia" w:ascii="宋体" w:hAnsi="宋体" w:eastAsia="宋体" w:cs="宋体"/>
              <w:spacing w:val="4"/>
              <w:szCs w:val="28"/>
            </w:rPr>
            <w:t>附件九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_Toc16599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zh-CN"/>
            </w:rPr>
          </w:pPr>
          <w:r>
            <w:rPr>
              <w:rFonts w:hint="eastAsia" w:ascii="宋体" w:hAnsi="宋体" w:eastAsia="宋体" w:cs="宋体"/>
              <w:bCs/>
              <w:szCs w:val="28"/>
              <w:lang w:val="zh-CN"/>
            </w:rPr>
            <w:fldChar w:fldCharType="end"/>
          </w:r>
        </w:p>
      </w:sdtContent>
    </w:sdt>
    <w:p>
      <w:pPr>
        <w:pageBreakBefore w:val="0"/>
        <w:wordWrap/>
        <w:bidi w:val="0"/>
        <w:spacing w:line="700" w:lineRule="exact"/>
        <w:rPr>
          <w:rFonts w:hint="eastAsia" w:ascii="宋体" w:hAnsi="宋体" w:eastAsia="宋体" w:cs="宋体"/>
          <w:b/>
          <w:bCs/>
          <w:sz w:val="28"/>
          <w:szCs w:val="28"/>
          <w:lang w:val="zh-CN"/>
        </w:rPr>
      </w:pPr>
    </w:p>
    <w:p>
      <w:pPr>
        <w:pageBreakBefore w:val="0"/>
        <w:wordWrap/>
        <w:bidi w:val="0"/>
        <w:spacing w:line="700" w:lineRule="exact"/>
        <w:rPr>
          <w:rFonts w:hint="eastAsia" w:ascii="宋体" w:hAnsi="宋体" w:eastAsia="宋体" w:cs="宋体"/>
          <w:b/>
          <w:bCs/>
          <w:sz w:val="28"/>
          <w:szCs w:val="28"/>
          <w:lang w:val="zh-CN"/>
        </w:rPr>
      </w:pPr>
    </w:p>
    <w:p>
      <w:pPr>
        <w:pStyle w:val="2"/>
        <w:pageBreakBefore w:val="0"/>
        <w:wordWrap/>
        <w:bidi w:val="0"/>
        <w:spacing w:line="700" w:lineRule="exact"/>
        <w:ind w:left="0" w:firstLine="0" w:firstLineChars="0"/>
        <w:rPr>
          <w:rFonts w:hint="eastAsia" w:ascii="宋体" w:hAnsi="宋体" w:eastAsia="宋体" w:cs="宋体"/>
          <w:sz w:val="28"/>
          <w:szCs w:val="28"/>
        </w:rPr>
      </w:pPr>
    </w:p>
    <w:p>
      <w:pPr>
        <w:pStyle w:val="43"/>
        <w:pageBreakBefore w:val="0"/>
        <w:numPr>
          <w:ilvl w:val="4"/>
          <w:numId w:val="0"/>
        </w:numPr>
        <w:wordWrap/>
        <w:bidi w:val="0"/>
        <w:spacing w:line="700" w:lineRule="exact"/>
        <w:rPr>
          <w:rFonts w:hint="eastAsia" w:ascii="宋体" w:hAnsi="宋体" w:eastAsia="宋体" w:cs="宋体"/>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sz w:val="32"/>
          <w:szCs w:val="32"/>
          <w:shd w:val="clear" w:fill="FFFFFF"/>
        </w:rPr>
      </w:pPr>
      <w:bookmarkStart w:id="0" w:name="_Toc33194700"/>
      <w:bookmarkStart w:id="1" w:name="_Toc8795"/>
      <w:bookmarkStart w:id="2" w:name="_Toc33212754"/>
      <w:r>
        <w:rPr>
          <w:rFonts w:hint="eastAsia" w:ascii="黑体" w:hAnsi="黑体" w:eastAsia="黑体" w:cs="黑体"/>
          <w:b/>
          <w:bCs/>
          <w:color w:val="333333"/>
          <w:sz w:val="44"/>
          <w:szCs w:val="44"/>
          <w:shd w:val="clear" w:fill="FFFFFF"/>
          <w:lang w:eastAsia="zh-CN"/>
        </w:rPr>
        <w:t>《阿克苏国家骨干冷链物流基地申报书》编制项目的竞争性磋商公告</w:t>
      </w:r>
      <w:r>
        <w:rPr>
          <w:rFonts w:hint="eastAsia" w:ascii="仿宋" w:hAnsi="仿宋" w:eastAsia="仿宋" w:cs="仿宋"/>
          <w:color w:val="000000"/>
          <w:sz w:val="32"/>
          <w:szCs w:val="32"/>
          <w:shd w:val="clear" w:fill="FFFFFF"/>
        </w:rPr>
        <w:t xml:space="preserve"> </w:t>
      </w:r>
    </w:p>
    <w:p>
      <w:pPr>
        <w:rPr>
          <w:rFonts w:hint="eastAsia"/>
        </w:rPr>
      </w:pP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450" w:beforeAutospacing="0" w:after="450" w:afterAutospacing="0" w:line="520" w:lineRule="exact"/>
        <w:ind w:left="450" w:right="450" w:firstLine="640" w:firstLineChars="200"/>
        <w:jc w:val="left"/>
        <w:textAlignment w:val="auto"/>
        <w:rPr>
          <w:rFonts w:hint="default" w:ascii="仿宋" w:hAnsi="仿宋" w:eastAsia="仿宋" w:cs="仿宋"/>
          <w:color w:val="333333"/>
          <w:kern w:val="2"/>
          <w:sz w:val="32"/>
          <w:szCs w:val="32"/>
          <w:u w:val="none"/>
          <w:shd w:val="clear" w:fill="FFFFFF"/>
          <w:lang w:val="en-US" w:eastAsia="zh-CN" w:bidi="ar"/>
        </w:rPr>
      </w:pPr>
      <w:r>
        <w:rPr>
          <w:rFonts w:hint="eastAsia"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450" w:beforeAutospacing="0" w:after="450" w:afterAutospacing="0" w:line="520" w:lineRule="exact"/>
        <w:ind w:left="450" w:right="450" w:firstLine="640" w:firstLineChars="200"/>
        <w:jc w:val="left"/>
        <w:textAlignment w:val="auto"/>
        <w:rPr>
          <w:rFonts w:hint="eastAsia" w:ascii="仿宋" w:hAnsi="仿宋" w:eastAsia="仿宋" w:cs="仿宋"/>
          <w:sz w:val="32"/>
          <w:szCs w:val="32"/>
          <w:u w:val="none"/>
        </w:rPr>
      </w:pPr>
      <w:r>
        <w:rPr>
          <w:rFonts w:hint="eastAsia" w:ascii="仿宋" w:hAnsi="仿宋" w:eastAsia="仿宋" w:cs="仿宋"/>
          <w:color w:val="333333"/>
          <w:kern w:val="2"/>
          <w:sz w:val="32"/>
          <w:szCs w:val="32"/>
          <w:u w:val="none"/>
          <w:shd w:val="clear" w:fill="FFFFFF"/>
          <w:lang w:val="en-US" w:eastAsia="zh-CN" w:bidi="ar"/>
        </w:rPr>
        <w:t>《阿克苏国家骨干冷链物流基地申报书》编制项目的潜在投标人应在新疆政府采购网（政采云平台）获取招标文件，并于2021年11月08日10点30分（北京时间）前递交投标文件。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333333"/>
          <w:kern w:val="2"/>
          <w:sz w:val="32"/>
          <w:szCs w:val="32"/>
          <w:u w:val="none"/>
          <w:shd w:val="clear" w:fill="FFFFFF"/>
        </w:rPr>
      </w:pPr>
      <w:bookmarkStart w:id="3" w:name="_Hlk24379207"/>
      <w:r>
        <w:rPr>
          <w:rFonts w:hint="eastAsia" w:ascii="仿宋" w:hAnsi="仿宋" w:eastAsia="仿宋" w:cs="仿宋"/>
          <w:b/>
          <w:bCs/>
          <w:color w:val="333333"/>
          <w:kern w:val="2"/>
          <w:sz w:val="32"/>
          <w:szCs w:val="32"/>
          <w:u w:val="none"/>
          <w:shd w:val="clear" w:fill="FFFFFF"/>
          <w:lang w:eastAsia="zh-CN"/>
        </w:rPr>
        <w:t>一、</w:t>
      </w:r>
      <w:r>
        <w:rPr>
          <w:rFonts w:hint="eastAsia" w:ascii="仿宋" w:hAnsi="仿宋" w:eastAsia="仿宋" w:cs="仿宋"/>
          <w:b/>
          <w:bCs/>
          <w:color w:val="333333"/>
          <w:kern w:val="2"/>
          <w:sz w:val="32"/>
          <w:szCs w:val="32"/>
          <w:u w:val="none"/>
          <w:shd w:val="clear" w:fill="FFFFFF"/>
        </w:rPr>
        <w:t>项目基本情况</w:t>
      </w:r>
      <w:bookmarkEnd w:id="3"/>
    </w:p>
    <w:p>
      <w:pPr>
        <w:keepNext w:val="0"/>
        <w:keepLines w:val="0"/>
        <w:pageBreakBefore w:val="0"/>
        <w:kinsoku/>
        <w:wordWrap/>
        <w:overflowPunct/>
        <w:topLinePunct w:val="0"/>
        <w:autoSpaceDE/>
        <w:autoSpaceDN/>
        <w:bidi w:val="0"/>
        <w:adjustRightInd/>
        <w:snapToGrid/>
        <w:spacing w:line="500" w:lineRule="exact"/>
        <w:ind w:firstLine="643" w:firstLineChars="200"/>
        <w:jc w:val="left"/>
        <w:textAlignment w:val="auto"/>
        <w:rPr>
          <w:rFonts w:hint="default" w:ascii="仿宋" w:hAnsi="仿宋" w:eastAsia="仿宋" w:cs="仿宋"/>
          <w:b/>
          <w:bCs/>
          <w:color w:val="auto"/>
          <w:kern w:val="2"/>
          <w:sz w:val="32"/>
          <w:szCs w:val="32"/>
          <w:shd w:val="clear" w:fill="FFFFFF"/>
          <w:lang w:val="en-US" w:eastAsia="zh-CN" w:bidi="ar"/>
        </w:rPr>
      </w:pPr>
      <w:r>
        <w:rPr>
          <w:rFonts w:hint="eastAsia" w:ascii="仿宋" w:hAnsi="仿宋" w:eastAsia="仿宋" w:cs="仿宋"/>
          <w:b/>
          <w:bCs/>
          <w:color w:val="333333"/>
          <w:kern w:val="2"/>
          <w:sz w:val="32"/>
          <w:szCs w:val="32"/>
          <w:shd w:val="clear" w:fill="FFFFFF"/>
          <w:lang w:val="en-US" w:eastAsia="zh-CN" w:bidi="ar"/>
        </w:rPr>
        <w:t>项目编号</w:t>
      </w:r>
      <w:r>
        <w:rPr>
          <w:rFonts w:hint="eastAsia" w:ascii="仿宋" w:hAnsi="仿宋" w:eastAsia="仿宋" w:cs="仿宋"/>
          <w:color w:val="333333"/>
          <w:kern w:val="2"/>
          <w:sz w:val="32"/>
          <w:szCs w:val="32"/>
          <w:shd w:val="clear" w:fill="FFFFFF"/>
          <w:lang w:val="en-US" w:eastAsia="zh-CN" w:bidi="ar"/>
        </w:rPr>
        <w:t>：</w:t>
      </w:r>
      <w:r>
        <w:rPr>
          <w:rFonts w:hint="eastAsia" w:ascii="仿宋" w:hAnsi="仿宋" w:eastAsia="仿宋" w:cs="仿宋"/>
          <w:b/>
          <w:bCs/>
          <w:color w:val="auto"/>
          <w:kern w:val="2"/>
          <w:sz w:val="32"/>
          <w:szCs w:val="32"/>
          <w:shd w:val="clear" w:fill="FFFFFF"/>
          <w:lang w:val="en-US" w:eastAsia="zh-CN" w:bidi="ar"/>
        </w:rPr>
        <w:t>2021-534</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项目名称：《阿克苏国家骨干冷链物流基地申报书》编制项目</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采购方式：</w:t>
      </w:r>
      <w:r>
        <w:rPr>
          <w:rFonts w:hint="eastAsia" w:ascii="仿宋" w:hAnsi="仿宋" w:eastAsia="仿宋" w:cs="仿宋"/>
          <w:color w:val="333333"/>
          <w:kern w:val="2"/>
          <w:sz w:val="32"/>
          <w:szCs w:val="32"/>
          <w:shd w:val="clear" w:fill="FFFFFF"/>
          <w:lang w:eastAsia="zh-CN"/>
        </w:rPr>
        <w:t>竞争性磋商</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预算金额</w:t>
      </w:r>
      <w:r>
        <w:rPr>
          <w:rFonts w:hint="eastAsia" w:ascii="仿宋" w:hAnsi="仿宋" w:eastAsia="仿宋" w:cs="仿宋"/>
          <w:i w:val="0"/>
          <w:iCs w:val="0"/>
          <w:caps w:val="0"/>
          <w:color w:val="333333"/>
          <w:spacing w:val="0"/>
          <w:kern w:val="0"/>
          <w:sz w:val="32"/>
          <w:szCs w:val="32"/>
          <w:shd w:val="clear" w:fill="FFFFFF"/>
          <w:lang w:val="en-US" w:eastAsia="zh-CN" w:bidi="ar"/>
        </w:rPr>
        <w:t>（元）</w:t>
      </w:r>
      <w:r>
        <w:rPr>
          <w:rFonts w:hint="eastAsia" w:ascii="仿宋" w:hAnsi="仿宋" w:eastAsia="仿宋" w:cs="仿宋"/>
          <w:color w:val="333333"/>
          <w:kern w:val="2"/>
          <w:sz w:val="32"/>
          <w:szCs w:val="32"/>
          <w:shd w:val="clear" w:fill="FFFFFF"/>
          <w:lang w:val="en-US" w:eastAsia="zh-CN" w:bidi="ar"/>
        </w:rPr>
        <w:t>：700000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最高限价</w:t>
      </w:r>
      <w:r>
        <w:rPr>
          <w:rFonts w:hint="eastAsia" w:ascii="仿宋" w:hAnsi="仿宋" w:eastAsia="仿宋" w:cs="仿宋"/>
          <w:i w:val="0"/>
          <w:iCs w:val="0"/>
          <w:caps w:val="0"/>
          <w:color w:val="333333"/>
          <w:spacing w:val="0"/>
          <w:kern w:val="0"/>
          <w:sz w:val="32"/>
          <w:szCs w:val="32"/>
          <w:shd w:val="clear" w:fill="FFFFFF"/>
          <w:lang w:val="en-US" w:eastAsia="zh-CN" w:bidi="ar"/>
        </w:rPr>
        <w:t>（元）</w:t>
      </w:r>
      <w:r>
        <w:rPr>
          <w:rFonts w:hint="eastAsia" w:ascii="仿宋" w:hAnsi="仿宋" w:eastAsia="仿宋" w:cs="仿宋"/>
          <w:color w:val="333333"/>
          <w:kern w:val="2"/>
          <w:sz w:val="32"/>
          <w:szCs w:val="32"/>
          <w:shd w:val="clear" w:fill="FFFFFF"/>
          <w:lang w:val="en-US" w:eastAsia="zh-CN" w:bidi="ar"/>
        </w:rPr>
        <w:t>：700000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采购需求：</w:t>
      </w:r>
      <w:r>
        <w:rPr>
          <w:rFonts w:hint="eastAsia" w:ascii="仿宋" w:hAnsi="仿宋" w:eastAsia="仿宋" w:cs="仿宋"/>
          <w:color w:val="333333"/>
          <w:kern w:val="2"/>
          <w:sz w:val="32"/>
          <w:szCs w:val="32"/>
          <w:u w:val="none"/>
          <w:shd w:val="clear" w:fill="FFFFFF"/>
          <w:lang w:val="en-US" w:eastAsia="zh-CN" w:bidi="ar"/>
        </w:rPr>
        <w:t>《</w:t>
      </w:r>
      <w:r>
        <w:rPr>
          <w:rFonts w:hint="eastAsia" w:ascii="仿宋" w:hAnsi="仿宋" w:eastAsia="仿宋" w:cs="仿宋"/>
          <w:color w:val="333333"/>
          <w:kern w:val="2"/>
          <w:sz w:val="32"/>
          <w:szCs w:val="32"/>
          <w:shd w:val="clear" w:fill="FFFFFF"/>
          <w:lang w:val="en-US" w:eastAsia="zh-CN" w:bidi="ar"/>
        </w:rPr>
        <w:t>阿克苏国家骨干冷链物流基地申报书》编制项目的所有事项及内容；</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2558" w:leftChars="304" w:right="450" w:hanging="1920" w:hangingChars="6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标项名称: </w:t>
      </w:r>
      <w:r>
        <w:rPr>
          <w:rFonts w:hint="eastAsia" w:ascii="仿宋" w:hAnsi="仿宋" w:eastAsia="仿宋" w:cs="仿宋"/>
          <w:color w:val="333333"/>
          <w:kern w:val="2"/>
          <w:sz w:val="32"/>
          <w:szCs w:val="32"/>
          <w:u w:val="none"/>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阿克苏国家骨干冷链物流基地申报书》编制项目</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2558" w:leftChars="304" w:right="450" w:hanging="1920" w:hangingChars="6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数量: 1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38" w:leftChars="304" w:right="450" w:firstLine="0" w:firstLineChars="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预算金额（元）:700000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38" w:leftChars="304" w:right="450" w:firstLine="0" w:firstLineChars="0"/>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单位：项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备注：</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320" w:firstLineChars="1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合同履行期限：详见磋商文件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333333"/>
          <w:kern w:val="2"/>
          <w:sz w:val="32"/>
          <w:szCs w:val="32"/>
          <w:shd w:val="clear" w:fill="FFFFFF"/>
          <w:lang w:val="en-US" w:eastAsia="zh-CN" w:bidi="ar"/>
        </w:rPr>
      </w:pPr>
      <w:bookmarkStart w:id="4" w:name="_Toc35393622"/>
      <w:r>
        <w:rPr>
          <w:rFonts w:hint="eastAsia"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二、</w:t>
      </w:r>
      <w:r>
        <w:rPr>
          <w:rFonts w:hint="eastAsia" w:ascii="仿宋" w:hAnsi="仿宋" w:eastAsia="仿宋" w:cs="仿宋"/>
          <w:b/>
          <w:bCs/>
          <w:color w:val="333333"/>
          <w:kern w:val="2"/>
          <w:sz w:val="32"/>
          <w:szCs w:val="32"/>
          <w:u w:val="none"/>
          <w:shd w:val="clear" w:fill="FFFFFF"/>
        </w:rPr>
        <w:t>申请人的资格要求：</w:t>
      </w:r>
      <w:bookmarkEnd w:id="4"/>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xml:space="preserve">  1、满足《中华人民共和国政府采购法》第二十二条规定；</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2、落实政府采购政策需满足的资格要求：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（1）《政府采购促进中小企业发展管理办法》（财库〔2020〕46号）；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（2）《财政部、司法部关于政府采购支持监狱企业发展有关问题的通知》（财库〔2014〕68号）；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（3）《国务院办公厅关于建立政府强制采购节能产品制度的通知》（国办发〔2007〕51号）；</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b w:val="0"/>
          <w:bCs w:val="0"/>
          <w:color w:val="333333"/>
          <w:kern w:val="2"/>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b w:val="0"/>
          <w:bCs w:val="0"/>
          <w:color w:val="333333"/>
          <w:kern w:val="2"/>
          <w:sz w:val="32"/>
          <w:szCs w:val="32"/>
          <w:u w:val="none"/>
          <w:shd w:val="clear" w:fill="FFFFFF"/>
          <w:lang w:val="en-US" w:eastAsia="zh-CN" w:bidi="ar"/>
        </w:rPr>
      </w:pPr>
      <w:r>
        <w:rPr>
          <w:rFonts w:hint="eastAsia" w:ascii="仿宋" w:hAnsi="仿宋" w:eastAsia="仿宋" w:cs="仿宋"/>
          <w:b w:val="0"/>
          <w:bCs w:val="0"/>
          <w:color w:val="333333"/>
          <w:kern w:val="2"/>
          <w:sz w:val="32"/>
          <w:szCs w:val="32"/>
          <w:shd w:val="clear" w:fill="FFFFFF"/>
          <w:lang w:val="en-US" w:eastAsia="zh-CN" w:bidi="ar"/>
        </w:rPr>
        <w:t>3、本项目的特定资格要求</w:t>
      </w:r>
      <w:bookmarkStart w:id="5" w:name="_Toc35393792"/>
      <w:bookmarkEnd w:id="5"/>
      <w:bookmarkStart w:id="6" w:name="_Toc35393623"/>
      <w:r>
        <w:rPr>
          <w:rFonts w:hint="eastAsia" w:ascii="仿宋" w:hAnsi="仿宋" w:eastAsia="仿宋" w:cs="仿宋"/>
          <w:b w:val="0"/>
          <w:bCs w:val="0"/>
          <w:color w:val="333333"/>
          <w:kern w:val="2"/>
          <w:sz w:val="32"/>
          <w:szCs w:val="32"/>
          <w:u w:val="none"/>
          <w:shd w:val="clear" w:fill="FFFFFF"/>
          <w:lang w:val="en-US" w:eastAsia="zh-CN" w:bidi="ar"/>
        </w:rPr>
        <w:t>：</w:t>
      </w:r>
      <w:bookmarkEnd w:id="6"/>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（1）有效经年检的三证合一营业执照；</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color w:val="auto"/>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（2）</w:t>
      </w:r>
      <w:r>
        <w:rPr>
          <w:rFonts w:hint="eastAsia" w:ascii="仿宋" w:hAnsi="仿宋" w:eastAsia="仿宋" w:cs="仿宋"/>
          <w:color w:val="auto"/>
          <w:kern w:val="2"/>
          <w:sz w:val="32"/>
          <w:szCs w:val="32"/>
          <w:shd w:val="clear" w:fill="FFFFFF"/>
          <w:lang w:val="en-US" w:eastAsia="zh-CN" w:bidi="ar"/>
        </w:rPr>
        <w:t>具备商物梁行业工程设计乙级及以上资质证书，商物梁行业工程咨询单位甲级资信证书，具有编制申报书评估报告经验，并在人员、设备等方面具有承担本项目的能力；</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val="0"/>
          <w:bCs w:val="0"/>
          <w:color w:val="333333"/>
          <w:kern w:val="2"/>
          <w:sz w:val="32"/>
          <w:szCs w:val="32"/>
          <w:shd w:val="clear" w:fill="FFFFFF"/>
          <w:lang w:val="en-US" w:eastAsia="zh-CN" w:bidi="ar"/>
        </w:rPr>
        <w:t>（3）</w:t>
      </w:r>
      <w:r>
        <w:rPr>
          <w:rFonts w:hint="eastAsia" w:ascii="仿宋" w:hAnsi="仿宋" w:eastAsia="仿宋" w:cs="仿宋"/>
          <w:i w:val="0"/>
          <w:iCs w:val="0"/>
          <w:caps w:val="0"/>
          <w:color w:val="333333"/>
          <w:spacing w:val="0"/>
          <w:kern w:val="0"/>
          <w:sz w:val="32"/>
          <w:szCs w:val="32"/>
          <w:shd w:val="clear" w:fill="FFFFFF"/>
          <w:lang w:val="en-US" w:eastAsia="zh-CN" w:bidi="ar"/>
        </w:rPr>
        <w:t>在“信用中国”及“中国政府采购网”上未被列入失信被执行人、重大税收违法案件当事人名单以及政府采购严重违法失信行为记录名单的投标人。（需提供网上截图加盖公章）；</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（4）供应商提供针对本次项目《反商业贿赂承诺书》；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（5）与采购人存在利害关系可能影响公正性的单位，不得参加投标。单位负责人为同一人或存在控股、管理关系的不同单位，不得参加同一标段投标，否则相关投标均无效。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333333"/>
          <w:kern w:val="2"/>
          <w:sz w:val="32"/>
          <w:szCs w:val="32"/>
          <w:shd w:val="clear" w:fill="FFFFFF"/>
        </w:rPr>
      </w:pPr>
      <w:r>
        <w:rPr>
          <w:rFonts w:hint="eastAsia" w:ascii="仿宋" w:hAnsi="仿宋" w:eastAsia="仿宋" w:cs="仿宋"/>
          <w:b/>
          <w:bCs/>
          <w:color w:val="333333"/>
          <w:kern w:val="2"/>
          <w:sz w:val="32"/>
          <w:szCs w:val="32"/>
          <w:shd w:val="clear" w:fill="FFFFFF"/>
        </w:rPr>
        <w:t>三、获取</w:t>
      </w:r>
      <w:r>
        <w:rPr>
          <w:rFonts w:hint="eastAsia" w:ascii="仿宋" w:hAnsi="仿宋" w:eastAsia="仿宋" w:cs="仿宋"/>
          <w:b/>
          <w:bCs/>
          <w:color w:val="333333"/>
          <w:kern w:val="2"/>
          <w:sz w:val="32"/>
          <w:szCs w:val="32"/>
          <w:shd w:val="clear" w:fill="FFFFFF"/>
          <w:lang w:eastAsia="zh-CN"/>
        </w:rPr>
        <w:t>采购</w:t>
      </w:r>
      <w:r>
        <w:rPr>
          <w:rFonts w:hint="eastAsia" w:ascii="仿宋" w:hAnsi="仿宋" w:eastAsia="仿宋" w:cs="仿宋"/>
          <w:b/>
          <w:bCs/>
          <w:color w:val="333333"/>
          <w:kern w:val="2"/>
          <w:sz w:val="32"/>
          <w:szCs w:val="32"/>
          <w:shd w:val="clear" w:fill="FFFFFF"/>
        </w:rPr>
        <w:t>文件</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时间：2021年10月26</w:t>
      </w:r>
      <w:bookmarkStart w:id="333" w:name="_GoBack"/>
      <w:bookmarkEnd w:id="333"/>
      <w:r>
        <w:rPr>
          <w:rFonts w:hint="eastAsia" w:ascii="仿宋" w:hAnsi="仿宋" w:eastAsia="仿宋" w:cs="仿宋"/>
          <w:i w:val="0"/>
          <w:iCs w:val="0"/>
          <w:color w:val="333333"/>
          <w:spacing w:val="0"/>
          <w:kern w:val="0"/>
          <w:sz w:val="32"/>
          <w:szCs w:val="32"/>
          <w:shd w:val="clear" w:fill="FFFFFF"/>
          <w:lang w:val="en-US" w:eastAsia="zh-CN" w:bidi="ar"/>
        </w:rPr>
        <w:t>日至2021年11月02日，每天上午10:00至14:00，下午16:00至20:00（北京时间，法定节假日除外）</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售价（元）：0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1" w:firstLineChars="100"/>
        <w:textAlignment w:val="auto"/>
        <w:rPr>
          <w:rFonts w:hint="eastAsia" w:ascii="仿宋" w:hAnsi="仿宋" w:eastAsia="仿宋" w:cs="仿宋"/>
          <w:b/>
          <w:bCs/>
          <w:color w:val="333333"/>
          <w:kern w:val="2"/>
          <w:sz w:val="32"/>
          <w:szCs w:val="32"/>
          <w:shd w:val="clear" w:fill="FFFFFF"/>
          <w:lang w:val="en-US" w:eastAsia="zh-CN" w:bidi="ar-SA"/>
        </w:rPr>
      </w:pPr>
      <w:bookmarkStart w:id="7" w:name="_Toc5264"/>
      <w:bookmarkStart w:id="8" w:name="_Toc35393794"/>
      <w:r>
        <w:rPr>
          <w:rFonts w:hint="eastAsia" w:ascii="仿宋" w:hAnsi="仿宋" w:eastAsia="仿宋" w:cs="仿宋"/>
          <w:b/>
          <w:bCs/>
          <w:color w:val="333333"/>
          <w:kern w:val="2"/>
          <w:sz w:val="32"/>
          <w:szCs w:val="32"/>
          <w:shd w:val="clear" w:fill="FFFFFF"/>
          <w:lang w:val="en-US" w:eastAsia="zh-CN" w:bidi="ar-SA"/>
        </w:rPr>
        <w:t>四、响应文件提交</w:t>
      </w:r>
      <w:bookmarkEnd w:id="7"/>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截止时间：2021年11月08日10:30（北京时间）</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w:t>
      </w:r>
      <w:bookmarkStart w:id="9" w:name="_Toc32434"/>
      <w:r>
        <w:rPr>
          <w:rFonts w:hint="eastAsia" w:ascii="仿宋" w:hAnsi="仿宋" w:eastAsia="仿宋" w:cs="仿宋"/>
          <w:i w:val="0"/>
          <w:iCs w:val="0"/>
          <w:color w:val="333333"/>
          <w:spacing w:val="0"/>
          <w:kern w:val="0"/>
          <w:sz w:val="32"/>
          <w:szCs w:val="32"/>
          <w:shd w:val="clear" w:fill="FFFFFF"/>
          <w:lang w:val="en-US" w:eastAsia="zh-CN" w:bidi="ar"/>
        </w:rPr>
        <w:t>政采云网上不见面开标系统</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1" w:firstLineChars="100"/>
        <w:textAlignment w:val="auto"/>
        <w:rPr>
          <w:rFonts w:hint="eastAsia" w:ascii="仿宋" w:hAnsi="仿宋" w:eastAsia="仿宋" w:cs="仿宋"/>
          <w:b/>
          <w:bCs/>
          <w:color w:val="333333"/>
          <w:kern w:val="2"/>
          <w:sz w:val="32"/>
          <w:szCs w:val="32"/>
          <w:shd w:val="clear" w:fill="FFFFFF"/>
          <w:lang w:val="en-US" w:eastAsia="zh-CN" w:bidi="ar-SA"/>
        </w:rPr>
      </w:pPr>
      <w:r>
        <w:rPr>
          <w:rFonts w:hint="eastAsia" w:ascii="仿宋" w:hAnsi="仿宋" w:eastAsia="仿宋" w:cs="仿宋"/>
          <w:b/>
          <w:bCs/>
          <w:color w:val="333333"/>
          <w:kern w:val="2"/>
          <w:sz w:val="32"/>
          <w:szCs w:val="32"/>
          <w:shd w:val="clear" w:fill="FFFFFF"/>
          <w:lang w:val="en-US" w:eastAsia="zh-CN" w:bidi="ar-SA"/>
        </w:rPr>
        <w:t>五、响应文件开启</w:t>
      </w:r>
      <w:bookmarkEnd w:id="9"/>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开启时间：2021年11月08日10:30（北京时间）</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地点：政采云网上不见面开标系统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仿宋" w:hAnsi="仿宋" w:eastAsia="仿宋" w:cs="仿宋"/>
          <w:b w:val="0"/>
          <w:bCs w:val="0"/>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六、</w:t>
      </w:r>
      <w:r>
        <w:rPr>
          <w:rFonts w:hint="eastAsia" w:ascii="仿宋" w:hAnsi="仿宋" w:eastAsia="仿宋" w:cs="仿宋"/>
          <w:b/>
          <w:bCs/>
          <w:color w:val="333333"/>
          <w:kern w:val="2"/>
          <w:sz w:val="32"/>
          <w:szCs w:val="32"/>
          <w:u w:val="none"/>
          <w:shd w:val="clear" w:fill="FFFFFF"/>
        </w:rPr>
        <w:t>公告期限</w:t>
      </w:r>
      <w:bookmarkEnd w:id="8"/>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640" w:firstLineChars="2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自本公告发布之日起5个工作日</w:t>
      </w:r>
      <w:bookmarkStart w:id="10" w:name="_Toc35393795"/>
      <w:r>
        <w:rPr>
          <w:rFonts w:hint="eastAsia" w:ascii="仿宋" w:hAnsi="仿宋" w:eastAsia="仿宋" w:cs="仿宋"/>
          <w:i w:val="0"/>
          <w:iCs w:val="0"/>
          <w:color w:val="333333"/>
          <w:spacing w:val="0"/>
          <w:kern w:val="0"/>
          <w:sz w:val="32"/>
          <w:szCs w:val="32"/>
          <w:shd w:val="clear" w:fill="FFFFFF"/>
          <w:lang w:val="en-US" w:eastAsia="zh-CN" w:bidi="ar"/>
        </w:rPr>
        <w:t>。</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七、其他补充事宜</w:t>
      </w:r>
      <w:bookmarkEnd w:id="10"/>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640" w:firstLineChars="200"/>
        <w:textAlignment w:val="auto"/>
        <w:rPr>
          <w:rFonts w:hint="eastAsia" w:ascii="仿宋" w:hAnsi="仿宋" w:eastAsia="仿宋" w:cs="仿宋"/>
          <w:i w:val="0"/>
          <w:iCs w:val="0"/>
          <w:color w:val="333333"/>
          <w:spacing w:val="0"/>
          <w:kern w:val="0"/>
          <w:sz w:val="32"/>
          <w:szCs w:val="32"/>
          <w:shd w:val="clear" w:fill="FFFFFF"/>
          <w:lang w:val="en-US" w:eastAsia="zh-CN" w:bidi="ar"/>
        </w:rPr>
      </w:pPr>
      <w:bookmarkStart w:id="11" w:name="_Toc28359008"/>
      <w:r>
        <w:rPr>
          <w:rFonts w:hint="eastAsia" w:ascii="仿宋" w:hAnsi="仿宋" w:eastAsia="仿宋" w:cs="仿宋"/>
          <w:i w:val="0"/>
          <w:iCs w:val="0"/>
          <w:color w:val="333333"/>
          <w:spacing w:val="0"/>
          <w:kern w:val="0"/>
          <w:sz w:val="32"/>
          <w:szCs w:val="32"/>
          <w:shd w:val="clear" w:fill="FFFFFF"/>
          <w:lang w:val="en-US" w:eastAsia="zh-CN" w:bidi="ar"/>
        </w:rPr>
        <w:t>1、本项目为政采云网上不见面开标，投标单位须提前办理CA锁</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640" w:firstLineChars="2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2、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left="639" w:leftChars="152" w:hanging="320" w:hanging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br w:type="textWrapping"/>
      </w:r>
      <w:r>
        <w:rPr>
          <w:rFonts w:hint="eastAsia" w:ascii="仿宋" w:hAnsi="仿宋" w:eastAsia="仿宋" w:cs="仿宋"/>
          <w:i w:val="0"/>
          <w:iCs w:val="0"/>
          <w:color w:val="333333"/>
          <w:spacing w:val="0"/>
          <w:kern w:val="0"/>
          <w:sz w:val="32"/>
          <w:szCs w:val="32"/>
          <w:shd w:val="clear" w:fill="FFFFFF"/>
          <w:lang w:val="en-US" w:eastAsia="zh-CN" w:bidi="ar"/>
        </w:rPr>
        <w:t>七、对本次招标提出询问，请按</w:t>
      </w:r>
      <w:bookmarkEnd w:id="11"/>
      <w:r>
        <w:rPr>
          <w:rFonts w:hint="eastAsia" w:ascii="仿宋" w:hAnsi="仿宋" w:eastAsia="仿宋" w:cs="仿宋"/>
          <w:i w:val="0"/>
          <w:iCs w:val="0"/>
          <w:color w:val="333333"/>
          <w:spacing w:val="0"/>
          <w:kern w:val="0"/>
          <w:sz w:val="32"/>
          <w:szCs w:val="32"/>
          <w:shd w:val="clear" w:fill="FFFFFF"/>
          <w:lang w:val="en-US" w:eastAsia="zh-CN" w:bidi="ar"/>
        </w:rPr>
        <w:t>以下方式联系。</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名    称：</w:t>
      </w:r>
      <w:bookmarkStart w:id="12" w:name="template-center-mark"/>
      <w:bookmarkEnd w:id="12"/>
      <w:r>
        <w:rPr>
          <w:rFonts w:hint="eastAsia" w:ascii="仿宋" w:hAnsi="仿宋" w:eastAsia="仿宋" w:cs="仿宋"/>
          <w:color w:val="333333"/>
          <w:kern w:val="2"/>
          <w:sz w:val="32"/>
          <w:szCs w:val="32"/>
          <w:shd w:val="clear" w:fill="FFFFFF"/>
          <w:lang w:val="en-US" w:eastAsia="zh-CN" w:bidi="ar"/>
        </w:rPr>
        <w:t>阿克苏商贸物流产业园管理委员会</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地    址：阿克苏电子商务产业园</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项目联系人（询问）：张作栋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项目联系方式（询问）：18299995000</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wordWrap/>
        <w:overflowPunct/>
        <w:topLinePunct w:val="0"/>
        <w:autoSpaceDE/>
        <w:autoSpaceDN/>
        <w:bidi w:val="0"/>
        <w:adjustRightInd/>
        <w:snapToGrid/>
        <w:spacing w:line="500" w:lineRule="exact"/>
        <w:ind w:left="958" w:leftChars="304" w:hanging="320" w:hangingChars="1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地    址：阿克苏市友谊北路19号丝路古镇奇石玉石博览旅游文化中心15-6</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960" w:firstLineChars="300"/>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val="en-US" w:eastAsia="zh-CN" w:bidi="ar"/>
        </w:rPr>
        <w:t>项目联系人（询问）： 王卫东  　　　</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 </w:t>
      </w:r>
      <w:r>
        <w:rPr>
          <w:rFonts w:hint="eastAsia" w:ascii="仿宋" w:hAnsi="仿宋" w:eastAsia="仿宋" w:cs="仿宋"/>
          <w:color w:val="333333"/>
          <w:kern w:val="2"/>
          <w:sz w:val="32"/>
          <w:szCs w:val="32"/>
          <w:shd w:val="clear" w:fill="FFFFFF"/>
          <w:lang w:val="en-US" w:eastAsia="zh-CN"/>
        </w:rPr>
        <w:t xml:space="preserve"> </w:t>
      </w:r>
      <w:r>
        <w:rPr>
          <w:rFonts w:hint="eastAsia" w:ascii="仿宋" w:hAnsi="仿宋" w:eastAsia="仿宋" w:cs="仿宋"/>
          <w:color w:val="333333"/>
          <w:kern w:val="2"/>
          <w:sz w:val="32"/>
          <w:szCs w:val="32"/>
          <w:shd w:val="clear" w:fill="FFFFFF"/>
        </w:rPr>
        <w:t>项目联系方式（询问）：</w:t>
      </w:r>
      <w:r>
        <w:rPr>
          <w:rFonts w:hint="eastAsia" w:ascii="仿宋" w:hAnsi="仿宋" w:eastAsia="仿宋" w:cs="仿宋"/>
          <w:color w:val="333333"/>
          <w:kern w:val="2"/>
          <w:sz w:val="32"/>
          <w:szCs w:val="32"/>
          <w:shd w:val="clear" w:fill="FFFFFF"/>
          <w:lang w:val="en-US" w:eastAsia="zh-CN"/>
        </w:rPr>
        <w:t>15739247887</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840" w:leftChars="0"/>
        <w:textAlignment w:val="auto"/>
        <w:rPr>
          <w:rFonts w:hint="eastAsia" w:ascii="仿宋" w:hAnsi="仿宋" w:eastAsia="仿宋" w:cs="仿宋"/>
          <w:b w:val="0"/>
          <w:bCs w:val="0"/>
          <w:color w:val="333333"/>
          <w:kern w:val="2"/>
          <w:sz w:val="32"/>
          <w:szCs w:val="32"/>
          <w:u w:val="none"/>
          <w:shd w:val="clear" w:fill="FFFFFF"/>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333333"/>
          <w:kern w:val="2"/>
          <w:sz w:val="32"/>
          <w:szCs w:val="32"/>
          <w:u w:val="single"/>
          <w:shd w:val="clear"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333333"/>
          <w:kern w:val="2"/>
          <w:sz w:val="32"/>
          <w:szCs w:val="32"/>
          <w:shd w:val="clear" w:fill="FFFFFF"/>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olor w:val="333333"/>
          <w:spacing w:val="0"/>
          <w:kern w:val="0"/>
          <w:sz w:val="32"/>
          <w:szCs w:val="32"/>
          <w:shd w:val="clear" w:fill="FFFFFF"/>
          <w:lang w:val="en-US" w:eastAsia="zh-CN" w:bidi="ar"/>
        </w:rPr>
      </w:pPr>
    </w:p>
    <w:p>
      <w:pPr>
        <w:pageBreakBefore w:val="0"/>
        <w:wordWrap/>
        <w:bidi w:val="0"/>
        <w:spacing w:line="700" w:lineRule="exact"/>
        <w:jc w:val="both"/>
        <w:outlineLvl w:val="0"/>
        <w:rPr>
          <w:rFonts w:hint="eastAsia" w:ascii="宋体" w:hAnsi="宋体" w:eastAsia="宋体" w:cs="宋体"/>
          <w:b/>
          <w:sz w:val="28"/>
          <w:szCs w:val="28"/>
        </w:rPr>
      </w:pPr>
    </w:p>
    <w:p>
      <w:pPr>
        <w:pageBreakBefore w:val="0"/>
        <w:numPr>
          <w:ilvl w:val="0"/>
          <w:numId w:val="3"/>
        </w:numPr>
        <w:wordWrap/>
        <w:bidi w:val="0"/>
        <w:spacing w:line="700" w:lineRule="exact"/>
        <w:ind w:firstLine="2530" w:firstLineChars="900"/>
        <w:jc w:val="both"/>
        <w:outlineLvl w:val="0"/>
        <w:rPr>
          <w:rFonts w:hint="eastAsia" w:ascii="宋体" w:hAnsi="宋体" w:eastAsia="宋体" w:cs="宋体"/>
          <w:b/>
          <w:sz w:val="28"/>
          <w:szCs w:val="28"/>
        </w:rPr>
      </w:pPr>
      <w:r>
        <w:rPr>
          <w:rFonts w:hint="eastAsia" w:ascii="宋体" w:hAnsi="宋体" w:eastAsia="宋体" w:cs="宋体"/>
          <w:b/>
          <w:sz w:val="28"/>
          <w:szCs w:val="28"/>
        </w:rPr>
        <w:t xml:space="preserve">  投标人须知前附表</w:t>
      </w:r>
      <w:bookmarkEnd w:id="0"/>
      <w:bookmarkEnd w:id="1"/>
      <w:bookmarkEnd w:id="2"/>
    </w:p>
    <w:p>
      <w:pPr>
        <w:pStyle w:val="2"/>
        <w:numPr>
          <w:ilvl w:val="0"/>
          <w:numId w:val="0"/>
        </w:numPr>
        <w:ind w:leftChars="-200"/>
        <w:rPr>
          <w:rFonts w:hint="eastAsia"/>
        </w:rPr>
      </w:pPr>
    </w:p>
    <w:tbl>
      <w:tblPr>
        <w:tblStyle w:val="3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94"/>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内容</w:t>
            </w:r>
          </w:p>
        </w:tc>
        <w:tc>
          <w:tcPr>
            <w:tcW w:w="6535" w:type="dxa"/>
            <w:vAlign w:val="center"/>
          </w:tcPr>
          <w:p>
            <w:pPr>
              <w:pStyle w:val="66"/>
              <w:keepNext w:val="0"/>
              <w:keepLines w:val="0"/>
              <w:pageBreakBefore w:val="0"/>
              <w:numPr>
                <w:ilvl w:val="0"/>
                <w:numId w:val="0"/>
              </w:numPr>
              <w:kinsoku/>
              <w:wordWrap/>
              <w:overflowPunct/>
              <w:topLinePunct w:val="0"/>
              <w:bidi w:val="0"/>
              <w:spacing w:before="0" w:after="0" w:line="400" w:lineRule="exact"/>
              <w:jc w:val="center"/>
              <w:rPr>
                <w:rFonts w:hint="eastAsia" w:ascii="宋体" w:hAnsi="宋体" w:eastAsia="宋体" w:cs="宋体"/>
                <w:bCs w:val="0"/>
                <w:sz w:val="24"/>
                <w:szCs w:val="24"/>
              </w:rPr>
            </w:pPr>
            <w:r>
              <w:rPr>
                <w:rFonts w:hint="eastAsia" w:ascii="宋体" w:hAnsi="宋体" w:eastAsia="宋体" w:cs="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w:t>
            </w:r>
          </w:p>
        </w:tc>
        <w:tc>
          <w:tcPr>
            <w:tcW w:w="2194" w:type="dxa"/>
            <w:vAlign w:val="center"/>
          </w:tcPr>
          <w:p>
            <w:pPr>
              <w:pStyle w:val="66"/>
              <w:keepNext w:val="0"/>
              <w:keepLines w:val="0"/>
              <w:pageBreakBefore w:val="0"/>
              <w:numPr>
                <w:ilvl w:val="0"/>
                <w:numId w:val="0"/>
              </w:numPr>
              <w:kinsoku/>
              <w:wordWrap/>
              <w:overflowPunct/>
              <w:topLinePunct w:val="0"/>
              <w:bidi w:val="0"/>
              <w:spacing w:before="0" w:after="0" w:line="400" w:lineRule="exact"/>
              <w:ind w:firstLine="241" w:firstLineChars="100"/>
              <w:jc w:val="center"/>
              <w:rPr>
                <w:rFonts w:hint="eastAsia" w:ascii="宋体" w:hAnsi="宋体" w:eastAsia="宋体" w:cs="宋体"/>
                <w:bCs w:val="0"/>
                <w:sz w:val="24"/>
                <w:szCs w:val="24"/>
              </w:rPr>
            </w:pPr>
            <w:r>
              <w:rPr>
                <w:rFonts w:hint="eastAsia" w:ascii="宋体" w:hAnsi="宋体" w:eastAsia="宋体" w:cs="宋体"/>
                <w:bCs w:val="0"/>
                <w:sz w:val="24"/>
                <w:szCs w:val="24"/>
              </w:rPr>
              <w:t>采购人</w:t>
            </w:r>
          </w:p>
        </w:tc>
        <w:tc>
          <w:tcPr>
            <w:tcW w:w="6535" w:type="dxa"/>
            <w:vAlign w:val="center"/>
          </w:tcPr>
          <w:p>
            <w:pPr>
              <w:pStyle w:val="33"/>
              <w:keepNext w:val="0"/>
              <w:keepLines w:val="0"/>
              <w:pageBreakBefore w:val="0"/>
              <w:widowControl/>
              <w:kinsoku/>
              <w:wordWrap/>
              <w:overflowPunct/>
              <w:topLinePunct w:val="0"/>
              <w:bidi w:val="0"/>
              <w:spacing w:before="75" w:after="75" w:line="400" w:lineRule="exact"/>
              <w:jc w:val="left"/>
              <w:rPr>
                <w:rFonts w:hint="eastAsia" w:ascii="宋体" w:hAnsi="宋体" w:eastAsia="宋体" w:cs="宋体"/>
                <w:kern w:val="0"/>
                <w:u w:val="none"/>
              </w:rPr>
            </w:pPr>
            <w:r>
              <w:rPr>
                <w:rFonts w:hint="eastAsia" w:ascii="宋体" w:hAnsi="宋体" w:eastAsia="宋体" w:cs="宋体"/>
                <w:kern w:val="0"/>
                <w:u w:val="none"/>
                <w:lang w:val="en-US" w:eastAsia="zh-CN"/>
              </w:rPr>
              <w:t>阿克苏商贸物流产业园管理委员会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采购代理机构</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kern w:val="0"/>
                <w:sz w:val="24"/>
                <w:szCs w:val="24"/>
                <w:u w:val="none"/>
                <w:lang w:val="en-US" w:eastAsia="zh-CN" w:bidi="ar-SA"/>
              </w:rPr>
              <w:t>新疆国际招标中心有限公司 </w:t>
            </w:r>
            <w:r>
              <w:rPr>
                <w:rFonts w:hint="eastAsia" w:ascii="宋体" w:hAnsi="宋体" w:eastAsia="宋体" w:cs="宋体"/>
                <w:color w:val="333333"/>
                <w:kern w:val="2"/>
                <w:sz w:val="32"/>
                <w:szCs w:val="32"/>
                <w:shd w:val="clear" w:fill="FFFFFF"/>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投标人资格要求</w:t>
            </w:r>
          </w:p>
        </w:tc>
        <w:tc>
          <w:tcPr>
            <w:tcW w:w="6535" w:type="dxa"/>
            <w:vAlign w:val="center"/>
          </w:tcPr>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（1）具有有效的营业执照副本（三证合一）；</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（2）法定代表人授权书及被委托人身份证（法定代表人投标提供法定代表人身份证明及身份证）；</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（3）参加采购活动前三年内，在经营活动中无重大违法声明(受行政主管部门的处罚不能参加投标)；</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（4）具备商物梁行业工程设计乙级及以上资质证书，商物梁行业工程咨询单位甲级资信证书，具有编制申报书评估报告经验，并在人员、设备等方面具有承担本项目的能力；</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（6）供应商提供针对本次项目《反商业贿赂承诺书》；</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sz w:val="24"/>
              </w:rPr>
            </w:pPr>
            <w:r>
              <w:rPr>
                <w:rFonts w:hint="eastAsia" w:ascii="宋体" w:hAnsi="宋体" w:eastAsia="宋体" w:cs="宋体"/>
              </w:rPr>
              <w:t>（8）本项目不接受联合体报名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u w:val="none"/>
                <w:lang w:eastAsia="zh-CN"/>
              </w:rPr>
            </w:pPr>
            <w:r>
              <w:rPr>
                <w:rFonts w:hint="eastAsia" w:ascii="宋体" w:hAnsi="宋体" w:eastAsia="宋体" w:cs="宋体"/>
                <w:color w:val="000000"/>
                <w:sz w:val="24"/>
                <w:u w:val="none"/>
                <w:lang w:val="en-US" w:eastAsia="zh-CN"/>
              </w:rPr>
              <w:t>《阿克苏国家骨干冷链物流基地申报书》编制项目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5</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供货期</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cs="宋体"/>
                <w:color w:val="0000FF"/>
                <w:kern w:val="0"/>
                <w:sz w:val="24"/>
                <w:lang w:val="en-US" w:eastAsia="zh-CN"/>
              </w:rPr>
              <w:t>30</w:t>
            </w:r>
            <w:r>
              <w:rPr>
                <w:rFonts w:hint="eastAsia" w:ascii="宋体" w:hAnsi="宋体" w:eastAsia="宋体" w:cs="宋体"/>
                <w:color w:val="0000FF"/>
                <w:kern w:val="0"/>
                <w:sz w:val="24"/>
              </w:rPr>
              <w:t>（日历天）具体时间以</w:t>
            </w:r>
            <w:r>
              <w:rPr>
                <w:rFonts w:hint="eastAsia" w:ascii="宋体" w:hAnsi="宋体" w:cs="宋体"/>
                <w:color w:val="0000FF"/>
                <w:kern w:val="0"/>
                <w:sz w:val="24"/>
                <w:lang w:eastAsia="zh-CN"/>
              </w:rPr>
              <w:t>合同为准</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6</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招标方式</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eastAsia="宋体" w:cs="宋体"/>
                <w:color w:val="000000"/>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7</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是否允许联合体</w:t>
            </w:r>
          </w:p>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投标</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8</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FF0000"/>
                <w:sz w:val="24"/>
              </w:rPr>
            </w:pPr>
            <w:r>
              <w:rPr>
                <w:rFonts w:hint="eastAsia" w:ascii="宋体" w:hAnsi="宋体" w:eastAsia="宋体" w:cs="宋体"/>
                <w:b/>
                <w:sz w:val="24"/>
              </w:rPr>
              <w:t>是否允许投报进口产品</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□是，允许的货物为</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9</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是否允许投标人将项目非主体、非关键性工作交由他人完成</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否。</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□是。中标人按照合同约定或者经采购人同意，可以将项目非主体、非关键性工作分包交由他人完成。此时，接受分包的人应当具备相应的资格条件，并不得再次分包。</w:t>
            </w:r>
          </w:p>
          <w:p>
            <w:pPr>
              <w:keepNext w:val="0"/>
              <w:keepLines w:val="0"/>
              <w:pageBreakBefore w:val="0"/>
              <w:kinsoku/>
              <w:wordWrap/>
              <w:overflowPunct/>
              <w:topLinePunct w:val="0"/>
              <w:bidi w:val="0"/>
              <w:spacing w:line="400" w:lineRule="exact"/>
              <w:ind w:firstLine="480"/>
              <w:rPr>
                <w:rFonts w:hint="eastAsia" w:ascii="宋体" w:hAnsi="宋体" w:eastAsia="宋体" w:cs="宋体"/>
                <w:kern w:val="0"/>
                <w:sz w:val="24"/>
                <w:u w:val="single"/>
              </w:rPr>
            </w:pPr>
            <w:r>
              <w:rPr>
                <w:rFonts w:hint="eastAsia" w:ascii="宋体" w:hAnsi="宋体" w:eastAsia="宋体" w:cs="宋体"/>
                <w:kern w:val="0"/>
                <w:sz w:val="24"/>
              </w:rPr>
              <w:t>分包内容要求：</w:t>
            </w:r>
            <w:r>
              <w:rPr>
                <w:rFonts w:hint="eastAsia" w:ascii="宋体" w:hAnsi="宋体" w:eastAsia="宋体" w:cs="宋体"/>
                <w:kern w:val="0"/>
                <w:sz w:val="24"/>
                <w:u w:val="single"/>
              </w:rPr>
              <w:t xml:space="preserve">                             </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kern w:val="0"/>
                <w:sz w:val="24"/>
                <w:u w:val="single"/>
              </w:rPr>
            </w:pPr>
            <w:r>
              <w:rPr>
                <w:rFonts w:hint="eastAsia" w:ascii="宋体" w:hAnsi="宋体" w:eastAsia="宋体" w:cs="宋体"/>
                <w:kern w:val="0"/>
                <w:sz w:val="24"/>
              </w:rPr>
              <w:t>分包金额要求：</w:t>
            </w:r>
            <w:r>
              <w:rPr>
                <w:rFonts w:hint="eastAsia" w:ascii="宋体" w:hAnsi="宋体" w:eastAsia="宋体" w:cs="宋体"/>
                <w:kern w:val="0"/>
                <w:sz w:val="24"/>
                <w:u w:val="single"/>
              </w:rPr>
              <w:t xml:space="preserve">                             </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接受分包的第三人资质要求：</w:t>
            </w:r>
            <w:r>
              <w:rPr>
                <w:rFonts w:hint="eastAsia" w:ascii="宋体" w:hAnsi="宋体" w:eastAsia="宋体" w:cs="宋体"/>
                <w:kern w:val="0"/>
                <w:sz w:val="24"/>
                <w:u w:val="single"/>
              </w:rPr>
              <w:t xml:space="preserve">                </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10</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答疑澄清</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Cs/>
                <w:sz w:val="24"/>
              </w:rPr>
            </w:pPr>
            <w:r>
              <w:rPr>
                <w:rFonts w:hint="eastAsia" w:ascii="宋体" w:hAnsi="宋体" w:eastAsia="宋体" w:cs="宋体"/>
                <w:kern w:val="0"/>
                <w:sz w:val="24"/>
              </w:rPr>
              <w:t>于</w:t>
            </w:r>
            <w:r>
              <w:rPr>
                <w:rFonts w:hint="eastAsia" w:ascii="宋体" w:hAnsi="宋体" w:eastAsia="宋体" w:cs="宋体"/>
                <w:kern w:val="0"/>
                <w:sz w:val="24"/>
                <w:u w:val="single"/>
              </w:rPr>
              <w:t xml:space="preserve"> 开标前5日 </w:t>
            </w:r>
            <w:r>
              <w:rPr>
                <w:rFonts w:hint="eastAsia" w:ascii="宋体" w:hAnsi="宋体" w:eastAsia="宋体" w:cs="宋体"/>
                <w:bCs/>
                <w:sz w:val="24"/>
              </w:rPr>
              <w:t>接受投标人疑问或澄清要求（逾期不予受理）。</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提交方式：</w:t>
            </w:r>
            <w:r>
              <w:rPr>
                <w:rFonts w:hint="eastAsia" w:ascii="宋体" w:hAnsi="宋体" w:eastAsia="宋体" w:cs="宋体"/>
                <w:bCs/>
                <w:sz w:val="24"/>
              </w:rPr>
              <w:t>提交纸质材料以及营业执照复印件和授权委托书并加盖投标人公章。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11</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投标有效期</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自投标截止之日起</w:t>
            </w:r>
            <w:r>
              <w:rPr>
                <w:rFonts w:hint="eastAsia" w:ascii="宋体" w:hAnsi="宋体" w:eastAsia="宋体" w:cs="宋体"/>
                <w:sz w:val="24"/>
                <w:u w:val="single"/>
              </w:rPr>
              <w:t>60</w:t>
            </w:r>
            <w:r>
              <w:rPr>
                <w:rFonts w:hint="eastAsia" w:ascii="宋体" w:hAnsi="宋体" w:eastAsia="宋体" w:cs="宋体"/>
                <w:sz w:val="24"/>
                <w:u w:val="single"/>
                <w:lang w:val="zh-CN"/>
              </w:rPr>
              <w:t xml:space="preserve"> </w:t>
            </w:r>
            <w:r>
              <w:rPr>
                <w:rFonts w:hint="eastAsia" w:ascii="宋体" w:hAnsi="宋体" w:eastAsia="宋体" w:cs="宋体"/>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12</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投标人在投标截止时间前提交的文件</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投标人认为参与投标应当提交的其他材料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投标文件份数</w:t>
            </w:r>
          </w:p>
        </w:tc>
        <w:tc>
          <w:tcPr>
            <w:tcW w:w="6535" w:type="dxa"/>
            <w:vAlign w:val="center"/>
          </w:tcPr>
          <w:p>
            <w:pPr>
              <w:pStyle w:val="46"/>
              <w:keepNext w:val="0"/>
              <w:keepLines w:val="0"/>
              <w:pageBreakBefore w:val="0"/>
              <w:kinsoku/>
              <w:wordWrap/>
              <w:overflowPunct/>
              <w:topLinePunct w:val="0"/>
              <w:bidi w:val="0"/>
              <w:spacing w:line="400" w:lineRule="exact"/>
              <w:ind w:firstLine="0" w:firstLineChars="0"/>
              <w:rPr>
                <w:rFonts w:hint="eastAsia" w:ascii="宋体" w:hAnsi="宋体" w:eastAsia="宋体" w:cs="宋体"/>
                <w:lang w:eastAsia="zh-CN"/>
              </w:rPr>
            </w:pPr>
            <w:r>
              <w:rPr>
                <w:rFonts w:hint="eastAsia" w:ascii="宋体" w:hAnsi="宋体" w:eastAsia="宋体" w:cs="宋体"/>
              </w:rPr>
              <w:t>正本壹份、副本肆份，分册采用死页胶装方式装订,装订应牢固、不易拆散和换页，不得采用活页装订。</w:t>
            </w:r>
            <w:r>
              <w:rPr>
                <w:rFonts w:hint="eastAsia" w:ascii="宋体" w:hAnsi="宋体" w:eastAsia="宋体" w:cs="宋体"/>
                <w:lang w:eastAsia="zh-CN"/>
              </w:rPr>
              <w:t>（招标活动截止</w:t>
            </w:r>
            <w:r>
              <w:rPr>
                <w:rFonts w:hint="eastAsia" w:ascii="宋体" w:hAnsi="宋体" w:cs="宋体"/>
                <w:lang w:eastAsia="zh-CN"/>
              </w:rPr>
              <w:t>后</w:t>
            </w:r>
            <w:r>
              <w:rPr>
                <w:rFonts w:hint="eastAsia" w:ascii="宋体" w:hAnsi="宋体" w:eastAsia="宋体" w:cs="宋体"/>
                <w:lang w:eastAsia="zh-CN"/>
              </w:rPr>
              <w:t>按招标代理要求提供纸质版）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投标保证金</w:t>
            </w:r>
          </w:p>
        </w:tc>
        <w:tc>
          <w:tcPr>
            <w:tcW w:w="6535" w:type="dxa"/>
            <w:vAlign w:val="bottom"/>
          </w:tcPr>
          <w:p>
            <w:pPr>
              <w:keepNext w:val="0"/>
              <w:keepLines w:val="0"/>
              <w:pageBreakBefore w:val="0"/>
              <w:widowControl/>
              <w:kinsoku/>
              <w:wordWrap/>
              <w:overflowPunct/>
              <w:topLinePunct w:val="0"/>
              <w:bidi w:val="0"/>
              <w:spacing w:line="400" w:lineRule="exact"/>
              <w:jc w:val="both"/>
              <w:rPr>
                <w:rFonts w:hint="eastAsia" w:ascii="宋体" w:hAnsi="宋体" w:eastAsia="宋体" w:cs="宋体"/>
                <w:kern w:val="0"/>
                <w:sz w:val="24"/>
                <w:lang w:eastAsia="zh-CN"/>
              </w:rPr>
            </w:pPr>
            <w:r>
              <w:rPr>
                <w:rFonts w:hint="eastAsia" w:ascii="宋体" w:hAnsi="宋体" w:eastAsia="宋体" w:cs="宋体"/>
                <w:kern w:val="0"/>
                <w:sz w:val="24"/>
                <w:lang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15</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中小微型企业</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有关政策</w:t>
            </w:r>
          </w:p>
        </w:tc>
        <w:tc>
          <w:tcPr>
            <w:tcW w:w="6535" w:type="dxa"/>
            <w:tcBorders>
              <w:top w:val="single" w:color="auto" w:sz="4" w:space="0"/>
            </w:tcBorders>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(1)根据工信部等部委发布的《关于印发中小企业划型标准规定的通知》（工信部联企业[2011]300号）规定执行；</w:t>
            </w:r>
          </w:p>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(2)按照《财政部司法部关于政府采购支持监狱企业发展有关问题的通知》（财库[2014]68号）文件规定，在政府采购活动中，监狱企业视同小型、微型企业，享受评审中价格扣除的政府采购政策；</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 xml:space="preserve">(3)价格扣除幅度：小型、微型企业产品价格给予6%的扣除。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16</w:t>
            </w:r>
          </w:p>
        </w:tc>
        <w:tc>
          <w:tcPr>
            <w:tcW w:w="2194" w:type="dxa"/>
            <w:vAlign w:val="center"/>
          </w:tcPr>
          <w:p>
            <w:pPr>
              <w:keepNext w:val="0"/>
              <w:keepLines w:val="0"/>
              <w:pageBreakBefore w:val="0"/>
              <w:widowControl/>
              <w:kinsoku/>
              <w:wordWrap/>
              <w:overflowPunct/>
              <w:topLinePunct w:val="0"/>
              <w:bidi w:val="0"/>
              <w:spacing w:line="400" w:lineRule="exact"/>
              <w:jc w:val="center"/>
              <w:rPr>
                <w:rFonts w:hint="eastAsia" w:ascii="宋体" w:hAnsi="宋体" w:eastAsia="宋体" w:cs="宋体"/>
                <w:b/>
                <w:bCs/>
                <w:kern w:val="0"/>
                <w:sz w:val="24"/>
              </w:rPr>
            </w:pPr>
            <w:r>
              <w:rPr>
                <w:rFonts w:hint="eastAsia" w:ascii="宋体" w:hAnsi="宋体" w:eastAsia="宋体" w:cs="宋体"/>
                <w:b/>
                <w:bCs/>
                <w:spacing w:val="-10"/>
                <w:sz w:val="24"/>
              </w:rPr>
              <w:t>是否授权评标委员会确定中标人</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□是</w:t>
            </w:r>
          </w:p>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sz w:val="24"/>
              </w:rPr>
              <w:t>否，推荐的中标候选人数：</w:t>
            </w:r>
            <w:r>
              <w:rPr>
                <w:rFonts w:hint="eastAsia" w:ascii="宋体" w:hAnsi="宋体" w:eastAsia="宋体" w:cs="宋体"/>
                <w:sz w:val="24"/>
                <w:u w:val="single"/>
              </w:rPr>
              <w:t xml:space="preserve"> 3 </w:t>
            </w:r>
            <w:r>
              <w:rPr>
                <w:rFonts w:hint="eastAsia" w:ascii="宋体" w:hAnsi="宋体" w:eastAsia="宋体" w:cs="宋体"/>
                <w:sz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17</w:t>
            </w:r>
          </w:p>
        </w:tc>
        <w:tc>
          <w:tcPr>
            <w:tcW w:w="2194" w:type="dxa"/>
            <w:vAlign w:val="center"/>
          </w:tcPr>
          <w:p>
            <w:pPr>
              <w:keepNext w:val="0"/>
              <w:keepLines w:val="0"/>
              <w:pageBreakBefore w:val="0"/>
              <w:widowControl/>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bCs/>
                <w:color w:val="000000"/>
                <w:spacing w:val="-10"/>
                <w:sz w:val="24"/>
              </w:rPr>
              <w:t>中标候选人公示媒介</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color w:val="000000"/>
                <w:kern w:val="0"/>
                <w:sz w:val="24"/>
                <w:lang w:eastAsia="zh-CN"/>
              </w:rPr>
            </w:pPr>
            <w:r>
              <w:rPr>
                <w:rFonts w:hint="eastAsia" w:ascii="宋体" w:hAnsi="宋体" w:eastAsia="宋体" w:cs="宋体"/>
                <w:color w:val="000000"/>
                <w:spacing w:val="-10"/>
                <w:sz w:val="24"/>
              </w:rPr>
              <w:t>政采云（https://www.zcygov.cn）</w:t>
            </w:r>
            <w:r>
              <w:rPr>
                <w:rFonts w:hint="eastAsia" w:ascii="宋体" w:hAnsi="宋体" w:eastAsia="宋体" w:cs="宋体"/>
                <w:color w:val="000000"/>
                <w:spacing w:val="-10"/>
                <w:sz w:val="24"/>
                <w:lang w:eastAsia="zh-CN"/>
              </w:rPr>
              <w:t>、阿克苏政府网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18</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FF0000"/>
                <w:kern w:val="0"/>
                <w:sz w:val="24"/>
              </w:rPr>
            </w:pPr>
            <w:r>
              <w:rPr>
                <w:rFonts w:hint="eastAsia" w:ascii="宋体" w:hAnsi="宋体" w:eastAsia="宋体" w:cs="宋体"/>
                <w:b/>
                <w:color w:val="FF0000"/>
                <w:kern w:val="0"/>
                <w:sz w:val="24"/>
              </w:rPr>
              <w:t>履约保证金</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FF0000"/>
                <w:sz w:val="24"/>
              </w:rPr>
            </w:pPr>
            <w:r>
              <w:rPr>
                <w:rFonts w:hint="eastAsia" w:ascii="宋体" w:hAnsi="宋体" w:eastAsia="宋体" w:cs="宋体"/>
                <w:color w:val="FF0000"/>
                <w:sz w:val="24"/>
              </w:rPr>
              <w:t>交纳时间：成交供应商收到成交通知书后（签订合同前）向采购人缴纳。</w:t>
            </w:r>
          </w:p>
          <w:p>
            <w:pPr>
              <w:keepNext w:val="0"/>
              <w:keepLines w:val="0"/>
              <w:pageBreakBefore w:val="0"/>
              <w:kinsoku/>
              <w:wordWrap/>
              <w:overflowPunct/>
              <w:topLinePunct w:val="0"/>
              <w:bidi w:val="0"/>
              <w:spacing w:line="400" w:lineRule="exact"/>
              <w:rPr>
                <w:rFonts w:hint="eastAsia" w:ascii="宋体" w:hAnsi="宋体" w:eastAsia="宋体" w:cs="宋体"/>
                <w:bCs/>
                <w:color w:val="FF0000"/>
                <w:kern w:val="0"/>
                <w:sz w:val="24"/>
              </w:rPr>
            </w:pPr>
            <w:r>
              <w:rPr>
                <w:rFonts w:hint="eastAsia" w:ascii="宋体" w:hAnsi="宋体" w:eastAsia="宋体" w:cs="宋体"/>
                <w:color w:val="FF0000"/>
                <w:sz w:val="24"/>
              </w:rPr>
              <w:t>交纳金额：成交价的</w:t>
            </w:r>
            <w:r>
              <w:rPr>
                <w:rFonts w:hint="eastAsia" w:ascii="宋体" w:hAnsi="宋体" w:eastAsia="宋体" w:cs="宋体"/>
                <w:color w:val="FF0000"/>
                <w:sz w:val="24"/>
                <w:lang w:val="en-US" w:eastAsia="zh-CN"/>
              </w:rPr>
              <w:t>5</w:t>
            </w:r>
            <w:r>
              <w:rPr>
                <w:rFonts w:hint="eastAsia" w:ascii="宋体" w:hAnsi="宋体" w:eastAsia="宋体" w:cs="宋体"/>
                <w:color w:val="FF0000"/>
                <w:sz w:val="24"/>
              </w:rPr>
              <w:t>%</w:t>
            </w:r>
          </w:p>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FF0000"/>
                <w:sz w:val="24"/>
              </w:rPr>
            </w:pPr>
            <w:r>
              <w:rPr>
                <w:rFonts w:hint="eastAsia" w:ascii="宋体" w:hAnsi="宋体" w:eastAsia="宋体" w:cs="宋体"/>
                <w:color w:val="FF0000"/>
                <w:sz w:val="24"/>
              </w:rPr>
              <w:t>履约保证金形式：银行转账。</w:t>
            </w:r>
          </w:p>
          <w:p>
            <w:pPr>
              <w:keepNext w:val="0"/>
              <w:keepLines w:val="0"/>
              <w:pageBreakBefore w:val="0"/>
              <w:kinsoku/>
              <w:wordWrap/>
              <w:overflowPunct/>
              <w:topLinePunct w:val="0"/>
              <w:bidi w:val="0"/>
              <w:spacing w:line="400" w:lineRule="exact"/>
              <w:rPr>
                <w:rFonts w:hint="eastAsia" w:ascii="宋体" w:hAnsi="宋体" w:eastAsia="宋体" w:cs="宋体"/>
                <w:bCs/>
                <w:color w:val="FF0000"/>
                <w:kern w:val="0"/>
                <w:sz w:val="24"/>
              </w:rPr>
            </w:pPr>
            <w:r>
              <w:rPr>
                <w:rFonts w:hint="eastAsia" w:ascii="宋体" w:hAnsi="宋体" w:eastAsia="宋体" w:cs="宋体"/>
                <w:color w:val="FF0000"/>
                <w:sz w:val="24"/>
              </w:rPr>
              <w:t>项目完成且验收合格无质量问题后原路退还。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19</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代理服务费</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成交单位在领取本项目成交通知书时，按照《国家计委关于印发招标代理服务收费管理暂行办法的通知参照发改价格【2015】299号文,经与委托方协商中标服务费由中标单位支付。支比例为：参照发改价格【2002】1980号文的计算方法收取。</w:t>
            </w:r>
          </w:p>
          <w:tbl>
            <w:tblPr>
              <w:tblStyle w:val="35"/>
              <w:tblW w:w="11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51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721"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服务费类型中标金额（万元）</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收费标准（差额定率累进）</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100以下</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1.2%</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100-500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0.7%</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500-1000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0.4%</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1000-5000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0.2%</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bl>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20</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争议的解决</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协商解决；无法协商的提交当地人民法院判决。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21</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是否需要</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提交样品</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ind w:left="360" w:hanging="360"/>
              <w:rPr>
                <w:rFonts w:hint="eastAsia" w:ascii="宋体" w:hAnsi="宋体" w:eastAsia="宋体" w:cs="宋体"/>
                <w:sz w:val="24"/>
                <w:lang w:val="zh-CN"/>
              </w:rPr>
            </w:pPr>
            <w:r>
              <w:rPr>
                <w:rFonts w:hint="eastAsia" w:ascii="宋体" w:hAnsi="宋体" w:eastAsia="宋体" w:cs="宋体"/>
                <w:sz w:val="24"/>
                <w:lang w:val="zh-CN"/>
              </w:rPr>
              <w:t>☑不需要</w:t>
            </w:r>
          </w:p>
          <w:p>
            <w:pPr>
              <w:keepNext w:val="0"/>
              <w:keepLines w:val="0"/>
              <w:pageBreakBefore w:val="0"/>
              <w:kinsoku/>
              <w:wordWrap/>
              <w:overflowPunct/>
              <w:topLinePunct w:val="0"/>
              <w:autoSpaceDE w:val="0"/>
              <w:autoSpaceDN w:val="0"/>
              <w:bidi w:val="0"/>
              <w:adjustRightInd w:val="0"/>
              <w:spacing w:line="400" w:lineRule="exact"/>
              <w:ind w:left="360" w:hanging="360"/>
              <w:rPr>
                <w:rFonts w:hint="eastAsia" w:ascii="宋体" w:hAnsi="宋体" w:eastAsia="宋体" w:cs="宋体"/>
                <w:sz w:val="24"/>
              </w:rPr>
            </w:pPr>
            <w:r>
              <w:rPr>
                <w:rFonts w:hint="eastAsia" w:ascii="宋体" w:hAnsi="宋体" w:eastAsia="宋体" w:cs="宋体"/>
                <w:sz w:val="24"/>
                <w:lang w:val="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22</w:t>
            </w:r>
          </w:p>
        </w:tc>
        <w:tc>
          <w:tcPr>
            <w:tcW w:w="2194" w:type="dxa"/>
            <w:vAlign w:val="center"/>
          </w:tcPr>
          <w:p>
            <w:pPr>
              <w:keepNext w:val="0"/>
              <w:keepLines w:val="0"/>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采购预算金额</w:t>
            </w:r>
          </w:p>
        </w:tc>
        <w:tc>
          <w:tcPr>
            <w:tcW w:w="6535" w:type="dxa"/>
            <w:vAlign w:val="center"/>
          </w:tcPr>
          <w:p>
            <w:pPr>
              <w:pStyle w:val="2"/>
              <w:keepNext w:val="0"/>
              <w:keepLines w:val="0"/>
              <w:pageBreakBefore w:val="0"/>
              <w:kinsoku/>
              <w:wordWrap/>
              <w:overflowPunct/>
              <w:topLinePunct w:val="0"/>
              <w:bidi w:val="0"/>
              <w:spacing w:line="400" w:lineRule="exact"/>
              <w:ind w:left="202" w:leftChars="1" w:firstLineChars="0"/>
              <w:rPr>
                <w:rFonts w:hint="eastAsia" w:ascii="宋体" w:hAnsi="宋体" w:eastAsia="宋体" w:cs="宋体"/>
                <w:sz w:val="24"/>
                <w:szCs w:val="24"/>
              </w:rPr>
            </w:pP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lang w:val="en-US" w:eastAsia="zh-CN"/>
              </w:rPr>
              <w:t>0000</w:t>
            </w:r>
            <w:r>
              <w:rPr>
                <w:rFonts w:hint="eastAsia" w:ascii="宋体" w:hAnsi="宋体" w:eastAsia="宋体" w:cs="宋体"/>
                <w:b/>
                <w:bCs/>
                <w:color w:val="000000"/>
                <w:sz w:val="24"/>
                <w:szCs w:val="24"/>
              </w:rPr>
              <w:t>0元（大写：</w:t>
            </w:r>
            <w:r>
              <w:rPr>
                <w:rFonts w:hint="eastAsia" w:ascii="宋体" w:hAnsi="宋体" w:cs="宋体"/>
                <w:b/>
                <w:bCs/>
                <w:color w:val="000000"/>
                <w:sz w:val="24"/>
                <w:szCs w:val="24"/>
                <w:lang w:eastAsia="zh-CN"/>
              </w:rPr>
              <w:t>柒</w:t>
            </w:r>
            <w:r>
              <w:rPr>
                <w:rFonts w:hint="eastAsia" w:ascii="宋体" w:hAnsi="宋体" w:eastAsia="宋体" w:cs="宋体"/>
                <w:b/>
                <w:bCs/>
                <w:color w:val="000000"/>
                <w:sz w:val="24"/>
                <w:szCs w:val="24"/>
              </w:rPr>
              <w:t>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23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bCs/>
                <w:color w:val="0000FF"/>
                <w:sz w:val="24"/>
                <w:lang w:eastAsia="zh-CN"/>
              </w:rPr>
            </w:pPr>
            <w:r>
              <w:rPr>
                <w:rFonts w:hint="eastAsia" w:ascii="宋体" w:hAnsi="宋体" w:eastAsia="宋体" w:cs="宋体"/>
                <w:b/>
                <w:bCs/>
                <w:color w:val="0000FF"/>
                <w:sz w:val="24"/>
              </w:rPr>
              <w:t>开标现场</w:t>
            </w:r>
            <w:r>
              <w:rPr>
                <w:rFonts w:hint="eastAsia" w:ascii="宋体" w:hAnsi="宋体" w:cs="宋体"/>
                <w:b/>
                <w:bCs/>
                <w:color w:val="0000FF"/>
                <w:sz w:val="24"/>
                <w:lang w:eastAsia="zh-CN"/>
              </w:rPr>
              <w:t>备查</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lang w:eastAsia="zh-CN"/>
              </w:rPr>
            </w:pPr>
            <w:r>
              <w:rPr>
                <w:rFonts w:hint="eastAsia" w:ascii="宋体" w:hAnsi="宋体" w:eastAsia="宋体" w:cs="宋体"/>
                <w:color w:val="000000"/>
                <w:sz w:val="24"/>
              </w:rPr>
              <w:t>按照本须知的规定，招标人邀请所有投标人的法定代表人或其委托代理人参加开标会。投标人的法定代表人或其委托代理人应当按时参加开标会</w:t>
            </w:r>
            <w:r>
              <w:rPr>
                <w:rFonts w:hint="eastAsia" w:ascii="宋体" w:hAnsi="宋体" w:eastAsia="宋体" w:cs="宋体"/>
                <w:color w:val="000000"/>
                <w:sz w:val="24"/>
                <w:lang w:eastAsia="zh-CN"/>
              </w:rPr>
              <w:t>。</w:t>
            </w:r>
          </w:p>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eastAsia="宋体" w:cs="宋体"/>
                <w:color w:val="000000"/>
                <w:sz w:val="24"/>
              </w:rPr>
              <w:t>开标前，请各投标人随身携带下列有效证件以备随时查验：</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（1）具有有效的营业执照副本扫描件（三证合一）；</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（2）法定代表人授权书及被委托人身份证（法定代表人投标提供法定代表人身份证明及身份证）；</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（3）参加采购活动前三年内，在经营活动中无重大违法声明(受行政主管部门的处罚不能参加投标)；</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color w:val="0000FF"/>
              </w:rPr>
            </w:pPr>
            <w:r>
              <w:rPr>
                <w:rFonts w:hint="eastAsia" w:ascii="宋体" w:hAnsi="宋体" w:eastAsia="宋体" w:cs="宋体"/>
              </w:rPr>
              <w:t>（4</w:t>
            </w:r>
            <w:r>
              <w:rPr>
                <w:rFonts w:hint="eastAsia" w:ascii="宋体" w:hAnsi="宋体" w:eastAsia="宋体" w:cs="宋体"/>
                <w:color w:val="0000FF"/>
              </w:rPr>
              <w:t>）</w:t>
            </w:r>
            <w:r>
              <w:rPr>
                <w:rFonts w:hint="eastAsia" w:ascii="宋体" w:hAnsi="宋体" w:eastAsia="宋体" w:cs="宋体"/>
                <w:color w:val="0000FF"/>
                <w:lang w:val="en-US" w:eastAsia="zh-CN"/>
              </w:rPr>
              <w:t>具备商物梁行业工程设计乙级及以上资质证书，商物梁行业工程咨询单位甲级资信证书，具有编制申报书评估报告经验，并在人员、设备等方面具有承担本项目的能力；</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（6）供应商提供针对本次项目《反商业贿赂承诺书》；</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kern w:val="2"/>
                <w:sz w:val="24"/>
                <w:szCs w:val="24"/>
                <w:lang w:val="en-US" w:eastAsia="zh-CN" w:bidi="ar-SA"/>
              </w:rPr>
              <w:t>8）本项目不接受联合体报名</w:t>
            </w:r>
            <w:r>
              <w:rPr>
                <w:rFonts w:hint="eastAsia" w:ascii="宋体" w:hAnsi="宋体" w:eastAsia="宋体" w:cs="宋体"/>
              </w:rPr>
              <w:br w:type="textWrapping"/>
            </w:r>
            <w:r>
              <w:rPr>
                <w:rFonts w:hint="eastAsia" w:ascii="宋体" w:hAnsi="宋体" w:eastAsia="宋体" w:cs="宋体"/>
                <w:b/>
                <w:bCs/>
                <w:color w:val="000000"/>
                <w:sz w:val="24"/>
              </w:rPr>
              <w:t>以上所提供证件齐全、合格有效，满足要求的投标人为有效投标人。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24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二轮报价</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
                <w:bCs/>
                <w:color w:val="000000"/>
                <w:sz w:val="24"/>
              </w:rPr>
            </w:pPr>
            <w:r>
              <w:rPr>
                <w:rFonts w:hint="eastAsia" w:ascii="宋体" w:hAnsi="宋体" w:eastAsia="宋体" w:cs="宋体"/>
                <w:b/>
                <w:bCs/>
                <w:color w:val="000000"/>
                <w:sz w:val="24"/>
              </w:rPr>
              <w:t>代理机构开启第二轮报价后，各供应商应尽快在政采云系统提交各自的第二轮报价，超过30分钟（自代理机构开启第二轮报价环节起计算）未提交二轮报价的视为放弃投标。敬请注意！！整个开标环节需要供应商在系统确认的报价等信息最长时限均为30分钟，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FF"/>
                <w:kern w:val="0"/>
                <w:sz w:val="24"/>
              </w:rPr>
            </w:pPr>
            <w:r>
              <w:rPr>
                <w:rFonts w:hint="eastAsia" w:ascii="宋体" w:hAnsi="宋体" w:eastAsia="宋体" w:cs="宋体"/>
                <w:b/>
                <w:color w:val="0000FF"/>
                <w:kern w:val="0"/>
                <w:sz w:val="24"/>
              </w:rPr>
              <w:t>其他约定</w:t>
            </w:r>
          </w:p>
        </w:tc>
        <w:tc>
          <w:tcPr>
            <w:tcW w:w="6535" w:type="dxa"/>
            <w:vAlign w:val="center"/>
          </w:tcPr>
          <w:p>
            <w:pPr>
              <w:pStyle w:val="19"/>
              <w:keepNext w:val="0"/>
              <w:keepLines w:val="0"/>
              <w:pageBreakBefore w:val="0"/>
              <w:widowControl w:val="0"/>
              <w:kinsoku/>
              <w:wordWrap/>
              <w:overflowPunct/>
              <w:topLinePunct w:val="0"/>
              <w:bidi w:val="0"/>
              <w:snapToGrid/>
              <w:spacing w:line="400" w:lineRule="exact"/>
              <w:ind w:left="0" w:leftChars="0" w:right="-10" w:firstLine="0" w:firstLineChars="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rPr>
              <w:t>1、</w:t>
            </w:r>
            <w:r>
              <w:rPr>
                <w:rFonts w:hint="eastAsia" w:ascii="宋体" w:hAnsi="宋体" w:eastAsia="宋体" w:cs="宋体"/>
                <w:b/>
                <w:bCs/>
                <w:color w:val="000000"/>
                <w:kern w:val="2"/>
                <w:sz w:val="24"/>
                <w:szCs w:val="24"/>
                <w:lang w:val="en-US" w:eastAsia="zh-CN" w:bidi="ar-SA"/>
              </w:rPr>
              <w:t>投标人应依照招标文件要求在投标文件中提供相关材料原件的扫描件。</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2、投标人必须严格遵守，如有违反，将按相关规定予以处理。</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3、投标人通过政采云电子投标客户端制作投标文件，若投标人参与投标,自行承担与投标有关的一切费用。</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4、各投标人应在开标前确保成为新疆维吾尔自治区政府采购网正式注册入库投标人，并完成CA数字证书申领。因未注册入库、未办理CA数字证书等原因造成无法投标或投标失败等后果由投标人自行承担。</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5、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各投标人应随时关注项目信息并及时在新疆政府采购网下载招标文件，本项目递交投标文件截止时间和计划工期等事宜最终以招标文件为准。如有必要对招标文件澄清和修改的将在本网站及时发布，澄清文件一旦发布即视为以书面形式通知所有潜在投标人，请各投标人自行关注本次招标项目相关信息的变更情况，否则所造成的一切后果由投标人自负。</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FF"/>
                <w:sz w:val="24"/>
              </w:rPr>
            </w:pPr>
            <w:r>
              <w:rPr>
                <w:rFonts w:hint="eastAsia" w:ascii="宋体" w:hAnsi="宋体" w:eastAsia="宋体" w:cs="宋体"/>
                <w:b/>
                <w:bCs/>
                <w:color w:val="000000"/>
                <w:kern w:val="2"/>
                <w:sz w:val="24"/>
                <w:szCs w:val="24"/>
                <w:lang w:val="en-US" w:eastAsia="zh-CN" w:bidi="ar-SA"/>
              </w:rPr>
              <w:t>5.本项目需要投标人须电脑下载谷歌浏览器，并需要配备摄像头及麦克风。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p>
        </w:tc>
        <w:tc>
          <w:tcPr>
            <w:tcW w:w="2194" w:type="dxa"/>
            <w:vAlign w:val="center"/>
          </w:tcPr>
          <w:p>
            <w:pPr>
              <w:keepNext w:val="0"/>
              <w:keepLines w:val="0"/>
              <w:pageBreakBefore w:val="0"/>
              <w:kinsoku/>
              <w:wordWrap/>
              <w:overflowPunct/>
              <w:topLinePunct w:val="0"/>
              <w:bidi w:val="0"/>
              <w:adjustRightInd w:val="0"/>
              <w:snapToGrid w:val="0"/>
              <w:spacing w:before="120" w:beforeLines="50" w:line="400" w:lineRule="exact"/>
              <w:jc w:val="center"/>
              <w:rPr>
                <w:rFonts w:hint="eastAsia" w:ascii="宋体" w:hAnsi="宋体" w:eastAsia="宋体" w:cs="宋体"/>
                <w:b/>
                <w:kern w:val="0"/>
                <w:sz w:val="24"/>
              </w:rPr>
            </w:pPr>
            <w:r>
              <w:rPr>
                <w:rFonts w:hint="eastAsia" w:ascii="宋体" w:hAnsi="宋体" w:eastAsia="宋体" w:cs="宋体"/>
                <w:b/>
                <w:bCs/>
                <w:sz w:val="24"/>
              </w:rPr>
              <w:t>备注</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注：1、本表中加★项目若有缺失或无效，将导致投标无效且不允许在开标后补正；</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2、本表内容与招标文件其它内容不一致的，应当以本表内容为准。</w:t>
            </w:r>
          </w:p>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kern w:val="0"/>
                <w:sz w:val="24"/>
              </w:rPr>
              <w:t>3、本表中“</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”标示选择使用该项，“□”标示不选择使用该项。</w:t>
            </w:r>
          </w:p>
        </w:tc>
      </w:tr>
    </w:tbl>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bookmarkStart w:id="13" w:name="_Toc33194701"/>
      <w:bookmarkStart w:id="14" w:name="_Toc33556256"/>
      <w:bookmarkStart w:id="15" w:name="_Toc33212755"/>
      <w:bookmarkStart w:id="16" w:name="_Toc1313"/>
    </w:p>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p>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p>
    <w:p>
      <w:pPr>
        <w:pageBreakBefore w:val="0"/>
        <w:wordWrap/>
        <w:bidi w:val="0"/>
        <w:spacing w:line="700" w:lineRule="exact"/>
        <w:rPr>
          <w:rFonts w:hint="eastAsia" w:ascii="宋体" w:hAnsi="宋体" w:eastAsia="宋体" w:cs="宋体"/>
          <w:b/>
          <w:sz w:val="28"/>
          <w:szCs w:val="28"/>
        </w:rPr>
      </w:pPr>
      <w:r>
        <w:rPr>
          <w:rFonts w:hint="eastAsia" w:ascii="宋体" w:hAnsi="宋体" w:eastAsia="宋体" w:cs="宋体"/>
          <w:b/>
          <w:sz w:val="28"/>
          <w:szCs w:val="28"/>
        </w:rPr>
        <w:br w:type="page"/>
      </w:r>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第三部分   投标人须知</w:t>
      </w:r>
      <w:bookmarkEnd w:id="13"/>
      <w:bookmarkEnd w:id="14"/>
      <w:bookmarkEnd w:id="15"/>
      <w:bookmarkEnd w:id="16"/>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textAlignment w:val="auto"/>
        <w:outlineLvl w:val="0"/>
        <w:rPr>
          <w:rFonts w:hint="eastAsia" w:ascii="宋体" w:hAnsi="宋体" w:eastAsia="宋体" w:cs="宋体"/>
          <w:sz w:val="24"/>
          <w:szCs w:val="24"/>
        </w:rPr>
      </w:pPr>
      <w:bookmarkStart w:id="17" w:name="_Toc30287"/>
      <w:r>
        <w:rPr>
          <w:rFonts w:hint="eastAsia" w:ascii="宋体" w:hAnsi="宋体" w:eastAsia="宋体" w:cs="宋体"/>
          <w:b/>
          <w:sz w:val="24"/>
          <w:szCs w:val="24"/>
        </w:rPr>
        <w:t>一.总  则</w:t>
      </w:r>
      <w:bookmarkEnd w:id="17"/>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1.适用范围</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sz w:val="24"/>
          <w:szCs w:val="24"/>
        </w:rPr>
        <w:t>本磋商文件仅适用于本次竞争性磋商公告中所叙述的项目。</w:t>
      </w:r>
    </w:p>
    <w:p>
      <w:pPr>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eastAsia="宋体" w:cs="宋体"/>
          <w:b/>
          <w:sz w:val="24"/>
          <w:szCs w:val="24"/>
        </w:rPr>
      </w:pPr>
      <w:bookmarkStart w:id="18" w:name="_Toc363473973"/>
      <w:bookmarkStart w:id="19" w:name="_Toc363474018"/>
      <w:bookmarkStart w:id="20" w:name="_Toc403077640"/>
      <w:r>
        <w:rPr>
          <w:rFonts w:hint="eastAsia" w:ascii="宋体" w:hAnsi="宋体" w:eastAsia="宋体" w:cs="宋体"/>
          <w:b/>
          <w:sz w:val="24"/>
          <w:szCs w:val="24"/>
        </w:rPr>
        <w:t>名词解释</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2.1采购人：</w:t>
      </w:r>
      <w:r>
        <w:rPr>
          <w:rFonts w:hint="eastAsia" w:ascii="宋体" w:hAnsi="宋体" w:eastAsia="宋体" w:cs="宋体"/>
          <w:color w:val="000000"/>
          <w:sz w:val="24"/>
          <w:szCs w:val="24"/>
          <w:lang w:val="en-US" w:eastAsia="zh-CN"/>
        </w:rPr>
        <w:t>阿克苏商贸物流产业园管理委员会</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2.2监督机构：财政部门</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b/>
          <w:kern w:val="0"/>
          <w:sz w:val="24"/>
          <w:szCs w:val="24"/>
        </w:rPr>
      </w:pPr>
      <w:r>
        <w:rPr>
          <w:rFonts w:hint="eastAsia" w:ascii="宋体" w:hAnsi="宋体" w:eastAsia="宋体" w:cs="宋体"/>
          <w:color w:val="000000"/>
          <w:sz w:val="24"/>
          <w:szCs w:val="24"/>
        </w:rPr>
        <w:t>2.3采购代理机构：</w:t>
      </w:r>
      <w:r>
        <w:rPr>
          <w:rFonts w:hint="eastAsia" w:ascii="宋体" w:hAnsi="宋体" w:eastAsia="宋体" w:cs="宋体"/>
          <w:color w:val="000000"/>
          <w:sz w:val="24"/>
          <w:szCs w:val="24"/>
          <w:lang w:val="en-US" w:eastAsia="zh-CN"/>
        </w:rPr>
        <w:t>新疆国际招标中心有限公司 </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2.4供应商：是指响应和符合竞争性磋商文件规定资格条件且参与竞争性磋商的法人、</w:t>
      </w:r>
      <w:r>
        <w:rPr>
          <w:rFonts w:hint="eastAsia" w:ascii="宋体" w:hAnsi="宋体" w:eastAsia="宋体" w:cs="宋体"/>
          <w:sz w:val="24"/>
          <w:szCs w:val="24"/>
        </w:rPr>
        <w:t>其他组织或者自然人。</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2.5产品是指本竞争性磋商文件中第五章所述内容。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2.6服务是指供应商为满足竞争性磋商文件要求而提供的服务。</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2.7</w:t>
      </w:r>
      <w:r>
        <w:rPr>
          <w:rFonts w:hint="eastAsia" w:ascii="宋体" w:hAnsi="宋体" w:eastAsia="宋体" w:cs="宋体"/>
          <w:sz w:val="24"/>
          <w:szCs w:val="24"/>
        </w:rPr>
        <w:t>中小企业是指符合《工业和信息化部、国家统计局、国家发展和改革委员会、财政部关于印发中小企业划型标准规定的通知》（工信部联企业[2011]300号）规定的对中小企业的划分标准的企业。</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2.9残疾人福利性单位是指符合《三部门联合发布关于促进残疾人就业政府采购政策的通知》财库〔2017〕141号规定的对残疾人福利性单位划分标准的单位。</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3.合格的供应商</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（1）具有有效的营业执照副本扫描件（三证合一）；</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（2）法定代表人授权书及被委托人身份证（法定代表人投标提供法定代表人身份证明及身份证）；</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（4）</w:t>
      </w:r>
      <w:r>
        <w:rPr>
          <w:rFonts w:hint="eastAsia" w:ascii="宋体" w:hAnsi="宋体" w:eastAsia="宋体" w:cs="宋体"/>
          <w:color w:val="0000FF"/>
          <w:sz w:val="24"/>
          <w:szCs w:val="24"/>
          <w:lang w:val="en-US" w:eastAsia="zh-CN"/>
        </w:rPr>
        <w:t>具备商物梁行业工程设计乙级及以上资质证书，商物梁行业工程咨询单位甲级资信证书，具有编制申报书评估报告经验，并在人员、设备等方面具有承担本项目的能力；</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（6）供应商提供针对本次项目《反商业贿赂承诺书》；</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（8）本项目不接受联合体报名</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3.2供应商不得存在下列情形之一：</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2、供应商提供的响应文件不完整。</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3、响应文件未按磋商文件的规定签署及密封的。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4、未按规定报价的。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5、未提供磋商文件要求的资格资质证明文件验证的或提供虚假资格资质证明文件的。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6、报价超出磋商预算的。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7、供应商对磋商文件的要求未做出实质性响应。</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8、法律、法规规定的其他情况。</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3.3供应商不得直接或间接地与采购单位有任何关联，亦不得是采购单位的附属机构。如果供应商在磋商中隐瞒了上述关系，一经证实，则该磋商无效。</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3.4供应商必须在代理机构购买</w:t>
      </w:r>
      <w:r>
        <w:rPr>
          <w:rFonts w:hint="eastAsia" w:ascii="宋体" w:hAnsi="宋体" w:eastAsia="宋体" w:cs="宋体"/>
          <w:color w:val="000000"/>
          <w:sz w:val="24"/>
          <w:szCs w:val="24"/>
        </w:rPr>
        <w:t>竞争性磋商文件</w:t>
      </w:r>
      <w:r>
        <w:rPr>
          <w:rFonts w:hint="eastAsia" w:ascii="宋体" w:hAnsi="宋体" w:eastAsia="宋体" w:cs="宋体"/>
          <w:sz w:val="24"/>
          <w:szCs w:val="24"/>
        </w:rPr>
        <w:t>，方可参加磋商。</w:t>
      </w:r>
      <w:r>
        <w:rPr>
          <w:rFonts w:hint="eastAsia" w:ascii="宋体" w:hAnsi="宋体" w:eastAsia="宋体" w:cs="宋体"/>
          <w:color w:val="000000"/>
          <w:sz w:val="24"/>
          <w:szCs w:val="24"/>
        </w:rPr>
        <w:t>竞争性</w:t>
      </w:r>
      <w:r>
        <w:rPr>
          <w:rFonts w:hint="eastAsia" w:ascii="宋体" w:hAnsi="宋体" w:eastAsia="宋体" w:cs="宋体"/>
          <w:sz w:val="24"/>
          <w:szCs w:val="24"/>
        </w:rPr>
        <w:t>磋商文件售后不退。</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3.5联合体磋商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3.5.1如果在</w:t>
      </w:r>
      <w:r>
        <w:rPr>
          <w:rFonts w:hint="eastAsia" w:ascii="宋体" w:hAnsi="宋体" w:eastAsia="宋体" w:cs="宋体"/>
          <w:color w:val="000000"/>
          <w:sz w:val="24"/>
          <w:szCs w:val="24"/>
        </w:rPr>
        <w:t>竞争性</w:t>
      </w:r>
      <w:r>
        <w:rPr>
          <w:rFonts w:hint="eastAsia" w:ascii="宋体" w:hAnsi="宋体" w:eastAsia="宋体" w:cs="宋体"/>
          <w:sz w:val="24"/>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hint="eastAsia" w:ascii="宋体" w:hAnsi="宋体" w:eastAsia="宋体" w:cs="宋体"/>
          <w:color w:val="000000"/>
          <w:sz w:val="24"/>
          <w:szCs w:val="24"/>
        </w:rPr>
        <w:t>《中华人民共和国政府采购法》及其实施条例和《政府采购竞争性磋商采购方式管理暂行办法》规定的条件</w:t>
      </w:r>
      <w:r>
        <w:rPr>
          <w:rFonts w:hint="eastAsia" w:ascii="宋体" w:hAnsi="宋体" w:eastAsia="宋体" w:cs="宋体"/>
          <w:sz w:val="24"/>
          <w:szCs w:val="24"/>
        </w:rPr>
        <w:t>。采购人根据采购项目的特殊要求规定供应商特定条件的，联合体各方中至少应当有一方符合采购人规定的特定条件。</w:t>
      </w:r>
    </w:p>
    <w:p>
      <w:pPr>
        <w:pageBreakBefore w:val="0"/>
        <w:widowControl w:val="0"/>
        <w:kinsoku/>
        <w:wordWrap/>
        <w:overflowPunct/>
        <w:topLinePunct w:val="0"/>
        <w:autoSpaceDE/>
        <w:autoSpaceDN/>
        <w:bidi w:val="0"/>
        <w:spacing w:line="400" w:lineRule="exact"/>
        <w:ind w:firstLine="468" w:firstLineChars="195"/>
        <w:textAlignment w:val="auto"/>
        <w:rPr>
          <w:rFonts w:hint="eastAsia" w:ascii="宋体" w:hAnsi="宋体" w:eastAsia="宋体" w:cs="宋体"/>
          <w:sz w:val="24"/>
          <w:szCs w:val="24"/>
        </w:rPr>
      </w:pPr>
      <w:r>
        <w:rPr>
          <w:rFonts w:hint="eastAsia" w:ascii="宋体" w:hAnsi="宋体" w:eastAsia="宋体" w:cs="宋体"/>
          <w:sz w:val="24"/>
          <w:szCs w:val="24"/>
        </w:rPr>
        <w:t>3.5.2联合体各方之间应当签订共同磋商协议，明确约定联合体各方承担的工作和相应的责任，并将共同磋商协议连同</w:t>
      </w:r>
      <w:r>
        <w:rPr>
          <w:rFonts w:hint="eastAsia" w:ascii="宋体" w:hAnsi="宋体" w:eastAsia="宋体" w:cs="宋体"/>
          <w:color w:val="000000"/>
          <w:sz w:val="24"/>
          <w:szCs w:val="24"/>
        </w:rPr>
        <w:t>竞争性</w:t>
      </w:r>
      <w:r>
        <w:rPr>
          <w:rFonts w:hint="eastAsia" w:ascii="宋体" w:hAnsi="宋体" w:eastAsia="宋体" w:cs="宋体"/>
          <w:sz w:val="24"/>
          <w:szCs w:val="24"/>
        </w:rPr>
        <w:t>磋商响应文件一并提交</w:t>
      </w:r>
      <w:r>
        <w:rPr>
          <w:rFonts w:hint="eastAsia" w:ascii="宋体" w:hAnsi="宋体" w:eastAsia="宋体" w:cs="宋体"/>
          <w:color w:val="000000"/>
          <w:sz w:val="24"/>
          <w:szCs w:val="24"/>
        </w:rPr>
        <w:t>采购代理机构</w:t>
      </w:r>
      <w:r>
        <w:rPr>
          <w:rFonts w:hint="eastAsia" w:ascii="宋体" w:hAnsi="宋体" w:eastAsia="宋体" w:cs="宋体"/>
          <w:sz w:val="24"/>
          <w:szCs w:val="24"/>
        </w:rPr>
        <w:t>。联合体各方签订共同磋商协议后，不得再以自己名义单独参与同一项目磋商，也不得组成新的联合体参加同一项目磋商。</w:t>
      </w:r>
    </w:p>
    <w:p>
      <w:pPr>
        <w:pStyle w:val="19"/>
        <w:pageBreakBefore w:val="0"/>
        <w:widowControl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3.5.3联合体各方应当共同与采购人签订采购合同，就采购合同约定的事项对采购人承担连带责任。</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3.6磋商费用自理。不论磋商的结果如何，供应商均应自行承担所有与参加磋商有关的费用。</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4.竞争性磋商项目的合格性和合法性</w:t>
      </w:r>
    </w:p>
    <w:p>
      <w:pPr>
        <w:pageBreakBefore w:val="0"/>
        <w:widowControl w:val="0"/>
        <w:tabs>
          <w:tab w:val="left" w:pos="747"/>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4.1竞争性磋商项目应满足竞争性磋商文件的要求并应符合国家法律法规、行业管理部门要求的其他强制性标准。</w:t>
      </w:r>
      <w:r>
        <w:rPr>
          <w:rFonts w:hint="eastAsia" w:ascii="宋体" w:hAnsi="宋体" w:eastAsia="宋体" w:cs="宋体"/>
          <w:color w:val="000000"/>
          <w:sz w:val="24"/>
          <w:szCs w:val="24"/>
        </w:rPr>
        <w:t>并满足竞争性磋商文件规定的质量、价格、有效期、售后服务及供应商须承担的运输、配送、技术支持和竞争性磋商文件规定的其他伴随服务等要求。</w:t>
      </w:r>
    </w:p>
    <w:p>
      <w:pPr>
        <w:pageBreakBefore w:val="0"/>
        <w:widowControl w:val="0"/>
        <w:tabs>
          <w:tab w:val="left" w:pos="747"/>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4.2采购人有权拒绝接受任何不合格的产品和服务，由此产生的费用及相关后果均由供应商自行承担。</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5.竞争性磋商响应文件内容的真实性</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二.竞争性磋商文件</w:t>
      </w:r>
      <w:bookmarkEnd w:id="18"/>
      <w:bookmarkEnd w:id="19"/>
      <w:bookmarkEnd w:id="20"/>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6.竞争性磋商文件构成</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竞争性磋商文件规定了要求提供的产品和服务，磋商程序和合同条件在竞争性磋商文件中均有说明。竞争性磋商文件共七章，内容如下：</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竞争性磋商公告</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供应商须知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第三章 合同条款及格式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第四章 </w:t>
      </w:r>
      <w:r>
        <w:rPr>
          <w:rFonts w:hint="eastAsia" w:ascii="宋体" w:hAnsi="宋体" w:cs="宋体"/>
          <w:sz w:val="24"/>
          <w:szCs w:val="24"/>
          <w:lang w:eastAsia="zh-CN"/>
        </w:rPr>
        <w:t>项目需求</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五</w:t>
      </w:r>
      <w:r>
        <w:rPr>
          <w:rFonts w:hint="eastAsia" w:ascii="宋体" w:hAnsi="宋体" w:eastAsia="宋体" w:cs="宋体"/>
          <w:sz w:val="24"/>
          <w:szCs w:val="24"/>
        </w:rPr>
        <w:t>章 评审方法</w:t>
      </w:r>
    </w:p>
    <w:p>
      <w:pPr>
        <w:pStyle w:val="2"/>
        <w:ind w:left="479" w:leftChars="228" w:firstLine="0" w:firstLineChars="0"/>
        <w:rPr>
          <w:rFonts w:hint="default" w:eastAsia="宋体"/>
          <w:lang w:val="en-US" w:eastAsia="zh-CN"/>
        </w:rPr>
      </w:pPr>
      <w:r>
        <w:rPr>
          <w:rFonts w:hint="eastAsia" w:ascii="宋体" w:hAnsi="宋体" w:eastAsia="宋体" w:cs="宋体"/>
          <w:sz w:val="24"/>
          <w:szCs w:val="24"/>
        </w:rPr>
        <w:t>第</w:t>
      </w:r>
      <w:r>
        <w:rPr>
          <w:rFonts w:hint="eastAsia" w:ascii="宋体" w:hAnsi="宋体" w:cs="宋体"/>
          <w:sz w:val="24"/>
          <w:szCs w:val="24"/>
          <w:lang w:eastAsia="zh-CN"/>
        </w:rPr>
        <w:t>六</w:t>
      </w:r>
      <w:r>
        <w:rPr>
          <w:rFonts w:hint="eastAsia" w:ascii="宋体" w:hAnsi="宋体" w:eastAsia="宋体" w:cs="宋体"/>
          <w:sz w:val="24"/>
          <w:szCs w:val="24"/>
        </w:rPr>
        <w:t>章</w:t>
      </w:r>
      <w:r>
        <w:rPr>
          <w:rFonts w:hint="eastAsia" w:ascii="宋体" w:hAnsi="宋体" w:cs="宋体"/>
          <w:sz w:val="24"/>
          <w:szCs w:val="24"/>
          <w:lang w:val="en-US" w:eastAsia="zh-CN"/>
        </w:rPr>
        <w:t xml:space="preserve">  政府采购合同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七</w:t>
      </w:r>
      <w:r>
        <w:rPr>
          <w:rFonts w:hint="eastAsia" w:ascii="宋体" w:hAnsi="宋体" w:eastAsia="宋体" w:cs="宋体"/>
          <w:sz w:val="24"/>
          <w:szCs w:val="24"/>
        </w:rPr>
        <w:t>章 竞争性磋商响应文件格式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6.3本竞争性磋商文件的解释权归采购代理机构，如发现竞争性磋商响应文件内容与现行法律法规不相符的情况，以现行法律法规为准。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7.竞争性磋商文件的修改和澄清</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在磋商响应文件递交截止时间5日前，采购代理机构可以视采购具体情况，延长竞争性磋商响应文件递交截止时间和磋商时间并在财政部门指定的媒体上发布变更公告，同时将变更时间书面通知所有购买竞争性磋商文件的磋商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bookmarkStart w:id="21" w:name="_Toc363474019"/>
      <w:bookmarkStart w:id="22" w:name="_Toc403077641"/>
      <w:bookmarkStart w:id="23" w:name="_Toc363473974"/>
      <w:r>
        <w:rPr>
          <w:rFonts w:hint="eastAsia" w:ascii="宋体" w:hAnsi="宋体" w:eastAsia="宋体" w:cs="宋体"/>
          <w:b/>
          <w:sz w:val="24"/>
          <w:szCs w:val="24"/>
        </w:rPr>
        <w:t>三.磋商响应文件的编制</w:t>
      </w:r>
      <w:bookmarkEnd w:id="21"/>
      <w:bookmarkEnd w:id="22"/>
      <w:bookmarkEnd w:id="23"/>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8. 磋商语言和磋商货币</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8.1供应商提交的竞争性磋商响应文件以及供应商与采购代理机构就有关磋商的所有来往函电均应使用中文。</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8.2磋商应以人民币报价。任何包含非人民币报价的磋商将按无效磋商处理。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9.竞争性磋商响应文件的构成</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9.1 供应商提交的竞争性磋商响应文件应包含下列部分的内容：</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1、报价响应函；</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（1）具有有效的营业执照副本扫描件（三证合一）；</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（2）法定代表人授权书及被委托人身份证（法定代表人投标提供法定代表人身份证明及身份证）；</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具备商物梁行业工程设计乙级及以上资质证书，商物梁行业工程咨询单位甲级资信证书，具有编制申报书评估报告经验，并在人员、设备等方面具有承担本项目的能力；</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（6）供应商提供针对本次项目《反商业贿赂承诺书》；</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、总体服务方案；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、投入本项目的主要管理、技术人员等相关人员；</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、磋商文件中所要求的其他内容；</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、报价单位认为适宜的其它资料；</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.竞争性磋商响应文件格式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7.1供应商应按照竞争性磋商文件中第七章“竞争性磋商响应文件格式”所提供的格式和要求制作竞争性磋商响应文件，明确表达磋商意愿，详细说明磋商服务方案、承诺及价格。</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7.2按本章第9条的内容及要求和第七章提供的格式和要求编写其竞争性磋商响应文件，供应商不得缺少或留空任何竞争性磋商文件要求填写的表格或提交的资料。</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10.磋商报价</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10.1磋商报价：</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000000"/>
          <w:sz w:val="24"/>
          <w:szCs w:val="24"/>
        </w:rPr>
      </w:pPr>
      <w:r>
        <w:rPr>
          <w:rFonts w:hint="eastAsia" w:ascii="宋体" w:hAnsi="宋体" w:eastAsia="宋体" w:cs="宋体"/>
          <w:sz w:val="24"/>
          <w:szCs w:val="24"/>
        </w:rPr>
        <w:t>一次性报定，包括投标人完成该项目的全部服务成本、企业利润、税金和政策性文件规定及合同包含的所有风险、责任等各项应有费用。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10.2首次磋商报价表中标明本次服务的总价，任何有选择的报价将不予接受，否则按无效磋商处理。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10.3最后磋商报价不得高于首次磋商报价，否则按无效磋商处理。对于差异较大的报价，须作出明确说明。</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11.证明供应商合格的资格证明文件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11.1供应商应按照竞争性磋商文件供应商须知前附表的要求，在竞争性磋商响应文件中提交合格的资格证明文件。如果资格证明文件不全或不合格的，其磋商响应文件将被作无效文件处理。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12.证明的合格性和符合竞争性磋商文件规定的文件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13.磋商保证金</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13.1供应商在磋商时应向采购代理机构提交“供应商须知前附表”规定数额的磋商保证金,并作为其磋商的一部分。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13.2磋商保证金是为了保护采购单位免遭因供应商的行为而蒙受损失。采购单位在因供应商的行为受到损害时可根据本须知的规定没收供应商的磋商保证金。</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13.3磋商保证金可采取“供应商须知前附表”规定的任何一种形式。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13.4磋商保证金必须按照竞争性磋商文件“供应商须知前附表”中规定的缴纳金额及方式办理。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13.5磋商后经审查，未提交磋商保证金、未按竞争性磋商文件规定时间提交磋商保证金、磋商保证金金额不足或磋商保证金转账凭证复印件未附在磋商响应文件内的磋商将按无效磋商处理。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13.6未成交供应商的磋商保证金，将在成交通知书发出后五个工作日内按原账户退还；成交供应商的磋商保证金，在采购合同签订并按规定交纳成交代理服务费后五个工作日内退还。</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13.7 下列任何情况发生时，视为供应商违约，其磋商保证金将被没收：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供应商在磋商有效期内撤回其磋商响应文件；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2）供应商在响应文件中提供伪造、套改、虚假资料参加磋商的。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供应商成交后放弃成交或未能按规定签订合同；或未能按规定交纳成交代理服务费。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4）供应商成交后将成交项目转让给他人，或者在响应文件中未说明，且未经采购人同意，将成交项目分包给他人的。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5）供应商事先未通告无故不参加磋商活动的。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13.9磋商保证金的有效期与磋商有效期一致。</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14.磋商有效期</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14.1磋商响应文件的有效期（含授权有效期）从递交响应文件的截止之日起</w:t>
      </w:r>
      <w:r>
        <w:rPr>
          <w:rFonts w:hint="eastAsia" w:ascii="宋体" w:hAnsi="宋体" w:eastAsia="宋体" w:cs="宋体"/>
          <w:sz w:val="24"/>
          <w:szCs w:val="24"/>
          <w:u w:val="single"/>
        </w:rPr>
        <w:t>60</w:t>
      </w:r>
      <w:r>
        <w:rPr>
          <w:rFonts w:hint="eastAsia" w:ascii="宋体" w:hAnsi="宋体" w:eastAsia="宋体" w:cs="宋体"/>
          <w:sz w:val="24"/>
          <w:szCs w:val="24"/>
        </w:rPr>
        <w:t>天。磋商响应文件应在磋商有效期内保持有效。磋商有效期不满足规定有效期的磋商响应文件将被视为非响应性磋商而予以拒绝。</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15.竞争性磋商响应文件的式样和签署</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15.1供应商应按照供应商须知的要求, 准备壹份竞争性磋商响应文件正本和“供应商须知前附表”中规定数量的副本，每套竞争性磋商响应文件封面须清楚地标明“正本”或“副本”。</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供应商名称应填写全称，竞争性磋商响应文件必须每一页加盖供应商公章并签署法人或委托人的名字，所有要求签字（名）处，均须由签字（名）者本人用不褪色的蓝(黑)色墨水(汁)书写，不得用任何形式的图章代替。所有竞争性磋商响应文件正本和副本须按第六章规定的顺序编排、并应编制目录、标注连续页码，并分别胶装成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15.3任何行间插字、涂改和增删，必须由供应商的法定代表人或其授权代表在旁边签字才有效。</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15.4因字迹潦草、表述不清或不按竞争性磋商文件格式编制的竞争性磋商响应文件，所引起的对供应商不利的后果，由供应商自行负责。</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15.5竞争性磋商文件的副本内容须和正本内容保持一致。若正本、副本有不一致的内容，以正本为准。</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四.竞争性磋商响应文件的递交</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16.竞争性磋商响应文件的密封和标记</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16.1磋商响应文件密封袋封线处加贴封条并加盖供应商公章，封袋正面要粘贴标识。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供应商应将竞争性磋商响应文件正本、所有的副本及报价一览表分开密封装在单独的封袋中（封袋不得有破损），且在封袋正面标明“竞争性磋商响应文件正本”、“竞争性磋商响应文件副本”、“报价一览表”字样。封袋应加贴封条，并在封线处加盖供应商鲜章，封袋正面要粘贴供应商全称、项目名称、编号等标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外层包装请按以下要求标记：</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（1）项目编号、项目名称；</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（2）供应商名称（加盖公章）、地址、电话；</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（3）正本或副本；</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16.3如果供应商未对竞争性磋商响应文件按上述要求进行完好密封，采购人和采购代理机构有权拒绝接收其磋商响应文件。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17．竞争性磋商响应文件的递交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17.1供应商应按照竞争性磋商公告中规定的时间、地点，在规定的竞争性磋商响应文件递交截止时间前将全部竞争性磋商响应文件和磋商资料递交至采购代理机构接收人处。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17.2采购代理机构项目接收人在竞争性磋商文件规定的竞争性磋商响应文件递交截止时间前，只负责竞争性磋商响应文件的接收、清点、登记工作，并请递交人签字确认，对其有效性不负任何责任；</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17.3无论供应商成交与否，其竞争性磋商响应文件恕不退还。</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18．延迟递交的竞争性磋商响应文件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19.1按照供应商须知的规定，采购代理机构将拒绝接受在规定的磋商截止时间后递交的任何竞争性磋商响应文件。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19．磋商的修改与撤回</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供应商的修改或撤回或变动价格的通知应按本须知第17条的规定编制、密封、标记和递交。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 在磋商截止时间之后，供应商不得对其磋商响应文件做任何修改或撤回。</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bookmarkStart w:id="24" w:name="_Toc363473976"/>
      <w:bookmarkStart w:id="25" w:name="_Toc363474021"/>
      <w:bookmarkStart w:id="26" w:name="_Toc403077643"/>
      <w:r>
        <w:rPr>
          <w:rFonts w:hint="eastAsia" w:ascii="宋体" w:hAnsi="宋体" w:eastAsia="宋体" w:cs="宋体"/>
          <w:b/>
          <w:sz w:val="24"/>
          <w:szCs w:val="24"/>
        </w:rPr>
        <w:t>五.磋商与评标</w:t>
      </w:r>
      <w:bookmarkEnd w:id="24"/>
      <w:bookmarkEnd w:id="25"/>
      <w:bookmarkEnd w:id="26"/>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20.磋商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 采购代理机构在规定的时间和地点组织竞争性磋商。磋商时所有供应商代表自愿参加，参加磋商的代表应签名报到以证明其出席。</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20.2采购代理机构将做磋商记录，存档备查。</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21．评审组织及评审原则</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按照《中华人民共和国政府采购法》及实施条例和财政部关于《政府采购竞争性磋商采购方式管理暂行办法》有关问题的补充通知（财库[2015]124号）、财政部关于印发《政府采购竞争性磋商采购方式管理暂行办法》的通知（财库[2014]214号），依法组建磋商小组。本项目磋商小组由三名评审专家组成。磋商小组按照竞争性磋商文件规定的评审方法独立进行评审工作。</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21.2竞争性磋商文件和竞争性磋商响应文件是评审的依据。在评审中，不得改变竞争性磋商文件中规定的评审标准、方法和成交条件。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21.4如果供应商在澄清规定期限内，未能答复或拒绝答复磋商小组提出的澄清要求，将由磋商小组根据其竞争性磋商响应文件按最大风险进行评审。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21.5磋商过程中的实质性变动：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21.5.2对竞争性磋商文件做出的实质性变动是磋商文件的有效组成部分，磋商小组应当及时以书面形式通知所有参加磋商的供应商。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21.6竞争性磋商响应文件的初审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21.6.1磋商小组将审查竞争性磋商响应文件是否完整、格式是否符合要求、有无计算上的错误等。</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21.6.2计算错误将按以下方法更正：</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（1）磋商响应文件中首次磋商报价表(报价表)内容与磋商响应文件中相应内容不一致的，以首次磋商报价表(报价表)为准。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（2）磋商响应文件的大写金额和小写金额不一致的，以大写金额为准；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（3）单价金额小数点或者百分比有明显错误的，以首次磋商报价表的总价为准，并修改单价；</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按上述修正的顺序和方法调整的报价应对供应商具有约束力。如果供应商不接受修正后的价格，其响应文件将按无效响应处理。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21.6.3对于竞争性磋商响应文件中明显的标点符号错误或不构成实质性偏差的不正规、不一致或不规则，采购人可以接受。</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pageBreakBefore w:val="0"/>
        <w:widowControl w:val="0"/>
        <w:tabs>
          <w:tab w:val="left" w:pos="126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21.6.5实质上没有响应竞争性磋商文件要求的磋商将被拒绝。供应商不得通过修正或撤销不合要求的偏离从而使其磋商成为实质性响应的磋商。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21.7竞争性磋商响应文件的详细评审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21.7.1磋商小组将按照本须知第22.6.4条规定，只对确定为实质性响应竞争性磋商文件要求的磋商响应文件进行详细评审。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21.7.2详细评审按照“供应商须知前附表”的评审方法进行。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21.8成交候选人的确定</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磋商小组完成评审后，向采购人提出书面评审，并推荐3名成交候选人，标明排列顺序。</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22．评审过程的保密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磋商小组成员和与评审活动有关的工作人员不得泄露有关竞争性磋商响应文件的评审和比较、成交候选人的推荐以及与评审有关的其他情况。</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23．评审方法</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按照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即在全部满足竞争性磋商文件实质性要求前提下，磋商小组应当根据综合评分情况，按照评审得分高低顺序推存3名成交候选人。</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24．评审程序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按照竞争性磋商响应文件初审、澄清有关问题、分别磋商、二次报价、比较与评审、推荐成交候选人名单的工作程序进行评审。在上一步评审中被认定为无效磋商者，不进入下一步的评审。</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六.成交、通知与签约</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25．成交程序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25.1磋商小组根据评审方法的规定对供应商进行评审排序，推荐3名成交候选人，作为评审结果。评审结果由全体磋商小组成员签字确认。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25.2采购人根据磋商报告中推荐的成交候选人排列顺序，确定排名第一的成交候选人为成交供应商。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25.4采购人也可以授权磋商小组评审后直接确定成交供应商。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25.5成交供应商确定之后，成交结果将在财政部门指定的政府采购信息发布媒体上公告。</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25.6供应商或者其他利害关系人对评审结果有异议的，应当在法律规定的时间内提出。</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26．成交与落标通知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26.1采购代理机构向成交供应商发出《成交通知书》。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26.2成交通知书对采购人和成交供应商具有同等法律效力。成交通知书发出之后，采购人改变成交结果，或者成交供应商放弃成交，应当承担相应的法律责任。</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27. 成交合同的签订</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27.2采购人自采购合同签订之日起七个工作日内，将采购合同副本报同级人民政府财政部门备案。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28.成交代理服务费</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28.1见供应商须知前附表。</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29.质疑与投诉</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29.1供应商认为竞争性磋商文件、采购过程、成交结果使自己的合法权益受到损害的，可以以书面形式向采购人、采购代理机构提出质疑。</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29.1.1对采购文件提出质疑的，为收到采购文件之日起七个工作日内；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29.1.2对采购过程提出质疑的，为各采购程序环节结束之日起七个工作日内；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29.1.3对成交结果提出质疑的，为成交结果公告期限届满之日起七个工作日内。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29.1.4供应商须在法定质疑期内一次性提出针对同一采购程序环节的质疑。</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 提交质疑书需携带以下资料：</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29.2.1加盖公章的营业执照副本复印件；</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29.2.2法定代表人针对本项目的专项授权书（须经法定代表人签字并加盖法人章和单位公章）及被授权人身份证复印件（查看原件）；法定代表人提交质疑书须提交其身份证复印件（查看原件）。</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29.3质疑书应该包含以下主要内容：</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29.3.1质疑供应商的基本情况信息：名称、地址、法定代表人、委托代理人、电话、邮编。</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29.3.2所质疑的政府采购项目的信息：包含采购人或者采购代理机构名称、项目名称、包（标段）、编号。</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29.3.3具体的质疑事项。质疑事项不得超出法定范围并且与质疑供应商有利害关系。</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29.3.4明确、具体的质疑请求。</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29.3.5质疑所依据的事实、理由和法律依据及证明材料。</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29.3.6质疑书需要加盖质疑供应商公章并经法定代表人签字和盖章。</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29.4有下列情形之一的，属于无效质疑，采购代理机构和采购人不予受理：</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29.4.1质疑供应商不是参与本次政府采购项目的供应商；</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29.4.2质疑供应商与质疑事项不存在利害关系的；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29.4.3未在法定期限内提出质疑的；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29.4.4质疑未以书面形式提出，或质疑书主要内容构成不完整的；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29.4.5质疑书没有合法有效的签字、盖章或授权的；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29.4.6以非法手段取得证据、材料的；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29.4.7质疑答复后，同一质疑人就同一事项再次提出质疑的；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29.4.8不符合法律、法规、规章和政府采购监管机构规定的其他条件的。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29.5质疑答复</w:t>
      </w:r>
      <w:r>
        <w:rPr>
          <w:rStyle w:val="38"/>
          <w:rFonts w:hint="eastAsia" w:ascii="宋体" w:hAnsi="宋体" w:eastAsia="宋体" w:cs="宋体"/>
          <w:b w:val="0"/>
          <w:color w:val="000000"/>
          <w:sz w:val="24"/>
          <w:szCs w:val="24"/>
          <w:shd w:val="clear" w:color="auto" w:fill="FFFFFF"/>
        </w:rPr>
        <w:tab/>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采购人或采购代理机构在收到供应商的书面质疑后将按规定的时间进行回复。</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29.6供应商应在法定期限内以书面形式提出质疑。</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29.7投诉</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质疑供应商对采购人、采购代理机构的答复不满意或者采购人、采购代理机构未在规定的时间内作出答复的，可按《政府采购法》第55条和《政府采购质疑和投诉办法》（财政部令第94号）第17条等有关规定执行。</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30.其他</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30.1磋商步骤为：第一次报价---初步评审---分别磋商---第二次报价---综合评审推荐成交候选人。（以供应商递交的磋商响应文件中的总报价为第一次报价。分别磋商后，供应商现场填报的磋商响应总报价为第二次报价）</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30.2当第二次报价全部超过磋商文件规定的采购预算（或最高磋商限价）或均低于公认的制作成本时，磋商小组有权决定是否磋商失败或进行第三次报价。当第三次报价若超出财政预算，且采购人又无力支付，磋商小组有权决定磋商失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30.4成交供应商确定后，成交供应商无正当理由拖延或拒签合同的，或未能按照规定的时间提供履约担保（如有），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br w:type="page"/>
      </w:r>
    </w:p>
    <w:p>
      <w:pPr>
        <w:pageBreakBefore w:val="0"/>
        <w:widowControl w:val="0"/>
        <w:numPr>
          <w:ilvl w:val="0"/>
          <w:numId w:val="5"/>
        </w:numPr>
        <w:kinsoku/>
        <w:wordWrap/>
        <w:overflowPunct/>
        <w:topLinePunct w:val="0"/>
        <w:autoSpaceDE/>
        <w:autoSpaceDN/>
        <w:bidi w:val="0"/>
        <w:spacing w:line="400" w:lineRule="exact"/>
        <w:jc w:val="center"/>
        <w:textAlignment w:val="auto"/>
        <w:outlineLvl w:val="0"/>
        <w:rPr>
          <w:rFonts w:hint="eastAsia" w:ascii="宋体" w:hAnsi="宋体" w:eastAsia="宋体" w:cs="宋体"/>
          <w:b/>
          <w:bCs/>
          <w:color w:val="0000FF"/>
          <w:sz w:val="32"/>
          <w:szCs w:val="32"/>
        </w:rPr>
      </w:pPr>
      <w:bookmarkStart w:id="27" w:name="_Toc31851"/>
      <w:bookmarkStart w:id="28" w:name="_Toc16107"/>
      <w:bookmarkStart w:id="29" w:name="_Toc13146"/>
      <w:bookmarkStart w:id="30" w:name="_Toc2467"/>
      <w:bookmarkStart w:id="31" w:name="_Toc13172"/>
      <w:bookmarkStart w:id="32" w:name="_Toc6571"/>
      <w:bookmarkStart w:id="33" w:name="_Toc15181"/>
      <w:bookmarkStart w:id="34" w:name="_Toc18832"/>
      <w:bookmarkStart w:id="35" w:name="_Toc15056"/>
      <w:bookmarkStart w:id="36" w:name="_Toc11970"/>
      <w:bookmarkStart w:id="37" w:name="_Toc23489"/>
      <w:bookmarkStart w:id="38" w:name="_Toc980"/>
      <w:bookmarkStart w:id="39" w:name="_Toc23856"/>
      <w:bookmarkStart w:id="40" w:name="_Toc2711"/>
      <w:bookmarkStart w:id="41" w:name="_Toc1025"/>
      <w:bookmarkStart w:id="42" w:name="_Toc4053"/>
      <w:bookmarkStart w:id="43" w:name="_Toc389582038"/>
      <w:bookmarkStart w:id="44" w:name="_Toc20481"/>
      <w:bookmarkStart w:id="45" w:name="_Toc11450"/>
      <w:bookmarkStart w:id="46" w:name="_Toc33194718"/>
      <w:bookmarkStart w:id="47" w:name="_Toc33212775"/>
      <w:bookmarkStart w:id="48" w:name="_Toc33212776"/>
      <w:r>
        <w:rPr>
          <w:rFonts w:hint="eastAsia" w:ascii="宋体" w:hAnsi="宋体" w:cs="宋体"/>
          <w:b/>
          <w:bCs/>
          <w:color w:val="0000FF"/>
          <w:sz w:val="32"/>
          <w:szCs w:val="32"/>
          <w:lang w:eastAsia="zh-CN"/>
        </w:rPr>
        <w:t>项目需求</w:t>
      </w:r>
    </w:p>
    <w:p>
      <w:pPr>
        <w:pStyle w:val="2"/>
        <w:numPr>
          <w:ilvl w:val="0"/>
          <w:numId w:val="0"/>
        </w:numPr>
        <w:ind w:leftChars="-200"/>
        <w:rPr>
          <w:rFonts w:hint="eastAsia"/>
        </w:rPr>
      </w:pPr>
    </w:p>
    <w:p>
      <w:pPr>
        <w:pStyle w:val="33"/>
        <w:widowControl/>
        <w:snapToGrid w:val="0"/>
        <w:spacing w:before="75" w:after="75" w:line="500" w:lineRule="exact"/>
        <w:outlineLvl w:val="1"/>
        <w:rPr>
          <w:rFonts w:ascii="仿宋" w:hAnsi="仿宋" w:eastAsia="仿宋" w:cs="仿宋"/>
          <w:b/>
          <w:bCs/>
          <w:color w:val="333333"/>
          <w:sz w:val="32"/>
          <w:szCs w:val="32"/>
          <w:shd w:val="clear" w:color="auto" w:fill="FFFFFF"/>
        </w:rPr>
      </w:pPr>
      <w:bookmarkStart w:id="49" w:name="_Toc86067337"/>
      <w:r>
        <w:rPr>
          <w:rFonts w:hint="eastAsia" w:ascii="仿宋" w:hAnsi="仿宋" w:eastAsia="仿宋" w:cs="仿宋"/>
          <w:b/>
          <w:bCs/>
          <w:color w:val="333333"/>
          <w:sz w:val="32"/>
          <w:szCs w:val="32"/>
          <w:shd w:val="clear" w:color="auto" w:fill="FFFFFF"/>
        </w:rPr>
        <w:t>一、项目要求</w:t>
      </w:r>
      <w:bookmarkEnd w:id="49"/>
    </w:p>
    <w:p>
      <w:pPr>
        <w:spacing w:line="400" w:lineRule="exact"/>
        <w:ind w:firstLine="540" w:firstLineChars="217"/>
        <w:rPr>
          <w:rFonts w:ascii="宋体" w:hAnsi="宋体" w:cs="宋体"/>
          <w:b/>
          <w:bCs/>
          <w:spacing w:val="4"/>
          <w:sz w:val="24"/>
        </w:rPr>
      </w:pPr>
      <w:r>
        <w:rPr>
          <w:rFonts w:ascii="宋体" w:hAnsi="宋体" w:cs="宋体"/>
          <w:b/>
          <w:bCs/>
          <w:spacing w:val="4"/>
          <w:sz w:val="24"/>
        </w:rPr>
        <w:t>1、项目概况</w:t>
      </w:r>
    </w:p>
    <w:p>
      <w:pPr>
        <w:spacing w:line="400" w:lineRule="exact"/>
        <w:ind w:firstLine="538" w:firstLineChars="217"/>
        <w:rPr>
          <w:rFonts w:ascii="宋体" w:hAnsi="宋体" w:cs="宋体"/>
          <w:spacing w:val="4"/>
          <w:sz w:val="24"/>
        </w:rPr>
      </w:pPr>
      <w:r>
        <w:rPr>
          <w:rFonts w:hint="eastAsia" w:ascii="宋体" w:hAnsi="宋体" w:cs="宋体"/>
          <w:spacing w:val="4"/>
          <w:sz w:val="24"/>
        </w:rPr>
        <w:t>阿克苏商贸物流产业园管理委员会委托供应商编制阿克苏国家骨干冷链物流基地申报书。</w:t>
      </w:r>
    </w:p>
    <w:p>
      <w:pPr>
        <w:spacing w:line="400" w:lineRule="exact"/>
        <w:ind w:firstLine="540" w:firstLineChars="217"/>
        <w:rPr>
          <w:rFonts w:ascii="宋体" w:hAnsi="宋体" w:cs="宋体"/>
          <w:b/>
          <w:bCs/>
          <w:spacing w:val="4"/>
          <w:sz w:val="24"/>
        </w:rPr>
      </w:pPr>
      <w:r>
        <w:rPr>
          <w:rFonts w:ascii="宋体" w:hAnsi="宋体" w:cs="宋体"/>
          <w:b/>
          <w:bCs/>
          <w:spacing w:val="4"/>
          <w:sz w:val="24"/>
        </w:rPr>
        <w:t>2、服务内容</w:t>
      </w:r>
    </w:p>
    <w:p>
      <w:pPr>
        <w:spacing w:line="400" w:lineRule="exact"/>
        <w:ind w:firstLine="538" w:firstLineChars="217"/>
        <w:rPr>
          <w:rFonts w:ascii="宋体" w:hAnsi="宋体" w:cs="宋体"/>
          <w:spacing w:val="4"/>
          <w:sz w:val="24"/>
        </w:rPr>
      </w:pPr>
      <w:r>
        <w:rPr>
          <w:rFonts w:hint="eastAsia" w:ascii="宋体" w:hAnsi="宋体" w:cs="宋体"/>
          <w:spacing w:val="4"/>
          <w:sz w:val="24"/>
        </w:rPr>
        <w:t>通过详细的调研和分析研究，编制《阿克苏国家骨干冷链物流基地申报书》。报告应充分展现阿克苏地区冷链物流产业基础、优势、前景等内容，结合《国家骨干冷链物流基地建设申报书编制要点》相关要求，编制阿克苏国家骨干冷链物流基地申报书，满足发改委对申报书的要求。</w:t>
      </w:r>
    </w:p>
    <w:p>
      <w:pPr>
        <w:spacing w:line="400" w:lineRule="exact"/>
        <w:ind w:firstLine="540" w:firstLineChars="217"/>
        <w:rPr>
          <w:rFonts w:ascii="宋体" w:hAnsi="宋体" w:cs="宋体"/>
          <w:b/>
          <w:bCs/>
          <w:spacing w:val="4"/>
          <w:sz w:val="24"/>
        </w:rPr>
      </w:pPr>
      <w:r>
        <w:rPr>
          <w:rFonts w:ascii="宋体" w:hAnsi="宋体" w:cs="宋体"/>
          <w:b/>
          <w:bCs/>
          <w:spacing w:val="4"/>
          <w:sz w:val="24"/>
        </w:rPr>
        <w:t>3、服务描述</w:t>
      </w:r>
    </w:p>
    <w:p>
      <w:pPr>
        <w:spacing w:line="400" w:lineRule="exact"/>
        <w:ind w:firstLine="538" w:firstLineChars="217"/>
        <w:rPr>
          <w:rFonts w:ascii="宋体" w:hAnsi="宋体" w:cs="宋体"/>
          <w:spacing w:val="4"/>
          <w:sz w:val="24"/>
        </w:rPr>
      </w:pPr>
      <w:r>
        <w:rPr>
          <w:rFonts w:hint="eastAsia" w:ascii="宋体" w:hAnsi="宋体" w:cs="宋体"/>
          <w:spacing w:val="4"/>
          <w:sz w:val="24"/>
        </w:rPr>
        <w:t>《阿克苏国家骨干冷链物流基地申报书》的内容包括但不限于：</w:t>
      </w:r>
    </w:p>
    <w:p>
      <w:pPr>
        <w:spacing w:line="400" w:lineRule="exact"/>
        <w:ind w:firstLine="538" w:firstLineChars="217"/>
        <w:rPr>
          <w:rFonts w:ascii="宋体" w:hAnsi="宋体" w:cs="宋体"/>
          <w:spacing w:val="4"/>
          <w:sz w:val="24"/>
        </w:rPr>
      </w:pPr>
      <w:r>
        <w:rPr>
          <w:rFonts w:hint="eastAsia" w:ascii="宋体" w:hAnsi="宋体" w:cs="宋体"/>
          <w:spacing w:val="4"/>
          <w:sz w:val="24"/>
        </w:rPr>
        <w:t>（1）区域社会经济发展概况；</w:t>
      </w:r>
    </w:p>
    <w:p>
      <w:pPr>
        <w:spacing w:line="400" w:lineRule="exact"/>
        <w:ind w:firstLine="538" w:firstLineChars="217"/>
        <w:rPr>
          <w:rFonts w:ascii="宋体" w:hAnsi="宋体" w:cs="宋体"/>
          <w:spacing w:val="4"/>
          <w:sz w:val="24"/>
        </w:rPr>
      </w:pPr>
      <w:r>
        <w:rPr>
          <w:rFonts w:hint="eastAsia" w:ascii="宋体" w:hAnsi="宋体" w:cs="宋体"/>
          <w:spacing w:val="4"/>
          <w:sz w:val="24"/>
        </w:rPr>
        <w:t>（2）区域生鲜农产品产销现状；</w:t>
      </w:r>
    </w:p>
    <w:p>
      <w:pPr>
        <w:spacing w:line="400" w:lineRule="exact"/>
        <w:ind w:firstLine="538" w:firstLineChars="217"/>
        <w:rPr>
          <w:rFonts w:ascii="宋体" w:hAnsi="宋体" w:cs="宋体"/>
          <w:spacing w:val="4"/>
          <w:sz w:val="24"/>
        </w:rPr>
      </w:pPr>
      <w:r>
        <w:rPr>
          <w:rFonts w:hint="eastAsia" w:ascii="宋体" w:hAnsi="宋体" w:cs="宋体"/>
          <w:spacing w:val="4"/>
          <w:sz w:val="24"/>
        </w:rPr>
        <w:t>（3）冷链物流产业基础现状；</w:t>
      </w:r>
    </w:p>
    <w:p>
      <w:pPr>
        <w:spacing w:line="400" w:lineRule="exact"/>
        <w:ind w:firstLine="538" w:firstLineChars="217"/>
        <w:rPr>
          <w:rFonts w:ascii="宋体" w:hAnsi="宋体" w:cs="宋体"/>
          <w:spacing w:val="4"/>
          <w:sz w:val="24"/>
        </w:rPr>
      </w:pPr>
      <w:r>
        <w:rPr>
          <w:rFonts w:hint="eastAsia" w:ascii="宋体" w:hAnsi="宋体" w:cs="宋体"/>
          <w:spacing w:val="4"/>
          <w:sz w:val="24"/>
        </w:rPr>
        <w:t>（4）申报主体申报优势及意义；</w:t>
      </w:r>
    </w:p>
    <w:p>
      <w:pPr>
        <w:spacing w:line="400" w:lineRule="exact"/>
        <w:ind w:firstLine="538" w:firstLineChars="217"/>
        <w:rPr>
          <w:rFonts w:ascii="宋体" w:hAnsi="宋体" w:cs="宋体"/>
          <w:spacing w:val="4"/>
          <w:sz w:val="24"/>
        </w:rPr>
      </w:pPr>
      <w:r>
        <w:rPr>
          <w:rFonts w:hint="eastAsia" w:ascii="宋体" w:hAnsi="宋体" w:cs="宋体"/>
          <w:spacing w:val="4"/>
          <w:sz w:val="24"/>
        </w:rPr>
        <w:t>（5）当前项目园区基本情况；</w:t>
      </w:r>
    </w:p>
    <w:p>
      <w:pPr>
        <w:spacing w:line="400" w:lineRule="exact"/>
        <w:ind w:firstLine="538" w:firstLineChars="217"/>
        <w:rPr>
          <w:rFonts w:ascii="宋体" w:hAnsi="宋体" w:cs="宋体"/>
          <w:spacing w:val="4"/>
          <w:sz w:val="24"/>
        </w:rPr>
      </w:pPr>
      <w:r>
        <w:rPr>
          <w:rFonts w:hint="eastAsia" w:ascii="宋体" w:hAnsi="宋体" w:cs="宋体"/>
          <w:spacing w:val="4"/>
          <w:sz w:val="24"/>
        </w:rPr>
        <w:t>（6）建设国家骨干冷链物流基地发展思路；</w:t>
      </w:r>
    </w:p>
    <w:p>
      <w:pPr>
        <w:spacing w:line="400" w:lineRule="exact"/>
        <w:ind w:firstLine="538" w:firstLineChars="217"/>
        <w:rPr>
          <w:rFonts w:ascii="宋体" w:hAnsi="宋体" w:cs="宋体"/>
          <w:spacing w:val="4"/>
          <w:sz w:val="24"/>
        </w:rPr>
      </w:pPr>
      <w:r>
        <w:rPr>
          <w:rFonts w:hint="eastAsia" w:ascii="宋体" w:hAnsi="宋体" w:cs="宋体"/>
          <w:spacing w:val="4"/>
          <w:sz w:val="24"/>
        </w:rPr>
        <w:t>（7）预期成效和社会效益等。</w:t>
      </w:r>
    </w:p>
    <w:p>
      <w:pPr>
        <w:pStyle w:val="33"/>
        <w:widowControl/>
        <w:snapToGrid w:val="0"/>
        <w:spacing w:before="75" w:after="75" w:line="500" w:lineRule="exact"/>
        <w:outlineLvl w:val="1"/>
        <w:rPr>
          <w:rFonts w:ascii="仿宋" w:hAnsi="仿宋" w:eastAsia="仿宋" w:cs="仿宋"/>
          <w:b/>
          <w:bCs/>
          <w:color w:val="333333"/>
          <w:sz w:val="32"/>
          <w:szCs w:val="32"/>
          <w:shd w:val="clear" w:color="auto" w:fill="FFFFFF"/>
        </w:rPr>
      </w:pPr>
      <w:bookmarkStart w:id="50" w:name="_Toc86067338"/>
      <w:r>
        <w:rPr>
          <w:rFonts w:hint="eastAsia" w:ascii="仿宋" w:hAnsi="仿宋" w:eastAsia="仿宋" w:cs="仿宋"/>
          <w:b/>
          <w:bCs/>
          <w:color w:val="333333"/>
          <w:sz w:val="32"/>
          <w:szCs w:val="32"/>
          <w:shd w:val="clear" w:color="auto" w:fill="FFFFFF"/>
        </w:rPr>
        <w:t>二、服务期限</w:t>
      </w:r>
      <w:bookmarkEnd w:id="50"/>
    </w:p>
    <w:p>
      <w:pPr>
        <w:spacing w:line="400" w:lineRule="exact"/>
        <w:ind w:firstLine="538" w:firstLineChars="217"/>
        <w:rPr>
          <w:rFonts w:ascii="宋体" w:hAnsi="宋体" w:cs="宋体"/>
          <w:spacing w:val="4"/>
          <w:sz w:val="24"/>
        </w:rPr>
      </w:pPr>
      <w:r>
        <w:rPr>
          <w:rFonts w:hint="eastAsia" w:ascii="宋体" w:hAnsi="宋体" w:cs="宋体"/>
          <w:spacing w:val="4"/>
          <w:sz w:val="24"/>
        </w:rPr>
        <w:t>服务合同生效之日起至供应商提供终稿成果日延后3个月。</w:t>
      </w:r>
    </w:p>
    <w:p>
      <w:pPr>
        <w:pStyle w:val="33"/>
        <w:widowControl/>
        <w:snapToGrid w:val="0"/>
        <w:spacing w:before="75" w:after="75" w:line="500" w:lineRule="exact"/>
        <w:outlineLvl w:val="1"/>
        <w:rPr>
          <w:rFonts w:ascii="仿宋" w:hAnsi="仿宋" w:eastAsia="仿宋" w:cs="仿宋"/>
          <w:b/>
          <w:bCs/>
          <w:color w:val="333333"/>
          <w:sz w:val="32"/>
          <w:szCs w:val="32"/>
          <w:shd w:val="clear" w:color="auto" w:fill="FFFFFF"/>
        </w:rPr>
      </w:pPr>
      <w:bookmarkStart w:id="51" w:name="_Toc86067339"/>
      <w:r>
        <w:rPr>
          <w:rFonts w:hint="eastAsia" w:ascii="仿宋" w:hAnsi="仿宋" w:eastAsia="仿宋" w:cs="仿宋"/>
          <w:b/>
          <w:bCs/>
          <w:color w:val="333333"/>
          <w:sz w:val="32"/>
          <w:szCs w:val="32"/>
          <w:shd w:val="clear" w:color="auto" w:fill="FFFFFF"/>
        </w:rPr>
        <w:t>三、成果提交</w:t>
      </w:r>
      <w:bookmarkEnd w:id="51"/>
    </w:p>
    <w:p>
      <w:pPr>
        <w:spacing w:line="400" w:lineRule="exact"/>
        <w:ind w:firstLine="538" w:firstLineChars="217"/>
        <w:rPr>
          <w:rFonts w:ascii="宋体" w:hAnsi="宋体" w:cs="宋体"/>
          <w:spacing w:val="4"/>
          <w:sz w:val="24"/>
        </w:rPr>
      </w:pPr>
      <w:r>
        <w:rPr>
          <w:rFonts w:hint="eastAsia" w:ascii="宋体" w:hAnsi="宋体" w:cs="宋体"/>
          <w:spacing w:val="4"/>
          <w:sz w:val="24"/>
        </w:rPr>
        <w:t>服务合同生效之日（供应商收到阿克苏商贸物流产业园管理委员会支付的首期款）起</w:t>
      </w:r>
      <w:r>
        <w:rPr>
          <w:rFonts w:ascii="宋体" w:hAnsi="宋体" w:cs="宋体"/>
          <w:spacing w:val="4"/>
          <w:sz w:val="24"/>
        </w:rPr>
        <w:t>3</w:t>
      </w:r>
      <w:r>
        <w:rPr>
          <w:rFonts w:hint="eastAsia" w:ascii="宋体" w:hAnsi="宋体" w:cs="宋体"/>
          <w:spacing w:val="4"/>
          <w:sz w:val="24"/>
        </w:rPr>
        <w:t>0个日历天之内，供应商向阿克苏商贸物流产业园管理委员会提交申报书初稿电子版。</w:t>
      </w:r>
    </w:p>
    <w:p>
      <w:pPr>
        <w:pStyle w:val="33"/>
        <w:widowControl/>
        <w:snapToGrid w:val="0"/>
        <w:spacing w:before="75" w:after="75" w:line="500" w:lineRule="exact"/>
        <w:outlineLvl w:val="1"/>
        <w:rPr>
          <w:rFonts w:ascii="仿宋" w:hAnsi="仿宋" w:eastAsia="仿宋" w:cs="仿宋"/>
          <w:b/>
          <w:bCs/>
          <w:color w:val="333333"/>
          <w:sz w:val="32"/>
          <w:szCs w:val="32"/>
          <w:shd w:val="clear" w:color="auto" w:fill="FFFFFF"/>
        </w:rPr>
      </w:pPr>
      <w:bookmarkStart w:id="52" w:name="_Toc86067340"/>
      <w:r>
        <w:rPr>
          <w:rFonts w:hint="eastAsia" w:ascii="仿宋" w:hAnsi="仿宋" w:eastAsia="仿宋" w:cs="仿宋"/>
          <w:b/>
          <w:bCs/>
          <w:color w:val="333333"/>
          <w:sz w:val="32"/>
          <w:szCs w:val="32"/>
          <w:shd w:val="clear" w:color="auto" w:fill="FFFFFF"/>
        </w:rPr>
        <w:t>四、付款方式</w:t>
      </w:r>
      <w:bookmarkEnd w:id="52"/>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color w:val="FF0000"/>
          <w:spacing w:val="4"/>
          <w:sz w:val="24"/>
          <w:szCs w:val="24"/>
        </w:rPr>
      </w:pPr>
      <w:r>
        <w:rPr>
          <w:rFonts w:hint="eastAsia" w:ascii="宋体" w:hAnsi="宋体" w:eastAsia="宋体" w:cs="宋体"/>
          <w:color w:val="FF0000"/>
          <w:spacing w:val="4"/>
          <w:sz w:val="24"/>
          <w:szCs w:val="24"/>
        </w:rPr>
        <w:t xml:space="preserve"> 1、项目合同签订后进场支付合同价款的30%，项目野外工作完成后转入室内资料整理阶段支付合同价款的</w:t>
      </w:r>
      <w:r>
        <w:rPr>
          <w:rFonts w:hint="eastAsia" w:ascii="宋体" w:hAnsi="宋体" w:cs="宋体"/>
          <w:color w:val="FF0000"/>
          <w:spacing w:val="4"/>
          <w:sz w:val="24"/>
          <w:szCs w:val="24"/>
          <w:lang w:val="en-US" w:eastAsia="zh-CN"/>
        </w:rPr>
        <w:t>3</w:t>
      </w:r>
      <w:r>
        <w:rPr>
          <w:rFonts w:hint="eastAsia" w:ascii="宋体" w:hAnsi="宋体" w:eastAsia="宋体" w:cs="宋体"/>
          <w:color w:val="FF0000"/>
          <w:spacing w:val="4"/>
          <w:sz w:val="24"/>
          <w:szCs w:val="24"/>
        </w:rPr>
        <w:t>0%，项目提交送审报告后报告通过相关专家的审查，根据审查意见提交成果资料并验收合格后支付合同价款的</w:t>
      </w:r>
      <w:r>
        <w:rPr>
          <w:rFonts w:hint="eastAsia" w:ascii="宋体" w:hAnsi="宋体" w:cs="宋体"/>
          <w:color w:val="FF0000"/>
          <w:spacing w:val="4"/>
          <w:sz w:val="24"/>
          <w:szCs w:val="24"/>
          <w:lang w:val="en-US" w:eastAsia="zh-CN"/>
        </w:rPr>
        <w:t>4</w:t>
      </w:r>
      <w:r>
        <w:rPr>
          <w:rFonts w:hint="eastAsia" w:ascii="宋体" w:hAnsi="宋体" w:eastAsia="宋体" w:cs="宋体"/>
          <w:color w:val="FF0000"/>
          <w:spacing w:val="4"/>
          <w:sz w:val="24"/>
          <w:szCs w:val="24"/>
        </w:rPr>
        <w:t>0%。</w:t>
      </w:r>
    </w:p>
    <w:p>
      <w:pPr>
        <w:spacing w:line="400" w:lineRule="exact"/>
        <w:ind w:firstLine="538" w:firstLineChars="217"/>
        <w:rPr>
          <w:rFonts w:ascii="宋体" w:hAnsi="宋体" w:cs="宋体"/>
          <w:spacing w:val="4"/>
          <w:sz w:val="24"/>
        </w:rPr>
      </w:pPr>
      <w:r>
        <w:rPr>
          <w:rFonts w:hint="eastAsia" w:ascii="宋体" w:hAnsi="宋体" w:cs="宋体"/>
          <w:spacing w:val="4"/>
          <w:sz w:val="24"/>
        </w:rPr>
        <w:t>（具体以签合同协商）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pacing w:val="4"/>
          <w:sz w:val="24"/>
          <w:szCs w:val="24"/>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ageBreakBefore w:val="0"/>
        <w:wordWrap/>
        <w:topLinePunct w:val="0"/>
        <w:bidi w:val="0"/>
        <w:spacing w:line="700" w:lineRule="exact"/>
        <w:rPr>
          <w:rFonts w:hint="eastAsia" w:ascii="宋体" w:hAnsi="宋体" w:eastAsia="宋体" w:cs="宋体"/>
          <w:b/>
          <w:bCs/>
          <w:sz w:val="24"/>
          <w:szCs w:val="24"/>
        </w:rPr>
      </w:pPr>
      <w:bookmarkStart w:id="53" w:name="_Toc2734"/>
      <w:r>
        <w:rPr>
          <w:rFonts w:hint="eastAsia" w:ascii="宋体" w:hAnsi="宋体" w:eastAsia="宋体" w:cs="宋体"/>
          <w:b/>
          <w:bCs/>
          <w:sz w:val="24"/>
          <w:szCs w:val="24"/>
        </w:rPr>
        <w:br w:type="page"/>
      </w:r>
    </w:p>
    <w:p>
      <w:pPr>
        <w:pageBreakBefore w:val="0"/>
        <w:wordWrap/>
        <w:topLinePunct w:val="0"/>
        <w:bidi w:val="0"/>
        <w:spacing w:line="400" w:lineRule="exact"/>
        <w:ind w:firstLine="3132" w:firstLineChars="1300"/>
        <w:outlineLvl w:val="0"/>
        <w:rPr>
          <w:rFonts w:hint="eastAsia" w:ascii="宋体" w:hAnsi="宋体" w:eastAsia="宋体" w:cs="宋体"/>
          <w:b/>
          <w:bCs/>
          <w:sz w:val="24"/>
          <w:szCs w:val="24"/>
        </w:rPr>
      </w:pPr>
      <w:r>
        <w:rPr>
          <w:rFonts w:hint="eastAsia" w:ascii="宋体" w:hAnsi="宋体" w:eastAsia="宋体" w:cs="宋体"/>
          <w:b/>
          <w:bCs/>
          <w:sz w:val="24"/>
          <w:szCs w:val="24"/>
        </w:rPr>
        <w:t>第五章  评审方法</w:t>
      </w:r>
      <w:bookmarkEnd w:id="27"/>
      <w:bookmarkEnd w:id="28"/>
      <w:bookmarkEnd w:id="29"/>
      <w:bookmarkEnd w:id="30"/>
      <w:bookmarkEnd w:id="31"/>
      <w:bookmarkEnd w:id="32"/>
      <w:bookmarkEnd w:id="33"/>
      <w:bookmarkEnd w:id="34"/>
      <w:bookmarkEnd w:id="35"/>
      <w:bookmarkEnd w:id="36"/>
      <w:bookmarkEnd w:id="37"/>
      <w:bookmarkEnd w:id="38"/>
      <w:bookmarkEnd w:id="53"/>
    </w:p>
    <w:bookmarkEnd w:id="39"/>
    <w:bookmarkEnd w:id="40"/>
    <w:bookmarkEnd w:id="41"/>
    <w:bookmarkEnd w:id="42"/>
    <w:bookmarkEnd w:id="43"/>
    <w:bookmarkEnd w:id="44"/>
    <w:bookmarkEnd w:id="45"/>
    <w:p>
      <w:pPr>
        <w:pageBreakBefore w:val="0"/>
        <w:wordWrap/>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一．评审方法：</w:t>
      </w:r>
    </w:p>
    <w:p>
      <w:pPr>
        <w:pageBreakBefore w:val="0"/>
        <w:wordWrap/>
        <w:topLinePunct w:val="0"/>
        <w:bidi w:val="0"/>
        <w:spacing w:line="400" w:lineRule="exact"/>
        <w:ind w:firstLine="538" w:firstLineChars="217"/>
        <w:rPr>
          <w:rFonts w:hint="eastAsia" w:ascii="宋体" w:hAnsi="宋体" w:eastAsia="宋体" w:cs="宋体"/>
          <w:spacing w:val="4"/>
          <w:sz w:val="24"/>
          <w:szCs w:val="24"/>
        </w:rPr>
      </w:pPr>
      <w:r>
        <w:rPr>
          <w:rFonts w:hint="eastAsia" w:ascii="宋体" w:hAnsi="宋体" w:eastAsia="宋体" w:cs="宋体"/>
          <w:spacing w:val="4"/>
          <w:sz w:val="24"/>
          <w:szCs w:val="24"/>
        </w:rPr>
        <w:t>按照《中华人民共和国政府采购法》及实施条例和</w:t>
      </w:r>
      <w:r>
        <w:rPr>
          <w:rFonts w:hint="eastAsia" w:ascii="宋体" w:hAnsi="宋体" w:eastAsia="宋体" w:cs="宋体"/>
          <w:sz w:val="24"/>
          <w:szCs w:val="24"/>
        </w:rPr>
        <w:t>财政部关于《政府采购竞争性磋商采购方式管理暂行办法》有关问题的补充通知（财库〔2015〕124号）、财政部</w:t>
      </w:r>
      <w:r>
        <w:rPr>
          <w:rFonts w:hint="eastAsia" w:ascii="宋体" w:hAnsi="宋体" w:eastAsia="宋体" w:cs="宋体"/>
          <w:spacing w:val="4"/>
          <w:sz w:val="24"/>
          <w:szCs w:val="24"/>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ageBreakBefore w:val="0"/>
        <w:wordWrap/>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二、评审程序：</w:t>
      </w:r>
    </w:p>
    <w:p>
      <w:pPr>
        <w:pStyle w:val="31"/>
        <w:pageBreakBefore w:val="0"/>
        <w:wordWrap/>
        <w:topLinePunct w:val="0"/>
        <w:bidi w:val="0"/>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按照竞争性磋商响应文件初审、澄清有关问题、分别磋商、二次报价、比较与评审、推荐成交候选人名单。在上一步评审中被认定为无效磋商者，不进入下一步的评审。</w:t>
      </w:r>
    </w:p>
    <w:p>
      <w:pPr>
        <w:pageBreakBefore w:val="0"/>
        <w:numPr>
          <w:ilvl w:val="0"/>
          <w:numId w:val="6"/>
        </w:numPr>
        <w:wordWrap/>
        <w:topLinePunct w:val="0"/>
        <w:bidi w:val="0"/>
        <w:spacing w:line="400" w:lineRule="exact"/>
        <w:ind w:firstLine="498" w:firstLineChars="200"/>
        <w:rPr>
          <w:rFonts w:hint="eastAsia" w:ascii="宋体" w:hAnsi="宋体" w:eastAsia="宋体" w:cs="宋体"/>
          <w:b/>
          <w:bCs/>
          <w:spacing w:val="4"/>
          <w:sz w:val="24"/>
          <w:szCs w:val="24"/>
        </w:rPr>
      </w:pPr>
      <w:r>
        <w:rPr>
          <w:rFonts w:hint="eastAsia" w:ascii="宋体" w:hAnsi="宋体" w:eastAsia="宋体" w:cs="宋体"/>
          <w:b/>
          <w:bCs/>
          <w:spacing w:val="4"/>
          <w:sz w:val="24"/>
          <w:szCs w:val="24"/>
        </w:rPr>
        <w:t>对磋商响应文件的初审：</w:t>
      </w:r>
    </w:p>
    <w:p>
      <w:pPr>
        <w:pageBreakBefore w:val="0"/>
        <w:tabs>
          <w:tab w:val="left" w:pos="0"/>
        </w:tabs>
        <w:wordWrap/>
        <w:topLinePunct w:val="0"/>
        <w:bidi w:val="0"/>
        <w:adjustRightInd w:val="0"/>
        <w:snapToGrid w:val="0"/>
        <w:spacing w:line="400" w:lineRule="exact"/>
        <w:ind w:firstLine="472" w:firstLineChars="196"/>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1.1资格审查。</w:t>
      </w:r>
      <w:r>
        <w:rPr>
          <w:rFonts w:hint="eastAsia" w:ascii="宋体" w:hAnsi="宋体" w:eastAsia="宋体" w:cs="宋体"/>
          <w:color w:val="000000"/>
          <w:sz w:val="24"/>
          <w:szCs w:val="24"/>
        </w:rPr>
        <w:t>磋商小组将依据磋商响应文件，按照磋商文件第二章“供应商须知”第12.1条所述资格要求进行资格审查，有一项因素不符合审查标准的，供应商不能通过资格审查，其磋商无效</w:t>
      </w:r>
      <w:r>
        <w:rPr>
          <w:rFonts w:hint="eastAsia" w:ascii="宋体" w:hAnsi="宋体" w:eastAsia="宋体" w:cs="宋体"/>
          <w:color w:val="000000"/>
          <w:kern w:val="0"/>
          <w:sz w:val="24"/>
          <w:szCs w:val="24"/>
        </w:rPr>
        <w:t>。有关资格证明材料的证书、证件原件备查。</w:t>
      </w:r>
    </w:p>
    <w:tbl>
      <w:tblPr>
        <w:tblStyle w:val="3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758"/>
        <w:gridCol w:w="800"/>
        <w:gridCol w:w="85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5"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项目编号：</w:t>
            </w:r>
          </w:p>
        </w:tc>
        <w:tc>
          <w:tcPr>
            <w:tcW w:w="800" w:type="dxa"/>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1651"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7" w:type="dxa"/>
            <w:vMerge w:val="restart"/>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58" w:type="dxa"/>
            <w:vMerge w:val="restart"/>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color w:val="FF0000"/>
                <w:sz w:val="24"/>
                <w:szCs w:val="24"/>
              </w:rPr>
            </w:pPr>
            <w:r>
              <w:rPr>
                <w:rFonts w:hint="eastAsia" w:ascii="宋体" w:hAnsi="宋体" w:eastAsia="宋体" w:cs="宋体"/>
                <w:sz w:val="24"/>
                <w:szCs w:val="24"/>
              </w:rPr>
              <w:t>投标文件审查及响应性</w:t>
            </w:r>
            <w:r>
              <w:rPr>
                <w:rFonts w:hint="eastAsia" w:ascii="宋体" w:hAnsi="宋体" w:eastAsia="宋体" w:cs="宋体"/>
                <w:sz w:val="24"/>
                <w:szCs w:val="24"/>
              </w:rPr>
              <w:br w:type="textWrapping"/>
            </w:r>
            <w:r>
              <w:rPr>
                <w:rFonts w:hint="eastAsia" w:ascii="宋体" w:hAnsi="宋体" w:eastAsia="宋体" w:cs="宋体"/>
                <w:sz w:val="24"/>
                <w:szCs w:val="24"/>
              </w:rPr>
              <w:t>（评审结果为合格/不合格）</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57" w:type="dxa"/>
            <w:vMerge w:val="continue"/>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6758" w:type="dxa"/>
            <w:vMerge w:val="continue"/>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color w:val="FF0000"/>
                <w:sz w:val="24"/>
                <w:szCs w:val="24"/>
              </w:rPr>
            </w:pP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6758" w:type="dxa"/>
            <w:vAlign w:val="center"/>
          </w:tcPr>
          <w:p>
            <w:pPr>
              <w:pageBreakBefore w:val="0"/>
              <w:wordWrap/>
              <w:topLinePunct w:val="0"/>
              <w:autoSpaceDE w:val="0"/>
              <w:autoSpaceDN w:val="0"/>
              <w:bidi w:val="0"/>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具有有效的营业执照副本扫描件（三证合一）；</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法定代表人授权书及被委托人身份证（法定代表人投标提供法定代表人身份证明及身份证）；</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6758" w:type="dxa"/>
            <w:vAlign w:val="center"/>
          </w:tcPr>
          <w:p>
            <w:pPr>
              <w:pageBreakBefore w:val="0"/>
              <w:wordWrap/>
              <w:topLinePunct w:val="0"/>
              <w:autoSpaceDE w:val="0"/>
              <w:autoSpaceDN w:val="0"/>
              <w:bidi w:val="0"/>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参加采购活动前三年内，在经营活动中无重大违法声明(受行政主管部门的处罚不能参加投标)；</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color w:val="0000FF"/>
                <w:sz w:val="24"/>
                <w:szCs w:val="24"/>
                <w:lang w:val="en-US" w:eastAsia="zh-CN"/>
              </w:rPr>
              <w:t>具备商物梁行业工程设计乙级及以上资质证书，商物梁行业工程咨询单位甲级资信证书，具有编制申报书评估报告经验，并在人员、设备等方面具有承担本项目的能力；</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6758" w:type="dxa"/>
            <w:vAlign w:val="center"/>
          </w:tcPr>
          <w:p>
            <w:pPr>
              <w:pageBreakBefore w:val="0"/>
              <w:widowControl/>
              <w:wordWrap/>
              <w:topLinePunct w:val="0"/>
              <w:bidi w:val="0"/>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供应商提供针对本次项目《反商业贿赂承诺书》；</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758" w:type="dxa"/>
            <w:vAlign w:val="center"/>
          </w:tcPr>
          <w:p>
            <w:pPr>
              <w:pageBreakBefore w:val="0"/>
              <w:widowControl/>
              <w:wordWrap/>
              <w:topLinePunct w:val="0"/>
              <w:bidi w:val="0"/>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766" w:type="dxa"/>
            <w:gridSpan w:val="5"/>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“√”表示合格；“×”表示不合格，一项不合格结果为不合格，如不合格，请在结果中写明原因。</w:t>
            </w:r>
          </w:p>
        </w:tc>
      </w:tr>
    </w:tbl>
    <w:p>
      <w:pPr>
        <w:pageBreakBefore w:val="0"/>
        <w:tabs>
          <w:tab w:val="left" w:pos="0"/>
        </w:tabs>
        <w:wordWrap/>
        <w:topLinePunct w:val="0"/>
        <w:bidi w:val="0"/>
        <w:adjustRightInd w:val="0"/>
        <w:snapToGrid w:val="0"/>
        <w:spacing w:line="400" w:lineRule="exact"/>
        <w:rPr>
          <w:rFonts w:hint="eastAsia" w:ascii="宋体" w:hAnsi="宋体" w:eastAsia="宋体" w:cs="宋体"/>
          <w:b/>
          <w:bCs/>
          <w:color w:val="000000"/>
          <w:sz w:val="24"/>
          <w:szCs w:val="24"/>
        </w:rPr>
      </w:pPr>
    </w:p>
    <w:p>
      <w:pPr>
        <w:pageBreakBefore w:val="0"/>
        <w:tabs>
          <w:tab w:val="left" w:pos="0"/>
        </w:tabs>
        <w:wordWrap/>
        <w:topLinePunct w:val="0"/>
        <w:bidi w:val="0"/>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1.2符合性审查。</w:t>
      </w:r>
      <w:r>
        <w:rPr>
          <w:rFonts w:hint="eastAsia" w:ascii="宋体" w:hAnsi="宋体" w:eastAsia="宋体" w:cs="宋体"/>
          <w:color w:val="000000"/>
          <w:sz w:val="24"/>
          <w:szCs w:val="24"/>
        </w:rPr>
        <w:t>磋商小组对通过资格审查的磋商响应文件的有效性、完整性和磋商文件的响应程度进行审查，有一项因素不符合审查标准的，供应商不能通过符合性审查，其磋商无效。</w:t>
      </w:r>
    </w:p>
    <w:p>
      <w:pPr>
        <w:pStyle w:val="2"/>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pageBreakBefore w:val="0"/>
        <w:wordWrap/>
        <w:topLinePunct w:val="0"/>
        <w:bidi w:val="0"/>
        <w:spacing w:line="400" w:lineRule="exact"/>
        <w:jc w:val="center"/>
        <w:outlineLvl w:val="0"/>
        <w:rPr>
          <w:rFonts w:hint="eastAsia" w:ascii="宋体" w:hAnsi="宋体" w:eastAsia="宋体" w:cs="宋体"/>
          <w:b/>
          <w:bCs/>
          <w:sz w:val="24"/>
          <w:szCs w:val="24"/>
        </w:rPr>
      </w:pPr>
      <w:bookmarkStart w:id="54" w:name="_Toc18326"/>
      <w:r>
        <w:rPr>
          <w:rFonts w:hint="eastAsia" w:ascii="宋体" w:hAnsi="宋体" w:eastAsia="宋体" w:cs="宋体"/>
          <w:b/>
          <w:sz w:val="24"/>
          <w:szCs w:val="24"/>
        </w:rPr>
        <w:t>投标文件</w:t>
      </w:r>
      <w:r>
        <w:rPr>
          <w:rFonts w:hint="eastAsia" w:ascii="宋体" w:hAnsi="宋体" w:eastAsia="宋体" w:cs="宋体"/>
          <w:b/>
          <w:bCs/>
          <w:sz w:val="24"/>
          <w:szCs w:val="24"/>
        </w:rPr>
        <w:t>符合性审查</w:t>
      </w:r>
      <w:bookmarkEnd w:id="54"/>
    </w:p>
    <w:tbl>
      <w:tblPr>
        <w:tblStyle w:val="35"/>
        <w:tblpPr w:leftFromText="180" w:rightFromText="180" w:vertAnchor="text" w:horzAnchor="page" w:tblpXSpec="center" w:tblpY="105"/>
        <w:tblOverlap w:val="never"/>
        <w:tblW w:w="9574" w:type="dxa"/>
        <w:jc w:val="center"/>
        <w:tblLayout w:type="fixed"/>
        <w:tblCellMar>
          <w:top w:w="15" w:type="dxa"/>
          <w:left w:w="15" w:type="dxa"/>
          <w:bottom w:w="15" w:type="dxa"/>
          <w:right w:w="15" w:type="dxa"/>
        </w:tblCellMar>
      </w:tblPr>
      <w:tblGrid>
        <w:gridCol w:w="934"/>
        <w:gridCol w:w="5931"/>
        <w:gridCol w:w="1110"/>
        <w:gridCol w:w="810"/>
        <w:gridCol w:w="789"/>
      </w:tblGrid>
      <w:tr>
        <w:tblPrEx>
          <w:tblCellMar>
            <w:top w:w="15" w:type="dxa"/>
            <w:left w:w="15" w:type="dxa"/>
            <w:bottom w:w="15" w:type="dxa"/>
            <w:right w:w="15" w:type="dxa"/>
          </w:tblCellMar>
        </w:tblPrEx>
        <w:trPr>
          <w:trHeight w:val="435" w:hRule="atLeast"/>
          <w:jc w:val="center"/>
        </w:trPr>
        <w:tc>
          <w:tcPr>
            <w:tcW w:w="6865"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项目编号：</w:t>
            </w:r>
          </w:p>
        </w:tc>
        <w:tc>
          <w:tcPr>
            <w:tcW w:w="2709" w:type="dxa"/>
            <w:gridSpan w:val="3"/>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开标时间：</w:t>
            </w:r>
          </w:p>
        </w:tc>
      </w:tr>
      <w:tr>
        <w:tblPrEx>
          <w:tblCellMar>
            <w:top w:w="15" w:type="dxa"/>
            <w:left w:w="15" w:type="dxa"/>
            <w:bottom w:w="15" w:type="dxa"/>
            <w:right w:w="15" w:type="dxa"/>
          </w:tblCellMar>
        </w:tblPrEx>
        <w:trPr>
          <w:trHeight w:val="353"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序号</w:t>
            </w:r>
          </w:p>
        </w:tc>
        <w:tc>
          <w:tcPr>
            <w:tcW w:w="5931"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1</w:t>
            </w: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2</w:t>
            </w: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3</w:t>
            </w:r>
          </w:p>
        </w:tc>
      </w:tr>
      <w:tr>
        <w:tblPrEx>
          <w:tblCellMar>
            <w:top w:w="15" w:type="dxa"/>
            <w:left w:w="15" w:type="dxa"/>
            <w:bottom w:w="15" w:type="dxa"/>
            <w:right w:w="15" w:type="dxa"/>
          </w:tblCellMar>
        </w:tblPrEx>
        <w:trPr>
          <w:trHeight w:val="9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5931"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r>
      <w:tr>
        <w:tblPrEx>
          <w:tblCellMar>
            <w:top w:w="15" w:type="dxa"/>
            <w:left w:w="15" w:type="dxa"/>
            <w:bottom w:w="15" w:type="dxa"/>
            <w:right w:w="15" w:type="dxa"/>
          </w:tblCellMar>
        </w:tblPrEx>
        <w:trPr>
          <w:trHeight w:val="519"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投标报价高于设定的采购预算价的；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510"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供应商对同一招标项目作出两个以上报价未明确效力的；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46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未按磋商文件规定的格式填写，内容不全或关键字迹模糊、无法辨认的；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63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改变磋商文件提供的清单中的计量单位、数量的；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599"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有两个以上不同的投标价，且未注明何者有效的(以投标函为准)</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61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供应商名称、组织机构与资格预审时不符，涉嫌以他人名义投标的；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46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供应商之间或者供应商与采购人串通投标的；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90"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以行贿手段谋取中标或者以其他弄虚作假方式投标的；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评标委员会共同确定有实质上不响应磋商文件要求的；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7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投标文件没有投标单位法定代表人或其授权代表签字（章）和加盖投标单位公章的（投标文件正本的印章和签字不能为复印件）；</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757"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投标文件载明的技术规格、技术标准、检验标准和方法等，不符合磋商文件要求的；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5931" w:type="dxa"/>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投标文件附有采购人不能接受条件的；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53"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不满足磋商文件实质性要求的其他情形.</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68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评审结果</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9574"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“√”表示合格；“×”表示不合格，一项不合格结果为不合格，如不合格，请在结果中写明原因。</w:t>
            </w:r>
          </w:p>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bl>
    <w:p>
      <w:pPr>
        <w:pageBreakBefore w:val="0"/>
        <w:tabs>
          <w:tab w:val="left" w:pos="0"/>
        </w:tabs>
        <w:wordWrap/>
        <w:topLinePunct w:val="0"/>
        <w:bidi w:val="0"/>
        <w:spacing w:line="400" w:lineRule="exact"/>
        <w:rPr>
          <w:rFonts w:hint="eastAsia" w:ascii="宋体" w:hAnsi="宋体" w:eastAsia="宋体" w:cs="宋体"/>
          <w:b/>
          <w:bCs/>
          <w:spacing w:val="4"/>
          <w:sz w:val="24"/>
          <w:szCs w:val="24"/>
        </w:rPr>
      </w:pPr>
    </w:p>
    <w:p>
      <w:pPr>
        <w:pageBreakBefore w:val="0"/>
        <w:tabs>
          <w:tab w:val="left" w:pos="0"/>
        </w:tabs>
        <w:wordWrap/>
        <w:topLinePunct w:val="0"/>
        <w:bidi w:val="0"/>
        <w:spacing w:line="400" w:lineRule="exact"/>
        <w:rPr>
          <w:rFonts w:hint="eastAsia" w:ascii="宋体" w:hAnsi="宋体" w:eastAsia="宋体" w:cs="宋体"/>
          <w:b/>
          <w:bCs/>
          <w:spacing w:val="4"/>
          <w:sz w:val="24"/>
          <w:szCs w:val="24"/>
        </w:rPr>
      </w:pPr>
    </w:p>
    <w:p>
      <w:pPr>
        <w:pageBreakBefore w:val="0"/>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pPr>
        <w:pageBreakBefore w:val="0"/>
        <w:tabs>
          <w:tab w:val="left" w:pos="0"/>
        </w:tabs>
        <w:wordWrap/>
        <w:topLinePunct w:val="0"/>
        <w:bidi w:val="0"/>
        <w:spacing w:line="400" w:lineRule="exact"/>
        <w:jc w:val="center"/>
        <w:outlineLvl w:val="0"/>
        <w:rPr>
          <w:rFonts w:hint="eastAsia" w:ascii="宋体" w:hAnsi="宋体" w:eastAsia="宋体" w:cs="宋体"/>
          <w:sz w:val="32"/>
          <w:szCs w:val="32"/>
        </w:rPr>
      </w:pPr>
      <w:bookmarkStart w:id="55" w:name="_Toc15731"/>
      <w:r>
        <w:rPr>
          <w:rFonts w:hint="eastAsia" w:ascii="宋体" w:hAnsi="宋体" w:eastAsia="宋体" w:cs="宋体"/>
          <w:b/>
          <w:bCs/>
          <w:spacing w:val="4"/>
          <w:sz w:val="32"/>
          <w:szCs w:val="32"/>
        </w:rPr>
        <w:t>竞争性磋商（综合评分）评分细则</w:t>
      </w:r>
      <w:bookmarkEnd w:id="55"/>
    </w:p>
    <w:tbl>
      <w:tblPr>
        <w:tblStyle w:val="35"/>
        <w:tblW w:w="9198" w:type="dxa"/>
        <w:tblInd w:w="0" w:type="dxa"/>
        <w:tblLayout w:type="fixed"/>
        <w:tblCellMar>
          <w:top w:w="0" w:type="dxa"/>
          <w:left w:w="108" w:type="dxa"/>
          <w:bottom w:w="0" w:type="dxa"/>
          <w:right w:w="108" w:type="dxa"/>
        </w:tblCellMar>
      </w:tblPr>
      <w:tblGrid>
        <w:gridCol w:w="660"/>
        <w:gridCol w:w="1609"/>
        <w:gridCol w:w="1069"/>
        <w:gridCol w:w="5860"/>
      </w:tblGrid>
      <w:tr>
        <w:tblPrEx>
          <w:tblCellMar>
            <w:top w:w="0" w:type="dxa"/>
            <w:left w:w="108" w:type="dxa"/>
            <w:bottom w:w="0" w:type="dxa"/>
            <w:right w:w="108" w:type="dxa"/>
          </w:tblCellMar>
        </w:tblPrEx>
        <w:trPr>
          <w:trHeight w:val="570" w:hRule="atLeast"/>
        </w:trPr>
        <w:tc>
          <w:tcPr>
            <w:tcW w:w="660"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r>
              <w:rPr>
                <w:rFonts w:hint="eastAsia" w:ascii="宋体" w:hAnsi="宋体" w:eastAsia="宋体" w:cs="宋体"/>
                <w:b/>
                <w:bCs/>
                <w:spacing w:val="4"/>
                <w:sz w:val="24"/>
                <w:szCs w:val="24"/>
              </w:rPr>
              <w:br w:type="page"/>
            </w:r>
            <w:r>
              <w:rPr>
                <w:rFonts w:hint="eastAsia" w:ascii="宋体" w:hAnsi="宋体" w:eastAsia="宋体" w:cs="宋体"/>
                <w:b/>
                <w:bCs/>
                <w:sz w:val="24"/>
                <w:szCs w:val="24"/>
              </w:rPr>
              <w:t>类别</w:t>
            </w:r>
          </w:p>
        </w:tc>
        <w:tc>
          <w:tcPr>
            <w:tcW w:w="1609"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评分因素及权重</w:t>
            </w:r>
          </w:p>
        </w:tc>
        <w:tc>
          <w:tcPr>
            <w:tcW w:w="1069"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860"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评分标准说明</w:t>
            </w:r>
          </w:p>
        </w:tc>
      </w:tr>
      <w:tr>
        <w:tblPrEx>
          <w:tblCellMar>
            <w:top w:w="0" w:type="dxa"/>
            <w:left w:w="108" w:type="dxa"/>
            <w:bottom w:w="0" w:type="dxa"/>
            <w:right w:w="108" w:type="dxa"/>
          </w:tblCellMar>
        </w:tblPrEx>
        <w:trPr>
          <w:trHeight w:val="1770" w:hRule="atLeast"/>
        </w:trPr>
        <w:tc>
          <w:tcPr>
            <w:tcW w:w="660" w:type="dxa"/>
            <w:vMerge w:val="restart"/>
            <w:tcBorders>
              <w:top w:val="nil"/>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商务部分</w:t>
            </w: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投标报价评分标准</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20分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在所有的最终有效报价中，以最低报价为基准价，其价格分为满分。其他投标响应人的报价分统一按下列公式计算：报价得分=(评标基准价／投标报价)×价格权值（20%）×100（四舍五入后保留小数点后两位）。</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注：根据《政府采购促进中小企业发展暂行办法》的相关规定，对小型和微型企业产品的价格给予6%的扣除，用扣除后的价格参与评审。残疾人福利性单位、监狱企业视同小型、微型企业。</w:t>
            </w:r>
          </w:p>
        </w:tc>
      </w:tr>
      <w:tr>
        <w:tblPrEx>
          <w:tblCellMar>
            <w:top w:w="0" w:type="dxa"/>
            <w:left w:w="108" w:type="dxa"/>
            <w:bottom w:w="0" w:type="dxa"/>
            <w:right w:w="108" w:type="dxa"/>
          </w:tblCellMar>
        </w:tblPrEx>
        <w:trPr>
          <w:trHeight w:val="1710"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投标人业绩</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cs="宋体"/>
                <w:sz w:val="24"/>
                <w:lang w:eastAsia="zh-CN"/>
              </w:rPr>
              <w:t>投标人提供自</w:t>
            </w:r>
            <w:r>
              <w:rPr>
                <w:rFonts w:hint="eastAsia" w:ascii="宋体" w:hAnsi="宋体" w:cs="宋体"/>
                <w:sz w:val="24"/>
                <w:lang w:val="en-US" w:eastAsia="zh-CN"/>
              </w:rPr>
              <w:t>2018年1月1日以来（按合同签订时间为准）合同金额50万及以上冷链物流相关项目可研。商业策划、规划等业绩</w:t>
            </w:r>
            <w:r>
              <w:rPr>
                <w:rFonts w:hint="eastAsia" w:ascii="宋体" w:hAnsi="宋体" w:cs="宋体"/>
                <w:sz w:val="24"/>
              </w:rPr>
              <w:t>，每提供一个有效业绩得2分，本项最多得10分，未提供证明材料的，本项得0分。</w:t>
            </w:r>
          </w:p>
        </w:tc>
      </w:tr>
      <w:tr>
        <w:tblPrEx>
          <w:tblCellMar>
            <w:top w:w="0" w:type="dxa"/>
            <w:left w:w="108" w:type="dxa"/>
            <w:bottom w:w="0" w:type="dxa"/>
            <w:right w:w="108" w:type="dxa"/>
          </w:tblCellMar>
        </w:tblPrEx>
        <w:trPr>
          <w:trHeight w:val="944"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获奖及履约能力</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1、近五年业绩获奖项每提供一个得2.5分，最多得5分，未提供证明材料的，本项得0分；</w:t>
            </w:r>
          </w:p>
        </w:tc>
      </w:tr>
      <w:tr>
        <w:tblPrEx>
          <w:tblCellMar>
            <w:top w:w="0" w:type="dxa"/>
            <w:left w:w="108" w:type="dxa"/>
            <w:bottom w:w="0" w:type="dxa"/>
            <w:right w:w="108" w:type="dxa"/>
          </w:tblCellMar>
        </w:tblPrEx>
        <w:trPr>
          <w:trHeight w:val="734"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财务及信誉状况</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近三年投标人财务、信誉状况良好，得 3分；一般，得 1分；差的，得0分；</w:t>
            </w:r>
          </w:p>
        </w:tc>
      </w:tr>
      <w:tr>
        <w:tblPrEx>
          <w:tblCellMar>
            <w:top w:w="0" w:type="dxa"/>
            <w:left w:w="108" w:type="dxa"/>
            <w:bottom w:w="0" w:type="dxa"/>
            <w:right w:w="108" w:type="dxa"/>
          </w:tblCellMar>
        </w:tblPrEx>
        <w:trPr>
          <w:trHeight w:val="1284"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投标文件完整度</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投标文件格式和内容是否按照招标文件要求编制；内容完整性、文字清晰度、装订整齐度，目录清晰度、正文是否页码一一对应、查找是否方便，最优得2分，否则相应扣减，最低得0分。</w:t>
            </w:r>
          </w:p>
        </w:tc>
      </w:tr>
      <w:tr>
        <w:tblPrEx>
          <w:tblCellMar>
            <w:top w:w="0" w:type="dxa"/>
            <w:left w:w="108" w:type="dxa"/>
            <w:bottom w:w="0" w:type="dxa"/>
            <w:right w:w="108" w:type="dxa"/>
          </w:tblCellMar>
        </w:tblPrEx>
        <w:trPr>
          <w:trHeight w:val="915" w:hRule="atLeast"/>
        </w:trPr>
        <w:tc>
          <w:tcPr>
            <w:tcW w:w="660" w:type="dxa"/>
            <w:vMerge w:val="continue"/>
            <w:tcBorders>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929" w:type="dxa"/>
            <w:gridSpan w:val="2"/>
            <w:tcBorders>
              <w:top w:val="nil"/>
              <w:left w:val="nil"/>
              <w:bottom w:val="single" w:color="auto" w:sz="4" w:space="0"/>
              <w:right w:val="single" w:color="auto" w:sz="4" w:space="0"/>
            </w:tcBorders>
            <w:vAlign w:val="center"/>
          </w:tcPr>
          <w:p>
            <w:pPr>
              <w:pageBreakBefore w:val="0"/>
              <w:wordWrap/>
              <w:topLinePunct w:val="0"/>
              <w:bidi w:val="0"/>
              <w:spacing w:line="400" w:lineRule="exact"/>
              <w:ind w:firstLine="3120" w:firstLineChars="1300"/>
              <w:jc w:val="both"/>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0分　</w:t>
            </w:r>
          </w:p>
        </w:tc>
      </w:tr>
      <w:tr>
        <w:tblPrEx>
          <w:tblCellMar>
            <w:top w:w="0" w:type="dxa"/>
            <w:left w:w="108" w:type="dxa"/>
            <w:bottom w:w="0" w:type="dxa"/>
            <w:right w:w="108" w:type="dxa"/>
          </w:tblCellMar>
        </w:tblPrEx>
        <w:trPr>
          <w:trHeight w:val="649" w:hRule="atLeast"/>
        </w:trPr>
        <w:tc>
          <w:tcPr>
            <w:tcW w:w="660"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技术部分</w:t>
            </w:r>
          </w:p>
        </w:tc>
        <w:tc>
          <w:tcPr>
            <w:tcW w:w="1609"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项目负责人的资历、能力和业绩等</w:t>
            </w:r>
          </w:p>
        </w:tc>
        <w:tc>
          <w:tcPr>
            <w:tcW w:w="1069"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nil"/>
              <w:right w:val="single" w:color="auto" w:sz="4" w:space="0"/>
            </w:tcBorders>
            <w:vAlign w:val="center"/>
          </w:tcPr>
          <w:p>
            <w:pPr>
              <w:spacing w:line="400" w:lineRule="exact"/>
              <w:jc w:val="both"/>
              <w:rPr>
                <w:rFonts w:hint="eastAsia" w:ascii="宋体" w:hAnsi="宋体" w:eastAsia="宋体" w:cs="宋体"/>
                <w:sz w:val="24"/>
                <w:szCs w:val="24"/>
              </w:rPr>
            </w:pPr>
            <w:r>
              <w:rPr>
                <w:rFonts w:hint="eastAsia" w:ascii="宋体" w:hAnsi="宋体" w:cs="宋体"/>
                <w:color w:val="FF0000"/>
                <w:sz w:val="24"/>
              </w:rPr>
              <w:t>1、项目负责人具有</w:t>
            </w:r>
            <w:r>
              <w:rPr>
                <w:rFonts w:hint="eastAsia" w:ascii="宋体" w:hAnsi="宋体" w:cs="宋体"/>
                <w:color w:val="FF0000"/>
                <w:sz w:val="24"/>
                <w:lang w:eastAsia="zh-CN"/>
              </w:rPr>
              <w:t>注册咨询工程师（投资）</w:t>
            </w:r>
            <w:r>
              <w:rPr>
                <w:rFonts w:hint="eastAsia" w:ascii="宋体" w:hAnsi="宋体" w:cs="宋体"/>
                <w:color w:val="FF0000"/>
                <w:sz w:val="24"/>
              </w:rPr>
              <w:t>的得1分</w:t>
            </w:r>
          </w:p>
        </w:tc>
      </w:tr>
      <w:tr>
        <w:tblPrEx>
          <w:tblCellMar>
            <w:top w:w="0" w:type="dxa"/>
            <w:left w:w="108" w:type="dxa"/>
            <w:bottom w:w="0" w:type="dxa"/>
            <w:right w:w="108" w:type="dxa"/>
          </w:tblCellMar>
        </w:tblPrEx>
        <w:trPr>
          <w:trHeight w:val="931"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069"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p>
        </w:tc>
        <w:tc>
          <w:tcPr>
            <w:tcW w:w="5860"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rPr>
              <w:t>2、</w:t>
            </w:r>
            <w:r>
              <w:rPr>
                <w:rFonts w:hint="eastAsia" w:ascii="宋体" w:hAnsi="宋体" w:cs="宋体"/>
                <w:sz w:val="24"/>
                <w:lang w:eastAsia="zh-CN"/>
              </w:rPr>
              <w:t>近五年内作为项目主设参与类似项目的业绩，每提供一项得</w:t>
            </w:r>
            <w:r>
              <w:rPr>
                <w:rFonts w:hint="eastAsia" w:ascii="宋体" w:hAnsi="宋体" w:cs="宋体"/>
                <w:sz w:val="24"/>
                <w:lang w:val="en-US" w:eastAsia="zh-CN"/>
              </w:rPr>
              <w:t>1分，最多得4分</w:t>
            </w:r>
          </w:p>
        </w:tc>
      </w:tr>
      <w:tr>
        <w:tblPrEx>
          <w:tblCellMar>
            <w:top w:w="0" w:type="dxa"/>
            <w:left w:w="108" w:type="dxa"/>
            <w:bottom w:w="0" w:type="dxa"/>
            <w:right w:w="108" w:type="dxa"/>
          </w:tblCellMar>
        </w:tblPrEx>
        <w:trPr>
          <w:trHeight w:val="154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lang w:eastAsia="zh-CN"/>
              </w:rPr>
            </w:pPr>
            <w:r>
              <w:rPr>
                <w:rFonts w:hint="eastAsia" w:ascii="宋体" w:hAnsi="宋体" w:cs="宋体"/>
                <w:b/>
                <w:bCs/>
                <w:sz w:val="24"/>
                <w:szCs w:val="24"/>
                <w:lang w:eastAsia="zh-CN"/>
              </w:rPr>
              <w:t>项目组成员配置</w:t>
            </w:r>
          </w:p>
        </w:tc>
        <w:tc>
          <w:tcPr>
            <w:tcW w:w="1069" w:type="dxa"/>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ind w:firstLine="240" w:firstLineChars="100"/>
              <w:rPr>
                <w:rFonts w:hint="eastAsia" w:ascii="宋体" w:hAnsi="宋体" w:eastAsia="宋体" w:cs="宋体"/>
                <w:sz w:val="24"/>
                <w:szCs w:val="24"/>
                <w:lang w:val="en-US" w:eastAsia="zh-CN"/>
              </w:rPr>
            </w:pPr>
            <w:r>
              <w:rPr>
                <w:rFonts w:hint="eastAsia" w:ascii="宋体" w:hAnsi="宋体" w:cs="宋体"/>
                <w:sz w:val="24"/>
                <w:szCs w:val="24"/>
                <w:lang w:val="en-US" w:eastAsia="zh-CN"/>
              </w:rPr>
              <w:t>5分</w:t>
            </w:r>
          </w:p>
        </w:tc>
        <w:tc>
          <w:tcPr>
            <w:tcW w:w="5860" w:type="dxa"/>
            <w:tcBorders>
              <w:top w:val="nil"/>
              <w:left w:val="nil"/>
              <w:bottom w:val="single" w:color="auto" w:sz="4" w:space="0"/>
              <w:right w:val="single" w:color="auto" w:sz="4" w:space="0"/>
            </w:tcBorders>
            <w:vAlign w:val="center"/>
          </w:tcPr>
          <w:p>
            <w:pPr>
              <w:numPr>
                <w:ilvl w:val="0"/>
                <w:numId w:val="7"/>
              </w:numPr>
              <w:spacing w:line="400" w:lineRule="exact"/>
              <w:ind w:left="210" w:leftChars="0" w:firstLineChars="0"/>
              <w:jc w:val="center"/>
              <w:rPr>
                <w:rFonts w:hint="eastAsia"/>
              </w:rPr>
            </w:pPr>
            <w:r>
              <w:rPr>
                <w:rFonts w:hint="eastAsia" w:ascii="宋体" w:hAnsi="宋体" w:cs="宋体"/>
                <w:sz w:val="24"/>
                <w:lang w:eastAsia="zh-CN"/>
              </w:rPr>
              <w:t>项目组成员具有高级工程师证书的得</w:t>
            </w:r>
            <w:r>
              <w:rPr>
                <w:rFonts w:hint="eastAsia" w:ascii="宋体" w:hAnsi="宋体" w:cs="宋体"/>
                <w:sz w:val="24"/>
                <w:lang w:val="en-US" w:eastAsia="zh-CN"/>
              </w:rPr>
              <w:t>1分</w:t>
            </w:r>
            <w:r>
              <w:rPr>
                <w:rFonts w:hint="eastAsia" w:ascii="宋体" w:hAnsi="宋体" w:cs="宋体"/>
                <w:sz w:val="24"/>
                <w:lang w:eastAsia="zh-CN"/>
              </w:rPr>
              <w:t>；最多得</w:t>
            </w:r>
            <w:r>
              <w:rPr>
                <w:rFonts w:hint="eastAsia" w:ascii="宋体" w:hAnsi="宋体" w:cs="宋体"/>
                <w:sz w:val="24"/>
                <w:lang w:val="en-US" w:eastAsia="zh-CN"/>
              </w:rPr>
              <w:t>2分；</w:t>
            </w:r>
          </w:p>
          <w:p>
            <w:pPr>
              <w:numPr>
                <w:ilvl w:val="0"/>
                <w:numId w:val="0"/>
              </w:numPr>
              <w:spacing w:line="400" w:lineRule="exact"/>
              <w:jc w:val="both"/>
              <w:rPr>
                <w:rFonts w:hint="eastAsia"/>
              </w:rPr>
            </w:pPr>
            <w:r>
              <w:rPr>
                <w:rFonts w:hint="eastAsia" w:ascii="宋体" w:hAnsi="宋体" w:cs="宋体"/>
                <w:sz w:val="24"/>
                <w:lang w:val="en-US" w:eastAsia="zh-CN"/>
              </w:rPr>
              <w:t>2、3人及以上具备高级职称的得3分</w:t>
            </w:r>
          </w:p>
        </w:tc>
      </w:tr>
      <w:tr>
        <w:tblPrEx>
          <w:tblCellMar>
            <w:top w:w="0" w:type="dxa"/>
            <w:left w:w="108" w:type="dxa"/>
            <w:bottom w:w="0" w:type="dxa"/>
            <w:right w:w="108" w:type="dxa"/>
          </w:tblCellMar>
        </w:tblPrEx>
        <w:trPr>
          <w:trHeight w:val="1327"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项目理解和工作内容</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25</w:t>
            </w:r>
            <w:r>
              <w:rPr>
                <w:rFonts w:hint="eastAsia" w:ascii="宋体" w:hAnsi="宋体" w:eastAsia="宋体" w:cs="宋体"/>
                <w:sz w:val="24"/>
                <w:szCs w:val="24"/>
              </w:rPr>
              <w:t>分</w:t>
            </w:r>
          </w:p>
        </w:tc>
        <w:tc>
          <w:tcPr>
            <w:tcW w:w="5860" w:type="dxa"/>
            <w:tcBorders>
              <w:top w:val="nil"/>
              <w:left w:val="nil"/>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对项目的理解清晰，判断科学合理，工作内容完全满足本项目需求和询价人要求。得20-25分。</w:t>
            </w:r>
          </w:p>
          <w:p>
            <w:pPr>
              <w:spacing w:line="400" w:lineRule="exact"/>
              <w:rPr>
                <w:rFonts w:ascii="宋体" w:hAnsi="宋体" w:cs="宋体"/>
                <w:sz w:val="24"/>
              </w:rPr>
            </w:pPr>
            <w:r>
              <w:rPr>
                <w:rFonts w:hint="eastAsia" w:ascii="宋体" w:hAnsi="宋体" w:cs="宋体"/>
                <w:sz w:val="24"/>
              </w:rPr>
              <w:t>对项目的理解比较清晰，判断相对科学合理，工作内容基本满足本项目需求和询价人要求。得15-19分。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cs="宋体"/>
                <w:sz w:val="24"/>
              </w:rPr>
              <w:t>对项目的理解模糊、判断欠缺合理性，工作内容未能达到本项目需求和询价人要求。得0-14分。</w:t>
            </w:r>
          </w:p>
        </w:tc>
      </w:tr>
      <w:tr>
        <w:tblPrEx>
          <w:tblCellMar>
            <w:top w:w="0" w:type="dxa"/>
            <w:left w:w="108" w:type="dxa"/>
            <w:bottom w:w="0" w:type="dxa"/>
            <w:right w:w="108" w:type="dxa"/>
          </w:tblCellMar>
        </w:tblPrEx>
        <w:trPr>
          <w:trHeight w:val="121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市场调研工作安排</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5860" w:type="dxa"/>
            <w:tcBorders>
              <w:top w:val="nil"/>
              <w:left w:val="nil"/>
              <w:bottom w:val="single" w:color="auto" w:sz="4" w:space="0"/>
              <w:right w:val="single" w:color="auto" w:sz="4" w:space="0"/>
            </w:tcBorders>
            <w:vAlign w:val="center"/>
          </w:tcPr>
          <w:p>
            <w:pPr>
              <w:spacing w:line="400" w:lineRule="exact"/>
              <w:jc w:val="both"/>
              <w:rPr>
                <w:rFonts w:ascii="宋体" w:hAnsi="宋体" w:cs="宋体"/>
                <w:sz w:val="24"/>
              </w:rPr>
            </w:pPr>
            <w:r>
              <w:rPr>
                <w:rFonts w:hint="eastAsia" w:ascii="宋体" w:hAnsi="宋体" w:cs="宋体"/>
                <w:sz w:val="24"/>
              </w:rPr>
              <w:t>投标人市场调研计划安排合理，对本项目的功能定位和发展方向建议合理的，得8-10分。</w:t>
            </w:r>
          </w:p>
          <w:p>
            <w:pPr>
              <w:spacing w:line="400" w:lineRule="exact"/>
              <w:jc w:val="both"/>
              <w:rPr>
                <w:rFonts w:ascii="宋体" w:hAnsi="宋体" w:cs="宋体"/>
                <w:sz w:val="24"/>
              </w:rPr>
            </w:pPr>
            <w:r>
              <w:rPr>
                <w:rFonts w:hint="eastAsia" w:ascii="宋体" w:hAnsi="宋体" w:cs="宋体"/>
                <w:sz w:val="24"/>
              </w:rPr>
              <w:t>投标人市场调研计划安排一般，对本项目的功能定位和发展方向建议一般的，得6-8分。</w:t>
            </w:r>
          </w:p>
          <w:p>
            <w:pPr>
              <w:spacing w:line="400" w:lineRule="exact"/>
              <w:jc w:val="both"/>
              <w:rPr>
                <w:rFonts w:hint="eastAsia" w:ascii="宋体" w:hAnsi="宋体" w:eastAsia="宋体" w:cs="宋体"/>
                <w:kern w:val="2"/>
                <w:sz w:val="24"/>
                <w:szCs w:val="24"/>
                <w:lang w:val="en-US" w:eastAsia="zh-CN" w:bidi="ar-SA"/>
              </w:rPr>
            </w:pPr>
            <w:r>
              <w:rPr>
                <w:rFonts w:hint="eastAsia" w:ascii="宋体" w:hAnsi="宋体" w:cs="宋体"/>
                <w:sz w:val="24"/>
              </w:rPr>
              <w:t>投标人市场调研计划安排不合理，对本项目的功能定位和发展方向建议一般的，得0-5分</w:t>
            </w:r>
          </w:p>
        </w:tc>
      </w:tr>
      <w:tr>
        <w:tblPrEx>
          <w:tblCellMar>
            <w:top w:w="0" w:type="dxa"/>
            <w:left w:w="108" w:type="dxa"/>
            <w:bottom w:w="0" w:type="dxa"/>
            <w:right w:w="108" w:type="dxa"/>
          </w:tblCellMar>
        </w:tblPrEx>
        <w:trPr>
          <w:trHeight w:val="704"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项目进度</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项目进度计划制定详尽合理，满足本项目要求。最优得5分，良4分，一般2分。</w:t>
            </w:r>
          </w:p>
        </w:tc>
      </w:tr>
      <w:tr>
        <w:tblPrEx>
          <w:tblCellMar>
            <w:top w:w="0" w:type="dxa"/>
            <w:left w:w="108" w:type="dxa"/>
            <w:bottom w:w="0" w:type="dxa"/>
            <w:right w:w="108" w:type="dxa"/>
          </w:tblCellMar>
        </w:tblPrEx>
        <w:trPr>
          <w:trHeight w:val="770"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现场服务方式及响应速度</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1、能够及时响应业主需求，安排专业技术人员到达现场为业主提供技术咨询、培训</w:t>
            </w:r>
            <w:r>
              <w:rPr>
                <w:rFonts w:hint="eastAsia" w:ascii="宋体" w:hAnsi="宋体" w:cs="宋体"/>
                <w:sz w:val="24"/>
                <w:szCs w:val="24"/>
                <w:lang w:eastAsia="zh-CN"/>
              </w:rPr>
              <w:t>或</w:t>
            </w:r>
            <w:r>
              <w:rPr>
                <w:rFonts w:hint="eastAsia" w:ascii="宋体" w:hAnsi="宋体" w:eastAsia="宋体" w:cs="宋体"/>
                <w:sz w:val="24"/>
                <w:szCs w:val="24"/>
              </w:rPr>
              <w:t>指导驻地服务，得</w:t>
            </w:r>
            <w:r>
              <w:rPr>
                <w:rFonts w:hint="eastAsia" w:ascii="宋体" w:hAnsi="宋体" w:cs="宋体"/>
                <w:sz w:val="24"/>
                <w:szCs w:val="24"/>
                <w:lang w:val="en-US" w:eastAsia="zh-CN"/>
              </w:rPr>
              <w:t>3</w:t>
            </w:r>
            <w:r>
              <w:rPr>
                <w:rFonts w:hint="eastAsia" w:ascii="宋体" w:hAnsi="宋体" w:eastAsia="宋体" w:cs="宋体"/>
                <w:sz w:val="24"/>
                <w:szCs w:val="24"/>
              </w:rPr>
              <w:t>分，其余酌情赋分；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2、派驻现场技术人员2名，且涵盖规划地质专业，经验丰富，均具备高级工程师职称的，得2分，其余酌情赋分；</w:t>
            </w:r>
          </w:p>
        </w:tc>
      </w:tr>
      <w:tr>
        <w:tblPrEx>
          <w:tblCellMar>
            <w:top w:w="0" w:type="dxa"/>
            <w:left w:w="108" w:type="dxa"/>
            <w:bottom w:w="0" w:type="dxa"/>
            <w:right w:w="108" w:type="dxa"/>
          </w:tblCellMar>
        </w:tblPrEx>
        <w:trPr>
          <w:trHeight w:val="1089"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1、能够积极主动配合规划、环评专业推进项目，得1分，其余酌情赋分；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2、有实力且愿意主动协助业主在自治区级行政主管部门完成项目审查推进，得4分，其余酌情赋分；</w:t>
            </w:r>
          </w:p>
        </w:tc>
      </w:tr>
      <w:tr>
        <w:tblPrEx>
          <w:tblCellMar>
            <w:top w:w="0" w:type="dxa"/>
            <w:left w:w="108" w:type="dxa"/>
            <w:bottom w:w="0" w:type="dxa"/>
            <w:right w:w="108" w:type="dxa"/>
          </w:tblCellMar>
        </w:tblPrEx>
        <w:trPr>
          <w:trHeight w:val="63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929" w:type="dxa"/>
            <w:gridSpan w:val="2"/>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0分</w:t>
            </w:r>
          </w:p>
          <w:p>
            <w:pPr>
              <w:pageBreakBefore w:val="0"/>
              <w:wordWrap/>
              <w:topLinePunct w:val="0"/>
              <w:bidi w:val="0"/>
              <w:spacing w:line="400" w:lineRule="exact"/>
              <w:jc w:val="center"/>
              <w:rPr>
                <w:rFonts w:hint="eastAsia" w:ascii="宋体" w:hAnsi="宋体" w:eastAsia="宋体" w:cs="宋体"/>
                <w:sz w:val="24"/>
                <w:szCs w:val="24"/>
              </w:rPr>
            </w:pPr>
          </w:p>
        </w:tc>
      </w:tr>
    </w:tbl>
    <w:p>
      <w:pPr>
        <w:pageBreakBefore w:val="0"/>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pPr>
        <w:pageBreakBefore w:val="0"/>
        <w:tabs>
          <w:tab w:val="left" w:pos="0"/>
        </w:tabs>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t>2、磋商响应文件的澄清</w:t>
      </w:r>
    </w:p>
    <w:p>
      <w:pPr>
        <w:pageBreakBefore w:val="0"/>
        <w:wordWrap/>
        <w:topLinePunct w:val="0"/>
        <w:bidi w:val="0"/>
        <w:spacing w:line="400" w:lineRule="exact"/>
        <w:rPr>
          <w:rFonts w:hint="eastAsia" w:ascii="宋体" w:hAnsi="宋体" w:eastAsia="宋体" w:cs="宋体"/>
          <w:bCs/>
          <w:spacing w:val="4"/>
          <w:sz w:val="24"/>
          <w:szCs w:val="24"/>
        </w:rPr>
      </w:pPr>
      <w:r>
        <w:rPr>
          <w:rFonts w:hint="eastAsia" w:ascii="宋体" w:hAnsi="宋体" w:eastAsia="宋体" w:cs="宋体"/>
          <w:bCs/>
          <w:spacing w:val="4"/>
          <w:sz w:val="24"/>
          <w:szCs w:val="24"/>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pageBreakBefore w:val="0"/>
        <w:wordWrap/>
        <w:topLinePunct w:val="0"/>
        <w:bidi w:val="0"/>
        <w:spacing w:line="400" w:lineRule="exact"/>
        <w:ind w:firstLine="480" w:firstLineChars="200"/>
        <w:rPr>
          <w:rFonts w:hint="eastAsia" w:ascii="宋体" w:hAnsi="宋体" w:eastAsia="宋体" w:cs="宋体"/>
          <w:bCs/>
          <w:spacing w:val="4"/>
          <w:sz w:val="24"/>
          <w:szCs w:val="24"/>
        </w:rPr>
      </w:pPr>
      <w:r>
        <w:rPr>
          <w:rFonts w:hint="eastAsia" w:ascii="宋体" w:hAnsi="宋体" w:eastAsia="宋体" w:cs="宋体"/>
          <w:color w:val="000000"/>
          <w:sz w:val="24"/>
          <w:szCs w:val="24"/>
        </w:rPr>
        <w:t>2.2有效的书面澄清材料，是磋商响应文件的补充材料，成为磋商响应文件的组成部分。</w:t>
      </w:r>
    </w:p>
    <w:p>
      <w:pPr>
        <w:pageBreakBefore w:val="0"/>
        <w:wordWrap/>
        <w:topLinePunct w:val="0"/>
        <w:bidi w:val="0"/>
        <w:spacing w:line="400" w:lineRule="exact"/>
        <w:ind w:firstLine="482" w:firstLineChars="200"/>
        <w:rPr>
          <w:rFonts w:hint="eastAsia" w:ascii="宋体" w:hAnsi="宋体" w:eastAsia="宋体" w:cs="宋体"/>
          <w:bCs/>
          <w:spacing w:val="4"/>
          <w:sz w:val="24"/>
          <w:szCs w:val="24"/>
        </w:rPr>
      </w:pPr>
      <w:r>
        <w:rPr>
          <w:rFonts w:hint="eastAsia" w:ascii="宋体" w:hAnsi="宋体" w:eastAsia="宋体" w:cs="宋体"/>
          <w:b/>
          <w:color w:val="000000"/>
          <w:sz w:val="24"/>
          <w:szCs w:val="24"/>
        </w:rPr>
        <w:t>3、磋商：</w:t>
      </w:r>
      <w:r>
        <w:rPr>
          <w:rFonts w:hint="eastAsia" w:ascii="宋体" w:hAnsi="宋体" w:eastAsia="宋体" w:cs="宋体"/>
          <w:bCs/>
          <w:spacing w:val="4"/>
          <w:sz w:val="24"/>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pageBreakBefore w:val="0"/>
        <w:wordWrap/>
        <w:topLinePunct w:val="0"/>
        <w:bidi w:val="0"/>
        <w:spacing w:line="400" w:lineRule="exact"/>
        <w:ind w:firstLine="602" w:firstLineChars="250"/>
        <w:rPr>
          <w:rFonts w:hint="eastAsia" w:ascii="宋体" w:hAnsi="宋体" w:eastAsia="宋体" w:cs="宋体"/>
          <w:bCs/>
          <w:spacing w:val="4"/>
          <w:sz w:val="24"/>
          <w:szCs w:val="24"/>
        </w:rPr>
      </w:pPr>
      <w:r>
        <w:rPr>
          <w:rFonts w:hint="eastAsia" w:ascii="宋体" w:hAnsi="宋体" w:eastAsia="宋体" w:cs="宋体"/>
          <w:b/>
          <w:color w:val="000000"/>
          <w:sz w:val="24"/>
          <w:szCs w:val="24"/>
        </w:rPr>
        <w:t>4、综合评审：</w:t>
      </w:r>
      <w:r>
        <w:rPr>
          <w:rFonts w:hint="eastAsia" w:ascii="宋体" w:hAnsi="宋体" w:eastAsia="宋体" w:cs="宋体"/>
          <w:bCs/>
          <w:spacing w:val="4"/>
          <w:sz w:val="24"/>
          <w:szCs w:val="24"/>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pageBreakBefore w:val="0"/>
        <w:wordWrap/>
        <w:topLinePunct w:val="0"/>
        <w:bidi w:val="0"/>
        <w:spacing w:line="400" w:lineRule="exact"/>
        <w:outlineLvl w:val="0"/>
        <w:rPr>
          <w:rFonts w:hint="eastAsia" w:ascii="宋体" w:hAnsi="宋体" w:eastAsia="宋体" w:cs="宋体"/>
          <w:b/>
          <w:color w:val="000000"/>
          <w:sz w:val="24"/>
          <w:szCs w:val="24"/>
        </w:rPr>
      </w:pPr>
      <w:bookmarkStart w:id="56" w:name="_Toc20492"/>
      <w:r>
        <w:rPr>
          <w:rFonts w:hint="eastAsia" w:ascii="宋体" w:hAnsi="宋体" w:eastAsia="宋体" w:cs="宋体"/>
          <w:b/>
          <w:color w:val="000000"/>
          <w:sz w:val="24"/>
          <w:szCs w:val="24"/>
        </w:rPr>
        <w:t>三、政策性扣减</w:t>
      </w:r>
      <w:bookmarkEnd w:id="56"/>
    </w:p>
    <w:p>
      <w:pPr>
        <w:pageBreakBefore w:val="0"/>
        <w:wordWrap/>
        <w:topLinePunct w:val="0"/>
        <w:bidi w:val="0"/>
        <w:spacing w:line="400" w:lineRule="exact"/>
        <w:ind w:firstLine="602" w:firstLineChars="250"/>
        <w:rPr>
          <w:rFonts w:hint="eastAsia" w:ascii="宋体" w:hAnsi="宋体" w:eastAsia="宋体" w:cs="宋体"/>
          <w:b/>
          <w:color w:val="000000"/>
          <w:sz w:val="24"/>
          <w:szCs w:val="24"/>
        </w:rPr>
      </w:pPr>
      <w:r>
        <w:rPr>
          <w:rFonts w:hint="eastAsia" w:ascii="宋体" w:hAnsi="宋体" w:eastAsia="宋体" w:cs="宋体"/>
          <w:b/>
          <w:color w:val="000000"/>
          <w:sz w:val="24"/>
          <w:szCs w:val="24"/>
        </w:rPr>
        <w:t>1政策性扣减范围</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1.1供应商符合小型、微型企业或监狱企业、残疾人福利性单位条件的，其磋商报价价格评审时将按相应比例进行扣减。</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1.2依照&lt;关于印发《政府采购促进中小企业发展暂行办法》的通知&gt;（财库(2011〕181号）的规定，小型、微型企业应当同时符合以下条件：</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1.2.1符合中小企业划分标准（中小企业划分标准是指国务院有关部门根据企业从业人员、营业收入、资产总额等指标制定的中小企业划型标准（工信部联企业〔2011〕300号））。</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1.2.2提供本企业制造的货物、承担的工程或者服务，或者提供其他中小企业制造的货物，不包括提供或使用大型企业注册商标的货物。</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1.2.3小型、微型企业提供中型企业制造的货物的，视同为中型企业；小型、微型、中型企业提供大型企业制造的货物的，视同为大型企业。</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pageBreakBefore w:val="0"/>
        <w:wordWrap/>
        <w:topLinePunct w:val="0"/>
        <w:bidi w:val="0"/>
        <w:spacing w:line="400" w:lineRule="exact"/>
        <w:ind w:firstLine="620" w:firstLineChars="250"/>
        <w:rPr>
          <w:rFonts w:hint="eastAsia" w:ascii="宋体" w:hAnsi="宋体" w:eastAsia="宋体" w:cs="宋体"/>
          <w:color w:val="000000"/>
          <w:sz w:val="24"/>
          <w:szCs w:val="24"/>
        </w:rPr>
      </w:pPr>
      <w:r>
        <w:rPr>
          <w:rFonts w:hint="eastAsia" w:ascii="宋体" w:hAnsi="宋体" w:eastAsia="宋体" w:cs="宋体"/>
          <w:bCs/>
          <w:spacing w:val="4"/>
          <w:sz w:val="24"/>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ageBreakBefore w:val="0"/>
        <w:wordWrap/>
        <w:topLinePunct w:val="0"/>
        <w:bidi w:val="0"/>
        <w:spacing w:line="400" w:lineRule="exact"/>
        <w:ind w:firstLine="602" w:firstLineChars="250"/>
        <w:rPr>
          <w:rFonts w:hint="eastAsia" w:ascii="宋体" w:hAnsi="宋体" w:eastAsia="宋体" w:cs="宋体"/>
          <w:b/>
          <w:color w:val="000000"/>
          <w:sz w:val="24"/>
          <w:szCs w:val="24"/>
        </w:rPr>
      </w:pPr>
      <w:r>
        <w:rPr>
          <w:rFonts w:hint="eastAsia" w:ascii="宋体" w:hAnsi="宋体" w:eastAsia="宋体" w:cs="宋体"/>
          <w:b/>
          <w:color w:val="000000"/>
          <w:sz w:val="24"/>
          <w:szCs w:val="24"/>
        </w:rPr>
        <w:t>2、政策性扣减方式：</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2.1、小微企业的价格评分标准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（1）对小型、微型企业产品的价格给予6%的扣除，用扣除后的价格参与评审，其评标价=投标报价*（1-6%）。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3）参加本项目的小微企业须提供《中小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4）小微企业按《政府采购促进中小企业发展暂行办法》（财库【2011】181号）和《工业和信息化部、国家统计局、国家发展和改革委员会、财政部关于印发&lt;中小企业划型标准规定&gt;的通知》（工信部联企业【2011】300号）文件规定标准确认。</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2.2、监狱企业的价格评分标准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 xml:space="preserve">（2）监狱企业属于小型、微型企业的，不重复享受政策。 </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（3）监狱企业参加政府采购活动时，应当提供由省级以上监狱管理局、戒毒管理局（含新疆生产建设兵团）出具的属于监狱企业的证明文件。</w:t>
      </w:r>
      <w:r>
        <w:rPr>
          <w:rFonts w:hint="eastAsia" w:ascii="宋体" w:hAnsi="宋体" w:eastAsia="宋体" w:cs="宋体"/>
          <w:bCs/>
          <w:spacing w:val="4"/>
          <w:sz w:val="24"/>
          <w:szCs w:val="24"/>
        </w:rPr>
        <w:br w:type="textWrapping"/>
      </w:r>
      <w:r>
        <w:rPr>
          <w:rFonts w:hint="eastAsia" w:ascii="宋体" w:hAnsi="宋体" w:eastAsia="宋体" w:cs="宋体"/>
          <w:bCs/>
          <w:spacing w:val="4"/>
          <w:sz w:val="24"/>
          <w:szCs w:val="24"/>
        </w:rPr>
        <w:t xml:space="preserve">    （4）监狱企业按《财政部、司法部关于政府采购支持监狱企业发展有关问题的通知》（财库〔2014〕68号）文件规定标准执行。</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2.3、残疾人福利性单位的价格评分标准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（2）残疾人福利性单位属于小型、微型企业的，不重复享受政策。</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 xml:space="preserve">（3）符合条件的残疾人福利性单位在参加政府采购活动时，应当提供本通知规定的《残疾人福利性单位声明函》（见附件），并对声明的真实性负责，未提供的不视为残疾人福利性单位。 </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2.4、节能产品、环境标志产品政策</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pageBreakBefore w:val="0"/>
        <w:wordWrap/>
        <w:topLinePunct w:val="0"/>
        <w:bidi w:val="0"/>
        <w:spacing w:line="400" w:lineRule="exact"/>
        <w:outlineLvl w:val="0"/>
        <w:rPr>
          <w:rFonts w:hint="eastAsia" w:ascii="宋体" w:hAnsi="宋体" w:eastAsia="宋体" w:cs="宋体"/>
          <w:b/>
          <w:spacing w:val="4"/>
          <w:sz w:val="24"/>
          <w:szCs w:val="24"/>
        </w:rPr>
      </w:pPr>
      <w:bookmarkStart w:id="57" w:name="_Toc3558"/>
      <w:r>
        <w:rPr>
          <w:rFonts w:hint="eastAsia" w:ascii="宋体" w:hAnsi="宋体" w:eastAsia="宋体" w:cs="宋体"/>
          <w:b/>
          <w:color w:val="000000"/>
          <w:sz w:val="24"/>
          <w:szCs w:val="24"/>
        </w:rPr>
        <w:t>四、详细评审（100分）</w:t>
      </w:r>
      <w:bookmarkEnd w:id="57"/>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1、若出现综合得分并列时，比较最后报价得分，此分项得分高者排序在先；评审得分且最后报价相同的，按照技术指标优劣进行排序，如果还相同，则由全体磋商小组无记名投票，以得票高者排序在先。</w:t>
      </w:r>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2、评委打分超过得分界限或未按本方法赋分时，该评委的打分按作无效处理。</w:t>
      </w:r>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3、评审过程中，若出现特殊情况时，将暂停评标，有关情况的处理待磋商小组确认后，再行评定。</w:t>
      </w:r>
    </w:p>
    <w:p>
      <w:pPr>
        <w:pStyle w:val="18"/>
        <w:pageBreakBefore w:val="0"/>
        <w:wordWrap/>
        <w:topLinePunct w:val="0"/>
        <w:bidi w:val="0"/>
        <w:spacing w:line="400" w:lineRule="exact"/>
        <w:rPr>
          <w:rFonts w:hint="eastAsia" w:ascii="宋体" w:hAnsi="宋体" w:eastAsia="宋体" w:cs="宋体"/>
          <w:b/>
          <w:spacing w:val="4"/>
          <w:sz w:val="24"/>
          <w:szCs w:val="24"/>
        </w:rPr>
      </w:pPr>
    </w:p>
    <w:p>
      <w:pPr>
        <w:pStyle w:val="13"/>
        <w:pageBreakBefore w:val="0"/>
        <w:wordWrap/>
        <w:topLinePunct w:val="0"/>
        <w:bidi w:val="0"/>
        <w:spacing w:line="400" w:lineRule="exact"/>
        <w:ind w:firstLine="0"/>
        <w:jc w:val="both"/>
        <w:rPr>
          <w:rFonts w:hint="eastAsia" w:ascii="宋体" w:hAnsi="宋体" w:eastAsia="宋体" w:cs="宋体"/>
          <w:color w:val="000000"/>
          <w:sz w:val="24"/>
          <w:szCs w:val="24"/>
        </w:rPr>
      </w:pPr>
    </w:p>
    <w:p>
      <w:pPr>
        <w:pStyle w:val="13"/>
        <w:pageBreakBefore w:val="0"/>
        <w:kinsoku w:val="0"/>
        <w:wordWrap/>
        <w:overflowPunct w:val="0"/>
        <w:topLinePunct w:val="0"/>
        <w:bidi w:val="0"/>
        <w:spacing w:line="400" w:lineRule="exact"/>
        <w:ind w:firstLine="0"/>
        <w:jc w:val="both"/>
        <w:rPr>
          <w:rFonts w:hint="eastAsia" w:ascii="宋体" w:hAnsi="宋体" w:eastAsia="宋体" w:cs="宋体"/>
          <w:color w:val="000000"/>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bookmarkStart w:id="58" w:name="_Toc33556274"/>
    </w:p>
    <w:p>
      <w:pPr>
        <w:pStyle w:val="19"/>
        <w:keepNext w:val="0"/>
        <w:keepLines w:val="0"/>
        <w:pageBreakBefore w:val="0"/>
        <w:widowControl w:val="0"/>
        <w:tabs>
          <w:tab w:val="left" w:pos="0"/>
        </w:tabs>
        <w:kinsoku/>
        <w:wordWrap/>
        <w:overflowPunct/>
        <w:topLinePunct w:val="0"/>
        <w:autoSpaceDE/>
        <w:autoSpaceDN/>
        <w:bidi w:val="0"/>
        <w:adjustRightInd/>
        <w:snapToGrid/>
        <w:spacing w:line="700" w:lineRule="exact"/>
        <w:ind w:left="0" w:leftChars="0" w:firstLine="1325" w:firstLineChars="300"/>
        <w:jc w:val="both"/>
        <w:textAlignment w:val="auto"/>
        <w:outlineLvl w:val="0"/>
        <w:rPr>
          <w:rFonts w:hint="eastAsia" w:ascii="宋体" w:hAnsi="宋体" w:eastAsia="宋体" w:cs="宋体"/>
          <w:b/>
          <w:sz w:val="44"/>
          <w:szCs w:val="44"/>
        </w:rPr>
      </w:pPr>
      <w:bookmarkStart w:id="59" w:name="_Toc15580"/>
      <w:r>
        <w:rPr>
          <w:rFonts w:hint="eastAsia" w:ascii="宋体" w:hAnsi="宋体" w:eastAsia="宋体" w:cs="宋体"/>
          <w:b/>
          <w:sz w:val="44"/>
          <w:szCs w:val="44"/>
        </w:rPr>
        <w:t>第六部分   政府采购合同</w:t>
      </w:r>
      <w:bookmarkEnd w:id="46"/>
      <w:bookmarkEnd w:id="47"/>
      <w:bookmarkEnd w:id="48"/>
      <w:bookmarkEnd w:id="58"/>
      <w:bookmarkEnd w:id="59"/>
    </w:p>
    <w:p>
      <w:pPr>
        <w:pageBreakBefore w:val="0"/>
        <w:wordWrap/>
        <w:topLinePunct w:val="0"/>
        <w:bidi w:val="0"/>
        <w:spacing w:line="400" w:lineRule="exact"/>
        <w:rPr>
          <w:rFonts w:hint="eastAsia" w:ascii="宋体" w:hAnsi="宋体" w:eastAsia="宋体" w:cs="宋体"/>
          <w:sz w:val="28"/>
          <w:szCs w:val="28"/>
        </w:rPr>
      </w:pPr>
    </w:p>
    <w:p>
      <w:pPr>
        <w:pStyle w:val="2"/>
        <w:pageBreakBefore w:val="0"/>
        <w:wordWrap/>
        <w:topLinePunct w:val="0"/>
        <w:bidi w:val="0"/>
        <w:spacing w:line="400" w:lineRule="exact"/>
        <w:ind w:left="560" w:hanging="560"/>
        <w:rPr>
          <w:rFonts w:hint="eastAsia" w:ascii="宋体" w:hAnsi="宋体" w:eastAsia="宋体" w:cs="宋体"/>
          <w:sz w:val="28"/>
          <w:szCs w:val="28"/>
        </w:rPr>
      </w:pPr>
    </w:p>
    <w:p>
      <w:pPr>
        <w:pStyle w:val="2"/>
        <w:pageBreakBefore w:val="0"/>
        <w:wordWrap/>
        <w:topLinePunct w:val="0"/>
        <w:bidi w:val="0"/>
        <w:spacing w:line="400" w:lineRule="exact"/>
        <w:ind w:left="560" w:hanging="560"/>
        <w:rPr>
          <w:rFonts w:hint="eastAsia" w:ascii="宋体" w:hAnsi="宋体" w:eastAsia="宋体" w:cs="宋体"/>
          <w:sz w:val="28"/>
          <w:szCs w:val="28"/>
        </w:rPr>
      </w:pPr>
    </w:p>
    <w:p>
      <w:pPr>
        <w:pStyle w:val="13"/>
        <w:pageBreakBefore w:val="0"/>
        <w:wordWrap/>
        <w:topLinePunct w:val="0"/>
        <w:bidi w:val="0"/>
        <w:spacing w:line="400" w:lineRule="exact"/>
        <w:ind w:left="420"/>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b/>
          <w:sz w:val="28"/>
          <w:szCs w:val="28"/>
        </w:rPr>
      </w:pPr>
    </w:p>
    <w:p>
      <w:pPr>
        <w:pageBreakBefore w:val="0"/>
        <w:wordWrap/>
        <w:topLinePunct w:val="0"/>
        <w:bidi w:val="0"/>
        <w:spacing w:line="400" w:lineRule="exact"/>
        <w:rPr>
          <w:rFonts w:hint="eastAsia" w:ascii="宋体" w:hAnsi="宋体" w:eastAsia="宋体" w:cs="宋体"/>
          <w:b/>
          <w:sz w:val="28"/>
          <w:szCs w:val="28"/>
        </w:rPr>
      </w:pPr>
      <w:r>
        <w:rPr>
          <w:rFonts w:hint="eastAsia" w:ascii="宋体" w:hAnsi="宋体" w:eastAsia="宋体" w:cs="宋体"/>
          <w:b/>
          <w:sz w:val="28"/>
          <w:szCs w:val="28"/>
        </w:rPr>
        <w:br w:type="page"/>
      </w:r>
    </w:p>
    <w:p>
      <w:pPr>
        <w:pageBreakBefore w:val="0"/>
        <w:wordWrap/>
        <w:topLinePunct w:val="0"/>
        <w:bidi w:val="0"/>
        <w:spacing w:line="400" w:lineRule="exact"/>
        <w:jc w:val="center"/>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政府采购合同参考范本</w:t>
      </w:r>
      <w:r>
        <w:rPr>
          <w:rFonts w:hint="eastAsia" w:ascii="宋体" w:hAnsi="宋体" w:eastAsia="宋体" w:cs="宋体"/>
          <w:b/>
          <w:sz w:val="44"/>
          <w:szCs w:val="44"/>
        </w:rPr>
        <w:br w:type="textWrapping"/>
      </w:r>
      <w:r>
        <w:rPr>
          <w:rFonts w:hint="eastAsia" w:ascii="宋体" w:hAnsi="宋体" w:eastAsia="宋体" w:cs="宋体"/>
          <w:bCs/>
          <w:sz w:val="24"/>
        </w:rPr>
        <w:t>（此合同为参考合同）</w:t>
      </w: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jc w:val="center"/>
        <w:rPr>
          <w:rFonts w:hint="eastAsia" w:ascii="宋体" w:hAnsi="宋体" w:eastAsia="宋体" w:cs="宋体"/>
          <w:b/>
          <w:sz w:val="28"/>
          <w:szCs w:val="28"/>
        </w:rPr>
      </w:pPr>
      <w:r>
        <w:rPr>
          <w:rFonts w:hint="eastAsia" w:ascii="宋体" w:hAnsi="宋体" w:eastAsia="宋体" w:cs="宋体"/>
          <w:b/>
          <w:sz w:val="28"/>
          <w:szCs w:val="28"/>
        </w:rPr>
        <w:t>第一部分 合同书</w:t>
      </w: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ageBreakBefore w:val="0"/>
        <w:wordWrap/>
        <w:topLinePunct w:val="0"/>
        <w:bidi w:val="0"/>
        <w:spacing w:before="120" w:line="400" w:lineRule="exact"/>
        <w:rPr>
          <w:rFonts w:hint="eastAsia" w:ascii="宋体" w:hAnsi="宋体" w:eastAsia="宋体" w:cs="宋体"/>
          <w:sz w:val="24"/>
        </w:rPr>
      </w:pPr>
    </w:p>
    <w:p>
      <w:pPr>
        <w:pageBreakBefore w:val="0"/>
        <w:wordWrap/>
        <w:topLinePunct w:val="0"/>
        <w:bidi w:val="0"/>
        <w:spacing w:before="120" w:line="400" w:lineRule="exact"/>
        <w:ind w:left="960"/>
        <w:rPr>
          <w:rFonts w:hint="eastAsia" w:ascii="宋体" w:hAnsi="宋体" w:eastAsia="宋体" w:cs="宋体"/>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86"/>
        <w:pageBreakBefore w:val="0"/>
        <w:wordWrap/>
        <w:topLinePunct w:val="0"/>
        <w:bidi w:val="0"/>
        <w:spacing w:before="120" w:line="400" w:lineRule="exact"/>
        <w:rPr>
          <w:rFonts w:hint="eastAsia" w:ascii="宋体" w:hAnsi="宋体" w:eastAsia="宋体" w:cs="宋体"/>
          <w:szCs w:val="24"/>
        </w:rPr>
      </w:pPr>
    </w:p>
    <w:p>
      <w:pPr>
        <w:pageBreakBefore w:val="0"/>
        <w:wordWrap/>
        <w:topLinePunct w:val="0"/>
        <w:bidi w:val="0"/>
        <w:spacing w:line="400" w:lineRule="exact"/>
        <w:rPr>
          <w:rFonts w:hint="eastAsia" w:ascii="宋体" w:hAnsi="宋体" w:eastAsia="宋体" w:cs="宋体"/>
        </w:rPr>
      </w:pPr>
    </w:p>
    <w:p>
      <w:pPr>
        <w:pageBreakBefore w:val="0"/>
        <w:wordWrap/>
        <w:topLinePunct w:val="0"/>
        <w:bidi w:val="0"/>
        <w:spacing w:before="120" w:line="4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ageBreakBefore w:val="0"/>
        <w:wordWrap/>
        <w:topLinePunct w:val="0"/>
        <w:bidi w:val="0"/>
        <w:spacing w:before="120" w:line="400" w:lineRule="exact"/>
        <w:rPr>
          <w:rFonts w:hint="eastAsia" w:ascii="宋体" w:hAnsi="宋体" w:eastAsia="宋体" w:cs="宋体"/>
          <w:sz w:val="24"/>
          <w:u w:val="single"/>
          <w:lang w:val="en-US" w:eastAsia="zh-CN"/>
        </w:rPr>
      </w:pPr>
    </w:p>
    <w:p>
      <w:pPr>
        <w:pageBreakBefore w:val="0"/>
        <w:wordWrap/>
        <w:topLinePunct w:val="0"/>
        <w:bidi w:val="0"/>
        <w:spacing w:before="120" w:line="4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ageBreakBefore w:val="0"/>
        <w:wordWrap/>
        <w:topLinePunct w:val="0"/>
        <w:bidi w:val="0"/>
        <w:spacing w:before="120" w:line="400" w:lineRule="exact"/>
        <w:rPr>
          <w:rFonts w:hint="eastAsia" w:ascii="宋体" w:hAnsi="宋体" w:eastAsia="宋体" w:cs="宋体"/>
          <w:sz w:val="24"/>
        </w:rPr>
      </w:pPr>
    </w:p>
    <w:p>
      <w:pPr>
        <w:pageBreakBefore w:val="0"/>
        <w:wordWrap/>
        <w:topLinePunct w:val="0"/>
        <w:bidi w:val="0"/>
        <w:spacing w:before="120" w:line="400" w:lineRule="exact"/>
        <w:ind w:firstLine="960" w:firstLineChars="400"/>
        <w:rPr>
          <w:rFonts w:hint="default" w:ascii="宋体" w:hAnsi="宋体" w:eastAsia="宋体" w:cs="宋体"/>
          <w:sz w:val="24"/>
          <w:u w:val="single"/>
          <w:lang w:val="en-US" w:eastAsia="zh-CN"/>
        </w:rPr>
      </w:pPr>
      <w:r>
        <w:rPr>
          <w:rFonts w:hint="eastAsia" w:ascii="宋体" w:hAnsi="宋体" w:eastAsia="宋体" w:cs="宋体"/>
          <w:sz w:val="24"/>
        </w:rPr>
        <w:t>签 订 地：</w:t>
      </w:r>
      <w:r>
        <w:rPr>
          <w:rFonts w:hint="eastAsia" w:ascii="宋体" w:hAnsi="宋体" w:eastAsia="宋体" w:cs="宋体"/>
          <w:sz w:val="24"/>
          <w:u w:val="single"/>
          <w:lang w:val="en-US" w:eastAsia="zh-CN"/>
        </w:rPr>
        <w:t xml:space="preserve">                                       </w:t>
      </w:r>
    </w:p>
    <w:p>
      <w:pPr>
        <w:pageBreakBefore w:val="0"/>
        <w:wordWrap/>
        <w:topLinePunct w:val="0"/>
        <w:bidi w:val="0"/>
        <w:spacing w:before="120" w:line="400" w:lineRule="exact"/>
        <w:ind w:firstLine="960" w:firstLineChars="400"/>
        <w:rPr>
          <w:rFonts w:hint="eastAsia" w:ascii="宋体" w:hAnsi="宋体" w:eastAsia="宋体" w:cs="宋体"/>
          <w:sz w:val="24"/>
        </w:rPr>
      </w:pPr>
    </w:p>
    <w:p>
      <w:pPr>
        <w:pageBreakBefore w:val="0"/>
        <w:wordWrap/>
        <w:topLinePunct w:val="0"/>
        <w:bidi w:val="0"/>
        <w:spacing w:before="120" w:line="400" w:lineRule="exac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ageBreakBefore w:val="0"/>
        <w:wordWrap/>
        <w:topLinePunct w:val="0"/>
        <w:autoSpaceDE w:val="0"/>
        <w:autoSpaceDN w:val="0"/>
        <w:bidi w:val="0"/>
        <w:adjustRightInd w:val="0"/>
        <w:spacing w:line="400" w:lineRule="exact"/>
        <w:ind w:firstLine="640"/>
        <w:jc w:val="center"/>
        <w:rPr>
          <w:rFonts w:hint="eastAsia" w:ascii="宋体" w:hAnsi="宋体" w:eastAsia="宋体" w:cs="宋体"/>
          <w:sz w:val="24"/>
        </w:rPr>
        <w:sectPr>
          <w:headerReference r:id="rId9" w:type="first"/>
          <w:footerReference r:id="rId12" w:type="first"/>
          <w:headerReference r:id="rId7" w:type="default"/>
          <w:footerReference r:id="rId10" w:type="default"/>
          <w:headerReference r:id="rId8" w:type="even"/>
          <w:footerReference r:id="rId11" w:type="even"/>
          <w:pgSz w:w="11907" w:h="16840"/>
          <w:pgMar w:top="1474" w:right="1814" w:bottom="1474" w:left="1814" w:header="851" w:footer="851" w:gutter="0"/>
          <w:pgNumType w:fmt="decimal" w:start="1"/>
          <w:cols w:space="720" w:num="1"/>
          <w:docGrid w:linePitch="462" w:charSpace="0"/>
        </w:sectPr>
      </w:pP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   竞争性磋商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项目进行了采购。</w:t>
      </w:r>
      <w:r>
        <w:rPr>
          <w:rFonts w:hint="eastAsia" w:ascii="宋体" w:hAnsi="宋体" w:eastAsia="宋体" w:cs="宋体"/>
          <w:sz w:val="24"/>
          <w:u w:val="single"/>
        </w:rPr>
        <w:t>经对</w:t>
      </w:r>
      <w:r>
        <w:rPr>
          <w:rFonts w:hint="eastAsia" w:ascii="宋体" w:hAnsi="宋体" w:eastAsia="宋体" w:cs="宋体"/>
          <w:sz w:val="24"/>
          <w:u w:val="single"/>
          <w:lang w:val="en-US" w:eastAsia="zh-CN"/>
        </w:rPr>
        <w:t xml:space="preserve">                      </w:t>
      </w:r>
      <w:r>
        <w:rPr>
          <w:rFonts w:hint="eastAsia" w:ascii="宋体" w:hAnsi="宋体" w:eastAsia="宋体" w:cs="宋体"/>
          <w:sz w:val="24"/>
        </w:rPr>
        <w:t>的评定，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pageBreakBefore w:val="0"/>
        <w:wordWrap/>
        <w:topLinePunct w:val="0"/>
        <w:bidi w:val="0"/>
        <w:spacing w:line="400" w:lineRule="exact"/>
        <w:ind w:firstLine="482" w:firstLineChars="200"/>
        <w:outlineLvl w:val="0"/>
        <w:rPr>
          <w:rFonts w:hint="eastAsia" w:ascii="宋体" w:hAnsi="宋体" w:eastAsia="宋体" w:cs="宋体"/>
          <w:sz w:val="24"/>
        </w:rPr>
      </w:pPr>
      <w:bookmarkStart w:id="60" w:name="_Toc29063695"/>
      <w:bookmarkStart w:id="61" w:name="_Toc15014"/>
      <w:bookmarkStart w:id="62" w:name="_Toc28855"/>
      <w:bookmarkStart w:id="63" w:name="_Toc15367"/>
      <w:bookmarkStart w:id="64" w:name="_Toc20421"/>
      <w:bookmarkStart w:id="65" w:name="_Toc19273"/>
      <w:r>
        <w:rPr>
          <w:rFonts w:hint="eastAsia" w:ascii="宋体" w:hAnsi="宋体" w:eastAsia="宋体" w:cs="宋体"/>
          <w:b/>
          <w:sz w:val="24"/>
        </w:rPr>
        <w:t>1.1 合同组成部分</w:t>
      </w:r>
      <w:bookmarkEnd w:id="60"/>
      <w:bookmarkEnd w:id="61"/>
      <w:bookmarkEnd w:id="62"/>
      <w:bookmarkEnd w:id="63"/>
      <w:bookmarkEnd w:id="64"/>
      <w:bookmarkEnd w:id="65"/>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66" w:name="_Toc29063696"/>
      <w:bookmarkStart w:id="67" w:name="_Toc6773"/>
      <w:bookmarkStart w:id="68" w:name="_Toc22185"/>
      <w:bookmarkStart w:id="69" w:name="_Toc17161"/>
      <w:bookmarkStart w:id="70" w:name="_Toc18585"/>
      <w:bookmarkStart w:id="71" w:name="_Toc2918"/>
      <w:bookmarkStart w:id="72" w:name="_Toc6311"/>
      <w:r>
        <w:rPr>
          <w:rFonts w:hint="eastAsia" w:ascii="宋体" w:hAnsi="宋体" w:eastAsia="宋体" w:cs="宋体"/>
          <w:b/>
          <w:sz w:val="24"/>
        </w:rPr>
        <w:t>1.2 标的</w:t>
      </w:r>
      <w:bookmarkEnd w:id="66"/>
      <w:bookmarkEnd w:id="67"/>
      <w:bookmarkEnd w:id="68"/>
      <w:bookmarkEnd w:id="69"/>
      <w:bookmarkEnd w:id="70"/>
      <w:bookmarkEnd w:id="71"/>
      <w:bookmarkEnd w:id="72"/>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合格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73" w:name="_Toc29063697"/>
      <w:bookmarkStart w:id="74" w:name="_Toc13918"/>
      <w:bookmarkStart w:id="75" w:name="_Toc21124"/>
      <w:bookmarkStart w:id="76" w:name="_Toc5635"/>
      <w:bookmarkStart w:id="77" w:name="_Toc1386"/>
      <w:bookmarkStart w:id="78" w:name="_Toc4929"/>
      <w:bookmarkStart w:id="79" w:name="_Toc11053"/>
      <w:r>
        <w:rPr>
          <w:rFonts w:hint="eastAsia" w:ascii="宋体" w:hAnsi="宋体" w:eastAsia="宋体" w:cs="宋体"/>
          <w:b/>
          <w:sz w:val="24"/>
        </w:rPr>
        <w:t>1.3 价款</w:t>
      </w:r>
      <w:bookmarkEnd w:id="73"/>
      <w:bookmarkEnd w:id="74"/>
      <w:bookmarkEnd w:id="75"/>
      <w:bookmarkEnd w:id="76"/>
      <w:bookmarkEnd w:id="77"/>
      <w:bookmarkEnd w:id="78"/>
      <w:bookmarkEnd w:id="79"/>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vAlign w:val="center"/>
          </w:tcPr>
          <w:p>
            <w:pPr>
              <w:pStyle w:val="87"/>
              <w:pageBreakBefore w:val="0"/>
              <w:wordWrap/>
              <w:topLinePunct w:val="0"/>
              <w:bidi w:val="0"/>
              <w:spacing w:line="4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bl>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80" w:name="_Toc14993"/>
      <w:bookmarkStart w:id="81" w:name="_Toc30158"/>
      <w:bookmarkStart w:id="82" w:name="_Toc26916"/>
      <w:bookmarkStart w:id="83" w:name="_Toc29063698"/>
      <w:bookmarkStart w:id="84" w:name="_Toc24649"/>
      <w:bookmarkStart w:id="85" w:name="_Toc3654"/>
      <w:bookmarkStart w:id="86" w:name="_Toc30506"/>
      <w:r>
        <w:rPr>
          <w:rFonts w:hint="eastAsia" w:ascii="宋体" w:hAnsi="宋体" w:eastAsia="宋体" w:cs="宋体"/>
          <w:b/>
          <w:sz w:val="24"/>
        </w:rPr>
        <w:t>1.4 付款方式和发票开具方式</w:t>
      </w:r>
      <w:bookmarkEnd w:id="80"/>
      <w:bookmarkEnd w:id="81"/>
      <w:bookmarkEnd w:id="82"/>
      <w:bookmarkEnd w:id="83"/>
      <w:bookmarkEnd w:id="84"/>
      <w:bookmarkEnd w:id="85"/>
      <w:bookmarkEnd w:id="86"/>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color w:val="0000FF"/>
          <w:sz w:val="24"/>
          <w:u w:val="single"/>
        </w:rPr>
        <w:t xml:space="preserve"> 项目合同签订后进场支付合同价款的30%，项目野外工作完成后转入室内资料整理阶段支付合同价款的</w:t>
      </w:r>
      <w:r>
        <w:rPr>
          <w:rFonts w:hint="eastAsia" w:ascii="宋体" w:hAnsi="宋体" w:cs="宋体"/>
          <w:color w:val="0000FF"/>
          <w:sz w:val="24"/>
          <w:u w:val="single"/>
          <w:lang w:val="en-US" w:eastAsia="zh-CN"/>
        </w:rPr>
        <w:t>3</w:t>
      </w:r>
      <w:r>
        <w:rPr>
          <w:rFonts w:hint="eastAsia" w:ascii="宋体" w:hAnsi="宋体" w:eastAsia="宋体" w:cs="宋体"/>
          <w:color w:val="0000FF"/>
          <w:sz w:val="24"/>
          <w:u w:val="single"/>
        </w:rPr>
        <w:t>0%，项目提交送审报告后报告通过相关专家的审查，根据审查意见提交成果资料并验收合格后支付合同价款的</w:t>
      </w:r>
      <w:r>
        <w:rPr>
          <w:rFonts w:hint="eastAsia" w:ascii="宋体" w:hAnsi="宋体" w:cs="宋体"/>
          <w:color w:val="0000FF"/>
          <w:sz w:val="24"/>
          <w:u w:val="single"/>
          <w:lang w:val="en-US" w:eastAsia="zh-CN"/>
        </w:rPr>
        <w:t>4</w:t>
      </w:r>
      <w:r>
        <w:rPr>
          <w:rFonts w:hint="eastAsia" w:ascii="宋体" w:hAnsi="宋体" w:eastAsia="宋体" w:cs="宋体"/>
          <w:color w:val="0000FF"/>
          <w:sz w:val="24"/>
          <w:u w:val="single"/>
        </w:rPr>
        <w:t>0%。（具体以签合同</w:t>
      </w:r>
      <w:r>
        <w:rPr>
          <w:rFonts w:hint="eastAsia" w:ascii="宋体" w:hAnsi="宋体" w:cs="宋体"/>
          <w:color w:val="0000FF"/>
          <w:sz w:val="24"/>
          <w:u w:val="single"/>
          <w:lang w:eastAsia="zh-CN"/>
        </w:rPr>
        <w:t>为准</w:t>
      </w:r>
      <w:r>
        <w:rPr>
          <w:rFonts w:hint="eastAsia" w:ascii="宋体" w:hAnsi="宋体" w:eastAsia="宋体" w:cs="宋体"/>
          <w:color w:val="0000FF"/>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具体事项与甲方协商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87" w:name="_Toc25614"/>
      <w:bookmarkStart w:id="88" w:name="_Toc8772"/>
      <w:bookmarkStart w:id="89" w:name="_Toc11108"/>
      <w:bookmarkStart w:id="90" w:name="_Toc3625"/>
      <w:bookmarkStart w:id="91" w:name="_Toc4760"/>
      <w:bookmarkStart w:id="92" w:name="_Toc31421"/>
      <w:bookmarkStart w:id="93" w:name="_Toc29063699"/>
      <w:r>
        <w:rPr>
          <w:rFonts w:hint="eastAsia" w:ascii="宋体" w:hAnsi="宋体" w:eastAsia="宋体" w:cs="宋体"/>
          <w:b/>
          <w:sz w:val="24"/>
        </w:rPr>
        <w:t>1.5 履行期限、地点和方式</w:t>
      </w:r>
      <w:bookmarkEnd w:id="87"/>
      <w:bookmarkEnd w:id="88"/>
      <w:bookmarkEnd w:id="89"/>
      <w:bookmarkEnd w:id="90"/>
      <w:bookmarkEnd w:id="91"/>
      <w:bookmarkEnd w:id="92"/>
      <w:bookmarkEnd w:id="93"/>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color w:val="FF0000"/>
          <w:sz w:val="24"/>
          <w:u w:val="single"/>
        </w:rPr>
        <w:t xml:space="preserve"> </w:t>
      </w:r>
      <w:r>
        <w:rPr>
          <w:rFonts w:hint="eastAsia" w:ascii="宋体" w:hAnsi="宋体" w:cs="宋体"/>
          <w:color w:val="FF0000"/>
          <w:sz w:val="24"/>
          <w:u w:val="single"/>
          <w:lang w:val="en-US" w:eastAsia="zh-CN"/>
        </w:rPr>
        <w:t>30</w:t>
      </w:r>
      <w:r>
        <w:rPr>
          <w:rFonts w:hint="eastAsia" w:ascii="宋体" w:hAnsi="宋体" w:eastAsia="宋体" w:cs="宋体"/>
          <w:color w:val="FF0000"/>
          <w:sz w:val="24"/>
          <w:u w:val="single"/>
        </w:rPr>
        <w:t>(日历日)</w:t>
      </w:r>
      <w:r>
        <w:rPr>
          <w:rFonts w:hint="eastAsia" w:ascii="宋体" w:hAnsi="宋体" w:cs="宋体"/>
          <w:color w:val="FF0000"/>
          <w:sz w:val="24"/>
          <w:u w:val="single"/>
          <w:lang w:eastAsia="zh-CN"/>
        </w:rPr>
        <w:t>，</w:t>
      </w:r>
      <w:r>
        <w:rPr>
          <w:rFonts w:hint="eastAsia" w:ascii="宋体" w:hAnsi="宋体" w:eastAsia="宋体" w:cs="宋体"/>
          <w:color w:val="FF0000"/>
          <w:sz w:val="24"/>
          <w:u w:val="single"/>
        </w:rPr>
        <w:t>具体以签合同</w:t>
      </w:r>
      <w:r>
        <w:rPr>
          <w:rFonts w:hint="eastAsia" w:ascii="宋体" w:hAnsi="宋体" w:eastAsia="宋体" w:cs="宋体"/>
          <w:color w:val="FF0000"/>
          <w:sz w:val="24"/>
          <w:u w:val="single"/>
          <w:lang w:eastAsia="zh-CN"/>
        </w:rPr>
        <w:t>为准</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甲方指定的地点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sz w:val="24"/>
          <w:u w:val="single"/>
        </w:rPr>
      </w:pPr>
      <w:bookmarkStart w:id="94" w:name="_Toc5698"/>
      <w:bookmarkStart w:id="95" w:name="_Toc3079"/>
      <w:bookmarkStart w:id="96" w:name="_Toc27745"/>
      <w:bookmarkStart w:id="97" w:name="_Toc29063700"/>
      <w:bookmarkStart w:id="98" w:name="_Toc2375"/>
      <w:bookmarkStart w:id="99" w:name="_Toc8586"/>
      <w:bookmarkStart w:id="100" w:name="_Toc24662"/>
      <w:r>
        <w:rPr>
          <w:rFonts w:hint="eastAsia" w:ascii="宋体" w:hAnsi="宋体" w:eastAsia="宋体" w:cs="宋体"/>
          <w:b/>
          <w:sz w:val="24"/>
        </w:rPr>
        <w:t>1.6 违约责任</w:t>
      </w:r>
      <w:bookmarkEnd w:id="94"/>
      <w:bookmarkEnd w:id="95"/>
      <w:bookmarkEnd w:id="96"/>
      <w:bookmarkEnd w:id="97"/>
      <w:bookmarkEnd w:id="98"/>
      <w:bookmarkEnd w:id="99"/>
      <w:bookmarkEnd w:id="100"/>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01" w:name="_Toc32454"/>
      <w:bookmarkStart w:id="102" w:name="_Toc9497"/>
      <w:bookmarkStart w:id="103" w:name="_Toc18683"/>
      <w:bookmarkStart w:id="104" w:name="_Toc30329"/>
      <w:bookmarkStart w:id="105" w:name="_Toc25014"/>
      <w:bookmarkStart w:id="106" w:name="_Toc26807"/>
      <w:bookmarkStart w:id="107" w:name="_Toc29063701"/>
      <w:r>
        <w:rPr>
          <w:rFonts w:hint="eastAsia" w:ascii="宋体" w:hAnsi="宋体" w:eastAsia="宋体" w:cs="宋体"/>
          <w:b/>
          <w:sz w:val="24"/>
        </w:rPr>
        <w:t>1.7 合同争议的解决</w:t>
      </w:r>
      <w:bookmarkEnd w:id="101"/>
      <w:bookmarkEnd w:id="102"/>
      <w:bookmarkEnd w:id="103"/>
      <w:bookmarkEnd w:id="104"/>
      <w:bookmarkEnd w:id="105"/>
      <w:bookmarkEnd w:id="106"/>
      <w:bookmarkEnd w:id="107"/>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08" w:name="_Toc26227"/>
      <w:bookmarkStart w:id="109" w:name="_Toc15164"/>
      <w:bookmarkStart w:id="110" w:name="_Toc15827"/>
      <w:bookmarkStart w:id="111" w:name="_Toc16417"/>
      <w:bookmarkStart w:id="112" w:name="_Toc29063702"/>
      <w:bookmarkStart w:id="113" w:name="_Toc12273"/>
      <w:bookmarkStart w:id="114" w:name="_Toc23784"/>
      <w:r>
        <w:rPr>
          <w:rFonts w:hint="eastAsia" w:ascii="宋体" w:hAnsi="宋体" w:eastAsia="宋体" w:cs="宋体"/>
          <w:b/>
          <w:sz w:val="24"/>
        </w:rPr>
        <w:t>1.8 合同生效</w:t>
      </w:r>
      <w:bookmarkEnd w:id="108"/>
      <w:bookmarkEnd w:id="109"/>
      <w:bookmarkEnd w:id="110"/>
      <w:bookmarkEnd w:id="111"/>
      <w:bookmarkEnd w:id="112"/>
      <w:bookmarkEnd w:id="113"/>
      <w:bookmarkEnd w:id="114"/>
    </w:p>
    <w:p>
      <w:pPr>
        <w:pageBreakBefore w:val="0"/>
        <w:wordWrap/>
        <w:topLinePunct w:val="0"/>
        <w:bidi w:val="0"/>
        <w:spacing w:line="40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住所：                                   住所：</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传真:                                    传真:</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lang w:val="zh-CN"/>
        </w:rPr>
        <w:t>电子邮箱：                               电子邮箱：</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 xml:space="preserve">开户银行：                               开户银行： </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 xml:space="preserve">开户名称：                               开户名称： </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pageBreakBefore w:val="0"/>
        <w:widowControl/>
        <w:wordWrap/>
        <w:topLinePunct w:val="0"/>
        <w:bidi w:val="0"/>
        <w:spacing w:line="400" w:lineRule="exact"/>
        <w:jc w:val="left"/>
        <w:rPr>
          <w:rFonts w:hint="eastAsia" w:ascii="宋体" w:hAnsi="宋体" w:eastAsia="宋体" w:cs="宋体"/>
          <w:b/>
        </w:rPr>
      </w:pPr>
      <w:bookmarkStart w:id="115" w:name="_Toc331685783"/>
    </w:p>
    <w:p>
      <w:pPr>
        <w:pageBreakBefore w:val="0"/>
        <w:widowControl/>
        <w:wordWrap/>
        <w:topLinePunct w:val="0"/>
        <w:bidi w:val="0"/>
        <w:spacing w:line="400" w:lineRule="exact"/>
        <w:jc w:val="left"/>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85"/>
        <w:pageBreakBefore w:val="0"/>
        <w:wordWrap/>
        <w:topLinePunct w:val="0"/>
        <w:bidi w:val="0"/>
        <w:spacing w:line="40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115"/>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16" w:name="_Toc259093669"/>
      <w:bookmarkStart w:id="117" w:name="_Toc487900349"/>
      <w:bookmarkStart w:id="118" w:name="_Ref467378499"/>
      <w:bookmarkStart w:id="119" w:name="_Toc19680"/>
      <w:bookmarkStart w:id="120" w:name="_Ref467378463"/>
      <w:bookmarkStart w:id="121" w:name="_Ref467379101"/>
      <w:bookmarkStart w:id="122" w:name="_Toc14021"/>
      <w:bookmarkStart w:id="123" w:name="_Toc25079"/>
      <w:bookmarkStart w:id="124" w:name="_Ref467379195"/>
      <w:bookmarkStart w:id="125" w:name="_Ref467379214"/>
      <w:bookmarkStart w:id="126" w:name="_Ref467379109"/>
      <w:bookmarkStart w:id="127" w:name="_Toc5323"/>
      <w:bookmarkStart w:id="128" w:name="_Ref467379225"/>
      <w:bookmarkStart w:id="129" w:name="_Toc29063703"/>
      <w:bookmarkStart w:id="130" w:name="_Toc31297"/>
      <w:bookmarkStart w:id="131" w:name="_Toc279701240"/>
      <w:bookmarkStart w:id="132" w:name="_Ref467378404"/>
      <w:bookmarkStart w:id="133" w:name="_Ref467379094"/>
      <w:bookmarkStart w:id="134" w:name="_Toc5228"/>
      <w:bookmarkStart w:id="135" w:name="_Ref467379205"/>
      <w:r>
        <w:rPr>
          <w:rFonts w:hint="eastAsia" w:ascii="宋体" w:hAnsi="宋体" w:eastAsia="宋体" w:cs="宋体"/>
          <w:b/>
          <w:sz w:val="24"/>
        </w:rPr>
        <w:t>2.1 定义</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pageBreakBefore w:val="0"/>
        <w:wordWrap/>
        <w:topLinePunct w:val="0"/>
        <w:bidi w:val="0"/>
        <w:spacing w:line="400" w:lineRule="exact"/>
        <w:ind w:firstLine="480" w:firstLineChars="200"/>
        <w:rPr>
          <w:rFonts w:hint="eastAsia" w:ascii="宋体" w:hAnsi="宋体" w:eastAsia="宋体" w:cs="宋体"/>
          <w:sz w:val="24"/>
        </w:rPr>
      </w:pPr>
      <w:bookmarkStart w:id="136" w:name="_Ref467378840"/>
      <w:r>
        <w:rPr>
          <w:rFonts w:hint="eastAsia" w:ascii="宋体" w:hAnsi="宋体" w:eastAsia="宋体" w:cs="宋体"/>
          <w:sz w:val="24"/>
        </w:rPr>
        <w:t>2.1.4 “甲方”系指与中标供应商签署合同的采购人</w:t>
      </w:r>
      <w:bookmarkEnd w:id="136"/>
      <w:r>
        <w:rPr>
          <w:rFonts w:hint="eastAsia" w:ascii="宋体" w:hAnsi="宋体" w:eastAsia="宋体" w:cs="宋体"/>
          <w:sz w:val="24"/>
        </w:rPr>
        <w:t>；采购人委托采购代理机构代表其与乙方签订合同的，采购人的授权委托书作为合同附件。</w:t>
      </w:r>
    </w:p>
    <w:p>
      <w:pPr>
        <w:pageBreakBefore w:val="0"/>
        <w:wordWrap/>
        <w:topLinePunct w:val="0"/>
        <w:bidi w:val="0"/>
        <w:spacing w:line="400" w:lineRule="exact"/>
        <w:ind w:firstLine="480" w:firstLineChars="200"/>
        <w:rPr>
          <w:rFonts w:hint="eastAsia" w:ascii="宋体" w:hAnsi="宋体" w:eastAsia="宋体" w:cs="宋体"/>
          <w:sz w:val="24"/>
        </w:rPr>
      </w:pPr>
      <w:bookmarkStart w:id="137" w:name="_Ref467379400"/>
      <w:r>
        <w:rPr>
          <w:rFonts w:hint="eastAsia" w:ascii="宋体" w:hAnsi="宋体" w:eastAsia="宋体" w:cs="宋体"/>
          <w:sz w:val="24"/>
        </w:rPr>
        <w:t>2.1.5 “乙方”系指根据合同约定提供服务的中标供应商</w:t>
      </w:r>
      <w:bookmarkEnd w:id="137"/>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wordWrap/>
        <w:topLinePunct w:val="0"/>
        <w:bidi w:val="0"/>
        <w:spacing w:line="400" w:lineRule="exact"/>
        <w:ind w:firstLine="480" w:firstLineChars="200"/>
        <w:rPr>
          <w:rFonts w:hint="eastAsia" w:ascii="宋体" w:hAnsi="宋体" w:eastAsia="宋体" w:cs="宋体"/>
          <w:sz w:val="24"/>
        </w:rPr>
      </w:pPr>
      <w:bookmarkStart w:id="138" w:name="_Ref467379436"/>
      <w:r>
        <w:rPr>
          <w:rFonts w:hint="eastAsia" w:ascii="宋体" w:hAnsi="宋体" w:eastAsia="宋体" w:cs="宋体"/>
          <w:sz w:val="24"/>
        </w:rPr>
        <w:t>2.1.6 “现场”系指合同约定提供服务的地点。</w:t>
      </w:r>
      <w:bookmarkEnd w:id="138"/>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39" w:name="_Toc279701241"/>
      <w:bookmarkStart w:id="140" w:name="_Toc29063704"/>
      <w:bookmarkStart w:id="141" w:name="_Toc3769"/>
      <w:bookmarkStart w:id="142" w:name="_Toc16752"/>
      <w:bookmarkStart w:id="143" w:name="_Toc19539"/>
      <w:bookmarkStart w:id="144" w:name="_Toc487900350"/>
      <w:bookmarkStart w:id="145" w:name="_Toc31402"/>
      <w:bookmarkStart w:id="146" w:name="_Toc23289"/>
      <w:bookmarkStart w:id="147" w:name="_Toc23979"/>
      <w:bookmarkStart w:id="148" w:name="_Toc259093670"/>
      <w:r>
        <w:rPr>
          <w:rFonts w:hint="eastAsia" w:ascii="宋体" w:hAnsi="宋体" w:eastAsia="宋体" w:cs="宋体"/>
          <w:b/>
          <w:sz w:val="24"/>
        </w:rPr>
        <w:t>2.2 技术规范</w:t>
      </w:r>
      <w:bookmarkEnd w:id="139"/>
      <w:bookmarkEnd w:id="140"/>
      <w:bookmarkEnd w:id="141"/>
      <w:bookmarkEnd w:id="142"/>
      <w:bookmarkEnd w:id="143"/>
      <w:bookmarkEnd w:id="144"/>
      <w:bookmarkEnd w:id="145"/>
      <w:bookmarkEnd w:id="146"/>
      <w:bookmarkEnd w:id="147"/>
      <w:bookmarkEnd w:id="14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49" w:name="_Toc4133"/>
      <w:bookmarkStart w:id="150" w:name="_Toc487900351"/>
      <w:bookmarkStart w:id="151" w:name="_Toc10900"/>
      <w:bookmarkStart w:id="152" w:name="_Toc13673"/>
      <w:bookmarkStart w:id="153" w:name="_Toc12412"/>
      <w:bookmarkStart w:id="154" w:name="_Toc259093671"/>
      <w:bookmarkStart w:id="155" w:name="_Toc27945"/>
      <w:bookmarkStart w:id="156" w:name="_Toc9161"/>
      <w:bookmarkStart w:id="157" w:name="_Toc29063705"/>
      <w:bookmarkStart w:id="158" w:name="_Toc279701242"/>
      <w:r>
        <w:rPr>
          <w:rFonts w:hint="eastAsia" w:ascii="宋体" w:hAnsi="宋体" w:eastAsia="宋体" w:cs="宋体"/>
          <w:b/>
          <w:sz w:val="24"/>
        </w:rPr>
        <w:t>2.3 知识产权</w:t>
      </w:r>
      <w:bookmarkEnd w:id="149"/>
      <w:bookmarkEnd w:id="150"/>
      <w:bookmarkEnd w:id="151"/>
      <w:bookmarkEnd w:id="152"/>
      <w:bookmarkEnd w:id="153"/>
      <w:bookmarkEnd w:id="154"/>
      <w:bookmarkEnd w:id="155"/>
      <w:bookmarkEnd w:id="156"/>
      <w:bookmarkEnd w:id="157"/>
      <w:bookmarkEnd w:id="15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pageBreakBefore w:val="0"/>
        <w:wordWrap/>
        <w:topLinePunct w:val="0"/>
        <w:bidi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pageBreakBefore w:val="0"/>
        <w:wordWrap/>
        <w:topLinePunct w:val="0"/>
        <w:bidi w:val="0"/>
        <w:spacing w:line="400" w:lineRule="exact"/>
        <w:ind w:firstLine="480" w:firstLineChars="200"/>
        <w:rPr>
          <w:rFonts w:hint="eastAsia" w:ascii="宋体" w:hAnsi="宋体" w:eastAsia="宋体" w:cs="宋体"/>
          <w:sz w:val="24"/>
        </w:rPr>
      </w:pPr>
      <w:bookmarkStart w:id="159" w:name="_Ref467379657"/>
      <w:r>
        <w:rPr>
          <w:rFonts w:hint="eastAsia" w:ascii="宋体" w:hAnsi="宋体" w:eastAsia="宋体" w:cs="宋体"/>
          <w:sz w:val="24"/>
        </w:rPr>
        <w:t>2.4.1</w:t>
      </w:r>
      <w:bookmarkEnd w:id="159"/>
      <w:bookmarkStart w:id="160" w:name="_Toc186431854"/>
      <w:bookmarkStart w:id="161" w:name="_Toc487900357"/>
      <w:bookmarkStart w:id="162" w:name="_Ref467379793"/>
      <w:bookmarkStart w:id="163" w:name="_Ref467379807"/>
      <w:bookmarkStart w:id="164" w:name="_Toc259093676"/>
      <w:bookmarkStart w:id="165" w:name="_Toc27970124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160"/>
      <w:bookmarkStart w:id="166" w:name="_Toc186431855"/>
      <w:r>
        <w:rPr>
          <w:rFonts w:hint="eastAsia" w:ascii="宋体" w:hAnsi="宋体" w:eastAsia="宋体" w:cs="宋体"/>
          <w:sz w:val="24"/>
        </w:rPr>
        <w:t>。</w:t>
      </w:r>
    </w:p>
    <w:bookmarkEnd w:id="166"/>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67" w:name="_Toc31233"/>
      <w:bookmarkStart w:id="168" w:name="_Toc22011"/>
      <w:bookmarkStart w:id="169" w:name="_Toc26555"/>
      <w:bookmarkStart w:id="170" w:name="_Toc15447"/>
      <w:bookmarkStart w:id="171" w:name="_Toc5289"/>
      <w:bookmarkStart w:id="172" w:name="_Toc29063706"/>
      <w:r>
        <w:rPr>
          <w:rFonts w:hint="eastAsia" w:ascii="宋体" w:hAnsi="宋体" w:eastAsia="宋体" w:cs="宋体"/>
          <w:b/>
          <w:sz w:val="24"/>
        </w:rPr>
        <w:t>2.5 结算方式和付款条件</w:t>
      </w:r>
      <w:bookmarkEnd w:id="161"/>
      <w:bookmarkEnd w:id="162"/>
      <w:bookmarkEnd w:id="163"/>
      <w:bookmarkEnd w:id="164"/>
      <w:bookmarkEnd w:id="165"/>
      <w:bookmarkEnd w:id="167"/>
      <w:bookmarkEnd w:id="168"/>
      <w:bookmarkEnd w:id="169"/>
      <w:bookmarkEnd w:id="170"/>
      <w:bookmarkEnd w:id="171"/>
      <w:bookmarkEnd w:id="172"/>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73" w:name="_Ref467379852"/>
      <w:bookmarkStart w:id="174" w:name="_Toc279701248"/>
      <w:bookmarkStart w:id="175" w:name="_Ref467379923"/>
      <w:bookmarkStart w:id="176" w:name="_Toc487900358"/>
      <w:bookmarkStart w:id="177" w:name="_Ref467379863"/>
      <w:bookmarkStart w:id="178" w:name="_Toc259093677"/>
      <w:bookmarkStart w:id="179" w:name="_Toc18990"/>
      <w:bookmarkStart w:id="180" w:name="_Toc30507"/>
      <w:bookmarkStart w:id="181" w:name="_Toc13154"/>
      <w:bookmarkStart w:id="182" w:name="_Toc13467"/>
      <w:bookmarkStart w:id="183" w:name="_Toc19887"/>
      <w:bookmarkStart w:id="184" w:name="_Toc29063707"/>
      <w:bookmarkStart w:id="185" w:name="_Toc16163"/>
      <w:r>
        <w:rPr>
          <w:rFonts w:hint="eastAsia" w:ascii="宋体" w:hAnsi="宋体" w:eastAsia="宋体" w:cs="宋体"/>
          <w:b/>
          <w:sz w:val="24"/>
        </w:rPr>
        <w:t>2.6 技术资料</w:t>
      </w:r>
      <w:bookmarkEnd w:id="173"/>
      <w:bookmarkEnd w:id="174"/>
      <w:bookmarkEnd w:id="175"/>
      <w:bookmarkEnd w:id="176"/>
      <w:bookmarkEnd w:id="177"/>
      <w:bookmarkEnd w:id="178"/>
      <w:r>
        <w:rPr>
          <w:rFonts w:hint="eastAsia" w:ascii="宋体" w:hAnsi="宋体" w:eastAsia="宋体" w:cs="宋体"/>
          <w:b/>
          <w:sz w:val="24"/>
        </w:rPr>
        <w:t>和保密义务</w:t>
      </w:r>
      <w:bookmarkEnd w:id="179"/>
      <w:bookmarkEnd w:id="180"/>
      <w:bookmarkEnd w:id="181"/>
      <w:bookmarkEnd w:id="182"/>
      <w:bookmarkEnd w:id="183"/>
      <w:bookmarkEnd w:id="184"/>
      <w:bookmarkEnd w:id="185"/>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86" w:name="_Toc16321"/>
      <w:bookmarkStart w:id="187" w:name="_Toc19069"/>
      <w:bookmarkStart w:id="188" w:name="_Toc29063708"/>
      <w:bookmarkStart w:id="189" w:name="_Toc259093681"/>
      <w:bookmarkStart w:id="190" w:name="_Toc279701252"/>
      <w:bookmarkStart w:id="191" w:name="_Toc487900362"/>
      <w:r>
        <w:rPr>
          <w:rFonts w:hint="eastAsia" w:ascii="宋体" w:hAnsi="宋体" w:eastAsia="宋体" w:cs="宋体"/>
          <w:b/>
          <w:sz w:val="24"/>
        </w:rPr>
        <w:t>2.7 质量保证</w:t>
      </w:r>
      <w:bookmarkEnd w:id="186"/>
      <w:bookmarkEnd w:id="187"/>
      <w:bookmarkEnd w:id="18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92" w:name="_Toc29063709"/>
      <w:bookmarkStart w:id="193" w:name="_Toc18767"/>
      <w:bookmarkStart w:id="194" w:name="_Toc22267"/>
      <w:r>
        <w:rPr>
          <w:rFonts w:hint="eastAsia" w:ascii="宋体" w:hAnsi="宋体" w:eastAsia="宋体" w:cs="宋体"/>
          <w:b/>
          <w:sz w:val="24"/>
        </w:rPr>
        <w:t>2.8 延迟</w:t>
      </w:r>
      <w:bookmarkEnd w:id="189"/>
      <w:bookmarkEnd w:id="190"/>
      <w:bookmarkEnd w:id="191"/>
      <w:r>
        <w:rPr>
          <w:rFonts w:hint="eastAsia" w:ascii="宋体" w:hAnsi="宋体" w:eastAsia="宋体" w:cs="宋体"/>
          <w:b/>
          <w:sz w:val="24"/>
        </w:rPr>
        <w:t>履行</w:t>
      </w:r>
      <w:bookmarkEnd w:id="192"/>
      <w:bookmarkEnd w:id="193"/>
      <w:bookmarkEnd w:id="19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95" w:name="_Toc10186"/>
      <w:bookmarkStart w:id="196" w:name="_Toc10611"/>
      <w:bookmarkStart w:id="197" w:name="_Toc29063710"/>
      <w:bookmarkStart w:id="198" w:name="_Toc487900364"/>
      <w:bookmarkStart w:id="199" w:name="_Toc259093683"/>
      <w:bookmarkStart w:id="200" w:name="_Ref467378121"/>
      <w:bookmarkStart w:id="201" w:name="_Toc279701254"/>
      <w:r>
        <w:rPr>
          <w:rFonts w:hint="eastAsia" w:ascii="宋体" w:hAnsi="宋体" w:eastAsia="宋体" w:cs="宋体"/>
          <w:b/>
          <w:sz w:val="24"/>
        </w:rPr>
        <w:t>2.9 合同变更</w:t>
      </w:r>
      <w:bookmarkEnd w:id="195"/>
      <w:bookmarkEnd w:id="196"/>
      <w:bookmarkEnd w:id="197"/>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202" w:name="_Toc487900369"/>
      <w:bookmarkStart w:id="203" w:name="_Toc279701259"/>
      <w:bookmarkStart w:id="204" w:name="_Toc259093688"/>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05" w:name="_Toc23368"/>
      <w:bookmarkStart w:id="206" w:name="_Toc29063711"/>
      <w:bookmarkStart w:id="207" w:name="_Toc42"/>
      <w:bookmarkStart w:id="208" w:name="_Toc26689"/>
      <w:bookmarkStart w:id="209" w:name="_Toc21830"/>
      <w:bookmarkStart w:id="210" w:name="_Toc10663"/>
      <w:bookmarkStart w:id="211" w:name="_Toc2971"/>
      <w:r>
        <w:rPr>
          <w:rFonts w:hint="eastAsia" w:ascii="宋体" w:hAnsi="宋体" w:eastAsia="宋体" w:cs="宋体"/>
          <w:b/>
          <w:sz w:val="24"/>
        </w:rPr>
        <w:t>2.10 合同转让</w:t>
      </w:r>
      <w:bookmarkEnd w:id="202"/>
      <w:bookmarkEnd w:id="203"/>
      <w:bookmarkEnd w:id="204"/>
      <w:r>
        <w:rPr>
          <w:rFonts w:hint="eastAsia" w:ascii="宋体" w:hAnsi="宋体" w:eastAsia="宋体" w:cs="宋体"/>
          <w:b/>
          <w:sz w:val="24"/>
        </w:rPr>
        <w:t>和分包</w:t>
      </w:r>
      <w:bookmarkEnd w:id="205"/>
      <w:bookmarkEnd w:id="206"/>
      <w:bookmarkEnd w:id="207"/>
      <w:bookmarkEnd w:id="208"/>
      <w:bookmarkEnd w:id="209"/>
      <w:bookmarkEnd w:id="210"/>
      <w:bookmarkEnd w:id="21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12" w:name="_Toc25571"/>
      <w:bookmarkStart w:id="213" w:name="_Toc14371"/>
      <w:bookmarkStart w:id="214" w:name="_Toc26633"/>
      <w:bookmarkStart w:id="215" w:name="_Toc20559"/>
      <w:bookmarkStart w:id="216" w:name="_Toc32494"/>
      <w:bookmarkStart w:id="217" w:name="_Toc4720"/>
      <w:bookmarkStart w:id="218" w:name="_Toc29063712"/>
      <w:r>
        <w:rPr>
          <w:rFonts w:hint="eastAsia" w:ascii="宋体" w:hAnsi="宋体" w:eastAsia="宋体" w:cs="宋体"/>
          <w:b/>
          <w:sz w:val="24"/>
        </w:rPr>
        <w:t>2.11 不可抗力</w:t>
      </w:r>
      <w:bookmarkEnd w:id="212"/>
      <w:bookmarkEnd w:id="213"/>
      <w:bookmarkEnd w:id="214"/>
      <w:bookmarkEnd w:id="215"/>
      <w:bookmarkEnd w:id="216"/>
      <w:bookmarkEnd w:id="217"/>
      <w:bookmarkEnd w:id="21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19" w:name="_Toc29063713"/>
      <w:bookmarkStart w:id="220" w:name="_Toc259093684"/>
      <w:bookmarkStart w:id="221" w:name="_Toc23854"/>
      <w:bookmarkStart w:id="222" w:name="_Toc279701255"/>
      <w:bookmarkStart w:id="223" w:name="_Toc24465"/>
      <w:bookmarkStart w:id="224" w:name="_Toc487900365"/>
      <w:bookmarkStart w:id="225" w:name="_Toc25783"/>
      <w:bookmarkStart w:id="226" w:name="_Toc10221"/>
      <w:bookmarkStart w:id="227" w:name="_Toc3638"/>
      <w:bookmarkStart w:id="228" w:name="_Toc14115"/>
      <w:r>
        <w:rPr>
          <w:rFonts w:hint="eastAsia" w:ascii="宋体" w:hAnsi="宋体" w:eastAsia="宋体" w:cs="宋体"/>
          <w:b/>
          <w:sz w:val="24"/>
        </w:rPr>
        <w:t>2.12 税费</w:t>
      </w:r>
      <w:bookmarkEnd w:id="219"/>
      <w:bookmarkEnd w:id="220"/>
      <w:bookmarkEnd w:id="221"/>
      <w:bookmarkEnd w:id="222"/>
      <w:bookmarkEnd w:id="223"/>
      <w:bookmarkEnd w:id="224"/>
      <w:bookmarkEnd w:id="225"/>
      <w:bookmarkEnd w:id="226"/>
      <w:bookmarkEnd w:id="227"/>
      <w:bookmarkEnd w:id="22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29" w:name="_Toc29063714"/>
      <w:bookmarkStart w:id="230" w:name="_Toc30105"/>
      <w:bookmarkStart w:id="231" w:name="_Toc25525"/>
      <w:bookmarkStart w:id="232" w:name="_Toc7315"/>
      <w:bookmarkStart w:id="233" w:name="_Toc26883"/>
      <w:bookmarkStart w:id="234" w:name="_Toc14814"/>
      <w:bookmarkStart w:id="235" w:name="_Toc279701258"/>
      <w:bookmarkStart w:id="236" w:name="_Toc3416"/>
      <w:bookmarkStart w:id="237" w:name="_Toc259093687"/>
      <w:bookmarkStart w:id="238" w:name="_Toc487900368"/>
      <w:r>
        <w:rPr>
          <w:rFonts w:hint="eastAsia" w:ascii="宋体" w:hAnsi="宋体" w:eastAsia="宋体" w:cs="宋体"/>
          <w:b/>
          <w:sz w:val="24"/>
        </w:rPr>
        <w:t>2.13 乙方破产</w:t>
      </w:r>
      <w:bookmarkEnd w:id="229"/>
      <w:bookmarkEnd w:id="230"/>
      <w:bookmarkEnd w:id="231"/>
      <w:bookmarkEnd w:id="232"/>
      <w:bookmarkEnd w:id="233"/>
      <w:bookmarkEnd w:id="234"/>
      <w:bookmarkEnd w:id="235"/>
      <w:bookmarkEnd w:id="236"/>
      <w:bookmarkEnd w:id="237"/>
      <w:bookmarkEnd w:id="23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39" w:name="_Toc29063715"/>
      <w:bookmarkStart w:id="240" w:name="_Toc16371"/>
      <w:bookmarkStart w:id="241" w:name="_Toc2016"/>
      <w:bookmarkStart w:id="242" w:name="_Toc23323"/>
      <w:bookmarkStart w:id="243" w:name="_Toc1123"/>
      <w:r>
        <w:rPr>
          <w:rFonts w:hint="eastAsia" w:ascii="宋体" w:hAnsi="宋体" w:eastAsia="宋体" w:cs="宋体"/>
          <w:b/>
          <w:sz w:val="24"/>
        </w:rPr>
        <w:t>2.14 合同中止、终止</w:t>
      </w:r>
      <w:bookmarkEnd w:id="239"/>
      <w:bookmarkEnd w:id="240"/>
      <w:bookmarkEnd w:id="241"/>
      <w:bookmarkEnd w:id="242"/>
      <w:bookmarkEnd w:id="243"/>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44" w:name="_Toc29063716"/>
      <w:bookmarkStart w:id="245" w:name="_Toc18556"/>
      <w:bookmarkStart w:id="246" w:name="_Toc1969"/>
      <w:bookmarkStart w:id="247" w:name="_Toc17363"/>
      <w:bookmarkStart w:id="248" w:name="_Toc14525"/>
      <w:r>
        <w:rPr>
          <w:rFonts w:hint="eastAsia" w:ascii="宋体" w:hAnsi="宋体" w:eastAsia="宋体" w:cs="宋体"/>
          <w:b/>
          <w:sz w:val="24"/>
        </w:rPr>
        <w:t>2.15 检验和验收</w:t>
      </w:r>
      <w:bookmarkEnd w:id="244"/>
      <w:bookmarkEnd w:id="245"/>
      <w:bookmarkEnd w:id="246"/>
      <w:bookmarkEnd w:id="247"/>
      <w:bookmarkEnd w:id="248"/>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98"/>
    <w:bookmarkEnd w:id="199"/>
    <w:bookmarkEnd w:id="200"/>
    <w:bookmarkEnd w:id="201"/>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49" w:name="_Toc279701261"/>
      <w:bookmarkStart w:id="250" w:name="_Toc487900371"/>
      <w:bookmarkStart w:id="251" w:name="_Toc259093690"/>
      <w:bookmarkStart w:id="252" w:name="_Toc2308"/>
      <w:bookmarkStart w:id="253" w:name="_Toc12666"/>
      <w:bookmarkStart w:id="254" w:name="_Toc31892"/>
      <w:bookmarkStart w:id="255" w:name="_Toc25198"/>
      <w:bookmarkStart w:id="256" w:name="_Toc29063717"/>
      <w:bookmarkStart w:id="257" w:name="_Toc9808"/>
      <w:bookmarkStart w:id="258" w:name="_Toc13066"/>
      <w:r>
        <w:rPr>
          <w:rFonts w:hint="eastAsia" w:ascii="宋体" w:hAnsi="宋体" w:eastAsia="宋体" w:cs="宋体"/>
          <w:b/>
          <w:sz w:val="24"/>
        </w:rPr>
        <w:t>2.16 通知</w:t>
      </w:r>
      <w:bookmarkEnd w:id="249"/>
      <w:bookmarkEnd w:id="250"/>
      <w:bookmarkEnd w:id="251"/>
      <w:r>
        <w:rPr>
          <w:rFonts w:hint="eastAsia" w:ascii="宋体" w:hAnsi="宋体" w:eastAsia="宋体" w:cs="宋体"/>
          <w:b/>
          <w:sz w:val="24"/>
        </w:rPr>
        <w:t>和送达</w:t>
      </w:r>
      <w:bookmarkEnd w:id="252"/>
      <w:bookmarkEnd w:id="253"/>
      <w:bookmarkEnd w:id="254"/>
      <w:bookmarkEnd w:id="255"/>
      <w:bookmarkEnd w:id="256"/>
      <w:bookmarkEnd w:id="257"/>
      <w:bookmarkEnd w:id="258"/>
    </w:p>
    <w:p>
      <w:pPr>
        <w:pageBreakBefore w:val="0"/>
        <w:wordWrap/>
        <w:topLinePunct w:val="0"/>
        <w:bidi w:val="0"/>
        <w:spacing w:line="400" w:lineRule="exact"/>
        <w:ind w:firstLine="480" w:firstLineChars="200"/>
        <w:rPr>
          <w:rFonts w:hint="eastAsia" w:ascii="宋体" w:hAnsi="宋体" w:eastAsia="宋体" w:cs="宋体"/>
          <w:sz w:val="24"/>
        </w:rPr>
      </w:pPr>
      <w:bookmarkStart w:id="259" w:name="_Toc7073"/>
      <w:bookmarkStart w:id="260" w:name="_Toc29220"/>
      <w:bookmarkStart w:id="261" w:name="_Toc279701262"/>
      <w:bookmarkStart w:id="262" w:name="_Toc259093691"/>
      <w:bookmarkStart w:id="263" w:name="_Toc48790037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259"/>
      <w:bookmarkEnd w:id="260"/>
    </w:p>
    <w:p>
      <w:pPr>
        <w:pageBreakBefore w:val="0"/>
        <w:wordWrap/>
        <w:topLinePunct w:val="0"/>
        <w:bidi w:val="0"/>
        <w:spacing w:line="400" w:lineRule="exact"/>
        <w:ind w:firstLine="480" w:firstLineChars="200"/>
        <w:rPr>
          <w:rFonts w:hint="eastAsia" w:ascii="宋体" w:hAnsi="宋体" w:eastAsia="宋体" w:cs="宋体"/>
          <w:sz w:val="24"/>
        </w:rPr>
      </w:pPr>
      <w:bookmarkStart w:id="264" w:name="_Toc27674"/>
      <w:bookmarkStart w:id="265" w:name="_Toc18401"/>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4"/>
      <w:bookmarkEnd w:id="265"/>
    </w:p>
    <w:bookmarkEnd w:id="261"/>
    <w:bookmarkEnd w:id="262"/>
    <w:bookmarkEnd w:id="263"/>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66" w:name="_Toc279701263"/>
      <w:bookmarkStart w:id="267" w:name="_Toc259093692"/>
      <w:bookmarkStart w:id="268" w:name="_Toc28906"/>
      <w:bookmarkStart w:id="269" w:name="_Toc12254"/>
      <w:bookmarkStart w:id="270" w:name="_Toc20808"/>
      <w:bookmarkStart w:id="271" w:name="_Toc27644"/>
      <w:bookmarkStart w:id="272" w:name="_Toc487900373"/>
      <w:bookmarkStart w:id="273" w:name="_Toc5063"/>
      <w:bookmarkStart w:id="274" w:name="_Toc29063718"/>
      <w:bookmarkStart w:id="275" w:name="_Toc30546"/>
      <w:r>
        <w:rPr>
          <w:rFonts w:hint="eastAsia" w:ascii="宋体" w:hAnsi="宋体" w:eastAsia="宋体" w:cs="宋体"/>
          <w:b/>
          <w:sz w:val="24"/>
        </w:rPr>
        <w:t>2.17 合同使用的文字和适用的法律</w:t>
      </w:r>
      <w:bookmarkEnd w:id="266"/>
      <w:bookmarkEnd w:id="267"/>
      <w:bookmarkEnd w:id="268"/>
      <w:bookmarkEnd w:id="269"/>
      <w:bookmarkEnd w:id="270"/>
      <w:bookmarkEnd w:id="271"/>
      <w:bookmarkEnd w:id="272"/>
      <w:bookmarkEnd w:id="273"/>
      <w:bookmarkEnd w:id="274"/>
      <w:bookmarkEnd w:id="275"/>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pageBreakBefore w:val="0"/>
        <w:wordWrap/>
        <w:topLinePunct w:val="0"/>
        <w:bidi w:val="0"/>
        <w:spacing w:line="400" w:lineRule="exact"/>
        <w:ind w:firstLine="482" w:firstLineChars="200"/>
        <w:rPr>
          <w:rFonts w:hint="eastAsia" w:ascii="宋体" w:hAnsi="宋体" w:eastAsia="宋体" w:cs="宋体"/>
          <w:b/>
          <w:sz w:val="24"/>
        </w:rPr>
      </w:pPr>
      <w:bookmarkStart w:id="276" w:name="_Toc29063719"/>
      <w:bookmarkStart w:id="277" w:name="_Toc30096"/>
      <w:bookmarkStart w:id="278" w:name="_Toc487900374"/>
      <w:bookmarkStart w:id="279" w:name="_Toc22266"/>
      <w:bookmarkStart w:id="280" w:name="_Toc259093693"/>
      <w:bookmarkStart w:id="281" w:name="_Toc27403"/>
      <w:bookmarkStart w:id="282" w:name="_Toc11599"/>
      <w:bookmarkStart w:id="283" w:name="_Toc1492"/>
      <w:bookmarkStart w:id="284" w:name="_Toc27127"/>
      <w:bookmarkStart w:id="285" w:name="_Toc279701264"/>
      <w:r>
        <w:rPr>
          <w:rFonts w:hint="eastAsia" w:ascii="宋体" w:hAnsi="宋体" w:eastAsia="宋体" w:cs="宋体"/>
          <w:b/>
          <w:sz w:val="24"/>
        </w:rPr>
        <w:t xml:space="preserve">2.18 </w:t>
      </w:r>
      <w:bookmarkEnd w:id="276"/>
      <w:bookmarkEnd w:id="277"/>
      <w:bookmarkEnd w:id="278"/>
      <w:bookmarkEnd w:id="279"/>
      <w:bookmarkEnd w:id="280"/>
      <w:bookmarkEnd w:id="281"/>
      <w:bookmarkEnd w:id="282"/>
      <w:bookmarkEnd w:id="283"/>
      <w:bookmarkEnd w:id="284"/>
      <w:bookmarkEnd w:id="285"/>
      <w:r>
        <w:rPr>
          <w:rFonts w:hint="eastAsia" w:ascii="宋体" w:hAnsi="宋体" w:eastAsia="宋体" w:cs="宋体"/>
          <w:b/>
          <w:sz w:val="24"/>
        </w:rPr>
        <w:t>合同份数</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ageBreakBefore w:val="0"/>
        <w:wordWrap/>
        <w:topLinePunct w:val="0"/>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b/>
          <w:sz w:val="28"/>
          <w:szCs w:val="28"/>
        </w:rPr>
      </w:pPr>
    </w:p>
    <w:p>
      <w:pPr>
        <w:pStyle w:val="3"/>
        <w:pageBreakBefore w:val="0"/>
        <w:wordWrap/>
        <w:bidi w:val="0"/>
        <w:spacing w:line="400" w:lineRule="exact"/>
        <w:jc w:val="both"/>
        <w:rPr>
          <w:rFonts w:hint="eastAsia" w:ascii="宋体" w:hAnsi="宋体" w:eastAsia="宋体" w:cs="宋体"/>
          <w:bCs w:val="0"/>
          <w:kern w:val="2"/>
          <w:sz w:val="28"/>
          <w:szCs w:val="28"/>
        </w:rPr>
      </w:pPr>
      <w:r>
        <w:rPr>
          <w:rFonts w:hint="eastAsia" w:ascii="宋体" w:hAnsi="宋体" w:eastAsia="宋体" w:cs="宋体"/>
          <w:b w:val="0"/>
          <w:sz w:val="28"/>
          <w:szCs w:val="28"/>
        </w:rPr>
        <w:br w:type="page"/>
      </w:r>
      <w:bookmarkStart w:id="286" w:name="_Toc1279"/>
      <w:bookmarkStart w:id="287" w:name="_Toc7201"/>
      <w:bookmarkStart w:id="288" w:name="_Toc21251"/>
      <w:bookmarkStart w:id="289" w:name="_Toc9966"/>
      <w:bookmarkStart w:id="290" w:name="_Toc16470"/>
      <w:bookmarkStart w:id="291" w:name="_Toc29011"/>
      <w:bookmarkStart w:id="292" w:name="_Toc13137"/>
      <w:bookmarkStart w:id="293" w:name="_Toc28823"/>
      <w:bookmarkStart w:id="294" w:name="_Toc19337"/>
      <w:bookmarkStart w:id="295" w:name="_Toc993"/>
    </w:p>
    <w:p>
      <w:pPr>
        <w:pStyle w:val="3"/>
        <w:keepNext/>
        <w:keepLines/>
        <w:pageBreakBefore w:val="0"/>
        <w:widowControl w:val="0"/>
        <w:kinsoku/>
        <w:wordWrap/>
        <w:overflowPunct/>
        <w:topLinePunct w:val="0"/>
        <w:autoSpaceDE/>
        <w:autoSpaceDN/>
        <w:bidi w:val="0"/>
        <w:adjustRightInd w:val="0"/>
        <w:snapToGrid/>
        <w:spacing w:line="500" w:lineRule="exact"/>
        <w:ind w:firstLine="289"/>
        <w:jc w:val="center"/>
        <w:textAlignment w:val="baseline"/>
        <w:rPr>
          <w:rStyle w:val="78"/>
          <w:rFonts w:hint="eastAsia" w:ascii="宋体" w:hAnsi="宋体" w:eastAsia="宋体" w:cs="宋体"/>
          <w:b w:val="0"/>
          <w:bCs w:val="0"/>
          <w:sz w:val="44"/>
          <w:szCs w:val="44"/>
        </w:rPr>
      </w:pPr>
      <w:bookmarkStart w:id="296" w:name="_Toc6885"/>
      <w:r>
        <w:rPr>
          <w:rFonts w:hint="eastAsia" w:ascii="宋体" w:hAnsi="宋体" w:eastAsia="宋体" w:cs="宋体"/>
          <w:bCs w:val="0"/>
          <w:kern w:val="2"/>
          <w:sz w:val="44"/>
          <w:szCs w:val="44"/>
        </w:rPr>
        <w:t>第五章  竞争性磋商响应文件格式</w:t>
      </w:r>
      <w:bookmarkEnd w:id="286"/>
      <w:bookmarkEnd w:id="287"/>
      <w:bookmarkEnd w:id="288"/>
      <w:bookmarkEnd w:id="289"/>
      <w:bookmarkEnd w:id="290"/>
      <w:bookmarkEnd w:id="291"/>
      <w:bookmarkEnd w:id="292"/>
      <w:bookmarkEnd w:id="293"/>
      <w:bookmarkEnd w:id="294"/>
      <w:bookmarkEnd w:id="295"/>
      <w:bookmarkEnd w:id="296"/>
    </w:p>
    <w:p>
      <w:pPr>
        <w:pageBreakBefore w:val="0"/>
        <w:wordWrap/>
        <w:bidi w:val="0"/>
        <w:spacing w:line="400" w:lineRule="exact"/>
        <w:jc w:val="right"/>
        <w:rPr>
          <w:rFonts w:hint="eastAsia" w:ascii="宋体" w:hAnsi="宋体" w:eastAsia="宋体" w:cs="宋体"/>
          <w:b/>
          <w:sz w:val="28"/>
          <w:szCs w:val="28"/>
        </w:rPr>
      </w:pPr>
    </w:p>
    <w:p>
      <w:pPr>
        <w:pageBreakBefore w:val="0"/>
        <w:wordWrap/>
        <w:bidi w:val="0"/>
        <w:spacing w:line="400" w:lineRule="exact"/>
        <w:jc w:val="right"/>
        <w:rPr>
          <w:rFonts w:hint="eastAsia" w:ascii="宋体" w:hAnsi="宋体" w:eastAsia="宋体" w:cs="宋体"/>
          <w:b/>
          <w:sz w:val="28"/>
          <w:szCs w:val="28"/>
        </w:rPr>
      </w:pPr>
      <w:r>
        <w:rPr>
          <w:rFonts w:hint="eastAsia" w:ascii="宋体" w:hAnsi="宋体" w:eastAsia="宋体" w:cs="宋体"/>
          <w:b/>
          <w:sz w:val="28"/>
          <w:szCs w:val="28"/>
        </w:rPr>
        <w:t>（正本/副本）</w:t>
      </w: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lang w:val="en-US" w:eastAsia="zh-CN"/>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jc w:val="center"/>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44"/>
          <w:szCs w:val="44"/>
        </w:rPr>
      </w:pPr>
      <w:bookmarkStart w:id="297" w:name="_Toc5883"/>
      <w:r>
        <w:rPr>
          <w:rFonts w:hint="eastAsia" w:ascii="宋体" w:hAnsi="宋体" w:eastAsia="宋体" w:cs="宋体"/>
          <w:b/>
          <w:sz w:val="44"/>
          <w:szCs w:val="44"/>
        </w:rPr>
        <w:t>竞争性磋商响应文件</w:t>
      </w:r>
      <w:bookmarkEnd w:id="297"/>
    </w:p>
    <w:p>
      <w:pPr>
        <w:pageBreakBefore w:val="0"/>
        <w:wordWrap/>
        <w:bidi w:val="0"/>
        <w:spacing w:line="40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b/>
          <w:sz w:val="28"/>
          <w:szCs w:val="28"/>
        </w:rPr>
      </w:pPr>
    </w:p>
    <w:p>
      <w:pPr>
        <w:keepNext w:val="0"/>
        <w:keepLines w:val="0"/>
        <w:pageBreakBefore w:val="0"/>
        <w:widowControl w:val="0"/>
        <w:tabs>
          <w:tab w:val="center" w:pos="5346"/>
        </w:tabs>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sz w:val="28"/>
          <w:szCs w:val="28"/>
        </w:rPr>
        <w:t xml:space="preserve">        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（全称并加盖公章）</w:t>
      </w:r>
    </w:p>
    <w:p>
      <w:pPr>
        <w:pStyle w:val="18"/>
        <w:keepNext w:val="0"/>
        <w:keepLines w:val="0"/>
        <w:pageBreakBefore w:val="0"/>
        <w:widowControl w:val="0"/>
        <w:kinsoku/>
        <w:wordWrap/>
        <w:overflowPunct/>
        <w:topLinePunct w:val="0"/>
        <w:autoSpaceDE/>
        <w:autoSpaceDN/>
        <w:bidi w:val="0"/>
        <w:adjustRightInd/>
        <w:snapToGrid/>
        <w:spacing w:line="500" w:lineRule="exact"/>
        <w:ind w:firstLine="1124" w:firstLineChars="400"/>
        <w:textAlignment w:val="auto"/>
        <w:rPr>
          <w:rFonts w:hint="eastAsia" w:ascii="宋体" w:hAnsi="宋体" w:eastAsia="宋体" w:cs="宋体"/>
          <w:sz w:val="28"/>
          <w:szCs w:val="28"/>
        </w:rPr>
      </w:pPr>
      <w:r>
        <w:rPr>
          <w:rFonts w:hint="eastAsia" w:ascii="宋体" w:hAnsi="宋体" w:eastAsia="宋体" w:cs="宋体"/>
          <w:b/>
          <w:sz w:val="28"/>
          <w:szCs w:val="28"/>
        </w:rPr>
        <w:t xml:space="preserve">法定代表人/或被授权人（签字或盖章）：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1124" w:firstLineChars="400"/>
        <w:jc w:val="center"/>
        <w:textAlignment w:val="auto"/>
        <w:outlineLvl w:val="0"/>
        <w:rPr>
          <w:rFonts w:hint="eastAsia" w:ascii="宋体" w:hAnsi="宋体" w:eastAsia="宋体" w:cs="宋体"/>
          <w:b/>
          <w:sz w:val="36"/>
          <w:szCs w:val="36"/>
        </w:rPr>
      </w:pPr>
      <w:bookmarkStart w:id="298" w:name="_Toc17813"/>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r>
        <w:rPr>
          <w:rFonts w:hint="eastAsia" w:ascii="宋体" w:hAnsi="宋体" w:eastAsia="宋体" w:cs="宋体"/>
          <w:b/>
          <w:sz w:val="28"/>
          <w:szCs w:val="28"/>
        </w:rPr>
        <w:br w:type="page"/>
      </w:r>
      <w:bookmarkStart w:id="299" w:name="_Toc344572156"/>
      <w:r>
        <w:rPr>
          <w:rFonts w:hint="eastAsia" w:ascii="宋体" w:hAnsi="宋体" w:eastAsia="宋体" w:cs="宋体"/>
          <w:b/>
          <w:sz w:val="36"/>
          <w:szCs w:val="36"/>
        </w:rPr>
        <w:t xml:space="preserve">  目  录</w:t>
      </w:r>
      <w:bookmarkEnd w:id="298"/>
    </w:p>
    <w:p>
      <w:pPr>
        <w:pageBreakBefore w:val="0"/>
        <w:tabs>
          <w:tab w:val="left" w:pos="567"/>
          <w:tab w:val="left" w:pos="993"/>
        </w:tabs>
        <w:wordWrap/>
        <w:bidi w:val="0"/>
        <w:spacing w:line="400" w:lineRule="exact"/>
        <w:rPr>
          <w:rFonts w:hint="eastAsia" w:ascii="宋体" w:hAnsi="宋体" w:eastAsia="宋体" w:cs="宋体"/>
          <w:spacing w:val="4"/>
          <w:sz w:val="28"/>
          <w:szCs w:val="28"/>
        </w:rPr>
      </w:pP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附件一、报价响应函</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附件二、法定代表人授权委托书</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z w:val="28"/>
          <w:szCs w:val="28"/>
        </w:rPr>
      </w:pPr>
      <w:r>
        <w:rPr>
          <w:rFonts w:hint="eastAsia" w:ascii="宋体" w:hAnsi="宋体" w:eastAsia="宋体" w:cs="宋体"/>
          <w:spacing w:val="4"/>
          <w:sz w:val="28"/>
          <w:szCs w:val="28"/>
        </w:rPr>
        <w:t>附件三、报价一览表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附件四、资格证明文件</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五</w:t>
      </w:r>
      <w:r>
        <w:rPr>
          <w:rFonts w:hint="eastAsia" w:ascii="宋体" w:hAnsi="宋体" w:eastAsia="宋体" w:cs="宋体"/>
          <w:spacing w:val="4"/>
          <w:sz w:val="28"/>
          <w:szCs w:val="28"/>
        </w:rPr>
        <w:t>、服务计划</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六</w:t>
      </w:r>
      <w:r>
        <w:rPr>
          <w:rFonts w:hint="eastAsia" w:ascii="宋体" w:hAnsi="宋体" w:eastAsia="宋体" w:cs="宋体"/>
          <w:spacing w:val="4"/>
          <w:sz w:val="28"/>
          <w:szCs w:val="28"/>
        </w:rPr>
        <w:t>、拟投入项目人员一览表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七</w:t>
      </w:r>
      <w:r>
        <w:rPr>
          <w:rFonts w:hint="eastAsia" w:ascii="宋体" w:hAnsi="宋体" w:eastAsia="宋体" w:cs="宋体"/>
          <w:spacing w:val="4"/>
          <w:sz w:val="28"/>
          <w:szCs w:val="28"/>
        </w:rPr>
        <w:t>、同类项目业绩一览表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八</w:t>
      </w:r>
      <w:r>
        <w:rPr>
          <w:rFonts w:hint="eastAsia" w:ascii="宋体" w:hAnsi="宋体" w:eastAsia="宋体" w:cs="宋体"/>
          <w:spacing w:val="4"/>
          <w:sz w:val="28"/>
          <w:szCs w:val="28"/>
        </w:rPr>
        <w:t>、磋商文件中所要求的其他内容及报价单位认为适宜的其它资料。</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p>
    <w:p>
      <w:pPr>
        <w:pStyle w:val="13"/>
        <w:pageBreakBefore w:val="0"/>
        <w:wordWrap/>
        <w:bidi w:val="0"/>
        <w:spacing w:line="400" w:lineRule="exact"/>
        <w:jc w:val="both"/>
        <w:rPr>
          <w:rFonts w:hint="eastAsia" w:ascii="宋体" w:hAnsi="宋体" w:eastAsia="宋体" w:cs="宋体"/>
          <w:sz w:val="28"/>
          <w:szCs w:val="28"/>
        </w:rPr>
      </w:pPr>
    </w:p>
    <w:bookmarkEnd w:id="299"/>
    <w:p>
      <w:pPr>
        <w:pageBreakBefore w:val="0"/>
        <w:wordWrap/>
        <w:bidi w:val="0"/>
        <w:spacing w:line="400" w:lineRule="exact"/>
        <w:rPr>
          <w:rFonts w:hint="eastAsia" w:ascii="宋体" w:hAnsi="宋体" w:eastAsia="宋体" w:cs="宋体"/>
          <w:b/>
          <w:sz w:val="28"/>
          <w:szCs w:val="28"/>
        </w:rPr>
      </w:pPr>
      <w:bookmarkStart w:id="300" w:name="_Toc403077648"/>
      <w:bookmarkStart w:id="301" w:name="_Toc363474027"/>
      <w:bookmarkStart w:id="302" w:name="_Toc204524343"/>
    </w:p>
    <w:p>
      <w:pPr>
        <w:pageBreakBefore w:val="0"/>
        <w:wordWrap/>
        <w:bidi w:val="0"/>
        <w:spacing w:line="400" w:lineRule="exact"/>
        <w:outlineLvl w:val="0"/>
        <w:rPr>
          <w:rFonts w:hint="eastAsia" w:ascii="宋体" w:hAnsi="宋体" w:eastAsia="宋体" w:cs="宋体"/>
          <w:sz w:val="28"/>
          <w:szCs w:val="28"/>
        </w:rPr>
      </w:pPr>
      <w:r>
        <w:rPr>
          <w:rFonts w:hint="eastAsia" w:ascii="宋体" w:hAnsi="宋体" w:eastAsia="宋体" w:cs="宋体"/>
          <w:b/>
          <w:sz w:val="28"/>
          <w:szCs w:val="28"/>
        </w:rPr>
        <w:br w:type="page"/>
      </w:r>
      <w:bookmarkEnd w:id="300"/>
      <w:bookmarkEnd w:id="301"/>
      <w:bookmarkStart w:id="303" w:name="_Toc12648"/>
      <w:bookmarkStart w:id="304" w:name="_Toc403077649"/>
      <w:bookmarkStart w:id="305" w:name="_Toc363474028"/>
      <w:r>
        <w:rPr>
          <w:rFonts w:hint="eastAsia" w:ascii="宋体" w:hAnsi="宋体" w:eastAsia="宋体" w:cs="宋体"/>
          <w:b/>
          <w:bCs/>
          <w:spacing w:val="4"/>
          <w:sz w:val="28"/>
          <w:szCs w:val="28"/>
        </w:rPr>
        <w:t>附件一</w:t>
      </w:r>
      <w:bookmarkEnd w:id="303"/>
    </w:p>
    <w:p>
      <w:pPr>
        <w:pStyle w:val="13"/>
        <w:keepNext w:val="0"/>
        <w:keepLines w:val="0"/>
        <w:pageBreakBefore w:val="0"/>
        <w:widowControl w:val="0"/>
        <w:kinsoku/>
        <w:wordWrap/>
        <w:overflowPunct/>
        <w:topLinePunct w:val="0"/>
        <w:autoSpaceDE/>
        <w:autoSpaceDN/>
        <w:bidi w:val="0"/>
        <w:adjustRightInd/>
        <w:snapToGrid/>
        <w:spacing w:line="700" w:lineRule="exact"/>
        <w:ind w:firstLine="737"/>
        <w:jc w:val="center"/>
        <w:textAlignment w:val="auto"/>
        <w:rPr>
          <w:rFonts w:hint="eastAsia" w:ascii="宋体" w:hAnsi="宋体" w:eastAsia="宋体" w:cs="宋体"/>
          <w:b/>
          <w:bCs/>
          <w:spacing w:val="4"/>
          <w:sz w:val="44"/>
          <w:szCs w:val="44"/>
        </w:rPr>
      </w:pPr>
      <w:r>
        <w:rPr>
          <w:rFonts w:hint="eastAsia" w:ascii="宋体" w:hAnsi="宋体" w:eastAsia="宋体" w:cs="宋体"/>
          <w:b/>
          <w:bCs/>
          <w:spacing w:val="4"/>
          <w:sz w:val="44"/>
          <w:szCs w:val="44"/>
        </w:rPr>
        <w:t>报价响应函</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76" w:firstLineChars="200"/>
        <w:textAlignment w:val="auto"/>
        <w:rPr>
          <w:rFonts w:hint="eastAsia" w:ascii="宋体" w:hAnsi="宋体" w:eastAsia="宋体" w:cs="宋体"/>
          <w:spacing w:val="4"/>
          <w:sz w:val="28"/>
          <w:szCs w:val="28"/>
        </w:rPr>
      </w:pPr>
      <w:r>
        <w:rPr>
          <w:rFonts w:hint="eastAsia" w:ascii="宋体" w:hAnsi="宋体" w:eastAsia="宋体" w:cs="宋体"/>
          <w:spacing w:val="4"/>
          <w:kern w:val="0"/>
          <w:sz w:val="28"/>
          <w:szCs w:val="28"/>
          <w:u w:val="single"/>
          <w:lang w:val="en-US" w:eastAsia="zh-CN" w:bidi="ar-SA"/>
        </w:rPr>
        <w:t>阿克苏商贸物流产业园管理委员会</w:t>
      </w:r>
      <w:r>
        <w:rPr>
          <w:rFonts w:hint="eastAsia" w:ascii="宋体" w:hAnsi="宋体" w:eastAsia="宋体" w:cs="宋体"/>
          <w:spacing w:val="4"/>
          <w:sz w:val="28"/>
          <w:szCs w:val="28"/>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1077" w:firstLineChars="374"/>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经研究，我们决定参加</w:t>
      </w:r>
      <w:r>
        <w:rPr>
          <w:rFonts w:hint="eastAsia" w:ascii="宋体" w:hAnsi="宋体" w:eastAsia="宋体" w:cs="宋体"/>
          <w:spacing w:val="4"/>
          <w:sz w:val="28"/>
          <w:szCs w:val="28"/>
          <w:u w:val="single"/>
        </w:rPr>
        <w:t>（项目名称及编号）</w:t>
      </w:r>
      <w:r>
        <w:rPr>
          <w:rFonts w:hint="eastAsia" w:ascii="宋体" w:hAnsi="宋体" w:eastAsia="宋体" w:cs="宋体"/>
          <w:spacing w:val="4"/>
          <w:sz w:val="28"/>
          <w:szCs w:val="28"/>
        </w:rPr>
        <w:t>的采购项目并报价。为此，我方郑重声明以下诸点，并负法律责任。</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1、我方已仔细阅过磋商文件并完全接受采购文件要求。</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2、我方提交的响应文件，正本壹份，副本叁份，报价一览表壹份。内容真实有效。</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3、如果我方成为成交单位，我们将履行磋商文件中规定的每一项要求，并按我们响应文件中的承诺按期、保质、保量提供设备。</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4、我们理解，最低报价不是成交的唯一条件，你们有选择成交供应商的权利。</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5、我方愿按《中华人民共和国合同法》履行自己的全部责任。</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6、我们愿按采购文件规定交纳磋商保证金、成交服务费，遵守贵机构有关采购的各项规定。</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7、我方的报价文件有效期自磋商之日起90日内。</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8、与本次采购有关的一切正式往来通讯请寄：</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地    址：</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邮政编码：</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电    话：</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传    真：</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开户单位：</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开户银行：</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帐    号：</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报价人代表姓名、职务：</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报价人单位全称（印章）</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法定代表人签字：</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pPr>
        <w:pageBreakBefore w:val="0"/>
        <w:wordWrap/>
        <w:bidi w:val="0"/>
        <w:spacing w:line="400" w:lineRule="exact"/>
        <w:outlineLvl w:val="0"/>
        <w:rPr>
          <w:rFonts w:hint="eastAsia" w:ascii="宋体" w:hAnsi="宋体" w:eastAsia="宋体" w:cs="宋体"/>
          <w:b/>
          <w:bCs/>
          <w:spacing w:val="4"/>
          <w:sz w:val="28"/>
          <w:szCs w:val="28"/>
        </w:rPr>
      </w:pPr>
      <w:bookmarkStart w:id="306" w:name="_Toc9850"/>
      <w:r>
        <w:rPr>
          <w:rFonts w:hint="eastAsia" w:ascii="宋体" w:hAnsi="宋体" w:eastAsia="宋体" w:cs="宋体"/>
          <w:b/>
          <w:bCs/>
          <w:spacing w:val="4"/>
          <w:sz w:val="28"/>
          <w:szCs w:val="28"/>
        </w:rPr>
        <w:t>附件二</w:t>
      </w:r>
      <w:bookmarkEnd w:id="306"/>
    </w:p>
    <w:p>
      <w:pPr>
        <w:pageBreakBefore w:val="0"/>
        <w:wordWrap/>
        <w:bidi w:val="0"/>
        <w:spacing w:line="400" w:lineRule="exact"/>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法定代表人授权委托书</w:t>
      </w:r>
    </w:p>
    <w:p>
      <w:pPr>
        <w:pageBreakBefore w:val="0"/>
        <w:wordWrap/>
        <w:bidi w:val="0"/>
        <w:spacing w:line="400" w:lineRule="exact"/>
        <w:jc w:val="center"/>
        <w:rPr>
          <w:rFonts w:hint="eastAsia" w:ascii="宋体" w:hAnsi="宋体" w:eastAsia="宋体" w:cs="宋体"/>
          <w:b/>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keepNext w:val="0"/>
        <w:keepLines w:val="0"/>
        <w:pageBreakBefore w:val="0"/>
        <w:widowControl w:val="0"/>
        <w:kinsoku/>
        <w:wordWrap/>
        <w:overflowPunct/>
        <w:topLinePunct w:val="0"/>
        <w:autoSpaceDE/>
        <w:autoSpaceDN/>
        <w:bidi w:val="0"/>
        <w:adjustRightInd/>
        <w:snapToGrid/>
        <w:spacing w:line="500" w:lineRule="exact"/>
        <w:ind w:firstLine="0"/>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u w:val="single"/>
          <w:lang w:val="en-US" w:eastAsia="zh-CN"/>
        </w:rPr>
        <w:t>阿克苏商贸物流产业园管理委员会</w:t>
      </w:r>
      <w:r>
        <w:rPr>
          <w:rFonts w:hint="eastAsia" w:ascii="宋体" w:hAnsi="宋体" w:eastAsia="宋体" w:cs="宋体"/>
          <w:spacing w:val="4"/>
          <w:sz w:val="28"/>
          <w:szCs w:val="28"/>
        </w:rPr>
        <w:t>：</w:t>
      </w:r>
    </w:p>
    <w:p>
      <w:pPr>
        <w:pStyle w:val="13"/>
        <w:keepNext w:val="0"/>
        <w:keepLines w:val="0"/>
        <w:pageBreakBefore w:val="0"/>
        <w:widowControl w:val="0"/>
        <w:kinsoku/>
        <w:wordWrap/>
        <w:overflowPunct/>
        <w:topLinePunct w:val="0"/>
        <w:autoSpaceDE/>
        <w:autoSpaceDN/>
        <w:bidi w:val="0"/>
        <w:adjustRightInd/>
        <w:snapToGrid/>
        <w:spacing w:line="50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兹委托</w:t>
      </w:r>
      <w:r>
        <w:rPr>
          <w:rFonts w:hint="eastAsia" w:ascii="宋体" w:hAnsi="宋体" w:eastAsia="宋体" w:cs="宋体"/>
          <w:spacing w:val="4"/>
          <w:sz w:val="28"/>
          <w:szCs w:val="28"/>
          <w:u w:val="single"/>
        </w:rPr>
        <w:t>（全名和职务）</w:t>
      </w:r>
      <w:r>
        <w:rPr>
          <w:rFonts w:hint="eastAsia" w:ascii="宋体" w:hAnsi="宋体" w:eastAsia="宋体" w:cs="宋体"/>
          <w:spacing w:val="4"/>
          <w:sz w:val="28"/>
          <w:szCs w:val="28"/>
        </w:rPr>
        <w:t xml:space="preserve">代表 </w:t>
      </w:r>
      <w:r>
        <w:rPr>
          <w:rFonts w:hint="eastAsia" w:ascii="宋体" w:hAnsi="宋体" w:eastAsia="宋体" w:cs="宋体"/>
          <w:spacing w:val="4"/>
          <w:sz w:val="28"/>
          <w:szCs w:val="28"/>
          <w:u w:val="single"/>
        </w:rPr>
        <w:t xml:space="preserve"> （供应商名称） </w:t>
      </w:r>
      <w:r>
        <w:rPr>
          <w:rFonts w:hint="eastAsia" w:ascii="宋体" w:hAnsi="宋体" w:eastAsia="宋体" w:cs="宋体"/>
          <w:spacing w:val="4"/>
          <w:sz w:val="28"/>
          <w:szCs w:val="28"/>
        </w:rPr>
        <w:t>参加贵单位组织的编号为</w:t>
      </w:r>
      <w:r>
        <w:rPr>
          <w:rFonts w:hint="eastAsia" w:ascii="宋体" w:hAnsi="宋体" w:eastAsia="宋体" w:cs="宋体"/>
          <w:spacing w:val="4"/>
          <w:sz w:val="28"/>
          <w:szCs w:val="28"/>
          <w:u w:val="single"/>
        </w:rPr>
        <w:t>（项目名称编号）</w:t>
      </w:r>
      <w:r>
        <w:rPr>
          <w:rFonts w:hint="eastAsia" w:ascii="宋体" w:hAnsi="宋体" w:eastAsia="宋体" w:cs="宋体"/>
          <w:spacing w:val="4"/>
          <w:sz w:val="28"/>
          <w:szCs w:val="28"/>
        </w:rPr>
        <w:t>的采购活动，并以此授权其全权代表我方处理本次采购活动的一切事宜。</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特此授权。</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（附授权代理人身份证明复印件）</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供应商名称（公章）：</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法定代表人签字：</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授权委托人签字：</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年    月    日</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ageBreakBefore w:val="0"/>
        <w:wordWrap/>
        <w:bidi w:val="0"/>
        <w:spacing w:line="400" w:lineRule="exact"/>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pPr>
        <w:pageBreakBefore w:val="0"/>
        <w:wordWrap/>
        <w:bidi w:val="0"/>
        <w:spacing w:line="400" w:lineRule="exact"/>
        <w:outlineLvl w:val="0"/>
        <w:rPr>
          <w:rFonts w:hint="eastAsia" w:ascii="宋体" w:hAnsi="宋体" w:eastAsia="宋体" w:cs="宋体"/>
          <w:b/>
          <w:bCs/>
          <w:spacing w:val="4"/>
          <w:sz w:val="28"/>
          <w:szCs w:val="28"/>
        </w:rPr>
      </w:pPr>
      <w:bookmarkStart w:id="307" w:name="_Toc32590"/>
      <w:r>
        <w:rPr>
          <w:rFonts w:hint="eastAsia" w:ascii="宋体" w:hAnsi="宋体" w:eastAsia="宋体" w:cs="宋体"/>
          <w:b/>
          <w:bCs/>
          <w:spacing w:val="4"/>
          <w:sz w:val="28"/>
          <w:szCs w:val="28"/>
        </w:rPr>
        <w:t>附件三</w:t>
      </w:r>
      <w:bookmarkEnd w:id="307"/>
    </w:p>
    <w:p>
      <w:pPr>
        <w:keepNext w:val="0"/>
        <w:keepLines w:val="0"/>
        <w:pageBreakBefore w:val="0"/>
        <w:widowControl w:val="0"/>
        <w:tabs>
          <w:tab w:val="right" w:pos="9014"/>
        </w:tabs>
        <w:kinsoku/>
        <w:wordWrap/>
        <w:overflowPunct/>
        <w:topLinePunct w:val="0"/>
        <w:autoSpaceDE/>
        <w:autoSpaceDN/>
        <w:bidi w:val="0"/>
        <w:adjustRightInd/>
        <w:snapToGrid/>
        <w:spacing w:line="500" w:lineRule="exact"/>
        <w:ind w:firstLine="181"/>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报价一览表（格式）</w:t>
      </w:r>
    </w:p>
    <w:p>
      <w:pPr>
        <w:pStyle w:val="2"/>
        <w:rPr>
          <w:rFonts w:hint="eastAsia"/>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投标单位名称：</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项目名称：</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项目编号：</w:t>
      </w:r>
    </w:p>
    <w:tbl>
      <w:tblPr>
        <w:tblStyle w:val="35"/>
        <w:tblpPr w:leftFromText="180" w:rightFromText="180" w:vertAnchor="text" w:horzAnchor="page" w:tblpX="1642" w:tblpY="437"/>
        <w:tblOverlap w:val="never"/>
        <w:tblW w:w="83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1521"/>
        <w:gridCol w:w="2662"/>
        <w:gridCol w:w="41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538" w:hRule="atLeast"/>
        </w:trPr>
        <w:tc>
          <w:tcPr>
            <w:tcW w:w="1521"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序号</w:t>
            </w:r>
          </w:p>
        </w:tc>
        <w:tc>
          <w:tcPr>
            <w:tcW w:w="2662"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服务内容</w:t>
            </w:r>
          </w:p>
        </w:tc>
        <w:tc>
          <w:tcPr>
            <w:tcW w:w="4193"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报价（含税，增值税专用发票）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1</w:t>
            </w:r>
          </w:p>
        </w:tc>
        <w:tc>
          <w:tcPr>
            <w:tcW w:w="2662"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外包服务</w:t>
            </w:r>
          </w:p>
        </w:tc>
        <w:tc>
          <w:tcPr>
            <w:tcW w:w="4193"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元</w:t>
            </w:r>
          </w:p>
        </w:tc>
      </w:tr>
    </w:tbl>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 xml:space="preserve">                                                       </w:t>
      </w: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单位：元                                                </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注：此表还需单独密封。报价为含税金额，税票为增值税专用发票。</w:t>
      </w:r>
    </w:p>
    <w:p>
      <w:pPr>
        <w:pageBreakBefore w:val="0"/>
        <w:wordWrap/>
        <w:bidi w:val="0"/>
        <w:spacing w:line="400" w:lineRule="exact"/>
        <w:rPr>
          <w:rFonts w:hint="eastAsia" w:ascii="宋体" w:hAnsi="宋体" w:eastAsia="宋体" w:cs="宋体"/>
          <w:spacing w:val="15"/>
          <w:sz w:val="28"/>
          <w:szCs w:val="28"/>
        </w:rPr>
      </w:pPr>
    </w:p>
    <w:p>
      <w:pPr>
        <w:pageBreakBefore w:val="0"/>
        <w:wordWrap/>
        <w:bidi w:val="0"/>
        <w:spacing w:line="400" w:lineRule="exact"/>
        <w:rPr>
          <w:rFonts w:hint="eastAsia" w:ascii="宋体" w:hAnsi="宋体" w:eastAsia="宋体" w:cs="宋体"/>
          <w:spacing w:val="15"/>
          <w:sz w:val="28"/>
          <w:szCs w:val="28"/>
        </w:rPr>
      </w:pPr>
    </w:p>
    <w:p>
      <w:pPr>
        <w:pageBreakBefore w:val="0"/>
        <w:wordWrap/>
        <w:bidi w:val="0"/>
        <w:spacing w:line="400" w:lineRule="exact"/>
        <w:rPr>
          <w:rFonts w:hint="eastAsia" w:ascii="宋体" w:hAnsi="宋体" w:eastAsia="宋体" w:cs="宋体"/>
          <w:spacing w:val="15"/>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报价单位（盖章）：</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授权代表（签字）：</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sectPr>
          <w:headerReference r:id="rId13" w:type="default"/>
          <w:pgSz w:w="11906" w:h="16838"/>
          <w:pgMar w:top="1440" w:right="1800" w:bottom="1440" w:left="1800" w:header="851" w:footer="992" w:gutter="0"/>
          <w:pgNumType w:fmt="decimal"/>
          <w:cols w:space="720" w:num="1"/>
          <w:docGrid w:linePitch="312" w:charSpace="0"/>
        </w:sectPr>
      </w:pPr>
      <w:r>
        <w:rPr>
          <w:rFonts w:hint="eastAsia" w:ascii="宋体" w:hAnsi="宋体" w:eastAsia="宋体" w:cs="宋体"/>
          <w:spacing w:val="4"/>
          <w:sz w:val="28"/>
          <w:szCs w:val="28"/>
        </w:rPr>
        <w:t>日期：</w:t>
      </w:r>
    </w:p>
    <w:bookmarkEnd w:id="304"/>
    <w:bookmarkEnd w:id="305"/>
    <w:p>
      <w:pPr>
        <w:pageBreakBefore w:val="0"/>
        <w:kinsoku/>
        <w:wordWrap/>
        <w:overflowPunct/>
        <w:topLinePunct w:val="0"/>
        <w:autoSpaceDE/>
        <w:autoSpaceDN/>
        <w:bidi w:val="0"/>
        <w:adjustRightInd/>
        <w:snapToGrid/>
        <w:spacing w:line="500" w:lineRule="exact"/>
        <w:textAlignment w:val="auto"/>
        <w:outlineLvl w:val="0"/>
        <w:rPr>
          <w:rFonts w:hint="eastAsia" w:ascii="宋体" w:hAnsi="宋体" w:eastAsia="宋体" w:cs="宋体"/>
          <w:b/>
          <w:bCs/>
          <w:spacing w:val="4"/>
          <w:sz w:val="44"/>
          <w:szCs w:val="44"/>
        </w:rPr>
      </w:pPr>
      <w:bookmarkStart w:id="308" w:name="_Toc26533"/>
      <w:r>
        <w:rPr>
          <w:rFonts w:hint="eastAsia" w:ascii="宋体" w:hAnsi="宋体" w:eastAsia="宋体" w:cs="宋体"/>
          <w:b/>
          <w:bCs/>
          <w:spacing w:val="4"/>
          <w:sz w:val="28"/>
          <w:szCs w:val="28"/>
        </w:rPr>
        <w:t>附件四</w:t>
      </w:r>
      <w:bookmarkEnd w:id="308"/>
    </w:p>
    <w:p>
      <w:pPr>
        <w:pStyle w:val="79"/>
        <w:pageBreakBefore w:val="0"/>
        <w:kinsoku/>
        <w:wordWrap/>
        <w:overflowPunct/>
        <w:topLinePunct w:val="0"/>
        <w:autoSpaceDE/>
        <w:autoSpaceDN/>
        <w:bidi w:val="0"/>
        <w:adjustRightInd/>
        <w:snapToGrid/>
        <w:spacing w:before="0" w:line="500" w:lineRule="exact"/>
        <w:ind w:left="283"/>
        <w:jc w:val="center"/>
        <w:textAlignment w:val="auto"/>
        <w:rPr>
          <w:rFonts w:hint="eastAsia" w:ascii="宋体" w:hAnsi="宋体" w:eastAsia="宋体" w:cs="宋体"/>
          <w:b/>
          <w:bCs/>
          <w:color w:val="0000FF"/>
          <w:kern w:val="2"/>
          <w:sz w:val="44"/>
          <w:szCs w:val="44"/>
        </w:rPr>
      </w:pPr>
      <w:bookmarkStart w:id="309" w:name="_Toc38057909"/>
      <w:r>
        <w:rPr>
          <w:rFonts w:hint="eastAsia" w:ascii="宋体" w:hAnsi="宋体" w:eastAsia="宋体" w:cs="宋体"/>
          <w:b/>
          <w:bCs/>
          <w:color w:val="auto"/>
          <w:kern w:val="2"/>
          <w:sz w:val="44"/>
          <w:szCs w:val="44"/>
        </w:rPr>
        <w:t>资格证明文件</w:t>
      </w:r>
      <w:bookmarkEnd w:id="309"/>
    </w:p>
    <w:p>
      <w:pPr>
        <w:pStyle w:val="79"/>
        <w:pageBreakBefore w:val="0"/>
        <w:kinsoku/>
        <w:wordWrap/>
        <w:overflowPunct/>
        <w:topLinePunct w:val="0"/>
        <w:autoSpaceDE/>
        <w:autoSpaceDN/>
        <w:bidi w:val="0"/>
        <w:adjustRightInd/>
        <w:snapToGrid/>
        <w:spacing w:before="0" w:line="500" w:lineRule="exact"/>
        <w:ind w:left="283"/>
        <w:jc w:val="center"/>
        <w:textAlignment w:val="auto"/>
        <w:rPr>
          <w:rFonts w:hint="eastAsia" w:ascii="宋体" w:hAnsi="宋体" w:eastAsia="宋体" w:cs="宋体"/>
          <w:b/>
          <w:bCs/>
          <w:color w:val="0000FF"/>
          <w:kern w:val="2"/>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（1）具有有效的营业执照副本扫描件（三证合一）；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（2）法定代表人授权书及被委托人身份证（法定代表人投标提供法定代表人身份证明及身份证）；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（3）参加采购活动前三年内，在经营活动中无重大违法声明(受行政主管部门的处罚不能参加投标)；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（4）具备商物梁行业工程设计乙级及以上资质证书，商物梁行业工程咨询单位甲级资信证书，具有编制申报书评估报告经验，并在人员、设备等方面具有承担本项目的能力；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（6）供应商提供针对本次项目《反商业贿赂承诺书》；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rPr>
      </w:pPr>
      <w:r>
        <w:rPr>
          <w:rFonts w:hint="eastAsia" w:ascii="宋体" w:hAnsi="宋体" w:eastAsia="宋体" w:cs="宋体"/>
          <w:bCs/>
          <w:spacing w:val="4"/>
          <w:sz w:val="24"/>
          <w:szCs w:val="24"/>
        </w:rPr>
        <w:t>（8）本项目不接受联合体报名；</w:t>
      </w:r>
      <w:r>
        <w:rPr>
          <w:rFonts w:hint="eastAsia" w:ascii="宋体" w:hAnsi="宋体" w:eastAsia="宋体" w:cs="宋体"/>
          <w:bCs/>
          <w:spacing w:val="4"/>
          <w:sz w:val="24"/>
          <w:szCs w:val="24"/>
        </w:rPr>
        <w:br w:type="textWrapping"/>
      </w:r>
    </w:p>
    <w:p>
      <w:pPr>
        <w:pStyle w:val="5"/>
        <w:pageBreakBefore w:val="0"/>
        <w:numPr>
          <w:ilvl w:val="2"/>
          <w:numId w:val="0"/>
        </w:numPr>
        <w:wordWrap/>
        <w:bidi w:val="0"/>
        <w:spacing w:before="624" w:line="400" w:lineRule="exact"/>
        <w:ind w:left="840" w:leftChars="400" w:firstLine="498" w:firstLineChars="200"/>
        <w:jc w:val="both"/>
        <w:rPr>
          <w:rFonts w:hint="eastAsia" w:ascii="宋体" w:hAnsi="宋体" w:eastAsia="宋体" w:cs="宋体"/>
          <w:sz w:val="28"/>
          <w:szCs w:val="28"/>
        </w:rPr>
      </w:pPr>
      <w:r>
        <w:rPr>
          <w:rFonts w:hint="eastAsia" w:ascii="宋体" w:hAnsi="宋体" w:eastAsia="宋体" w:cs="宋体"/>
          <w:spacing w:val="4"/>
          <w:sz w:val="24"/>
          <w:szCs w:val="24"/>
        </w:rPr>
        <w:br w:type="page"/>
      </w:r>
      <w:bookmarkStart w:id="310" w:name="_Toc282530019"/>
      <w:bookmarkStart w:id="311" w:name="_Toc19169"/>
      <w:bookmarkStart w:id="312" w:name="_Toc4146"/>
      <w:bookmarkStart w:id="313" w:name="_Toc283035117"/>
      <w:bookmarkStart w:id="314" w:name="_Toc283035600"/>
      <w:bookmarkStart w:id="315" w:name="_Toc283035204"/>
      <w:bookmarkStart w:id="316" w:name="_Toc403077650"/>
      <w:bookmarkStart w:id="317" w:name="_Toc363474029"/>
      <w:bookmarkStart w:id="318" w:name="_Toc324414285"/>
    </w:p>
    <w:p>
      <w:pPr>
        <w:pStyle w:val="79"/>
        <w:pageBreakBefore w:val="0"/>
        <w:wordWrap/>
        <w:bidi w:val="0"/>
        <w:spacing w:before="0" w:line="400" w:lineRule="exact"/>
        <w:ind w:left="0"/>
        <w:jc w:val="both"/>
        <w:outlineLvl w:val="9"/>
        <w:rPr>
          <w:rFonts w:hint="eastAsia" w:ascii="宋体" w:hAnsi="宋体" w:eastAsia="宋体" w:cs="宋体"/>
          <w:szCs w:val="28"/>
        </w:rPr>
      </w:pPr>
    </w:p>
    <w:p>
      <w:pPr>
        <w:pStyle w:val="79"/>
        <w:pageBreakBefore w:val="0"/>
        <w:wordWrap/>
        <w:bidi w:val="0"/>
        <w:spacing w:before="0" w:line="400" w:lineRule="exact"/>
        <w:ind w:left="0"/>
        <w:jc w:val="both"/>
        <w:outlineLvl w:val="0"/>
        <w:rPr>
          <w:rFonts w:hint="eastAsia" w:ascii="宋体" w:hAnsi="宋体" w:eastAsia="宋体" w:cs="宋体"/>
          <w:b/>
          <w:bCs/>
          <w:spacing w:val="4"/>
          <w:kern w:val="2"/>
          <w:sz w:val="32"/>
          <w:szCs w:val="32"/>
          <w:lang w:eastAsia="zh-CN"/>
        </w:rPr>
      </w:pPr>
      <w:bookmarkStart w:id="319" w:name="_Toc23168"/>
      <w:bookmarkStart w:id="320" w:name="_Toc38057911"/>
      <w:r>
        <w:rPr>
          <w:rFonts w:hint="eastAsia" w:ascii="宋体" w:hAnsi="宋体" w:eastAsia="宋体" w:cs="宋体"/>
          <w:b/>
          <w:bCs/>
          <w:spacing w:val="4"/>
          <w:kern w:val="2"/>
          <w:szCs w:val="28"/>
        </w:rPr>
        <w:t>附件</w:t>
      </w:r>
      <w:bookmarkEnd w:id="319"/>
      <w:bookmarkEnd w:id="320"/>
      <w:r>
        <w:rPr>
          <w:rFonts w:hint="eastAsia" w:ascii="宋体" w:hAnsi="宋体" w:eastAsia="宋体" w:cs="宋体"/>
          <w:b/>
          <w:bCs/>
          <w:spacing w:val="4"/>
          <w:kern w:val="2"/>
          <w:szCs w:val="28"/>
          <w:lang w:eastAsia="zh-CN"/>
        </w:rPr>
        <w:t>五</w:t>
      </w:r>
    </w:p>
    <w:p>
      <w:pPr>
        <w:pStyle w:val="79"/>
        <w:pageBreakBefore w:val="0"/>
        <w:wordWrap/>
        <w:bidi w:val="0"/>
        <w:spacing w:before="0" w:line="400" w:lineRule="exact"/>
        <w:ind w:left="283"/>
        <w:jc w:val="center"/>
        <w:rPr>
          <w:rFonts w:hint="eastAsia" w:ascii="宋体" w:hAnsi="宋体" w:eastAsia="宋体" w:cs="宋体"/>
          <w:b/>
          <w:bCs/>
          <w:spacing w:val="4"/>
          <w:sz w:val="32"/>
          <w:szCs w:val="32"/>
        </w:rPr>
      </w:pPr>
      <w:bookmarkStart w:id="321" w:name="_Toc38057912"/>
      <w:r>
        <w:rPr>
          <w:rFonts w:hint="eastAsia" w:ascii="宋体" w:hAnsi="宋体" w:eastAsia="宋体" w:cs="宋体"/>
          <w:b/>
          <w:bCs/>
          <w:spacing w:val="4"/>
          <w:sz w:val="32"/>
          <w:szCs w:val="32"/>
        </w:rPr>
        <w:t>服务计划</w:t>
      </w:r>
      <w:bookmarkEnd w:id="321"/>
    </w:p>
    <w:p>
      <w:pPr>
        <w:pStyle w:val="79"/>
        <w:pageBreakBefore w:val="0"/>
        <w:wordWrap/>
        <w:bidi w:val="0"/>
        <w:spacing w:before="0" w:line="400" w:lineRule="exact"/>
        <w:ind w:left="283" w:firstLine="576" w:firstLineChars="200"/>
        <w:jc w:val="both"/>
        <w:outlineLvl w:val="9"/>
        <w:rPr>
          <w:rFonts w:hint="eastAsia" w:ascii="宋体" w:hAnsi="宋体" w:eastAsia="宋体" w:cs="宋体"/>
          <w:spacing w:val="4"/>
          <w:szCs w:val="28"/>
        </w:rPr>
      </w:pPr>
    </w:p>
    <w:p>
      <w:pPr>
        <w:pStyle w:val="79"/>
        <w:keepNext/>
        <w:keepLines/>
        <w:pageBreakBefore w:val="0"/>
        <w:widowControl/>
        <w:kinsoku/>
        <w:wordWrap/>
        <w:overflowPunct/>
        <w:topLinePunct w:val="0"/>
        <w:autoSpaceDE/>
        <w:autoSpaceDN/>
        <w:bidi w:val="0"/>
        <w:adjustRightInd/>
        <w:snapToGrid/>
        <w:spacing w:before="0" w:line="600" w:lineRule="exact"/>
        <w:ind w:left="283" w:firstLine="578" w:firstLineChars="200"/>
        <w:jc w:val="both"/>
        <w:textAlignment w:val="auto"/>
        <w:rPr>
          <w:rFonts w:hint="eastAsia" w:ascii="宋体" w:hAnsi="宋体" w:eastAsia="宋体" w:cs="宋体"/>
          <w:b/>
          <w:bCs/>
          <w:spacing w:val="4"/>
          <w:szCs w:val="28"/>
        </w:rPr>
      </w:pPr>
      <w:bookmarkStart w:id="322" w:name="_Toc38057913"/>
      <w:r>
        <w:rPr>
          <w:rFonts w:hint="eastAsia" w:ascii="宋体" w:hAnsi="宋体" w:eastAsia="宋体" w:cs="宋体"/>
          <w:b/>
          <w:bCs/>
          <w:spacing w:val="4"/>
          <w:szCs w:val="28"/>
        </w:rPr>
        <w:t>总体服务方案，包</w:t>
      </w:r>
      <w:r>
        <w:rPr>
          <w:rFonts w:hint="eastAsia" w:ascii="宋体" w:hAnsi="宋体" w:cs="宋体"/>
          <w:b/>
          <w:bCs/>
          <w:spacing w:val="4"/>
          <w:szCs w:val="28"/>
          <w:lang w:eastAsia="zh-CN"/>
        </w:rPr>
        <w:t>括</w:t>
      </w:r>
      <w:r>
        <w:rPr>
          <w:rFonts w:hint="eastAsia" w:ascii="宋体" w:hAnsi="宋体" w:eastAsia="宋体" w:cs="宋体"/>
          <w:b/>
          <w:bCs/>
          <w:spacing w:val="4"/>
          <w:szCs w:val="28"/>
        </w:rPr>
        <w:t>对</w:t>
      </w:r>
      <w:r>
        <w:rPr>
          <w:rFonts w:hint="eastAsia" w:ascii="宋体" w:hAnsi="宋体" w:cs="宋体"/>
          <w:b/>
          <w:bCs/>
          <w:spacing w:val="4"/>
          <w:szCs w:val="28"/>
          <w:lang w:eastAsia="zh-CN"/>
        </w:rPr>
        <w:t>项目</w:t>
      </w:r>
      <w:r>
        <w:rPr>
          <w:rFonts w:hint="eastAsia" w:ascii="宋体" w:hAnsi="宋体" w:eastAsia="宋体" w:cs="宋体"/>
          <w:b/>
          <w:bCs/>
          <w:spacing w:val="4"/>
          <w:szCs w:val="28"/>
        </w:rPr>
        <w:t>需求的理解及响应程度、服务内容、服务流程、管理服务架构、方法及人员档案/薪资管理等方案、客户服务及关系维护方案（含劳动争议处理、风险防范、增值服务等）等。</w:t>
      </w:r>
      <w:bookmarkEnd w:id="322"/>
    </w:p>
    <w:p>
      <w:pPr>
        <w:pStyle w:val="79"/>
        <w:keepNext/>
        <w:keepLines/>
        <w:pageBreakBefore w:val="0"/>
        <w:widowControl/>
        <w:kinsoku/>
        <w:wordWrap/>
        <w:overflowPunct/>
        <w:topLinePunct w:val="0"/>
        <w:autoSpaceDE/>
        <w:autoSpaceDN/>
        <w:bidi w:val="0"/>
        <w:adjustRightInd/>
        <w:snapToGrid/>
        <w:spacing w:before="0" w:line="600" w:lineRule="exact"/>
        <w:ind w:left="283"/>
        <w:jc w:val="both"/>
        <w:textAlignment w:val="auto"/>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bookmarkEnd w:id="310"/>
    <w:bookmarkEnd w:id="311"/>
    <w:bookmarkEnd w:id="312"/>
    <w:bookmarkEnd w:id="313"/>
    <w:bookmarkEnd w:id="314"/>
    <w:bookmarkEnd w:id="315"/>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bookmarkStart w:id="323" w:name="_Toc30965"/>
      <w:bookmarkStart w:id="324" w:name="_Toc38057914"/>
      <w:r>
        <w:rPr>
          <w:rFonts w:hint="eastAsia" w:ascii="宋体" w:hAnsi="宋体" w:eastAsia="宋体" w:cs="宋体"/>
          <w:spacing w:val="4"/>
          <w:sz w:val="28"/>
          <w:szCs w:val="28"/>
        </w:rPr>
        <w:t>附件</w:t>
      </w:r>
      <w:bookmarkEnd w:id="323"/>
      <w:bookmarkEnd w:id="324"/>
      <w:r>
        <w:rPr>
          <w:rFonts w:hint="eastAsia" w:ascii="宋体" w:hAnsi="宋体" w:eastAsia="宋体" w:cs="宋体"/>
          <w:spacing w:val="4"/>
          <w:sz w:val="28"/>
          <w:szCs w:val="28"/>
          <w:lang w:eastAsia="zh-CN"/>
        </w:rPr>
        <w:t>六</w:t>
      </w:r>
    </w:p>
    <w:p>
      <w:pPr>
        <w:pStyle w:val="5"/>
        <w:keepLines w:val="0"/>
        <w:pageBreakBefore w:val="0"/>
        <w:numPr>
          <w:ilvl w:val="0"/>
          <w:numId w:val="0"/>
        </w:numPr>
        <w:wordWrap/>
        <w:bidi w:val="0"/>
        <w:adjustRightInd/>
        <w:spacing w:before="0" w:line="400" w:lineRule="exact"/>
        <w:jc w:val="center"/>
        <w:textAlignment w:val="auto"/>
        <w:rPr>
          <w:rFonts w:hint="eastAsia" w:ascii="宋体" w:hAnsi="宋体" w:eastAsia="宋体" w:cs="宋体"/>
          <w:spacing w:val="4"/>
          <w:sz w:val="28"/>
          <w:szCs w:val="28"/>
        </w:rPr>
      </w:pPr>
      <w:bookmarkStart w:id="325" w:name="_Toc38057915"/>
      <w:r>
        <w:rPr>
          <w:rFonts w:hint="eastAsia" w:ascii="宋体" w:hAnsi="宋体" w:eastAsia="宋体" w:cs="宋体"/>
          <w:spacing w:val="4"/>
          <w:sz w:val="28"/>
          <w:szCs w:val="28"/>
        </w:rPr>
        <w:t>拟投入项目人员一览表（表格格式自拟）</w:t>
      </w:r>
      <w:bookmarkEnd w:id="325"/>
    </w:p>
    <w:tbl>
      <w:tblPr>
        <w:tblStyle w:val="35"/>
        <w:tblW w:w="9039" w:type="dxa"/>
        <w:tblInd w:w="0" w:type="dxa"/>
        <w:tblLayout w:type="fixed"/>
        <w:tblCellMar>
          <w:top w:w="0" w:type="dxa"/>
          <w:left w:w="0" w:type="dxa"/>
          <w:bottom w:w="0" w:type="dxa"/>
          <w:right w:w="0" w:type="dxa"/>
        </w:tblCellMar>
      </w:tblPr>
      <w:tblGrid>
        <w:gridCol w:w="1092"/>
        <w:gridCol w:w="1035"/>
        <w:gridCol w:w="958"/>
        <w:gridCol w:w="176"/>
        <w:gridCol w:w="675"/>
        <w:gridCol w:w="591"/>
        <w:gridCol w:w="9"/>
        <w:gridCol w:w="1101"/>
        <w:gridCol w:w="1701"/>
        <w:gridCol w:w="1701"/>
      </w:tblGrid>
      <w:tr>
        <w:tblPrEx>
          <w:tblCellMar>
            <w:top w:w="0" w:type="dxa"/>
            <w:left w:w="0" w:type="dxa"/>
            <w:bottom w:w="0" w:type="dxa"/>
            <w:right w:w="0" w:type="dxa"/>
          </w:tblCellMar>
        </w:tblPrEx>
        <w:trPr>
          <w:trHeight w:val="249"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姓  名</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年  龄</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学历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职  称</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职  务</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拟在本项目任职</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2127"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执业资格类别及等级</w:t>
            </w:r>
          </w:p>
        </w:tc>
        <w:tc>
          <w:tcPr>
            <w:tcW w:w="2400" w:type="dxa"/>
            <w:gridSpan w:val="4"/>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总工作年限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2" w:hRule="atLeast"/>
        </w:trPr>
        <w:tc>
          <w:tcPr>
            <w:tcW w:w="212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400" w:type="dxa"/>
            <w:gridSpan w:val="4"/>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担任与本项目类似岗位的工作年限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毕业</w:t>
            </w:r>
          </w:p>
          <w:p>
            <w:pPr>
              <w:pageBreakBefore w:val="0"/>
              <w:wordWrap/>
              <w:bidi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学校</w:t>
            </w:r>
          </w:p>
        </w:tc>
        <w:tc>
          <w:tcPr>
            <w:tcW w:w="794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rPr>
                <w:rFonts w:hint="eastAsia" w:ascii="宋体" w:hAnsi="宋体" w:eastAsia="宋体" w:cs="宋体"/>
                <w:sz w:val="28"/>
                <w:szCs w:val="28"/>
              </w:rPr>
            </w:pPr>
            <w:r>
              <w:rPr>
                <w:rFonts w:hint="eastAsia" w:ascii="宋体" w:hAnsi="宋体" w:eastAsia="宋体" w:cs="宋体"/>
                <w:sz w:val="28"/>
                <w:szCs w:val="28"/>
              </w:rPr>
              <w:t>年毕业于                  学校            专业</w:t>
            </w:r>
          </w:p>
        </w:tc>
      </w:tr>
      <w:tr>
        <w:tblPrEx>
          <w:tblCellMar>
            <w:top w:w="0" w:type="dxa"/>
            <w:left w:w="0" w:type="dxa"/>
            <w:bottom w:w="0" w:type="dxa"/>
            <w:right w:w="0" w:type="dxa"/>
          </w:tblCellMar>
        </w:tblPrEx>
        <w:trPr>
          <w:trHeight w:val="454" w:hRule="atLeast"/>
        </w:trPr>
        <w:tc>
          <w:tcPr>
            <w:tcW w:w="9039"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主要工作经历</w:t>
            </w: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时  间</w:t>
            </w:r>
          </w:p>
        </w:tc>
        <w:tc>
          <w:tcPr>
            <w:tcW w:w="284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参加过的类似项目名称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项目概况说明</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合同金额</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业主及联系电话</w:t>
            </w: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bl>
    <w:p>
      <w:pPr>
        <w:keepNext/>
        <w:keepLines/>
        <w:pageBreakBefore w:val="0"/>
        <w:wordWrap/>
        <w:bidi w:val="0"/>
        <w:spacing w:before="260" w:after="260" w:line="4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投入本项目的主要管理、技术人员等相关人员学历、职称、专业、类似项目经验等情况说明。标书中必须附有身份证、毕业证书、职称证书以及本公司为其缴纳的近期6个月社保证明材料。</w:t>
      </w:r>
    </w:p>
    <w:p>
      <w:pPr>
        <w:pStyle w:val="2"/>
        <w:rPr>
          <w:rFonts w:hint="eastAsia"/>
        </w:rPr>
      </w:pPr>
    </w:p>
    <w:p>
      <w:pPr>
        <w:pageBreakBefore w:val="0"/>
        <w:wordWrap/>
        <w:bidi w:val="0"/>
        <w:spacing w:line="400" w:lineRule="exact"/>
        <w:rPr>
          <w:rFonts w:hint="eastAsia" w:ascii="宋体" w:hAnsi="宋体" w:eastAsia="宋体" w:cs="宋体"/>
          <w:spacing w:val="4"/>
          <w:sz w:val="28"/>
          <w:szCs w:val="28"/>
        </w:rPr>
      </w:pPr>
      <w:bookmarkStart w:id="326" w:name="_Toc38057916"/>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bookmarkStart w:id="327" w:name="_Toc2507"/>
      <w:r>
        <w:rPr>
          <w:rFonts w:hint="eastAsia" w:ascii="宋体" w:hAnsi="宋体" w:eastAsia="宋体" w:cs="宋体"/>
          <w:spacing w:val="4"/>
          <w:sz w:val="28"/>
          <w:szCs w:val="28"/>
        </w:rPr>
        <w:t>附件</w:t>
      </w:r>
      <w:bookmarkEnd w:id="326"/>
      <w:bookmarkEnd w:id="327"/>
      <w:r>
        <w:rPr>
          <w:rFonts w:hint="eastAsia" w:ascii="宋体" w:hAnsi="宋体" w:eastAsia="宋体" w:cs="宋体"/>
          <w:spacing w:val="4"/>
          <w:sz w:val="28"/>
          <w:szCs w:val="28"/>
          <w:lang w:eastAsia="zh-CN"/>
        </w:rPr>
        <w:t>七</w:t>
      </w:r>
    </w:p>
    <w:p>
      <w:pPr>
        <w:pageBreakBefore w:val="0"/>
        <w:wordWrap/>
        <w:bidi w:val="0"/>
        <w:spacing w:before="100" w:beforeAutospacing="1" w:after="100" w:afterAutospacing="1" w:line="400" w:lineRule="exact"/>
        <w:jc w:val="center"/>
        <w:rPr>
          <w:rFonts w:hint="eastAsia" w:ascii="宋体" w:hAnsi="宋体" w:eastAsia="宋体" w:cs="宋体"/>
          <w:b/>
          <w:sz w:val="28"/>
          <w:szCs w:val="28"/>
        </w:rPr>
      </w:pPr>
      <w:r>
        <w:rPr>
          <w:rFonts w:hint="eastAsia" w:ascii="宋体" w:hAnsi="宋体" w:eastAsia="宋体" w:cs="宋体"/>
          <w:b/>
          <w:sz w:val="28"/>
          <w:szCs w:val="28"/>
        </w:rPr>
        <w:t>同类项目业绩一览表（表格格式自拟）</w:t>
      </w:r>
    </w:p>
    <w:p>
      <w:pPr>
        <w:pageBreakBefore w:val="0"/>
        <w:wordWrap/>
        <w:bidi w:val="0"/>
        <w:spacing w:before="100" w:beforeAutospacing="1" w:after="100" w:afterAutospacing="1"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供应商名称：（公章）</w:t>
      </w: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法定代表人或报价人全权代表：（签字或印章）</w:t>
      </w: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日  期：    年  月  日</w:t>
      </w:r>
    </w:p>
    <w:p>
      <w:pPr>
        <w:pageBreakBefore w:val="0"/>
        <w:wordWrap/>
        <w:topLinePunct/>
        <w:bidi w:val="0"/>
        <w:spacing w:line="400" w:lineRule="exact"/>
        <w:rPr>
          <w:rFonts w:hint="eastAsia" w:ascii="宋体" w:hAnsi="宋体" w:eastAsia="宋体" w:cs="宋体"/>
          <w:sz w:val="28"/>
          <w:szCs w:val="28"/>
        </w:rPr>
      </w:pPr>
      <w:bookmarkStart w:id="328" w:name="_bookmark22"/>
      <w:bookmarkEnd w:id="328"/>
    </w:p>
    <w:p>
      <w:pPr>
        <w:pageBreakBefore w:val="0"/>
        <w:wordWrap/>
        <w:topLinePunct/>
        <w:bidi w:val="0"/>
        <w:spacing w:line="400" w:lineRule="exact"/>
        <w:rPr>
          <w:rFonts w:hint="eastAsia" w:ascii="宋体" w:hAnsi="宋体" w:eastAsia="宋体" w:cs="宋体"/>
          <w:sz w:val="28"/>
          <w:szCs w:val="28"/>
        </w:rPr>
      </w:pPr>
    </w:p>
    <w:p>
      <w:pPr>
        <w:keepNext/>
        <w:keepLines/>
        <w:pageBreakBefore w:val="0"/>
        <w:wordWrap/>
        <w:bidi w:val="0"/>
        <w:spacing w:before="260" w:after="260" w:line="400" w:lineRule="exact"/>
        <w:rPr>
          <w:rFonts w:hint="eastAsia" w:ascii="宋体" w:hAnsi="宋体" w:eastAsia="宋体" w:cs="宋体"/>
          <w:b/>
          <w:sz w:val="28"/>
          <w:szCs w:val="28"/>
        </w:rPr>
      </w:pPr>
    </w:p>
    <w:p>
      <w:pPr>
        <w:keepNext/>
        <w:keepLines/>
        <w:pageBreakBefore w:val="0"/>
        <w:wordWrap/>
        <w:bidi w:val="0"/>
        <w:spacing w:before="260" w:after="260"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rPr>
      </w:pPr>
      <w:bookmarkStart w:id="329" w:name="_Toc38057917"/>
      <w:bookmarkStart w:id="330" w:name="_Toc16599"/>
    </w:p>
    <w:p>
      <w:pPr>
        <w:pageBreakBefore w:val="0"/>
        <w:wordWrap/>
        <w:bidi w:val="0"/>
        <w:spacing w:line="400" w:lineRule="exact"/>
        <w:rPr>
          <w:rFonts w:hint="eastAsia" w:ascii="宋体" w:hAnsi="宋体" w:eastAsia="宋体" w:cs="宋体"/>
          <w:spacing w:val="4"/>
          <w:sz w:val="28"/>
          <w:szCs w:val="28"/>
        </w:rPr>
      </w:pPr>
      <w:r>
        <w:rPr>
          <w:rFonts w:hint="eastAsia" w:ascii="宋体" w:hAnsi="宋体" w:eastAsia="宋体" w:cs="宋体"/>
          <w:spacing w:val="4"/>
          <w:sz w:val="28"/>
          <w:szCs w:val="28"/>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w:t>
      </w:r>
      <w:bookmarkEnd w:id="329"/>
      <w:bookmarkEnd w:id="330"/>
      <w:r>
        <w:rPr>
          <w:rFonts w:hint="eastAsia" w:ascii="宋体" w:hAnsi="宋体" w:eastAsia="宋体" w:cs="宋体"/>
          <w:spacing w:val="4"/>
          <w:sz w:val="28"/>
          <w:szCs w:val="28"/>
          <w:lang w:eastAsia="zh-CN"/>
        </w:rPr>
        <w:t>八</w:t>
      </w: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bookmarkStart w:id="331" w:name="_Toc38057918"/>
      <w:r>
        <w:rPr>
          <w:rFonts w:hint="eastAsia" w:ascii="宋体" w:hAnsi="宋体" w:eastAsia="宋体" w:cs="宋体"/>
          <w:b/>
          <w:bCs/>
          <w:sz w:val="30"/>
          <w:szCs w:val="30"/>
        </w:rPr>
        <w:t>商务条款偏离表</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tbl>
      <w:tblPr>
        <w:tblStyle w:val="3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256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竞争性磋商采购文件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商务条款</w:t>
            </w:r>
          </w:p>
        </w:tc>
        <w:tc>
          <w:tcPr>
            <w:tcW w:w="2160"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响应文件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商务条款</w:t>
            </w:r>
          </w:p>
        </w:tc>
        <w:tc>
          <w:tcPr>
            <w:tcW w:w="2490"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bl>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注：供应商按此表格式列出不影响投标实质性响应的商务偏差，没有说明的其他条款将被认为完全满足竞争性磋商采购文件的规定。</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供应商（盖章）：</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 年  月  日</w:t>
      </w:r>
    </w:p>
    <w:p>
      <w:pPr>
        <w:pageBreakBefore w:val="0"/>
        <w:wordWrap/>
        <w:bidi w:val="0"/>
        <w:spacing w:line="400" w:lineRule="exact"/>
        <w:rPr>
          <w:rFonts w:hint="eastAsia" w:ascii="宋体" w:hAnsi="宋体" w:eastAsia="宋体" w:cs="宋体"/>
          <w:b/>
          <w:bCs/>
          <w:sz w:val="30"/>
          <w:szCs w:val="30"/>
        </w:rPr>
      </w:pPr>
      <w:r>
        <w:rPr>
          <w:rFonts w:hint="eastAsia" w:ascii="宋体" w:hAnsi="宋体" w:eastAsia="宋体" w:cs="宋体"/>
          <w:b/>
          <w:bCs/>
          <w:sz w:val="30"/>
          <w:szCs w:val="30"/>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九</w:t>
      </w: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r>
        <w:rPr>
          <w:rFonts w:hint="eastAsia" w:ascii="宋体" w:hAnsi="宋体" w:eastAsia="宋体" w:cs="宋体"/>
          <w:b/>
          <w:bCs/>
          <w:sz w:val="30"/>
          <w:szCs w:val="30"/>
        </w:rPr>
        <w:t>技术条款响应偏离表</w:t>
      </w:r>
    </w:p>
    <w:p>
      <w:pPr>
        <w:pStyle w:val="2"/>
        <w:rPr>
          <w:rFonts w:hint="eastAsia"/>
        </w:rPr>
      </w:pPr>
    </w:p>
    <w:tbl>
      <w:tblPr>
        <w:tblStyle w:val="3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2961"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竞争性磋商采购文件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技术条款</w:t>
            </w:r>
          </w:p>
        </w:tc>
        <w:tc>
          <w:tcPr>
            <w:tcW w:w="208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响应文件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技术条款</w:t>
            </w:r>
          </w:p>
        </w:tc>
        <w:tc>
          <w:tcPr>
            <w:tcW w:w="244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bl>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color w:val="FF0000"/>
          <w:sz w:val="24"/>
        </w:rPr>
      </w:pPr>
      <w:r>
        <w:rPr>
          <w:rFonts w:hint="eastAsia" w:ascii="宋体" w:hAnsi="宋体" w:eastAsia="宋体" w:cs="宋体"/>
          <w:sz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3、没有说明的其他条款将被认为完全满足本招标项目技术条款要求。</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4、各供应商按此表格式自行填写，表格不够时可自行添加。</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供应商 （盖章）：</w:t>
      </w:r>
    </w:p>
    <w:p>
      <w:pPr>
        <w:keepNext w:val="0"/>
        <w:keepLines w:val="0"/>
        <w:pageBreakBefore w:val="0"/>
        <w:widowControl w:val="0"/>
        <w:kinsoku/>
        <w:wordWrap/>
        <w:overflowPunct/>
        <w:topLinePunct w:val="0"/>
        <w:bidi w:val="0"/>
        <w:snapToGrid/>
        <w:spacing w:line="500" w:lineRule="exact"/>
        <w:rPr>
          <w:rFonts w:hint="eastAsia" w:ascii="宋体" w:hAnsi="宋体" w:eastAsia="宋体" w:cs="宋体"/>
          <w:spacing w:val="4"/>
          <w:sz w:val="28"/>
          <w:szCs w:val="28"/>
        </w:rPr>
      </w:pPr>
      <w:r>
        <w:rPr>
          <w:rFonts w:hint="eastAsia" w:ascii="宋体" w:hAnsi="宋体" w:eastAsia="宋体" w:cs="宋体"/>
          <w:spacing w:val="4"/>
          <w:sz w:val="28"/>
          <w:szCs w:val="28"/>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rPr>
      </w:pPr>
      <w:bookmarkStart w:id="332" w:name="_Toc32439"/>
      <w:r>
        <w:rPr>
          <w:rFonts w:hint="eastAsia" w:ascii="宋体" w:hAnsi="宋体" w:eastAsia="宋体" w:cs="宋体"/>
          <w:spacing w:val="4"/>
          <w:sz w:val="28"/>
          <w:szCs w:val="28"/>
        </w:rPr>
        <w:t>附件十</w:t>
      </w:r>
    </w:p>
    <w:p>
      <w:pPr>
        <w:pageBreakBefore w:val="0"/>
        <w:tabs>
          <w:tab w:val="left" w:pos="3300"/>
          <w:tab w:val="center" w:pos="4851"/>
        </w:tabs>
        <w:wordWrap/>
        <w:autoSpaceDE w:val="0"/>
        <w:autoSpaceDN w:val="0"/>
        <w:bidi w:val="0"/>
        <w:adjustRightInd w:val="0"/>
        <w:spacing w:before="50" w:line="400" w:lineRule="exact"/>
        <w:ind w:firstLine="602" w:firstLineChars="200"/>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rPr>
        <w:t>报价单位（供应商）反商业贿赂承诺书</w:t>
      </w:r>
      <w:bookmarkEnd w:id="332"/>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720" w:firstLineChars="300"/>
        <w:textAlignment w:val="baseline"/>
        <w:rPr>
          <w:rFonts w:hint="eastAsia" w:ascii="宋体" w:hAnsi="宋体" w:eastAsia="宋体" w:cs="宋体"/>
          <w:sz w:val="24"/>
        </w:rPr>
      </w:pPr>
      <w:r>
        <w:rPr>
          <w:rFonts w:hint="eastAsia" w:ascii="宋体" w:hAnsi="宋体" w:eastAsia="宋体" w:cs="宋体"/>
          <w:sz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公司法人代表（或报价人）：（签字盖章）</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授权委托人：</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                                   日  期：   年   月   日</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bidi w:val="0"/>
        <w:spacing w:line="400" w:lineRule="exact"/>
        <w:rPr>
          <w:rFonts w:hint="eastAsia" w:ascii="宋体" w:hAnsi="宋体" w:eastAsia="宋体" w:cs="宋体"/>
          <w:spacing w:val="4"/>
          <w:sz w:val="28"/>
          <w:szCs w:val="28"/>
        </w:rPr>
      </w:pPr>
      <w:r>
        <w:rPr>
          <w:rFonts w:hint="eastAsia" w:ascii="宋体" w:hAnsi="宋体" w:eastAsia="宋体" w:cs="宋体"/>
          <w:sz w:val="24"/>
        </w:rPr>
        <w:br w:type="page"/>
      </w:r>
    </w:p>
    <w:p>
      <w:pPr>
        <w:pStyle w:val="5"/>
        <w:keepLines w:val="0"/>
        <w:pageBreakBefore w:val="0"/>
        <w:numPr>
          <w:ilvl w:val="0"/>
          <w:numId w:val="0"/>
        </w:numPr>
        <w:wordWrap/>
        <w:bidi w:val="0"/>
        <w:adjustRightInd/>
        <w:spacing w:before="0" w:line="400" w:lineRule="exact"/>
        <w:ind w:left="142"/>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附件十</w:t>
      </w:r>
      <w:r>
        <w:rPr>
          <w:rFonts w:hint="eastAsia" w:ascii="宋体" w:hAnsi="宋体" w:eastAsia="宋体" w:cs="宋体"/>
          <w:spacing w:val="4"/>
          <w:sz w:val="28"/>
          <w:szCs w:val="28"/>
          <w:lang w:eastAsia="zh-CN"/>
        </w:rPr>
        <w:t>一</w:t>
      </w:r>
    </w:p>
    <w:p>
      <w:pPr>
        <w:pStyle w:val="5"/>
        <w:keepLines w:val="0"/>
        <w:pageBreakBefore w:val="0"/>
        <w:numPr>
          <w:ilvl w:val="0"/>
          <w:numId w:val="0"/>
        </w:numPr>
        <w:wordWrap/>
        <w:bidi w:val="0"/>
        <w:adjustRightInd/>
        <w:spacing w:before="0" w:line="400" w:lineRule="exact"/>
        <w:ind w:left="142"/>
        <w:jc w:val="both"/>
        <w:textAlignment w:val="auto"/>
        <w:rPr>
          <w:rFonts w:hint="eastAsia" w:ascii="宋体" w:hAnsi="宋体" w:eastAsia="宋体" w:cs="宋体"/>
          <w:sz w:val="28"/>
          <w:szCs w:val="28"/>
        </w:rPr>
      </w:pPr>
      <w:r>
        <w:rPr>
          <w:rFonts w:hint="eastAsia" w:ascii="宋体" w:hAnsi="宋体" w:eastAsia="宋体" w:cs="宋体"/>
          <w:spacing w:val="4"/>
          <w:sz w:val="28"/>
          <w:szCs w:val="28"/>
        </w:rPr>
        <w:t>磋商文件中所要求的其他内容及报价单位认为适宜的其它资料</w:t>
      </w:r>
      <w:bookmarkEnd w:id="331"/>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bookmarkEnd w:id="302"/>
    <w:bookmarkEnd w:id="316"/>
    <w:bookmarkEnd w:id="317"/>
    <w:bookmarkEnd w:id="318"/>
    <w:p>
      <w:pPr>
        <w:pageBreakBefore w:val="0"/>
        <w:wordWrap/>
        <w:bidi w:val="0"/>
        <w:spacing w:line="400" w:lineRule="exact"/>
        <w:ind w:right="640"/>
        <w:rPr>
          <w:rFonts w:hint="eastAsia" w:ascii="宋体" w:hAnsi="宋体" w:eastAsia="宋体" w:cs="宋体"/>
          <w:sz w:val="28"/>
          <w:szCs w:val="28"/>
        </w:rPr>
      </w:pPr>
    </w:p>
    <w:p>
      <w:pPr>
        <w:pStyle w:val="3"/>
        <w:pageBreakBefore w:val="0"/>
        <w:wordWrap/>
        <w:bidi w:val="0"/>
        <w:spacing w:line="400" w:lineRule="exact"/>
        <w:jc w:val="both"/>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rPr>
      </w:pPr>
    </w:p>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Noto Sans Mono CJK JP Regular">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w:t>
                    </w:r>
                    <w:r>
                      <w:fldChar w:fldCharType="end"/>
                    </w:r>
                  </w:p>
                </w:txbxContent>
              </v:textbox>
            </v:shape>
          </w:pict>
        </mc:Fallback>
      </mc:AlternateContent>
    </w:r>
  </w:p>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20C8"/>
    <w:multiLevelType w:val="singleLevel"/>
    <w:tmpl w:val="A3C920C8"/>
    <w:lvl w:ilvl="0" w:tentative="0">
      <w:start w:val="1"/>
      <w:numFmt w:val="decimal"/>
      <w:suff w:val="nothing"/>
      <w:lvlText w:val="%1、"/>
      <w:lvlJc w:val="left"/>
      <w:pPr>
        <w:ind w:left="210"/>
      </w:pPr>
    </w:lvl>
  </w:abstractNum>
  <w:abstractNum w:abstractNumId="1">
    <w:nsid w:val="DC135475"/>
    <w:multiLevelType w:val="singleLevel"/>
    <w:tmpl w:val="DC135475"/>
    <w:lvl w:ilvl="0" w:tentative="0">
      <w:start w:val="2"/>
      <w:numFmt w:val="chineseCounting"/>
      <w:suff w:val="space"/>
      <w:lvlText w:val="第%1部分"/>
      <w:lvlJc w:val="left"/>
      <w:rPr>
        <w:rFonts w:hint="eastAsia"/>
      </w:rPr>
    </w:lvl>
  </w:abstractNum>
  <w:abstractNum w:abstractNumId="2">
    <w:nsid w:val="2492E93B"/>
    <w:multiLevelType w:val="singleLevel"/>
    <w:tmpl w:val="2492E93B"/>
    <w:lvl w:ilvl="0" w:tentative="0">
      <w:start w:val="2"/>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5">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6">
    <w:nsid w:val="656D6133"/>
    <w:multiLevelType w:val="multilevel"/>
    <w:tmpl w:val="656D6133"/>
    <w:lvl w:ilvl="0" w:tentative="0">
      <w:start w:val="1"/>
      <w:numFmt w:val="chineseCountingThousand"/>
      <w:pStyle w:val="72"/>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14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25"/>
    <w:rsid w:val="00000190"/>
    <w:rsid w:val="00000957"/>
    <w:rsid w:val="00000BEF"/>
    <w:rsid w:val="00000ED2"/>
    <w:rsid w:val="000010F1"/>
    <w:rsid w:val="0000114B"/>
    <w:rsid w:val="00001698"/>
    <w:rsid w:val="0000190B"/>
    <w:rsid w:val="00002342"/>
    <w:rsid w:val="000025A4"/>
    <w:rsid w:val="000026A6"/>
    <w:rsid w:val="00002AA1"/>
    <w:rsid w:val="00002FB0"/>
    <w:rsid w:val="00003089"/>
    <w:rsid w:val="00003815"/>
    <w:rsid w:val="00003816"/>
    <w:rsid w:val="00003BA8"/>
    <w:rsid w:val="00003F79"/>
    <w:rsid w:val="00004331"/>
    <w:rsid w:val="00004665"/>
    <w:rsid w:val="0000515F"/>
    <w:rsid w:val="0000563C"/>
    <w:rsid w:val="00005836"/>
    <w:rsid w:val="00005908"/>
    <w:rsid w:val="00005B0D"/>
    <w:rsid w:val="00005B26"/>
    <w:rsid w:val="0000656F"/>
    <w:rsid w:val="00006A6F"/>
    <w:rsid w:val="00006E41"/>
    <w:rsid w:val="00006E7E"/>
    <w:rsid w:val="000076B3"/>
    <w:rsid w:val="000100D9"/>
    <w:rsid w:val="00010411"/>
    <w:rsid w:val="00010A45"/>
    <w:rsid w:val="00010DA8"/>
    <w:rsid w:val="0001266D"/>
    <w:rsid w:val="00012ECB"/>
    <w:rsid w:val="00013287"/>
    <w:rsid w:val="00013304"/>
    <w:rsid w:val="000138A8"/>
    <w:rsid w:val="00013B4A"/>
    <w:rsid w:val="00014DC2"/>
    <w:rsid w:val="000152A0"/>
    <w:rsid w:val="00015A83"/>
    <w:rsid w:val="00015A8B"/>
    <w:rsid w:val="00015C59"/>
    <w:rsid w:val="00015CFC"/>
    <w:rsid w:val="00015EB0"/>
    <w:rsid w:val="00015FBF"/>
    <w:rsid w:val="000162AD"/>
    <w:rsid w:val="000169FA"/>
    <w:rsid w:val="0001715A"/>
    <w:rsid w:val="000174EB"/>
    <w:rsid w:val="00017B46"/>
    <w:rsid w:val="00017C4B"/>
    <w:rsid w:val="00017E59"/>
    <w:rsid w:val="00017FD7"/>
    <w:rsid w:val="0002146D"/>
    <w:rsid w:val="00021481"/>
    <w:rsid w:val="000214E0"/>
    <w:rsid w:val="00021C6E"/>
    <w:rsid w:val="00021DD5"/>
    <w:rsid w:val="00021DDD"/>
    <w:rsid w:val="00021F3C"/>
    <w:rsid w:val="00022406"/>
    <w:rsid w:val="00022B2F"/>
    <w:rsid w:val="00023204"/>
    <w:rsid w:val="000233FE"/>
    <w:rsid w:val="00024048"/>
    <w:rsid w:val="00024171"/>
    <w:rsid w:val="00024254"/>
    <w:rsid w:val="00024A7A"/>
    <w:rsid w:val="00024B49"/>
    <w:rsid w:val="00025227"/>
    <w:rsid w:val="00025342"/>
    <w:rsid w:val="0002551C"/>
    <w:rsid w:val="00025906"/>
    <w:rsid w:val="00025A5A"/>
    <w:rsid w:val="0002616E"/>
    <w:rsid w:val="00026256"/>
    <w:rsid w:val="000269AD"/>
    <w:rsid w:val="00026A42"/>
    <w:rsid w:val="00026B63"/>
    <w:rsid w:val="00027040"/>
    <w:rsid w:val="00027549"/>
    <w:rsid w:val="000275CF"/>
    <w:rsid w:val="000317C5"/>
    <w:rsid w:val="00031C4D"/>
    <w:rsid w:val="00031E5C"/>
    <w:rsid w:val="0003255C"/>
    <w:rsid w:val="00032839"/>
    <w:rsid w:val="0003287D"/>
    <w:rsid w:val="0003294F"/>
    <w:rsid w:val="00032A46"/>
    <w:rsid w:val="00032D5C"/>
    <w:rsid w:val="00032D94"/>
    <w:rsid w:val="000334F9"/>
    <w:rsid w:val="00033D3B"/>
    <w:rsid w:val="00034057"/>
    <w:rsid w:val="00034962"/>
    <w:rsid w:val="000349E5"/>
    <w:rsid w:val="00034A30"/>
    <w:rsid w:val="000358CB"/>
    <w:rsid w:val="000367A1"/>
    <w:rsid w:val="000367B7"/>
    <w:rsid w:val="0003685C"/>
    <w:rsid w:val="00036E9D"/>
    <w:rsid w:val="000372BC"/>
    <w:rsid w:val="00037DE8"/>
    <w:rsid w:val="00037F5F"/>
    <w:rsid w:val="00041BC1"/>
    <w:rsid w:val="00041FEB"/>
    <w:rsid w:val="000428C3"/>
    <w:rsid w:val="00043606"/>
    <w:rsid w:val="000440E5"/>
    <w:rsid w:val="00044A29"/>
    <w:rsid w:val="00044BDD"/>
    <w:rsid w:val="00044C7F"/>
    <w:rsid w:val="00045C06"/>
    <w:rsid w:val="00045C2A"/>
    <w:rsid w:val="00045C83"/>
    <w:rsid w:val="00045CDE"/>
    <w:rsid w:val="00046816"/>
    <w:rsid w:val="000506E7"/>
    <w:rsid w:val="000507D5"/>
    <w:rsid w:val="000516F8"/>
    <w:rsid w:val="0005170C"/>
    <w:rsid w:val="00051759"/>
    <w:rsid w:val="00051E36"/>
    <w:rsid w:val="00052D20"/>
    <w:rsid w:val="00052E1F"/>
    <w:rsid w:val="000530F6"/>
    <w:rsid w:val="0005331E"/>
    <w:rsid w:val="00053555"/>
    <w:rsid w:val="000537CD"/>
    <w:rsid w:val="00053B63"/>
    <w:rsid w:val="00053FFC"/>
    <w:rsid w:val="000546C1"/>
    <w:rsid w:val="000547B3"/>
    <w:rsid w:val="00054EC5"/>
    <w:rsid w:val="0005653E"/>
    <w:rsid w:val="0005654F"/>
    <w:rsid w:val="00056D58"/>
    <w:rsid w:val="000572BF"/>
    <w:rsid w:val="0005752D"/>
    <w:rsid w:val="000576FC"/>
    <w:rsid w:val="0006009E"/>
    <w:rsid w:val="000602CC"/>
    <w:rsid w:val="000605C5"/>
    <w:rsid w:val="0006083A"/>
    <w:rsid w:val="00060B1D"/>
    <w:rsid w:val="00060D9F"/>
    <w:rsid w:val="00060EA8"/>
    <w:rsid w:val="00061AAB"/>
    <w:rsid w:val="00061E16"/>
    <w:rsid w:val="00062108"/>
    <w:rsid w:val="00062534"/>
    <w:rsid w:val="000626E7"/>
    <w:rsid w:val="00062DC7"/>
    <w:rsid w:val="00063340"/>
    <w:rsid w:val="000634DA"/>
    <w:rsid w:val="00063610"/>
    <w:rsid w:val="0006442D"/>
    <w:rsid w:val="000644FD"/>
    <w:rsid w:val="00064B93"/>
    <w:rsid w:val="00064BB1"/>
    <w:rsid w:val="00064CC7"/>
    <w:rsid w:val="00064CD3"/>
    <w:rsid w:val="00064E8F"/>
    <w:rsid w:val="00065245"/>
    <w:rsid w:val="00065732"/>
    <w:rsid w:val="00065B9A"/>
    <w:rsid w:val="00065E5F"/>
    <w:rsid w:val="00066261"/>
    <w:rsid w:val="00066498"/>
    <w:rsid w:val="0006678E"/>
    <w:rsid w:val="00066837"/>
    <w:rsid w:val="00066CAD"/>
    <w:rsid w:val="00067D1D"/>
    <w:rsid w:val="00070B28"/>
    <w:rsid w:val="00070E3A"/>
    <w:rsid w:val="00071333"/>
    <w:rsid w:val="0007176B"/>
    <w:rsid w:val="00071BC1"/>
    <w:rsid w:val="00071C0E"/>
    <w:rsid w:val="00071D76"/>
    <w:rsid w:val="00071DC0"/>
    <w:rsid w:val="00072C12"/>
    <w:rsid w:val="00072D36"/>
    <w:rsid w:val="00073045"/>
    <w:rsid w:val="000734E0"/>
    <w:rsid w:val="00073687"/>
    <w:rsid w:val="000742AE"/>
    <w:rsid w:val="00074716"/>
    <w:rsid w:val="0007475E"/>
    <w:rsid w:val="00075173"/>
    <w:rsid w:val="00075662"/>
    <w:rsid w:val="00075907"/>
    <w:rsid w:val="0007694A"/>
    <w:rsid w:val="00076B0B"/>
    <w:rsid w:val="00076CBE"/>
    <w:rsid w:val="000775AE"/>
    <w:rsid w:val="000777B4"/>
    <w:rsid w:val="00077B5F"/>
    <w:rsid w:val="00080175"/>
    <w:rsid w:val="00080858"/>
    <w:rsid w:val="00080A62"/>
    <w:rsid w:val="00081A34"/>
    <w:rsid w:val="00081CDA"/>
    <w:rsid w:val="000820C8"/>
    <w:rsid w:val="000822FC"/>
    <w:rsid w:val="00082528"/>
    <w:rsid w:val="00082AEB"/>
    <w:rsid w:val="0008303F"/>
    <w:rsid w:val="000830F3"/>
    <w:rsid w:val="0008337D"/>
    <w:rsid w:val="00083CF6"/>
    <w:rsid w:val="00085017"/>
    <w:rsid w:val="000852A6"/>
    <w:rsid w:val="00085305"/>
    <w:rsid w:val="00085DAB"/>
    <w:rsid w:val="000860E5"/>
    <w:rsid w:val="000860EE"/>
    <w:rsid w:val="00086327"/>
    <w:rsid w:val="00086B8A"/>
    <w:rsid w:val="00086D3A"/>
    <w:rsid w:val="000872F0"/>
    <w:rsid w:val="0008757F"/>
    <w:rsid w:val="00087621"/>
    <w:rsid w:val="0008764C"/>
    <w:rsid w:val="00090910"/>
    <w:rsid w:val="00090B31"/>
    <w:rsid w:val="00090FBA"/>
    <w:rsid w:val="0009104C"/>
    <w:rsid w:val="000915E6"/>
    <w:rsid w:val="000918E1"/>
    <w:rsid w:val="0009193D"/>
    <w:rsid w:val="0009270F"/>
    <w:rsid w:val="000928EE"/>
    <w:rsid w:val="00092C27"/>
    <w:rsid w:val="00092C28"/>
    <w:rsid w:val="00092C5B"/>
    <w:rsid w:val="0009307F"/>
    <w:rsid w:val="00093695"/>
    <w:rsid w:val="000936CF"/>
    <w:rsid w:val="00093B52"/>
    <w:rsid w:val="00093F2E"/>
    <w:rsid w:val="0009419F"/>
    <w:rsid w:val="0009438D"/>
    <w:rsid w:val="00094B47"/>
    <w:rsid w:val="00094E25"/>
    <w:rsid w:val="0009515D"/>
    <w:rsid w:val="00095E39"/>
    <w:rsid w:val="0009673F"/>
    <w:rsid w:val="0009677E"/>
    <w:rsid w:val="00097306"/>
    <w:rsid w:val="00097686"/>
    <w:rsid w:val="00097788"/>
    <w:rsid w:val="000979CF"/>
    <w:rsid w:val="000A03FB"/>
    <w:rsid w:val="000A0B1F"/>
    <w:rsid w:val="000A0BEB"/>
    <w:rsid w:val="000A0EAF"/>
    <w:rsid w:val="000A1AB7"/>
    <w:rsid w:val="000A2A84"/>
    <w:rsid w:val="000A2D3F"/>
    <w:rsid w:val="000A2FFA"/>
    <w:rsid w:val="000A32FD"/>
    <w:rsid w:val="000A388F"/>
    <w:rsid w:val="000A3CAD"/>
    <w:rsid w:val="000A3CD2"/>
    <w:rsid w:val="000A3EC2"/>
    <w:rsid w:val="000A401D"/>
    <w:rsid w:val="000A4785"/>
    <w:rsid w:val="000A4B9F"/>
    <w:rsid w:val="000A537F"/>
    <w:rsid w:val="000A54AE"/>
    <w:rsid w:val="000A5591"/>
    <w:rsid w:val="000A5B66"/>
    <w:rsid w:val="000A657F"/>
    <w:rsid w:val="000A6699"/>
    <w:rsid w:val="000A66E1"/>
    <w:rsid w:val="000A6780"/>
    <w:rsid w:val="000A69F1"/>
    <w:rsid w:val="000A6CB1"/>
    <w:rsid w:val="000A6FCF"/>
    <w:rsid w:val="000A72EC"/>
    <w:rsid w:val="000A771A"/>
    <w:rsid w:val="000A787C"/>
    <w:rsid w:val="000A7A7C"/>
    <w:rsid w:val="000B0058"/>
    <w:rsid w:val="000B016C"/>
    <w:rsid w:val="000B05EB"/>
    <w:rsid w:val="000B1019"/>
    <w:rsid w:val="000B1761"/>
    <w:rsid w:val="000B17F6"/>
    <w:rsid w:val="000B1AD3"/>
    <w:rsid w:val="000B1AE6"/>
    <w:rsid w:val="000B1E80"/>
    <w:rsid w:val="000B1ED5"/>
    <w:rsid w:val="000B1F08"/>
    <w:rsid w:val="000B2353"/>
    <w:rsid w:val="000B2571"/>
    <w:rsid w:val="000B2C4B"/>
    <w:rsid w:val="000B30D6"/>
    <w:rsid w:val="000B317E"/>
    <w:rsid w:val="000B35D6"/>
    <w:rsid w:val="000B3786"/>
    <w:rsid w:val="000B4347"/>
    <w:rsid w:val="000B5972"/>
    <w:rsid w:val="000B5A29"/>
    <w:rsid w:val="000B5F84"/>
    <w:rsid w:val="000B6362"/>
    <w:rsid w:val="000B66A6"/>
    <w:rsid w:val="000B6707"/>
    <w:rsid w:val="000B7ECF"/>
    <w:rsid w:val="000C0292"/>
    <w:rsid w:val="000C092E"/>
    <w:rsid w:val="000C0AB2"/>
    <w:rsid w:val="000C0CA2"/>
    <w:rsid w:val="000C0D08"/>
    <w:rsid w:val="000C0F9E"/>
    <w:rsid w:val="000C1029"/>
    <w:rsid w:val="000C14FF"/>
    <w:rsid w:val="000C2293"/>
    <w:rsid w:val="000C3E53"/>
    <w:rsid w:val="000C417C"/>
    <w:rsid w:val="000C431F"/>
    <w:rsid w:val="000C55CA"/>
    <w:rsid w:val="000C6FBF"/>
    <w:rsid w:val="000C705A"/>
    <w:rsid w:val="000D0EDF"/>
    <w:rsid w:val="000D0EF0"/>
    <w:rsid w:val="000D0F09"/>
    <w:rsid w:val="000D0FBD"/>
    <w:rsid w:val="000D0FF3"/>
    <w:rsid w:val="000D15E3"/>
    <w:rsid w:val="000D17F3"/>
    <w:rsid w:val="000D1AAE"/>
    <w:rsid w:val="000D1C4B"/>
    <w:rsid w:val="000D1F44"/>
    <w:rsid w:val="000D2007"/>
    <w:rsid w:val="000D20CA"/>
    <w:rsid w:val="000D219D"/>
    <w:rsid w:val="000D23D3"/>
    <w:rsid w:val="000D260C"/>
    <w:rsid w:val="000D2DF6"/>
    <w:rsid w:val="000D3650"/>
    <w:rsid w:val="000D41D5"/>
    <w:rsid w:val="000D42F7"/>
    <w:rsid w:val="000D44C4"/>
    <w:rsid w:val="000D46C5"/>
    <w:rsid w:val="000D496D"/>
    <w:rsid w:val="000D4A84"/>
    <w:rsid w:val="000D4EC1"/>
    <w:rsid w:val="000D6186"/>
    <w:rsid w:val="000D6301"/>
    <w:rsid w:val="000D6B4E"/>
    <w:rsid w:val="000D70FD"/>
    <w:rsid w:val="000D7792"/>
    <w:rsid w:val="000E0387"/>
    <w:rsid w:val="000E04B8"/>
    <w:rsid w:val="000E062A"/>
    <w:rsid w:val="000E0B53"/>
    <w:rsid w:val="000E11D3"/>
    <w:rsid w:val="000E137E"/>
    <w:rsid w:val="000E1540"/>
    <w:rsid w:val="000E29C5"/>
    <w:rsid w:val="000E2F42"/>
    <w:rsid w:val="000E31C9"/>
    <w:rsid w:val="000E3553"/>
    <w:rsid w:val="000E361A"/>
    <w:rsid w:val="000E3711"/>
    <w:rsid w:val="000E37FE"/>
    <w:rsid w:val="000E3A88"/>
    <w:rsid w:val="000E4638"/>
    <w:rsid w:val="000E4C0F"/>
    <w:rsid w:val="000E4C1C"/>
    <w:rsid w:val="000E4D70"/>
    <w:rsid w:val="000E516A"/>
    <w:rsid w:val="000E51AB"/>
    <w:rsid w:val="000E6238"/>
    <w:rsid w:val="000E658F"/>
    <w:rsid w:val="000E68BF"/>
    <w:rsid w:val="000E6A2A"/>
    <w:rsid w:val="000E76B3"/>
    <w:rsid w:val="000E7AF5"/>
    <w:rsid w:val="000F00C9"/>
    <w:rsid w:val="000F02C6"/>
    <w:rsid w:val="000F16EE"/>
    <w:rsid w:val="000F2484"/>
    <w:rsid w:val="000F3487"/>
    <w:rsid w:val="000F3698"/>
    <w:rsid w:val="000F3DB8"/>
    <w:rsid w:val="000F3FFD"/>
    <w:rsid w:val="000F458C"/>
    <w:rsid w:val="000F464C"/>
    <w:rsid w:val="000F4731"/>
    <w:rsid w:val="000F48D2"/>
    <w:rsid w:val="000F4D9B"/>
    <w:rsid w:val="000F514E"/>
    <w:rsid w:val="000F5389"/>
    <w:rsid w:val="000F5625"/>
    <w:rsid w:val="000F5E2C"/>
    <w:rsid w:val="000F6E94"/>
    <w:rsid w:val="000F74A9"/>
    <w:rsid w:val="000F7546"/>
    <w:rsid w:val="000F7877"/>
    <w:rsid w:val="000F7B8A"/>
    <w:rsid w:val="000F7FF1"/>
    <w:rsid w:val="001000A0"/>
    <w:rsid w:val="0010042C"/>
    <w:rsid w:val="00100450"/>
    <w:rsid w:val="001007AD"/>
    <w:rsid w:val="001007E8"/>
    <w:rsid w:val="00100F62"/>
    <w:rsid w:val="00100FFC"/>
    <w:rsid w:val="0010119F"/>
    <w:rsid w:val="00101718"/>
    <w:rsid w:val="001020C4"/>
    <w:rsid w:val="001021B0"/>
    <w:rsid w:val="00102B46"/>
    <w:rsid w:val="00102E6D"/>
    <w:rsid w:val="001031E9"/>
    <w:rsid w:val="001037C8"/>
    <w:rsid w:val="00103D21"/>
    <w:rsid w:val="0010430C"/>
    <w:rsid w:val="00104636"/>
    <w:rsid w:val="00104B10"/>
    <w:rsid w:val="00104F2D"/>
    <w:rsid w:val="001050E4"/>
    <w:rsid w:val="0010553B"/>
    <w:rsid w:val="00105D2F"/>
    <w:rsid w:val="001073F7"/>
    <w:rsid w:val="00107B89"/>
    <w:rsid w:val="00107BCF"/>
    <w:rsid w:val="00107C72"/>
    <w:rsid w:val="00107F7C"/>
    <w:rsid w:val="001101A6"/>
    <w:rsid w:val="001101D2"/>
    <w:rsid w:val="00110690"/>
    <w:rsid w:val="001109DD"/>
    <w:rsid w:val="00110BA7"/>
    <w:rsid w:val="00111027"/>
    <w:rsid w:val="001110DF"/>
    <w:rsid w:val="00111156"/>
    <w:rsid w:val="00111345"/>
    <w:rsid w:val="00111370"/>
    <w:rsid w:val="001113BD"/>
    <w:rsid w:val="00111562"/>
    <w:rsid w:val="001119D4"/>
    <w:rsid w:val="00111CA1"/>
    <w:rsid w:val="00111CC4"/>
    <w:rsid w:val="00111E33"/>
    <w:rsid w:val="00112170"/>
    <w:rsid w:val="00112786"/>
    <w:rsid w:val="00112B5E"/>
    <w:rsid w:val="0011338B"/>
    <w:rsid w:val="00113AD6"/>
    <w:rsid w:val="001145B3"/>
    <w:rsid w:val="00115DCF"/>
    <w:rsid w:val="00115DD7"/>
    <w:rsid w:val="00116222"/>
    <w:rsid w:val="00116377"/>
    <w:rsid w:val="001165F8"/>
    <w:rsid w:val="00116EDF"/>
    <w:rsid w:val="00116F1C"/>
    <w:rsid w:val="0011731C"/>
    <w:rsid w:val="00117A65"/>
    <w:rsid w:val="00117E0A"/>
    <w:rsid w:val="00120577"/>
    <w:rsid w:val="00120D9C"/>
    <w:rsid w:val="0012145D"/>
    <w:rsid w:val="00121554"/>
    <w:rsid w:val="0012188C"/>
    <w:rsid w:val="001221A6"/>
    <w:rsid w:val="0012225E"/>
    <w:rsid w:val="00122391"/>
    <w:rsid w:val="00122536"/>
    <w:rsid w:val="001227D5"/>
    <w:rsid w:val="00122EE7"/>
    <w:rsid w:val="001230A0"/>
    <w:rsid w:val="001238EE"/>
    <w:rsid w:val="00123DB9"/>
    <w:rsid w:val="00123FC4"/>
    <w:rsid w:val="00124A67"/>
    <w:rsid w:val="00124ACF"/>
    <w:rsid w:val="0012542B"/>
    <w:rsid w:val="0012544D"/>
    <w:rsid w:val="00125DA0"/>
    <w:rsid w:val="00126368"/>
    <w:rsid w:val="00126380"/>
    <w:rsid w:val="00127066"/>
    <w:rsid w:val="001271C9"/>
    <w:rsid w:val="001271DC"/>
    <w:rsid w:val="0012767B"/>
    <w:rsid w:val="00127C66"/>
    <w:rsid w:val="001302FE"/>
    <w:rsid w:val="001306C7"/>
    <w:rsid w:val="001308B5"/>
    <w:rsid w:val="001310F1"/>
    <w:rsid w:val="0013124E"/>
    <w:rsid w:val="00131566"/>
    <w:rsid w:val="00131FE5"/>
    <w:rsid w:val="001320B4"/>
    <w:rsid w:val="00132479"/>
    <w:rsid w:val="00132932"/>
    <w:rsid w:val="00132D7D"/>
    <w:rsid w:val="00132D9D"/>
    <w:rsid w:val="00132E9B"/>
    <w:rsid w:val="00133949"/>
    <w:rsid w:val="00133BA3"/>
    <w:rsid w:val="00133BFE"/>
    <w:rsid w:val="00133E50"/>
    <w:rsid w:val="0013413B"/>
    <w:rsid w:val="001341FA"/>
    <w:rsid w:val="00134598"/>
    <w:rsid w:val="00134952"/>
    <w:rsid w:val="00135021"/>
    <w:rsid w:val="00135E46"/>
    <w:rsid w:val="001360F7"/>
    <w:rsid w:val="00136281"/>
    <w:rsid w:val="00136629"/>
    <w:rsid w:val="001366BE"/>
    <w:rsid w:val="00136773"/>
    <w:rsid w:val="0013691A"/>
    <w:rsid w:val="00136F58"/>
    <w:rsid w:val="00137647"/>
    <w:rsid w:val="00137685"/>
    <w:rsid w:val="0014006B"/>
    <w:rsid w:val="00140AA1"/>
    <w:rsid w:val="00140C79"/>
    <w:rsid w:val="00140D36"/>
    <w:rsid w:val="00141118"/>
    <w:rsid w:val="00141ED6"/>
    <w:rsid w:val="0014249C"/>
    <w:rsid w:val="00142B63"/>
    <w:rsid w:val="001430D8"/>
    <w:rsid w:val="00143494"/>
    <w:rsid w:val="0014360F"/>
    <w:rsid w:val="00143BF0"/>
    <w:rsid w:val="00143DED"/>
    <w:rsid w:val="001441C9"/>
    <w:rsid w:val="00144502"/>
    <w:rsid w:val="00145B19"/>
    <w:rsid w:val="00145C2C"/>
    <w:rsid w:val="00145C4E"/>
    <w:rsid w:val="00145F29"/>
    <w:rsid w:val="00146187"/>
    <w:rsid w:val="0014654F"/>
    <w:rsid w:val="001467E7"/>
    <w:rsid w:val="00146983"/>
    <w:rsid w:val="00147232"/>
    <w:rsid w:val="00147760"/>
    <w:rsid w:val="001477D5"/>
    <w:rsid w:val="001501E4"/>
    <w:rsid w:val="00150AC2"/>
    <w:rsid w:val="00150B31"/>
    <w:rsid w:val="00150B34"/>
    <w:rsid w:val="00150DC0"/>
    <w:rsid w:val="001513A5"/>
    <w:rsid w:val="001513DA"/>
    <w:rsid w:val="00151476"/>
    <w:rsid w:val="0015290D"/>
    <w:rsid w:val="00153CD5"/>
    <w:rsid w:val="00154485"/>
    <w:rsid w:val="0015453C"/>
    <w:rsid w:val="001553CF"/>
    <w:rsid w:val="001558E4"/>
    <w:rsid w:val="00155D5E"/>
    <w:rsid w:val="00156B70"/>
    <w:rsid w:val="00156C17"/>
    <w:rsid w:val="00156EE4"/>
    <w:rsid w:val="00160F37"/>
    <w:rsid w:val="001611A0"/>
    <w:rsid w:val="00161666"/>
    <w:rsid w:val="001618AD"/>
    <w:rsid w:val="001618CF"/>
    <w:rsid w:val="00161AD1"/>
    <w:rsid w:val="00162339"/>
    <w:rsid w:val="00162D36"/>
    <w:rsid w:val="00162E51"/>
    <w:rsid w:val="0016313E"/>
    <w:rsid w:val="0016315A"/>
    <w:rsid w:val="00163396"/>
    <w:rsid w:val="001637D3"/>
    <w:rsid w:val="00163F7E"/>
    <w:rsid w:val="00164948"/>
    <w:rsid w:val="001653DF"/>
    <w:rsid w:val="00166108"/>
    <w:rsid w:val="001662D8"/>
    <w:rsid w:val="001663F3"/>
    <w:rsid w:val="0016692D"/>
    <w:rsid w:val="00166BC6"/>
    <w:rsid w:val="00167F0C"/>
    <w:rsid w:val="0017009C"/>
    <w:rsid w:val="00170243"/>
    <w:rsid w:val="00170727"/>
    <w:rsid w:val="00170CC8"/>
    <w:rsid w:val="001710B6"/>
    <w:rsid w:val="0017174E"/>
    <w:rsid w:val="0017197C"/>
    <w:rsid w:val="001719E5"/>
    <w:rsid w:val="00171C07"/>
    <w:rsid w:val="00171C34"/>
    <w:rsid w:val="00171CDF"/>
    <w:rsid w:val="00172D28"/>
    <w:rsid w:val="00173A54"/>
    <w:rsid w:val="00173A9E"/>
    <w:rsid w:val="00173F05"/>
    <w:rsid w:val="00173FA9"/>
    <w:rsid w:val="00173FB7"/>
    <w:rsid w:val="00173FC9"/>
    <w:rsid w:val="001743F9"/>
    <w:rsid w:val="001745CA"/>
    <w:rsid w:val="0017489B"/>
    <w:rsid w:val="00174AC6"/>
    <w:rsid w:val="00174BB2"/>
    <w:rsid w:val="0017538D"/>
    <w:rsid w:val="001758C9"/>
    <w:rsid w:val="001761AF"/>
    <w:rsid w:val="001768E4"/>
    <w:rsid w:val="0017752F"/>
    <w:rsid w:val="001806B2"/>
    <w:rsid w:val="001806D6"/>
    <w:rsid w:val="00181E97"/>
    <w:rsid w:val="001820F9"/>
    <w:rsid w:val="00182918"/>
    <w:rsid w:val="001832EB"/>
    <w:rsid w:val="001837DD"/>
    <w:rsid w:val="0018385A"/>
    <w:rsid w:val="00183C77"/>
    <w:rsid w:val="00183D3F"/>
    <w:rsid w:val="00184063"/>
    <w:rsid w:val="0018413D"/>
    <w:rsid w:val="00184294"/>
    <w:rsid w:val="0018490A"/>
    <w:rsid w:val="001851A9"/>
    <w:rsid w:val="0018587D"/>
    <w:rsid w:val="00185CA6"/>
    <w:rsid w:val="00185DD2"/>
    <w:rsid w:val="0018624A"/>
    <w:rsid w:val="001867C4"/>
    <w:rsid w:val="001871C9"/>
    <w:rsid w:val="0018729D"/>
    <w:rsid w:val="00187452"/>
    <w:rsid w:val="0018767E"/>
    <w:rsid w:val="00187FF9"/>
    <w:rsid w:val="00190379"/>
    <w:rsid w:val="00190C26"/>
    <w:rsid w:val="00190E20"/>
    <w:rsid w:val="0019175D"/>
    <w:rsid w:val="00192172"/>
    <w:rsid w:val="00192493"/>
    <w:rsid w:val="00193275"/>
    <w:rsid w:val="00193528"/>
    <w:rsid w:val="00193652"/>
    <w:rsid w:val="001938A0"/>
    <w:rsid w:val="00193A1E"/>
    <w:rsid w:val="00193DA9"/>
    <w:rsid w:val="00193F29"/>
    <w:rsid w:val="001941B1"/>
    <w:rsid w:val="00194324"/>
    <w:rsid w:val="0019458A"/>
    <w:rsid w:val="00195D14"/>
    <w:rsid w:val="00195EDB"/>
    <w:rsid w:val="0019680C"/>
    <w:rsid w:val="00196C86"/>
    <w:rsid w:val="00196D0A"/>
    <w:rsid w:val="001973B3"/>
    <w:rsid w:val="001977E5"/>
    <w:rsid w:val="001979E0"/>
    <w:rsid w:val="00197A7F"/>
    <w:rsid w:val="00197A83"/>
    <w:rsid w:val="00197AF2"/>
    <w:rsid w:val="00197C32"/>
    <w:rsid w:val="001A020D"/>
    <w:rsid w:val="001A0816"/>
    <w:rsid w:val="001A088C"/>
    <w:rsid w:val="001A0DA6"/>
    <w:rsid w:val="001A13F2"/>
    <w:rsid w:val="001A1585"/>
    <w:rsid w:val="001A1C2C"/>
    <w:rsid w:val="001A1F06"/>
    <w:rsid w:val="001A2164"/>
    <w:rsid w:val="001A268D"/>
    <w:rsid w:val="001A27F3"/>
    <w:rsid w:val="001A2C83"/>
    <w:rsid w:val="001A306A"/>
    <w:rsid w:val="001A3247"/>
    <w:rsid w:val="001A3919"/>
    <w:rsid w:val="001A3A39"/>
    <w:rsid w:val="001A3C0C"/>
    <w:rsid w:val="001A3FAC"/>
    <w:rsid w:val="001A4C97"/>
    <w:rsid w:val="001A5018"/>
    <w:rsid w:val="001A5376"/>
    <w:rsid w:val="001A5DBC"/>
    <w:rsid w:val="001A5DC5"/>
    <w:rsid w:val="001A6EFA"/>
    <w:rsid w:val="001A7BEB"/>
    <w:rsid w:val="001A7E2D"/>
    <w:rsid w:val="001B00B5"/>
    <w:rsid w:val="001B0328"/>
    <w:rsid w:val="001B04EB"/>
    <w:rsid w:val="001B0A5B"/>
    <w:rsid w:val="001B1B6F"/>
    <w:rsid w:val="001B1DB7"/>
    <w:rsid w:val="001B2830"/>
    <w:rsid w:val="001B2918"/>
    <w:rsid w:val="001B2C66"/>
    <w:rsid w:val="001B2E9C"/>
    <w:rsid w:val="001B300C"/>
    <w:rsid w:val="001B3332"/>
    <w:rsid w:val="001B3632"/>
    <w:rsid w:val="001B38D6"/>
    <w:rsid w:val="001B3B92"/>
    <w:rsid w:val="001B3C1A"/>
    <w:rsid w:val="001B45CE"/>
    <w:rsid w:val="001B4778"/>
    <w:rsid w:val="001B4805"/>
    <w:rsid w:val="001B480B"/>
    <w:rsid w:val="001B496E"/>
    <w:rsid w:val="001B4F97"/>
    <w:rsid w:val="001B50CE"/>
    <w:rsid w:val="001B5207"/>
    <w:rsid w:val="001B53E8"/>
    <w:rsid w:val="001B5AA6"/>
    <w:rsid w:val="001B5BE8"/>
    <w:rsid w:val="001B5CE7"/>
    <w:rsid w:val="001B5FA8"/>
    <w:rsid w:val="001B65B1"/>
    <w:rsid w:val="001B6941"/>
    <w:rsid w:val="001B7241"/>
    <w:rsid w:val="001B7F4A"/>
    <w:rsid w:val="001C010D"/>
    <w:rsid w:val="001C0658"/>
    <w:rsid w:val="001C0AD6"/>
    <w:rsid w:val="001C0E1F"/>
    <w:rsid w:val="001C0F98"/>
    <w:rsid w:val="001C1129"/>
    <w:rsid w:val="001C14A8"/>
    <w:rsid w:val="001C1944"/>
    <w:rsid w:val="001C1C89"/>
    <w:rsid w:val="001C21BC"/>
    <w:rsid w:val="001C27C7"/>
    <w:rsid w:val="001C28C3"/>
    <w:rsid w:val="001C2B03"/>
    <w:rsid w:val="001C2E4C"/>
    <w:rsid w:val="001C364C"/>
    <w:rsid w:val="001C3940"/>
    <w:rsid w:val="001C3CAC"/>
    <w:rsid w:val="001C468C"/>
    <w:rsid w:val="001C5038"/>
    <w:rsid w:val="001C52AE"/>
    <w:rsid w:val="001C53EB"/>
    <w:rsid w:val="001C5B95"/>
    <w:rsid w:val="001C5ECE"/>
    <w:rsid w:val="001C607E"/>
    <w:rsid w:val="001C6CE6"/>
    <w:rsid w:val="001C7F3D"/>
    <w:rsid w:val="001D024C"/>
    <w:rsid w:val="001D07AE"/>
    <w:rsid w:val="001D0B68"/>
    <w:rsid w:val="001D229F"/>
    <w:rsid w:val="001D2360"/>
    <w:rsid w:val="001D236A"/>
    <w:rsid w:val="001D25AD"/>
    <w:rsid w:val="001D2A9A"/>
    <w:rsid w:val="001D396E"/>
    <w:rsid w:val="001D3CE1"/>
    <w:rsid w:val="001D3E94"/>
    <w:rsid w:val="001D4A16"/>
    <w:rsid w:val="001D4ED9"/>
    <w:rsid w:val="001D5156"/>
    <w:rsid w:val="001D531D"/>
    <w:rsid w:val="001D56F6"/>
    <w:rsid w:val="001D5F3B"/>
    <w:rsid w:val="001D6D3A"/>
    <w:rsid w:val="001D76C9"/>
    <w:rsid w:val="001D7703"/>
    <w:rsid w:val="001E0515"/>
    <w:rsid w:val="001E0528"/>
    <w:rsid w:val="001E0C22"/>
    <w:rsid w:val="001E12D8"/>
    <w:rsid w:val="001E1DB2"/>
    <w:rsid w:val="001E1E43"/>
    <w:rsid w:val="001E2C93"/>
    <w:rsid w:val="001E3473"/>
    <w:rsid w:val="001E3C00"/>
    <w:rsid w:val="001E4412"/>
    <w:rsid w:val="001E5EBC"/>
    <w:rsid w:val="001E64DC"/>
    <w:rsid w:val="001E6DE6"/>
    <w:rsid w:val="001E7394"/>
    <w:rsid w:val="001E73BD"/>
    <w:rsid w:val="001E74BC"/>
    <w:rsid w:val="001E7647"/>
    <w:rsid w:val="001E7805"/>
    <w:rsid w:val="001F03BF"/>
    <w:rsid w:val="001F0F63"/>
    <w:rsid w:val="001F166A"/>
    <w:rsid w:val="001F17DE"/>
    <w:rsid w:val="001F2009"/>
    <w:rsid w:val="001F29CD"/>
    <w:rsid w:val="001F34B5"/>
    <w:rsid w:val="001F37EE"/>
    <w:rsid w:val="001F3B41"/>
    <w:rsid w:val="001F3C7A"/>
    <w:rsid w:val="001F3CAA"/>
    <w:rsid w:val="001F464C"/>
    <w:rsid w:val="001F50F2"/>
    <w:rsid w:val="001F56FC"/>
    <w:rsid w:val="001F5A4D"/>
    <w:rsid w:val="001F5BC2"/>
    <w:rsid w:val="001F5EF6"/>
    <w:rsid w:val="001F69BC"/>
    <w:rsid w:val="001F6DD9"/>
    <w:rsid w:val="001F6E23"/>
    <w:rsid w:val="001F77BD"/>
    <w:rsid w:val="002000A1"/>
    <w:rsid w:val="0020153B"/>
    <w:rsid w:val="002015D6"/>
    <w:rsid w:val="00201D38"/>
    <w:rsid w:val="00202056"/>
    <w:rsid w:val="00202137"/>
    <w:rsid w:val="00202574"/>
    <w:rsid w:val="002026E2"/>
    <w:rsid w:val="00202CB1"/>
    <w:rsid w:val="00202F67"/>
    <w:rsid w:val="002033B4"/>
    <w:rsid w:val="002042C6"/>
    <w:rsid w:val="00204532"/>
    <w:rsid w:val="0020486A"/>
    <w:rsid w:val="00204980"/>
    <w:rsid w:val="00204B77"/>
    <w:rsid w:val="002053D2"/>
    <w:rsid w:val="002054E8"/>
    <w:rsid w:val="00205A9F"/>
    <w:rsid w:val="00205B55"/>
    <w:rsid w:val="00205B60"/>
    <w:rsid w:val="002064A5"/>
    <w:rsid w:val="00206FB7"/>
    <w:rsid w:val="002073F1"/>
    <w:rsid w:val="00207F4F"/>
    <w:rsid w:val="00207F52"/>
    <w:rsid w:val="00210F59"/>
    <w:rsid w:val="00210FEE"/>
    <w:rsid w:val="00211202"/>
    <w:rsid w:val="0021185B"/>
    <w:rsid w:val="00211962"/>
    <w:rsid w:val="002120D5"/>
    <w:rsid w:val="00213C6E"/>
    <w:rsid w:val="00213CEB"/>
    <w:rsid w:val="00214495"/>
    <w:rsid w:val="002151C1"/>
    <w:rsid w:val="00216507"/>
    <w:rsid w:val="00216A37"/>
    <w:rsid w:val="002176B9"/>
    <w:rsid w:val="00217D57"/>
    <w:rsid w:val="002203EA"/>
    <w:rsid w:val="00220459"/>
    <w:rsid w:val="00221AA8"/>
    <w:rsid w:val="00221CB1"/>
    <w:rsid w:val="00221F70"/>
    <w:rsid w:val="00222466"/>
    <w:rsid w:val="0022300C"/>
    <w:rsid w:val="00223E74"/>
    <w:rsid w:val="00224132"/>
    <w:rsid w:val="002241EB"/>
    <w:rsid w:val="00224223"/>
    <w:rsid w:val="00224D2A"/>
    <w:rsid w:val="00224D5E"/>
    <w:rsid w:val="00226552"/>
    <w:rsid w:val="002265DD"/>
    <w:rsid w:val="0022695E"/>
    <w:rsid w:val="00226D48"/>
    <w:rsid w:val="00226E59"/>
    <w:rsid w:val="00227AAC"/>
    <w:rsid w:val="00227F9B"/>
    <w:rsid w:val="00230620"/>
    <w:rsid w:val="002306FE"/>
    <w:rsid w:val="0023071F"/>
    <w:rsid w:val="002310E1"/>
    <w:rsid w:val="00231831"/>
    <w:rsid w:val="002318D9"/>
    <w:rsid w:val="002319CA"/>
    <w:rsid w:val="00231E59"/>
    <w:rsid w:val="002321AC"/>
    <w:rsid w:val="00232608"/>
    <w:rsid w:val="00232B05"/>
    <w:rsid w:val="002334B9"/>
    <w:rsid w:val="002336C9"/>
    <w:rsid w:val="00233E67"/>
    <w:rsid w:val="0023478A"/>
    <w:rsid w:val="002348B3"/>
    <w:rsid w:val="00235735"/>
    <w:rsid w:val="00235DB6"/>
    <w:rsid w:val="00235FE6"/>
    <w:rsid w:val="0023675E"/>
    <w:rsid w:val="002367AF"/>
    <w:rsid w:val="00236A67"/>
    <w:rsid w:val="00237270"/>
    <w:rsid w:val="00237FFA"/>
    <w:rsid w:val="002402C0"/>
    <w:rsid w:val="0024035D"/>
    <w:rsid w:val="00240BD1"/>
    <w:rsid w:val="00240E57"/>
    <w:rsid w:val="00240EF7"/>
    <w:rsid w:val="00241D54"/>
    <w:rsid w:val="0024221E"/>
    <w:rsid w:val="0024299C"/>
    <w:rsid w:val="00242D6B"/>
    <w:rsid w:val="00242F61"/>
    <w:rsid w:val="002430BC"/>
    <w:rsid w:val="002432AA"/>
    <w:rsid w:val="00243D32"/>
    <w:rsid w:val="00243DCE"/>
    <w:rsid w:val="00244F26"/>
    <w:rsid w:val="0024548C"/>
    <w:rsid w:val="00245666"/>
    <w:rsid w:val="0024680F"/>
    <w:rsid w:val="00246D6E"/>
    <w:rsid w:val="00250028"/>
    <w:rsid w:val="002500DA"/>
    <w:rsid w:val="00250366"/>
    <w:rsid w:val="00250402"/>
    <w:rsid w:val="00250667"/>
    <w:rsid w:val="0025067F"/>
    <w:rsid w:val="002507A4"/>
    <w:rsid w:val="00250C89"/>
    <w:rsid w:val="00251850"/>
    <w:rsid w:val="0025186F"/>
    <w:rsid w:val="00252249"/>
    <w:rsid w:val="00252A78"/>
    <w:rsid w:val="00253AE9"/>
    <w:rsid w:val="00253C21"/>
    <w:rsid w:val="00254B18"/>
    <w:rsid w:val="00254FFD"/>
    <w:rsid w:val="00255378"/>
    <w:rsid w:val="00255437"/>
    <w:rsid w:val="00255ADF"/>
    <w:rsid w:val="00255D90"/>
    <w:rsid w:val="00255F8D"/>
    <w:rsid w:val="002566D0"/>
    <w:rsid w:val="00256EC9"/>
    <w:rsid w:val="00257225"/>
    <w:rsid w:val="002572DF"/>
    <w:rsid w:val="00257469"/>
    <w:rsid w:val="0025752C"/>
    <w:rsid w:val="00257614"/>
    <w:rsid w:val="00257C19"/>
    <w:rsid w:val="002603D3"/>
    <w:rsid w:val="0026117E"/>
    <w:rsid w:val="00261FA6"/>
    <w:rsid w:val="00262B4D"/>
    <w:rsid w:val="00263D2B"/>
    <w:rsid w:val="00263DB0"/>
    <w:rsid w:val="00263DF7"/>
    <w:rsid w:val="002640FB"/>
    <w:rsid w:val="00264370"/>
    <w:rsid w:val="00264449"/>
    <w:rsid w:val="00264A9F"/>
    <w:rsid w:val="00264EF3"/>
    <w:rsid w:val="00265080"/>
    <w:rsid w:val="002655E0"/>
    <w:rsid w:val="0026590C"/>
    <w:rsid w:val="00265B19"/>
    <w:rsid w:val="00265BBF"/>
    <w:rsid w:val="00265C0B"/>
    <w:rsid w:val="00266121"/>
    <w:rsid w:val="002662B0"/>
    <w:rsid w:val="002662E4"/>
    <w:rsid w:val="002666E0"/>
    <w:rsid w:val="002669A3"/>
    <w:rsid w:val="00266D7F"/>
    <w:rsid w:val="00266F9E"/>
    <w:rsid w:val="00266FCF"/>
    <w:rsid w:val="00267A34"/>
    <w:rsid w:val="00267AFE"/>
    <w:rsid w:val="00267F60"/>
    <w:rsid w:val="00270865"/>
    <w:rsid w:val="00270BDB"/>
    <w:rsid w:val="00270EBA"/>
    <w:rsid w:val="002710EF"/>
    <w:rsid w:val="00271512"/>
    <w:rsid w:val="002718E8"/>
    <w:rsid w:val="002723DF"/>
    <w:rsid w:val="002728A9"/>
    <w:rsid w:val="00272A97"/>
    <w:rsid w:val="00272B48"/>
    <w:rsid w:val="00272DDF"/>
    <w:rsid w:val="00273572"/>
    <w:rsid w:val="002737A0"/>
    <w:rsid w:val="00273CBA"/>
    <w:rsid w:val="002741A9"/>
    <w:rsid w:val="002747E8"/>
    <w:rsid w:val="00274F09"/>
    <w:rsid w:val="002752B5"/>
    <w:rsid w:val="002757BF"/>
    <w:rsid w:val="002758DF"/>
    <w:rsid w:val="00275F4E"/>
    <w:rsid w:val="00276092"/>
    <w:rsid w:val="002762EC"/>
    <w:rsid w:val="002765E8"/>
    <w:rsid w:val="00276C89"/>
    <w:rsid w:val="00276CB8"/>
    <w:rsid w:val="0027780E"/>
    <w:rsid w:val="0028000F"/>
    <w:rsid w:val="00280262"/>
    <w:rsid w:val="00280319"/>
    <w:rsid w:val="002808F7"/>
    <w:rsid w:val="00280CA3"/>
    <w:rsid w:val="00280DB1"/>
    <w:rsid w:val="00281868"/>
    <w:rsid w:val="00281A8D"/>
    <w:rsid w:val="00282013"/>
    <w:rsid w:val="00282622"/>
    <w:rsid w:val="00282900"/>
    <w:rsid w:val="00282CB6"/>
    <w:rsid w:val="00282E9A"/>
    <w:rsid w:val="00283922"/>
    <w:rsid w:val="00283A1D"/>
    <w:rsid w:val="00283B63"/>
    <w:rsid w:val="00284749"/>
    <w:rsid w:val="00284A9F"/>
    <w:rsid w:val="0028587A"/>
    <w:rsid w:val="00285DD0"/>
    <w:rsid w:val="0028600D"/>
    <w:rsid w:val="00286407"/>
    <w:rsid w:val="00286A19"/>
    <w:rsid w:val="00286EE4"/>
    <w:rsid w:val="0028747F"/>
    <w:rsid w:val="00290311"/>
    <w:rsid w:val="002907BE"/>
    <w:rsid w:val="00290844"/>
    <w:rsid w:val="002914BB"/>
    <w:rsid w:val="00291650"/>
    <w:rsid w:val="00291A1B"/>
    <w:rsid w:val="00291AEA"/>
    <w:rsid w:val="00291F49"/>
    <w:rsid w:val="00292668"/>
    <w:rsid w:val="002926DE"/>
    <w:rsid w:val="00292A09"/>
    <w:rsid w:val="00292DB4"/>
    <w:rsid w:val="002938EC"/>
    <w:rsid w:val="00293CC4"/>
    <w:rsid w:val="00294121"/>
    <w:rsid w:val="00294C82"/>
    <w:rsid w:val="002950ED"/>
    <w:rsid w:val="002951E2"/>
    <w:rsid w:val="0029589E"/>
    <w:rsid w:val="002961CB"/>
    <w:rsid w:val="002964A7"/>
    <w:rsid w:val="002966B7"/>
    <w:rsid w:val="00297499"/>
    <w:rsid w:val="00297BFC"/>
    <w:rsid w:val="002A02AD"/>
    <w:rsid w:val="002A0358"/>
    <w:rsid w:val="002A0976"/>
    <w:rsid w:val="002A0B13"/>
    <w:rsid w:val="002A12D4"/>
    <w:rsid w:val="002A1464"/>
    <w:rsid w:val="002A1537"/>
    <w:rsid w:val="002A1DE6"/>
    <w:rsid w:val="002A21D4"/>
    <w:rsid w:val="002A2D62"/>
    <w:rsid w:val="002A2EE0"/>
    <w:rsid w:val="002A3199"/>
    <w:rsid w:val="002A33BA"/>
    <w:rsid w:val="002A44A2"/>
    <w:rsid w:val="002A4587"/>
    <w:rsid w:val="002A4BF8"/>
    <w:rsid w:val="002A51B5"/>
    <w:rsid w:val="002A5860"/>
    <w:rsid w:val="002A595B"/>
    <w:rsid w:val="002A6585"/>
    <w:rsid w:val="002A6BA3"/>
    <w:rsid w:val="002A7072"/>
    <w:rsid w:val="002A7868"/>
    <w:rsid w:val="002A7DB5"/>
    <w:rsid w:val="002B0398"/>
    <w:rsid w:val="002B0439"/>
    <w:rsid w:val="002B06A2"/>
    <w:rsid w:val="002B0F43"/>
    <w:rsid w:val="002B1185"/>
    <w:rsid w:val="002B21A4"/>
    <w:rsid w:val="002B2237"/>
    <w:rsid w:val="002B22B2"/>
    <w:rsid w:val="002B2709"/>
    <w:rsid w:val="002B39CD"/>
    <w:rsid w:val="002B3CD9"/>
    <w:rsid w:val="002B3D5D"/>
    <w:rsid w:val="002B3F4E"/>
    <w:rsid w:val="002B440E"/>
    <w:rsid w:val="002B5602"/>
    <w:rsid w:val="002B6BA6"/>
    <w:rsid w:val="002B6D38"/>
    <w:rsid w:val="002B6EBC"/>
    <w:rsid w:val="002B71E8"/>
    <w:rsid w:val="002B71FF"/>
    <w:rsid w:val="002B742A"/>
    <w:rsid w:val="002C0002"/>
    <w:rsid w:val="002C03E3"/>
    <w:rsid w:val="002C0791"/>
    <w:rsid w:val="002C09B1"/>
    <w:rsid w:val="002C0E4B"/>
    <w:rsid w:val="002C1DCE"/>
    <w:rsid w:val="002C232A"/>
    <w:rsid w:val="002C23D2"/>
    <w:rsid w:val="002C2550"/>
    <w:rsid w:val="002C332E"/>
    <w:rsid w:val="002C37A9"/>
    <w:rsid w:val="002C392B"/>
    <w:rsid w:val="002C3AD0"/>
    <w:rsid w:val="002C3E8B"/>
    <w:rsid w:val="002C482F"/>
    <w:rsid w:val="002C4A70"/>
    <w:rsid w:val="002C4F2E"/>
    <w:rsid w:val="002C55C3"/>
    <w:rsid w:val="002C5CF2"/>
    <w:rsid w:val="002C62E5"/>
    <w:rsid w:val="002C63F3"/>
    <w:rsid w:val="002C6DEA"/>
    <w:rsid w:val="002C70D7"/>
    <w:rsid w:val="002C72A4"/>
    <w:rsid w:val="002C7516"/>
    <w:rsid w:val="002C7542"/>
    <w:rsid w:val="002C7B4D"/>
    <w:rsid w:val="002D0123"/>
    <w:rsid w:val="002D022B"/>
    <w:rsid w:val="002D17E5"/>
    <w:rsid w:val="002D1BCF"/>
    <w:rsid w:val="002D1CBA"/>
    <w:rsid w:val="002D1D8A"/>
    <w:rsid w:val="002D2381"/>
    <w:rsid w:val="002D23F7"/>
    <w:rsid w:val="002D2730"/>
    <w:rsid w:val="002D27A6"/>
    <w:rsid w:val="002D2C35"/>
    <w:rsid w:val="002D305B"/>
    <w:rsid w:val="002D3190"/>
    <w:rsid w:val="002D3AEF"/>
    <w:rsid w:val="002D3CDA"/>
    <w:rsid w:val="002D3D11"/>
    <w:rsid w:val="002D4036"/>
    <w:rsid w:val="002D4E93"/>
    <w:rsid w:val="002D5C23"/>
    <w:rsid w:val="002D5D57"/>
    <w:rsid w:val="002D642F"/>
    <w:rsid w:val="002D685D"/>
    <w:rsid w:val="002D68A0"/>
    <w:rsid w:val="002D696E"/>
    <w:rsid w:val="002D6A8D"/>
    <w:rsid w:val="002D6FAB"/>
    <w:rsid w:val="002D7348"/>
    <w:rsid w:val="002D7DDD"/>
    <w:rsid w:val="002E00E5"/>
    <w:rsid w:val="002E023D"/>
    <w:rsid w:val="002E07BE"/>
    <w:rsid w:val="002E094E"/>
    <w:rsid w:val="002E12FD"/>
    <w:rsid w:val="002E176B"/>
    <w:rsid w:val="002E18AF"/>
    <w:rsid w:val="002E19CF"/>
    <w:rsid w:val="002E19FD"/>
    <w:rsid w:val="002E1A5D"/>
    <w:rsid w:val="002E2179"/>
    <w:rsid w:val="002E21A0"/>
    <w:rsid w:val="002E2884"/>
    <w:rsid w:val="002E2BD6"/>
    <w:rsid w:val="002E3624"/>
    <w:rsid w:val="002E3A01"/>
    <w:rsid w:val="002E3D49"/>
    <w:rsid w:val="002E4375"/>
    <w:rsid w:val="002E4F42"/>
    <w:rsid w:val="002E5151"/>
    <w:rsid w:val="002E52A3"/>
    <w:rsid w:val="002E546E"/>
    <w:rsid w:val="002E549B"/>
    <w:rsid w:val="002E55F5"/>
    <w:rsid w:val="002E5D81"/>
    <w:rsid w:val="002E600B"/>
    <w:rsid w:val="002E6793"/>
    <w:rsid w:val="002E6816"/>
    <w:rsid w:val="002E6D5F"/>
    <w:rsid w:val="002E6F7E"/>
    <w:rsid w:val="002F0399"/>
    <w:rsid w:val="002F03C7"/>
    <w:rsid w:val="002F0825"/>
    <w:rsid w:val="002F1619"/>
    <w:rsid w:val="002F1869"/>
    <w:rsid w:val="002F1DC6"/>
    <w:rsid w:val="002F259A"/>
    <w:rsid w:val="002F2A74"/>
    <w:rsid w:val="002F2BB9"/>
    <w:rsid w:val="002F334D"/>
    <w:rsid w:val="002F3A94"/>
    <w:rsid w:val="002F3D47"/>
    <w:rsid w:val="002F4321"/>
    <w:rsid w:val="002F4472"/>
    <w:rsid w:val="002F4700"/>
    <w:rsid w:val="002F471C"/>
    <w:rsid w:val="002F4997"/>
    <w:rsid w:val="002F533F"/>
    <w:rsid w:val="002F53B8"/>
    <w:rsid w:val="002F53F0"/>
    <w:rsid w:val="002F59CA"/>
    <w:rsid w:val="002F613F"/>
    <w:rsid w:val="002F629E"/>
    <w:rsid w:val="002F65D2"/>
    <w:rsid w:val="002F69F1"/>
    <w:rsid w:val="002F6CDC"/>
    <w:rsid w:val="002F72A9"/>
    <w:rsid w:val="002F77D5"/>
    <w:rsid w:val="002F7CDD"/>
    <w:rsid w:val="00300F1F"/>
    <w:rsid w:val="003011E5"/>
    <w:rsid w:val="003012A3"/>
    <w:rsid w:val="003012B9"/>
    <w:rsid w:val="00301CAF"/>
    <w:rsid w:val="0030273D"/>
    <w:rsid w:val="003030E7"/>
    <w:rsid w:val="00303362"/>
    <w:rsid w:val="00303702"/>
    <w:rsid w:val="0030422F"/>
    <w:rsid w:val="00304609"/>
    <w:rsid w:val="00304A46"/>
    <w:rsid w:val="00304F50"/>
    <w:rsid w:val="00305707"/>
    <w:rsid w:val="00305A90"/>
    <w:rsid w:val="00305AAE"/>
    <w:rsid w:val="00305BC6"/>
    <w:rsid w:val="00305C47"/>
    <w:rsid w:val="00305FB6"/>
    <w:rsid w:val="0030635B"/>
    <w:rsid w:val="003068F4"/>
    <w:rsid w:val="00307A91"/>
    <w:rsid w:val="00307B14"/>
    <w:rsid w:val="00310142"/>
    <w:rsid w:val="00311132"/>
    <w:rsid w:val="0031126B"/>
    <w:rsid w:val="00311AD8"/>
    <w:rsid w:val="00311B37"/>
    <w:rsid w:val="00311E17"/>
    <w:rsid w:val="00312143"/>
    <w:rsid w:val="00312578"/>
    <w:rsid w:val="00312624"/>
    <w:rsid w:val="00313231"/>
    <w:rsid w:val="00313ACA"/>
    <w:rsid w:val="0031409C"/>
    <w:rsid w:val="00314155"/>
    <w:rsid w:val="003142A4"/>
    <w:rsid w:val="0031471F"/>
    <w:rsid w:val="00314D74"/>
    <w:rsid w:val="0031585C"/>
    <w:rsid w:val="00316516"/>
    <w:rsid w:val="00316871"/>
    <w:rsid w:val="00316AEB"/>
    <w:rsid w:val="0031775C"/>
    <w:rsid w:val="00317858"/>
    <w:rsid w:val="003178A7"/>
    <w:rsid w:val="00317DA4"/>
    <w:rsid w:val="00320BA4"/>
    <w:rsid w:val="00321040"/>
    <w:rsid w:val="003213B1"/>
    <w:rsid w:val="003215BE"/>
    <w:rsid w:val="00321BB5"/>
    <w:rsid w:val="00321BCD"/>
    <w:rsid w:val="00322DE2"/>
    <w:rsid w:val="0032379B"/>
    <w:rsid w:val="00323890"/>
    <w:rsid w:val="00324069"/>
    <w:rsid w:val="0032424B"/>
    <w:rsid w:val="0032429D"/>
    <w:rsid w:val="00324B67"/>
    <w:rsid w:val="00325C77"/>
    <w:rsid w:val="00325E64"/>
    <w:rsid w:val="00326DE8"/>
    <w:rsid w:val="00326E02"/>
    <w:rsid w:val="00327512"/>
    <w:rsid w:val="003300E2"/>
    <w:rsid w:val="00330138"/>
    <w:rsid w:val="0033029B"/>
    <w:rsid w:val="00330360"/>
    <w:rsid w:val="00330F36"/>
    <w:rsid w:val="003311D1"/>
    <w:rsid w:val="003316A6"/>
    <w:rsid w:val="0033187C"/>
    <w:rsid w:val="00331D1A"/>
    <w:rsid w:val="003323E7"/>
    <w:rsid w:val="00332965"/>
    <w:rsid w:val="00332EAC"/>
    <w:rsid w:val="00332F36"/>
    <w:rsid w:val="003333A4"/>
    <w:rsid w:val="003333C8"/>
    <w:rsid w:val="00334125"/>
    <w:rsid w:val="0033415A"/>
    <w:rsid w:val="00334635"/>
    <w:rsid w:val="00334AA1"/>
    <w:rsid w:val="00334AF6"/>
    <w:rsid w:val="00334B0D"/>
    <w:rsid w:val="00335FAF"/>
    <w:rsid w:val="003371E5"/>
    <w:rsid w:val="00340874"/>
    <w:rsid w:val="00340A94"/>
    <w:rsid w:val="00340B79"/>
    <w:rsid w:val="00340FC4"/>
    <w:rsid w:val="003412D4"/>
    <w:rsid w:val="00341325"/>
    <w:rsid w:val="003414E8"/>
    <w:rsid w:val="00341653"/>
    <w:rsid w:val="0034178F"/>
    <w:rsid w:val="0034193A"/>
    <w:rsid w:val="003419BF"/>
    <w:rsid w:val="003419D0"/>
    <w:rsid w:val="00341FD7"/>
    <w:rsid w:val="003426ED"/>
    <w:rsid w:val="00342D80"/>
    <w:rsid w:val="00343188"/>
    <w:rsid w:val="003431D1"/>
    <w:rsid w:val="003436A4"/>
    <w:rsid w:val="00343767"/>
    <w:rsid w:val="00343A15"/>
    <w:rsid w:val="00344088"/>
    <w:rsid w:val="003445CC"/>
    <w:rsid w:val="0034476D"/>
    <w:rsid w:val="00344AF4"/>
    <w:rsid w:val="00344D39"/>
    <w:rsid w:val="00344EB9"/>
    <w:rsid w:val="003450F8"/>
    <w:rsid w:val="00345510"/>
    <w:rsid w:val="003458DE"/>
    <w:rsid w:val="003458E6"/>
    <w:rsid w:val="003459AF"/>
    <w:rsid w:val="00345C96"/>
    <w:rsid w:val="00345CC5"/>
    <w:rsid w:val="003466F2"/>
    <w:rsid w:val="003468D9"/>
    <w:rsid w:val="00346970"/>
    <w:rsid w:val="00346E85"/>
    <w:rsid w:val="00350562"/>
    <w:rsid w:val="00350C6D"/>
    <w:rsid w:val="003511F6"/>
    <w:rsid w:val="00351CF8"/>
    <w:rsid w:val="003522E0"/>
    <w:rsid w:val="00352664"/>
    <w:rsid w:val="0035267B"/>
    <w:rsid w:val="00352754"/>
    <w:rsid w:val="00352D78"/>
    <w:rsid w:val="00353487"/>
    <w:rsid w:val="0035359C"/>
    <w:rsid w:val="00353A66"/>
    <w:rsid w:val="00353DF0"/>
    <w:rsid w:val="00353F94"/>
    <w:rsid w:val="0035422C"/>
    <w:rsid w:val="003542A5"/>
    <w:rsid w:val="00355689"/>
    <w:rsid w:val="003559A9"/>
    <w:rsid w:val="00355B86"/>
    <w:rsid w:val="00356059"/>
    <w:rsid w:val="00356433"/>
    <w:rsid w:val="003564CF"/>
    <w:rsid w:val="00356F50"/>
    <w:rsid w:val="0035711C"/>
    <w:rsid w:val="00357EB3"/>
    <w:rsid w:val="0036059F"/>
    <w:rsid w:val="003614B4"/>
    <w:rsid w:val="00361E0E"/>
    <w:rsid w:val="003628EB"/>
    <w:rsid w:val="00362D58"/>
    <w:rsid w:val="00362DAD"/>
    <w:rsid w:val="00363192"/>
    <w:rsid w:val="003633CF"/>
    <w:rsid w:val="0036375A"/>
    <w:rsid w:val="00363B2A"/>
    <w:rsid w:val="00363CC9"/>
    <w:rsid w:val="00363DAD"/>
    <w:rsid w:val="00363F26"/>
    <w:rsid w:val="00364B92"/>
    <w:rsid w:val="003651CB"/>
    <w:rsid w:val="00365210"/>
    <w:rsid w:val="00366A00"/>
    <w:rsid w:val="003673D6"/>
    <w:rsid w:val="003673F5"/>
    <w:rsid w:val="003678AF"/>
    <w:rsid w:val="003701DE"/>
    <w:rsid w:val="00370BD1"/>
    <w:rsid w:val="00371979"/>
    <w:rsid w:val="00371A23"/>
    <w:rsid w:val="00371B55"/>
    <w:rsid w:val="00371DA7"/>
    <w:rsid w:val="00371E00"/>
    <w:rsid w:val="0037208A"/>
    <w:rsid w:val="00372EAA"/>
    <w:rsid w:val="003735CB"/>
    <w:rsid w:val="00373861"/>
    <w:rsid w:val="00373A23"/>
    <w:rsid w:val="00374263"/>
    <w:rsid w:val="003742BC"/>
    <w:rsid w:val="00374532"/>
    <w:rsid w:val="00374D8C"/>
    <w:rsid w:val="0037557A"/>
    <w:rsid w:val="00375832"/>
    <w:rsid w:val="00375FFA"/>
    <w:rsid w:val="00376166"/>
    <w:rsid w:val="00376309"/>
    <w:rsid w:val="00376B99"/>
    <w:rsid w:val="00376F92"/>
    <w:rsid w:val="003775BC"/>
    <w:rsid w:val="003777F0"/>
    <w:rsid w:val="00377A69"/>
    <w:rsid w:val="00377B58"/>
    <w:rsid w:val="003802D2"/>
    <w:rsid w:val="0038037C"/>
    <w:rsid w:val="003818FA"/>
    <w:rsid w:val="00381A6B"/>
    <w:rsid w:val="00381E33"/>
    <w:rsid w:val="0038205A"/>
    <w:rsid w:val="0038210D"/>
    <w:rsid w:val="003822B5"/>
    <w:rsid w:val="00382463"/>
    <w:rsid w:val="00382BA1"/>
    <w:rsid w:val="00382C2E"/>
    <w:rsid w:val="00382CC0"/>
    <w:rsid w:val="00382DF0"/>
    <w:rsid w:val="003833C8"/>
    <w:rsid w:val="003834D8"/>
    <w:rsid w:val="00383733"/>
    <w:rsid w:val="00383B20"/>
    <w:rsid w:val="00383B92"/>
    <w:rsid w:val="00383CAB"/>
    <w:rsid w:val="00384975"/>
    <w:rsid w:val="0038503C"/>
    <w:rsid w:val="003853E1"/>
    <w:rsid w:val="0038552A"/>
    <w:rsid w:val="00385BEA"/>
    <w:rsid w:val="00386C0A"/>
    <w:rsid w:val="00386CCE"/>
    <w:rsid w:val="00386FFF"/>
    <w:rsid w:val="00387515"/>
    <w:rsid w:val="00387808"/>
    <w:rsid w:val="00387AE5"/>
    <w:rsid w:val="00387B78"/>
    <w:rsid w:val="003904E7"/>
    <w:rsid w:val="003905EA"/>
    <w:rsid w:val="00390807"/>
    <w:rsid w:val="003909E2"/>
    <w:rsid w:val="00391100"/>
    <w:rsid w:val="00391755"/>
    <w:rsid w:val="003919A7"/>
    <w:rsid w:val="00391C41"/>
    <w:rsid w:val="00392910"/>
    <w:rsid w:val="00392A4B"/>
    <w:rsid w:val="003931A4"/>
    <w:rsid w:val="00394062"/>
    <w:rsid w:val="00394380"/>
    <w:rsid w:val="00394443"/>
    <w:rsid w:val="003948B0"/>
    <w:rsid w:val="00395171"/>
    <w:rsid w:val="003965AF"/>
    <w:rsid w:val="003970B8"/>
    <w:rsid w:val="003971C1"/>
    <w:rsid w:val="0039799D"/>
    <w:rsid w:val="003A040C"/>
    <w:rsid w:val="003A04B2"/>
    <w:rsid w:val="003A0CA4"/>
    <w:rsid w:val="003A0FA1"/>
    <w:rsid w:val="003A1609"/>
    <w:rsid w:val="003A18DC"/>
    <w:rsid w:val="003A1B45"/>
    <w:rsid w:val="003A1C93"/>
    <w:rsid w:val="003A1CF0"/>
    <w:rsid w:val="003A212B"/>
    <w:rsid w:val="003A2931"/>
    <w:rsid w:val="003A2B7A"/>
    <w:rsid w:val="003A2C09"/>
    <w:rsid w:val="003A3704"/>
    <w:rsid w:val="003A397C"/>
    <w:rsid w:val="003A39D7"/>
    <w:rsid w:val="003A3D58"/>
    <w:rsid w:val="003A46A6"/>
    <w:rsid w:val="003A4CFB"/>
    <w:rsid w:val="003A4F8C"/>
    <w:rsid w:val="003A50F5"/>
    <w:rsid w:val="003A531E"/>
    <w:rsid w:val="003A647F"/>
    <w:rsid w:val="003A6594"/>
    <w:rsid w:val="003A6EB4"/>
    <w:rsid w:val="003A6FFB"/>
    <w:rsid w:val="003A72AD"/>
    <w:rsid w:val="003A7F77"/>
    <w:rsid w:val="003B040D"/>
    <w:rsid w:val="003B0752"/>
    <w:rsid w:val="003B0812"/>
    <w:rsid w:val="003B0C87"/>
    <w:rsid w:val="003B1AD2"/>
    <w:rsid w:val="003B1C7D"/>
    <w:rsid w:val="003B1F8F"/>
    <w:rsid w:val="003B21BE"/>
    <w:rsid w:val="003B262A"/>
    <w:rsid w:val="003B2754"/>
    <w:rsid w:val="003B295D"/>
    <w:rsid w:val="003B2C85"/>
    <w:rsid w:val="003B2D10"/>
    <w:rsid w:val="003B3D47"/>
    <w:rsid w:val="003B5123"/>
    <w:rsid w:val="003B51EE"/>
    <w:rsid w:val="003B5595"/>
    <w:rsid w:val="003B59F8"/>
    <w:rsid w:val="003B5CEA"/>
    <w:rsid w:val="003B614F"/>
    <w:rsid w:val="003B6BC1"/>
    <w:rsid w:val="003B6E07"/>
    <w:rsid w:val="003B6EE0"/>
    <w:rsid w:val="003B7379"/>
    <w:rsid w:val="003B73B5"/>
    <w:rsid w:val="003B73C3"/>
    <w:rsid w:val="003C010D"/>
    <w:rsid w:val="003C021A"/>
    <w:rsid w:val="003C075E"/>
    <w:rsid w:val="003C0B01"/>
    <w:rsid w:val="003C140D"/>
    <w:rsid w:val="003C14F1"/>
    <w:rsid w:val="003C16CD"/>
    <w:rsid w:val="003C1F94"/>
    <w:rsid w:val="003C267E"/>
    <w:rsid w:val="003C33AD"/>
    <w:rsid w:val="003C36B2"/>
    <w:rsid w:val="003C38F2"/>
    <w:rsid w:val="003C3987"/>
    <w:rsid w:val="003C3C24"/>
    <w:rsid w:val="003C47E3"/>
    <w:rsid w:val="003C570E"/>
    <w:rsid w:val="003C5725"/>
    <w:rsid w:val="003C57F6"/>
    <w:rsid w:val="003C6364"/>
    <w:rsid w:val="003C64E7"/>
    <w:rsid w:val="003C75B6"/>
    <w:rsid w:val="003C7BB9"/>
    <w:rsid w:val="003C7BDE"/>
    <w:rsid w:val="003C7D4B"/>
    <w:rsid w:val="003C7DD1"/>
    <w:rsid w:val="003C7E5B"/>
    <w:rsid w:val="003D01EC"/>
    <w:rsid w:val="003D044E"/>
    <w:rsid w:val="003D07A5"/>
    <w:rsid w:val="003D09A4"/>
    <w:rsid w:val="003D0C72"/>
    <w:rsid w:val="003D16C2"/>
    <w:rsid w:val="003D1B01"/>
    <w:rsid w:val="003D1FDF"/>
    <w:rsid w:val="003D21AB"/>
    <w:rsid w:val="003D22E7"/>
    <w:rsid w:val="003D2856"/>
    <w:rsid w:val="003D28FD"/>
    <w:rsid w:val="003D35AA"/>
    <w:rsid w:val="003D3BB7"/>
    <w:rsid w:val="003D425A"/>
    <w:rsid w:val="003D45A7"/>
    <w:rsid w:val="003D4B93"/>
    <w:rsid w:val="003D589F"/>
    <w:rsid w:val="003D5ECC"/>
    <w:rsid w:val="003D62FD"/>
    <w:rsid w:val="003D65A9"/>
    <w:rsid w:val="003D6669"/>
    <w:rsid w:val="003D6937"/>
    <w:rsid w:val="003D73BF"/>
    <w:rsid w:val="003D74A4"/>
    <w:rsid w:val="003D75BA"/>
    <w:rsid w:val="003D7B51"/>
    <w:rsid w:val="003D7BFB"/>
    <w:rsid w:val="003E07F5"/>
    <w:rsid w:val="003E085B"/>
    <w:rsid w:val="003E0E08"/>
    <w:rsid w:val="003E0FD2"/>
    <w:rsid w:val="003E1A8D"/>
    <w:rsid w:val="003E1C74"/>
    <w:rsid w:val="003E2494"/>
    <w:rsid w:val="003E24E7"/>
    <w:rsid w:val="003E2EDB"/>
    <w:rsid w:val="003E3368"/>
    <w:rsid w:val="003E338D"/>
    <w:rsid w:val="003E3937"/>
    <w:rsid w:val="003E3BFD"/>
    <w:rsid w:val="003E4FDD"/>
    <w:rsid w:val="003E5257"/>
    <w:rsid w:val="003E5664"/>
    <w:rsid w:val="003E60A6"/>
    <w:rsid w:val="003E68BC"/>
    <w:rsid w:val="003E72A2"/>
    <w:rsid w:val="003E7DAC"/>
    <w:rsid w:val="003F0347"/>
    <w:rsid w:val="003F0E28"/>
    <w:rsid w:val="003F0F86"/>
    <w:rsid w:val="003F137F"/>
    <w:rsid w:val="003F1ECC"/>
    <w:rsid w:val="003F252D"/>
    <w:rsid w:val="003F48FE"/>
    <w:rsid w:val="003F4ACA"/>
    <w:rsid w:val="003F55BC"/>
    <w:rsid w:val="003F56E9"/>
    <w:rsid w:val="003F61E7"/>
    <w:rsid w:val="003F664A"/>
    <w:rsid w:val="003F6A93"/>
    <w:rsid w:val="003F6B15"/>
    <w:rsid w:val="003F6B1D"/>
    <w:rsid w:val="003F6F2D"/>
    <w:rsid w:val="003F75A7"/>
    <w:rsid w:val="003F788E"/>
    <w:rsid w:val="004001BC"/>
    <w:rsid w:val="004005DD"/>
    <w:rsid w:val="004009EB"/>
    <w:rsid w:val="00400DC2"/>
    <w:rsid w:val="004014F7"/>
    <w:rsid w:val="00401715"/>
    <w:rsid w:val="00401763"/>
    <w:rsid w:val="00401D8B"/>
    <w:rsid w:val="0040233E"/>
    <w:rsid w:val="004025FE"/>
    <w:rsid w:val="0040349C"/>
    <w:rsid w:val="0040388C"/>
    <w:rsid w:val="0040394D"/>
    <w:rsid w:val="0040430F"/>
    <w:rsid w:val="00404B7C"/>
    <w:rsid w:val="00404D36"/>
    <w:rsid w:val="0040502B"/>
    <w:rsid w:val="004053BA"/>
    <w:rsid w:val="00405CA1"/>
    <w:rsid w:val="0040684F"/>
    <w:rsid w:val="00407003"/>
    <w:rsid w:val="004073FF"/>
    <w:rsid w:val="00407BEA"/>
    <w:rsid w:val="00407FDE"/>
    <w:rsid w:val="00410051"/>
    <w:rsid w:val="0041012B"/>
    <w:rsid w:val="004102FD"/>
    <w:rsid w:val="00410E6B"/>
    <w:rsid w:val="00410E8A"/>
    <w:rsid w:val="004113B9"/>
    <w:rsid w:val="00411958"/>
    <w:rsid w:val="00411D37"/>
    <w:rsid w:val="00412272"/>
    <w:rsid w:val="004123FD"/>
    <w:rsid w:val="00412733"/>
    <w:rsid w:val="0041283C"/>
    <w:rsid w:val="00412A9F"/>
    <w:rsid w:val="0041304C"/>
    <w:rsid w:val="004134F7"/>
    <w:rsid w:val="0041382D"/>
    <w:rsid w:val="00414393"/>
    <w:rsid w:val="004152BF"/>
    <w:rsid w:val="00415C11"/>
    <w:rsid w:val="004167AA"/>
    <w:rsid w:val="00417A44"/>
    <w:rsid w:val="00417F7F"/>
    <w:rsid w:val="004204D3"/>
    <w:rsid w:val="00420562"/>
    <w:rsid w:val="0042094D"/>
    <w:rsid w:val="0042124E"/>
    <w:rsid w:val="0042146C"/>
    <w:rsid w:val="00421F7B"/>
    <w:rsid w:val="004224A6"/>
    <w:rsid w:val="00422B8B"/>
    <w:rsid w:val="00422E05"/>
    <w:rsid w:val="00423215"/>
    <w:rsid w:val="004236F7"/>
    <w:rsid w:val="00424A1C"/>
    <w:rsid w:val="00424F89"/>
    <w:rsid w:val="0042562A"/>
    <w:rsid w:val="0042589C"/>
    <w:rsid w:val="00425ABF"/>
    <w:rsid w:val="00426455"/>
    <w:rsid w:val="00426872"/>
    <w:rsid w:val="004271A4"/>
    <w:rsid w:val="004275FA"/>
    <w:rsid w:val="00427A67"/>
    <w:rsid w:val="00427AEE"/>
    <w:rsid w:val="00427BEE"/>
    <w:rsid w:val="00427D93"/>
    <w:rsid w:val="00427F30"/>
    <w:rsid w:val="004303E0"/>
    <w:rsid w:val="004307CC"/>
    <w:rsid w:val="00430C50"/>
    <w:rsid w:val="00430F9D"/>
    <w:rsid w:val="00432134"/>
    <w:rsid w:val="004323AD"/>
    <w:rsid w:val="00432D57"/>
    <w:rsid w:val="00432D82"/>
    <w:rsid w:val="004336BD"/>
    <w:rsid w:val="004338DB"/>
    <w:rsid w:val="00433919"/>
    <w:rsid w:val="00433C81"/>
    <w:rsid w:val="00434399"/>
    <w:rsid w:val="004344CF"/>
    <w:rsid w:val="004346FB"/>
    <w:rsid w:val="004349C6"/>
    <w:rsid w:val="00434BE6"/>
    <w:rsid w:val="00434F66"/>
    <w:rsid w:val="00435BF3"/>
    <w:rsid w:val="00435DAD"/>
    <w:rsid w:val="00435F90"/>
    <w:rsid w:val="004360DC"/>
    <w:rsid w:val="0043668B"/>
    <w:rsid w:val="00436DD1"/>
    <w:rsid w:val="0043705A"/>
    <w:rsid w:val="0043723A"/>
    <w:rsid w:val="00437264"/>
    <w:rsid w:val="00437A1D"/>
    <w:rsid w:val="00437FD9"/>
    <w:rsid w:val="00440BD0"/>
    <w:rsid w:val="00441279"/>
    <w:rsid w:val="004412F6"/>
    <w:rsid w:val="00441A94"/>
    <w:rsid w:val="00441D27"/>
    <w:rsid w:val="00441FBF"/>
    <w:rsid w:val="00443660"/>
    <w:rsid w:val="00443CFA"/>
    <w:rsid w:val="00444053"/>
    <w:rsid w:val="00444973"/>
    <w:rsid w:val="00445A75"/>
    <w:rsid w:val="00446463"/>
    <w:rsid w:val="0044655A"/>
    <w:rsid w:val="004465C9"/>
    <w:rsid w:val="004467EE"/>
    <w:rsid w:val="00446AE0"/>
    <w:rsid w:val="00446EC8"/>
    <w:rsid w:val="00447A47"/>
    <w:rsid w:val="00447D77"/>
    <w:rsid w:val="00447D7D"/>
    <w:rsid w:val="00447DCC"/>
    <w:rsid w:val="00450327"/>
    <w:rsid w:val="00450F62"/>
    <w:rsid w:val="004510DA"/>
    <w:rsid w:val="00451BA9"/>
    <w:rsid w:val="00451F0A"/>
    <w:rsid w:val="00451FA3"/>
    <w:rsid w:val="00452563"/>
    <w:rsid w:val="004526C8"/>
    <w:rsid w:val="004527A5"/>
    <w:rsid w:val="004527DD"/>
    <w:rsid w:val="004529B1"/>
    <w:rsid w:val="00453650"/>
    <w:rsid w:val="0045385C"/>
    <w:rsid w:val="00453AB0"/>
    <w:rsid w:val="00453BC0"/>
    <w:rsid w:val="00454487"/>
    <w:rsid w:val="00454633"/>
    <w:rsid w:val="00454B84"/>
    <w:rsid w:val="00454EAA"/>
    <w:rsid w:val="00454F86"/>
    <w:rsid w:val="00455523"/>
    <w:rsid w:val="0045565D"/>
    <w:rsid w:val="00456350"/>
    <w:rsid w:val="004565F0"/>
    <w:rsid w:val="004566C3"/>
    <w:rsid w:val="0045693A"/>
    <w:rsid w:val="00456A27"/>
    <w:rsid w:val="00456D55"/>
    <w:rsid w:val="00456F5A"/>
    <w:rsid w:val="0045743B"/>
    <w:rsid w:val="00460623"/>
    <w:rsid w:val="00460E4C"/>
    <w:rsid w:val="00460EC8"/>
    <w:rsid w:val="004615C6"/>
    <w:rsid w:val="004627FF"/>
    <w:rsid w:val="004631F8"/>
    <w:rsid w:val="00463A11"/>
    <w:rsid w:val="00463F18"/>
    <w:rsid w:val="0046453F"/>
    <w:rsid w:val="00464FD9"/>
    <w:rsid w:val="004657DF"/>
    <w:rsid w:val="00465A21"/>
    <w:rsid w:val="00466696"/>
    <w:rsid w:val="004666F7"/>
    <w:rsid w:val="0046721A"/>
    <w:rsid w:val="004672A0"/>
    <w:rsid w:val="0046776A"/>
    <w:rsid w:val="00467B12"/>
    <w:rsid w:val="0047008B"/>
    <w:rsid w:val="004702E7"/>
    <w:rsid w:val="00470C08"/>
    <w:rsid w:val="00470C8D"/>
    <w:rsid w:val="00470F04"/>
    <w:rsid w:val="004714E9"/>
    <w:rsid w:val="00471D4D"/>
    <w:rsid w:val="00472538"/>
    <w:rsid w:val="004728E9"/>
    <w:rsid w:val="00473224"/>
    <w:rsid w:val="004733C0"/>
    <w:rsid w:val="0047376C"/>
    <w:rsid w:val="00473897"/>
    <w:rsid w:val="00473BB9"/>
    <w:rsid w:val="00474731"/>
    <w:rsid w:val="00474E00"/>
    <w:rsid w:val="00474FAE"/>
    <w:rsid w:val="004750F0"/>
    <w:rsid w:val="00475421"/>
    <w:rsid w:val="00475A80"/>
    <w:rsid w:val="00475ACE"/>
    <w:rsid w:val="00475CEC"/>
    <w:rsid w:val="00475EAB"/>
    <w:rsid w:val="00475FD0"/>
    <w:rsid w:val="00476C7D"/>
    <w:rsid w:val="00477344"/>
    <w:rsid w:val="004773F4"/>
    <w:rsid w:val="00477876"/>
    <w:rsid w:val="0047793F"/>
    <w:rsid w:val="004800A3"/>
    <w:rsid w:val="004804E2"/>
    <w:rsid w:val="00480786"/>
    <w:rsid w:val="004807D3"/>
    <w:rsid w:val="0048086E"/>
    <w:rsid w:val="00480B3F"/>
    <w:rsid w:val="00480BA1"/>
    <w:rsid w:val="004812F1"/>
    <w:rsid w:val="004814A1"/>
    <w:rsid w:val="00481538"/>
    <w:rsid w:val="00481A41"/>
    <w:rsid w:val="00481B75"/>
    <w:rsid w:val="004827A8"/>
    <w:rsid w:val="00482A2E"/>
    <w:rsid w:val="00482EBE"/>
    <w:rsid w:val="00483669"/>
    <w:rsid w:val="00483905"/>
    <w:rsid w:val="0048420B"/>
    <w:rsid w:val="00484592"/>
    <w:rsid w:val="00484748"/>
    <w:rsid w:val="00485A77"/>
    <w:rsid w:val="00485D8D"/>
    <w:rsid w:val="00486078"/>
    <w:rsid w:val="0048618A"/>
    <w:rsid w:val="004861B0"/>
    <w:rsid w:val="0048621F"/>
    <w:rsid w:val="0048772A"/>
    <w:rsid w:val="0049011F"/>
    <w:rsid w:val="004901E9"/>
    <w:rsid w:val="00490313"/>
    <w:rsid w:val="00490471"/>
    <w:rsid w:val="00490567"/>
    <w:rsid w:val="004907BB"/>
    <w:rsid w:val="004907F5"/>
    <w:rsid w:val="00490A59"/>
    <w:rsid w:val="00490BDE"/>
    <w:rsid w:val="00491A98"/>
    <w:rsid w:val="004921EC"/>
    <w:rsid w:val="00492A1B"/>
    <w:rsid w:val="00492B50"/>
    <w:rsid w:val="004935A7"/>
    <w:rsid w:val="00493732"/>
    <w:rsid w:val="00494BE8"/>
    <w:rsid w:val="00494DE5"/>
    <w:rsid w:val="00495264"/>
    <w:rsid w:val="004955AC"/>
    <w:rsid w:val="004958AE"/>
    <w:rsid w:val="00495A64"/>
    <w:rsid w:val="00495DCF"/>
    <w:rsid w:val="004969BD"/>
    <w:rsid w:val="0049703D"/>
    <w:rsid w:val="00497173"/>
    <w:rsid w:val="004977F0"/>
    <w:rsid w:val="004A0165"/>
    <w:rsid w:val="004A11FE"/>
    <w:rsid w:val="004A1331"/>
    <w:rsid w:val="004A13D5"/>
    <w:rsid w:val="004A14FA"/>
    <w:rsid w:val="004A169E"/>
    <w:rsid w:val="004A2082"/>
    <w:rsid w:val="004A23D6"/>
    <w:rsid w:val="004A26E4"/>
    <w:rsid w:val="004A299B"/>
    <w:rsid w:val="004A2F3F"/>
    <w:rsid w:val="004A2F88"/>
    <w:rsid w:val="004A3068"/>
    <w:rsid w:val="004A3306"/>
    <w:rsid w:val="004A3419"/>
    <w:rsid w:val="004A348F"/>
    <w:rsid w:val="004A385D"/>
    <w:rsid w:val="004A423C"/>
    <w:rsid w:val="004A45AC"/>
    <w:rsid w:val="004A4A26"/>
    <w:rsid w:val="004A4E43"/>
    <w:rsid w:val="004A52C5"/>
    <w:rsid w:val="004A5711"/>
    <w:rsid w:val="004A5875"/>
    <w:rsid w:val="004A5A3F"/>
    <w:rsid w:val="004A5DE0"/>
    <w:rsid w:val="004A6017"/>
    <w:rsid w:val="004A6051"/>
    <w:rsid w:val="004A619A"/>
    <w:rsid w:val="004A627C"/>
    <w:rsid w:val="004A7378"/>
    <w:rsid w:val="004A7A03"/>
    <w:rsid w:val="004A7B10"/>
    <w:rsid w:val="004A7B75"/>
    <w:rsid w:val="004B04A3"/>
    <w:rsid w:val="004B0D56"/>
    <w:rsid w:val="004B0E00"/>
    <w:rsid w:val="004B101C"/>
    <w:rsid w:val="004B1394"/>
    <w:rsid w:val="004B1C01"/>
    <w:rsid w:val="004B1F83"/>
    <w:rsid w:val="004B247C"/>
    <w:rsid w:val="004B2B84"/>
    <w:rsid w:val="004B2BA7"/>
    <w:rsid w:val="004B307D"/>
    <w:rsid w:val="004B3566"/>
    <w:rsid w:val="004B3BA1"/>
    <w:rsid w:val="004B3F36"/>
    <w:rsid w:val="004B42C1"/>
    <w:rsid w:val="004B4925"/>
    <w:rsid w:val="004B5C0B"/>
    <w:rsid w:val="004B5C82"/>
    <w:rsid w:val="004B5DB7"/>
    <w:rsid w:val="004B5E66"/>
    <w:rsid w:val="004B5F7F"/>
    <w:rsid w:val="004B5FF5"/>
    <w:rsid w:val="004B6285"/>
    <w:rsid w:val="004B6DBC"/>
    <w:rsid w:val="004B71EB"/>
    <w:rsid w:val="004B74A7"/>
    <w:rsid w:val="004B7627"/>
    <w:rsid w:val="004C04EC"/>
    <w:rsid w:val="004C06B5"/>
    <w:rsid w:val="004C0898"/>
    <w:rsid w:val="004C1514"/>
    <w:rsid w:val="004C1EC9"/>
    <w:rsid w:val="004C2076"/>
    <w:rsid w:val="004C2310"/>
    <w:rsid w:val="004C24A6"/>
    <w:rsid w:val="004C2B50"/>
    <w:rsid w:val="004C3205"/>
    <w:rsid w:val="004C3CFF"/>
    <w:rsid w:val="004C40A5"/>
    <w:rsid w:val="004C4726"/>
    <w:rsid w:val="004C47E4"/>
    <w:rsid w:val="004C4AE2"/>
    <w:rsid w:val="004C4D10"/>
    <w:rsid w:val="004C5E93"/>
    <w:rsid w:val="004C6116"/>
    <w:rsid w:val="004C617E"/>
    <w:rsid w:val="004C623E"/>
    <w:rsid w:val="004C6912"/>
    <w:rsid w:val="004C6BFE"/>
    <w:rsid w:val="004C6E4F"/>
    <w:rsid w:val="004C7230"/>
    <w:rsid w:val="004C7316"/>
    <w:rsid w:val="004C73D4"/>
    <w:rsid w:val="004C78C2"/>
    <w:rsid w:val="004C7D00"/>
    <w:rsid w:val="004C7D4B"/>
    <w:rsid w:val="004D0195"/>
    <w:rsid w:val="004D0617"/>
    <w:rsid w:val="004D0A21"/>
    <w:rsid w:val="004D0D91"/>
    <w:rsid w:val="004D0D98"/>
    <w:rsid w:val="004D113B"/>
    <w:rsid w:val="004D1D88"/>
    <w:rsid w:val="004D2139"/>
    <w:rsid w:val="004D2DBD"/>
    <w:rsid w:val="004D34BB"/>
    <w:rsid w:val="004D34C5"/>
    <w:rsid w:val="004D35B9"/>
    <w:rsid w:val="004D38F1"/>
    <w:rsid w:val="004D3A54"/>
    <w:rsid w:val="004D43A6"/>
    <w:rsid w:val="004D4A2D"/>
    <w:rsid w:val="004D5081"/>
    <w:rsid w:val="004D5206"/>
    <w:rsid w:val="004D6EBD"/>
    <w:rsid w:val="004D714D"/>
    <w:rsid w:val="004D7670"/>
    <w:rsid w:val="004D790F"/>
    <w:rsid w:val="004D79FE"/>
    <w:rsid w:val="004D7C2B"/>
    <w:rsid w:val="004D7E89"/>
    <w:rsid w:val="004D7F68"/>
    <w:rsid w:val="004E0397"/>
    <w:rsid w:val="004E03CD"/>
    <w:rsid w:val="004E0681"/>
    <w:rsid w:val="004E1777"/>
    <w:rsid w:val="004E274B"/>
    <w:rsid w:val="004E2952"/>
    <w:rsid w:val="004E2A14"/>
    <w:rsid w:val="004E3447"/>
    <w:rsid w:val="004E3B52"/>
    <w:rsid w:val="004E46E5"/>
    <w:rsid w:val="004E4EB4"/>
    <w:rsid w:val="004E5025"/>
    <w:rsid w:val="004E672A"/>
    <w:rsid w:val="004E69A1"/>
    <w:rsid w:val="004E6F24"/>
    <w:rsid w:val="004E7028"/>
    <w:rsid w:val="004E7706"/>
    <w:rsid w:val="004E7AD6"/>
    <w:rsid w:val="004E7F04"/>
    <w:rsid w:val="004F03AD"/>
    <w:rsid w:val="004F0978"/>
    <w:rsid w:val="004F0D0C"/>
    <w:rsid w:val="004F185A"/>
    <w:rsid w:val="004F1B84"/>
    <w:rsid w:val="004F247F"/>
    <w:rsid w:val="004F25FF"/>
    <w:rsid w:val="004F262A"/>
    <w:rsid w:val="004F2DFD"/>
    <w:rsid w:val="004F372C"/>
    <w:rsid w:val="004F3BBA"/>
    <w:rsid w:val="004F49F2"/>
    <w:rsid w:val="004F54DD"/>
    <w:rsid w:val="004F553C"/>
    <w:rsid w:val="004F55B2"/>
    <w:rsid w:val="004F5707"/>
    <w:rsid w:val="004F5BC6"/>
    <w:rsid w:val="004F61AA"/>
    <w:rsid w:val="004F67AE"/>
    <w:rsid w:val="004F6F88"/>
    <w:rsid w:val="004F73B7"/>
    <w:rsid w:val="004F73C2"/>
    <w:rsid w:val="004F79EF"/>
    <w:rsid w:val="004F7A13"/>
    <w:rsid w:val="004F7AEF"/>
    <w:rsid w:val="004F7B34"/>
    <w:rsid w:val="004F7CA1"/>
    <w:rsid w:val="0050015D"/>
    <w:rsid w:val="005005BB"/>
    <w:rsid w:val="00500A35"/>
    <w:rsid w:val="00500CB7"/>
    <w:rsid w:val="00500D87"/>
    <w:rsid w:val="00502321"/>
    <w:rsid w:val="00502D4E"/>
    <w:rsid w:val="00503B6D"/>
    <w:rsid w:val="00504293"/>
    <w:rsid w:val="005049EB"/>
    <w:rsid w:val="00505664"/>
    <w:rsid w:val="00505D43"/>
    <w:rsid w:val="00505D4F"/>
    <w:rsid w:val="00505E73"/>
    <w:rsid w:val="005061E8"/>
    <w:rsid w:val="00506523"/>
    <w:rsid w:val="00506D00"/>
    <w:rsid w:val="00510284"/>
    <w:rsid w:val="00510533"/>
    <w:rsid w:val="00510CA5"/>
    <w:rsid w:val="0051121F"/>
    <w:rsid w:val="005118A0"/>
    <w:rsid w:val="00511919"/>
    <w:rsid w:val="00511F91"/>
    <w:rsid w:val="005124C6"/>
    <w:rsid w:val="005126C2"/>
    <w:rsid w:val="005127DF"/>
    <w:rsid w:val="005128C4"/>
    <w:rsid w:val="00512BAE"/>
    <w:rsid w:val="00513F59"/>
    <w:rsid w:val="005140D0"/>
    <w:rsid w:val="005142DE"/>
    <w:rsid w:val="005144C8"/>
    <w:rsid w:val="005144D3"/>
    <w:rsid w:val="00515E8C"/>
    <w:rsid w:val="005160DB"/>
    <w:rsid w:val="00516AF1"/>
    <w:rsid w:val="005171E3"/>
    <w:rsid w:val="005179C1"/>
    <w:rsid w:val="00517F0C"/>
    <w:rsid w:val="00517FF3"/>
    <w:rsid w:val="005202D7"/>
    <w:rsid w:val="0052043F"/>
    <w:rsid w:val="005209B9"/>
    <w:rsid w:val="005215F9"/>
    <w:rsid w:val="00521A01"/>
    <w:rsid w:val="00522D2B"/>
    <w:rsid w:val="005233CE"/>
    <w:rsid w:val="0052399A"/>
    <w:rsid w:val="00523B97"/>
    <w:rsid w:val="00523CC3"/>
    <w:rsid w:val="00523F95"/>
    <w:rsid w:val="00524189"/>
    <w:rsid w:val="0052544A"/>
    <w:rsid w:val="0052593D"/>
    <w:rsid w:val="005259C7"/>
    <w:rsid w:val="00527F83"/>
    <w:rsid w:val="005301FE"/>
    <w:rsid w:val="0053073D"/>
    <w:rsid w:val="005308EC"/>
    <w:rsid w:val="00530981"/>
    <w:rsid w:val="00531E0F"/>
    <w:rsid w:val="00531EF9"/>
    <w:rsid w:val="00531FFC"/>
    <w:rsid w:val="00532302"/>
    <w:rsid w:val="005324A8"/>
    <w:rsid w:val="00532725"/>
    <w:rsid w:val="0053345B"/>
    <w:rsid w:val="005336D1"/>
    <w:rsid w:val="0053386A"/>
    <w:rsid w:val="00533A4A"/>
    <w:rsid w:val="005341CD"/>
    <w:rsid w:val="00534288"/>
    <w:rsid w:val="005346F7"/>
    <w:rsid w:val="00534705"/>
    <w:rsid w:val="00534AB2"/>
    <w:rsid w:val="00534E96"/>
    <w:rsid w:val="005350BF"/>
    <w:rsid w:val="005354EE"/>
    <w:rsid w:val="00535618"/>
    <w:rsid w:val="005357E0"/>
    <w:rsid w:val="0053653A"/>
    <w:rsid w:val="00536C76"/>
    <w:rsid w:val="00537375"/>
    <w:rsid w:val="0053749F"/>
    <w:rsid w:val="00537C63"/>
    <w:rsid w:val="00537C7D"/>
    <w:rsid w:val="00537D01"/>
    <w:rsid w:val="00537D4C"/>
    <w:rsid w:val="00537D8B"/>
    <w:rsid w:val="00537DDE"/>
    <w:rsid w:val="00540394"/>
    <w:rsid w:val="005404CE"/>
    <w:rsid w:val="0054050C"/>
    <w:rsid w:val="005406C6"/>
    <w:rsid w:val="0054088C"/>
    <w:rsid w:val="00540940"/>
    <w:rsid w:val="005411E2"/>
    <w:rsid w:val="005411ED"/>
    <w:rsid w:val="005414D7"/>
    <w:rsid w:val="00541A95"/>
    <w:rsid w:val="00542103"/>
    <w:rsid w:val="00542411"/>
    <w:rsid w:val="00542773"/>
    <w:rsid w:val="005427FD"/>
    <w:rsid w:val="00543142"/>
    <w:rsid w:val="00543181"/>
    <w:rsid w:val="0054372D"/>
    <w:rsid w:val="00544250"/>
    <w:rsid w:val="005447BF"/>
    <w:rsid w:val="00544966"/>
    <w:rsid w:val="00545CA7"/>
    <w:rsid w:val="005462AC"/>
    <w:rsid w:val="005467FD"/>
    <w:rsid w:val="005470A3"/>
    <w:rsid w:val="005475F9"/>
    <w:rsid w:val="0054767A"/>
    <w:rsid w:val="00547850"/>
    <w:rsid w:val="005503A3"/>
    <w:rsid w:val="0055050C"/>
    <w:rsid w:val="00550DD0"/>
    <w:rsid w:val="00551C23"/>
    <w:rsid w:val="0055204F"/>
    <w:rsid w:val="00552457"/>
    <w:rsid w:val="0055256E"/>
    <w:rsid w:val="00552936"/>
    <w:rsid w:val="00552CF6"/>
    <w:rsid w:val="005531E9"/>
    <w:rsid w:val="0055339B"/>
    <w:rsid w:val="00553B7A"/>
    <w:rsid w:val="00553C4F"/>
    <w:rsid w:val="00553FAF"/>
    <w:rsid w:val="00554A79"/>
    <w:rsid w:val="005553CC"/>
    <w:rsid w:val="00555520"/>
    <w:rsid w:val="00555BC1"/>
    <w:rsid w:val="0055615C"/>
    <w:rsid w:val="00556433"/>
    <w:rsid w:val="00556E64"/>
    <w:rsid w:val="005570EC"/>
    <w:rsid w:val="00557BFB"/>
    <w:rsid w:val="005603BC"/>
    <w:rsid w:val="00560581"/>
    <w:rsid w:val="005610CC"/>
    <w:rsid w:val="0056138C"/>
    <w:rsid w:val="00561396"/>
    <w:rsid w:val="00561453"/>
    <w:rsid w:val="0056160F"/>
    <w:rsid w:val="005621E2"/>
    <w:rsid w:val="00562420"/>
    <w:rsid w:val="00562BE9"/>
    <w:rsid w:val="00562BF0"/>
    <w:rsid w:val="00562C10"/>
    <w:rsid w:val="00562C80"/>
    <w:rsid w:val="00563D09"/>
    <w:rsid w:val="005640EB"/>
    <w:rsid w:val="00564862"/>
    <w:rsid w:val="00564DC8"/>
    <w:rsid w:val="00564E1E"/>
    <w:rsid w:val="00565DF7"/>
    <w:rsid w:val="00566117"/>
    <w:rsid w:val="00566899"/>
    <w:rsid w:val="00566A03"/>
    <w:rsid w:val="005671E1"/>
    <w:rsid w:val="005675EF"/>
    <w:rsid w:val="0056776A"/>
    <w:rsid w:val="00567B95"/>
    <w:rsid w:val="00567EDA"/>
    <w:rsid w:val="005703B6"/>
    <w:rsid w:val="00570414"/>
    <w:rsid w:val="00570D4A"/>
    <w:rsid w:val="00571710"/>
    <w:rsid w:val="005717F1"/>
    <w:rsid w:val="0057192A"/>
    <w:rsid w:val="00571D78"/>
    <w:rsid w:val="005725D2"/>
    <w:rsid w:val="005726CD"/>
    <w:rsid w:val="005727F2"/>
    <w:rsid w:val="005737B4"/>
    <w:rsid w:val="00573D7F"/>
    <w:rsid w:val="00573E7B"/>
    <w:rsid w:val="0057407D"/>
    <w:rsid w:val="00574DBC"/>
    <w:rsid w:val="00574F77"/>
    <w:rsid w:val="0057503D"/>
    <w:rsid w:val="00575291"/>
    <w:rsid w:val="00575862"/>
    <w:rsid w:val="00575AFE"/>
    <w:rsid w:val="00575B97"/>
    <w:rsid w:val="00575D0C"/>
    <w:rsid w:val="0057601E"/>
    <w:rsid w:val="00576247"/>
    <w:rsid w:val="005763DA"/>
    <w:rsid w:val="00576716"/>
    <w:rsid w:val="00576EDB"/>
    <w:rsid w:val="005778E3"/>
    <w:rsid w:val="00577F70"/>
    <w:rsid w:val="00580410"/>
    <w:rsid w:val="005806A3"/>
    <w:rsid w:val="00580758"/>
    <w:rsid w:val="00580FF2"/>
    <w:rsid w:val="005811DB"/>
    <w:rsid w:val="00581433"/>
    <w:rsid w:val="00581667"/>
    <w:rsid w:val="00581E3E"/>
    <w:rsid w:val="00582EC1"/>
    <w:rsid w:val="00583358"/>
    <w:rsid w:val="00584180"/>
    <w:rsid w:val="005846ED"/>
    <w:rsid w:val="00584E02"/>
    <w:rsid w:val="005851E1"/>
    <w:rsid w:val="0058582C"/>
    <w:rsid w:val="00585B5F"/>
    <w:rsid w:val="00585E8B"/>
    <w:rsid w:val="00585EF3"/>
    <w:rsid w:val="00586043"/>
    <w:rsid w:val="00586332"/>
    <w:rsid w:val="00586CB8"/>
    <w:rsid w:val="00587125"/>
    <w:rsid w:val="005876D2"/>
    <w:rsid w:val="0058778C"/>
    <w:rsid w:val="00590351"/>
    <w:rsid w:val="0059079A"/>
    <w:rsid w:val="005907A4"/>
    <w:rsid w:val="00590A7A"/>
    <w:rsid w:val="00590F45"/>
    <w:rsid w:val="005911CB"/>
    <w:rsid w:val="005914FE"/>
    <w:rsid w:val="00591847"/>
    <w:rsid w:val="00591CB6"/>
    <w:rsid w:val="005921E5"/>
    <w:rsid w:val="005925EA"/>
    <w:rsid w:val="00592813"/>
    <w:rsid w:val="005931B0"/>
    <w:rsid w:val="0059343F"/>
    <w:rsid w:val="00593AEA"/>
    <w:rsid w:val="00594523"/>
    <w:rsid w:val="00594586"/>
    <w:rsid w:val="00594A97"/>
    <w:rsid w:val="005957F0"/>
    <w:rsid w:val="00595EAA"/>
    <w:rsid w:val="00596337"/>
    <w:rsid w:val="00596942"/>
    <w:rsid w:val="00596999"/>
    <w:rsid w:val="00596B19"/>
    <w:rsid w:val="005974CF"/>
    <w:rsid w:val="00597D7F"/>
    <w:rsid w:val="005A0031"/>
    <w:rsid w:val="005A0FEB"/>
    <w:rsid w:val="005A16A8"/>
    <w:rsid w:val="005A1D3C"/>
    <w:rsid w:val="005A2443"/>
    <w:rsid w:val="005A25D4"/>
    <w:rsid w:val="005A2A69"/>
    <w:rsid w:val="005A36C6"/>
    <w:rsid w:val="005A3876"/>
    <w:rsid w:val="005A3FD8"/>
    <w:rsid w:val="005A4797"/>
    <w:rsid w:val="005A4AB2"/>
    <w:rsid w:val="005A4E22"/>
    <w:rsid w:val="005A5335"/>
    <w:rsid w:val="005A54A0"/>
    <w:rsid w:val="005A56A0"/>
    <w:rsid w:val="005A57F8"/>
    <w:rsid w:val="005A640D"/>
    <w:rsid w:val="005A6A32"/>
    <w:rsid w:val="005A73D8"/>
    <w:rsid w:val="005A7C47"/>
    <w:rsid w:val="005B0221"/>
    <w:rsid w:val="005B033D"/>
    <w:rsid w:val="005B08DA"/>
    <w:rsid w:val="005B1306"/>
    <w:rsid w:val="005B1576"/>
    <w:rsid w:val="005B1738"/>
    <w:rsid w:val="005B1789"/>
    <w:rsid w:val="005B1FA8"/>
    <w:rsid w:val="005B2105"/>
    <w:rsid w:val="005B21F0"/>
    <w:rsid w:val="005B2859"/>
    <w:rsid w:val="005B2B8A"/>
    <w:rsid w:val="005B2C56"/>
    <w:rsid w:val="005B2CAB"/>
    <w:rsid w:val="005B2CE9"/>
    <w:rsid w:val="005B3176"/>
    <w:rsid w:val="005B379C"/>
    <w:rsid w:val="005B381D"/>
    <w:rsid w:val="005B3D0A"/>
    <w:rsid w:val="005B3D8F"/>
    <w:rsid w:val="005B4400"/>
    <w:rsid w:val="005B4CEE"/>
    <w:rsid w:val="005B4F27"/>
    <w:rsid w:val="005B5143"/>
    <w:rsid w:val="005B52C4"/>
    <w:rsid w:val="005B5561"/>
    <w:rsid w:val="005B5F60"/>
    <w:rsid w:val="005B64A4"/>
    <w:rsid w:val="005B64B7"/>
    <w:rsid w:val="005B66B1"/>
    <w:rsid w:val="005B6F4A"/>
    <w:rsid w:val="005B73FA"/>
    <w:rsid w:val="005B7C30"/>
    <w:rsid w:val="005C19F6"/>
    <w:rsid w:val="005C1E87"/>
    <w:rsid w:val="005C1F45"/>
    <w:rsid w:val="005C2623"/>
    <w:rsid w:val="005C267B"/>
    <w:rsid w:val="005C275A"/>
    <w:rsid w:val="005C27E7"/>
    <w:rsid w:val="005C2806"/>
    <w:rsid w:val="005C2836"/>
    <w:rsid w:val="005C2DDA"/>
    <w:rsid w:val="005C32FF"/>
    <w:rsid w:val="005C3CF0"/>
    <w:rsid w:val="005C3D14"/>
    <w:rsid w:val="005C4982"/>
    <w:rsid w:val="005C4A9E"/>
    <w:rsid w:val="005C4AE4"/>
    <w:rsid w:val="005C501C"/>
    <w:rsid w:val="005C5069"/>
    <w:rsid w:val="005C51CA"/>
    <w:rsid w:val="005C5979"/>
    <w:rsid w:val="005C599F"/>
    <w:rsid w:val="005C5B42"/>
    <w:rsid w:val="005C61EF"/>
    <w:rsid w:val="005C6292"/>
    <w:rsid w:val="005C6ED9"/>
    <w:rsid w:val="005C704D"/>
    <w:rsid w:val="005C7439"/>
    <w:rsid w:val="005C7972"/>
    <w:rsid w:val="005C7D06"/>
    <w:rsid w:val="005D0A14"/>
    <w:rsid w:val="005D0CD6"/>
    <w:rsid w:val="005D1488"/>
    <w:rsid w:val="005D1670"/>
    <w:rsid w:val="005D1B3C"/>
    <w:rsid w:val="005D28F4"/>
    <w:rsid w:val="005D2D5A"/>
    <w:rsid w:val="005D2E25"/>
    <w:rsid w:val="005D2F48"/>
    <w:rsid w:val="005D3325"/>
    <w:rsid w:val="005D33D3"/>
    <w:rsid w:val="005D3597"/>
    <w:rsid w:val="005D35EB"/>
    <w:rsid w:val="005D397F"/>
    <w:rsid w:val="005D3AE1"/>
    <w:rsid w:val="005D3D38"/>
    <w:rsid w:val="005D51A2"/>
    <w:rsid w:val="005D5880"/>
    <w:rsid w:val="005D5D0F"/>
    <w:rsid w:val="005D618A"/>
    <w:rsid w:val="005D625A"/>
    <w:rsid w:val="005D6296"/>
    <w:rsid w:val="005D6315"/>
    <w:rsid w:val="005D6CC7"/>
    <w:rsid w:val="005D73B3"/>
    <w:rsid w:val="005D7417"/>
    <w:rsid w:val="005D7548"/>
    <w:rsid w:val="005D7969"/>
    <w:rsid w:val="005D7EBC"/>
    <w:rsid w:val="005E0341"/>
    <w:rsid w:val="005E097E"/>
    <w:rsid w:val="005E0A60"/>
    <w:rsid w:val="005E1087"/>
    <w:rsid w:val="005E177B"/>
    <w:rsid w:val="005E17FB"/>
    <w:rsid w:val="005E1A6E"/>
    <w:rsid w:val="005E1D3A"/>
    <w:rsid w:val="005E228F"/>
    <w:rsid w:val="005E24DA"/>
    <w:rsid w:val="005E3855"/>
    <w:rsid w:val="005E3A4B"/>
    <w:rsid w:val="005E460F"/>
    <w:rsid w:val="005E49DC"/>
    <w:rsid w:val="005E52B6"/>
    <w:rsid w:val="005E5571"/>
    <w:rsid w:val="005E5D77"/>
    <w:rsid w:val="005E6245"/>
    <w:rsid w:val="005E62B0"/>
    <w:rsid w:val="005E63D6"/>
    <w:rsid w:val="005E6A8D"/>
    <w:rsid w:val="005E7030"/>
    <w:rsid w:val="005E7684"/>
    <w:rsid w:val="005E7B6F"/>
    <w:rsid w:val="005E7FBD"/>
    <w:rsid w:val="005F0078"/>
    <w:rsid w:val="005F0271"/>
    <w:rsid w:val="005F06E6"/>
    <w:rsid w:val="005F0715"/>
    <w:rsid w:val="005F0EAF"/>
    <w:rsid w:val="005F177D"/>
    <w:rsid w:val="005F19A0"/>
    <w:rsid w:val="005F21DF"/>
    <w:rsid w:val="005F2F9A"/>
    <w:rsid w:val="005F3453"/>
    <w:rsid w:val="005F35A8"/>
    <w:rsid w:val="005F35EC"/>
    <w:rsid w:val="005F4880"/>
    <w:rsid w:val="005F511E"/>
    <w:rsid w:val="005F649C"/>
    <w:rsid w:val="005F78E7"/>
    <w:rsid w:val="006013E4"/>
    <w:rsid w:val="0060147C"/>
    <w:rsid w:val="00601DFB"/>
    <w:rsid w:val="0060261E"/>
    <w:rsid w:val="00602755"/>
    <w:rsid w:val="00602C97"/>
    <w:rsid w:val="00602E20"/>
    <w:rsid w:val="006032F2"/>
    <w:rsid w:val="0060418C"/>
    <w:rsid w:val="00604252"/>
    <w:rsid w:val="00604345"/>
    <w:rsid w:val="00604446"/>
    <w:rsid w:val="0060464D"/>
    <w:rsid w:val="00604ED5"/>
    <w:rsid w:val="0060546E"/>
    <w:rsid w:val="00605A87"/>
    <w:rsid w:val="00605A97"/>
    <w:rsid w:val="00605C91"/>
    <w:rsid w:val="00605E15"/>
    <w:rsid w:val="006064D3"/>
    <w:rsid w:val="00606697"/>
    <w:rsid w:val="00606B40"/>
    <w:rsid w:val="00607A77"/>
    <w:rsid w:val="00607E54"/>
    <w:rsid w:val="006100C8"/>
    <w:rsid w:val="00610C7D"/>
    <w:rsid w:val="00610E89"/>
    <w:rsid w:val="00611315"/>
    <w:rsid w:val="00611D21"/>
    <w:rsid w:val="00612824"/>
    <w:rsid w:val="006128ED"/>
    <w:rsid w:val="00612A51"/>
    <w:rsid w:val="00612A7E"/>
    <w:rsid w:val="00613943"/>
    <w:rsid w:val="00613B53"/>
    <w:rsid w:val="00613E81"/>
    <w:rsid w:val="00614305"/>
    <w:rsid w:val="006143F9"/>
    <w:rsid w:val="00614A6D"/>
    <w:rsid w:val="00615DB4"/>
    <w:rsid w:val="00616538"/>
    <w:rsid w:val="00616F7B"/>
    <w:rsid w:val="00617989"/>
    <w:rsid w:val="00617C2B"/>
    <w:rsid w:val="00617CD5"/>
    <w:rsid w:val="00617FEA"/>
    <w:rsid w:val="00620247"/>
    <w:rsid w:val="006205FD"/>
    <w:rsid w:val="00620653"/>
    <w:rsid w:val="00620962"/>
    <w:rsid w:val="00620BA4"/>
    <w:rsid w:val="00620E60"/>
    <w:rsid w:val="006212C3"/>
    <w:rsid w:val="006221EF"/>
    <w:rsid w:val="00623201"/>
    <w:rsid w:val="0062333A"/>
    <w:rsid w:val="0062333F"/>
    <w:rsid w:val="0062359C"/>
    <w:rsid w:val="006236CA"/>
    <w:rsid w:val="00623860"/>
    <w:rsid w:val="00624052"/>
    <w:rsid w:val="006240C9"/>
    <w:rsid w:val="00624368"/>
    <w:rsid w:val="00624784"/>
    <w:rsid w:val="006251B2"/>
    <w:rsid w:val="006254CB"/>
    <w:rsid w:val="006254EF"/>
    <w:rsid w:val="00625869"/>
    <w:rsid w:val="00625875"/>
    <w:rsid w:val="00625EF6"/>
    <w:rsid w:val="006262DA"/>
    <w:rsid w:val="006264AF"/>
    <w:rsid w:val="00626554"/>
    <w:rsid w:val="00627067"/>
    <w:rsid w:val="0062716D"/>
    <w:rsid w:val="00627692"/>
    <w:rsid w:val="0062772A"/>
    <w:rsid w:val="006279D3"/>
    <w:rsid w:val="00627B15"/>
    <w:rsid w:val="00627C25"/>
    <w:rsid w:val="00627E87"/>
    <w:rsid w:val="00630340"/>
    <w:rsid w:val="006304C2"/>
    <w:rsid w:val="0063106B"/>
    <w:rsid w:val="006310E3"/>
    <w:rsid w:val="00631209"/>
    <w:rsid w:val="00631282"/>
    <w:rsid w:val="00631427"/>
    <w:rsid w:val="006314C3"/>
    <w:rsid w:val="006317FD"/>
    <w:rsid w:val="00631E96"/>
    <w:rsid w:val="006321FA"/>
    <w:rsid w:val="006325AD"/>
    <w:rsid w:val="006328DD"/>
    <w:rsid w:val="00632D3A"/>
    <w:rsid w:val="00632D53"/>
    <w:rsid w:val="00632E21"/>
    <w:rsid w:val="00632E68"/>
    <w:rsid w:val="00632EA8"/>
    <w:rsid w:val="00633656"/>
    <w:rsid w:val="00633C31"/>
    <w:rsid w:val="00633F22"/>
    <w:rsid w:val="006340EA"/>
    <w:rsid w:val="00634612"/>
    <w:rsid w:val="006348BA"/>
    <w:rsid w:val="00634F2A"/>
    <w:rsid w:val="006350FA"/>
    <w:rsid w:val="006357D7"/>
    <w:rsid w:val="00635AC9"/>
    <w:rsid w:val="00635D5E"/>
    <w:rsid w:val="00635DD2"/>
    <w:rsid w:val="0063667E"/>
    <w:rsid w:val="00636EFE"/>
    <w:rsid w:val="006372A4"/>
    <w:rsid w:val="00637A50"/>
    <w:rsid w:val="006401A4"/>
    <w:rsid w:val="0064023C"/>
    <w:rsid w:val="00640EC8"/>
    <w:rsid w:val="0064106A"/>
    <w:rsid w:val="0064141C"/>
    <w:rsid w:val="006418B8"/>
    <w:rsid w:val="00641946"/>
    <w:rsid w:val="00641C0D"/>
    <w:rsid w:val="00641C95"/>
    <w:rsid w:val="00641F92"/>
    <w:rsid w:val="006429FA"/>
    <w:rsid w:val="00642D86"/>
    <w:rsid w:val="00643027"/>
    <w:rsid w:val="0064377A"/>
    <w:rsid w:val="00643AE0"/>
    <w:rsid w:val="006442AE"/>
    <w:rsid w:val="00644400"/>
    <w:rsid w:val="006444A3"/>
    <w:rsid w:val="00644A8A"/>
    <w:rsid w:val="00644BCE"/>
    <w:rsid w:val="00644FD7"/>
    <w:rsid w:val="006450B4"/>
    <w:rsid w:val="00645B30"/>
    <w:rsid w:val="00646F2A"/>
    <w:rsid w:val="0064738D"/>
    <w:rsid w:val="006478A2"/>
    <w:rsid w:val="00647ECE"/>
    <w:rsid w:val="006501B8"/>
    <w:rsid w:val="0065062F"/>
    <w:rsid w:val="00650981"/>
    <w:rsid w:val="00650EA5"/>
    <w:rsid w:val="006511E1"/>
    <w:rsid w:val="00651337"/>
    <w:rsid w:val="00651510"/>
    <w:rsid w:val="006516B0"/>
    <w:rsid w:val="00653178"/>
    <w:rsid w:val="0065322E"/>
    <w:rsid w:val="00653C53"/>
    <w:rsid w:val="00653E83"/>
    <w:rsid w:val="0065465E"/>
    <w:rsid w:val="00655AF9"/>
    <w:rsid w:val="00655B08"/>
    <w:rsid w:val="00655CFA"/>
    <w:rsid w:val="00655D5C"/>
    <w:rsid w:val="006560DB"/>
    <w:rsid w:val="006563FD"/>
    <w:rsid w:val="00656408"/>
    <w:rsid w:val="00656460"/>
    <w:rsid w:val="0065647C"/>
    <w:rsid w:val="006565DA"/>
    <w:rsid w:val="00657446"/>
    <w:rsid w:val="006609F3"/>
    <w:rsid w:val="00660B84"/>
    <w:rsid w:val="00660E36"/>
    <w:rsid w:val="00660F40"/>
    <w:rsid w:val="006613E4"/>
    <w:rsid w:val="0066141F"/>
    <w:rsid w:val="00661A0A"/>
    <w:rsid w:val="006621F0"/>
    <w:rsid w:val="00662D11"/>
    <w:rsid w:val="00662E4D"/>
    <w:rsid w:val="006632AF"/>
    <w:rsid w:val="00663358"/>
    <w:rsid w:val="00663594"/>
    <w:rsid w:val="006636AF"/>
    <w:rsid w:val="00663B95"/>
    <w:rsid w:val="00663CD9"/>
    <w:rsid w:val="00663D2E"/>
    <w:rsid w:val="00663ED6"/>
    <w:rsid w:val="00664BCC"/>
    <w:rsid w:val="00665084"/>
    <w:rsid w:val="006657EC"/>
    <w:rsid w:val="00665FE3"/>
    <w:rsid w:val="00665FF8"/>
    <w:rsid w:val="00666235"/>
    <w:rsid w:val="00666395"/>
    <w:rsid w:val="00666986"/>
    <w:rsid w:val="006670BB"/>
    <w:rsid w:val="0066747C"/>
    <w:rsid w:val="00667646"/>
    <w:rsid w:val="006676A7"/>
    <w:rsid w:val="00667706"/>
    <w:rsid w:val="00667779"/>
    <w:rsid w:val="00667966"/>
    <w:rsid w:val="00667EA4"/>
    <w:rsid w:val="006700B7"/>
    <w:rsid w:val="00670403"/>
    <w:rsid w:val="0067045F"/>
    <w:rsid w:val="00670463"/>
    <w:rsid w:val="00670CD5"/>
    <w:rsid w:val="00671011"/>
    <w:rsid w:val="0067108E"/>
    <w:rsid w:val="00671575"/>
    <w:rsid w:val="00671ED3"/>
    <w:rsid w:val="00672177"/>
    <w:rsid w:val="00672479"/>
    <w:rsid w:val="0067253D"/>
    <w:rsid w:val="00672D22"/>
    <w:rsid w:val="00672E3A"/>
    <w:rsid w:val="00672F8D"/>
    <w:rsid w:val="00673888"/>
    <w:rsid w:val="00673986"/>
    <w:rsid w:val="0067409E"/>
    <w:rsid w:val="00674212"/>
    <w:rsid w:val="006742A5"/>
    <w:rsid w:val="006746DE"/>
    <w:rsid w:val="006749D1"/>
    <w:rsid w:val="00674A55"/>
    <w:rsid w:val="00674E21"/>
    <w:rsid w:val="00675616"/>
    <w:rsid w:val="006756BE"/>
    <w:rsid w:val="00675A47"/>
    <w:rsid w:val="00675E39"/>
    <w:rsid w:val="006769CB"/>
    <w:rsid w:val="0067740A"/>
    <w:rsid w:val="00677D87"/>
    <w:rsid w:val="00680391"/>
    <w:rsid w:val="006804F0"/>
    <w:rsid w:val="00680504"/>
    <w:rsid w:val="00680A6B"/>
    <w:rsid w:val="00680CDC"/>
    <w:rsid w:val="00680DBF"/>
    <w:rsid w:val="00680E48"/>
    <w:rsid w:val="006816E8"/>
    <w:rsid w:val="006819B6"/>
    <w:rsid w:val="00681A9F"/>
    <w:rsid w:val="006825C9"/>
    <w:rsid w:val="0068274A"/>
    <w:rsid w:val="00683039"/>
    <w:rsid w:val="006830F7"/>
    <w:rsid w:val="00683155"/>
    <w:rsid w:val="00683969"/>
    <w:rsid w:val="00683C49"/>
    <w:rsid w:val="00683DFB"/>
    <w:rsid w:val="00684711"/>
    <w:rsid w:val="00684FF6"/>
    <w:rsid w:val="00685033"/>
    <w:rsid w:val="0068576D"/>
    <w:rsid w:val="0068583D"/>
    <w:rsid w:val="006858B8"/>
    <w:rsid w:val="00685E3B"/>
    <w:rsid w:val="00685FB1"/>
    <w:rsid w:val="00686BFB"/>
    <w:rsid w:val="00686CB3"/>
    <w:rsid w:val="00686E30"/>
    <w:rsid w:val="00686E4E"/>
    <w:rsid w:val="006872FE"/>
    <w:rsid w:val="00687708"/>
    <w:rsid w:val="00687745"/>
    <w:rsid w:val="00687C3A"/>
    <w:rsid w:val="00690429"/>
    <w:rsid w:val="00690B89"/>
    <w:rsid w:val="00690CED"/>
    <w:rsid w:val="00691DD0"/>
    <w:rsid w:val="00691E15"/>
    <w:rsid w:val="00691F8E"/>
    <w:rsid w:val="00692250"/>
    <w:rsid w:val="006923A7"/>
    <w:rsid w:val="00692CC8"/>
    <w:rsid w:val="006938D8"/>
    <w:rsid w:val="00693F2B"/>
    <w:rsid w:val="006948A5"/>
    <w:rsid w:val="006948D8"/>
    <w:rsid w:val="00694A67"/>
    <w:rsid w:val="00694D7F"/>
    <w:rsid w:val="00695040"/>
    <w:rsid w:val="00695AD2"/>
    <w:rsid w:val="0069617C"/>
    <w:rsid w:val="00696D30"/>
    <w:rsid w:val="0069720D"/>
    <w:rsid w:val="0069772C"/>
    <w:rsid w:val="00697CDA"/>
    <w:rsid w:val="00697D0E"/>
    <w:rsid w:val="00697DAD"/>
    <w:rsid w:val="00697F73"/>
    <w:rsid w:val="006A0774"/>
    <w:rsid w:val="006A0BDF"/>
    <w:rsid w:val="006A1050"/>
    <w:rsid w:val="006A124B"/>
    <w:rsid w:val="006A1320"/>
    <w:rsid w:val="006A1603"/>
    <w:rsid w:val="006A19DF"/>
    <w:rsid w:val="006A1C3E"/>
    <w:rsid w:val="006A1DF4"/>
    <w:rsid w:val="006A1F73"/>
    <w:rsid w:val="006A244E"/>
    <w:rsid w:val="006A322B"/>
    <w:rsid w:val="006A3AF4"/>
    <w:rsid w:val="006A4315"/>
    <w:rsid w:val="006A4501"/>
    <w:rsid w:val="006A4891"/>
    <w:rsid w:val="006A4B51"/>
    <w:rsid w:val="006A56F9"/>
    <w:rsid w:val="006A5FDB"/>
    <w:rsid w:val="006A6475"/>
    <w:rsid w:val="006A68B9"/>
    <w:rsid w:val="006A6966"/>
    <w:rsid w:val="006A6BEC"/>
    <w:rsid w:val="006A72B9"/>
    <w:rsid w:val="006A7E75"/>
    <w:rsid w:val="006B02B5"/>
    <w:rsid w:val="006B0EBE"/>
    <w:rsid w:val="006B120D"/>
    <w:rsid w:val="006B1ED2"/>
    <w:rsid w:val="006B249A"/>
    <w:rsid w:val="006B2889"/>
    <w:rsid w:val="006B3129"/>
    <w:rsid w:val="006B3258"/>
    <w:rsid w:val="006B3BB3"/>
    <w:rsid w:val="006B3BE5"/>
    <w:rsid w:val="006B43D0"/>
    <w:rsid w:val="006B483C"/>
    <w:rsid w:val="006B484B"/>
    <w:rsid w:val="006B4A13"/>
    <w:rsid w:val="006B4E65"/>
    <w:rsid w:val="006B5E9A"/>
    <w:rsid w:val="006B6AD7"/>
    <w:rsid w:val="006B7094"/>
    <w:rsid w:val="006B7228"/>
    <w:rsid w:val="006B723F"/>
    <w:rsid w:val="006B78CA"/>
    <w:rsid w:val="006B7C40"/>
    <w:rsid w:val="006B7E3C"/>
    <w:rsid w:val="006B7EB1"/>
    <w:rsid w:val="006C0334"/>
    <w:rsid w:val="006C042C"/>
    <w:rsid w:val="006C0608"/>
    <w:rsid w:val="006C0A15"/>
    <w:rsid w:val="006C0AF1"/>
    <w:rsid w:val="006C0D38"/>
    <w:rsid w:val="006C0D7D"/>
    <w:rsid w:val="006C0E4B"/>
    <w:rsid w:val="006C153E"/>
    <w:rsid w:val="006C1CA6"/>
    <w:rsid w:val="006C1E1A"/>
    <w:rsid w:val="006C2097"/>
    <w:rsid w:val="006C265C"/>
    <w:rsid w:val="006C3027"/>
    <w:rsid w:val="006C38C8"/>
    <w:rsid w:val="006C38D5"/>
    <w:rsid w:val="006C3CD0"/>
    <w:rsid w:val="006C42C6"/>
    <w:rsid w:val="006C49CB"/>
    <w:rsid w:val="006C518D"/>
    <w:rsid w:val="006C5D95"/>
    <w:rsid w:val="006C5E73"/>
    <w:rsid w:val="006C610D"/>
    <w:rsid w:val="006C6413"/>
    <w:rsid w:val="006C7248"/>
    <w:rsid w:val="006C7B38"/>
    <w:rsid w:val="006C7C49"/>
    <w:rsid w:val="006D0431"/>
    <w:rsid w:val="006D076E"/>
    <w:rsid w:val="006D0933"/>
    <w:rsid w:val="006D09B8"/>
    <w:rsid w:val="006D0F44"/>
    <w:rsid w:val="006D1584"/>
    <w:rsid w:val="006D164B"/>
    <w:rsid w:val="006D209E"/>
    <w:rsid w:val="006D20C3"/>
    <w:rsid w:val="006D2155"/>
    <w:rsid w:val="006D2B1D"/>
    <w:rsid w:val="006D2FCE"/>
    <w:rsid w:val="006D3654"/>
    <w:rsid w:val="006D3FA9"/>
    <w:rsid w:val="006D41D4"/>
    <w:rsid w:val="006D4DDB"/>
    <w:rsid w:val="006D4F96"/>
    <w:rsid w:val="006D535E"/>
    <w:rsid w:val="006D55B7"/>
    <w:rsid w:val="006D5934"/>
    <w:rsid w:val="006D5983"/>
    <w:rsid w:val="006D6107"/>
    <w:rsid w:val="006D641B"/>
    <w:rsid w:val="006D653B"/>
    <w:rsid w:val="006D685A"/>
    <w:rsid w:val="006D6933"/>
    <w:rsid w:val="006D6F8E"/>
    <w:rsid w:val="006D77B7"/>
    <w:rsid w:val="006D7CA0"/>
    <w:rsid w:val="006E0883"/>
    <w:rsid w:val="006E16BC"/>
    <w:rsid w:val="006E1ABB"/>
    <w:rsid w:val="006E1B62"/>
    <w:rsid w:val="006E1DC1"/>
    <w:rsid w:val="006E2385"/>
    <w:rsid w:val="006E30BC"/>
    <w:rsid w:val="006E334E"/>
    <w:rsid w:val="006E342E"/>
    <w:rsid w:val="006E3626"/>
    <w:rsid w:val="006E388D"/>
    <w:rsid w:val="006E3CBA"/>
    <w:rsid w:val="006E4D2E"/>
    <w:rsid w:val="006E51C7"/>
    <w:rsid w:val="006E523F"/>
    <w:rsid w:val="006E59F1"/>
    <w:rsid w:val="006E5B97"/>
    <w:rsid w:val="006E5C8E"/>
    <w:rsid w:val="006E5F20"/>
    <w:rsid w:val="006E5FB9"/>
    <w:rsid w:val="006E67D2"/>
    <w:rsid w:val="006E686B"/>
    <w:rsid w:val="006E69CF"/>
    <w:rsid w:val="006E6C56"/>
    <w:rsid w:val="006E7327"/>
    <w:rsid w:val="006E7853"/>
    <w:rsid w:val="006E78AD"/>
    <w:rsid w:val="006E7B27"/>
    <w:rsid w:val="006E7D27"/>
    <w:rsid w:val="006F050F"/>
    <w:rsid w:val="006F1090"/>
    <w:rsid w:val="006F1D55"/>
    <w:rsid w:val="006F2C25"/>
    <w:rsid w:val="006F2E34"/>
    <w:rsid w:val="006F3301"/>
    <w:rsid w:val="006F38FE"/>
    <w:rsid w:val="006F3CAE"/>
    <w:rsid w:val="006F3E5E"/>
    <w:rsid w:val="006F465C"/>
    <w:rsid w:val="006F4B16"/>
    <w:rsid w:val="006F5588"/>
    <w:rsid w:val="006F5A48"/>
    <w:rsid w:val="006F5E81"/>
    <w:rsid w:val="006F67D7"/>
    <w:rsid w:val="006F7D31"/>
    <w:rsid w:val="006F7D55"/>
    <w:rsid w:val="006F7F40"/>
    <w:rsid w:val="00700542"/>
    <w:rsid w:val="00700C02"/>
    <w:rsid w:val="00700F84"/>
    <w:rsid w:val="00701960"/>
    <w:rsid w:val="00701969"/>
    <w:rsid w:val="00701D3B"/>
    <w:rsid w:val="00702783"/>
    <w:rsid w:val="00702897"/>
    <w:rsid w:val="00702A6B"/>
    <w:rsid w:val="00702C3D"/>
    <w:rsid w:val="00702E5A"/>
    <w:rsid w:val="00702F8D"/>
    <w:rsid w:val="007030D5"/>
    <w:rsid w:val="00704041"/>
    <w:rsid w:val="00704256"/>
    <w:rsid w:val="00704C2D"/>
    <w:rsid w:val="00704EEF"/>
    <w:rsid w:val="007052E5"/>
    <w:rsid w:val="007052EB"/>
    <w:rsid w:val="00705424"/>
    <w:rsid w:val="007059D9"/>
    <w:rsid w:val="00705D32"/>
    <w:rsid w:val="00705D74"/>
    <w:rsid w:val="007068CF"/>
    <w:rsid w:val="00707158"/>
    <w:rsid w:val="00707350"/>
    <w:rsid w:val="00707A9D"/>
    <w:rsid w:val="00707C3B"/>
    <w:rsid w:val="007102C5"/>
    <w:rsid w:val="0071077C"/>
    <w:rsid w:val="00710AAF"/>
    <w:rsid w:val="00710C91"/>
    <w:rsid w:val="00710F09"/>
    <w:rsid w:val="007118E9"/>
    <w:rsid w:val="00711F7F"/>
    <w:rsid w:val="00711FB3"/>
    <w:rsid w:val="00712690"/>
    <w:rsid w:val="00712D94"/>
    <w:rsid w:val="00712F72"/>
    <w:rsid w:val="0071341D"/>
    <w:rsid w:val="007139DB"/>
    <w:rsid w:val="007139E4"/>
    <w:rsid w:val="00713B91"/>
    <w:rsid w:val="00713E61"/>
    <w:rsid w:val="007145FE"/>
    <w:rsid w:val="0071460F"/>
    <w:rsid w:val="0071499F"/>
    <w:rsid w:val="00714BE9"/>
    <w:rsid w:val="00714DD7"/>
    <w:rsid w:val="007150D6"/>
    <w:rsid w:val="00715449"/>
    <w:rsid w:val="0071568F"/>
    <w:rsid w:val="00715951"/>
    <w:rsid w:val="00715DDC"/>
    <w:rsid w:val="00715E45"/>
    <w:rsid w:val="007163D0"/>
    <w:rsid w:val="00716432"/>
    <w:rsid w:val="007164E6"/>
    <w:rsid w:val="0071710E"/>
    <w:rsid w:val="00717393"/>
    <w:rsid w:val="007178BA"/>
    <w:rsid w:val="00720434"/>
    <w:rsid w:val="007204C3"/>
    <w:rsid w:val="00720523"/>
    <w:rsid w:val="00720611"/>
    <w:rsid w:val="00720983"/>
    <w:rsid w:val="00720BAA"/>
    <w:rsid w:val="007214A2"/>
    <w:rsid w:val="00721FD6"/>
    <w:rsid w:val="007224FB"/>
    <w:rsid w:val="00722A9A"/>
    <w:rsid w:val="00722B78"/>
    <w:rsid w:val="0072395D"/>
    <w:rsid w:val="00723B1F"/>
    <w:rsid w:val="00723F8C"/>
    <w:rsid w:val="00724B5D"/>
    <w:rsid w:val="00724BC5"/>
    <w:rsid w:val="00725317"/>
    <w:rsid w:val="00725D56"/>
    <w:rsid w:val="00725E09"/>
    <w:rsid w:val="00725F4E"/>
    <w:rsid w:val="00727164"/>
    <w:rsid w:val="00727950"/>
    <w:rsid w:val="00727C36"/>
    <w:rsid w:val="00727D12"/>
    <w:rsid w:val="00730A25"/>
    <w:rsid w:val="00730E8D"/>
    <w:rsid w:val="00730FB7"/>
    <w:rsid w:val="007312CB"/>
    <w:rsid w:val="00731479"/>
    <w:rsid w:val="007316E4"/>
    <w:rsid w:val="00731F68"/>
    <w:rsid w:val="0073224E"/>
    <w:rsid w:val="00732D61"/>
    <w:rsid w:val="00733272"/>
    <w:rsid w:val="00734041"/>
    <w:rsid w:val="00734069"/>
    <w:rsid w:val="0073520E"/>
    <w:rsid w:val="00735B95"/>
    <w:rsid w:val="00735E1B"/>
    <w:rsid w:val="00735E55"/>
    <w:rsid w:val="00736E6D"/>
    <w:rsid w:val="00737383"/>
    <w:rsid w:val="00737D7C"/>
    <w:rsid w:val="0074011B"/>
    <w:rsid w:val="00740C13"/>
    <w:rsid w:val="007414B6"/>
    <w:rsid w:val="007418C4"/>
    <w:rsid w:val="007418E9"/>
    <w:rsid w:val="00741D69"/>
    <w:rsid w:val="00741E12"/>
    <w:rsid w:val="0074227D"/>
    <w:rsid w:val="00742526"/>
    <w:rsid w:val="0074306F"/>
    <w:rsid w:val="007430E8"/>
    <w:rsid w:val="00743191"/>
    <w:rsid w:val="00743534"/>
    <w:rsid w:val="00744081"/>
    <w:rsid w:val="00744381"/>
    <w:rsid w:val="00744454"/>
    <w:rsid w:val="0074480F"/>
    <w:rsid w:val="00745294"/>
    <w:rsid w:val="007452AB"/>
    <w:rsid w:val="00745470"/>
    <w:rsid w:val="007459F1"/>
    <w:rsid w:val="00745AA1"/>
    <w:rsid w:val="00745BC3"/>
    <w:rsid w:val="007462C3"/>
    <w:rsid w:val="0074642B"/>
    <w:rsid w:val="007467A4"/>
    <w:rsid w:val="00746AAC"/>
    <w:rsid w:val="00746DA8"/>
    <w:rsid w:val="007472A7"/>
    <w:rsid w:val="007478B9"/>
    <w:rsid w:val="00747AD5"/>
    <w:rsid w:val="00747E10"/>
    <w:rsid w:val="00747F8A"/>
    <w:rsid w:val="00750234"/>
    <w:rsid w:val="0075026F"/>
    <w:rsid w:val="00750944"/>
    <w:rsid w:val="00750C25"/>
    <w:rsid w:val="00751578"/>
    <w:rsid w:val="007515F4"/>
    <w:rsid w:val="0075266A"/>
    <w:rsid w:val="00753336"/>
    <w:rsid w:val="007536F7"/>
    <w:rsid w:val="00753873"/>
    <w:rsid w:val="0075399C"/>
    <w:rsid w:val="00753A3B"/>
    <w:rsid w:val="00753D94"/>
    <w:rsid w:val="00753FE8"/>
    <w:rsid w:val="0075463B"/>
    <w:rsid w:val="00754BA7"/>
    <w:rsid w:val="007550D8"/>
    <w:rsid w:val="007558F2"/>
    <w:rsid w:val="0075592A"/>
    <w:rsid w:val="00755A71"/>
    <w:rsid w:val="00755B5E"/>
    <w:rsid w:val="00756643"/>
    <w:rsid w:val="00756840"/>
    <w:rsid w:val="00756B3A"/>
    <w:rsid w:val="00756CBF"/>
    <w:rsid w:val="00756F4B"/>
    <w:rsid w:val="007576B8"/>
    <w:rsid w:val="00757A52"/>
    <w:rsid w:val="00757A92"/>
    <w:rsid w:val="00757EFB"/>
    <w:rsid w:val="0076008C"/>
    <w:rsid w:val="007600B8"/>
    <w:rsid w:val="00760388"/>
    <w:rsid w:val="00760B63"/>
    <w:rsid w:val="007612BE"/>
    <w:rsid w:val="00761846"/>
    <w:rsid w:val="007619E5"/>
    <w:rsid w:val="00761E58"/>
    <w:rsid w:val="0076252A"/>
    <w:rsid w:val="00762689"/>
    <w:rsid w:val="00762E87"/>
    <w:rsid w:val="00762FC3"/>
    <w:rsid w:val="0076314B"/>
    <w:rsid w:val="00763210"/>
    <w:rsid w:val="00763633"/>
    <w:rsid w:val="007637A1"/>
    <w:rsid w:val="007653A2"/>
    <w:rsid w:val="007655E8"/>
    <w:rsid w:val="00765765"/>
    <w:rsid w:val="00766419"/>
    <w:rsid w:val="007664EF"/>
    <w:rsid w:val="00766522"/>
    <w:rsid w:val="0076673A"/>
    <w:rsid w:val="007668C4"/>
    <w:rsid w:val="00766A02"/>
    <w:rsid w:val="00766F35"/>
    <w:rsid w:val="00767AE6"/>
    <w:rsid w:val="007701C4"/>
    <w:rsid w:val="00770514"/>
    <w:rsid w:val="00770E17"/>
    <w:rsid w:val="007713F5"/>
    <w:rsid w:val="007716C8"/>
    <w:rsid w:val="00771BC6"/>
    <w:rsid w:val="00771D0D"/>
    <w:rsid w:val="0077297F"/>
    <w:rsid w:val="00772BD0"/>
    <w:rsid w:val="00772F7D"/>
    <w:rsid w:val="00772FFA"/>
    <w:rsid w:val="007730D4"/>
    <w:rsid w:val="00773112"/>
    <w:rsid w:val="00773453"/>
    <w:rsid w:val="007734DF"/>
    <w:rsid w:val="007735BA"/>
    <w:rsid w:val="00773817"/>
    <w:rsid w:val="007739DD"/>
    <w:rsid w:val="00773AB6"/>
    <w:rsid w:val="00773B30"/>
    <w:rsid w:val="00773D43"/>
    <w:rsid w:val="00773F59"/>
    <w:rsid w:val="0077454B"/>
    <w:rsid w:val="007750AF"/>
    <w:rsid w:val="0077564C"/>
    <w:rsid w:val="0077590A"/>
    <w:rsid w:val="007759DC"/>
    <w:rsid w:val="00775BAF"/>
    <w:rsid w:val="00775C7D"/>
    <w:rsid w:val="00776120"/>
    <w:rsid w:val="00776461"/>
    <w:rsid w:val="00776B13"/>
    <w:rsid w:val="007774E2"/>
    <w:rsid w:val="0077762A"/>
    <w:rsid w:val="00777ABC"/>
    <w:rsid w:val="00780680"/>
    <w:rsid w:val="00781481"/>
    <w:rsid w:val="007816F0"/>
    <w:rsid w:val="00781981"/>
    <w:rsid w:val="00781ABB"/>
    <w:rsid w:val="00782265"/>
    <w:rsid w:val="00782A91"/>
    <w:rsid w:val="0078368D"/>
    <w:rsid w:val="00783A63"/>
    <w:rsid w:val="00783A8B"/>
    <w:rsid w:val="00783B99"/>
    <w:rsid w:val="0078427A"/>
    <w:rsid w:val="00784BCB"/>
    <w:rsid w:val="00784ECB"/>
    <w:rsid w:val="00785186"/>
    <w:rsid w:val="007851E2"/>
    <w:rsid w:val="00785C24"/>
    <w:rsid w:val="00786506"/>
    <w:rsid w:val="00787405"/>
    <w:rsid w:val="0078743E"/>
    <w:rsid w:val="0078795C"/>
    <w:rsid w:val="00787E48"/>
    <w:rsid w:val="00790165"/>
    <w:rsid w:val="007901F6"/>
    <w:rsid w:val="00790C93"/>
    <w:rsid w:val="00790ECF"/>
    <w:rsid w:val="00792087"/>
    <w:rsid w:val="007929D5"/>
    <w:rsid w:val="00793C8C"/>
    <w:rsid w:val="00793D63"/>
    <w:rsid w:val="00793EA2"/>
    <w:rsid w:val="007940E0"/>
    <w:rsid w:val="007942CA"/>
    <w:rsid w:val="00794611"/>
    <w:rsid w:val="00794635"/>
    <w:rsid w:val="007947C0"/>
    <w:rsid w:val="0079516B"/>
    <w:rsid w:val="00795244"/>
    <w:rsid w:val="0079537E"/>
    <w:rsid w:val="00795920"/>
    <w:rsid w:val="007959F1"/>
    <w:rsid w:val="00796076"/>
    <w:rsid w:val="00796224"/>
    <w:rsid w:val="0079645C"/>
    <w:rsid w:val="0079646C"/>
    <w:rsid w:val="0079669F"/>
    <w:rsid w:val="00797F19"/>
    <w:rsid w:val="007A02EB"/>
    <w:rsid w:val="007A0483"/>
    <w:rsid w:val="007A05B2"/>
    <w:rsid w:val="007A1AC6"/>
    <w:rsid w:val="007A1BAB"/>
    <w:rsid w:val="007A239F"/>
    <w:rsid w:val="007A398C"/>
    <w:rsid w:val="007A3E0F"/>
    <w:rsid w:val="007A40E1"/>
    <w:rsid w:val="007A4142"/>
    <w:rsid w:val="007A4483"/>
    <w:rsid w:val="007A4614"/>
    <w:rsid w:val="007A4B1C"/>
    <w:rsid w:val="007A50F0"/>
    <w:rsid w:val="007A51A2"/>
    <w:rsid w:val="007A55EF"/>
    <w:rsid w:val="007A5752"/>
    <w:rsid w:val="007A6620"/>
    <w:rsid w:val="007A6623"/>
    <w:rsid w:val="007A68A9"/>
    <w:rsid w:val="007A6BD1"/>
    <w:rsid w:val="007A7570"/>
    <w:rsid w:val="007A77DD"/>
    <w:rsid w:val="007A7C0D"/>
    <w:rsid w:val="007A7E6B"/>
    <w:rsid w:val="007B0458"/>
    <w:rsid w:val="007B083E"/>
    <w:rsid w:val="007B120C"/>
    <w:rsid w:val="007B154D"/>
    <w:rsid w:val="007B1BA0"/>
    <w:rsid w:val="007B2082"/>
    <w:rsid w:val="007B20EB"/>
    <w:rsid w:val="007B22D5"/>
    <w:rsid w:val="007B2466"/>
    <w:rsid w:val="007B26F1"/>
    <w:rsid w:val="007B2FD3"/>
    <w:rsid w:val="007B31AB"/>
    <w:rsid w:val="007B32AC"/>
    <w:rsid w:val="007B4023"/>
    <w:rsid w:val="007B449B"/>
    <w:rsid w:val="007B4CFC"/>
    <w:rsid w:val="007B4E46"/>
    <w:rsid w:val="007B55FB"/>
    <w:rsid w:val="007B56DE"/>
    <w:rsid w:val="007B5E88"/>
    <w:rsid w:val="007B6124"/>
    <w:rsid w:val="007B62D8"/>
    <w:rsid w:val="007B6C02"/>
    <w:rsid w:val="007B6E37"/>
    <w:rsid w:val="007B7064"/>
    <w:rsid w:val="007C06EE"/>
    <w:rsid w:val="007C0B85"/>
    <w:rsid w:val="007C2075"/>
    <w:rsid w:val="007C2879"/>
    <w:rsid w:val="007C3482"/>
    <w:rsid w:val="007C3489"/>
    <w:rsid w:val="007C3558"/>
    <w:rsid w:val="007C36E0"/>
    <w:rsid w:val="007C37EB"/>
    <w:rsid w:val="007C3963"/>
    <w:rsid w:val="007C3C23"/>
    <w:rsid w:val="007C3EDA"/>
    <w:rsid w:val="007C425D"/>
    <w:rsid w:val="007C44DF"/>
    <w:rsid w:val="007C4A5B"/>
    <w:rsid w:val="007C5416"/>
    <w:rsid w:val="007C59AE"/>
    <w:rsid w:val="007C5ED9"/>
    <w:rsid w:val="007C69E5"/>
    <w:rsid w:val="007C797D"/>
    <w:rsid w:val="007D0C44"/>
    <w:rsid w:val="007D1D20"/>
    <w:rsid w:val="007D282D"/>
    <w:rsid w:val="007D32FF"/>
    <w:rsid w:val="007D3E19"/>
    <w:rsid w:val="007D5695"/>
    <w:rsid w:val="007D5ABB"/>
    <w:rsid w:val="007D5D4D"/>
    <w:rsid w:val="007D5DDC"/>
    <w:rsid w:val="007D644C"/>
    <w:rsid w:val="007D6B09"/>
    <w:rsid w:val="007D6F90"/>
    <w:rsid w:val="007D7045"/>
    <w:rsid w:val="007D787B"/>
    <w:rsid w:val="007D7E6E"/>
    <w:rsid w:val="007E0163"/>
    <w:rsid w:val="007E0259"/>
    <w:rsid w:val="007E055F"/>
    <w:rsid w:val="007E1119"/>
    <w:rsid w:val="007E195B"/>
    <w:rsid w:val="007E2053"/>
    <w:rsid w:val="007E2302"/>
    <w:rsid w:val="007E2E4A"/>
    <w:rsid w:val="007E3097"/>
    <w:rsid w:val="007E399C"/>
    <w:rsid w:val="007E3BBA"/>
    <w:rsid w:val="007E3F3B"/>
    <w:rsid w:val="007E4A11"/>
    <w:rsid w:val="007E4F28"/>
    <w:rsid w:val="007E503B"/>
    <w:rsid w:val="007E5277"/>
    <w:rsid w:val="007E529A"/>
    <w:rsid w:val="007E530F"/>
    <w:rsid w:val="007E563F"/>
    <w:rsid w:val="007E56C6"/>
    <w:rsid w:val="007E5711"/>
    <w:rsid w:val="007E57EC"/>
    <w:rsid w:val="007E5A88"/>
    <w:rsid w:val="007E5C5E"/>
    <w:rsid w:val="007E5E8E"/>
    <w:rsid w:val="007E6871"/>
    <w:rsid w:val="007E7246"/>
    <w:rsid w:val="007E7333"/>
    <w:rsid w:val="007E73BB"/>
    <w:rsid w:val="007E76B8"/>
    <w:rsid w:val="007E7F00"/>
    <w:rsid w:val="007E7FE5"/>
    <w:rsid w:val="007F0205"/>
    <w:rsid w:val="007F04EF"/>
    <w:rsid w:val="007F0D58"/>
    <w:rsid w:val="007F0DDB"/>
    <w:rsid w:val="007F14F1"/>
    <w:rsid w:val="007F192A"/>
    <w:rsid w:val="007F19BB"/>
    <w:rsid w:val="007F1C4F"/>
    <w:rsid w:val="007F26BB"/>
    <w:rsid w:val="007F27D8"/>
    <w:rsid w:val="007F3A82"/>
    <w:rsid w:val="007F3CE0"/>
    <w:rsid w:val="007F3DD1"/>
    <w:rsid w:val="007F400B"/>
    <w:rsid w:val="007F42AA"/>
    <w:rsid w:val="007F42E8"/>
    <w:rsid w:val="007F433D"/>
    <w:rsid w:val="007F46CB"/>
    <w:rsid w:val="007F4A15"/>
    <w:rsid w:val="007F4D6A"/>
    <w:rsid w:val="007F53DB"/>
    <w:rsid w:val="007F57EB"/>
    <w:rsid w:val="007F58D3"/>
    <w:rsid w:val="007F5CE0"/>
    <w:rsid w:val="007F6441"/>
    <w:rsid w:val="007F66B5"/>
    <w:rsid w:val="007F6865"/>
    <w:rsid w:val="007F6E87"/>
    <w:rsid w:val="007F76F7"/>
    <w:rsid w:val="008001D1"/>
    <w:rsid w:val="00800780"/>
    <w:rsid w:val="00800D99"/>
    <w:rsid w:val="008012DB"/>
    <w:rsid w:val="0080168A"/>
    <w:rsid w:val="008018D0"/>
    <w:rsid w:val="00801AA3"/>
    <w:rsid w:val="00801BFE"/>
    <w:rsid w:val="00802533"/>
    <w:rsid w:val="00802E53"/>
    <w:rsid w:val="00804057"/>
    <w:rsid w:val="00804388"/>
    <w:rsid w:val="00804746"/>
    <w:rsid w:val="00804F60"/>
    <w:rsid w:val="008054DB"/>
    <w:rsid w:val="008059D6"/>
    <w:rsid w:val="00805A49"/>
    <w:rsid w:val="00805D98"/>
    <w:rsid w:val="00805EC2"/>
    <w:rsid w:val="008063C6"/>
    <w:rsid w:val="008064DE"/>
    <w:rsid w:val="00806ABD"/>
    <w:rsid w:val="00807347"/>
    <w:rsid w:val="008077E6"/>
    <w:rsid w:val="00807882"/>
    <w:rsid w:val="008078F1"/>
    <w:rsid w:val="00807972"/>
    <w:rsid w:val="00807B4D"/>
    <w:rsid w:val="00810327"/>
    <w:rsid w:val="00811872"/>
    <w:rsid w:val="00811EAE"/>
    <w:rsid w:val="0081246C"/>
    <w:rsid w:val="00812514"/>
    <w:rsid w:val="00813573"/>
    <w:rsid w:val="00813637"/>
    <w:rsid w:val="008139A9"/>
    <w:rsid w:val="008139F8"/>
    <w:rsid w:val="00813BB3"/>
    <w:rsid w:val="00813CD2"/>
    <w:rsid w:val="0081446A"/>
    <w:rsid w:val="008144D8"/>
    <w:rsid w:val="00814F24"/>
    <w:rsid w:val="0081502F"/>
    <w:rsid w:val="008154F2"/>
    <w:rsid w:val="0081568E"/>
    <w:rsid w:val="00815ADC"/>
    <w:rsid w:val="00815B69"/>
    <w:rsid w:val="008160DB"/>
    <w:rsid w:val="00816149"/>
    <w:rsid w:val="008168DE"/>
    <w:rsid w:val="00816CF6"/>
    <w:rsid w:val="00816E8E"/>
    <w:rsid w:val="00817226"/>
    <w:rsid w:val="00817669"/>
    <w:rsid w:val="008176DF"/>
    <w:rsid w:val="00817ADD"/>
    <w:rsid w:val="00817EA3"/>
    <w:rsid w:val="00820309"/>
    <w:rsid w:val="00820B26"/>
    <w:rsid w:val="00820D8B"/>
    <w:rsid w:val="00820FC6"/>
    <w:rsid w:val="008214AD"/>
    <w:rsid w:val="00821517"/>
    <w:rsid w:val="008219C7"/>
    <w:rsid w:val="00821D5C"/>
    <w:rsid w:val="008220E5"/>
    <w:rsid w:val="008224B6"/>
    <w:rsid w:val="00822ADB"/>
    <w:rsid w:val="00822C8A"/>
    <w:rsid w:val="0082337A"/>
    <w:rsid w:val="00823514"/>
    <w:rsid w:val="00823FEC"/>
    <w:rsid w:val="00824219"/>
    <w:rsid w:val="00824900"/>
    <w:rsid w:val="00824A2E"/>
    <w:rsid w:val="00824EC9"/>
    <w:rsid w:val="00825D66"/>
    <w:rsid w:val="00825E1E"/>
    <w:rsid w:val="00826338"/>
    <w:rsid w:val="0082716E"/>
    <w:rsid w:val="00827564"/>
    <w:rsid w:val="00827B33"/>
    <w:rsid w:val="00827CC3"/>
    <w:rsid w:val="008310C7"/>
    <w:rsid w:val="0083195A"/>
    <w:rsid w:val="00831A06"/>
    <w:rsid w:val="00831AC5"/>
    <w:rsid w:val="008325DB"/>
    <w:rsid w:val="00832F3B"/>
    <w:rsid w:val="00833CD1"/>
    <w:rsid w:val="00834E6E"/>
    <w:rsid w:val="0083565C"/>
    <w:rsid w:val="0083586D"/>
    <w:rsid w:val="008359A6"/>
    <w:rsid w:val="00835DCD"/>
    <w:rsid w:val="00836D90"/>
    <w:rsid w:val="00836E28"/>
    <w:rsid w:val="00837556"/>
    <w:rsid w:val="008375A3"/>
    <w:rsid w:val="00837942"/>
    <w:rsid w:val="00840327"/>
    <w:rsid w:val="0084093E"/>
    <w:rsid w:val="0084119C"/>
    <w:rsid w:val="0084185D"/>
    <w:rsid w:val="00841A91"/>
    <w:rsid w:val="00841B67"/>
    <w:rsid w:val="00842289"/>
    <w:rsid w:val="0084237E"/>
    <w:rsid w:val="008425A3"/>
    <w:rsid w:val="00842DF7"/>
    <w:rsid w:val="00842FA1"/>
    <w:rsid w:val="008435D0"/>
    <w:rsid w:val="00843BFE"/>
    <w:rsid w:val="00843D02"/>
    <w:rsid w:val="0084439F"/>
    <w:rsid w:val="008444A5"/>
    <w:rsid w:val="00844B3F"/>
    <w:rsid w:val="00845BF7"/>
    <w:rsid w:val="00845E7A"/>
    <w:rsid w:val="00845F45"/>
    <w:rsid w:val="00846001"/>
    <w:rsid w:val="008468FB"/>
    <w:rsid w:val="00846AE9"/>
    <w:rsid w:val="00847A75"/>
    <w:rsid w:val="00847CCD"/>
    <w:rsid w:val="00847E30"/>
    <w:rsid w:val="008505D7"/>
    <w:rsid w:val="00850821"/>
    <w:rsid w:val="00850867"/>
    <w:rsid w:val="0085096D"/>
    <w:rsid w:val="00850CC5"/>
    <w:rsid w:val="00851143"/>
    <w:rsid w:val="008511C1"/>
    <w:rsid w:val="00851774"/>
    <w:rsid w:val="00851DD3"/>
    <w:rsid w:val="00852351"/>
    <w:rsid w:val="008524AC"/>
    <w:rsid w:val="00852B21"/>
    <w:rsid w:val="00852E04"/>
    <w:rsid w:val="00852E26"/>
    <w:rsid w:val="00852F13"/>
    <w:rsid w:val="008536B6"/>
    <w:rsid w:val="00853A1D"/>
    <w:rsid w:val="00853A5F"/>
    <w:rsid w:val="00854C7E"/>
    <w:rsid w:val="00854F74"/>
    <w:rsid w:val="00856A95"/>
    <w:rsid w:val="00856CFF"/>
    <w:rsid w:val="00857010"/>
    <w:rsid w:val="00860305"/>
    <w:rsid w:val="0086039C"/>
    <w:rsid w:val="00860811"/>
    <w:rsid w:val="00860D67"/>
    <w:rsid w:val="00860D93"/>
    <w:rsid w:val="00861A93"/>
    <w:rsid w:val="0086229F"/>
    <w:rsid w:val="008626C8"/>
    <w:rsid w:val="008629E1"/>
    <w:rsid w:val="0086308B"/>
    <w:rsid w:val="0086323F"/>
    <w:rsid w:val="008632B8"/>
    <w:rsid w:val="00863927"/>
    <w:rsid w:val="0086398E"/>
    <w:rsid w:val="00863AEF"/>
    <w:rsid w:val="00863CE4"/>
    <w:rsid w:val="0086423F"/>
    <w:rsid w:val="008644E2"/>
    <w:rsid w:val="00865836"/>
    <w:rsid w:val="00865B9C"/>
    <w:rsid w:val="0086617A"/>
    <w:rsid w:val="008664D6"/>
    <w:rsid w:val="0086686E"/>
    <w:rsid w:val="00866B93"/>
    <w:rsid w:val="00866FC6"/>
    <w:rsid w:val="008673B7"/>
    <w:rsid w:val="00867718"/>
    <w:rsid w:val="00867733"/>
    <w:rsid w:val="00867771"/>
    <w:rsid w:val="00867B2F"/>
    <w:rsid w:val="00867E76"/>
    <w:rsid w:val="008704C4"/>
    <w:rsid w:val="00870581"/>
    <w:rsid w:val="00871241"/>
    <w:rsid w:val="00871505"/>
    <w:rsid w:val="0087195C"/>
    <w:rsid w:val="00871FBB"/>
    <w:rsid w:val="008722A6"/>
    <w:rsid w:val="00873189"/>
    <w:rsid w:val="0087335E"/>
    <w:rsid w:val="008736FE"/>
    <w:rsid w:val="00873756"/>
    <w:rsid w:val="00874116"/>
    <w:rsid w:val="008743E3"/>
    <w:rsid w:val="008751C4"/>
    <w:rsid w:val="00875965"/>
    <w:rsid w:val="00875AEF"/>
    <w:rsid w:val="00875AF4"/>
    <w:rsid w:val="00875C71"/>
    <w:rsid w:val="00875DB2"/>
    <w:rsid w:val="008762B5"/>
    <w:rsid w:val="0087688C"/>
    <w:rsid w:val="0087695E"/>
    <w:rsid w:val="00877485"/>
    <w:rsid w:val="00877780"/>
    <w:rsid w:val="00877784"/>
    <w:rsid w:val="00877C29"/>
    <w:rsid w:val="0088084B"/>
    <w:rsid w:val="00880B73"/>
    <w:rsid w:val="00881B3D"/>
    <w:rsid w:val="00881E9A"/>
    <w:rsid w:val="00882661"/>
    <w:rsid w:val="008826AE"/>
    <w:rsid w:val="0088276D"/>
    <w:rsid w:val="00882829"/>
    <w:rsid w:val="00882BD8"/>
    <w:rsid w:val="00882D58"/>
    <w:rsid w:val="00883017"/>
    <w:rsid w:val="00883461"/>
    <w:rsid w:val="00883637"/>
    <w:rsid w:val="008836CD"/>
    <w:rsid w:val="008845FA"/>
    <w:rsid w:val="00884BF0"/>
    <w:rsid w:val="008851AA"/>
    <w:rsid w:val="008857A4"/>
    <w:rsid w:val="00885981"/>
    <w:rsid w:val="00885BCA"/>
    <w:rsid w:val="00885F79"/>
    <w:rsid w:val="00885F9B"/>
    <w:rsid w:val="008873F8"/>
    <w:rsid w:val="00887930"/>
    <w:rsid w:val="00887B6D"/>
    <w:rsid w:val="00887EDA"/>
    <w:rsid w:val="00890239"/>
    <w:rsid w:val="00890A41"/>
    <w:rsid w:val="0089101E"/>
    <w:rsid w:val="0089119B"/>
    <w:rsid w:val="0089129F"/>
    <w:rsid w:val="008916DE"/>
    <w:rsid w:val="00891AF2"/>
    <w:rsid w:val="00891D9E"/>
    <w:rsid w:val="00892037"/>
    <w:rsid w:val="00892A42"/>
    <w:rsid w:val="00893091"/>
    <w:rsid w:val="008935D5"/>
    <w:rsid w:val="00893761"/>
    <w:rsid w:val="00893845"/>
    <w:rsid w:val="00893AA1"/>
    <w:rsid w:val="00894670"/>
    <w:rsid w:val="0089474B"/>
    <w:rsid w:val="008948CB"/>
    <w:rsid w:val="0089520E"/>
    <w:rsid w:val="0089555D"/>
    <w:rsid w:val="00895CF3"/>
    <w:rsid w:val="00896D31"/>
    <w:rsid w:val="00896D5C"/>
    <w:rsid w:val="0089703D"/>
    <w:rsid w:val="0089710B"/>
    <w:rsid w:val="0089724A"/>
    <w:rsid w:val="00897377"/>
    <w:rsid w:val="00897687"/>
    <w:rsid w:val="008A0186"/>
    <w:rsid w:val="008A0718"/>
    <w:rsid w:val="008A08C2"/>
    <w:rsid w:val="008A0905"/>
    <w:rsid w:val="008A0C3B"/>
    <w:rsid w:val="008A0FBE"/>
    <w:rsid w:val="008A1001"/>
    <w:rsid w:val="008A1171"/>
    <w:rsid w:val="008A1618"/>
    <w:rsid w:val="008A1A2F"/>
    <w:rsid w:val="008A1B99"/>
    <w:rsid w:val="008A1E3E"/>
    <w:rsid w:val="008A1EA4"/>
    <w:rsid w:val="008A23C7"/>
    <w:rsid w:val="008A2E03"/>
    <w:rsid w:val="008A2E52"/>
    <w:rsid w:val="008A30F4"/>
    <w:rsid w:val="008A32AF"/>
    <w:rsid w:val="008A38EC"/>
    <w:rsid w:val="008A39F8"/>
    <w:rsid w:val="008A3FD3"/>
    <w:rsid w:val="008A4ED6"/>
    <w:rsid w:val="008A50F4"/>
    <w:rsid w:val="008A51E9"/>
    <w:rsid w:val="008A58E8"/>
    <w:rsid w:val="008A5BDD"/>
    <w:rsid w:val="008A6329"/>
    <w:rsid w:val="008A6644"/>
    <w:rsid w:val="008A69AB"/>
    <w:rsid w:val="008A6E87"/>
    <w:rsid w:val="008A7772"/>
    <w:rsid w:val="008A7AFC"/>
    <w:rsid w:val="008B0323"/>
    <w:rsid w:val="008B0F4F"/>
    <w:rsid w:val="008B1468"/>
    <w:rsid w:val="008B1DC9"/>
    <w:rsid w:val="008B2047"/>
    <w:rsid w:val="008B2435"/>
    <w:rsid w:val="008B293C"/>
    <w:rsid w:val="008B2D17"/>
    <w:rsid w:val="008B2D7A"/>
    <w:rsid w:val="008B2FA5"/>
    <w:rsid w:val="008B34FD"/>
    <w:rsid w:val="008B3C48"/>
    <w:rsid w:val="008B3D23"/>
    <w:rsid w:val="008B3E07"/>
    <w:rsid w:val="008B435F"/>
    <w:rsid w:val="008B4936"/>
    <w:rsid w:val="008B4A0B"/>
    <w:rsid w:val="008B5821"/>
    <w:rsid w:val="008B5B7E"/>
    <w:rsid w:val="008B6220"/>
    <w:rsid w:val="008B71E9"/>
    <w:rsid w:val="008B71EB"/>
    <w:rsid w:val="008B7804"/>
    <w:rsid w:val="008B7ABF"/>
    <w:rsid w:val="008C01FA"/>
    <w:rsid w:val="008C0632"/>
    <w:rsid w:val="008C0C5F"/>
    <w:rsid w:val="008C1799"/>
    <w:rsid w:val="008C2F29"/>
    <w:rsid w:val="008C3098"/>
    <w:rsid w:val="008C33D0"/>
    <w:rsid w:val="008C388D"/>
    <w:rsid w:val="008C3F53"/>
    <w:rsid w:val="008C3FEE"/>
    <w:rsid w:val="008C4619"/>
    <w:rsid w:val="008C4C53"/>
    <w:rsid w:val="008C512B"/>
    <w:rsid w:val="008C548A"/>
    <w:rsid w:val="008C6B00"/>
    <w:rsid w:val="008C6C35"/>
    <w:rsid w:val="008C75D2"/>
    <w:rsid w:val="008D0C6D"/>
    <w:rsid w:val="008D1472"/>
    <w:rsid w:val="008D180F"/>
    <w:rsid w:val="008D262D"/>
    <w:rsid w:val="008D2B32"/>
    <w:rsid w:val="008D2DAC"/>
    <w:rsid w:val="008D344A"/>
    <w:rsid w:val="008D37F2"/>
    <w:rsid w:val="008D3E00"/>
    <w:rsid w:val="008D4090"/>
    <w:rsid w:val="008D440A"/>
    <w:rsid w:val="008D44A3"/>
    <w:rsid w:val="008D461A"/>
    <w:rsid w:val="008D4A12"/>
    <w:rsid w:val="008D4ECE"/>
    <w:rsid w:val="008D4FAF"/>
    <w:rsid w:val="008D5080"/>
    <w:rsid w:val="008D5092"/>
    <w:rsid w:val="008D52BE"/>
    <w:rsid w:val="008D5637"/>
    <w:rsid w:val="008D5B52"/>
    <w:rsid w:val="008D5E29"/>
    <w:rsid w:val="008D62A5"/>
    <w:rsid w:val="008D6C62"/>
    <w:rsid w:val="008D7144"/>
    <w:rsid w:val="008D7574"/>
    <w:rsid w:val="008D75D2"/>
    <w:rsid w:val="008D7C83"/>
    <w:rsid w:val="008E0175"/>
    <w:rsid w:val="008E0494"/>
    <w:rsid w:val="008E062D"/>
    <w:rsid w:val="008E1447"/>
    <w:rsid w:val="008E1703"/>
    <w:rsid w:val="008E2404"/>
    <w:rsid w:val="008E3101"/>
    <w:rsid w:val="008E31DB"/>
    <w:rsid w:val="008E384F"/>
    <w:rsid w:val="008E3E4B"/>
    <w:rsid w:val="008E40CC"/>
    <w:rsid w:val="008E49B0"/>
    <w:rsid w:val="008E4C24"/>
    <w:rsid w:val="008E4C3D"/>
    <w:rsid w:val="008E4D42"/>
    <w:rsid w:val="008E5181"/>
    <w:rsid w:val="008E5756"/>
    <w:rsid w:val="008E58D2"/>
    <w:rsid w:val="008E5AE5"/>
    <w:rsid w:val="008E5B0E"/>
    <w:rsid w:val="008E5C85"/>
    <w:rsid w:val="008E5F35"/>
    <w:rsid w:val="008E61A2"/>
    <w:rsid w:val="008E6259"/>
    <w:rsid w:val="008E6585"/>
    <w:rsid w:val="008E6DD7"/>
    <w:rsid w:val="008E6F31"/>
    <w:rsid w:val="008E7171"/>
    <w:rsid w:val="008E781E"/>
    <w:rsid w:val="008E7BBD"/>
    <w:rsid w:val="008E7DC0"/>
    <w:rsid w:val="008E7EE5"/>
    <w:rsid w:val="008F062F"/>
    <w:rsid w:val="008F089B"/>
    <w:rsid w:val="008F0A74"/>
    <w:rsid w:val="008F0B54"/>
    <w:rsid w:val="008F0D05"/>
    <w:rsid w:val="008F0D91"/>
    <w:rsid w:val="008F173D"/>
    <w:rsid w:val="008F1A4C"/>
    <w:rsid w:val="008F21B8"/>
    <w:rsid w:val="008F226A"/>
    <w:rsid w:val="008F2AE5"/>
    <w:rsid w:val="008F2D22"/>
    <w:rsid w:val="008F300E"/>
    <w:rsid w:val="008F3306"/>
    <w:rsid w:val="008F3981"/>
    <w:rsid w:val="008F39D6"/>
    <w:rsid w:val="008F3EAC"/>
    <w:rsid w:val="008F42C3"/>
    <w:rsid w:val="008F48E1"/>
    <w:rsid w:val="008F4C34"/>
    <w:rsid w:val="008F4FBF"/>
    <w:rsid w:val="008F52F9"/>
    <w:rsid w:val="008F5414"/>
    <w:rsid w:val="008F54E4"/>
    <w:rsid w:val="008F6275"/>
    <w:rsid w:val="008F636D"/>
    <w:rsid w:val="008F663E"/>
    <w:rsid w:val="008F6AB9"/>
    <w:rsid w:val="008F7850"/>
    <w:rsid w:val="00900191"/>
    <w:rsid w:val="009004B8"/>
    <w:rsid w:val="00900A02"/>
    <w:rsid w:val="00900A35"/>
    <w:rsid w:val="00900E8F"/>
    <w:rsid w:val="00901050"/>
    <w:rsid w:val="0090115A"/>
    <w:rsid w:val="0090146D"/>
    <w:rsid w:val="0090173D"/>
    <w:rsid w:val="00901E9C"/>
    <w:rsid w:val="009020BF"/>
    <w:rsid w:val="009020C8"/>
    <w:rsid w:val="00902161"/>
    <w:rsid w:val="009028C1"/>
    <w:rsid w:val="00902DA0"/>
    <w:rsid w:val="00902DDE"/>
    <w:rsid w:val="0090390B"/>
    <w:rsid w:val="00903C8A"/>
    <w:rsid w:val="0090458F"/>
    <w:rsid w:val="009048B6"/>
    <w:rsid w:val="00904923"/>
    <w:rsid w:val="00904C12"/>
    <w:rsid w:val="009052B0"/>
    <w:rsid w:val="009056C2"/>
    <w:rsid w:val="00905B25"/>
    <w:rsid w:val="00905EF1"/>
    <w:rsid w:val="00906565"/>
    <w:rsid w:val="009065C7"/>
    <w:rsid w:val="009067F2"/>
    <w:rsid w:val="00906E1C"/>
    <w:rsid w:val="00907015"/>
    <w:rsid w:val="00907081"/>
    <w:rsid w:val="00907397"/>
    <w:rsid w:val="009073DE"/>
    <w:rsid w:val="009076F6"/>
    <w:rsid w:val="00907A81"/>
    <w:rsid w:val="00907D1E"/>
    <w:rsid w:val="00907F8D"/>
    <w:rsid w:val="0091016E"/>
    <w:rsid w:val="00910510"/>
    <w:rsid w:val="0091094F"/>
    <w:rsid w:val="00910D86"/>
    <w:rsid w:val="0091123F"/>
    <w:rsid w:val="009120D0"/>
    <w:rsid w:val="00912845"/>
    <w:rsid w:val="00912D97"/>
    <w:rsid w:val="00912E55"/>
    <w:rsid w:val="00913D9F"/>
    <w:rsid w:val="00914398"/>
    <w:rsid w:val="00914BCE"/>
    <w:rsid w:val="009155A6"/>
    <w:rsid w:val="00915B37"/>
    <w:rsid w:val="00915B9C"/>
    <w:rsid w:val="0091697F"/>
    <w:rsid w:val="00916D2F"/>
    <w:rsid w:val="00917024"/>
    <w:rsid w:val="0091751D"/>
    <w:rsid w:val="009175DD"/>
    <w:rsid w:val="0091773A"/>
    <w:rsid w:val="00920608"/>
    <w:rsid w:val="00921103"/>
    <w:rsid w:val="00921142"/>
    <w:rsid w:val="009213B4"/>
    <w:rsid w:val="009217CD"/>
    <w:rsid w:val="009219C4"/>
    <w:rsid w:val="0092229D"/>
    <w:rsid w:val="009226F9"/>
    <w:rsid w:val="00922F7E"/>
    <w:rsid w:val="009232D5"/>
    <w:rsid w:val="0092346A"/>
    <w:rsid w:val="0092478B"/>
    <w:rsid w:val="009258BE"/>
    <w:rsid w:val="00925F48"/>
    <w:rsid w:val="009266CC"/>
    <w:rsid w:val="0092681D"/>
    <w:rsid w:val="00926947"/>
    <w:rsid w:val="00926989"/>
    <w:rsid w:val="00930DED"/>
    <w:rsid w:val="0093122F"/>
    <w:rsid w:val="009312D6"/>
    <w:rsid w:val="00931942"/>
    <w:rsid w:val="00931BF6"/>
    <w:rsid w:val="0093227B"/>
    <w:rsid w:val="00932670"/>
    <w:rsid w:val="00932B9C"/>
    <w:rsid w:val="00932EC8"/>
    <w:rsid w:val="00932F20"/>
    <w:rsid w:val="00933C9A"/>
    <w:rsid w:val="00933E38"/>
    <w:rsid w:val="00934C2F"/>
    <w:rsid w:val="00934FB1"/>
    <w:rsid w:val="009354C2"/>
    <w:rsid w:val="009355E5"/>
    <w:rsid w:val="009379BA"/>
    <w:rsid w:val="009405AA"/>
    <w:rsid w:val="00940EBB"/>
    <w:rsid w:val="009430F6"/>
    <w:rsid w:val="00943252"/>
    <w:rsid w:val="009441F0"/>
    <w:rsid w:val="009448C2"/>
    <w:rsid w:val="00944A4E"/>
    <w:rsid w:val="00944DF2"/>
    <w:rsid w:val="0094543D"/>
    <w:rsid w:val="009457BC"/>
    <w:rsid w:val="0094580D"/>
    <w:rsid w:val="00945C74"/>
    <w:rsid w:val="00945FBF"/>
    <w:rsid w:val="00946602"/>
    <w:rsid w:val="00946F49"/>
    <w:rsid w:val="00947306"/>
    <w:rsid w:val="009500AB"/>
    <w:rsid w:val="009506D0"/>
    <w:rsid w:val="009506E3"/>
    <w:rsid w:val="009517EA"/>
    <w:rsid w:val="00951ACE"/>
    <w:rsid w:val="00951C32"/>
    <w:rsid w:val="00951D1E"/>
    <w:rsid w:val="00952048"/>
    <w:rsid w:val="009524FD"/>
    <w:rsid w:val="00952870"/>
    <w:rsid w:val="009531EB"/>
    <w:rsid w:val="00953257"/>
    <w:rsid w:val="00953398"/>
    <w:rsid w:val="00953611"/>
    <w:rsid w:val="009539AD"/>
    <w:rsid w:val="00954F3F"/>
    <w:rsid w:val="00955275"/>
    <w:rsid w:val="00955463"/>
    <w:rsid w:val="00955726"/>
    <w:rsid w:val="009559FE"/>
    <w:rsid w:val="00956010"/>
    <w:rsid w:val="0095619F"/>
    <w:rsid w:val="009561B7"/>
    <w:rsid w:val="0095680E"/>
    <w:rsid w:val="0095684D"/>
    <w:rsid w:val="00956944"/>
    <w:rsid w:val="00956B4E"/>
    <w:rsid w:val="00956C88"/>
    <w:rsid w:val="009570D2"/>
    <w:rsid w:val="009571EC"/>
    <w:rsid w:val="00957651"/>
    <w:rsid w:val="00957D1E"/>
    <w:rsid w:val="0096027B"/>
    <w:rsid w:val="00960932"/>
    <w:rsid w:val="009619EA"/>
    <w:rsid w:val="00961F84"/>
    <w:rsid w:val="00962308"/>
    <w:rsid w:val="0096283E"/>
    <w:rsid w:val="00962B9B"/>
    <w:rsid w:val="00962ECB"/>
    <w:rsid w:val="00963A84"/>
    <w:rsid w:val="0096465A"/>
    <w:rsid w:val="00965EFC"/>
    <w:rsid w:val="009662E5"/>
    <w:rsid w:val="009664F9"/>
    <w:rsid w:val="00966CC2"/>
    <w:rsid w:val="00966EDA"/>
    <w:rsid w:val="00967141"/>
    <w:rsid w:val="009673EF"/>
    <w:rsid w:val="00967ADC"/>
    <w:rsid w:val="00967C17"/>
    <w:rsid w:val="00967E55"/>
    <w:rsid w:val="009708C4"/>
    <w:rsid w:val="009709C9"/>
    <w:rsid w:val="00970B62"/>
    <w:rsid w:val="00970D1D"/>
    <w:rsid w:val="0097119B"/>
    <w:rsid w:val="00971D39"/>
    <w:rsid w:val="009723F7"/>
    <w:rsid w:val="0097240C"/>
    <w:rsid w:val="00972423"/>
    <w:rsid w:val="00972681"/>
    <w:rsid w:val="0097286F"/>
    <w:rsid w:val="009729EB"/>
    <w:rsid w:val="00972CC4"/>
    <w:rsid w:val="00973136"/>
    <w:rsid w:val="00973855"/>
    <w:rsid w:val="00973897"/>
    <w:rsid w:val="009739F6"/>
    <w:rsid w:val="00973B46"/>
    <w:rsid w:val="00973CAA"/>
    <w:rsid w:val="00973DEF"/>
    <w:rsid w:val="00973F19"/>
    <w:rsid w:val="009740D6"/>
    <w:rsid w:val="009748D3"/>
    <w:rsid w:val="00974A2F"/>
    <w:rsid w:val="0097598A"/>
    <w:rsid w:val="0097661D"/>
    <w:rsid w:val="00976E16"/>
    <w:rsid w:val="00976F8B"/>
    <w:rsid w:val="009773A1"/>
    <w:rsid w:val="009775D9"/>
    <w:rsid w:val="0097763E"/>
    <w:rsid w:val="00977BCC"/>
    <w:rsid w:val="00977CEA"/>
    <w:rsid w:val="00980037"/>
    <w:rsid w:val="00980551"/>
    <w:rsid w:val="0098079F"/>
    <w:rsid w:val="009807AA"/>
    <w:rsid w:val="00980F8B"/>
    <w:rsid w:val="00981796"/>
    <w:rsid w:val="00981CAB"/>
    <w:rsid w:val="0098230A"/>
    <w:rsid w:val="0098281F"/>
    <w:rsid w:val="00982820"/>
    <w:rsid w:val="00982972"/>
    <w:rsid w:val="00982A7F"/>
    <w:rsid w:val="00982C9B"/>
    <w:rsid w:val="00982E8B"/>
    <w:rsid w:val="00983B70"/>
    <w:rsid w:val="009842EC"/>
    <w:rsid w:val="009843D5"/>
    <w:rsid w:val="009850CB"/>
    <w:rsid w:val="009856F6"/>
    <w:rsid w:val="0098574A"/>
    <w:rsid w:val="009857FA"/>
    <w:rsid w:val="00985ABE"/>
    <w:rsid w:val="00985C40"/>
    <w:rsid w:val="00985F63"/>
    <w:rsid w:val="00986139"/>
    <w:rsid w:val="009861DC"/>
    <w:rsid w:val="0098634C"/>
    <w:rsid w:val="0098672E"/>
    <w:rsid w:val="00986749"/>
    <w:rsid w:val="00986D4F"/>
    <w:rsid w:val="0098735E"/>
    <w:rsid w:val="009879E4"/>
    <w:rsid w:val="00987A72"/>
    <w:rsid w:val="00987AE2"/>
    <w:rsid w:val="00990076"/>
    <w:rsid w:val="0099039E"/>
    <w:rsid w:val="00990697"/>
    <w:rsid w:val="00990791"/>
    <w:rsid w:val="0099104B"/>
    <w:rsid w:val="00991D12"/>
    <w:rsid w:val="00992C76"/>
    <w:rsid w:val="009930CC"/>
    <w:rsid w:val="0099380E"/>
    <w:rsid w:val="00993FDE"/>
    <w:rsid w:val="0099413D"/>
    <w:rsid w:val="00994713"/>
    <w:rsid w:val="00995163"/>
    <w:rsid w:val="00995348"/>
    <w:rsid w:val="0099558C"/>
    <w:rsid w:val="00995A74"/>
    <w:rsid w:val="00995E9D"/>
    <w:rsid w:val="00996789"/>
    <w:rsid w:val="00997464"/>
    <w:rsid w:val="009974B8"/>
    <w:rsid w:val="0099790F"/>
    <w:rsid w:val="009A01D3"/>
    <w:rsid w:val="009A0689"/>
    <w:rsid w:val="009A071A"/>
    <w:rsid w:val="009A071D"/>
    <w:rsid w:val="009A0928"/>
    <w:rsid w:val="009A09EB"/>
    <w:rsid w:val="009A0A52"/>
    <w:rsid w:val="009A114F"/>
    <w:rsid w:val="009A18D1"/>
    <w:rsid w:val="009A1905"/>
    <w:rsid w:val="009A1B90"/>
    <w:rsid w:val="009A1F2F"/>
    <w:rsid w:val="009A229E"/>
    <w:rsid w:val="009A22A3"/>
    <w:rsid w:val="009A2403"/>
    <w:rsid w:val="009A2B1E"/>
    <w:rsid w:val="009A3611"/>
    <w:rsid w:val="009A413A"/>
    <w:rsid w:val="009A4267"/>
    <w:rsid w:val="009A434A"/>
    <w:rsid w:val="009A4359"/>
    <w:rsid w:val="009A47CC"/>
    <w:rsid w:val="009A4A65"/>
    <w:rsid w:val="009A4BCB"/>
    <w:rsid w:val="009A4E45"/>
    <w:rsid w:val="009A523E"/>
    <w:rsid w:val="009A54F0"/>
    <w:rsid w:val="009A5E45"/>
    <w:rsid w:val="009A6A89"/>
    <w:rsid w:val="009A6C8A"/>
    <w:rsid w:val="009A778E"/>
    <w:rsid w:val="009A7BE2"/>
    <w:rsid w:val="009A7FD7"/>
    <w:rsid w:val="009B001A"/>
    <w:rsid w:val="009B08D9"/>
    <w:rsid w:val="009B0FED"/>
    <w:rsid w:val="009B1F20"/>
    <w:rsid w:val="009B2AAA"/>
    <w:rsid w:val="009B2F7B"/>
    <w:rsid w:val="009B4041"/>
    <w:rsid w:val="009B4370"/>
    <w:rsid w:val="009B4570"/>
    <w:rsid w:val="009B45C1"/>
    <w:rsid w:val="009B46CF"/>
    <w:rsid w:val="009B5344"/>
    <w:rsid w:val="009B5821"/>
    <w:rsid w:val="009B5ADD"/>
    <w:rsid w:val="009B5D67"/>
    <w:rsid w:val="009B5E4A"/>
    <w:rsid w:val="009B603C"/>
    <w:rsid w:val="009B6113"/>
    <w:rsid w:val="009B6126"/>
    <w:rsid w:val="009B666D"/>
    <w:rsid w:val="009B6AFA"/>
    <w:rsid w:val="009B729A"/>
    <w:rsid w:val="009B7441"/>
    <w:rsid w:val="009B7BE0"/>
    <w:rsid w:val="009C006A"/>
    <w:rsid w:val="009C00C0"/>
    <w:rsid w:val="009C03C7"/>
    <w:rsid w:val="009C0497"/>
    <w:rsid w:val="009C04EF"/>
    <w:rsid w:val="009C0756"/>
    <w:rsid w:val="009C0D63"/>
    <w:rsid w:val="009C11E7"/>
    <w:rsid w:val="009C213C"/>
    <w:rsid w:val="009C2366"/>
    <w:rsid w:val="009C2632"/>
    <w:rsid w:val="009C26FE"/>
    <w:rsid w:val="009C2848"/>
    <w:rsid w:val="009C3145"/>
    <w:rsid w:val="009C31BF"/>
    <w:rsid w:val="009C3D3E"/>
    <w:rsid w:val="009C42FD"/>
    <w:rsid w:val="009C4400"/>
    <w:rsid w:val="009C4F76"/>
    <w:rsid w:val="009C5261"/>
    <w:rsid w:val="009C52D2"/>
    <w:rsid w:val="009C55E2"/>
    <w:rsid w:val="009C584A"/>
    <w:rsid w:val="009C5AD3"/>
    <w:rsid w:val="009C776B"/>
    <w:rsid w:val="009C7CF5"/>
    <w:rsid w:val="009C7DD1"/>
    <w:rsid w:val="009D0315"/>
    <w:rsid w:val="009D03A5"/>
    <w:rsid w:val="009D0B64"/>
    <w:rsid w:val="009D0D46"/>
    <w:rsid w:val="009D0EAE"/>
    <w:rsid w:val="009D107C"/>
    <w:rsid w:val="009D11D1"/>
    <w:rsid w:val="009D18B2"/>
    <w:rsid w:val="009D1A7F"/>
    <w:rsid w:val="009D2AFF"/>
    <w:rsid w:val="009D2D17"/>
    <w:rsid w:val="009D30E8"/>
    <w:rsid w:val="009D3581"/>
    <w:rsid w:val="009D368B"/>
    <w:rsid w:val="009D3706"/>
    <w:rsid w:val="009D3727"/>
    <w:rsid w:val="009D4C77"/>
    <w:rsid w:val="009D4EB3"/>
    <w:rsid w:val="009D54CB"/>
    <w:rsid w:val="009D5AD2"/>
    <w:rsid w:val="009D71EB"/>
    <w:rsid w:val="009D769B"/>
    <w:rsid w:val="009D77A3"/>
    <w:rsid w:val="009D7F3E"/>
    <w:rsid w:val="009E07D8"/>
    <w:rsid w:val="009E0C80"/>
    <w:rsid w:val="009E0F64"/>
    <w:rsid w:val="009E1230"/>
    <w:rsid w:val="009E15C3"/>
    <w:rsid w:val="009E16D4"/>
    <w:rsid w:val="009E17FB"/>
    <w:rsid w:val="009E2021"/>
    <w:rsid w:val="009E2045"/>
    <w:rsid w:val="009E2589"/>
    <w:rsid w:val="009E2875"/>
    <w:rsid w:val="009E2A5D"/>
    <w:rsid w:val="009E3051"/>
    <w:rsid w:val="009E34E8"/>
    <w:rsid w:val="009E3673"/>
    <w:rsid w:val="009E3AAF"/>
    <w:rsid w:val="009E3AC5"/>
    <w:rsid w:val="009E3F23"/>
    <w:rsid w:val="009E3F6A"/>
    <w:rsid w:val="009E4057"/>
    <w:rsid w:val="009E4AF0"/>
    <w:rsid w:val="009E4B26"/>
    <w:rsid w:val="009E50E4"/>
    <w:rsid w:val="009E5413"/>
    <w:rsid w:val="009E603D"/>
    <w:rsid w:val="009E6163"/>
    <w:rsid w:val="009E6193"/>
    <w:rsid w:val="009E6945"/>
    <w:rsid w:val="009E7115"/>
    <w:rsid w:val="009E7552"/>
    <w:rsid w:val="009E75BE"/>
    <w:rsid w:val="009E7829"/>
    <w:rsid w:val="009E7D39"/>
    <w:rsid w:val="009F16FB"/>
    <w:rsid w:val="009F1748"/>
    <w:rsid w:val="009F1921"/>
    <w:rsid w:val="009F207B"/>
    <w:rsid w:val="009F2756"/>
    <w:rsid w:val="009F28B7"/>
    <w:rsid w:val="009F29BA"/>
    <w:rsid w:val="009F2E46"/>
    <w:rsid w:val="009F30BB"/>
    <w:rsid w:val="009F48C7"/>
    <w:rsid w:val="009F4C82"/>
    <w:rsid w:val="009F4CF6"/>
    <w:rsid w:val="009F5490"/>
    <w:rsid w:val="009F56D4"/>
    <w:rsid w:val="009F5A2C"/>
    <w:rsid w:val="009F5D64"/>
    <w:rsid w:val="009F6153"/>
    <w:rsid w:val="009F7710"/>
    <w:rsid w:val="009F792E"/>
    <w:rsid w:val="009F7FB1"/>
    <w:rsid w:val="00A0006A"/>
    <w:rsid w:val="00A00077"/>
    <w:rsid w:val="00A008C3"/>
    <w:rsid w:val="00A012FD"/>
    <w:rsid w:val="00A01AEF"/>
    <w:rsid w:val="00A020B8"/>
    <w:rsid w:val="00A0233C"/>
    <w:rsid w:val="00A033B3"/>
    <w:rsid w:val="00A034CA"/>
    <w:rsid w:val="00A036BD"/>
    <w:rsid w:val="00A03A1E"/>
    <w:rsid w:val="00A03EC7"/>
    <w:rsid w:val="00A0409E"/>
    <w:rsid w:val="00A042B6"/>
    <w:rsid w:val="00A0449C"/>
    <w:rsid w:val="00A04A21"/>
    <w:rsid w:val="00A052E2"/>
    <w:rsid w:val="00A053FF"/>
    <w:rsid w:val="00A05519"/>
    <w:rsid w:val="00A05560"/>
    <w:rsid w:val="00A05D35"/>
    <w:rsid w:val="00A06770"/>
    <w:rsid w:val="00A06A8D"/>
    <w:rsid w:val="00A07180"/>
    <w:rsid w:val="00A07636"/>
    <w:rsid w:val="00A07D8E"/>
    <w:rsid w:val="00A104C4"/>
    <w:rsid w:val="00A10947"/>
    <w:rsid w:val="00A11070"/>
    <w:rsid w:val="00A11095"/>
    <w:rsid w:val="00A11171"/>
    <w:rsid w:val="00A1181B"/>
    <w:rsid w:val="00A11A04"/>
    <w:rsid w:val="00A11B5A"/>
    <w:rsid w:val="00A12F8E"/>
    <w:rsid w:val="00A133D6"/>
    <w:rsid w:val="00A1351A"/>
    <w:rsid w:val="00A13A87"/>
    <w:rsid w:val="00A14036"/>
    <w:rsid w:val="00A14599"/>
    <w:rsid w:val="00A14ADC"/>
    <w:rsid w:val="00A152EE"/>
    <w:rsid w:val="00A16007"/>
    <w:rsid w:val="00A168C2"/>
    <w:rsid w:val="00A169AF"/>
    <w:rsid w:val="00A171DE"/>
    <w:rsid w:val="00A17D21"/>
    <w:rsid w:val="00A17E6F"/>
    <w:rsid w:val="00A20148"/>
    <w:rsid w:val="00A2132A"/>
    <w:rsid w:val="00A21333"/>
    <w:rsid w:val="00A2140E"/>
    <w:rsid w:val="00A21C19"/>
    <w:rsid w:val="00A2257F"/>
    <w:rsid w:val="00A22621"/>
    <w:rsid w:val="00A22A3F"/>
    <w:rsid w:val="00A23038"/>
    <w:rsid w:val="00A233F6"/>
    <w:rsid w:val="00A23489"/>
    <w:rsid w:val="00A23F1E"/>
    <w:rsid w:val="00A246A0"/>
    <w:rsid w:val="00A24E3C"/>
    <w:rsid w:val="00A25253"/>
    <w:rsid w:val="00A25CC2"/>
    <w:rsid w:val="00A26617"/>
    <w:rsid w:val="00A26C19"/>
    <w:rsid w:val="00A27B8B"/>
    <w:rsid w:val="00A27CE9"/>
    <w:rsid w:val="00A30AD0"/>
    <w:rsid w:val="00A30D05"/>
    <w:rsid w:val="00A30F30"/>
    <w:rsid w:val="00A31D87"/>
    <w:rsid w:val="00A321ED"/>
    <w:rsid w:val="00A32398"/>
    <w:rsid w:val="00A323CE"/>
    <w:rsid w:val="00A324EE"/>
    <w:rsid w:val="00A32FF5"/>
    <w:rsid w:val="00A3362B"/>
    <w:rsid w:val="00A33784"/>
    <w:rsid w:val="00A33E07"/>
    <w:rsid w:val="00A33E1B"/>
    <w:rsid w:val="00A341B3"/>
    <w:rsid w:val="00A343A6"/>
    <w:rsid w:val="00A3472C"/>
    <w:rsid w:val="00A34C7B"/>
    <w:rsid w:val="00A34C92"/>
    <w:rsid w:val="00A34DF3"/>
    <w:rsid w:val="00A35147"/>
    <w:rsid w:val="00A35A77"/>
    <w:rsid w:val="00A35E9B"/>
    <w:rsid w:val="00A3663A"/>
    <w:rsid w:val="00A36833"/>
    <w:rsid w:val="00A36B6E"/>
    <w:rsid w:val="00A376FB"/>
    <w:rsid w:val="00A37D1A"/>
    <w:rsid w:val="00A40068"/>
    <w:rsid w:val="00A405A8"/>
    <w:rsid w:val="00A40843"/>
    <w:rsid w:val="00A40887"/>
    <w:rsid w:val="00A40FA9"/>
    <w:rsid w:val="00A40FCF"/>
    <w:rsid w:val="00A415FE"/>
    <w:rsid w:val="00A417DD"/>
    <w:rsid w:val="00A41814"/>
    <w:rsid w:val="00A41A01"/>
    <w:rsid w:val="00A41A97"/>
    <w:rsid w:val="00A42749"/>
    <w:rsid w:val="00A42ABE"/>
    <w:rsid w:val="00A439BC"/>
    <w:rsid w:val="00A43C68"/>
    <w:rsid w:val="00A4400A"/>
    <w:rsid w:val="00A440E4"/>
    <w:rsid w:val="00A451D2"/>
    <w:rsid w:val="00A45E01"/>
    <w:rsid w:val="00A4608D"/>
    <w:rsid w:val="00A46D82"/>
    <w:rsid w:val="00A46FF8"/>
    <w:rsid w:val="00A4715D"/>
    <w:rsid w:val="00A47191"/>
    <w:rsid w:val="00A47F51"/>
    <w:rsid w:val="00A50049"/>
    <w:rsid w:val="00A5022D"/>
    <w:rsid w:val="00A5105A"/>
    <w:rsid w:val="00A5122C"/>
    <w:rsid w:val="00A512A4"/>
    <w:rsid w:val="00A513DE"/>
    <w:rsid w:val="00A5184E"/>
    <w:rsid w:val="00A5199C"/>
    <w:rsid w:val="00A519E7"/>
    <w:rsid w:val="00A51CA0"/>
    <w:rsid w:val="00A51F58"/>
    <w:rsid w:val="00A51FC9"/>
    <w:rsid w:val="00A522A3"/>
    <w:rsid w:val="00A52365"/>
    <w:rsid w:val="00A52595"/>
    <w:rsid w:val="00A52AFF"/>
    <w:rsid w:val="00A53472"/>
    <w:rsid w:val="00A5360D"/>
    <w:rsid w:val="00A5361D"/>
    <w:rsid w:val="00A541B4"/>
    <w:rsid w:val="00A54620"/>
    <w:rsid w:val="00A547E5"/>
    <w:rsid w:val="00A5530F"/>
    <w:rsid w:val="00A55983"/>
    <w:rsid w:val="00A562E0"/>
    <w:rsid w:val="00A5688E"/>
    <w:rsid w:val="00A56B37"/>
    <w:rsid w:val="00A56C89"/>
    <w:rsid w:val="00A56EC3"/>
    <w:rsid w:val="00A56F2C"/>
    <w:rsid w:val="00A5708A"/>
    <w:rsid w:val="00A572D3"/>
    <w:rsid w:val="00A5736A"/>
    <w:rsid w:val="00A5798C"/>
    <w:rsid w:val="00A57DB4"/>
    <w:rsid w:val="00A602FA"/>
    <w:rsid w:val="00A624EA"/>
    <w:rsid w:val="00A62775"/>
    <w:rsid w:val="00A6348A"/>
    <w:rsid w:val="00A634F9"/>
    <w:rsid w:val="00A637CA"/>
    <w:rsid w:val="00A63DFC"/>
    <w:rsid w:val="00A64A86"/>
    <w:rsid w:val="00A64D17"/>
    <w:rsid w:val="00A650AC"/>
    <w:rsid w:val="00A65347"/>
    <w:rsid w:val="00A654DF"/>
    <w:rsid w:val="00A65B7E"/>
    <w:rsid w:val="00A65CD6"/>
    <w:rsid w:val="00A65F43"/>
    <w:rsid w:val="00A65FC4"/>
    <w:rsid w:val="00A662F3"/>
    <w:rsid w:val="00A66749"/>
    <w:rsid w:val="00A66A92"/>
    <w:rsid w:val="00A66CA9"/>
    <w:rsid w:val="00A6726B"/>
    <w:rsid w:val="00A67554"/>
    <w:rsid w:val="00A67A2A"/>
    <w:rsid w:val="00A67D5A"/>
    <w:rsid w:val="00A701BC"/>
    <w:rsid w:val="00A709C2"/>
    <w:rsid w:val="00A70CC2"/>
    <w:rsid w:val="00A70CC3"/>
    <w:rsid w:val="00A712A3"/>
    <w:rsid w:val="00A7141A"/>
    <w:rsid w:val="00A71676"/>
    <w:rsid w:val="00A71809"/>
    <w:rsid w:val="00A71A61"/>
    <w:rsid w:val="00A72304"/>
    <w:rsid w:val="00A72643"/>
    <w:rsid w:val="00A72D5E"/>
    <w:rsid w:val="00A72D62"/>
    <w:rsid w:val="00A7342B"/>
    <w:rsid w:val="00A736FF"/>
    <w:rsid w:val="00A73761"/>
    <w:rsid w:val="00A73870"/>
    <w:rsid w:val="00A73EFC"/>
    <w:rsid w:val="00A74297"/>
    <w:rsid w:val="00A74564"/>
    <w:rsid w:val="00A74674"/>
    <w:rsid w:val="00A747F7"/>
    <w:rsid w:val="00A75830"/>
    <w:rsid w:val="00A75938"/>
    <w:rsid w:val="00A77332"/>
    <w:rsid w:val="00A7749E"/>
    <w:rsid w:val="00A77A8C"/>
    <w:rsid w:val="00A77DC6"/>
    <w:rsid w:val="00A77E4E"/>
    <w:rsid w:val="00A77ECB"/>
    <w:rsid w:val="00A77F72"/>
    <w:rsid w:val="00A8004C"/>
    <w:rsid w:val="00A80751"/>
    <w:rsid w:val="00A807CD"/>
    <w:rsid w:val="00A81800"/>
    <w:rsid w:val="00A81937"/>
    <w:rsid w:val="00A82448"/>
    <w:rsid w:val="00A826FD"/>
    <w:rsid w:val="00A827E0"/>
    <w:rsid w:val="00A82904"/>
    <w:rsid w:val="00A82A33"/>
    <w:rsid w:val="00A834C6"/>
    <w:rsid w:val="00A837C2"/>
    <w:rsid w:val="00A837E2"/>
    <w:rsid w:val="00A83E0F"/>
    <w:rsid w:val="00A83E18"/>
    <w:rsid w:val="00A84024"/>
    <w:rsid w:val="00A8423C"/>
    <w:rsid w:val="00A84314"/>
    <w:rsid w:val="00A84738"/>
    <w:rsid w:val="00A8489D"/>
    <w:rsid w:val="00A850E5"/>
    <w:rsid w:val="00A851E7"/>
    <w:rsid w:val="00A8587A"/>
    <w:rsid w:val="00A858E6"/>
    <w:rsid w:val="00A85C9A"/>
    <w:rsid w:val="00A85D36"/>
    <w:rsid w:val="00A86568"/>
    <w:rsid w:val="00A869DF"/>
    <w:rsid w:val="00A86C89"/>
    <w:rsid w:val="00A9061D"/>
    <w:rsid w:val="00A90E54"/>
    <w:rsid w:val="00A911C8"/>
    <w:rsid w:val="00A91B57"/>
    <w:rsid w:val="00A91E0F"/>
    <w:rsid w:val="00A939E3"/>
    <w:rsid w:val="00A93A81"/>
    <w:rsid w:val="00A93AFC"/>
    <w:rsid w:val="00A94253"/>
    <w:rsid w:val="00A9442C"/>
    <w:rsid w:val="00A95303"/>
    <w:rsid w:val="00A959CD"/>
    <w:rsid w:val="00A96274"/>
    <w:rsid w:val="00A9672C"/>
    <w:rsid w:val="00A96A2E"/>
    <w:rsid w:val="00A97C45"/>
    <w:rsid w:val="00A97EB6"/>
    <w:rsid w:val="00A97F55"/>
    <w:rsid w:val="00A97F75"/>
    <w:rsid w:val="00AA0728"/>
    <w:rsid w:val="00AA078F"/>
    <w:rsid w:val="00AA0E74"/>
    <w:rsid w:val="00AA142D"/>
    <w:rsid w:val="00AA14AA"/>
    <w:rsid w:val="00AA2243"/>
    <w:rsid w:val="00AA2ABD"/>
    <w:rsid w:val="00AA2ADE"/>
    <w:rsid w:val="00AA3232"/>
    <w:rsid w:val="00AA35A5"/>
    <w:rsid w:val="00AA3704"/>
    <w:rsid w:val="00AA446D"/>
    <w:rsid w:val="00AA4EE1"/>
    <w:rsid w:val="00AA54E2"/>
    <w:rsid w:val="00AA58C6"/>
    <w:rsid w:val="00AA61A1"/>
    <w:rsid w:val="00AA63DC"/>
    <w:rsid w:val="00AA65D2"/>
    <w:rsid w:val="00AA69C9"/>
    <w:rsid w:val="00AA6B12"/>
    <w:rsid w:val="00AA6D11"/>
    <w:rsid w:val="00AA6DFC"/>
    <w:rsid w:val="00AA7205"/>
    <w:rsid w:val="00AA7762"/>
    <w:rsid w:val="00AA7928"/>
    <w:rsid w:val="00AA79B1"/>
    <w:rsid w:val="00AA7E48"/>
    <w:rsid w:val="00AB0852"/>
    <w:rsid w:val="00AB08BF"/>
    <w:rsid w:val="00AB09A7"/>
    <w:rsid w:val="00AB0A3F"/>
    <w:rsid w:val="00AB0CB7"/>
    <w:rsid w:val="00AB0DB6"/>
    <w:rsid w:val="00AB11A8"/>
    <w:rsid w:val="00AB127D"/>
    <w:rsid w:val="00AB1AED"/>
    <w:rsid w:val="00AB2CEC"/>
    <w:rsid w:val="00AB2EF3"/>
    <w:rsid w:val="00AB333F"/>
    <w:rsid w:val="00AB355D"/>
    <w:rsid w:val="00AB3CD3"/>
    <w:rsid w:val="00AB3ED7"/>
    <w:rsid w:val="00AB4B03"/>
    <w:rsid w:val="00AB4E9C"/>
    <w:rsid w:val="00AB4F9B"/>
    <w:rsid w:val="00AB5CAB"/>
    <w:rsid w:val="00AB6EC8"/>
    <w:rsid w:val="00AB733E"/>
    <w:rsid w:val="00AB7617"/>
    <w:rsid w:val="00AB76AE"/>
    <w:rsid w:val="00AB7FB3"/>
    <w:rsid w:val="00AC00DA"/>
    <w:rsid w:val="00AC01FE"/>
    <w:rsid w:val="00AC0B3E"/>
    <w:rsid w:val="00AC1A7F"/>
    <w:rsid w:val="00AC1A8B"/>
    <w:rsid w:val="00AC1EF8"/>
    <w:rsid w:val="00AC20C9"/>
    <w:rsid w:val="00AC27BF"/>
    <w:rsid w:val="00AC3899"/>
    <w:rsid w:val="00AC3AD7"/>
    <w:rsid w:val="00AC4266"/>
    <w:rsid w:val="00AC4297"/>
    <w:rsid w:val="00AC5AEC"/>
    <w:rsid w:val="00AC5E9A"/>
    <w:rsid w:val="00AC6309"/>
    <w:rsid w:val="00AC6B5D"/>
    <w:rsid w:val="00AC6D63"/>
    <w:rsid w:val="00AC7428"/>
    <w:rsid w:val="00AC7756"/>
    <w:rsid w:val="00AC78BB"/>
    <w:rsid w:val="00AC7A3B"/>
    <w:rsid w:val="00AC7EE5"/>
    <w:rsid w:val="00AD06CA"/>
    <w:rsid w:val="00AD0823"/>
    <w:rsid w:val="00AD0A11"/>
    <w:rsid w:val="00AD0CD3"/>
    <w:rsid w:val="00AD0F1C"/>
    <w:rsid w:val="00AD0F75"/>
    <w:rsid w:val="00AD1150"/>
    <w:rsid w:val="00AD1486"/>
    <w:rsid w:val="00AD15EE"/>
    <w:rsid w:val="00AD16AD"/>
    <w:rsid w:val="00AD16DA"/>
    <w:rsid w:val="00AD1D29"/>
    <w:rsid w:val="00AD1E22"/>
    <w:rsid w:val="00AD26EE"/>
    <w:rsid w:val="00AD2E6B"/>
    <w:rsid w:val="00AD2F23"/>
    <w:rsid w:val="00AD418A"/>
    <w:rsid w:val="00AD4995"/>
    <w:rsid w:val="00AD4B3C"/>
    <w:rsid w:val="00AD502A"/>
    <w:rsid w:val="00AD527F"/>
    <w:rsid w:val="00AD5818"/>
    <w:rsid w:val="00AD60EC"/>
    <w:rsid w:val="00AD72C4"/>
    <w:rsid w:val="00AE00AA"/>
    <w:rsid w:val="00AE0794"/>
    <w:rsid w:val="00AE0C7D"/>
    <w:rsid w:val="00AE122B"/>
    <w:rsid w:val="00AE1386"/>
    <w:rsid w:val="00AE18DC"/>
    <w:rsid w:val="00AE1D54"/>
    <w:rsid w:val="00AE1D6B"/>
    <w:rsid w:val="00AE1DD7"/>
    <w:rsid w:val="00AE21C6"/>
    <w:rsid w:val="00AE290C"/>
    <w:rsid w:val="00AE2A50"/>
    <w:rsid w:val="00AE2D8C"/>
    <w:rsid w:val="00AE2EEB"/>
    <w:rsid w:val="00AE2F8A"/>
    <w:rsid w:val="00AE3AF0"/>
    <w:rsid w:val="00AE438F"/>
    <w:rsid w:val="00AE5050"/>
    <w:rsid w:val="00AE57D1"/>
    <w:rsid w:val="00AE59DC"/>
    <w:rsid w:val="00AE5A68"/>
    <w:rsid w:val="00AE5CB6"/>
    <w:rsid w:val="00AE5D8E"/>
    <w:rsid w:val="00AE60E5"/>
    <w:rsid w:val="00AE618F"/>
    <w:rsid w:val="00AE6258"/>
    <w:rsid w:val="00AE67B2"/>
    <w:rsid w:val="00AE76F7"/>
    <w:rsid w:val="00AF05E4"/>
    <w:rsid w:val="00AF076C"/>
    <w:rsid w:val="00AF0E36"/>
    <w:rsid w:val="00AF102B"/>
    <w:rsid w:val="00AF10B4"/>
    <w:rsid w:val="00AF15AF"/>
    <w:rsid w:val="00AF1930"/>
    <w:rsid w:val="00AF19B7"/>
    <w:rsid w:val="00AF1CBD"/>
    <w:rsid w:val="00AF23AE"/>
    <w:rsid w:val="00AF31FD"/>
    <w:rsid w:val="00AF3C62"/>
    <w:rsid w:val="00AF46FE"/>
    <w:rsid w:val="00AF4A38"/>
    <w:rsid w:val="00AF4F69"/>
    <w:rsid w:val="00AF5041"/>
    <w:rsid w:val="00AF5655"/>
    <w:rsid w:val="00AF579B"/>
    <w:rsid w:val="00AF5ABE"/>
    <w:rsid w:val="00AF5C13"/>
    <w:rsid w:val="00AF5EAD"/>
    <w:rsid w:val="00AF6286"/>
    <w:rsid w:val="00AF6D76"/>
    <w:rsid w:val="00AF6F3B"/>
    <w:rsid w:val="00AF70D3"/>
    <w:rsid w:val="00AF751D"/>
    <w:rsid w:val="00AF7A8E"/>
    <w:rsid w:val="00B00536"/>
    <w:rsid w:val="00B009DD"/>
    <w:rsid w:val="00B00C91"/>
    <w:rsid w:val="00B00C93"/>
    <w:rsid w:val="00B00E54"/>
    <w:rsid w:val="00B0146B"/>
    <w:rsid w:val="00B0170C"/>
    <w:rsid w:val="00B017B2"/>
    <w:rsid w:val="00B01A4D"/>
    <w:rsid w:val="00B01A92"/>
    <w:rsid w:val="00B01CB9"/>
    <w:rsid w:val="00B02353"/>
    <w:rsid w:val="00B024F1"/>
    <w:rsid w:val="00B02652"/>
    <w:rsid w:val="00B02C62"/>
    <w:rsid w:val="00B036F6"/>
    <w:rsid w:val="00B039C8"/>
    <w:rsid w:val="00B03DA2"/>
    <w:rsid w:val="00B0437F"/>
    <w:rsid w:val="00B043DE"/>
    <w:rsid w:val="00B0534B"/>
    <w:rsid w:val="00B055A1"/>
    <w:rsid w:val="00B055B0"/>
    <w:rsid w:val="00B0567A"/>
    <w:rsid w:val="00B056D2"/>
    <w:rsid w:val="00B05B73"/>
    <w:rsid w:val="00B05D67"/>
    <w:rsid w:val="00B05E1F"/>
    <w:rsid w:val="00B061E3"/>
    <w:rsid w:val="00B06FCB"/>
    <w:rsid w:val="00B071F1"/>
    <w:rsid w:val="00B073E0"/>
    <w:rsid w:val="00B07A83"/>
    <w:rsid w:val="00B07C4B"/>
    <w:rsid w:val="00B10188"/>
    <w:rsid w:val="00B10BF8"/>
    <w:rsid w:val="00B10DC7"/>
    <w:rsid w:val="00B115C3"/>
    <w:rsid w:val="00B1183B"/>
    <w:rsid w:val="00B11C37"/>
    <w:rsid w:val="00B11D65"/>
    <w:rsid w:val="00B12AA6"/>
    <w:rsid w:val="00B1310E"/>
    <w:rsid w:val="00B13273"/>
    <w:rsid w:val="00B1357A"/>
    <w:rsid w:val="00B13D65"/>
    <w:rsid w:val="00B166BC"/>
    <w:rsid w:val="00B16B79"/>
    <w:rsid w:val="00B172CD"/>
    <w:rsid w:val="00B174A7"/>
    <w:rsid w:val="00B20019"/>
    <w:rsid w:val="00B207A7"/>
    <w:rsid w:val="00B20A72"/>
    <w:rsid w:val="00B20B50"/>
    <w:rsid w:val="00B20F00"/>
    <w:rsid w:val="00B21D65"/>
    <w:rsid w:val="00B22236"/>
    <w:rsid w:val="00B226E1"/>
    <w:rsid w:val="00B226F2"/>
    <w:rsid w:val="00B229B0"/>
    <w:rsid w:val="00B22EF0"/>
    <w:rsid w:val="00B235BB"/>
    <w:rsid w:val="00B23993"/>
    <w:rsid w:val="00B23EF6"/>
    <w:rsid w:val="00B23FE4"/>
    <w:rsid w:val="00B24336"/>
    <w:rsid w:val="00B24DED"/>
    <w:rsid w:val="00B25156"/>
    <w:rsid w:val="00B256B5"/>
    <w:rsid w:val="00B25C48"/>
    <w:rsid w:val="00B2659F"/>
    <w:rsid w:val="00B265F7"/>
    <w:rsid w:val="00B26B75"/>
    <w:rsid w:val="00B30240"/>
    <w:rsid w:val="00B30DB4"/>
    <w:rsid w:val="00B31459"/>
    <w:rsid w:val="00B31972"/>
    <w:rsid w:val="00B32001"/>
    <w:rsid w:val="00B32585"/>
    <w:rsid w:val="00B32F85"/>
    <w:rsid w:val="00B32FA1"/>
    <w:rsid w:val="00B32FEA"/>
    <w:rsid w:val="00B33155"/>
    <w:rsid w:val="00B333CF"/>
    <w:rsid w:val="00B35487"/>
    <w:rsid w:val="00B35B7B"/>
    <w:rsid w:val="00B35C2A"/>
    <w:rsid w:val="00B371F5"/>
    <w:rsid w:val="00B3725A"/>
    <w:rsid w:val="00B375FF"/>
    <w:rsid w:val="00B376D6"/>
    <w:rsid w:val="00B377EE"/>
    <w:rsid w:val="00B378FA"/>
    <w:rsid w:val="00B37B57"/>
    <w:rsid w:val="00B37B70"/>
    <w:rsid w:val="00B37FB5"/>
    <w:rsid w:val="00B400CB"/>
    <w:rsid w:val="00B40110"/>
    <w:rsid w:val="00B40612"/>
    <w:rsid w:val="00B40A60"/>
    <w:rsid w:val="00B40EA7"/>
    <w:rsid w:val="00B4125D"/>
    <w:rsid w:val="00B41585"/>
    <w:rsid w:val="00B41741"/>
    <w:rsid w:val="00B41B82"/>
    <w:rsid w:val="00B41C3F"/>
    <w:rsid w:val="00B41C57"/>
    <w:rsid w:val="00B41CFB"/>
    <w:rsid w:val="00B41D93"/>
    <w:rsid w:val="00B41DF1"/>
    <w:rsid w:val="00B41DFE"/>
    <w:rsid w:val="00B4216C"/>
    <w:rsid w:val="00B42285"/>
    <w:rsid w:val="00B42A14"/>
    <w:rsid w:val="00B43004"/>
    <w:rsid w:val="00B431B4"/>
    <w:rsid w:val="00B43235"/>
    <w:rsid w:val="00B433FD"/>
    <w:rsid w:val="00B437E5"/>
    <w:rsid w:val="00B4389F"/>
    <w:rsid w:val="00B43ACD"/>
    <w:rsid w:val="00B43B5D"/>
    <w:rsid w:val="00B4454D"/>
    <w:rsid w:val="00B44BAC"/>
    <w:rsid w:val="00B44FE3"/>
    <w:rsid w:val="00B4503C"/>
    <w:rsid w:val="00B45453"/>
    <w:rsid w:val="00B45DFE"/>
    <w:rsid w:val="00B460D7"/>
    <w:rsid w:val="00B46221"/>
    <w:rsid w:val="00B4644E"/>
    <w:rsid w:val="00B46B70"/>
    <w:rsid w:val="00B46C2D"/>
    <w:rsid w:val="00B46E7C"/>
    <w:rsid w:val="00B470A5"/>
    <w:rsid w:val="00B4728F"/>
    <w:rsid w:val="00B47806"/>
    <w:rsid w:val="00B47AFA"/>
    <w:rsid w:val="00B47E18"/>
    <w:rsid w:val="00B5016E"/>
    <w:rsid w:val="00B501BF"/>
    <w:rsid w:val="00B5081B"/>
    <w:rsid w:val="00B516AA"/>
    <w:rsid w:val="00B51C93"/>
    <w:rsid w:val="00B524C2"/>
    <w:rsid w:val="00B52592"/>
    <w:rsid w:val="00B52A34"/>
    <w:rsid w:val="00B52B50"/>
    <w:rsid w:val="00B52D9F"/>
    <w:rsid w:val="00B52FDE"/>
    <w:rsid w:val="00B530B2"/>
    <w:rsid w:val="00B5317A"/>
    <w:rsid w:val="00B53D5F"/>
    <w:rsid w:val="00B53DAB"/>
    <w:rsid w:val="00B54072"/>
    <w:rsid w:val="00B5458C"/>
    <w:rsid w:val="00B545CE"/>
    <w:rsid w:val="00B54B95"/>
    <w:rsid w:val="00B5516B"/>
    <w:rsid w:val="00B55571"/>
    <w:rsid w:val="00B56EF0"/>
    <w:rsid w:val="00B56F98"/>
    <w:rsid w:val="00B56FC9"/>
    <w:rsid w:val="00B575B5"/>
    <w:rsid w:val="00B57C05"/>
    <w:rsid w:val="00B57CF0"/>
    <w:rsid w:val="00B60331"/>
    <w:rsid w:val="00B603C2"/>
    <w:rsid w:val="00B60484"/>
    <w:rsid w:val="00B606E4"/>
    <w:rsid w:val="00B60A93"/>
    <w:rsid w:val="00B618F9"/>
    <w:rsid w:val="00B61A16"/>
    <w:rsid w:val="00B61AA2"/>
    <w:rsid w:val="00B61D0D"/>
    <w:rsid w:val="00B61E32"/>
    <w:rsid w:val="00B621DD"/>
    <w:rsid w:val="00B6231F"/>
    <w:rsid w:val="00B62629"/>
    <w:rsid w:val="00B6302A"/>
    <w:rsid w:val="00B63180"/>
    <w:rsid w:val="00B63810"/>
    <w:rsid w:val="00B63E6A"/>
    <w:rsid w:val="00B64600"/>
    <w:rsid w:val="00B64CAC"/>
    <w:rsid w:val="00B64DB2"/>
    <w:rsid w:val="00B64F7B"/>
    <w:rsid w:val="00B65063"/>
    <w:rsid w:val="00B6511D"/>
    <w:rsid w:val="00B65397"/>
    <w:rsid w:val="00B656D9"/>
    <w:rsid w:val="00B6580F"/>
    <w:rsid w:val="00B662FC"/>
    <w:rsid w:val="00B66B52"/>
    <w:rsid w:val="00B670C0"/>
    <w:rsid w:val="00B67DF8"/>
    <w:rsid w:val="00B70D87"/>
    <w:rsid w:val="00B70E83"/>
    <w:rsid w:val="00B722AD"/>
    <w:rsid w:val="00B734E4"/>
    <w:rsid w:val="00B7356E"/>
    <w:rsid w:val="00B73A59"/>
    <w:rsid w:val="00B741AE"/>
    <w:rsid w:val="00B74233"/>
    <w:rsid w:val="00B748AC"/>
    <w:rsid w:val="00B74C9D"/>
    <w:rsid w:val="00B751CC"/>
    <w:rsid w:val="00B75E0F"/>
    <w:rsid w:val="00B760F7"/>
    <w:rsid w:val="00B76817"/>
    <w:rsid w:val="00B76F92"/>
    <w:rsid w:val="00B7793F"/>
    <w:rsid w:val="00B77D3C"/>
    <w:rsid w:val="00B80144"/>
    <w:rsid w:val="00B8088E"/>
    <w:rsid w:val="00B8098A"/>
    <w:rsid w:val="00B80D33"/>
    <w:rsid w:val="00B81051"/>
    <w:rsid w:val="00B811A2"/>
    <w:rsid w:val="00B81AE0"/>
    <w:rsid w:val="00B81EC9"/>
    <w:rsid w:val="00B82208"/>
    <w:rsid w:val="00B82254"/>
    <w:rsid w:val="00B833C8"/>
    <w:rsid w:val="00B833FB"/>
    <w:rsid w:val="00B83604"/>
    <w:rsid w:val="00B83A68"/>
    <w:rsid w:val="00B83E60"/>
    <w:rsid w:val="00B83E83"/>
    <w:rsid w:val="00B84080"/>
    <w:rsid w:val="00B848FB"/>
    <w:rsid w:val="00B84A79"/>
    <w:rsid w:val="00B858EC"/>
    <w:rsid w:val="00B85D02"/>
    <w:rsid w:val="00B862B3"/>
    <w:rsid w:val="00B86615"/>
    <w:rsid w:val="00B86752"/>
    <w:rsid w:val="00B86E00"/>
    <w:rsid w:val="00B87757"/>
    <w:rsid w:val="00B901CD"/>
    <w:rsid w:val="00B906EB"/>
    <w:rsid w:val="00B90C02"/>
    <w:rsid w:val="00B90E23"/>
    <w:rsid w:val="00B91024"/>
    <w:rsid w:val="00B91476"/>
    <w:rsid w:val="00B914A1"/>
    <w:rsid w:val="00B91528"/>
    <w:rsid w:val="00B91718"/>
    <w:rsid w:val="00B91951"/>
    <w:rsid w:val="00B91985"/>
    <w:rsid w:val="00B91D60"/>
    <w:rsid w:val="00B926F1"/>
    <w:rsid w:val="00B928D2"/>
    <w:rsid w:val="00B9292D"/>
    <w:rsid w:val="00B92F8A"/>
    <w:rsid w:val="00B9317D"/>
    <w:rsid w:val="00B93545"/>
    <w:rsid w:val="00B9366C"/>
    <w:rsid w:val="00B94DEC"/>
    <w:rsid w:val="00B95A69"/>
    <w:rsid w:val="00B95F41"/>
    <w:rsid w:val="00B96358"/>
    <w:rsid w:val="00B96FEC"/>
    <w:rsid w:val="00B970FB"/>
    <w:rsid w:val="00B97199"/>
    <w:rsid w:val="00B97739"/>
    <w:rsid w:val="00B97874"/>
    <w:rsid w:val="00B9794C"/>
    <w:rsid w:val="00B97BC6"/>
    <w:rsid w:val="00B97D51"/>
    <w:rsid w:val="00BA07A5"/>
    <w:rsid w:val="00BA0A44"/>
    <w:rsid w:val="00BA0E4E"/>
    <w:rsid w:val="00BA12B7"/>
    <w:rsid w:val="00BA1358"/>
    <w:rsid w:val="00BA1539"/>
    <w:rsid w:val="00BA1775"/>
    <w:rsid w:val="00BA184E"/>
    <w:rsid w:val="00BA191A"/>
    <w:rsid w:val="00BA1E90"/>
    <w:rsid w:val="00BA3156"/>
    <w:rsid w:val="00BA3FC2"/>
    <w:rsid w:val="00BA4029"/>
    <w:rsid w:val="00BA4216"/>
    <w:rsid w:val="00BA4332"/>
    <w:rsid w:val="00BA446C"/>
    <w:rsid w:val="00BA4EA8"/>
    <w:rsid w:val="00BA508F"/>
    <w:rsid w:val="00BA51F2"/>
    <w:rsid w:val="00BA56DA"/>
    <w:rsid w:val="00BA5848"/>
    <w:rsid w:val="00BA5B83"/>
    <w:rsid w:val="00BA623E"/>
    <w:rsid w:val="00BA64BD"/>
    <w:rsid w:val="00BA6E71"/>
    <w:rsid w:val="00BA7108"/>
    <w:rsid w:val="00BA72AC"/>
    <w:rsid w:val="00BA7687"/>
    <w:rsid w:val="00BA7826"/>
    <w:rsid w:val="00BA7877"/>
    <w:rsid w:val="00BA7D8F"/>
    <w:rsid w:val="00BB15DC"/>
    <w:rsid w:val="00BB2AFB"/>
    <w:rsid w:val="00BB2B35"/>
    <w:rsid w:val="00BB2D6F"/>
    <w:rsid w:val="00BB305B"/>
    <w:rsid w:val="00BB36DF"/>
    <w:rsid w:val="00BB37E4"/>
    <w:rsid w:val="00BB40D9"/>
    <w:rsid w:val="00BB40E4"/>
    <w:rsid w:val="00BB5E86"/>
    <w:rsid w:val="00BB5E94"/>
    <w:rsid w:val="00BB5F6C"/>
    <w:rsid w:val="00BB6207"/>
    <w:rsid w:val="00BB62D2"/>
    <w:rsid w:val="00BB6A3D"/>
    <w:rsid w:val="00BB6B10"/>
    <w:rsid w:val="00BB6DDE"/>
    <w:rsid w:val="00BB76D9"/>
    <w:rsid w:val="00BB7AA6"/>
    <w:rsid w:val="00BC042C"/>
    <w:rsid w:val="00BC0683"/>
    <w:rsid w:val="00BC06DD"/>
    <w:rsid w:val="00BC25A6"/>
    <w:rsid w:val="00BC2E36"/>
    <w:rsid w:val="00BC2E6D"/>
    <w:rsid w:val="00BC2EA1"/>
    <w:rsid w:val="00BC32D8"/>
    <w:rsid w:val="00BC3B71"/>
    <w:rsid w:val="00BC3C58"/>
    <w:rsid w:val="00BC3E5B"/>
    <w:rsid w:val="00BC3E5D"/>
    <w:rsid w:val="00BC421C"/>
    <w:rsid w:val="00BC4616"/>
    <w:rsid w:val="00BC46D3"/>
    <w:rsid w:val="00BC4FA8"/>
    <w:rsid w:val="00BC5A01"/>
    <w:rsid w:val="00BC5B0A"/>
    <w:rsid w:val="00BC5C6D"/>
    <w:rsid w:val="00BC5D3F"/>
    <w:rsid w:val="00BC5FF8"/>
    <w:rsid w:val="00BC65AC"/>
    <w:rsid w:val="00BC660B"/>
    <w:rsid w:val="00BC66E7"/>
    <w:rsid w:val="00BC7BFB"/>
    <w:rsid w:val="00BC7F45"/>
    <w:rsid w:val="00BD0B0B"/>
    <w:rsid w:val="00BD0B1A"/>
    <w:rsid w:val="00BD0CEC"/>
    <w:rsid w:val="00BD16E1"/>
    <w:rsid w:val="00BD1D86"/>
    <w:rsid w:val="00BD1FFA"/>
    <w:rsid w:val="00BD2097"/>
    <w:rsid w:val="00BD281B"/>
    <w:rsid w:val="00BD28C8"/>
    <w:rsid w:val="00BD2B91"/>
    <w:rsid w:val="00BD2C08"/>
    <w:rsid w:val="00BD2E2F"/>
    <w:rsid w:val="00BD2FD8"/>
    <w:rsid w:val="00BD3966"/>
    <w:rsid w:val="00BD3DC4"/>
    <w:rsid w:val="00BD3F7D"/>
    <w:rsid w:val="00BD4407"/>
    <w:rsid w:val="00BD44E6"/>
    <w:rsid w:val="00BD4CD6"/>
    <w:rsid w:val="00BD5185"/>
    <w:rsid w:val="00BD524B"/>
    <w:rsid w:val="00BD550C"/>
    <w:rsid w:val="00BD575F"/>
    <w:rsid w:val="00BD5881"/>
    <w:rsid w:val="00BD5A33"/>
    <w:rsid w:val="00BD5C96"/>
    <w:rsid w:val="00BD635D"/>
    <w:rsid w:val="00BD6455"/>
    <w:rsid w:val="00BD6654"/>
    <w:rsid w:val="00BD6A1E"/>
    <w:rsid w:val="00BD70BC"/>
    <w:rsid w:val="00BD71B3"/>
    <w:rsid w:val="00BD72B8"/>
    <w:rsid w:val="00BD7739"/>
    <w:rsid w:val="00BE073C"/>
    <w:rsid w:val="00BE1929"/>
    <w:rsid w:val="00BE19BB"/>
    <w:rsid w:val="00BE1C3D"/>
    <w:rsid w:val="00BE1DCD"/>
    <w:rsid w:val="00BE2AEB"/>
    <w:rsid w:val="00BE3072"/>
    <w:rsid w:val="00BE4419"/>
    <w:rsid w:val="00BE548C"/>
    <w:rsid w:val="00BE595A"/>
    <w:rsid w:val="00BE5ACD"/>
    <w:rsid w:val="00BE5F33"/>
    <w:rsid w:val="00BE616D"/>
    <w:rsid w:val="00BE6190"/>
    <w:rsid w:val="00BE668E"/>
    <w:rsid w:val="00BE67BE"/>
    <w:rsid w:val="00BE6B56"/>
    <w:rsid w:val="00BE6F76"/>
    <w:rsid w:val="00BE73F8"/>
    <w:rsid w:val="00BE741F"/>
    <w:rsid w:val="00BE7588"/>
    <w:rsid w:val="00BE764B"/>
    <w:rsid w:val="00BE77E3"/>
    <w:rsid w:val="00BE794A"/>
    <w:rsid w:val="00BE7D87"/>
    <w:rsid w:val="00BE7E73"/>
    <w:rsid w:val="00BF028B"/>
    <w:rsid w:val="00BF0776"/>
    <w:rsid w:val="00BF0AD1"/>
    <w:rsid w:val="00BF0DF3"/>
    <w:rsid w:val="00BF0F56"/>
    <w:rsid w:val="00BF0FC3"/>
    <w:rsid w:val="00BF1021"/>
    <w:rsid w:val="00BF1398"/>
    <w:rsid w:val="00BF1696"/>
    <w:rsid w:val="00BF1A00"/>
    <w:rsid w:val="00BF235D"/>
    <w:rsid w:val="00BF25A6"/>
    <w:rsid w:val="00BF43A0"/>
    <w:rsid w:val="00BF5550"/>
    <w:rsid w:val="00BF6235"/>
    <w:rsid w:val="00BF6AE8"/>
    <w:rsid w:val="00BF6CC8"/>
    <w:rsid w:val="00BF6ED9"/>
    <w:rsid w:val="00BF74BB"/>
    <w:rsid w:val="00BF763E"/>
    <w:rsid w:val="00C008B3"/>
    <w:rsid w:val="00C00A35"/>
    <w:rsid w:val="00C00DC7"/>
    <w:rsid w:val="00C0142B"/>
    <w:rsid w:val="00C01856"/>
    <w:rsid w:val="00C01E1E"/>
    <w:rsid w:val="00C01F9C"/>
    <w:rsid w:val="00C01FE7"/>
    <w:rsid w:val="00C023B9"/>
    <w:rsid w:val="00C035B3"/>
    <w:rsid w:val="00C03DC2"/>
    <w:rsid w:val="00C0437F"/>
    <w:rsid w:val="00C049CF"/>
    <w:rsid w:val="00C04CEB"/>
    <w:rsid w:val="00C050D4"/>
    <w:rsid w:val="00C063B3"/>
    <w:rsid w:val="00C0677F"/>
    <w:rsid w:val="00C06AFE"/>
    <w:rsid w:val="00C07639"/>
    <w:rsid w:val="00C078CF"/>
    <w:rsid w:val="00C07A72"/>
    <w:rsid w:val="00C07B60"/>
    <w:rsid w:val="00C07E83"/>
    <w:rsid w:val="00C10373"/>
    <w:rsid w:val="00C10659"/>
    <w:rsid w:val="00C106C0"/>
    <w:rsid w:val="00C1071C"/>
    <w:rsid w:val="00C10959"/>
    <w:rsid w:val="00C11203"/>
    <w:rsid w:val="00C11C08"/>
    <w:rsid w:val="00C1259B"/>
    <w:rsid w:val="00C12D0E"/>
    <w:rsid w:val="00C1334F"/>
    <w:rsid w:val="00C135B4"/>
    <w:rsid w:val="00C13A1A"/>
    <w:rsid w:val="00C13C71"/>
    <w:rsid w:val="00C13D20"/>
    <w:rsid w:val="00C13DE4"/>
    <w:rsid w:val="00C13E62"/>
    <w:rsid w:val="00C142BD"/>
    <w:rsid w:val="00C14E6E"/>
    <w:rsid w:val="00C15344"/>
    <w:rsid w:val="00C15AF0"/>
    <w:rsid w:val="00C15B1C"/>
    <w:rsid w:val="00C15B5F"/>
    <w:rsid w:val="00C15E4E"/>
    <w:rsid w:val="00C15F2E"/>
    <w:rsid w:val="00C1605E"/>
    <w:rsid w:val="00C160F9"/>
    <w:rsid w:val="00C16183"/>
    <w:rsid w:val="00C16455"/>
    <w:rsid w:val="00C16615"/>
    <w:rsid w:val="00C16B92"/>
    <w:rsid w:val="00C1723B"/>
    <w:rsid w:val="00C1765B"/>
    <w:rsid w:val="00C17A48"/>
    <w:rsid w:val="00C203C6"/>
    <w:rsid w:val="00C203D5"/>
    <w:rsid w:val="00C20AE6"/>
    <w:rsid w:val="00C211E5"/>
    <w:rsid w:val="00C21995"/>
    <w:rsid w:val="00C22329"/>
    <w:rsid w:val="00C22ACB"/>
    <w:rsid w:val="00C22CB7"/>
    <w:rsid w:val="00C2360F"/>
    <w:rsid w:val="00C238DA"/>
    <w:rsid w:val="00C23BD6"/>
    <w:rsid w:val="00C23DC8"/>
    <w:rsid w:val="00C23E22"/>
    <w:rsid w:val="00C23E52"/>
    <w:rsid w:val="00C23E5E"/>
    <w:rsid w:val="00C2411A"/>
    <w:rsid w:val="00C24729"/>
    <w:rsid w:val="00C253C7"/>
    <w:rsid w:val="00C254AF"/>
    <w:rsid w:val="00C258CE"/>
    <w:rsid w:val="00C25978"/>
    <w:rsid w:val="00C25CB9"/>
    <w:rsid w:val="00C25E0D"/>
    <w:rsid w:val="00C264BA"/>
    <w:rsid w:val="00C2785E"/>
    <w:rsid w:val="00C300C3"/>
    <w:rsid w:val="00C3024B"/>
    <w:rsid w:val="00C3028C"/>
    <w:rsid w:val="00C30788"/>
    <w:rsid w:val="00C308B2"/>
    <w:rsid w:val="00C309B9"/>
    <w:rsid w:val="00C30EBB"/>
    <w:rsid w:val="00C31057"/>
    <w:rsid w:val="00C31C0A"/>
    <w:rsid w:val="00C31CB0"/>
    <w:rsid w:val="00C32374"/>
    <w:rsid w:val="00C3283C"/>
    <w:rsid w:val="00C3323B"/>
    <w:rsid w:val="00C3326F"/>
    <w:rsid w:val="00C333D0"/>
    <w:rsid w:val="00C335EE"/>
    <w:rsid w:val="00C34F40"/>
    <w:rsid w:val="00C350CA"/>
    <w:rsid w:val="00C35261"/>
    <w:rsid w:val="00C359A4"/>
    <w:rsid w:val="00C359C4"/>
    <w:rsid w:val="00C35E05"/>
    <w:rsid w:val="00C36C98"/>
    <w:rsid w:val="00C37273"/>
    <w:rsid w:val="00C3758D"/>
    <w:rsid w:val="00C40508"/>
    <w:rsid w:val="00C40923"/>
    <w:rsid w:val="00C41D02"/>
    <w:rsid w:val="00C41D72"/>
    <w:rsid w:val="00C41EA5"/>
    <w:rsid w:val="00C42587"/>
    <w:rsid w:val="00C4295D"/>
    <w:rsid w:val="00C42A08"/>
    <w:rsid w:val="00C42A3D"/>
    <w:rsid w:val="00C42D31"/>
    <w:rsid w:val="00C431ED"/>
    <w:rsid w:val="00C4377C"/>
    <w:rsid w:val="00C43BF5"/>
    <w:rsid w:val="00C43EA2"/>
    <w:rsid w:val="00C4428A"/>
    <w:rsid w:val="00C444EC"/>
    <w:rsid w:val="00C44D1D"/>
    <w:rsid w:val="00C4511B"/>
    <w:rsid w:val="00C457B4"/>
    <w:rsid w:val="00C4598F"/>
    <w:rsid w:val="00C45B24"/>
    <w:rsid w:val="00C45B64"/>
    <w:rsid w:val="00C45D29"/>
    <w:rsid w:val="00C45DC5"/>
    <w:rsid w:val="00C461FD"/>
    <w:rsid w:val="00C46538"/>
    <w:rsid w:val="00C469A6"/>
    <w:rsid w:val="00C47099"/>
    <w:rsid w:val="00C47809"/>
    <w:rsid w:val="00C478F3"/>
    <w:rsid w:val="00C47E1B"/>
    <w:rsid w:val="00C50356"/>
    <w:rsid w:val="00C51E06"/>
    <w:rsid w:val="00C5221D"/>
    <w:rsid w:val="00C522F9"/>
    <w:rsid w:val="00C52FFC"/>
    <w:rsid w:val="00C53744"/>
    <w:rsid w:val="00C54744"/>
    <w:rsid w:val="00C54843"/>
    <w:rsid w:val="00C54B4F"/>
    <w:rsid w:val="00C54DB6"/>
    <w:rsid w:val="00C5576F"/>
    <w:rsid w:val="00C55DDA"/>
    <w:rsid w:val="00C56116"/>
    <w:rsid w:val="00C5634C"/>
    <w:rsid w:val="00C576A2"/>
    <w:rsid w:val="00C57902"/>
    <w:rsid w:val="00C57DAA"/>
    <w:rsid w:val="00C60287"/>
    <w:rsid w:val="00C606AE"/>
    <w:rsid w:val="00C60781"/>
    <w:rsid w:val="00C6097D"/>
    <w:rsid w:val="00C60CB5"/>
    <w:rsid w:val="00C60F17"/>
    <w:rsid w:val="00C61641"/>
    <w:rsid w:val="00C618FB"/>
    <w:rsid w:val="00C61BAF"/>
    <w:rsid w:val="00C620F0"/>
    <w:rsid w:val="00C62EF2"/>
    <w:rsid w:val="00C6310A"/>
    <w:rsid w:val="00C635C9"/>
    <w:rsid w:val="00C63A63"/>
    <w:rsid w:val="00C64296"/>
    <w:rsid w:val="00C64CA0"/>
    <w:rsid w:val="00C65880"/>
    <w:rsid w:val="00C65E4E"/>
    <w:rsid w:val="00C6653A"/>
    <w:rsid w:val="00C67F56"/>
    <w:rsid w:val="00C70E4A"/>
    <w:rsid w:val="00C714ED"/>
    <w:rsid w:val="00C71A39"/>
    <w:rsid w:val="00C71C78"/>
    <w:rsid w:val="00C71D5A"/>
    <w:rsid w:val="00C72B80"/>
    <w:rsid w:val="00C72DD1"/>
    <w:rsid w:val="00C73010"/>
    <w:rsid w:val="00C7324E"/>
    <w:rsid w:val="00C73DA1"/>
    <w:rsid w:val="00C73E9C"/>
    <w:rsid w:val="00C7615D"/>
    <w:rsid w:val="00C762E2"/>
    <w:rsid w:val="00C769E2"/>
    <w:rsid w:val="00C76C53"/>
    <w:rsid w:val="00C76E0D"/>
    <w:rsid w:val="00C77EF9"/>
    <w:rsid w:val="00C8092A"/>
    <w:rsid w:val="00C80DA1"/>
    <w:rsid w:val="00C80E1E"/>
    <w:rsid w:val="00C80FC0"/>
    <w:rsid w:val="00C80FDC"/>
    <w:rsid w:val="00C8168E"/>
    <w:rsid w:val="00C820A8"/>
    <w:rsid w:val="00C82700"/>
    <w:rsid w:val="00C8290F"/>
    <w:rsid w:val="00C82C52"/>
    <w:rsid w:val="00C82D46"/>
    <w:rsid w:val="00C82E47"/>
    <w:rsid w:val="00C83B85"/>
    <w:rsid w:val="00C83CBE"/>
    <w:rsid w:val="00C84ACF"/>
    <w:rsid w:val="00C84B12"/>
    <w:rsid w:val="00C84BB6"/>
    <w:rsid w:val="00C84BEF"/>
    <w:rsid w:val="00C853CA"/>
    <w:rsid w:val="00C85CDC"/>
    <w:rsid w:val="00C860A2"/>
    <w:rsid w:val="00C867A6"/>
    <w:rsid w:val="00C86922"/>
    <w:rsid w:val="00C86925"/>
    <w:rsid w:val="00C87EFE"/>
    <w:rsid w:val="00C87FB1"/>
    <w:rsid w:val="00C9014B"/>
    <w:rsid w:val="00C91ACB"/>
    <w:rsid w:val="00C91BE2"/>
    <w:rsid w:val="00C9218C"/>
    <w:rsid w:val="00C92671"/>
    <w:rsid w:val="00C92777"/>
    <w:rsid w:val="00C92F2C"/>
    <w:rsid w:val="00C934B0"/>
    <w:rsid w:val="00C935CF"/>
    <w:rsid w:val="00C9384C"/>
    <w:rsid w:val="00C938F4"/>
    <w:rsid w:val="00C93D45"/>
    <w:rsid w:val="00C93F11"/>
    <w:rsid w:val="00C94483"/>
    <w:rsid w:val="00C94821"/>
    <w:rsid w:val="00C9499B"/>
    <w:rsid w:val="00C94E0F"/>
    <w:rsid w:val="00C94E71"/>
    <w:rsid w:val="00C9570D"/>
    <w:rsid w:val="00C957F4"/>
    <w:rsid w:val="00C9585B"/>
    <w:rsid w:val="00C95EF8"/>
    <w:rsid w:val="00C96E24"/>
    <w:rsid w:val="00C97140"/>
    <w:rsid w:val="00C97545"/>
    <w:rsid w:val="00C97C1A"/>
    <w:rsid w:val="00CA002D"/>
    <w:rsid w:val="00CA075A"/>
    <w:rsid w:val="00CA09EC"/>
    <w:rsid w:val="00CA1469"/>
    <w:rsid w:val="00CA18C0"/>
    <w:rsid w:val="00CA2097"/>
    <w:rsid w:val="00CA2121"/>
    <w:rsid w:val="00CA2B95"/>
    <w:rsid w:val="00CA2D92"/>
    <w:rsid w:val="00CA31B2"/>
    <w:rsid w:val="00CA32C0"/>
    <w:rsid w:val="00CA3848"/>
    <w:rsid w:val="00CA3D3A"/>
    <w:rsid w:val="00CA3E8E"/>
    <w:rsid w:val="00CA3F92"/>
    <w:rsid w:val="00CA4135"/>
    <w:rsid w:val="00CA42EB"/>
    <w:rsid w:val="00CA4F0E"/>
    <w:rsid w:val="00CA4F49"/>
    <w:rsid w:val="00CA525A"/>
    <w:rsid w:val="00CA53BD"/>
    <w:rsid w:val="00CA55DD"/>
    <w:rsid w:val="00CA59D0"/>
    <w:rsid w:val="00CA6573"/>
    <w:rsid w:val="00CA70D9"/>
    <w:rsid w:val="00CA75EE"/>
    <w:rsid w:val="00CA76D2"/>
    <w:rsid w:val="00CA781A"/>
    <w:rsid w:val="00CB0315"/>
    <w:rsid w:val="00CB160F"/>
    <w:rsid w:val="00CB1D0B"/>
    <w:rsid w:val="00CB25D4"/>
    <w:rsid w:val="00CB2A82"/>
    <w:rsid w:val="00CB2ADA"/>
    <w:rsid w:val="00CB2C45"/>
    <w:rsid w:val="00CB2C49"/>
    <w:rsid w:val="00CB30AF"/>
    <w:rsid w:val="00CB39F6"/>
    <w:rsid w:val="00CB43DA"/>
    <w:rsid w:val="00CB53C4"/>
    <w:rsid w:val="00CB5441"/>
    <w:rsid w:val="00CB5732"/>
    <w:rsid w:val="00CB590E"/>
    <w:rsid w:val="00CB59D2"/>
    <w:rsid w:val="00CB5F1A"/>
    <w:rsid w:val="00CB65A1"/>
    <w:rsid w:val="00CB6DD8"/>
    <w:rsid w:val="00CB7091"/>
    <w:rsid w:val="00CB7AAA"/>
    <w:rsid w:val="00CB7D1B"/>
    <w:rsid w:val="00CB7D9C"/>
    <w:rsid w:val="00CC0DE3"/>
    <w:rsid w:val="00CC10B8"/>
    <w:rsid w:val="00CC1B07"/>
    <w:rsid w:val="00CC1F22"/>
    <w:rsid w:val="00CC26A2"/>
    <w:rsid w:val="00CC30A9"/>
    <w:rsid w:val="00CC31D4"/>
    <w:rsid w:val="00CC340A"/>
    <w:rsid w:val="00CC3755"/>
    <w:rsid w:val="00CC3C87"/>
    <w:rsid w:val="00CC4915"/>
    <w:rsid w:val="00CC4B30"/>
    <w:rsid w:val="00CC4C0B"/>
    <w:rsid w:val="00CC55FE"/>
    <w:rsid w:val="00CC571F"/>
    <w:rsid w:val="00CC573D"/>
    <w:rsid w:val="00CC58EB"/>
    <w:rsid w:val="00CC5D52"/>
    <w:rsid w:val="00CC6223"/>
    <w:rsid w:val="00CC6291"/>
    <w:rsid w:val="00CC6422"/>
    <w:rsid w:val="00CC6501"/>
    <w:rsid w:val="00CC6762"/>
    <w:rsid w:val="00CC6FF3"/>
    <w:rsid w:val="00CC7053"/>
    <w:rsid w:val="00CC7516"/>
    <w:rsid w:val="00CC7521"/>
    <w:rsid w:val="00CC78E8"/>
    <w:rsid w:val="00CC7CDA"/>
    <w:rsid w:val="00CD04DB"/>
    <w:rsid w:val="00CD06C4"/>
    <w:rsid w:val="00CD1833"/>
    <w:rsid w:val="00CD1B20"/>
    <w:rsid w:val="00CD20E3"/>
    <w:rsid w:val="00CD2E74"/>
    <w:rsid w:val="00CD3043"/>
    <w:rsid w:val="00CD3C90"/>
    <w:rsid w:val="00CD4DD3"/>
    <w:rsid w:val="00CD51BC"/>
    <w:rsid w:val="00CD58AE"/>
    <w:rsid w:val="00CD675A"/>
    <w:rsid w:val="00CD712A"/>
    <w:rsid w:val="00CD79B4"/>
    <w:rsid w:val="00CD7F4E"/>
    <w:rsid w:val="00CE010B"/>
    <w:rsid w:val="00CE0326"/>
    <w:rsid w:val="00CE0B85"/>
    <w:rsid w:val="00CE0FF0"/>
    <w:rsid w:val="00CE1518"/>
    <w:rsid w:val="00CE1850"/>
    <w:rsid w:val="00CE1F2D"/>
    <w:rsid w:val="00CE268A"/>
    <w:rsid w:val="00CE2FDE"/>
    <w:rsid w:val="00CE3822"/>
    <w:rsid w:val="00CE3D45"/>
    <w:rsid w:val="00CE41ED"/>
    <w:rsid w:val="00CE4E42"/>
    <w:rsid w:val="00CE4EB2"/>
    <w:rsid w:val="00CE5E06"/>
    <w:rsid w:val="00CE5F42"/>
    <w:rsid w:val="00CE60FE"/>
    <w:rsid w:val="00CE693A"/>
    <w:rsid w:val="00CE6EE4"/>
    <w:rsid w:val="00CE6F50"/>
    <w:rsid w:val="00CE73DB"/>
    <w:rsid w:val="00CE73FC"/>
    <w:rsid w:val="00CE7A54"/>
    <w:rsid w:val="00CE7AA3"/>
    <w:rsid w:val="00CF009E"/>
    <w:rsid w:val="00CF0587"/>
    <w:rsid w:val="00CF0AA4"/>
    <w:rsid w:val="00CF0EBF"/>
    <w:rsid w:val="00CF1239"/>
    <w:rsid w:val="00CF1255"/>
    <w:rsid w:val="00CF12F2"/>
    <w:rsid w:val="00CF1311"/>
    <w:rsid w:val="00CF13A1"/>
    <w:rsid w:val="00CF14E6"/>
    <w:rsid w:val="00CF1CE7"/>
    <w:rsid w:val="00CF1E47"/>
    <w:rsid w:val="00CF2A4F"/>
    <w:rsid w:val="00CF2D32"/>
    <w:rsid w:val="00CF3C93"/>
    <w:rsid w:val="00CF41AF"/>
    <w:rsid w:val="00CF49CF"/>
    <w:rsid w:val="00CF4D64"/>
    <w:rsid w:val="00CF5488"/>
    <w:rsid w:val="00CF57A9"/>
    <w:rsid w:val="00CF669D"/>
    <w:rsid w:val="00CF6B9B"/>
    <w:rsid w:val="00CF717F"/>
    <w:rsid w:val="00CF7238"/>
    <w:rsid w:val="00CF7A2F"/>
    <w:rsid w:val="00D014B7"/>
    <w:rsid w:val="00D019AF"/>
    <w:rsid w:val="00D02875"/>
    <w:rsid w:val="00D02E1C"/>
    <w:rsid w:val="00D03A82"/>
    <w:rsid w:val="00D03ACE"/>
    <w:rsid w:val="00D03BE2"/>
    <w:rsid w:val="00D03EF1"/>
    <w:rsid w:val="00D0453C"/>
    <w:rsid w:val="00D04E5B"/>
    <w:rsid w:val="00D04EC1"/>
    <w:rsid w:val="00D06119"/>
    <w:rsid w:val="00D07F5C"/>
    <w:rsid w:val="00D07FCA"/>
    <w:rsid w:val="00D10442"/>
    <w:rsid w:val="00D11320"/>
    <w:rsid w:val="00D12B7A"/>
    <w:rsid w:val="00D137F2"/>
    <w:rsid w:val="00D13A08"/>
    <w:rsid w:val="00D13FA9"/>
    <w:rsid w:val="00D14A5F"/>
    <w:rsid w:val="00D14B1C"/>
    <w:rsid w:val="00D14CA9"/>
    <w:rsid w:val="00D14D85"/>
    <w:rsid w:val="00D14E0D"/>
    <w:rsid w:val="00D14ECA"/>
    <w:rsid w:val="00D1539E"/>
    <w:rsid w:val="00D155B2"/>
    <w:rsid w:val="00D168AA"/>
    <w:rsid w:val="00D16ACE"/>
    <w:rsid w:val="00D16ED1"/>
    <w:rsid w:val="00D17446"/>
    <w:rsid w:val="00D17D03"/>
    <w:rsid w:val="00D21410"/>
    <w:rsid w:val="00D2155B"/>
    <w:rsid w:val="00D2189B"/>
    <w:rsid w:val="00D21EEC"/>
    <w:rsid w:val="00D21F07"/>
    <w:rsid w:val="00D223C6"/>
    <w:rsid w:val="00D22427"/>
    <w:rsid w:val="00D22BAC"/>
    <w:rsid w:val="00D235E4"/>
    <w:rsid w:val="00D236F0"/>
    <w:rsid w:val="00D2409C"/>
    <w:rsid w:val="00D24354"/>
    <w:rsid w:val="00D24549"/>
    <w:rsid w:val="00D2489D"/>
    <w:rsid w:val="00D24AFC"/>
    <w:rsid w:val="00D258FE"/>
    <w:rsid w:val="00D26057"/>
    <w:rsid w:val="00D263EA"/>
    <w:rsid w:val="00D26D69"/>
    <w:rsid w:val="00D2745A"/>
    <w:rsid w:val="00D2747F"/>
    <w:rsid w:val="00D2761F"/>
    <w:rsid w:val="00D277A4"/>
    <w:rsid w:val="00D2795C"/>
    <w:rsid w:val="00D27F20"/>
    <w:rsid w:val="00D27FE4"/>
    <w:rsid w:val="00D3005F"/>
    <w:rsid w:val="00D301FA"/>
    <w:rsid w:val="00D3034D"/>
    <w:rsid w:val="00D3062E"/>
    <w:rsid w:val="00D309A8"/>
    <w:rsid w:val="00D30B1A"/>
    <w:rsid w:val="00D31AEB"/>
    <w:rsid w:val="00D323BF"/>
    <w:rsid w:val="00D32A5A"/>
    <w:rsid w:val="00D32CB0"/>
    <w:rsid w:val="00D33152"/>
    <w:rsid w:val="00D33461"/>
    <w:rsid w:val="00D33828"/>
    <w:rsid w:val="00D349E5"/>
    <w:rsid w:val="00D34D8D"/>
    <w:rsid w:val="00D34F23"/>
    <w:rsid w:val="00D35039"/>
    <w:rsid w:val="00D35B1E"/>
    <w:rsid w:val="00D36493"/>
    <w:rsid w:val="00D367B0"/>
    <w:rsid w:val="00D370A2"/>
    <w:rsid w:val="00D40221"/>
    <w:rsid w:val="00D41B6B"/>
    <w:rsid w:val="00D41D3B"/>
    <w:rsid w:val="00D41F24"/>
    <w:rsid w:val="00D42CAC"/>
    <w:rsid w:val="00D42EC5"/>
    <w:rsid w:val="00D42F80"/>
    <w:rsid w:val="00D43F16"/>
    <w:rsid w:val="00D44626"/>
    <w:rsid w:val="00D44E72"/>
    <w:rsid w:val="00D44EAA"/>
    <w:rsid w:val="00D453DF"/>
    <w:rsid w:val="00D454E2"/>
    <w:rsid w:val="00D457E6"/>
    <w:rsid w:val="00D45C2C"/>
    <w:rsid w:val="00D45EFF"/>
    <w:rsid w:val="00D45F31"/>
    <w:rsid w:val="00D462B1"/>
    <w:rsid w:val="00D462D3"/>
    <w:rsid w:val="00D46612"/>
    <w:rsid w:val="00D46B9F"/>
    <w:rsid w:val="00D46CBB"/>
    <w:rsid w:val="00D47574"/>
    <w:rsid w:val="00D52005"/>
    <w:rsid w:val="00D521FD"/>
    <w:rsid w:val="00D52564"/>
    <w:rsid w:val="00D52A44"/>
    <w:rsid w:val="00D5326F"/>
    <w:rsid w:val="00D532CC"/>
    <w:rsid w:val="00D53421"/>
    <w:rsid w:val="00D53D2A"/>
    <w:rsid w:val="00D53ED7"/>
    <w:rsid w:val="00D541BD"/>
    <w:rsid w:val="00D5489F"/>
    <w:rsid w:val="00D54A48"/>
    <w:rsid w:val="00D54BF2"/>
    <w:rsid w:val="00D55058"/>
    <w:rsid w:val="00D554B6"/>
    <w:rsid w:val="00D5570A"/>
    <w:rsid w:val="00D557DB"/>
    <w:rsid w:val="00D55926"/>
    <w:rsid w:val="00D55A8B"/>
    <w:rsid w:val="00D55B4F"/>
    <w:rsid w:val="00D55C81"/>
    <w:rsid w:val="00D56050"/>
    <w:rsid w:val="00D56065"/>
    <w:rsid w:val="00D56480"/>
    <w:rsid w:val="00D56A26"/>
    <w:rsid w:val="00D56C2E"/>
    <w:rsid w:val="00D5720D"/>
    <w:rsid w:val="00D577CA"/>
    <w:rsid w:val="00D577EB"/>
    <w:rsid w:val="00D57CDF"/>
    <w:rsid w:val="00D602E3"/>
    <w:rsid w:val="00D6049A"/>
    <w:rsid w:val="00D60A7F"/>
    <w:rsid w:val="00D61150"/>
    <w:rsid w:val="00D61351"/>
    <w:rsid w:val="00D6167D"/>
    <w:rsid w:val="00D61758"/>
    <w:rsid w:val="00D61917"/>
    <w:rsid w:val="00D61CD4"/>
    <w:rsid w:val="00D61D7A"/>
    <w:rsid w:val="00D61E10"/>
    <w:rsid w:val="00D61EB7"/>
    <w:rsid w:val="00D6223A"/>
    <w:rsid w:val="00D6260F"/>
    <w:rsid w:val="00D62921"/>
    <w:rsid w:val="00D62BEE"/>
    <w:rsid w:val="00D62FFE"/>
    <w:rsid w:val="00D63192"/>
    <w:rsid w:val="00D63CF8"/>
    <w:rsid w:val="00D63EA5"/>
    <w:rsid w:val="00D647D1"/>
    <w:rsid w:val="00D651DC"/>
    <w:rsid w:val="00D65381"/>
    <w:rsid w:val="00D653BE"/>
    <w:rsid w:val="00D65868"/>
    <w:rsid w:val="00D65DF0"/>
    <w:rsid w:val="00D65FC8"/>
    <w:rsid w:val="00D661E2"/>
    <w:rsid w:val="00D662A6"/>
    <w:rsid w:val="00D664D2"/>
    <w:rsid w:val="00D672A8"/>
    <w:rsid w:val="00D6783D"/>
    <w:rsid w:val="00D705B4"/>
    <w:rsid w:val="00D706B1"/>
    <w:rsid w:val="00D716C8"/>
    <w:rsid w:val="00D71B55"/>
    <w:rsid w:val="00D71E92"/>
    <w:rsid w:val="00D7207C"/>
    <w:rsid w:val="00D72A98"/>
    <w:rsid w:val="00D72DA3"/>
    <w:rsid w:val="00D73260"/>
    <w:rsid w:val="00D735F7"/>
    <w:rsid w:val="00D73655"/>
    <w:rsid w:val="00D73A0C"/>
    <w:rsid w:val="00D745F2"/>
    <w:rsid w:val="00D74789"/>
    <w:rsid w:val="00D74DD7"/>
    <w:rsid w:val="00D751DA"/>
    <w:rsid w:val="00D75277"/>
    <w:rsid w:val="00D75384"/>
    <w:rsid w:val="00D753F3"/>
    <w:rsid w:val="00D75733"/>
    <w:rsid w:val="00D75818"/>
    <w:rsid w:val="00D76150"/>
    <w:rsid w:val="00D763FB"/>
    <w:rsid w:val="00D77804"/>
    <w:rsid w:val="00D77C94"/>
    <w:rsid w:val="00D80457"/>
    <w:rsid w:val="00D80634"/>
    <w:rsid w:val="00D80636"/>
    <w:rsid w:val="00D808B3"/>
    <w:rsid w:val="00D80D71"/>
    <w:rsid w:val="00D82006"/>
    <w:rsid w:val="00D8221A"/>
    <w:rsid w:val="00D823D5"/>
    <w:rsid w:val="00D82888"/>
    <w:rsid w:val="00D82AC9"/>
    <w:rsid w:val="00D82C53"/>
    <w:rsid w:val="00D82CD3"/>
    <w:rsid w:val="00D83069"/>
    <w:rsid w:val="00D837DF"/>
    <w:rsid w:val="00D83DF9"/>
    <w:rsid w:val="00D83E68"/>
    <w:rsid w:val="00D83FA7"/>
    <w:rsid w:val="00D8410A"/>
    <w:rsid w:val="00D84FFA"/>
    <w:rsid w:val="00D85102"/>
    <w:rsid w:val="00D853BF"/>
    <w:rsid w:val="00D85580"/>
    <w:rsid w:val="00D8580D"/>
    <w:rsid w:val="00D85C3E"/>
    <w:rsid w:val="00D8631A"/>
    <w:rsid w:val="00D867FE"/>
    <w:rsid w:val="00D86830"/>
    <w:rsid w:val="00D869BD"/>
    <w:rsid w:val="00D871DF"/>
    <w:rsid w:val="00D8734D"/>
    <w:rsid w:val="00D8735F"/>
    <w:rsid w:val="00D87451"/>
    <w:rsid w:val="00D91036"/>
    <w:rsid w:val="00D91DF7"/>
    <w:rsid w:val="00D92E91"/>
    <w:rsid w:val="00D9301F"/>
    <w:rsid w:val="00D93198"/>
    <w:rsid w:val="00D93846"/>
    <w:rsid w:val="00D939CF"/>
    <w:rsid w:val="00D9434F"/>
    <w:rsid w:val="00D959DC"/>
    <w:rsid w:val="00D95B97"/>
    <w:rsid w:val="00D95DAB"/>
    <w:rsid w:val="00D96071"/>
    <w:rsid w:val="00D9633E"/>
    <w:rsid w:val="00DA02B7"/>
    <w:rsid w:val="00DA0310"/>
    <w:rsid w:val="00DA0488"/>
    <w:rsid w:val="00DA063A"/>
    <w:rsid w:val="00DA0ECF"/>
    <w:rsid w:val="00DA18CE"/>
    <w:rsid w:val="00DA1BC3"/>
    <w:rsid w:val="00DA1D1B"/>
    <w:rsid w:val="00DA1FC8"/>
    <w:rsid w:val="00DA3113"/>
    <w:rsid w:val="00DA315D"/>
    <w:rsid w:val="00DA334F"/>
    <w:rsid w:val="00DA3A08"/>
    <w:rsid w:val="00DA52D7"/>
    <w:rsid w:val="00DA566C"/>
    <w:rsid w:val="00DA5F31"/>
    <w:rsid w:val="00DA638A"/>
    <w:rsid w:val="00DA63E9"/>
    <w:rsid w:val="00DA681D"/>
    <w:rsid w:val="00DA6EC4"/>
    <w:rsid w:val="00DA6EF0"/>
    <w:rsid w:val="00DA7057"/>
    <w:rsid w:val="00DA7646"/>
    <w:rsid w:val="00DB07E2"/>
    <w:rsid w:val="00DB09DB"/>
    <w:rsid w:val="00DB09FE"/>
    <w:rsid w:val="00DB0F91"/>
    <w:rsid w:val="00DB1C6F"/>
    <w:rsid w:val="00DB20FA"/>
    <w:rsid w:val="00DB218E"/>
    <w:rsid w:val="00DB2584"/>
    <w:rsid w:val="00DB2798"/>
    <w:rsid w:val="00DB308C"/>
    <w:rsid w:val="00DB3280"/>
    <w:rsid w:val="00DB3723"/>
    <w:rsid w:val="00DB38BD"/>
    <w:rsid w:val="00DB3B09"/>
    <w:rsid w:val="00DB3D00"/>
    <w:rsid w:val="00DB4496"/>
    <w:rsid w:val="00DB4723"/>
    <w:rsid w:val="00DB4732"/>
    <w:rsid w:val="00DB4888"/>
    <w:rsid w:val="00DB5484"/>
    <w:rsid w:val="00DB55D5"/>
    <w:rsid w:val="00DB56A3"/>
    <w:rsid w:val="00DB574E"/>
    <w:rsid w:val="00DB5FC1"/>
    <w:rsid w:val="00DB65FD"/>
    <w:rsid w:val="00DB6974"/>
    <w:rsid w:val="00DB6F94"/>
    <w:rsid w:val="00DB7616"/>
    <w:rsid w:val="00DB76EA"/>
    <w:rsid w:val="00DB7A80"/>
    <w:rsid w:val="00DC06E5"/>
    <w:rsid w:val="00DC07EE"/>
    <w:rsid w:val="00DC0CBB"/>
    <w:rsid w:val="00DC118B"/>
    <w:rsid w:val="00DC1287"/>
    <w:rsid w:val="00DC13E1"/>
    <w:rsid w:val="00DC17A0"/>
    <w:rsid w:val="00DC1A6E"/>
    <w:rsid w:val="00DC1C6F"/>
    <w:rsid w:val="00DC1FB9"/>
    <w:rsid w:val="00DC37B4"/>
    <w:rsid w:val="00DC3A12"/>
    <w:rsid w:val="00DC3FF9"/>
    <w:rsid w:val="00DC412A"/>
    <w:rsid w:val="00DC4678"/>
    <w:rsid w:val="00DC4896"/>
    <w:rsid w:val="00DC4B19"/>
    <w:rsid w:val="00DC4C47"/>
    <w:rsid w:val="00DC5CB2"/>
    <w:rsid w:val="00DC662D"/>
    <w:rsid w:val="00DC7450"/>
    <w:rsid w:val="00DC7652"/>
    <w:rsid w:val="00DC795F"/>
    <w:rsid w:val="00DC7B90"/>
    <w:rsid w:val="00DC7DF7"/>
    <w:rsid w:val="00DD018A"/>
    <w:rsid w:val="00DD01B2"/>
    <w:rsid w:val="00DD08A2"/>
    <w:rsid w:val="00DD0968"/>
    <w:rsid w:val="00DD0DE5"/>
    <w:rsid w:val="00DD0F24"/>
    <w:rsid w:val="00DD165A"/>
    <w:rsid w:val="00DD24B6"/>
    <w:rsid w:val="00DD2A1B"/>
    <w:rsid w:val="00DD3517"/>
    <w:rsid w:val="00DD3C96"/>
    <w:rsid w:val="00DD4B67"/>
    <w:rsid w:val="00DD4EFC"/>
    <w:rsid w:val="00DD4F3C"/>
    <w:rsid w:val="00DD65C0"/>
    <w:rsid w:val="00DD6D20"/>
    <w:rsid w:val="00DD6D4A"/>
    <w:rsid w:val="00DD75F0"/>
    <w:rsid w:val="00DD7FE4"/>
    <w:rsid w:val="00DE0855"/>
    <w:rsid w:val="00DE0EF7"/>
    <w:rsid w:val="00DE22A1"/>
    <w:rsid w:val="00DE2DFB"/>
    <w:rsid w:val="00DE3616"/>
    <w:rsid w:val="00DE3915"/>
    <w:rsid w:val="00DE3C08"/>
    <w:rsid w:val="00DE425C"/>
    <w:rsid w:val="00DE44AA"/>
    <w:rsid w:val="00DE4A18"/>
    <w:rsid w:val="00DE4F58"/>
    <w:rsid w:val="00DE5168"/>
    <w:rsid w:val="00DE5330"/>
    <w:rsid w:val="00DE59BE"/>
    <w:rsid w:val="00DE5BDE"/>
    <w:rsid w:val="00DE5E8B"/>
    <w:rsid w:val="00DE60CD"/>
    <w:rsid w:val="00DE620F"/>
    <w:rsid w:val="00DE63AD"/>
    <w:rsid w:val="00DE64F2"/>
    <w:rsid w:val="00DE6704"/>
    <w:rsid w:val="00DE6724"/>
    <w:rsid w:val="00DE6E33"/>
    <w:rsid w:val="00DE7549"/>
    <w:rsid w:val="00DE7B63"/>
    <w:rsid w:val="00DE7C08"/>
    <w:rsid w:val="00DE7E7A"/>
    <w:rsid w:val="00DF0300"/>
    <w:rsid w:val="00DF03BA"/>
    <w:rsid w:val="00DF0768"/>
    <w:rsid w:val="00DF09AE"/>
    <w:rsid w:val="00DF0B73"/>
    <w:rsid w:val="00DF0D11"/>
    <w:rsid w:val="00DF1DCE"/>
    <w:rsid w:val="00DF20D4"/>
    <w:rsid w:val="00DF2238"/>
    <w:rsid w:val="00DF2C73"/>
    <w:rsid w:val="00DF2F4D"/>
    <w:rsid w:val="00DF30B2"/>
    <w:rsid w:val="00DF3E0C"/>
    <w:rsid w:val="00DF3E9E"/>
    <w:rsid w:val="00DF40D2"/>
    <w:rsid w:val="00DF40FF"/>
    <w:rsid w:val="00DF515A"/>
    <w:rsid w:val="00DF60C4"/>
    <w:rsid w:val="00DF69F7"/>
    <w:rsid w:val="00DF6D27"/>
    <w:rsid w:val="00DF722F"/>
    <w:rsid w:val="00DF7D7E"/>
    <w:rsid w:val="00DF7DCD"/>
    <w:rsid w:val="00E00763"/>
    <w:rsid w:val="00E007B9"/>
    <w:rsid w:val="00E009F9"/>
    <w:rsid w:val="00E00BBC"/>
    <w:rsid w:val="00E010C3"/>
    <w:rsid w:val="00E01200"/>
    <w:rsid w:val="00E01664"/>
    <w:rsid w:val="00E017E6"/>
    <w:rsid w:val="00E01957"/>
    <w:rsid w:val="00E022C1"/>
    <w:rsid w:val="00E02F40"/>
    <w:rsid w:val="00E038B4"/>
    <w:rsid w:val="00E0409B"/>
    <w:rsid w:val="00E04154"/>
    <w:rsid w:val="00E042B7"/>
    <w:rsid w:val="00E04361"/>
    <w:rsid w:val="00E0443E"/>
    <w:rsid w:val="00E044FD"/>
    <w:rsid w:val="00E04A61"/>
    <w:rsid w:val="00E04CB2"/>
    <w:rsid w:val="00E05048"/>
    <w:rsid w:val="00E05342"/>
    <w:rsid w:val="00E0560E"/>
    <w:rsid w:val="00E0571E"/>
    <w:rsid w:val="00E057EA"/>
    <w:rsid w:val="00E057F4"/>
    <w:rsid w:val="00E05F00"/>
    <w:rsid w:val="00E06619"/>
    <w:rsid w:val="00E06963"/>
    <w:rsid w:val="00E06DD7"/>
    <w:rsid w:val="00E06F64"/>
    <w:rsid w:val="00E06FDD"/>
    <w:rsid w:val="00E07197"/>
    <w:rsid w:val="00E07887"/>
    <w:rsid w:val="00E07966"/>
    <w:rsid w:val="00E07F5A"/>
    <w:rsid w:val="00E10DC3"/>
    <w:rsid w:val="00E10E63"/>
    <w:rsid w:val="00E10F7A"/>
    <w:rsid w:val="00E116B9"/>
    <w:rsid w:val="00E117F1"/>
    <w:rsid w:val="00E11B77"/>
    <w:rsid w:val="00E11E07"/>
    <w:rsid w:val="00E12001"/>
    <w:rsid w:val="00E12467"/>
    <w:rsid w:val="00E12794"/>
    <w:rsid w:val="00E127BC"/>
    <w:rsid w:val="00E12943"/>
    <w:rsid w:val="00E12E6B"/>
    <w:rsid w:val="00E141E9"/>
    <w:rsid w:val="00E14200"/>
    <w:rsid w:val="00E14226"/>
    <w:rsid w:val="00E146FD"/>
    <w:rsid w:val="00E14915"/>
    <w:rsid w:val="00E14A33"/>
    <w:rsid w:val="00E153E3"/>
    <w:rsid w:val="00E15593"/>
    <w:rsid w:val="00E155B0"/>
    <w:rsid w:val="00E1585E"/>
    <w:rsid w:val="00E163B8"/>
    <w:rsid w:val="00E168EA"/>
    <w:rsid w:val="00E16945"/>
    <w:rsid w:val="00E1704C"/>
    <w:rsid w:val="00E17A1E"/>
    <w:rsid w:val="00E20E5D"/>
    <w:rsid w:val="00E22531"/>
    <w:rsid w:val="00E22581"/>
    <w:rsid w:val="00E22587"/>
    <w:rsid w:val="00E22915"/>
    <w:rsid w:val="00E22E56"/>
    <w:rsid w:val="00E2360D"/>
    <w:rsid w:val="00E23867"/>
    <w:rsid w:val="00E23BB9"/>
    <w:rsid w:val="00E23DBA"/>
    <w:rsid w:val="00E240BC"/>
    <w:rsid w:val="00E24AFB"/>
    <w:rsid w:val="00E25615"/>
    <w:rsid w:val="00E25653"/>
    <w:rsid w:val="00E258A6"/>
    <w:rsid w:val="00E25A53"/>
    <w:rsid w:val="00E2616A"/>
    <w:rsid w:val="00E26249"/>
    <w:rsid w:val="00E266AD"/>
    <w:rsid w:val="00E26BDD"/>
    <w:rsid w:val="00E2786F"/>
    <w:rsid w:val="00E3078E"/>
    <w:rsid w:val="00E307D7"/>
    <w:rsid w:val="00E309EE"/>
    <w:rsid w:val="00E30A02"/>
    <w:rsid w:val="00E30C81"/>
    <w:rsid w:val="00E30CA5"/>
    <w:rsid w:val="00E310F4"/>
    <w:rsid w:val="00E31A14"/>
    <w:rsid w:val="00E31A41"/>
    <w:rsid w:val="00E31BBF"/>
    <w:rsid w:val="00E329C1"/>
    <w:rsid w:val="00E32D6B"/>
    <w:rsid w:val="00E33309"/>
    <w:rsid w:val="00E334B1"/>
    <w:rsid w:val="00E336F1"/>
    <w:rsid w:val="00E338E9"/>
    <w:rsid w:val="00E34344"/>
    <w:rsid w:val="00E34926"/>
    <w:rsid w:val="00E349E8"/>
    <w:rsid w:val="00E34A79"/>
    <w:rsid w:val="00E34EFF"/>
    <w:rsid w:val="00E355D5"/>
    <w:rsid w:val="00E3575C"/>
    <w:rsid w:val="00E35AB0"/>
    <w:rsid w:val="00E35AC8"/>
    <w:rsid w:val="00E35C5A"/>
    <w:rsid w:val="00E35DA8"/>
    <w:rsid w:val="00E35EDF"/>
    <w:rsid w:val="00E35FF9"/>
    <w:rsid w:val="00E36318"/>
    <w:rsid w:val="00E363A3"/>
    <w:rsid w:val="00E36C4C"/>
    <w:rsid w:val="00E37245"/>
    <w:rsid w:val="00E372E3"/>
    <w:rsid w:val="00E373A9"/>
    <w:rsid w:val="00E3748D"/>
    <w:rsid w:val="00E37C5F"/>
    <w:rsid w:val="00E37CFD"/>
    <w:rsid w:val="00E402EF"/>
    <w:rsid w:val="00E4034F"/>
    <w:rsid w:val="00E404C7"/>
    <w:rsid w:val="00E4061E"/>
    <w:rsid w:val="00E4103A"/>
    <w:rsid w:val="00E41583"/>
    <w:rsid w:val="00E42831"/>
    <w:rsid w:val="00E4294E"/>
    <w:rsid w:val="00E43025"/>
    <w:rsid w:val="00E43051"/>
    <w:rsid w:val="00E43839"/>
    <w:rsid w:val="00E43F33"/>
    <w:rsid w:val="00E43F65"/>
    <w:rsid w:val="00E444AE"/>
    <w:rsid w:val="00E44CED"/>
    <w:rsid w:val="00E44E64"/>
    <w:rsid w:val="00E458CF"/>
    <w:rsid w:val="00E45B8E"/>
    <w:rsid w:val="00E4655E"/>
    <w:rsid w:val="00E4687C"/>
    <w:rsid w:val="00E47727"/>
    <w:rsid w:val="00E47C58"/>
    <w:rsid w:val="00E503B0"/>
    <w:rsid w:val="00E50429"/>
    <w:rsid w:val="00E50D24"/>
    <w:rsid w:val="00E50DE9"/>
    <w:rsid w:val="00E50F81"/>
    <w:rsid w:val="00E51426"/>
    <w:rsid w:val="00E51A84"/>
    <w:rsid w:val="00E536B2"/>
    <w:rsid w:val="00E53C20"/>
    <w:rsid w:val="00E543D0"/>
    <w:rsid w:val="00E54D04"/>
    <w:rsid w:val="00E54DEB"/>
    <w:rsid w:val="00E55E91"/>
    <w:rsid w:val="00E56917"/>
    <w:rsid w:val="00E56939"/>
    <w:rsid w:val="00E57206"/>
    <w:rsid w:val="00E57266"/>
    <w:rsid w:val="00E57970"/>
    <w:rsid w:val="00E60402"/>
    <w:rsid w:val="00E6082A"/>
    <w:rsid w:val="00E60A41"/>
    <w:rsid w:val="00E60D7C"/>
    <w:rsid w:val="00E61175"/>
    <w:rsid w:val="00E61555"/>
    <w:rsid w:val="00E621D5"/>
    <w:rsid w:val="00E62844"/>
    <w:rsid w:val="00E628B4"/>
    <w:rsid w:val="00E629DD"/>
    <w:rsid w:val="00E62B13"/>
    <w:rsid w:val="00E62C51"/>
    <w:rsid w:val="00E62FED"/>
    <w:rsid w:val="00E6363B"/>
    <w:rsid w:val="00E63B23"/>
    <w:rsid w:val="00E63B25"/>
    <w:rsid w:val="00E640F7"/>
    <w:rsid w:val="00E64262"/>
    <w:rsid w:val="00E64492"/>
    <w:rsid w:val="00E648F1"/>
    <w:rsid w:val="00E6491A"/>
    <w:rsid w:val="00E65305"/>
    <w:rsid w:val="00E65DE7"/>
    <w:rsid w:val="00E7066E"/>
    <w:rsid w:val="00E70E15"/>
    <w:rsid w:val="00E7104D"/>
    <w:rsid w:val="00E728B8"/>
    <w:rsid w:val="00E72F2A"/>
    <w:rsid w:val="00E73206"/>
    <w:rsid w:val="00E7331E"/>
    <w:rsid w:val="00E733B1"/>
    <w:rsid w:val="00E734A3"/>
    <w:rsid w:val="00E736D1"/>
    <w:rsid w:val="00E73759"/>
    <w:rsid w:val="00E73994"/>
    <w:rsid w:val="00E73C3A"/>
    <w:rsid w:val="00E741C5"/>
    <w:rsid w:val="00E74DF9"/>
    <w:rsid w:val="00E7514F"/>
    <w:rsid w:val="00E75773"/>
    <w:rsid w:val="00E75913"/>
    <w:rsid w:val="00E75E02"/>
    <w:rsid w:val="00E7652F"/>
    <w:rsid w:val="00E769F1"/>
    <w:rsid w:val="00E7741C"/>
    <w:rsid w:val="00E80439"/>
    <w:rsid w:val="00E80482"/>
    <w:rsid w:val="00E80912"/>
    <w:rsid w:val="00E80FAA"/>
    <w:rsid w:val="00E8121B"/>
    <w:rsid w:val="00E8145C"/>
    <w:rsid w:val="00E81579"/>
    <w:rsid w:val="00E82ABE"/>
    <w:rsid w:val="00E8320B"/>
    <w:rsid w:val="00E83481"/>
    <w:rsid w:val="00E848FE"/>
    <w:rsid w:val="00E84EB2"/>
    <w:rsid w:val="00E8500B"/>
    <w:rsid w:val="00E85536"/>
    <w:rsid w:val="00E8589A"/>
    <w:rsid w:val="00E85FAF"/>
    <w:rsid w:val="00E8600D"/>
    <w:rsid w:val="00E861BF"/>
    <w:rsid w:val="00E86501"/>
    <w:rsid w:val="00E871F1"/>
    <w:rsid w:val="00E877E3"/>
    <w:rsid w:val="00E905F1"/>
    <w:rsid w:val="00E90BA3"/>
    <w:rsid w:val="00E90FDA"/>
    <w:rsid w:val="00E914F5"/>
    <w:rsid w:val="00E91975"/>
    <w:rsid w:val="00E91A1D"/>
    <w:rsid w:val="00E91DB1"/>
    <w:rsid w:val="00E92993"/>
    <w:rsid w:val="00E92FA0"/>
    <w:rsid w:val="00E9364B"/>
    <w:rsid w:val="00E93EE5"/>
    <w:rsid w:val="00E94AA8"/>
    <w:rsid w:val="00E94CCF"/>
    <w:rsid w:val="00E95B44"/>
    <w:rsid w:val="00E95F6E"/>
    <w:rsid w:val="00E96110"/>
    <w:rsid w:val="00E972A7"/>
    <w:rsid w:val="00E97470"/>
    <w:rsid w:val="00E978B5"/>
    <w:rsid w:val="00E97F7F"/>
    <w:rsid w:val="00EA04EF"/>
    <w:rsid w:val="00EA063E"/>
    <w:rsid w:val="00EA0715"/>
    <w:rsid w:val="00EA0923"/>
    <w:rsid w:val="00EA0D62"/>
    <w:rsid w:val="00EA112B"/>
    <w:rsid w:val="00EA1478"/>
    <w:rsid w:val="00EA152B"/>
    <w:rsid w:val="00EA2B93"/>
    <w:rsid w:val="00EA37D1"/>
    <w:rsid w:val="00EA3A9D"/>
    <w:rsid w:val="00EA4210"/>
    <w:rsid w:val="00EA425B"/>
    <w:rsid w:val="00EA575C"/>
    <w:rsid w:val="00EA59B0"/>
    <w:rsid w:val="00EA6BC8"/>
    <w:rsid w:val="00EA6FEC"/>
    <w:rsid w:val="00EA729E"/>
    <w:rsid w:val="00EA7869"/>
    <w:rsid w:val="00EA7B12"/>
    <w:rsid w:val="00EB0EA4"/>
    <w:rsid w:val="00EB174E"/>
    <w:rsid w:val="00EB1928"/>
    <w:rsid w:val="00EB1B14"/>
    <w:rsid w:val="00EB1D62"/>
    <w:rsid w:val="00EB2109"/>
    <w:rsid w:val="00EB2ABA"/>
    <w:rsid w:val="00EB31D1"/>
    <w:rsid w:val="00EB40D6"/>
    <w:rsid w:val="00EB40DA"/>
    <w:rsid w:val="00EB497B"/>
    <w:rsid w:val="00EB4B80"/>
    <w:rsid w:val="00EB4BB7"/>
    <w:rsid w:val="00EB523A"/>
    <w:rsid w:val="00EB5257"/>
    <w:rsid w:val="00EB53F8"/>
    <w:rsid w:val="00EB5613"/>
    <w:rsid w:val="00EB62F4"/>
    <w:rsid w:val="00EB6320"/>
    <w:rsid w:val="00EB6B0C"/>
    <w:rsid w:val="00EB6B66"/>
    <w:rsid w:val="00EB7138"/>
    <w:rsid w:val="00EB751A"/>
    <w:rsid w:val="00EB7C33"/>
    <w:rsid w:val="00EB7F1D"/>
    <w:rsid w:val="00EC038E"/>
    <w:rsid w:val="00EC06AB"/>
    <w:rsid w:val="00EC0EEB"/>
    <w:rsid w:val="00EC16BC"/>
    <w:rsid w:val="00EC197E"/>
    <w:rsid w:val="00EC1CC3"/>
    <w:rsid w:val="00EC2510"/>
    <w:rsid w:val="00EC273E"/>
    <w:rsid w:val="00EC284B"/>
    <w:rsid w:val="00EC2EFA"/>
    <w:rsid w:val="00EC2FB1"/>
    <w:rsid w:val="00EC3235"/>
    <w:rsid w:val="00EC3C0B"/>
    <w:rsid w:val="00EC3F14"/>
    <w:rsid w:val="00EC4534"/>
    <w:rsid w:val="00EC4E42"/>
    <w:rsid w:val="00EC4EBE"/>
    <w:rsid w:val="00EC505B"/>
    <w:rsid w:val="00EC5068"/>
    <w:rsid w:val="00EC5297"/>
    <w:rsid w:val="00EC52B1"/>
    <w:rsid w:val="00EC5451"/>
    <w:rsid w:val="00EC5479"/>
    <w:rsid w:val="00EC57DA"/>
    <w:rsid w:val="00EC59BD"/>
    <w:rsid w:val="00EC5D23"/>
    <w:rsid w:val="00EC79FC"/>
    <w:rsid w:val="00EC7E0B"/>
    <w:rsid w:val="00EC7F6B"/>
    <w:rsid w:val="00ED09C1"/>
    <w:rsid w:val="00ED0B24"/>
    <w:rsid w:val="00ED0C4F"/>
    <w:rsid w:val="00ED0DCC"/>
    <w:rsid w:val="00ED0F12"/>
    <w:rsid w:val="00ED134E"/>
    <w:rsid w:val="00ED1359"/>
    <w:rsid w:val="00ED156B"/>
    <w:rsid w:val="00ED18F6"/>
    <w:rsid w:val="00ED1922"/>
    <w:rsid w:val="00ED1B67"/>
    <w:rsid w:val="00ED1D24"/>
    <w:rsid w:val="00ED1EB1"/>
    <w:rsid w:val="00ED24EE"/>
    <w:rsid w:val="00ED264F"/>
    <w:rsid w:val="00ED27EE"/>
    <w:rsid w:val="00ED3864"/>
    <w:rsid w:val="00ED38CD"/>
    <w:rsid w:val="00ED4054"/>
    <w:rsid w:val="00ED406D"/>
    <w:rsid w:val="00ED512A"/>
    <w:rsid w:val="00ED669C"/>
    <w:rsid w:val="00ED674C"/>
    <w:rsid w:val="00ED713F"/>
    <w:rsid w:val="00ED7492"/>
    <w:rsid w:val="00ED7A6C"/>
    <w:rsid w:val="00EE096E"/>
    <w:rsid w:val="00EE2097"/>
    <w:rsid w:val="00EE28B0"/>
    <w:rsid w:val="00EE3125"/>
    <w:rsid w:val="00EE4863"/>
    <w:rsid w:val="00EE4EE3"/>
    <w:rsid w:val="00EE554A"/>
    <w:rsid w:val="00EE5E4D"/>
    <w:rsid w:val="00EE61D6"/>
    <w:rsid w:val="00EE6E27"/>
    <w:rsid w:val="00EE7EDA"/>
    <w:rsid w:val="00EF0740"/>
    <w:rsid w:val="00EF0CC9"/>
    <w:rsid w:val="00EF0EA3"/>
    <w:rsid w:val="00EF14BC"/>
    <w:rsid w:val="00EF1683"/>
    <w:rsid w:val="00EF1C02"/>
    <w:rsid w:val="00EF1C2C"/>
    <w:rsid w:val="00EF21A4"/>
    <w:rsid w:val="00EF25F2"/>
    <w:rsid w:val="00EF2923"/>
    <w:rsid w:val="00EF2AAB"/>
    <w:rsid w:val="00EF2DC0"/>
    <w:rsid w:val="00EF3424"/>
    <w:rsid w:val="00EF34F7"/>
    <w:rsid w:val="00EF357D"/>
    <w:rsid w:val="00EF49B7"/>
    <w:rsid w:val="00EF4FE1"/>
    <w:rsid w:val="00EF559B"/>
    <w:rsid w:val="00EF5A77"/>
    <w:rsid w:val="00EF62DE"/>
    <w:rsid w:val="00EF63BE"/>
    <w:rsid w:val="00EF681F"/>
    <w:rsid w:val="00EF6AEB"/>
    <w:rsid w:val="00EF7351"/>
    <w:rsid w:val="00EF7476"/>
    <w:rsid w:val="00EF76D9"/>
    <w:rsid w:val="00EF7986"/>
    <w:rsid w:val="00F005FA"/>
    <w:rsid w:val="00F00647"/>
    <w:rsid w:val="00F0185C"/>
    <w:rsid w:val="00F01B48"/>
    <w:rsid w:val="00F023A5"/>
    <w:rsid w:val="00F024ED"/>
    <w:rsid w:val="00F02F58"/>
    <w:rsid w:val="00F03208"/>
    <w:rsid w:val="00F03B1A"/>
    <w:rsid w:val="00F03CA9"/>
    <w:rsid w:val="00F03DAB"/>
    <w:rsid w:val="00F046C3"/>
    <w:rsid w:val="00F04D70"/>
    <w:rsid w:val="00F04E08"/>
    <w:rsid w:val="00F050A8"/>
    <w:rsid w:val="00F05508"/>
    <w:rsid w:val="00F05704"/>
    <w:rsid w:val="00F0571F"/>
    <w:rsid w:val="00F05B5C"/>
    <w:rsid w:val="00F05BD7"/>
    <w:rsid w:val="00F06009"/>
    <w:rsid w:val="00F069E3"/>
    <w:rsid w:val="00F07301"/>
    <w:rsid w:val="00F105CE"/>
    <w:rsid w:val="00F10662"/>
    <w:rsid w:val="00F106D8"/>
    <w:rsid w:val="00F10C19"/>
    <w:rsid w:val="00F10E3D"/>
    <w:rsid w:val="00F112DD"/>
    <w:rsid w:val="00F116B7"/>
    <w:rsid w:val="00F11864"/>
    <w:rsid w:val="00F12199"/>
    <w:rsid w:val="00F122CE"/>
    <w:rsid w:val="00F12E81"/>
    <w:rsid w:val="00F12F00"/>
    <w:rsid w:val="00F1310C"/>
    <w:rsid w:val="00F13A1D"/>
    <w:rsid w:val="00F13D25"/>
    <w:rsid w:val="00F147ED"/>
    <w:rsid w:val="00F1562B"/>
    <w:rsid w:val="00F156B8"/>
    <w:rsid w:val="00F157A3"/>
    <w:rsid w:val="00F15EFB"/>
    <w:rsid w:val="00F16470"/>
    <w:rsid w:val="00F16A2D"/>
    <w:rsid w:val="00F178CC"/>
    <w:rsid w:val="00F179FB"/>
    <w:rsid w:val="00F2046B"/>
    <w:rsid w:val="00F20D5B"/>
    <w:rsid w:val="00F20E6E"/>
    <w:rsid w:val="00F22572"/>
    <w:rsid w:val="00F23220"/>
    <w:rsid w:val="00F234F0"/>
    <w:rsid w:val="00F2400E"/>
    <w:rsid w:val="00F25218"/>
    <w:rsid w:val="00F25263"/>
    <w:rsid w:val="00F255A0"/>
    <w:rsid w:val="00F25ACF"/>
    <w:rsid w:val="00F26370"/>
    <w:rsid w:val="00F274E8"/>
    <w:rsid w:val="00F275E5"/>
    <w:rsid w:val="00F2768B"/>
    <w:rsid w:val="00F2789D"/>
    <w:rsid w:val="00F30242"/>
    <w:rsid w:val="00F30D6C"/>
    <w:rsid w:val="00F3123A"/>
    <w:rsid w:val="00F314BB"/>
    <w:rsid w:val="00F31676"/>
    <w:rsid w:val="00F31CC1"/>
    <w:rsid w:val="00F31FAD"/>
    <w:rsid w:val="00F320E4"/>
    <w:rsid w:val="00F32284"/>
    <w:rsid w:val="00F325EB"/>
    <w:rsid w:val="00F32EAF"/>
    <w:rsid w:val="00F334CA"/>
    <w:rsid w:val="00F33555"/>
    <w:rsid w:val="00F3385F"/>
    <w:rsid w:val="00F33984"/>
    <w:rsid w:val="00F33CB5"/>
    <w:rsid w:val="00F3420B"/>
    <w:rsid w:val="00F35157"/>
    <w:rsid w:val="00F351B9"/>
    <w:rsid w:val="00F35F12"/>
    <w:rsid w:val="00F36095"/>
    <w:rsid w:val="00F3624C"/>
    <w:rsid w:val="00F37AD9"/>
    <w:rsid w:val="00F37D45"/>
    <w:rsid w:val="00F37E3A"/>
    <w:rsid w:val="00F37FDE"/>
    <w:rsid w:val="00F405AB"/>
    <w:rsid w:val="00F4189F"/>
    <w:rsid w:val="00F41B20"/>
    <w:rsid w:val="00F42261"/>
    <w:rsid w:val="00F42865"/>
    <w:rsid w:val="00F42A4A"/>
    <w:rsid w:val="00F4312F"/>
    <w:rsid w:val="00F44245"/>
    <w:rsid w:val="00F44680"/>
    <w:rsid w:val="00F4507B"/>
    <w:rsid w:val="00F4519F"/>
    <w:rsid w:val="00F4539A"/>
    <w:rsid w:val="00F465B1"/>
    <w:rsid w:val="00F46A55"/>
    <w:rsid w:val="00F46CFA"/>
    <w:rsid w:val="00F47BEA"/>
    <w:rsid w:val="00F501E6"/>
    <w:rsid w:val="00F50615"/>
    <w:rsid w:val="00F506BB"/>
    <w:rsid w:val="00F5074D"/>
    <w:rsid w:val="00F5094E"/>
    <w:rsid w:val="00F509E2"/>
    <w:rsid w:val="00F50D08"/>
    <w:rsid w:val="00F50FC9"/>
    <w:rsid w:val="00F513CB"/>
    <w:rsid w:val="00F5148D"/>
    <w:rsid w:val="00F51931"/>
    <w:rsid w:val="00F51B05"/>
    <w:rsid w:val="00F51DE7"/>
    <w:rsid w:val="00F51F6F"/>
    <w:rsid w:val="00F51FD9"/>
    <w:rsid w:val="00F523E5"/>
    <w:rsid w:val="00F52D67"/>
    <w:rsid w:val="00F5341A"/>
    <w:rsid w:val="00F537D9"/>
    <w:rsid w:val="00F53860"/>
    <w:rsid w:val="00F543FB"/>
    <w:rsid w:val="00F54621"/>
    <w:rsid w:val="00F54A44"/>
    <w:rsid w:val="00F54B68"/>
    <w:rsid w:val="00F54EC9"/>
    <w:rsid w:val="00F54F92"/>
    <w:rsid w:val="00F552EF"/>
    <w:rsid w:val="00F5543C"/>
    <w:rsid w:val="00F55CE8"/>
    <w:rsid w:val="00F561D9"/>
    <w:rsid w:val="00F565A8"/>
    <w:rsid w:val="00F56A7F"/>
    <w:rsid w:val="00F5726C"/>
    <w:rsid w:val="00F5740E"/>
    <w:rsid w:val="00F57A88"/>
    <w:rsid w:val="00F603B9"/>
    <w:rsid w:val="00F604E5"/>
    <w:rsid w:val="00F605AF"/>
    <w:rsid w:val="00F6085B"/>
    <w:rsid w:val="00F60CF6"/>
    <w:rsid w:val="00F613C0"/>
    <w:rsid w:val="00F61B43"/>
    <w:rsid w:val="00F61DFC"/>
    <w:rsid w:val="00F623F7"/>
    <w:rsid w:val="00F628E0"/>
    <w:rsid w:val="00F62B02"/>
    <w:rsid w:val="00F63C57"/>
    <w:rsid w:val="00F63C98"/>
    <w:rsid w:val="00F6466C"/>
    <w:rsid w:val="00F64809"/>
    <w:rsid w:val="00F6528C"/>
    <w:rsid w:val="00F65650"/>
    <w:rsid w:val="00F6571D"/>
    <w:rsid w:val="00F65DC4"/>
    <w:rsid w:val="00F66022"/>
    <w:rsid w:val="00F661E4"/>
    <w:rsid w:val="00F66645"/>
    <w:rsid w:val="00F66724"/>
    <w:rsid w:val="00F66E16"/>
    <w:rsid w:val="00F66EB0"/>
    <w:rsid w:val="00F67150"/>
    <w:rsid w:val="00F67B10"/>
    <w:rsid w:val="00F70360"/>
    <w:rsid w:val="00F7053F"/>
    <w:rsid w:val="00F7061E"/>
    <w:rsid w:val="00F706D3"/>
    <w:rsid w:val="00F71D11"/>
    <w:rsid w:val="00F72040"/>
    <w:rsid w:val="00F73889"/>
    <w:rsid w:val="00F73A11"/>
    <w:rsid w:val="00F73B7A"/>
    <w:rsid w:val="00F73FEA"/>
    <w:rsid w:val="00F745CB"/>
    <w:rsid w:val="00F746F0"/>
    <w:rsid w:val="00F748C9"/>
    <w:rsid w:val="00F74AB5"/>
    <w:rsid w:val="00F7526A"/>
    <w:rsid w:val="00F7552E"/>
    <w:rsid w:val="00F75F90"/>
    <w:rsid w:val="00F761D6"/>
    <w:rsid w:val="00F76674"/>
    <w:rsid w:val="00F76BA4"/>
    <w:rsid w:val="00F76FE8"/>
    <w:rsid w:val="00F7727A"/>
    <w:rsid w:val="00F77A38"/>
    <w:rsid w:val="00F77C37"/>
    <w:rsid w:val="00F77EA5"/>
    <w:rsid w:val="00F77EEF"/>
    <w:rsid w:val="00F8080B"/>
    <w:rsid w:val="00F809C6"/>
    <w:rsid w:val="00F80C52"/>
    <w:rsid w:val="00F81E91"/>
    <w:rsid w:val="00F81F68"/>
    <w:rsid w:val="00F830FD"/>
    <w:rsid w:val="00F8345B"/>
    <w:rsid w:val="00F83ADC"/>
    <w:rsid w:val="00F83CD3"/>
    <w:rsid w:val="00F84E38"/>
    <w:rsid w:val="00F85060"/>
    <w:rsid w:val="00F85604"/>
    <w:rsid w:val="00F856BE"/>
    <w:rsid w:val="00F85D77"/>
    <w:rsid w:val="00F85E27"/>
    <w:rsid w:val="00F86E67"/>
    <w:rsid w:val="00F871E9"/>
    <w:rsid w:val="00F87273"/>
    <w:rsid w:val="00F87BA4"/>
    <w:rsid w:val="00F90E59"/>
    <w:rsid w:val="00F9149F"/>
    <w:rsid w:val="00F91767"/>
    <w:rsid w:val="00F91F72"/>
    <w:rsid w:val="00F920A4"/>
    <w:rsid w:val="00F92304"/>
    <w:rsid w:val="00F9298B"/>
    <w:rsid w:val="00F948DF"/>
    <w:rsid w:val="00F94A82"/>
    <w:rsid w:val="00F95310"/>
    <w:rsid w:val="00F95995"/>
    <w:rsid w:val="00F95FC6"/>
    <w:rsid w:val="00F9643D"/>
    <w:rsid w:val="00F96635"/>
    <w:rsid w:val="00F96853"/>
    <w:rsid w:val="00F96BFB"/>
    <w:rsid w:val="00F96D8F"/>
    <w:rsid w:val="00F9708B"/>
    <w:rsid w:val="00FA0016"/>
    <w:rsid w:val="00FA032E"/>
    <w:rsid w:val="00FA07B6"/>
    <w:rsid w:val="00FA134A"/>
    <w:rsid w:val="00FA1C91"/>
    <w:rsid w:val="00FA2978"/>
    <w:rsid w:val="00FA2A14"/>
    <w:rsid w:val="00FA2E03"/>
    <w:rsid w:val="00FA2F85"/>
    <w:rsid w:val="00FA364E"/>
    <w:rsid w:val="00FA40FC"/>
    <w:rsid w:val="00FA41C6"/>
    <w:rsid w:val="00FA4342"/>
    <w:rsid w:val="00FA526F"/>
    <w:rsid w:val="00FA55BA"/>
    <w:rsid w:val="00FA59D7"/>
    <w:rsid w:val="00FA69B1"/>
    <w:rsid w:val="00FA70AF"/>
    <w:rsid w:val="00FA72DD"/>
    <w:rsid w:val="00FA7666"/>
    <w:rsid w:val="00FA7688"/>
    <w:rsid w:val="00FA773C"/>
    <w:rsid w:val="00FA7D10"/>
    <w:rsid w:val="00FA7E24"/>
    <w:rsid w:val="00FA7F78"/>
    <w:rsid w:val="00FB06FE"/>
    <w:rsid w:val="00FB11B9"/>
    <w:rsid w:val="00FB1379"/>
    <w:rsid w:val="00FB1563"/>
    <w:rsid w:val="00FB1E5C"/>
    <w:rsid w:val="00FB1F60"/>
    <w:rsid w:val="00FB2331"/>
    <w:rsid w:val="00FB2359"/>
    <w:rsid w:val="00FB23FF"/>
    <w:rsid w:val="00FB2880"/>
    <w:rsid w:val="00FB2A74"/>
    <w:rsid w:val="00FB2C4F"/>
    <w:rsid w:val="00FB2CAC"/>
    <w:rsid w:val="00FB3308"/>
    <w:rsid w:val="00FB3DB1"/>
    <w:rsid w:val="00FB3F6B"/>
    <w:rsid w:val="00FB415A"/>
    <w:rsid w:val="00FB42BC"/>
    <w:rsid w:val="00FB4498"/>
    <w:rsid w:val="00FB4515"/>
    <w:rsid w:val="00FB4804"/>
    <w:rsid w:val="00FB4D48"/>
    <w:rsid w:val="00FB5364"/>
    <w:rsid w:val="00FB5856"/>
    <w:rsid w:val="00FB58FF"/>
    <w:rsid w:val="00FB60D1"/>
    <w:rsid w:val="00FB6BE7"/>
    <w:rsid w:val="00FB7096"/>
    <w:rsid w:val="00FB71E6"/>
    <w:rsid w:val="00FB72FB"/>
    <w:rsid w:val="00FB742C"/>
    <w:rsid w:val="00FB7927"/>
    <w:rsid w:val="00FC0415"/>
    <w:rsid w:val="00FC051D"/>
    <w:rsid w:val="00FC086E"/>
    <w:rsid w:val="00FC0D93"/>
    <w:rsid w:val="00FC12F0"/>
    <w:rsid w:val="00FC1B03"/>
    <w:rsid w:val="00FC24E6"/>
    <w:rsid w:val="00FC2E81"/>
    <w:rsid w:val="00FC2E90"/>
    <w:rsid w:val="00FC37DB"/>
    <w:rsid w:val="00FC38B4"/>
    <w:rsid w:val="00FC3C18"/>
    <w:rsid w:val="00FC4780"/>
    <w:rsid w:val="00FC4901"/>
    <w:rsid w:val="00FC4EC0"/>
    <w:rsid w:val="00FC5167"/>
    <w:rsid w:val="00FC5900"/>
    <w:rsid w:val="00FC643F"/>
    <w:rsid w:val="00FC6D5C"/>
    <w:rsid w:val="00FC7F41"/>
    <w:rsid w:val="00FD0A67"/>
    <w:rsid w:val="00FD107A"/>
    <w:rsid w:val="00FD13E0"/>
    <w:rsid w:val="00FD1543"/>
    <w:rsid w:val="00FD168F"/>
    <w:rsid w:val="00FD1E93"/>
    <w:rsid w:val="00FD24D3"/>
    <w:rsid w:val="00FD27D7"/>
    <w:rsid w:val="00FD29E6"/>
    <w:rsid w:val="00FD307D"/>
    <w:rsid w:val="00FD4847"/>
    <w:rsid w:val="00FD4932"/>
    <w:rsid w:val="00FD51A5"/>
    <w:rsid w:val="00FD5511"/>
    <w:rsid w:val="00FD5D93"/>
    <w:rsid w:val="00FD6416"/>
    <w:rsid w:val="00FD6769"/>
    <w:rsid w:val="00FD6B56"/>
    <w:rsid w:val="00FD6EBD"/>
    <w:rsid w:val="00FD73D2"/>
    <w:rsid w:val="00FD7D07"/>
    <w:rsid w:val="00FD7E71"/>
    <w:rsid w:val="00FD7FE6"/>
    <w:rsid w:val="00FE07A9"/>
    <w:rsid w:val="00FE0E00"/>
    <w:rsid w:val="00FE1312"/>
    <w:rsid w:val="00FE14A1"/>
    <w:rsid w:val="00FE2073"/>
    <w:rsid w:val="00FE2082"/>
    <w:rsid w:val="00FE22DE"/>
    <w:rsid w:val="00FE259B"/>
    <w:rsid w:val="00FE29FA"/>
    <w:rsid w:val="00FE2D8B"/>
    <w:rsid w:val="00FE3706"/>
    <w:rsid w:val="00FE3C2F"/>
    <w:rsid w:val="00FE5997"/>
    <w:rsid w:val="00FE5B8F"/>
    <w:rsid w:val="00FE5C07"/>
    <w:rsid w:val="00FE6DE4"/>
    <w:rsid w:val="00FE7071"/>
    <w:rsid w:val="00FE78E6"/>
    <w:rsid w:val="00FE78F5"/>
    <w:rsid w:val="00FF037F"/>
    <w:rsid w:val="00FF0B48"/>
    <w:rsid w:val="00FF0D32"/>
    <w:rsid w:val="00FF0DDA"/>
    <w:rsid w:val="00FF1011"/>
    <w:rsid w:val="00FF1809"/>
    <w:rsid w:val="00FF206F"/>
    <w:rsid w:val="00FF208E"/>
    <w:rsid w:val="00FF28A8"/>
    <w:rsid w:val="00FF2FFB"/>
    <w:rsid w:val="00FF31C0"/>
    <w:rsid w:val="00FF479C"/>
    <w:rsid w:val="00FF4D9A"/>
    <w:rsid w:val="00FF508D"/>
    <w:rsid w:val="00FF596E"/>
    <w:rsid w:val="00FF59FB"/>
    <w:rsid w:val="00FF640A"/>
    <w:rsid w:val="00FF65B7"/>
    <w:rsid w:val="00FF692F"/>
    <w:rsid w:val="00FF6A10"/>
    <w:rsid w:val="00FF6F11"/>
    <w:rsid w:val="00FF7E56"/>
    <w:rsid w:val="01022787"/>
    <w:rsid w:val="02E22BD9"/>
    <w:rsid w:val="032E08E9"/>
    <w:rsid w:val="038C528A"/>
    <w:rsid w:val="040B7FDA"/>
    <w:rsid w:val="046E27E2"/>
    <w:rsid w:val="050A348A"/>
    <w:rsid w:val="051C1607"/>
    <w:rsid w:val="05E35F2F"/>
    <w:rsid w:val="064E6B94"/>
    <w:rsid w:val="06C76E7D"/>
    <w:rsid w:val="071955F8"/>
    <w:rsid w:val="08134EDF"/>
    <w:rsid w:val="08B538FE"/>
    <w:rsid w:val="08CF4CCD"/>
    <w:rsid w:val="0AD57B4F"/>
    <w:rsid w:val="0C054E20"/>
    <w:rsid w:val="0C871F62"/>
    <w:rsid w:val="0E2D1D12"/>
    <w:rsid w:val="0E6610A4"/>
    <w:rsid w:val="0EC63C35"/>
    <w:rsid w:val="0FE42618"/>
    <w:rsid w:val="105451C3"/>
    <w:rsid w:val="109063AD"/>
    <w:rsid w:val="11DB5000"/>
    <w:rsid w:val="11E74A8F"/>
    <w:rsid w:val="12A668E3"/>
    <w:rsid w:val="13966322"/>
    <w:rsid w:val="16F6759F"/>
    <w:rsid w:val="1720704D"/>
    <w:rsid w:val="175229F1"/>
    <w:rsid w:val="17C86E80"/>
    <w:rsid w:val="18AD169E"/>
    <w:rsid w:val="1A2975AE"/>
    <w:rsid w:val="1A842EDB"/>
    <w:rsid w:val="1A8C34BB"/>
    <w:rsid w:val="1BF555BE"/>
    <w:rsid w:val="1C1459F5"/>
    <w:rsid w:val="1C845DE9"/>
    <w:rsid w:val="1C9177E1"/>
    <w:rsid w:val="1D555BD9"/>
    <w:rsid w:val="1D8300E0"/>
    <w:rsid w:val="1E4C1BAF"/>
    <w:rsid w:val="1E5C706E"/>
    <w:rsid w:val="1FF72ADC"/>
    <w:rsid w:val="212B3228"/>
    <w:rsid w:val="226B52E1"/>
    <w:rsid w:val="22883514"/>
    <w:rsid w:val="24313133"/>
    <w:rsid w:val="24644CFB"/>
    <w:rsid w:val="2668285B"/>
    <w:rsid w:val="26C277B1"/>
    <w:rsid w:val="27783931"/>
    <w:rsid w:val="28A65E16"/>
    <w:rsid w:val="28CD2364"/>
    <w:rsid w:val="29162F0E"/>
    <w:rsid w:val="2A163162"/>
    <w:rsid w:val="2B703D5F"/>
    <w:rsid w:val="2B957229"/>
    <w:rsid w:val="2C0E6C54"/>
    <w:rsid w:val="2C6B7986"/>
    <w:rsid w:val="2CA83031"/>
    <w:rsid w:val="30273F5C"/>
    <w:rsid w:val="325A2033"/>
    <w:rsid w:val="32861303"/>
    <w:rsid w:val="343423B2"/>
    <w:rsid w:val="35363111"/>
    <w:rsid w:val="36306D3E"/>
    <w:rsid w:val="369840B1"/>
    <w:rsid w:val="373B2ED7"/>
    <w:rsid w:val="3796283F"/>
    <w:rsid w:val="380E2B9C"/>
    <w:rsid w:val="39B6253C"/>
    <w:rsid w:val="39EF31CA"/>
    <w:rsid w:val="3A1079A1"/>
    <w:rsid w:val="3A561F03"/>
    <w:rsid w:val="3AAB3707"/>
    <w:rsid w:val="3AC3201E"/>
    <w:rsid w:val="3B1342BC"/>
    <w:rsid w:val="3B221445"/>
    <w:rsid w:val="3B3216C6"/>
    <w:rsid w:val="3BC52477"/>
    <w:rsid w:val="3C3F59CE"/>
    <w:rsid w:val="3D827F42"/>
    <w:rsid w:val="3DD121E9"/>
    <w:rsid w:val="3E595EFB"/>
    <w:rsid w:val="3F47449A"/>
    <w:rsid w:val="414330F5"/>
    <w:rsid w:val="4170695B"/>
    <w:rsid w:val="429521AD"/>
    <w:rsid w:val="42A322CE"/>
    <w:rsid w:val="43446B3C"/>
    <w:rsid w:val="438E73C4"/>
    <w:rsid w:val="43A35F98"/>
    <w:rsid w:val="43BA1188"/>
    <w:rsid w:val="44493763"/>
    <w:rsid w:val="452A5FF8"/>
    <w:rsid w:val="458F0804"/>
    <w:rsid w:val="45B123C5"/>
    <w:rsid w:val="4685349C"/>
    <w:rsid w:val="474F3876"/>
    <w:rsid w:val="477733E8"/>
    <w:rsid w:val="486F057A"/>
    <w:rsid w:val="4A7B45AC"/>
    <w:rsid w:val="4B36290D"/>
    <w:rsid w:val="4B634E34"/>
    <w:rsid w:val="4BDC548D"/>
    <w:rsid w:val="4C933740"/>
    <w:rsid w:val="4D9E7BA8"/>
    <w:rsid w:val="4DB72011"/>
    <w:rsid w:val="4F762ECA"/>
    <w:rsid w:val="506735F6"/>
    <w:rsid w:val="50A90B86"/>
    <w:rsid w:val="50DE7E1E"/>
    <w:rsid w:val="529C2CA3"/>
    <w:rsid w:val="52A52354"/>
    <w:rsid w:val="52B23727"/>
    <w:rsid w:val="52DA3CE1"/>
    <w:rsid w:val="52F86A6B"/>
    <w:rsid w:val="53370965"/>
    <w:rsid w:val="5399776E"/>
    <w:rsid w:val="54E51B6C"/>
    <w:rsid w:val="54FE51EA"/>
    <w:rsid w:val="55582A45"/>
    <w:rsid w:val="566145D3"/>
    <w:rsid w:val="580840DE"/>
    <w:rsid w:val="5B8328CC"/>
    <w:rsid w:val="5E7827B3"/>
    <w:rsid w:val="5E996125"/>
    <w:rsid w:val="5EE13DC2"/>
    <w:rsid w:val="60F81725"/>
    <w:rsid w:val="61CC3158"/>
    <w:rsid w:val="62340259"/>
    <w:rsid w:val="626A1239"/>
    <w:rsid w:val="63FB4D62"/>
    <w:rsid w:val="6499339D"/>
    <w:rsid w:val="65380484"/>
    <w:rsid w:val="657B2EF1"/>
    <w:rsid w:val="66164696"/>
    <w:rsid w:val="6A152848"/>
    <w:rsid w:val="6CEA23B7"/>
    <w:rsid w:val="6CEC235A"/>
    <w:rsid w:val="6D3F1849"/>
    <w:rsid w:val="6E476343"/>
    <w:rsid w:val="6E6A7B58"/>
    <w:rsid w:val="719A7FE7"/>
    <w:rsid w:val="746342E1"/>
    <w:rsid w:val="74865AB0"/>
    <w:rsid w:val="74BA0338"/>
    <w:rsid w:val="74FD7DAA"/>
    <w:rsid w:val="763F1AE8"/>
    <w:rsid w:val="76F14965"/>
    <w:rsid w:val="77941552"/>
    <w:rsid w:val="78640D79"/>
    <w:rsid w:val="79617CD7"/>
    <w:rsid w:val="7D0B4698"/>
    <w:rsid w:val="7D741786"/>
    <w:rsid w:val="7D787B88"/>
    <w:rsid w:val="7D8E7F71"/>
    <w:rsid w:val="7DE91C1A"/>
    <w:rsid w:val="7F0B7480"/>
    <w:rsid w:val="7F31667C"/>
    <w:rsid w:val="7FFE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7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ind w:left="0"/>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12">
    <w:name w:val="List 3"/>
    <w:basedOn w:val="1"/>
    <w:qFormat/>
    <w:uiPriority w:val="0"/>
    <w:pPr>
      <w:ind w:left="100" w:leftChars="400" w:hanging="200" w:hangingChars="200"/>
    </w:pPr>
  </w:style>
  <w:style w:type="paragraph" w:styleId="13">
    <w:name w:val="Normal Indent"/>
    <w:basedOn w:val="1"/>
    <w:next w:val="1"/>
    <w:qFormat/>
    <w:uiPriority w:val="0"/>
    <w:pPr>
      <w:widowControl/>
      <w:ind w:firstLine="420"/>
      <w:jc w:val="left"/>
    </w:pPr>
    <w:rPr>
      <w:kern w:val="0"/>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8"/>
    <w:semiHidden/>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next w:val="1"/>
    <w:link w:val="50"/>
    <w:qFormat/>
    <w:uiPriority w:val="0"/>
    <w:pPr>
      <w:spacing w:after="120"/>
    </w:pPr>
  </w:style>
  <w:style w:type="paragraph" w:styleId="19">
    <w:name w:val="Body Text Indent"/>
    <w:basedOn w:val="1"/>
    <w:link w:val="51"/>
    <w:qFormat/>
    <w:uiPriority w:val="0"/>
    <w:pPr>
      <w:spacing w:line="500" w:lineRule="exact"/>
      <w:ind w:left="1588" w:leftChars="832" w:firstLine="433" w:firstLineChars="196"/>
    </w:pPr>
    <w:rPr>
      <w:sz w:val="24"/>
    </w:rPr>
  </w:style>
  <w:style w:type="paragraph" w:styleId="20">
    <w:name w:val="List 2"/>
    <w:basedOn w:val="1"/>
    <w:qFormat/>
    <w:uiPriority w:val="0"/>
    <w:pPr>
      <w:ind w:left="100" w:leftChars="200" w:hanging="200" w:hangingChars="200"/>
    </w:pPr>
  </w:style>
  <w:style w:type="paragraph" w:styleId="2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2">
    <w:name w:val="Plain Text"/>
    <w:basedOn w:val="1"/>
    <w:link w:val="53"/>
    <w:qFormat/>
    <w:uiPriority w:val="0"/>
    <w:rPr>
      <w:rFonts w:ascii="宋体" w:hAnsi="Courier New"/>
      <w:szCs w:val="21"/>
    </w:rPr>
  </w:style>
  <w:style w:type="paragraph" w:styleId="23">
    <w:name w:val="Date"/>
    <w:basedOn w:val="1"/>
    <w:next w:val="1"/>
    <w:link w:val="49"/>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next w:val="1"/>
    <w:link w:val="55"/>
    <w:qFormat/>
    <w:uiPriority w:val="0"/>
    <w:pPr>
      <w:tabs>
        <w:tab w:val="center" w:pos="4153"/>
        <w:tab w:val="right" w:pos="8306"/>
      </w:tabs>
      <w:snapToGrid w:val="0"/>
      <w:jc w:val="left"/>
    </w:pPr>
    <w:rPr>
      <w:sz w:val="18"/>
      <w:szCs w:val="18"/>
    </w:rPr>
  </w:style>
  <w:style w:type="paragraph" w:styleId="2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footnote text"/>
    <w:basedOn w:val="1"/>
    <w:qFormat/>
    <w:uiPriority w:val="0"/>
    <w:pPr>
      <w:snapToGrid w:val="0"/>
      <w:jc w:val="left"/>
    </w:pPr>
    <w:rPr>
      <w:sz w:val="18"/>
    </w:rPr>
  </w:style>
  <w:style w:type="paragraph" w:styleId="31">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33">
    <w:name w:val="Normal (Web)"/>
    <w:basedOn w:val="1"/>
    <w:qFormat/>
    <w:uiPriority w:val="0"/>
    <w:rPr>
      <w:sz w:val="24"/>
    </w:rPr>
  </w:style>
  <w:style w:type="paragraph" w:styleId="34">
    <w:name w:val="annotation subject"/>
    <w:basedOn w:val="16"/>
    <w:next w:val="16"/>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paragraph" w:customStyle="1" w:styleId="43">
    <w:name w:val="标题 5（有编号）（绿盟科技）"/>
    <w:basedOn w:val="1"/>
    <w:next w:val="44"/>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样式 首行缩进:  2 字符1"/>
    <w:basedOn w:val="1"/>
    <w:qFormat/>
    <w:uiPriority w:val="0"/>
    <w:pPr>
      <w:adjustRightInd w:val="0"/>
      <w:snapToGrid w:val="0"/>
      <w:spacing w:line="360" w:lineRule="auto"/>
      <w:ind w:firstLine="480" w:firstLineChars="200"/>
    </w:pPr>
    <w:rPr>
      <w:rFonts w:cs="宋体"/>
      <w:sz w:val="24"/>
    </w:rPr>
  </w:style>
  <w:style w:type="character" w:customStyle="1" w:styleId="47">
    <w:name w:val="font21"/>
    <w:basedOn w:val="37"/>
    <w:qFormat/>
    <w:uiPriority w:val="0"/>
    <w:rPr>
      <w:rFonts w:hint="eastAsia" w:ascii="宋体" w:hAnsi="宋体" w:eastAsia="宋体" w:cs="宋体"/>
      <w:color w:val="000000"/>
      <w:sz w:val="21"/>
      <w:szCs w:val="21"/>
      <w:u w:val="none"/>
    </w:rPr>
  </w:style>
  <w:style w:type="character" w:customStyle="1" w:styleId="48">
    <w:name w:val="批注文字 字符"/>
    <w:link w:val="16"/>
    <w:qFormat/>
    <w:uiPriority w:val="0"/>
    <w:rPr>
      <w:rFonts w:eastAsia="宋体"/>
      <w:kern w:val="2"/>
      <w:sz w:val="21"/>
      <w:szCs w:val="24"/>
      <w:lang w:val="en-US" w:eastAsia="zh-CN" w:bidi="ar-SA"/>
    </w:rPr>
  </w:style>
  <w:style w:type="character" w:customStyle="1" w:styleId="49">
    <w:name w:val="日期 字符"/>
    <w:link w:val="23"/>
    <w:qFormat/>
    <w:uiPriority w:val="0"/>
    <w:rPr>
      <w:kern w:val="2"/>
      <w:sz w:val="21"/>
      <w:szCs w:val="24"/>
    </w:rPr>
  </w:style>
  <w:style w:type="character" w:customStyle="1" w:styleId="50">
    <w:name w:val="正文文本 字符"/>
    <w:link w:val="18"/>
    <w:qFormat/>
    <w:uiPriority w:val="0"/>
    <w:rPr>
      <w:rFonts w:eastAsia="宋体"/>
      <w:kern w:val="2"/>
      <w:sz w:val="21"/>
      <w:szCs w:val="24"/>
      <w:lang w:val="en-US" w:eastAsia="zh-CN" w:bidi="ar-SA"/>
    </w:rPr>
  </w:style>
  <w:style w:type="character" w:customStyle="1" w:styleId="51">
    <w:name w:val="正文文本缩进 字符"/>
    <w:link w:val="19"/>
    <w:qFormat/>
    <w:uiPriority w:val="0"/>
    <w:rPr>
      <w:rFonts w:eastAsia="宋体"/>
      <w:kern w:val="2"/>
      <w:sz w:val="24"/>
      <w:szCs w:val="24"/>
      <w:lang w:val="en-US" w:eastAsia="zh-CN" w:bidi="ar-SA"/>
    </w:rPr>
  </w:style>
  <w:style w:type="character" w:customStyle="1" w:styleId="52">
    <w:name w:val="Char Char6"/>
    <w:qFormat/>
    <w:uiPriority w:val="0"/>
    <w:rPr>
      <w:rFonts w:eastAsia="宋体"/>
      <w:kern w:val="2"/>
      <w:sz w:val="21"/>
      <w:szCs w:val="24"/>
      <w:lang w:val="en-US" w:eastAsia="zh-CN" w:bidi="ar-SA"/>
    </w:rPr>
  </w:style>
  <w:style w:type="character" w:customStyle="1" w:styleId="53">
    <w:name w:val="纯文本 字符"/>
    <w:link w:val="22"/>
    <w:qFormat/>
    <w:uiPriority w:val="0"/>
    <w:rPr>
      <w:rFonts w:ascii="宋体" w:hAnsi="Courier New" w:eastAsia="宋体"/>
      <w:kern w:val="2"/>
      <w:sz w:val="21"/>
      <w:szCs w:val="21"/>
      <w:lang w:val="en-US" w:eastAsia="zh-CN" w:bidi="ar-SA"/>
    </w:rPr>
  </w:style>
  <w:style w:type="character" w:customStyle="1" w:styleId="54">
    <w:name w:val="Char Char3"/>
    <w:qFormat/>
    <w:uiPriority w:val="0"/>
    <w:rPr>
      <w:rFonts w:eastAsia="宋体"/>
      <w:kern w:val="2"/>
      <w:sz w:val="21"/>
      <w:szCs w:val="24"/>
      <w:lang w:val="en-US" w:eastAsia="zh-CN" w:bidi="ar-SA"/>
    </w:rPr>
  </w:style>
  <w:style w:type="character" w:customStyle="1" w:styleId="55">
    <w:name w:val="页脚 字符"/>
    <w:link w:val="26"/>
    <w:qFormat/>
    <w:uiPriority w:val="99"/>
    <w:rPr>
      <w:kern w:val="2"/>
      <w:sz w:val="18"/>
      <w:szCs w:val="18"/>
    </w:rPr>
  </w:style>
  <w:style w:type="character" w:customStyle="1" w:styleId="56">
    <w:name w:val="标题 3 Char_0"/>
    <w:link w:val="57"/>
    <w:qFormat/>
    <w:uiPriority w:val="0"/>
    <w:rPr>
      <w:rFonts w:ascii="宋体" w:hAnsi="宋体"/>
      <w:b/>
      <w:kern w:val="2"/>
      <w:sz w:val="28"/>
      <w:szCs w:val="28"/>
      <w:lang w:val="en-US" w:eastAsia="zh-CN"/>
    </w:rPr>
  </w:style>
  <w:style w:type="paragraph" w:customStyle="1" w:styleId="57">
    <w:name w:val="标题 3_0"/>
    <w:basedOn w:val="58"/>
    <w:next w:val="58"/>
    <w:link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59">
    <w:name w:val="font01"/>
    <w:basedOn w:val="37"/>
    <w:qFormat/>
    <w:uiPriority w:val="0"/>
    <w:rPr>
      <w:rFonts w:hint="default" w:ascii="Times New Roman" w:hAnsi="Times New Roman" w:cs="Times New Roman"/>
      <w:color w:val="000000"/>
      <w:sz w:val="21"/>
      <w:szCs w:val="21"/>
      <w:u w:val="none"/>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默认段落字体 Para Char Char Char Char Char Char Char Char Char Char Char Char Char Char Char Char"/>
    <w:basedOn w:val="1"/>
    <w:qFormat/>
    <w:uiPriority w:val="0"/>
    <w:rPr>
      <w:rFonts w:ascii="Tahoma" w:hAnsi="Tahoma"/>
      <w:sz w:val="24"/>
      <w:szCs w:val="20"/>
    </w:rPr>
  </w:style>
  <w:style w:type="paragraph" w:styleId="62">
    <w:name w:val="List Paragraph"/>
    <w:basedOn w:val="1"/>
    <w:qFormat/>
    <w:uiPriority w:val="34"/>
    <w:pPr>
      <w:ind w:firstLine="420" w:firstLineChars="200"/>
    </w:pPr>
    <w:rPr>
      <w:rFonts w:ascii="Calibri" w:hAnsi="Calibri"/>
      <w:szCs w:val="22"/>
    </w:rPr>
  </w:style>
  <w:style w:type="paragraph" w:customStyle="1" w:styleId="63">
    <w:name w:val="Char Char Char"/>
    <w:basedOn w:val="1"/>
    <w:qFormat/>
    <w:uiPriority w:val="0"/>
    <w:pPr>
      <w:widowControl/>
      <w:spacing w:after="160" w:line="240" w:lineRule="exact"/>
      <w:jc w:val="left"/>
    </w:pPr>
  </w:style>
  <w:style w:type="paragraph" w:customStyle="1" w:styleId="64">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65">
    <w:name w:val="Char Char Char Char Char Char"/>
    <w:basedOn w:val="15"/>
    <w:qFormat/>
    <w:uiPriority w:val="0"/>
    <w:rPr>
      <w:rFonts w:ascii="Tahoma" w:hAnsi="Tahoma"/>
      <w:sz w:val="24"/>
    </w:rPr>
  </w:style>
  <w:style w:type="paragraph" w:customStyle="1" w:styleId="66">
    <w:name w:val="样式 标题 4 + 段前: 5 磅 段后: 5 磅 行距: 单倍行距"/>
    <w:basedOn w:val="6"/>
    <w:qFormat/>
    <w:uiPriority w:val="0"/>
    <w:pPr>
      <w:spacing w:before="100" w:after="100" w:line="240" w:lineRule="auto"/>
    </w:pPr>
    <w:rPr>
      <w:rFonts w:cs="宋体"/>
      <w:szCs w:val="20"/>
    </w:rPr>
  </w:style>
  <w:style w:type="paragraph" w:customStyle="1" w:styleId="67">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68">
    <w:name w:val="样式 标题 2 + 宋体 五号 非加粗 黑色"/>
    <w:basedOn w:val="4"/>
    <w:qFormat/>
    <w:uiPriority w:val="0"/>
    <w:rPr>
      <w:rFonts w:ascii="宋体" w:hAnsi="宋体" w:eastAsia="宋体"/>
      <w:b w:val="0"/>
      <w:bCs w:val="0"/>
      <w:color w:val="000000"/>
      <w:sz w:val="21"/>
    </w:rPr>
  </w:style>
  <w:style w:type="paragraph" w:customStyle="1" w:styleId="69">
    <w:name w:val="附件正文"/>
    <w:basedOn w:val="1"/>
    <w:qFormat/>
    <w:uiPriority w:val="0"/>
    <w:pPr>
      <w:snapToGrid w:val="0"/>
      <w:spacing w:line="500" w:lineRule="exact"/>
      <w:ind w:firstLine="540" w:firstLineChars="225"/>
    </w:pPr>
    <w:rPr>
      <w:kern w:val="0"/>
      <w:sz w:val="24"/>
    </w:rPr>
  </w:style>
  <w:style w:type="paragraph" w:customStyle="1" w:styleId="70">
    <w:name w:val="Char1"/>
    <w:basedOn w:val="1"/>
    <w:qFormat/>
    <w:uiPriority w:val="0"/>
    <w:pPr>
      <w:tabs>
        <w:tab w:val="left" w:pos="432"/>
      </w:tabs>
      <w:spacing w:beforeLines="50" w:afterLines="50"/>
      <w:ind w:left="432" w:hanging="432"/>
    </w:pPr>
  </w:style>
  <w:style w:type="paragraph" w:customStyle="1" w:styleId="71">
    <w:name w:val="TOC 标题1"/>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73">
    <w:name w:val="Char Char2"/>
    <w:basedOn w:val="1"/>
    <w:qFormat/>
    <w:uiPriority w:val="0"/>
    <w:pPr>
      <w:widowControl/>
      <w:spacing w:after="160" w:line="240" w:lineRule="exact"/>
      <w:jc w:val="left"/>
    </w:pPr>
    <w:rPr>
      <w:rFonts w:ascii="Verdana" w:hAnsi="Verdana"/>
      <w:kern w:val="0"/>
      <w:sz w:val="20"/>
      <w:szCs w:val="20"/>
      <w:lang w:eastAsia="en-US"/>
    </w:rPr>
  </w:style>
  <w:style w:type="character" w:customStyle="1" w:styleId="74">
    <w:name w:val="页眉 字符"/>
    <w:link w:val="27"/>
    <w:qFormat/>
    <w:uiPriority w:val="0"/>
    <w:rPr>
      <w:kern w:val="2"/>
      <w:sz w:val="18"/>
      <w:szCs w:val="18"/>
    </w:rPr>
  </w:style>
  <w:style w:type="paragraph" w:customStyle="1" w:styleId="75">
    <w:name w:val="_Style 2"/>
    <w:basedOn w:val="3"/>
    <w:next w:val="1"/>
    <w:qFormat/>
    <w:uiPriority w:val="39"/>
    <w:pPr>
      <w:autoSpaceDE w:val="0"/>
      <w:autoSpaceDN w:val="0"/>
      <w:adjustRightInd/>
      <w:spacing w:before="480" w:after="0" w:line="276" w:lineRule="auto"/>
      <w:ind w:firstLine="0"/>
      <w:textAlignment w:val="auto"/>
      <w:outlineLvl w:val="9"/>
    </w:pPr>
    <w:rPr>
      <w:rFonts w:ascii="仿宋" w:hAnsi="仿宋" w:eastAsia="仿宋" w:cs="Noto Sans Mono CJK JP Regular"/>
      <w:b w:val="0"/>
      <w:bCs w:val="0"/>
      <w:color w:val="000000"/>
      <w:kern w:val="0"/>
      <w:sz w:val="32"/>
      <w:szCs w:val="32"/>
      <w:lang w:bidi="zh-CN"/>
    </w:rPr>
  </w:style>
  <w:style w:type="character" w:customStyle="1" w:styleId="76">
    <w:name w:val="标题 2 字符"/>
    <w:link w:val="4"/>
    <w:qFormat/>
    <w:uiPriority w:val="0"/>
    <w:rPr>
      <w:rFonts w:ascii="Arial" w:hAnsi="Arial" w:eastAsia="黑体" w:cs="Times New Roman"/>
      <w:b/>
      <w:bCs/>
      <w:sz w:val="32"/>
      <w:szCs w:val="32"/>
    </w:rPr>
  </w:style>
  <w:style w:type="paragraph" w:customStyle="1" w:styleId="77">
    <w:name w:val="msolistparagraph"/>
    <w:basedOn w:val="1"/>
    <w:qFormat/>
    <w:uiPriority w:val="0"/>
    <w:pPr>
      <w:ind w:firstLine="420" w:firstLineChars="200"/>
    </w:pPr>
    <w:rPr>
      <w:rFonts w:ascii="Calibri" w:hAnsi="Calibri" w:eastAsia="仿宋_GB2312"/>
      <w:sz w:val="28"/>
      <w:szCs w:val="30"/>
    </w:rPr>
  </w:style>
  <w:style w:type="character" w:customStyle="1" w:styleId="78">
    <w:name w:val="标题 1 字符"/>
    <w:basedOn w:val="37"/>
    <w:link w:val="3"/>
    <w:qFormat/>
    <w:uiPriority w:val="0"/>
    <w:rPr>
      <w:rFonts w:ascii="Times New Roman" w:hAnsi="Times New Roman" w:eastAsia="宋体" w:cs="Times New Roman"/>
      <w:b/>
      <w:bCs/>
      <w:kern w:val="44"/>
      <w:sz w:val="44"/>
      <w:szCs w:val="44"/>
    </w:rPr>
  </w:style>
  <w:style w:type="paragraph" w:customStyle="1" w:styleId="79">
    <w:name w:val="样式 标题 2 + Times New Roman 四号 非加粗 段前: 5 磅 段后: 0 磅 行距: 固定值 20..."/>
    <w:basedOn w:val="4"/>
    <w:qFormat/>
    <w:uiPriority w:val="0"/>
    <w:pPr>
      <w:widowControl/>
      <w:numPr>
        <w:ilvl w:val="0"/>
        <w:numId w:val="0"/>
      </w:numPr>
      <w:adjustRightInd/>
      <w:spacing w:before="100" w:after="0" w:line="400" w:lineRule="exact"/>
      <w:ind w:left="284"/>
      <w:textAlignment w:val="auto"/>
    </w:pPr>
    <w:rPr>
      <w:rFonts w:ascii="Times New Roman" w:hAnsi="Times New Roman" w:eastAsia="宋体" w:cs="宋体"/>
      <w:b w:val="0"/>
      <w:bCs w:val="0"/>
      <w:sz w:val="28"/>
      <w:szCs w:val="20"/>
    </w:rPr>
  </w:style>
  <w:style w:type="paragraph" w:customStyle="1" w:styleId="80">
    <w:name w:val="TOC 标题2"/>
    <w:basedOn w:val="3"/>
    <w:next w:val="1"/>
    <w:semiHidden/>
    <w:unhideWhenUsed/>
    <w:qFormat/>
    <w:uiPriority w:val="39"/>
    <w:pPr>
      <w:widowControl/>
      <w:adjustRightInd/>
      <w:spacing w:before="480" w:after="0" w:line="276" w:lineRule="auto"/>
      <w:ind w:firstLine="0"/>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81">
    <w:name w:val="font11"/>
    <w:basedOn w:val="37"/>
    <w:qFormat/>
    <w:uiPriority w:val="0"/>
    <w:rPr>
      <w:rFonts w:hint="eastAsia" w:ascii="宋体" w:hAnsi="宋体" w:eastAsia="宋体" w:cs="宋体"/>
      <w:color w:val="000000"/>
      <w:sz w:val="21"/>
      <w:szCs w:val="21"/>
      <w:u w:val="none"/>
    </w:rPr>
  </w:style>
  <w:style w:type="character" w:customStyle="1" w:styleId="82">
    <w:name w:val="font31"/>
    <w:basedOn w:val="37"/>
    <w:qFormat/>
    <w:uiPriority w:val="0"/>
    <w:rPr>
      <w:rFonts w:hint="eastAsia" w:ascii="宋体" w:hAnsi="宋体" w:eastAsia="宋体" w:cs="宋体"/>
      <w:b/>
      <w:color w:val="000000"/>
      <w:sz w:val="22"/>
      <w:szCs w:val="22"/>
      <w:u w:val="none"/>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86">
    <w:name w:val="索引 11"/>
    <w:basedOn w:val="1"/>
    <w:next w:val="1"/>
    <w:qFormat/>
    <w:uiPriority w:val="0"/>
    <w:pPr>
      <w:spacing w:line="360" w:lineRule="auto"/>
    </w:pPr>
    <w:rPr>
      <w:rFonts w:ascii="仿宋_GB2312" w:eastAsia="仿宋_GB2312"/>
      <w:sz w:val="24"/>
      <w:szCs w:val="20"/>
    </w:rPr>
  </w:style>
  <w:style w:type="paragraph" w:customStyle="1" w:styleId="87">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462BA-25C1-4409-A57B-EB17925E4B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4918</Words>
  <Characters>28038</Characters>
  <Lines>233</Lines>
  <Paragraphs>65</Paragraphs>
  <TotalTime>15</TotalTime>
  <ScaleCrop>false</ScaleCrop>
  <LinksUpToDate>false</LinksUpToDate>
  <CharactersWithSpaces>32891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2021-05-18T10:09:00Z</dcterms:created>
  <dc:creator>王峰</dc:creator>
  <cp:lastModifiedBy>姷妳眞恏</cp:lastModifiedBy>
  <cp:lastPrinted>2020-10-07T04:31:00Z</cp:lastPrinted>
  <dcterms:modified xsi:type="dcterms:W3CDTF">2021-10-26T03:57:21Z</dcterms:modified>
  <dc:title>滨州市政府采购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3BAF22F54EB44E3289C8D569561D7B08</vt:lpwstr>
  </property>
  <property fmtid="{D5CDD505-2E9C-101B-9397-08002B2CF9AE}" pid="4" name="KSOSaveFontToCloudKey">
    <vt:lpwstr>574105674_cloud</vt:lpwstr>
  </property>
</Properties>
</file>